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4.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RPr="00494098" w14:paraId="72C0C69F" w14:textId="77777777" w:rsidTr="00D21089">
        <w:trPr>
          <w:trHeight w:val="851"/>
        </w:trPr>
        <w:tc>
          <w:tcPr>
            <w:tcW w:w="1259" w:type="dxa"/>
            <w:tcBorders>
              <w:top w:val="nil"/>
              <w:left w:val="nil"/>
              <w:bottom w:val="single" w:sz="4" w:space="0" w:color="auto"/>
              <w:right w:val="nil"/>
            </w:tcBorders>
          </w:tcPr>
          <w:p w14:paraId="195E21EA" w14:textId="77777777" w:rsidR="006F0959" w:rsidRPr="00494098" w:rsidRDefault="006F0959" w:rsidP="00D21089">
            <w:pPr>
              <w:spacing w:after="80" w:line="340" w:lineRule="exact"/>
              <w:rPr>
                <w:lang w:val="fr-FR"/>
              </w:rPr>
            </w:pPr>
          </w:p>
        </w:tc>
        <w:tc>
          <w:tcPr>
            <w:tcW w:w="2236" w:type="dxa"/>
            <w:tcBorders>
              <w:top w:val="nil"/>
              <w:left w:val="nil"/>
              <w:bottom w:val="single" w:sz="4" w:space="0" w:color="auto"/>
              <w:right w:val="nil"/>
            </w:tcBorders>
            <w:vAlign w:val="bottom"/>
          </w:tcPr>
          <w:p w14:paraId="4B47E00E" w14:textId="77777777" w:rsidR="006F0959" w:rsidRPr="00494098" w:rsidRDefault="006F0959" w:rsidP="00D21089">
            <w:pPr>
              <w:spacing w:after="80" w:line="340" w:lineRule="exact"/>
              <w:rPr>
                <w:sz w:val="28"/>
                <w:szCs w:val="28"/>
                <w:lang w:val="fr-FR"/>
              </w:rPr>
            </w:pPr>
            <w:r w:rsidRPr="00494098">
              <w:rPr>
                <w:sz w:val="28"/>
                <w:szCs w:val="28"/>
                <w:lang w:val="fr-FR"/>
              </w:rPr>
              <w:t>Nations Unies</w:t>
            </w:r>
          </w:p>
        </w:tc>
        <w:tc>
          <w:tcPr>
            <w:tcW w:w="6144" w:type="dxa"/>
            <w:gridSpan w:val="2"/>
            <w:tcBorders>
              <w:top w:val="nil"/>
              <w:left w:val="nil"/>
              <w:bottom w:val="single" w:sz="4" w:space="0" w:color="auto"/>
              <w:right w:val="nil"/>
            </w:tcBorders>
            <w:vAlign w:val="bottom"/>
          </w:tcPr>
          <w:p w14:paraId="1F6B4EF5" w14:textId="77777777" w:rsidR="006F0959" w:rsidRPr="00494098" w:rsidRDefault="00077B75" w:rsidP="00077B75">
            <w:pPr>
              <w:suppressAutoHyphens w:val="0"/>
              <w:spacing w:after="20" w:line="240" w:lineRule="atLeast"/>
              <w:jc w:val="right"/>
              <w:rPr>
                <w:lang w:val="fr-FR"/>
              </w:rPr>
            </w:pPr>
            <w:r w:rsidRPr="00494098">
              <w:rPr>
                <w:sz w:val="40"/>
                <w:szCs w:val="40"/>
                <w:lang w:val="fr-FR"/>
              </w:rPr>
              <w:t>CRC</w:t>
            </w:r>
            <w:r w:rsidRPr="00494098">
              <w:rPr>
                <w:lang w:val="fr-FR"/>
              </w:rPr>
              <w:t>/C/PRT/5-6</w:t>
            </w:r>
          </w:p>
        </w:tc>
      </w:tr>
      <w:tr w:rsidR="006F0959" w:rsidRPr="001E37FA" w14:paraId="297B9776" w14:textId="77777777" w:rsidTr="00D21089">
        <w:trPr>
          <w:trHeight w:val="2835"/>
        </w:trPr>
        <w:tc>
          <w:tcPr>
            <w:tcW w:w="1259" w:type="dxa"/>
            <w:tcBorders>
              <w:top w:val="single" w:sz="4" w:space="0" w:color="auto"/>
              <w:left w:val="nil"/>
              <w:bottom w:val="single" w:sz="12" w:space="0" w:color="auto"/>
              <w:right w:val="nil"/>
            </w:tcBorders>
          </w:tcPr>
          <w:p w14:paraId="6890B5C0" w14:textId="77777777" w:rsidR="006F0959" w:rsidRPr="00494098" w:rsidRDefault="006F0959" w:rsidP="00D21089">
            <w:pPr>
              <w:spacing w:before="120"/>
              <w:jc w:val="center"/>
              <w:rPr>
                <w:lang w:val="fr-FR"/>
              </w:rPr>
            </w:pPr>
            <w:r w:rsidRPr="00494098">
              <w:rPr>
                <w:noProof/>
                <w:lang w:eastAsia="en-GB"/>
              </w:rPr>
              <w:drawing>
                <wp:inline distT="0" distB="0" distL="0" distR="0" wp14:anchorId="2B000889" wp14:editId="3B5430BC">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1299677C" w14:textId="77777777" w:rsidR="006F0959" w:rsidRPr="00494098" w:rsidRDefault="006F0959" w:rsidP="009E60CF">
            <w:pPr>
              <w:spacing w:before="120" w:line="420" w:lineRule="exact"/>
              <w:rPr>
                <w:b/>
                <w:sz w:val="40"/>
                <w:szCs w:val="40"/>
                <w:lang w:val="fr-FR"/>
              </w:rPr>
            </w:pPr>
            <w:r w:rsidRPr="00494098">
              <w:rPr>
                <w:b/>
                <w:bCs/>
                <w:sz w:val="40"/>
                <w:szCs w:val="40"/>
                <w:lang w:val="fr-FR"/>
              </w:rPr>
              <w:t>Convention relative</w:t>
            </w:r>
            <w:r w:rsidR="009E60CF" w:rsidRPr="00494098">
              <w:rPr>
                <w:b/>
                <w:bCs/>
                <w:sz w:val="40"/>
                <w:szCs w:val="40"/>
                <w:lang w:val="fr-FR"/>
              </w:rPr>
              <w:br/>
            </w:r>
            <w:r w:rsidRPr="00494098">
              <w:rPr>
                <w:b/>
                <w:bCs/>
                <w:sz w:val="40"/>
                <w:szCs w:val="40"/>
                <w:lang w:val="fr-FR"/>
              </w:rPr>
              <w:t>aux droits de l'enfant</w:t>
            </w:r>
          </w:p>
        </w:tc>
        <w:tc>
          <w:tcPr>
            <w:tcW w:w="2930" w:type="dxa"/>
            <w:tcBorders>
              <w:top w:val="single" w:sz="4" w:space="0" w:color="auto"/>
              <w:left w:val="nil"/>
              <w:bottom w:val="single" w:sz="12" w:space="0" w:color="auto"/>
              <w:right w:val="nil"/>
            </w:tcBorders>
          </w:tcPr>
          <w:p w14:paraId="2223C6A2" w14:textId="77777777" w:rsidR="006F0959" w:rsidRPr="00494098" w:rsidRDefault="00077B75" w:rsidP="00077B75">
            <w:pPr>
              <w:spacing w:before="240"/>
              <w:rPr>
                <w:lang w:val="fr-FR"/>
              </w:rPr>
            </w:pPr>
            <w:r w:rsidRPr="00494098">
              <w:rPr>
                <w:lang w:val="fr-FR"/>
              </w:rPr>
              <w:t>Distr. générale</w:t>
            </w:r>
          </w:p>
          <w:p w14:paraId="5187EC5F" w14:textId="77777777" w:rsidR="00077B75" w:rsidRPr="00494098" w:rsidRDefault="00E90F5B" w:rsidP="00077B75">
            <w:pPr>
              <w:suppressAutoHyphens w:val="0"/>
              <w:rPr>
                <w:lang w:val="fr-FR"/>
              </w:rPr>
            </w:pPr>
            <w:r w:rsidRPr="00494098">
              <w:rPr>
                <w:lang w:val="fr-FR"/>
              </w:rPr>
              <w:t>16</w:t>
            </w:r>
            <w:r w:rsidR="00872592" w:rsidRPr="00494098">
              <w:rPr>
                <w:lang w:val="fr-FR"/>
              </w:rPr>
              <w:t> novembre</w:t>
            </w:r>
            <w:r w:rsidRPr="00494098">
              <w:rPr>
                <w:lang w:val="fr-FR"/>
              </w:rPr>
              <w:t xml:space="preserve"> 2018</w:t>
            </w:r>
          </w:p>
          <w:p w14:paraId="6683E934" w14:textId="77777777" w:rsidR="00077B75" w:rsidRPr="00494098" w:rsidRDefault="00077B75" w:rsidP="00077B75">
            <w:pPr>
              <w:suppressAutoHyphens w:val="0"/>
              <w:rPr>
                <w:lang w:val="fr-FR"/>
              </w:rPr>
            </w:pPr>
          </w:p>
          <w:p w14:paraId="6D9650EC" w14:textId="77777777" w:rsidR="009E60CF" w:rsidRPr="00494098" w:rsidRDefault="00077B75" w:rsidP="00077B75">
            <w:pPr>
              <w:suppressAutoHyphens w:val="0"/>
              <w:rPr>
                <w:lang w:val="fr-FR"/>
              </w:rPr>
            </w:pPr>
            <w:r w:rsidRPr="00494098">
              <w:rPr>
                <w:lang w:val="fr-FR"/>
              </w:rPr>
              <w:t xml:space="preserve">Français </w:t>
            </w:r>
          </w:p>
          <w:p w14:paraId="3AAB5031" w14:textId="77777777" w:rsidR="00077B75" w:rsidRPr="00494098" w:rsidRDefault="00077B75" w:rsidP="00077B75">
            <w:pPr>
              <w:suppressAutoHyphens w:val="0"/>
              <w:rPr>
                <w:lang w:val="fr-FR"/>
              </w:rPr>
            </w:pPr>
            <w:r w:rsidRPr="00494098">
              <w:rPr>
                <w:lang w:val="fr-FR"/>
              </w:rPr>
              <w:t>Original</w:t>
            </w:r>
            <w:r w:rsidR="00090CBF" w:rsidRPr="00494098">
              <w:rPr>
                <w:lang w:val="fr-FR"/>
              </w:rPr>
              <w:t> :</w:t>
            </w:r>
            <w:r w:rsidRPr="00494098">
              <w:rPr>
                <w:lang w:val="fr-FR"/>
              </w:rPr>
              <w:t xml:space="preserve"> anglais</w:t>
            </w:r>
          </w:p>
          <w:p w14:paraId="5930355A" w14:textId="77777777" w:rsidR="00077B75" w:rsidRPr="00494098" w:rsidRDefault="00077B75" w:rsidP="00077B75">
            <w:pPr>
              <w:suppressAutoHyphens w:val="0"/>
              <w:spacing w:line="240" w:lineRule="atLeast"/>
              <w:rPr>
                <w:lang w:val="fr-FR"/>
              </w:rPr>
            </w:pPr>
            <w:r w:rsidRPr="00494098">
              <w:rPr>
                <w:lang w:val="fr-FR"/>
              </w:rPr>
              <w:t>Anglais, espagnol et français seulement</w:t>
            </w:r>
          </w:p>
        </w:tc>
      </w:tr>
    </w:tbl>
    <w:p w14:paraId="056E5493" w14:textId="77777777" w:rsidR="00077B75" w:rsidRPr="00494098" w:rsidRDefault="00077B75" w:rsidP="00077B75">
      <w:pPr>
        <w:spacing w:before="120"/>
        <w:rPr>
          <w:b/>
          <w:bCs/>
          <w:sz w:val="24"/>
          <w:szCs w:val="24"/>
          <w:lang w:val="fr-FR"/>
        </w:rPr>
      </w:pPr>
      <w:r w:rsidRPr="00494098">
        <w:rPr>
          <w:b/>
          <w:bCs/>
          <w:sz w:val="24"/>
          <w:szCs w:val="24"/>
          <w:lang w:val="fr-FR"/>
        </w:rPr>
        <w:t>Comité des droits de l'enfant</w:t>
      </w:r>
    </w:p>
    <w:p w14:paraId="74AF428C" w14:textId="77777777" w:rsidR="00077B75" w:rsidRPr="00494098" w:rsidRDefault="00077B75" w:rsidP="00077B75">
      <w:pPr>
        <w:pStyle w:val="HMG"/>
        <w:rPr>
          <w:lang w:val="fr-FR"/>
        </w:rPr>
      </w:pPr>
      <w:r w:rsidRPr="00494098">
        <w:rPr>
          <w:lang w:val="fr-FR"/>
        </w:rPr>
        <w:tab/>
      </w:r>
      <w:r w:rsidRPr="00494098">
        <w:rPr>
          <w:lang w:val="fr-FR"/>
        </w:rPr>
        <w:tab/>
        <w:t>Rapport valant cinquième et sixième rapports périodiques soumis par le Portugal en application de l’article 44 de la Convention, attendu en 2017</w:t>
      </w:r>
      <w:r w:rsidRPr="00494098">
        <w:rPr>
          <w:rStyle w:val="FootnoteReference"/>
          <w:b w:val="0"/>
          <w:bCs/>
          <w:sz w:val="20"/>
          <w:vertAlign w:val="baseline"/>
          <w:lang w:val="fr-FR"/>
        </w:rPr>
        <w:footnoteReference w:customMarkFollows="1" w:id="1"/>
        <w:t>*</w:t>
      </w:r>
      <w:r w:rsidR="00895047" w:rsidRPr="00494098">
        <w:rPr>
          <w:rStyle w:val="FootnoteReference"/>
          <w:b w:val="0"/>
          <w:bCs/>
          <w:sz w:val="20"/>
          <w:lang w:val="fr-FR"/>
        </w:rPr>
        <w:t>,</w:t>
      </w:r>
      <w:r w:rsidR="00895047" w:rsidRPr="00494098">
        <w:rPr>
          <w:rStyle w:val="FootnoteReference"/>
          <w:b w:val="0"/>
          <w:bCs/>
          <w:sz w:val="20"/>
          <w:vertAlign w:val="baseline"/>
          <w:lang w:val="fr-FR"/>
        </w:rPr>
        <w:footnoteReference w:customMarkFollows="1" w:id="2"/>
        <w:t>**</w:t>
      </w:r>
      <w:r w:rsidRPr="00494098">
        <w:rPr>
          <w:lang w:val="fr-FR"/>
        </w:rPr>
        <w:t xml:space="preserve"> </w:t>
      </w:r>
    </w:p>
    <w:p w14:paraId="0298E914" w14:textId="77777777" w:rsidR="00077B75" w:rsidRPr="00494098" w:rsidRDefault="00077B75" w:rsidP="00755402">
      <w:pPr>
        <w:pStyle w:val="SingleTxtG"/>
        <w:jc w:val="right"/>
        <w:rPr>
          <w:lang w:val="fr-FR"/>
        </w:rPr>
      </w:pPr>
      <w:r w:rsidRPr="00494098">
        <w:rPr>
          <w:lang w:val="fr-FR"/>
        </w:rPr>
        <w:t>[Date de réception</w:t>
      </w:r>
      <w:r w:rsidR="00090CBF" w:rsidRPr="00494098">
        <w:rPr>
          <w:lang w:val="fr-FR"/>
        </w:rPr>
        <w:t> :</w:t>
      </w:r>
      <w:r w:rsidRPr="00494098">
        <w:rPr>
          <w:lang w:val="fr-FR"/>
        </w:rPr>
        <w:t xml:space="preserve"> 16</w:t>
      </w:r>
      <w:r w:rsidR="006717A5" w:rsidRPr="00494098">
        <w:rPr>
          <w:lang w:val="fr-FR"/>
        </w:rPr>
        <w:t> janvier</w:t>
      </w:r>
      <w:r w:rsidRPr="00494098">
        <w:rPr>
          <w:lang w:val="fr-FR"/>
        </w:rPr>
        <w:t xml:space="preserve"> 2018]</w:t>
      </w:r>
    </w:p>
    <w:p w14:paraId="3F324D40" w14:textId="77777777" w:rsidR="009E60CF" w:rsidRPr="00494098" w:rsidRDefault="009E60CF" w:rsidP="00755402">
      <w:pPr>
        <w:pStyle w:val="SingleTxtG"/>
        <w:jc w:val="right"/>
        <w:rPr>
          <w:lang w:val="fr-FR"/>
        </w:rPr>
      </w:pPr>
      <w:bookmarkStart w:id="0" w:name="_GoBack"/>
      <w:bookmarkEnd w:id="0"/>
    </w:p>
    <w:p w14:paraId="07CA77CF" w14:textId="77777777" w:rsidR="009E60CF" w:rsidRPr="00494098" w:rsidRDefault="009E60CF" w:rsidP="00755402">
      <w:pPr>
        <w:pStyle w:val="SingleTxtG"/>
        <w:jc w:val="right"/>
        <w:rPr>
          <w:lang w:val="fr-FR"/>
        </w:rPr>
        <w:sectPr w:rsidR="009E60CF" w:rsidRPr="00494098" w:rsidSect="00ED625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pPr>
    </w:p>
    <w:p w14:paraId="7D62E55C" w14:textId="77777777" w:rsidR="009E60CF" w:rsidRPr="00494098" w:rsidRDefault="009E60CF" w:rsidP="00755402">
      <w:pPr>
        <w:pStyle w:val="SingleTxtG"/>
        <w:jc w:val="right"/>
        <w:rPr>
          <w:lang w:val="fr-FR"/>
        </w:rPr>
      </w:pPr>
    </w:p>
    <w:p w14:paraId="5605FE38" w14:textId="77777777" w:rsidR="00077B75" w:rsidRPr="00494098" w:rsidRDefault="00491E89" w:rsidP="00BD66AE">
      <w:pPr>
        <w:pStyle w:val="HMG"/>
        <w:rPr>
          <w:lang w:val="fr-FR"/>
        </w:rPr>
      </w:pPr>
      <w:r w:rsidRPr="00494098">
        <w:rPr>
          <w:lang w:val="fr-FR"/>
        </w:rPr>
        <w:tab/>
      </w:r>
      <w:r w:rsidR="00077B75" w:rsidRPr="00494098">
        <w:rPr>
          <w:lang w:val="fr-FR"/>
        </w:rPr>
        <w:t>I.</w:t>
      </w:r>
      <w:r w:rsidR="00077B75" w:rsidRPr="00494098">
        <w:rPr>
          <w:lang w:val="fr-FR"/>
        </w:rPr>
        <w:tab/>
      </w:r>
      <w:r w:rsidR="00077B75" w:rsidRPr="00494098">
        <w:rPr>
          <w:bCs/>
          <w:lang w:val="fr-FR"/>
        </w:rPr>
        <w:t>Introduction</w:t>
      </w:r>
      <w:bookmarkStart w:id="1" w:name="_Toc530057275"/>
      <w:bookmarkStart w:id="2" w:name="_Toc530057468"/>
      <w:bookmarkStart w:id="3" w:name="_Toc530057589"/>
      <w:bookmarkStart w:id="4" w:name="_Toc530067970"/>
      <w:bookmarkEnd w:id="1"/>
      <w:bookmarkEnd w:id="2"/>
      <w:bookmarkEnd w:id="3"/>
      <w:bookmarkEnd w:id="4"/>
    </w:p>
    <w:p w14:paraId="3EF697AA" w14:textId="77777777" w:rsidR="00077B75" w:rsidRPr="00494098" w:rsidRDefault="00077B75" w:rsidP="00480570">
      <w:pPr>
        <w:pStyle w:val="SingleTxtG"/>
        <w:rPr>
          <w:lang w:val="fr-FR"/>
        </w:rPr>
      </w:pPr>
      <w:r w:rsidRPr="00494098">
        <w:rPr>
          <w:lang w:val="fr-FR"/>
        </w:rPr>
        <w:t>1.</w:t>
      </w:r>
      <w:r w:rsidRPr="00494098">
        <w:rPr>
          <w:lang w:val="fr-FR"/>
        </w:rPr>
        <w:tab/>
        <w:t>Le présent rapport couvre la période comprise entre</w:t>
      </w:r>
      <w:r w:rsidR="00EE7F56" w:rsidRPr="00494098">
        <w:rPr>
          <w:lang w:val="fr-FR"/>
        </w:rPr>
        <w:t xml:space="preserve"> </w:t>
      </w:r>
      <w:r w:rsidR="006717A5" w:rsidRPr="00494098">
        <w:rPr>
          <w:lang w:val="fr-FR"/>
        </w:rPr>
        <w:t>janvier</w:t>
      </w:r>
      <w:r w:rsidRPr="00494098">
        <w:rPr>
          <w:lang w:val="fr-FR"/>
        </w:rPr>
        <w:t xml:space="preserve"> 2014 et</w:t>
      </w:r>
      <w:r w:rsidR="00EE7F56" w:rsidRPr="00494098">
        <w:rPr>
          <w:lang w:val="fr-FR"/>
        </w:rPr>
        <w:t xml:space="preserve"> </w:t>
      </w:r>
      <w:r w:rsidR="00480991" w:rsidRPr="00494098">
        <w:rPr>
          <w:lang w:val="fr-FR"/>
        </w:rPr>
        <w:t>septembre</w:t>
      </w:r>
      <w:r w:rsidRPr="00494098">
        <w:rPr>
          <w:lang w:val="fr-FR"/>
        </w:rPr>
        <w:t xml:space="preserve"> 2017.</w:t>
      </w:r>
    </w:p>
    <w:p w14:paraId="15252F20" w14:textId="5807A2D5" w:rsidR="00077B75" w:rsidRPr="00494098" w:rsidRDefault="00077B75" w:rsidP="00480570">
      <w:pPr>
        <w:pStyle w:val="SingleTxtG"/>
        <w:rPr>
          <w:lang w:val="fr-FR"/>
        </w:rPr>
      </w:pPr>
      <w:r w:rsidRPr="00494098">
        <w:rPr>
          <w:lang w:val="fr-FR"/>
        </w:rPr>
        <w:t>2.</w:t>
      </w:r>
      <w:r w:rsidRPr="00494098">
        <w:rPr>
          <w:lang w:val="fr-FR"/>
        </w:rPr>
        <w:tab/>
        <w:t>Lors de l’établissement du présent document, les autorités portugaises ont tenu compte des directives du Comité (CRC/C/58/Rev.3)</w:t>
      </w:r>
      <w:r w:rsidR="00376005" w:rsidRPr="00494098">
        <w:rPr>
          <w:lang w:val="fr-FR"/>
        </w:rPr>
        <w:t>.</w:t>
      </w:r>
      <w:r w:rsidRPr="00494098">
        <w:rPr>
          <w:lang w:val="fr-FR"/>
        </w:rPr>
        <w:t xml:space="preserve"> Le </w:t>
      </w:r>
      <w:r w:rsidR="00C81F1A">
        <w:rPr>
          <w:lang w:val="fr-FR"/>
        </w:rPr>
        <w:t>d</w:t>
      </w:r>
      <w:r w:rsidRPr="00494098">
        <w:rPr>
          <w:lang w:val="fr-FR"/>
        </w:rPr>
        <w:t xml:space="preserve">ocument de base commun du Portugal (HRI/CORE/PRT/2014) doit donc être lu comme une partie intégrante du présent rapport. </w:t>
      </w:r>
    </w:p>
    <w:p w14:paraId="4E8D9459" w14:textId="580BC64B" w:rsidR="00077B75" w:rsidRPr="00494098" w:rsidRDefault="00077B75" w:rsidP="00480570">
      <w:pPr>
        <w:pStyle w:val="SingleTxtG"/>
        <w:rPr>
          <w:lang w:val="fr-FR"/>
        </w:rPr>
      </w:pPr>
      <w:r w:rsidRPr="00494098">
        <w:rPr>
          <w:lang w:val="fr-FR"/>
        </w:rPr>
        <w:t>3.</w:t>
      </w:r>
      <w:r w:rsidRPr="00494098">
        <w:rPr>
          <w:lang w:val="fr-FR"/>
        </w:rPr>
        <w:tab/>
        <w:t>Pour ce qui est de la structure du document, les chapitres</w:t>
      </w:r>
      <w:r w:rsidR="000F62F3" w:rsidRPr="00494098">
        <w:rPr>
          <w:lang w:val="fr-FR"/>
        </w:rPr>
        <w:t> </w:t>
      </w:r>
      <w:r w:rsidRPr="00494098">
        <w:rPr>
          <w:lang w:val="fr-FR"/>
        </w:rPr>
        <w:t xml:space="preserve">I, II et III, apportent respectivement des informations sur les </w:t>
      </w:r>
      <w:r w:rsidR="00C04C85">
        <w:rPr>
          <w:lang w:val="fr-FR"/>
        </w:rPr>
        <w:t>o</w:t>
      </w:r>
      <w:r w:rsidRPr="00494098">
        <w:rPr>
          <w:lang w:val="fr-FR"/>
        </w:rPr>
        <w:t>bservations finales formulées dans les documents CRC/C/PRT/C</w:t>
      </w:r>
      <w:r w:rsidR="00C04C85">
        <w:rPr>
          <w:lang w:val="fr-FR"/>
        </w:rPr>
        <w:t>O</w:t>
      </w:r>
      <w:r w:rsidRPr="00494098">
        <w:rPr>
          <w:lang w:val="fr-FR"/>
        </w:rPr>
        <w:t>/3-4 (Convention relative aux droits de l’enfant, ci-après dénommée la Convention), CRC/C/OPAC/PRT/CO/1 (Protocole facultatif à la Convention relative aux droits de l’enfant, concernant l’implication d’enfants dans les conflits</w:t>
      </w:r>
      <w:r w:rsidR="00C04C85">
        <w:rPr>
          <w:lang w:val="fr-FR"/>
        </w:rPr>
        <w:t xml:space="preserve"> </w:t>
      </w:r>
      <w:r w:rsidRPr="00494098">
        <w:rPr>
          <w:lang w:val="fr-FR"/>
        </w:rPr>
        <w:t xml:space="preserve">armés) et CRC/C/OPSC/PRT/CO/1 (Protocole facultatif  à la Convention relative aux droits de l’enfant, concernant la vente d’enfants, la prostitution des enfants et la pornographie mettant en scène des enfants). Conformément aux directives </w:t>
      </w:r>
      <w:r w:rsidR="00B22F54">
        <w:rPr>
          <w:lang w:val="fr-FR"/>
        </w:rPr>
        <w:t>propres à la Convention</w:t>
      </w:r>
      <w:r w:rsidRPr="00494098">
        <w:rPr>
          <w:lang w:val="fr-FR"/>
        </w:rPr>
        <w:t xml:space="preserve"> (CRC/C/58/Rev.3), l’information a été structuré</w:t>
      </w:r>
      <w:r w:rsidR="000F62F3" w:rsidRPr="00494098">
        <w:rPr>
          <w:lang w:val="fr-FR"/>
        </w:rPr>
        <w:t>e</w:t>
      </w:r>
      <w:r w:rsidR="00EE7F56" w:rsidRPr="00494098">
        <w:rPr>
          <w:lang w:val="fr-FR"/>
        </w:rPr>
        <w:t xml:space="preserve"> selon l</w:t>
      </w:r>
      <w:r w:rsidRPr="00494098">
        <w:rPr>
          <w:lang w:val="fr-FR"/>
        </w:rPr>
        <w:t>es groupes de droits définis par le Comité. Les statistiques et autres informations complémentaires figurent aux annexes</w:t>
      </w:r>
      <w:r w:rsidR="000F62F3" w:rsidRPr="00494098">
        <w:rPr>
          <w:lang w:val="fr-FR"/>
        </w:rPr>
        <w:t> </w:t>
      </w:r>
      <w:r w:rsidRPr="00494098">
        <w:rPr>
          <w:lang w:val="fr-FR"/>
        </w:rPr>
        <w:t xml:space="preserve">1, 2 et 3. </w:t>
      </w:r>
    </w:p>
    <w:p w14:paraId="2880FD3D" w14:textId="168C78CB" w:rsidR="00077B75" w:rsidRPr="00494098" w:rsidRDefault="00077B75" w:rsidP="00480570">
      <w:pPr>
        <w:pStyle w:val="SingleTxtG"/>
        <w:rPr>
          <w:lang w:val="fr-FR"/>
        </w:rPr>
      </w:pPr>
      <w:r w:rsidRPr="00494098">
        <w:rPr>
          <w:lang w:val="fr-FR"/>
        </w:rPr>
        <w:t>4.</w:t>
      </w:r>
      <w:r w:rsidRPr="00494098">
        <w:rPr>
          <w:lang w:val="fr-FR"/>
        </w:rPr>
        <w:tab/>
      </w:r>
      <w:r w:rsidR="00EE7F56" w:rsidRPr="00494098">
        <w:rPr>
          <w:lang w:val="fr-FR"/>
        </w:rPr>
        <w:t xml:space="preserve">S’agissant </w:t>
      </w:r>
      <w:r w:rsidRPr="00494098">
        <w:rPr>
          <w:lang w:val="fr-FR"/>
        </w:rPr>
        <w:t>de la méthode utilisée pour s</w:t>
      </w:r>
      <w:r w:rsidR="00E62EB2" w:rsidRPr="00494098">
        <w:rPr>
          <w:lang w:val="fr-FR"/>
        </w:rPr>
        <w:t>a préparation</w:t>
      </w:r>
      <w:r w:rsidRPr="00494098">
        <w:rPr>
          <w:lang w:val="fr-FR"/>
        </w:rPr>
        <w:t>, le rapport a été élaboré au sein de la Commission nationale des droits de l’homme , sous la coordination de son secrétariat exécutif</w:t>
      </w:r>
      <w:r w:rsidR="00DB76A2">
        <w:rPr>
          <w:lang w:val="fr-FR"/>
        </w:rPr>
        <w:t>,</w:t>
      </w:r>
      <w:r w:rsidRPr="00494098">
        <w:rPr>
          <w:lang w:val="fr-FR"/>
        </w:rPr>
        <w:t xml:space="preserve"> et </w:t>
      </w:r>
      <w:r w:rsidR="00DB76A2">
        <w:rPr>
          <w:lang w:val="fr-FR"/>
        </w:rPr>
        <w:lastRenderedPageBreak/>
        <w:t xml:space="preserve">prend en compte </w:t>
      </w:r>
      <w:r w:rsidRPr="00494098">
        <w:rPr>
          <w:lang w:val="fr-FR"/>
        </w:rPr>
        <w:t>les contributions du Ministère des affaires étrangères, de la Commission pour la citoyenneté et l’égalité des sexes, du Haut</w:t>
      </w:r>
      <w:r w:rsidR="00C345E8">
        <w:rPr>
          <w:lang w:val="fr-FR"/>
        </w:rPr>
        <w:t xml:space="preserve"> </w:t>
      </w:r>
      <w:r w:rsidRPr="00494098">
        <w:rPr>
          <w:lang w:val="fr-FR"/>
        </w:rPr>
        <w:t xml:space="preserve"> Commissariat aux migrations, du Ministère de la défense, du Ministère de l'intérieur, du Ministère de la justice, du Ministère de l’économie, du Ministère du travail, de la solidarité et de la sécurité sociale, du Ministère de la santé, du Ministère de l’éducation, du Ministère de la culture et du Médiateur</w:t>
      </w:r>
      <w:r w:rsidR="00EE7F56" w:rsidRPr="00494098">
        <w:rPr>
          <w:lang w:val="fr-FR"/>
        </w:rPr>
        <w:t xml:space="preserve"> (</w:t>
      </w:r>
      <w:r w:rsidR="00EE7F56" w:rsidRPr="00494098">
        <w:rPr>
          <w:i/>
          <w:lang w:val="fr-FR"/>
        </w:rPr>
        <w:t>Provedor de Justiça</w:t>
      </w:r>
      <w:r w:rsidRPr="00494098">
        <w:rPr>
          <w:lang w:val="fr-FR"/>
        </w:rPr>
        <w:t>).</w:t>
      </w:r>
    </w:p>
    <w:p w14:paraId="777FDE01" w14:textId="2602C982" w:rsidR="00077B75" w:rsidRPr="00494098" w:rsidRDefault="00077B75" w:rsidP="00480570">
      <w:pPr>
        <w:pStyle w:val="SingleTxtG"/>
        <w:rPr>
          <w:lang w:val="fr-FR"/>
        </w:rPr>
      </w:pPr>
      <w:r w:rsidRPr="00494098">
        <w:rPr>
          <w:lang w:val="fr-FR"/>
        </w:rPr>
        <w:t>5.</w:t>
      </w:r>
      <w:r w:rsidRPr="00494098">
        <w:rPr>
          <w:lang w:val="fr-FR"/>
        </w:rPr>
        <w:tab/>
        <w:t xml:space="preserve">Le projet ayant été validé par toutes les entités </w:t>
      </w:r>
      <w:r w:rsidR="00DC792C">
        <w:rPr>
          <w:lang w:val="fr-FR"/>
        </w:rPr>
        <w:t>concernées</w:t>
      </w:r>
      <w:r w:rsidRPr="00494098">
        <w:rPr>
          <w:lang w:val="fr-FR"/>
        </w:rPr>
        <w:t xml:space="preserve">, le document a été examiné </w:t>
      </w:r>
      <w:r w:rsidR="00480991" w:rsidRPr="00494098">
        <w:rPr>
          <w:lang w:val="fr-FR"/>
        </w:rPr>
        <w:t>le 18</w:t>
      </w:r>
      <w:r w:rsidR="00087821" w:rsidRPr="00494098">
        <w:rPr>
          <w:lang w:val="fr-FR"/>
        </w:rPr>
        <w:t> décembre</w:t>
      </w:r>
      <w:r w:rsidR="00480991" w:rsidRPr="00494098">
        <w:rPr>
          <w:lang w:val="fr-FR"/>
        </w:rPr>
        <w:t xml:space="preserve"> 2017 par</w:t>
      </w:r>
      <w:r w:rsidRPr="00494098">
        <w:rPr>
          <w:lang w:val="fr-FR"/>
        </w:rPr>
        <w:t xml:space="preserve"> des représentants d'organisations de la société civile œuvrant dans le domaine des droits de l’enfant. À la suite de cette réunion, les contributions et les suggestions des organisations non gouvernementales ont été intégrées selon que de besoin. Les informations supplémentaires fournies par la société civile figurent à l'annexe</w:t>
      </w:r>
      <w:r w:rsidR="00480991" w:rsidRPr="00494098">
        <w:rPr>
          <w:lang w:val="fr-FR"/>
        </w:rPr>
        <w:t> </w:t>
      </w:r>
      <w:r w:rsidRPr="00494098">
        <w:rPr>
          <w:lang w:val="fr-FR"/>
        </w:rPr>
        <w:t>4.</w:t>
      </w:r>
    </w:p>
    <w:p w14:paraId="7F74CC30" w14:textId="1ADF6AF4" w:rsidR="00077B75" w:rsidRPr="00494098" w:rsidRDefault="00491E89" w:rsidP="00BD66AE">
      <w:pPr>
        <w:pStyle w:val="HMG"/>
        <w:rPr>
          <w:lang w:val="fr-FR"/>
        </w:rPr>
      </w:pPr>
      <w:r w:rsidRPr="00494098">
        <w:rPr>
          <w:lang w:val="fr-FR"/>
        </w:rPr>
        <w:lastRenderedPageBreak/>
        <w:tab/>
      </w:r>
      <w:r w:rsidR="00077B75" w:rsidRPr="00494098">
        <w:rPr>
          <w:lang w:val="fr-FR"/>
        </w:rPr>
        <w:t>II.</w:t>
      </w:r>
      <w:r w:rsidR="00077B75" w:rsidRPr="00494098">
        <w:rPr>
          <w:lang w:val="fr-FR"/>
        </w:rPr>
        <w:tab/>
      </w:r>
      <w:r w:rsidR="00B22F54">
        <w:rPr>
          <w:lang w:val="fr-FR"/>
        </w:rPr>
        <w:t xml:space="preserve">Suite donnée aux </w:t>
      </w:r>
      <w:r w:rsidR="00077B75" w:rsidRPr="00494098">
        <w:rPr>
          <w:bCs/>
          <w:lang w:val="fr-FR"/>
        </w:rPr>
        <w:t xml:space="preserve"> recommandations </w:t>
      </w:r>
      <w:r w:rsidR="00B22F54">
        <w:rPr>
          <w:bCs/>
          <w:lang w:val="fr-FR"/>
        </w:rPr>
        <w:t>concernant le</w:t>
      </w:r>
      <w:r w:rsidR="00077B75" w:rsidRPr="00494098">
        <w:rPr>
          <w:bCs/>
          <w:lang w:val="fr-FR"/>
        </w:rPr>
        <w:t xml:space="preserve"> rapport précédent</w:t>
      </w:r>
      <w:bookmarkStart w:id="5" w:name="_Toc530057276"/>
      <w:bookmarkStart w:id="6" w:name="_Toc530057469"/>
      <w:bookmarkStart w:id="7" w:name="_Toc530057590"/>
      <w:bookmarkStart w:id="8" w:name="_Toc530067971"/>
      <w:bookmarkEnd w:id="5"/>
      <w:bookmarkEnd w:id="6"/>
      <w:bookmarkEnd w:id="7"/>
      <w:bookmarkEnd w:id="8"/>
    </w:p>
    <w:p w14:paraId="3ECA4925" w14:textId="0816C931" w:rsidR="00077B75" w:rsidRPr="00494098" w:rsidRDefault="00077B75" w:rsidP="00720124">
      <w:pPr>
        <w:pStyle w:val="HChG"/>
        <w:rPr>
          <w:lang w:val="fr-FR"/>
        </w:rPr>
      </w:pPr>
      <w:r w:rsidRPr="00494098">
        <w:rPr>
          <w:lang w:val="fr-FR"/>
        </w:rPr>
        <w:tab/>
      </w:r>
      <w:r w:rsidRPr="00494098">
        <w:rPr>
          <w:lang w:val="fr-FR"/>
        </w:rPr>
        <w:tab/>
        <w:t xml:space="preserve">Chapitre </w:t>
      </w:r>
      <w:r w:rsidR="00FF6C58">
        <w:rPr>
          <w:lang w:val="fr-FR"/>
        </w:rPr>
        <w:t>I</w:t>
      </w:r>
      <w:r w:rsidRPr="00494098">
        <w:rPr>
          <w:lang w:val="fr-FR"/>
        </w:rPr>
        <w:t xml:space="preserve"> — Convention relative aux droits de l’enfant</w:t>
      </w:r>
      <w:bookmarkStart w:id="9" w:name="_Toc530057277"/>
      <w:bookmarkStart w:id="10" w:name="_Toc530057470"/>
      <w:bookmarkStart w:id="11" w:name="_Toc530057591"/>
      <w:bookmarkStart w:id="12" w:name="_Toc530067972"/>
      <w:bookmarkEnd w:id="9"/>
      <w:bookmarkEnd w:id="10"/>
      <w:bookmarkEnd w:id="11"/>
      <w:bookmarkEnd w:id="12"/>
    </w:p>
    <w:p w14:paraId="7164E615" w14:textId="3025C343" w:rsidR="00077B75" w:rsidRPr="00494098" w:rsidRDefault="00491E89" w:rsidP="00720124">
      <w:pPr>
        <w:pStyle w:val="H1G"/>
        <w:rPr>
          <w:lang w:val="fr-FR"/>
        </w:rPr>
      </w:pPr>
      <w:r w:rsidRPr="00494098">
        <w:rPr>
          <w:lang w:val="fr-FR"/>
        </w:rPr>
        <w:tab/>
      </w:r>
      <w:r w:rsidR="00077B75" w:rsidRPr="00494098">
        <w:rPr>
          <w:lang w:val="fr-FR"/>
        </w:rPr>
        <w:t>A.</w:t>
      </w:r>
      <w:r w:rsidR="00077B75" w:rsidRPr="00494098">
        <w:rPr>
          <w:lang w:val="fr-FR"/>
        </w:rPr>
        <w:tab/>
        <w:t>Mesures d’application générales (art</w:t>
      </w:r>
      <w:r w:rsidR="00916D99" w:rsidRPr="00494098">
        <w:rPr>
          <w:lang w:val="fr-FR"/>
        </w:rPr>
        <w:t>.</w:t>
      </w:r>
      <w:r w:rsidR="00077B75" w:rsidRPr="00494098">
        <w:rPr>
          <w:lang w:val="fr-FR"/>
        </w:rPr>
        <w:t xml:space="preserve"> 4, 42 et 44</w:t>
      </w:r>
      <w:r w:rsidR="00CE54E0">
        <w:rPr>
          <w:lang w:val="fr-FR"/>
        </w:rPr>
        <w:t xml:space="preserve"> (par</w:t>
      </w:r>
      <w:r w:rsidR="00077B75" w:rsidRPr="00494098">
        <w:rPr>
          <w:lang w:val="fr-FR"/>
        </w:rPr>
        <w:t>.6</w:t>
      </w:r>
      <w:r w:rsidR="00CE54E0">
        <w:rPr>
          <w:lang w:val="fr-FR"/>
        </w:rPr>
        <w:t>)</w:t>
      </w:r>
      <w:r w:rsidR="00077B75" w:rsidRPr="00494098">
        <w:rPr>
          <w:lang w:val="fr-FR"/>
        </w:rPr>
        <w:t xml:space="preserve"> de la Convention)</w:t>
      </w:r>
      <w:bookmarkStart w:id="13" w:name="_Toc530057278"/>
      <w:bookmarkStart w:id="14" w:name="_Toc530057471"/>
      <w:bookmarkStart w:id="15" w:name="_Toc530057592"/>
      <w:bookmarkStart w:id="16" w:name="_Toc530067973"/>
      <w:bookmarkEnd w:id="13"/>
      <w:bookmarkEnd w:id="14"/>
      <w:bookmarkEnd w:id="15"/>
      <w:bookmarkEnd w:id="16"/>
    </w:p>
    <w:p w14:paraId="46DBA512" w14:textId="6D311944" w:rsidR="00077B75" w:rsidRPr="00494098" w:rsidRDefault="00077B75" w:rsidP="00720124">
      <w:pPr>
        <w:pStyle w:val="H23G"/>
        <w:rPr>
          <w:lang w:val="fr-FR"/>
        </w:rPr>
      </w:pPr>
      <w:r w:rsidRPr="00494098">
        <w:rPr>
          <w:lang w:val="fr-FR"/>
        </w:rPr>
        <w:tab/>
      </w:r>
      <w:r w:rsidRPr="00494098">
        <w:rPr>
          <w:lang w:val="fr-FR"/>
        </w:rPr>
        <w:tab/>
      </w:r>
      <w:r w:rsidRPr="00494098">
        <w:rPr>
          <w:bCs/>
          <w:lang w:val="fr-FR"/>
        </w:rPr>
        <w:t>Législation (</w:t>
      </w:r>
      <w:r w:rsidR="00872592" w:rsidRPr="00494098">
        <w:rPr>
          <w:bCs/>
          <w:lang w:val="fr-FR"/>
        </w:rPr>
        <w:t>par. 1</w:t>
      </w:r>
      <w:r w:rsidRPr="00494098">
        <w:rPr>
          <w:bCs/>
          <w:lang w:val="fr-FR"/>
        </w:rPr>
        <w:t xml:space="preserve">0 des </w:t>
      </w:r>
      <w:r w:rsidR="00B3316A">
        <w:rPr>
          <w:bCs/>
          <w:lang w:val="fr-FR"/>
        </w:rPr>
        <w:t>o</w:t>
      </w:r>
      <w:r w:rsidR="00916D99" w:rsidRPr="00494098">
        <w:rPr>
          <w:bCs/>
          <w:lang w:val="fr-FR"/>
        </w:rPr>
        <w:t>bservations finales - CRC/C/PRT/CO/3-4</w:t>
      </w:r>
      <w:r w:rsidRPr="00494098">
        <w:rPr>
          <w:bCs/>
          <w:lang w:val="fr-FR"/>
        </w:rPr>
        <w:t>)</w:t>
      </w:r>
      <w:bookmarkStart w:id="17" w:name="_Toc530057279"/>
      <w:bookmarkStart w:id="18" w:name="_Toc530057472"/>
      <w:bookmarkStart w:id="19" w:name="_Toc530057593"/>
      <w:bookmarkStart w:id="20" w:name="_Toc530067974"/>
      <w:bookmarkEnd w:id="17"/>
      <w:bookmarkEnd w:id="18"/>
      <w:bookmarkEnd w:id="19"/>
      <w:bookmarkEnd w:id="20"/>
    </w:p>
    <w:p w14:paraId="73587DAD" w14:textId="77777777" w:rsidR="00077B75" w:rsidRPr="00494098" w:rsidRDefault="00077B75" w:rsidP="00480570">
      <w:pPr>
        <w:pStyle w:val="SingleTxtG"/>
        <w:rPr>
          <w:lang w:val="fr-FR"/>
        </w:rPr>
      </w:pPr>
      <w:r w:rsidRPr="00494098">
        <w:rPr>
          <w:lang w:val="fr-FR"/>
        </w:rPr>
        <w:t>6.</w:t>
      </w:r>
      <w:r w:rsidRPr="00494098">
        <w:rPr>
          <w:lang w:val="fr-FR"/>
        </w:rPr>
        <w:tab/>
        <w:t>Au cours de la période exam</w:t>
      </w:r>
      <w:r w:rsidR="00480991" w:rsidRPr="00494098">
        <w:rPr>
          <w:lang w:val="fr-FR"/>
        </w:rPr>
        <w:t>inée</w:t>
      </w:r>
      <w:r w:rsidRPr="00494098">
        <w:rPr>
          <w:lang w:val="fr-FR"/>
        </w:rPr>
        <w:t xml:space="preserve">, la législation portugaise sur les enfants et les jeunes a fait l’objet d’une </w:t>
      </w:r>
      <w:r w:rsidR="00F3461F" w:rsidRPr="00494098">
        <w:rPr>
          <w:lang w:val="fr-FR"/>
        </w:rPr>
        <w:t xml:space="preserve">profonde </w:t>
      </w:r>
      <w:r w:rsidRPr="00494098">
        <w:rPr>
          <w:lang w:val="fr-FR"/>
        </w:rPr>
        <w:t xml:space="preserve">révision. Le système national de promotion et de protection des enfants a été réexaminé en 2015, avec la modification de la loi sur la promotion et la protection des enfants et des jeunes en situation de risque (loi </w:t>
      </w:r>
      <w:r w:rsidR="006717A5" w:rsidRPr="00494098">
        <w:rPr>
          <w:lang w:val="fr-FR"/>
        </w:rPr>
        <w:t>n° </w:t>
      </w:r>
      <w:r w:rsidR="00480991" w:rsidRPr="00494098">
        <w:rPr>
          <w:lang w:val="fr-FR"/>
        </w:rPr>
        <w:t>1</w:t>
      </w:r>
      <w:r w:rsidRPr="00494098">
        <w:rPr>
          <w:lang w:val="fr-FR"/>
        </w:rPr>
        <w:t>42/2015 du 8</w:t>
      </w:r>
      <w:r w:rsidR="00480991" w:rsidRPr="00494098">
        <w:rPr>
          <w:lang w:val="fr-FR"/>
        </w:rPr>
        <w:t> septembre</w:t>
      </w:r>
      <w:r w:rsidRPr="00494098">
        <w:rPr>
          <w:lang w:val="fr-FR"/>
        </w:rPr>
        <w:t xml:space="preserve"> 2015)</w:t>
      </w:r>
      <w:r w:rsidRPr="00494098">
        <w:rPr>
          <w:rStyle w:val="FootnoteReference"/>
          <w:lang w:val="fr-FR"/>
        </w:rPr>
        <w:footnoteReference w:id="3"/>
      </w:r>
      <w:r w:rsidR="00D21E94" w:rsidRPr="00494098">
        <w:rPr>
          <w:lang w:val="fr-FR"/>
        </w:rPr>
        <w:t> ;</w:t>
      </w:r>
      <w:r w:rsidRPr="00494098">
        <w:rPr>
          <w:lang w:val="fr-FR"/>
        </w:rPr>
        <w:t xml:space="preserve"> la Commission nationale pour la protection des enfants et des jeunes en situation de risque, qui existe depuis 15</w:t>
      </w:r>
      <w:r w:rsidR="00480991" w:rsidRPr="00494098">
        <w:rPr>
          <w:lang w:val="fr-FR"/>
        </w:rPr>
        <w:t> </w:t>
      </w:r>
      <w:r w:rsidRPr="00494098">
        <w:rPr>
          <w:lang w:val="fr-FR"/>
        </w:rPr>
        <w:t xml:space="preserve">ans, a </w:t>
      </w:r>
      <w:r w:rsidR="00D21E94" w:rsidRPr="00494098">
        <w:rPr>
          <w:lang w:val="fr-FR"/>
        </w:rPr>
        <w:t xml:space="preserve">par ailleurs </w:t>
      </w:r>
      <w:r w:rsidRPr="00494098">
        <w:rPr>
          <w:lang w:val="fr-FR"/>
        </w:rPr>
        <w:t>été restructurée en un nouvel organe, la Commission nationale pour la promotion des droits et la protection des enfants et des jeunes (NCPRPCY), sous l’égide du Ministère du travail, de la solida</w:t>
      </w:r>
      <w:r w:rsidRPr="00494098">
        <w:rPr>
          <w:lang w:val="fr-FR"/>
        </w:rPr>
        <w:lastRenderedPageBreak/>
        <w:t xml:space="preserve">rité et de la sécurité sociale (décret-loi </w:t>
      </w:r>
      <w:r w:rsidR="006717A5" w:rsidRPr="00494098">
        <w:rPr>
          <w:lang w:val="fr-FR"/>
        </w:rPr>
        <w:t>n° </w:t>
      </w:r>
      <w:r w:rsidR="00480991" w:rsidRPr="00494098">
        <w:rPr>
          <w:lang w:val="fr-FR"/>
        </w:rPr>
        <w:t>1</w:t>
      </w:r>
      <w:r w:rsidRPr="00494098">
        <w:rPr>
          <w:lang w:val="fr-FR"/>
        </w:rPr>
        <w:t>59/2015 du 10</w:t>
      </w:r>
      <w:r w:rsidR="00480991" w:rsidRPr="00494098">
        <w:rPr>
          <w:lang w:val="fr-FR"/>
        </w:rPr>
        <w:t> août</w:t>
      </w:r>
      <w:r w:rsidRPr="00494098">
        <w:rPr>
          <w:lang w:val="fr-FR"/>
        </w:rPr>
        <w:t xml:space="preserve"> 2015)</w:t>
      </w:r>
      <w:r w:rsidRPr="00494098">
        <w:rPr>
          <w:rStyle w:val="FootnoteReference"/>
          <w:lang w:val="fr-FR"/>
        </w:rPr>
        <w:footnoteReference w:id="4"/>
      </w:r>
      <w:r w:rsidRPr="00494098">
        <w:rPr>
          <w:lang w:val="fr-FR"/>
        </w:rPr>
        <w:t>.</w:t>
      </w:r>
    </w:p>
    <w:p w14:paraId="24DA4365" w14:textId="77777777" w:rsidR="00077B75" w:rsidRPr="00494098" w:rsidRDefault="00077B75" w:rsidP="00480570">
      <w:pPr>
        <w:pStyle w:val="SingleTxtG"/>
        <w:rPr>
          <w:lang w:val="fr-FR"/>
        </w:rPr>
      </w:pPr>
      <w:r w:rsidRPr="00494098">
        <w:rPr>
          <w:lang w:val="fr-FR"/>
        </w:rPr>
        <w:t>7.</w:t>
      </w:r>
      <w:r w:rsidRPr="00494098">
        <w:rPr>
          <w:lang w:val="fr-FR"/>
        </w:rPr>
        <w:tab/>
      </w:r>
      <w:r w:rsidR="00030BA2" w:rsidRPr="00494098">
        <w:rPr>
          <w:lang w:val="fr-FR"/>
        </w:rPr>
        <w:t>D</w:t>
      </w:r>
      <w:r w:rsidRPr="00494098">
        <w:rPr>
          <w:lang w:val="fr-FR"/>
        </w:rPr>
        <w:t xml:space="preserve">ans le cadre de son nouveau mandat, </w:t>
      </w:r>
      <w:r w:rsidR="004F4B71" w:rsidRPr="00494098">
        <w:rPr>
          <w:lang w:val="fr-FR"/>
        </w:rPr>
        <w:t xml:space="preserve">ladite </w:t>
      </w:r>
      <w:r w:rsidRPr="00494098">
        <w:rPr>
          <w:lang w:val="fr-FR"/>
        </w:rPr>
        <w:t>Commission contribuer</w:t>
      </w:r>
      <w:r w:rsidR="00030BA2" w:rsidRPr="00494098">
        <w:rPr>
          <w:lang w:val="fr-FR"/>
        </w:rPr>
        <w:t>a</w:t>
      </w:r>
      <w:r w:rsidRPr="00494098">
        <w:rPr>
          <w:lang w:val="fr-FR"/>
        </w:rPr>
        <w:t xml:space="preserve"> à la planification de l’intervention de l’État et à la coordination, au suivi et à l’évaluation de l’action des organismes publics et de</w:t>
      </w:r>
      <w:r w:rsidR="00030BA2" w:rsidRPr="00494098">
        <w:rPr>
          <w:lang w:val="fr-FR"/>
        </w:rPr>
        <w:t xml:space="preserve">s collectivités en matière de </w:t>
      </w:r>
      <w:r w:rsidRPr="00494098">
        <w:rPr>
          <w:lang w:val="fr-FR"/>
        </w:rPr>
        <w:t xml:space="preserve">promotion des droits et </w:t>
      </w:r>
      <w:r w:rsidR="00030BA2" w:rsidRPr="00494098">
        <w:rPr>
          <w:lang w:val="fr-FR"/>
        </w:rPr>
        <w:t>de</w:t>
      </w:r>
      <w:r w:rsidRPr="00494098">
        <w:rPr>
          <w:lang w:val="fr-FR"/>
        </w:rPr>
        <w:t xml:space="preserve"> protection des enfants et des jeunes. </w:t>
      </w:r>
    </w:p>
    <w:p w14:paraId="645842BF" w14:textId="77777777" w:rsidR="00077B75" w:rsidRPr="00494098" w:rsidRDefault="00077B75" w:rsidP="00480570">
      <w:pPr>
        <w:pStyle w:val="SingleTxtG"/>
        <w:rPr>
          <w:lang w:val="fr-FR"/>
        </w:rPr>
      </w:pPr>
      <w:r w:rsidRPr="00494098">
        <w:rPr>
          <w:lang w:val="fr-FR"/>
        </w:rPr>
        <w:t>8.</w:t>
      </w:r>
      <w:r w:rsidRPr="00494098">
        <w:rPr>
          <w:lang w:val="fr-FR"/>
        </w:rPr>
        <w:tab/>
      </w:r>
      <w:r w:rsidR="004F4B71" w:rsidRPr="00494098">
        <w:rPr>
          <w:lang w:val="fr-FR"/>
        </w:rPr>
        <w:t xml:space="preserve">Cette </w:t>
      </w:r>
      <w:r w:rsidRPr="00494098">
        <w:rPr>
          <w:lang w:val="fr-FR"/>
        </w:rPr>
        <w:t xml:space="preserve">Commission a été désignée comme l’entité compétente pour la planification, le suivi, la supervision et l’évaluation d’une stratégie nationale de mise en </w:t>
      </w:r>
      <w:r w:rsidR="00D264B0" w:rsidRPr="00494098">
        <w:rPr>
          <w:lang w:val="fr-FR"/>
        </w:rPr>
        <w:t>œuvr</w:t>
      </w:r>
      <w:r w:rsidRPr="00494098">
        <w:rPr>
          <w:lang w:val="fr-FR"/>
        </w:rPr>
        <w:t>e de la Convention relative aux droits de l’enfant, en vue notamment de la collecte et du traitement de</w:t>
      </w:r>
      <w:r w:rsidR="004F4B71" w:rsidRPr="00494098">
        <w:rPr>
          <w:lang w:val="fr-FR"/>
        </w:rPr>
        <w:t>s</w:t>
      </w:r>
      <w:r w:rsidRPr="00494098">
        <w:rPr>
          <w:lang w:val="fr-FR"/>
        </w:rPr>
        <w:t xml:space="preserve"> données statistiques pertinentes </w:t>
      </w:r>
      <w:r w:rsidR="004F4B71" w:rsidRPr="00494098">
        <w:rPr>
          <w:lang w:val="fr-FR"/>
        </w:rPr>
        <w:t xml:space="preserve">se rapportant à cette </w:t>
      </w:r>
      <w:r w:rsidRPr="00494098">
        <w:rPr>
          <w:lang w:val="fr-FR"/>
        </w:rPr>
        <w:t xml:space="preserve">mise en </w:t>
      </w:r>
      <w:r w:rsidR="00D264B0" w:rsidRPr="00494098">
        <w:rPr>
          <w:lang w:val="fr-FR"/>
        </w:rPr>
        <w:t>œuvr</w:t>
      </w:r>
      <w:r w:rsidRPr="00494098">
        <w:rPr>
          <w:lang w:val="fr-FR"/>
        </w:rPr>
        <w:t xml:space="preserve">e. La Commission </w:t>
      </w:r>
      <w:r w:rsidR="004F4B71" w:rsidRPr="00494098">
        <w:rPr>
          <w:lang w:val="fr-FR"/>
        </w:rPr>
        <w:t xml:space="preserve">aura </w:t>
      </w:r>
      <w:r w:rsidRPr="00494098">
        <w:rPr>
          <w:lang w:val="fr-FR"/>
        </w:rPr>
        <w:t xml:space="preserve">également </w:t>
      </w:r>
      <w:r w:rsidR="004F4B71" w:rsidRPr="00494098">
        <w:rPr>
          <w:lang w:val="fr-FR"/>
        </w:rPr>
        <w:t xml:space="preserve">la responsabilité </w:t>
      </w:r>
      <w:r w:rsidRPr="00494098">
        <w:rPr>
          <w:lang w:val="fr-FR"/>
        </w:rPr>
        <w:t xml:space="preserve">d’élaborer un plan pluriannuel de promotion et de défense des droits de l’enfant et sera chargée de coordonner et </w:t>
      </w:r>
      <w:r w:rsidR="004F4B71" w:rsidRPr="00494098">
        <w:rPr>
          <w:lang w:val="fr-FR"/>
        </w:rPr>
        <w:t>d’appliquer ce plan</w:t>
      </w:r>
      <w:r w:rsidRPr="00494098">
        <w:rPr>
          <w:lang w:val="fr-FR"/>
        </w:rPr>
        <w:t xml:space="preserve">, qui entrera en vigueur </w:t>
      </w:r>
      <w:r w:rsidR="004F4B71" w:rsidRPr="00494098">
        <w:rPr>
          <w:lang w:val="fr-FR"/>
        </w:rPr>
        <w:t xml:space="preserve">lorsque </w:t>
      </w:r>
      <w:r w:rsidRPr="00494098">
        <w:rPr>
          <w:lang w:val="fr-FR"/>
        </w:rPr>
        <w:t>le Conseil des ministres l'aura approuvé.</w:t>
      </w:r>
    </w:p>
    <w:p w14:paraId="2905770C" w14:textId="77777777" w:rsidR="00077B75" w:rsidRPr="00494098" w:rsidRDefault="00077B75" w:rsidP="00480570">
      <w:pPr>
        <w:pStyle w:val="SingleTxtG"/>
        <w:rPr>
          <w:lang w:val="fr-FR"/>
        </w:rPr>
      </w:pPr>
      <w:r w:rsidRPr="00494098">
        <w:rPr>
          <w:lang w:val="fr-FR"/>
        </w:rPr>
        <w:t>9.</w:t>
      </w:r>
      <w:r w:rsidRPr="00494098">
        <w:rPr>
          <w:lang w:val="fr-FR"/>
        </w:rPr>
        <w:tab/>
        <w:t xml:space="preserve">Parmi les autres </w:t>
      </w:r>
      <w:r w:rsidR="006717A5" w:rsidRPr="00494098">
        <w:rPr>
          <w:lang w:val="fr-FR"/>
        </w:rPr>
        <w:t>actualisations</w:t>
      </w:r>
      <w:r w:rsidRPr="00494098">
        <w:rPr>
          <w:lang w:val="fr-FR"/>
        </w:rPr>
        <w:t xml:space="preserve"> législatives, il faut citer notamment l’adoption de </w:t>
      </w:r>
      <w:r w:rsidR="00D03FEF" w:rsidRPr="00494098">
        <w:rPr>
          <w:lang w:val="fr-FR"/>
        </w:rPr>
        <w:t xml:space="preserve">la </w:t>
      </w:r>
      <w:r w:rsidRPr="00494098">
        <w:rPr>
          <w:lang w:val="fr-FR"/>
        </w:rPr>
        <w:t xml:space="preserve">loi </w:t>
      </w:r>
      <w:r w:rsidR="006717A5" w:rsidRPr="00494098">
        <w:rPr>
          <w:lang w:val="fr-FR"/>
        </w:rPr>
        <w:t>n° </w:t>
      </w:r>
      <w:r w:rsidRPr="00494098">
        <w:rPr>
          <w:lang w:val="fr-FR"/>
        </w:rPr>
        <w:t>4/2015 du 15</w:t>
      </w:r>
      <w:r w:rsidR="006717A5" w:rsidRPr="00494098">
        <w:rPr>
          <w:lang w:val="fr-FR"/>
        </w:rPr>
        <w:t> janvier</w:t>
      </w:r>
      <w:r w:rsidRPr="00494098">
        <w:rPr>
          <w:lang w:val="fr-FR"/>
        </w:rPr>
        <w:t xml:space="preserve"> 2015, qui a modifié la loi sur la tutelle éducative (loi </w:t>
      </w:r>
      <w:r w:rsidR="006717A5" w:rsidRPr="00494098">
        <w:rPr>
          <w:lang w:val="fr-FR"/>
        </w:rPr>
        <w:t>n° </w:t>
      </w:r>
      <w:r w:rsidR="00480991" w:rsidRPr="00494098">
        <w:rPr>
          <w:lang w:val="fr-FR"/>
        </w:rPr>
        <w:t>1</w:t>
      </w:r>
      <w:r w:rsidRPr="00494098">
        <w:rPr>
          <w:lang w:val="fr-FR"/>
        </w:rPr>
        <w:t>66/99 du 14</w:t>
      </w:r>
      <w:r w:rsidR="00480991" w:rsidRPr="00494098">
        <w:rPr>
          <w:lang w:val="fr-FR"/>
        </w:rPr>
        <w:t> septembre</w:t>
      </w:r>
      <w:r w:rsidRPr="00494098">
        <w:rPr>
          <w:lang w:val="fr-FR"/>
        </w:rPr>
        <w:t xml:space="preserve"> 1999)</w:t>
      </w:r>
      <w:r w:rsidR="006717A5" w:rsidRPr="00494098">
        <w:rPr>
          <w:lang w:val="fr-FR"/>
        </w:rPr>
        <w:t> ;</w:t>
      </w:r>
      <w:r w:rsidRPr="00494098">
        <w:rPr>
          <w:lang w:val="fr-FR"/>
        </w:rPr>
        <w:t xml:space="preserve"> </w:t>
      </w:r>
      <w:r w:rsidR="00D03FEF" w:rsidRPr="00494098">
        <w:rPr>
          <w:lang w:val="fr-FR"/>
        </w:rPr>
        <w:t xml:space="preserve">de </w:t>
      </w:r>
      <w:r w:rsidR="006717A5" w:rsidRPr="00494098">
        <w:rPr>
          <w:lang w:val="fr-FR"/>
        </w:rPr>
        <w:t>la loi n° </w:t>
      </w:r>
      <w:r w:rsidR="00480991" w:rsidRPr="00494098">
        <w:rPr>
          <w:lang w:val="fr-FR"/>
        </w:rPr>
        <w:t>1</w:t>
      </w:r>
      <w:r w:rsidRPr="00494098">
        <w:rPr>
          <w:lang w:val="fr-FR"/>
        </w:rPr>
        <w:t>41/2015 du 8</w:t>
      </w:r>
      <w:r w:rsidR="00480991" w:rsidRPr="00494098">
        <w:rPr>
          <w:lang w:val="fr-FR"/>
        </w:rPr>
        <w:t> septembre</w:t>
      </w:r>
      <w:r w:rsidRPr="00494098">
        <w:rPr>
          <w:lang w:val="fr-FR"/>
        </w:rPr>
        <w:t xml:space="preserve"> 2015, sur le régime général de la procédure civile de la tutelle</w:t>
      </w:r>
      <w:r w:rsidR="006717A5" w:rsidRPr="00494098">
        <w:rPr>
          <w:lang w:val="fr-FR"/>
        </w:rPr>
        <w:t> ;</w:t>
      </w:r>
      <w:r w:rsidRPr="00494098">
        <w:rPr>
          <w:lang w:val="fr-FR"/>
        </w:rPr>
        <w:t xml:space="preserve"> </w:t>
      </w:r>
      <w:r w:rsidR="00D03FEF" w:rsidRPr="00494098">
        <w:rPr>
          <w:lang w:val="fr-FR"/>
        </w:rPr>
        <w:t xml:space="preserve">de </w:t>
      </w:r>
      <w:r w:rsidR="006717A5" w:rsidRPr="00494098">
        <w:rPr>
          <w:lang w:val="fr-FR"/>
        </w:rPr>
        <w:t xml:space="preserve">la loi </w:t>
      </w:r>
      <w:r w:rsidRPr="00494098">
        <w:rPr>
          <w:lang w:val="fr-FR"/>
        </w:rPr>
        <w:t>n°</w:t>
      </w:r>
      <w:r w:rsidR="00C85B6D" w:rsidRPr="00494098">
        <w:rPr>
          <w:lang w:val="fr-FR"/>
        </w:rPr>
        <w:t> </w:t>
      </w:r>
      <w:r w:rsidRPr="00494098">
        <w:rPr>
          <w:lang w:val="fr-FR"/>
        </w:rPr>
        <w:t>143/2015 du 8</w:t>
      </w:r>
      <w:r w:rsidR="00480991" w:rsidRPr="00494098">
        <w:rPr>
          <w:lang w:val="fr-FR"/>
        </w:rPr>
        <w:t> septembre</w:t>
      </w:r>
      <w:r w:rsidRPr="00494098">
        <w:rPr>
          <w:lang w:val="fr-FR"/>
        </w:rPr>
        <w:t xml:space="preserve"> 2015, portant modification du Code civil, du Code de l'état civil et du régime juridique </w:t>
      </w:r>
      <w:r w:rsidRPr="00494098">
        <w:rPr>
          <w:lang w:val="fr-FR"/>
        </w:rPr>
        <w:lastRenderedPageBreak/>
        <w:t>de la procédure d’adoption</w:t>
      </w:r>
      <w:r w:rsidR="006717A5" w:rsidRPr="00494098">
        <w:rPr>
          <w:lang w:val="fr-FR"/>
        </w:rPr>
        <w:t> ;</w:t>
      </w:r>
      <w:r w:rsidRPr="00494098">
        <w:rPr>
          <w:lang w:val="fr-FR"/>
        </w:rPr>
        <w:t xml:space="preserve"> et </w:t>
      </w:r>
      <w:r w:rsidR="00D03FEF" w:rsidRPr="00494098">
        <w:rPr>
          <w:lang w:val="fr-FR"/>
        </w:rPr>
        <w:t xml:space="preserve">de </w:t>
      </w:r>
      <w:r w:rsidRPr="00494098">
        <w:rPr>
          <w:lang w:val="fr-FR"/>
        </w:rPr>
        <w:t xml:space="preserve">la loi </w:t>
      </w:r>
      <w:r w:rsidR="006717A5" w:rsidRPr="00494098">
        <w:rPr>
          <w:lang w:val="fr-FR"/>
        </w:rPr>
        <w:t>n° </w:t>
      </w:r>
      <w:r w:rsidRPr="00494098">
        <w:rPr>
          <w:lang w:val="fr-FR"/>
        </w:rPr>
        <w:t>37/2015 du 5</w:t>
      </w:r>
      <w:r w:rsidR="006717A5" w:rsidRPr="00494098">
        <w:rPr>
          <w:lang w:val="fr-FR"/>
        </w:rPr>
        <w:t> </w:t>
      </w:r>
      <w:r w:rsidRPr="00494098">
        <w:rPr>
          <w:lang w:val="fr-FR"/>
        </w:rPr>
        <w:t>mai 2015, qui établit le régime juridique de l’identité judiciaire et transpose en d</w:t>
      </w:r>
      <w:r w:rsidR="006717A5" w:rsidRPr="00494098">
        <w:rPr>
          <w:lang w:val="fr-FR"/>
        </w:rPr>
        <w:t>roit national la décision-cadre </w:t>
      </w:r>
      <w:r w:rsidRPr="00494098">
        <w:rPr>
          <w:lang w:val="fr-FR"/>
        </w:rPr>
        <w:t>2009/315/JAI du Conseil du 26</w:t>
      </w:r>
      <w:r w:rsidR="006717A5" w:rsidRPr="00494098">
        <w:rPr>
          <w:lang w:val="fr-FR"/>
        </w:rPr>
        <w:t> février</w:t>
      </w:r>
      <w:r w:rsidRPr="00494098">
        <w:rPr>
          <w:lang w:val="fr-FR"/>
        </w:rPr>
        <w:t xml:space="preserve"> 2009</w:t>
      </w:r>
      <w:r w:rsidR="006717A5" w:rsidRPr="00494098">
        <w:rPr>
          <w:rFonts w:eastAsia="Times New Roman"/>
          <w:lang w:val="fr-FR" w:eastAsia="fr-FR"/>
        </w:rPr>
        <w:t xml:space="preserve"> concernant l'organisation et le contenu des échanges d'informations extraites du casier judiciaire entre les États membres</w:t>
      </w:r>
      <w:r w:rsidRPr="00494098">
        <w:rPr>
          <w:lang w:val="fr-FR"/>
        </w:rPr>
        <w:t>.</w:t>
      </w:r>
    </w:p>
    <w:p w14:paraId="51B4E325" w14:textId="0B7F6D44" w:rsidR="00077B75" w:rsidRPr="00494098" w:rsidRDefault="00077B75" w:rsidP="00480570">
      <w:pPr>
        <w:pStyle w:val="SingleTxtG"/>
        <w:rPr>
          <w:lang w:val="fr-FR"/>
        </w:rPr>
      </w:pPr>
      <w:r w:rsidRPr="00494098">
        <w:rPr>
          <w:lang w:val="fr-FR"/>
        </w:rPr>
        <w:t>10.</w:t>
      </w:r>
      <w:r w:rsidRPr="00494098">
        <w:rPr>
          <w:lang w:val="fr-FR"/>
        </w:rPr>
        <w:tab/>
        <w:t>Il convient également de mentionner l</w:t>
      </w:r>
      <w:r w:rsidR="0082263D" w:rsidRPr="00494098">
        <w:rPr>
          <w:lang w:val="fr-FR"/>
        </w:rPr>
        <w:t>a</w:t>
      </w:r>
      <w:r w:rsidRPr="00494098">
        <w:rPr>
          <w:lang w:val="fr-FR"/>
        </w:rPr>
        <w:t xml:space="preserve"> loi n</w:t>
      </w:r>
      <w:r w:rsidR="0082263D" w:rsidRPr="00494098">
        <w:rPr>
          <w:lang w:val="fr-FR"/>
        </w:rPr>
        <w:t>° </w:t>
      </w:r>
      <w:r w:rsidRPr="00494098">
        <w:rPr>
          <w:lang w:val="fr-FR"/>
        </w:rPr>
        <w:t>24/2017, du 25</w:t>
      </w:r>
      <w:r w:rsidR="006717A5" w:rsidRPr="00494098">
        <w:rPr>
          <w:lang w:val="fr-FR"/>
        </w:rPr>
        <w:t> février</w:t>
      </w:r>
      <w:r w:rsidRPr="00494098">
        <w:rPr>
          <w:lang w:val="fr-FR"/>
        </w:rPr>
        <w:t xml:space="preserve"> 2017, sur la réglementation d'urgence des responsabilités parentales dans les situations de violence domestique</w:t>
      </w:r>
      <w:r w:rsidR="006717A5" w:rsidRPr="00494098">
        <w:rPr>
          <w:lang w:val="fr-FR"/>
        </w:rPr>
        <w:t> ;</w:t>
      </w:r>
      <w:r w:rsidRPr="00494098">
        <w:rPr>
          <w:lang w:val="fr-FR"/>
        </w:rPr>
        <w:t xml:space="preserve"> </w:t>
      </w:r>
      <w:r w:rsidR="0082263D" w:rsidRPr="00494098">
        <w:rPr>
          <w:lang w:val="fr-FR"/>
        </w:rPr>
        <w:t xml:space="preserve">la loi </w:t>
      </w:r>
      <w:r w:rsidR="006717A5" w:rsidRPr="00494098">
        <w:rPr>
          <w:lang w:val="fr-FR"/>
        </w:rPr>
        <w:t>n° </w:t>
      </w:r>
      <w:r w:rsidR="00480991" w:rsidRPr="00494098">
        <w:rPr>
          <w:lang w:val="fr-FR"/>
        </w:rPr>
        <w:t>1</w:t>
      </w:r>
      <w:r w:rsidRPr="00494098">
        <w:rPr>
          <w:lang w:val="fr-FR"/>
        </w:rPr>
        <w:t>30/2015 du 4</w:t>
      </w:r>
      <w:r w:rsidR="00480991" w:rsidRPr="00494098">
        <w:rPr>
          <w:lang w:val="fr-FR"/>
        </w:rPr>
        <w:t> septembre</w:t>
      </w:r>
      <w:r w:rsidRPr="00494098">
        <w:rPr>
          <w:lang w:val="fr-FR"/>
        </w:rPr>
        <w:t xml:space="preserve"> 2015 sur le statut de la victime</w:t>
      </w:r>
      <w:r w:rsidR="006717A5" w:rsidRPr="00494098">
        <w:rPr>
          <w:lang w:val="fr-FR"/>
        </w:rPr>
        <w:t> ;</w:t>
      </w:r>
      <w:r w:rsidRPr="00494098">
        <w:rPr>
          <w:lang w:val="fr-FR"/>
        </w:rPr>
        <w:t xml:space="preserve"> le décret-loi 34/2008 sur la réglementation des frais de</w:t>
      </w:r>
      <w:r w:rsidR="0082263D" w:rsidRPr="00494098">
        <w:rPr>
          <w:lang w:val="fr-FR"/>
        </w:rPr>
        <w:t xml:space="preserve"> procédure judiciaire</w:t>
      </w:r>
      <w:r w:rsidRPr="00494098">
        <w:rPr>
          <w:lang w:val="fr-FR"/>
        </w:rPr>
        <w:t xml:space="preserve">, modifié par la loi </w:t>
      </w:r>
      <w:r w:rsidR="0082263D" w:rsidRPr="00494098">
        <w:rPr>
          <w:lang w:val="fr-FR"/>
        </w:rPr>
        <w:t>n° </w:t>
      </w:r>
      <w:r w:rsidRPr="00494098">
        <w:rPr>
          <w:lang w:val="fr-FR"/>
        </w:rPr>
        <w:t>7</w:t>
      </w:r>
      <w:r w:rsidR="0082263D" w:rsidRPr="00494098">
        <w:rPr>
          <w:lang w:val="fr-FR"/>
        </w:rPr>
        <w:noBreakHyphen/>
        <w:t>A/2016 (art</w:t>
      </w:r>
      <w:r w:rsidR="007B5654">
        <w:rPr>
          <w:lang w:val="fr-FR"/>
        </w:rPr>
        <w:t>.</w:t>
      </w:r>
      <w:r w:rsidR="0082263D" w:rsidRPr="00494098">
        <w:rPr>
          <w:lang w:val="fr-FR"/>
        </w:rPr>
        <w:t> </w:t>
      </w:r>
      <w:r w:rsidRPr="00494098">
        <w:rPr>
          <w:lang w:val="fr-FR"/>
        </w:rPr>
        <w:t>207) du 30</w:t>
      </w:r>
      <w:r w:rsidR="0082263D" w:rsidRPr="00494098">
        <w:rPr>
          <w:lang w:val="fr-FR"/>
        </w:rPr>
        <w:t> mars</w:t>
      </w:r>
      <w:r w:rsidRPr="00494098">
        <w:rPr>
          <w:lang w:val="fr-FR"/>
        </w:rPr>
        <w:t xml:space="preserve"> 2016, </w:t>
      </w:r>
      <w:r w:rsidR="00D03FEF" w:rsidRPr="00494098">
        <w:rPr>
          <w:lang w:val="fr-FR"/>
        </w:rPr>
        <w:t xml:space="preserve">qui </w:t>
      </w:r>
      <w:r w:rsidRPr="00494098">
        <w:rPr>
          <w:lang w:val="fr-FR"/>
        </w:rPr>
        <w:t>supprim</w:t>
      </w:r>
      <w:r w:rsidR="00D03FEF" w:rsidRPr="00494098">
        <w:rPr>
          <w:lang w:val="fr-FR"/>
        </w:rPr>
        <w:t>e</w:t>
      </w:r>
      <w:r w:rsidRPr="00494098">
        <w:rPr>
          <w:lang w:val="fr-FR"/>
        </w:rPr>
        <w:t xml:space="preserve"> les frais de justice pour les victimes de violence domestique</w:t>
      </w:r>
      <w:r w:rsidR="006717A5" w:rsidRPr="00494098">
        <w:rPr>
          <w:lang w:val="fr-FR"/>
        </w:rPr>
        <w:t> ;</w:t>
      </w:r>
      <w:r w:rsidRPr="00494098">
        <w:rPr>
          <w:lang w:val="fr-FR"/>
        </w:rPr>
        <w:t xml:space="preserve"> et </w:t>
      </w:r>
      <w:r w:rsidR="0082263D" w:rsidRPr="00494098">
        <w:rPr>
          <w:lang w:val="fr-FR"/>
        </w:rPr>
        <w:t xml:space="preserve">la loi </w:t>
      </w:r>
      <w:r w:rsidR="006717A5" w:rsidRPr="00494098">
        <w:rPr>
          <w:lang w:val="fr-FR"/>
        </w:rPr>
        <w:t>n° </w:t>
      </w:r>
      <w:r w:rsidR="00480991" w:rsidRPr="00494098">
        <w:rPr>
          <w:lang w:val="fr-FR"/>
        </w:rPr>
        <w:t>1</w:t>
      </w:r>
      <w:r w:rsidRPr="00494098">
        <w:rPr>
          <w:lang w:val="fr-FR"/>
        </w:rPr>
        <w:t>21/2015, du 1er</w:t>
      </w:r>
      <w:r w:rsidR="00480991" w:rsidRPr="00494098">
        <w:rPr>
          <w:lang w:val="fr-FR"/>
        </w:rPr>
        <w:t> septembre</w:t>
      </w:r>
      <w:r w:rsidR="0082263D" w:rsidRPr="00494098">
        <w:rPr>
          <w:lang w:val="fr-FR"/>
        </w:rPr>
        <w:t xml:space="preserve"> 2015</w:t>
      </w:r>
      <w:r w:rsidRPr="00494098">
        <w:rPr>
          <w:lang w:val="fr-FR"/>
        </w:rPr>
        <w:t>, modifiant la loi 104/2009, du 14</w:t>
      </w:r>
      <w:r w:rsidR="00480991" w:rsidRPr="00494098">
        <w:rPr>
          <w:lang w:val="fr-FR"/>
        </w:rPr>
        <w:t> septembre</w:t>
      </w:r>
      <w:r w:rsidRPr="00494098">
        <w:rPr>
          <w:lang w:val="fr-FR"/>
        </w:rPr>
        <w:t xml:space="preserve"> 2009 </w:t>
      </w:r>
      <w:r w:rsidR="00D03FEF" w:rsidRPr="00494098">
        <w:rPr>
          <w:lang w:val="fr-FR"/>
        </w:rPr>
        <w:t xml:space="preserve">qui </w:t>
      </w:r>
      <w:r w:rsidRPr="00494098">
        <w:rPr>
          <w:lang w:val="fr-FR"/>
        </w:rPr>
        <w:t>soulign</w:t>
      </w:r>
      <w:r w:rsidR="00D03FEF" w:rsidRPr="00494098">
        <w:rPr>
          <w:lang w:val="fr-FR"/>
        </w:rPr>
        <w:t>e</w:t>
      </w:r>
      <w:r w:rsidRPr="00494098">
        <w:rPr>
          <w:lang w:val="fr-FR"/>
        </w:rPr>
        <w:t xml:space="preserve"> le droit des victimes de violence familiale d’avoir effectivement accès à des mécanismes de plainte et de réparation (</w:t>
      </w:r>
      <w:r w:rsidR="0082263D" w:rsidRPr="00494098">
        <w:rPr>
          <w:lang w:val="fr-FR"/>
        </w:rPr>
        <w:t>art</w:t>
      </w:r>
      <w:r w:rsidR="007B5654">
        <w:rPr>
          <w:lang w:val="fr-FR"/>
        </w:rPr>
        <w:t>.</w:t>
      </w:r>
      <w:r w:rsidR="0082263D" w:rsidRPr="00494098">
        <w:rPr>
          <w:lang w:val="fr-FR"/>
        </w:rPr>
        <w:t> 1</w:t>
      </w:r>
      <w:r w:rsidRPr="00494098">
        <w:rPr>
          <w:lang w:val="fr-FR"/>
        </w:rPr>
        <w:t>52 du Code pénal).</w:t>
      </w:r>
    </w:p>
    <w:p w14:paraId="237AEFD7" w14:textId="47714BFC" w:rsidR="00077B75" w:rsidRPr="00494098" w:rsidRDefault="00077B75" w:rsidP="00720124">
      <w:pPr>
        <w:pStyle w:val="H23G"/>
        <w:rPr>
          <w:lang w:val="fr-FR"/>
        </w:rPr>
      </w:pPr>
      <w:r w:rsidRPr="00494098">
        <w:rPr>
          <w:lang w:val="fr-FR"/>
        </w:rPr>
        <w:tab/>
      </w:r>
      <w:r w:rsidRPr="00494098">
        <w:rPr>
          <w:lang w:val="fr-FR"/>
        </w:rPr>
        <w:tab/>
        <w:t>Politique et stratégie d'ensemble (</w:t>
      </w:r>
      <w:r w:rsidR="00872592" w:rsidRPr="00494098">
        <w:rPr>
          <w:lang w:val="fr-FR"/>
        </w:rPr>
        <w:t>par. 1</w:t>
      </w:r>
      <w:r w:rsidRPr="00494098">
        <w:rPr>
          <w:lang w:val="fr-FR"/>
        </w:rPr>
        <w:t xml:space="preserve">2 </w:t>
      </w:r>
      <w:r w:rsidR="00872592" w:rsidRPr="00494098">
        <w:rPr>
          <w:lang w:val="fr-FR"/>
        </w:rPr>
        <w:t xml:space="preserve">des </w:t>
      </w:r>
      <w:r w:rsidR="00067E5B">
        <w:rPr>
          <w:lang w:val="fr-FR"/>
        </w:rPr>
        <w:t>o</w:t>
      </w:r>
      <w:r w:rsidR="00916D99" w:rsidRPr="00494098">
        <w:rPr>
          <w:lang w:val="fr-FR"/>
        </w:rPr>
        <w:t>bservations finales</w:t>
      </w:r>
      <w:r w:rsidR="00872592" w:rsidRPr="00494098">
        <w:rPr>
          <w:lang w:val="fr-FR"/>
        </w:rPr>
        <w:t>)</w:t>
      </w:r>
      <w:bookmarkStart w:id="21" w:name="_Toc530057280"/>
      <w:bookmarkStart w:id="22" w:name="_Toc530057473"/>
      <w:bookmarkStart w:id="23" w:name="_Toc530057594"/>
      <w:bookmarkStart w:id="24" w:name="_Toc530067975"/>
      <w:bookmarkEnd w:id="21"/>
      <w:bookmarkEnd w:id="22"/>
      <w:bookmarkEnd w:id="23"/>
      <w:bookmarkEnd w:id="24"/>
    </w:p>
    <w:p w14:paraId="3E4FC613" w14:textId="77777777" w:rsidR="00077B75" w:rsidRPr="00494098" w:rsidRDefault="00077B75" w:rsidP="00746EF6">
      <w:pPr>
        <w:pStyle w:val="SingleTxtG"/>
        <w:rPr>
          <w:lang w:val="fr-FR"/>
        </w:rPr>
      </w:pPr>
      <w:r w:rsidRPr="00494098">
        <w:rPr>
          <w:lang w:val="fr-FR"/>
        </w:rPr>
        <w:t>11.</w:t>
      </w:r>
      <w:r w:rsidRPr="00494098">
        <w:rPr>
          <w:lang w:val="fr-FR"/>
        </w:rPr>
        <w:tab/>
        <w:t xml:space="preserve">La nouvelle Commission nationale pour la promotion des droits et la protection des enfants et des jeunes (décret-loi </w:t>
      </w:r>
      <w:r w:rsidR="006717A5" w:rsidRPr="00494098">
        <w:rPr>
          <w:lang w:val="fr-FR"/>
        </w:rPr>
        <w:t>n° </w:t>
      </w:r>
      <w:r w:rsidR="00480991" w:rsidRPr="00494098">
        <w:rPr>
          <w:lang w:val="fr-FR"/>
        </w:rPr>
        <w:t>1</w:t>
      </w:r>
      <w:r w:rsidRPr="00494098">
        <w:rPr>
          <w:lang w:val="fr-FR"/>
        </w:rPr>
        <w:t>59/2015 du 10</w:t>
      </w:r>
      <w:r w:rsidR="00480991" w:rsidRPr="00494098">
        <w:rPr>
          <w:lang w:val="fr-FR"/>
        </w:rPr>
        <w:t> août</w:t>
      </w:r>
      <w:r w:rsidRPr="00494098">
        <w:rPr>
          <w:lang w:val="fr-FR"/>
        </w:rPr>
        <w:t xml:space="preserve"> 2015, révisé par le décret-loi </w:t>
      </w:r>
      <w:r w:rsidR="006717A5" w:rsidRPr="00494098">
        <w:rPr>
          <w:lang w:val="fr-FR"/>
        </w:rPr>
        <w:t>n° </w:t>
      </w:r>
      <w:r w:rsidR="00480991" w:rsidRPr="00494098">
        <w:rPr>
          <w:lang w:val="fr-FR"/>
        </w:rPr>
        <w:t>1</w:t>
      </w:r>
      <w:r w:rsidRPr="00494098">
        <w:rPr>
          <w:lang w:val="fr-FR"/>
        </w:rPr>
        <w:t>39/2017 du 10</w:t>
      </w:r>
      <w:r w:rsidR="00872592" w:rsidRPr="00494098">
        <w:rPr>
          <w:lang w:val="fr-FR"/>
        </w:rPr>
        <w:t> novembre</w:t>
      </w:r>
      <w:r w:rsidRPr="00494098">
        <w:rPr>
          <w:lang w:val="fr-FR"/>
        </w:rPr>
        <w:t xml:space="preserve"> 2017) est </w:t>
      </w:r>
      <w:r w:rsidR="00D03FEF" w:rsidRPr="00494098">
        <w:rPr>
          <w:lang w:val="fr-FR"/>
        </w:rPr>
        <w:t xml:space="preserve">renforcée dans sa fonction de </w:t>
      </w:r>
      <w:r w:rsidRPr="00494098">
        <w:rPr>
          <w:lang w:val="fr-FR"/>
        </w:rPr>
        <w:t xml:space="preserve">promotion et </w:t>
      </w:r>
      <w:r w:rsidR="00D03FEF" w:rsidRPr="00494098">
        <w:rPr>
          <w:lang w:val="fr-FR"/>
        </w:rPr>
        <w:t xml:space="preserve">de </w:t>
      </w:r>
      <w:r w:rsidRPr="00494098">
        <w:rPr>
          <w:lang w:val="fr-FR"/>
        </w:rPr>
        <w:t xml:space="preserve">protection des droits des enfants et des jeunes. Cette Commission coordonne l’action des entités publiques et privées, </w:t>
      </w:r>
      <w:r w:rsidRPr="00494098">
        <w:rPr>
          <w:lang w:val="fr-FR"/>
        </w:rPr>
        <w:lastRenderedPageBreak/>
        <w:t xml:space="preserve">structure les programmes d’intervention dans le domaine de la promotion et de la protection des droits de l’enfant et des jeunes, émet des recommandations et </w:t>
      </w:r>
      <w:r w:rsidR="00D03FEF" w:rsidRPr="00494098">
        <w:rPr>
          <w:lang w:val="fr-FR"/>
        </w:rPr>
        <w:t>stimule</w:t>
      </w:r>
      <w:r w:rsidRPr="00494098">
        <w:rPr>
          <w:lang w:val="fr-FR"/>
        </w:rPr>
        <w:t xml:space="preserve"> la coopération et l</w:t>
      </w:r>
      <w:r w:rsidR="00D03FEF" w:rsidRPr="00494098">
        <w:rPr>
          <w:lang w:val="fr-FR"/>
        </w:rPr>
        <w:t>’articulation</w:t>
      </w:r>
      <w:r w:rsidRPr="00494098">
        <w:rPr>
          <w:lang w:val="fr-FR"/>
        </w:rPr>
        <w:t xml:space="preserve">, </w:t>
      </w:r>
      <w:r w:rsidR="00872592" w:rsidRPr="00494098">
        <w:rPr>
          <w:lang w:val="fr-FR"/>
        </w:rPr>
        <w:t xml:space="preserve">aux </w:t>
      </w:r>
      <w:r w:rsidRPr="00494098">
        <w:rPr>
          <w:lang w:val="fr-FR"/>
        </w:rPr>
        <w:t>échel</w:t>
      </w:r>
      <w:r w:rsidR="00D03FEF" w:rsidRPr="00494098">
        <w:rPr>
          <w:lang w:val="fr-FR"/>
        </w:rPr>
        <w:t xml:space="preserve">ons </w:t>
      </w:r>
      <w:r w:rsidRPr="00494098">
        <w:rPr>
          <w:lang w:val="fr-FR"/>
        </w:rPr>
        <w:t>nationa</w:t>
      </w:r>
      <w:r w:rsidR="00D03FEF" w:rsidRPr="00494098">
        <w:rPr>
          <w:lang w:val="fr-FR"/>
        </w:rPr>
        <w:t>ux</w:t>
      </w:r>
      <w:r w:rsidRPr="00494098">
        <w:rPr>
          <w:lang w:val="fr-FR"/>
        </w:rPr>
        <w:t>, municipa</w:t>
      </w:r>
      <w:r w:rsidR="00D03FEF" w:rsidRPr="00494098">
        <w:rPr>
          <w:lang w:val="fr-FR"/>
        </w:rPr>
        <w:t>ux</w:t>
      </w:r>
      <w:r w:rsidRPr="00494098">
        <w:rPr>
          <w:lang w:val="fr-FR"/>
        </w:rPr>
        <w:t xml:space="preserve"> et loc</w:t>
      </w:r>
      <w:r w:rsidR="00D03FEF" w:rsidRPr="00494098">
        <w:rPr>
          <w:lang w:val="fr-FR"/>
        </w:rPr>
        <w:t>aux,</w:t>
      </w:r>
      <w:r w:rsidRPr="00494098">
        <w:rPr>
          <w:lang w:val="fr-FR"/>
        </w:rPr>
        <w:t xml:space="preserve"> des commissions chargées de la protection des enfants et des jeunes, </w:t>
      </w:r>
      <w:r w:rsidR="00D03FEF" w:rsidRPr="00494098">
        <w:rPr>
          <w:lang w:val="fr-FR"/>
        </w:rPr>
        <w:t xml:space="preserve">ainsi que </w:t>
      </w:r>
      <w:r w:rsidRPr="00494098">
        <w:rPr>
          <w:lang w:val="fr-FR"/>
        </w:rPr>
        <w:t xml:space="preserve">des services </w:t>
      </w:r>
      <w:r w:rsidR="00D03FEF" w:rsidRPr="00494098">
        <w:rPr>
          <w:lang w:val="fr-FR"/>
        </w:rPr>
        <w:t>ou</w:t>
      </w:r>
      <w:r w:rsidRPr="00494098">
        <w:rPr>
          <w:lang w:val="fr-FR"/>
        </w:rPr>
        <w:t xml:space="preserve"> autres entités publiques </w:t>
      </w:r>
      <w:r w:rsidR="00D03FEF" w:rsidRPr="00494098">
        <w:rPr>
          <w:lang w:val="fr-FR"/>
        </w:rPr>
        <w:t xml:space="preserve">et </w:t>
      </w:r>
      <w:r w:rsidRPr="00494098">
        <w:rPr>
          <w:lang w:val="fr-FR"/>
        </w:rPr>
        <w:t xml:space="preserve">des institutions privées de solidarité sociale d'intérêt public qui travaillent en coopération avec l’État </w:t>
      </w:r>
      <w:r w:rsidR="00872592" w:rsidRPr="00494098">
        <w:rPr>
          <w:lang w:val="fr-FR"/>
        </w:rPr>
        <w:t>(IPSS)</w:t>
      </w:r>
      <w:r w:rsidR="00D03FEF" w:rsidRPr="00494098">
        <w:rPr>
          <w:lang w:val="fr-FR"/>
        </w:rPr>
        <w:t>,</w:t>
      </w:r>
      <w:r w:rsidR="00872592" w:rsidRPr="00494098">
        <w:rPr>
          <w:lang w:val="fr-FR"/>
        </w:rPr>
        <w:t xml:space="preserve"> </w:t>
      </w:r>
      <w:r w:rsidR="00C85B6D" w:rsidRPr="00494098">
        <w:rPr>
          <w:lang w:val="fr-FR"/>
        </w:rPr>
        <w:t>et ont des compétences dans c</w:t>
      </w:r>
      <w:r w:rsidRPr="00494098">
        <w:rPr>
          <w:lang w:val="fr-FR"/>
        </w:rPr>
        <w:t>e</w:t>
      </w:r>
      <w:r w:rsidR="00C85B6D" w:rsidRPr="00494098">
        <w:rPr>
          <w:lang w:val="fr-FR"/>
        </w:rPr>
        <w:t>s</w:t>
      </w:r>
      <w:r w:rsidRPr="00494098">
        <w:rPr>
          <w:lang w:val="fr-FR"/>
        </w:rPr>
        <w:t xml:space="preserve"> domaine</w:t>
      </w:r>
      <w:r w:rsidR="00C85B6D" w:rsidRPr="00494098">
        <w:rPr>
          <w:lang w:val="fr-FR"/>
        </w:rPr>
        <w:t>s</w:t>
      </w:r>
      <w:r w:rsidRPr="00494098">
        <w:rPr>
          <w:lang w:val="fr-FR"/>
        </w:rPr>
        <w:t xml:space="preserve"> de promotion, de protection et du développement de l’enfant.</w:t>
      </w:r>
    </w:p>
    <w:p w14:paraId="156E9EDF" w14:textId="77777777" w:rsidR="00077B75" w:rsidRPr="00494098" w:rsidRDefault="00077B75" w:rsidP="00480570">
      <w:pPr>
        <w:pStyle w:val="SingleTxtG"/>
        <w:rPr>
          <w:lang w:val="fr-FR"/>
        </w:rPr>
      </w:pPr>
      <w:r w:rsidRPr="00494098">
        <w:rPr>
          <w:lang w:val="fr-FR"/>
        </w:rPr>
        <w:t>12.</w:t>
      </w:r>
      <w:r w:rsidRPr="00494098">
        <w:rPr>
          <w:lang w:val="fr-FR"/>
        </w:rPr>
        <w:tab/>
        <w:t>Une Stratégie nationale pour les droits de l’enfant a été élaboré</w:t>
      </w:r>
      <w:r w:rsidR="00606FD6" w:rsidRPr="00494098">
        <w:rPr>
          <w:lang w:val="fr-FR"/>
        </w:rPr>
        <w:t>e pour la période allant jusqu’à 2020,</w:t>
      </w:r>
      <w:r w:rsidRPr="00494098">
        <w:rPr>
          <w:lang w:val="fr-FR"/>
        </w:rPr>
        <w:t xml:space="preserve"> dans le but d’accélérer la mise en </w:t>
      </w:r>
      <w:r w:rsidR="00D264B0" w:rsidRPr="00494098">
        <w:rPr>
          <w:lang w:val="fr-FR"/>
        </w:rPr>
        <w:t>œuvr</w:t>
      </w:r>
      <w:r w:rsidRPr="00494098">
        <w:rPr>
          <w:lang w:val="fr-FR"/>
        </w:rPr>
        <w:t xml:space="preserve">e des principes et dispositions de la Convention relative aux droits de l’enfant, principalement par l’analyse des recommandations du Comité des droits de l’enfant. </w:t>
      </w:r>
      <w:r w:rsidR="00E36B13" w:rsidRPr="00494098">
        <w:rPr>
          <w:lang w:val="fr-FR"/>
        </w:rPr>
        <w:t>Cette S</w:t>
      </w:r>
      <w:r w:rsidRPr="00494098">
        <w:rPr>
          <w:lang w:val="fr-FR"/>
        </w:rPr>
        <w:t xml:space="preserve">tratégie définit les priorités et les objectifs, et est complétée par un Plan d’action pluriannuel comprenant des indicateurs et </w:t>
      </w:r>
      <w:r w:rsidR="00C85B6D" w:rsidRPr="00494098">
        <w:rPr>
          <w:lang w:val="fr-FR"/>
        </w:rPr>
        <w:t xml:space="preserve">des </w:t>
      </w:r>
      <w:r w:rsidRPr="00494098">
        <w:rPr>
          <w:lang w:val="fr-FR"/>
        </w:rPr>
        <w:t>calendriers pour les évaluations futures. Elle a été élabor</w:t>
      </w:r>
      <w:r w:rsidR="00606FD6" w:rsidRPr="00494098">
        <w:rPr>
          <w:lang w:val="fr-FR"/>
        </w:rPr>
        <w:t>ée au cours d’une période de 18 </w:t>
      </w:r>
      <w:r w:rsidRPr="00494098">
        <w:rPr>
          <w:lang w:val="fr-FR"/>
        </w:rPr>
        <w:t xml:space="preserve">mois </w:t>
      </w:r>
      <w:r w:rsidR="00C85B6D" w:rsidRPr="00494098">
        <w:rPr>
          <w:lang w:val="fr-FR"/>
        </w:rPr>
        <w:t>au sein d’</w:t>
      </w:r>
      <w:r w:rsidRPr="00494098">
        <w:rPr>
          <w:lang w:val="fr-FR"/>
        </w:rPr>
        <w:t>un groupe interministériel coordonné par la Commission nationale pour la promotion des droits et la protection des enfants et des jeunes, comp</w:t>
      </w:r>
      <w:r w:rsidR="00E36B13" w:rsidRPr="00494098">
        <w:rPr>
          <w:lang w:val="fr-FR"/>
        </w:rPr>
        <w:t>osée de</w:t>
      </w:r>
      <w:r w:rsidRPr="00494098">
        <w:rPr>
          <w:lang w:val="fr-FR"/>
        </w:rPr>
        <w:t xml:space="preserve"> représentants de plusieurs ministères et entités dotés de compétences relatives aux droits de l’enfant</w:t>
      </w:r>
      <w:r w:rsidR="00C85B6D" w:rsidRPr="00494098">
        <w:rPr>
          <w:lang w:val="fr-FR"/>
        </w:rPr>
        <w:t>,</w:t>
      </w:r>
      <w:r w:rsidRPr="00494098">
        <w:rPr>
          <w:lang w:val="fr-FR"/>
        </w:rPr>
        <w:t xml:space="preserve"> et pren</w:t>
      </w:r>
      <w:r w:rsidR="00C85B6D" w:rsidRPr="00494098">
        <w:rPr>
          <w:lang w:val="fr-FR"/>
        </w:rPr>
        <w:t>ant</w:t>
      </w:r>
      <w:r w:rsidRPr="00494098">
        <w:rPr>
          <w:lang w:val="fr-FR"/>
        </w:rPr>
        <w:t xml:space="preserve"> également </w:t>
      </w:r>
      <w:r w:rsidR="00C85B6D" w:rsidRPr="00494098">
        <w:rPr>
          <w:lang w:val="fr-FR"/>
        </w:rPr>
        <w:t xml:space="preserve">en considération </w:t>
      </w:r>
      <w:r w:rsidRPr="00494098">
        <w:rPr>
          <w:lang w:val="fr-FR"/>
        </w:rPr>
        <w:t>les avis des enfants, puisque l'élaboration de cette stratégie a comporté une période de diagnostic</w:t>
      </w:r>
      <w:r w:rsidR="00E36B13" w:rsidRPr="00494098">
        <w:rPr>
          <w:lang w:val="fr-FR"/>
        </w:rPr>
        <w:t xml:space="preserve">, sous la forme </w:t>
      </w:r>
      <w:r w:rsidRPr="00494098">
        <w:rPr>
          <w:lang w:val="fr-FR"/>
        </w:rPr>
        <w:t>d'enquêtes auprès des enfants et des Commissions pour la protection des enfants et des jeunes.</w:t>
      </w:r>
    </w:p>
    <w:p w14:paraId="4FD18DEE" w14:textId="27AE31BB" w:rsidR="00077B75" w:rsidRPr="00494098" w:rsidRDefault="00077B75" w:rsidP="00480570">
      <w:pPr>
        <w:pStyle w:val="SingleTxtG"/>
        <w:rPr>
          <w:lang w:val="fr-FR"/>
        </w:rPr>
      </w:pPr>
      <w:r w:rsidRPr="00494098">
        <w:rPr>
          <w:lang w:val="fr-FR"/>
        </w:rPr>
        <w:lastRenderedPageBreak/>
        <w:t>13.</w:t>
      </w:r>
      <w:r w:rsidRPr="00494098">
        <w:rPr>
          <w:lang w:val="fr-FR"/>
        </w:rPr>
        <w:tab/>
        <w:t>La Stratégie nationale pour les droits de l’enfant a été approuvée le 10</w:t>
      </w:r>
      <w:r w:rsidR="00872592" w:rsidRPr="00494098">
        <w:rPr>
          <w:lang w:val="fr-FR"/>
        </w:rPr>
        <w:t> novembre</w:t>
      </w:r>
      <w:r w:rsidRPr="00494098">
        <w:rPr>
          <w:lang w:val="fr-FR"/>
        </w:rPr>
        <w:t xml:space="preserve"> 2017 par le Conseil national élargi (où toutes les institutions œuvrant </w:t>
      </w:r>
      <w:r w:rsidR="00606FD6" w:rsidRPr="00494098">
        <w:rPr>
          <w:lang w:val="fr-FR"/>
        </w:rPr>
        <w:t>à</w:t>
      </w:r>
      <w:r w:rsidRPr="00494098">
        <w:rPr>
          <w:lang w:val="fr-FR"/>
        </w:rPr>
        <w:t xml:space="preserve"> la protection et </w:t>
      </w:r>
      <w:r w:rsidR="00380B80">
        <w:rPr>
          <w:lang w:val="fr-FR"/>
        </w:rPr>
        <w:t xml:space="preserve">à </w:t>
      </w:r>
      <w:r w:rsidRPr="00494098">
        <w:rPr>
          <w:lang w:val="fr-FR"/>
        </w:rPr>
        <w:t xml:space="preserve">la promotion des droits de l’enfant sont représentées) de </w:t>
      </w:r>
      <w:r w:rsidR="00606FD6" w:rsidRPr="00494098">
        <w:rPr>
          <w:lang w:val="fr-FR"/>
        </w:rPr>
        <w:t xml:space="preserve">la </w:t>
      </w:r>
      <w:r w:rsidRPr="00494098">
        <w:rPr>
          <w:lang w:val="fr-FR"/>
        </w:rPr>
        <w:t>Commission nationale, et son approbation par le Conseil des ministres</w:t>
      </w:r>
      <w:r w:rsidR="00C8380A" w:rsidRPr="00494098">
        <w:rPr>
          <w:lang w:val="fr-FR"/>
        </w:rPr>
        <w:t>,</w:t>
      </w:r>
      <w:r w:rsidRPr="00494098">
        <w:rPr>
          <w:lang w:val="fr-FR"/>
        </w:rPr>
        <w:t xml:space="preserve"> qui devrait se tenir le plus tôt possible en 2018</w:t>
      </w:r>
      <w:r w:rsidR="00606FD6" w:rsidRPr="00494098">
        <w:rPr>
          <w:lang w:val="fr-FR"/>
        </w:rPr>
        <w:t>,</w:t>
      </w:r>
      <w:r w:rsidRPr="00494098">
        <w:rPr>
          <w:lang w:val="fr-FR"/>
        </w:rPr>
        <w:t xml:space="preserve"> est en cours de préparation. </w:t>
      </w:r>
    </w:p>
    <w:p w14:paraId="353EB0CA" w14:textId="77777777" w:rsidR="00077B75" w:rsidRPr="00494098" w:rsidRDefault="00077B75" w:rsidP="003E786A">
      <w:pPr>
        <w:pStyle w:val="SingleTxtG"/>
        <w:rPr>
          <w:lang w:val="fr-FR"/>
        </w:rPr>
      </w:pPr>
      <w:r w:rsidRPr="00494098">
        <w:rPr>
          <w:lang w:val="fr-FR"/>
        </w:rPr>
        <w:t>14.</w:t>
      </w:r>
      <w:r w:rsidRPr="00494098">
        <w:rPr>
          <w:lang w:val="fr-FR"/>
        </w:rPr>
        <w:tab/>
        <w:t xml:space="preserve">Au niveau régional, le document s’inspire de stratégies existantes telles que la stratégie du Conseil de l’Europe pour les droits de l’enfant (2016–2021) et comprend des principes tels </w:t>
      </w:r>
      <w:r w:rsidR="00075F8D" w:rsidRPr="00494098">
        <w:rPr>
          <w:lang w:val="fr-FR"/>
        </w:rPr>
        <w:t xml:space="preserve">ceux touchant à </w:t>
      </w:r>
      <w:r w:rsidRPr="00494098">
        <w:rPr>
          <w:lang w:val="fr-FR"/>
        </w:rPr>
        <w:t xml:space="preserve">la participation, </w:t>
      </w:r>
      <w:r w:rsidR="00075F8D" w:rsidRPr="00494098">
        <w:rPr>
          <w:lang w:val="fr-FR"/>
        </w:rPr>
        <w:t xml:space="preserve">à la </w:t>
      </w:r>
      <w:r w:rsidRPr="00494098">
        <w:rPr>
          <w:lang w:val="fr-FR"/>
        </w:rPr>
        <w:t xml:space="preserve">justice adaptée aux enfants, </w:t>
      </w:r>
      <w:r w:rsidR="00075F8D" w:rsidRPr="00494098">
        <w:rPr>
          <w:lang w:val="fr-FR"/>
        </w:rPr>
        <w:t xml:space="preserve">aux </w:t>
      </w:r>
      <w:r w:rsidRPr="00494098">
        <w:rPr>
          <w:lang w:val="fr-FR"/>
        </w:rPr>
        <w:t xml:space="preserve">enfants vulnérables et </w:t>
      </w:r>
      <w:r w:rsidR="00075F8D" w:rsidRPr="00494098">
        <w:rPr>
          <w:lang w:val="fr-FR"/>
        </w:rPr>
        <w:t xml:space="preserve">à </w:t>
      </w:r>
      <w:r w:rsidRPr="00494098">
        <w:rPr>
          <w:lang w:val="fr-FR"/>
        </w:rPr>
        <w:t>l’intérêt supérieur de l’enfant.</w:t>
      </w:r>
    </w:p>
    <w:p w14:paraId="4110FA3E" w14:textId="30679BEA" w:rsidR="00077B75" w:rsidRPr="00494098" w:rsidRDefault="00077B75" w:rsidP="0018750A">
      <w:pPr>
        <w:pStyle w:val="H23G"/>
        <w:rPr>
          <w:lang w:val="fr-FR"/>
        </w:rPr>
      </w:pPr>
      <w:r w:rsidRPr="00494098">
        <w:rPr>
          <w:lang w:val="fr-FR"/>
        </w:rPr>
        <w:tab/>
      </w:r>
      <w:r w:rsidRPr="00494098">
        <w:rPr>
          <w:lang w:val="fr-FR"/>
        </w:rPr>
        <w:tab/>
        <w:t>Coordination (</w:t>
      </w:r>
      <w:r w:rsidR="00872592" w:rsidRPr="00494098">
        <w:rPr>
          <w:lang w:val="fr-FR"/>
        </w:rPr>
        <w:t>par. 1</w:t>
      </w:r>
      <w:r w:rsidRPr="00494098">
        <w:rPr>
          <w:lang w:val="fr-FR"/>
        </w:rPr>
        <w:t xml:space="preserve">4 </w:t>
      </w:r>
      <w:r w:rsidR="00872592" w:rsidRPr="00494098">
        <w:rPr>
          <w:lang w:val="fr-FR"/>
        </w:rPr>
        <w:t xml:space="preserve">des </w:t>
      </w:r>
      <w:r w:rsidR="00067E5B">
        <w:rPr>
          <w:lang w:val="fr-FR"/>
        </w:rPr>
        <w:t>o</w:t>
      </w:r>
      <w:r w:rsidR="00916D99" w:rsidRPr="00494098">
        <w:rPr>
          <w:lang w:val="fr-FR"/>
        </w:rPr>
        <w:t>bservations finales</w:t>
      </w:r>
      <w:r w:rsidR="00872592" w:rsidRPr="00494098">
        <w:rPr>
          <w:lang w:val="fr-FR"/>
        </w:rPr>
        <w:t>)</w:t>
      </w:r>
      <w:bookmarkStart w:id="25" w:name="_Toc530057281"/>
      <w:bookmarkStart w:id="26" w:name="_Toc530057474"/>
      <w:bookmarkStart w:id="27" w:name="_Toc530057595"/>
      <w:bookmarkStart w:id="28" w:name="_Toc530067976"/>
      <w:bookmarkEnd w:id="25"/>
      <w:bookmarkEnd w:id="26"/>
      <w:bookmarkEnd w:id="27"/>
      <w:bookmarkEnd w:id="28"/>
    </w:p>
    <w:p w14:paraId="435CF397" w14:textId="77777777" w:rsidR="00077B75" w:rsidRPr="00494098" w:rsidRDefault="00077B75" w:rsidP="00480570">
      <w:pPr>
        <w:pStyle w:val="SingleTxtG"/>
        <w:rPr>
          <w:lang w:val="fr-FR"/>
        </w:rPr>
      </w:pPr>
      <w:r w:rsidRPr="00494098">
        <w:rPr>
          <w:lang w:val="fr-FR"/>
        </w:rPr>
        <w:t>15.</w:t>
      </w:r>
      <w:r w:rsidRPr="00494098">
        <w:rPr>
          <w:lang w:val="fr-FR"/>
        </w:rPr>
        <w:tab/>
        <w:t>La coordination des politiques et des programmes concernant les droits des enfants est dirigée par la Commission nationale pour la promotion des droits et la protection des enfants et des jeunes.</w:t>
      </w:r>
    </w:p>
    <w:p w14:paraId="5FF9C43E" w14:textId="77777777" w:rsidR="00077B75" w:rsidRPr="00494098" w:rsidRDefault="00077B75" w:rsidP="00480570">
      <w:pPr>
        <w:pStyle w:val="SingleTxtG"/>
        <w:rPr>
          <w:lang w:val="fr-FR"/>
        </w:rPr>
      </w:pPr>
      <w:r w:rsidRPr="00494098">
        <w:rPr>
          <w:lang w:val="fr-FR"/>
        </w:rPr>
        <w:t>16.</w:t>
      </w:r>
      <w:r w:rsidRPr="00494098">
        <w:rPr>
          <w:lang w:val="fr-FR"/>
        </w:rPr>
        <w:tab/>
        <w:t xml:space="preserve">Outre cette fonction de coordination, la Commission </w:t>
      </w:r>
      <w:r w:rsidR="00283CF1" w:rsidRPr="00494098">
        <w:rPr>
          <w:lang w:val="fr-FR"/>
        </w:rPr>
        <w:t xml:space="preserve">nationale </w:t>
      </w:r>
      <w:r w:rsidRPr="00494098">
        <w:rPr>
          <w:lang w:val="fr-FR"/>
        </w:rPr>
        <w:t>appui</w:t>
      </w:r>
      <w:r w:rsidR="00283CF1" w:rsidRPr="00494098">
        <w:rPr>
          <w:lang w:val="fr-FR"/>
        </w:rPr>
        <w:t xml:space="preserve">e et contrôle les actions des </w:t>
      </w:r>
      <w:r w:rsidR="003B10AE" w:rsidRPr="00494098">
        <w:rPr>
          <w:lang w:val="fr-FR"/>
        </w:rPr>
        <w:t>commissions locales pour la protection des enfants et des jeunes.</w:t>
      </w:r>
    </w:p>
    <w:p w14:paraId="0BEA56F1" w14:textId="77777777" w:rsidR="00077B75" w:rsidRPr="00494098" w:rsidRDefault="00077B75" w:rsidP="00480570">
      <w:pPr>
        <w:pStyle w:val="SingleTxtG"/>
        <w:rPr>
          <w:lang w:val="fr-FR"/>
        </w:rPr>
      </w:pPr>
      <w:r w:rsidRPr="00494098">
        <w:rPr>
          <w:lang w:val="fr-FR"/>
        </w:rPr>
        <w:t>17.</w:t>
      </w:r>
      <w:r w:rsidRPr="00494098">
        <w:rPr>
          <w:lang w:val="fr-FR"/>
        </w:rPr>
        <w:tab/>
        <w:t xml:space="preserve">Les municipalités assument l'essentiel des moyens et du soutien nécessaires à la gestion quotidienne des commissions locales. Afin de parvenir à une coopération optimale, des protocoles de coopération sont conclus avec les services de l’État représentés à la Commission nationale. </w:t>
      </w:r>
    </w:p>
    <w:p w14:paraId="38161BEA" w14:textId="77777777" w:rsidR="00077B75" w:rsidRPr="00494098" w:rsidRDefault="00077B75" w:rsidP="00480570">
      <w:pPr>
        <w:pStyle w:val="SingleTxtG"/>
        <w:rPr>
          <w:lang w:val="fr-FR"/>
        </w:rPr>
      </w:pPr>
      <w:r w:rsidRPr="00494098">
        <w:rPr>
          <w:lang w:val="fr-FR"/>
        </w:rPr>
        <w:t>18.</w:t>
      </w:r>
      <w:r w:rsidRPr="00494098">
        <w:rPr>
          <w:lang w:val="fr-FR"/>
        </w:rPr>
        <w:tab/>
        <w:t xml:space="preserve">La Commission nationale, qui dépend actuellement du Ministère du travail, de la solidarité </w:t>
      </w:r>
      <w:r w:rsidRPr="00494098">
        <w:rPr>
          <w:lang w:val="fr-FR"/>
        </w:rPr>
        <w:lastRenderedPageBreak/>
        <w:t xml:space="preserve">et de la sécurité sociale, est une personne morale de droit public dotée d'une autonomie administrative et financière. </w:t>
      </w:r>
    </w:p>
    <w:p w14:paraId="4339BAF9" w14:textId="77777777" w:rsidR="00077B75" w:rsidRPr="00494098" w:rsidRDefault="00077B75" w:rsidP="00480570">
      <w:pPr>
        <w:pStyle w:val="SingleTxtG"/>
        <w:rPr>
          <w:lang w:val="fr-FR"/>
        </w:rPr>
      </w:pPr>
      <w:r w:rsidRPr="00494098">
        <w:rPr>
          <w:lang w:val="fr-FR"/>
        </w:rPr>
        <w:t>19.</w:t>
      </w:r>
      <w:r w:rsidRPr="00494098">
        <w:rPr>
          <w:lang w:val="fr-FR"/>
        </w:rPr>
        <w:tab/>
      </w:r>
      <w:r w:rsidR="00283CF1" w:rsidRPr="00494098">
        <w:rPr>
          <w:lang w:val="fr-FR"/>
        </w:rPr>
        <w:t xml:space="preserve">Son </w:t>
      </w:r>
      <w:r w:rsidRPr="00494098">
        <w:rPr>
          <w:lang w:val="fr-FR"/>
        </w:rPr>
        <w:t>budget s'élevait à 9 267</w:t>
      </w:r>
      <w:r w:rsidR="00FA7749" w:rsidRPr="00494098">
        <w:rPr>
          <w:lang w:val="fr-FR"/>
        </w:rPr>
        <w:t> </w:t>
      </w:r>
      <w:r w:rsidRPr="00494098">
        <w:rPr>
          <w:lang w:val="fr-FR"/>
        </w:rPr>
        <w:t>000</w:t>
      </w:r>
      <w:r w:rsidR="00FA7749" w:rsidRPr="00494098">
        <w:rPr>
          <w:lang w:val="fr-FR"/>
        </w:rPr>
        <w:t> </w:t>
      </w:r>
      <w:r w:rsidR="00283CF1" w:rsidRPr="00494098">
        <w:rPr>
          <w:lang w:val="fr-FR"/>
        </w:rPr>
        <w:t xml:space="preserve">euros </w:t>
      </w:r>
      <w:r w:rsidRPr="00494098">
        <w:rPr>
          <w:lang w:val="fr-FR"/>
        </w:rPr>
        <w:t>en 2017.</w:t>
      </w:r>
    </w:p>
    <w:p w14:paraId="18C6A991" w14:textId="77777777" w:rsidR="00077B75" w:rsidRPr="00494098" w:rsidRDefault="00077B75" w:rsidP="00480570">
      <w:pPr>
        <w:pStyle w:val="SingleTxtG"/>
        <w:rPr>
          <w:lang w:val="fr-FR"/>
        </w:rPr>
      </w:pPr>
      <w:r w:rsidRPr="00494098">
        <w:rPr>
          <w:lang w:val="fr-FR"/>
        </w:rPr>
        <w:t>20.</w:t>
      </w:r>
      <w:r w:rsidRPr="00494098">
        <w:rPr>
          <w:lang w:val="fr-FR"/>
        </w:rPr>
        <w:tab/>
        <w:t xml:space="preserve">La responsabilité de la mise en </w:t>
      </w:r>
      <w:r w:rsidR="00D264B0" w:rsidRPr="00494098">
        <w:rPr>
          <w:lang w:val="fr-FR"/>
        </w:rPr>
        <w:t>œuvr</w:t>
      </w:r>
      <w:r w:rsidRPr="00494098">
        <w:rPr>
          <w:lang w:val="fr-FR"/>
        </w:rPr>
        <w:t xml:space="preserve">e de la Convention incombe à plusieurs ministères en fonction de leurs domaines de compétence respectifs et n’est pas centralisée au sein d'une autorité unique. Les ministères responsables sont principalement chargés d’évaluer l’impact des politiques. </w:t>
      </w:r>
    </w:p>
    <w:p w14:paraId="1863E19E" w14:textId="77777777" w:rsidR="00077B75" w:rsidRPr="00494098" w:rsidRDefault="00077B75" w:rsidP="00480570">
      <w:pPr>
        <w:pStyle w:val="SingleTxtG"/>
        <w:rPr>
          <w:lang w:val="fr-FR"/>
        </w:rPr>
      </w:pPr>
      <w:r w:rsidRPr="00494098">
        <w:rPr>
          <w:lang w:val="fr-FR"/>
        </w:rPr>
        <w:t>21.</w:t>
      </w:r>
      <w:r w:rsidRPr="00494098">
        <w:rPr>
          <w:lang w:val="fr-FR"/>
        </w:rPr>
        <w:tab/>
        <w:t>Les pouvoirs de coordination de la Commission nationale des droits de l’homme, qui travaille sous l’égide du Ministère des affaires étrangères</w:t>
      </w:r>
      <w:r w:rsidR="00572723" w:rsidRPr="00494098">
        <w:rPr>
          <w:lang w:val="fr-FR"/>
        </w:rPr>
        <w:t>,</w:t>
      </w:r>
      <w:r w:rsidRPr="00494098">
        <w:rPr>
          <w:lang w:val="fr-FR"/>
        </w:rPr>
        <w:t xml:space="preserve"> sont limités au respect des obligations internationales contractées en vertu de la Convention et de ses Protocoles</w:t>
      </w:r>
      <w:r w:rsidR="00FA7749" w:rsidRPr="00494098">
        <w:rPr>
          <w:lang w:val="fr-FR"/>
        </w:rPr>
        <w:t>,</w:t>
      </w:r>
      <w:r w:rsidRPr="00494098">
        <w:rPr>
          <w:lang w:val="fr-FR"/>
        </w:rPr>
        <w:t xml:space="preserve"> ainsi qu'au contrôle des suites données aux conclusions et aux recommandations du Comité. </w:t>
      </w:r>
    </w:p>
    <w:p w14:paraId="4AD317E1" w14:textId="3B4FD48F" w:rsidR="00077B75" w:rsidRPr="00494098" w:rsidRDefault="00077B75" w:rsidP="0018750A">
      <w:pPr>
        <w:pStyle w:val="H23G"/>
        <w:rPr>
          <w:lang w:val="fr-FR"/>
        </w:rPr>
      </w:pPr>
      <w:r w:rsidRPr="00494098">
        <w:rPr>
          <w:lang w:val="fr-FR"/>
        </w:rPr>
        <w:tab/>
      </w:r>
      <w:r w:rsidRPr="00494098">
        <w:rPr>
          <w:lang w:val="fr-FR"/>
        </w:rPr>
        <w:tab/>
      </w:r>
      <w:r w:rsidRPr="00494098">
        <w:rPr>
          <w:bCs/>
          <w:lang w:val="fr-FR"/>
        </w:rPr>
        <w:t>Allocation de ressources (</w:t>
      </w:r>
      <w:r w:rsidR="00872592" w:rsidRPr="00494098">
        <w:rPr>
          <w:bCs/>
          <w:lang w:val="fr-FR"/>
        </w:rPr>
        <w:t>par. 1</w:t>
      </w:r>
      <w:r w:rsidRPr="00494098">
        <w:rPr>
          <w:bCs/>
          <w:lang w:val="fr-FR"/>
        </w:rPr>
        <w:t xml:space="preserve">6 </w:t>
      </w:r>
      <w:r w:rsidR="00872592" w:rsidRPr="00494098">
        <w:rPr>
          <w:bCs/>
          <w:lang w:val="fr-FR"/>
        </w:rPr>
        <w:t xml:space="preserve">des </w:t>
      </w:r>
      <w:r w:rsidR="00067E5B">
        <w:rPr>
          <w:bCs/>
          <w:lang w:val="fr-FR"/>
        </w:rPr>
        <w:t>o</w:t>
      </w:r>
      <w:r w:rsidR="00916D99" w:rsidRPr="00494098">
        <w:rPr>
          <w:bCs/>
          <w:lang w:val="fr-FR"/>
        </w:rPr>
        <w:t>bservations finales</w:t>
      </w:r>
      <w:r w:rsidR="00872592" w:rsidRPr="00494098">
        <w:rPr>
          <w:bCs/>
          <w:lang w:val="fr-FR"/>
        </w:rPr>
        <w:t>)</w:t>
      </w:r>
      <w:r w:rsidRPr="00494098">
        <w:rPr>
          <w:bCs/>
          <w:lang w:val="fr-FR"/>
        </w:rPr>
        <w:t>.</w:t>
      </w:r>
      <w:bookmarkStart w:id="29" w:name="_Toc530057282"/>
      <w:bookmarkStart w:id="30" w:name="_Toc530057475"/>
      <w:bookmarkStart w:id="31" w:name="_Toc530057596"/>
      <w:bookmarkStart w:id="32" w:name="_Toc530067977"/>
      <w:bookmarkEnd w:id="29"/>
      <w:bookmarkEnd w:id="30"/>
      <w:bookmarkEnd w:id="31"/>
      <w:bookmarkEnd w:id="32"/>
    </w:p>
    <w:p w14:paraId="1F47F665" w14:textId="77777777" w:rsidR="00077B75" w:rsidRPr="00494098" w:rsidRDefault="00077B75" w:rsidP="0018750A">
      <w:pPr>
        <w:pStyle w:val="H4G"/>
        <w:rPr>
          <w:lang w:val="fr-FR"/>
        </w:rPr>
      </w:pPr>
      <w:r w:rsidRPr="00494098">
        <w:rPr>
          <w:lang w:val="fr-FR"/>
        </w:rPr>
        <w:tab/>
      </w:r>
      <w:r w:rsidRPr="00494098">
        <w:rPr>
          <w:lang w:val="fr-FR"/>
        </w:rPr>
        <w:tab/>
        <w:t>Approche fondée sur les droits de l’enfant lors de l’élaboration du budget national</w:t>
      </w:r>
      <w:bookmarkStart w:id="33" w:name="_Toc530057476"/>
      <w:bookmarkEnd w:id="33"/>
    </w:p>
    <w:p w14:paraId="26C44A7F" w14:textId="77777777" w:rsidR="00077B75" w:rsidRPr="00494098" w:rsidRDefault="00077B75" w:rsidP="00480570">
      <w:pPr>
        <w:pStyle w:val="SingleTxtG"/>
        <w:rPr>
          <w:lang w:val="fr-FR"/>
        </w:rPr>
      </w:pPr>
      <w:r w:rsidRPr="00494098">
        <w:rPr>
          <w:lang w:val="fr-FR"/>
        </w:rPr>
        <w:t>22.</w:t>
      </w:r>
      <w:r w:rsidRPr="00494098">
        <w:rPr>
          <w:lang w:val="fr-FR"/>
        </w:rPr>
        <w:tab/>
        <w:t>La protection des enfants et des jeunes socialement vulnérables demeure une priorité pour les interventions en matière de sécurité sociale.</w:t>
      </w:r>
    </w:p>
    <w:p w14:paraId="536AC0C1" w14:textId="77777777" w:rsidR="00077B75" w:rsidRPr="00494098" w:rsidRDefault="00077B75" w:rsidP="00480570">
      <w:pPr>
        <w:pStyle w:val="SingleTxtG"/>
        <w:rPr>
          <w:lang w:val="fr-FR"/>
        </w:rPr>
      </w:pPr>
      <w:r w:rsidRPr="00494098">
        <w:rPr>
          <w:lang w:val="fr-FR"/>
        </w:rPr>
        <w:t>23.</w:t>
      </w:r>
      <w:r w:rsidRPr="00494098">
        <w:rPr>
          <w:lang w:val="fr-FR"/>
        </w:rPr>
        <w:tab/>
        <w:t xml:space="preserve">Néanmoins, des restrictions budgétaires ont fait suite aux crises de la dette souveraine, comme en témoignent les </w:t>
      </w:r>
      <w:r w:rsidR="00FA7749" w:rsidRPr="00494098">
        <w:rPr>
          <w:lang w:val="fr-FR"/>
        </w:rPr>
        <w:t>montants consacrés à l</w:t>
      </w:r>
      <w:r w:rsidRPr="00494098">
        <w:rPr>
          <w:lang w:val="fr-FR"/>
        </w:rPr>
        <w:t>’exécution de</w:t>
      </w:r>
      <w:r w:rsidR="00FA7749" w:rsidRPr="00494098">
        <w:rPr>
          <w:lang w:val="fr-FR"/>
        </w:rPr>
        <w:t>s</w:t>
      </w:r>
      <w:r w:rsidRPr="00494098">
        <w:rPr>
          <w:lang w:val="fr-FR"/>
        </w:rPr>
        <w:t xml:space="preserve"> programmes</w:t>
      </w:r>
      <w:r w:rsidR="00FA7749" w:rsidRPr="00494098">
        <w:rPr>
          <w:lang w:val="fr-FR"/>
        </w:rPr>
        <w:t xml:space="preserve"> et </w:t>
      </w:r>
      <w:r w:rsidRPr="00494098">
        <w:rPr>
          <w:lang w:val="fr-FR"/>
        </w:rPr>
        <w:t xml:space="preserve">projets destinés aux enfants et aux jeunes (voir </w:t>
      </w:r>
      <w:r w:rsidR="003B4E18" w:rsidRPr="00494098">
        <w:rPr>
          <w:lang w:val="fr-FR"/>
        </w:rPr>
        <w:t>tableau 1</w:t>
      </w:r>
      <w:r w:rsidRPr="00494098">
        <w:rPr>
          <w:lang w:val="fr-FR"/>
        </w:rPr>
        <w:t xml:space="preserve">, </w:t>
      </w:r>
      <w:r w:rsidR="003B4E18" w:rsidRPr="00494098">
        <w:rPr>
          <w:lang w:val="fr-FR"/>
        </w:rPr>
        <w:t>annexe 1</w:t>
      </w:r>
      <w:r w:rsidRPr="00494098">
        <w:rPr>
          <w:lang w:val="fr-FR"/>
        </w:rPr>
        <w:t>).</w:t>
      </w:r>
    </w:p>
    <w:p w14:paraId="4171850E" w14:textId="77777777" w:rsidR="00077B75" w:rsidRPr="00494098" w:rsidRDefault="00077B75" w:rsidP="00480570">
      <w:pPr>
        <w:pStyle w:val="SingleTxtG"/>
        <w:rPr>
          <w:lang w:val="fr-FR"/>
        </w:rPr>
      </w:pPr>
      <w:r w:rsidRPr="00494098">
        <w:rPr>
          <w:lang w:val="fr-FR"/>
        </w:rPr>
        <w:lastRenderedPageBreak/>
        <w:t>24.</w:t>
      </w:r>
      <w:r w:rsidRPr="00494098">
        <w:rPr>
          <w:lang w:val="fr-FR"/>
        </w:rPr>
        <w:tab/>
        <w:t>L’adoption de mesures de lutte contre la pauvreté des enfants vis</w:t>
      </w:r>
      <w:r w:rsidR="00572723" w:rsidRPr="00494098">
        <w:rPr>
          <w:lang w:val="fr-FR"/>
        </w:rPr>
        <w:t>e</w:t>
      </w:r>
      <w:r w:rsidRPr="00494098">
        <w:rPr>
          <w:lang w:val="fr-FR"/>
        </w:rPr>
        <w:t xml:space="preserve"> à éliminer les situations d’exclusion sociale </w:t>
      </w:r>
      <w:r w:rsidR="00FA7749" w:rsidRPr="00494098">
        <w:rPr>
          <w:lang w:val="fr-FR"/>
        </w:rPr>
        <w:t xml:space="preserve">qui les </w:t>
      </w:r>
      <w:r w:rsidRPr="00494098">
        <w:rPr>
          <w:lang w:val="fr-FR"/>
        </w:rPr>
        <w:t>touch</w:t>
      </w:r>
      <w:r w:rsidR="00FA7749" w:rsidRPr="00494098">
        <w:rPr>
          <w:lang w:val="fr-FR"/>
        </w:rPr>
        <w:t>e</w:t>
      </w:r>
      <w:r w:rsidRPr="00494098">
        <w:rPr>
          <w:lang w:val="fr-FR"/>
        </w:rPr>
        <w:t>nt</w:t>
      </w:r>
      <w:r w:rsidR="00572723" w:rsidRPr="00494098">
        <w:rPr>
          <w:lang w:val="fr-FR"/>
        </w:rPr>
        <w:t xml:space="preserve"> et</w:t>
      </w:r>
      <w:r w:rsidRPr="00494098">
        <w:rPr>
          <w:lang w:val="fr-FR"/>
        </w:rPr>
        <w:t xml:space="preserve"> a conduit </w:t>
      </w:r>
      <w:r w:rsidR="00572723" w:rsidRPr="00494098">
        <w:rPr>
          <w:lang w:val="fr-FR"/>
        </w:rPr>
        <w:t xml:space="preserve">à accorder </w:t>
      </w:r>
      <w:r w:rsidRPr="00494098">
        <w:rPr>
          <w:lang w:val="fr-FR"/>
        </w:rPr>
        <w:t xml:space="preserve">un appui financier direct aux enfants ou à leurs familles, </w:t>
      </w:r>
      <w:r w:rsidR="00572723" w:rsidRPr="00494098">
        <w:rPr>
          <w:lang w:val="fr-FR"/>
        </w:rPr>
        <w:t xml:space="preserve">soit </w:t>
      </w:r>
      <w:r w:rsidRPr="00494098">
        <w:rPr>
          <w:lang w:val="fr-FR"/>
        </w:rPr>
        <w:t>une augmentation des allocations familiales de 20 à 35</w:t>
      </w:r>
      <w:r w:rsidR="003B4E18" w:rsidRPr="00494098">
        <w:rPr>
          <w:lang w:val="fr-FR"/>
        </w:rPr>
        <w:t> %</w:t>
      </w:r>
      <w:r w:rsidRPr="00494098">
        <w:rPr>
          <w:lang w:val="fr-FR"/>
        </w:rPr>
        <w:t xml:space="preserve"> pour les familles monoparentales</w:t>
      </w:r>
      <w:r w:rsidR="006717A5" w:rsidRPr="00494098">
        <w:rPr>
          <w:lang w:val="fr-FR"/>
        </w:rPr>
        <w:t> ;</w:t>
      </w:r>
      <w:r w:rsidRPr="00494098">
        <w:rPr>
          <w:lang w:val="fr-FR"/>
        </w:rPr>
        <w:t xml:space="preserve"> une allocation prénatale</w:t>
      </w:r>
      <w:r w:rsidR="006717A5" w:rsidRPr="00494098">
        <w:rPr>
          <w:lang w:val="fr-FR"/>
        </w:rPr>
        <w:t> ;</w:t>
      </w:r>
      <w:r w:rsidRPr="00494098">
        <w:rPr>
          <w:lang w:val="fr-FR"/>
        </w:rPr>
        <w:t xml:space="preserve"> un revenu minimum garanti</w:t>
      </w:r>
      <w:r w:rsidR="006717A5" w:rsidRPr="00494098">
        <w:rPr>
          <w:lang w:val="fr-FR"/>
        </w:rPr>
        <w:t> ;</w:t>
      </w:r>
      <w:r w:rsidRPr="00494098">
        <w:rPr>
          <w:lang w:val="fr-FR"/>
        </w:rPr>
        <w:t xml:space="preserve"> un appui financier aux enfants et aux jeunes </w:t>
      </w:r>
      <w:r w:rsidR="003B4E18" w:rsidRPr="00494098">
        <w:rPr>
          <w:lang w:val="fr-FR"/>
        </w:rPr>
        <w:t xml:space="preserve">concernés par des </w:t>
      </w:r>
      <w:r w:rsidRPr="00494098">
        <w:rPr>
          <w:lang w:val="fr-FR"/>
        </w:rPr>
        <w:t>mesures de promotion et de protection</w:t>
      </w:r>
      <w:r w:rsidR="002630D9" w:rsidRPr="00494098">
        <w:rPr>
          <w:lang w:val="fr-FR"/>
        </w:rPr>
        <w:t xml:space="preserve"> </w:t>
      </w:r>
      <w:r w:rsidR="00FA7749" w:rsidRPr="00494098">
        <w:rPr>
          <w:lang w:val="fr-FR"/>
        </w:rPr>
        <w:t>en</w:t>
      </w:r>
      <w:r w:rsidR="00041FDE" w:rsidRPr="00494098">
        <w:rPr>
          <w:lang w:val="fr-FR"/>
        </w:rPr>
        <w:t xml:space="preserve"> milieu de vie </w:t>
      </w:r>
      <w:r w:rsidRPr="00494098">
        <w:rPr>
          <w:lang w:val="fr-FR"/>
        </w:rPr>
        <w:t>naturel.</w:t>
      </w:r>
    </w:p>
    <w:p w14:paraId="3B0A34DD" w14:textId="77777777" w:rsidR="00077B75" w:rsidRPr="00494098" w:rsidRDefault="00077B75" w:rsidP="0018750A">
      <w:pPr>
        <w:pStyle w:val="H4G"/>
        <w:rPr>
          <w:lang w:val="fr-FR"/>
        </w:rPr>
      </w:pPr>
      <w:r w:rsidRPr="00494098">
        <w:rPr>
          <w:lang w:val="fr-FR"/>
        </w:rPr>
        <w:tab/>
      </w:r>
      <w:r w:rsidRPr="00494098">
        <w:rPr>
          <w:lang w:val="fr-FR"/>
        </w:rPr>
        <w:tab/>
      </w:r>
      <w:r w:rsidR="00FA7749" w:rsidRPr="00494098">
        <w:rPr>
          <w:iCs/>
          <w:lang w:val="fr-FR"/>
        </w:rPr>
        <w:t>Recommandations sur les « </w:t>
      </w:r>
      <w:r w:rsidRPr="00494098">
        <w:rPr>
          <w:iCs/>
          <w:lang w:val="fr-FR"/>
        </w:rPr>
        <w:t>Ressources pour les droits de l'enfant</w:t>
      </w:r>
      <w:r w:rsidR="00FA7749" w:rsidRPr="00494098">
        <w:rPr>
          <w:iCs/>
          <w:lang w:val="fr-FR"/>
        </w:rPr>
        <w:t> »</w:t>
      </w:r>
      <w:bookmarkStart w:id="34" w:name="_Toc530057477"/>
      <w:bookmarkEnd w:id="34"/>
    </w:p>
    <w:p w14:paraId="119AE6C4" w14:textId="77777777" w:rsidR="00077B75" w:rsidRPr="00494098" w:rsidRDefault="00077B75" w:rsidP="00480570">
      <w:pPr>
        <w:pStyle w:val="SingleTxtG"/>
        <w:rPr>
          <w:lang w:val="fr-FR"/>
        </w:rPr>
      </w:pPr>
      <w:r w:rsidRPr="00494098">
        <w:rPr>
          <w:lang w:val="fr-FR"/>
        </w:rPr>
        <w:t>25.</w:t>
      </w:r>
      <w:r w:rsidRPr="00494098">
        <w:rPr>
          <w:lang w:val="fr-FR"/>
        </w:rPr>
        <w:tab/>
        <w:t>La coopération entre l'État et les institutions privées de solidarité sociale chargées d</w:t>
      </w:r>
      <w:r w:rsidR="00AB110E" w:rsidRPr="00494098">
        <w:rPr>
          <w:lang w:val="fr-FR"/>
        </w:rPr>
        <w:t>’amener m</w:t>
      </w:r>
      <w:r w:rsidRPr="00494098">
        <w:rPr>
          <w:lang w:val="fr-FR"/>
        </w:rPr>
        <w:t>es services de proximité au plus pr</w:t>
      </w:r>
      <w:r w:rsidR="00807954" w:rsidRPr="00494098">
        <w:rPr>
          <w:lang w:val="fr-FR"/>
        </w:rPr>
        <w:t>ès</w:t>
      </w:r>
      <w:r w:rsidRPr="00494098">
        <w:rPr>
          <w:lang w:val="fr-FR"/>
        </w:rPr>
        <w:t xml:space="preserve"> des communautés, des enfants et de leurs familles</w:t>
      </w:r>
      <w:r w:rsidR="00B42913" w:rsidRPr="00494098">
        <w:rPr>
          <w:lang w:val="fr-FR"/>
        </w:rPr>
        <w:t>,</w:t>
      </w:r>
      <w:r w:rsidRPr="00494098">
        <w:rPr>
          <w:lang w:val="fr-FR"/>
        </w:rPr>
        <w:t xml:space="preserve"> est l’un des </w:t>
      </w:r>
      <w:r w:rsidR="00807954" w:rsidRPr="00494098">
        <w:rPr>
          <w:lang w:val="fr-FR"/>
        </w:rPr>
        <w:t xml:space="preserve">choix </w:t>
      </w:r>
      <w:r w:rsidRPr="00494098">
        <w:rPr>
          <w:lang w:val="fr-FR"/>
        </w:rPr>
        <w:t xml:space="preserve">stratégiques </w:t>
      </w:r>
      <w:r w:rsidR="00B42913" w:rsidRPr="00494098">
        <w:rPr>
          <w:lang w:val="fr-FR"/>
        </w:rPr>
        <w:t xml:space="preserve">en ce qui concerne </w:t>
      </w:r>
      <w:r w:rsidR="00807954" w:rsidRPr="00494098">
        <w:rPr>
          <w:lang w:val="fr-FR"/>
        </w:rPr>
        <w:t xml:space="preserve">la </w:t>
      </w:r>
      <w:r w:rsidRPr="00494098">
        <w:rPr>
          <w:lang w:val="fr-FR"/>
        </w:rPr>
        <w:t>gestion des services sociaux et</w:t>
      </w:r>
      <w:r w:rsidR="00807954" w:rsidRPr="00494098">
        <w:rPr>
          <w:lang w:val="fr-FR"/>
        </w:rPr>
        <w:t>, de ce fait</w:t>
      </w:r>
      <w:r w:rsidRPr="00494098">
        <w:rPr>
          <w:lang w:val="fr-FR"/>
        </w:rPr>
        <w:t>, l’un des domaines prioritaires de la sécurité sociale.</w:t>
      </w:r>
    </w:p>
    <w:p w14:paraId="7E93B6EE" w14:textId="77777777" w:rsidR="00077B75" w:rsidRPr="00494098" w:rsidRDefault="00077B75" w:rsidP="00480570">
      <w:pPr>
        <w:pStyle w:val="SingleTxtG"/>
        <w:rPr>
          <w:lang w:val="fr-FR"/>
        </w:rPr>
      </w:pPr>
      <w:r w:rsidRPr="00494098">
        <w:rPr>
          <w:lang w:val="fr-FR"/>
        </w:rPr>
        <w:t>26.</w:t>
      </w:r>
      <w:r w:rsidRPr="00494098">
        <w:rPr>
          <w:lang w:val="fr-FR"/>
        </w:rPr>
        <w:tab/>
        <w:t xml:space="preserve">Les principaux objectifs du Programme pour l’élargissement du réseau des services sociaux </w:t>
      </w:r>
      <w:r w:rsidR="00807954" w:rsidRPr="00494098">
        <w:rPr>
          <w:lang w:val="fr-FR"/>
        </w:rPr>
        <w:t xml:space="preserve">(PARES) </w:t>
      </w:r>
      <w:r w:rsidR="00B42913" w:rsidRPr="00494098">
        <w:rPr>
          <w:lang w:val="fr-FR"/>
        </w:rPr>
        <w:t xml:space="preserve">sont </w:t>
      </w:r>
      <w:r w:rsidRPr="00494098">
        <w:rPr>
          <w:lang w:val="fr-FR"/>
        </w:rPr>
        <w:t>l’</w:t>
      </w:r>
      <w:r w:rsidR="00AB110E" w:rsidRPr="00494098">
        <w:rPr>
          <w:lang w:val="fr-FR"/>
        </w:rPr>
        <w:t xml:space="preserve">élargissement </w:t>
      </w:r>
      <w:r w:rsidRPr="00494098">
        <w:rPr>
          <w:lang w:val="fr-FR"/>
        </w:rPr>
        <w:t xml:space="preserve">et la qualification </w:t>
      </w:r>
      <w:r w:rsidR="00AB110E" w:rsidRPr="00494098">
        <w:rPr>
          <w:lang w:val="fr-FR"/>
        </w:rPr>
        <w:t xml:space="preserve">comme instance </w:t>
      </w:r>
      <w:r w:rsidRPr="00494098">
        <w:rPr>
          <w:lang w:val="fr-FR"/>
        </w:rPr>
        <w:t xml:space="preserve">de proximité </w:t>
      </w:r>
      <w:r w:rsidR="00AB110E" w:rsidRPr="00494098">
        <w:rPr>
          <w:lang w:val="fr-FR"/>
        </w:rPr>
        <w:t xml:space="preserve">pour ce qui concerne le </w:t>
      </w:r>
      <w:r w:rsidRPr="00494098">
        <w:rPr>
          <w:lang w:val="fr-FR"/>
        </w:rPr>
        <w:t xml:space="preserve">nombre de places disponibles, </w:t>
      </w:r>
      <w:r w:rsidR="00AB110E" w:rsidRPr="00494098">
        <w:rPr>
          <w:lang w:val="fr-FR"/>
        </w:rPr>
        <w:t>la</w:t>
      </w:r>
      <w:r w:rsidRPr="00494098">
        <w:rPr>
          <w:lang w:val="fr-FR"/>
        </w:rPr>
        <w:t xml:space="preserve"> qualité des solutions et </w:t>
      </w:r>
      <w:r w:rsidR="00AB110E" w:rsidRPr="00494098">
        <w:rPr>
          <w:lang w:val="fr-FR"/>
        </w:rPr>
        <w:t>l’</w:t>
      </w:r>
      <w:r w:rsidRPr="00494098">
        <w:rPr>
          <w:lang w:val="fr-FR"/>
        </w:rPr>
        <w:t xml:space="preserve">équité </w:t>
      </w:r>
      <w:r w:rsidR="00AB110E" w:rsidRPr="00494098">
        <w:rPr>
          <w:lang w:val="fr-FR"/>
        </w:rPr>
        <w:t xml:space="preserve">dans </w:t>
      </w:r>
      <w:r w:rsidRPr="00494098">
        <w:rPr>
          <w:lang w:val="fr-FR"/>
        </w:rPr>
        <w:t xml:space="preserve">la répartition territoriale (voir </w:t>
      </w:r>
      <w:r w:rsidR="00807954" w:rsidRPr="00494098">
        <w:rPr>
          <w:lang w:val="fr-FR"/>
        </w:rPr>
        <w:t>tableau 2</w:t>
      </w:r>
      <w:r w:rsidRPr="00494098">
        <w:rPr>
          <w:lang w:val="fr-FR"/>
        </w:rPr>
        <w:t xml:space="preserve">, </w:t>
      </w:r>
      <w:r w:rsidR="003B4E18" w:rsidRPr="00494098">
        <w:rPr>
          <w:lang w:val="fr-FR"/>
        </w:rPr>
        <w:t>annexe 1</w:t>
      </w:r>
      <w:r w:rsidRPr="00494098">
        <w:rPr>
          <w:lang w:val="fr-FR"/>
        </w:rPr>
        <w:t>, sur l'exécution d</w:t>
      </w:r>
      <w:r w:rsidR="00807954" w:rsidRPr="00494098">
        <w:rPr>
          <w:lang w:val="fr-FR"/>
        </w:rPr>
        <w:t>e ce programme</w:t>
      </w:r>
      <w:r w:rsidRPr="00494098">
        <w:rPr>
          <w:lang w:val="fr-FR"/>
        </w:rPr>
        <w:t>).</w:t>
      </w:r>
    </w:p>
    <w:p w14:paraId="03DDBE7A" w14:textId="77777777" w:rsidR="00077B75" w:rsidRPr="00494098" w:rsidRDefault="00077B75" w:rsidP="00480570">
      <w:pPr>
        <w:pStyle w:val="SingleTxtG"/>
        <w:rPr>
          <w:lang w:val="fr-FR"/>
        </w:rPr>
      </w:pPr>
      <w:r w:rsidRPr="00494098">
        <w:rPr>
          <w:lang w:val="fr-FR"/>
        </w:rPr>
        <w:t>27.</w:t>
      </w:r>
      <w:r w:rsidRPr="00494098">
        <w:rPr>
          <w:lang w:val="fr-FR"/>
        </w:rPr>
        <w:tab/>
        <w:t xml:space="preserve">La coopération entre l'État et les institutions privées de solidarité sociale se concrétise par des accords de coopération en vue d'un soutien financier et technique (voir </w:t>
      </w:r>
      <w:r w:rsidR="00807954" w:rsidRPr="00494098">
        <w:rPr>
          <w:lang w:val="fr-FR"/>
        </w:rPr>
        <w:t>tableau 3</w:t>
      </w:r>
      <w:r w:rsidRPr="00494098">
        <w:rPr>
          <w:lang w:val="fr-FR"/>
        </w:rPr>
        <w:t xml:space="preserve">, </w:t>
      </w:r>
      <w:r w:rsidR="003B4E18" w:rsidRPr="00494098">
        <w:rPr>
          <w:lang w:val="fr-FR"/>
        </w:rPr>
        <w:t>annexe 1</w:t>
      </w:r>
      <w:r w:rsidRPr="00494098">
        <w:rPr>
          <w:lang w:val="fr-FR"/>
        </w:rPr>
        <w:t>, sur le</w:t>
      </w:r>
      <w:r w:rsidR="00807954" w:rsidRPr="00494098">
        <w:rPr>
          <w:lang w:val="fr-FR"/>
        </w:rPr>
        <w:t>s</w:t>
      </w:r>
      <w:r w:rsidRPr="00494098">
        <w:rPr>
          <w:lang w:val="fr-FR"/>
        </w:rPr>
        <w:t xml:space="preserve"> financement</w:t>
      </w:r>
      <w:r w:rsidR="00807954" w:rsidRPr="00494098">
        <w:rPr>
          <w:lang w:val="fr-FR"/>
        </w:rPr>
        <w:t>s</w:t>
      </w:r>
      <w:r w:rsidRPr="00494098">
        <w:rPr>
          <w:lang w:val="fr-FR"/>
        </w:rPr>
        <w:t xml:space="preserve"> public</w:t>
      </w:r>
      <w:r w:rsidR="00807954" w:rsidRPr="00494098">
        <w:rPr>
          <w:lang w:val="fr-FR"/>
        </w:rPr>
        <w:t>s</w:t>
      </w:r>
      <w:r w:rsidRPr="00494098">
        <w:rPr>
          <w:lang w:val="fr-FR"/>
        </w:rPr>
        <w:t xml:space="preserve"> </w:t>
      </w:r>
      <w:r w:rsidR="00807954" w:rsidRPr="00494098">
        <w:rPr>
          <w:lang w:val="fr-FR"/>
        </w:rPr>
        <w:t xml:space="preserve">dédiés à </w:t>
      </w:r>
      <w:r w:rsidRPr="00494098">
        <w:rPr>
          <w:lang w:val="fr-FR"/>
        </w:rPr>
        <w:t>ces accords)</w:t>
      </w:r>
      <w:r w:rsidR="00807954" w:rsidRPr="00494098">
        <w:rPr>
          <w:lang w:val="fr-FR"/>
        </w:rPr>
        <w:t>.</w:t>
      </w:r>
    </w:p>
    <w:p w14:paraId="6CE10517" w14:textId="77777777" w:rsidR="00077B75" w:rsidRPr="00494098" w:rsidRDefault="00077B75" w:rsidP="00480570">
      <w:pPr>
        <w:pStyle w:val="SingleTxtG"/>
        <w:rPr>
          <w:lang w:val="fr-FR"/>
        </w:rPr>
      </w:pPr>
      <w:r w:rsidRPr="00494098">
        <w:rPr>
          <w:lang w:val="fr-FR"/>
        </w:rPr>
        <w:lastRenderedPageBreak/>
        <w:t>28.</w:t>
      </w:r>
      <w:r w:rsidRPr="00494098">
        <w:rPr>
          <w:lang w:val="fr-FR"/>
        </w:rPr>
        <w:tab/>
        <w:t xml:space="preserve">Le Ministère de la justice a dûment pris en compte les recommandations </w:t>
      </w:r>
      <w:r w:rsidR="00B42913" w:rsidRPr="00494098">
        <w:rPr>
          <w:lang w:val="fr-FR"/>
        </w:rPr>
        <w:t xml:space="preserve">relatives à </w:t>
      </w:r>
      <w:r w:rsidRPr="00494098">
        <w:rPr>
          <w:lang w:val="fr-FR"/>
        </w:rPr>
        <w:t xml:space="preserve">la responsabilité de l’État </w:t>
      </w:r>
      <w:r w:rsidR="00807954" w:rsidRPr="00494098">
        <w:rPr>
          <w:lang w:val="fr-FR"/>
        </w:rPr>
        <w:t xml:space="preserve">dans les </w:t>
      </w:r>
      <w:r w:rsidRPr="00494098">
        <w:rPr>
          <w:lang w:val="fr-FR"/>
        </w:rPr>
        <w:t>procédures judiciaires favorables et adaptées aux enfants.</w:t>
      </w:r>
    </w:p>
    <w:p w14:paraId="0F8D3B18" w14:textId="3785F6A5" w:rsidR="00077B75" w:rsidRPr="00494098" w:rsidRDefault="00077B75" w:rsidP="0018750A">
      <w:pPr>
        <w:pStyle w:val="H23G"/>
        <w:rPr>
          <w:lang w:val="fr-FR"/>
        </w:rPr>
      </w:pPr>
      <w:r w:rsidRPr="00494098">
        <w:rPr>
          <w:lang w:val="fr-FR"/>
        </w:rPr>
        <w:tab/>
      </w:r>
      <w:r w:rsidRPr="00494098">
        <w:rPr>
          <w:lang w:val="fr-FR"/>
        </w:rPr>
        <w:tab/>
        <w:t>Collecte de données (</w:t>
      </w:r>
      <w:r w:rsidR="00872592" w:rsidRPr="00494098">
        <w:rPr>
          <w:lang w:val="fr-FR"/>
        </w:rPr>
        <w:t>par. 1</w:t>
      </w:r>
      <w:r w:rsidRPr="00494098">
        <w:rPr>
          <w:lang w:val="fr-FR"/>
        </w:rPr>
        <w:t xml:space="preserve">8 </w:t>
      </w:r>
      <w:r w:rsidR="00872592" w:rsidRPr="00494098">
        <w:rPr>
          <w:lang w:val="fr-FR"/>
        </w:rPr>
        <w:t xml:space="preserve">des </w:t>
      </w:r>
      <w:r w:rsidR="00067E5B">
        <w:rPr>
          <w:lang w:val="fr-FR"/>
        </w:rPr>
        <w:t>o</w:t>
      </w:r>
      <w:r w:rsidR="00916D99" w:rsidRPr="00494098">
        <w:rPr>
          <w:lang w:val="fr-FR"/>
        </w:rPr>
        <w:t>bservations finales</w:t>
      </w:r>
      <w:r w:rsidR="00872592" w:rsidRPr="00494098">
        <w:rPr>
          <w:lang w:val="fr-FR"/>
        </w:rPr>
        <w:t>)</w:t>
      </w:r>
      <w:bookmarkStart w:id="35" w:name="_Toc530057283"/>
      <w:bookmarkStart w:id="36" w:name="_Toc530057478"/>
      <w:bookmarkStart w:id="37" w:name="_Toc530057597"/>
      <w:bookmarkStart w:id="38" w:name="_Toc530067978"/>
      <w:bookmarkEnd w:id="35"/>
      <w:bookmarkEnd w:id="36"/>
      <w:bookmarkEnd w:id="37"/>
      <w:bookmarkEnd w:id="38"/>
    </w:p>
    <w:p w14:paraId="3820C563" w14:textId="77777777" w:rsidR="00077B75" w:rsidRPr="00494098" w:rsidRDefault="00077B75" w:rsidP="00480570">
      <w:pPr>
        <w:pStyle w:val="SingleTxtG"/>
        <w:rPr>
          <w:lang w:val="fr-FR"/>
        </w:rPr>
      </w:pPr>
      <w:r w:rsidRPr="00494098">
        <w:rPr>
          <w:lang w:val="fr-FR"/>
        </w:rPr>
        <w:t>29.</w:t>
      </w:r>
      <w:r w:rsidRPr="00494098">
        <w:rPr>
          <w:lang w:val="fr-FR"/>
        </w:rPr>
        <w:tab/>
        <w:t>La nouvelle Stratégie nationale pour les droits de l’enfant permettra</w:t>
      </w:r>
      <w:r w:rsidR="00AB110E" w:rsidRPr="00494098">
        <w:rPr>
          <w:lang w:val="fr-FR"/>
        </w:rPr>
        <w:t>, par l’intégration des informations venues de divers secteurs,</w:t>
      </w:r>
      <w:r w:rsidRPr="00494098">
        <w:rPr>
          <w:lang w:val="fr-FR"/>
        </w:rPr>
        <w:t xml:space="preserve"> de réformer en profondeur le système de collecte de données relatives aux enfants. </w:t>
      </w:r>
    </w:p>
    <w:p w14:paraId="5C412D3F" w14:textId="77777777" w:rsidR="00077B75" w:rsidRPr="00494098" w:rsidRDefault="00077B75" w:rsidP="00480570">
      <w:pPr>
        <w:pStyle w:val="SingleTxtG"/>
        <w:rPr>
          <w:lang w:val="fr-FR"/>
        </w:rPr>
      </w:pPr>
      <w:r w:rsidRPr="00494098">
        <w:rPr>
          <w:lang w:val="fr-FR"/>
        </w:rPr>
        <w:t>30.</w:t>
      </w:r>
      <w:r w:rsidRPr="00494098">
        <w:rPr>
          <w:lang w:val="fr-FR"/>
        </w:rPr>
        <w:tab/>
        <w:t xml:space="preserve">Pour l’heure, la collecte de </w:t>
      </w:r>
      <w:r w:rsidR="00AB110E" w:rsidRPr="00494098">
        <w:rPr>
          <w:lang w:val="fr-FR"/>
        </w:rPr>
        <w:t xml:space="preserve">ces </w:t>
      </w:r>
      <w:r w:rsidRPr="00494098">
        <w:rPr>
          <w:lang w:val="fr-FR"/>
        </w:rPr>
        <w:t>données se déroule sous l'égide de différents ministères.</w:t>
      </w:r>
    </w:p>
    <w:p w14:paraId="4B71B243" w14:textId="77777777" w:rsidR="00077B75" w:rsidRPr="00494098" w:rsidRDefault="00077B75" w:rsidP="0018750A">
      <w:pPr>
        <w:pStyle w:val="H4G"/>
        <w:rPr>
          <w:lang w:val="fr-FR"/>
        </w:rPr>
      </w:pPr>
      <w:r w:rsidRPr="00494098">
        <w:rPr>
          <w:lang w:val="fr-FR"/>
        </w:rPr>
        <w:tab/>
      </w:r>
      <w:r w:rsidRPr="00494098">
        <w:rPr>
          <w:lang w:val="fr-FR"/>
        </w:rPr>
        <w:tab/>
        <w:t xml:space="preserve">Santé </w:t>
      </w:r>
      <w:bookmarkStart w:id="39" w:name="_Toc530057479"/>
      <w:bookmarkEnd w:id="39"/>
    </w:p>
    <w:p w14:paraId="63D08F27" w14:textId="77777777" w:rsidR="00077B75" w:rsidRPr="00494098" w:rsidRDefault="00077B75" w:rsidP="00480570">
      <w:pPr>
        <w:pStyle w:val="SingleTxtG"/>
        <w:rPr>
          <w:lang w:val="fr-FR"/>
        </w:rPr>
      </w:pPr>
      <w:r w:rsidRPr="00494098">
        <w:rPr>
          <w:lang w:val="fr-FR"/>
        </w:rPr>
        <w:t>31.</w:t>
      </w:r>
      <w:r w:rsidRPr="00494098">
        <w:rPr>
          <w:lang w:val="fr-FR"/>
        </w:rPr>
        <w:tab/>
        <w:t xml:space="preserve">Le Programme national pour la santé des enfants et des adolescents recueille des données en vertu de la norme </w:t>
      </w:r>
      <w:r w:rsidR="006717A5" w:rsidRPr="00494098">
        <w:rPr>
          <w:lang w:val="fr-FR"/>
        </w:rPr>
        <w:t>n° </w:t>
      </w:r>
      <w:r w:rsidRPr="00494098">
        <w:rPr>
          <w:lang w:val="fr-FR"/>
        </w:rPr>
        <w:t>010/2013 du 31</w:t>
      </w:r>
      <w:r w:rsidR="00C607E5" w:rsidRPr="00494098">
        <w:rPr>
          <w:lang w:val="fr-FR"/>
        </w:rPr>
        <w:t> </w:t>
      </w:r>
      <w:r w:rsidRPr="00494098">
        <w:rPr>
          <w:lang w:val="fr-FR"/>
        </w:rPr>
        <w:t xml:space="preserve">mai 2013, </w:t>
      </w:r>
      <w:r w:rsidR="00AB110E" w:rsidRPr="00494098">
        <w:rPr>
          <w:lang w:val="fr-FR"/>
        </w:rPr>
        <w:t xml:space="preserve">au moyen de </w:t>
      </w:r>
      <w:r w:rsidRPr="00494098">
        <w:rPr>
          <w:lang w:val="fr-FR"/>
        </w:rPr>
        <w:t xml:space="preserve">deux </w:t>
      </w:r>
      <w:r w:rsidR="00AB110E" w:rsidRPr="00494098">
        <w:rPr>
          <w:lang w:val="fr-FR"/>
        </w:rPr>
        <w:t>mécanismes</w:t>
      </w:r>
      <w:r w:rsidR="00090CBF" w:rsidRPr="00494098">
        <w:rPr>
          <w:lang w:val="fr-FR"/>
        </w:rPr>
        <w:t>:</w:t>
      </w:r>
      <w:r w:rsidRPr="00494098">
        <w:rPr>
          <w:lang w:val="fr-FR"/>
        </w:rPr>
        <w:t xml:space="preserve"> le fichier des naissances (</w:t>
      </w:r>
      <w:r w:rsidRPr="00494098">
        <w:rPr>
          <w:i/>
          <w:lang w:val="fr-FR"/>
        </w:rPr>
        <w:t>Notícia Nascimento</w:t>
      </w:r>
      <w:r w:rsidRPr="00494098">
        <w:rPr>
          <w:lang w:val="fr-FR"/>
        </w:rPr>
        <w:t>)</w:t>
      </w:r>
      <w:r w:rsidR="00090CBF" w:rsidRPr="00494098">
        <w:rPr>
          <w:lang w:val="fr-FR"/>
        </w:rPr>
        <w:t>, qui contient l</w:t>
      </w:r>
      <w:r w:rsidRPr="00494098">
        <w:rPr>
          <w:lang w:val="fr-FR"/>
        </w:rPr>
        <w:t xml:space="preserve">es informations sur la naissance de l’enfant </w:t>
      </w:r>
      <w:r w:rsidR="00C607E5" w:rsidRPr="00494098">
        <w:rPr>
          <w:lang w:val="fr-FR"/>
        </w:rPr>
        <w:t xml:space="preserve">dans les </w:t>
      </w:r>
      <w:r w:rsidRPr="00494098">
        <w:rPr>
          <w:lang w:val="fr-FR"/>
        </w:rPr>
        <w:t>hôpita</w:t>
      </w:r>
      <w:r w:rsidR="00C607E5" w:rsidRPr="00494098">
        <w:rPr>
          <w:lang w:val="fr-FR"/>
        </w:rPr>
        <w:t>ux,</w:t>
      </w:r>
      <w:r w:rsidRPr="00494098">
        <w:rPr>
          <w:lang w:val="fr-FR"/>
        </w:rPr>
        <w:t xml:space="preserve"> </w:t>
      </w:r>
      <w:r w:rsidR="00AB110E" w:rsidRPr="00494098">
        <w:rPr>
          <w:lang w:val="fr-FR"/>
        </w:rPr>
        <w:t xml:space="preserve">qui seront transmises </w:t>
      </w:r>
      <w:r w:rsidRPr="00494098">
        <w:rPr>
          <w:lang w:val="fr-FR"/>
        </w:rPr>
        <w:t>aux services de soins de santé primaires</w:t>
      </w:r>
      <w:r w:rsidR="00C607E5" w:rsidRPr="00494098">
        <w:rPr>
          <w:lang w:val="fr-FR"/>
        </w:rPr>
        <w:t> ;</w:t>
      </w:r>
      <w:r w:rsidRPr="00494098">
        <w:rPr>
          <w:lang w:val="fr-FR"/>
        </w:rPr>
        <w:t xml:space="preserve"> et le Module de santé des enfants et des adolescents, qui enregistre les informations au niveau des soins de santé primaires (ordonnance </w:t>
      </w:r>
      <w:r w:rsidR="006717A5" w:rsidRPr="00494098">
        <w:rPr>
          <w:lang w:val="fr-FR"/>
        </w:rPr>
        <w:t>n° </w:t>
      </w:r>
      <w:r w:rsidRPr="00494098">
        <w:rPr>
          <w:lang w:val="fr-FR"/>
        </w:rPr>
        <w:t>5656/2017 du 28</w:t>
      </w:r>
      <w:r w:rsidR="00090CBF" w:rsidRPr="00494098">
        <w:rPr>
          <w:lang w:val="fr-FR"/>
        </w:rPr>
        <w:t> juin</w:t>
      </w:r>
      <w:r w:rsidRPr="00494098">
        <w:rPr>
          <w:lang w:val="fr-FR"/>
        </w:rPr>
        <w:t xml:space="preserve"> 2017, du Sous-secrétaire d’État </w:t>
      </w:r>
      <w:r w:rsidR="00C607E5" w:rsidRPr="00494098">
        <w:rPr>
          <w:lang w:val="fr-FR"/>
        </w:rPr>
        <w:t xml:space="preserve">attaché au </w:t>
      </w:r>
      <w:r w:rsidRPr="00494098">
        <w:rPr>
          <w:lang w:val="fr-FR"/>
        </w:rPr>
        <w:t>Ministre de la santé).</w:t>
      </w:r>
    </w:p>
    <w:p w14:paraId="5310AAB3" w14:textId="77777777" w:rsidR="00077B75" w:rsidRPr="00494098" w:rsidRDefault="00077B75" w:rsidP="00480570">
      <w:pPr>
        <w:pStyle w:val="SingleTxtG"/>
        <w:rPr>
          <w:lang w:val="fr-FR"/>
        </w:rPr>
      </w:pPr>
      <w:r w:rsidRPr="00494098">
        <w:rPr>
          <w:lang w:val="fr-FR"/>
        </w:rPr>
        <w:t>32.</w:t>
      </w:r>
      <w:r w:rsidRPr="00494098">
        <w:rPr>
          <w:lang w:val="fr-FR"/>
        </w:rPr>
        <w:tab/>
        <w:t xml:space="preserve">L'Action de santé pour les enfants et les adolescents à risque (arrêté </w:t>
      </w:r>
      <w:r w:rsidR="006717A5" w:rsidRPr="00494098">
        <w:rPr>
          <w:lang w:val="fr-FR"/>
        </w:rPr>
        <w:t>n° </w:t>
      </w:r>
      <w:r w:rsidRPr="00494098">
        <w:rPr>
          <w:lang w:val="fr-FR"/>
        </w:rPr>
        <w:t>31292/2008 du 5</w:t>
      </w:r>
      <w:r w:rsidR="00087821" w:rsidRPr="00494098">
        <w:rPr>
          <w:lang w:val="fr-FR"/>
        </w:rPr>
        <w:t> décembre</w:t>
      </w:r>
      <w:r w:rsidRPr="00494098">
        <w:rPr>
          <w:lang w:val="fr-FR"/>
        </w:rPr>
        <w:t xml:space="preserve"> 2008) dispose d'un système informel de collecte des données pour les cinq régions du Portugal. Les collectes de d</w:t>
      </w:r>
      <w:r w:rsidR="00087821" w:rsidRPr="00494098">
        <w:rPr>
          <w:lang w:val="fr-FR"/>
        </w:rPr>
        <w:t>onnées se déroulent de manière « </w:t>
      </w:r>
      <w:r w:rsidRPr="00494098">
        <w:rPr>
          <w:lang w:val="fr-FR"/>
        </w:rPr>
        <w:t>inclusive</w:t>
      </w:r>
      <w:r w:rsidR="00087821" w:rsidRPr="00494098">
        <w:rPr>
          <w:lang w:val="fr-FR"/>
        </w:rPr>
        <w:t> »</w:t>
      </w:r>
      <w:r w:rsidRPr="00494098">
        <w:rPr>
          <w:lang w:val="fr-FR"/>
        </w:rPr>
        <w:t xml:space="preserve">, puisque tous les documents officiels du Ministère </w:t>
      </w:r>
      <w:r w:rsidRPr="00494098">
        <w:rPr>
          <w:lang w:val="fr-FR"/>
        </w:rPr>
        <w:lastRenderedPageBreak/>
        <w:t xml:space="preserve">de la santé sont rédigés selon des normes de langue inclusives et que les données sont ventilées par sexe (selon arrêt </w:t>
      </w:r>
      <w:r w:rsidR="006717A5" w:rsidRPr="00494098">
        <w:rPr>
          <w:lang w:val="fr-FR"/>
        </w:rPr>
        <w:t>n° </w:t>
      </w:r>
      <w:r w:rsidRPr="00494098">
        <w:rPr>
          <w:lang w:val="fr-FR"/>
        </w:rPr>
        <w:t>9/2015 du 23</w:t>
      </w:r>
      <w:r w:rsidR="0082263D" w:rsidRPr="00494098">
        <w:rPr>
          <w:lang w:val="fr-FR"/>
        </w:rPr>
        <w:t> mars</w:t>
      </w:r>
      <w:r w:rsidRPr="00494098">
        <w:rPr>
          <w:lang w:val="fr-FR"/>
        </w:rPr>
        <w:t xml:space="preserve"> 2015)</w:t>
      </w:r>
      <w:r w:rsidR="00087821" w:rsidRPr="00494098">
        <w:rPr>
          <w:lang w:val="fr-FR"/>
        </w:rPr>
        <w:t>.</w:t>
      </w:r>
    </w:p>
    <w:p w14:paraId="41718592" w14:textId="77777777" w:rsidR="00077B75" w:rsidRPr="00494098" w:rsidRDefault="00077B75" w:rsidP="00480570">
      <w:pPr>
        <w:pStyle w:val="SingleTxtG"/>
        <w:rPr>
          <w:lang w:val="fr-FR"/>
        </w:rPr>
      </w:pPr>
      <w:r w:rsidRPr="00494098">
        <w:rPr>
          <w:lang w:val="fr-FR"/>
        </w:rPr>
        <w:t>33.</w:t>
      </w:r>
      <w:r w:rsidRPr="00494098">
        <w:rPr>
          <w:lang w:val="fr-FR"/>
        </w:rPr>
        <w:tab/>
        <w:t>Entre 2016 et 2018, le Service national de la santé a signalé plus de 50</w:t>
      </w:r>
      <w:r w:rsidR="00C607E5" w:rsidRPr="00494098">
        <w:rPr>
          <w:lang w:val="fr-FR"/>
        </w:rPr>
        <w:t> </w:t>
      </w:r>
      <w:r w:rsidRPr="00494098">
        <w:rPr>
          <w:lang w:val="fr-FR"/>
        </w:rPr>
        <w:t>000</w:t>
      </w:r>
      <w:r w:rsidR="00C607E5" w:rsidRPr="00494098">
        <w:rPr>
          <w:lang w:val="fr-FR"/>
        </w:rPr>
        <w:t> </w:t>
      </w:r>
      <w:r w:rsidRPr="00494098">
        <w:rPr>
          <w:lang w:val="fr-FR"/>
        </w:rPr>
        <w:t>cas de maltraitance d’enfants</w:t>
      </w:r>
      <w:r w:rsidR="00C607E5" w:rsidRPr="00494098">
        <w:rPr>
          <w:lang w:val="fr-FR"/>
        </w:rPr>
        <w:t>, soit plus de 10 % de la population totale étudiée,</w:t>
      </w:r>
      <w:r w:rsidR="00087821" w:rsidRPr="00494098">
        <w:rPr>
          <w:lang w:val="fr-FR"/>
        </w:rPr>
        <w:t xml:space="preserve"> </w:t>
      </w:r>
      <w:r w:rsidRPr="00494098">
        <w:rPr>
          <w:lang w:val="fr-FR"/>
        </w:rPr>
        <w:t>et les a fait suivre par des professionnels de la santé.</w:t>
      </w:r>
    </w:p>
    <w:p w14:paraId="3B1E0523" w14:textId="77777777" w:rsidR="00077B75" w:rsidRPr="00494098" w:rsidRDefault="00077B75" w:rsidP="0018750A">
      <w:pPr>
        <w:pStyle w:val="H4G"/>
        <w:rPr>
          <w:lang w:val="fr-FR"/>
        </w:rPr>
      </w:pPr>
      <w:r w:rsidRPr="00494098">
        <w:rPr>
          <w:lang w:val="fr-FR"/>
        </w:rPr>
        <w:tab/>
      </w:r>
      <w:r w:rsidRPr="00494098">
        <w:rPr>
          <w:lang w:val="fr-FR"/>
        </w:rPr>
        <w:tab/>
      </w:r>
      <w:r w:rsidRPr="00494098">
        <w:rPr>
          <w:iCs/>
          <w:lang w:val="fr-FR"/>
        </w:rPr>
        <w:t>Éducation</w:t>
      </w:r>
      <w:r w:rsidRPr="00494098">
        <w:rPr>
          <w:lang w:val="fr-FR"/>
        </w:rPr>
        <w:t xml:space="preserve"> </w:t>
      </w:r>
      <w:bookmarkStart w:id="40" w:name="_Toc530057480"/>
      <w:bookmarkEnd w:id="40"/>
    </w:p>
    <w:p w14:paraId="09B7D40E" w14:textId="77777777" w:rsidR="00077B75" w:rsidRPr="00494098" w:rsidRDefault="00077B75" w:rsidP="00480570">
      <w:pPr>
        <w:pStyle w:val="SingleTxtG"/>
        <w:rPr>
          <w:lang w:val="fr-FR"/>
        </w:rPr>
      </w:pPr>
      <w:r w:rsidRPr="00494098">
        <w:rPr>
          <w:lang w:val="fr-FR"/>
        </w:rPr>
        <w:t>34.</w:t>
      </w:r>
      <w:r w:rsidRPr="00494098">
        <w:rPr>
          <w:lang w:val="fr-FR"/>
        </w:rPr>
        <w:tab/>
        <w:t xml:space="preserve">Les statistiques sur l’éducation comportent des données ventilées par âge, sexe, niveau et type d’enseignement, situation géographique, nationalité, origine socio-économique ou familiale (niveau de qualification/éducation des parents). </w:t>
      </w:r>
    </w:p>
    <w:p w14:paraId="6C4EC35F" w14:textId="77777777" w:rsidR="00077B75" w:rsidRPr="00494098" w:rsidRDefault="00077B75" w:rsidP="00480570">
      <w:pPr>
        <w:pStyle w:val="SingleTxtG"/>
        <w:rPr>
          <w:lang w:val="fr-FR"/>
        </w:rPr>
      </w:pPr>
      <w:r w:rsidRPr="00494098">
        <w:rPr>
          <w:lang w:val="fr-FR"/>
        </w:rPr>
        <w:t>35.</w:t>
      </w:r>
      <w:r w:rsidRPr="00494098">
        <w:rPr>
          <w:lang w:val="fr-FR"/>
        </w:rPr>
        <w:tab/>
        <w:t xml:space="preserve">Des contraintes constitutionnelles empêchent </w:t>
      </w:r>
      <w:r w:rsidR="00AB110E" w:rsidRPr="00494098">
        <w:rPr>
          <w:lang w:val="fr-FR"/>
        </w:rPr>
        <w:t xml:space="preserve">de systématiser les </w:t>
      </w:r>
      <w:r w:rsidRPr="00494098">
        <w:rPr>
          <w:lang w:val="fr-FR"/>
        </w:rPr>
        <w:t>collectes de données sur les origines des groupes ethniques</w:t>
      </w:r>
      <w:r w:rsidR="004C2DF7" w:rsidRPr="00494098">
        <w:rPr>
          <w:lang w:val="fr-FR"/>
        </w:rPr>
        <w:t>,</w:t>
      </w:r>
      <w:r w:rsidRPr="00494098">
        <w:rPr>
          <w:lang w:val="fr-FR"/>
        </w:rPr>
        <w:t xml:space="preserve"> des minorités ou des migrants, c’est-à-dire que seules les données relatives à la nationalité des élèves et des étudiants sont recueillies. </w:t>
      </w:r>
      <w:r w:rsidR="004C2DF7" w:rsidRPr="00494098">
        <w:rPr>
          <w:lang w:val="fr-FR"/>
        </w:rPr>
        <w:t>Toutefois, des données concernant les élèves et les étudiants d’origine rom ont été recueillies pour la première fois en 2017, dans le cadre de la S</w:t>
      </w:r>
      <w:r w:rsidRPr="00494098">
        <w:rPr>
          <w:lang w:val="fr-FR"/>
        </w:rPr>
        <w:t xml:space="preserve">tratégie d’intégration des communautés roms, </w:t>
      </w:r>
      <w:r w:rsidR="004C2DF7" w:rsidRPr="00494098">
        <w:rPr>
          <w:lang w:val="fr-FR"/>
        </w:rPr>
        <w:t xml:space="preserve">et ce </w:t>
      </w:r>
      <w:r w:rsidRPr="00494098">
        <w:rPr>
          <w:lang w:val="fr-FR"/>
        </w:rPr>
        <w:t xml:space="preserve">conformément à une récente autorisation accordée par la Commission nationale pour la protection des données. </w:t>
      </w:r>
    </w:p>
    <w:p w14:paraId="24AA0CBF" w14:textId="77777777" w:rsidR="00077B75" w:rsidRPr="00494098" w:rsidRDefault="00077B75" w:rsidP="0018750A">
      <w:pPr>
        <w:pStyle w:val="H4G"/>
        <w:rPr>
          <w:lang w:val="fr-FR"/>
        </w:rPr>
      </w:pPr>
      <w:r w:rsidRPr="00494098">
        <w:rPr>
          <w:lang w:val="fr-FR"/>
        </w:rPr>
        <w:tab/>
      </w:r>
      <w:r w:rsidRPr="00494098">
        <w:rPr>
          <w:lang w:val="fr-FR"/>
        </w:rPr>
        <w:tab/>
      </w:r>
      <w:r w:rsidRPr="00494098">
        <w:rPr>
          <w:iCs/>
          <w:lang w:val="fr-FR"/>
        </w:rPr>
        <w:t>Justice</w:t>
      </w:r>
      <w:bookmarkStart w:id="41" w:name="_Toc530057481"/>
      <w:bookmarkEnd w:id="41"/>
    </w:p>
    <w:p w14:paraId="2AB7D155" w14:textId="77777777" w:rsidR="00077B75" w:rsidRPr="00494098" w:rsidRDefault="00077B75" w:rsidP="00480570">
      <w:pPr>
        <w:pStyle w:val="SingleTxtG"/>
        <w:rPr>
          <w:lang w:val="fr-FR"/>
        </w:rPr>
      </w:pPr>
      <w:r w:rsidRPr="00494098">
        <w:rPr>
          <w:lang w:val="fr-FR"/>
        </w:rPr>
        <w:t>36.</w:t>
      </w:r>
      <w:r w:rsidRPr="00494098">
        <w:rPr>
          <w:lang w:val="fr-FR"/>
        </w:rPr>
        <w:tab/>
        <w:t xml:space="preserve">Le Ministère de la justice a mis en place une plateforme numérique d’accès aux services et aux statistiques (justice.gov.pt) qui, pour la première fois et en un seul lieu, propose différents domaines thématiques et services judiciaires (greffes des tribunaux, </w:t>
      </w:r>
      <w:r w:rsidRPr="00494098">
        <w:rPr>
          <w:lang w:val="fr-FR"/>
        </w:rPr>
        <w:lastRenderedPageBreak/>
        <w:t>services pénitentiaires et de réinsertion, propriété industrielle, médecine légale ou enquêtes pénales), soit un total de plus de 60</w:t>
      </w:r>
      <w:r w:rsidR="00E234B1" w:rsidRPr="00494098">
        <w:rPr>
          <w:lang w:val="fr-FR"/>
        </w:rPr>
        <w:t> </w:t>
      </w:r>
      <w:r w:rsidRPr="00494098">
        <w:rPr>
          <w:lang w:val="fr-FR"/>
        </w:rPr>
        <w:t>fiches de services disponibles et plus de 120</w:t>
      </w:r>
      <w:r w:rsidR="00E234B1" w:rsidRPr="00494098">
        <w:rPr>
          <w:lang w:val="fr-FR"/>
        </w:rPr>
        <w:t> </w:t>
      </w:r>
      <w:r w:rsidRPr="00494098">
        <w:rPr>
          <w:lang w:val="fr-FR"/>
        </w:rPr>
        <w:t>indicateurs et statistiques.</w:t>
      </w:r>
    </w:p>
    <w:p w14:paraId="68E66A77" w14:textId="77777777" w:rsidR="00077B75" w:rsidRPr="00494098" w:rsidRDefault="00077B75" w:rsidP="00480570">
      <w:pPr>
        <w:pStyle w:val="SingleTxtG"/>
        <w:rPr>
          <w:lang w:val="fr-FR"/>
        </w:rPr>
      </w:pPr>
      <w:r w:rsidRPr="00494098">
        <w:rPr>
          <w:lang w:val="fr-FR"/>
        </w:rPr>
        <w:t>37.</w:t>
      </w:r>
      <w:r w:rsidRPr="00494098">
        <w:rPr>
          <w:lang w:val="fr-FR"/>
        </w:rPr>
        <w:tab/>
        <w:t>La plateforme comprend également un domaine axé sur un modèle de gouvernance ouverte — partilha.justiça.gov.pt</w:t>
      </w:r>
      <w:r w:rsidR="00800604" w:rsidRPr="00494098">
        <w:rPr>
          <w:lang w:val="fr-FR"/>
        </w:rPr>
        <w:t xml:space="preserve"> — </w:t>
      </w:r>
      <w:r w:rsidRPr="00494098">
        <w:rPr>
          <w:lang w:val="fr-FR"/>
        </w:rPr>
        <w:t>qui s’inspire des bonnes pratiques internationales et se fonde sur trois axes fondamentaux</w:t>
      </w:r>
      <w:r w:rsidR="00090CBF" w:rsidRPr="00494098">
        <w:rPr>
          <w:lang w:val="fr-FR"/>
        </w:rPr>
        <w:t> :</w:t>
      </w:r>
      <w:r w:rsidRPr="00494098">
        <w:rPr>
          <w:lang w:val="fr-FR"/>
        </w:rPr>
        <w:t xml:space="preserve"> la transparence, la participation et la collectivité.</w:t>
      </w:r>
    </w:p>
    <w:p w14:paraId="6A8F4719" w14:textId="77777777" w:rsidR="00077B75" w:rsidRPr="00494098" w:rsidRDefault="00077B75" w:rsidP="00480570">
      <w:pPr>
        <w:pStyle w:val="SingleTxtG"/>
        <w:rPr>
          <w:lang w:val="fr-FR"/>
        </w:rPr>
      </w:pPr>
      <w:r w:rsidRPr="00494098">
        <w:rPr>
          <w:lang w:val="fr-FR"/>
        </w:rPr>
        <w:t>38.</w:t>
      </w:r>
      <w:r w:rsidRPr="00494098">
        <w:rPr>
          <w:lang w:val="fr-FR"/>
        </w:rPr>
        <w:tab/>
        <w:t xml:space="preserve">Le lancement de la plateforme se fera progressivement en bêta, c’est-à-dire </w:t>
      </w:r>
      <w:r w:rsidR="00895B81" w:rsidRPr="00494098">
        <w:rPr>
          <w:lang w:val="fr-FR"/>
        </w:rPr>
        <w:t xml:space="preserve">selon </w:t>
      </w:r>
      <w:r w:rsidRPr="00494098">
        <w:rPr>
          <w:lang w:val="fr-FR"/>
        </w:rPr>
        <w:t xml:space="preserve">un </w:t>
      </w:r>
      <w:r w:rsidR="00895B81" w:rsidRPr="00494098">
        <w:rPr>
          <w:lang w:val="fr-FR"/>
        </w:rPr>
        <w:t>schéma</w:t>
      </w:r>
      <w:r w:rsidRPr="00494098">
        <w:rPr>
          <w:lang w:val="fr-FR"/>
        </w:rPr>
        <w:t xml:space="preserve"> d’amélioration permanente qui permet</w:t>
      </w:r>
      <w:r w:rsidR="00D8307B" w:rsidRPr="00494098">
        <w:rPr>
          <w:lang w:val="fr-FR"/>
        </w:rPr>
        <w:t>tra</w:t>
      </w:r>
      <w:r w:rsidRPr="00494098">
        <w:rPr>
          <w:lang w:val="fr-FR"/>
        </w:rPr>
        <w:t xml:space="preserve"> d'</w:t>
      </w:r>
      <w:r w:rsidR="00895B81" w:rsidRPr="00494098">
        <w:rPr>
          <w:lang w:val="fr-FR"/>
        </w:rPr>
        <w:t xml:space="preserve">ajouter </w:t>
      </w:r>
      <w:r w:rsidRPr="00494098">
        <w:rPr>
          <w:lang w:val="fr-FR"/>
        </w:rPr>
        <w:t>plus rapidement de nouveaux éléments et d</w:t>
      </w:r>
      <w:r w:rsidR="00895B81" w:rsidRPr="00494098">
        <w:rPr>
          <w:lang w:val="fr-FR"/>
        </w:rPr>
        <w:t xml:space="preserve">’améliorer </w:t>
      </w:r>
      <w:r w:rsidRPr="00494098">
        <w:rPr>
          <w:lang w:val="fr-FR"/>
        </w:rPr>
        <w:t>ceux déjà en place, avec un</w:t>
      </w:r>
      <w:r w:rsidR="00895B81" w:rsidRPr="00494098">
        <w:rPr>
          <w:lang w:val="fr-FR"/>
        </w:rPr>
        <w:t xml:space="preserve">e </w:t>
      </w:r>
      <w:r w:rsidR="004C3855" w:rsidRPr="00494098">
        <w:rPr>
          <w:lang w:val="fr-FR"/>
        </w:rPr>
        <w:t xml:space="preserve">meilleure </w:t>
      </w:r>
      <w:r w:rsidR="00895B81" w:rsidRPr="00494098">
        <w:rPr>
          <w:lang w:val="fr-FR"/>
        </w:rPr>
        <w:t>prise en compte des</w:t>
      </w:r>
      <w:r w:rsidRPr="00494098">
        <w:rPr>
          <w:lang w:val="fr-FR"/>
        </w:rPr>
        <w:t xml:space="preserve"> </w:t>
      </w:r>
      <w:r w:rsidR="00800604" w:rsidRPr="00494098">
        <w:rPr>
          <w:lang w:val="fr-FR"/>
        </w:rPr>
        <w:t xml:space="preserve">commentaires </w:t>
      </w:r>
      <w:r w:rsidRPr="00494098">
        <w:rPr>
          <w:lang w:val="fr-FR"/>
        </w:rPr>
        <w:t xml:space="preserve">des utilisateurs. </w:t>
      </w:r>
    </w:p>
    <w:p w14:paraId="15A76B31" w14:textId="77777777" w:rsidR="00077B75" w:rsidRPr="00494098" w:rsidRDefault="00077B75" w:rsidP="0018750A">
      <w:pPr>
        <w:pStyle w:val="H4G"/>
        <w:rPr>
          <w:lang w:val="fr-FR"/>
        </w:rPr>
      </w:pPr>
      <w:r w:rsidRPr="00494098">
        <w:rPr>
          <w:lang w:val="fr-FR"/>
        </w:rPr>
        <w:tab/>
      </w:r>
      <w:r w:rsidRPr="00494098">
        <w:rPr>
          <w:lang w:val="fr-FR"/>
        </w:rPr>
        <w:tab/>
      </w:r>
      <w:r w:rsidRPr="00494098">
        <w:rPr>
          <w:iCs/>
          <w:lang w:val="fr-FR"/>
        </w:rPr>
        <w:t>Sécurité sociale</w:t>
      </w:r>
      <w:bookmarkStart w:id="42" w:name="_Toc530057482"/>
      <w:bookmarkEnd w:id="42"/>
    </w:p>
    <w:p w14:paraId="52C7F9DC" w14:textId="77777777" w:rsidR="00077B75" w:rsidRPr="00494098" w:rsidRDefault="00077B75" w:rsidP="00480570">
      <w:pPr>
        <w:pStyle w:val="SingleTxtG"/>
        <w:rPr>
          <w:lang w:val="fr-FR"/>
        </w:rPr>
      </w:pPr>
      <w:r w:rsidRPr="00494098">
        <w:rPr>
          <w:lang w:val="fr-FR"/>
        </w:rPr>
        <w:t>39.</w:t>
      </w:r>
      <w:r w:rsidRPr="00494098">
        <w:rPr>
          <w:lang w:val="fr-FR"/>
        </w:rPr>
        <w:tab/>
        <w:t>Le Système d’information sur la sécurité sociale intègre des données personnelles sur les enfants et les jeunes bénéficiaires du système de sécurité sociale et leurs foyers respectifs.</w:t>
      </w:r>
    </w:p>
    <w:p w14:paraId="5CC95C90" w14:textId="14C59EEA" w:rsidR="00077B75" w:rsidRPr="00494098" w:rsidRDefault="00077B75" w:rsidP="0018750A">
      <w:pPr>
        <w:pStyle w:val="H23G"/>
        <w:rPr>
          <w:lang w:val="fr-FR"/>
        </w:rPr>
      </w:pPr>
      <w:r w:rsidRPr="00494098">
        <w:rPr>
          <w:lang w:val="fr-FR"/>
        </w:rPr>
        <w:tab/>
      </w:r>
      <w:r w:rsidRPr="00494098">
        <w:rPr>
          <w:lang w:val="fr-FR"/>
        </w:rPr>
        <w:tab/>
        <w:t>Suivi indépendant (par</w:t>
      </w:r>
      <w:r w:rsidR="00895B81" w:rsidRPr="00494098">
        <w:rPr>
          <w:lang w:val="fr-FR"/>
        </w:rPr>
        <w:t>.</w:t>
      </w:r>
      <w:r w:rsidRPr="00494098">
        <w:rPr>
          <w:lang w:val="fr-FR"/>
        </w:rPr>
        <w:t xml:space="preserve"> 20 </w:t>
      </w:r>
      <w:r w:rsidR="00872592" w:rsidRPr="00494098">
        <w:rPr>
          <w:lang w:val="fr-FR"/>
        </w:rPr>
        <w:t xml:space="preserve">des </w:t>
      </w:r>
      <w:r w:rsidR="00067E5B">
        <w:rPr>
          <w:lang w:val="fr-FR"/>
        </w:rPr>
        <w:t>o</w:t>
      </w:r>
      <w:r w:rsidR="00916D99" w:rsidRPr="00494098">
        <w:rPr>
          <w:lang w:val="fr-FR"/>
        </w:rPr>
        <w:t>bservations finales</w:t>
      </w:r>
      <w:r w:rsidR="00872592" w:rsidRPr="00494098">
        <w:rPr>
          <w:lang w:val="fr-FR"/>
        </w:rPr>
        <w:t>)</w:t>
      </w:r>
      <w:bookmarkStart w:id="43" w:name="_Toc530057284"/>
      <w:bookmarkStart w:id="44" w:name="_Toc530057483"/>
      <w:bookmarkStart w:id="45" w:name="_Toc530057598"/>
      <w:bookmarkStart w:id="46" w:name="_Toc530067979"/>
      <w:bookmarkEnd w:id="43"/>
      <w:bookmarkEnd w:id="44"/>
      <w:bookmarkEnd w:id="45"/>
      <w:bookmarkEnd w:id="46"/>
    </w:p>
    <w:p w14:paraId="33F0F2E1" w14:textId="77777777" w:rsidR="00077B75" w:rsidRPr="00494098" w:rsidRDefault="00077B75" w:rsidP="00480570">
      <w:pPr>
        <w:pStyle w:val="SingleTxtG"/>
        <w:rPr>
          <w:lang w:val="fr-FR"/>
        </w:rPr>
      </w:pPr>
      <w:r w:rsidRPr="00494098">
        <w:rPr>
          <w:lang w:val="fr-FR"/>
        </w:rPr>
        <w:t>40.</w:t>
      </w:r>
      <w:r w:rsidRPr="00494098">
        <w:rPr>
          <w:lang w:val="fr-FR"/>
        </w:rPr>
        <w:tab/>
        <w:t xml:space="preserve">Les questions relatives aux droits de l’enfant, aux droits des personnes âgées et aux droits des personnes handicapées sont prises en </w:t>
      </w:r>
      <w:r w:rsidR="004C3855" w:rsidRPr="00494098">
        <w:rPr>
          <w:lang w:val="fr-FR"/>
        </w:rPr>
        <w:t xml:space="preserve">considérations </w:t>
      </w:r>
      <w:r w:rsidRPr="00494098">
        <w:rPr>
          <w:lang w:val="fr-FR"/>
        </w:rPr>
        <w:t>par l'Unité enfants, personnes âgées et personnes handicapées (N-CID) du Médiateur, qui fonctionne depuis 2009 et gère trois services téléphoniques spécialisés et gratuits</w:t>
      </w:r>
      <w:r w:rsidR="00090CBF" w:rsidRPr="00494098">
        <w:rPr>
          <w:lang w:val="fr-FR"/>
        </w:rPr>
        <w:t> :</w:t>
      </w:r>
      <w:r w:rsidRPr="00494098">
        <w:rPr>
          <w:lang w:val="fr-FR"/>
        </w:rPr>
        <w:t xml:space="preserve"> la permanence téléphonique pour les enfants, </w:t>
      </w:r>
      <w:r w:rsidRPr="00494098">
        <w:rPr>
          <w:lang w:val="fr-FR"/>
        </w:rPr>
        <w:lastRenderedPageBreak/>
        <w:t>créée en 1993</w:t>
      </w:r>
      <w:r w:rsidR="006717A5" w:rsidRPr="00494098">
        <w:rPr>
          <w:lang w:val="fr-FR"/>
        </w:rPr>
        <w:t> ;</w:t>
      </w:r>
      <w:r w:rsidRPr="00494098">
        <w:rPr>
          <w:lang w:val="fr-FR"/>
        </w:rPr>
        <w:t xml:space="preserve"> le numéro d’appel des citoyens âgés, créé en 1999</w:t>
      </w:r>
      <w:r w:rsidR="00427AE3" w:rsidRPr="00494098">
        <w:rPr>
          <w:lang w:val="fr-FR"/>
        </w:rPr>
        <w:t> ;</w:t>
      </w:r>
      <w:r w:rsidRPr="00494098">
        <w:rPr>
          <w:lang w:val="fr-FR"/>
        </w:rPr>
        <w:t xml:space="preserve"> et la ligne téléphonique d’urgence pour les personnes handicapées, créée en 2011. </w:t>
      </w:r>
    </w:p>
    <w:p w14:paraId="3DA2712A" w14:textId="77777777" w:rsidR="00077B75" w:rsidRPr="00494098" w:rsidRDefault="00077B75" w:rsidP="00480570">
      <w:pPr>
        <w:pStyle w:val="SingleTxtG"/>
        <w:rPr>
          <w:lang w:val="fr-FR"/>
        </w:rPr>
      </w:pPr>
      <w:r w:rsidRPr="00494098">
        <w:rPr>
          <w:lang w:val="fr-FR"/>
        </w:rPr>
        <w:t>41.</w:t>
      </w:r>
      <w:r w:rsidRPr="00494098">
        <w:rPr>
          <w:lang w:val="fr-FR"/>
        </w:rPr>
        <w:tab/>
        <w:t xml:space="preserve">Ces trois lignes téléphoniques travaillent en lien étroit avec la Division des relations publiques dans le cadre d’un projet intégré spécial, </w:t>
      </w:r>
      <w:r w:rsidR="004C3855" w:rsidRPr="00494098">
        <w:rPr>
          <w:lang w:val="fr-FR"/>
        </w:rPr>
        <w:t xml:space="preserve">développé </w:t>
      </w:r>
      <w:r w:rsidRPr="00494098">
        <w:rPr>
          <w:lang w:val="fr-FR"/>
        </w:rPr>
        <w:t xml:space="preserve">depuis 2015. L'Unité enfants, personnes âgées et personnes handicapées </w:t>
      </w:r>
      <w:r w:rsidR="00427AE3" w:rsidRPr="00494098">
        <w:rPr>
          <w:lang w:val="fr-FR"/>
        </w:rPr>
        <w:t>est composée d’</w:t>
      </w:r>
      <w:r w:rsidRPr="00494098">
        <w:rPr>
          <w:lang w:val="fr-FR"/>
        </w:rPr>
        <w:t xml:space="preserve">un coordonnateur et </w:t>
      </w:r>
      <w:r w:rsidR="00427AE3" w:rsidRPr="00494098">
        <w:rPr>
          <w:lang w:val="fr-FR"/>
        </w:rPr>
        <w:t xml:space="preserve">de </w:t>
      </w:r>
      <w:r w:rsidRPr="00494098">
        <w:rPr>
          <w:lang w:val="fr-FR"/>
        </w:rPr>
        <w:t>trois autres membres (deux juristes diplômés et un psychologue).</w:t>
      </w:r>
    </w:p>
    <w:p w14:paraId="1BDC206B" w14:textId="77777777" w:rsidR="00077B75" w:rsidRPr="00494098" w:rsidRDefault="00077B75" w:rsidP="00480570">
      <w:pPr>
        <w:pStyle w:val="SingleTxtG"/>
        <w:rPr>
          <w:lang w:val="fr-FR"/>
        </w:rPr>
      </w:pPr>
      <w:r w:rsidRPr="00494098">
        <w:rPr>
          <w:lang w:val="fr-FR"/>
        </w:rPr>
        <w:t>42.</w:t>
      </w:r>
      <w:r w:rsidRPr="00494098">
        <w:rPr>
          <w:lang w:val="fr-FR"/>
        </w:rPr>
        <w:tab/>
      </w:r>
      <w:r w:rsidR="00427AE3" w:rsidRPr="00494098">
        <w:rPr>
          <w:lang w:val="fr-FR"/>
        </w:rPr>
        <w:t>À l’intérieur de ce champ d’action</w:t>
      </w:r>
      <w:r w:rsidRPr="00494098">
        <w:rPr>
          <w:lang w:val="fr-FR"/>
        </w:rPr>
        <w:t xml:space="preserve">, </w:t>
      </w:r>
      <w:r w:rsidR="00427AE3" w:rsidRPr="00494098">
        <w:rPr>
          <w:lang w:val="fr-FR"/>
        </w:rPr>
        <w:t xml:space="preserve">cette </w:t>
      </w:r>
      <w:r w:rsidRPr="00494098">
        <w:rPr>
          <w:lang w:val="fr-FR"/>
        </w:rPr>
        <w:t>Unité</w:t>
      </w:r>
      <w:r w:rsidR="00427AE3" w:rsidRPr="00494098">
        <w:rPr>
          <w:lang w:val="fr-FR"/>
        </w:rPr>
        <w:t xml:space="preserve"> </w:t>
      </w:r>
      <w:r w:rsidRPr="00494098">
        <w:rPr>
          <w:lang w:val="fr-FR"/>
        </w:rPr>
        <w:t>s'implique aussi</w:t>
      </w:r>
      <w:r w:rsidR="00427AE3" w:rsidRPr="00494098">
        <w:rPr>
          <w:lang w:val="fr-FR"/>
        </w:rPr>
        <w:t xml:space="preserve"> dans des activités </w:t>
      </w:r>
      <w:r w:rsidRPr="00494098">
        <w:rPr>
          <w:lang w:val="fr-FR"/>
        </w:rPr>
        <w:t xml:space="preserve">d’éducation </w:t>
      </w:r>
      <w:r w:rsidR="00427AE3" w:rsidRPr="00494098">
        <w:rPr>
          <w:lang w:val="fr-FR"/>
        </w:rPr>
        <w:t xml:space="preserve">et de sensibilisation </w:t>
      </w:r>
      <w:r w:rsidRPr="00494098">
        <w:rPr>
          <w:lang w:val="fr-FR"/>
        </w:rPr>
        <w:t>aux droits de l’homme, notamment en apportant des informations et des conseils spécialisés sur les plaintes au</w:t>
      </w:r>
      <w:r w:rsidR="00427AE3" w:rsidRPr="00494098">
        <w:rPr>
          <w:lang w:val="fr-FR"/>
        </w:rPr>
        <w:t xml:space="preserve">près du </w:t>
      </w:r>
      <w:r w:rsidRPr="00494098">
        <w:rPr>
          <w:lang w:val="fr-FR"/>
        </w:rPr>
        <w:t xml:space="preserve">Médiateur. </w:t>
      </w:r>
      <w:r w:rsidR="00427AE3" w:rsidRPr="00494098">
        <w:rPr>
          <w:lang w:val="fr-FR"/>
        </w:rPr>
        <w:t xml:space="preserve">Elle </w:t>
      </w:r>
      <w:r w:rsidRPr="00494098">
        <w:rPr>
          <w:lang w:val="fr-FR"/>
        </w:rPr>
        <w:t xml:space="preserve">vise donc non seulement à trouver des solutions pour les cas concrets faisant l’objet d’une enquête, en coopération avec les autorités publiques compétentes, mais aussi à informer les gens sur leurs droits et les moyens dont ils disposent pour les défendre. </w:t>
      </w:r>
    </w:p>
    <w:p w14:paraId="66D45946" w14:textId="77777777" w:rsidR="00077B75" w:rsidRPr="00494098" w:rsidRDefault="00077B75" w:rsidP="00480570">
      <w:pPr>
        <w:pStyle w:val="SingleTxtG"/>
        <w:rPr>
          <w:lang w:val="fr-FR"/>
        </w:rPr>
      </w:pPr>
      <w:r w:rsidRPr="00494098">
        <w:rPr>
          <w:lang w:val="fr-FR"/>
        </w:rPr>
        <w:t>43.</w:t>
      </w:r>
      <w:r w:rsidRPr="00494098">
        <w:rPr>
          <w:lang w:val="fr-FR"/>
        </w:rPr>
        <w:tab/>
        <w:t>Les actions de promotion et de protection des droits de l’enfant se sont renforcées depuis 2014, avec notamment</w:t>
      </w:r>
      <w:r w:rsidR="00090CBF" w:rsidRPr="00494098">
        <w:rPr>
          <w:lang w:val="fr-FR"/>
        </w:rPr>
        <w:t> :</w:t>
      </w:r>
      <w:r w:rsidRPr="00494098">
        <w:rPr>
          <w:lang w:val="fr-FR"/>
        </w:rPr>
        <w:t xml:space="preserve"> l’élaboration d’un rapport sur les foyers et </w:t>
      </w:r>
      <w:r w:rsidR="00506C2A" w:rsidRPr="00494098">
        <w:rPr>
          <w:lang w:val="fr-FR"/>
        </w:rPr>
        <w:t xml:space="preserve">les </w:t>
      </w:r>
      <w:r w:rsidRPr="00494098">
        <w:rPr>
          <w:lang w:val="fr-FR"/>
        </w:rPr>
        <w:t>refuges temporaires pour les enfants et les jeunes</w:t>
      </w:r>
      <w:r w:rsidR="00D8307B" w:rsidRPr="00494098">
        <w:rPr>
          <w:lang w:val="fr-FR"/>
        </w:rPr>
        <w:t>,</w:t>
      </w:r>
      <w:r w:rsidRPr="00494098">
        <w:rPr>
          <w:lang w:val="fr-FR"/>
        </w:rPr>
        <w:t xml:space="preserve"> à Madère (voir: http://www.provedor-jus.pt, onglet Documentation, puis Autres rapports</w:t>
      </w:r>
      <w:r w:rsidR="00D8307B" w:rsidRPr="00494098">
        <w:rPr>
          <w:lang w:val="fr-FR"/>
        </w:rPr>
        <w:t>/P</w:t>
      </w:r>
      <w:r w:rsidRPr="00494098">
        <w:rPr>
          <w:lang w:val="fr-FR"/>
        </w:rPr>
        <w:t>ublications)</w:t>
      </w:r>
      <w:r w:rsidR="006717A5" w:rsidRPr="00494098">
        <w:rPr>
          <w:lang w:val="fr-FR"/>
        </w:rPr>
        <w:t> ;</w:t>
      </w:r>
      <w:r w:rsidRPr="00494098">
        <w:rPr>
          <w:lang w:val="fr-FR"/>
        </w:rPr>
        <w:t xml:space="preserve"> la création et la diffusion d’affiches et prospectus sur la mission et le champ d'action du Médiateur (2015)</w:t>
      </w:r>
      <w:r w:rsidR="006717A5" w:rsidRPr="00494098">
        <w:rPr>
          <w:lang w:val="fr-FR"/>
        </w:rPr>
        <w:t> ;</w:t>
      </w:r>
      <w:r w:rsidRPr="00494098">
        <w:rPr>
          <w:lang w:val="fr-FR"/>
        </w:rPr>
        <w:t xml:space="preserve"> la signature de protocoles avec le Haut Commissariat aux migrations (concernant l’assistance aux migrants, à savoir les enfants</w:t>
      </w:r>
      <w:r w:rsidR="00047F8C" w:rsidRPr="00494098">
        <w:rPr>
          <w:lang w:val="fr-FR"/>
        </w:rPr>
        <w:t xml:space="preserve"> migrants</w:t>
      </w:r>
      <w:r w:rsidRPr="00494098">
        <w:rPr>
          <w:lang w:val="fr-FR"/>
        </w:rPr>
        <w:t xml:space="preserve">) et le Ministère de l'éducation </w:t>
      </w:r>
      <w:r w:rsidR="00506C2A" w:rsidRPr="00494098">
        <w:rPr>
          <w:lang w:val="fr-FR"/>
        </w:rPr>
        <w:t xml:space="preserve">et des </w:t>
      </w:r>
      <w:r w:rsidR="00506C2A" w:rsidRPr="00494098">
        <w:rPr>
          <w:lang w:val="fr-FR"/>
        </w:rPr>
        <w:lastRenderedPageBreak/>
        <w:t xml:space="preserve">sciences </w:t>
      </w:r>
      <w:r w:rsidRPr="00494098">
        <w:rPr>
          <w:lang w:val="fr-FR"/>
        </w:rPr>
        <w:t>(visant à réglementer la collaboration mutuelle dans la promotion des droits de l’homme au sein de l’école publique)</w:t>
      </w:r>
      <w:r w:rsidR="006717A5" w:rsidRPr="00494098">
        <w:rPr>
          <w:lang w:val="fr-FR"/>
        </w:rPr>
        <w:t> ;</w:t>
      </w:r>
      <w:r w:rsidRPr="00494098">
        <w:rPr>
          <w:lang w:val="fr-FR"/>
        </w:rPr>
        <w:t xml:space="preserve"> la célébration de la Journée mondiale des enfants (</w:t>
      </w:r>
      <w:r w:rsidRPr="00494098">
        <w:rPr>
          <w:i/>
          <w:iCs/>
          <w:lang w:val="fr-FR"/>
        </w:rPr>
        <w:t>Dia Mundial da Criança</w:t>
      </w:r>
      <w:r w:rsidRPr="00494098">
        <w:rPr>
          <w:lang w:val="fr-FR"/>
        </w:rPr>
        <w:t xml:space="preserve"> ) en 2015 et 2016</w:t>
      </w:r>
      <w:r w:rsidR="006717A5" w:rsidRPr="00494098">
        <w:rPr>
          <w:lang w:val="fr-FR"/>
        </w:rPr>
        <w:t> ;</w:t>
      </w:r>
      <w:r w:rsidRPr="00494098">
        <w:rPr>
          <w:lang w:val="fr-FR"/>
        </w:rPr>
        <w:t xml:space="preserve"> la participation à des activités d’éducation aux droits de l’homme avec les élèves en 2016 (</w:t>
      </w:r>
      <w:r w:rsidR="000E2C74" w:rsidRPr="00494098">
        <w:rPr>
          <w:rStyle w:val="terminologypart"/>
          <w:shd w:val="clear" w:color="auto" w:fill="FFFFFF"/>
          <w:lang w:val="fr-FR"/>
        </w:rPr>
        <w:t>http</w:t>
      </w:r>
      <w:r w:rsidR="000E2C74" w:rsidRPr="00494098">
        <w:rPr>
          <w:shd w:val="clear" w:color="auto" w:fill="FFFFFF"/>
          <w:lang w:val="fr-FR"/>
        </w:rPr>
        <w:t>://ww</w:t>
      </w:r>
      <w:r w:rsidR="000E2C74" w:rsidRPr="00494098">
        <w:rPr>
          <w:color w:val="333333"/>
          <w:shd w:val="clear" w:color="auto" w:fill="FFFFFF"/>
          <w:lang w:val="fr-FR"/>
        </w:rPr>
        <w:t>w.e-activist.com/ea-campaign/action.retrievefile.do?ea_fileid=14113</w:t>
      </w:r>
      <w:r w:rsidRPr="00494098">
        <w:rPr>
          <w:lang w:val="fr-FR"/>
        </w:rPr>
        <w:t>)</w:t>
      </w:r>
      <w:r w:rsidR="006717A5" w:rsidRPr="00494098">
        <w:rPr>
          <w:lang w:val="fr-FR"/>
        </w:rPr>
        <w:t> ;</w:t>
      </w:r>
      <w:r w:rsidR="00047F8C" w:rsidRPr="00494098">
        <w:rPr>
          <w:lang w:val="fr-FR"/>
        </w:rPr>
        <w:t xml:space="preserve"> </w:t>
      </w:r>
      <w:r w:rsidR="00D8307B" w:rsidRPr="00494098">
        <w:rPr>
          <w:lang w:val="fr-FR"/>
        </w:rPr>
        <w:t xml:space="preserve">et </w:t>
      </w:r>
      <w:r w:rsidR="00047F8C" w:rsidRPr="00494098">
        <w:rPr>
          <w:lang w:val="fr-FR"/>
        </w:rPr>
        <w:t>d</w:t>
      </w:r>
      <w:r w:rsidRPr="00494098">
        <w:rPr>
          <w:lang w:val="fr-FR"/>
        </w:rPr>
        <w:t xml:space="preserve">es interventions sur les droits de l’enfant dans les cours </w:t>
      </w:r>
      <w:r w:rsidR="00047F8C" w:rsidRPr="00494098">
        <w:rPr>
          <w:lang w:val="fr-FR"/>
        </w:rPr>
        <w:t xml:space="preserve">de </w:t>
      </w:r>
      <w:r w:rsidRPr="00494098">
        <w:rPr>
          <w:lang w:val="fr-FR"/>
        </w:rPr>
        <w:t>troisième cycle, des séminaires et des conférences.</w:t>
      </w:r>
    </w:p>
    <w:p w14:paraId="7B71B94E" w14:textId="77777777" w:rsidR="00077B75" w:rsidRPr="00494098" w:rsidRDefault="00077B75" w:rsidP="00480570">
      <w:pPr>
        <w:pStyle w:val="SingleTxtG"/>
        <w:rPr>
          <w:lang w:val="fr-FR"/>
        </w:rPr>
      </w:pPr>
      <w:r w:rsidRPr="00494098">
        <w:rPr>
          <w:lang w:val="fr-FR"/>
        </w:rPr>
        <w:t>44.</w:t>
      </w:r>
      <w:r w:rsidRPr="00494098">
        <w:rPr>
          <w:lang w:val="fr-FR"/>
        </w:rPr>
        <w:tab/>
        <w:t>Depuis 2012, le Médiateur gère une page Web</w:t>
      </w:r>
      <w:r w:rsidR="00855DEB" w:rsidRPr="00494098">
        <w:rPr>
          <w:lang w:val="fr-FR"/>
        </w:rPr>
        <w:t>,</w:t>
      </w:r>
      <w:r w:rsidRPr="00494098">
        <w:rPr>
          <w:lang w:val="fr-FR"/>
        </w:rPr>
        <w:t xml:space="preserve"> adaptée aux enfants</w:t>
      </w:r>
      <w:r w:rsidR="007B1184" w:rsidRPr="00494098">
        <w:rPr>
          <w:lang w:val="fr-FR"/>
        </w:rPr>
        <w:t>,</w:t>
      </w:r>
      <w:r w:rsidRPr="00494098">
        <w:rPr>
          <w:lang w:val="fr-FR"/>
        </w:rPr>
        <w:t xml:space="preserve"> sur le rôle, les fonctions et les activités du Médiateur dans le domaine de</w:t>
      </w:r>
      <w:r w:rsidR="007B1184" w:rsidRPr="00494098">
        <w:rPr>
          <w:lang w:val="fr-FR"/>
        </w:rPr>
        <w:t xml:space="preserve"> leurs</w:t>
      </w:r>
      <w:r w:rsidRPr="00494098">
        <w:rPr>
          <w:lang w:val="fr-FR"/>
        </w:rPr>
        <w:t xml:space="preserve"> droits (http://cria</w:t>
      </w:r>
      <w:r w:rsidR="000E2C74" w:rsidRPr="00494098">
        <w:rPr>
          <w:lang w:val="fr-FR"/>
        </w:rPr>
        <w:t>ncas.provedor-jus.pt/index.php).</w:t>
      </w:r>
    </w:p>
    <w:p w14:paraId="54DECE3C" w14:textId="77777777" w:rsidR="00077B75" w:rsidRPr="00494098" w:rsidRDefault="00077B75" w:rsidP="00480570">
      <w:pPr>
        <w:pStyle w:val="SingleTxtG"/>
        <w:rPr>
          <w:lang w:val="fr-FR"/>
        </w:rPr>
      </w:pPr>
      <w:r w:rsidRPr="00494098">
        <w:rPr>
          <w:lang w:val="fr-FR"/>
        </w:rPr>
        <w:t>45.</w:t>
      </w:r>
      <w:r w:rsidRPr="00494098">
        <w:rPr>
          <w:lang w:val="fr-FR"/>
        </w:rPr>
        <w:tab/>
        <w:t xml:space="preserve">Des mécanismes spéciaux ont été créés pour permettre aux enfants d'accéder au Médiateur, </w:t>
      </w:r>
      <w:r w:rsidR="009136BB" w:rsidRPr="00494098">
        <w:rPr>
          <w:lang w:val="fr-FR"/>
        </w:rPr>
        <w:t xml:space="preserve">notamment </w:t>
      </w:r>
      <w:r w:rsidRPr="00494098">
        <w:rPr>
          <w:lang w:val="fr-FR"/>
        </w:rPr>
        <w:t xml:space="preserve">un mécanisme de plainte </w:t>
      </w:r>
      <w:r w:rsidR="009136BB" w:rsidRPr="00494098">
        <w:rPr>
          <w:lang w:val="fr-FR"/>
        </w:rPr>
        <w:t xml:space="preserve">spécial </w:t>
      </w:r>
      <w:r w:rsidRPr="00494098">
        <w:rPr>
          <w:lang w:val="fr-FR"/>
        </w:rPr>
        <w:t>et une ligne téléphonique pour les enfants. Le site Web du Médiateur a été remanié en 2015 avec l’introduction d’une version intégrale en anglais et d'une page Web spé</w:t>
      </w:r>
      <w:r w:rsidR="001736D1" w:rsidRPr="00494098">
        <w:rPr>
          <w:lang w:val="fr-FR"/>
        </w:rPr>
        <w:t>cifique consacrée au Mécanisme n</w:t>
      </w:r>
      <w:r w:rsidRPr="00494098">
        <w:rPr>
          <w:lang w:val="fr-FR"/>
        </w:rPr>
        <w:t>ational de prévention. Une page Facebook a également été créé</w:t>
      </w:r>
      <w:r w:rsidR="001736D1" w:rsidRPr="00494098">
        <w:rPr>
          <w:lang w:val="fr-FR"/>
        </w:rPr>
        <w:t>e</w:t>
      </w:r>
      <w:r w:rsidRPr="00494098">
        <w:rPr>
          <w:lang w:val="fr-FR"/>
        </w:rPr>
        <w:t xml:space="preserve"> en 2016, (</w:t>
      </w:r>
      <w:hyperlink r:id="rId14" w:history="1">
        <w:r w:rsidR="001736D1" w:rsidRPr="00494098">
          <w:rPr>
            <w:rStyle w:val="Hyperlink"/>
            <w:color w:val="auto"/>
            <w:lang w:val="fr-FR"/>
          </w:rPr>
          <w:t>https://www.facebook.com/Provedor-de-Justiça</w:t>
        </w:r>
      </w:hyperlink>
      <w:r w:rsidRPr="00494098">
        <w:rPr>
          <w:lang w:val="fr-FR"/>
        </w:rPr>
        <w:t>)</w:t>
      </w:r>
      <w:r w:rsidR="001736D1" w:rsidRPr="00494098">
        <w:rPr>
          <w:lang w:val="fr-FR"/>
        </w:rPr>
        <w:t> :</w:t>
      </w:r>
      <w:r w:rsidRPr="00494098">
        <w:rPr>
          <w:lang w:val="fr-FR"/>
        </w:rPr>
        <w:t xml:space="preserve"> elle est régulièrement alimentée et </w:t>
      </w:r>
      <w:r w:rsidR="00653FB1" w:rsidRPr="00494098">
        <w:rPr>
          <w:lang w:val="fr-FR"/>
        </w:rPr>
        <w:t xml:space="preserve">représente </w:t>
      </w:r>
      <w:r w:rsidRPr="00494098">
        <w:rPr>
          <w:lang w:val="fr-FR"/>
        </w:rPr>
        <w:t>également un outil important pour informer la population de son droit de porter plainte.</w:t>
      </w:r>
    </w:p>
    <w:p w14:paraId="029AB907" w14:textId="77777777" w:rsidR="00077B75" w:rsidRPr="00494098" w:rsidRDefault="00077B75" w:rsidP="00480570">
      <w:pPr>
        <w:pStyle w:val="SingleTxtG"/>
        <w:rPr>
          <w:lang w:val="fr-FR"/>
        </w:rPr>
      </w:pPr>
      <w:r w:rsidRPr="00494098">
        <w:rPr>
          <w:lang w:val="fr-FR"/>
        </w:rPr>
        <w:t>46.</w:t>
      </w:r>
      <w:r w:rsidRPr="00494098">
        <w:rPr>
          <w:lang w:val="fr-FR"/>
        </w:rPr>
        <w:tab/>
        <w:t xml:space="preserve">Les enfants ont le droit de déposer une plainte directement auprès du Médiateur et le site contient des instructions accessibles, simples et adaptées aux enfants </w:t>
      </w:r>
      <w:r w:rsidR="001B248A" w:rsidRPr="00494098">
        <w:rPr>
          <w:lang w:val="fr-FR"/>
        </w:rPr>
        <w:t xml:space="preserve">quant à </w:t>
      </w:r>
      <w:r w:rsidRPr="00494098">
        <w:rPr>
          <w:lang w:val="fr-FR"/>
        </w:rPr>
        <w:t xml:space="preserve">la procédure </w:t>
      </w:r>
      <w:r w:rsidR="001736D1" w:rsidRPr="00494098">
        <w:rPr>
          <w:lang w:val="fr-FR"/>
        </w:rPr>
        <w:t xml:space="preserve">à suivre </w:t>
      </w:r>
      <w:r w:rsidRPr="00494098">
        <w:rPr>
          <w:lang w:val="fr-FR"/>
        </w:rPr>
        <w:lastRenderedPageBreak/>
        <w:t xml:space="preserve">ainsi que des explications sur la teneur des droits de l’enfant. </w:t>
      </w:r>
    </w:p>
    <w:p w14:paraId="04B9043C" w14:textId="77777777" w:rsidR="00077B75" w:rsidRPr="00494098" w:rsidRDefault="00077B75" w:rsidP="00480570">
      <w:pPr>
        <w:pStyle w:val="SingleTxtG"/>
        <w:rPr>
          <w:lang w:val="fr-FR"/>
        </w:rPr>
      </w:pPr>
      <w:r w:rsidRPr="00494098">
        <w:rPr>
          <w:lang w:val="fr-FR"/>
        </w:rPr>
        <w:t>47.</w:t>
      </w:r>
      <w:r w:rsidRPr="00494098">
        <w:rPr>
          <w:lang w:val="fr-FR"/>
        </w:rPr>
        <w:tab/>
        <w:t>En ce qui concerne l’activité de la ligne des enfants au cours des 5</w:t>
      </w:r>
      <w:r w:rsidR="00762179" w:rsidRPr="00494098">
        <w:rPr>
          <w:lang w:val="fr-FR"/>
        </w:rPr>
        <w:t> </w:t>
      </w:r>
      <w:r w:rsidRPr="00494098">
        <w:rPr>
          <w:lang w:val="fr-FR"/>
        </w:rPr>
        <w:t>dernières années, 67</w:t>
      </w:r>
      <w:r w:rsidR="00762179" w:rsidRPr="00494098">
        <w:rPr>
          <w:lang w:val="fr-FR"/>
        </w:rPr>
        <w:t> </w:t>
      </w:r>
      <w:r w:rsidRPr="00494098">
        <w:rPr>
          <w:lang w:val="fr-FR"/>
        </w:rPr>
        <w:t>plaintes ont été dépos</w:t>
      </w:r>
      <w:r w:rsidR="00762179" w:rsidRPr="00494098">
        <w:rPr>
          <w:lang w:val="fr-FR"/>
        </w:rPr>
        <w:t>ées directement par des enfants et</w:t>
      </w:r>
      <w:r w:rsidRPr="00494098">
        <w:rPr>
          <w:lang w:val="fr-FR"/>
        </w:rPr>
        <w:t xml:space="preserve"> des jeunes (14 en 2012, 9 en 2013, 19 en 2014, 4 en 2015 et 21 en 2016). </w:t>
      </w:r>
      <w:r w:rsidR="00653FB1" w:rsidRPr="00494098">
        <w:rPr>
          <w:lang w:val="fr-FR"/>
        </w:rPr>
        <w:t xml:space="preserve">Par l’intermédiaire de cette même ligne, </w:t>
      </w:r>
      <w:r w:rsidRPr="00494098">
        <w:rPr>
          <w:lang w:val="fr-FR"/>
        </w:rPr>
        <w:t>3</w:t>
      </w:r>
      <w:r w:rsidR="00653FB1" w:rsidRPr="00494098">
        <w:rPr>
          <w:lang w:val="fr-FR"/>
        </w:rPr>
        <w:t> </w:t>
      </w:r>
      <w:r w:rsidRPr="00494098">
        <w:rPr>
          <w:lang w:val="fr-FR"/>
        </w:rPr>
        <w:t>179</w:t>
      </w:r>
      <w:r w:rsidR="00653FB1" w:rsidRPr="00494098">
        <w:rPr>
          <w:lang w:val="fr-FR"/>
        </w:rPr>
        <w:t> </w:t>
      </w:r>
      <w:r w:rsidRPr="00494098">
        <w:rPr>
          <w:lang w:val="fr-FR"/>
        </w:rPr>
        <w:t>plaintes ont été déposées pour le compte d'enfants au cours des 5</w:t>
      </w:r>
      <w:r w:rsidR="00762179" w:rsidRPr="00494098">
        <w:rPr>
          <w:lang w:val="fr-FR"/>
        </w:rPr>
        <w:t> </w:t>
      </w:r>
      <w:r w:rsidRPr="00494098">
        <w:rPr>
          <w:lang w:val="fr-FR"/>
        </w:rPr>
        <w:t>dernières années (682 en 2012, 584 en 2013, 701 en 2014, 671 en 2015 et 541 en 2016).</w:t>
      </w:r>
    </w:p>
    <w:p w14:paraId="48E4183D" w14:textId="2C93E3DD" w:rsidR="00077B75" w:rsidRPr="00494098" w:rsidRDefault="00077B75" w:rsidP="0018750A">
      <w:pPr>
        <w:pStyle w:val="H23G"/>
        <w:rPr>
          <w:lang w:val="fr-FR"/>
        </w:rPr>
      </w:pPr>
      <w:r w:rsidRPr="00494098">
        <w:rPr>
          <w:lang w:val="fr-FR"/>
        </w:rPr>
        <w:tab/>
      </w:r>
      <w:r w:rsidRPr="00494098">
        <w:rPr>
          <w:lang w:val="fr-FR"/>
        </w:rPr>
        <w:tab/>
        <w:t>Diffusion et sensibilisation (</w:t>
      </w:r>
      <w:r w:rsidR="00762179" w:rsidRPr="00494098">
        <w:rPr>
          <w:lang w:val="fr-FR"/>
        </w:rPr>
        <w:t>par. 2</w:t>
      </w:r>
      <w:r w:rsidRPr="00494098">
        <w:rPr>
          <w:lang w:val="fr-FR"/>
        </w:rPr>
        <w:t xml:space="preserve">2 </w:t>
      </w:r>
      <w:r w:rsidR="00872592" w:rsidRPr="00494098">
        <w:rPr>
          <w:lang w:val="fr-FR"/>
        </w:rPr>
        <w:t xml:space="preserve">des </w:t>
      </w:r>
      <w:r w:rsidR="00067E5B">
        <w:rPr>
          <w:lang w:val="fr-FR"/>
        </w:rPr>
        <w:t>o</w:t>
      </w:r>
      <w:r w:rsidR="00916D99" w:rsidRPr="00494098">
        <w:rPr>
          <w:lang w:val="fr-FR"/>
        </w:rPr>
        <w:t>bservations finales</w:t>
      </w:r>
      <w:r w:rsidR="00872592" w:rsidRPr="00494098">
        <w:rPr>
          <w:lang w:val="fr-FR"/>
        </w:rPr>
        <w:t>)</w:t>
      </w:r>
      <w:bookmarkStart w:id="47" w:name="_Toc530057285"/>
      <w:bookmarkStart w:id="48" w:name="_Toc530057484"/>
      <w:bookmarkStart w:id="49" w:name="_Toc530057599"/>
      <w:bookmarkStart w:id="50" w:name="_Toc530067980"/>
      <w:bookmarkEnd w:id="47"/>
      <w:bookmarkEnd w:id="48"/>
      <w:bookmarkEnd w:id="49"/>
      <w:bookmarkEnd w:id="50"/>
    </w:p>
    <w:p w14:paraId="7182AD98" w14:textId="77777777" w:rsidR="00077B75" w:rsidRPr="00494098" w:rsidRDefault="00077B75" w:rsidP="00480570">
      <w:pPr>
        <w:pStyle w:val="SingleTxtG"/>
        <w:rPr>
          <w:lang w:val="fr-FR"/>
        </w:rPr>
      </w:pPr>
      <w:r w:rsidRPr="00494098">
        <w:rPr>
          <w:lang w:val="fr-FR"/>
        </w:rPr>
        <w:t>48.</w:t>
      </w:r>
      <w:r w:rsidRPr="00494098">
        <w:rPr>
          <w:lang w:val="fr-FR"/>
        </w:rPr>
        <w:tab/>
        <w:t xml:space="preserve">Au cours des deux dernières décennies, les autorités portugaises ont engagé d’importants efforts dans le domaine de l’éducation à la citoyenneté, dans le cadre d’une approche trans-sectorielle. </w:t>
      </w:r>
    </w:p>
    <w:p w14:paraId="3D4AA225" w14:textId="77777777" w:rsidR="00077B75" w:rsidRPr="00494098" w:rsidRDefault="00762179" w:rsidP="00480570">
      <w:pPr>
        <w:pStyle w:val="SingleTxtG"/>
        <w:rPr>
          <w:lang w:val="fr-FR"/>
        </w:rPr>
      </w:pPr>
      <w:r w:rsidRPr="00494098">
        <w:rPr>
          <w:lang w:val="fr-FR"/>
        </w:rPr>
        <w:t>49.</w:t>
      </w:r>
      <w:r w:rsidRPr="00494098">
        <w:rPr>
          <w:lang w:val="fr-FR"/>
        </w:rPr>
        <w:tab/>
        <w:t>D</w:t>
      </w:r>
      <w:r w:rsidR="00077B75" w:rsidRPr="00494098">
        <w:rPr>
          <w:lang w:val="fr-FR"/>
        </w:rPr>
        <w:t xml:space="preserve">es améliorations </w:t>
      </w:r>
      <w:r w:rsidRPr="00494098">
        <w:rPr>
          <w:lang w:val="fr-FR"/>
        </w:rPr>
        <w:t xml:space="preserve">majeures ont marqué les </w:t>
      </w:r>
      <w:r w:rsidR="00077B75" w:rsidRPr="00494098">
        <w:rPr>
          <w:lang w:val="fr-FR"/>
        </w:rPr>
        <w:t>deux dernières années.</w:t>
      </w:r>
    </w:p>
    <w:p w14:paraId="733B3E14" w14:textId="77777777" w:rsidR="00077B75" w:rsidRPr="00494098" w:rsidRDefault="00077B75" w:rsidP="00480570">
      <w:pPr>
        <w:pStyle w:val="SingleTxtG"/>
        <w:rPr>
          <w:lang w:val="fr-FR"/>
        </w:rPr>
      </w:pPr>
      <w:r w:rsidRPr="00494098">
        <w:rPr>
          <w:lang w:val="fr-FR"/>
        </w:rPr>
        <w:t>50.</w:t>
      </w:r>
      <w:r w:rsidRPr="00494098">
        <w:rPr>
          <w:lang w:val="fr-FR"/>
        </w:rPr>
        <w:tab/>
        <w:t>Depuis le début de 2016, un débat approfondi sur les objectifs des programmes d’enseignement et les pratiques pédagogiques et d'apprentissage a été entrepris</w:t>
      </w:r>
      <w:r w:rsidR="001B248A" w:rsidRPr="00494098">
        <w:rPr>
          <w:lang w:val="fr-FR"/>
        </w:rPr>
        <w:t>,</w:t>
      </w:r>
      <w:r w:rsidRPr="00494098">
        <w:rPr>
          <w:lang w:val="fr-FR"/>
        </w:rPr>
        <w:t xml:space="preserve"> </w:t>
      </w:r>
      <w:r w:rsidR="001B248A" w:rsidRPr="00494098">
        <w:rPr>
          <w:lang w:val="fr-FR"/>
        </w:rPr>
        <w:t xml:space="preserve">dans le cadre </w:t>
      </w:r>
      <w:r w:rsidRPr="00494098">
        <w:rPr>
          <w:lang w:val="fr-FR"/>
        </w:rPr>
        <w:t xml:space="preserve">de conférences d’experts et d’enquêtes. </w:t>
      </w:r>
      <w:r w:rsidR="005468BF" w:rsidRPr="00494098">
        <w:rPr>
          <w:lang w:val="fr-FR"/>
        </w:rPr>
        <w:t>Il en est résulté</w:t>
      </w:r>
      <w:r w:rsidRPr="00494098">
        <w:rPr>
          <w:lang w:val="fr-FR"/>
        </w:rPr>
        <w:t xml:space="preserve"> un </w:t>
      </w:r>
      <w:r w:rsidR="004E5C9F" w:rsidRPr="00494098">
        <w:rPr>
          <w:lang w:val="fr-FR"/>
        </w:rPr>
        <w:t xml:space="preserve">document </w:t>
      </w:r>
      <w:r w:rsidR="00740174" w:rsidRPr="00494098">
        <w:rPr>
          <w:lang w:val="fr-FR"/>
        </w:rPr>
        <w:t>traitant du p</w:t>
      </w:r>
      <w:r w:rsidRPr="00494098">
        <w:rPr>
          <w:lang w:val="fr-FR"/>
        </w:rPr>
        <w:t>rofil des élèves à la sortie de la scolarité obligatoire</w:t>
      </w:r>
      <w:r w:rsidR="004E5C9F" w:rsidRPr="00494098">
        <w:rPr>
          <w:lang w:val="fr-FR"/>
        </w:rPr>
        <w:t>,</w:t>
      </w:r>
      <w:r w:rsidRPr="00494098">
        <w:rPr>
          <w:lang w:val="fr-FR"/>
        </w:rPr>
        <w:t xml:space="preserve"> élaboré par un groupe d’experts</w:t>
      </w:r>
      <w:r w:rsidR="001B248A" w:rsidRPr="00494098">
        <w:rPr>
          <w:lang w:val="fr-FR"/>
        </w:rPr>
        <w:t xml:space="preserve"> et</w:t>
      </w:r>
      <w:r w:rsidRPr="00494098">
        <w:rPr>
          <w:lang w:val="fr-FR"/>
        </w:rPr>
        <w:t xml:space="preserve"> </w:t>
      </w:r>
      <w:r w:rsidR="00740174" w:rsidRPr="00494098">
        <w:rPr>
          <w:lang w:val="fr-FR"/>
        </w:rPr>
        <w:t xml:space="preserve">récemment </w:t>
      </w:r>
      <w:r w:rsidRPr="00494098">
        <w:rPr>
          <w:lang w:val="fr-FR"/>
        </w:rPr>
        <w:t>publié</w:t>
      </w:r>
      <w:r w:rsidR="00740174" w:rsidRPr="00494098">
        <w:rPr>
          <w:lang w:val="fr-FR"/>
        </w:rPr>
        <w:t xml:space="preserve"> après des débats dans les écoles et avec la société civile, durant le premier semestre de 2017</w:t>
      </w:r>
      <w:r w:rsidRPr="00494098">
        <w:rPr>
          <w:lang w:val="fr-FR"/>
        </w:rPr>
        <w:t xml:space="preserve"> (</w:t>
      </w:r>
      <w:r w:rsidR="005468BF" w:rsidRPr="00494098">
        <w:rPr>
          <w:rStyle w:val="terminologypart"/>
          <w:shd w:val="clear" w:color="auto" w:fill="FFFFFF"/>
          <w:lang w:val="fr-FR"/>
        </w:rPr>
        <w:t>https</w:t>
      </w:r>
      <w:r w:rsidR="005468BF" w:rsidRPr="00494098">
        <w:rPr>
          <w:shd w:val="clear" w:color="auto" w:fill="FFFFFF"/>
          <w:lang w:val="fr-FR"/>
        </w:rPr>
        <w:t>://dge.mec.pt/sites/default/files/Noticias_Imagens/perfil_do_aluno.pdf</w:t>
      </w:r>
      <w:r w:rsidRPr="00494098">
        <w:rPr>
          <w:lang w:val="fr-FR"/>
        </w:rPr>
        <w:t xml:space="preserve">). </w:t>
      </w:r>
    </w:p>
    <w:p w14:paraId="42C980E6" w14:textId="77777777" w:rsidR="00077B75" w:rsidRPr="00494098" w:rsidRDefault="00077B75" w:rsidP="00480570">
      <w:pPr>
        <w:pStyle w:val="SingleTxtG"/>
        <w:rPr>
          <w:lang w:val="fr-FR"/>
        </w:rPr>
      </w:pPr>
      <w:r w:rsidRPr="00494098">
        <w:rPr>
          <w:lang w:val="fr-FR"/>
        </w:rPr>
        <w:lastRenderedPageBreak/>
        <w:t>51.</w:t>
      </w:r>
      <w:r w:rsidRPr="00494098">
        <w:rPr>
          <w:lang w:val="fr-FR"/>
        </w:rPr>
        <w:tab/>
        <w:t>Ce document met en place un cadre pour l’élaboration des programmes d’</w:t>
      </w:r>
      <w:r w:rsidR="006122F4" w:rsidRPr="00494098">
        <w:rPr>
          <w:lang w:val="fr-FR"/>
        </w:rPr>
        <w:t xml:space="preserve">enseignement </w:t>
      </w:r>
      <w:r w:rsidRPr="00494098">
        <w:rPr>
          <w:lang w:val="fr-FR"/>
        </w:rPr>
        <w:t xml:space="preserve">à tous les niveaux et </w:t>
      </w:r>
      <w:r w:rsidR="00740174" w:rsidRPr="00494098">
        <w:rPr>
          <w:lang w:val="fr-FR"/>
        </w:rPr>
        <w:t xml:space="preserve">dessine </w:t>
      </w:r>
      <w:r w:rsidRPr="00494098">
        <w:rPr>
          <w:lang w:val="fr-FR"/>
        </w:rPr>
        <w:t xml:space="preserve">toutes les voies d’accès </w:t>
      </w:r>
      <w:r w:rsidR="001B248A" w:rsidRPr="00494098">
        <w:rPr>
          <w:lang w:val="fr-FR"/>
        </w:rPr>
        <w:t xml:space="preserve">ouvertes aux </w:t>
      </w:r>
      <w:r w:rsidRPr="00494098">
        <w:rPr>
          <w:lang w:val="fr-FR"/>
        </w:rPr>
        <w:t xml:space="preserve">enfants et </w:t>
      </w:r>
      <w:r w:rsidR="001B248A" w:rsidRPr="00494098">
        <w:rPr>
          <w:lang w:val="fr-FR"/>
        </w:rPr>
        <w:t>aux</w:t>
      </w:r>
      <w:r w:rsidR="006122F4" w:rsidRPr="00494098">
        <w:rPr>
          <w:lang w:val="fr-FR"/>
        </w:rPr>
        <w:t xml:space="preserve"> </w:t>
      </w:r>
      <w:r w:rsidRPr="00494098">
        <w:rPr>
          <w:lang w:val="fr-FR"/>
        </w:rPr>
        <w:t>jeunes</w:t>
      </w:r>
      <w:r w:rsidR="00740174" w:rsidRPr="00494098">
        <w:rPr>
          <w:lang w:val="fr-FR"/>
        </w:rPr>
        <w:t>,</w:t>
      </w:r>
      <w:r w:rsidRPr="00494098">
        <w:rPr>
          <w:lang w:val="fr-FR"/>
        </w:rPr>
        <w:t xml:space="preserve"> dans une persp</w:t>
      </w:r>
      <w:r w:rsidR="00740174" w:rsidRPr="00494098">
        <w:rPr>
          <w:lang w:val="fr-FR"/>
        </w:rPr>
        <w:t>ective humaniste de l’éducation</w:t>
      </w:r>
      <w:r w:rsidRPr="00494098">
        <w:rPr>
          <w:lang w:val="fr-FR"/>
        </w:rPr>
        <w:t xml:space="preserve"> qui </w:t>
      </w:r>
      <w:r w:rsidR="001B248A" w:rsidRPr="00494098">
        <w:rPr>
          <w:lang w:val="fr-FR"/>
        </w:rPr>
        <w:t xml:space="preserve">encourage </w:t>
      </w:r>
      <w:r w:rsidRPr="00494098">
        <w:rPr>
          <w:lang w:val="fr-FR"/>
        </w:rPr>
        <w:t xml:space="preserve">des compétences et des valeurs visant à la construction d’une société plus juste, respectueuse de la dignité humaine et de la singularité de chaque individu. </w:t>
      </w:r>
    </w:p>
    <w:p w14:paraId="4762C64E" w14:textId="77777777" w:rsidR="00077B75" w:rsidRPr="00494098" w:rsidRDefault="00077B75" w:rsidP="00480570">
      <w:pPr>
        <w:pStyle w:val="SingleTxtG"/>
        <w:rPr>
          <w:lang w:val="fr-FR"/>
        </w:rPr>
      </w:pPr>
      <w:r w:rsidRPr="00494098">
        <w:rPr>
          <w:lang w:val="fr-FR"/>
        </w:rPr>
        <w:t>52.</w:t>
      </w:r>
      <w:r w:rsidRPr="00494098">
        <w:rPr>
          <w:lang w:val="fr-FR"/>
        </w:rPr>
        <w:tab/>
        <w:t xml:space="preserve">Une Stratégie nationale </w:t>
      </w:r>
      <w:r w:rsidR="002566C6" w:rsidRPr="00494098">
        <w:rPr>
          <w:lang w:val="fr-FR"/>
        </w:rPr>
        <w:t>d’</w:t>
      </w:r>
      <w:r w:rsidRPr="00494098">
        <w:rPr>
          <w:lang w:val="fr-FR"/>
        </w:rPr>
        <w:t>éducation à la citoyenneté a été lancée le 15</w:t>
      </w:r>
      <w:r w:rsidR="00480991" w:rsidRPr="00494098">
        <w:rPr>
          <w:lang w:val="fr-FR"/>
        </w:rPr>
        <w:t> septembre</w:t>
      </w:r>
      <w:r w:rsidRPr="00494098">
        <w:rPr>
          <w:lang w:val="fr-FR"/>
        </w:rPr>
        <w:t xml:space="preserve"> 2017 </w:t>
      </w:r>
      <w:r w:rsidR="001B248A" w:rsidRPr="00494098">
        <w:rPr>
          <w:lang w:val="fr-FR"/>
        </w:rPr>
        <w:t xml:space="preserve">afin d’intégrer l’éducation à la citoyenneté </w:t>
      </w:r>
      <w:r w:rsidR="005E3E0A" w:rsidRPr="00494098">
        <w:rPr>
          <w:lang w:val="fr-FR"/>
        </w:rPr>
        <w:t xml:space="preserve">dans </w:t>
      </w:r>
      <w:r w:rsidR="001B248A" w:rsidRPr="00494098">
        <w:rPr>
          <w:lang w:val="fr-FR"/>
        </w:rPr>
        <w:t>tous les niveaux de l’enseignement et d'introduire dans les programmes</w:t>
      </w:r>
      <w:r w:rsidR="005E3E0A" w:rsidRPr="00494098">
        <w:rPr>
          <w:lang w:val="fr-FR"/>
        </w:rPr>
        <w:t xml:space="preserve"> scolaires</w:t>
      </w:r>
      <w:r w:rsidR="001B248A" w:rsidRPr="00494098">
        <w:rPr>
          <w:lang w:val="fr-FR"/>
        </w:rPr>
        <w:t xml:space="preserve">, de la cinquième à la neuvième année, une nouvelle matière intitulée « Citoyenneté et développement » </w:t>
      </w:r>
      <w:r w:rsidRPr="00494098">
        <w:rPr>
          <w:lang w:val="fr-FR"/>
        </w:rPr>
        <w:t xml:space="preserve">(http://dge.mec.pt/sites/default/files/Projetos_Curriculares/Aprendizagens_Essenciais/estrategia_cidadania.pdf). Cette stratégie prévoit également la formation des enseignants </w:t>
      </w:r>
      <w:r w:rsidR="002566C6" w:rsidRPr="00494098">
        <w:rPr>
          <w:lang w:val="fr-FR"/>
        </w:rPr>
        <w:t xml:space="preserve">et </w:t>
      </w:r>
      <w:r w:rsidRPr="00494098">
        <w:rPr>
          <w:lang w:val="fr-FR"/>
        </w:rPr>
        <w:t xml:space="preserve">une coordination scolaire dans ce domaine, la mise en place d’un centre de ressources numérique et </w:t>
      </w:r>
      <w:r w:rsidR="002566C6" w:rsidRPr="00494098">
        <w:rPr>
          <w:lang w:val="fr-FR"/>
        </w:rPr>
        <w:t>un soutien à</w:t>
      </w:r>
      <w:r w:rsidRPr="00494098">
        <w:rPr>
          <w:lang w:val="fr-FR"/>
        </w:rPr>
        <w:t xml:space="preserve"> la coopération entre les écoles et la société civile. Les droits de l’homme, l’égalité des sexes, les relations interculturelles, le développement durable, l’éducation à l’environnement et la santé seront obligatoires à tous les niveaux de l’enseignement</w:t>
      </w:r>
      <w:r w:rsidRPr="00494098">
        <w:rPr>
          <w:rStyle w:val="FootnoteReference"/>
          <w:lang w:val="fr-FR"/>
        </w:rPr>
        <w:footnoteReference w:id="5"/>
      </w:r>
      <w:r w:rsidRPr="00494098">
        <w:rPr>
          <w:lang w:val="fr-FR"/>
        </w:rPr>
        <w:t xml:space="preserve">, </w:t>
      </w:r>
      <w:r w:rsidR="002566C6" w:rsidRPr="00494098">
        <w:rPr>
          <w:lang w:val="fr-FR"/>
        </w:rPr>
        <w:t xml:space="preserve">et concrétisés par </w:t>
      </w:r>
      <w:r w:rsidRPr="00494098">
        <w:rPr>
          <w:lang w:val="fr-FR"/>
        </w:rPr>
        <w:t>la mise au point d’approches spécifiques</w:t>
      </w:r>
      <w:r w:rsidR="005E3E0A" w:rsidRPr="00494098">
        <w:rPr>
          <w:lang w:val="fr-FR"/>
        </w:rPr>
        <w:t>,</w:t>
      </w:r>
      <w:r w:rsidRPr="00494098">
        <w:rPr>
          <w:lang w:val="fr-FR"/>
        </w:rPr>
        <w:t xml:space="preserve"> adaptées à chaque contexte scolaire et aux ressources de chaque école. La stratégie doit être mise en </w:t>
      </w:r>
      <w:r w:rsidR="00D264B0" w:rsidRPr="00494098">
        <w:rPr>
          <w:lang w:val="fr-FR"/>
        </w:rPr>
        <w:t>œuvr</w:t>
      </w:r>
      <w:r w:rsidRPr="00494098">
        <w:rPr>
          <w:lang w:val="fr-FR"/>
        </w:rPr>
        <w:t>e dans 235</w:t>
      </w:r>
      <w:r w:rsidR="002566C6" w:rsidRPr="00494098">
        <w:rPr>
          <w:lang w:val="fr-FR"/>
        </w:rPr>
        <w:t> </w:t>
      </w:r>
      <w:r w:rsidRPr="00494098">
        <w:rPr>
          <w:lang w:val="fr-FR"/>
        </w:rPr>
        <w:t xml:space="preserve">écoles publiques </w:t>
      </w:r>
      <w:r w:rsidRPr="00494098">
        <w:rPr>
          <w:lang w:val="fr-FR"/>
        </w:rPr>
        <w:lastRenderedPageBreak/>
        <w:t>et privées</w:t>
      </w:r>
      <w:r w:rsidR="005E3E0A" w:rsidRPr="00494098">
        <w:rPr>
          <w:lang w:val="fr-FR"/>
        </w:rPr>
        <w:t>,</w:t>
      </w:r>
      <w:r w:rsidRPr="00494098">
        <w:rPr>
          <w:lang w:val="fr-FR"/>
        </w:rPr>
        <w:t xml:space="preserve"> qui intégreront le Projet pilote d’autonomie et de souplesse des programmes scolaires.</w:t>
      </w:r>
    </w:p>
    <w:p w14:paraId="335E7481" w14:textId="77777777" w:rsidR="00077B75" w:rsidRPr="00494098" w:rsidRDefault="00077B75" w:rsidP="00480570">
      <w:pPr>
        <w:pStyle w:val="SingleTxtG"/>
        <w:rPr>
          <w:lang w:val="fr-FR"/>
        </w:rPr>
      </w:pPr>
      <w:r w:rsidRPr="00494098">
        <w:rPr>
          <w:lang w:val="fr-FR"/>
        </w:rPr>
        <w:t>53.</w:t>
      </w:r>
      <w:r w:rsidRPr="00494098">
        <w:rPr>
          <w:lang w:val="fr-FR"/>
        </w:rPr>
        <w:tab/>
        <w:t>La Convention relative aux droits de l'enfant est l’un des textes de référence pris en compte dans la structuration de l’éducation à la citoyenneté au Portugal et figure dans la formation des enseignants (voir</w:t>
      </w:r>
      <w:r w:rsidR="005E3E0A" w:rsidRPr="00494098">
        <w:rPr>
          <w:lang w:val="fr-FR"/>
        </w:rPr>
        <w:t> :</w:t>
      </w:r>
      <w:r w:rsidRPr="00494098">
        <w:rPr>
          <w:lang w:val="fr-FR"/>
        </w:rPr>
        <w:t xml:space="preserve"> http://www.dge.mec.pt/educacao-para-a-cidadania/documentos-de-referencia)</w:t>
      </w:r>
    </w:p>
    <w:p w14:paraId="49A84E5B" w14:textId="77777777" w:rsidR="00077B75" w:rsidRPr="00494098" w:rsidRDefault="00077B75" w:rsidP="00480570">
      <w:pPr>
        <w:pStyle w:val="SingleTxtG"/>
        <w:rPr>
          <w:lang w:val="fr-FR"/>
        </w:rPr>
      </w:pPr>
      <w:r w:rsidRPr="00494098">
        <w:rPr>
          <w:lang w:val="fr-FR"/>
        </w:rPr>
        <w:t>54.</w:t>
      </w:r>
      <w:r w:rsidRPr="00494098">
        <w:rPr>
          <w:lang w:val="fr-FR"/>
        </w:rPr>
        <w:tab/>
        <w:t>Entre autres projets et actions de sensibilisation élaborés par la Direction générale de l’éducation</w:t>
      </w:r>
      <w:r w:rsidR="00C8323F" w:rsidRPr="00494098">
        <w:rPr>
          <w:lang w:val="fr-FR"/>
        </w:rPr>
        <w:t>,</w:t>
      </w:r>
      <w:r w:rsidRPr="00494098">
        <w:rPr>
          <w:lang w:val="fr-FR"/>
        </w:rPr>
        <w:t xml:space="preserve"> il faut citer un programme sur les droits de l’homme dans les écoles, qui insiste tout particulièrement sur les droits de l’enfant et </w:t>
      </w:r>
      <w:r w:rsidR="00E84B5F" w:rsidRPr="00494098">
        <w:rPr>
          <w:lang w:val="fr-FR"/>
        </w:rPr>
        <w:t xml:space="preserve">est mené </w:t>
      </w:r>
      <w:r w:rsidRPr="00494098">
        <w:rPr>
          <w:lang w:val="fr-FR"/>
        </w:rPr>
        <w:t>en coopération avec le Bureau du Médiateur</w:t>
      </w:r>
      <w:r w:rsidR="006717A5" w:rsidRPr="00494098">
        <w:rPr>
          <w:lang w:val="fr-FR"/>
        </w:rPr>
        <w:t> ;</w:t>
      </w:r>
      <w:r w:rsidRPr="00494098">
        <w:rPr>
          <w:lang w:val="fr-FR"/>
        </w:rPr>
        <w:t xml:space="preserve"> la participation à la campagne du Conseil de l’Europe «</w:t>
      </w:r>
      <w:r w:rsidR="00E84B5F" w:rsidRPr="00494098">
        <w:rPr>
          <w:lang w:val="fr-FR"/>
        </w:rPr>
        <w:t> </w:t>
      </w:r>
      <w:r w:rsidRPr="00494098">
        <w:rPr>
          <w:lang w:val="fr-FR"/>
        </w:rPr>
        <w:t>Mouvement contre le discours de haine</w:t>
      </w:r>
      <w:r w:rsidR="00090CBF" w:rsidRPr="00494098">
        <w:rPr>
          <w:lang w:val="fr-FR"/>
        </w:rPr>
        <w:t> :</w:t>
      </w:r>
      <w:r w:rsidRPr="00494098">
        <w:rPr>
          <w:lang w:val="fr-FR"/>
        </w:rPr>
        <w:t xml:space="preserve"> la jeunesse pour les droits de l’homme</w:t>
      </w:r>
      <w:r w:rsidR="00E84B5F" w:rsidRPr="00494098">
        <w:rPr>
          <w:lang w:val="fr-FR"/>
        </w:rPr>
        <w:t> </w:t>
      </w:r>
      <w:r w:rsidRPr="00494098">
        <w:rPr>
          <w:lang w:val="fr-FR"/>
        </w:rPr>
        <w:t>» avec</w:t>
      </w:r>
      <w:r w:rsidR="00740174" w:rsidRPr="00494098">
        <w:rPr>
          <w:lang w:val="fr-FR"/>
        </w:rPr>
        <w:t>,</w:t>
      </w:r>
      <w:r w:rsidRPr="00494098">
        <w:rPr>
          <w:lang w:val="fr-FR"/>
        </w:rPr>
        <w:t xml:space="preserve"> par exemple</w:t>
      </w:r>
      <w:r w:rsidR="00740174" w:rsidRPr="00494098">
        <w:rPr>
          <w:lang w:val="fr-FR"/>
        </w:rPr>
        <w:t>,</w:t>
      </w:r>
      <w:r w:rsidRPr="00494098">
        <w:rPr>
          <w:lang w:val="fr-FR"/>
        </w:rPr>
        <w:t xml:space="preserve"> des actions dans de nombreuses écoles</w:t>
      </w:r>
      <w:r w:rsidR="00C8323F" w:rsidRPr="00494098">
        <w:rPr>
          <w:lang w:val="fr-FR"/>
        </w:rPr>
        <w:t>,</w:t>
      </w:r>
      <w:r w:rsidRPr="00494098">
        <w:rPr>
          <w:lang w:val="fr-FR"/>
        </w:rPr>
        <w:t xml:space="preserve"> des séminaires pour la jeunesse </w:t>
      </w:r>
      <w:r w:rsidR="00C8323F" w:rsidRPr="00494098">
        <w:rPr>
          <w:lang w:val="fr-FR"/>
        </w:rPr>
        <w:t xml:space="preserve">ainsi que </w:t>
      </w:r>
      <w:r w:rsidRPr="00494098">
        <w:rPr>
          <w:lang w:val="fr-FR"/>
        </w:rPr>
        <w:t xml:space="preserve">le projet de promotion de la sécurité et des droits </w:t>
      </w:r>
      <w:r w:rsidR="00E84B5F" w:rsidRPr="00494098">
        <w:rPr>
          <w:lang w:val="fr-FR"/>
        </w:rPr>
        <w:t>dans l'utilisation d’Internet (« </w:t>
      </w:r>
      <w:r w:rsidRPr="00494098">
        <w:rPr>
          <w:i/>
          <w:lang w:val="fr-FR"/>
        </w:rPr>
        <w:t>SeguraNet</w:t>
      </w:r>
      <w:r w:rsidR="00E84B5F" w:rsidRPr="00494098">
        <w:rPr>
          <w:lang w:val="fr-FR"/>
        </w:rPr>
        <w:t> »</w:t>
      </w:r>
      <w:r w:rsidRPr="00494098">
        <w:rPr>
          <w:lang w:val="fr-FR"/>
        </w:rPr>
        <w:t>)</w:t>
      </w:r>
      <w:r w:rsidR="006717A5" w:rsidRPr="00494098">
        <w:rPr>
          <w:lang w:val="fr-FR"/>
        </w:rPr>
        <w:t> ;</w:t>
      </w:r>
      <w:r w:rsidRPr="00494098">
        <w:rPr>
          <w:lang w:val="fr-FR"/>
        </w:rPr>
        <w:t xml:space="preserve"> des cours spéciaux, des </w:t>
      </w:r>
      <w:r w:rsidR="00C8323F" w:rsidRPr="00494098">
        <w:rPr>
          <w:lang w:val="fr-FR"/>
        </w:rPr>
        <w:t xml:space="preserve">actions </w:t>
      </w:r>
      <w:r w:rsidRPr="00494098">
        <w:rPr>
          <w:lang w:val="fr-FR"/>
        </w:rPr>
        <w:t>et des ressources pédagogiques associé</w:t>
      </w:r>
      <w:r w:rsidR="00C8323F" w:rsidRPr="00494098">
        <w:rPr>
          <w:lang w:val="fr-FR"/>
        </w:rPr>
        <w:t>e</w:t>
      </w:r>
      <w:r w:rsidRPr="00494098">
        <w:rPr>
          <w:lang w:val="fr-FR"/>
        </w:rPr>
        <w:t xml:space="preserve">s au projet de l'ONU </w:t>
      </w:r>
      <w:r w:rsidR="00E84B5F" w:rsidRPr="00494098">
        <w:rPr>
          <w:lang w:val="fr-FR"/>
        </w:rPr>
        <w:t>« La plus grande leçon du monde »</w:t>
      </w:r>
      <w:r w:rsidR="00C8323F" w:rsidRPr="00494098">
        <w:rPr>
          <w:lang w:val="fr-FR"/>
        </w:rPr>
        <w:t>,</w:t>
      </w:r>
      <w:r w:rsidRPr="00494098">
        <w:rPr>
          <w:lang w:val="fr-FR"/>
        </w:rPr>
        <w:t xml:space="preserve"> ouverts cette année par le Ministre de l’éducation et le Secrétariat d’État à l’éducation, lors d'une importante réunion rassemblant plus de 100</w:t>
      </w:r>
      <w:r w:rsidR="00E84B5F" w:rsidRPr="00494098">
        <w:rPr>
          <w:lang w:val="fr-FR"/>
        </w:rPr>
        <w:t xml:space="preserve"> élèves </w:t>
      </w:r>
      <w:r w:rsidRPr="00494098">
        <w:rPr>
          <w:lang w:val="fr-FR"/>
        </w:rPr>
        <w:t xml:space="preserve">de tous les niveaux de l’enseignement, </w:t>
      </w:r>
      <w:r w:rsidR="00E84B5F" w:rsidRPr="00494098">
        <w:rPr>
          <w:lang w:val="fr-FR"/>
        </w:rPr>
        <w:t xml:space="preserve">au sein </w:t>
      </w:r>
      <w:r w:rsidRPr="00494098">
        <w:rPr>
          <w:lang w:val="fr-FR"/>
        </w:rPr>
        <w:t>d</w:t>
      </w:r>
      <w:r w:rsidR="00E84B5F" w:rsidRPr="00494098">
        <w:rPr>
          <w:lang w:val="fr-FR"/>
        </w:rPr>
        <w:t>u</w:t>
      </w:r>
      <w:r w:rsidRPr="00494098">
        <w:rPr>
          <w:lang w:val="fr-FR"/>
        </w:rPr>
        <w:t xml:space="preserve"> groupement scolaire de Caneças (Odivelas), le 22</w:t>
      </w:r>
      <w:r w:rsidR="00480991" w:rsidRPr="00494098">
        <w:rPr>
          <w:lang w:val="fr-FR"/>
        </w:rPr>
        <w:t> septembre</w:t>
      </w:r>
      <w:r w:rsidRPr="00494098">
        <w:rPr>
          <w:lang w:val="fr-FR"/>
        </w:rPr>
        <w:t xml:space="preserve">. </w:t>
      </w:r>
    </w:p>
    <w:p w14:paraId="58D2DC90" w14:textId="77777777" w:rsidR="00077B75" w:rsidRPr="00494098" w:rsidRDefault="00077B75" w:rsidP="00480570">
      <w:pPr>
        <w:pStyle w:val="SingleTxtG"/>
        <w:rPr>
          <w:lang w:val="fr-FR"/>
        </w:rPr>
      </w:pPr>
      <w:r w:rsidRPr="00494098">
        <w:rPr>
          <w:lang w:val="fr-FR"/>
        </w:rPr>
        <w:t>55.</w:t>
      </w:r>
      <w:r w:rsidRPr="00494098">
        <w:rPr>
          <w:lang w:val="fr-FR"/>
        </w:rPr>
        <w:tab/>
        <w:t>L’éducation et la sensibilisation aux droits de l’enfant figure dans l</w:t>
      </w:r>
      <w:r w:rsidR="00E84B5F" w:rsidRPr="00494098">
        <w:rPr>
          <w:lang w:val="fr-FR"/>
        </w:rPr>
        <w:t>es</w:t>
      </w:r>
      <w:r w:rsidRPr="00494098">
        <w:rPr>
          <w:lang w:val="fr-FR"/>
        </w:rPr>
        <w:t xml:space="preserve"> formation</w:t>
      </w:r>
      <w:r w:rsidR="00E84B5F" w:rsidRPr="00494098">
        <w:rPr>
          <w:lang w:val="fr-FR"/>
        </w:rPr>
        <w:t>s</w:t>
      </w:r>
      <w:r w:rsidRPr="00494098">
        <w:rPr>
          <w:lang w:val="fr-FR"/>
        </w:rPr>
        <w:t xml:space="preserve"> initiale</w:t>
      </w:r>
      <w:r w:rsidR="00740174" w:rsidRPr="00494098">
        <w:rPr>
          <w:lang w:val="fr-FR"/>
        </w:rPr>
        <w:t>s</w:t>
      </w:r>
      <w:r w:rsidRPr="00494098">
        <w:rPr>
          <w:lang w:val="fr-FR"/>
        </w:rPr>
        <w:t xml:space="preserve"> et continue</w:t>
      </w:r>
      <w:r w:rsidR="00740174" w:rsidRPr="00494098">
        <w:rPr>
          <w:lang w:val="fr-FR"/>
        </w:rPr>
        <w:t>s</w:t>
      </w:r>
      <w:r w:rsidRPr="00494098">
        <w:rPr>
          <w:lang w:val="fr-FR"/>
        </w:rPr>
        <w:t xml:space="preserve"> des juges et des procureurs, et le barreau portugais s'en charge auprès des avocats.</w:t>
      </w:r>
    </w:p>
    <w:p w14:paraId="2C64628C" w14:textId="06330FFE" w:rsidR="00077B75" w:rsidRPr="00494098" w:rsidRDefault="00077B75" w:rsidP="0018750A">
      <w:pPr>
        <w:pStyle w:val="H23G"/>
        <w:rPr>
          <w:lang w:val="fr-FR"/>
        </w:rPr>
      </w:pPr>
      <w:r w:rsidRPr="00494098">
        <w:rPr>
          <w:lang w:val="fr-FR"/>
        </w:rPr>
        <w:lastRenderedPageBreak/>
        <w:tab/>
      </w:r>
      <w:r w:rsidRPr="00494098">
        <w:rPr>
          <w:lang w:val="fr-FR"/>
        </w:rPr>
        <w:tab/>
        <w:t>Formation (</w:t>
      </w:r>
      <w:r w:rsidR="00762179" w:rsidRPr="00494098">
        <w:rPr>
          <w:lang w:val="fr-FR"/>
        </w:rPr>
        <w:t>par. 2</w:t>
      </w:r>
      <w:r w:rsidRPr="00494098">
        <w:rPr>
          <w:lang w:val="fr-FR"/>
        </w:rPr>
        <w:t xml:space="preserve">4 </w:t>
      </w:r>
      <w:r w:rsidR="00872592" w:rsidRPr="00494098">
        <w:rPr>
          <w:lang w:val="fr-FR"/>
        </w:rPr>
        <w:t xml:space="preserve">des </w:t>
      </w:r>
      <w:r w:rsidR="00067E5B">
        <w:rPr>
          <w:lang w:val="fr-FR"/>
        </w:rPr>
        <w:t>o</w:t>
      </w:r>
      <w:r w:rsidR="00916D99" w:rsidRPr="00494098">
        <w:rPr>
          <w:lang w:val="fr-FR"/>
        </w:rPr>
        <w:t>bservations finales</w:t>
      </w:r>
      <w:r w:rsidR="00872592" w:rsidRPr="00494098">
        <w:rPr>
          <w:lang w:val="fr-FR"/>
        </w:rPr>
        <w:t>)</w:t>
      </w:r>
      <w:r w:rsidRPr="00494098">
        <w:rPr>
          <w:lang w:val="fr-FR"/>
        </w:rPr>
        <w:t xml:space="preserve"> </w:t>
      </w:r>
      <w:bookmarkStart w:id="51" w:name="_Toc530057286"/>
      <w:bookmarkStart w:id="52" w:name="_Toc530057485"/>
      <w:bookmarkStart w:id="53" w:name="_Toc530057600"/>
      <w:bookmarkStart w:id="54" w:name="_Toc530067981"/>
      <w:bookmarkEnd w:id="51"/>
      <w:bookmarkEnd w:id="52"/>
      <w:bookmarkEnd w:id="53"/>
      <w:bookmarkEnd w:id="54"/>
    </w:p>
    <w:p w14:paraId="22254D5C" w14:textId="77777777" w:rsidR="00077B75" w:rsidRPr="00494098" w:rsidRDefault="00077B75" w:rsidP="00480570">
      <w:pPr>
        <w:pStyle w:val="SingleTxtG"/>
        <w:rPr>
          <w:lang w:val="fr-FR"/>
        </w:rPr>
      </w:pPr>
      <w:r w:rsidRPr="00494098">
        <w:rPr>
          <w:lang w:val="fr-FR"/>
        </w:rPr>
        <w:t>56.</w:t>
      </w:r>
      <w:r w:rsidRPr="00494098">
        <w:rPr>
          <w:lang w:val="fr-FR"/>
        </w:rPr>
        <w:tab/>
        <w:t>Depuis le dernier rapport, des efforts considérables</w:t>
      </w:r>
      <w:r w:rsidR="00AD0DE6" w:rsidRPr="00494098">
        <w:rPr>
          <w:lang w:val="fr-FR"/>
        </w:rPr>
        <w:t>,</w:t>
      </w:r>
      <w:r w:rsidRPr="00494098">
        <w:rPr>
          <w:lang w:val="fr-FR"/>
        </w:rPr>
        <w:t xml:space="preserve"> </w:t>
      </w:r>
      <w:r w:rsidR="00AD0DE6" w:rsidRPr="00494098">
        <w:rPr>
          <w:lang w:val="fr-FR"/>
        </w:rPr>
        <w:t xml:space="preserve">déployés </w:t>
      </w:r>
      <w:r w:rsidRPr="00494098">
        <w:rPr>
          <w:lang w:val="fr-FR"/>
        </w:rPr>
        <w:t>pour améliorer la formation aux droits de l’enfant</w:t>
      </w:r>
      <w:r w:rsidR="00AD0DE6" w:rsidRPr="00494098">
        <w:rPr>
          <w:lang w:val="fr-FR"/>
        </w:rPr>
        <w:t>,</w:t>
      </w:r>
      <w:r w:rsidRPr="00494098">
        <w:rPr>
          <w:lang w:val="fr-FR"/>
        </w:rPr>
        <w:t xml:space="preserve"> ont visé à la fois la société dans son ensemble et certains secteurs professionnels.</w:t>
      </w:r>
    </w:p>
    <w:p w14:paraId="0C157441" w14:textId="77777777" w:rsidR="00077B75" w:rsidRPr="00494098" w:rsidRDefault="00077B75" w:rsidP="00480570">
      <w:pPr>
        <w:pStyle w:val="SingleTxtG"/>
        <w:rPr>
          <w:lang w:val="fr-FR"/>
        </w:rPr>
      </w:pPr>
      <w:r w:rsidRPr="00494098">
        <w:rPr>
          <w:lang w:val="fr-FR"/>
        </w:rPr>
        <w:t>57.</w:t>
      </w:r>
      <w:r w:rsidRPr="00494098">
        <w:rPr>
          <w:lang w:val="fr-FR"/>
        </w:rPr>
        <w:tab/>
        <w:t>Dans le secteur du mai</w:t>
      </w:r>
      <w:r w:rsidR="00BF6E9A" w:rsidRPr="00494098">
        <w:rPr>
          <w:lang w:val="fr-FR"/>
        </w:rPr>
        <w:t>ntien de l'ordre, le programme « </w:t>
      </w:r>
      <w:r w:rsidRPr="00494098">
        <w:rPr>
          <w:lang w:val="fr-FR"/>
        </w:rPr>
        <w:t>Sécurité dans les écoles</w:t>
      </w:r>
      <w:r w:rsidR="00BF6E9A" w:rsidRPr="00494098">
        <w:rPr>
          <w:lang w:val="fr-FR"/>
        </w:rPr>
        <w:t> »</w:t>
      </w:r>
      <w:r w:rsidRPr="00494098">
        <w:rPr>
          <w:lang w:val="fr-FR"/>
        </w:rPr>
        <w:t xml:space="preserve">, mis en </w:t>
      </w:r>
      <w:r w:rsidR="00D264B0" w:rsidRPr="00494098">
        <w:rPr>
          <w:lang w:val="fr-FR"/>
        </w:rPr>
        <w:t>œuvr</w:t>
      </w:r>
      <w:r w:rsidRPr="00494098">
        <w:rPr>
          <w:lang w:val="fr-FR"/>
        </w:rPr>
        <w:t>e par la Police de sécurité publique (PSP) et la Garde nationale républicaine (GNR), comprend des campagnes annuelles de sensibilisation sur les droits de l’enfant et la prévention des abus sexuels et de l’exploitation sexuelle</w:t>
      </w:r>
      <w:r w:rsidR="00BF6E9A" w:rsidRPr="00494098">
        <w:rPr>
          <w:lang w:val="fr-FR"/>
        </w:rPr>
        <w:t>,</w:t>
      </w:r>
      <w:r w:rsidRPr="00494098">
        <w:rPr>
          <w:lang w:val="fr-FR"/>
        </w:rPr>
        <w:t xml:space="preserve"> en direction d’une population cible d’environ 15</w:t>
      </w:r>
      <w:r w:rsidR="00BF6E9A" w:rsidRPr="00494098">
        <w:rPr>
          <w:lang w:val="fr-FR"/>
        </w:rPr>
        <w:t> </w:t>
      </w:r>
      <w:r w:rsidRPr="00494098">
        <w:rPr>
          <w:lang w:val="fr-FR"/>
        </w:rPr>
        <w:t>000</w:t>
      </w:r>
      <w:r w:rsidR="00BF6E9A" w:rsidRPr="00494098">
        <w:rPr>
          <w:lang w:val="fr-FR"/>
        </w:rPr>
        <w:t> </w:t>
      </w:r>
      <w:r w:rsidRPr="00494098">
        <w:rPr>
          <w:lang w:val="fr-FR"/>
        </w:rPr>
        <w:t>enfants et jeunes. De nombreuses conférences thématiques pour les enfants et les professionnels qui travaillent avec des enfants sont organisées</w:t>
      </w:r>
      <w:r w:rsidR="00BF6E9A" w:rsidRPr="00494098">
        <w:rPr>
          <w:lang w:val="fr-FR"/>
        </w:rPr>
        <w:t> </w:t>
      </w:r>
      <w:r w:rsidRPr="00494098">
        <w:rPr>
          <w:lang w:val="fr-FR"/>
        </w:rPr>
        <w:t>: «</w:t>
      </w:r>
      <w:r w:rsidR="00BF6E9A" w:rsidRPr="00494098">
        <w:rPr>
          <w:lang w:val="fr-FR"/>
        </w:rPr>
        <w:t> </w:t>
      </w:r>
      <w:r w:rsidRPr="00494098">
        <w:rPr>
          <w:lang w:val="fr-FR"/>
        </w:rPr>
        <w:t>alcool et drogues</w:t>
      </w:r>
      <w:r w:rsidR="00BF6E9A" w:rsidRPr="00494098">
        <w:rPr>
          <w:lang w:val="fr-FR"/>
        </w:rPr>
        <w:t> </w:t>
      </w:r>
      <w:r w:rsidRPr="00494098">
        <w:rPr>
          <w:lang w:val="fr-FR"/>
        </w:rPr>
        <w:t>»</w:t>
      </w:r>
      <w:r w:rsidR="00BF6E9A" w:rsidRPr="00494098">
        <w:rPr>
          <w:lang w:val="fr-FR"/>
        </w:rPr>
        <w:t>, « </w:t>
      </w:r>
      <w:r w:rsidRPr="00494098">
        <w:rPr>
          <w:lang w:val="fr-FR"/>
        </w:rPr>
        <w:t>tolérance et le racisme</w:t>
      </w:r>
      <w:r w:rsidR="00BF6E9A" w:rsidRPr="00494098">
        <w:rPr>
          <w:lang w:val="fr-FR"/>
        </w:rPr>
        <w:t> </w:t>
      </w:r>
      <w:r w:rsidRPr="00494098">
        <w:rPr>
          <w:lang w:val="fr-FR"/>
        </w:rPr>
        <w:t>»</w:t>
      </w:r>
      <w:r w:rsidR="00BF6E9A" w:rsidRPr="00494098">
        <w:rPr>
          <w:lang w:val="fr-FR"/>
        </w:rPr>
        <w:t>,</w:t>
      </w:r>
      <w:r w:rsidRPr="00494098">
        <w:rPr>
          <w:lang w:val="fr-FR"/>
        </w:rPr>
        <w:t xml:space="preserve"> «</w:t>
      </w:r>
      <w:r w:rsidR="00BF6E9A" w:rsidRPr="00494098">
        <w:rPr>
          <w:lang w:val="fr-FR"/>
        </w:rPr>
        <w:t> </w:t>
      </w:r>
      <w:r w:rsidRPr="00494098">
        <w:rPr>
          <w:lang w:val="fr-FR"/>
        </w:rPr>
        <w:t>brimades</w:t>
      </w:r>
      <w:r w:rsidR="00BF6E9A" w:rsidRPr="00494098">
        <w:rPr>
          <w:lang w:val="fr-FR"/>
        </w:rPr>
        <w:t> </w:t>
      </w:r>
      <w:r w:rsidRPr="00494098">
        <w:rPr>
          <w:lang w:val="fr-FR"/>
        </w:rPr>
        <w:t>», «</w:t>
      </w:r>
      <w:r w:rsidR="00BF6E9A" w:rsidRPr="00494098">
        <w:rPr>
          <w:lang w:val="fr-FR"/>
        </w:rPr>
        <w:t> </w:t>
      </w:r>
      <w:r w:rsidRPr="00494098">
        <w:rPr>
          <w:lang w:val="fr-FR"/>
        </w:rPr>
        <w:t>délinquance juvénile</w:t>
      </w:r>
      <w:r w:rsidR="00BF6E9A" w:rsidRPr="00494098">
        <w:rPr>
          <w:lang w:val="fr-FR"/>
        </w:rPr>
        <w:t> </w:t>
      </w:r>
      <w:r w:rsidRPr="00494098">
        <w:rPr>
          <w:lang w:val="fr-FR"/>
        </w:rPr>
        <w:t>», «</w:t>
      </w:r>
      <w:r w:rsidR="00BF6E9A" w:rsidRPr="00494098">
        <w:rPr>
          <w:lang w:val="fr-FR"/>
        </w:rPr>
        <w:t> </w:t>
      </w:r>
      <w:r w:rsidRPr="00494098">
        <w:rPr>
          <w:lang w:val="fr-FR"/>
        </w:rPr>
        <w:t>utilisation sans risque de l’Internet et des réseaux sociaux</w:t>
      </w:r>
      <w:r w:rsidR="00BF6E9A" w:rsidRPr="00494098">
        <w:rPr>
          <w:lang w:val="fr-FR"/>
        </w:rPr>
        <w:t> </w:t>
      </w:r>
      <w:r w:rsidRPr="00494098">
        <w:rPr>
          <w:lang w:val="fr-FR"/>
        </w:rPr>
        <w:t>», «</w:t>
      </w:r>
      <w:r w:rsidR="00BF6E9A" w:rsidRPr="00494098">
        <w:rPr>
          <w:lang w:val="fr-FR"/>
        </w:rPr>
        <w:t> </w:t>
      </w:r>
      <w:r w:rsidRPr="00494098">
        <w:rPr>
          <w:lang w:val="fr-FR"/>
        </w:rPr>
        <w:t>égalité des sexes</w:t>
      </w:r>
      <w:r w:rsidR="00BF6E9A" w:rsidRPr="00494098">
        <w:rPr>
          <w:lang w:val="fr-FR"/>
        </w:rPr>
        <w:t> </w:t>
      </w:r>
      <w:r w:rsidRPr="00494098">
        <w:rPr>
          <w:lang w:val="fr-FR"/>
        </w:rPr>
        <w:t>»</w:t>
      </w:r>
      <w:r w:rsidR="00AD0DE6" w:rsidRPr="00494098">
        <w:rPr>
          <w:lang w:val="fr-FR"/>
        </w:rPr>
        <w:t>,</w:t>
      </w:r>
      <w:r w:rsidRPr="00494098">
        <w:rPr>
          <w:lang w:val="fr-FR"/>
        </w:rPr>
        <w:t xml:space="preserve"> «</w:t>
      </w:r>
      <w:r w:rsidR="00BF6E9A" w:rsidRPr="00494098">
        <w:rPr>
          <w:lang w:val="fr-FR"/>
        </w:rPr>
        <w:t> </w:t>
      </w:r>
      <w:r w:rsidRPr="00494098">
        <w:rPr>
          <w:lang w:val="fr-FR"/>
        </w:rPr>
        <w:t>sécurité routière</w:t>
      </w:r>
      <w:r w:rsidR="00BF6E9A" w:rsidRPr="00494098">
        <w:rPr>
          <w:lang w:val="fr-FR"/>
        </w:rPr>
        <w:t> </w:t>
      </w:r>
      <w:r w:rsidRPr="00494098">
        <w:rPr>
          <w:lang w:val="fr-FR"/>
        </w:rPr>
        <w:t>», «</w:t>
      </w:r>
      <w:r w:rsidR="00BF6E9A" w:rsidRPr="00494098">
        <w:rPr>
          <w:lang w:val="fr-FR"/>
        </w:rPr>
        <w:t> </w:t>
      </w:r>
      <w:r w:rsidRPr="00494098">
        <w:rPr>
          <w:lang w:val="fr-FR"/>
        </w:rPr>
        <w:t>violence dans les fréquentations</w:t>
      </w:r>
      <w:r w:rsidR="00BF6E9A" w:rsidRPr="00494098">
        <w:rPr>
          <w:lang w:val="fr-FR"/>
        </w:rPr>
        <w:t> </w:t>
      </w:r>
      <w:r w:rsidRPr="00494098">
        <w:rPr>
          <w:lang w:val="fr-FR"/>
        </w:rPr>
        <w:t>». Un programme de formation de 35</w:t>
      </w:r>
      <w:r w:rsidR="00BF6E9A" w:rsidRPr="00494098">
        <w:rPr>
          <w:lang w:val="fr-FR"/>
        </w:rPr>
        <w:t> </w:t>
      </w:r>
      <w:r w:rsidRPr="00494098">
        <w:rPr>
          <w:lang w:val="fr-FR"/>
        </w:rPr>
        <w:t xml:space="preserve">heures </w:t>
      </w:r>
      <w:r w:rsidR="00BF6E9A" w:rsidRPr="00494098">
        <w:rPr>
          <w:lang w:val="fr-FR"/>
        </w:rPr>
        <w:t xml:space="preserve">a également été créé </w:t>
      </w:r>
      <w:r w:rsidRPr="00494098">
        <w:rPr>
          <w:lang w:val="fr-FR"/>
        </w:rPr>
        <w:t xml:space="preserve">pour les policiers affectés </w:t>
      </w:r>
      <w:r w:rsidR="00AD0DE6" w:rsidRPr="00494098">
        <w:rPr>
          <w:lang w:val="fr-FR"/>
        </w:rPr>
        <w:t xml:space="preserve">à l’opération </w:t>
      </w:r>
      <w:r w:rsidR="00BF6E9A" w:rsidRPr="00494098">
        <w:rPr>
          <w:lang w:val="fr-FR"/>
        </w:rPr>
        <w:t>« </w:t>
      </w:r>
      <w:r w:rsidRPr="00494098">
        <w:rPr>
          <w:lang w:val="fr-FR"/>
        </w:rPr>
        <w:t>Sécurité dans les écoles</w:t>
      </w:r>
      <w:r w:rsidR="00BF6E9A" w:rsidRPr="00494098">
        <w:rPr>
          <w:lang w:val="fr-FR"/>
        </w:rPr>
        <w:t> »</w:t>
      </w:r>
      <w:r w:rsidRPr="00494098">
        <w:rPr>
          <w:lang w:val="fr-FR"/>
        </w:rPr>
        <w:t>, l’accent étant mis sur le réseau scolaire et le</w:t>
      </w:r>
      <w:r w:rsidR="00BF6E9A" w:rsidRPr="00494098">
        <w:rPr>
          <w:lang w:val="fr-FR"/>
        </w:rPr>
        <w:t>s</w:t>
      </w:r>
      <w:r w:rsidRPr="00494098">
        <w:rPr>
          <w:lang w:val="fr-FR"/>
        </w:rPr>
        <w:t xml:space="preserve"> comportement</w:t>
      </w:r>
      <w:r w:rsidR="00BF6E9A" w:rsidRPr="00494098">
        <w:rPr>
          <w:lang w:val="fr-FR"/>
        </w:rPr>
        <w:t>s</w:t>
      </w:r>
      <w:r w:rsidRPr="00494098">
        <w:rPr>
          <w:lang w:val="fr-FR"/>
        </w:rPr>
        <w:t xml:space="preserve"> des mineurs, y compris des thèmes tels que les troubles psychiatriques, le</w:t>
      </w:r>
      <w:r w:rsidR="00BF6E9A" w:rsidRPr="00494098">
        <w:rPr>
          <w:lang w:val="fr-FR"/>
        </w:rPr>
        <w:t>s</w:t>
      </w:r>
      <w:r w:rsidRPr="00494098">
        <w:rPr>
          <w:lang w:val="fr-FR"/>
        </w:rPr>
        <w:t xml:space="preserve"> comportement</w:t>
      </w:r>
      <w:r w:rsidR="00BF6E9A" w:rsidRPr="00494098">
        <w:rPr>
          <w:lang w:val="fr-FR"/>
        </w:rPr>
        <w:t>s</w:t>
      </w:r>
      <w:r w:rsidRPr="00494098">
        <w:rPr>
          <w:lang w:val="fr-FR"/>
        </w:rPr>
        <w:t xml:space="preserve"> normatif</w:t>
      </w:r>
      <w:r w:rsidR="00BF6E9A" w:rsidRPr="00494098">
        <w:rPr>
          <w:lang w:val="fr-FR"/>
        </w:rPr>
        <w:t>s</w:t>
      </w:r>
      <w:r w:rsidRPr="00494098">
        <w:rPr>
          <w:lang w:val="fr-FR"/>
        </w:rPr>
        <w:t>, l’autisme, les comportements d’opposition, l’anxiété et les addictions</w:t>
      </w:r>
      <w:r w:rsidR="00857286" w:rsidRPr="00494098">
        <w:rPr>
          <w:lang w:val="fr-FR"/>
        </w:rPr>
        <w:t xml:space="preserve">, pris en charge par </w:t>
      </w:r>
      <w:r w:rsidRPr="00494098">
        <w:rPr>
          <w:lang w:val="fr-FR"/>
        </w:rPr>
        <w:t>une équipe de psychologues et de psychiatres.</w:t>
      </w:r>
    </w:p>
    <w:p w14:paraId="2E198D13" w14:textId="77777777" w:rsidR="00077B75" w:rsidRPr="00494098" w:rsidRDefault="00077B75" w:rsidP="00480570">
      <w:pPr>
        <w:pStyle w:val="SingleTxtG"/>
        <w:rPr>
          <w:lang w:val="fr-FR"/>
        </w:rPr>
      </w:pPr>
      <w:r w:rsidRPr="00494098">
        <w:rPr>
          <w:lang w:val="fr-FR"/>
        </w:rPr>
        <w:t>58.</w:t>
      </w:r>
      <w:r w:rsidRPr="00494098">
        <w:rPr>
          <w:lang w:val="fr-FR"/>
        </w:rPr>
        <w:tab/>
        <w:t xml:space="preserve">En outre, et dans le cadre de séances de formation sur la traite des êtres humains, notamment la question de la traite des enfants, </w:t>
      </w:r>
      <w:r w:rsidRPr="00494098">
        <w:rPr>
          <w:lang w:val="fr-FR"/>
        </w:rPr>
        <w:lastRenderedPageBreak/>
        <w:t xml:space="preserve">la Garde nationale républicaine a </w:t>
      </w:r>
      <w:r w:rsidR="00A36F98" w:rsidRPr="00494098">
        <w:rPr>
          <w:lang w:val="fr-FR"/>
        </w:rPr>
        <w:t>dispensé</w:t>
      </w:r>
      <w:r w:rsidR="00857286" w:rsidRPr="00494098">
        <w:rPr>
          <w:lang w:val="fr-FR"/>
        </w:rPr>
        <w:t>,</w:t>
      </w:r>
      <w:r w:rsidR="00A36F98" w:rsidRPr="00494098">
        <w:rPr>
          <w:lang w:val="fr-FR"/>
        </w:rPr>
        <w:t xml:space="preserve"> en 2016</w:t>
      </w:r>
      <w:r w:rsidR="00857286" w:rsidRPr="00494098">
        <w:rPr>
          <w:lang w:val="fr-FR"/>
        </w:rPr>
        <w:t>,</w:t>
      </w:r>
      <w:r w:rsidR="00A36F98" w:rsidRPr="00494098">
        <w:rPr>
          <w:lang w:val="fr-FR"/>
        </w:rPr>
        <w:t xml:space="preserve"> un </w:t>
      </w:r>
      <w:r w:rsidRPr="00494098">
        <w:rPr>
          <w:lang w:val="fr-FR"/>
        </w:rPr>
        <w:t>total 67</w:t>
      </w:r>
      <w:r w:rsidR="00A36F98" w:rsidRPr="00494098">
        <w:rPr>
          <w:lang w:val="fr-FR"/>
        </w:rPr>
        <w:t> </w:t>
      </w:r>
      <w:r w:rsidRPr="00494098">
        <w:rPr>
          <w:lang w:val="fr-FR"/>
        </w:rPr>
        <w:t xml:space="preserve">heures de formation spécifique </w:t>
      </w:r>
      <w:r w:rsidR="00A36F98" w:rsidRPr="00494098">
        <w:rPr>
          <w:lang w:val="fr-FR"/>
        </w:rPr>
        <w:t xml:space="preserve">auprès de </w:t>
      </w:r>
      <w:r w:rsidRPr="00494098">
        <w:rPr>
          <w:lang w:val="fr-FR"/>
        </w:rPr>
        <w:t>785</w:t>
      </w:r>
      <w:r w:rsidR="00A36F98" w:rsidRPr="00494098">
        <w:rPr>
          <w:lang w:val="fr-FR"/>
        </w:rPr>
        <w:t> </w:t>
      </w:r>
      <w:r w:rsidRPr="00494098">
        <w:rPr>
          <w:lang w:val="fr-FR"/>
        </w:rPr>
        <w:t xml:space="preserve">membres du personnel militaire (voir </w:t>
      </w:r>
      <w:r w:rsidR="00A36F98" w:rsidRPr="00494098">
        <w:rPr>
          <w:lang w:val="fr-FR"/>
        </w:rPr>
        <w:t>tableau 4</w:t>
      </w:r>
      <w:r w:rsidRPr="00494098">
        <w:rPr>
          <w:lang w:val="fr-FR"/>
        </w:rPr>
        <w:t xml:space="preserve">, </w:t>
      </w:r>
      <w:r w:rsidR="003B4E18" w:rsidRPr="00494098">
        <w:rPr>
          <w:lang w:val="fr-FR"/>
        </w:rPr>
        <w:t>annexe 1</w:t>
      </w:r>
      <w:r w:rsidRPr="00494098">
        <w:rPr>
          <w:lang w:val="fr-FR"/>
        </w:rPr>
        <w:t>)</w:t>
      </w:r>
      <w:r w:rsidR="00A36F98" w:rsidRPr="00494098">
        <w:rPr>
          <w:lang w:val="fr-FR"/>
        </w:rPr>
        <w:t>.</w:t>
      </w:r>
    </w:p>
    <w:p w14:paraId="2545D2DE" w14:textId="77777777" w:rsidR="00077B75" w:rsidRPr="00494098" w:rsidRDefault="00077B75" w:rsidP="00480570">
      <w:pPr>
        <w:pStyle w:val="SingleTxtG"/>
        <w:rPr>
          <w:lang w:val="fr-FR"/>
        </w:rPr>
      </w:pPr>
      <w:r w:rsidRPr="00494098">
        <w:rPr>
          <w:lang w:val="fr-FR"/>
        </w:rPr>
        <w:t>59.</w:t>
      </w:r>
      <w:r w:rsidRPr="00494098">
        <w:rPr>
          <w:lang w:val="fr-FR"/>
        </w:rPr>
        <w:tab/>
        <w:t xml:space="preserve">Depuis 2014, les programmes de formation </w:t>
      </w:r>
      <w:r w:rsidR="00A36F98" w:rsidRPr="00494098">
        <w:rPr>
          <w:lang w:val="fr-FR"/>
        </w:rPr>
        <w:t xml:space="preserve">de </w:t>
      </w:r>
      <w:r w:rsidRPr="00494098">
        <w:rPr>
          <w:lang w:val="fr-FR"/>
        </w:rPr>
        <w:t xml:space="preserve">la </w:t>
      </w:r>
      <w:r w:rsidR="00A36F98" w:rsidRPr="00494098">
        <w:rPr>
          <w:lang w:val="fr-FR"/>
        </w:rPr>
        <w:t>P</w:t>
      </w:r>
      <w:r w:rsidRPr="00494098">
        <w:rPr>
          <w:lang w:val="fr-FR"/>
        </w:rPr>
        <w:t>olice de sécurité publique comprennent 70</w:t>
      </w:r>
      <w:r w:rsidR="00A36F98" w:rsidRPr="00494098">
        <w:rPr>
          <w:lang w:val="fr-FR"/>
        </w:rPr>
        <w:t> </w:t>
      </w:r>
      <w:r w:rsidRPr="00494098">
        <w:rPr>
          <w:lang w:val="fr-FR"/>
        </w:rPr>
        <w:t>heures de formation de formateurs et 30</w:t>
      </w:r>
      <w:r w:rsidR="00A36F98" w:rsidRPr="00494098">
        <w:rPr>
          <w:lang w:val="fr-FR"/>
        </w:rPr>
        <w:t> </w:t>
      </w:r>
      <w:r w:rsidRPr="00494098">
        <w:rPr>
          <w:lang w:val="fr-FR"/>
        </w:rPr>
        <w:t xml:space="preserve">heures de formation de base sur les questions de police de proximité. </w:t>
      </w:r>
    </w:p>
    <w:p w14:paraId="02B754A3" w14:textId="77777777" w:rsidR="00077B75" w:rsidRPr="00494098" w:rsidRDefault="00077B75" w:rsidP="00480570">
      <w:pPr>
        <w:pStyle w:val="SingleTxtG"/>
        <w:rPr>
          <w:lang w:val="fr-FR"/>
        </w:rPr>
      </w:pPr>
      <w:r w:rsidRPr="00494098">
        <w:rPr>
          <w:lang w:val="fr-FR"/>
        </w:rPr>
        <w:t>60.</w:t>
      </w:r>
      <w:r w:rsidRPr="00494098">
        <w:rPr>
          <w:lang w:val="fr-FR"/>
        </w:rPr>
        <w:tab/>
        <w:t>À la fin de</w:t>
      </w:r>
      <w:r w:rsidR="00AD0DE6" w:rsidRPr="00494098">
        <w:rPr>
          <w:lang w:val="fr-FR"/>
        </w:rPr>
        <w:t xml:space="preserve"> </w:t>
      </w:r>
      <w:r w:rsidR="00B34673" w:rsidRPr="00494098">
        <w:rPr>
          <w:lang w:val="fr-FR"/>
        </w:rPr>
        <w:t>juillet</w:t>
      </w:r>
      <w:r w:rsidRPr="00494098">
        <w:rPr>
          <w:lang w:val="fr-FR"/>
        </w:rPr>
        <w:t xml:space="preserve"> 2017, 50</w:t>
      </w:r>
      <w:r w:rsidR="00AD0DE6" w:rsidRPr="00494098">
        <w:rPr>
          <w:lang w:val="fr-FR"/>
        </w:rPr>
        <w:t> </w:t>
      </w:r>
      <w:r w:rsidRPr="00494098">
        <w:rPr>
          <w:lang w:val="fr-FR"/>
        </w:rPr>
        <w:t>premiers policiers</w:t>
      </w:r>
      <w:r w:rsidR="00857286" w:rsidRPr="00494098">
        <w:rPr>
          <w:lang w:val="fr-FR"/>
        </w:rPr>
        <w:t>,</w:t>
      </w:r>
      <w:r w:rsidRPr="00494098">
        <w:rPr>
          <w:lang w:val="fr-FR"/>
        </w:rPr>
        <w:t xml:space="preserve"> sur un total d’environ 350, </w:t>
      </w:r>
      <w:r w:rsidR="00857286" w:rsidRPr="00494098">
        <w:rPr>
          <w:lang w:val="fr-FR"/>
        </w:rPr>
        <w:t xml:space="preserve">étaient </w:t>
      </w:r>
      <w:r w:rsidRPr="00494098">
        <w:rPr>
          <w:lang w:val="fr-FR"/>
        </w:rPr>
        <w:t>formés.</w:t>
      </w:r>
    </w:p>
    <w:p w14:paraId="4E36975A" w14:textId="77777777" w:rsidR="00077B75" w:rsidRPr="00494098" w:rsidRDefault="00077B75" w:rsidP="00480570">
      <w:pPr>
        <w:pStyle w:val="SingleTxtG"/>
        <w:rPr>
          <w:lang w:val="fr-FR"/>
        </w:rPr>
      </w:pPr>
      <w:r w:rsidRPr="00494098">
        <w:rPr>
          <w:lang w:val="fr-FR"/>
        </w:rPr>
        <w:t>61.</w:t>
      </w:r>
      <w:r w:rsidRPr="00494098">
        <w:rPr>
          <w:lang w:val="fr-FR"/>
        </w:rPr>
        <w:tab/>
        <w:t>Dans le cadre de l’Action de santé pour les enfants et les adolescents à risque</w:t>
      </w:r>
      <w:r w:rsidR="00AD0DE6" w:rsidRPr="00494098">
        <w:rPr>
          <w:lang w:val="fr-FR"/>
        </w:rPr>
        <w:t>,</w:t>
      </w:r>
      <w:r w:rsidRPr="00494098">
        <w:rPr>
          <w:lang w:val="fr-FR"/>
        </w:rPr>
        <w:t xml:space="preserve"> et de l'Action sanitaire sur l’égalité des sexes, la violence et le cycle de vie (arrêté </w:t>
      </w:r>
      <w:r w:rsidR="006717A5" w:rsidRPr="00494098">
        <w:rPr>
          <w:lang w:val="fr-FR"/>
        </w:rPr>
        <w:t>n° </w:t>
      </w:r>
      <w:r w:rsidRPr="00494098">
        <w:rPr>
          <w:lang w:val="fr-FR"/>
        </w:rPr>
        <w:t>6378/2013 du 16</w:t>
      </w:r>
      <w:r w:rsidR="00FF4654" w:rsidRPr="00494098">
        <w:rPr>
          <w:lang w:val="fr-FR"/>
        </w:rPr>
        <w:t> </w:t>
      </w:r>
      <w:r w:rsidRPr="00494098">
        <w:rPr>
          <w:lang w:val="fr-FR"/>
        </w:rPr>
        <w:t xml:space="preserve">mai 2013), plusieurs actions de formation et séminaires techniques sont organisés chaque année pour les professionnels de la santé ainsi que </w:t>
      </w:r>
      <w:r w:rsidR="00373D9C" w:rsidRPr="00494098">
        <w:rPr>
          <w:lang w:val="fr-FR"/>
        </w:rPr>
        <w:t xml:space="preserve">pour </w:t>
      </w:r>
      <w:r w:rsidRPr="00494098">
        <w:rPr>
          <w:lang w:val="fr-FR"/>
        </w:rPr>
        <w:t>d’autres partenaires importants dans le domaine des droits de l’enfant.</w:t>
      </w:r>
    </w:p>
    <w:p w14:paraId="1F5942FF" w14:textId="77777777" w:rsidR="00077B75" w:rsidRPr="00494098" w:rsidRDefault="00077B75" w:rsidP="00480570">
      <w:pPr>
        <w:pStyle w:val="SingleTxtG"/>
        <w:rPr>
          <w:lang w:val="fr-FR"/>
        </w:rPr>
      </w:pPr>
      <w:r w:rsidRPr="00494098">
        <w:rPr>
          <w:lang w:val="fr-FR"/>
        </w:rPr>
        <w:t>62.</w:t>
      </w:r>
      <w:r w:rsidRPr="00494098">
        <w:rPr>
          <w:lang w:val="fr-FR"/>
        </w:rPr>
        <w:tab/>
        <w:t>De 2014 à</w:t>
      </w:r>
      <w:r w:rsidR="00AD0DE6" w:rsidRPr="00494098">
        <w:rPr>
          <w:lang w:val="fr-FR"/>
        </w:rPr>
        <w:t xml:space="preserve"> </w:t>
      </w:r>
      <w:r w:rsidR="00B34673" w:rsidRPr="00494098">
        <w:rPr>
          <w:lang w:val="fr-FR"/>
        </w:rPr>
        <w:t>juillet</w:t>
      </w:r>
      <w:r w:rsidRPr="00494098">
        <w:rPr>
          <w:lang w:val="fr-FR"/>
        </w:rPr>
        <w:t xml:space="preserve"> 2017, environ 3</w:t>
      </w:r>
      <w:r w:rsidR="00FF4654" w:rsidRPr="00494098">
        <w:rPr>
          <w:lang w:val="fr-FR"/>
        </w:rPr>
        <w:t> </w:t>
      </w:r>
      <w:r w:rsidRPr="00494098">
        <w:rPr>
          <w:lang w:val="fr-FR"/>
        </w:rPr>
        <w:t>200</w:t>
      </w:r>
      <w:r w:rsidR="00FF4654" w:rsidRPr="00494098">
        <w:rPr>
          <w:lang w:val="fr-FR"/>
        </w:rPr>
        <w:t> </w:t>
      </w:r>
      <w:r w:rsidRPr="00494098">
        <w:rPr>
          <w:lang w:val="fr-FR"/>
        </w:rPr>
        <w:t>professionnels ont participé à des sessions, pour un total de 473</w:t>
      </w:r>
      <w:r w:rsidR="00FF4654" w:rsidRPr="00494098">
        <w:rPr>
          <w:lang w:val="fr-FR"/>
        </w:rPr>
        <w:t> </w:t>
      </w:r>
      <w:r w:rsidRPr="00494098">
        <w:rPr>
          <w:lang w:val="fr-FR"/>
        </w:rPr>
        <w:t>heures de formation professionnelle.</w:t>
      </w:r>
    </w:p>
    <w:p w14:paraId="3E6BFF50" w14:textId="77777777" w:rsidR="00077B75" w:rsidRPr="00494098" w:rsidRDefault="00077B75" w:rsidP="00480570">
      <w:pPr>
        <w:pStyle w:val="SingleTxtG"/>
        <w:rPr>
          <w:lang w:val="fr-FR"/>
        </w:rPr>
      </w:pPr>
      <w:r w:rsidRPr="00494098">
        <w:rPr>
          <w:lang w:val="fr-FR"/>
        </w:rPr>
        <w:t>63.</w:t>
      </w:r>
      <w:r w:rsidRPr="00494098">
        <w:rPr>
          <w:lang w:val="fr-FR"/>
        </w:rPr>
        <w:tab/>
        <w:t>Le Ministère de la santé coopère également avec d’autres ministères et institutions dans des campagnes visant à promouvoir les droits des enfants (</w:t>
      </w:r>
      <w:r w:rsidR="00FF4654" w:rsidRPr="00494098">
        <w:rPr>
          <w:lang w:val="fr-FR"/>
        </w:rPr>
        <w:t xml:space="preserve">à savoir la </w:t>
      </w:r>
      <w:r w:rsidRPr="00494098">
        <w:rPr>
          <w:lang w:val="fr-FR"/>
        </w:rPr>
        <w:t>Commission nationale pour la promotion des droits et la protection des enfants et des adolescents</w:t>
      </w:r>
      <w:r w:rsidR="00FF4654" w:rsidRPr="00494098">
        <w:rPr>
          <w:lang w:val="fr-FR"/>
        </w:rPr>
        <w:t>, et le M</w:t>
      </w:r>
      <w:r w:rsidRPr="00494098">
        <w:rPr>
          <w:lang w:val="fr-FR"/>
        </w:rPr>
        <w:t>ois de prévention des abus envers les enfants</w:t>
      </w:r>
      <w:r w:rsidR="00090CBF" w:rsidRPr="00494098">
        <w:rPr>
          <w:lang w:val="fr-FR"/>
        </w:rPr>
        <w:t> :</w:t>
      </w:r>
      <w:r w:rsidRPr="00494098">
        <w:rPr>
          <w:lang w:val="fr-FR"/>
        </w:rPr>
        <w:t xml:space="preserve"> </w:t>
      </w:r>
      <w:hyperlink r:id="rId15" w:history="1">
        <w:r w:rsidR="00373D9C" w:rsidRPr="00494098">
          <w:rPr>
            <w:rStyle w:val="Hyperlink"/>
            <w:lang w:val="fr-FR"/>
          </w:rPr>
          <w:t>http://www.cnpcjr.pt</w:t>
        </w:r>
      </w:hyperlink>
      <w:r w:rsidRPr="00494098">
        <w:rPr>
          <w:lang w:val="fr-FR"/>
        </w:rPr>
        <w:t>)</w:t>
      </w:r>
      <w:r w:rsidR="00373D9C" w:rsidRPr="00494098">
        <w:rPr>
          <w:lang w:val="fr-FR"/>
        </w:rPr>
        <w:t> </w:t>
      </w:r>
      <w:r w:rsidR="00AD0DE6" w:rsidRPr="00494098">
        <w:rPr>
          <w:lang w:val="fr-FR"/>
        </w:rPr>
        <w:t>;</w:t>
      </w:r>
      <w:r w:rsidRPr="00494098">
        <w:rPr>
          <w:lang w:val="fr-FR"/>
        </w:rPr>
        <w:t xml:space="preserve"> </w:t>
      </w:r>
      <w:r w:rsidR="00AD0DE6" w:rsidRPr="00494098">
        <w:rPr>
          <w:lang w:val="fr-FR"/>
        </w:rPr>
        <w:t>il</w:t>
      </w:r>
      <w:r w:rsidRPr="00494098">
        <w:rPr>
          <w:lang w:val="fr-FR"/>
        </w:rPr>
        <w:t xml:space="preserve"> a </w:t>
      </w:r>
      <w:r w:rsidR="00AD0DE6" w:rsidRPr="00494098">
        <w:rPr>
          <w:lang w:val="fr-FR"/>
        </w:rPr>
        <w:t xml:space="preserve">aussi </w:t>
      </w:r>
      <w:r w:rsidRPr="00494098">
        <w:rPr>
          <w:lang w:val="fr-FR"/>
        </w:rPr>
        <w:t>organisé des séminaires et des réunions sur les droits de l’enfant en 2014, 2015 et 2016.</w:t>
      </w:r>
    </w:p>
    <w:p w14:paraId="502E6F43" w14:textId="77777777" w:rsidR="00077B75" w:rsidRPr="00494098" w:rsidRDefault="00077B75" w:rsidP="00480570">
      <w:pPr>
        <w:pStyle w:val="SingleTxtG"/>
        <w:rPr>
          <w:lang w:val="fr-FR"/>
        </w:rPr>
      </w:pPr>
      <w:r w:rsidRPr="00494098">
        <w:rPr>
          <w:lang w:val="fr-FR"/>
        </w:rPr>
        <w:lastRenderedPageBreak/>
        <w:t>64.</w:t>
      </w:r>
      <w:r w:rsidRPr="00494098">
        <w:rPr>
          <w:lang w:val="fr-FR"/>
        </w:rPr>
        <w:tab/>
        <w:t xml:space="preserve">Le Ministère de l’éducation a introduit dans son fonctionnement une application électronique </w:t>
      </w:r>
      <w:r w:rsidR="00B739C0" w:rsidRPr="00494098">
        <w:rPr>
          <w:lang w:val="fr-FR"/>
        </w:rPr>
        <w:t>grâce à laquelle</w:t>
      </w:r>
      <w:r w:rsidRPr="00494098">
        <w:rPr>
          <w:lang w:val="fr-FR"/>
        </w:rPr>
        <w:t xml:space="preserve">, depuis l’année scolaire 2014/2015, </w:t>
      </w:r>
      <w:r w:rsidR="00B739C0" w:rsidRPr="00494098">
        <w:rPr>
          <w:lang w:val="fr-FR"/>
        </w:rPr>
        <w:t xml:space="preserve">les données et les actions de formation menées dans le cadre de la </w:t>
      </w:r>
      <w:r w:rsidRPr="00494098">
        <w:rPr>
          <w:lang w:val="fr-FR"/>
        </w:rPr>
        <w:t>formation</w:t>
      </w:r>
      <w:r w:rsidR="00B739C0" w:rsidRPr="00494098">
        <w:rPr>
          <w:lang w:val="fr-FR"/>
        </w:rPr>
        <w:t xml:space="preserve"> continue des enseignants sont enregistrées par les entités formatrices ou </w:t>
      </w:r>
      <w:r w:rsidR="006679BA" w:rsidRPr="00494098">
        <w:rPr>
          <w:lang w:val="fr-FR"/>
        </w:rPr>
        <w:t xml:space="preserve">par </w:t>
      </w:r>
      <w:r w:rsidR="00B739C0" w:rsidRPr="00494098">
        <w:rPr>
          <w:lang w:val="fr-FR"/>
        </w:rPr>
        <w:t>les formateurs</w:t>
      </w:r>
      <w:r w:rsidRPr="00494098">
        <w:rPr>
          <w:lang w:val="fr-FR"/>
        </w:rPr>
        <w:t xml:space="preserve">. En 2016–2017, des sessions </w:t>
      </w:r>
      <w:r w:rsidR="00CA5D6A" w:rsidRPr="00494098">
        <w:rPr>
          <w:lang w:val="fr-FR"/>
        </w:rPr>
        <w:t xml:space="preserve">traitant de </w:t>
      </w:r>
      <w:r w:rsidRPr="00494098">
        <w:rPr>
          <w:lang w:val="fr-FR"/>
        </w:rPr>
        <w:t>l’éducation à la citoyenneté ont été organisées, notamment des programmes de formation à l’i</w:t>
      </w:r>
      <w:r w:rsidR="00B739C0" w:rsidRPr="00494098">
        <w:rPr>
          <w:lang w:val="fr-FR"/>
        </w:rPr>
        <w:t xml:space="preserve">ntention des enseignants </w:t>
      </w:r>
      <w:r w:rsidR="002A0197" w:rsidRPr="00494098">
        <w:rPr>
          <w:lang w:val="fr-FR"/>
        </w:rPr>
        <w:t>s</w:t>
      </w:r>
      <w:r w:rsidR="00B739C0" w:rsidRPr="00494098">
        <w:rPr>
          <w:lang w:val="fr-FR"/>
        </w:rPr>
        <w:t xml:space="preserve">ur le </w:t>
      </w:r>
      <w:r w:rsidR="00CA5D6A" w:rsidRPr="00494098">
        <w:rPr>
          <w:lang w:val="fr-FR"/>
        </w:rPr>
        <w:t xml:space="preserve">Cadre de référence des compétences nécessaires à une culture de la démocratie </w:t>
      </w:r>
      <w:r w:rsidR="00B30791" w:rsidRPr="00494098">
        <w:rPr>
          <w:lang w:val="fr-FR"/>
        </w:rPr>
        <w:t xml:space="preserve">(2016–2017) </w:t>
      </w:r>
      <w:r w:rsidR="00CA5D6A" w:rsidRPr="00494098">
        <w:rPr>
          <w:lang w:val="fr-FR"/>
        </w:rPr>
        <w:t xml:space="preserve">élaboré par le Conseil de l’Europe, ou portant aussi </w:t>
      </w:r>
      <w:r w:rsidRPr="00494098">
        <w:rPr>
          <w:lang w:val="fr-FR"/>
        </w:rPr>
        <w:t xml:space="preserve">sur la mise en </w:t>
      </w:r>
      <w:r w:rsidR="00D264B0" w:rsidRPr="00494098">
        <w:rPr>
          <w:lang w:val="fr-FR"/>
        </w:rPr>
        <w:t>œuvr</w:t>
      </w:r>
      <w:r w:rsidRPr="00494098">
        <w:rPr>
          <w:lang w:val="fr-FR"/>
        </w:rPr>
        <w:t xml:space="preserve">e du référentiel national pour la sécurité, la protection et la paix (avec l’Institut de la défense nationale). En 2017–2018, des </w:t>
      </w:r>
      <w:r w:rsidR="006679BA" w:rsidRPr="00494098">
        <w:rPr>
          <w:lang w:val="fr-FR"/>
        </w:rPr>
        <w:t xml:space="preserve">cours </w:t>
      </w:r>
      <w:r w:rsidRPr="00494098">
        <w:rPr>
          <w:lang w:val="fr-FR"/>
        </w:rPr>
        <w:t>de formation sur les droits de l’homme, la démocratie et la citoyenneté et l’éducation à la citoyenneté</w:t>
      </w:r>
      <w:r w:rsidR="00CA5D6A" w:rsidRPr="00494098">
        <w:rPr>
          <w:lang w:val="fr-FR"/>
        </w:rPr>
        <w:t xml:space="preserve"> seront dispensés aux enseignants,</w:t>
      </w:r>
      <w:r w:rsidRPr="00494098">
        <w:rPr>
          <w:lang w:val="fr-FR"/>
        </w:rPr>
        <w:t xml:space="preserve"> et une plateforme en ligne offrant des ressources pédagogiques et des données d’expérience sur l’éducation à la citoyenneté sera lancée. La Direction générale de l’administration scolaire a mené des actions de formation sur les droits de l’enfant entre les années 2014 et 2017.</w:t>
      </w:r>
    </w:p>
    <w:p w14:paraId="206F36F5" w14:textId="77777777" w:rsidR="00077B75" w:rsidRPr="00494098" w:rsidRDefault="00077B75" w:rsidP="00480570">
      <w:pPr>
        <w:pStyle w:val="SingleTxtG"/>
        <w:rPr>
          <w:lang w:val="fr-FR"/>
        </w:rPr>
      </w:pPr>
      <w:r w:rsidRPr="00494098">
        <w:rPr>
          <w:lang w:val="fr-FR"/>
        </w:rPr>
        <w:t>65.</w:t>
      </w:r>
      <w:r w:rsidRPr="00494098">
        <w:rPr>
          <w:lang w:val="fr-FR"/>
        </w:rPr>
        <w:tab/>
        <w:t>Dans le domaine de la sécurité sociale et de la solidarité, des formations professionnelle</w:t>
      </w:r>
      <w:r w:rsidR="006679BA" w:rsidRPr="00494098">
        <w:rPr>
          <w:lang w:val="fr-FR"/>
        </w:rPr>
        <w:t>s</w:t>
      </w:r>
      <w:r w:rsidRPr="00494098">
        <w:rPr>
          <w:lang w:val="fr-FR"/>
        </w:rPr>
        <w:t xml:space="preserve"> sur la Convention </w:t>
      </w:r>
      <w:r w:rsidR="00A41328" w:rsidRPr="00494098">
        <w:rPr>
          <w:lang w:val="fr-FR"/>
        </w:rPr>
        <w:t>s</w:t>
      </w:r>
      <w:r w:rsidRPr="00494098">
        <w:rPr>
          <w:lang w:val="fr-FR"/>
        </w:rPr>
        <w:t xml:space="preserve">ont dispensées aux </w:t>
      </w:r>
      <w:r w:rsidR="006679BA" w:rsidRPr="00494098">
        <w:rPr>
          <w:lang w:val="fr-FR"/>
        </w:rPr>
        <w:t xml:space="preserve">membres du </w:t>
      </w:r>
      <w:r w:rsidRPr="00494098">
        <w:rPr>
          <w:lang w:val="fr-FR"/>
        </w:rPr>
        <w:t xml:space="preserve">personnel des institutions privées de solidarité sociale. Entre 2014 et 2017, des cours ont été </w:t>
      </w:r>
      <w:r w:rsidR="002A660F" w:rsidRPr="00494098">
        <w:rPr>
          <w:lang w:val="fr-FR"/>
        </w:rPr>
        <w:t xml:space="preserve">dispensés </w:t>
      </w:r>
      <w:r w:rsidRPr="00494098">
        <w:rPr>
          <w:lang w:val="fr-FR"/>
        </w:rPr>
        <w:t xml:space="preserve">sur les capacités parentales, l’adoption, le parrainage d’enfants, le bien-être, </w:t>
      </w:r>
      <w:r w:rsidR="00A41328" w:rsidRPr="00494098">
        <w:rPr>
          <w:lang w:val="fr-FR"/>
        </w:rPr>
        <w:t>la participation</w:t>
      </w:r>
      <w:r w:rsidR="006679BA" w:rsidRPr="00494098">
        <w:rPr>
          <w:lang w:val="fr-FR"/>
        </w:rPr>
        <w:t>,</w:t>
      </w:r>
      <w:r w:rsidR="00A41328" w:rsidRPr="00494098">
        <w:rPr>
          <w:lang w:val="fr-FR"/>
        </w:rPr>
        <w:t xml:space="preserve"> </w:t>
      </w:r>
      <w:r w:rsidRPr="00494098">
        <w:rPr>
          <w:lang w:val="fr-FR"/>
        </w:rPr>
        <w:t xml:space="preserve">l'écoute des enfants et la violence </w:t>
      </w:r>
      <w:r w:rsidR="00A41328" w:rsidRPr="00494098">
        <w:rPr>
          <w:lang w:val="fr-FR"/>
        </w:rPr>
        <w:t>à leur en</w:t>
      </w:r>
      <w:r w:rsidRPr="00494098">
        <w:rPr>
          <w:lang w:val="fr-FR"/>
        </w:rPr>
        <w:t xml:space="preserve">contre (voir </w:t>
      </w:r>
      <w:r w:rsidR="00A41328" w:rsidRPr="00494098">
        <w:rPr>
          <w:lang w:val="fr-FR"/>
        </w:rPr>
        <w:t>tableau 5</w:t>
      </w:r>
      <w:r w:rsidRPr="00494098">
        <w:rPr>
          <w:lang w:val="fr-FR"/>
        </w:rPr>
        <w:t xml:space="preserve">, </w:t>
      </w:r>
      <w:r w:rsidR="003B4E18" w:rsidRPr="00494098">
        <w:rPr>
          <w:lang w:val="fr-FR"/>
        </w:rPr>
        <w:t>annexe 1</w:t>
      </w:r>
      <w:r w:rsidRPr="00494098">
        <w:rPr>
          <w:lang w:val="fr-FR"/>
        </w:rPr>
        <w:t xml:space="preserve">). </w:t>
      </w:r>
      <w:r w:rsidRPr="00494098">
        <w:rPr>
          <w:lang w:val="fr-FR"/>
        </w:rPr>
        <w:lastRenderedPageBreak/>
        <w:t>En outre, l'Institut de sécurité sociale (</w:t>
      </w:r>
      <w:r w:rsidR="009D5543" w:rsidRPr="00494098">
        <w:rPr>
          <w:lang w:val="fr-FR"/>
        </w:rPr>
        <w:t>Infrastructures du Portugal)</w:t>
      </w:r>
      <w:r w:rsidRPr="00494098">
        <w:rPr>
          <w:lang w:val="fr-FR"/>
        </w:rPr>
        <w:t xml:space="preserve"> a </w:t>
      </w:r>
      <w:r w:rsidR="002A660F" w:rsidRPr="00494098">
        <w:rPr>
          <w:lang w:val="fr-FR"/>
        </w:rPr>
        <w:t xml:space="preserve">ouvert </w:t>
      </w:r>
      <w:r w:rsidRPr="00494098">
        <w:rPr>
          <w:lang w:val="fr-FR"/>
        </w:rPr>
        <w:t xml:space="preserve">une formation </w:t>
      </w:r>
      <w:r w:rsidR="009D5543" w:rsidRPr="00494098">
        <w:rPr>
          <w:lang w:val="fr-FR"/>
        </w:rPr>
        <w:t xml:space="preserve">technique </w:t>
      </w:r>
      <w:r w:rsidRPr="00494098">
        <w:rPr>
          <w:lang w:val="fr-FR"/>
        </w:rPr>
        <w:t xml:space="preserve">à un grand nombre de professionnels, notamment des assistants sociaux, des psychologues, des équipes d’appui </w:t>
      </w:r>
      <w:r w:rsidR="009D5543" w:rsidRPr="00494098">
        <w:rPr>
          <w:lang w:val="fr-FR"/>
        </w:rPr>
        <w:t>juridique pluri</w:t>
      </w:r>
      <w:r w:rsidRPr="00494098">
        <w:rPr>
          <w:lang w:val="fr-FR"/>
        </w:rPr>
        <w:t>disciplinaire</w:t>
      </w:r>
      <w:r w:rsidR="009D5543" w:rsidRPr="00494098">
        <w:rPr>
          <w:lang w:val="fr-FR"/>
        </w:rPr>
        <w:t>s</w:t>
      </w:r>
      <w:r w:rsidR="002A660F" w:rsidRPr="00494098">
        <w:rPr>
          <w:lang w:val="fr-FR"/>
        </w:rPr>
        <w:t xml:space="preserve"> travaillant </w:t>
      </w:r>
      <w:r w:rsidRPr="00494098">
        <w:rPr>
          <w:lang w:val="fr-FR"/>
        </w:rPr>
        <w:t>dans le cadre judiciaire de la promotion et de la protection de l’enfance et de la jeunesse</w:t>
      </w:r>
      <w:r w:rsidR="002A660F" w:rsidRPr="00494098">
        <w:rPr>
          <w:lang w:val="fr-FR"/>
        </w:rPr>
        <w:t>,</w:t>
      </w:r>
      <w:r w:rsidRPr="00494098">
        <w:rPr>
          <w:lang w:val="fr-FR"/>
        </w:rPr>
        <w:t xml:space="preserve"> ainsi qu’au personnel des </w:t>
      </w:r>
      <w:r w:rsidR="009D5543" w:rsidRPr="00494098">
        <w:rPr>
          <w:lang w:val="fr-FR"/>
        </w:rPr>
        <w:t>établissements résidentiels</w:t>
      </w:r>
      <w:r w:rsidRPr="00494098">
        <w:rPr>
          <w:lang w:val="fr-FR"/>
        </w:rPr>
        <w:t>.</w:t>
      </w:r>
    </w:p>
    <w:p w14:paraId="659C11C5" w14:textId="1599C3F4" w:rsidR="00077B75" w:rsidRPr="00494098" w:rsidRDefault="00077B75" w:rsidP="00480570">
      <w:pPr>
        <w:pStyle w:val="SingleTxtG"/>
        <w:rPr>
          <w:lang w:val="fr-FR"/>
        </w:rPr>
      </w:pPr>
      <w:r w:rsidRPr="00494098">
        <w:rPr>
          <w:lang w:val="fr-FR"/>
        </w:rPr>
        <w:t>66.</w:t>
      </w:r>
      <w:r w:rsidRPr="00494098">
        <w:rPr>
          <w:lang w:val="fr-FR"/>
        </w:rPr>
        <w:tab/>
        <w:t xml:space="preserve">Les juges et </w:t>
      </w:r>
      <w:r w:rsidR="00676A6D" w:rsidRPr="00494098">
        <w:rPr>
          <w:lang w:val="fr-FR"/>
        </w:rPr>
        <w:t xml:space="preserve">les </w:t>
      </w:r>
      <w:r w:rsidRPr="00494098">
        <w:rPr>
          <w:lang w:val="fr-FR"/>
        </w:rPr>
        <w:t xml:space="preserve">procureurs doivent suivre, systématiquement et obligatoirement, de nombreuses formations sur la protection et la promotion des droits de l’enfant et </w:t>
      </w:r>
      <w:r w:rsidR="00676A6D" w:rsidRPr="00494098">
        <w:rPr>
          <w:lang w:val="fr-FR"/>
        </w:rPr>
        <w:t xml:space="preserve">sur le </w:t>
      </w:r>
      <w:r w:rsidRPr="00494098">
        <w:rPr>
          <w:lang w:val="fr-FR"/>
        </w:rPr>
        <w:t xml:space="preserve"> droit de la famille. (</w:t>
      </w:r>
      <w:r w:rsidR="00F439B5" w:rsidRPr="00494098">
        <w:rPr>
          <w:i/>
          <w:lang w:val="fr-FR"/>
        </w:rPr>
        <w:t xml:space="preserve">Voir les </w:t>
      </w:r>
      <w:r w:rsidRPr="00494098">
        <w:rPr>
          <w:i/>
          <w:lang w:val="fr-FR"/>
        </w:rPr>
        <w:t>réponses figurant au</w:t>
      </w:r>
      <w:r w:rsidR="00232322" w:rsidRPr="00494098">
        <w:rPr>
          <w:i/>
          <w:lang w:val="fr-FR"/>
        </w:rPr>
        <w:t>x</w:t>
      </w:r>
      <w:r w:rsidRPr="00494098">
        <w:rPr>
          <w:i/>
          <w:lang w:val="fr-FR"/>
        </w:rPr>
        <w:t xml:space="preserve"> </w:t>
      </w:r>
      <w:r w:rsidR="00762179" w:rsidRPr="00494098">
        <w:rPr>
          <w:i/>
          <w:lang w:val="fr-FR"/>
        </w:rPr>
        <w:t>par</w:t>
      </w:r>
      <w:r w:rsidR="00067E5B">
        <w:rPr>
          <w:i/>
          <w:lang w:val="fr-FR"/>
        </w:rPr>
        <w:t xml:space="preserve">agraphes </w:t>
      </w:r>
      <w:r w:rsidR="00762179" w:rsidRPr="00494098">
        <w:rPr>
          <w:i/>
          <w:lang w:val="fr-FR"/>
        </w:rPr>
        <w:t> 2</w:t>
      </w:r>
      <w:r w:rsidRPr="00494098">
        <w:rPr>
          <w:i/>
          <w:lang w:val="fr-FR"/>
        </w:rPr>
        <w:t xml:space="preserve">8 </w:t>
      </w:r>
      <w:r w:rsidR="00232322" w:rsidRPr="00494098">
        <w:rPr>
          <w:i/>
          <w:lang w:val="fr-FR"/>
        </w:rPr>
        <w:t xml:space="preserve">et 66 </w:t>
      </w:r>
      <w:r w:rsidRPr="00494098">
        <w:rPr>
          <w:i/>
          <w:lang w:val="fr-FR"/>
        </w:rPr>
        <w:t xml:space="preserve">des </w:t>
      </w:r>
      <w:r w:rsidR="00067E5B">
        <w:rPr>
          <w:i/>
          <w:lang w:val="fr-FR"/>
        </w:rPr>
        <w:t>o</w:t>
      </w:r>
      <w:r w:rsidR="00916D99" w:rsidRPr="00494098">
        <w:rPr>
          <w:i/>
          <w:lang w:val="fr-FR"/>
        </w:rPr>
        <w:t>bservations finales - CRC/C/PRT/CO/3-4</w:t>
      </w:r>
      <w:r w:rsidRPr="00494098">
        <w:rPr>
          <w:i/>
          <w:lang w:val="fr-FR"/>
        </w:rPr>
        <w:t xml:space="preserve">, </w:t>
      </w:r>
      <w:r w:rsidR="00232322" w:rsidRPr="00494098">
        <w:rPr>
          <w:i/>
          <w:lang w:val="fr-FR"/>
        </w:rPr>
        <w:t xml:space="preserve">traitant respectivement des </w:t>
      </w:r>
      <w:r w:rsidRPr="00494098">
        <w:rPr>
          <w:i/>
          <w:lang w:val="fr-FR"/>
        </w:rPr>
        <w:t xml:space="preserve">procédures adaptées aux enfants et </w:t>
      </w:r>
      <w:r w:rsidR="00232322" w:rsidRPr="00494098">
        <w:rPr>
          <w:i/>
          <w:lang w:val="fr-FR"/>
        </w:rPr>
        <w:t xml:space="preserve">de </w:t>
      </w:r>
      <w:r w:rsidRPr="00494098">
        <w:rPr>
          <w:i/>
          <w:lang w:val="fr-FR"/>
        </w:rPr>
        <w:t>la participation des enfants,</w:t>
      </w:r>
      <w:r w:rsidR="00535D69" w:rsidRPr="00494098">
        <w:rPr>
          <w:i/>
          <w:lang w:val="fr-FR"/>
        </w:rPr>
        <w:t xml:space="preserve"> </w:t>
      </w:r>
      <w:r w:rsidR="00232322" w:rsidRPr="00494098">
        <w:rPr>
          <w:i/>
          <w:lang w:val="fr-FR"/>
        </w:rPr>
        <w:t>et de l’administration de la justice pour mineurs</w:t>
      </w:r>
      <w:r w:rsidRPr="00494098">
        <w:rPr>
          <w:i/>
          <w:lang w:val="fr-FR"/>
        </w:rPr>
        <w:t>, ainsi qu'au par</w:t>
      </w:r>
      <w:r w:rsidR="00067E5B">
        <w:rPr>
          <w:i/>
          <w:lang w:val="fr-FR"/>
        </w:rPr>
        <w:t>agraphe</w:t>
      </w:r>
      <w:r w:rsidR="00232322" w:rsidRPr="00494098">
        <w:rPr>
          <w:i/>
          <w:lang w:val="fr-FR"/>
        </w:rPr>
        <w:t> </w:t>
      </w:r>
      <w:r w:rsidRPr="00494098">
        <w:rPr>
          <w:i/>
          <w:lang w:val="fr-FR"/>
        </w:rPr>
        <w:t xml:space="preserve">34 des </w:t>
      </w:r>
      <w:r w:rsidR="00067E5B">
        <w:rPr>
          <w:i/>
          <w:lang w:val="fr-FR"/>
        </w:rPr>
        <w:t>o</w:t>
      </w:r>
      <w:r w:rsidRPr="00494098">
        <w:rPr>
          <w:i/>
          <w:lang w:val="fr-FR"/>
        </w:rPr>
        <w:t xml:space="preserve">bservations finales </w:t>
      </w:r>
      <w:r w:rsidR="00651ECB" w:rsidRPr="00494098">
        <w:rPr>
          <w:i/>
          <w:lang w:val="fr-FR"/>
        </w:rPr>
        <w:t>- CRC/C/OPSC/PRT/CO/1</w:t>
      </w:r>
      <w:r w:rsidRPr="00494098">
        <w:rPr>
          <w:lang w:val="fr-FR"/>
        </w:rPr>
        <w:t>).</w:t>
      </w:r>
    </w:p>
    <w:p w14:paraId="2F629852" w14:textId="46FF12A6" w:rsidR="00077B75" w:rsidRPr="00494098" w:rsidRDefault="00491E89" w:rsidP="00F25BD5">
      <w:pPr>
        <w:pStyle w:val="H1G"/>
        <w:rPr>
          <w:lang w:val="fr-FR"/>
        </w:rPr>
      </w:pPr>
      <w:r w:rsidRPr="00494098">
        <w:rPr>
          <w:lang w:val="fr-FR"/>
        </w:rPr>
        <w:tab/>
      </w:r>
      <w:r w:rsidR="00077B75" w:rsidRPr="00494098">
        <w:rPr>
          <w:lang w:val="fr-FR"/>
        </w:rPr>
        <w:t>B.</w:t>
      </w:r>
      <w:r w:rsidR="00077B75" w:rsidRPr="00494098">
        <w:rPr>
          <w:lang w:val="fr-FR"/>
        </w:rPr>
        <w:tab/>
      </w:r>
      <w:r w:rsidR="00077B75" w:rsidRPr="00494098">
        <w:rPr>
          <w:bCs/>
          <w:lang w:val="fr-FR"/>
        </w:rPr>
        <w:t>Principes généraux (art</w:t>
      </w:r>
      <w:r w:rsidR="00C756C5">
        <w:rPr>
          <w:bCs/>
          <w:lang w:val="fr-FR"/>
        </w:rPr>
        <w:t>.</w:t>
      </w:r>
      <w:r w:rsidR="00077B75" w:rsidRPr="00494098">
        <w:rPr>
          <w:bCs/>
          <w:lang w:val="fr-FR"/>
        </w:rPr>
        <w:t xml:space="preserve"> 2, 3 et 12 de la Convention)</w:t>
      </w:r>
      <w:bookmarkStart w:id="55" w:name="_Toc530057287"/>
      <w:bookmarkStart w:id="56" w:name="_Toc530057486"/>
      <w:bookmarkStart w:id="57" w:name="_Toc530057601"/>
      <w:bookmarkStart w:id="58" w:name="_Toc530067982"/>
      <w:bookmarkEnd w:id="55"/>
      <w:bookmarkEnd w:id="56"/>
      <w:bookmarkEnd w:id="57"/>
      <w:bookmarkEnd w:id="58"/>
    </w:p>
    <w:p w14:paraId="747A4EE3" w14:textId="0F733FC9" w:rsidR="00077B75" w:rsidRPr="00494098" w:rsidRDefault="00077B75" w:rsidP="00F25BD5">
      <w:pPr>
        <w:pStyle w:val="H23G"/>
        <w:rPr>
          <w:lang w:val="fr-FR"/>
        </w:rPr>
      </w:pPr>
      <w:r w:rsidRPr="00494098">
        <w:rPr>
          <w:lang w:val="fr-FR"/>
        </w:rPr>
        <w:tab/>
      </w:r>
      <w:r w:rsidRPr="00494098">
        <w:rPr>
          <w:lang w:val="fr-FR"/>
        </w:rPr>
        <w:tab/>
        <w:t>Non-discrimination (</w:t>
      </w:r>
      <w:r w:rsidR="00762179" w:rsidRPr="00494098">
        <w:rPr>
          <w:lang w:val="fr-FR"/>
        </w:rPr>
        <w:t>par. 2</w:t>
      </w:r>
      <w:r w:rsidRPr="00494098">
        <w:rPr>
          <w:lang w:val="fr-FR"/>
        </w:rPr>
        <w:t xml:space="preserve">6 </w:t>
      </w:r>
      <w:r w:rsidR="00872592" w:rsidRPr="00494098">
        <w:rPr>
          <w:lang w:val="fr-FR"/>
        </w:rPr>
        <w:t xml:space="preserve">des </w:t>
      </w:r>
      <w:r w:rsidR="00FD796B">
        <w:rPr>
          <w:lang w:val="fr-FR"/>
        </w:rPr>
        <w:t>o</w:t>
      </w:r>
      <w:r w:rsidR="00916D99" w:rsidRPr="00494098">
        <w:rPr>
          <w:lang w:val="fr-FR"/>
        </w:rPr>
        <w:t>bservations finales</w:t>
      </w:r>
      <w:r w:rsidR="00872592" w:rsidRPr="00494098">
        <w:rPr>
          <w:lang w:val="fr-FR"/>
        </w:rPr>
        <w:t>)</w:t>
      </w:r>
      <w:bookmarkStart w:id="59" w:name="_Toc530057288"/>
      <w:bookmarkStart w:id="60" w:name="_Toc530057487"/>
      <w:bookmarkStart w:id="61" w:name="_Toc530057602"/>
      <w:bookmarkStart w:id="62" w:name="_Toc530067983"/>
      <w:bookmarkEnd w:id="59"/>
      <w:bookmarkEnd w:id="60"/>
      <w:bookmarkEnd w:id="61"/>
      <w:bookmarkEnd w:id="62"/>
    </w:p>
    <w:p w14:paraId="13315726" w14:textId="54A82D79" w:rsidR="00077B75" w:rsidRPr="00494098" w:rsidRDefault="00077B75" w:rsidP="00480570">
      <w:pPr>
        <w:pStyle w:val="SingleTxtG"/>
        <w:rPr>
          <w:lang w:val="fr-FR"/>
        </w:rPr>
      </w:pPr>
      <w:r w:rsidRPr="00494098">
        <w:rPr>
          <w:lang w:val="fr-FR"/>
        </w:rPr>
        <w:t>67.</w:t>
      </w:r>
      <w:r w:rsidRPr="00494098">
        <w:rPr>
          <w:lang w:val="fr-FR"/>
        </w:rPr>
        <w:tab/>
        <w:t>L'élimination de la discrimination à l’égard des enfants d</w:t>
      </w:r>
      <w:r w:rsidR="00AA1DDD" w:rsidRPr="00494098">
        <w:rPr>
          <w:lang w:val="fr-FR"/>
        </w:rPr>
        <w:t xml:space="preserve">es </w:t>
      </w:r>
      <w:r w:rsidRPr="00494098">
        <w:rPr>
          <w:lang w:val="fr-FR"/>
        </w:rPr>
        <w:t>immigrants, des étrangers, des minorités ethniques et raciales et la promotion du dialogue interculturel sont au cœur de nombreuses activités menées par le Haut Commissariat aux migrations</w:t>
      </w:r>
      <w:r w:rsidR="00090CBF" w:rsidRPr="00494098">
        <w:rPr>
          <w:lang w:val="fr-FR"/>
        </w:rPr>
        <w:t> :</w:t>
      </w:r>
    </w:p>
    <w:p w14:paraId="66E909DF" w14:textId="77777777" w:rsidR="00077B75" w:rsidRPr="00494098" w:rsidRDefault="00112210" w:rsidP="00112210">
      <w:pPr>
        <w:pStyle w:val="Bullet1G"/>
        <w:numPr>
          <w:ilvl w:val="0"/>
          <w:numId w:val="0"/>
        </w:numPr>
        <w:tabs>
          <w:tab w:val="left" w:pos="1701"/>
        </w:tabs>
        <w:ind w:left="1701" w:hanging="170"/>
        <w:rPr>
          <w:lang w:val="fr-FR"/>
        </w:rPr>
      </w:pPr>
      <w:r w:rsidRPr="00494098">
        <w:rPr>
          <w:lang w:val="fr-FR"/>
        </w:rPr>
        <w:t>•</w:t>
      </w:r>
      <w:r w:rsidR="00AA1DDD" w:rsidRPr="00494098">
        <w:rPr>
          <w:lang w:val="fr-FR"/>
        </w:rPr>
        <w:tab/>
        <w:t>La campagne en ligne « </w:t>
      </w:r>
      <w:r w:rsidRPr="00494098">
        <w:rPr>
          <w:b/>
          <w:lang w:val="fr-FR"/>
        </w:rPr>
        <w:t>Découvre ta couleur!</w:t>
      </w:r>
      <w:r w:rsidR="00AA1DDD" w:rsidRPr="00494098">
        <w:rPr>
          <w:lang w:val="fr-FR"/>
        </w:rPr>
        <w:t xml:space="preserve"> » </w:t>
      </w:r>
      <w:r w:rsidRPr="00494098">
        <w:rPr>
          <w:lang w:val="fr-FR"/>
        </w:rPr>
        <w:lastRenderedPageBreak/>
        <w:t xml:space="preserve">lancée en 2015, sur un site Web spécial (http://www.descobreatuacor.pt) </w:t>
      </w:r>
      <w:r w:rsidR="00C2191E" w:rsidRPr="00494098">
        <w:rPr>
          <w:lang w:val="fr-FR"/>
        </w:rPr>
        <w:t xml:space="preserve">ainsi que </w:t>
      </w:r>
      <w:r w:rsidRPr="00494098">
        <w:rPr>
          <w:lang w:val="fr-FR"/>
        </w:rPr>
        <w:t>sur Facebook</w:t>
      </w:r>
      <w:r w:rsidR="00C2191E" w:rsidRPr="00494098">
        <w:rPr>
          <w:lang w:val="fr-FR"/>
        </w:rPr>
        <w:t> </w:t>
      </w:r>
      <w:r w:rsidR="006717A5" w:rsidRPr="00494098">
        <w:rPr>
          <w:lang w:val="fr-FR"/>
        </w:rPr>
        <w:t>;</w:t>
      </w:r>
    </w:p>
    <w:p w14:paraId="152C8B47" w14:textId="77777777" w:rsidR="00077B75" w:rsidRPr="00494098" w:rsidRDefault="00112210" w:rsidP="00112210">
      <w:pPr>
        <w:pStyle w:val="Bullet1G"/>
        <w:numPr>
          <w:ilvl w:val="0"/>
          <w:numId w:val="0"/>
        </w:numPr>
        <w:tabs>
          <w:tab w:val="left" w:pos="1701"/>
        </w:tabs>
        <w:ind w:left="1701" w:hanging="170"/>
        <w:rPr>
          <w:lang w:val="fr-FR"/>
        </w:rPr>
      </w:pPr>
      <w:r w:rsidRPr="00494098">
        <w:rPr>
          <w:lang w:val="fr-FR"/>
        </w:rPr>
        <w:t>•</w:t>
      </w:r>
      <w:r w:rsidRPr="00494098">
        <w:rPr>
          <w:lang w:val="fr-FR"/>
        </w:rPr>
        <w:tab/>
        <w:t xml:space="preserve">En 2016, une campagne </w:t>
      </w:r>
      <w:r w:rsidR="00AA1DDD" w:rsidRPr="00494098">
        <w:rPr>
          <w:lang w:val="fr-FR"/>
        </w:rPr>
        <w:t>menée à l’aide d’</w:t>
      </w:r>
      <w:r w:rsidRPr="00494098">
        <w:rPr>
          <w:lang w:val="fr-FR"/>
        </w:rPr>
        <w:t>un</w:t>
      </w:r>
      <w:r w:rsidR="00AA1DDD" w:rsidRPr="00494098">
        <w:rPr>
          <w:lang w:val="fr-FR"/>
        </w:rPr>
        <w:t xml:space="preserve"> </w:t>
      </w:r>
      <w:r w:rsidR="00D75A81" w:rsidRPr="00494098">
        <w:rPr>
          <w:lang w:val="fr-FR"/>
        </w:rPr>
        <w:t xml:space="preserve">étui de </w:t>
      </w:r>
      <w:r w:rsidRPr="00494098">
        <w:rPr>
          <w:lang w:val="fr-FR"/>
        </w:rPr>
        <w:t>six crayons de couleur pour des tonalités de peau différentes</w:t>
      </w:r>
      <w:r w:rsidR="00D75A81" w:rsidRPr="00494098">
        <w:rPr>
          <w:lang w:val="fr-FR"/>
        </w:rPr>
        <w:t>,</w:t>
      </w:r>
      <w:r w:rsidRPr="00494098">
        <w:rPr>
          <w:lang w:val="fr-FR"/>
        </w:rPr>
        <w:t xml:space="preserve"> </w:t>
      </w:r>
      <w:r w:rsidR="00D75A81" w:rsidRPr="00494098">
        <w:rPr>
          <w:lang w:val="fr-FR"/>
        </w:rPr>
        <w:t>accompagné d’</w:t>
      </w:r>
      <w:r w:rsidRPr="00494098">
        <w:rPr>
          <w:lang w:val="fr-FR"/>
        </w:rPr>
        <w:t xml:space="preserve">un </w:t>
      </w:r>
      <w:r w:rsidR="00AA1DDD" w:rsidRPr="00494098">
        <w:rPr>
          <w:lang w:val="fr-FR"/>
        </w:rPr>
        <w:t xml:space="preserve">livret </w:t>
      </w:r>
      <w:r w:rsidR="00D75A81" w:rsidRPr="00494098">
        <w:rPr>
          <w:lang w:val="fr-FR"/>
        </w:rPr>
        <w:t xml:space="preserve">racontant </w:t>
      </w:r>
      <w:r w:rsidR="00AA1DDD" w:rsidRPr="00494098">
        <w:rPr>
          <w:lang w:val="fr-FR"/>
        </w:rPr>
        <w:t>l’histoire des « </w:t>
      </w:r>
      <w:r w:rsidRPr="00494098">
        <w:rPr>
          <w:b/>
          <w:lang w:val="fr-FR"/>
        </w:rPr>
        <w:t>Couleurs de la ville grise</w:t>
      </w:r>
      <w:r w:rsidR="00AA1DDD" w:rsidRPr="00494098">
        <w:rPr>
          <w:lang w:val="fr-FR"/>
        </w:rPr>
        <w:t> »</w:t>
      </w:r>
      <w:r w:rsidRPr="00494098">
        <w:rPr>
          <w:lang w:val="fr-FR"/>
        </w:rPr>
        <w:t xml:space="preserve"> (</w:t>
      </w:r>
      <w:r w:rsidRPr="00494098">
        <w:rPr>
          <w:i/>
          <w:iCs/>
          <w:lang w:val="fr-FR"/>
        </w:rPr>
        <w:t>As cores da cidade cinzenta</w:t>
      </w:r>
      <w:r w:rsidRPr="00494098">
        <w:rPr>
          <w:lang w:val="fr-FR"/>
        </w:rPr>
        <w:t xml:space="preserve">) </w:t>
      </w:r>
      <w:r w:rsidR="00AA1DDD" w:rsidRPr="00494098">
        <w:rPr>
          <w:lang w:val="fr-FR"/>
        </w:rPr>
        <w:t xml:space="preserve">a </w:t>
      </w:r>
      <w:r w:rsidRPr="00494098">
        <w:rPr>
          <w:lang w:val="fr-FR"/>
        </w:rPr>
        <w:t>invité les enfants à colorier le livre</w:t>
      </w:r>
      <w:r w:rsidR="00D75A81" w:rsidRPr="00494098">
        <w:rPr>
          <w:lang w:val="fr-FR"/>
        </w:rPr>
        <w:t>t</w:t>
      </w:r>
      <w:r w:rsidRPr="00494098">
        <w:rPr>
          <w:lang w:val="fr-FR"/>
        </w:rPr>
        <w:t xml:space="preserve"> et à réfléchir sur le message central de l’histoire</w:t>
      </w:r>
      <w:r w:rsidR="00090CBF" w:rsidRPr="00494098">
        <w:rPr>
          <w:lang w:val="fr-FR"/>
        </w:rPr>
        <w:t> :</w:t>
      </w:r>
      <w:r w:rsidRPr="00494098">
        <w:rPr>
          <w:lang w:val="fr-FR"/>
        </w:rPr>
        <w:t xml:space="preserve"> la ville reçoit les nouveaux citoyens qui apportent avec eux de </w:t>
      </w:r>
      <w:r w:rsidR="00AA1DDD" w:rsidRPr="00494098">
        <w:rPr>
          <w:lang w:val="fr-FR"/>
        </w:rPr>
        <w:t xml:space="preserve">nouvelles </w:t>
      </w:r>
      <w:r w:rsidRPr="00494098">
        <w:rPr>
          <w:lang w:val="fr-FR"/>
        </w:rPr>
        <w:t>couleurs, de nouvelles idées et de nouvelles perspectives</w:t>
      </w:r>
      <w:r w:rsidR="0001303F" w:rsidRPr="00494098">
        <w:rPr>
          <w:lang w:val="fr-FR"/>
        </w:rPr>
        <w:t> </w:t>
      </w:r>
      <w:r w:rsidR="00090CBF" w:rsidRPr="00494098">
        <w:rPr>
          <w:lang w:val="fr-FR"/>
        </w:rPr>
        <w:t>:</w:t>
      </w:r>
      <w:r w:rsidRPr="00494098">
        <w:rPr>
          <w:lang w:val="fr-FR"/>
        </w:rPr>
        <w:t xml:space="preserve"> http://www.acm</w:t>
      </w:r>
      <w:r w:rsidR="00AA1DDD" w:rsidRPr="00494098">
        <w:rPr>
          <w:lang w:val="fr-FR"/>
        </w:rPr>
        <w:t>.gov.pt/documents/10181/167771/</w:t>
      </w:r>
      <w:r w:rsidRPr="00494098">
        <w:rPr>
          <w:lang w:val="fr-FR"/>
        </w:rPr>
        <w:t xml:space="preserve">As+Cores+Da+Cidade+Cinzenta_BR.pdf/c740288d-4832-49ff-8cfc-75d14d9b5f9f. Tous les élèves des écoles publiques, jusqu’à la cinquième année ont reçu cet ensemble et le résultat a été </w:t>
      </w:r>
      <w:r w:rsidR="00AA1DDD" w:rsidRPr="00494098">
        <w:rPr>
          <w:lang w:val="fr-FR"/>
        </w:rPr>
        <w:t>plutôt positif </w:t>
      </w:r>
      <w:r w:rsidR="006717A5" w:rsidRPr="00494098">
        <w:rPr>
          <w:lang w:val="fr-FR"/>
        </w:rPr>
        <w:t>;</w:t>
      </w:r>
    </w:p>
    <w:p w14:paraId="68E7DF68" w14:textId="77777777" w:rsidR="00077B75" w:rsidRPr="00494098" w:rsidRDefault="00112210" w:rsidP="00112210">
      <w:pPr>
        <w:pStyle w:val="Bullet1G"/>
        <w:numPr>
          <w:ilvl w:val="0"/>
          <w:numId w:val="0"/>
        </w:numPr>
        <w:tabs>
          <w:tab w:val="left" w:pos="1701"/>
        </w:tabs>
        <w:ind w:left="1701" w:hanging="170"/>
        <w:rPr>
          <w:lang w:val="fr-FR"/>
        </w:rPr>
      </w:pPr>
      <w:r w:rsidRPr="00494098">
        <w:rPr>
          <w:lang w:val="fr-FR"/>
        </w:rPr>
        <w:t>•</w:t>
      </w:r>
      <w:r w:rsidRPr="00494098">
        <w:rPr>
          <w:lang w:val="fr-FR"/>
        </w:rPr>
        <w:tab/>
      </w:r>
      <w:r w:rsidR="0001303F" w:rsidRPr="00494098">
        <w:rPr>
          <w:lang w:val="fr-FR"/>
        </w:rPr>
        <w:t xml:space="preserve">Facilitation des </w:t>
      </w:r>
      <w:r w:rsidRPr="00494098">
        <w:rPr>
          <w:lang w:val="fr-FR"/>
        </w:rPr>
        <w:t xml:space="preserve">actions menées dans les écoles publiques sur la nécessité de lutter contre la discrimination (notamment une pièce de théâtre, des débats et des œuvres d’art </w:t>
      </w:r>
      <w:r w:rsidR="0001303F" w:rsidRPr="00494098">
        <w:rPr>
          <w:lang w:val="fr-FR"/>
        </w:rPr>
        <w:t>collaboratives</w:t>
      </w:r>
      <w:r w:rsidRPr="00494098">
        <w:rPr>
          <w:lang w:val="fr-FR"/>
        </w:rPr>
        <w:t>)</w:t>
      </w:r>
      <w:r w:rsidR="0001303F" w:rsidRPr="00494098">
        <w:rPr>
          <w:lang w:val="fr-FR"/>
        </w:rPr>
        <w:t>,</w:t>
      </w:r>
      <w:r w:rsidRPr="00494098">
        <w:rPr>
          <w:lang w:val="fr-FR"/>
        </w:rPr>
        <w:t xml:space="preserve"> dans quatre villes du pays en 2017</w:t>
      </w:r>
      <w:r w:rsidR="0001303F" w:rsidRPr="00494098">
        <w:rPr>
          <w:lang w:val="fr-FR"/>
        </w:rPr>
        <w:t xml:space="preserve"> : </w:t>
      </w:r>
      <w:r w:rsidRPr="00494098">
        <w:rPr>
          <w:lang w:val="fr-FR"/>
        </w:rPr>
        <w:t>http://www.acm.gov.pt/-/dia-internacional-para-a-eliminacao-da-discriminacao-racial-acm-pro</w:t>
      </w:r>
      <w:r w:rsidRPr="00494098">
        <w:rPr>
          <w:lang w:val="fr-FR"/>
        </w:rPr>
        <w:lastRenderedPageBreak/>
        <w:t>move-campanha-de-sensi</w:t>
      </w:r>
      <w:r w:rsidR="0001303F" w:rsidRPr="00494098">
        <w:rPr>
          <w:lang w:val="fr-FR"/>
        </w:rPr>
        <w:t>bilizacao-em-escolas-do-1-ciclo.</w:t>
      </w:r>
    </w:p>
    <w:p w14:paraId="227296F6" w14:textId="77777777" w:rsidR="00077B75" w:rsidRPr="00494098" w:rsidRDefault="00112210" w:rsidP="00112210">
      <w:pPr>
        <w:pStyle w:val="Bullet1G"/>
        <w:numPr>
          <w:ilvl w:val="0"/>
          <w:numId w:val="0"/>
        </w:numPr>
        <w:tabs>
          <w:tab w:val="left" w:pos="1701"/>
        </w:tabs>
        <w:ind w:left="1701" w:hanging="170"/>
        <w:rPr>
          <w:lang w:val="fr-FR"/>
        </w:rPr>
      </w:pPr>
      <w:r w:rsidRPr="00494098">
        <w:rPr>
          <w:lang w:val="fr-FR"/>
        </w:rPr>
        <w:t>•</w:t>
      </w:r>
      <w:r w:rsidRPr="00494098">
        <w:rPr>
          <w:lang w:val="fr-FR"/>
        </w:rPr>
        <w:tab/>
        <w:t>Le Haut Commissariat aux migrations a mené</w:t>
      </w:r>
      <w:r w:rsidR="00A11A2E" w:rsidRPr="00494098">
        <w:rPr>
          <w:lang w:val="fr-FR"/>
        </w:rPr>
        <w:t xml:space="preserve"> </w:t>
      </w:r>
      <w:r w:rsidRPr="00494098">
        <w:rPr>
          <w:lang w:val="fr-FR"/>
        </w:rPr>
        <w:t>des activités de sensibilisation dans les domaines du dialogue interculturel et de la diversité</w:t>
      </w:r>
      <w:r w:rsidR="00C2191E" w:rsidRPr="00494098">
        <w:rPr>
          <w:lang w:val="fr-FR"/>
        </w:rPr>
        <w:t>, à l’intention des écoles et des enfants</w:t>
      </w:r>
      <w:r w:rsidR="006717A5" w:rsidRPr="00494098">
        <w:rPr>
          <w:lang w:val="fr-FR"/>
        </w:rPr>
        <w:t> ;</w:t>
      </w:r>
    </w:p>
    <w:p w14:paraId="211630B6" w14:textId="77777777" w:rsidR="00077B75" w:rsidRPr="00494098" w:rsidRDefault="00112210" w:rsidP="00112210">
      <w:pPr>
        <w:pStyle w:val="Bullet1G"/>
        <w:numPr>
          <w:ilvl w:val="0"/>
          <w:numId w:val="0"/>
        </w:numPr>
        <w:tabs>
          <w:tab w:val="left" w:pos="1701"/>
        </w:tabs>
        <w:ind w:left="1701" w:hanging="170"/>
        <w:rPr>
          <w:lang w:val="fr-FR"/>
        </w:rPr>
      </w:pPr>
      <w:r w:rsidRPr="00494098">
        <w:rPr>
          <w:lang w:val="fr-FR"/>
        </w:rPr>
        <w:t>•</w:t>
      </w:r>
      <w:r w:rsidRPr="00494098">
        <w:rPr>
          <w:lang w:val="fr-FR"/>
        </w:rPr>
        <w:tab/>
        <w:t xml:space="preserve">L’initiative </w:t>
      </w:r>
      <w:r w:rsidRPr="00494098">
        <w:rPr>
          <w:b/>
          <w:bCs/>
          <w:lang w:val="fr-FR"/>
        </w:rPr>
        <w:t>Sceau de l'école interculturelle</w:t>
      </w:r>
      <w:r w:rsidRPr="00494098">
        <w:rPr>
          <w:lang w:val="fr-FR"/>
        </w:rPr>
        <w:t>, lancée en 2012 pour honorer les écoles qui se distinguent dans la promotion de projets visant à la reconnaissance et la valorisation de la diversité, en est actuellement à sa quatrième édition. http://www.acm.gov.pt/-/selo-de-escola-intercultural-32-escolas-premiadas-pelo-trabalho-em-prol-da-valorizacao-da-diversidade</w:t>
      </w:r>
      <w:r w:rsidR="006717A5" w:rsidRPr="00494098">
        <w:rPr>
          <w:lang w:val="fr-FR"/>
        </w:rPr>
        <w:t> ;</w:t>
      </w:r>
    </w:p>
    <w:p w14:paraId="6B578BAF" w14:textId="77777777" w:rsidR="00077B75" w:rsidRPr="00494098" w:rsidRDefault="00112210" w:rsidP="00112210">
      <w:pPr>
        <w:pStyle w:val="Bullet1G"/>
        <w:numPr>
          <w:ilvl w:val="0"/>
          <w:numId w:val="0"/>
        </w:numPr>
        <w:tabs>
          <w:tab w:val="left" w:pos="1701"/>
        </w:tabs>
        <w:ind w:left="1701" w:hanging="170"/>
        <w:rPr>
          <w:lang w:val="fr-FR"/>
        </w:rPr>
      </w:pPr>
      <w:r w:rsidRPr="00494098">
        <w:rPr>
          <w:lang w:val="fr-FR"/>
        </w:rPr>
        <w:t>•</w:t>
      </w:r>
      <w:r w:rsidRPr="00494098">
        <w:rPr>
          <w:lang w:val="fr-FR"/>
        </w:rPr>
        <w:tab/>
        <w:t xml:space="preserve">Le </w:t>
      </w:r>
      <w:r w:rsidRPr="00494098">
        <w:rPr>
          <w:b/>
          <w:bCs/>
          <w:lang w:val="fr-FR"/>
        </w:rPr>
        <w:t>Kit scolaire interculturel</w:t>
      </w:r>
      <w:r w:rsidRPr="00494098">
        <w:rPr>
          <w:lang w:val="fr-FR"/>
        </w:rPr>
        <w:t xml:space="preserve"> conçu par le Haut Commissariat aux migrations et </w:t>
      </w:r>
      <w:r w:rsidR="00717DA7" w:rsidRPr="00494098">
        <w:rPr>
          <w:lang w:val="fr-FR"/>
        </w:rPr>
        <w:t xml:space="preserve">certains </w:t>
      </w:r>
      <w:r w:rsidRPr="00494098">
        <w:rPr>
          <w:lang w:val="fr-FR"/>
        </w:rPr>
        <w:t xml:space="preserve">partenaires. Cette trousse vise à fournir aux écoles et aux personnels de l'enseignement, aux familles et aux enfants, une série de documents sur les questions interculturelles — </w:t>
      </w:r>
      <w:r w:rsidR="001A455F" w:rsidRPr="00494098">
        <w:rPr>
          <w:lang w:val="fr-FR"/>
        </w:rPr>
        <w:t>kit</w:t>
      </w:r>
      <w:r w:rsidRPr="00494098">
        <w:rPr>
          <w:lang w:val="fr-FR"/>
        </w:rPr>
        <w:t>, livres, brochures, affiches, jeux. http://www.acm.gov.pt/-/kit-intercultural</w:t>
      </w:r>
      <w:r w:rsidR="006717A5" w:rsidRPr="00494098">
        <w:rPr>
          <w:lang w:val="fr-FR"/>
        </w:rPr>
        <w:t> ;</w:t>
      </w:r>
    </w:p>
    <w:p w14:paraId="1896A30D" w14:textId="77777777" w:rsidR="00077B75" w:rsidRPr="00494098" w:rsidRDefault="00112210" w:rsidP="00112210">
      <w:pPr>
        <w:pStyle w:val="Bullet1G"/>
        <w:numPr>
          <w:ilvl w:val="0"/>
          <w:numId w:val="0"/>
        </w:numPr>
        <w:tabs>
          <w:tab w:val="left" w:pos="1701"/>
        </w:tabs>
        <w:ind w:left="1701" w:hanging="170"/>
        <w:rPr>
          <w:lang w:val="fr-FR"/>
        </w:rPr>
      </w:pPr>
      <w:r w:rsidRPr="00494098">
        <w:rPr>
          <w:lang w:val="fr-FR"/>
        </w:rPr>
        <w:t>•</w:t>
      </w:r>
      <w:r w:rsidRPr="00494098">
        <w:rPr>
          <w:lang w:val="fr-FR"/>
        </w:rPr>
        <w:tab/>
        <w:t xml:space="preserve">Le </w:t>
      </w:r>
      <w:r w:rsidRPr="00494098">
        <w:rPr>
          <w:b/>
          <w:bCs/>
          <w:lang w:val="fr-FR"/>
        </w:rPr>
        <w:t>Réseau d’écoles pour l’éducation interculturelle</w:t>
      </w:r>
      <w:r w:rsidRPr="00494098">
        <w:rPr>
          <w:lang w:val="fr-FR"/>
        </w:rPr>
        <w:t>, lancé en</w:t>
      </w:r>
      <w:r w:rsidR="00535B49" w:rsidRPr="00494098">
        <w:rPr>
          <w:lang w:val="fr-FR"/>
        </w:rPr>
        <w:t xml:space="preserve"> </w:t>
      </w:r>
      <w:r w:rsidR="00203C62" w:rsidRPr="00494098">
        <w:rPr>
          <w:lang w:val="fr-FR"/>
        </w:rPr>
        <w:t>octobre</w:t>
      </w:r>
      <w:r w:rsidRPr="00494098">
        <w:rPr>
          <w:lang w:val="fr-FR"/>
        </w:rPr>
        <w:t xml:space="preserve"> 2016 par le Haut Commissariat aux migrations, la Direction générale de l’éducation et la Fondation Aga Khan Portugal. (http://www.acm.gov.pt/-</w:t>
      </w:r>
      <w:r w:rsidRPr="00494098">
        <w:rPr>
          <w:lang w:val="fr-FR"/>
        </w:rPr>
        <w:lastRenderedPageBreak/>
        <w:t>/sessao-de-lancamento-da-rede-de-escolas-para-a-educacao-intercultural)</w:t>
      </w:r>
      <w:r w:rsidR="006717A5" w:rsidRPr="00494098">
        <w:rPr>
          <w:lang w:val="fr-FR"/>
        </w:rPr>
        <w:t> ;</w:t>
      </w:r>
    </w:p>
    <w:p w14:paraId="65F9E18B" w14:textId="77777777" w:rsidR="00077B75" w:rsidRPr="00494098" w:rsidRDefault="00112210" w:rsidP="00112210">
      <w:pPr>
        <w:pStyle w:val="Bullet1G"/>
        <w:numPr>
          <w:ilvl w:val="0"/>
          <w:numId w:val="0"/>
        </w:numPr>
        <w:tabs>
          <w:tab w:val="left" w:pos="1701"/>
        </w:tabs>
        <w:ind w:left="1701" w:hanging="170"/>
        <w:rPr>
          <w:lang w:val="fr-FR"/>
        </w:rPr>
      </w:pPr>
      <w:r w:rsidRPr="00494098">
        <w:rPr>
          <w:lang w:val="fr-FR"/>
        </w:rPr>
        <w:t>•</w:t>
      </w:r>
      <w:r w:rsidRPr="00494098">
        <w:rPr>
          <w:lang w:val="fr-FR"/>
        </w:rPr>
        <w:tab/>
        <w:t xml:space="preserve">L'affiliation du Haut Commissariat aux migrations au </w:t>
      </w:r>
      <w:r w:rsidRPr="00494098">
        <w:rPr>
          <w:b/>
          <w:lang w:val="fr-FR"/>
        </w:rPr>
        <w:t>réseau SIRIUS</w:t>
      </w:r>
      <w:r w:rsidRPr="00494098">
        <w:rPr>
          <w:lang w:val="fr-FR"/>
        </w:rPr>
        <w:t xml:space="preserve"> — Réseau européen de politiques sur l'éducation des enfants et des jeunes issus de l'immigration</w:t>
      </w:r>
      <w:r w:rsidR="006717A5" w:rsidRPr="00494098">
        <w:rPr>
          <w:lang w:val="fr-FR"/>
        </w:rPr>
        <w:t> ;</w:t>
      </w:r>
    </w:p>
    <w:p w14:paraId="3E4E77B3" w14:textId="77777777" w:rsidR="00077B75" w:rsidRPr="00494098" w:rsidRDefault="00112210" w:rsidP="00112210">
      <w:pPr>
        <w:pStyle w:val="Bullet1G"/>
        <w:numPr>
          <w:ilvl w:val="0"/>
          <w:numId w:val="0"/>
        </w:numPr>
        <w:tabs>
          <w:tab w:val="left" w:pos="1701"/>
        </w:tabs>
        <w:ind w:left="1701" w:hanging="170"/>
        <w:rPr>
          <w:lang w:val="fr-FR"/>
        </w:rPr>
      </w:pPr>
      <w:r w:rsidRPr="00494098">
        <w:rPr>
          <w:lang w:val="fr-FR"/>
        </w:rPr>
        <w:t>•</w:t>
      </w:r>
      <w:r w:rsidRPr="00494098">
        <w:rPr>
          <w:lang w:val="fr-FR"/>
        </w:rPr>
        <w:tab/>
        <w:t xml:space="preserve">Sous la houlette </w:t>
      </w:r>
      <w:r w:rsidR="00535B49" w:rsidRPr="00494098">
        <w:rPr>
          <w:lang w:val="fr-FR"/>
        </w:rPr>
        <w:t xml:space="preserve">conjointe </w:t>
      </w:r>
      <w:r w:rsidRPr="00494098">
        <w:rPr>
          <w:lang w:val="fr-FR"/>
        </w:rPr>
        <w:t>du Haut Commissariat aux migrations et des municipalités de Fundão (2016) et Palmela (2017)</w:t>
      </w:r>
      <w:r w:rsidR="00E90450" w:rsidRPr="00494098">
        <w:rPr>
          <w:lang w:val="fr-FR"/>
        </w:rPr>
        <w:t>,</w:t>
      </w:r>
      <w:r w:rsidRPr="00494098">
        <w:rPr>
          <w:lang w:val="fr-FR"/>
        </w:rPr>
        <w:t xml:space="preserve"> des Rencontres interconfessionnelles des jeunes  — MEET IR — ont été organisées pour débattre autour de la diversité religieuse au Portugal, et plus précisément rédiger une Charte </w:t>
      </w:r>
      <w:r w:rsidR="00E90450" w:rsidRPr="00494098">
        <w:rPr>
          <w:lang w:val="fr-FR"/>
        </w:rPr>
        <w:t>du</w:t>
      </w:r>
      <w:r w:rsidRPr="00494098">
        <w:rPr>
          <w:lang w:val="fr-FR"/>
        </w:rPr>
        <w:t xml:space="preserve"> dialogue interreligieux à l’intention de leurs pairs</w:t>
      </w:r>
      <w:r w:rsidR="006717A5" w:rsidRPr="00494098">
        <w:rPr>
          <w:lang w:val="fr-FR"/>
        </w:rPr>
        <w:t> ;</w:t>
      </w:r>
    </w:p>
    <w:p w14:paraId="6352DE93" w14:textId="77777777" w:rsidR="00077B75" w:rsidRPr="00494098" w:rsidRDefault="00112210" w:rsidP="00112210">
      <w:pPr>
        <w:pStyle w:val="Bullet1G"/>
        <w:numPr>
          <w:ilvl w:val="0"/>
          <w:numId w:val="0"/>
        </w:numPr>
        <w:tabs>
          <w:tab w:val="left" w:pos="1701"/>
        </w:tabs>
        <w:ind w:left="1701" w:hanging="170"/>
        <w:rPr>
          <w:lang w:val="fr-FR"/>
        </w:rPr>
      </w:pPr>
      <w:r w:rsidRPr="00494098">
        <w:rPr>
          <w:lang w:val="fr-FR"/>
        </w:rPr>
        <w:t>•</w:t>
      </w:r>
      <w:r w:rsidRPr="00494098">
        <w:rPr>
          <w:lang w:val="fr-FR"/>
        </w:rPr>
        <w:tab/>
        <w:t>Deux campagnes nationales de sensibilisation et de format</w:t>
      </w:r>
      <w:r w:rsidR="00E90450" w:rsidRPr="00494098">
        <w:rPr>
          <w:lang w:val="fr-FR"/>
        </w:rPr>
        <w:t>ion liées à l’éducation de base</w:t>
      </w:r>
      <w:r w:rsidRPr="00494098">
        <w:rPr>
          <w:lang w:val="fr-FR"/>
        </w:rPr>
        <w:t xml:space="preserve"> ont été lancées en 2016</w:t>
      </w:r>
      <w:r w:rsidR="00090CBF" w:rsidRPr="00494098">
        <w:rPr>
          <w:lang w:val="fr-FR"/>
        </w:rPr>
        <w:t> :</w:t>
      </w:r>
      <w:r w:rsidRPr="00494098">
        <w:rPr>
          <w:lang w:val="fr-FR"/>
        </w:rPr>
        <w:t xml:space="preserve"> le </w:t>
      </w:r>
      <w:r w:rsidR="00E90450" w:rsidRPr="00494098">
        <w:rPr>
          <w:lang w:val="fr-FR"/>
        </w:rPr>
        <w:t>« </w:t>
      </w:r>
      <w:r w:rsidRPr="00494098">
        <w:rPr>
          <w:b/>
          <w:lang w:val="fr-FR"/>
        </w:rPr>
        <w:t>Projeto Mais do que Números</w:t>
      </w:r>
      <w:r w:rsidR="00E90450" w:rsidRPr="00494098">
        <w:rPr>
          <w:lang w:val="fr-FR"/>
        </w:rPr>
        <w:t> »</w:t>
      </w:r>
      <w:r w:rsidR="00CB14D5" w:rsidRPr="00494098">
        <w:rPr>
          <w:lang w:val="fr-FR"/>
        </w:rPr>
        <w:t xml:space="preserve"> (Plus que des chiffres)</w:t>
      </w:r>
      <w:r w:rsidR="00E90450" w:rsidRPr="00494098">
        <w:rPr>
          <w:lang w:val="fr-FR"/>
        </w:rPr>
        <w:t>,</w:t>
      </w:r>
      <w:r w:rsidRPr="00494098">
        <w:rPr>
          <w:lang w:val="fr-FR"/>
        </w:rPr>
        <w:t xml:space="preserve"> http://www.dge.mec.pt/noticias/lancamento-do-projeto-beyond-not-just-numbers-mais-do-que-numeros</w:t>
      </w:r>
      <w:r w:rsidR="00CB14D5" w:rsidRPr="00494098">
        <w:rPr>
          <w:lang w:val="fr-FR"/>
        </w:rPr>
        <w:t>,</w:t>
      </w:r>
      <w:r w:rsidRPr="00494098">
        <w:rPr>
          <w:lang w:val="fr-FR"/>
        </w:rPr>
        <w:t xml:space="preserve"> organisé en partenariat avec la Direction générale de l’éducation et l’Organisation internationale pour les migrations</w:t>
      </w:r>
      <w:r w:rsidR="00E90450" w:rsidRPr="00494098">
        <w:rPr>
          <w:lang w:val="fr-FR"/>
        </w:rPr>
        <w:t> ; et la campagne « </w:t>
      </w:r>
      <w:r w:rsidRPr="00494098">
        <w:rPr>
          <w:b/>
          <w:lang w:val="fr-FR"/>
        </w:rPr>
        <w:t>E se fosse eu?</w:t>
      </w:r>
      <w:r w:rsidR="00E90450" w:rsidRPr="00494098">
        <w:rPr>
          <w:lang w:val="fr-FR"/>
        </w:rPr>
        <w:t> »</w:t>
      </w:r>
      <w:r w:rsidR="00CB14D5" w:rsidRPr="00494098">
        <w:rPr>
          <w:lang w:val="fr-FR"/>
        </w:rPr>
        <w:t xml:space="preserve"> (Et si c'était moi ?) </w:t>
      </w:r>
      <w:r w:rsidRPr="00494098">
        <w:rPr>
          <w:lang w:val="fr-FR"/>
        </w:rPr>
        <w:t>http://www.esefosseeu.pt/,</w:t>
      </w:r>
      <w:r w:rsidR="00CB14D5" w:rsidRPr="00494098">
        <w:rPr>
          <w:lang w:val="fr-FR"/>
        </w:rPr>
        <w:t xml:space="preserve"> </w:t>
      </w:r>
      <w:r w:rsidRPr="00494098">
        <w:rPr>
          <w:lang w:val="fr-FR"/>
        </w:rPr>
        <w:t>organisé</w:t>
      </w:r>
      <w:r w:rsidR="00535B49" w:rsidRPr="00494098">
        <w:rPr>
          <w:lang w:val="fr-FR"/>
        </w:rPr>
        <w:t>e</w:t>
      </w:r>
      <w:r w:rsidRPr="00494098">
        <w:rPr>
          <w:lang w:val="fr-FR"/>
        </w:rPr>
        <w:t xml:space="preserve"> </w:t>
      </w:r>
      <w:r w:rsidR="00CB14D5" w:rsidRPr="00494098">
        <w:rPr>
          <w:lang w:val="fr-FR"/>
        </w:rPr>
        <w:t>par</w:t>
      </w:r>
      <w:r w:rsidRPr="00494098">
        <w:rPr>
          <w:lang w:val="fr-FR"/>
        </w:rPr>
        <w:t xml:space="preserve"> la Plateforme de soutien aux réfugiés, la Direction générale de l’éducation et le </w:t>
      </w:r>
      <w:r w:rsidRPr="00494098">
        <w:rPr>
          <w:lang w:val="fr-FR"/>
        </w:rPr>
        <w:lastRenderedPageBreak/>
        <w:t xml:space="preserve">Conseil national </w:t>
      </w:r>
      <w:r w:rsidR="00CB14D5" w:rsidRPr="00494098">
        <w:rPr>
          <w:lang w:val="fr-FR"/>
        </w:rPr>
        <w:t xml:space="preserve">portugais </w:t>
      </w:r>
      <w:r w:rsidRPr="00494098">
        <w:rPr>
          <w:lang w:val="fr-FR"/>
        </w:rPr>
        <w:t>de la jeunesse</w:t>
      </w:r>
      <w:r w:rsidR="006717A5" w:rsidRPr="00494098">
        <w:rPr>
          <w:lang w:val="fr-FR"/>
        </w:rPr>
        <w:t> ;</w:t>
      </w:r>
    </w:p>
    <w:p w14:paraId="7D31915A" w14:textId="77777777" w:rsidR="00077B75" w:rsidRPr="00494098" w:rsidRDefault="00112210" w:rsidP="00112210">
      <w:pPr>
        <w:pStyle w:val="Bullet1G"/>
        <w:numPr>
          <w:ilvl w:val="0"/>
          <w:numId w:val="0"/>
        </w:numPr>
        <w:tabs>
          <w:tab w:val="left" w:pos="1701"/>
        </w:tabs>
        <w:ind w:left="1701" w:hanging="170"/>
        <w:rPr>
          <w:lang w:val="fr-FR"/>
        </w:rPr>
      </w:pPr>
      <w:r w:rsidRPr="00494098">
        <w:rPr>
          <w:lang w:val="fr-FR"/>
        </w:rPr>
        <w:t>•</w:t>
      </w:r>
      <w:r w:rsidRPr="00494098">
        <w:rPr>
          <w:lang w:val="fr-FR"/>
        </w:rPr>
        <w:tab/>
        <w:t>Le Fonds d'appui à la stratégie nationale pour l'intégration des communautés roms (FAPE)</w:t>
      </w:r>
      <w:r w:rsidR="00077B75" w:rsidRPr="00494098">
        <w:rPr>
          <w:rStyle w:val="FootnoteReference"/>
          <w:lang w:val="fr-FR"/>
        </w:rPr>
        <w:footnoteReference w:id="6"/>
      </w:r>
      <w:r w:rsidR="00D97267" w:rsidRPr="00494098">
        <w:rPr>
          <w:lang w:val="fr-FR"/>
        </w:rPr>
        <w:t xml:space="preserve"> </w:t>
      </w:r>
      <w:r w:rsidRPr="00494098">
        <w:rPr>
          <w:lang w:val="fr-FR"/>
        </w:rPr>
        <w:t>lancé par le Haut Commissariat aux migrations en 2015</w:t>
      </w:r>
      <w:r w:rsidR="00717DA7" w:rsidRPr="00494098">
        <w:rPr>
          <w:lang w:val="fr-FR"/>
        </w:rPr>
        <w:t>,</w:t>
      </w:r>
      <w:r w:rsidRPr="00494098">
        <w:rPr>
          <w:lang w:val="fr-FR"/>
        </w:rPr>
        <w:t xml:space="preserve"> et la </w:t>
      </w:r>
      <w:r w:rsidR="00D97267" w:rsidRPr="00494098">
        <w:rPr>
          <w:lang w:val="fr-FR"/>
        </w:rPr>
        <w:t>S</w:t>
      </w:r>
      <w:r w:rsidRPr="00494098">
        <w:rPr>
          <w:lang w:val="fr-FR"/>
        </w:rPr>
        <w:t xml:space="preserve">tratégie nationale </w:t>
      </w:r>
      <w:r w:rsidR="00717DA7" w:rsidRPr="00494098">
        <w:rPr>
          <w:lang w:val="fr-FR"/>
        </w:rPr>
        <w:t xml:space="preserve">2013–2020 </w:t>
      </w:r>
      <w:r w:rsidRPr="00494098">
        <w:rPr>
          <w:lang w:val="fr-FR"/>
        </w:rPr>
        <w:t>pour l’in</w:t>
      </w:r>
      <w:r w:rsidR="00717DA7" w:rsidRPr="00494098">
        <w:rPr>
          <w:lang w:val="fr-FR"/>
        </w:rPr>
        <w:t>tégration des communautés roms</w:t>
      </w:r>
      <w:r w:rsidRPr="00494098">
        <w:rPr>
          <w:lang w:val="fr-FR"/>
        </w:rPr>
        <w:t xml:space="preserve"> (ENICC) disposent d’importants outils pour les interventions prioritaires</w:t>
      </w:r>
      <w:r w:rsidR="00077B75" w:rsidRPr="00494098">
        <w:rPr>
          <w:rStyle w:val="FootnoteReference"/>
          <w:lang w:val="fr-FR"/>
        </w:rPr>
        <w:footnoteReference w:id="7"/>
      </w:r>
      <w:r w:rsidRPr="00494098">
        <w:rPr>
          <w:lang w:val="fr-FR"/>
        </w:rPr>
        <w:t xml:space="preserve">. Le Fonds </w:t>
      </w:r>
      <w:r w:rsidR="00D97267" w:rsidRPr="00494098">
        <w:rPr>
          <w:lang w:val="fr-FR"/>
        </w:rPr>
        <w:t xml:space="preserve">d’appui </w:t>
      </w:r>
      <w:r w:rsidRPr="00494098">
        <w:rPr>
          <w:lang w:val="fr-FR"/>
        </w:rPr>
        <w:t xml:space="preserve">finance des projets </w:t>
      </w:r>
      <w:r w:rsidR="00D97267" w:rsidRPr="00494098">
        <w:rPr>
          <w:lang w:val="fr-FR"/>
        </w:rPr>
        <w:t xml:space="preserve">axés </w:t>
      </w:r>
      <w:r w:rsidRPr="00494098">
        <w:rPr>
          <w:lang w:val="fr-FR"/>
        </w:rPr>
        <w:t>sur la lutte contre la discrimination à l'encontre des communautés roms. En 2015 et 2016, un grand nombre d</w:t>
      </w:r>
      <w:r w:rsidR="00717DA7" w:rsidRPr="00494098">
        <w:rPr>
          <w:lang w:val="fr-FR"/>
        </w:rPr>
        <w:t xml:space="preserve">’interventions </w:t>
      </w:r>
      <w:r w:rsidRPr="00494098">
        <w:rPr>
          <w:lang w:val="fr-FR"/>
        </w:rPr>
        <w:t xml:space="preserve">ont </w:t>
      </w:r>
      <w:r w:rsidR="00717DA7" w:rsidRPr="00494098">
        <w:rPr>
          <w:lang w:val="fr-FR"/>
        </w:rPr>
        <w:t xml:space="preserve">été surtout </w:t>
      </w:r>
      <w:r w:rsidRPr="00494098">
        <w:rPr>
          <w:lang w:val="fr-FR"/>
        </w:rPr>
        <w:t>centré</w:t>
      </w:r>
      <w:r w:rsidR="00717DA7" w:rsidRPr="00494098">
        <w:rPr>
          <w:lang w:val="fr-FR"/>
        </w:rPr>
        <w:t>e</w:t>
      </w:r>
      <w:r w:rsidRPr="00494098">
        <w:rPr>
          <w:lang w:val="fr-FR"/>
        </w:rPr>
        <w:t>s sur les enfants et les jeunes</w:t>
      </w:r>
      <w:r w:rsidR="00090CBF" w:rsidRPr="00494098">
        <w:rPr>
          <w:lang w:val="fr-FR"/>
        </w:rPr>
        <w:t> :</w:t>
      </w:r>
      <w:r w:rsidRPr="00494098">
        <w:rPr>
          <w:lang w:val="fr-FR"/>
        </w:rPr>
        <w:t xml:space="preserve"> les projets «</w:t>
      </w:r>
      <w:r w:rsidR="00D97267" w:rsidRPr="00494098">
        <w:rPr>
          <w:lang w:val="fr-FR"/>
        </w:rPr>
        <w:t> </w:t>
      </w:r>
      <w:r w:rsidRPr="00494098">
        <w:rPr>
          <w:i/>
          <w:iCs/>
          <w:lang w:val="fr-FR"/>
        </w:rPr>
        <w:t>Integra-te</w:t>
      </w:r>
      <w:r w:rsidR="00D97267" w:rsidRPr="00494098">
        <w:rPr>
          <w:i/>
          <w:iCs/>
          <w:lang w:val="fr-FR"/>
        </w:rPr>
        <w:t> </w:t>
      </w:r>
      <w:r w:rsidRPr="00494098">
        <w:rPr>
          <w:lang w:val="fr-FR"/>
        </w:rPr>
        <w:t>» (</w:t>
      </w:r>
      <w:r w:rsidR="00D97267" w:rsidRPr="00494098">
        <w:rPr>
          <w:lang w:val="fr-FR"/>
        </w:rPr>
        <w:t>I</w:t>
      </w:r>
      <w:r w:rsidRPr="00494098">
        <w:rPr>
          <w:lang w:val="fr-FR"/>
        </w:rPr>
        <w:t>ntègre-toi) et «</w:t>
      </w:r>
      <w:r w:rsidR="00D97267" w:rsidRPr="00494098">
        <w:rPr>
          <w:lang w:val="fr-FR"/>
        </w:rPr>
        <w:t> </w:t>
      </w:r>
      <w:r w:rsidRPr="00494098">
        <w:rPr>
          <w:i/>
          <w:iCs/>
          <w:lang w:val="fr-FR"/>
        </w:rPr>
        <w:t>Cultura Cigana em Movimento</w:t>
      </w:r>
      <w:r w:rsidR="00D97267" w:rsidRPr="00494098">
        <w:rPr>
          <w:lang w:val="fr-FR"/>
        </w:rPr>
        <w:t> </w:t>
      </w:r>
      <w:r w:rsidRPr="00494098">
        <w:rPr>
          <w:lang w:val="fr-FR"/>
        </w:rPr>
        <w:t>» (</w:t>
      </w:r>
      <w:r w:rsidR="00D97267" w:rsidRPr="00494098">
        <w:rPr>
          <w:lang w:val="fr-FR"/>
        </w:rPr>
        <w:t>C</w:t>
      </w:r>
      <w:r w:rsidRPr="00494098">
        <w:rPr>
          <w:lang w:val="fr-FR"/>
        </w:rPr>
        <w:t>ulture rom en mouvement)</w:t>
      </w:r>
      <w:r w:rsidR="00717DA7" w:rsidRPr="00494098">
        <w:rPr>
          <w:lang w:val="fr-FR"/>
        </w:rPr>
        <w:t>,</w:t>
      </w:r>
      <w:r w:rsidRPr="00494098">
        <w:rPr>
          <w:lang w:val="fr-FR"/>
        </w:rPr>
        <w:t xml:space="preserve"> </w:t>
      </w:r>
      <w:r w:rsidR="00717DA7" w:rsidRPr="00494098">
        <w:rPr>
          <w:lang w:val="fr-FR"/>
        </w:rPr>
        <w:t xml:space="preserve">pour </w:t>
      </w:r>
      <w:r w:rsidRPr="00494098">
        <w:rPr>
          <w:lang w:val="fr-FR"/>
        </w:rPr>
        <w:t>sensibilise</w:t>
      </w:r>
      <w:r w:rsidR="00717DA7" w:rsidRPr="00494098">
        <w:rPr>
          <w:lang w:val="fr-FR"/>
        </w:rPr>
        <w:t xml:space="preserve">r </w:t>
      </w:r>
      <w:r w:rsidR="00D97267" w:rsidRPr="00494098">
        <w:rPr>
          <w:lang w:val="fr-FR"/>
        </w:rPr>
        <w:t xml:space="preserve">à la </w:t>
      </w:r>
      <w:r w:rsidRPr="00494098">
        <w:rPr>
          <w:lang w:val="fr-FR"/>
        </w:rPr>
        <w:t>discrimination</w:t>
      </w:r>
      <w:r w:rsidR="00D97267" w:rsidRPr="00494098">
        <w:rPr>
          <w:lang w:val="fr-FR"/>
        </w:rPr>
        <w:t xml:space="preserve"> et la combatt</w:t>
      </w:r>
      <w:r w:rsidR="00717DA7" w:rsidRPr="00494098">
        <w:rPr>
          <w:lang w:val="fr-FR"/>
        </w:rPr>
        <w:t>r</w:t>
      </w:r>
      <w:r w:rsidR="00D97267" w:rsidRPr="00494098">
        <w:rPr>
          <w:lang w:val="fr-FR"/>
        </w:rPr>
        <w:t>e</w:t>
      </w:r>
      <w:r w:rsidRPr="00494098">
        <w:rPr>
          <w:lang w:val="fr-FR"/>
        </w:rPr>
        <w:t xml:space="preserve">, notamment par le biais </w:t>
      </w:r>
      <w:r w:rsidR="00D97267" w:rsidRPr="00494098">
        <w:rPr>
          <w:lang w:val="fr-FR"/>
        </w:rPr>
        <w:t xml:space="preserve">d’activités artistiques, de </w:t>
      </w:r>
      <w:r w:rsidRPr="00494098">
        <w:rPr>
          <w:lang w:val="fr-FR"/>
        </w:rPr>
        <w:t>musique et de danse</w:t>
      </w:r>
      <w:r w:rsidR="00717DA7" w:rsidRPr="00494098">
        <w:rPr>
          <w:lang w:val="fr-FR"/>
        </w:rPr>
        <w:t xml:space="preserve"> en particulier</w:t>
      </w:r>
      <w:r w:rsidR="006717A5" w:rsidRPr="00494098">
        <w:rPr>
          <w:lang w:val="fr-FR"/>
        </w:rPr>
        <w:t> ;</w:t>
      </w:r>
      <w:r w:rsidRPr="00494098">
        <w:rPr>
          <w:lang w:val="fr-FR"/>
        </w:rPr>
        <w:t xml:space="preserve"> le projet «</w:t>
      </w:r>
      <w:r w:rsidR="00D97267" w:rsidRPr="00494098">
        <w:rPr>
          <w:lang w:val="fr-FR"/>
        </w:rPr>
        <w:t> </w:t>
      </w:r>
      <w:r w:rsidRPr="00494098">
        <w:rPr>
          <w:i/>
          <w:iCs/>
          <w:lang w:val="fr-FR"/>
        </w:rPr>
        <w:t>Oficinas de Musica</w:t>
      </w:r>
      <w:r w:rsidR="00D97267" w:rsidRPr="00494098">
        <w:rPr>
          <w:i/>
          <w:iCs/>
          <w:lang w:val="fr-FR"/>
        </w:rPr>
        <w:t> </w:t>
      </w:r>
      <w:r w:rsidRPr="00494098">
        <w:rPr>
          <w:lang w:val="fr-FR"/>
        </w:rPr>
        <w:t xml:space="preserve">» (ateliers de musique), </w:t>
      </w:r>
      <w:r w:rsidR="00717DA7" w:rsidRPr="00494098">
        <w:rPr>
          <w:lang w:val="fr-FR"/>
        </w:rPr>
        <w:t xml:space="preserve">destiné à </w:t>
      </w:r>
      <w:r w:rsidRPr="00494098">
        <w:rPr>
          <w:lang w:val="fr-FR"/>
        </w:rPr>
        <w:t>pr</w:t>
      </w:r>
      <w:r w:rsidR="00D97267" w:rsidRPr="00494098">
        <w:rPr>
          <w:lang w:val="fr-FR"/>
        </w:rPr>
        <w:t>opos</w:t>
      </w:r>
      <w:r w:rsidR="00717DA7" w:rsidRPr="00494098">
        <w:rPr>
          <w:lang w:val="fr-FR"/>
        </w:rPr>
        <w:t>er</w:t>
      </w:r>
      <w:r w:rsidR="00D97267" w:rsidRPr="00494098">
        <w:rPr>
          <w:lang w:val="fr-FR"/>
        </w:rPr>
        <w:t xml:space="preserve"> </w:t>
      </w:r>
      <w:r w:rsidRPr="00494098">
        <w:rPr>
          <w:lang w:val="fr-FR"/>
        </w:rPr>
        <w:t>quatre ateliers différents de danse, musique et chant</w:t>
      </w:r>
      <w:r w:rsidR="006717A5" w:rsidRPr="00494098">
        <w:rPr>
          <w:lang w:val="fr-FR"/>
        </w:rPr>
        <w:t> ;</w:t>
      </w:r>
      <w:r w:rsidRPr="00494098">
        <w:rPr>
          <w:lang w:val="fr-FR"/>
        </w:rPr>
        <w:t xml:space="preserve"> le projet «</w:t>
      </w:r>
      <w:r w:rsidR="00D97267" w:rsidRPr="00494098">
        <w:rPr>
          <w:lang w:val="fr-FR"/>
        </w:rPr>
        <w:t> </w:t>
      </w:r>
      <w:r w:rsidRPr="00494098">
        <w:rPr>
          <w:i/>
          <w:lang w:val="fr-FR"/>
        </w:rPr>
        <w:t>Olhar em Roda</w:t>
      </w:r>
      <w:r w:rsidR="00D97267" w:rsidRPr="00494098">
        <w:rPr>
          <w:i/>
          <w:lang w:val="fr-FR"/>
        </w:rPr>
        <w:t> </w:t>
      </w:r>
      <w:r w:rsidRPr="00494098">
        <w:rPr>
          <w:lang w:val="fr-FR"/>
        </w:rPr>
        <w:t xml:space="preserve">» </w:t>
      </w:r>
      <w:r w:rsidR="00D97267" w:rsidRPr="00494098">
        <w:rPr>
          <w:lang w:val="fr-FR"/>
        </w:rPr>
        <w:t>(R</w:t>
      </w:r>
      <w:r w:rsidRPr="00494098">
        <w:rPr>
          <w:lang w:val="fr-FR"/>
        </w:rPr>
        <w:t xml:space="preserve">egarder tout autour), </w:t>
      </w:r>
      <w:r w:rsidR="00717DA7" w:rsidRPr="00494098">
        <w:rPr>
          <w:lang w:val="fr-FR"/>
        </w:rPr>
        <w:t xml:space="preserve">pour offrir </w:t>
      </w:r>
      <w:r w:rsidRPr="00494098">
        <w:rPr>
          <w:lang w:val="fr-FR"/>
        </w:rPr>
        <w:t xml:space="preserve">des sessions de formation sur l’histoire et la culture roms et des sessions sur </w:t>
      </w:r>
      <w:r w:rsidRPr="00494098">
        <w:rPr>
          <w:lang w:val="fr-FR"/>
        </w:rPr>
        <w:lastRenderedPageBreak/>
        <w:t>les compétences multimédias</w:t>
      </w:r>
      <w:r w:rsidR="006717A5" w:rsidRPr="00494098">
        <w:rPr>
          <w:lang w:val="fr-FR"/>
        </w:rPr>
        <w:t> ;</w:t>
      </w:r>
      <w:r w:rsidRPr="00494098">
        <w:rPr>
          <w:lang w:val="fr-FR"/>
        </w:rPr>
        <w:t xml:space="preserve"> </w:t>
      </w:r>
      <w:r w:rsidR="00717DA7" w:rsidRPr="00494098">
        <w:rPr>
          <w:lang w:val="fr-FR"/>
        </w:rPr>
        <w:t xml:space="preserve">enfin, </w:t>
      </w:r>
      <w:r w:rsidRPr="00494098">
        <w:rPr>
          <w:lang w:val="fr-FR"/>
        </w:rPr>
        <w:t>le projet</w:t>
      </w:r>
      <w:r w:rsidRPr="00494098">
        <w:rPr>
          <w:i/>
          <w:iCs/>
          <w:lang w:val="fr-FR"/>
        </w:rPr>
        <w:t xml:space="preserve"> Romano Atmo</w:t>
      </w:r>
      <w:r w:rsidRPr="00494098">
        <w:rPr>
          <w:lang w:val="fr-FR"/>
        </w:rPr>
        <w:t>, a débouché sur la production d’un dossier pédagogique présenté dans les écoles</w:t>
      </w:r>
      <w:r w:rsidR="006717A5" w:rsidRPr="00494098">
        <w:rPr>
          <w:lang w:val="fr-FR"/>
        </w:rPr>
        <w:t> ;</w:t>
      </w:r>
      <w:r w:rsidRPr="00494098">
        <w:rPr>
          <w:lang w:val="fr-FR"/>
        </w:rPr>
        <w:t xml:space="preserve"> </w:t>
      </w:r>
    </w:p>
    <w:p w14:paraId="71A235BC" w14:textId="77777777" w:rsidR="00077B75" w:rsidRPr="00494098" w:rsidRDefault="00112210" w:rsidP="00112210">
      <w:pPr>
        <w:pStyle w:val="Bullet1G"/>
        <w:numPr>
          <w:ilvl w:val="0"/>
          <w:numId w:val="0"/>
        </w:numPr>
        <w:tabs>
          <w:tab w:val="left" w:pos="1701"/>
        </w:tabs>
        <w:ind w:left="1701" w:hanging="170"/>
        <w:rPr>
          <w:lang w:val="fr-FR"/>
        </w:rPr>
      </w:pPr>
      <w:r w:rsidRPr="00494098">
        <w:rPr>
          <w:lang w:val="fr-FR"/>
        </w:rPr>
        <w:t>•</w:t>
      </w:r>
      <w:r w:rsidRPr="00494098">
        <w:rPr>
          <w:lang w:val="fr-FR"/>
        </w:rPr>
        <w:tab/>
      </w:r>
      <w:r w:rsidR="0030336C" w:rsidRPr="00494098">
        <w:rPr>
          <w:lang w:val="fr-FR"/>
        </w:rPr>
        <w:t>L</w:t>
      </w:r>
      <w:r w:rsidRPr="00494098">
        <w:rPr>
          <w:lang w:val="fr-FR"/>
        </w:rPr>
        <w:t>’</w:t>
      </w:r>
      <w:r w:rsidRPr="00494098">
        <w:rPr>
          <w:i/>
          <w:lang w:val="fr-FR"/>
        </w:rPr>
        <w:t xml:space="preserve">Observatoire des communautés roms </w:t>
      </w:r>
      <w:r w:rsidRPr="00494098">
        <w:rPr>
          <w:lang w:val="fr-FR"/>
        </w:rPr>
        <w:t xml:space="preserve">(ObCig) </w:t>
      </w:r>
      <w:r w:rsidR="00535B49" w:rsidRPr="00494098">
        <w:rPr>
          <w:lang w:val="fr-FR"/>
        </w:rPr>
        <w:t xml:space="preserve">a été créé </w:t>
      </w:r>
      <w:r w:rsidRPr="00494098">
        <w:rPr>
          <w:lang w:val="fr-FR"/>
        </w:rPr>
        <w:t xml:space="preserve">en 2014 </w:t>
      </w:r>
      <w:r w:rsidR="00535B49" w:rsidRPr="00494098">
        <w:rPr>
          <w:lang w:val="fr-FR"/>
        </w:rPr>
        <w:t xml:space="preserve">pour </w:t>
      </w:r>
      <w:r w:rsidRPr="00494098">
        <w:rPr>
          <w:lang w:val="fr-FR"/>
        </w:rPr>
        <w:t xml:space="preserve">améliorer la connaissance des communautés roms et lutter contre les mythes et les stéréotypes </w:t>
      </w:r>
      <w:r w:rsidR="0030336C" w:rsidRPr="00494098">
        <w:rPr>
          <w:lang w:val="fr-FR"/>
        </w:rPr>
        <w:t xml:space="preserve">qui alimentent </w:t>
      </w:r>
      <w:r w:rsidRPr="00494098">
        <w:rPr>
          <w:lang w:val="fr-FR"/>
        </w:rPr>
        <w:t>la discrimination. Une étude nationale sur les communautés roms, lancée en</w:t>
      </w:r>
      <w:r w:rsidR="00535B49" w:rsidRPr="00494098">
        <w:rPr>
          <w:lang w:val="fr-FR"/>
        </w:rPr>
        <w:t xml:space="preserve"> </w:t>
      </w:r>
      <w:r w:rsidR="006717A5" w:rsidRPr="00494098">
        <w:rPr>
          <w:lang w:val="fr-FR"/>
        </w:rPr>
        <w:t>janvier</w:t>
      </w:r>
      <w:r w:rsidRPr="00494098">
        <w:rPr>
          <w:lang w:val="fr-FR"/>
        </w:rPr>
        <w:t xml:space="preserve"> 2015, a également été menée. Plus de 24</w:t>
      </w:r>
      <w:r w:rsidR="0030336C" w:rsidRPr="00494098">
        <w:rPr>
          <w:lang w:val="fr-FR"/>
        </w:rPr>
        <w:t> 000 </w:t>
      </w:r>
      <w:r w:rsidRPr="00494098">
        <w:rPr>
          <w:lang w:val="fr-FR"/>
        </w:rPr>
        <w:t>Roms ont été contactés dans 149</w:t>
      </w:r>
      <w:r w:rsidR="0030336C" w:rsidRPr="00494098">
        <w:rPr>
          <w:lang w:val="fr-FR"/>
        </w:rPr>
        <w:t> </w:t>
      </w:r>
      <w:r w:rsidRPr="00494098">
        <w:rPr>
          <w:lang w:val="fr-FR"/>
        </w:rPr>
        <w:t>municipalités. Les conclusions concernant les enfants indiquent que le nombre de jeunes Roms ayant suivi les deuxième et troisième cycles d’enseignement (6 et 9</w:t>
      </w:r>
      <w:r w:rsidR="0030336C" w:rsidRPr="00494098">
        <w:rPr>
          <w:lang w:val="fr-FR"/>
        </w:rPr>
        <w:t> </w:t>
      </w:r>
      <w:r w:rsidRPr="00494098">
        <w:rPr>
          <w:lang w:val="fr-FR"/>
        </w:rPr>
        <w:t>années d</w:t>
      </w:r>
      <w:r w:rsidR="0030336C" w:rsidRPr="00494098">
        <w:rPr>
          <w:lang w:val="fr-FR"/>
        </w:rPr>
        <w:t>e scolarité</w:t>
      </w:r>
      <w:r w:rsidRPr="00494098">
        <w:rPr>
          <w:lang w:val="fr-FR"/>
        </w:rPr>
        <w:t>) a augmenté</w:t>
      </w:r>
      <w:r w:rsidR="00717DA7" w:rsidRPr="00494098">
        <w:rPr>
          <w:lang w:val="fr-FR"/>
        </w:rPr>
        <w:t>,</w:t>
      </w:r>
      <w:r w:rsidRPr="00494098">
        <w:rPr>
          <w:lang w:val="fr-FR"/>
        </w:rPr>
        <w:t xml:space="preserve"> et que plus de la moitié des répondants ont des enfants ou des petits-enfants qui fréquentent l’école.</w:t>
      </w:r>
    </w:p>
    <w:p w14:paraId="76F459DD" w14:textId="77777777" w:rsidR="00077B75" w:rsidRPr="00494098" w:rsidRDefault="00077B75" w:rsidP="00480570">
      <w:pPr>
        <w:pStyle w:val="SingleTxtG"/>
        <w:rPr>
          <w:lang w:val="fr-FR"/>
        </w:rPr>
      </w:pPr>
      <w:r w:rsidRPr="00494098">
        <w:rPr>
          <w:lang w:val="fr-FR"/>
        </w:rPr>
        <w:t>68.</w:t>
      </w:r>
      <w:r w:rsidRPr="00494098">
        <w:rPr>
          <w:lang w:val="fr-FR"/>
        </w:rPr>
        <w:tab/>
        <w:t xml:space="preserve">La Commission pour la citoyenneté et l’égalité des sexes entreprend régulièrement des actions de sensibilisation visant à éliminer la discrimination des enfants </w:t>
      </w:r>
      <w:r w:rsidR="006D11E8" w:rsidRPr="00494098">
        <w:rPr>
          <w:lang w:val="fr-FR"/>
        </w:rPr>
        <w:t>pour des motifs d’</w:t>
      </w:r>
      <w:r w:rsidRPr="00494098">
        <w:rPr>
          <w:lang w:val="fr-FR"/>
        </w:rPr>
        <w:t xml:space="preserve">orientation sexuelle et </w:t>
      </w:r>
      <w:r w:rsidR="006D11E8" w:rsidRPr="00494098">
        <w:rPr>
          <w:lang w:val="fr-FR"/>
        </w:rPr>
        <w:t>d</w:t>
      </w:r>
      <w:r w:rsidRPr="00494098">
        <w:rPr>
          <w:lang w:val="fr-FR"/>
        </w:rPr>
        <w:t>’identité de genre</w:t>
      </w:r>
      <w:r w:rsidR="00090CBF" w:rsidRPr="00494098">
        <w:rPr>
          <w:lang w:val="fr-FR"/>
        </w:rPr>
        <w:t> :</w:t>
      </w:r>
    </w:p>
    <w:p w14:paraId="17287B22" w14:textId="77777777" w:rsidR="00077B75" w:rsidRPr="00494098" w:rsidRDefault="00112210" w:rsidP="00112210">
      <w:pPr>
        <w:pStyle w:val="Bullet1G"/>
        <w:numPr>
          <w:ilvl w:val="0"/>
          <w:numId w:val="0"/>
        </w:numPr>
        <w:tabs>
          <w:tab w:val="left" w:pos="1701"/>
        </w:tabs>
        <w:ind w:left="1701" w:hanging="170"/>
        <w:rPr>
          <w:lang w:val="fr-FR"/>
        </w:rPr>
      </w:pPr>
      <w:r w:rsidRPr="00494098">
        <w:rPr>
          <w:lang w:val="fr-FR"/>
        </w:rPr>
        <w:t>•</w:t>
      </w:r>
      <w:r w:rsidRPr="00494098">
        <w:rPr>
          <w:lang w:val="fr-FR"/>
        </w:rPr>
        <w:tab/>
        <w:t>En</w:t>
      </w:r>
      <w:r w:rsidR="00A80D24" w:rsidRPr="00494098">
        <w:rPr>
          <w:lang w:val="fr-FR"/>
        </w:rPr>
        <w:t xml:space="preserve"> </w:t>
      </w:r>
      <w:r w:rsidR="00B34673" w:rsidRPr="00494098">
        <w:rPr>
          <w:lang w:val="fr-FR"/>
        </w:rPr>
        <w:t>juillet</w:t>
      </w:r>
      <w:r w:rsidRPr="00494098">
        <w:rPr>
          <w:lang w:val="fr-FR"/>
        </w:rPr>
        <w:t xml:space="preserve"> 2015, une campagne nationale a été lancée </w:t>
      </w:r>
      <w:r w:rsidR="00A80D24" w:rsidRPr="00494098">
        <w:rPr>
          <w:lang w:val="fr-FR"/>
        </w:rPr>
        <w:t xml:space="preserve">pour </w:t>
      </w:r>
      <w:r w:rsidR="000E3FFD" w:rsidRPr="00494098">
        <w:rPr>
          <w:lang w:val="fr-FR"/>
        </w:rPr>
        <w:t xml:space="preserve">renforcer la visibilité de </w:t>
      </w:r>
      <w:r w:rsidRPr="00494098">
        <w:rPr>
          <w:lang w:val="fr-FR"/>
        </w:rPr>
        <w:t xml:space="preserve">l’homophobie et </w:t>
      </w:r>
      <w:r w:rsidR="000E3FFD" w:rsidRPr="00494098">
        <w:rPr>
          <w:lang w:val="fr-FR"/>
        </w:rPr>
        <w:t xml:space="preserve">de </w:t>
      </w:r>
      <w:r w:rsidRPr="00494098">
        <w:rPr>
          <w:lang w:val="fr-FR"/>
        </w:rPr>
        <w:t xml:space="preserve">la transphobie </w:t>
      </w:r>
      <w:r w:rsidR="000E3FFD" w:rsidRPr="00494098">
        <w:rPr>
          <w:lang w:val="fr-FR"/>
        </w:rPr>
        <w:t>et favoriser le débat sur ces questions</w:t>
      </w:r>
      <w:r w:rsidRPr="00494098">
        <w:rPr>
          <w:lang w:val="fr-FR"/>
        </w:rPr>
        <w:t xml:space="preserve"> au Portugal</w:t>
      </w:r>
      <w:r w:rsidR="006717A5" w:rsidRPr="00494098">
        <w:rPr>
          <w:lang w:val="fr-FR"/>
        </w:rPr>
        <w:t> ;</w:t>
      </w:r>
    </w:p>
    <w:p w14:paraId="070886F8" w14:textId="77777777" w:rsidR="00077B75" w:rsidRPr="00494098" w:rsidRDefault="00112210" w:rsidP="00112210">
      <w:pPr>
        <w:pStyle w:val="Bullet1G"/>
        <w:numPr>
          <w:ilvl w:val="0"/>
          <w:numId w:val="0"/>
        </w:numPr>
        <w:tabs>
          <w:tab w:val="left" w:pos="1701"/>
        </w:tabs>
        <w:ind w:left="1701" w:hanging="170"/>
        <w:rPr>
          <w:lang w:val="fr-FR"/>
        </w:rPr>
      </w:pPr>
      <w:r w:rsidRPr="00494098">
        <w:rPr>
          <w:lang w:val="fr-FR"/>
        </w:rPr>
        <w:t>•</w:t>
      </w:r>
      <w:r w:rsidRPr="00494098">
        <w:rPr>
          <w:lang w:val="fr-FR"/>
        </w:rPr>
        <w:tab/>
        <w:t>En</w:t>
      </w:r>
      <w:r w:rsidR="009943D8" w:rsidRPr="00494098">
        <w:rPr>
          <w:lang w:val="fr-FR"/>
        </w:rPr>
        <w:t xml:space="preserve"> </w:t>
      </w:r>
      <w:r w:rsidR="00480991" w:rsidRPr="00494098">
        <w:rPr>
          <w:lang w:val="fr-FR"/>
        </w:rPr>
        <w:t>septembre</w:t>
      </w:r>
      <w:r w:rsidR="009943D8" w:rsidRPr="00494098">
        <w:rPr>
          <w:lang w:val="fr-FR"/>
        </w:rPr>
        <w:t xml:space="preserve"> 2016, l’athlète olympique cana</w:t>
      </w:r>
      <w:r w:rsidR="009943D8" w:rsidRPr="00494098">
        <w:rPr>
          <w:lang w:val="fr-FR"/>
        </w:rPr>
        <w:lastRenderedPageBreak/>
        <w:t xml:space="preserve">dien John Fennel </w:t>
      </w:r>
      <w:r w:rsidRPr="00494098">
        <w:rPr>
          <w:lang w:val="fr-FR"/>
        </w:rPr>
        <w:t xml:space="preserve">a conduit un programme de vulgarisation de trois jours à Lisbonne sur les questions des brimades et de l’intégration dans les lycées portugais. </w:t>
      </w:r>
      <w:r w:rsidR="00D52CB8" w:rsidRPr="00494098">
        <w:rPr>
          <w:lang w:val="fr-FR"/>
        </w:rPr>
        <w:t>D</w:t>
      </w:r>
      <w:r w:rsidRPr="00494098">
        <w:rPr>
          <w:lang w:val="fr-FR"/>
        </w:rPr>
        <w:t xml:space="preserve">es visites dans des </w:t>
      </w:r>
      <w:r w:rsidR="00D52CB8" w:rsidRPr="00494098">
        <w:rPr>
          <w:lang w:val="fr-FR"/>
        </w:rPr>
        <w:t xml:space="preserve">établissements scolaires </w:t>
      </w:r>
      <w:r w:rsidRPr="00494098">
        <w:rPr>
          <w:lang w:val="fr-FR"/>
        </w:rPr>
        <w:t>et une université, pour y parler de</w:t>
      </w:r>
      <w:r w:rsidR="00D52CB8" w:rsidRPr="00494098">
        <w:rPr>
          <w:lang w:val="fr-FR"/>
        </w:rPr>
        <w:t>s</w:t>
      </w:r>
      <w:r w:rsidRPr="00494098">
        <w:rPr>
          <w:lang w:val="fr-FR"/>
        </w:rPr>
        <w:t xml:space="preserve"> relation</w:t>
      </w:r>
      <w:r w:rsidR="00D52CB8" w:rsidRPr="00494098">
        <w:rPr>
          <w:lang w:val="fr-FR"/>
        </w:rPr>
        <w:t>s</w:t>
      </w:r>
      <w:r w:rsidRPr="00494098">
        <w:rPr>
          <w:lang w:val="fr-FR"/>
        </w:rPr>
        <w:t xml:space="preserve"> entre le sport, le harcèlement et l’orientation sexuelle</w:t>
      </w:r>
      <w:r w:rsidR="00D52CB8" w:rsidRPr="00494098">
        <w:rPr>
          <w:lang w:val="fr-FR"/>
        </w:rPr>
        <w:t xml:space="preserve"> ont pris place dans ce programme </w:t>
      </w:r>
      <w:r w:rsidR="006717A5" w:rsidRPr="00494098">
        <w:rPr>
          <w:lang w:val="fr-FR"/>
        </w:rPr>
        <w:t>;</w:t>
      </w:r>
      <w:r w:rsidRPr="00494098">
        <w:rPr>
          <w:lang w:val="fr-FR"/>
        </w:rPr>
        <w:t xml:space="preserve"> </w:t>
      </w:r>
    </w:p>
    <w:p w14:paraId="6D2E93BC" w14:textId="77777777" w:rsidR="00077B75" w:rsidRPr="00494098" w:rsidRDefault="00112210" w:rsidP="00112210">
      <w:pPr>
        <w:pStyle w:val="Bullet1G"/>
        <w:numPr>
          <w:ilvl w:val="0"/>
          <w:numId w:val="0"/>
        </w:numPr>
        <w:tabs>
          <w:tab w:val="left" w:pos="1701"/>
        </w:tabs>
        <w:ind w:left="1701" w:hanging="170"/>
        <w:rPr>
          <w:lang w:val="fr-FR"/>
        </w:rPr>
      </w:pPr>
      <w:r w:rsidRPr="00494098">
        <w:rPr>
          <w:lang w:val="fr-FR"/>
        </w:rPr>
        <w:t>•</w:t>
      </w:r>
      <w:r w:rsidRPr="00494098">
        <w:rPr>
          <w:lang w:val="fr-FR"/>
        </w:rPr>
        <w:tab/>
        <w:t>Le 17</w:t>
      </w:r>
      <w:r w:rsidR="003A5BD8" w:rsidRPr="00494098">
        <w:rPr>
          <w:lang w:val="fr-FR"/>
        </w:rPr>
        <w:t> </w:t>
      </w:r>
      <w:r w:rsidRPr="00494098">
        <w:rPr>
          <w:lang w:val="fr-FR"/>
        </w:rPr>
        <w:t xml:space="preserve">mai 2017, la Journée internationale contre l’homophobie et la transphobie a lancé une campagne </w:t>
      </w:r>
      <w:r w:rsidR="003A5BD8" w:rsidRPr="00494098">
        <w:rPr>
          <w:lang w:val="fr-FR"/>
        </w:rPr>
        <w:t xml:space="preserve">sportive </w:t>
      </w:r>
      <w:r w:rsidRPr="00494098">
        <w:rPr>
          <w:lang w:val="fr-FR"/>
        </w:rPr>
        <w:t xml:space="preserve">de sensibilisation </w:t>
      </w:r>
      <w:r w:rsidR="00A80D24" w:rsidRPr="00494098">
        <w:rPr>
          <w:lang w:val="fr-FR"/>
        </w:rPr>
        <w:t>sur ces thèmes</w:t>
      </w:r>
      <w:r w:rsidRPr="00494098">
        <w:rPr>
          <w:lang w:val="fr-FR"/>
        </w:rPr>
        <w:t xml:space="preserve"> (entre autres activités, plus de 2</w:t>
      </w:r>
      <w:r w:rsidR="00A80D24" w:rsidRPr="00494098">
        <w:rPr>
          <w:lang w:val="fr-FR"/>
        </w:rPr>
        <w:t> </w:t>
      </w:r>
      <w:r w:rsidRPr="00494098">
        <w:rPr>
          <w:lang w:val="fr-FR"/>
        </w:rPr>
        <w:t>000</w:t>
      </w:r>
      <w:r w:rsidR="00A80D24" w:rsidRPr="00494098">
        <w:rPr>
          <w:lang w:val="fr-FR"/>
        </w:rPr>
        <w:t> </w:t>
      </w:r>
      <w:r w:rsidRPr="00494098">
        <w:rPr>
          <w:lang w:val="fr-FR"/>
        </w:rPr>
        <w:t>athlètes ont utilisé des lacets arc-en-ciel pendant leurs compétitions)</w:t>
      </w:r>
      <w:r w:rsidR="006717A5" w:rsidRPr="00494098">
        <w:rPr>
          <w:lang w:val="fr-FR"/>
        </w:rPr>
        <w:t> ;</w:t>
      </w:r>
      <w:r w:rsidRPr="00494098">
        <w:rPr>
          <w:lang w:val="fr-FR"/>
        </w:rPr>
        <w:t xml:space="preserve"> </w:t>
      </w:r>
    </w:p>
    <w:p w14:paraId="2EE6839E" w14:textId="77777777" w:rsidR="00077B75" w:rsidRPr="00494098" w:rsidRDefault="00112210" w:rsidP="00112210">
      <w:pPr>
        <w:pStyle w:val="Bullet1G"/>
        <w:numPr>
          <w:ilvl w:val="0"/>
          <w:numId w:val="0"/>
        </w:numPr>
        <w:tabs>
          <w:tab w:val="left" w:pos="1701"/>
        </w:tabs>
        <w:ind w:left="1701" w:hanging="170"/>
        <w:rPr>
          <w:lang w:val="fr-FR"/>
        </w:rPr>
      </w:pPr>
      <w:r w:rsidRPr="00494098">
        <w:rPr>
          <w:lang w:val="fr-FR"/>
        </w:rPr>
        <w:t>•</w:t>
      </w:r>
      <w:r w:rsidRPr="00494098">
        <w:rPr>
          <w:lang w:val="fr-FR"/>
        </w:rPr>
        <w:tab/>
      </w:r>
      <w:r w:rsidR="00781469" w:rsidRPr="00494098">
        <w:rPr>
          <w:lang w:val="fr-FR"/>
        </w:rPr>
        <w:t>L’Association portugaise « </w:t>
      </w:r>
      <w:r w:rsidRPr="00494098">
        <w:rPr>
          <w:lang w:val="fr-FR"/>
        </w:rPr>
        <w:t xml:space="preserve">Rede </w:t>
      </w:r>
      <w:r w:rsidRPr="00494098">
        <w:rPr>
          <w:i/>
          <w:lang w:val="fr-FR"/>
        </w:rPr>
        <w:t>ex</w:t>
      </w:r>
      <w:r w:rsidR="00781469" w:rsidRPr="00494098">
        <w:rPr>
          <w:i/>
          <w:lang w:val="fr-FR"/>
        </w:rPr>
        <w:t> </w:t>
      </w:r>
      <w:r w:rsidRPr="00494098">
        <w:rPr>
          <w:i/>
          <w:lang w:val="fr-FR"/>
        </w:rPr>
        <w:t>aequo</w:t>
      </w:r>
      <w:r w:rsidR="00781469" w:rsidRPr="00494098">
        <w:rPr>
          <w:lang w:val="fr-FR"/>
        </w:rPr>
        <w:t> »</w:t>
      </w:r>
      <w:r w:rsidRPr="00494098">
        <w:rPr>
          <w:lang w:val="fr-FR"/>
        </w:rPr>
        <w:t xml:space="preserve"> organise des ateliers contre l’homophobie et la transphobie dans près de 40</w:t>
      </w:r>
      <w:r w:rsidR="00781469" w:rsidRPr="00494098">
        <w:rPr>
          <w:lang w:val="fr-FR"/>
        </w:rPr>
        <w:t> </w:t>
      </w:r>
      <w:r w:rsidRPr="00494098">
        <w:rPr>
          <w:lang w:val="fr-FR"/>
        </w:rPr>
        <w:t>écoles, y compris dans les zones les plus reculées du pays. Cela fait partie de l’initiative gouvernementale plus étendue «</w:t>
      </w:r>
      <w:r w:rsidR="00781469" w:rsidRPr="00494098">
        <w:rPr>
          <w:lang w:val="fr-FR"/>
        </w:rPr>
        <w:t> </w:t>
      </w:r>
      <w:r w:rsidRPr="00494098">
        <w:rPr>
          <w:lang w:val="fr-FR"/>
        </w:rPr>
        <w:t>Feuille de route de la citoyenneté</w:t>
      </w:r>
      <w:r w:rsidR="00781469" w:rsidRPr="00494098">
        <w:rPr>
          <w:lang w:val="fr-FR"/>
        </w:rPr>
        <w:t> </w:t>
      </w:r>
      <w:r w:rsidRPr="00494098">
        <w:rPr>
          <w:lang w:val="fr-FR"/>
        </w:rPr>
        <w:t xml:space="preserve">» mise en </w:t>
      </w:r>
      <w:r w:rsidR="00D264B0" w:rsidRPr="00494098">
        <w:rPr>
          <w:lang w:val="fr-FR"/>
        </w:rPr>
        <w:t>œuvr</w:t>
      </w:r>
      <w:r w:rsidRPr="00494098">
        <w:rPr>
          <w:lang w:val="fr-FR"/>
        </w:rPr>
        <w:t xml:space="preserve">e entre 2016 et 2017 avec des acteurs locaux et la société civile locale, </w:t>
      </w:r>
      <w:r w:rsidR="00A80D24" w:rsidRPr="00494098">
        <w:rPr>
          <w:lang w:val="fr-FR"/>
        </w:rPr>
        <w:t xml:space="preserve">dans le but de </w:t>
      </w:r>
      <w:r w:rsidRPr="00494098">
        <w:rPr>
          <w:lang w:val="fr-FR"/>
        </w:rPr>
        <w:t xml:space="preserve">stimuler le débat et la réflexion sur la citoyenneté, </w:t>
      </w:r>
      <w:r w:rsidR="00A80D24" w:rsidRPr="00494098">
        <w:rPr>
          <w:lang w:val="fr-FR"/>
        </w:rPr>
        <w:t xml:space="preserve">et </w:t>
      </w:r>
      <w:r w:rsidR="00AA0E4E" w:rsidRPr="00494098">
        <w:rPr>
          <w:lang w:val="fr-FR"/>
        </w:rPr>
        <w:t xml:space="preserve">de </w:t>
      </w:r>
      <w:r w:rsidR="00A80D24" w:rsidRPr="00494098">
        <w:rPr>
          <w:lang w:val="fr-FR"/>
        </w:rPr>
        <w:t xml:space="preserve">refléter </w:t>
      </w:r>
      <w:r w:rsidRPr="00494098">
        <w:rPr>
          <w:lang w:val="fr-FR"/>
        </w:rPr>
        <w:t>largement les objectifs et l'engagement du Portugal dans le Programme 2030 des Nations Unies</w:t>
      </w:r>
      <w:r w:rsidR="006717A5" w:rsidRPr="00494098">
        <w:rPr>
          <w:lang w:val="fr-FR"/>
        </w:rPr>
        <w:t> ;</w:t>
      </w:r>
    </w:p>
    <w:p w14:paraId="5C5402AA" w14:textId="77777777" w:rsidR="00077B75" w:rsidRPr="00494098" w:rsidRDefault="00112210" w:rsidP="00112210">
      <w:pPr>
        <w:pStyle w:val="Bullet1G"/>
        <w:numPr>
          <w:ilvl w:val="0"/>
          <w:numId w:val="0"/>
        </w:numPr>
        <w:tabs>
          <w:tab w:val="left" w:pos="1701"/>
        </w:tabs>
        <w:ind w:left="1701" w:hanging="170"/>
        <w:rPr>
          <w:lang w:val="fr-FR"/>
        </w:rPr>
      </w:pPr>
      <w:r w:rsidRPr="00494098">
        <w:rPr>
          <w:lang w:val="fr-FR"/>
        </w:rPr>
        <w:t>•</w:t>
      </w:r>
      <w:r w:rsidRPr="00494098">
        <w:rPr>
          <w:lang w:val="fr-FR"/>
        </w:rPr>
        <w:tab/>
        <w:t xml:space="preserve">La Stratégie nationale d’éducation à la citoyenneté vise à développer les </w:t>
      </w:r>
      <w:r w:rsidRPr="00494098">
        <w:rPr>
          <w:lang w:val="fr-FR"/>
        </w:rPr>
        <w:lastRenderedPageBreak/>
        <w:t>compétences et les connaissances citoyennes chez les enfants et les jeunes, les préparer à devenir des citoyens qui apprécient et respectent, entre autres, les relations interpersonnelles, la diversité, les droits de l’homme et la non-discrimination.</w:t>
      </w:r>
    </w:p>
    <w:p w14:paraId="1DF70B6D" w14:textId="77777777" w:rsidR="00077B75" w:rsidRPr="00494098" w:rsidRDefault="00077B75" w:rsidP="00480570">
      <w:pPr>
        <w:pStyle w:val="SingleTxtG"/>
        <w:rPr>
          <w:lang w:val="fr-FR"/>
        </w:rPr>
      </w:pPr>
      <w:r w:rsidRPr="00494098">
        <w:rPr>
          <w:lang w:val="fr-FR"/>
        </w:rPr>
        <w:t>69.</w:t>
      </w:r>
      <w:r w:rsidRPr="00494098">
        <w:rPr>
          <w:lang w:val="fr-FR"/>
        </w:rPr>
        <w:tab/>
        <w:t xml:space="preserve">La formation des responsables de l’application des lois à la non-discrimination a été améliorée grâce à l’élaboration d’un nouveau référentiel </w:t>
      </w:r>
      <w:r w:rsidR="0016691B" w:rsidRPr="00494098">
        <w:rPr>
          <w:lang w:val="fr-FR"/>
        </w:rPr>
        <w:t xml:space="preserve">de </w:t>
      </w:r>
      <w:r w:rsidRPr="00494098">
        <w:rPr>
          <w:lang w:val="fr-FR"/>
        </w:rPr>
        <w:t>la Garde nationale républicaine</w:t>
      </w:r>
      <w:r w:rsidR="0016691B" w:rsidRPr="00494098">
        <w:rPr>
          <w:lang w:val="fr-FR"/>
        </w:rPr>
        <w:t> :</w:t>
      </w:r>
      <w:r w:rsidRPr="00494098">
        <w:rPr>
          <w:lang w:val="fr-FR"/>
        </w:rPr>
        <w:t xml:space="preserve"> «</w:t>
      </w:r>
      <w:r w:rsidR="00B6558C" w:rsidRPr="00494098">
        <w:rPr>
          <w:lang w:val="fr-FR"/>
        </w:rPr>
        <w:t> Une vision commune de l’enfant </w:t>
      </w:r>
      <w:r w:rsidRPr="00494098">
        <w:rPr>
          <w:lang w:val="fr-FR"/>
        </w:rPr>
        <w:t xml:space="preserve">». </w:t>
      </w:r>
    </w:p>
    <w:p w14:paraId="297E1C02" w14:textId="77777777" w:rsidR="00077B75" w:rsidRPr="00494098" w:rsidRDefault="00077B75" w:rsidP="00480570">
      <w:pPr>
        <w:pStyle w:val="SingleTxtG"/>
        <w:rPr>
          <w:lang w:val="fr-FR"/>
        </w:rPr>
      </w:pPr>
      <w:r w:rsidRPr="00494098">
        <w:rPr>
          <w:lang w:val="fr-FR"/>
        </w:rPr>
        <w:t>70.</w:t>
      </w:r>
      <w:r w:rsidRPr="00494098">
        <w:rPr>
          <w:lang w:val="fr-FR"/>
        </w:rPr>
        <w:tab/>
        <w:t>En</w:t>
      </w:r>
      <w:r w:rsidR="00A80D24" w:rsidRPr="00494098">
        <w:rPr>
          <w:lang w:val="fr-FR"/>
        </w:rPr>
        <w:t xml:space="preserve"> </w:t>
      </w:r>
      <w:r w:rsidR="00B34673" w:rsidRPr="00494098">
        <w:rPr>
          <w:lang w:val="fr-FR"/>
        </w:rPr>
        <w:t>juillet</w:t>
      </w:r>
      <w:r w:rsidRPr="00494098">
        <w:rPr>
          <w:lang w:val="fr-FR"/>
        </w:rPr>
        <w:t xml:space="preserve"> 2016, la police de sécurité publique a signé un protocole national avec le Haut Commissariat aux migrations</w:t>
      </w:r>
      <w:r w:rsidR="00BE14CE" w:rsidRPr="00494098">
        <w:rPr>
          <w:lang w:val="fr-FR"/>
        </w:rPr>
        <w:t xml:space="preserve"> (</w:t>
      </w:r>
      <w:r w:rsidRPr="00494098">
        <w:rPr>
          <w:lang w:val="fr-FR"/>
        </w:rPr>
        <w:t xml:space="preserve">Infrastructures du </w:t>
      </w:r>
      <w:r w:rsidR="00BE14CE" w:rsidRPr="00494098">
        <w:rPr>
          <w:lang w:val="fr-FR"/>
        </w:rPr>
        <w:t>Portugal)</w:t>
      </w:r>
      <w:r w:rsidRPr="00494098">
        <w:rPr>
          <w:lang w:val="fr-FR"/>
        </w:rPr>
        <w:t xml:space="preserve"> pour la mise en </w:t>
      </w:r>
      <w:r w:rsidR="00D264B0" w:rsidRPr="00494098">
        <w:rPr>
          <w:lang w:val="fr-FR"/>
        </w:rPr>
        <w:t>œuvr</w:t>
      </w:r>
      <w:r w:rsidRPr="00494098">
        <w:rPr>
          <w:lang w:val="fr-FR"/>
        </w:rPr>
        <w:t>e du Programme «</w:t>
      </w:r>
      <w:r w:rsidR="00BE14CE" w:rsidRPr="00494098">
        <w:rPr>
          <w:lang w:val="fr-FR"/>
        </w:rPr>
        <w:t> </w:t>
      </w:r>
      <w:r w:rsidRPr="00494098">
        <w:rPr>
          <w:i/>
          <w:lang w:val="fr-FR"/>
        </w:rPr>
        <w:t>JUNTOS POR TODOS</w:t>
      </w:r>
      <w:r w:rsidR="00BE14CE" w:rsidRPr="00494098">
        <w:rPr>
          <w:lang w:val="fr-FR"/>
        </w:rPr>
        <w:t> </w:t>
      </w:r>
      <w:r w:rsidRPr="00494098">
        <w:rPr>
          <w:lang w:val="fr-FR"/>
        </w:rPr>
        <w:t>» (Ensemble pour tous)</w:t>
      </w:r>
      <w:r w:rsidR="00BE14CE" w:rsidRPr="00494098">
        <w:rPr>
          <w:lang w:val="fr-FR"/>
        </w:rPr>
        <w:t>.</w:t>
      </w:r>
      <w:r w:rsidRPr="00494098">
        <w:rPr>
          <w:lang w:val="fr-FR"/>
        </w:rPr>
        <w:t xml:space="preserve"> </w:t>
      </w:r>
    </w:p>
    <w:p w14:paraId="6605302C" w14:textId="77777777" w:rsidR="00077B75" w:rsidRPr="00494098" w:rsidRDefault="00077B75" w:rsidP="00480570">
      <w:pPr>
        <w:pStyle w:val="SingleTxtG"/>
        <w:rPr>
          <w:lang w:val="fr-FR"/>
        </w:rPr>
      </w:pPr>
      <w:r w:rsidRPr="00494098">
        <w:rPr>
          <w:lang w:val="fr-FR"/>
        </w:rPr>
        <w:t>71.</w:t>
      </w:r>
      <w:r w:rsidRPr="00494098">
        <w:rPr>
          <w:lang w:val="fr-FR"/>
        </w:rPr>
        <w:tab/>
        <w:t>La formation initiale des élèves</w:t>
      </w:r>
      <w:r w:rsidR="00196E24" w:rsidRPr="00494098">
        <w:rPr>
          <w:lang w:val="fr-FR"/>
        </w:rPr>
        <w:t>-</w:t>
      </w:r>
      <w:r w:rsidRPr="00494098">
        <w:rPr>
          <w:lang w:val="fr-FR"/>
        </w:rPr>
        <w:t>inspecteurs et les cours à l’intention des coordonnateurs des enquêtes criminelles et des inspecteurs en chef</w:t>
      </w:r>
      <w:r w:rsidR="00A80D24" w:rsidRPr="00494098">
        <w:rPr>
          <w:lang w:val="fr-FR"/>
        </w:rPr>
        <w:t>,</w:t>
      </w:r>
      <w:r w:rsidRPr="00494098">
        <w:rPr>
          <w:lang w:val="fr-FR"/>
        </w:rPr>
        <w:t xml:space="preserve"> </w:t>
      </w:r>
      <w:r w:rsidR="00196E24" w:rsidRPr="00494098">
        <w:rPr>
          <w:lang w:val="fr-FR"/>
        </w:rPr>
        <w:t xml:space="preserve">dispensés </w:t>
      </w:r>
      <w:r w:rsidRPr="00494098">
        <w:rPr>
          <w:lang w:val="fr-FR"/>
        </w:rPr>
        <w:t>à l’</w:t>
      </w:r>
      <w:r w:rsidR="00196E24" w:rsidRPr="00494098">
        <w:rPr>
          <w:lang w:val="fr-FR"/>
        </w:rPr>
        <w:t>É</w:t>
      </w:r>
      <w:r w:rsidRPr="00494098">
        <w:rPr>
          <w:lang w:val="fr-FR"/>
        </w:rPr>
        <w:t>cole de police criminelle</w:t>
      </w:r>
      <w:r w:rsidR="00A80D24" w:rsidRPr="00494098">
        <w:rPr>
          <w:lang w:val="fr-FR"/>
        </w:rPr>
        <w:t>,</w:t>
      </w:r>
      <w:r w:rsidRPr="00494098">
        <w:rPr>
          <w:lang w:val="fr-FR"/>
        </w:rPr>
        <w:t xml:space="preserve"> mettent l’accent sur l’application du principe de non-discrimination.</w:t>
      </w:r>
    </w:p>
    <w:p w14:paraId="7015F1B5" w14:textId="1043737F" w:rsidR="00077B75" w:rsidRPr="00494098" w:rsidRDefault="00077B75" w:rsidP="00580754">
      <w:pPr>
        <w:pStyle w:val="H23G"/>
        <w:rPr>
          <w:lang w:val="fr-FR"/>
        </w:rPr>
      </w:pPr>
      <w:r w:rsidRPr="00494098">
        <w:rPr>
          <w:lang w:val="fr-FR"/>
        </w:rPr>
        <w:tab/>
      </w:r>
      <w:r w:rsidRPr="00494098">
        <w:rPr>
          <w:lang w:val="fr-FR"/>
        </w:rPr>
        <w:tab/>
        <w:t>Intérêt supérieur de l’enfant (</w:t>
      </w:r>
      <w:r w:rsidR="00762179" w:rsidRPr="00494098">
        <w:rPr>
          <w:lang w:val="fr-FR"/>
        </w:rPr>
        <w:t>par. 2</w:t>
      </w:r>
      <w:r w:rsidRPr="00494098">
        <w:rPr>
          <w:lang w:val="fr-FR"/>
        </w:rPr>
        <w:t xml:space="preserve">8 </w:t>
      </w:r>
      <w:r w:rsidR="00872592" w:rsidRPr="00494098">
        <w:rPr>
          <w:lang w:val="fr-FR"/>
        </w:rPr>
        <w:t xml:space="preserve">des </w:t>
      </w:r>
      <w:r w:rsidR="00ED1C5A">
        <w:rPr>
          <w:lang w:val="fr-FR"/>
        </w:rPr>
        <w:t>o</w:t>
      </w:r>
      <w:r w:rsidR="00916D99" w:rsidRPr="00494098">
        <w:rPr>
          <w:lang w:val="fr-FR"/>
        </w:rPr>
        <w:t>bservations finales</w:t>
      </w:r>
      <w:r w:rsidR="00872592" w:rsidRPr="00494098">
        <w:rPr>
          <w:lang w:val="fr-FR"/>
        </w:rPr>
        <w:t>)</w:t>
      </w:r>
      <w:bookmarkStart w:id="63" w:name="_Toc530057289"/>
      <w:bookmarkStart w:id="64" w:name="_Toc530057488"/>
      <w:bookmarkStart w:id="65" w:name="_Toc530057603"/>
      <w:bookmarkStart w:id="66" w:name="_Toc530067984"/>
      <w:bookmarkEnd w:id="63"/>
      <w:bookmarkEnd w:id="64"/>
      <w:bookmarkEnd w:id="65"/>
      <w:bookmarkEnd w:id="66"/>
    </w:p>
    <w:p w14:paraId="14E691E9" w14:textId="2150548F" w:rsidR="00077B75" w:rsidRPr="00494098" w:rsidRDefault="00077B75" w:rsidP="00480570">
      <w:pPr>
        <w:pStyle w:val="SingleTxtG"/>
        <w:rPr>
          <w:lang w:val="fr-FR"/>
        </w:rPr>
      </w:pPr>
      <w:r w:rsidRPr="00494098">
        <w:rPr>
          <w:lang w:val="fr-FR"/>
        </w:rPr>
        <w:t>72.</w:t>
      </w:r>
      <w:r w:rsidRPr="00494098">
        <w:rPr>
          <w:lang w:val="fr-FR"/>
        </w:rPr>
        <w:tab/>
        <w:t xml:space="preserve">Le système national de promotion et de protection des droits de l’enfant, établi par la loi </w:t>
      </w:r>
      <w:r w:rsidR="006717A5" w:rsidRPr="00494098">
        <w:rPr>
          <w:lang w:val="fr-FR"/>
        </w:rPr>
        <w:t>n° </w:t>
      </w:r>
      <w:r w:rsidR="00480991" w:rsidRPr="00494098">
        <w:rPr>
          <w:lang w:val="fr-FR"/>
        </w:rPr>
        <w:t>1</w:t>
      </w:r>
      <w:r w:rsidRPr="00494098">
        <w:rPr>
          <w:lang w:val="fr-FR"/>
        </w:rPr>
        <w:t>47/99 du 1</w:t>
      </w:r>
      <w:r w:rsidRPr="00494098">
        <w:rPr>
          <w:vertAlign w:val="superscript"/>
          <w:lang w:val="fr-FR"/>
        </w:rPr>
        <w:t>er</w:t>
      </w:r>
      <w:r w:rsidR="00480991" w:rsidRPr="00494098">
        <w:rPr>
          <w:lang w:val="fr-FR"/>
        </w:rPr>
        <w:t> septembre</w:t>
      </w:r>
      <w:r w:rsidRPr="00494098">
        <w:rPr>
          <w:lang w:val="fr-FR"/>
        </w:rPr>
        <w:t xml:space="preserve"> 1999, tel que modifié par la loi </w:t>
      </w:r>
      <w:r w:rsidR="006717A5" w:rsidRPr="00494098">
        <w:rPr>
          <w:lang w:val="fr-FR"/>
        </w:rPr>
        <w:t>n° </w:t>
      </w:r>
      <w:r w:rsidR="00480991" w:rsidRPr="00494098">
        <w:rPr>
          <w:lang w:val="fr-FR"/>
        </w:rPr>
        <w:t>1</w:t>
      </w:r>
      <w:r w:rsidRPr="00494098">
        <w:rPr>
          <w:lang w:val="fr-FR"/>
        </w:rPr>
        <w:t>42/2015 du 8</w:t>
      </w:r>
      <w:r w:rsidR="00480991" w:rsidRPr="00494098">
        <w:rPr>
          <w:lang w:val="fr-FR"/>
        </w:rPr>
        <w:t> septembre</w:t>
      </w:r>
      <w:r w:rsidRPr="00494098">
        <w:rPr>
          <w:lang w:val="fr-FR"/>
        </w:rPr>
        <w:t xml:space="preserve"> 2015, </w:t>
      </w:r>
      <w:r w:rsidR="00196E24" w:rsidRPr="00494098">
        <w:rPr>
          <w:lang w:val="fr-FR"/>
        </w:rPr>
        <w:t xml:space="preserve">désigne </w:t>
      </w:r>
      <w:r w:rsidRPr="00494098">
        <w:rPr>
          <w:lang w:val="fr-FR"/>
        </w:rPr>
        <w:t xml:space="preserve">l’intérêt supérieur de l’enfant </w:t>
      </w:r>
      <w:r w:rsidR="00196E24" w:rsidRPr="00494098">
        <w:rPr>
          <w:lang w:val="fr-FR"/>
        </w:rPr>
        <w:t xml:space="preserve">comme </w:t>
      </w:r>
      <w:r w:rsidRPr="00494098">
        <w:rPr>
          <w:lang w:val="fr-FR"/>
        </w:rPr>
        <w:t>principe structurant (art</w:t>
      </w:r>
      <w:r w:rsidR="007B5654">
        <w:rPr>
          <w:lang w:val="fr-FR"/>
        </w:rPr>
        <w:t>.</w:t>
      </w:r>
      <w:r w:rsidRPr="00494098">
        <w:rPr>
          <w:lang w:val="fr-FR"/>
        </w:rPr>
        <w:t xml:space="preserve"> 4, 58, 60 et 62</w:t>
      </w:r>
      <w:r w:rsidR="007B5654">
        <w:rPr>
          <w:lang w:val="fr-FR"/>
        </w:rPr>
        <w:t>-A</w:t>
      </w:r>
      <w:r w:rsidRPr="00494098">
        <w:rPr>
          <w:lang w:val="fr-FR"/>
        </w:rPr>
        <w:t xml:space="preserve">). </w:t>
      </w:r>
    </w:p>
    <w:p w14:paraId="6C785383" w14:textId="77777777" w:rsidR="00077B75" w:rsidRPr="00494098" w:rsidRDefault="00077B75" w:rsidP="00480570">
      <w:pPr>
        <w:pStyle w:val="SingleTxtG"/>
        <w:rPr>
          <w:lang w:val="fr-FR"/>
        </w:rPr>
      </w:pPr>
      <w:r w:rsidRPr="00494098">
        <w:rPr>
          <w:lang w:val="fr-FR"/>
        </w:rPr>
        <w:t>73.</w:t>
      </w:r>
      <w:r w:rsidRPr="00494098">
        <w:rPr>
          <w:lang w:val="fr-FR"/>
        </w:rPr>
        <w:tab/>
        <w:t xml:space="preserve">L’intégration et la mise en </w:t>
      </w:r>
      <w:r w:rsidR="00D264B0" w:rsidRPr="00494098">
        <w:rPr>
          <w:lang w:val="fr-FR"/>
        </w:rPr>
        <w:t>œuvr</w:t>
      </w:r>
      <w:r w:rsidRPr="00494098">
        <w:rPr>
          <w:lang w:val="fr-FR"/>
        </w:rPr>
        <w:t xml:space="preserve">e effective de ce principe ont été renforcées </w:t>
      </w:r>
      <w:r w:rsidR="00A07012" w:rsidRPr="00494098">
        <w:rPr>
          <w:lang w:val="fr-FR"/>
        </w:rPr>
        <w:t xml:space="preserve">par </w:t>
      </w:r>
      <w:r w:rsidRPr="00494098">
        <w:rPr>
          <w:lang w:val="fr-FR"/>
        </w:rPr>
        <w:t xml:space="preserve">l’adoption </w:t>
      </w:r>
      <w:r w:rsidRPr="00494098">
        <w:rPr>
          <w:lang w:val="fr-FR"/>
        </w:rPr>
        <w:lastRenderedPageBreak/>
        <w:t>de nouvelles lois sur la tutelle et l</w:t>
      </w:r>
      <w:r w:rsidR="00A07012" w:rsidRPr="00494098">
        <w:rPr>
          <w:lang w:val="fr-FR"/>
        </w:rPr>
        <w:t>e</w:t>
      </w:r>
      <w:r w:rsidRPr="00494098">
        <w:rPr>
          <w:lang w:val="fr-FR"/>
        </w:rPr>
        <w:t xml:space="preserve"> parrainage civil</w:t>
      </w:r>
      <w:r w:rsidR="00A07012" w:rsidRPr="00494098">
        <w:rPr>
          <w:lang w:val="fr-FR"/>
        </w:rPr>
        <w:t>s</w:t>
      </w:r>
      <w:r w:rsidRPr="00494098">
        <w:rPr>
          <w:lang w:val="fr-FR"/>
        </w:rPr>
        <w:t xml:space="preserve"> (</w:t>
      </w:r>
      <w:r w:rsidR="00A07012" w:rsidRPr="00494098">
        <w:rPr>
          <w:lang w:val="fr-FR"/>
        </w:rPr>
        <w:t xml:space="preserve">loi n°141/2015 du 8 novembre 2015, </w:t>
      </w:r>
      <w:r w:rsidRPr="00494098">
        <w:rPr>
          <w:lang w:val="fr-FR"/>
        </w:rPr>
        <w:t>art</w:t>
      </w:r>
      <w:r w:rsidR="00A07012" w:rsidRPr="00494098">
        <w:rPr>
          <w:lang w:val="fr-FR"/>
        </w:rPr>
        <w:t>. </w:t>
      </w:r>
      <w:r w:rsidRPr="00494098">
        <w:rPr>
          <w:lang w:val="fr-FR"/>
        </w:rPr>
        <w:t>5, 17, 27, 35 et 40</w:t>
      </w:r>
      <w:r w:rsidR="00A07012" w:rsidRPr="00494098">
        <w:rPr>
          <w:lang w:val="fr-FR"/>
        </w:rPr>
        <w:t>) </w:t>
      </w:r>
      <w:r w:rsidR="006717A5" w:rsidRPr="00494098">
        <w:rPr>
          <w:lang w:val="fr-FR"/>
        </w:rPr>
        <w:t>;</w:t>
      </w:r>
      <w:r w:rsidRPr="00494098">
        <w:rPr>
          <w:lang w:val="fr-FR"/>
        </w:rPr>
        <w:t xml:space="preserve"> sur l'adoption (</w:t>
      </w:r>
      <w:r w:rsidR="00A07012" w:rsidRPr="00494098">
        <w:rPr>
          <w:lang w:val="fr-FR"/>
        </w:rPr>
        <w:t xml:space="preserve">loi 143/2015 du 8 septembre 2015, </w:t>
      </w:r>
      <w:r w:rsidRPr="00494098">
        <w:rPr>
          <w:lang w:val="fr-FR"/>
        </w:rPr>
        <w:t>art</w:t>
      </w:r>
      <w:r w:rsidR="00A07012" w:rsidRPr="00494098">
        <w:rPr>
          <w:lang w:val="fr-FR"/>
        </w:rPr>
        <w:t>. </w:t>
      </w:r>
      <w:r w:rsidRPr="00494098">
        <w:rPr>
          <w:lang w:val="fr-FR"/>
        </w:rPr>
        <w:t>3, 36, 38, 34, 36, 50, 52, 63, 79 et 82)</w:t>
      </w:r>
      <w:r w:rsidR="00A07012" w:rsidRPr="00494098">
        <w:rPr>
          <w:lang w:val="fr-FR"/>
        </w:rPr>
        <w:t> ;</w:t>
      </w:r>
      <w:r w:rsidRPr="00494098">
        <w:rPr>
          <w:lang w:val="fr-FR"/>
        </w:rPr>
        <w:t xml:space="preserve"> et sur la tutelle en matière d'éducation (</w:t>
      </w:r>
      <w:r w:rsidR="00A07012" w:rsidRPr="00494098">
        <w:rPr>
          <w:lang w:val="fr-FR"/>
        </w:rPr>
        <w:t xml:space="preserve">loi n° 4/2015 du 15 janvier 2015 ; </w:t>
      </w:r>
      <w:r w:rsidRPr="00494098">
        <w:rPr>
          <w:lang w:val="fr-FR"/>
        </w:rPr>
        <w:t>art</w:t>
      </w:r>
      <w:r w:rsidR="00A07012" w:rsidRPr="00494098">
        <w:rPr>
          <w:lang w:val="fr-FR"/>
        </w:rPr>
        <w:t>. </w:t>
      </w:r>
      <w:r w:rsidRPr="00494098">
        <w:rPr>
          <w:lang w:val="fr-FR"/>
        </w:rPr>
        <w:t>6, 36, 40, 45, 47, 77, 101, 107, 123, 133 et 140</w:t>
      </w:r>
      <w:r w:rsidR="00A07012" w:rsidRPr="00494098">
        <w:rPr>
          <w:lang w:val="fr-FR"/>
        </w:rPr>
        <w:t>)</w:t>
      </w:r>
      <w:r w:rsidRPr="00494098">
        <w:rPr>
          <w:lang w:val="fr-FR"/>
        </w:rPr>
        <w:t>.</w:t>
      </w:r>
    </w:p>
    <w:p w14:paraId="5F28A773" w14:textId="77777777" w:rsidR="00077B75" w:rsidRPr="00494098" w:rsidRDefault="00077B75" w:rsidP="00480570">
      <w:pPr>
        <w:pStyle w:val="SingleTxtG"/>
        <w:rPr>
          <w:lang w:val="fr-FR"/>
        </w:rPr>
      </w:pPr>
      <w:r w:rsidRPr="00494098">
        <w:rPr>
          <w:lang w:val="fr-FR"/>
        </w:rPr>
        <w:t>74.</w:t>
      </w:r>
      <w:r w:rsidRPr="00494098">
        <w:rPr>
          <w:lang w:val="fr-FR"/>
        </w:rPr>
        <w:tab/>
        <w:t>Dans le domaine de l’adoption, le Programme de préparation de l’enfant à l’adoption et le Plan de formation en vue de l'adoption (PFA), prévus dans le Régime juridique du processus d'adoption (loi 143/2015 du 8</w:t>
      </w:r>
      <w:r w:rsidR="00480991" w:rsidRPr="00494098">
        <w:rPr>
          <w:lang w:val="fr-FR"/>
        </w:rPr>
        <w:t> septembre</w:t>
      </w:r>
      <w:r w:rsidRPr="00494098">
        <w:rPr>
          <w:lang w:val="fr-FR"/>
        </w:rPr>
        <w:t xml:space="preserve"> 2015), mettent l’intérêt supérieur de l’enfant au centre des préoccupations.</w:t>
      </w:r>
    </w:p>
    <w:p w14:paraId="35ACBF1E" w14:textId="77777777" w:rsidR="00077B75" w:rsidRPr="00494098" w:rsidRDefault="00077B75" w:rsidP="00D87AA3">
      <w:pPr>
        <w:pStyle w:val="SingleTxtG"/>
        <w:rPr>
          <w:lang w:val="fr-FR"/>
        </w:rPr>
      </w:pPr>
      <w:r w:rsidRPr="00494098">
        <w:rPr>
          <w:lang w:val="fr-FR"/>
        </w:rPr>
        <w:t>75.</w:t>
      </w:r>
      <w:r w:rsidRPr="00494098">
        <w:rPr>
          <w:lang w:val="fr-FR"/>
        </w:rPr>
        <w:tab/>
        <w:t xml:space="preserve">La mise en place de procédures adaptées aux enfants afin d’améliorer leur participation conformément au principe de l’intérêt supérieur de l’enfant a été une priorité dans les secteurs de la justice et de la sécurité sociale, </w:t>
      </w:r>
      <w:r w:rsidR="009A554C" w:rsidRPr="00494098">
        <w:rPr>
          <w:lang w:val="fr-FR"/>
        </w:rPr>
        <w:t xml:space="preserve">concrétisée </w:t>
      </w:r>
      <w:r w:rsidRPr="00494098">
        <w:rPr>
          <w:lang w:val="fr-FR"/>
        </w:rPr>
        <w:t>notamment par la tenue de séminaires (séminaire conjoint du Ministère de la justice et du Conseil de l’Europe sur une justice adaptée aux enfants</w:t>
      </w:r>
      <w:r w:rsidR="009A554C" w:rsidRPr="00494098">
        <w:rPr>
          <w:lang w:val="fr-FR"/>
        </w:rPr>
        <w:t>,</w:t>
      </w:r>
      <w:r w:rsidRPr="00494098">
        <w:rPr>
          <w:lang w:val="fr-FR"/>
        </w:rPr>
        <w:t xml:space="preserve"> </w:t>
      </w:r>
      <w:r w:rsidR="009A554C" w:rsidRPr="00494098">
        <w:rPr>
          <w:lang w:val="fr-FR"/>
        </w:rPr>
        <w:t xml:space="preserve">en </w:t>
      </w:r>
      <w:r w:rsidR="00872592" w:rsidRPr="00494098">
        <w:rPr>
          <w:lang w:val="fr-FR"/>
        </w:rPr>
        <w:t>novembre</w:t>
      </w:r>
      <w:r w:rsidRPr="00494098">
        <w:rPr>
          <w:lang w:val="fr-FR"/>
        </w:rPr>
        <w:t xml:space="preserve"> 2016)</w:t>
      </w:r>
      <w:r w:rsidR="006717A5" w:rsidRPr="00494098">
        <w:rPr>
          <w:lang w:val="fr-FR"/>
        </w:rPr>
        <w:t> ;</w:t>
      </w:r>
      <w:r w:rsidRPr="00494098">
        <w:rPr>
          <w:lang w:val="fr-FR"/>
        </w:rPr>
        <w:t xml:space="preserve"> </w:t>
      </w:r>
      <w:r w:rsidR="000E2A4A" w:rsidRPr="00494098">
        <w:rPr>
          <w:lang w:val="fr-FR"/>
        </w:rPr>
        <w:t xml:space="preserve">sur le </w:t>
      </w:r>
      <w:r w:rsidRPr="00494098">
        <w:rPr>
          <w:lang w:val="fr-FR"/>
        </w:rPr>
        <w:t xml:space="preserve">renforcement des capacités professionnelles (en 2014, </w:t>
      </w:r>
      <w:r w:rsidR="00A10B9A" w:rsidRPr="00494098">
        <w:rPr>
          <w:lang w:val="fr-FR"/>
        </w:rPr>
        <w:t xml:space="preserve">la </w:t>
      </w:r>
      <w:r w:rsidRPr="00494098">
        <w:rPr>
          <w:lang w:val="fr-FR"/>
        </w:rPr>
        <w:t xml:space="preserve">réunion nationale des Commissions pour la protection des enfants et des jeunes, à laquelle ont participé un millier de professionnels travaillant avec et pour les enfants — enseignants, médecins, travailleurs sociaux, psychologues, entre autres — </w:t>
      </w:r>
      <w:r w:rsidR="009A554C" w:rsidRPr="00494098">
        <w:rPr>
          <w:lang w:val="fr-FR"/>
        </w:rPr>
        <w:t xml:space="preserve">a été </w:t>
      </w:r>
      <w:r w:rsidRPr="00494098">
        <w:rPr>
          <w:lang w:val="fr-FR"/>
        </w:rPr>
        <w:t xml:space="preserve">consacrée à </w:t>
      </w:r>
      <w:r w:rsidR="009A554C" w:rsidRPr="00494098">
        <w:rPr>
          <w:lang w:val="fr-FR"/>
        </w:rPr>
        <w:t>« </w:t>
      </w:r>
      <w:r w:rsidRPr="00494098">
        <w:rPr>
          <w:lang w:val="fr-FR"/>
        </w:rPr>
        <w:t>L'intérêt supérieur de l'enfant, sujet de droits</w:t>
      </w:r>
      <w:r w:rsidR="000E2A4A" w:rsidRPr="00494098">
        <w:rPr>
          <w:lang w:val="fr-FR"/>
        </w:rPr>
        <w:t xml:space="preserve">, </w:t>
      </w:r>
      <w:r w:rsidRPr="00494098">
        <w:rPr>
          <w:lang w:val="fr-FR"/>
        </w:rPr>
        <w:t>Interpellations et responsabilités</w:t>
      </w:r>
      <w:r w:rsidR="009A554C" w:rsidRPr="00494098">
        <w:rPr>
          <w:lang w:val="fr-FR"/>
        </w:rPr>
        <w:t> »</w:t>
      </w:r>
      <w:r w:rsidR="000E2A4A" w:rsidRPr="00494098">
        <w:rPr>
          <w:lang w:val="fr-FR"/>
        </w:rPr>
        <w:t>)</w:t>
      </w:r>
      <w:r w:rsidR="009A554C" w:rsidRPr="00494098">
        <w:rPr>
          <w:lang w:val="fr-FR"/>
        </w:rPr>
        <w:t>,</w:t>
      </w:r>
      <w:r w:rsidRPr="00494098">
        <w:rPr>
          <w:lang w:val="fr-FR"/>
        </w:rPr>
        <w:t xml:space="preserve"> et </w:t>
      </w:r>
      <w:r w:rsidR="009A554C" w:rsidRPr="00494098">
        <w:rPr>
          <w:lang w:val="fr-FR"/>
        </w:rPr>
        <w:t xml:space="preserve">à </w:t>
      </w:r>
      <w:r w:rsidRPr="00494098">
        <w:rPr>
          <w:lang w:val="fr-FR"/>
        </w:rPr>
        <w:t>la mise à jour de matériels professionnels (notamment le Manuel d'audition des enfants</w:t>
      </w:r>
      <w:r w:rsidR="003745DB" w:rsidRPr="00494098">
        <w:rPr>
          <w:lang w:val="fr-FR"/>
        </w:rPr>
        <w:t>,</w:t>
      </w:r>
      <w:r w:rsidRPr="00494098">
        <w:rPr>
          <w:lang w:val="fr-FR"/>
        </w:rPr>
        <w:t xml:space="preserve"> et autres documents d</w:t>
      </w:r>
      <w:r w:rsidR="00A10B9A" w:rsidRPr="00494098">
        <w:rPr>
          <w:lang w:val="fr-FR"/>
        </w:rPr>
        <w:t xml:space="preserve">e soutien </w:t>
      </w:r>
      <w:r w:rsidRPr="00494098">
        <w:rPr>
          <w:lang w:val="fr-FR"/>
        </w:rPr>
        <w:t xml:space="preserve">lors des interventions </w:t>
      </w:r>
      <w:r w:rsidRPr="00494098">
        <w:rPr>
          <w:lang w:val="fr-FR"/>
        </w:rPr>
        <w:lastRenderedPageBreak/>
        <w:t>techniques dans les services consultatifs élaborés par l’Institut de sécurité sociale)</w:t>
      </w:r>
      <w:r w:rsidR="003745DB" w:rsidRPr="00494098">
        <w:rPr>
          <w:lang w:val="fr-FR"/>
        </w:rPr>
        <w:t>.</w:t>
      </w:r>
      <w:r w:rsidRPr="00494098">
        <w:rPr>
          <w:lang w:val="fr-FR"/>
        </w:rPr>
        <w:t xml:space="preserve"> Il convient également de mentionner la coopération du Ministère de la justice dans la traduction en portugais</w:t>
      </w:r>
      <w:r w:rsidR="008A029B" w:rsidRPr="00494098">
        <w:rPr>
          <w:lang w:val="fr-FR"/>
        </w:rPr>
        <w:t xml:space="preserve"> et s</w:t>
      </w:r>
      <w:r w:rsidRPr="00494098">
        <w:rPr>
          <w:lang w:val="fr-FR"/>
        </w:rPr>
        <w:t>a diffusion de l’Observation générale n</w:t>
      </w:r>
      <w:r w:rsidR="003745DB" w:rsidRPr="00494098">
        <w:rPr>
          <w:lang w:val="fr-FR"/>
        </w:rPr>
        <w:t> </w:t>
      </w:r>
      <w:r w:rsidRPr="00494098">
        <w:rPr>
          <w:lang w:val="fr-FR"/>
        </w:rPr>
        <w:t>14 (2013) sur le droit de l’enfant à ce que son intérêt supérieur soit une considération primordiale (</w:t>
      </w:r>
      <w:r w:rsidR="003745DB" w:rsidRPr="00494098">
        <w:rPr>
          <w:lang w:val="fr-FR"/>
        </w:rPr>
        <w:t>art. 3.1</w:t>
      </w:r>
      <w:r w:rsidRPr="00494098">
        <w:rPr>
          <w:lang w:val="fr-FR"/>
        </w:rPr>
        <w:t>).</w:t>
      </w:r>
    </w:p>
    <w:p w14:paraId="3F2CC1A8" w14:textId="77777777" w:rsidR="00077B75" w:rsidRPr="00494098" w:rsidRDefault="00077B75" w:rsidP="00480570">
      <w:pPr>
        <w:pStyle w:val="SingleTxtG"/>
        <w:rPr>
          <w:lang w:val="fr-FR"/>
        </w:rPr>
      </w:pPr>
      <w:r w:rsidRPr="00494098">
        <w:rPr>
          <w:lang w:val="fr-FR"/>
        </w:rPr>
        <w:t>76.</w:t>
      </w:r>
      <w:r w:rsidRPr="00494098">
        <w:rPr>
          <w:lang w:val="fr-FR"/>
        </w:rPr>
        <w:tab/>
        <w:t xml:space="preserve">L’intérêt supérieur de l’enfant est une considération primordiale et il est dûment pris dans l’élaboration des politiques et la programmation du secteur de l’éducation, où des initiatives visant à éliminer toutes les formes de violence à l’égard des enfants ont été menées dans le cadre du programme </w:t>
      </w:r>
      <w:r w:rsidR="008A029B" w:rsidRPr="00494098">
        <w:rPr>
          <w:lang w:val="fr-FR"/>
        </w:rPr>
        <w:t>« </w:t>
      </w:r>
      <w:r w:rsidRPr="00494098">
        <w:rPr>
          <w:lang w:val="fr-FR"/>
        </w:rPr>
        <w:t>Sécurité dans les écoles</w:t>
      </w:r>
      <w:r w:rsidR="008A029B" w:rsidRPr="00494098">
        <w:rPr>
          <w:lang w:val="fr-FR"/>
        </w:rPr>
        <w:t> »</w:t>
      </w:r>
      <w:r w:rsidRPr="00494098">
        <w:rPr>
          <w:lang w:val="fr-FR"/>
        </w:rPr>
        <w:t xml:space="preserve"> et de l’initiative </w:t>
      </w:r>
      <w:r w:rsidRPr="00494098">
        <w:rPr>
          <w:i/>
          <w:lang w:val="fr-FR"/>
        </w:rPr>
        <w:t>SeguraNet</w:t>
      </w:r>
      <w:r w:rsidRPr="00494098">
        <w:rPr>
          <w:lang w:val="fr-FR"/>
        </w:rPr>
        <w:t>.</w:t>
      </w:r>
    </w:p>
    <w:p w14:paraId="330E291E" w14:textId="77777777" w:rsidR="00077B75" w:rsidRPr="00494098" w:rsidRDefault="00077B75" w:rsidP="00480570">
      <w:pPr>
        <w:pStyle w:val="SingleTxtG"/>
        <w:rPr>
          <w:lang w:val="fr-FR"/>
        </w:rPr>
      </w:pPr>
      <w:r w:rsidRPr="00494098">
        <w:rPr>
          <w:lang w:val="fr-FR"/>
        </w:rPr>
        <w:t>77.</w:t>
      </w:r>
      <w:r w:rsidRPr="00494098">
        <w:rPr>
          <w:lang w:val="fr-FR"/>
        </w:rPr>
        <w:tab/>
      </w:r>
      <w:r w:rsidR="0047537B" w:rsidRPr="00494098">
        <w:rPr>
          <w:lang w:val="fr-FR"/>
        </w:rPr>
        <w:t>Le</w:t>
      </w:r>
      <w:r w:rsidR="00EE5489" w:rsidRPr="00494098">
        <w:rPr>
          <w:lang w:val="fr-FR"/>
        </w:rPr>
        <w:t xml:space="preserve">s </w:t>
      </w:r>
      <w:r w:rsidRPr="00494098">
        <w:rPr>
          <w:lang w:val="fr-FR"/>
        </w:rPr>
        <w:t>intervention</w:t>
      </w:r>
      <w:r w:rsidR="00EE5489" w:rsidRPr="00494098">
        <w:rPr>
          <w:lang w:val="fr-FR"/>
        </w:rPr>
        <w:t>s</w:t>
      </w:r>
      <w:r w:rsidRPr="00494098">
        <w:rPr>
          <w:lang w:val="fr-FR"/>
        </w:rPr>
        <w:t xml:space="preserve"> technique</w:t>
      </w:r>
      <w:r w:rsidR="00EE5489" w:rsidRPr="00494098">
        <w:rPr>
          <w:lang w:val="fr-FR"/>
        </w:rPr>
        <w:t>s</w:t>
      </w:r>
      <w:r w:rsidRPr="00494098">
        <w:rPr>
          <w:lang w:val="fr-FR"/>
        </w:rPr>
        <w:t xml:space="preserve"> des professionnels </w:t>
      </w:r>
      <w:r w:rsidR="008A029B" w:rsidRPr="00494098">
        <w:rPr>
          <w:lang w:val="fr-FR"/>
        </w:rPr>
        <w:t xml:space="preserve">de la santé appelés à se prononcer dans le </w:t>
      </w:r>
      <w:r w:rsidRPr="00494098">
        <w:rPr>
          <w:lang w:val="fr-FR"/>
        </w:rPr>
        <w:t>respect de l’intérêt supérieur de l’enfant</w:t>
      </w:r>
      <w:r w:rsidR="00EE5489" w:rsidRPr="00494098">
        <w:rPr>
          <w:lang w:val="fr-FR"/>
        </w:rPr>
        <w:t xml:space="preserve"> ont également</w:t>
      </w:r>
      <w:r w:rsidRPr="00494098">
        <w:rPr>
          <w:lang w:val="fr-FR"/>
        </w:rPr>
        <w:t xml:space="preserve"> été </w:t>
      </w:r>
      <w:r w:rsidR="0047537B" w:rsidRPr="00494098">
        <w:rPr>
          <w:lang w:val="fr-FR"/>
        </w:rPr>
        <w:t xml:space="preserve">améliorées </w:t>
      </w:r>
      <w:r w:rsidR="00EE5489" w:rsidRPr="00494098">
        <w:rPr>
          <w:lang w:val="fr-FR"/>
        </w:rPr>
        <w:t xml:space="preserve">grâce à </w:t>
      </w:r>
      <w:r w:rsidRPr="00494098">
        <w:rPr>
          <w:lang w:val="fr-FR"/>
        </w:rPr>
        <w:t>l'élaboration de nouveaux matériels</w:t>
      </w:r>
      <w:r w:rsidR="0047537B" w:rsidRPr="00494098">
        <w:rPr>
          <w:lang w:val="fr-FR"/>
        </w:rPr>
        <w:t xml:space="preserve"> axés sur l</w:t>
      </w:r>
      <w:r w:rsidR="00EE5489" w:rsidRPr="00494098">
        <w:rPr>
          <w:lang w:val="fr-FR"/>
        </w:rPr>
        <w:t>es v</w:t>
      </w:r>
      <w:r w:rsidRPr="00494098">
        <w:rPr>
          <w:lang w:val="fr-FR"/>
        </w:rPr>
        <w:t>iolence</w:t>
      </w:r>
      <w:r w:rsidR="00EE5489" w:rsidRPr="00494098">
        <w:rPr>
          <w:lang w:val="fr-FR"/>
        </w:rPr>
        <w:t>s</w:t>
      </w:r>
      <w:r w:rsidRPr="00494098">
        <w:rPr>
          <w:lang w:val="fr-FR"/>
        </w:rPr>
        <w:t xml:space="preserve"> interpersonnelle</w:t>
      </w:r>
      <w:r w:rsidR="00EE5489" w:rsidRPr="00494098">
        <w:rPr>
          <w:lang w:val="fr-FR"/>
        </w:rPr>
        <w:t>s</w:t>
      </w:r>
      <w:r w:rsidRPr="00494098">
        <w:rPr>
          <w:lang w:val="fr-FR"/>
        </w:rPr>
        <w:t xml:space="preserve">, </w:t>
      </w:r>
      <w:r w:rsidR="0047537B" w:rsidRPr="00494098">
        <w:rPr>
          <w:lang w:val="fr-FR"/>
        </w:rPr>
        <w:t>l</w:t>
      </w:r>
      <w:r w:rsidR="00EE5489" w:rsidRPr="00494098">
        <w:rPr>
          <w:lang w:val="fr-FR"/>
        </w:rPr>
        <w:t xml:space="preserve">es </w:t>
      </w:r>
      <w:r w:rsidRPr="00494098">
        <w:rPr>
          <w:lang w:val="fr-FR"/>
        </w:rPr>
        <w:t>approche</w:t>
      </w:r>
      <w:r w:rsidR="00EE5489" w:rsidRPr="00494098">
        <w:rPr>
          <w:lang w:val="fr-FR"/>
        </w:rPr>
        <w:t>s</w:t>
      </w:r>
      <w:r w:rsidRPr="00494098">
        <w:rPr>
          <w:lang w:val="fr-FR"/>
        </w:rPr>
        <w:t xml:space="preserve">, </w:t>
      </w:r>
      <w:r w:rsidR="0047537B" w:rsidRPr="00494098">
        <w:rPr>
          <w:lang w:val="fr-FR"/>
        </w:rPr>
        <w:t>l</w:t>
      </w:r>
      <w:r w:rsidR="00EE5489" w:rsidRPr="00494098">
        <w:rPr>
          <w:lang w:val="fr-FR"/>
        </w:rPr>
        <w:t xml:space="preserve">es </w:t>
      </w:r>
      <w:r w:rsidRPr="00494098">
        <w:rPr>
          <w:lang w:val="fr-FR"/>
        </w:rPr>
        <w:t>diagnostic</w:t>
      </w:r>
      <w:r w:rsidR="00EE5489" w:rsidRPr="00494098">
        <w:rPr>
          <w:lang w:val="fr-FR"/>
        </w:rPr>
        <w:t>s</w:t>
      </w:r>
      <w:r w:rsidRPr="00494098">
        <w:rPr>
          <w:lang w:val="fr-FR"/>
        </w:rPr>
        <w:t xml:space="preserve"> et </w:t>
      </w:r>
      <w:r w:rsidR="0047537B" w:rsidRPr="00494098">
        <w:rPr>
          <w:lang w:val="fr-FR"/>
        </w:rPr>
        <w:t>l</w:t>
      </w:r>
      <w:r w:rsidR="00EE5489" w:rsidRPr="00494098">
        <w:rPr>
          <w:lang w:val="fr-FR"/>
        </w:rPr>
        <w:t xml:space="preserve">es </w:t>
      </w:r>
      <w:r w:rsidRPr="00494098">
        <w:rPr>
          <w:lang w:val="fr-FR"/>
        </w:rPr>
        <w:t>intervention</w:t>
      </w:r>
      <w:r w:rsidR="0047537B" w:rsidRPr="00494098">
        <w:rPr>
          <w:lang w:val="fr-FR"/>
        </w:rPr>
        <w:t>s</w:t>
      </w:r>
      <w:r w:rsidRPr="00494098">
        <w:rPr>
          <w:lang w:val="fr-FR"/>
        </w:rPr>
        <w:t xml:space="preserve"> dans les services de santé.</w:t>
      </w:r>
    </w:p>
    <w:p w14:paraId="414C2AA2" w14:textId="77777777" w:rsidR="00077B75" w:rsidRPr="00494098" w:rsidRDefault="00077B75" w:rsidP="00480570">
      <w:pPr>
        <w:pStyle w:val="SingleTxtG"/>
        <w:rPr>
          <w:lang w:val="fr-FR"/>
        </w:rPr>
      </w:pPr>
      <w:r w:rsidRPr="00494098">
        <w:rPr>
          <w:lang w:val="fr-FR"/>
        </w:rPr>
        <w:t>78.</w:t>
      </w:r>
      <w:r w:rsidRPr="00494098">
        <w:rPr>
          <w:lang w:val="fr-FR"/>
        </w:rPr>
        <w:tab/>
        <w:t xml:space="preserve">Les professionnels et les agents qui travaillent avec les enfants sont encouragés à créer des situations facilitant la libre expression de l’enfant sur toutes les questions qui </w:t>
      </w:r>
      <w:r w:rsidR="00EC5D8E" w:rsidRPr="00494098">
        <w:rPr>
          <w:lang w:val="fr-FR"/>
        </w:rPr>
        <w:t xml:space="preserve">le </w:t>
      </w:r>
      <w:r w:rsidRPr="00494098">
        <w:rPr>
          <w:lang w:val="fr-FR"/>
        </w:rPr>
        <w:t>concernent.</w:t>
      </w:r>
    </w:p>
    <w:p w14:paraId="220C4E50" w14:textId="2B8D209B" w:rsidR="00077B75" w:rsidRPr="00494098" w:rsidRDefault="00077B75" w:rsidP="00580754">
      <w:pPr>
        <w:pStyle w:val="H23G"/>
        <w:rPr>
          <w:lang w:val="fr-FR"/>
        </w:rPr>
      </w:pPr>
      <w:r w:rsidRPr="00494098">
        <w:rPr>
          <w:lang w:val="fr-FR"/>
        </w:rPr>
        <w:tab/>
      </w:r>
      <w:r w:rsidRPr="00494098">
        <w:rPr>
          <w:lang w:val="fr-FR"/>
        </w:rPr>
        <w:tab/>
        <w:t>Droit à la vie, à la survie et au développement (</w:t>
      </w:r>
      <w:r w:rsidR="00F3281A" w:rsidRPr="00494098">
        <w:rPr>
          <w:lang w:val="fr-FR"/>
        </w:rPr>
        <w:t>par. 30</w:t>
      </w:r>
      <w:r w:rsidR="004E3D8E" w:rsidRPr="00494098">
        <w:rPr>
          <w:lang w:val="fr-FR"/>
        </w:rPr>
        <w:t> </w:t>
      </w:r>
      <w:r w:rsidR="00F3281A" w:rsidRPr="00494098">
        <w:rPr>
          <w:lang w:val="fr-FR"/>
        </w:rPr>
        <w:t>a</w:t>
      </w:r>
      <w:r w:rsidR="004E3D8E" w:rsidRPr="00494098">
        <w:rPr>
          <w:lang w:val="fr-FR"/>
        </w:rPr>
        <w:t>)</w:t>
      </w:r>
      <w:r w:rsidR="00F3281A" w:rsidRPr="00494098">
        <w:rPr>
          <w:lang w:val="fr-FR"/>
        </w:rPr>
        <w:t xml:space="preserve"> et 30 b) </w:t>
      </w:r>
      <w:r w:rsidR="00872592" w:rsidRPr="00494098">
        <w:rPr>
          <w:lang w:val="fr-FR"/>
        </w:rPr>
        <w:t xml:space="preserve">des </w:t>
      </w:r>
      <w:r w:rsidR="00594E75">
        <w:rPr>
          <w:lang w:val="fr-FR"/>
        </w:rPr>
        <w:t>o</w:t>
      </w:r>
      <w:r w:rsidR="00916D99" w:rsidRPr="00494098">
        <w:rPr>
          <w:lang w:val="fr-FR"/>
        </w:rPr>
        <w:t>bservations finales</w:t>
      </w:r>
      <w:r w:rsidR="00872592" w:rsidRPr="00494098">
        <w:rPr>
          <w:lang w:val="fr-FR"/>
        </w:rPr>
        <w:t>)</w:t>
      </w:r>
      <w:bookmarkStart w:id="67" w:name="_Toc530057290"/>
      <w:bookmarkStart w:id="68" w:name="_Toc530057489"/>
      <w:bookmarkStart w:id="69" w:name="_Toc530057604"/>
      <w:bookmarkStart w:id="70" w:name="_Toc530067985"/>
      <w:bookmarkEnd w:id="67"/>
      <w:bookmarkEnd w:id="68"/>
      <w:bookmarkEnd w:id="69"/>
      <w:bookmarkEnd w:id="70"/>
    </w:p>
    <w:p w14:paraId="4D251526" w14:textId="77777777" w:rsidR="00077B75" w:rsidRPr="00494098" w:rsidRDefault="00077B75" w:rsidP="00480570">
      <w:pPr>
        <w:pStyle w:val="SingleTxtG"/>
        <w:rPr>
          <w:lang w:val="fr-FR"/>
        </w:rPr>
      </w:pPr>
      <w:r w:rsidRPr="00494098">
        <w:rPr>
          <w:lang w:val="fr-FR"/>
        </w:rPr>
        <w:t>79.</w:t>
      </w:r>
      <w:r w:rsidRPr="00494098">
        <w:rPr>
          <w:lang w:val="fr-FR"/>
        </w:rPr>
        <w:tab/>
        <w:t xml:space="preserve">Des actions d'inspection </w:t>
      </w:r>
      <w:r w:rsidR="006715B4" w:rsidRPr="00494098">
        <w:rPr>
          <w:lang w:val="fr-FR"/>
        </w:rPr>
        <w:t xml:space="preserve">et de sensibilisation </w:t>
      </w:r>
      <w:r w:rsidR="00591705" w:rsidRPr="00494098">
        <w:rPr>
          <w:lang w:val="fr-FR"/>
        </w:rPr>
        <w:t xml:space="preserve">sur </w:t>
      </w:r>
      <w:r w:rsidRPr="00494098">
        <w:rPr>
          <w:lang w:val="fr-FR"/>
        </w:rPr>
        <w:t xml:space="preserve">la sécurité routière </w:t>
      </w:r>
      <w:r w:rsidR="00591705" w:rsidRPr="00494098">
        <w:rPr>
          <w:lang w:val="fr-FR"/>
        </w:rPr>
        <w:t xml:space="preserve">des enfants </w:t>
      </w:r>
      <w:r w:rsidRPr="00494098">
        <w:rPr>
          <w:lang w:val="fr-FR"/>
        </w:rPr>
        <w:t xml:space="preserve">sont menées chaque année pour </w:t>
      </w:r>
      <w:r w:rsidR="00591705" w:rsidRPr="00494098">
        <w:rPr>
          <w:lang w:val="fr-FR"/>
        </w:rPr>
        <w:t xml:space="preserve">veiller au </w:t>
      </w:r>
      <w:r w:rsidRPr="00494098">
        <w:rPr>
          <w:lang w:val="fr-FR"/>
        </w:rPr>
        <w:t xml:space="preserve">respect des réglementations en vigueur. Le non-respect des </w:t>
      </w:r>
      <w:r w:rsidR="004A0A8C" w:rsidRPr="00494098">
        <w:rPr>
          <w:lang w:val="fr-FR"/>
        </w:rPr>
        <w:t xml:space="preserve">règles </w:t>
      </w:r>
      <w:r w:rsidR="004A0A8C" w:rsidRPr="00494098">
        <w:rPr>
          <w:lang w:val="fr-FR"/>
        </w:rPr>
        <w:lastRenderedPageBreak/>
        <w:t xml:space="preserve">d’utilisation des </w:t>
      </w:r>
      <w:r w:rsidR="00591705" w:rsidRPr="00494098">
        <w:rPr>
          <w:lang w:val="fr-FR"/>
        </w:rPr>
        <w:t xml:space="preserve">matériels </w:t>
      </w:r>
      <w:r w:rsidRPr="00494098">
        <w:rPr>
          <w:lang w:val="fr-FR"/>
        </w:rPr>
        <w:t xml:space="preserve">de sécurité </w:t>
      </w:r>
      <w:r w:rsidR="006715B4" w:rsidRPr="00494098">
        <w:rPr>
          <w:lang w:val="fr-FR"/>
        </w:rPr>
        <w:t xml:space="preserve">destinés aux </w:t>
      </w:r>
      <w:r w:rsidRPr="00494098">
        <w:rPr>
          <w:lang w:val="fr-FR"/>
        </w:rPr>
        <w:t xml:space="preserve">enfants est sanctionné par le Code de la route portugais. </w:t>
      </w:r>
    </w:p>
    <w:p w14:paraId="22A93497" w14:textId="77777777" w:rsidR="00077B75" w:rsidRPr="00494098" w:rsidRDefault="00077B75" w:rsidP="00480570">
      <w:pPr>
        <w:pStyle w:val="SingleTxtG"/>
        <w:rPr>
          <w:lang w:val="fr-FR"/>
        </w:rPr>
      </w:pPr>
      <w:r w:rsidRPr="00494098">
        <w:rPr>
          <w:lang w:val="fr-FR"/>
        </w:rPr>
        <w:t>80.</w:t>
      </w:r>
      <w:r w:rsidRPr="00494098">
        <w:rPr>
          <w:lang w:val="fr-FR"/>
        </w:rPr>
        <w:tab/>
        <w:t xml:space="preserve">Les campagnes de prévention </w:t>
      </w:r>
      <w:r w:rsidR="006715B4" w:rsidRPr="00494098">
        <w:rPr>
          <w:lang w:val="fr-FR"/>
        </w:rPr>
        <w:t xml:space="preserve">menées par </w:t>
      </w:r>
      <w:r w:rsidRPr="00494098">
        <w:rPr>
          <w:lang w:val="fr-FR"/>
        </w:rPr>
        <w:t>la Police de sécurité publique ont évolué vers une approche plus spécialisée et plus participative. Lors de sessions de formation avec les plus jeunes enfants (entre 6 et 10</w:t>
      </w:r>
      <w:r w:rsidR="006715B4" w:rsidRPr="00494098">
        <w:rPr>
          <w:lang w:val="fr-FR"/>
        </w:rPr>
        <w:t> </w:t>
      </w:r>
      <w:r w:rsidRPr="00494098">
        <w:rPr>
          <w:lang w:val="fr-FR"/>
        </w:rPr>
        <w:t xml:space="preserve">ans), des dessins animés réalisés par les enfants eux-mêmes </w:t>
      </w:r>
      <w:r w:rsidR="004A0A8C" w:rsidRPr="00494098">
        <w:rPr>
          <w:lang w:val="fr-FR"/>
        </w:rPr>
        <w:t xml:space="preserve">servent de supports </w:t>
      </w:r>
      <w:r w:rsidRPr="00494098">
        <w:rPr>
          <w:lang w:val="fr-FR"/>
        </w:rPr>
        <w:t>pour présenter différents scénarios (voir tableau</w:t>
      </w:r>
      <w:r w:rsidR="00580BE8" w:rsidRPr="00494098">
        <w:rPr>
          <w:lang w:val="fr-FR"/>
        </w:rPr>
        <w:t> </w:t>
      </w:r>
      <w:r w:rsidRPr="00494098">
        <w:rPr>
          <w:lang w:val="fr-FR"/>
        </w:rPr>
        <w:t xml:space="preserve">6, </w:t>
      </w:r>
      <w:r w:rsidR="003B4E18" w:rsidRPr="00494098">
        <w:rPr>
          <w:lang w:val="fr-FR"/>
        </w:rPr>
        <w:t>annexe 1</w:t>
      </w:r>
      <w:r w:rsidR="006715B4" w:rsidRPr="00494098">
        <w:rPr>
          <w:lang w:val="fr-FR"/>
        </w:rPr>
        <w:t>).</w:t>
      </w:r>
    </w:p>
    <w:p w14:paraId="505339E7" w14:textId="77777777" w:rsidR="00077B75" w:rsidRPr="00494098" w:rsidRDefault="00077B75" w:rsidP="00480570">
      <w:pPr>
        <w:pStyle w:val="SingleTxtG"/>
        <w:rPr>
          <w:lang w:val="fr-FR"/>
        </w:rPr>
      </w:pPr>
      <w:r w:rsidRPr="00494098">
        <w:rPr>
          <w:lang w:val="fr-FR"/>
        </w:rPr>
        <w:t>81.</w:t>
      </w:r>
      <w:r w:rsidRPr="00494098">
        <w:rPr>
          <w:lang w:val="fr-FR"/>
        </w:rPr>
        <w:tab/>
      </w:r>
      <w:r w:rsidR="005C46A9" w:rsidRPr="00494098">
        <w:rPr>
          <w:lang w:val="fr-FR"/>
        </w:rPr>
        <w:t>Le Ministère de l’éducation mène également d</w:t>
      </w:r>
      <w:r w:rsidRPr="00494098">
        <w:rPr>
          <w:lang w:val="fr-FR"/>
        </w:rPr>
        <w:t>es actions d'éducation à la sécurité routière dans le cadre du programme d’éducation à la citoyenneté</w:t>
      </w:r>
      <w:r w:rsidR="005C46A9" w:rsidRPr="00494098">
        <w:rPr>
          <w:lang w:val="fr-FR"/>
        </w:rPr>
        <w:t>,</w:t>
      </w:r>
      <w:r w:rsidRPr="00494098">
        <w:rPr>
          <w:lang w:val="fr-FR"/>
        </w:rPr>
        <w:t xml:space="preserve"> et un référentiel sur l’éducation à la sécurité routière pour les élèves de l’éducation pré</w:t>
      </w:r>
      <w:r w:rsidR="005C46A9" w:rsidRPr="00494098">
        <w:rPr>
          <w:lang w:val="fr-FR"/>
        </w:rPr>
        <w:t>-</w:t>
      </w:r>
      <w:r w:rsidRPr="00494098">
        <w:rPr>
          <w:lang w:val="fr-FR"/>
        </w:rPr>
        <w:t>primaire et des 1</w:t>
      </w:r>
      <w:r w:rsidRPr="00494098">
        <w:rPr>
          <w:vertAlign w:val="superscript"/>
          <w:lang w:val="fr-FR"/>
        </w:rPr>
        <w:t>er</w:t>
      </w:r>
      <w:r w:rsidRPr="00494098">
        <w:rPr>
          <w:lang w:val="fr-FR"/>
        </w:rPr>
        <w:t>, 2</w:t>
      </w:r>
      <w:r w:rsidR="005C46A9" w:rsidRPr="00494098">
        <w:rPr>
          <w:vertAlign w:val="superscript"/>
          <w:lang w:val="fr-FR"/>
        </w:rPr>
        <w:t>è</w:t>
      </w:r>
      <w:r w:rsidRPr="00494098">
        <w:rPr>
          <w:vertAlign w:val="superscript"/>
          <w:lang w:val="fr-FR"/>
        </w:rPr>
        <w:t>me</w:t>
      </w:r>
      <w:r w:rsidRPr="00494098">
        <w:rPr>
          <w:lang w:val="fr-FR"/>
        </w:rPr>
        <w:t xml:space="preserve"> et 3</w:t>
      </w:r>
      <w:r w:rsidRPr="00494098">
        <w:rPr>
          <w:vertAlign w:val="superscript"/>
          <w:lang w:val="fr-FR"/>
        </w:rPr>
        <w:t>ème</w:t>
      </w:r>
      <w:r w:rsidRPr="00494098">
        <w:rPr>
          <w:lang w:val="fr-FR"/>
        </w:rPr>
        <w:t xml:space="preserve"> cycles de l’enseignement de base a été publié en 2012. </w:t>
      </w:r>
      <w:r w:rsidR="00580BE8" w:rsidRPr="00494098">
        <w:rPr>
          <w:lang w:val="fr-FR"/>
        </w:rPr>
        <w:t xml:space="preserve">Cette </w:t>
      </w:r>
      <w:r w:rsidR="005C46A9" w:rsidRPr="00494098">
        <w:rPr>
          <w:lang w:val="fr-FR"/>
        </w:rPr>
        <w:t xml:space="preserve">éducation </w:t>
      </w:r>
      <w:r w:rsidRPr="00494098">
        <w:rPr>
          <w:lang w:val="fr-FR"/>
        </w:rPr>
        <w:t>est conçu</w:t>
      </w:r>
      <w:r w:rsidR="005C46A9" w:rsidRPr="00494098">
        <w:rPr>
          <w:lang w:val="fr-FR"/>
        </w:rPr>
        <w:t>e</w:t>
      </w:r>
      <w:r w:rsidRPr="00494098">
        <w:rPr>
          <w:lang w:val="fr-FR"/>
        </w:rPr>
        <w:t xml:space="preserve"> comme un processus d’acquisition des connaissances, des capacités et des attitudes qui vise à un développement des citoyens en tant que piétons, passagers et conducteurs. </w:t>
      </w:r>
    </w:p>
    <w:p w14:paraId="23E143D6" w14:textId="77777777" w:rsidR="00077B75" w:rsidRPr="00494098" w:rsidRDefault="00077B75" w:rsidP="00480570">
      <w:pPr>
        <w:pStyle w:val="SingleTxtG"/>
        <w:rPr>
          <w:lang w:val="fr-FR"/>
        </w:rPr>
      </w:pPr>
      <w:r w:rsidRPr="00494098">
        <w:rPr>
          <w:lang w:val="fr-FR"/>
        </w:rPr>
        <w:t>82.</w:t>
      </w:r>
      <w:r w:rsidRPr="00494098">
        <w:rPr>
          <w:lang w:val="fr-FR"/>
        </w:rPr>
        <w:tab/>
        <w:t xml:space="preserve">De plus, au sein du système de santé, des directives s’inspirent de la loi </w:t>
      </w:r>
      <w:r w:rsidR="006717A5" w:rsidRPr="00494098">
        <w:rPr>
          <w:lang w:val="fr-FR"/>
        </w:rPr>
        <w:t>n° </w:t>
      </w:r>
      <w:r w:rsidR="00480991" w:rsidRPr="00494098">
        <w:rPr>
          <w:lang w:val="fr-FR"/>
        </w:rPr>
        <w:t>1</w:t>
      </w:r>
      <w:r w:rsidRPr="00494098">
        <w:rPr>
          <w:lang w:val="fr-FR"/>
        </w:rPr>
        <w:t>3/2006 du 17</w:t>
      </w:r>
      <w:r w:rsidR="007704A8" w:rsidRPr="00494098">
        <w:rPr>
          <w:lang w:val="fr-FR"/>
        </w:rPr>
        <w:t> avril</w:t>
      </w:r>
      <w:r w:rsidRPr="00494098">
        <w:rPr>
          <w:lang w:val="fr-FR"/>
        </w:rPr>
        <w:t xml:space="preserve"> 2006, qui réglemente le transport collectif d’enfants</w:t>
      </w:r>
      <w:r w:rsidR="00F15FB6" w:rsidRPr="00494098">
        <w:rPr>
          <w:lang w:val="fr-FR"/>
        </w:rPr>
        <w:t>,</w:t>
      </w:r>
      <w:r w:rsidRPr="00494098">
        <w:rPr>
          <w:lang w:val="fr-FR"/>
        </w:rPr>
        <w:t xml:space="preserve"> et du décret-loi </w:t>
      </w:r>
      <w:r w:rsidR="006717A5" w:rsidRPr="00494098">
        <w:rPr>
          <w:lang w:val="fr-FR"/>
        </w:rPr>
        <w:t>n° </w:t>
      </w:r>
      <w:r w:rsidR="00480991" w:rsidRPr="00494098">
        <w:rPr>
          <w:lang w:val="fr-FR"/>
        </w:rPr>
        <w:t>1</w:t>
      </w:r>
      <w:r w:rsidRPr="00494098">
        <w:rPr>
          <w:lang w:val="fr-FR"/>
        </w:rPr>
        <w:t xml:space="preserve">70-A/2014 qui établit le régime juridique de l’homologation et de l’utilisation des ceintures de sécurité et autres systèmes de protection </w:t>
      </w:r>
      <w:r w:rsidR="004A0A8C" w:rsidRPr="00494098">
        <w:rPr>
          <w:lang w:val="fr-FR"/>
        </w:rPr>
        <w:t>d</w:t>
      </w:r>
      <w:r w:rsidRPr="00494098">
        <w:rPr>
          <w:lang w:val="fr-FR"/>
        </w:rPr>
        <w:t>es enfants à bord des véhicules routiers</w:t>
      </w:r>
      <w:r w:rsidR="00090CBF" w:rsidRPr="00494098">
        <w:rPr>
          <w:lang w:val="fr-FR"/>
        </w:rPr>
        <w:t> :</w:t>
      </w:r>
    </w:p>
    <w:p w14:paraId="13F43852" w14:textId="77777777" w:rsidR="00077B75" w:rsidRPr="00494098" w:rsidRDefault="00112210" w:rsidP="00112210">
      <w:pPr>
        <w:pStyle w:val="Bullet1G"/>
        <w:numPr>
          <w:ilvl w:val="0"/>
          <w:numId w:val="0"/>
        </w:numPr>
        <w:tabs>
          <w:tab w:val="left" w:pos="1701"/>
        </w:tabs>
        <w:ind w:left="1701" w:hanging="170"/>
        <w:rPr>
          <w:lang w:val="fr-FR"/>
        </w:rPr>
      </w:pPr>
      <w:r w:rsidRPr="00494098">
        <w:rPr>
          <w:lang w:val="fr-FR"/>
        </w:rPr>
        <w:t>•</w:t>
      </w:r>
      <w:r w:rsidRPr="00494098">
        <w:rPr>
          <w:lang w:val="fr-FR"/>
        </w:rPr>
        <w:tab/>
        <w:t xml:space="preserve">La norme </w:t>
      </w:r>
      <w:r w:rsidR="006717A5" w:rsidRPr="00494098">
        <w:rPr>
          <w:lang w:val="fr-FR"/>
        </w:rPr>
        <w:t>n° </w:t>
      </w:r>
      <w:r w:rsidRPr="00494098">
        <w:rPr>
          <w:lang w:val="fr-FR"/>
        </w:rPr>
        <w:t>005/2013 du 10</w:t>
      </w:r>
      <w:r w:rsidR="007704A8" w:rsidRPr="00494098">
        <w:rPr>
          <w:lang w:val="fr-FR"/>
        </w:rPr>
        <w:t> avril</w:t>
      </w:r>
      <w:r w:rsidRPr="00494098">
        <w:rPr>
          <w:lang w:val="fr-FR"/>
        </w:rPr>
        <w:t xml:space="preserve"> 2013 </w:t>
      </w:r>
      <w:r w:rsidR="00F15FB6" w:rsidRPr="00494098">
        <w:rPr>
          <w:lang w:val="fr-FR"/>
        </w:rPr>
        <w:t xml:space="preserve">a </w:t>
      </w:r>
      <w:r w:rsidRPr="00494098">
        <w:rPr>
          <w:lang w:val="fr-FR"/>
        </w:rPr>
        <w:t>cré</w:t>
      </w:r>
      <w:r w:rsidR="00F15FB6" w:rsidRPr="00494098">
        <w:rPr>
          <w:lang w:val="fr-FR"/>
        </w:rPr>
        <w:t>é</w:t>
      </w:r>
      <w:r w:rsidRPr="00494098">
        <w:rPr>
          <w:lang w:val="fr-FR"/>
        </w:rPr>
        <w:t xml:space="preserve"> le Programme national de prévention des accidents</w:t>
      </w:r>
      <w:r w:rsidR="006717A5" w:rsidRPr="00494098">
        <w:rPr>
          <w:lang w:val="fr-FR"/>
        </w:rPr>
        <w:t> ;</w:t>
      </w:r>
    </w:p>
    <w:p w14:paraId="1B215185" w14:textId="5BC8FACB" w:rsidR="00077B75" w:rsidRPr="00494098" w:rsidRDefault="00112210" w:rsidP="00112210">
      <w:pPr>
        <w:pStyle w:val="Bullet1G"/>
        <w:numPr>
          <w:ilvl w:val="0"/>
          <w:numId w:val="0"/>
        </w:numPr>
        <w:tabs>
          <w:tab w:val="left" w:pos="1701"/>
        </w:tabs>
        <w:ind w:left="1701" w:hanging="170"/>
        <w:rPr>
          <w:lang w:val="fr-FR"/>
        </w:rPr>
      </w:pPr>
      <w:r w:rsidRPr="00494098">
        <w:rPr>
          <w:lang w:val="fr-FR"/>
        </w:rPr>
        <w:lastRenderedPageBreak/>
        <w:t>•</w:t>
      </w:r>
      <w:r w:rsidRPr="00494098">
        <w:rPr>
          <w:lang w:val="fr-FR"/>
        </w:rPr>
        <w:tab/>
        <w:t xml:space="preserve">La norme </w:t>
      </w:r>
      <w:r w:rsidR="006717A5" w:rsidRPr="00494098">
        <w:rPr>
          <w:lang w:val="fr-FR"/>
        </w:rPr>
        <w:t>n° </w:t>
      </w:r>
      <w:r w:rsidRPr="00494098">
        <w:rPr>
          <w:lang w:val="fr-FR"/>
        </w:rPr>
        <w:t>001/2010 — Règle</w:t>
      </w:r>
      <w:r w:rsidR="001E2B7D">
        <w:rPr>
          <w:lang w:val="fr-FR"/>
        </w:rPr>
        <w:t xml:space="preserve">s relatives au </w:t>
      </w:r>
      <w:r w:rsidRPr="00494098">
        <w:rPr>
          <w:lang w:val="fr-FR"/>
        </w:rPr>
        <w:t xml:space="preserve"> transport des enfants dans les automobiles </w:t>
      </w:r>
      <w:r w:rsidR="007704A8" w:rsidRPr="00494098">
        <w:rPr>
          <w:lang w:val="fr-FR"/>
        </w:rPr>
        <w:t xml:space="preserve">dès </w:t>
      </w:r>
      <w:r w:rsidRPr="00494098">
        <w:rPr>
          <w:lang w:val="fr-FR"/>
        </w:rPr>
        <w:t>la sortie de</w:t>
      </w:r>
      <w:r w:rsidR="00A64274">
        <w:rPr>
          <w:lang w:val="fr-FR"/>
        </w:rPr>
        <w:t xml:space="preserve"> la</w:t>
      </w:r>
      <w:r w:rsidRPr="00494098">
        <w:rPr>
          <w:lang w:val="fr-FR"/>
        </w:rPr>
        <w:t xml:space="preserve"> maternité</w:t>
      </w:r>
      <w:r w:rsidR="006717A5" w:rsidRPr="00494098">
        <w:rPr>
          <w:lang w:val="fr-FR"/>
        </w:rPr>
        <w:t> ;</w:t>
      </w:r>
    </w:p>
    <w:p w14:paraId="684129D7" w14:textId="77777777" w:rsidR="00077B75" w:rsidRPr="00494098" w:rsidRDefault="00112210" w:rsidP="00112210">
      <w:pPr>
        <w:pStyle w:val="Bullet1G"/>
        <w:numPr>
          <w:ilvl w:val="0"/>
          <w:numId w:val="0"/>
        </w:numPr>
        <w:tabs>
          <w:tab w:val="left" w:pos="1701"/>
        </w:tabs>
        <w:ind w:left="1701" w:hanging="170"/>
        <w:rPr>
          <w:lang w:val="fr-FR"/>
        </w:rPr>
      </w:pPr>
      <w:r w:rsidRPr="00494098">
        <w:rPr>
          <w:lang w:val="fr-FR"/>
        </w:rPr>
        <w:t>•</w:t>
      </w:r>
      <w:r w:rsidRPr="00494098">
        <w:rPr>
          <w:lang w:val="fr-FR"/>
        </w:rPr>
        <w:tab/>
        <w:t xml:space="preserve">Le Programme national pour la santé des enfants et des adolescents reconnaît l’importance des systèmes de sécurité dans la prévention des accidents. </w:t>
      </w:r>
    </w:p>
    <w:p w14:paraId="26EF04BC" w14:textId="77777777" w:rsidR="00077B75" w:rsidRPr="00494098" w:rsidRDefault="00077B75" w:rsidP="00480570">
      <w:pPr>
        <w:pStyle w:val="SingleTxtG"/>
        <w:rPr>
          <w:lang w:val="fr-FR"/>
        </w:rPr>
      </w:pPr>
      <w:r w:rsidRPr="00494098">
        <w:rPr>
          <w:lang w:val="fr-FR"/>
        </w:rPr>
        <w:t>83.</w:t>
      </w:r>
      <w:r w:rsidRPr="00494098">
        <w:rPr>
          <w:lang w:val="fr-FR"/>
        </w:rPr>
        <w:tab/>
      </w:r>
      <w:r w:rsidR="00EF279C" w:rsidRPr="00494098">
        <w:rPr>
          <w:lang w:val="fr-FR"/>
        </w:rPr>
        <w:t>En application du décret-loi n° 141/2009 du 16 juin 2009, modifié par le décret-loi n°110/2012 du 21 mai 2012, l</w:t>
      </w:r>
      <w:r w:rsidRPr="00494098">
        <w:rPr>
          <w:lang w:val="fr-FR"/>
        </w:rPr>
        <w:t xml:space="preserve">’Institut portugais de la jeunesse et des sports </w:t>
      </w:r>
      <w:r w:rsidR="00B166B2" w:rsidRPr="00494098">
        <w:rPr>
          <w:lang w:val="fr-FR"/>
        </w:rPr>
        <w:t xml:space="preserve">a compétence en matière de </w:t>
      </w:r>
      <w:r w:rsidRPr="00494098">
        <w:rPr>
          <w:lang w:val="fr-FR"/>
        </w:rPr>
        <w:t>projets de piscines publiques. Conformément au point 6.1.1.4 de la norme N</w:t>
      </w:r>
      <w:r w:rsidR="00B166B2" w:rsidRPr="00494098">
        <w:rPr>
          <w:lang w:val="fr-FR"/>
        </w:rPr>
        <w:t>P</w:t>
      </w:r>
      <w:r w:rsidR="00F11EFB" w:rsidRPr="00494098">
        <w:rPr>
          <w:lang w:val="fr-FR"/>
        </w:rPr>
        <w:t> </w:t>
      </w:r>
      <w:r w:rsidRPr="00494098">
        <w:rPr>
          <w:lang w:val="fr-FR"/>
        </w:rPr>
        <w:t>EN</w:t>
      </w:r>
      <w:r w:rsidR="00F11EFB" w:rsidRPr="00494098">
        <w:rPr>
          <w:lang w:val="fr-FR"/>
        </w:rPr>
        <w:t> </w:t>
      </w:r>
      <w:r w:rsidRPr="00494098">
        <w:rPr>
          <w:lang w:val="fr-FR"/>
        </w:rPr>
        <w:t>15288-2 (Exigences de sécurité pour le fonctionnement)</w:t>
      </w:r>
      <w:r w:rsidR="00B166B2" w:rsidRPr="00494098">
        <w:rPr>
          <w:lang w:val="fr-FR"/>
        </w:rPr>
        <w:t>,</w:t>
      </w:r>
      <w:r w:rsidRPr="00494098">
        <w:rPr>
          <w:lang w:val="fr-FR"/>
        </w:rPr>
        <w:t xml:space="preserve"> les zones dont l’accès </w:t>
      </w:r>
      <w:r w:rsidR="00B166B2" w:rsidRPr="00494098">
        <w:rPr>
          <w:lang w:val="fr-FR"/>
        </w:rPr>
        <w:t xml:space="preserve">doit être </w:t>
      </w:r>
      <w:r w:rsidRPr="00494098">
        <w:rPr>
          <w:lang w:val="fr-FR"/>
        </w:rPr>
        <w:t xml:space="preserve">limité (par exemple </w:t>
      </w:r>
      <w:r w:rsidR="00B166B2" w:rsidRPr="00494098">
        <w:rPr>
          <w:lang w:val="fr-FR"/>
        </w:rPr>
        <w:t xml:space="preserve">les </w:t>
      </w:r>
      <w:r w:rsidRPr="00494098">
        <w:rPr>
          <w:lang w:val="fr-FR"/>
        </w:rPr>
        <w:t xml:space="preserve">zones réservées au personnel, </w:t>
      </w:r>
      <w:r w:rsidR="00B166B2" w:rsidRPr="00494098">
        <w:rPr>
          <w:lang w:val="fr-FR"/>
        </w:rPr>
        <w:t>les locaux techniques</w:t>
      </w:r>
      <w:r w:rsidRPr="00494098">
        <w:rPr>
          <w:lang w:val="fr-FR"/>
        </w:rPr>
        <w:t>) doivent être correctement signalées et empêcher tout accès non autorisé, notamment lorsque les installations ou une partie des installations sont hors service (par exemple</w:t>
      </w:r>
      <w:r w:rsidR="00B166B2" w:rsidRPr="00494098">
        <w:rPr>
          <w:lang w:val="fr-FR"/>
        </w:rPr>
        <w:t> :</w:t>
      </w:r>
      <w:r w:rsidRPr="00494098">
        <w:rPr>
          <w:lang w:val="fr-FR"/>
        </w:rPr>
        <w:t xml:space="preserve"> fermé/fermé pendant </w:t>
      </w:r>
      <w:r w:rsidR="00B166B2" w:rsidRPr="00494098">
        <w:rPr>
          <w:lang w:val="fr-FR"/>
        </w:rPr>
        <w:t>les réparations). Dans ce cas, i</w:t>
      </w:r>
      <w:r w:rsidRPr="00494098">
        <w:rPr>
          <w:lang w:val="fr-FR"/>
        </w:rPr>
        <w:t xml:space="preserve">l convient d'envisager l’installation d’un système approprié </w:t>
      </w:r>
      <w:r w:rsidR="005F1739" w:rsidRPr="00494098">
        <w:rPr>
          <w:lang w:val="fr-FR"/>
        </w:rPr>
        <w:t xml:space="preserve">qui interdira </w:t>
      </w:r>
      <w:r w:rsidR="00B166B2" w:rsidRPr="00494098">
        <w:rPr>
          <w:lang w:val="fr-FR"/>
        </w:rPr>
        <w:t xml:space="preserve">les </w:t>
      </w:r>
      <w:r w:rsidRPr="00494098">
        <w:rPr>
          <w:lang w:val="fr-FR"/>
        </w:rPr>
        <w:t>accès non autorisé</w:t>
      </w:r>
      <w:r w:rsidR="00B166B2" w:rsidRPr="00494098">
        <w:rPr>
          <w:lang w:val="fr-FR"/>
        </w:rPr>
        <w:t>s</w:t>
      </w:r>
      <w:r w:rsidRPr="00494098">
        <w:rPr>
          <w:lang w:val="fr-FR"/>
        </w:rPr>
        <w:t xml:space="preserve">, </w:t>
      </w:r>
      <w:r w:rsidR="00B166B2" w:rsidRPr="00494098">
        <w:rPr>
          <w:lang w:val="fr-FR"/>
        </w:rPr>
        <w:t xml:space="preserve">tout particulièrement par </w:t>
      </w:r>
      <w:r w:rsidRPr="00494098">
        <w:rPr>
          <w:lang w:val="fr-FR"/>
        </w:rPr>
        <w:t>des enfants (une clôture, une couverture, un système d’alarme</w:t>
      </w:r>
      <w:r w:rsidR="00EF279C" w:rsidRPr="00494098">
        <w:rPr>
          <w:lang w:val="fr-FR"/>
        </w:rPr>
        <w:t>, par exemple</w:t>
      </w:r>
      <w:r w:rsidRPr="00494098">
        <w:rPr>
          <w:lang w:val="fr-FR"/>
        </w:rPr>
        <w:t>).</w:t>
      </w:r>
    </w:p>
    <w:p w14:paraId="3A955BCA" w14:textId="77777777" w:rsidR="00077B75" w:rsidRPr="00494098" w:rsidRDefault="00077B75" w:rsidP="00480570">
      <w:pPr>
        <w:pStyle w:val="SingleTxtG"/>
        <w:rPr>
          <w:lang w:val="fr-FR"/>
        </w:rPr>
      </w:pPr>
      <w:r w:rsidRPr="00494098">
        <w:rPr>
          <w:lang w:val="fr-FR"/>
        </w:rPr>
        <w:t>84.</w:t>
      </w:r>
      <w:r w:rsidRPr="00494098">
        <w:rPr>
          <w:lang w:val="fr-FR"/>
        </w:rPr>
        <w:tab/>
        <w:t>La norme portugaise NP</w:t>
      </w:r>
      <w:r w:rsidR="00F11EFB" w:rsidRPr="00494098">
        <w:rPr>
          <w:lang w:val="fr-FR"/>
        </w:rPr>
        <w:t> </w:t>
      </w:r>
      <w:r w:rsidRPr="00494098">
        <w:rPr>
          <w:lang w:val="fr-FR"/>
        </w:rPr>
        <w:t>4500, 2012</w:t>
      </w:r>
      <w:r w:rsidR="00B166B2" w:rsidRPr="00494098">
        <w:rPr>
          <w:lang w:val="fr-FR"/>
        </w:rPr>
        <w:t>,</w:t>
      </w:r>
      <w:r w:rsidRPr="00494098">
        <w:rPr>
          <w:lang w:val="fr-FR"/>
        </w:rPr>
        <w:t xml:space="preserve"> intitulée «</w:t>
      </w:r>
      <w:r w:rsidR="00B166B2" w:rsidRPr="00494098">
        <w:rPr>
          <w:lang w:val="fr-FR"/>
        </w:rPr>
        <w:t> </w:t>
      </w:r>
      <w:r w:rsidRPr="00494098">
        <w:rPr>
          <w:lang w:val="fr-FR"/>
        </w:rPr>
        <w:t>Piscines et autres plans d'eau</w:t>
      </w:r>
      <w:r w:rsidR="00090CBF" w:rsidRPr="00494098">
        <w:rPr>
          <w:lang w:val="fr-FR"/>
        </w:rPr>
        <w:t> :</w:t>
      </w:r>
      <w:r w:rsidRPr="00494098">
        <w:rPr>
          <w:lang w:val="fr-FR"/>
        </w:rPr>
        <w:t xml:space="preserve"> barrière et protection des accès</w:t>
      </w:r>
      <w:r w:rsidR="00090CBF" w:rsidRPr="00494098">
        <w:rPr>
          <w:lang w:val="fr-FR"/>
        </w:rPr>
        <w:t> :</w:t>
      </w:r>
      <w:r w:rsidRPr="00494098">
        <w:rPr>
          <w:lang w:val="fr-FR"/>
        </w:rPr>
        <w:t xml:space="preserve"> exigences de sécurité et méthodes d'essai</w:t>
      </w:r>
      <w:r w:rsidR="00B166B2" w:rsidRPr="00494098">
        <w:rPr>
          <w:lang w:val="fr-FR"/>
        </w:rPr>
        <w:t> »</w:t>
      </w:r>
      <w:r w:rsidRPr="00494098">
        <w:rPr>
          <w:lang w:val="fr-FR"/>
        </w:rPr>
        <w:t xml:space="preserve"> contribue également à l’amélioration de la sécurité des enfants et réduit les accidents dans les piscines.</w:t>
      </w:r>
      <w:r w:rsidR="00812461" w:rsidRPr="00494098">
        <w:rPr>
          <w:lang w:val="fr-FR"/>
        </w:rPr>
        <w:t xml:space="preserve"> </w:t>
      </w:r>
    </w:p>
    <w:p w14:paraId="0EEF36C4" w14:textId="5E26FF46" w:rsidR="00077B75" w:rsidRPr="00494098" w:rsidRDefault="00077B75" w:rsidP="00580754">
      <w:pPr>
        <w:pStyle w:val="H23G"/>
        <w:rPr>
          <w:lang w:val="fr-FR"/>
        </w:rPr>
      </w:pPr>
      <w:r w:rsidRPr="00494098">
        <w:rPr>
          <w:lang w:val="fr-FR"/>
        </w:rPr>
        <w:lastRenderedPageBreak/>
        <w:tab/>
      </w:r>
      <w:r w:rsidRPr="00494098">
        <w:rPr>
          <w:lang w:val="fr-FR"/>
        </w:rPr>
        <w:tab/>
        <w:t>Respect des opinions de l’enfant (par</w:t>
      </w:r>
      <w:r w:rsidR="00BE28AC" w:rsidRPr="00494098">
        <w:rPr>
          <w:lang w:val="fr-FR"/>
        </w:rPr>
        <w:t>.</w:t>
      </w:r>
      <w:r w:rsidRPr="00494098">
        <w:rPr>
          <w:lang w:val="fr-FR"/>
        </w:rPr>
        <w:t xml:space="preserve"> 32 </w:t>
      </w:r>
      <w:r w:rsidR="00872592" w:rsidRPr="00494098">
        <w:rPr>
          <w:lang w:val="fr-FR"/>
        </w:rPr>
        <w:t xml:space="preserve">des </w:t>
      </w:r>
      <w:r w:rsidR="009756D4">
        <w:rPr>
          <w:lang w:val="fr-FR"/>
        </w:rPr>
        <w:t>o</w:t>
      </w:r>
      <w:r w:rsidR="00916D99" w:rsidRPr="00494098">
        <w:rPr>
          <w:lang w:val="fr-FR"/>
        </w:rPr>
        <w:t>bservations finales</w:t>
      </w:r>
      <w:r w:rsidR="00872592" w:rsidRPr="00494098">
        <w:rPr>
          <w:lang w:val="fr-FR"/>
        </w:rPr>
        <w:t>)</w:t>
      </w:r>
      <w:bookmarkStart w:id="71" w:name="_Toc530057291"/>
      <w:bookmarkStart w:id="72" w:name="_Toc530057490"/>
      <w:bookmarkStart w:id="73" w:name="_Toc530057605"/>
      <w:bookmarkStart w:id="74" w:name="_Toc530067986"/>
      <w:bookmarkEnd w:id="71"/>
      <w:bookmarkEnd w:id="72"/>
      <w:bookmarkEnd w:id="73"/>
      <w:bookmarkEnd w:id="74"/>
    </w:p>
    <w:p w14:paraId="0A14C3A4" w14:textId="63DDFDE6" w:rsidR="00077B75" w:rsidRPr="00494098" w:rsidRDefault="00077B75" w:rsidP="00480570">
      <w:pPr>
        <w:pStyle w:val="SingleTxtG"/>
        <w:rPr>
          <w:lang w:val="fr-FR"/>
        </w:rPr>
      </w:pPr>
      <w:r w:rsidRPr="00494098">
        <w:rPr>
          <w:lang w:val="fr-FR"/>
        </w:rPr>
        <w:t>85.</w:t>
      </w:r>
      <w:r w:rsidRPr="00494098">
        <w:rPr>
          <w:lang w:val="fr-FR"/>
        </w:rPr>
        <w:tab/>
        <w:t xml:space="preserve">Le droit de l’enfant d’être entendu et d’exprimer librement </w:t>
      </w:r>
      <w:r w:rsidR="00BC290F" w:rsidRPr="00494098">
        <w:rPr>
          <w:lang w:val="fr-FR"/>
        </w:rPr>
        <w:t xml:space="preserve">ses opinions </w:t>
      </w:r>
      <w:r w:rsidRPr="00494098">
        <w:rPr>
          <w:lang w:val="fr-FR"/>
        </w:rPr>
        <w:t>a été renforcé, entre autres, par des réformes juridiques dans les domaine</w:t>
      </w:r>
      <w:r w:rsidR="005F1739" w:rsidRPr="00494098">
        <w:rPr>
          <w:lang w:val="fr-FR"/>
        </w:rPr>
        <w:t>s</w:t>
      </w:r>
      <w:r w:rsidRPr="00494098">
        <w:rPr>
          <w:lang w:val="fr-FR"/>
        </w:rPr>
        <w:t xml:space="preserve"> de la tutelle et du parrainage (loi </w:t>
      </w:r>
      <w:r w:rsidR="006717A5" w:rsidRPr="00494098">
        <w:rPr>
          <w:lang w:val="fr-FR"/>
        </w:rPr>
        <w:t>n° </w:t>
      </w:r>
      <w:r w:rsidR="00480991" w:rsidRPr="00494098">
        <w:rPr>
          <w:lang w:val="fr-FR"/>
        </w:rPr>
        <w:t>1</w:t>
      </w:r>
      <w:r w:rsidRPr="00494098">
        <w:rPr>
          <w:lang w:val="fr-FR"/>
        </w:rPr>
        <w:t>41/2015 du 8</w:t>
      </w:r>
      <w:r w:rsidR="00480991" w:rsidRPr="00494098">
        <w:rPr>
          <w:lang w:val="fr-FR"/>
        </w:rPr>
        <w:t> septembre</w:t>
      </w:r>
      <w:r w:rsidRPr="00494098">
        <w:rPr>
          <w:lang w:val="fr-FR"/>
        </w:rPr>
        <w:t xml:space="preserve"> 2015</w:t>
      </w:r>
      <w:r w:rsidR="00D63650" w:rsidRPr="00494098">
        <w:rPr>
          <w:lang w:val="fr-FR"/>
        </w:rPr>
        <w:t>, art</w:t>
      </w:r>
      <w:r w:rsidR="00C86AA8" w:rsidRPr="00494098">
        <w:rPr>
          <w:lang w:val="fr-FR"/>
        </w:rPr>
        <w:t>.</w:t>
      </w:r>
      <w:r w:rsidR="00D63650" w:rsidRPr="00494098">
        <w:rPr>
          <w:lang w:val="fr-FR"/>
        </w:rPr>
        <w:t> 4, 5, 21, 23, 24, 38, 39 et 49</w:t>
      </w:r>
      <w:r w:rsidRPr="00494098">
        <w:rPr>
          <w:lang w:val="fr-FR"/>
        </w:rPr>
        <w:t>)</w:t>
      </w:r>
      <w:r w:rsidR="00D63650" w:rsidRPr="00494098">
        <w:rPr>
          <w:lang w:val="fr-FR"/>
        </w:rPr>
        <w:t> ;</w:t>
      </w:r>
      <w:r w:rsidRPr="00494098">
        <w:rPr>
          <w:lang w:val="fr-FR"/>
        </w:rPr>
        <w:t xml:space="preserve"> de la protection des enfants et des jeunes en danger (loi n°142/2015 du 8</w:t>
      </w:r>
      <w:r w:rsidR="00872592" w:rsidRPr="00494098">
        <w:rPr>
          <w:lang w:val="fr-FR"/>
        </w:rPr>
        <w:t> novembre</w:t>
      </w:r>
      <w:r w:rsidRPr="00494098">
        <w:rPr>
          <w:lang w:val="fr-FR"/>
        </w:rPr>
        <w:t xml:space="preserve"> 2015</w:t>
      </w:r>
      <w:r w:rsidR="00D63650" w:rsidRPr="00494098">
        <w:rPr>
          <w:lang w:val="fr-FR"/>
        </w:rPr>
        <w:t>, art</w:t>
      </w:r>
      <w:r w:rsidR="00C86AA8" w:rsidRPr="00494098">
        <w:rPr>
          <w:lang w:val="fr-FR"/>
        </w:rPr>
        <w:t>. </w:t>
      </w:r>
      <w:r w:rsidR="00D63650" w:rsidRPr="00494098">
        <w:rPr>
          <w:lang w:val="fr-FR"/>
        </w:rPr>
        <w:t>4, 58, 84 et 85</w:t>
      </w:r>
      <w:r w:rsidRPr="00494098">
        <w:rPr>
          <w:lang w:val="fr-FR"/>
        </w:rPr>
        <w:t>)</w:t>
      </w:r>
      <w:r w:rsidR="00D63650" w:rsidRPr="00494098">
        <w:rPr>
          <w:lang w:val="fr-FR"/>
        </w:rPr>
        <w:t> ;</w:t>
      </w:r>
      <w:r w:rsidRPr="00494098">
        <w:rPr>
          <w:lang w:val="fr-FR"/>
        </w:rPr>
        <w:t xml:space="preserve"> de l'adoption (loi n°143/2015 du 8</w:t>
      </w:r>
      <w:r w:rsidR="00480991" w:rsidRPr="00494098">
        <w:rPr>
          <w:lang w:val="fr-FR"/>
        </w:rPr>
        <w:t> septembre</w:t>
      </w:r>
      <w:r w:rsidRPr="00494098">
        <w:rPr>
          <w:lang w:val="fr-FR"/>
        </w:rPr>
        <w:t xml:space="preserve"> 2015</w:t>
      </w:r>
      <w:r w:rsidR="00D63650" w:rsidRPr="00494098">
        <w:rPr>
          <w:lang w:val="fr-FR"/>
        </w:rPr>
        <w:t>, art</w:t>
      </w:r>
      <w:r w:rsidR="00C86AA8" w:rsidRPr="00494098">
        <w:rPr>
          <w:lang w:val="fr-FR"/>
        </w:rPr>
        <w:t>. </w:t>
      </w:r>
      <w:r w:rsidR="00D63650" w:rsidRPr="00494098">
        <w:rPr>
          <w:lang w:val="fr-FR"/>
        </w:rPr>
        <w:t>3, 36 et 54</w:t>
      </w:r>
      <w:r w:rsidRPr="00494098">
        <w:rPr>
          <w:lang w:val="fr-FR"/>
        </w:rPr>
        <w:t>)</w:t>
      </w:r>
      <w:r w:rsidR="00D63650" w:rsidRPr="00494098">
        <w:rPr>
          <w:lang w:val="fr-FR"/>
        </w:rPr>
        <w:t> ;</w:t>
      </w:r>
      <w:r w:rsidRPr="00494098">
        <w:rPr>
          <w:lang w:val="fr-FR"/>
        </w:rPr>
        <w:t xml:space="preserve"> de la tutelle éducative (loi </w:t>
      </w:r>
      <w:r w:rsidR="006717A5" w:rsidRPr="00494098">
        <w:rPr>
          <w:lang w:val="fr-FR"/>
        </w:rPr>
        <w:t>n° </w:t>
      </w:r>
      <w:r w:rsidRPr="00494098">
        <w:rPr>
          <w:lang w:val="fr-FR"/>
        </w:rPr>
        <w:t>4/2015 du 15</w:t>
      </w:r>
      <w:r w:rsidR="006717A5" w:rsidRPr="00494098">
        <w:rPr>
          <w:lang w:val="fr-FR"/>
        </w:rPr>
        <w:t> janvier</w:t>
      </w:r>
      <w:r w:rsidRPr="00494098">
        <w:rPr>
          <w:lang w:val="fr-FR"/>
        </w:rPr>
        <w:t xml:space="preserve"> 2015</w:t>
      </w:r>
      <w:r w:rsidR="00D63650" w:rsidRPr="00494098">
        <w:rPr>
          <w:lang w:val="fr-FR"/>
        </w:rPr>
        <w:t>, art</w:t>
      </w:r>
      <w:r w:rsidR="00C86AA8" w:rsidRPr="00494098">
        <w:rPr>
          <w:lang w:val="fr-FR"/>
        </w:rPr>
        <w:t>. </w:t>
      </w:r>
      <w:r w:rsidR="00D63650" w:rsidRPr="00494098">
        <w:rPr>
          <w:lang w:val="fr-FR"/>
        </w:rPr>
        <w:t>45, 47, 77, 84 et 94</w:t>
      </w:r>
      <w:r w:rsidRPr="00494098">
        <w:rPr>
          <w:lang w:val="fr-FR"/>
        </w:rPr>
        <w:t>)</w:t>
      </w:r>
      <w:r w:rsidR="00D63650" w:rsidRPr="00494098">
        <w:rPr>
          <w:lang w:val="fr-FR"/>
        </w:rPr>
        <w:t> ;</w:t>
      </w:r>
      <w:r w:rsidRPr="00494098">
        <w:rPr>
          <w:lang w:val="fr-FR"/>
        </w:rPr>
        <w:t xml:space="preserve"> et des droits des victimes (loi n°130/2015 du 4</w:t>
      </w:r>
      <w:r w:rsidR="00480991" w:rsidRPr="00494098">
        <w:rPr>
          <w:lang w:val="fr-FR"/>
        </w:rPr>
        <w:t> septembre</w:t>
      </w:r>
      <w:r w:rsidRPr="00494098">
        <w:rPr>
          <w:lang w:val="fr-FR"/>
        </w:rPr>
        <w:t xml:space="preserve"> 2015</w:t>
      </w:r>
      <w:r w:rsidR="00D63650" w:rsidRPr="00494098">
        <w:rPr>
          <w:lang w:val="fr-FR"/>
        </w:rPr>
        <w:t>, art</w:t>
      </w:r>
      <w:r w:rsidR="00C86AA8" w:rsidRPr="00494098">
        <w:rPr>
          <w:lang w:val="fr-FR"/>
        </w:rPr>
        <w:t>. </w:t>
      </w:r>
      <w:r w:rsidR="00D63650" w:rsidRPr="00494098">
        <w:rPr>
          <w:lang w:val="fr-FR"/>
        </w:rPr>
        <w:t>22</w:t>
      </w:r>
      <w:r w:rsidRPr="00494098">
        <w:rPr>
          <w:lang w:val="fr-FR"/>
        </w:rPr>
        <w:t xml:space="preserve">). D’autres initiatives portent notamment sur l’élaboration d’une enquête en ligne sur le droit de l’enfant d’être entendu dans les procédures judiciaires, y compris les procédures civiles et la justice pour mineurs, l’organisation de séminaires et la traduction de l’Observation générale </w:t>
      </w:r>
      <w:r w:rsidR="009037BB" w:rsidRPr="00494098">
        <w:rPr>
          <w:lang w:val="fr-FR"/>
        </w:rPr>
        <w:t>n° </w:t>
      </w:r>
      <w:r w:rsidRPr="00494098">
        <w:rPr>
          <w:lang w:val="fr-FR"/>
        </w:rPr>
        <w:t>14 (</w:t>
      </w:r>
      <w:r w:rsidRPr="00494098">
        <w:rPr>
          <w:i/>
          <w:lang w:val="fr-FR"/>
        </w:rPr>
        <w:t xml:space="preserve">voir la réponse relative à l’application du </w:t>
      </w:r>
      <w:r w:rsidR="00762179" w:rsidRPr="00494098">
        <w:rPr>
          <w:i/>
          <w:lang w:val="fr-FR"/>
        </w:rPr>
        <w:t>par</w:t>
      </w:r>
      <w:r w:rsidR="00427590">
        <w:rPr>
          <w:i/>
          <w:lang w:val="fr-FR"/>
        </w:rPr>
        <w:t>agraphe</w:t>
      </w:r>
      <w:r w:rsidR="00762179" w:rsidRPr="00494098">
        <w:rPr>
          <w:i/>
          <w:lang w:val="fr-FR"/>
        </w:rPr>
        <w:t> 2</w:t>
      </w:r>
      <w:r w:rsidRPr="00494098">
        <w:rPr>
          <w:i/>
          <w:lang w:val="fr-FR"/>
        </w:rPr>
        <w:t xml:space="preserve">8 </w:t>
      </w:r>
      <w:r w:rsidR="00872592" w:rsidRPr="00494098">
        <w:rPr>
          <w:i/>
          <w:lang w:val="fr-FR"/>
        </w:rPr>
        <w:t xml:space="preserve">des </w:t>
      </w:r>
      <w:r w:rsidR="00427590">
        <w:rPr>
          <w:i/>
          <w:lang w:val="fr-FR"/>
        </w:rPr>
        <w:t>o</w:t>
      </w:r>
      <w:r w:rsidR="00916D99" w:rsidRPr="00494098">
        <w:rPr>
          <w:i/>
          <w:lang w:val="fr-FR"/>
        </w:rPr>
        <w:t>bservations finales - CRC/C/PRT/CO/3-4</w:t>
      </w:r>
      <w:r w:rsidR="00872592" w:rsidRPr="00494098">
        <w:rPr>
          <w:lang w:val="fr-FR"/>
        </w:rPr>
        <w:t>)</w:t>
      </w:r>
      <w:r w:rsidRPr="00494098">
        <w:rPr>
          <w:lang w:val="fr-FR"/>
        </w:rPr>
        <w:t>.</w:t>
      </w:r>
    </w:p>
    <w:p w14:paraId="59A21429" w14:textId="77777777" w:rsidR="00077B75" w:rsidRPr="00494098" w:rsidRDefault="00077B75" w:rsidP="00480570">
      <w:pPr>
        <w:pStyle w:val="SingleTxtG"/>
        <w:rPr>
          <w:lang w:val="fr-FR"/>
        </w:rPr>
      </w:pPr>
      <w:r w:rsidRPr="00494098">
        <w:rPr>
          <w:lang w:val="fr-FR"/>
        </w:rPr>
        <w:t>86.</w:t>
      </w:r>
      <w:r w:rsidRPr="00494098">
        <w:rPr>
          <w:lang w:val="fr-FR"/>
        </w:rPr>
        <w:tab/>
        <w:t>Les professionnels de la santé, de la justice et de la protection sociale bénéficient d'une formation à la fois au niveau initial et avancé</w:t>
      </w:r>
      <w:r w:rsidR="001C30B0" w:rsidRPr="00494098">
        <w:rPr>
          <w:lang w:val="fr-FR"/>
        </w:rPr>
        <w:t>,</w:t>
      </w:r>
      <w:r w:rsidRPr="00494098">
        <w:rPr>
          <w:lang w:val="fr-FR"/>
        </w:rPr>
        <w:t xml:space="preserve"> sur la communication, l’éthique et la déontologie</w:t>
      </w:r>
      <w:r w:rsidR="00B34673" w:rsidRPr="00494098">
        <w:rPr>
          <w:lang w:val="fr-FR"/>
        </w:rPr>
        <w:t>,</w:t>
      </w:r>
      <w:r w:rsidRPr="00494098">
        <w:rPr>
          <w:lang w:val="fr-FR"/>
        </w:rPr>
        <w:t xml:space="preserve"> afin d’entendre et de prendre en compte les avis et opinions des enfants, notamment dans la perspective du consentement éclairé.</w:t>
      </w:r>
    </w:p>
    <w:p w14:paraId="39EC61D4" w14:textId="77777777" w:rsidR="00077B75" w:rsidRPr="00494098" w:rsidRDefault="00077B75" w:rsidP="00480570">
      <w:pPr>
        <w:pStyle w:val="SingleTxtG"/>
        <w:rPr>
          <w:lang w:val="fr-FR"/>
        </w:rPr>
      </w:pPr>
      <w:r w:rsidRPr="00494098">
        <w:rPr>
          <w:lang w:val="fr-FR"/>
        </w:rPr>
        <w:t>87.</w:t>
      </w:r>
      <w:r w:rsidRPr="00494098">
        <w:rPr>
          <w:lang w:val="fr-FR"/>
        </w:rPr>
        <w:tab/>
        <w:t xml:space="preserve">La participation des élèves à la gouvernance des écoles, les droits de représentation et de réunion, la mise en place d’une association et d'une représentation </w:t>
      </w:r>
      <w:r w:rsidRPr="00494098">
        <w:rPr>
          <w:lang w:val="fr-FR"/>
        </w:rPr>
        <w:lastRenderedPageBreak/>
        <w:t>des é</w:t>
      </w:r>
      <w:r w:rsidR="001C30B0" w:rsidRPr="00494098">
        <w:rPr>
          <w:lang w:val="fr-FR"/>
        </w:rPr>
        <w:t>lèves</w:t>
      </w:r>
      <w:r w:rsidRPr="00494098">
        <w:rPr>
          <w:lang w:val="fr-FR"/>
        </w:rPr>
        <w:t xml:space="preserve"> siégeant dans les conseils d'écoles et d’autres organismes sont reconnus dans le Statut des élèves et</w:t>
      </w:r>
      <w:r w:rsidR="00B34673" w:rsidRPr="00494098">
        <w:rPr>
          <w:lang w:val="fr-FR"/>
        </w:rPr>
        <w:t xml:space="preserve"> l’</w:t>
      </w:r>
      <w:r w:rsidRPr="00494098">
        <w:rPr>
          <w:lang w:val="fr-FR"/>
        </w:rPr>
        <w:t xml:space="preserve">éthique scolaire, </w:t>
      </w:r>
      <w:r w:rsidR="00B34673" w:rsidRPr="00494098">
        <w:rPr>
          <w:lang w:val="fr-FR"/>
        </w:rPr>
        <w:t>ainsi qu’</w:t>
      </w:r>
      <w:r w:rsidRPr="00494098">
        <w:rPr>
          <w:lang w:val="fr-FR"/>
        </w:rPr>
        <w:t>en vertu du décret-loi</w:t>
      </w:r>
      <w:r w:rsidR="00B34673" w:rsidRPr="00494098">
        <w:rPr>
          <w:lang w:val="fr-FR"/>
        </w:rPr>
        <w:t xml:space="preserve"> n° </w:t>
      </w:r>
      <w:r w:rsidRPr="00494098">
        <w:rPr>
          <w:lang w:val="fr-FR"/>
        </w:rPr>
        <w:t>137/2012 du 2</w:t>
      </w:r>
      <w:r w:rsidR="00B34673" w:rsidRPr="00494098">
        <w:rPr>
          <w:lang w:val="fr-FR"/>
        </w:rPr>
        <w:t> juillet</w:t>
      </w:r>
      <w:r w:rsidRPr="00494098">
        <w:rPr>
          <w:lang w:val="fr-FR"/>
        </w:rPr>
        <w:t xml:space="preserve"> 2012.</w:t>
      </w:r>
    </w:p>
    <w:p w14:paraId="3C71E24D" w14:textId="77777777" w:rsidR="00077B75" w:rsidRPr="00494098" w:rsidRDefault="00077B75" w:rsidP="00AE4BF5">
      <w:pPr>
        <w:pStyle w:val="SingleTxtG"/>
        <w:rPr>
          <w:lang w:val="fr-FR"/>
        </w:rPr>
      </w:pPr>
      <w:r w:rsidRPr="00494098">
        <w:rPr>
          <w:lang w:val="fr-FR"/>
        </w:rPr>
        <w:t>88.</w:t>
      </w:r>
      <w:r w:rsidRPr="00494098">
        <w:rPr>
          <w:lang w:val="fr-FR"/>
        </w:rPr>
        <w:tab/>
        <w:t>La participation des enfants à la vie scolaire et au système éducatif est encouragée</w:t>
      </w:r>
      <w:r w:rsidR="001C30B0" w:rsidRPr="00494098">
        <w:rPr>
          <w:lang w:val="fr-FR"/>
        </w:rPr>
        <w:t>,</w:t>
      </w:r>
      <w:r w:rsidRPr="00494098">
        <w:rPr>
          <w:lang w:val="fr-FR"/>
        </w:rPr>
        <w:t xml:space="preserve"> </w:t>
      </w:r>
      <w:r w:rsidR="001C30B0" w:rsidRPr="00494098">
        <w:rPr>
          <w:lang w:val="fr-FR"/>
        </w:rPr>
        <w:t xml:space="preserve">s’agissant </w:t>
      </w:r>
      <w:r w:rsidR="005F1739" w:rsidRPr="00494098">
        <w:rPr>
          <w:lang w:val="fr-FR"/>
        </w:rPr>
        <w:t xml:space="preserve">en particulier </w:t>
      </w:r>
      <w:r w:rsidR="001C30B0" w:rsidRPr="00494098">
        <w:rPr>
          <w:lang w:val="fr-FR"/>
        </w:rPr>
        <w:t xml:space="preserve">des </w:t>
      </w:r>
      <w:r w:rsidRPr="00494098">
        <w:rPr>
          <w:lang w:val="fr-FR"/>
        </w:rPr>
        <w:t xml:space="preserve">changements </w:t>
      </w:r>
      <w:r w:rsidR="005F1739" w:rsidRPr="00494098">
        <w:rPr>
          <w:lang w:val="fr-FR"/>
        </w:rPr>
        <w:t xml:space="preserve">dans les </w:t>
      </w:r>
      <w:r w:rsidRPr="00494098">
        <w:rPr>
          <w:lang w:val="fr-FR"/>
        </w:rPr>
        <w:t>programmes (le débat qui s’est tenu en</w:t>
      </w:r>
      <w:r w:rsidR="00472716" w:rsidRPr="00494098">
        <w:rPr>
          <w:lang w:val="fr-FR"/>
        </w:rPr>
        <w:t xml:space="preserve"> </w:t>
      </w:r>
      <w:r w:rsidR="00872592" w:rsidRPr="00494098">
        <w:rPr>
          <w:lang w:val="fr-FR"/>
        </w:rPr>
        <w:t>novembre</w:t>
      </w:r>
      <w:r w:rsidRPr="00494098">
        <w:rPr>
          <w:lang w:val="fr-FR"/>
        </w:rPr>
        <w:t xml:space="preserve"> 2016 sur le thème </w:t>
      </w:r>
      <w:r w:rsidR="00472716" w:rsidRPr="00494098">
        <w:rPr>
          <w:lang w:val="fr-FR"/>
        </w:rPr>
        <w:t>« </w:t>
      </w:r>
      <w:r w:rsidRPr="00494098">
        <w:rPr>
          <w:i/>
          <w:lang w:val="fr-FR"/>
        </w:rPr>
        <w:t>Un programme scolaire pour le XXI</w:t>
      </w:r>
      <w:r w:rsidR="00472716" w:rsidRPr="00494098">
        <w:rPr>
          <w:i/>
          <w:vertAlign w:val="superscript"/>
          <w:lang w:val="fr-FR"/>
        </w:rPr>
        <w:t>è</w:t>
      </w:r>
      <w:r w:rsidRPr="00494098">
        <w:rPr>
          <w:i/>
          <w:vertAlign w:val="superscript"/>
          <w:lang w:val="fr-FR"/>
        </w:rPr>
        <w:t>me</w:t>
      </w:r>
      <w:r w:rsidR="001C30B0" w:rsidRPr="00494098">
        <w:rPr>
          <w:i/>
          <w:lang w:val="fr-FR"/>
        </w:rPr>
        <w:t> </w:t>
      </w:r>
      <w:r w:rsidRPr="00494098">
        <w:rPr>
          <w:i/>
          <w:lang w:val="fr-FR"/>
        </w:rPr>
        <w:t>siècle</w:t>
      </w:r>
      <w:r w:rsidR="00090CBF" w:rsidRPr="00494098">
        <w:rPr>
          <w:i/>
          <w:lang w:val="fr-FR"/>
        </w:rPr>
        <w:t> :</w:t>
      </w:r>
      <w:r w:rsidRPr="00494098">
        <w:rPr>
          <w:i/>
          <w:lang w:val="fr-FR"/>
        </w:rPr>
        <w:t xml:space="preserve"> la voix des élèves</w:t>
      </w:r>
      <w:r w:rsidR="00472716" w:rsidRPr="00494098">
        <w:rPr>
          <w:lang w:val="fr-FR"/>
        </w:rPr>
        <w:t> »</w:t>
      </w:r>
      <w:r w:rsidRPr="00494098">
        <w:rPr>
          <w:lang w:val="fr-FR"/>
        </w:rPr>
        <w:t xml:space="preserve"> en est un bon exemple)</w:t>
      </w:r>
      <w:r w:rsidR="005F1739" w:rsidRPr="00494098">
        <w:rPr>
          <w:lang w:val="fr-FR"/>
        </w:rPr>
        <w:t> ;</w:t>
      </w:r>
      <w:r w:rsidR="00472716" w:rsidRPr="00494098">
        <w:rPr>
          <w:lang w:val="fr-FR"/>
        </w:rPr>
        <w:t xml:space="preserve"> </w:t>
      </w:r>
      <w:r w:rsidR="005F1739" w:rsidRPr="00494098">
        <w:rPr>
          <w:lang w:val="fr-FR"/>
        </w:rPr>
        <w:t xml:space="preserve">mais aussi par le moyen du </w:t>
      </w:r>
      <w:r w:rsidRPr="00494098">
        <w:rPr>
          <w:lang w:val="fr-FR"/>
        </w:rPr>
        <w:t xml:space="preserve">Budget scolaire </w:t>
      </w:r>
      <w:r w:rsidR="001B3561" w:rsidRPr="00494098">
        <w:rPr>
          <w:lang w:val="fr-FR"/>
        </w:rPr>
        <w:t>participatif,</w:t>
      </w:r>
      <w:r w:rsidRPr="00494098">
        <w:rPr>
          <w:lang w:val="fr-FR"/>
        </w:rPr>
        <w:t xml:space="preserve"> mis en </w:t>
      </w:r>
      <w:r w:rsidR="00D264B0" w:rsidRPr="00494098">
        <w:rPr>
          <w:lang w:val="fr-FR"/>
        </w:rPr>
        <w:t>œuvr</w:t>
      </w:r>
      <w:r w:rsidRPr="00494098">
        <w:rPr>
          <w:lang w:val="fr-FR"/>
        </w:rPr>
        <w:t xml:space="preserve">e dans les écoles publiques au cours de l'année scolaire 2016–2017. </w:t>
      </w:r>
    </w:p>
    <w:p w14:paraId="7803671B" w14:textId="77777777" w:rsidR="00077B75" w:rsidRPr="00494098" w:rsidRDefault="00077B75" w:rsidP="00480570">
      <w:pPr>
        <w:pStyle w:val="SingleTxtG"/>
        <w:rPr>
          <w:lang w:val="fr-FR"/>
        </w:rPr>
      </w:pPr>
      <w:r w:rsidRPr="00494098">
        <w:rPr>
          <w:lang w:val="fr-FR"/>
        </w:rPr>
        <w:t>89.</w:t>
      </w:r>
      <w:r w:rsidRPr="00494098">
        <w:rPr>
          <w:lang w:val="fr-FR"/>
        </w:rPr>
        <w:tab/>
        <w:t xml:space="preserve">La participation </w:t>
      </w:r>
      <w:r w:rsidR="00472716" w:rsidRPr="00494098">
        <w:rPr>
          <w:lang w:val="fr-FR"/>
        </w:rPr>
        <w:t xml:space="preserve">des enfants et des jeunes </w:t>
      </w:r>
      <w:r w:rsidRPr="00494098">
        <w:rPr>
          <w:lang w:val="fr-FR"/>
        </w:rPr>
        <w:t>aux activités artistiques et culturelles est reconnue comme un important moyen d’expression et d’élargissement des horizons de</w:t>
      </w:r>
      <w:r w:rsidR="00472716" w:rsidRPr="00494098">
        <w:rPr>
          <w:lang w:val="fr-FR"/>
        </w:rPr>
        <w:t xml:space="preserve">s </w:t>
      </w:r>
      <w:r w:rsidRPr="00494098">
        <w:rPr>
          <w:lang w:val="fr-FR"/>
        </w:rPr>
        <w:t>enfant</w:t>
      </w:r>
      <w:r w:rsidR="00472716" w:rsidRPr="00494098">
        <w:rPr>
          <w:lang w:val="fr-FR"/>
        </w:rPr>
        <w:t>s</w:t>
      </w:r>
      <w:r w:rsidRPr="00494098">
        <w:rPr>
          <w:lang w:val="fr-FR"/>
        </w:rPr>
        <w:t xml:space="preserve"> et de </w:t>
      </w:r>
      <w:r w:rsidR="00472716" w:rsidRPr="00494098">
        <w:rPr>
          <w:lang w:val="fr-FR"/>
        </w:rPr>
        <w:t xml:space="preserve">leur </w:t>
      </w:r>
      <w:r w:rsidRPr="00494098">
        <w:rPr>
          <w:lang w:val="fr-FR"/>
        </w:rPr>
        <w:t xml:space="preserve">droit à la liberté d’expression dans le secteur de l’éducation, </w:t>
      </w:r>
      <w:r w:rsidR="00AD29F4" w:rsidRPr="00494098">
        <w:rPr>
          <w:lang w:val="fr-FR"/>
        </w:rPr>
        <w:t>et d’</w:t>
      </w:r>
      <w:r w:rsidRPr="00494098">
        <w:rPr>
          <w:lang w:val="fr-FR"/>
        </w:rPr>
        <w:t>autres</w:t>
      </w:r>
      <w:r w:rsidR="00AD29F4" w:rsidRPr="00494098">
        <w:rPr>
          <w:lang w:val="fr-FR"/>
        </w:rPr>
        <w:t xml:space="preserve"> encore</w:t>
      </w:r>
      <w:r w:rsidRPr="00494098">
        <w:rPr>
          <w:lang w:val="fr-FR"/>
        </w:rPr>
        <w:t xml:space="preserve">. Les politiques d’éducation s’efforcent de stimuler l’accès à la culture et à l’art, en encourageant la mise en contact d’enfants et de jeunes avec les monuments et les musées. Entre 2012 et 2015, le nombre de </w:t>
      </w:r>
      <w:r w:rsidR="00472716" w:rsidRPr="00494098">
        <w:rPr>
          <w:lang w:val="fr-FR"/>
        </w:rPr>
        <w:t xml:space="preserve">visites de musées par des </w:t>
      </w:r>
      <w:r w:rsidRPr="00494098">
        <w:rPr>
          <w:lang w:val="fr-FR"/>
        </w:rPr>
        <w:t>groupes scolaires a augmenté de 11</w:t>
      </w:r>
      <w:r w:rsidR="003B4E18" w:rsidRPr="00494098">
        <w:rPr>
          <w:lang w:val="fr-FR"/>
        </w:rPr>
        <w:t> %</w:t>
      </w:r>
      <w:r w:rsidRPr="00494098">
        <w:rPr>
          <w:lang w:val="fr-FR"/>
        </w:rPr>
        <w:t xml:space="preserve"> (voir </w:t>
      </w:r>
      <w:r w:rsidR="00472716" w:rsidRPr="00494098">
        <w:rPr>
          <w:lang w:val="fr-FR"/>
        </w:rPr>
        <w:t>tableau 7</w:t>
      </w:r>
      <w:r w:rsidRPr="00494098">
        <w:rPr>
          <w:lang w:val="fr-FR"/>
        </w:rPr>
        <w:t xml:space="preserve">, </w:t>
      </w:r>
      <w:r w:rsidR="003B4E18" w:rsidRPr="00494098">
        <w:rPr>
          <w:lang w:val="fr-FR"/>
        </w:rPr>
        <w:t>annexe 1</w:t>
      </w:r>
      <w:r w:rsidRPr="00494098">
        <w:rPr>
          <w:lang w:val="fr-FR"/>
        </w:rPr>
        <w:t>).</w:t>
      </w:r>
    </w:p>
    <w:p w14:paraId="35976D6C" w14:textId="77777777" w:rsidR="00077B75" w:rsidRPr="00494098" w:rsidRDefault="00077B75" w:rsidP="00480570">
      <w:pPr>
        <w:pStyle w:val="SingleTxtG"/>
        <w:rPr>
          <w:lang w:val="fr-FR"/>
        </w:rPr>
      </w:pPr>
      <w:r w:rsidRPr="00494098">
        <w:rPr>
          <w:lang w:val="fr-FR"/>
        </w:rPr>
        <w:t>90.</w:t>
      </w:r>
      <w:r w:rsidRPr="00494098">
        <w:rPr>
          <w:lang w:val="fr-FR"/>
        </w:rPr>
        <w:tab/>
        <w:t>Afin de renforcer l’évolution positive de ces dernières années, les politiques publiques accordent un rôle de plus en plus important à la création de services éducatifs dans les établissements culturels</w:t>
      </w:r>
      <w:r w:rsidR="001C30B0" w:rsidRPr="00494098">
        <w:rPr>
          <w:lang w:val="fr-FR"/>
        </w:rPr>
        <w:t>,</w:t>
      </w:r>
      <w:r w:rsidRPr="00494098">
        <w:rPr>
          <w:lang w:val="fr-FR"/>
        </w:rPr>
        <w:t xml:space="preserve"> afin de diffuser l’art et d'installer des interactions durables </w:t>
      </w:r>
      <w:r w:rsidR="00AD29F4" w:rsidRPr="00494098">
        <w:rPr>
          <w:lang w:val="fr-FR"/>
        </w:rPr>
        <w:t xml:space="preserve">entre les </w:t>
      </w:r>
      <w:r w:rsidRPr="00494098">
        <w:rPr>
          <w:lang w:val="fr-FR"/>
        </w:rPr>
        <w:t xml:space="preserve">espaces et </w:t>
      </w:r>
      <w:r w:rsidR="00AD29F4" w:rsidRPr="00494098">
        <w:rPr>
          <w:lang w:val="fr-FR"/>
        </w:rPr>
        <w:t>l</w:t>
      </w:r>
      <w:r w:rsidRPr="00494098">
        <w:rPr>
          <w:lang w:val="fr-FR"/>
        </w:rPr>
        <w:t>es objets d’art. Le nombre d’activités a augmenté ces dernières années (de 5</w:t>
      </w:r>
      <w:r w:rsidR="003B4E18" w:rsidRPr="00494098">
        <w:rPr>
          <w:lang w:val="fr-FR"/>
        </w:rPr>
        <w:t> %</w:t>
      </w:r>
      <w:r w:rsidRPr="00494098">
        <w:rPr>
          <w:lang w:val="fr-FR"/>
        </w:rPr>
        <w:t xml:space="preserve"> par an en moyenne entre 2012 et 2015) soit 338</w:t>
      </w:r>
      <w:r w:rsidR="00472716" w:rsidRPr="00494098">
        <w:rPr>
          <w:lang w:val="fr-FR"/>
        </w:rPr>
        <w:t> </w:t>
      </w:r>
      <w:r w:rsidRPr="00494098">
        <w:rPr>
          <w:lang w:val="fr-FR"/>
        </w:rPr>
        <w:t xml:space="preserve">actions de </w:t>
      </w:r>
      <w:r w:rsidRPr="00494098">
        <w:rPr>
          <w:lang w:val="fr-FR"/>
        </w:rPr>
        <w:lastRenderedPageBreak/>
        <w:t>ce type en 2015 (voir tableau</w:t>
      </w:r>
      <w:r w:rsidR="00472716" w:rsidRPr="00494098">
        <w:rPr>
          <w:lang w:val="fr-FR"/>
        </w:rPr>
        <w:t> </w:t>
      </w:r>
      <w:r w:rsidRPr="00494098">
        <w:rPr>
          <w:lang w:val="fr-FR"/>
        </w:rPr>
        <w:t xml:space="preserve">8, </w:t>
      </w:r>
      <w:r w:rsidR="003B4E18" w:rsidRPr="00494098">
        <w:rPr>
          <w:lang w:val="fr-FR"/>
        </w:rPr>
        <w:t>annexe 1</w:t>
      </w:r>
      <w:r w:rsidRPr="00494098">
        <w:rPr>
          <w:lang w:val="fr-FR"/>
        </w:rPr>
        <w:t xml:space="preserve">). </w:t>
      </w:r>
    </w:p>
    <w:p w14:paraId="0D4D9065" w14:textId="1197E42B" w:rsidR="00077B75" w:rsidRPr="00494098" w:rsidRDefault="00491E89" w:rsidP="00580754">
      <w:pPr>
        <w:pStyle w:val="H1G"/>
        <w:rPr>
          <w:lang w:val="fr-FR"/>
        </w:rPr>
      </w:pPr>
      <w:r w:rsidRPr="00494098">
        <w:rPr>
          <w:lang w:val="fr-FR"/>
        </w:rPr>
        <w:tab/>
      </w:r>
      <w:r w:rsidR="00077B75" w:rsidRPr="00494098">
        <w:rPr>
          <w:lang w:val="fr-FR"/>
        </w:rPr>
        <w:t>C.</w:t>
      </w:r>
      <w:r w:rsidR="00077B75" w:rsidRPr="00494098">
        <w:rPr>
          <w:lang w:val="fr-FR"/>
        </w:rPr>
        <w:tab/>
        <w:t xml:space="preserve">Violence </w:t>
      </w:r>
      <w:r w:rsidR="00441EC0">
        <w:rPr>
          <w:lang w:val="fr-FR"/>
        </w:rPr>
        <w:t>à l’égard des</w:t>
      </w:r>
      <w:r w:rsidR="00077B75" w:rsidRPr="00494098">
        <w:rPr>
          <w:lang w:val="fr-FR"/>
        </w:rPr>
        <w:t xml:space="preserve"> enfants (art</w:t>
      </w:r>
      <w:r w:rsidR="00441EC0">
        <w:rPr>
          <w:lang w:val="fr-FR"/>
        </w:rPr>
        <w:t>.</w:t>
      </w:r>
      <w:r w:rsidR="00472716" w:rsidRPr="00494098">
        <w:rPr>
          <w:lang w:val="fr-FR"/>
        </w:rPr>
        <w:t> </w:t>
      </w:r>
      <w:r w:rsidR="00077B75" w:rsidRPr="00494098">
        <w:rPr>
          <w:lang w:val="fr-FR"/>
        </w:rPr>
        <w:t>19, 24</w:t>
      </w:r>
      <w:r w:rsidR="00441EC0">
        <w:rPr>
          <w:lang w:val="fr-FR"/>
        </w:rPr>
        <w:t xml:space="preserve"> (par</w:t>
      </w:r>
      <w:r w:rsidR="00077B75" w:rsidRPr="00494098">
        <w:rPr>
          <w:lang w:val="fr-FR"/>
        </w:rPr>
        <w:t>.</w:t>
      </w:r>
      <w:r w:rsidR="00441EC0">
        <w:rPr>
          <w:lang w:val="fr-FR"/>
        </w:rPr>
        <w:t xml:space="preserve"> </w:t>
      </w:r>
      <w:r w:rsidR="00077B75" w:rsidRPr="00494098">
        <w:rPr>
          <w:lang w:val="fr-FR"/>
        </w:rPr>
        <w:t>3</w:t>
      </w:r>
      <w:r w:rsidR="00441EC0">
        <w:rPr>
          <w:lang w:val="fr-FR"/>
        </w:rPr>
        <w:t>)</w:t>
      </w:r>
      <w:r w:rsidR="00077B75" w:rsidRPr="00494098">
        <w:rPr>
          <w:lang w:val="fr-FR"/>
        </w:rPr>
        <w:t>, 28</w:t>
      </w:r>
      <w:r w:rsidR="00441EC0">
        <w:rPr>
          <w:lang w:val="fr-FR"/>
        </w:rPr>
        <w:t xml:space="preserve"> (par</w:t>
      </w:r>
      <w:r w:rsidR="00077B75" w:rsidRPr="00494098">
        <w:rPr>
          <w:lang w:val="fr-FR"/>
        </w:rPr>
        <w:t>.2</w:t>
      </w:r>
      <w:r w:rsidR="00441EC0">
        <w:rPr>
          <w:lang w:val="fr-FR"/>
        </w:rPr>
        <w:t>)</w:t>
      </w:r>
      <w:r w:rsidR="00077B75" w:rsidRPr="00494098">
        <w:rPr>
          <w:lang w:val="fr-FR"/>
        </w:rPr>
        <w:t>, 34, 37</w:t>
      </w:r>
      <w:r w:rsidR="00472716" w:rsidRPr="00494098">
        <w:rPr>
          <w:lang w:val="fr-FR"/>
        </w:rPr>
        <w:t> </w:t>
      </w:r>
      <w:r w:rsidR="00077B75" w:rsidRPr="00494098">
        <w:rPr>
          <w:lang w:val="fr-FR"/>
        </w:rPr>
        <w:t>a) et 39 de la Convention)</w:t>
      </w:r>
      <w:bookmarkStart w:id="75" w:name="_Toc530057292"/>
      <w:bookmarkStart w:id="76" w:name="_Toc530057491"/>
      <w:bookmarkStart w:id="77" w:name="_Toc530057606"/>
      <w:bookmarkStart w:id="78" w:name="_Toc530067987"/>
      <w:bookmarkEnd w:id="75"/>
      <w:bookmarkEnd w:id="76"/>
      <w:bookmarkEnd w:id="77"/>
      <w:bookmarkEnd w:id="78"/>
    </w:p>
    <w:p w14:paraId="73A92318" w14:textId="59079B05" w:rsidR="00077B75" w:rsidRPr="00494098" w:rsidRDefault="00077B75" w:rsidP="00580754">
      <w:pPr>
        <w:pStyle w:val="H23G"/>
        <w:rPr>
          <w:lang w:val="fr-FR"/>
        </w:rPr>
      </w:pPr>
      <w:r w:rsidRPr="00494098">
        <w:rPr>
          <w:lang w:val="fr-FR"/>
        </w:rPr>
        <w:tab/>
      </w:r>
      <w:r w:rsidRPr="00494098">
        <w:rPr>
          <w:lang w:val="fr-FR"/>
        </w:rPr>
        <w:tab/>
        <w:t>Châtiments corporels (</w:t>
      </w:r>
      <w:r w:rsidR="001C30B0" w:rsidRPr="00494098">
        <w:rPr>
          <w:lang w:val="fr-FR"/>
        </w:rPr>
        <w:t xml:space="preserve">par. 34 des </w:t>
      </w:r>
      <w:r w:rsidR="00D83881">
        <w:rPr>
          <w:lang w:val="fr-FR"/>
        </w:rPr>
        <w:t>o</w:t>
      </w:r>
      <w:r w:rsidR="00916D99" w:rsidRPr="00494098">
        <w:rPr>
          <w:lang w:val="fr-FR"/>
        </w:rPr>
        <w:t>bservations finales</w:t>
      </w:r>
      <w:r w:rsidRPr="00494098">
        <w:rPr>
          <w:lang w:val="fr-FR"/>
        </w:rPr>
        <w:t>)</w:t>
      </w:r>
      <w:bookmarkStart w:id="79" w:name="_Toc530057293"/>
      <w:bookmarkStart w:id="80" w:name="_Toc530057492"/>
      <w:bookmarkStart w:id="81" w:name="_Toc530057607"/>
      <w:bookmarkStart w:id="82" w:name="_Toc530067988"/>
      <w:bookmarkEnd w:id="79"/>
      <w:bookmarkEnd w:id="80"/>
      <w:bookmarkEnd w:id="81"/>
      <w:bookmarkEnd w:id="82"/>
    </w:p>
    <w:p w14:paraId="3AB43699" w14:textId="77777777" w:rsidR="00077B75" w:rsidRPr="00494098" w:rsidRDefault="00077B75" w:rsidP="00480570">
      <w:pPr>
        <w:pStyle w:val="SingleTxtG"/>
        <w:rPr>
          <w:lang w:val="fr-FR"/>
        </w:rPr>
      </w:pPr>
      <w:r w:rsidRPr="00494098">
        <w:rPr>
          <w:lang w:val="fr-FR"/>
        </w:rPr>
        <w:t>91.</w:t>
      </w:r>
      <w:r w:rsidRPr="00494098">
        <w:rPr>
          <w:lang w:val="fr-FR"/>
        </w:rPr>
        <w:tab/>
      </w:r>
      <w:r w:rsidR="00907CD5" w:rsidRPr="00494098">
        <w:rPr>
          <w:lang w:val="fr-FR"/>
        </w:rPr>
        <w:t>L</w:t>
      </w:r>
      <w:r w:rsidR="00C05FAD" w:rsidRPr="00494098">
        <w:rPr>
          <w:lang w:val="fr-FR"/>
        </w:rPr>
        <w:t xml:space="preserve">’acceptation </w:t>
      </w:r>
      <w:r w:rsidRPr="00494098">
        <w:rPr>
          <w:lang w:val="fr-FR"/>
        </w:rPr>
        <w:t xml:space="preserve">sociale des châtiments corporels </w:t>
      </w:r>
      <w:r w:rsidR="00C05FAD" w:rsidRPr="00494098">
        <w:rPr>
          <w:lang w:val="fr-FR"/>
        </w:rPr>
        <w:t xml:space="preserve">sur </w:t>
      </w:r>
      <w:r w:rsidRPr="00494098">
        <w:rPr>
          <w:lang w:val="fr-FR"/>
        </w:rPr>
        <w:t xml:space="preserve">les enfants a diminué au </w:t>
      </w:r>
      <w:r w:rsidR="00907CD5" w:rsidRPr="00494098">
        <w:rPr>
          <w:lang w:val="fr-FR"/>
        </w:rPr>
        <w:t>Portugal ces dernières années</w:t>
      </w:r>
      <w:r w:rsidRPr="00494098">
        <w:rPr>
          <w:lang w:val="fr-FR"/>
        </w:rPr>
        <w:t>.</w:t>
      </w:r>
    </w:p>
    <w:p w14:paraId="2E9F4E32" w14:textId="77777777" w:rsidR="00077B75" w:rsidRPr="00494098" w:rsidRDefault="00077B75" w:rsidP="00480570">
      <w:pPr>
        <w:pStyle w:val="SingleTxtG"/>
        <w:rPr>
          <w:lang w:val="fr-FR"/>
        </w:rPr>
      </w:pPr>
      <w:r w:rsidRPr="00494098">
        <w:rPr>
          <w:lang w:val="fr-FR"/>
        </w:rPr>
        <w:t>92.</w:t>
      </w:r>
      <w:r w:rsidRPr="00494098">
        <w:rPr>
          <w:lang w:val="fr-FR"/>
        </w:rPr>
        <w:tab/>
        <w:t>L'incrimination en vertu de l’</w:t>
      </w:r>
      <w:r w:rsidR="0082263D" w:rsidRPr="00494098">
        <w:rPr>
          <w:lang w:val="fr-FR"/>
        </w:rPr>
        <w:t>article 1</w:t>
      </w:r>
      <w:r w:rsidRPr="00494098">
        <w:rPr>
          <w:lang w:val="fr-FR"/>
        </w:rPr>
        <w:t>52</w:t>
      </w:r>
      <w:r w:rsidR="006D20D6" w:rsidRPr="00494098">
        <w:rPr>
          <w:lang w:val="fr-FR"/>
        </w:rPr>
        <w:t>-A</w:t>
      </w:r>
      <w:r w:rsidRPr="00494098">
        <w:rPr>
          <w:lang w:val="fr-FR"/>
        </w:rPr>
        <w:t xml:space="preserve"> du Code pénal a amené un rejet progressif des formes </w:t>
      </w:r>
      <w:r w:rsidR="006D20D6" w:rsidRPr="00494098">
        <w:rPr>
          <w:lang w:val="fr-FR"/>
        </w:rPr>
        <w:t xml:space="preserve">de discipline </w:t>
      </w:r>
      <w:r w:rsidRPr="00494098">
        <w:rPr>
          <w:lang w:val="fr-FR"/>
        </w:rPr>
        <w:t xml:space="preserve">violentes, tandis que, dans le même temps, l’accent était mis sur la promotion de l’éducation positive, </w:t>
      </w:r>
      <w:r w:rsidR="00671FF4" w:rsidRPr="00494098">
        <w:rPr>
          <w:lang w:val="fr-FR"/>
        </w:rPr>
        <w:t xml:space="preserve">avec </w:t>
      </w:r>
      <w:r w:rsidRPr="00494098">
        <w:rPr>
          <w:lang w:val="fr-FR"/>
        </w:rPr>
        <w:t>de</w:t>
      </w:r>
      <w:r w:rsidR="00671FF4" w:rsidRPr="00494098">
        <w:rPr>
          <w:lang w:val="fr-FR"/>
        </w:rPr>
        <w:t>s</w:t>
      </w:r>
      <w:r w:rsidRPr="00494098">
        <w:rPr>
          <w:lang w:val="fr-FR"/>
        </w:rPr>
        <w:t xml:space="preserve"> campagnes de sensibilisation. La jurisprudence récente indique clairement que les parents et les enseignants ne sont pas autorisés à utiliser les châtiments corporels comme moyen d’éducation (</w:t>
      </w:r>
      <w:r w:rsidRPr="00494098">
        <w:rPr>
          <w:i/>
          <w:lang w:val="fr-FR"/>
        </w:rPr>
        <w:t xml:space="preserve">Arrêt de la cour d'appel de Lisbonne </w:t>
      </w:r>
      <w:r w:rsidR="006717A5" w:rsidRPr="00494098">
        <w:rPr>
          <w:i/>
          <w:lang w:val="fr-FR"/>
        </w:rPr>
        <w:t>n° </w:t>
      </w:r>
      <w:r w:rsidRPr="00494098">
        <w:rPr>
          <w:i/>
          <w:lang w:val="fr-FR"/>
        </w:rPr>
        <w:t>413/15.3 PFAMD. L1-3</w:t>
      </w:r>
      <w:r w:rsidRPr="00494098">
        <w:rPr>
          <w:lang w:val="fr-FR"/>
        </w:rPr>
        <w:t>)</w:t>
      </w:r>
      <w:r w:rsidR="00C05FAD" w:rsidRPr="00494098">
        <w:rPr>
          <w:lang w:val="fr-FR"/>
        </w:rPr>
        <w:t>.</w:t>
      </w:r>
      <w:r w:rsidRPr="00494098">
        <w:rPr>
          <w:lang w:val="fr-FR"/>
        </w:rPr>
        <w:t xml:space="preserve"> </w:t>
      </w:r>
    </w:p>
    <w:p w14:paraId="30879A00" w14:textId="69B68EBB" w:rsidR="00077B75" w:rsidRPr="00494098" w:rsidRDefault="00077B75" w:rsidP="00480570">
      <w:pPr>
        <w:pStyle w:val="SingleTxtG"/>
        <w:rPr>
          <w:lang w:val="fr-FR"/>
        </w:rPr>
      </w:pPr>
      <w:r w:rsidRPr="00494098">
        <w:rPr>
          <w:lang w:val="fr-FR"/>
        </w:rPr>
        <w:t>93.</w:t>
      </w:r>
      <w:r w:rsidRPr="00494098">
        <w:rPr>
          <w:lang w:val="fr-FR"/>
        </w:rPr>
        <w:tab/>
      </w:r>
      <w:r w:rsidR="00AA1EDA" w:rsidRPr="00494098">
        <w:rPr>
          <w:lang w:val="fr-FR"/>
        </w:rPr>
        <w:t xml:space="preserve">Dans ses efforts visant à </w:t>
      </w:r>
      <w:r w:rsidRPr="00494098">
        <w:rPr>
          <w:lang w:val="fr-FR"/>
        </w:rPr>
        <w:t xml:space="preserve">sensibiliser le public à la violence à l’encontre des enfants, le Ministère de la justice a entrepris, en collaboration avec la Commission nationale pour la promotion des droits et la protection des enfants et des adolescents, </w:t>
      </w:r>
      <w:r w:rsidR="00C05FAD" w:rsidRPr="00494098">
        <w:rPr>
          <w:lang w:val="fr-FR"/>
        </w:rPr>
        <w:t xml:space="preserve">de procéder à </w:t>
      </w:r>
      <w:r w:rsidRPr="00494098">
        <w:rPr>
          <w:lang w:val="fr-FR"/>
        </w:rPr>
        <w:t xml:space="preserve">un examen juridique d’une traduction </w:t>
      </w:r>
      <w:r w:rsidR="00C05FAD" w:rsidRPr="00494098">
        <w:rPr>
          <w:lang w:val="fr-FR"/>
        </w:rPr>
        <w:t xml:space="preserve">en </w:t>
      </w:r>
      <w:r w:rsidRPr="00494098">
        <w:rPr>
          <w:lang w:val="fr-FR"/>
        </w:rPr>
        <w:t>portugais de l’</w:t>
      </w:r>
      <w:r w:rsidR="00174C91">
        <w:rPr>
          <w:lang w:val="fr-FR"/>
        </w:rPr>
        <w:t>o</w:t>
      </w:r>
      <w:r w:rsidRPr="00494098">
        <w:rPr>
          <w:lang w:val="fr-FR"/>
        </w:rPr>
        <w:t xml:space="preserve">bservation générale </w:t>
      </w:r>
      <w:r w:rsidR="006717A5" w:rsidRPr="00494098">
        <w:rPr>
          <w:lang w:val="fr-FR"/>
        </w:rPr>
        <w:t>n° </w:t>
      </w:r>
      <w:r w:rsidR="00480991" w:rsidRPr="00494098">
        <w:rPr>
          <w:lang w:val="fr-FR"/>
        </w:rPr>
        <w:t>1</w:t>
      </w:r>
      <w:r w:rsidRPr="00494098">
        <w:rPr>
          <w:lang w:val="fr-FR"/>
        </w:rPr>
        <w:t>3 relative à l’</w:t>
      </w:r>
      <w:r w:rsidR="0082263D" w:rsidRPr="00494098">
        <w:rPr>
          <w:lang w:val="fr-FR"/>
        </w:rPr>
        <w:t>article 1</w:t>
      </w:r>
      <w:r w:rsidRPr="00494098">
        <w:rPr>
          <w:lang w:val="fr-FR"/>
        </w:rPr>
        <w:t>9</w:t>
      </w:r>
      <w:r w:rsidR="00174C91">
        <w:rPr>
          <w:lang w:val="fr-FR"/>
        </w:rPr>
        <w:t>, concernant le d</w:t>
      </w:r>
      <w:r w:rsidRPr="00494098">
        <w:rPr>
          <w:lang w:val="fr-FR"/>
        </w:rPr>
        <w:t xml:space="preserve">roit de l’enfant d’être protégé contre toutes les formes de violence. </w:t>
      </w:r>
    </w:p>
    <w:p w14:paraId="5D2BB090" w14:textId="77777777" w:rsidR="00077B75" w:rsidRPr="00494098" w:rsidRDefault="00077B75" w:rsidP="00480570">
      <w:pPr>
        <w:pStyle w:val="SingleTxtG"/>
        <w:rPr>
          <w:lang w:val="fr-FR"/>
        </w:rPr>
      </w:pPr>
      <w:r w:rsidRPr="00494098">
        <w:rPr>
          <w:lang w:val="fr-FR"/>
        </w:rPr>
        <w:t>94.</w:t>
      </w:r>
      <w:r w:rsidRPr="00494098">
        <w:rPr>
          <w:lang w:val="fr-FR"/>
        </w:rPr>
        <w:tab/>
        <w:t xml:space="preserve">Développer la responsabilité parentale est l’un des objectifs du Programme national pour la </w:t>
      </w:r>
      <w:r w:rsidRPr="00494098">
        <w:rPr>
          <w:lang w:val="fr-FR"/>
        </w:rPr>
        <w:lastRenderedPageBreak/>
        <w:t>santé des enfants et des adolescents</w:t>
      </w:r>
      <w:r w:rsidR="00AA1EDA" w:rsidRPr="00494098">
        <w:rPr>
          <w:lang w:val="fr-FR"/>
        </w:rPr>
        <w:t>,</w:t>
      </w:r>
      <w:r w:rsidRPr="00494098">
        <w:rPr>
          <w:lang w:val="fr-FR"/>
        </w:rPr>
        <w:t xml:space="preserve"> et les services de soins de santé primaires comprennent des groupes de prise en charge pour </w:t>
      </w:r>
      <w:r w:rsidR="00AA1EDA" w:rsidRPr="00494098">
        <w:rPr>
          <w:lang w:val="fr-FR"/>
        </w:rPr>
        <w:t>une</w:t>
      </w:r>
      <w:r w:rsidRPr="00494098">
        <w:rPr>
          <w:lang w:val="fr-FR"/>
        </w:rPr>
        <w:t xml:space="preserve"> préparation </w:t>
      </w:r>
      <w:r w:rsidR="00AA1EDA" w:rsidRPr="00494098">
        <w:rPr>
          <w:lang w:val="fr-FR"/>
        </w:rPr>
        <w:t>à des compétences parentales positives dans</w:t>
      </w:r>
      <w:r w:rsidRPr="00494098">
        <w:rPr>
          <w:lang w:val="fr-FR"/>
        </w:rPr>
        <w:t xml:space="preserve"> l’éducation des enfants.</w:t>
      </w:r>
    </w:p>
    <w:p w14:paraId="702177D9" w14:textId="77777777" w:rsidR="00077B75" w:rsidRPr="00494098" w:rsidRDefault="00077B75" w:rsidP="00480570">
      <w:pPr>
        <w:pStyle w:val="SingleTxtG"/>
        <w:rPr>
          <w:lang w:val="fr-FR"/>
        </w:rPr>
      </w:pPr>
      <w:r w:rsidRPr="00494098">
        <w:rPr>
          <w:lang w:val="fr-FR"/>
        </w:rPr>
        <w:t>95.</w:t>
      </w:r>
      <w:r w:rsidRPr="00494098">
        <w:rPr>
          <w:lang w:val="fr-FR"/>
        </w:rPr>
        <w:tab/>
        <w:t xml:space="preserve">Le Ministère de la santé collabore avec d’autres ministères et institutions </w:t>
      </w:r>
      <w:r w:rsidR="00C05FAD" w:rsidRPr="00494098">
        <w:rPr>
          <w:lang w:val="fr-FR"/>
        </w:rPr>
        <w:t>à</w:t>
      </w:r>
      <w:r w:rsidRPr="00494098">
        <w:rPr>
          <w:lang w:val="fr-FR"/>
        </w:rPr>
        <w:t xml:space="preserve"> des campagnes </w:t>
      </w:r>
      <w:r w:rsidR="0043323C" w:rsidRPr="00494098">
        <w:rPr>
          <w:lang w:val="fr-FR"/>
        </w:rPr>
        <w:t xml:space="preserve">destinées </w:t>
      </w:r>
      <w:r w:rsidRPr="00494098">
        <w:rPr>
          <w:lang w:val="fr-FR"/>
        </w:rPr>
        <w:t>à promouvoir les droits des enfants (</w:t>
      </w:r>
      <w:r w:rsidR="00B82574" w:rsidRPr="00494098">
        <w:rPr>
          <w:lang w:val="fr-FR"/>
        </w:rPr>
        <w:t>en l’occurrence</w:t>
      </w:r>
      <w:r w:rsidR="00C05FAD" w:rsidRPr="00494098">
        <w:rPr>
          <w:lang w:val="fr-FR"/>
        </w:rPr>
        <w:t xml:space="preserve"> </w:t>
      </w:r>
      <w:r w:rsidRPr="00494098">
        <w:rPr>
          <w:lang w:val="fr-FR"/>
        </w:rPr>
        <w:t>avec la Commission nationale pour la promotion des droits et la protection des enfants et des adolescents</w:t>
      </w:r>
      <w:r w:rsidR="00C05FAD" w:rsidRPr="00494098">
        <w:rPr>
          <w:lang w:val="fr-FR"/>
        </w:rPr>
        <w:t>, sur la question des châtiments corporels</w:t>
      </w:r>
      <w:r w:rsidRPr="00494098">
        <w:rPr>
          <w:lang w:val="fr-FR"/>
        </w:rPr>
        <w:t>).</w:t>
      </w:r>
    </w:p>
    <w:p w14:paraId="4EFFC37B" w14:textId="5B706413" w:rsidR="00077B75" w:rsidRPr="00494098" w:rsidRDefault="00077B75" w:rsidP="00580754">
      <w:pPr>
        <w:pStyle w:val="H23G"/>
        <w:rPr>
          <w:lang w:val="fr-FR"/>
        </w:rPr>
      </w:pPr>
      <w:r w:rsidRPr="00494098">
        <w:rPr>
          <w:lang w:val="fr-FR"/>
        </w:rPr>
        <w:tab/>
      </w:r>
      <w:r w:rsidRPr="00494098">
        <w:rPr>
          <w:lang w:val="fr-FR"/>
        </w:rPr>
        <w:tab/>
      </w:r>
      <w:r w:rsidR="00EC0E84">
        <w:rPr>
          <w:lang w:val="fr-FR"/>
        </w:rPr>
        <w:t xml:space="preserve">Maltraitance </w:t>
      </w:r>
      <w:r w:rsidRPr="00494098">
        <w:rPr>
          <w:lang w:val="fr-FR"/>
        </w:rPr>
        <w:t xml:space="preserve"> et négligence (par</w:t>
      </w:r>
      <w:r w:rsidR="00B82574" w:rsidRPr="00494098">
        <w:rPr>
          <w:lang w:val="fr-FR"/>
        </w:rPr>
        <w:t>.</w:t>
      </w:r>
      <w:r w:rsidRPr="00494098">
        <w:rPr>
          <w:lang w:val="fr-FR"/>
        </w:rPr>
        <w:t xml:space="preserve"> 36 </w:t>
      </w:r>
      <w:r w:rsidR="00872592" w:rsidRPr="00494098">
        <w:rPr>
          <w:lang w:val="fr-FR"/>
        </w:rPr>
        <w:t xml:space="preserve">des </w:t>
      </w:r>
      <w:r w:rsidR="0078611E">
        <w:rPr>
          <w:lang w:val="fr-FR"/>
        </w:rPr>
        <w:t>o</w:t>
      </w:r>
      <w:r w:rsidR="00916D99" w:rsidRPr="00494098">
        <w:rPr>
          <w:lang w:val="fr-FR"/>
        </w:rPr>
        <w:t>bservations finales</w:t>
      </w:r>
      <w:r w:rsidR="00872592" w:rsidRPr="00494098">
        <w:rPr>
          <w:lang w:val="fr-FR"/>
        </w:rPr>
        <w:t>)</w:t>
      </w:r>
      <w:bookmarkStart w:id="83" w:name="_Toc530057294"/>
      <w:bookmarkStart w:id="84" w:name="_Toc530057493"/>
      <w:bookmarkStart w:id="85" w:name="_Toc530057608"/>
      <w:bookmarkStart w:id="86" w:name="_Toc530067989"/>
      <w:bookmarkEnd w:id="83"/>
      <w:bookmarkEnd w:id="84"/>
      <w:bookmarkEnd w:id="85"/>
      <w:bookmarkEnd w:id="86"/>
    </w:p>
    <w:p w14:paraId="44FB2511" w14:textId="77777777" w:rsidR="00077B75" w:rsidRPr="00494098" w:rsidRDefault="00077B75" w:rsidP="00580754">
      <w:pPr>
        <w:pStyle w:val="H4G"/>
        <w:rPr>
          <w:lang w:val="fr-FR"/>
        </w:rPr>
      </w:pPr>
      <w:r w:rsidRPr="00494098">
        <w:rPr>
          <w:lang w:val="fr-FR"/>
        </w:rPr>
        <w:tab/>
      </w:r>
      <w:r w:rsidRPr="00494098">
        <w:rPr>
          <w:lang w:val="fr-FR"/>
        </w:rPr>
        <w:tab/>
      </w:r>
      <w:r w:rsidRPr="00494098">
        <w:rPr>
          <w:iCs/>
          <w:lang w:val="fr-FR"/>
        </w:rPr>
        <w:t>Moyens de protection et de prévention</w:t>
      </w:r>
      <w:bookmarkStart w:id="87" w:name="_Toc530057494"/>
      <w:bookmarkEnd w:id="87"/>
    </w:p>
    <w:p w14:paraId="71C9DFC7" w14:textId="77777777" w:rsidR="00077B75" w:rsidRPr="00494098" w:rsidRDefault="00077B75" w:rsidP="00AE4BF5">
      <w:pPr>
        <w:pStyle w:val="SingleTxtG"/>
        <w:rPr>
          <w:lang w:val="fr-FR"/>
        </w:rPr>
      </w:pPr>
      <w:r w:rsidRPr="00494098">
        <w:rPr>
          <w:lang w:val="fr-FR"/>
        </w:rPr>
        <w:t>96.</w:t>
      </w:r>
      <w:r w:rsidRPr="00494098">
        <w:rPr>
          <w:lang w:val="fr-FR"/>
        </w:rPr>
        <w:tab/>
        <w:t xml:space="preserve">Le cinquième Plan national </w:t>
      </w:r>
      <w:r w:rsidR="0043323C" w:rsidRPr="00494098">
        <w:rPr>
          <w:lang w:val="fr-FR"/>
        </w:rPr>
        <w:t xml:space="preserve">2014–2017 </w:t>
      </w:r>
      <w:r w:rsidRPr="00494098">
        <w:rPr>
          <w:lang w:val="fr-FR"/>
        </w:rPr>
        <w:t>de prévention et de lutte contre la violence domestique et sexiste met l’accent sur l’accès effectif à des mécanismes de plainte, d’enquête et de poursuite des auteurs d'infractions, ainsi que sur la protection et l’assistance aux victimes et la prévention de la répétition des violences familiales.</w:t>
      </w:r>
    </w:p>
    <w:p w14:paraId="689AD6FE" w14:textId="77777777" w:rsidR="00077B75" w:rsidRPr="00494098" w:rsidRDefault="00077B75" w:rsidP="00480570">
      <w:pPr>
        <w:pStyle w:val="SingleTxtG"/>
        <w:rPr>
          <w:lang w:val="fr-FR"/>
        </w:rPr>
      </w:pPr>
      <w:r w:rsidRPr="00494098">
        <w:rPr>
          <w:lang w:val="fr-FR"/>
        </w:rPr>
        <w:t>97.</w:t>
      </w:r>
      <w:r w:rsidRPr="00494098">
        <w:rPr>
          <w:lang w:val="fr-FR"/>
        </w:rPr>
        <w:tab/>
      </w:r>
      <w:r w:rsidR="004D29CC" w:rsidRPr="00494098">
        <w:rPr>
          <w:lang w:val="fr-FR"/>
        </w:rPr>
        <w:t xml:space="preserve">Ces </w:t>
      </w:r>
      <w:r w:rsidRPr="00494098">
        <w:rPr>
          <w:lang w:val="fr-FR"/>
        </w:rPr>
        <w:t xml:space="preserve">dernières années, l’accès </w:t>
      </w:r>
      <w:r w:rsidR="00C00670" w:rsidRPr="00494098">
        <w:rPr>
          <w:lang w:val="fr-FR"/>
        </w:rPr>
        <w:t>aux</w:t>
      </w:r>
      <w:r w:rsidRPr="00494098">
        <w:rPr>
          <w:lang w:val="fr-FR"/>
        </w:rPr>
        <w:t xml:space="preserve"> moyens de protection a été amélioré grâce à l’élargissement du système de </w:t>
      </w:r>
      <w:r w:rsidR="004D29CC" w:rsidRPr="00494098">
        <w:rPr>
          <w:lang w:val="fr-FR"/>
        </w:rPr>
        <w:t>téléassistance</w:t>
      </w:r>
      <w:r w:rsidRPr="00494098">
        <w:rPr>
          <w:lang w:val="fr-FR"/>
        </w:rPr>
        <w:t xml:space="preserve">, à la disponibilité accrue des dispositifs de surveillance électronique et à des actions de formation à l’intention des juges et des procureurs. Dans leurs contacts avec les agents responsables de l'application des lois, à savoir la Police de sécurité publique et la Garde nationale républicaine, les victimes de violence familiale reçoivent toute l’attention et </w:t>
      </w:r>
      <w:r w:rsidR="00C00670" w:rsidRPr="00494098">
        <w:rPr>
          <w:lang w:val="fr-FR"/>
        </w:rPr>
        <w:t>l’</w:t>
      </w:r>
      <w:r w:rsidRPr="00494098">
        <w:rPr>
          <w:lang w:val="fr-FR"/>
        </w:rPr>
        <w:t xml:space="preserve">assistance possibles, des conseils </w:t>
      </w:r>
      <w:r w:rsidRPr="00494098">
        <w:rPr>
          <w:lang w:val="fr-FR"/>
        </w:rPr>
        <w:lastRenderedPageBreak/>
        <w:t xml:space="preserve">spécifiques </w:t>
      </w:r>
      <w:r w:rsidR="004D29CC" w:rsidRPr="00494098">
        <w:rPr>
          <w:lang w:val="fr-FR"/>
        </w:rPr>
        <w:t xml:space="preserve">leur sont prodigués </w:t>
      </w:r>
      <w:r w:rsidRPr="00494098">
        <w:rPr>
          <w:lang w:val="fr-FR"/>
        </w:rPr>
        <w:t xml:space="preserve">et </w:t>
      </w:r>
      <w:r w:rsidR="004D29CC" w:rsidRPr="00494098">
        <w:rPr>
          <w:lang w:val="fr-FR"/>
        </w:rPr>
        <w:t xml:space="preserve">elles </w:t>
      </w:r>
      <w:r w:rsidRPr="00494098">
        <w:rPr>
          <w:lang w:val="fr-FR"/>
        </w:rPr>
        <w:t>sont dûment orientées vers les centres d’accueil spécialisés.</w:t>
      </w:r>
    </w:p>
    <w:p w14:paraId="1736B84D" w14:textId="77777777" w:rsidR="00077B75" w:rsidRPr="00494098" w:rsidRDefault="00077B75" w:rsidP="00480570">
      <w:pPr>
        <w:pStyle w:val="SingleTxtG"/>
        <w:rPr>
          <w:lang w:val="fr-FR"/>
        </w:rPr>
      </w:pPr>
      <w:r w:rsidRPr="00494098">
        <w:rPr>
          <w:lang w:val="fr-FR"/>
        </w:rPr>
        <w:t>98.</w:t>
      </w:r>
      <w:r w:rsidRPr="00494098">
        <w:rPr>
          <w:lang w:val="fr-FR"/>
        </w:rPr>
        <w:tab/>
        <w:t>Le réseau public des centres d’accueil (qui couvre 83</w:t>
      </w:r>
      <w:r w:rsidR="003B4E18" w:rsidRPr="00494098">
        <w:rPr>
          <w:lang w:val="fr-FR"/>
        </w:rPr>
        <w:t> %</w:t>
      </w:r>
      <w:r w:rsidRPr="00494098">
        <w:rPr>
          <w:lang w:val="fr-FR"/>
        </w:rPr>
        <w:t xml:space="preserve"> du territoire continental et 100</w:t>
      </w:r>
      <w:r w:rsidR="003B4E18" w:rsidRPr="00494098">
        <w:rPr>
          <w:lang w:val="fr-FR"/>
        </w:rPr>
        <w:t> %</w:t>
      </w:r>
      <w:r w:rsidRPr="00494098">
        <w:rPr>
          <w:lang w:val="fr-FR"/>
        </w:rPr>
        <w:t xml:space="preserve"> des territoires des régions autonomes) compte actuellement 39</w:t>
      </w:r>
      <w:r w:rsidR="004D29CC" w:rsidRPr="00494098">
        <w:rPr>
          <w:lang w:val="fr-FR"/>
        </w:rPr>
        <w:t> </w:t>
      </w:r>
      <w:r w:rsidRPr="00494098">
        <w:rPr>
          <w:lang w:val="fr-FR"/>
        </w:rPr>
        <w:t xml:space="preserve">centres d’accueil pour les femmes et les enfants, </w:t>
      </w:r>
      <w:r w:rsidR="004D29CC" w:rsidRPr="00494098">
        <w:rPr>
          <w:lang w:val="fr-FR"/>
        </w:rPr>
        <w:t>pour</w:t>
      </w:r>
      <w:r w:rsidRPr="00494098">
        <w:rPr>
          <w:lang w:val="fr-FR"/>
        </w:rPr>
        <w:t xml:space="preserve"> un total</w:t>
      </w:r>
      <w:r w:rsidR="004D29CC" w:rsidRPr="00494098">
        <w:rPr>
          <w:lang w:val="fr-FR"/>
        </w:rPr>
        <w:t xml:space="preserve"> de 679 </w:t>
      </w:r>
      <w:r w:rsidRPr="00494098">
        <w:rPr>
          <w:lang w:val="fr-FR"/>
        </w:rPr>
        <w:t>places, et un foyer d’accueil pour les hommes victimes de la violence familiale, qui compte 10</w:t>
      </w:r>
      <w:r w:rsidR="004D29CC" w:rsidRPr="00494098">
        <w:rPr>
          <w:lang w:val="fr-FR"/>
        </w:rPr>
        <w:t> </w:t>
      </w:r>
      <w:r w:rsidRPr="00494098">
        <w:rPr>
          <w:lang w:val="fr-FR"/>
        </w:rPr>
        <w:t>places. En outre, 130</w:t>
      </w:r>
      <w:r w:rsidR="004D29CC" w:rsidRPr="00494098">
        <w:rPr>
          <w:lang w:val="fr-FR"/>
        </w:rPr>
        <w:t> </w:t>
      </w:r>
      <w:r w:rsidRPr="00494098">
        <w:rPr>
          <w:lang w:val="fr-FR"/>
        </w:rPr>
        <w:t xml:space="preserve">places d’urgence </w:t>
      </w:r>
      <w:r w:rsidR="004D29CC" w:rsidRPr="00494098">
        <w:rPr>
          <w:lang w:val="fr-FR"/>
        </w:rPr>
        <w:t xml:space="preserve">sont réservées aux </w:t>
      </w:r>
      <w:r w:rsidRPr="00494098">
        <w:rPr>
          <w:lang w:val="fr-FR"/>
        </w:rPr>
        <w:t xml:space="preserve">situations de crise et </w:t>
      </w:r>
      <w:r w:rsidR="004D29CC" w:rsidRPr="00494098">
        <w:rPr>
          <w:lang w:val="fr-FR"/>
        </w:rPr>
        <w:t>de</w:t>
      </w:r>
      <w:r w:rsidRPr="00494098">
        <w:rPr>
          <w:lang w:val="fr-FR"/>
        </w:rPr>
        <w:t xml:space="preserve"> besoins de sécurité immédiats et à court terme. Le taux d’occupation des refuges</w:t>
      </w:r>
      <w:r w:rsidR="000F732D" w:rsidRPr="00494098">
        <w:rPr>
          <w:lang w:val="fr-FR"/>
        </w:rPr>
        <w:t>,</w:t>
      </w:r>
      <w:r w:rsidRPr="00494098">
        <w:rPr>
          <w:lang w:val="fr-FR"/>
        </w:rPr>
        <w:t xml:space="preserve"> d’environ 78</w:t>
      </w:r>
      <w:r w:rsidR="003B4E18" w:rsidRPr="00494098">
        <w:rPr>
          <w:lang w:val="fr-FR"/>
        </w:rPr>
        <w:t> %</w:t>
      </w:r>
      <w:r w:rsidRPr="00494098">
        <w:rPr>
          <w:lang w:val="fr-FR"/>
        </w:rPr>
        <w:t>, e</w:t>
      </w:r>
      <w:r w:rsidR="000F732D" w:rsidRPr="00494098">
        <w:rPr>
          <w:lang w:val="fr-FR"/>
        </w:rPr>
        <w:t>s</w:t>
      </w:r>
      <w:r w:rsidRPr="00494098">
        <w:rPr>
          <w:lang w:val="fr-FR"/>
        </w:rPr>
        <w:t xml:space="preserve">t considérablement plus faible dans les hébergements d’urgence. Ce réseau national de soutien est entièrement financé par l’État et gérés par des ONG qui </w:t>
      </w:r>
      <w:r w:rsidR="000F732D" w:rsidRPr="00494098">
        <w:rPr>
          <w:lang w:val="fr-FR"/>
        </w:rPr>
        <w:t xml:space="preserve">concluent </w:t>
      </w:r>
      <w:r w:rsidRPr="00494098">
        <w:rPr>
          <w:lang w:val="fr-FR"/>
        </w:rPr>
        <w:t xml:space="preserve">des accords de coopération avec l’État. Les victimes sont généralement placées </w:t>
      </w:r>
      <w:r w:rsidR="000F732D" w:rsidRPr="00494098">
        <w:rPr>
          <w:lang w:val="fr-FR"/>
        </w:rPr>
        <w:t>hors</w:t>
      </w:r>
      <w:r w:rsidRPr="00494098">
        <w:rPr>
          <w:lang w:val="fr-FR"/>
        </w:rPr>
        <w:t xml:space="preserve"> de leur zone de résidence </w:t>
      </w:r>
      <w:r w:rsidR="0043323C" w:rsidRPr="00494098">
        <w:rPr>
          <w:lang w:val="fr-FR"/>
        </w:rPr>
        <w:t xml:space="preserve">pour contrer les </w:t>
      </w:r>
      <w:r w:rsidRPr="00494098">
        <w:rPr>
          <w:lang w:val="fr-FR"/>
        </w:rPr>
        <w:t>risques de revictimisation</w:t>
      </w:r>
      <w:r w:rsidR="00C00670" w:rsidRPr="00494098">
        <w:rPr>
          <w:lang w:val="fr-FR"/>
        </w:rPr>
        <w:t>,</w:t>
      </w:r>
      <w:r w:rsidRPr="00494098">
        <w:rPr>
          <w:lang w:val="fr-FR"/>
        </w:rPr>
        <w:t xml:space="preserve"> et </w:t>
      </w:r>
      <w:r w:rsidR="000F732D" w:rsidRPr="00494098">
        <w:rPr>
          <w:lang w:val="fr-FR"/>
        </w:rPr>
        <w:t xml:space="preserve">sont </w:t>
      </w:r>
      <w:r w:rsidRPr="00494098">
        <w:rPr>
          <w:lang w:val="fr-FR"/>
        </w:rPr>
        <w:t>transport</w:t>
      </w:r>
      <w:r w:rsidR="000F732D" w:rsidRPr="00494098">
        <w:rPr>
          <w:lang w:val="fr-FR"/>
        </w:rPr>
        <w:t>ées</w:t>
      </w:r>
      <w:r w:rsidRPr="00494098">
        <w:rPr>
          <w:lang w:val="fr-FR"/>
        </w:rPr>
        <w:t xml:space="preserve"> </w:t>
      </w:r>
      <w:r w:rsidR="000F732D" w:rsidRPr="00494098">
        <w:rPr>
          <w:lang w:val="fr-FR"/>
        </w:rPr>
        <w:t>en toute sécurité</w:t>
      </w:r>
      <w:r w:rsidRPr="00494098">
        <w:rPr>
          <w:lang w:val="fr-FR"/>
        </w:rPr>
        <w:t xml:space="preserve"> jusqu'aux services </w:t>
      </w:r>
      <w:r w:rsidR="000F732D" w:rsidRPr="00494098">
        <w:rPr>
          <w:lang w:val="fr-FR"/>
        </w:rPr>
        <w:t xml:space="preserve">chargés des </w:t>
      </w:r>
      <w:r w:rsidRPr="00494098">
        <w:rPr>
          <w:lang w:val="fr-FR"/>
        </w:rPr>
        <w:t xml:space="preserve">questions de violence familiale. </w:t>
      </w:r>
    </w:p>
    <w:p w14:paraId="29491646" w14:textId="77777777" w:rsidR="00077B75" w:rsidRPr="00494098" w:rsidRDefault="00077B75" w:rsidP="00480570">
      <w:pPr>
        <w:pStyle w:val="SingleTxtG"/>
        <w:rPr>
          <w:lang w:val="fr-FR"/>
        </w:rPr>
      </w:pPr>
      <w:r w:rsidRPr="00494098">
        <w:rPr>
          <w:lang w:val="fr-FR"/>
        </w:rPr>
        <w:t>99.</w:t>
      </w:r>
      <w:r w:rsidRPr="00494098">
        <w:rPr>
          <w:lang w:val="fr-FR"/>
        </w:rPr>
        <w:tab/>
        <w:t xml:space="preserve">Le service de </w:t>
      </w:r>
      <w:r w:rsidR="00123B84" w:rsidRPr="00494098">
        <w:rPr>
          <w:lang w:val="fr-FR"/>
        </w:rPr>
        <w:t>téléassistance</w:t>
      </w:r>
      <w:r w:rsidRPr="00494098">
        <w:rPr>
          <w:lang w:val="fr-FR"/>
        </w:rPr>
        <w:t xml:space="preserve"> </w:t>
      </w:r>
      <w:r w:rsidR="00916D47" w:rsidRPr="00494098">
        <w:rPr>
          <w:lang w:val="fr-FR"/>
        </w:rPr>
        <w:t xml:space="preserve">aux </w:t>
      </w:r>
      <w:r w:rsidRPr="00494098">
        <w:rPr>
          <w:lang w:val="fr-FR"/>
        </w:rPr>
        <w:t>victimes de la violence familiale apporte gratuitement, 24</w:t>
      </w:r>
      <w:r w:rsidR="00916D47" w:rsidRPr="00494098">
        <w:rPr>
          <w:lang w:val="fr-FR"/>
        </w:rPr>
        <w:t> </w:t>
      </w:r>
      <w:r w:rsidRPr="00494098">
        <w:rPr>
          <w:lang w:val="fr-FR"/>
        </w:rPr>
        <w:t>heures sur 24 et 7</w:t>
      </w:r>
      <w:r w:rsidR="00916D47" w:rsidRPr="00494098">
        <w:rPr>
          <w:lang w:val="fr-FR"/>
        </w:rPr>
        <w:t> </w:t>
      </w:r>
      <w:r w:rsidRPr="00494098">
        <w:rPr>
          <w:lang w:val="fr-FR"/>
        </w:rPr>
        <w:t>jours sur 7, un soutien psychosocial et une protection permettant de répondre correc</w:t>
      </w:r>
      <w:r w:rsidR="00916D47" w:rsidRPr="00494098">
        <w:rPr>
          <w:lang w:val="fr-FR"/>
        </w:rPr>
        <w:t xml:space="preserve">tement aux situations d’urgence </w:t>
      </w:r>
      <w:r w:rsidRPr="00494098">
        <w:rPr>
          <w:lang w:val="fr-FR"/>
        </w:rPr>
        <w:t>et de renforcer le sen</w:t>
      </w:r>
      <w:r w:rsidR="00916D47" w:rsidRPr="00494098">
        <w:rPr>
          <w:lang w:val="fr-FR"/>
        </w:rPr>
        <w:t>s</w:t>
      </w:r>
      <w:r w:rsidRPr="00494098">
        <w:rPr>
          <w:lang w:val="fr-FR"/>
        </w:rPr>
        <w:t xml:space="preserve"> de </w:t>
      </w:r>
      <w:r w:rsidR="00916D47" w:rsidRPr="00494098">
        <w:rPr>
          <w:lang w:val="fr-FR"/>
        </w:rPr>
        <w:t xml:space="preserve">la </w:t>
      </w:r>
      <w:r w:rsidRPr="00494098">
        <w:rPr>
          <w:lang w:val="fr-FR"/>
        </w:rPr>
        <w:t>sécurité et d</w:t>
      </w:r>
      <w:r w:rsidR="00916D47" w:rsidRPr="00494098">
        <w:rPr>
          <w:lang w:val="fr-FR"/>
        </w:rPr>
        <w:t>e l</w:t>
      </w:r>
      <w:r w:rsidRPr="00494098">
        <w:rPr>
          <w:lang w:val="fr-FR"/>
        </w:rPr>
        <w:t xml:space="preserve">’autonomisation </w:t>
      </w:r>
      <w:r w:rsidR="00916D47" w:rsidRPr="00494098">
        <w:rPr>
          <w:lang w:val="fr-FR"/>
        </w:rPr>
        <w:t>chez les</w:t>
      </w:r>
      <w:r w:rsidRPr="00494098">
        <w:rPr>
          <w:lang w:val="fr-FR"/>
        </w:rPr>
        <w:t xml:space="preserve"> victimes. Ces aides sont ordonnées par le juge ou, </w:t>
      </w:r>
      <w:r w:rsidR="00916D47" w:rsidRPr="00494098">
        <w:rPr>
          <w:lang w:val="fr-FR"/>
        </w:rPr>
        <w:t xml:space="preserve">lors de </w:t>
      </w:r>
      <w:r w:rsidRPr="00494098">
        <w:rPr>
          <w:lang w:val="fr-FR"/>
        </w:rPr>
        <w:t>la phase de l’enquête, par le ministère public,</w:t>
      </w:r>
      <w:r w:rsidR="00916D47" w:rsidRPr="00494098">
        <w:rPr>
          <w:lang w:val="fr-FR"/>
        </w:rPr>
        <w:t xml:space="preserve"> </w:t>
      </w:r>
      <w:r w:rsidRPr="00494098">
        <w:rPr>
          <w:lang w:val="fr-FR"/>
        </w:rPr>
        <w:t>et exigent le consentement éclairé de la victime. Entre 2011 et le 31</w:t>
      </w:r>
      <w:r w:rsidR="00087821" w:rsidRPr="00494098">
        <w:rPr>
          <w:lang w:val="fr-FR"/>
        </w:rPr>
        <w:t> décembre</w:t>
      </w:r>
      <w:r w:rsidRPr="00494098">
        <w:rPr>
          <w:lang w:val="fr-FR"/>
        </w:rPr>
        <w:t xml:space="preserve"> 2016, 2</w:t>
      </w:r>
      <w:r w:rsidR="00916D47" w:rsidRPr="00494098">
        <w:rPr>
          <w:lang w:val="fr-FR"/>
        </w:rPr>
        <w:t> </w:t>
      </w:r>
      <w:r w:rsidRPr="00494098">
        <w:rPr>
          <w:lang w:val="fr-FR"/>
        </w:rPr>
        <w:t>241</w:t>
      </w:r>
      <w:r w:rsidR="00916D47" w:rsidRPr="00494098">
        <w:rPr>
          <w:lang w:val="fr-FR"/>
        </w:rPr>
        <w:t> </w:t>
      </w:r>
      <w:r w:rsidRPr="00494098">
        <w:rPr>
          <w:lang w:val="fr-FR"/>
        </w:rPr>
        <w:t xml:space="preserve">personnes ont bénéficié de cette mesure de protection. </w:t>
      </w:r>
    </w:p>
    <w:p w14:paraId="73E84D06" w14:textId="77777777" w:rsidR="00077B75" w:rsidRPr="00494098" w:rsidRDefault="00077B75" w:rsidP="00480570">
      <w:pPr>
        <w:pStyle w:val="SingleTxtG"/>
        <w:rPr>
          <w:lang w:val="fr-FR"/>
        </w:rPr>
      </w:pPr>
      <w:r w:rsidRPr="00494098">
        <w:rPr>
          <w:lang w:val="fr-FR"/>
        </w:rPr>
        <w:lastRenderedPageBreak/>
        <w:t>100.</w:t>
      </w:r>
      <w:r w:rsidRPr="00494098">
        <w:rPr>
          <w:lang w:val="fr-FR"/>
        </w:rPr>
        <w:tab/>
        <w:t>La surveillance à distance des auteurs d'infraction, ainsi que le soutien juridique, médical, social et au niveau de l'emploi sont également en place.</w:t>
      </w:r>
    </w:p>
    <w:p w14:paraId="31DFD7F7" w14:textId="01BC065F" w:rsidR="00077B75" w:rsidRPr="00494098" w:rsidRDefault="00077B75" w:rsidP="00480570">
      <w:pPr>
        <w:pStyle w:val="SingleTxtG"/>
        <w:rPr>
          <w:lang w:val="fr-FR"/>
        </w:rPr>
      </w:pPr>
      <w:r w:rsidRPr="00494098">
        <w:rPr>
          <w:lang w:val="fr-FR"/>
        </w:rPr>
        <w:t>101.</w:t>
      </w:r>
      <w:r w:rsidRPr="00494098">
        <w:rPr>
          <w:lang w:val="fr-FR"/>
        </w:rPr>
        <w:tab/>
        <w:t>La Ligne nationale d’urgence sociale</w:t>
      </w:r>
      <w:r w:rsidR="008E1A48" w:rsidRPr="00494098">
        <w:rPr>
          <w:lang w:val="fr-FR"/>
        </w:rPr>
        <w:t>, numéro d’appel°</w:t>
      </w:r>
      <w:r w:rsidRPr="00494098">
        <w:rPr>
          <w:lang w:val="fr-FR"/>
        </w:rPr>
        <w:t>144</w:t>
      </w:r>
      <w:r w:rsidR="008E1A48" w:rsidRPr="00494098">
        <w:rPr>
          <w:lang w:val="fr-FR"/>
        </w:rPr>
        <w:t xml:space="preserve"> (LNES),</w:t>
      </w:r>
      <w:r w:rsidRPr="00494098">
        <w:rPr>
          <w:lang w:val="fr-FR"/>
        </w:rPr>
        <w:t xml:space="preserve"> est un service gratuit, disponible en permanence depuis 2001, </w:t>
      </w:r>
      <w:r w:rsidR="00194D6E" w:rsidRPr="00494098">
        <w:rPr>
          <w:lang w:val="fr-FR"/>
        </w:rPr>
        <w:t xml:space="preserve">qui apporte </w:t>
      </w:r>
      <w:r w:rsidRPr="00494098">
        <w:rPr>
          <w:lang w:val="fr-FR"/>
        </w:rPr>
        <w:t xml:space="preserve">une réponse immédiate aux personnes en situation de danger imminent. </w:t>
      </w:r>
      <w:r w:rsidR="00194D6E" w:rsidRPr="00494098">
        <w:rPr>
          <w:lang w:val="fr-FR"/>
        </w:rPr>
        <w:t xml:space="preserve">Elle </w:t>
      </w:r>
      <w:r w:rsidRPr="00494098">
        <w:rPr>
          <w:lang w:val="fr-FR"/>
        </w:rPr>
        <w:t>s'adresse à tou</w:t>
      </w:r>
      <w:r w:rsidR="00194D6E" w:rsidRPr="00494098">
        <w:rPr>
          <w:lang w:val="fr-FR"/>
        </w:rPr>
        <w:t>te personne</w:t>
      </w:r>
      <w:r w:rsidRPr="00494098">
        <w:rPr>
          <w:lang w:val="fr-FR"/>
        </w:rPr>
        <w:t xml:space="preserve"> qui, dans le pays, se trouve dans une situation de vulnérabilité et </w:t>
      </w:r>
      <w:r w:rsidR="00194D6E" w:rsidRPr="00494098">
        <w:rPr>
          <w:lang w:val="fr-FR"/>
        </w:rPr>
        <w:t>a</w:t>
      </w:r>
      <w:r w:rsidRPr="00494098">
        <w:rPr>
          <w:lang w:val="fr-FR"/>
        </w:rPr>
        <w:t xml:space="preserve"> besoin d'un soutien social. </w:t>
      </w:r>
      <w:r w:rsidR="00194D6E" w:rsidRPr="00494098">
        <w:rPr>
          <w:lang w:val="fr-FR"/>
        </w:rPr>
        <w:t xml:space="preserve">Elle </w:t>
      </w:r>
      <w:r w:rsidRPr="00494098">
        <w:rPr>
          <w:lang w:val="fr-FR"/>
        </w:rPr>
        <w:t xml:space="preserve">assure la protection et la sécurité des enfants et des jeunes en </w:t>
      </w:r>
      <w:r w:rsidR="00194D6E" w:rsidRPr="00494098">
        <w:rPr>
          <w:lang w:val="fr-FR"/>
        </w:rPr>
        <w:t xml:space="preserve">situation de </w:t>
      </w:r>
      <w:r w:rsidRPr="00494098">
        <w:rPr>
          <w:lang w:val="fr-FR"/>
        </w:rPr>
        <w:t xml:space="preserve">danger, notamment les victimes, en leur procurant un abri dans un foyer </w:t>
      </w:r>
      <w:r w:rsidR="00AF6ECE">
        <w:rPr>
          <w:lang w:val="fr-FR"/>
        </w:rPr>
        <w:t>d’accueil</w:t>
      </w:r>
      <w:r w:rsidRPr="00494098">
        <w:rPr>
          <w:lang w:val="fr-FR"/>
        </w:rPr>
        <w:t>, et ce dans l’ensemble du pays.</w:t>
      </w:r>
    </w:p>
    <w:p w14:paraId="736CF113" w14:textId="77777777" w:rsidR="00077B75" w:rsidRPr="00494098" w:rsidRDefault="00077B75" w:rsidP="00480570">
      <w:pPr>
        <w:pStyle w:val="SingleTxtG"/>
        <w:rPr>
          <w:lang w:val="fr-FR"/>
        </w:rPr>
      </w:pPr>
      <w:r w:rsidRPr="00494098">
        <w:rPr>
          <w:lang w:val="fr-FR"/>
        </w:rPr>
        <w:t>102.</w:t>
      </w:r>
      <w:r w:rsidRPr="00494098">
        <w:rPr>
          <w:lang w:val="fr-FR"/>
        </w:rPr>
        <w:tab/>
      </w:r>
      <w:r w:rsidR="00194D6E" w:rsidRPr="00494098">
        <w:rPr>
          <w:lang w:val="fr-FR"/>
        </w:rPr>
        <w:t xml:space="preserve">Entre autres </w:t>
      </w:r>
      <w:r w:rsidRPr="00494098">
        <w:rPr>
          <w:lang w:val="fr-FR"/>
        </w:rPr>
        <w:t>mesures récemment mises en place pour la prévention de la violence et de la maltraitance</w:t>
      </w:r>
      <w:r w:rsidR="000F68BC" w:rsidRPr="00494098">
        <w:rPr>
          <w:lang w:val="fr-FR"/>
        </w:rPr>
        <w:t>,</w:t>
      </w:r>
      <w:r w:rsidRPr="00494098">
        <w:rPr>
          <w:lang w:val="fr-FR"/>
        </w:rPr>
        <w:t xml:space="preserve"> et </w:t>
      </w:r>
      <w:r w:rsidR="000F68BC" w:rsidRPr="00494098">
        <w:rPr>
          <w:lang w:val="fr-FR"/>
        </w:rPr>
        <w:t xml:space="preserve">pour </w:t>
      </w:r>
      <w:r w:rsidRPr="00494098">
        <w:rPr>
          <w:lang w:val="fr-FR"/>
        </w:rPr>
        <w:t>la protection des victimes</w:t>
      </w:r>
      <w:r w:rsidR="00194D6E" w:rsidRPr="00494098">
        <w:rPr>
          <w:lang w:val="fr-FR"/>
        </w:rPr>
        <w:t>, il convient de citer les suivantes </w:t>
      </w:r>
      <w:r w:rsidRPr="00494098">
        <w:rPr>
          <w:lang w:val="fr-FR"/>
        </w:rPr>
        <w:t>:</w:t>
      </w:r>
    </w:p>
    <w:p w14:paraId="356957A5" w14:textId="254D1958" w:rsidR="00077B75" w:rsidRPr="00494098" w:rsidRDefault="00112210" w:rsidP="00112210">
      <w:pPr>
        <w:pStyle w:val="Bullet1G"/>
        <w:numPr>
          <w:ilvl w:val="0"/>
          <w:numId w:val="0"/>
        </w:numPr>
        <w:tabs>
          <w:tab w:val="left" w:pos="1701"/>
        </w:tabs>
        <w:ind w:left="1701" w:hanging="170"/>
        <w:rPr>
          <w:lang w:val="fr-FR"/>
        </w:rPr>
      </w:pPr>
      <w:r w:rsidRPr="00494098">
        <w:rPr>
          <w:lang w:val="fr-FR"/>
        </w:rPr>
        <w:t>•</w:t>
      </w:r>
      <w:r w:rsidRPr="00494098">
        <w:rPr>
          <w:lang w:val="fr-FR"/>
        </w:rPr>
        <w:tab/>
      </w:r>
      <w:r w:rsidR="001553E8" w:rsidRPr="00494098">
        <w:rPr>
          <w:lang w:val="fr-FR"/>
        </w:rPr>
        <w:t>M</w:t>
      </w:r>
      <w:r w:rsidRPr="00494098">
        <w:rPr>
          <w:lang w:val="fr-FR"/>
        </w:rPr>
        <w:t>esures de prévention dans les contacts professionnels avec des mineurs</w:t>
      </w:r>
      <w:r w:rsidR="008E1A48" w:rsidRPr="00494098">
        <w:rPr>
          <w:lang w:val="fr-FR"/>
        </w:rPr>
        <w:t>,</w:t>
      </w:r>
      <w:r w:rsidRPr="00494098">
        <w:rPr>
          <w:lang w:val="fr-FR"/>
        </w:rPr>
        <w:t xml:space="preserve"> établies </w:t>
      </w:r>
      <w:r w:rsidR="00202489" w:rsidRPr="00494098">
        <w:rPr>
          <w:lang w:val="fr-FR"/>
        </w:rPr>
        <w:t xml:space="preserve">par </w:t>
      </w:r>
      <w:r w:rsidRPr="00494098">
        <w:rPr>
          <w:lang w:val="fr-FR"/>
        </w:rPr>
        <w:t xml:space="preserve">la loi </w:t>
      </w:r>
      <w:r w:rsidR="00202489" w:rsidRPr="00494098">
        <w:rPr>
          <w:lang w:val="fr-FR"/>
        </w:rPr>
        <w:t>n°</w:t>
      </w:r>
      <w:r w:rsidRPr="00494098">
        <w:rPr>
          <w:lang w:val="fr-FR"/>
        </w:rPr>
        <w:t>103/2015 du 24</w:t>
      </w:r>
      <w:r w:rsidR="00480991" w:rsidRPr="00494098">
        <w:rPr>
          <w:lang w:val="fr-FR"/>
        </w:rPr>
        <w:t> août</w:t>
      </w:r>
      <w:r w:rsidRPr="00494098">
        <w:rPr>
          <w:lang w:val="fr-FR"/>
        </w:rPr>
        <w:t xml:space="preserve"> 2015. En ce qui concerne le recrutement pour les professions, les emplois, les fonctions ou les activités publiques dont l’exercice implique un contact régulier avec des mineurs, l’entité qui effectue le recrutement est tenue de demander au candidat de présenter un extrait de casier judiciaire. Après le recrutement, l’employeur ou la personne responsable de l’activité</w:t>
      </w:r>
      <w:r w:rsidR="00AA2EE3" w:rsidRPr="00494098">
        <w:rPr>
          <w:lang w:val="fr-FR"/>
        </w:rPr>
        <w:t xml:space="preserve"> doit </w:t>
      </w:r>
      <w:r w:rsidRPr="00494098">
        <w:rPr>
          <w:lang w:val="fr-FR"/>
        </w:rPr>
        <w:t xml:space="preserve">demander </w:t>
      </w:r>
      <w:r w:rsidR="008E1A48" w:rsidRPr="00494098">
        <w:rPr>
          <w:lang w:val="fr-FR"/>
        </w:rPr>
        <w:t xml:space="preserve">un extrait de casier judiciaire </w:t>
      </w:r>
      <w:r w:rsidRPr="00494098">
        <w:rPr>
          <w:lang w:val="fr-FR"/>
        </w:rPr>
        <w:t xml:space="preserve">à </w:t>
      </w:r>
      <w:r w:rsidR="008E1A48" w:rsidRPr="00494098">
        <w:rPr>
          <w:lang w:val="fr-FR"/>
        </w:rPr>
        <w:t xml:space="preserve">celle </w:t>
      </w:r>
      <w:r w:rsidRPr="00494098">
        <w:rPr>
          <w:lang w:val="fr-FR"/>
        </w:rPr>
        <w:t xml:space="preserve">qui exerce la profession ou les </w:t>
      </w:r>
      <w:r w:rsidRPr="00494098">
        <w:rPr>
          <w:lang w:val="fr-FR"/>
        </w:rPr>
        <w:lastRenderedPageBreak/>
        <w:t>activités mentionnées ci-dessus</w:t>
      </w:r>
      <w:r w:rsidR="008E1A48" w:rsidRPr="00494098">
        <w:rPr>
          <w:lang w:val="fr-FR"/>
        </w:rPr>
        <w:t>,</w:t>
      </w:r>
      <w:r w:rsidRPr="00494098">
        <w:rPr>
          <w:lang w:val="fr-FR"/>
        </w:rPr>
        <w:t xml:space="preserve"> et en tenir compte dans l’évaluation du bien</w:t>
      </w:r>
      <w:r w:rsidR="00EC53B4">
        <w:rPr>
          <w:lang w:val="fr-FR"/>
        </w:rPr>
        <w:t>-</w:t>
      </w:r>
      <w:r w:rsidRPr="00494098">
        <w:rPr>
          <w:lang w:val="fr-FR"/>
        </w:rPr>
        <w:t xml:space="preserve">fondé de </w:t>
      </w:r>
      <w:r w:rsidR="008E1A48" w:rsidRPr="00494098">
        <w:rPr>
          <w:lang w:val="fr-FR"/>
        </w:rPr>
        <w:t>l’</w:t>
      </w:r>
      <w:r w:rsidRPr="00494098">
        <w:rPr>
          <w:lang w:val="fr-FR"/>
        </w:rPr>
        <w:t xml:space="preserve">embauche </w:t>
      </w:r>
      <w:r w:rsidR="008E1A48" w:rsidRPr="00494098">
        <w:rPr>
          <w:lang w:val="fr-FR"/>
        </w:rPr>
        <w:t xml:space="preserve">correspondante </w:t>
      </w:r>
      <w:r w:rsidRPr="00494098">
        <w:rPr>
          <w:lang w:val="fr-FR"/>
        </w:rPr>
        <w:t xml:space="preserve">pour l’exécution des </w:t>
      </w:r>
      <w:r w:rsidR="00AA2EE3" w:rsidRPr="00494098">
        <w:rPr>
          <w:lang w:val="fr-FR"/>
        </w:rPr>
        <w:t xml:space="preserve">tâches </w:t>
      </w:r>
      <w:r w:rsidR="000F68BC" w:rsidRPr="00494098">
        <w:rPr>
          <w:lang w:val="fr-FR"/>
        </w:rPr>
        <w:t>correspondantes </w:t>
      </w:r>
      <w:r w:rsidR="006717A5" w:rsidRPr="00494098">
        <w:rPr>
          <w:lang w:val="fr-FR"/>
        </w:rPr>
        <w:t>;</w:t>
      </w:r>
    </w:p>
    <w:p w14:paraId="25542498" w14:textId="77777777" w:rsidR="00077B75" w:rsidRPr="00494098" w:rsidRDefault="00112210" w:rsidP="00112210">
      <w:pPr>
        <w:pStyle w:val="Bullet1G"/>
        <w:numPr>
          <w:ilvl w:val="0"/>
          <w:numId w:val="0"/>
        </w:numPr>
        <w:tabs>
          <w:tab w:val="left" w:pos="1701"/>
        </w:tabs>
        <w:ind w:left="1701" w:hanging="170"/>
        <w:rPr>
          <w:lang w:val="fr-FR"/>
        </w:rPr>
      </w:pPr>
      <w:r w:rsidRPr="00494098">
        <w:rPr>
          <w:lang w:val="fr-FR"/>
        </w:rPr>
        <w:t>•</w:t>
      </w:r>
      <w:r w:rsidRPr="00494098">
        <w:rPr>
          <w:lang w:val="fr-FR"/>
        </w:rPr>
        <w:tab/>
      </w:r>
      <w:r w:rsidR="001553E8" w:rsidRPr="00494098">
        <w:rPr>
          <w:lang w:val="fr-FR"/>
        </w:rPr>
        <w:t>L</w:t>
      </w:r>
      <w:r w:rsidRPr="00494098">
        <w:rPr>
          <w:lang w:val="fr-FR"/>
        </w:rPr>
        <w:t xml:space="preserve">ancement, en 2016, d’une nouvelle stratégie décentralisée </w:t>
      </w:r>
      <w:r w:rsidR="000F68BC" w:rsidRPr="00494098">
        <w:rPr>
          <w:lang w:val="fr-FR"/>
        </w:rPr>
        <w:t xml:space="preserve">insistant </w:t>
      </w:r>
      <w:r w:rsidRPr="00494098">
        <w:rPr>
          <w:lang w:val="fr-FR"/>
        </w:rPr>
        <w:t>fortement sur les be</w:t>
      </w:r>
      <w:r w:rsidR="00CD7A55" w:rsidRPr="00494098">
        <w:rPr>
          <w:lang w:val="fr-FR"/>
        </w:rPr>
        <w:t>soins des victimes vivant dans d</w:t>
      </w:r>
      <w:r w:rsidRPr="00494098">
        <w:rPr>
          <w:lang w:val="fr-FR"/>
        </w:rPr>
        <w:t xml:space="preserve">es zones reculées, en vue de parvenir à ce que les services de protection et </w:t>
      </w:r>
      <w:r w:rsidR="00CD7A55" w:rsidRPr="00494098">
        <w:rPr>
          <w:lang w:val="fr-FR"/>
        </w:rPr>
        <w:t xml:space="preserve">de </w:t>
      </w:r>
      <w:r w:rsidRPr="00494098">
        <w:rPr>
          <w:lang w:val="fr-FR"/>
        </w:rPr>
        <w:t>soutien aux victimes couvrent l'entièreté du pays</w:t>
      </w:r>
      <w:r w:rsidR="006717A5" w:rsidRPr="00494098">
        <w:rPr>
          <w:lang w:val="fr-FR"/>
        </w:rPr>
        <w:t> ;</w:t>
      </w:r>
    </w:p>
    <w:p w14:paraId="280C91EB" w14:textId="77777777" w:rsidR="00077B75" w:rsidRPr="00494098" w:rsidRDefault="00112210" w:rsidP="00112210">
      <w:pPr>
        <w:pStyle w:val="Bullet1G"/>
        <w:numPr>
          <w:ilvl w:val="0"/>
          <w:numId w:val="0"/>
        </w:numPr>
        <w:tabs>
          <w:tab w:val="left" w:pos="1701"/>
        </w:tabs>
        <w:ind w:left="1701" w:hanging="170"/>
        <w:rPr>
          <w:lang w:val="fr-FR"/>
        </w:rPr>
      </w:pPr>
      <w:r w:rsidRPr="00494098">
        <w:rPr>
          <w:lang w:val="fr-FR"/>
        </w:rPr>
        <w:t>•</w:t>
      </w:r>
      <w:r w:rsidRPr="00494098">
        <w:rPr>
          <w:lang w:val="fr-FR"/>
        </w:rPr>
        <w:tab/>
      </w:r>
      <w:r w:rsidR="001553E8" w:rsidRPr="00494098">
        <w:rPr>
          <w:lang w:val="fr-FR"/>
        </w:rPr>
        <w:t>R</w:t>
      </w:r>
      <w:r w:rsidRPr="00494098">
        <w:rPr>
          <w:lang w:val="fr-FR"/>
        </w:rPr>
        <w:t xml:space="preserve">enforcement de la protection des enfants en vertu de la loi </w:t>
      </w:r>
      <w:r w:rsidR="006717A5" w:rsidRPr="00494098">
        <w:rPr>
          <w:lang w:val="fr-FR"/>
        </w:rPr>
        <w:t>n° </w:t>
      </w:r>
      <w:r w:rsidR="002B6198" w:rsidRPr="00494098">
        <w:rPr>
          <w:lang w:val="fr-FR"/>
        </w:rPr>
        <w:t>24/2017, du 24 </w:t>
      </w:r>
      <w:r w:rsidRPr="00494098">
        <w:rPr>
          <w:lang w:val="fr-FR"/>
        </w:rPr>
        <w:t xml:space="preserve">mai 2017, qui abroge l’exercice conjoint des responsabilités parentales </w:t>
      </w:r>
      <w:r w:rsidR="001553E8" w:rsidRPr="00494098">
        <w:rPr>
          <w:lang w:val="fr-FR"/>
        </w:rPr>
        <w:t xml:space="preserve">s’il est </w:t>
      </w:r>
      <w:r w:rsidRPr="00494098">
        <w:rPr>
          <w:lang w:val="fr-FR"/>
        </w:rPr>
        <w:t>jugé contraire à l’intérêt supérieur de l’enfant</w:t>
      </w:r>
      <w:r w:rsidR="001553E8" w:rsidRPr="00494098">
        <w:rPr>
          <w:lang w:val="fr-FR"/>
        </w:rPr>
        <w:t>,</w:t>
      </w:r>
      <w:r w:rsidRPr="00494098">
        <w:rPr>
          <w:lang w:val="fr-FR"/>
        </w:rPr>
        <w:t xml:space="preserve"> lorsqu'une mesure de contrainte ou une peine accessoire d’interdiction des contacts entre les parents est prononcée</w:t>
      </w:r>
      <w:r w:rsidR="002B6198" w:rsidRPr="00494098">
        <w:rPr>
          <w:lang w:val="fr-FR"/>
        </w:rPr>
        <w:t>,</w:t>
      </w:r>
      <w:r w:rsidRPr="00494098">
        <w:rPr>
          <w:lang w:val="fr-FR"/>
        </w:rPr>
        <w:t xml:space="preserve"> ou lorsque la sécurité des victimes de violence dans la famille </w:t>
      </w:r>
      <w:r w:rsidR="002B6198" w:rsidRPr="00494098">
        <w:rPr>
          <w:lang w:val="fr-FR"/>
        </w:rPr>
        <w:t>pose problème</w:t>
      </w:r>
      <w:r w:rsidR="006717A5" w:rsidRPr="00494098">
        <w:rPr>
          <w:lang w:val="fr-FR"/>
        </w:rPr>
        <w:t>;</w:t>
      </w:r>
      <w:r w:rsidRPr="00494098">
        <w:rPr>
          <w:lang w:val="fr-FR"/>
        </w:rPr>
        <w:t xml:space="preserve"> </w:t>
      </w:r>
    </w:p>
    <w:p w14:paraId="0546AEC7" w14:textId="77777777" w:rsidR="00077B75" w:rsidRPr="00494098" w:rsidRDefault="00112210" w:rsidP="00112210">
      <w:pPr>
        <w:pStyle w:val="Bullet1G"/>
        <w:numPr>
          <w:ilvl w:val="0"/>
          <w:numId w:val="0"/>
        </w:numPr>
        <w:tabs>
          <w:tab w:val="left" w:pos="1701"/>
        </w:tabs>
        <w:ind w:left="1701" w:hanging="170"/>
        <w:rPr>
          <w:lang w:val="fr-FR"/>
        </w:rPr>
      </w:pPr>
      <w:r w:rsidRPr="00494098">
        <w:rPr>
          <w:lang w:val="fr-FR"/>
        </w:rPr>
        <w:t>•</w:t>
      </w:r>
      <w:r w:rsidRPr="00494098">
        <w:rPr>
          <w:lang w:val="fr-FR"/>
        </w:rPr>
        <w:tab/>
      </w:r>
      <w:r w:rsidR="001553E8" w:rsidRPr="00494098">
        <w:rPr>
          <w:lang w:val="fr-FR"/>
        </w:rPr>
        <w:t>C</w:t>
      </w:r>
      <w:r w:rsidRPr="00494098">
        <w:rPr>
          <w:lang w:val="fr-FR"/>
        </w:rPr>
        <w:t>réation d’une équipe d’évaluation rétrospective des homicides</w:t>
      </w:r>
      <w:r w:rsidR="006717A5" w:rsidRPr="00494098">
        <w:rPr>
          <w:lang w:val="fr-FR"/>
        </w:rPr>
        <w:t> ;</w:t>
      </w:r>
    </w:p>
    <w:p w14:paraId="03ABC9EF" w14:textId="77777777" w:rsidR="00077B75" w:rsidRPr="00494098" w:rsidRDefault="00112210" w:rsidP="00112210">
      <w:pPr>
        <w:pStyle w:val="Bullet1G"/>
        <w:numPr>
          <w:ilvl w:val="0"/>
          <w:numId w:val="0"/>
        </w:numPr>
        <w:tabs>
          <w:tab w:val="left" w:pos="1701"/>
        </w:tabs>
        <w:ind w:left="1701" w:hanging="170"/>
        <w:rPr>
          <w:lang w:val="fr-FR"/>
        </w:rPr>
      </w:pPr>
      <w:r w:rsidRPr="00494098">
        <w:rPr>
          <w:lang w:val="fr-FR"/>
        </w:rPr>
        <w:t>•</w:t>
      </w:r>
      <w:r w:rsidRPr="00494098">
        <w:rPr>
          <w:lang w:val="fr-FR"/>
        </w:rPr>
        <w:tab/>
      </w:r>
      <w:r w:rsidR="001553E8" w:rsidRPr="00494098">
        <w:rPr>
          <w:lang w:val="fr-FR"/>
        </w:rPr>
        <w:t>D</w:t>
      </w:r>
      <w:r w:rsidRPr="00494098">
        <w:rPr>
          <w:lang w:val="fr-FR"/>
        </w:rPr>
        <w:t>écisions d'urgence (20</w:t>
      </w:r>
      <w:r w:rsidR="002F4CC2" w:rsidRPr="00494098">
        <w:rPr>
          <w:lang w:val="fr-FR"/>
        </w:rPr>
        <w:t> </w:t>
      </w:r>
      <w:r w:rsidRPr="00494098">
        <w:rPr>
          <w:lang w:val="fr-FR"/>
        </w:rPr>
        <w:t>jours, au lieu de 30) pour les demandes de revenu social d'insertion (</w:t>
      </w:r>
      <w:r w:rsidRPr="00494098">
        <w:rPr>
          <w:i/>
          <w:lang w:val="fr-FR"/>
        </w:rPr>
        <w:t>Rendimento Social de Inserção</w:t>
      </w:r>
      <w:r w:rsidRPr="00494098">
        <w:rPr>
          <w:lang w:val="fr-FR"/>
        </w:rPr>
        <w:t xml:space="preserve">) </w:t>
      </w:r>
      <w:r w:rsidR="002F4CC2" w:rsidRPr="00494098">
        <w:rPr>
          <w:lang w:val="fr-FR"/>
        </w:rPr>
        <w:t xml:space="preserve">émanant de </w:t>
      </w:r>
      <w:r w:rsidRPr="00494098">
        <w:rPr>
          <w:lang w:val="fr-FR"/>
        </w:rPr>
        <w:t xml:space="preserve">victimes de violence familiale (décret-loi </w:t>
      </w:r>
      <w:r w:rsidR="006717A5" w:rsidRPr="00494098">
        <w:rPr>
          <w:lang w:val="fr-FR"/>
        </w:rPr>
        <w:t>n° </w:t>
      </w:r>
      <w:r w:rsidRPr="00494098">
        <w:rPr>
          <w:lang w:val="fr-FR"/>
        </w:rPr>
        <w:t>90/2017 du 28</w:t>
      </w:r>
      <w:r w:rsidR="00B34673" w:rsidRPr="00494098">
        <w:rPr>
          <w:lang w:val="fr-FR"/>
        </w:rPr>
        <w:t> juillet</w:t>
      </w:r>
      <w:r w:rsidRPr="00494098">
        <w:rPr>
          <w:lang w:val="fr-FR"/>
        </w:rPr>
        <w:t xml:space="preserve"> 2017, portant modification de la loi </w:t>
      </w:r>
      <w:r w:rsidR="006717A5" w:rsidRPr="00494098">
        <w:rPr>
          <w:lang w:val="fr-FR"/>
        </w:rPr>
        <w:t>n° </w:t>
      </w:r>
      <w:r w:rsidR="00480991" w:rsidRPr="00494098">
        <w:rPr>
          <w:lang w:val="fr-FR"/>
        </w:rPr>
        <w:t>1</w:t>
      </w:r>
      <w:r w:rsidRPr="00494098">
        <w:rPr>
          <w:lang w:val="fr-FR"/>
        </w:rPr>
        <w:t>3/2003 du 21</w:t>
      </w:r>
      <w:r w:rsidR="002F4CC2" w:rsidRPr="00494098">
        <w:rPr>
          <w:lang w:val="fr-FR"/>
        </w:rPr>
        <w:t> </w:t>
      </w:r>
      <w:r w:rsidRPr="00494098">
        <w:rPr>
          <w:lang w:val="fr-FR"/>
        </w:rPr>
        <w:t>mai 2003)</w:t>
      </w:r>
      <w:r w:rsidR="006717A5" w:rsidRPr="00494098">
        <w:rPr>
          <w:lang w:val="fr-FR"/>
        </w:rPr>
        <w:t> ;</w:t>
      </w:r>
    </w:p>
    <w:p w14:paraId="706E8DCB" w14:textId="77777777" w:rsidR="00077B75" w:rsidRPr="00494098" w:rsidRDefault="00112210" w:rsidP="00112210">
      <w:pPr>
        <w:pStyle w:val="Bullet1G"/>
        <w:numPr>
          <w:ilvl w:val="0"/>
          <w:numId w:val="0"/>
        </w:numPr>
        <w:tabs>
          <w:tab w:val="left" w:pos="1701"/>
        </w:tabs>
        <w:ind w:left="1701" w:hanging="170"/>
        <w:rPr>
          <w:lang w:val="fr-FR"/>
        </w:rPr>
      </w:pPr>
      <w:r w:rsidRPr="00494098">
        <w:rPr>
          <w:lang w:val="fr-FR"/>
        </w:rPr>
        <w:lastRenderedPageBreak/>
        <w:t>•</w:t>
      </w:r>
      <w:r w:rsidRPr="00494098">
        <w:rPr>
          <w:lang w:val="fr-FR"/>
        </w:rPr>
        <w:tab/>
      </w:r>
      <w:r w:rsidR="001553E8" w:rsidRPr="00494098">
        <w:rPr>
          <w:lang w:val="fr-FR"/>
        </w:rPr>
        <w:t>N</w:t>
      </w:r>
      <w:r w:rsidRPr="00494098">
        <w:rPr>
          <w:lang w:val="fr-FR"/>
        </w:rPr>
        <w:t>ouveau décret fixant les conditions d</w:t>
      </w:r>
      <w:r w:rsidR="002F4CC2" w:rsidRPr="00494098">
        <w:rPr>
          <w:lang w:val="fr-FR"/>
        </w:rPr>
        <w:t>’organisation et de</w:t>
      </w:r>
      <w:r w:rsidRPr="00494098">
        <w:rPr>
          <w:lang w:val="fr-FR"/>
        </w:rPr>
        <w:t xml:space="preserve"> fonctionnement des centres de soutien, des places d'urgence et des centres d’hébergement du réseau national de soutien aux victimes de la violence familiale</w:t>
      </w:r>
      <w:r w:rsidR="006717A5" w:rsidRPr="00494098">
        <w:rPr>
          <w:lang w:val="fr-FR"/>
        </w:rPr>
        <w:t> ;</w:t>
      </w:r>
    </w:p>
    <w:p w14:paraId="5C4298E2" w14:textId="77777777" w:rsidR="00077B75" w:rsidRPr="00494098" w:rsidRDefault="00112210" w:rsidP="00112210">
      <w:pPr>
        <w:pStyle w:val="Bullet1G"/>
        <w:numPr>
          <w:ilvl w:val="0"/>
          <w:numId w:val="0"/>
        </w:numPr>
        <w:tabs>
          <w:tab w:val="left" w:pos="1701"/>
        </w:tabs>
        <w:ind w:left="1701" w:hanging="170"/>
        <w:rPr>
          <w:lang w:val="fr-FR"/>
        </w:rPr>
      </w:pPr>
      <w:r w:rsidRPr="00494098">
        <w:rPr>
          <w:lang w:val="fr-FR"/>
        </w:rPr>
        <w:t>•</w:t>
      </w:r>
      <w:r w:rsidRPr="00494098">
        <w:rPr>
          <w:lang w:val="fr-FR"/>
        </w:rPr>
        <w:tab/>
      </w:r>
      <w:r w:rsidR="001553E8" w:rsidRPr="00494098">
        <w:rPr>
          <w:lang w:val="fr-FR"/>
        </w:rPr>
        <w:t>N</w:t>
      </w:r>
      <w:r w:rsidRPr="00494098">
        <w:rPr>
          <w:lang w:val="fr-FR"/>
        </w:rPr>
        <w:t>ouvelle application téléphonique lancée en</w:t>
      </w:r>
      <w:r w:rsidR="002F4CC2" w:rsidRPr="00494098">
        <w:rPr>
          <w:lang w:val="fr-FR"/>
        </w:rPr>
        <w:t xml:space="preserve"> </w:t>
      </w:r>
      <w:r w:rsidR="0082263D" w:rsidRPr="00494098">
        <w:rPr>
          <w:lang w:val="fr-FR"/>
        </w:rPr>
        <w:t>mars</w:t>
      </w:r>
      <w:r w:rsidRPr="00494098">
        <w:rPr>
          <w:lang w:val="fr-FR"/>
        </w:rPr>
        <w:t xml:space="preserve"> 2017 pour les victimes de violence familiale et les professionnels</w:t>
      </w:r>
      <w:r w:rsidR="002F4CC2" w:rsidRPr="00494098">
        <w:rPr>
          <w:lang w:val="fr-FR"/>
        </w:rPr>
        <w:t xml:space="preserve"> concernés</w:t>
      </w:r>
      <w:r w:rsidRPr="00494098">
        <w:rPr>
          <w:lang w:val="fr-FR"/>
        </w:rPr>
        <w:t>, qui offre des informations sur les services d’aide disponibles, les façons de déposer une plainte ou une demande de renseignements</w:t>
      </w:r>
      <w:r w:rsidR="000F68BC" w:rsidRPr="00494098">
        <w:rPr>
          <w:lang w:val="fr-FR"/>
        </w:rPr>
        <w:t>,</w:t>
      </w:r>
      <w:r w:rsidRPr="00494098">
        <w:rPr>
          <w:lang w:val="fr-FR"/>
        </w:rPr>
        <w:t xml:space="preserve"> et </w:t>
      </w:r>
      <w:r w:rsidR="000F68BC" w:rsidRPr="00494098">
        <w:rPr>
          <w:lang w:val="fr-FR"/>
        </w:rPr>
        <w:t xml:space="preserve">communique </w:t>
      </w:r>
      <w:r w:rsidR="002F4CC2" w:rsidRPr="00494098">
        <w:rPr>
          <w:lang w:val="fr-FR"/>
        </w:rPr>
        <w:t>d</w:t>
      </w:r>
      <w:r w:rsidRPr="00494098">
        <w:rPr>
          <w:lang w:val="fr-FR"/>
        </w:rPr>
        <w:t>es informations sur les entités qui fournissent des conseils juridiques ou psychologiques. Cette application permet d'appeler directement ces services par téléphone, ou de leur envoyer des messages électroniques.</w:t>
      </w:r>
    </w:p>
    <w:p w14:paraId="01F004ED" w14:textId="77777777" w:rsidR="00077B75" w:rsidRPr="00494098" w:rsidRDefault="00077B75" w:rsidP="00480570">
      <w:pPr>
        <w:pStyle w:val="SingleTxtG"/>
        <w:rPr>
          <w:lang w:val="fr-FR"/>
        </w:rPr>
      </w:pPr>
      <w:r w:rsidRPr="00494098">
        <w:rPr>
          <w:lang w:val="fr-FR"/>
        </w:rPr>
        <w:t>103.</w:t>
      </w:r>
      <w:r w:rsidRPr="00494098">
        <w:rPr>
          <w:lang w:val="fr-FR"/>
        </w:rPr>
        <w:tab/>
        <w:t xml:space="preserve">Parmi les autres mesures prises, </w:t>
      </w:r>
      <w:r w:rsidR="00CA1A1B" w:rsidRPr="00494098">
        <w:rPr>
          <w:lang w:val="fr-FR"/>
        </w:rPr>
        <w:t xml:space="preserve">il faut </w:t>
      </w:r>
      <w:r w:rsidRPr="00494098">
        <w:rPr>
          <w:lang w:val="fr-FR"/>
        </w:rPr>
        <w:t>citer les efforts de prévention axés sur l’élimination des stéréotypes sexistes et l’autonomisation des femmes et des filles</w:t>
      </w:r>
      <w:r w:rsidR="006717A5" w:rsidRPr="00494098">
        <w:rPr>
          <w:lang w:val="fr-FR"/>
        </w:rPr>
        <w:t> ;</w:t>
      </w:r>
      <w:r w:rsidR="00CA1A1B" w:rsidRPr="00494098">
        <w:rPr>
          <w:lang w:val="fr-FR"/>
        </w:rPr>
        <w:t xml:space="preserve"> le harcèlement ;</w:t>
      </w:r>
      <w:r w:rsidRPr="00494098">
        <w:rPr>
          <w:lang w:val="fr-FR"/>
        </w:rPr>
        <w:t xml:space="preserve"> la violence et les violences </w:t>
      </w:r>
      <w:r w:rsidR="00CA1A1B" w:rsidRPr="00494098">
        <w:rPr>
          <w:lang w:val="fr-FR"/>
        </w:rPr>
        <w:t xml:space="preserve">des adolescents </w:t>
      </w:r>
      <w:r w:rsidR="001553E8" w:rsidRPr="00494098">
        <w:rPr>
          <w:lang w:val="fr-FR"/>
        </w:rPr>
        <w:t>sur le Web</w:t>
      </w:r>
      <w:r w:rsidRPr="00494098">
        <w:rPr>
          <w:lang w:val="fr-FR"/>
        </w:rPr>
        <w:t>, en particulier au sein de la communauté scolaire</w:t>
      </w:r>
      <w:r w:rsidR="006717A5" w:rsidRPr="00494098">
        <w:rPr>
          <w:lang w:val="fr-FR"/>
        </w:rPr>
        <w:t> ;</w:t>
      </w:r>
      <w:r w:rsidRPr="00494098">
        <w:rPr>
          <w:lang w:val="fr-FR"/>
        </w:rPr>
        <w:t xml:space="preserve"> les campagnes annuelles d’information à l’intention de certains groupes cibles bien définis</w:t>
      </w:r>
      <w:r w:rsidR="00CA1A1B" w:rsidRPr="00494098">
        <w:rPr>
          <w:lang w:val="fr-FR"/>
        </w:rPr>
        <w:t> ;</w:t>
      </w:r>
      <w:r w:rsidRPr="00494098">
        <w:rPr>
          <w:lang w:val="fr-FR"/>
        </w:rPr>
        <w:t xml:space="preserve"> la mise au point et la diffusion de documents informatifs et éducatifs</w:t>
      </w:r>
      <w:r w:rsidR="00CA1A1B" w:rsidRPr="00494098">
        <w:rPr>
          <w:lang w:val="fr-FR"/>
        </w:rPr>
        <w:t>,</w:t>
      </w:r>
      <w:r w:rsidRPr="00494098">
        <w:rPr>
          <w:lang w:val="fr-FR"/>
        </w:rPr>
        <w:t xml:space="preserve"> pour la communauté enseignante.</w:t>
      </w:r>
    </w:p>
    <w:p w14:paraId="6FF99E02" w14:textId="19D20C9B" w:rsidR="00077B75" w:rsidRPr="00494098" w:rsidRDefault="00077B75" w:rsidP="00480570">
      <w:pPr>
        <w:pStyle w:val="SingleTxtG"/>
        <w:rPr>
          <w:lang w:val="fr-FR"/>
        </w:rPr>
      </w:pPr>
      <w:r w:rsidRPr="00494098">
        <w:rPr>
          <w:lang w:val="fr-FR"/>
        </w:rPr>
        <w:t>104.</w:t>
      </w:r>
      <w:r w:rsidRPr="00494098">
        <w:rPr>
          <w:lang w:val="fr-FR"/>
        </w:rPr>
        <w:tab/>
        <w:t xml:space="preserve">Des informations sur la protection </w:t>
      </w:r>
      <w:r w:rsidR="00203C62" w:rsidRPr="00494098">
        <w:rPr>
          <w:lang w:val="fr-FR"/>
        </w:rPr>
        <w:t xml:space="preserve">dont </w:t>
      </w:r>
      <w:r w:rsidR="00BB2CF7">
        <w:rPr>
          <w:lang w:val="fr-FR"/>
        </w:rPr>
        <w:t xml:space="preserve">peuvent bénéficier </w:t>
      </w:r>
      <w:r w:rsidR="00203C62" w:rsidRPr="00494098">
        <w:rPr>
          <w:lang w:val="fr-FR"/>
        </w:rPr>
        <w:t xml:space="preserve"> les </w:t>
      </w:r>
      <w:r w:rsidRPr="00494098">
        <w:rPr>
          <w:lang w:val="fr-FR"/>
        </w:rPr>
        <w:t xml:space="preserve">victimes sont </w:t>
      </w:r>
      <w:r w:rsidR="00203C62" w:rsidRPr="00494098">
        <w:rPr>
          <w:lang w:val="fr-FR"/>
        </w:rPr>
        <w:t xml:space="preserve">régulièrement </w:t>
      </w:r>
      <w:r w:rsidRPr="00494098">
        <w:rPr>
          <w:lang w:val="fr-FR"/>
        </w:rPr>
        <w:t>fournies par les acteurs de l'application des lois</w:t>
      </w:r>
      <w:r w:rsidR="00AB47AF" w:rsidRPr="00494098">
        <w:rPr>
          <w:lang w:val="fr-FR"/>
        </w:rPr>
        <w:t xml:space="preserve">, et </w:t>
      </w:r>
      <w:r w:rsidRPr="00494098">
        <w:rPr>
          <w:lang w:val="fr-FR"/>
        </w:rPr>
        <w:t>les pro</w:t>
      </w:r>
      <w:r w:rsidRPr="00494098">
        <w:rPr>
          <w:lang w:val="fr-FR"/>
        </w:rPr>
        <w:lastRenderedPageBreak/>
        <w:t xml:space="preserve">cédures à suivre pour l’attribution du statut de victime </w:t>
      </w:r>
      <w:r w:rsidR="00203C62" w:rsidRPr="00494098">
        <w:rPr>
          <w:lang w:val="fr-FR"/>
        </w:rPr>
        <w:t>(</w:t>
      </w:r>
      <w:r w:rsidRPr="00494098">
        <w:rPr>
          <w:lang w:val="fr-FR"/>
        </w:rPr>
        <w:t xml:space="preserve">loi </w:t>
      </w:r>
      <w:r w:rsidR="00203C62" w:rsidRPr="00494098">
        <w:rPr>
          <w:lang w:val="fr-FR"/>
        </w:rPr>
        <w:t>n° </w:t>
      </w:r>
      <w:r w:rsidRPr="00494098">
        <w:rPr>
          <w:lang w:val="fr-FR"/>
        </w:rPr>
        <w:t>130/2015 du 4</w:t>
      </w:r>
      <w:r w:rsidR="00203C62" w:rsidRPr="00494098">
        <w:rPr>
          <w:lang w:val="fr-FR"/>
        </w:rPr>
        <w:t> octobre</w:t>
      </w:r>
      <w:r w:rsidRPr="00494098">
        <w:rPr>
          <w:lang w:val="fr-FR"/>
        </w:rPr>
        <w:t xml:space="preserve"> 2015) </w:t>
      </w:r>
      <w:r w:rsidR="00203C62" w:rsidRPr="00494098">
        <w:rPr>
          <w:lang w:val="fr-FR"/>
        </w:rPr>
        <w:t xml:space="preserve">ont été définies </w:t>
      </w:r>
      <w:r w:rsidRPr="00494098">
        <w:rPr>
          <w:lang w:val="fr-FR"/>
        </w:rPr>
        <w:t xml:space="preserve">par la Garde nationale républicaine (circulaire </w:t>
      </w:r>
      <w:r w:rsidR="00203C62" w:rsidRPr="00494098">
        <w:rPr>
          <w:lang w:val="fr-FR"/>
        </w:rPr>
        <w:t>n° </w:t>
      </w:r>
      <w:r w:rsidRPr="00494098">
        <w:rPr>
          <w:lang w:val="fr-FR"/>
        </w:rPr>
        <w:t>03/2017)</w:t>
      </w:r>
      <w:r w:rsidR="00203C62" w:rsidRPr="00494098">
        <w:rPr>
          <w:lang w:val="fr-FR"/>
        </w:rPr>
        <w:t>.</w:t>
      </w:r>
      <w:r w:rsidR="000F68BC" w:rsidRPr="00494098">
        <w:rPr>
          <w:lang w:val="fr-FR"/>
        </w:rPr>
        <w:t xml:space="preserve"> Depuis 2012, la P</w:t>
      </w:r>
      <w:r w:rsidRPr="00494098">
        <w:rPr>
          <w:lang w:val="fr-FR"/>
        </w:rPr>
        <w:t>olice de sécurité publique a reçu un nombre important de plaintes pour violence familiale et a amélioré le soutien accordé aux victimes (voir tableau</w:t>
      </w:r>
      <w:r w:rsidR="00203C62" w:rsidRPr="00494098">
        <w:rPr>
          <w:lang w:val="fr-FR"/>
        </w:rPr>
        <w:t> </w:t>
      </w:r>
      <w:r w:rsidRPr="00494098">
        <w:rPr>
          <w:lang w:val="fr-FR"/>
        </w:rPr>
        <w:t xml:space="preserve">9, </w:t>
      </w:r>
      <w:r w:rsidR="003B4E18" w:rsidRPr="00494098">
        <w:rPr>
          <w:lang w:val="fr-FR"/>
        </w:rPr>
        <w:t>annexe 1</w:t>
      </w:r>
      <w:r w:rsidRPr="00494098">
        <w:rPr>
          <w:lang w:val="fr-FR"/>
        </w:rPr>
        <w:t xml:space="preserve">). </w:t>
      </w:r>
    </w:p>
    <w:p w14:paraId="562FAF7C" w14:textId="77777777" w:rsidR="00077B75" w:rsidRPr="00494098" w:rsidRDefault="00077B75" w:rsidP="00480570">
      <w:pPr>
        <w:pStyle w:val="SingleTxtG"/>
        <w:rPr>
          <w:lang w:val="fr-FR"/>
        </w:rPr>
      </w:pPr>
      <w:r w:rsidRPr="00494098">
        <w:rPr>
          <w:lang w:val="fr-FR"/>
        </w:rPr>
        <w:t>105.</w:t>
      </w:r>
      <w:r w:rsidRPr="00494098">
        <w:rPr>
          <w:lang w:val="fr-FR"/>
        </w:rPr>
        <w:tab/>
        <w:t xml:space="preserve">Au sein de la Garde nationale républicaine, l'Unité d’enquête et de soutien </w:t>
      </w:r>
      <w:r w:rsidR="00FF1CFA" w:rsidRPr="00494098">
        <w:rPr>
          <w:lang w:val="fr-FR"/>
        </w:rPr>
        <w:t>aux</w:t>
      </w:r>
      <w:r w:rsidRPr="00494098">
        <w:rPr>
          <w:lang w:val="fr-FR"/>
        </w:rPr>
        <w:t xml:space="preserve"> victimes particulières a affecté des ressources à </w:t>
      </w:r>
      <w:r w:rsidR="00FF1CFA" w:rsidRPr="00494098">
        <w:rPr>
          <w:lang w:val="fr-FR"/>
        </w:rPr>
        <w:t>une</w:t>
      </w:r>
      <w:r w:rsidRPr="00494098">
        <w:rPr>
          <w:lang w:val="fr-FR"/>
        </w:rPr>
        <w:t xml:space="preserve"> formation initiale spécifique sur la violence familiale</w:t>
      </w:r>
      <w:r w:rsidR="00AB47AF" w:rsidRPr="00494098">
        <w:rPr>
          <w:lang w:val="fr-FR"/>
        </w:rPr>
        <w:t>,</w:t>
      </w:r>
      <w:r w:rsidRPr="00494098">
        <w:rPr>
          <w:lang w:val="fr-FR"/>
        </w:rPr>
        <w:t xml:space="preserve"> et vient en aide aux services du ministère public dans les enquêtes sur ce type d'infractions.</w:t>
      </w:r>
    </w:p>
    <w:p w14:paraId="7E6C0315" w14:textId="77777777" w:rsidR="00077B75" w:rsidRPr="00494098" w:rsidRDefault="00077B75" w:rsidP="00480570">
      <w:pPr>
        <w:pStyle w:val="SingleTxtG"/>
        <w:rPr>
          <w:lang w:val="fr-FR"/>
        </w:rPr>
      </w:pPr>
      <w:r w:rsidRPr="00494098">
        <w:rPr>
          <w:lang w:val="fr-FR"/>
        </w:rPr>
        <w:t>106.</w:t>
      </w:r>
      <w:r w:rsidRPr="00494098">
        <w:rPr>
          <w:lang w:val="fr-FR"/>
        </w:rPr>
        <w:tab/>
        <w:t>En ce qui concerne les plaintes, les forces de police ont enregistré 18</w:t>
      </w:r>
      <w:r w:rsidR="00AB47AF" w:rsidRPr="00494098">
        <w:rPr>
          <w:lang w:val="fr-FR"/>
        </w:rPr>
        <w:t> 184 </w:t>
      </w:r>
      <w:r w:rsidRPr="00494098">
        <w:rPr>
          <w:lang w:val="fr-FR"/>
        </w:rPr>
        <w:t>cas de violence familiale en 2015, dont 2</w:t>
      </w:r>
      <w:r w:rsidR="00FF1CFA" w:rsidRPr="00494098">
        <w:rPr>
          <w:lang w:val="fr-FR"/>
        </w:rPr>
        <w:t> </w:t>
      </w:r>
      <w:r w:rsidRPr="00494098">
        <w:rPr>
          <w:lang w:val="fr-FR"/>
        </w:rPr>
        <w:t>367 visant spécifiquement les abris ou les structures d’appui</w:t>
      </w:r>
      <w:r w:rsidR="006717A5" w:rsidRPr="00494098">
        <w:rPr>
          <w:lang w:val="fr-FR"/>
        </w:rPr>
        <w:t> ;</w:t>
      </w:r>
      <w:r w:rsidRPr="00494098">
        <w:rPr>
          <w:lang w:val="fr-FR"/>
        </w:rPr>
        <w:t xml:space="preserve"> </w:t>
      </w:r>
      <w:r w:rsidR="00FF1CFA" w:rsidRPr="00494098">
        <w:rPr>
          <w:lang w:val="fr-FR"/>
        </w:rPr>
        <w:t>e</w:t>
      </w:r>
      <w:r w:rsidRPr="00494098">
        <w:rPr>
          <w:lang w:val="fr-FR"/>
        </w:rPr>
        <w:t>n 2016, 15</w:t>
      </w:r>
      <w:r w:rsidR="00FF1CFA" w:rsidRPr="00494098">
        <w:rPr>
          <w:lang w:val="fr-FR"/>
        </w:rPr>
        <w:t> </w:t>
      </w:r>
      <w:r w:rsidRPr="00494098">
        <w:rPr>
          <w:lang w:val="fr-FR"/>
        </w:rPr>
        <w:t>435 cas ont été enregistrés, dont 1</w:t>
      </w:r>
      <w:r w:rsidR="00FF1CFA" w:rsidRPr="00494098">
        <w:rPr>
          <w:lang w:val="fr-FR"/>
        </w:rPr>
        <w:t> </w:t>
      </w:r>
      <w:r w:rsidRPr="00494098">
        <w:rPr>
          <w:lang w:val="fr-FR"/>
        </w:rPr>
        <w:t xml:space="preserve">598 visant spécifiquement ces mêmes lieux. </w:t>
      </w:r>
    </w:p>
    <w:p w14:paraId="10BF3112" w14:textId="77777777" w:rsidR="00077B75" w:rsidRPr="00494098" w:rsidRDefault="00077B75" w:rsidP="00480570">
      <w:pPr>
        <w:pStyle w:val="SingleTxtG"/>
        <w:rPr>
          <w:lang w:val="fr-FR"/>
        </w:rPr>
      </w:pPr>
      <w:r w:rsidRPr="00494098">
        <w:rPr>
          <w:lang w:val="fr-FR"/>
        </w:rPr>
        <w:t>107.</w:t>
      </w:r>
      <w:r w:rsidRPr="00494098">
        <w:rPr>
          <w:lang w:val="fr-FR"/>
        </w:rPr>
        <w:tab/>
        <w:t xml:space="preserve">Voir le </w:t>
      </w:r>
      <w:r w:rsidR="003B4E18" w:rsidRPr="00494098">
        <w:rPr>
          <w:lang w:val="fr-FR"/>
        </w:rPr>
        <w:t>tableau 1</w:t>
      </w:r>
      <w:r w:rsidRPr="00494098">
        <w:rPr>
          <w:lang w:val="fr-FR"/>
        </w:rPr>
        <w:t xml:space="preserve">0 des statistiques </w:t>
      </w:r>
      <w:r w:rsidR="00AB47AF" w:rsidRPr="00494098">
        <w:rPr>
          <w:lang w:val="fr-FR"/>
        </w:rPr>
        <w:t xml:space="preserve">des années 2014 et 2015 </w:t>
      </w:r>
      <w:r w:rsidRPr="00494098">
        <w:rPr>
          <w:lang w:val="fr-FR"/>
        </w:rPr>
        <w:t>sur les affaires pénales</w:t>
      </w:r>
      <w:r w:rsidR="00AB47AF" w:rsidRPr="00494098">
        <w:rPr>
          <w:lang w:val="fr-FR"/>
        </w:rPr>
        <w:t xml:space="preserve"> et les </w:t>
      </w:r>
      <w:r w:rsidRPr="00494098">
        <w:rPr>
          <w:lang w:val="fr-FR"/>
        </w:rPr>
        <w:t>accusés en première instance</w:t>
      </w:r>
      <w:r w:rsidR="000F68BC" w:rsidRPr="00494098">
        <w:rPr>
          <w:lang w:val="fr-FR"/>
        </w:rPr>
        <w:t>,</w:t>
      </w:r>
      <w:r w:rsidRPr="00494098">
        <w:rPr>
          <w:lang w:val="fr-FR"/>
        </w:rPr>
        <w:t xml:space="preserve"> </w:t>
      </w:r>
      <w:r w:rsidR="00FF1CFA" w:rsidRPr="00494098">
        <w:rPr>
          <w:lang w:val="fr-FR"/>
        </w:rPr>
        <w:t>pour</w:t>
      </w:r>
      <w:r w:rsidRPr="00494098">
        <w:rPr>
          <w:lang w:val="fr-FR"/>
        </w:rPr>
        <w:t xml:space="preserve"> certaines infractions commises contre des mineurs, (</w:t>
      </w:r>
      <w:r w:rsidRPr="00494098">
        <w:rPr>
          <w:i/>
          <w:lang w:val="fr-FR"/>
        </w:rPr>
        <w:t>Source</w:t>
      </w:r>
      <w:r w:rsidR="00090CBF" w:rsidRPr="00494098">
        <w:rPr>
          <w:lang w:val="fr-FR"/>
        </w:rPr>
        <w:t> :</w:t>
      </w:r>
      <w:r w:rsidRPr="00494098">
        <w:rPr>
          <w:lang w:val="fr-FR"/>
        </w:rPr>
        <w:t xml:space="preserve"> Ministère de la justice)</w:t>
      </w:r>
      <w:r w:rsidR="00AB47AF" w:rsidRPr="00494098">
        <w:rPr>
          <w:lang w:val="fr-FR"/>
        </w:rPr>
        <w:t>.</w:t>
      </w:r>
    </w:p>
    <w:p w14:paraId="11CA3D82" w14:textId="77777777" w:rsidR="00077B75" w:rsidRPr="00494098" w:rsidRDefault="00077B75" w:rsidP="00580754">
      <w:pPr>
        <w:pStyle w:val="H4G"/>
        <w:rPr>
          <w:lang w:val="fr-FR"/>
        </w:rPr>
      </w:pPr>
      <w:r w:rsidRPr="00494098">
        <w:rPr>
          <w:lang w:val="fr-FR"/>
        </w:rPr>
        <w:tab/>
      </w:r>
      <w:r w:rsidRPr="00494098">
        <w:rPr>
          <w:lang w:val="fr-FR"/>
        </w:rPr>
        <w:tab/>
        <w:t xml:space="preserve">Accès à la santé </w:t>
      </w:r>
      <w:bookmarkStart w:id="88" w:name="_Toc530057495"/>
      <w:bookmarkEnd w:id="88"/>
    </w:p>
    <w:p w14:paraId="16A66006" w14:textId="77777777" w:rsidR="00077B75" w:rsidRPr="00494098" w:rsidRDefault="00077B75" w:rsidP="00480570">
      <w:pPr>
        <w:pStyle w:val="SingleTxtG"/>
        <w:rPr>
          <w:lang w:val="fr-FR"/>
        </w:rPr>
      </w:pPr>
      <w:r w:rsidRPr="00494098">
        <w:rPr>
          <w:lang w:val="fr-FR"/>
        </w:rPr>
        <w:t>108.</w:t>
      </w:r>
      <w:r w:rsidRPr="00494098">
        <w:rPr>
          <w:lang w:val="fr-FR"/>
        </w:rPr>
        <w:tab/>
        <w:t>L’accès des victimes aux services de santé, y compris la réadaptation physique et psychologique est assuré. L'Action de santé pour les enfants et les adolescents à risque dispose d’un réseau de relais dans les hôpitaux</w:t>
      </w:r>
      <w:r w:rsidR="00AB47AF" w:rsidRPr="00494098">
        <w:rPr>
          <w:lang w:val="fr-FR"/>
        </w:rPr>
        <w:t>,</w:t>
      </w:r>
      <w:r w:rsidRPr="00494098">
        <w:rPr>
          <w:lang w:val="fr-FR"/>
        </w:rPr>
        <w:t xml:space="preserve"> et d'équipes pluridisciplinaires de soins de santé primaires qui offrent un soutien et des conseils en santé physique et mentale. </w:t>
      </w:r>
      <w:r w:rsidR="00AB47AF" w:rsidRPr="00494098">
        <w:rPr>
          <w:lang w:val="fr-FR"/>
        </w:rPr>
        <w:t xml:space="preserve">Ce </w:t>
      </w:r>
      <w:r w:rsidR="00AB47AF" w:rsidRPr="00494098">
        <w:rPr>
          <w:lang w:val="fr-FR"/>
        </w:rPr>
        <w:lastRenderedPageBreak/>
        <w:t>mécanisme joue</w:t>
      </w:r>
      <w:r w:rsidRPr="00494098">
        <w:rPr>
          <w:lang w:val="fr-FR"/>
        </w:rPr>
        <w:t xml:space="preserve"> un rôle important dans la collaboration avec d’autres institutions </w:t>
      </w:r>
      <w:r w:rsidR="000F68BC" w:rsidRPr="00494098">
        <w:rPr>
          <w:lang w:val="fr-FR"/>
        </w:rPr>
        <w:t xml:space="preserve">travaillant au </w:t>
      </w:r>
      <w:r w:rsidRPr="00494098">
        <w:rPr>
          <w:lang w:val="fr-FR"/>
        </w:rPr>
        <w:t xml:space="preserve">soutien </w:t>
      </w:r>
      <w:r w:rsidR="000F68BC" w:rsidRPr="00494098">
        <w:rPr>
          <w:lang w:val="fr-FR"/>
        </w:rPr>
        <w:t>des</w:t>
      </w:r>
      <w:r w:rsidRPr="00494098">
        <w:rPr>
          <w:lang w:val="fr-FR"/>
        </w:rPr>
        <w:t xml:space="preserve"> enfants et </w:t>
      </w:r>
      <w:r w:rsidR="000F68BC" w:rsidRPr="00494098">
        <w:rPr>
          <w:lang w:val="fr-FR"/>
        </w:rPr>
        <w:t xml:space="preserve">des </w:t>
      </w:r>
      <w:r w:rsidRPr="00494098">
        <w:rPr>
          <w:lang w:val="fr-FR"/>
        </w:rPr>
        <w:t xml:space="preserve">familles vulnérables. </w:t>
      </w:r>
    </w:p>
    <w:p w14:paraId="07BE77B6" w14:textId="77777777" w:rsidR="00077B75" w:rsidRPr="00494098" w:rsidRDefault="00077B75" w:rsidP="00480570">
      <w:pPr>
        <w:pStyle w:val="SingleTxtG"/>
        <w:rPr>
          <w:lang w:val="fr-FR"/>
        </w:rPr>
      </w:pPr>
      <w:r w:rsidRPr="00494098">
        <w:rPr>
          <w:lang w:val="fr-FR"/>
        </w:rPr>
        <w:t>109.</w:t>
      </w:r>
      <w:r w:rsidRPr="00494098">
        <w:rPr>
          <w:lang w:val="fr-FR"/>
        </w:rPr>
        <w:tab/>
        <w:t>Le soutien psychologique est fourni par les services d’appui aux victimes, qui prennent en charge le soutien psychosocial, l’évaluation des risques et l'évaluation de l’aide psychosociale, l’évaluation des besoins sociaux des victimes, ainsi que l'information et l'assistance juridiques.</w:t>
      </w:r>
    </w:p>
    <w:p w14:paraId="31033711" w14:textId="77777777" w:rsidR="00077B75" w:rsidRPr="00494098" w:rsidRDefault="00077B75" w:rsidP="00480570">
      <w:pPr>
        <w:pStyle w:val="SingleTxtG"/>
        <w:rPr>
          <w:lang w:val="fr-FR"/>
        </w:rPr>
      </w:pPr>
      <w:r w:rsidRPr="00494098">
        <w:rPr>
          <w:lang w:val="fr-FR"/>
        </w:rPr>
        <w:t>110.</w:t>
      </w:r>
      <w:r w:rsidRPr="00494098">
        <w:rPr>
          <w:lang w:val="fr-FR"/>
        </w:rPr>
        <w:tab/>
        <w:t>En 2016, un centre de crise pour les femmes et les filles victimes de violence</w:t>
      </w:r>
      <w:r w:rsidR="00407A27" w:rsidRPr="00494098">
        <w:rPr>
          <w:lang w:val="fr-FR"/>
        </w:rPr>
        <w:t>s</w:t>
      </w:r>
      <w:r w:rsidRPr="00494098">
        <w:rPr>
          <w:lang w:val="fr-FR"/>
        </w:rPr>
        <w:t xml:space="preserve"> sexuelle</w:t>
      </w:r>
      <w:r w:rsidR="00407A27" w:rsidRPr="00494098">
        <w:rPr>
          <w:lang w:val="fr-FR"/>
        </w:rPr>
        <w:t>s</w:t>
      </w:r>
      <w:r w:rsidRPr="00494098">
        <w:rPr>
          <w:lang w:val="fr-FR"/>
        </w:rPr>
        <w:t xml:space="preserve"> a été ouvert à Lisbonne</w:t>
      </w:r>
      <w:r w:rsidR="006717A5" w:rsidRPr="00494098">
        <w:rPr>
          <w:lang w:val="fr-FR"/>
        </w:rPr>
        <w:t> ;</w:t>
      </w:r>
      <w:r w:rsidRPr="00494098">
        <w:rPr>
          <w:lang w:val="fr-FR"/>
        </w:rPr>
        <w:t xml:space="preserve"> il offre </w:t>
      </w:r>
      <w:r w:rsidR="00407A27" w:rsidRPr="00494098">
        <w:rPr>
          <w:lang w:val="fr-FR"/>
        </w:rPr>
        <w:t xml:space="preserve">à ces personnes </w:t>
      </w:r>
      <w:r w:rsidRPr="00494098">
        <w:rPr>
          <w:lang w:val="fr-FR"/>
        </w:rPr>
        <w:t>un soutien psychosocial</w:t>
      </w:r>
      <w:r w:rsidR="00407A27" w:rsidRPr="00494098">
        <w:rPr>
          <w:lang w:val="fr-FR"/>
        </w:rPr>
        <w:t xml:space="preserve"> général et/ou</w:t>
      </w:r>
      <w:r w:rsidRPr="00494098">
        <w:rPr>
          <w:lang w:val="fr-FR"/>
        </w:rPr>
        <w:t xml:space="preserve"> individualisé</w:t>
      </w:r>
      <w:r w:rsidR="00407A27" w:rsidRPr="00494098">
        <w:rPr>
          <w:lang w:val="fr-FR"/>
        </w:rPr>
        <w:t>,</w:t>
      </w:r>
      <w:r w:rsidRPr="00494098">
        <w:rPr>
          <w:lang w:val="fr-FR"/>
        </w:rPr>
        <w:t xml:space="preserve"> au moyen d’un réseau de services spécialisés dans la sensibilisation, la prévention des risques et la victimisation secondaire.</w:t>
      </w:r>
    </w:p>
    <w:p w14:paraId="6364589F" w14:textId="77777777" w:rsidR="00077B75" w:rsidRPr="00494098" w:rsidRDefault="00077B75" w:rsidP="00580754">
      <w:pPr>
        <w:pStyle w:val="H4G"/>
        <w:rPr>
          <w:lang w:val="fr-FR"/>
        </w:rPr>
      </w:pPr>
      <w:r w:rsidRPr="00494098">
        <w:rPr>
          <w:lang w:val="fr-FR"/>
        </w:rPr>
        <w:tab/>
      </w:r>
      <w:r w:rsidRPr="00494098">
        <w:rPr>
          <w:lang w:val="fr-FR"/>
        </w:rPr>
        <w:tab/>
      </w:r>
      <w:r w:rsidRPr="00494098">
        <w:rPr>
          <w:iCs/>
          <w:lang w:val="fr-FR"/>
        </w:rPr>
        <w:t>Formation</w:t>
      </w:r>
      <w:bookmarkStart w:id="89" w:name="_Toc530057496"/>
      <w:bookmarkEnd w:id="89"/>
    </w:p>
    <w:p w14:paraId="1BA8B69D" w14:textId="77777777" w:rsidR="00077B75" w:rsidRPr="00494098" w:rsidRDefault="00077B75" w:rsidP="00480570">
      <w:pPr>
        <w:pStyle w:val="SingleTxtG"/>
        <w:rPr>
          <w:lang w:val="fr-FR"/>
        </w:rPr>
      </w:pPr>
      <w:r w:rsidRPr="00494098">
        <w:rPr>
          <w:lang w:val="fr-FR"/>
        </w:rPr>
        <w:t>111.</w:t>
      </w:r>
      <w:r w:rsidRPr="00494098">
        <w:rPr>
          <w:lang w:val="fr-FR"/>
        </w:rPr>
        <w:tab/>
        <w:t xml:space="preserve">Les professionnels travaillant avec et pour les enfants, en particulier les juges, les policiers, les agents de la sécurité sociale et les professionnels de la santé, suivent régulièrement et à des niveaux divers des formations en matière de violence familiale, de prévention et de détection de la violence et de la maltraitance à l'encontre des enfants. </w:t>
      </w:r>
    </w:p>
    <w:p w14:paraId="32725943" w14:textId="77777777" w:rsidR="00077B75" w:rsidRPr="00494098" w:rsidRDefault="00077B75" w:rsidP="00480570">
      <w:pPr>
        <w:pStyle w:val="SingleTxtG"/>
        <w:rPr>
          <w:lang w:val="fr-FR"/>
        </w:rPr>
      </w:pPr>
      <w:r w:rsidRPr="00494098">
        <w:rPr>
          <w:lang w:val="fr-FR"/>
        </w:rPr>
        <w:t>112.</w:t>
      </w:r>
      <w:r w:rsidRPr="00494098">
        <w:rPr>
          <w:lang w:val="fr-FR"/>
        </w:rPr>
        <w:tab/>
      </w:r>
      <w:r w:rsidR="00C70B29" w:rsidRPr="00494098">
        <w:rPr>
          <w:lang w:val="fr-FR"/>
        </w:rPr>
        <w:t xml:space="preserve">Au sein du </w:t>
      </w:r>
      <w:r w:rsidRPr="00494098">
        <w:rPr>
          <w:lang w:val="fr-FR"/>
        </w:rPr>
        <w:t>système national de promotion et de protection des droits de l’enfant, des représentants de tous les secteurs (éducation, san</w:t>
      </w:r>
      <w:r w:rsidR="00714825" w:rsidRPr="00494098">
        <w:rPr>
          <w:lang w:val="fr-FR"/>
        </w:rPr>
        <w:t>té, justice et services sociaux</w:t>
      </w:r>
      <w:r w:rsidRPr="00494098">
        <w:rPr>
          <w:lang w:val="fr-FR"/>
        </w:rPr>
        <w:t>) travaillent en étroite collaboration avec la Commission nationale pour la promotion des droits et la protection des enfants et des adolescents</w:t>
      </w:r>
      <w:r w:rsidR="00714825" w:rsidRPr="00494098">
        <w:rPr>
          <w:lang w:val="fr-FR"/>
        </w:rPr>
        <w:t>,</w:t>
      </w:r>
      <w:r w:rsidRPr="00494098">
        <w:rPr>
          <w:lang w:val="fr-FR"/>
        </w:rPr>
        <w:t xml:space="preserve"> </w:t>
      </w:r>
      <w:r w:rsidR="00714825" w:rsidRPr="00494098">
        <w:rPr>
          <w:lang w:val="fr-FR"/>
        </w:rPr>
        <w:t xml:space="preserve">ainsi qu’avec </w:t>
      </w:r>
      <w:r w:rsidRPr="00494098">
        <w:rPr>
          <w:lang w:val="fr-FR"/>
        </w:rPr>
        <w:t>les commissions locales</w:t>
      </w:r>
      <w:r w:rsidR="00C70B29" w:rsidRPr="00494098">
        <w:rPr>
          <w:lang w:val="fr-FR"/>
        </w:rPr>
        <w:t>,</w:t>
      </w:r>
      <w:r w:rsidRPr="00494098">
        <w:rPr>
          <w:lang w:val="fr-FR"/>
        </w:rPr>
        <w:t xml:space="preserve"> </w:t>
      </w:r>
      <w:r w:rsidR="00C70B29" w:rsidRPr="00494098">
        <w:rPr>
          <w:lang w:val="fr-FR"/>
        </w:rPr>
        <w:t xml:space="preserve">afin </w:t>
      </w:r>
      <w:r w:rsidRPr="00494098">
        <w:rPr>
          <w:lang w:val="fr-FR"/>
        </w:rPr>
        <w:t xml:space="preserve">de déterminer les risques de </w:t>
      </w:r>
      <w:r w:rsidRPr="00494098">
        <w:rPr>
          <w:lang w:val="fr-FR"/>
        </w:rPr>
        <w:lastRenderedPageBreak/>
        <w:t xml:space="preserve">maltraitance et de négligence envers les enfants, tels que le décrochage scolaire précoce, l'absentéisme scolaire et la maltraitance des enfants. </w:t>
      </w:r>
    </w:p>
    <w:p w14:paraId="67D729F7" w14:textId="77777777" w:rsidR="00077B75" w:rsidRPr="00494098" w:rsidRDefault="00077B75" w:rsidP="00480570">
      <w:pPr>
        <w:pStyle w:val="SingleTxtG"/>
        <w:rPr>
          <w:lang w:val="fr-FR"/>
        </w:rPr>
      </w:pPr>
      <w:r w:rsidRPr="00494098">
        <w:rPr>
          <w:lang w:val="fr-FR"/>
        </w:rPr>
        <w:t>113.</w:t>
      </w:r>
      <w:r w:rsidRPr="00494098">
        <w:rPr>
          <w:lang w:val="fr-FR"/>
        </w:rPr>
        <w:tab/>
        <w:t>Depuis 2012, sur la base du Manuel à l’intention des professionnels de l’éducation, la Commission nationale pour la promotion des droits et la protection des enfants et des adolescents lanc</w:t>
      </w:r>
      <w:r w:rsidR="00A719E2" w:rsidRPr="00494098">
        <w:rPr>
          <w:lang w:val="fr-FR"/>
        </w:rPr>
        <w:t>e</w:t>
      </w:r>
      <w:r w:rsidRPr="00494098">
        <w:rPr>
          <w:lang w:val="fr-FR"/>
        </w:rPr>
        <w:t xml:space="preserve"> chaque année</w:t>
      </w:r>
      <w:r w:rsidR="001135E1" w:rsidRPr="00494098">
        <w:rPr>
          <w:lang w:val="fr-FR"/>
        </w:rPr>
        <w:t xml:space="preserve"> un ou deux cours en ligne,</w:t>
      </w:r>
      <w:r w:rsidRPr="00494098">
        <w:rPr>
          <w:lang w:val="fr-FR"/>
        </w:rPr>
        <w:t xml:space="preserve"> sans aucune dépense spécifique et en partenariat avec le Ministère de l'éducation, principalement </w:t>
      </w:r>
      <w:r w:rsidR="001135E1" w:rsidRPr="00494098">
        <w:rPr>
          <w:lang w:val="fr-FR"/>
        </w:rPr>
        <w:t xml:space="preserve">à destination des </w:t>
      </w:r>
      <w:r w:rsidRPr="00494098">
        <w:rPr>
          <w:lang w:val="fr-FR"/>
        </w:rPr>
        <w:t xml:space="preserve">enseignants qui travaillent dans les Commissions locales pour la protection des enfants et des jeunes. </w:t>
      </w:r>
    </w:p>
    <w:p w14:paraId="4471E5A3" w14:textId="77777777" w:rsidR="00077B75" w:rsidRPr="00494098" w:rsidRDefault="00077B75" w:rsidP="00480570">
      <w:pPr>
        <w:pStyle w:val="SingleTxtG"/>
        <w:rPr>
          <w:lang w:val="fr-FR"/>
        </w:rPr>
      </w:pPr>
      <w:r w:rsidRPr="00494098">
        <w:rPr>
          <w:lang w:val="fr-FR"/>
        </w:rPr>
        <w:t>114.</w:t>
      </w:r>
      <w:r w:rsidRPr="00494098">
        <w:rPr>
          <w:lang w:val="fr-FR"/>
        </w:rPr>
        <w:tab/>
        <w:t>Les enseignants suivent de 25 à 50</w:t>
      </w:r>
      <w:r w:rsidR="00A719E2" w:rsidRPr="00494098">
        <w:rPr>
          <w:lang w:val="fr-FR"/>
        </w:rPr>
        <w:t> </w:t>
      </w:r>
      <w:r w:rsidRPr="00494098">
        <w:rPr>
          <w:lang w:val="fr-FR"/>
        </w:rPr>
        <w:t>heures de formation.</w:t>
      </w:r>
    </w:p>
    <w:p w14:paraId="6083702F" w14:textId="77777777" w:rsidR="00077B75" w:rsidRPr="00494098" w:rsidRDefault="00077B75" w:rsidP="00580754">
      <w:pPr>
        <w:pStyle w:val="H4G"/>
        <w:rPr>
          <w:lang w:val="fr-FR"/>
        </w:rPr>
      </w:pPr>
      <w:r w:rsidRPr="00494098">
        <w:rPr>
          <w:lang w:val="fr-FR"/>
        </w:rPr>
        <w:tab/>
      </w:r>
      <w:r w:rsidRPr="00494098">
        <w:rPr>
          <w:lang w:val="fr-FR"/>
        </w:rPr>
        <w:tab/>
        <w:t>Enquêtes et poursuites des auteurs, et données statistiques</w:t>
      </w:r>
      <w:bookmarkStart w:id="90" w:name="_Toc530057497"/>
      <w:bookmarkEnd w:id="90"/>
    </w:p>
    <w:p w14:paraId="2D73B057" w14:textId="77777777" w:rsidR="00077B75" w:rsidRPr="00494098" w:rsidRDefault="00897003" w:rsidP="00480570">
      <w:pPr>
        <w:pStyle w:val="SingleTxtG"/>
        <w:rPr>
          <w:lang w:val="fr-FR"/>
        </w:rPr>
      </w:pPr>
      <w:r w:rsidRPr="00494098">
        <w:rPr>
          <w:lang w:val="fr-FR"/>
        </w:rPr>
        <w:t>115.</w:t>
      </w:r>
      <w:r w:rsidRPr="00494098">
        <w:rPr>
          <w:lang w:val="fr-FR"/>
        </w:rPr>
        <w:tab/>
        <w:t>L’annexe </w:t>
      </w:r>
      <w:r w:rsidR="00077B75" w:rsidRPr="00494098">
        <w:rPr>
          <w:lang w:val="fr-FR"/>
        </w:rPr>
        <w:t xml:space="preserve">2 rassemble des informations sur les personnes condamnées </w:t>
      </w:r>
      <w:r w:rsidR="009326B2" w:rsidRPr="00494098">
        <w:rPr>
          <w:lang w:val="fr-FR"/>
        </w:rPr>
        <w:t>au pénal pour certaines infractions contre des mineurs en 2014 et 2015</w:t>
      </w:r>
      <w:r w:rsidR="00077B75" w:rsidRPr="00494098">
        <w:rPr>
          <w:lang w:val="fr-FR"/>
        </w:rPr>
        <w:t>, au stade de la première instance (</w:t>
      </w:r>
      <w:r w:rsidR="00077B75" w:rsidRPr="00494098">
        <w:rPr>
          <w:i/>
          <w:lang w:val="fr-FR"/>
        </w:rPr>
        <w:t>source</w:t>
      </w:r>
      <w:r w:rsidR="00090CBF" w:rsidRPr="00494098">
        <w:rPr>
          <w:lang w:val="fr-FR"/>
        </w:rPr>
        <w:t> :</w:t>
      </w:r>
      <w:r w:rsidR="00077B75" w:rsidRPr="00494098">
        <w:rPr>
          <w:lang w:val="fr-FR"/>
        </w:rPr>
        <w:t xml:space="preserve"> Ministère de la justice).</w:t>
      </w:r>
    </w:p>
    <w:p w14:paraId="4A40B759" w14:textId="1A9A8545" w:rsidR="00077B75" w:rsidRPr="00494098" w:rsidRDefault="00077B75" w:rsidP="00480570">
      <w:pPr>
        <w:pStyle w:val="SingleTxtG"/>
        <w:rPr>
          <w:lang w:val="fr-FR"/>
        </w:rPr>
      </w:pPr>
      <w:r w:rsidRPr="00494098">
        <w:rPr>
          <w:lang w:val="fr-FR"/>
        </w:rPr>
        <w:t>116.</w:t>
      </w:r>
      <w:r w:rsidRPr="00494098">
        <w:rPr>
          <w:lang w:val="fr-FR"/>
        </w:rPr>
        <w:tab/>
      </w:r>
      <w:r w:rsidR="007A0478" w:rsidRPr="00494098">
        <w:rPr>
          <w:lang w:val="fr-FR"/>
        </w:rPr>
        <w:t>Comme indiqué plus haut, l</w:t>
      </w:r>
      <w:r w:rsidRPr="00494098">
        <w:rPr>
          <w:lang w:val="fr-FR"/>
        </w:rPr>
        <w:t>e Ministère de la j</w:t>
      </w:r>
      <w:r w:rsidR="00897003" w:rsidRPr="00494098">
        <w:rPr>
          <w:lang w:val="fr-FR"/>
        </w:rPr>
        <w:t>ustice a mis au point une plate</w:t>
      </w:r>
      <w:r w:rsidRPr="00494098">
        <w:rPr>
          <w:lang w:val="fr-FR"/>
        </w:rPr>
        <w:t>forme numérique des services et des</w:t>
      </w:r>
      <w:r w:rsidR="007A0478" w:rsidRPr="00494098">
        <w:rPr>
          <w:lang w:val="fr-FR"/>
        </w:rPr>
        <w:t xml:space="preserve"> statistiques (justice.gov.pt) </w:t>
      </w:r>
      <w:r w:rsidRPr="00494098">
        <w:rPr>
          <w:lang w:val="fr-FR"/>
        </w:rPr>
        <w:t>(</w:t>
      </w:r>
      <w:r w:rsidRPr="00F84440">
        <w:rPr>
          <w:highlight w:val="yellow"/>
          <w:lang w:val="fr-FR"/>
        </w:rPr>
        <w:t>réponse</w:t>
      </w:r>
      <w:r w:rsidRPr="00494098">
        <w:rPr>
          <w:lang w:val="fr-FR"/>
        </w:rPr>
        <w:t xml:space="preserve"> au </w:t>
      </w:r>
      <w:r w:rsidR="00872592" w:rsidRPr="00494098">
        <w:rPr>
          <w:lang w:val="fr-FR"/>
        </w:rPr>
        <w:t>par</w:t>
      </w:r>
      <w:r w:rsidR="002628E6">
        <w:rPr>
          <w:lang w:val="fr-FR"/>
        </w:rPr>
        <w:t>agraphe</w:t>
      </w:r>
      <w:r w:rsidR="00872592" w:rsidRPr="00494098">
        <w:rPr>
          <w:lang w:val="fr-FR"/>
        </w:rPr>
        <w:t> 1</w:t>
      </w:r>
      <w:r w:rsidRPr="00494098">
        <w:rPr>
          <w:lang w:val="fr-FR"/>
        </w:rPr>
        <w:t xml:space="preserve">8 </w:t>
      </w:r>
      <w:r w:rsidR="00872592" w:rsidRPr="00494098">
        <w:rPr>
          <w:lang w:val="fr-FR"/>
        </w:rPr>
        <w:t xml:space="preserve">des </w:t>
      </w:r>
      <w:r w:rsidR="002628E6">
        <w:rPr>
          <w:lang w:val="fr-FR"/>
        </w:rPr>
        <w:t>o</w:t>
      </w:r>
      <w:r w:rsidR="00916D99" w:rsidRPr="00494098">
        <w:rPr>
          <w:lang w:val="fr-FR"/>
        </w:rPr>
        <w:t>bservations finales - CRC/C/PRT/CO/3-4</w:t>
      </w:r>
      <w:r w:rsidR="00872592" w:rsidRPr="00494098">
        <w:rPr>
          <w:lang w:val="fr-FR"/>
        </w:rPr>
        <w:t>)</w:t>
      </w:r>
      <w:r w:rsidR="007A0478" w:rsidRPr="00494098">
        <w:rPr>
          <w:lang w:val="fr-FR"/>
        </w:rPr>
        <w:t>.</w:t>
      </w:r>
    </w:p>
    <w:p w14:paraId="2FC69E96" w14:textId="77777777" w:rsidR="00077B75" w:rsidRPr="00494098" w:rsidRDefault="00077B75" w:rsidP="00CE24DB">
      <w:pPr>
        <w:pStyle w:val="H4G"/>
        <w:rPr>
          <w:lang w:val="fr-FR"/>
        </w:rPr>
      </w:pPr>
      <w:r w:rsidRPr="00494098">
        <w:rPr>
          <w:lang w:val="fr-FR"/>
        </w:rPr>
        <w:tab/>
      </w:r>
      <w:r w:rsidRPr="00494098">
        <w:rPr>
          <w:lang w:val="fr-FR"/>
        </w:rPr>
        <w:tab/>
      </w:r>
      <w:r w:rsidRPr="00494098">
        <w:rPr>
          <w:iCs/>
          <w:lang w:val="fr-FR"/>
        </w:rPr>
        <w:t xml:space="preserve">Coopération avec </w:t>
      </w:r>
      <w:r w:rsidRPr="00F84440">
        <w:rPr>
          <w:iCs/>
          <w:highlight w:val="yellow"/>
          <w:lang w:val="fr-FR"/>
        </w:rPr>
        <w:t>la Représentante spéciale chargée de la question de la violence à l’encontre des enfants</w:t>
      </w:r>
      <w:bookmarkStart w:id="91" w:name="_Toc530057498"/>
      <w:bookmarkEnd w:id="91"/>
    </w:p>
    <w:p w14:paraId="71BE9E61" w14:textId="127C7E48" w:rsidR="00077B75" w:rsidRPr="00494098" w:rsidRDefault="00077B75" w:rsidP="00480570">
      <w:pPr>
        <w:pStyle w:val="SingleTxtG"/>
        <w:rPr>
          <w:lang w:val="fr-FR"/>
        </w:rPr>
      </w:pPr>
      <w:r w:rsidRPr="00494098">
        <w:rPr>
          <w:lang w:val="fr-FR"/>
        </w:rPr>
        <w:t>117.</w:t>
      </w:r>
      <w:r w:rsidRPr="00494098">
        <w:rPr>
          <w:lang w:val="fr-FR"/>
        </w:rPr>
        <w:tab/>
        <w:t>Le Portugal soutient activement les travaux de la Représentante spéciale du Secrétaire général chargée de la question de la violence à l'encontre les en</w:t>
      </w:r>
      <w:r w:rsidRPr="00494098">
        <w:rPr>
          <w:lang w:val="fr-FR"/>
        </w:rPr>
        <w:lastRenderedPageBreak/>
        <w:t>fants</w:t>
      </w:r>
      <w:r w:rsidR="007222C9" w:rsidRPr="00494098">
        <w:rPr>
          <w:lang w:val="fr-FR"/>
        </w:rPr>
        <w:t>,</w:t>
      </w:r>
      <w:r w:rsidRPr="00494098">
        <w:rPr>
          <w:lang w:val="fr-FR"/>
        </w:rPr>
        <w:t xml:space="preserve"> et a coopéré avec son Bureau à de nombreuses reprises, notamment par la tenue</w:t>
      </w:r>
      <w:r w:rsidR="001135E1" w:rsidRPr="00494098">
        <w:rPr>
          <w:lang w:val="fr-FR"/>
        </w:rPr>
        <w:t>, en 2014,</w:t>
      </w:r>
      <w:r w:rsidRPr="00494098">
        <w:rPr>
          <w:lang w:val="fr-FR"/>
        </w:rPr>
        <w:t xml:space="preserve"> d’une réunion de la Commission nationale des droits de l’homme avec </w:t>
      </w:r>
      <w:r w:rsidR="001135E1" w:rsidRPr="00494098">
        <w:rPr>
          <w:lang w:val="fr-FR"/>
        </w:rPr>
        <w:t xml:space="preserve">la Représentante spéciale </w:t>
      </w:r>
      <w:r w:rsidRPr="00494098">
        <w:rPr>
          <w:lang w:val="fr-FR"/>
        </w:rPr>
        <w:t xml:space="preserve">et des organisations de la société civile. Le Portugal contribue de manière systématique aux rapports rédigés dans le domaine des droits de </w:t>
      </w:r>
      <w:r w:rsidR="00105740">
        <w:rPr>
          <w:lang w:val="fr-FR"/>
        </w:rPr>
        <w:t>l’</w:t>
      </w:r>
      <w:r w:rsidRPr="00494098">
        <w:rPr>
          <w:lang w:val="fr-FR"/>
        </w:rPr>
        <w:t>enfant et est un partenaire actif des droits de l’enfant sur la scène internationale, à savoir au Conseil des droits de l’homme et au sein de la troisième Commission de l’Assemblée générale des Nations Unies.</w:t>
      </w:r>
    </w:p>
    <w:p w14:paraId="38CEF0CA" w14:textId="4D0542A8" w:rsidR="00077B75" w:rsidRPr="00494098" w:rsidRDefault="00077B75" w:rsidP="00DE50C2">
      <w:pPr>
        <w:pStyle w:val="H23G"/>
        <w:rPr>
          <w:lang w:val="fr-FR"/>
        </w:rPr>
      </w:pPr>
      <w:r w:rsidRPr="00494098">
        <w:rPr>
          <w:lang w:val="fr-FR"/>
        </w:rPr>
        <w:tab/>
      </w:r>
      <w:r w:rsidRPr="00494098">
        <w:rPr>
          <w:lang w:val="fr-FR"/>
        </w:rPr>
        <w:tab/>
      </w:r>
      <w:r w:rsidRPr="00494098">
        <w:rPr>
          <w:bCs/>
          <w:lang w:val="fr-FR"/>
        </w:rPr>
        <w:t>Tauromachie (par</w:t>
      </w:r>
      <w:r w:rsidR="007222C9" w:rsidRPr="00494098">
        <w:rPr>
          <w:bCs/>
          <w:lang w:val="fr-FR"/>
        </w:rPr>
        <w:t>.</w:t>
      </w:r>
      <w:r w:rsidRPr="00494098">
        <w:rPr>
          <w:bCs/>
          <w:lang w:val="fr-FR"/>
        </w:rPr>
        <w:t xml:space="preserve"> 38</w:t>
      </w:r>
      <w:r w:rsidR="007222C9" w:rsidRPr="00494098">
        <w:rPr>
          <w:lang w:val="fr-FR"/>
        </w:rPr>
        <w:t xml:space="preserve"> </w:t>
      </w:r>
      <w:r w:rsidR="004E3D8E" w:rsidRPr="00494098">
        <w:rPr>
          <w:lang w:val="fr-FR"/>
        </w:rPr>
        <w:t xml:space="preserve">des </w:t>
      </w:r>
      <w:r w:rsidR="00EE7C06">
        <w:rPr>
          <w:lang w:val="fr-FR"/>
        </w:rPr>
        <w:t>o</w:t>
      </w:r>
      <w:r w:rsidR="00916D99" w:rsidRPr="00494098">
        <w:rPr>
          <w:lang w:val="fr-FR"/>
        </w:rPr>
        <w:t>bservations finales - CRC/C/PRT/CO/3-4</w:t>
      </w:r>
      <w:r w:rsidRPr="00494098">
        <w:rPr>
          <w:bCs/>
          <w:lang w:val="fr-FR"/>
        </w:rPr>
        <w:t>)</w:t>
      </w:r>
      <w:bookmarkStart w:id="92" w:name="_Toc530057295"/>
      <w:bookmarkStart w:id="93" w:name="_Toc530057499"/>
      <w:bookmarkStart w:id="94" w:name="_Toc530057609"/>
      <w:bookmarkStart w:id="95" w:name="_Toc530067990"/>
      <w:bookmarkEnd w:id="92"/>
      <w:bookmarkEnd w:id="93"/>
      <w:bookmarkEnd w:id="94"/>
      <w:bookmarkEnd w:id="95"/>
    </w:p>
    <w:p w14:paraId="75F85177" w14:textId="77777777" w:rsidR="00077B75" w:rsidRPr="00494098" w:rsidRDefault="00077B75" w:rsidP="00480570">
      <w:pPr>
        <w:pStyle w:val="SingleTxtG"/>
        <w:rPr>
          <w:lang w:val="fr-FR"/>
        </w:rPr>
      </w:pPr>
      <w:r w:rsidRPr="00494098">
        <w:rPr>
          <w:lang w:val="fr-FR"/>
        </w:rPr>
        <w:t>118.</w:t>
      </w:r>
      <w:r w:rsidRPr="00494098">
        <w:rPr>
          <w:lang w:val="fr-FR"/>
        </w:rPr>
        <w:tab/>
        <w:t xml:space="preserve">Le décret-loi </w:t>
      </w:r>
      <w:r w:rsidR="006717A5" w:rsidRPr="00494098">
        <w:rPr>
          <w:lang w:val="fr-FR"/>
        </w:rPr>
        <w:t>n° </w:t>
      </w:r>
      <w:r w:rsidRPr="00494098">
        <w:rPr>
          <w:lang w:val="fr-FR"/>
        </w:rPr>
        <w:t>23/2014 publié le 14</w:t>
      </w:r>
      <w:r w:rsidR="006717A5" w:rsidRPr="00494098">
        <w:rPr>
          <w:lang w:val="fr-FR"/>
        </w:rPr>
        <w:t> février</w:t>
      </w:r>
      <w:r w:rsidRPr="00494098">
        <w:rPr>
          <w:lang w:val="fr-FR"/>
        </w:rPr>
        <w:t xml:space="preserve"> 2014 porte création d</w:t>
      </w:r>
      <w:r w:rsidR="001135E1" w:rsidRPr="00494098">
        <w:rPr>
          <w:lang w:val="fr-FR"/>
        </w:rPr>
        <w:t>es</w:t>
      </w:r>
      <w:r w:rsidRPr="00494098">
        <w:rPr>
          <w:lang w:val="fr-FR"/>
        </w:rPr>
        <w:t xml:space="preserve"> règle</w:t>
      </w:r>
      <w:r w:rsidR="001135E1" w:rsidRPr="00494098">
        <w:rPr>
          <w:lang w:val="fr-FR"/>
        </w:rPr>
        <w:t>s</w:t>
      </w:r>
      <w:r w:rsidRPr="00494098">
        <w:rPr>
          <w:lang w:val="fr-FR"/>
        </w:rPr>
        <w:t xml:space="preserve"> de fonctionnement</w:t>
      </w:r>
      <w:r w:rsidR="00090CBF" w:rsidRPr="00494098">
        <w:rPr>
          <w:lang w:val="fr-FR"/>
        </w:rPr>
        <w:t> :</w:t>
      </w:r>
      <w:r w:rsidRPr="00494098">
        <w:rPr>
          <w:lang w:val="fr-FR"/>
        </w:rPr>
        <w:t xml:space="preserve"> a)</w:t>
      </w:r>
      <w:r w:rsidR="007F78A7" w:rsidRPr="00494098">
        <w:rPr>
          <w:lang w:val="fr-FR"/>
        </w:rPr>
        <w:t> </w:t>
      </w:r>
      <w:r w:rsidRPr="00494098">
        <w:rPr>
          <w:lang w:val="fr-FR"/>
        </w:rPr>
        <w:t>des spectacles artistiques et b)</w:t>
      </w:r>
      <w:r w:rsidR="007F78A7" w:rsidRPr="00494098">
        <w:rPr>
          <w:lang w:val="fr-FR"/>
        </w:rPr>
        <w:t> </w:t>
      </w:r>
      <w:r w:rsidRPr="00494098">
        <w:rPr>
          <w:lang w:val="fr-FR"/>
        </w:rPr>
        <w:t xml:space="preserve">de l'installation et de l'inspection des </w:t>
      </w:r>
      <w:r w:rsidR="009D07B4" w:rsidRPr="00494098">
        <w:rPr>
          <w:lang w:val="fr-FR"/>
        </w:rPr>
        <w:t xml:space="preserve">équipements </w:t>
      </w:r>
      <w:r w:rsidRPr="00494098">
        <w:rPr>
          <w:lang w:val="fr-FR"/>
        </w:rPr>
        <w:t xml:space="preserve">fixes d’accueil des spectacles artistiques. Ce même décret modifie la législation précédente concernant la </w:t>
      </w:r>
      <w:r w:rsidR="007F78A7" w:rsidRPr="00494098">
        <w:rPr>
          <w:lang w:val="fr-FR"/>
        </w:rPr>
        <w:t xml:space="preserve">classification des </w:t>
      </w:r>
      <w:r w:rsidRPr="00494098">
        <w:rPr>
          <w:lang w:val="fr-FR"/>
        </w:rPr>
        <w:t xml:space="preserve">spectacles de tauromachie, </w:t>
      </w:r>
      <w:r w:rsidR="007F78A7" w:rsidRPr="00494098">
        <w:rPr>
          <w:lang w:val="fr-FR"/>
        </w:rPr>
        <w:t xml:space="preserve">pour lesquels </w:t>
      </w:r>
      <w:r w:rsidR="009D07B4" w:rsidRPr="00494098">
        <w:rPr>
          <w:lang w:val="fr-FR"/>
        </w:rPr>
        <w:t>la limite d’âge a été rehaussée</w:t>
      </w:r>
      <w:r w:rsidR="001135E1" w:rsidRPr="00494098">
        <w:rPr>
          <w:lang w:val="fr-FR"/>
        </w:rPr>
        <w:t>,</w:t>
      </w:r>
      <w:r w:rsidRPr="00494098">
        <w:rPr>
          <w:lang w:val="fr-FR"/>
        </w:rPr>
        <w:t xml:space="preserve"> de 6 à 12</w:t>
      </w:r>
      <w:r w:rsidR="007F78A7" w:rsidRPr="00494098">
        <w:rPr>
          <w:lang w:val="fr-FR"/>
        </w:rPr>
        <w:t> </w:t>
      </w:r>
      <w:r w:rsidRPr="00494098">
        <w:rPr>
          <w:lang w:val="fr-FR"/>
        </w:rPr>
        <w:t xml:space="preserve">ans. </w:t>
      </w:r>
    </w:p>
    <w:p w14:paraId="525A4B80" w14:textId="77777777" w:rsidR="00077B75" w:rsidRPr="00494098" w:rsidRDefault="00077B75" w:rsidP="00480570">
      <w:pPr>
        <w:pStyle w:val="SingleTxtG"/>
        <w:rPr>
          <w:lang w:val="fr-FR"/>
        </w:rPr>
      </w:pPr>
      <w:r w:rsidRPr="00494098">
        <w:rPr>
          <w:lang w:val="fr-FR"/>
        </w:rPr>
        <w:t>119.</w:t>
      </w:r>
      <w:r w:rsidRPr="00494098">
        <w:rPr>
          <w:lang w:val="fr-FR"/>
        </w:rPr>
        <w:tab/>
        <w:t>En ce qui concerne les acteurs mineurs, l’âge minimum requis est de 16</w:t>
      </w:r>
      <w:r w:rsidR="007F78A7" w:rsidRPr="00494098">
        <w:rPr>
          <w:lang w:val="fr-FR"/>
        </w:rPr>
        <w:t> </w:t>
      </w:r>
      <w:r w:rsidRPr="00494098">
        <w:rPr>
          <w:lang w:val="fr-FR"/>
        </w:rPr>
        <w:t xml:space="preserve">ans en </w:t>
      </w:r>
      <w:r w:rsidR="007F78A7" w:rsidRPr="00494098">
        <w:rPr>
          <w:lang w:val="fr-FR"/>
        </w:rPr>
        <w:t xml:space="preserve">application </w:t>
      </w:r>
      <w:r w:rsidRPr="00494098">
        <w:rPr>
          <w:lang w:val="fr-FR"/>
        </w:rPr>
        <w:t xml:space="preserve">des lois </w:t>
      </w:r>
      <w:r w:rsidR="006717A5" w:rsidRPr="00494098">
        <w:rPr>
          <w:lang w:val="fr-FR"/>
        </w:rPr>
        <w:t>n° </w:t>
      </w:r>
      <w:r w:rsidRPr="00494098">
        <w:rPr>
          <w:lang w:val="fr-FR"/>
        </w:rPr>
        <w:t>31/2015 du 23</w:t>
      </w:r>
      <w:r w:rsidR="007704A8" w:rsidRPr="00494098">
        <w:rPr>
          <w:lang w:val="fr-FR"/>
        </w:rPr>
        <w:t> avril</w:t>
      </w:r>
      <w:r w:rsidRPr="00494098">
        <w:rPr>
          <w:lang w:val="fr-FR"/>
        </w:rPr>
        <w:t xml:space="preserve"> 2015, et n°105/2009 du 14</w:t>
      </w:r>
      <w:r w:rsidR="00480991" w:rsidRPr="00494098">
        <w:rPr>
          <w:lang w:val="fr-FR"/>
        </w:rPr>
        <w:t> septembre</w:t>
      </w:r>
      <w:r w:rsidRPr="00494098">
        <w:rPr>
          <w:lang w:val="fr-FR"/>
        </w:rPr>
        <w:t xml:space="preserve"> 2009.</w:t>
      </w:r>
    </w:p>
    <w:p w14:paraId="6D0F3E58" w14:textId="77777777" w:rsidR="00077B75" w:rsidRPr="00494098" w:rsidRDefault="00077B75" w:rsidP="00480570">
      <w:pPr>
        <w:pStyle w:val="SingleTxtG"/>
        <w:rPr>
          <w:lang w:val="fr-FR"/>
        </w:rPr>
      </w:pPr>
      <w:r w:rsidRPr="00494098">
        <w:rPr>
          <w:lang w:val="fr-FR"/>
        </w:rPr>
        <w:t>120.</w:t>
      </w:r>
      <w:r w:rsidRPr="00494098">
        <w:rPr>
          <w:lang w:val="fr-FR"/>
        </w:rPr>
        <w:tab/>
      </w:r>
      <w:r w:rsidR="009D07B4" w:rsidRPr="00494098">
        <w:rPr>
          <w:lang w:val="fr-FR"/>
        </w:rPr>
        <w:t>S’agissant d</w:t>
      </w:r>
      <w:r w:rsidRPr="00494098">
        <w:rPr>
          <w:lang w:val="fr-FR"/>
        </w:rPr>
        <w:t>es cas signalés d'artistes de 16</w:t>
      </w:r>
      <w:r w:rsidR="007F78A7" w:rsidRPr="00494098">
        <w:rPr>
          <w:lang w:val="fr-FR"/>
        </w:rPr>
        <w:t> </w:t>
      </w:r>
      <w:r w:rsidRPr="00494098">
        <w:rPr>
          <w:lang w:val="fr-FR"/>
        </w:rPr>
        <w:t xml:space="preserve">ans ayant participé à des spectacles de tauromachie, toujours avec l'autorisation de la Commission pour la protection des enfants et des adolescents, un cas a été </w:t>
      </w:r>
      <w:r w:rsidR="007F78A7" w:rsidRPr="00494098">
        <w:rPr>
          <w:lang w:val="fr-FR"/>
        </w:rPr>
        <w:t xml:space="preserve">répertorié </w:t>
      </w:r>
      <w:r w:rsidRPr="00494098">
        <w:rPr>
          <w:lang w:val="fr-FR"/>
        </w:rPr>
        <w:t xml:space="preserve">en 2014, deux en 2017 et aucun en 2015 ou 2016. Il n’existe pas </w:t>
      </w:r>
      <w:r w:rsidRPr="00494098">
        <w:rPr>
          <w:lang w:val="fr-FR"/>
        </w:rPr>
        <w:lastRenderedPageBreak/>
        <w:t xml:space="preserve">de données officielles sur la formation dans les écoles de tauromachie. </w:t>
      </w:r>
    </w:p>
    <w:p w14:paraId="7CD7B5CB" w14:textId="1FC40B21" w:rsidR="00077B75" w:rsidRPr="00494098" w:rsidRDefault="00491E89" w:rsidP="00AE4BF5">
      <w:pPr>
        <w:pStyle w:val="H1G"/>
        <w:rPr>
          <w:lang w:val="fr-FR"/>
        </w:rPr>
      </w:pPr>
      <w:r w:rsidRPr="00494098">
        <w:rPr>
          <w:lang w:val="fr-FR"/>
        </w:rPr>
        <w:tab/>
      </w:r>
      <w:r w:rsidR="00077B75" w:rsidRPr="00494098">
        <w:rPr>
          <w:lang w:val="fr-FR"/>
        </w:rPr>
        <w:t>D.</w:t>
      </w:r>
      <w:r w:rsidR="00077B75" w:rsidRPr="00494098">
        <w:rPr>
          <w:lang w:val="fr-FR"/>
        </w:rPr>
        <w:tab/>
        <w:t>Milieu familial et protection de remplacement (art</w:t>
      </w:r>
      <w:r w:rsidR="00A67098">
        <w:rPr>
          <w:lang w:val="fr-FR"/>
        </w:rPr>
        <w:t>.</w:t>
      </w:r>
      <w:r w:rsidR="007F78A7" w:rsidRPr="00494098">
        <w:rPr>
          <w:lang w:val="fr-FR"/>
        </w:rPr>
        <w:t> </w:t>
      </w:r>
      <w:r w:rsidR="00077B75" w:rsidRPr="00494098">
        <w:rPr>
          <w:lang w:val="fr-FR"/>
        </w:rPr>
        <w:t>5, 9 à 11,</w:t>
      </w:r>
      <w:r w:rsidR="007F78A7" w:rsidRPr="00494098">
        <w:rPr>
          <w:lang w:val="fr-FR"/>
        </w:rPr>
        <w:t xml:space="preserve"> </w:t>
      </w:r>
      <w:r w:rsidR="00077B75" w:rsidRPr="00494098">
        <w:rPr>
          <w:lang w:val="fr-FR"/>
        </w:rPr>
        <w:t>18</w:t>
      </w:r>
      <w:r w:rsidR="00D27F54">
        <w:rPr>
          <w:lang w:val="fr-FR"/>
        </w:rPr>
        <w:t xml:space="preserve"> (par</w:t>
      </w:r>
      <w:r w:rsidR="007F78A7" w:rsidRPr="00494098">
        <w:rPr>
          <w:lang w:val="fr-FR"/>
        </w:rPr>
        <w:t>.1</w:t>
      </w:r>
      <w:r w:rsidR="00D27F54">
        <w:rPr>
          <w:lang w:val="fr-FR"/>
        </w:rPr>
        <w:t xml:space="preserve"> et 2)</w:t>
      </w:r>
      <w:r w:rsidR="009D07B4" w:rsidRPr="00494098">
        <w:rPr>
          <w:lang w:val="fr-FR"/>
        </w:rPr>
        <w:t>,</w:t>
      </w:r>
      <w:r w:rsidR="007F78A7" w:rsidRPr="00494098">
        <w:rPr>
          <w:lang w:val="fr-FR"/>
        </w:rPr>
        <w:t xml:space="preserve"> </w:t>
      </w:r>
      <w:r w:rsidR="00077B75" w:rsidRPr="00494098">
        <w:rPr>
          <w:lang w:val="fr-FR"/>
        </w:rPr>
        <w:t xml:space="preserve"> 20, 21, 25 et 27</w:t>
      </w:r>
      <w:r w:rsidR="00DB0261">
        <w:rPr>
          <w:lang w:val="fr-FR"/>
        </w:rPr>
        <w:t xml:space="preserve"> (par</w:t>
      </w:r>
      <w:r w:rsidR="007F78A7" w:rsidRPr="00494098">
        <w:rPr>
          <w:lang w:val="fr-FR"/>
        </w:rPr>
        <w:t>.</w:t>
      </w:r>
      <w:r w:rsidR="00077B75" w:rsidRPr="00494098">
        <w:rPr>
          <w:lang w:val="fr-FR"/>
        </w:rPr>
        <w:t>4</w:t>
      </w:r>
      <w:r w:rsidR="00DB0261">
        <w:rPr>
          <w:lang w:val="fr-FR"/>
        </w:rPr>
        <w:t>)</w:t>
      </w:r>
      <w:r w:rsidR="00077B75" w:rsidRPr="00494098">
        <w:rPr>
          <w:lang w:val="fr-FR"/>
        </w:rPr>
        <w:t xml:space="preserve"> de la Convention)</w:t>
      </w:r>
      <w:bookmarkStart w:id="96" w:name="_Toc530057296"/>
      <w:bookmarkStart w:id="97" w:name="_Toc530057500"/>
      <w:bookmarkStart w:id="98" w:name="_Toc530057610"/>
      <w:bookmarkStart w:id="99" w:name="_Toc530067991"/>
      <w:bookmarkEnd w:id="96"/>
      <w:bookmarkEnd w:id="97"/>
      <w:bookmarkEnd w:id="98"/>
      <w:bookmarkEnd w:id="99"/>
    </w:p>
    <w:p w14:paraId="7A662873" w14:textId="75D12432" w:rsidR="00077B75" w:rsidRPr="00494098" w:rsidRDefault="00077B75" w:rsidP="00030CAC">
      <w:pPr>
        <w:pStyle w:val="H23G"/>
        <w:rPr>
          <w:lang w:val="fr-FR"/>
        </w:rPr>
      </w:pPr>
      <w:r w:rsidRPr="00494098">
        <w:rPr>
          <w:lang w:val="fr-FR"/>
        </w:rPr>
        <w:tab/>
      </w:r>
      <w:r w:rsidRPr="00494098">
        <w:rPr>
          <w:lang w:val="fr-FR"/>
        </w:rPr>
        <w:tab/>
        <w:t>Milieu familial (par</w:t>
      </w:r>
      <w:r w:rsidR="007F78A7" w:rsidRPr="00494098">
        <w:rPr>
          <w:lang w:val="fr-FR"/>
        </w:rPr>
        <w:t>.</w:t>
      </w:r>
      <w:r w:rsidRPr="00494098">
        <w:rPr>
          <w:lang w:val="fr-FR"/>
        </w:rPr>
        <w:t xml:space="preserve"> 40 des </w:t>
      </w:r>
      <w:r w:rsidR="00DB0261">
        <w:rPr>
          <w:lang w:val="fr-FR"/>
        </w:rPr>
        <w:t>o</w:t>
      </w:r>
      <w:r w:rsidRPr="00494098">
        <w:rPr>
          <w:lang w:val="fr-FR"/>
        </w:rPr>
        <w:t>bservations finales</w:t>
      </w:r>
      <w:bookmarkStart w:id="100" w:name="_Toc530057297"/>
      <w:bookmarkStart w:id="101" w:name="_Toc530057501"/>
      <w:bookmarkStart w:id="102" w:name="_Toc530057611"/>
      <w:bookmarkStart w:id="103" w:name="_Toc530067992"/>
      <w:bookmarkEnd w:id="100"/>
      <w:bookmarkEnd w:id="101"/>
      <w:bookmarkEnd w:id="102"/>
      <w:bookmarkEnd w:id="103"/>
      <w:r w:rsidR="009D07B4" w:rsidRPr="00494098">
        <w:rPr>
          <w:lang w:val="fr-FR"/>
        </w:rPr>
        <w:t>)</w:t>
      </w:r>
    </w:p>
    <w:p w14:paraId="3C2ABFC9" w14:textId="77777777" w:rsidR="00077B75" w:rsidRPr="00494098" w:rsidRDefault="00077B75" w:rsidP="00480570">
      <w:pPr>
        <w:pStyle w:val="SingleTxtG"/>
        <w:rPr>
          <w:lang w:val="fr-FR"/>
        </w:rPr>
      </w:pPr>
      <w:r w:rsidRPr="00494098">
        <w:rPr>
          <w:lang w:val="fr-FR"/>
        </w:rPr>
        <w:t>121.</w:t>
      </w:r>
      <w:r w:rsidRPr="00494098">
        <w:rPr>
          <w:lang w:val="fr-FR"/>
        </w:rPr>
        <w:tab/>
        <w:t xml:space="preserve">Plusieurs mesures </w:t>
      </w:r>
      <w:r w:rsidR="009D07B4" w:rsidRPr="00494098">
        <w:rPr>
          <w:lang w:val="fr-FR"/>
        </w:rPr>
        <w:t xml:space="preserve">visant à </w:t>
      </w:r>
      <w:r w:rsidRPr="00494098">
        <w:rPr>
          <w:lang w:val="fr-FR"/>
        </w:rPr>
        <w:t>soutenir les familles et protéger les enfants qui vivent ou qui risquent de vivre dans la pauvreté</w:t>
      </w:r>
      <w:r w:rsidR="009D07B4" w:rsidRPr="00494098">
        <w:rPr>
          <w:lang w:val="fr-FR"/>
        </w:rPr>
        <w:t xml:space="preserve"> ont été approuvées</w:t>
      </w:r>
      <w:r w:rsidRPr="00494098">
        <w:rPr>
          <w:lang w:val="fr-FR"/>
        </w:rPr>
        <w:t>.</w:t>
      </w:r>
    </w:p>
    <w:p w14:paraId="4F0C4D2C" w14:textId="77777777" w:rsidR="00077B75" w:rsidRPr="00494098" w:rsidRDefault="00077B75" w:rsidP="00030CAC">
      <w:pPr>
        <w:pStyle w:val="H4G"/>
        <w:rPr>
          <w:lang w:val="fr-FR"/>
        </w:rPr>
      </w:pPr>
      <w:r w:rsidRPr="00494098">
        <w:rPr>
          <w:lang w:val="fr-FR"/>
        </w:rPr>
        <w:tab/>
      </w:r>
      <w:r w:rsidRPr="00494098">
        <w:rPr>
          <w:lang w:val="fr-FR"/>
        </w:rPr>
        <w:tab/>
      </w:r>
      <w:r w:rsidRPr="00494098">
        <w:rPr>
          <w:iCs/>
          <w:lang w:val="fr-FR"/>
        </w:rPr>
        <w:t>Sécurité sociale</w:t>
      </w:r>
      <w:bookmarkStart w:id="104" w:name="_Toc530057502"/>
      <w:bookmarkEnd w:id="104"/>
    </w:p>
    <w:p w14:paraId="25F971F2" w14:textId="77777777" w:rsidR="00077B75" w:rsidRPr="00494098" w:rsidRDefault="00077B75" w:rsidP="00480570">
      <w:pPr>
        <w:pStyle w:val="SingleTxtG"/>
        <w:rPr>
          <w:lang w:val="fr-FR"/>
        </w:rPr>
      </w:pPr>
      <w:r w:rsidRPr="00494098">
        <w:rPr>
          <w:lang w:val="fr-FR"/>
        </w:rPr>
        <w:t>122.</w:t>
      </w:r>
      <w:r w:rsidRPr="00494098">
        <w:rPr>
          <w:lang w:val="fr-FR"/>
        </w:rPr>
        <w:tab/>
        <w:t>L</w:t>
      </w:r>
      <w:r w:rsidR="006E7DB9" w:rsidRPr="00494098">
        <w:rPr>
          <w:lang w:val="fr-FR"/>
        </w:rPr>
        <w:t>a l</w:t>
      </w:r>
      <w:r w:rsidRPr="00494098">
        <w:rPr>
          <w:lang w:val="fr-FR"/>
        </w:rPr>
        <w:t xml:space="preserve">oi </w:t>
      </w:r>
      <w:r w:rsidR="006717A5" w:rsidRPr="00494098">
        <w:rPr>
          <w:lang w:val="fr-FR"/>
        </w:rPr>
        <w:t>n° </w:t>
      </w:r>
      <w:r w:rsidRPr="00494098">
        <w:rPr>
          <w:lang w:val="fr-FR"/>
        </w:rPr>
        <w:t>83-C/2013 du 31</w:t>
      </w:r>
      <w:r w:rsidR="00087821" w:rsidRPr="00494098">
        <w:rPr>
          <w:lang w:val="fr-FR"/>
        </w:rPr>
        <w:t> décembre</w:t>
      </w:r>
      <w:r w:rsidRPr="00494098">
        <w:rPr>
          <w:lang w:val="fr-FR"/>
        </w:rPr>
        <w:t xml:space="preserve"> 2013 (</w:t>
      </w:r>
      <w:r w:rsidR="00D71D7F" w:rsidRPr="00494098">
        <w:rPr>
          <w:lang w:val="fr-FR"/>
        </w:rPr>
        <w:t>b</w:t>
      </w:r>
      <w:r w:rsidRPr="00494098">
        <w:rPr>
          <w:lang w:val="fr-FR"/>
        </w:rPr>
        <w:t>udget de l'</w:t>
      </w:r>
      <w:r w:rsidR="006E7DB9" w:rsidRPr="00494098">
        <w:rPr>
          <w:lang w:val="fr-FR"/>
        </w:rPr>
        <w:t>État</w:t>
      </w:r>
      <w:r w:rsidRPr="00494098">
        <w:rPr>
          <w:lang w:val="fr-FR"/>
        </w:rPr>
        <w:t xml:space="preserve"> pour 2014), a approuvé une augmentation de 10</w:t>
      </w:r>
      <w:r w:rsidR="003B4E18" w:rsidRPr="00494098">
        <w:rPr>
          <w:lang w:val="fr-FR"/>
        </w:rPr>
        <w:t> %</w:t>
      </w:r>
      <w:r w:rsidRPr="00494098">
        <w:rPr>
          <w:lang w:val="fr-FR"/>
        </w:rPr>
        <w:t xml:space="preserve"> de l’allocation de chômage pour les familles dont les deux bénéficiaires </w:t>
      </w:r>
      <w:r w:rsidR="006E7DB9" w:rsidRPr="00494098">
        <w:rPr>
          <w:lang w:val="fr-FR"/>
        </w:rPr>
        <w:t xml:space="preserve">étaient </w:t>
      </w:r>
      <w:r w:rsidR="00D71D7F" w:rsidRPr="00494098">
        <w:rPr>
          <w:lang w:val="fr-FR"/>
        </w:rPr>
        <w:t xml:space="preserve">sans emploi </w:t>
      </w:r>
      <w:r w:rsidRPr="00494098">
        <w:rPr>
          <w:lang w:val="fr-FR"/>
        </w:rPr>
        <w:t xml:space="preserve">et </w:t>
      </w:r>
      <w:r w:rsidR="006E7DB9" w:rsidRPr="00494098">
        <w:rPr>
          <w:lang w:val="fr-FR"/>
        </w:rPr>
        <w:t>avaient</w:t>
      </w:r>
      <w:r w:rsidRPr="00494098">
        <w:rPr>
          <w:lang w:val="fr-FR"/>
        </w:rPr>
        <w:t xml:space="preserve"> des enfants à charge, ainsi que pour les familles monoparentales </w:t>
      </w:r>
      <w:r w:rsidR="006E7DB9" w:rsidRPr="00494098">
        <w:rPr>
          <w:lang w:val="fr-FR"/>
        </w:rPr>
        <w:t xml:space="preserve">recevant </w:t>
      </w:r>
      <w:r w:rsidRPr="00494098">
        <w:rPr>
          <w:lang w:val="fr-FR"/>
        </w:rPr>
        <w:t>cette allocation (</w:t>
      </w:r>
      <w:r w:rsidR="00D71D7F" w:rsidRPr="00494098">
        <w:rPr>
          <w:lang w:val="fr-FR"/>
        </w:rPr>
        <w:t xml:space="preserve">au cours des années suivantes, </w:t>
      </w:r>
      <w:r w:rsidRPr="00494098">
        <w:rPr>
          <w:lang w:val="fr-FR"/>
        </w:rPr>
        <w:t>la mesure a été étendu</w:t>
      </w:r>
      <w:r w:rsidR="006E7DB9" w:rsidRPr="00494098">
        <w:rPr>
          <w:lang w:val="fr-FR"/>
        </w:rPr>
        <w:t>e</w:t>
      </w:r>
      <w:r w:rsidRPr="00494098">
        <w:rPr>
          <w:lang w:val="fr-FR"/>
        </w:rPr>
        <w:t xml:space="preserve"> aux travailleurs indépendants).</w:t>
      </w:r>
    </w:p>
    <w:p w14:paraId="6D950609" w14:textId="77777777" w:rsidR="00077B75" w:rsidRPr="00494098" w:rsidRDefault="00077B75" w:rsidP="00480570">
      <w:pPr>
        <w:pStyle w:val="SingleTxtG"/>
        <w:rPr>
          <w:lang w:val="fr-FR"/>
        </w:rPr>
      </w:pPr>
      <w:r w:rsidRPr="00494098">
        <w:rPr>
          <w:lang w:val="fr-FR"/>
        </w:rPr>
        <w:t>123.</w:t>
      </w:r>
      <w:r w:rsidRPr="00494098">
        <w:rPr>
          <w:lang w:val="fr-FR"/>
        </w:rPr>
        <w:tab/>
      </w:r>
      <w:r w:rsidR="00CB4942" w:rsidRPr="00494098">
        <w:rPr>
          <w:lang w:val="fr-FR"/>
        </w:rPr>
        <w:t>Afin de renforcer les politiques familiales, et conformément à la stratégie de réduction de la pauvreté des enfants et des jeunes, l</w:t>
      </w:r>
      <w:r w:rsidRPr="00494098">
        <w:rPr>
          <w:lang w:val="fr-FR"/>
        </w:rPr>
        <w:t xml:space="preserve">’allocation familiale pour les enfants et </w:t>
      </w:r>
      <w:r w:rsidR="006E7DB9" w:rsidRPr="00494098">
        <w:rPr>
          <w:lang w:val="fr-FR"/>
        </w:rPr>
        <w:t xml:space="preserve">les </w:t>
      </w:r>
      <w:r w:rsidRPr="00494098">
        <w:rPr>
          <w:lang w:val="fr-FR"/>
        </w:rPr>
        <w:t xml:space="preserve">jeunes a été revalorisée à deux reprises, ainsi que les prestations pour les familles nombreuses et les familles monoparentales (loi </w:t>
      </w:r>
      <w:r w:rsidR="006717A5" w:rsidRPr="00494098">
        <w:rPr>
          <w:lang w:val="fr-FR"/>
        </w:rPr>
        <w:t>n° </w:t>
      </w:r>
      <w:r w:rsidRPr="00494098">
        <w:rPr>
          <w:lang w:val="fr-FR"/>
        </w:rPr>
        <w:t xml:space="preserve">7-A/2016, décret-loi </w:t>
      </w:r>
      <w:r w:rsidR="006717A5" w:rsidRPr="00494098">
        <w:rPr>
          <w:lang w:val="fr-FR"/>
        </w:rPr>
        <w:t>n° </w:t>
      </w:r>
      <w:r w:rsidRPr="00494098">
        <w:rPr>
          <w:lang w:val="fr-FR"/>
        </w:rPr>
        <w:t xml:space="preserve">2/2016 et ordonnance </w:t>
      </w:r>
      <w:r w:rsidR="006717A5" w:rsidRPr="00494098">
        <w:rPr>
          <w:lang w:val="fr-FR"/>
        </w:rPr>
        <w:t>n° </w:t>
      </w:r>
      <w:r w:rsidR="00480991" w:rsidRPr="00494098">
        <w:rPr>
          <w:lang w:val="fr-FR"/>
        </w:rPr>
        <w:t>1</w:t>
      </w:r>
      <w:r w:rsidRPr="00494098">
        <w:rPr>
          <w:lang w:val="fr-FR"/>
        </w:rPr>
        <w:t>1-A/2016).</w:t>
      </w:r>
    </w:p>
    <w:p w14:paraId="09157F29" w14:textId="77777777" w:rsidR="00077B75" w:rsidRPr="00494098" w:rsidRDefault="00077B75" w:rsidP="00480570">
      <w:pPr>
        <w:pStyle w:val="SingleTxtG"/>
        <w:rPr>
          <w:lang w:val="fr-FR"/>
        </w:rPr>
      </w:pPr>
      <w:r w:rsidRPr="00494098">
        <w:rPr>
          <w:lang w:val="fr-FR"/>
        </w:rPr>
        <w:t>124.</w:t>
      </w:r>
      <w:r w:rsidRPr="00494098">
        <w:rPr>
          <w:lang w:val="fr-FR"/>
        </w:rPr>
        <w:tab/>
        <w:t xml:space="preserve">Le montant de toutes les prestations garanties par le </w:t>
      </w:r>
      <w:r w:rsidR="00720FEE" w:rsidRPr="00494098">
        <w:rPr>
          <w:lang w:val="fr-FR"/>
        </w:rPr>
        <w:t xml:space="preserve">mécanisme spécifique </w:t>
      </w:r>
      <w:r w:rsidRPr="00494098">
        <w:rPr>
          <w:lang w:val="fr-FR"/>
        </w:rPr>
        <w:t xml:space="preserve">de protection de la famille a été revalorisé et le processus de convergence entre </w:t>
      </w:r>
      <w:r w:rsidRPr="00494098">
        <w:rPr>
          <w:lang w:val="fr-FR"/>
        </w:rPr>
        <w:lastRenderedPageBreak/>
        <w:t>les allocations familiales versées pour les enfants de 12 à 36</w:t>
      </w:r>
      <w:r w:rsidR="00720FEE" w:rsidRPr="00494098">
        <w:rPr>
          <w:lang w:val="fr-FR"/>
        </w:rPr>
        <w:t> </w:t>
      </w:r>
      <w:r w:rsidRPr="00494098">
        <w:rPr>
          <w:lang w:val="fr-FR"/>
        </w:rPr>
        <w:t xml:space="preserve">mois et de celles versées </w:t>
      </w:r>
      <w:r w:rsidR="00CB4942" w:rsidRPr="00494098">
        <w:rPr>
          <w:lang w:val="fr-FR"/>
        </w:rPr>
        <w:t xml:space="preserve">pour les </w:t>
      </w:r>
      <w:r w:rsidRPr="00494098">
        <w:rPr>
          <w:lang w:val="fr-FR"/>
        </w:rPr>
        <w:t>enfants de moins de 12</w:t>
      </w:r>
      <w:r w:rsidR="00720FEE" w:rsidRPr="00494098">
        <w:rPr>
          <w:lang w:val="fr-FR"/>
        </w:rPr>
        <w:t> </w:t>
      </w:r>
      <w:r w:rsidRPr="00494098">
        <w:rPr>
          <w:lang w:val="fr-FR"/>
        </w:rPr>
        <w:t xml:space="preserve">mois a été lancé (ordonnance </w:t>
      </w:r>
      <w:r w:rsidR="006717A5" w:rsidRPr="00494098">
        <w:rPr>
          <w:lang w:val="fr-FR"/>
        </w:rPr>
        <w:t>n° </w:t>
      </w:r>
      <w:r w:rsidRPr="00494098">
        <w:rPr>
          <w:lang w:val="fr-FR"/>
        </w:rPr>
        <w:t>62/2017).</w:t>
      </w:r>
    </w:p>
    <w:p w14:paraId="18BBECFD" w14:textId="77777777" w:rsidR="00077B75" w:rsidRPr="00494098" w:rsidRDefault="00077B75" w:rsidP="00480570">
      <w:pPr>
        <w:pStyle w:val="SingleTxtG"/>
        <w:rPr>
          <w:lang w:val="fr-FR"/>
        </w:rPr>
      </w:pPr>
      <w:r w:rsidRPr="00494098">
        <w:rPr>
          <w:lang w:val="fr-FR"/>
        </w:rPr>
        <w:t>125.</w:t>
      </w:r>
      <w:r w:rsidRPr="00494098">
        <w:rPr>
          <w:lang w:val="fr-FR"/>
        </w:rPr>
        <w:tab/>
        <w:t>La quatrième tranche de revenu pour les enfants de moins de 36</w:t>
      </w:r>
      <w:r w:rsidR="00720FEE" w:rsidRPr="00494098">
        <w:rPr>
          <w:lang w:val="fr-FR"/>
        </w:rPr>
        <w:t> </w:t>
      </w:r>
      <w:r w:rsidRPr="00494098">
        <w:rPr>
          <w:lang w:val="fr-FR"/>
        </w:rPr>
        <w:t xml:space="preserve">mois a été rétablie et les augmentations destinées aux parents isolés et aux familles nombreuses ont été revalorisées par rapport aux montants fixés pour les allocations familiales. </w:t>
      </w:r>
    </w:p>
    <w:p w14:paraId="7C7F5603" w14:textId="77777777" w:rsidR="00077B75" w:rsidRPr="00494098" w:rsidRDefault="00077B75" w:rsidP="00480570">
      <w:pPr>
        <w:pStyle w:val="SingleTxtG"/>
        <w:rPr>
          <w:lang w:val="fr-FR"/>
        </w:rPr>
      </w:pPr>
      <w:r w:rsidRPr="00494098">
        <w:rPr>
          <w:lang w:val="fr-FR"/>
        </w:rPr>
        <w:t>126.</w:t>
      </w:r>
      <w:r w:rsidRPr="00494098">
        <w:rPr>
          <w:lang w:val="fr-FR"/>
        </w:rPr>
        <w:tab/>
        <w:t>Du fait de la crise financière, le revenu d’intégration sociale (RSI) a été soumis à des amendements législatifs qui ont entraîné une diminution d</w:t>
      </w:r>
      <w:r w:rsidR="00A447CA" w:rsidRPr="00494098">
        <w:rPr>
          <w:lang w:val="fr-FR"/>
        </w:rPr>
        <w:t>es</w:t>
      </w:r>
      <w:r w:rsidRPr="00494098">
        <w:rPr>
          <w:lang w:val="fr-FR"/>
        </w:rPr>
        <w:t xml:space="preserve"> montant</w:t>
      </w:r>
      <w:r w:rsidR="00A447CA" w:rsidRPr="00494098">
        <w:rPr>
          <w:lang w:val="fr-FR"/>
        </w:rPr>
        <w:t>s</w:t>
      </w:r>
      <w:r w:rsidRPr="00494098">
        <w:rPr>
          <w:lang w:val="fr-FR"/>
        </w:rPr>
        <w:t xml:space="preserve"> </w:t>
      </w:r>
      <w:r w:rsidR="00A447CA" w:rsidRPr="00494098">
        <w:rPr>
          <w:lang w:val="fr-FR"/>
        </w:rPr>
        <w:t xml:space="preserve">attribués aux </w:t>
      </w:r>
      <w:r w:rsidRPr="00494098">
        <w:rPr>
          <w:lang w:val="fr-FR"/>
        </w:rPr>
        <w:t>familles pauvres</w:t>
      </w:r>
      <w:r w:rsidR="00891DAF" w:rsidRPr="00494098">
        <w:rPr>
          <w:lang w:val="fr-FR"/>
        </w:rPr>
        <w:t>, compte tenu</w:t>
      </w:r>
      <w:r w:rsidRPr="00494098">
        <w:rPr>
          <w:lang w:val="fr-FR"/>
        </w:rPr>
        <w:t xml:space="preserve"> de la composition des ménages (voir graphique</w:t>
      </w:r>
      <w:r w:rsidR="00A447CA" w:rsidRPr="00494098">
        <w:rPr>
          <w:lang w:val="fr-FR"/>
        </w:rPr>
        <w:t> </w:t>
      </w:r>
      <w:r w:rsidRPr="00494098">
        <w:rPr>
          <w:lang w:val="fr-FR"/>
        </w:rPr>
        <w:t xml:space="preserve">1, </w:t>
      </w:r>
      <w:r w:rsidR="003B4E18" w:rsidRPr="00494098">
        <w:rPr>
          <w:lang w:val="fr-FR"/>
        </w:rPr>
        <w:t>annexe 1</w:t>
      </w:r>
      <w:r w:rsidRPr="00494098">
        <w:rPr>
          <w:lang w:val="fr-FR"/>
        </w:rPr>
        <w:t xml:space="preserve">). </w:t>
      </w:r>
      <w:r w:rsidR="00891DAF" w:rsidRPr="00494098">
        <w:rPr>
          <w:lang w:val="fr-FR"/>
        </w:rPr>
        <w:t>Dans le but de réduire la pauvreté,</w:t>
      </w:r>
      <w:r w:rsidRPr="00494098">
        <w:rPr>
          <w:lang w:val="fr-FR"/>
        </w:rPr>
        <w:t xml:space="preserve"> l’échelle d’équivalence applicable a été modifiée </w:t>
      </w:r>
      <w:r w:rsidR="00891DAF" w:rsidRPr="00494098">
        <w:rPr>
          <w:lang w:val="fr-FR"/>
        </w:rPr>
        <w:t xml:space="preserve">en 2016, </w:t>
      </w:r>
      <w:r w:rsidRPr="00494098">
        <w:rPr>
          <w:lang w:val="fr-FR"/>
        </w:rPr>
        <w:t xml:space="preserve">(décret-loi </w:t>
      </w:r>
      <w:r w:rsidR="006717A5" w:rsidRPr="00494098">
        <w:rPr>
          <w:lang w:val="fr-FR"/>
        </w:rPr>
        <w:t>n° </w:t>
      </w:r>
      <w:r w:rsidR="00480991" w:rsidRPr="00494098">
        <w:rPr>
          <w:lang w:val="fr-FR"/>
        </w:rPr>
        <w:t>1</w:t>
      </w:r>
      <w:r w:rsidR="00891DAF" w:rsidRPr="00494098">
        <w:rPr>
          <w:lang w:val="fr-FR"/>
        </w:rPr>
        <w:t xml:space="preserve">/2016) : afin d’augmenter le montant à accorder à chaque adulte, le pourcentage de </w:t>
      </w:r>
      <w:r w:rsidR="00A447CA" w:rsidRPr="00494098">
        <w:rPr>
          <w:lang w:val="fr-FR"/>
        </w:rPr>
        <w:t xml:space="preserve">la valeur de référence du RSI </w:t>
      </w:r>
      <w:r w:rsidR="00891DAF" w:rsidRPr="00494098">
        <w:rPr>
          <w:lang w:val="fr-FR"/>
        </w:rPr>
        <w:t>est passée de 50 % à 70 %</w:t>
      </w:r>
      <w:r w:rsidRPr="00494098">
        <w:rPr>
          <w:lang w:val="fr-FR"/>
        </w:rPr>
        <w:t xml:space="preserve"> et</w:t>
      </w:r>
      <w:r w:rsidR="00891DAF" w:rsidRPr="00494098">
        <w:rPr>
          <w:lang w:val="fr-FR"/>
        </w:rPr>
        <w:t>,</w:t>
      </w:r>
      <w:r w:rsidRPr="00494098">
        <w:rPr>
          <w:lang w:val="fr-FR"/>
        </w:rPr>
        <w:t xml:space="preserve"> pour chaque mineur, de 30</w:t>
      </w:r>
      <w:r w:rsidR="003B4E18" w:rsidRPr="00494098">
        <w:rPr>
          <w:lang w:val="fr-FR"/>
        </w:rPr>
        <w:t> %</w:t>
      </w:r>
      <w:r w:rsidRPr="00494098">
        <w:rPr>
          <w:lang w:val="fr-FR"/>
        </w:rPr>
        <w:t xml:space="preserve"> à 50</w:t>
      </w:r>
      <w:r w:rsidR="003B4E18" w:rsidRPr="00494098">
        <w:rPr>
          <w:lang w:val="fr-FR"/>
        </w:rPr>
        <w:t> %</w:t>
      </w:r>
      <w:r w:rsidRPr="00494098">
        <w:rPr>
          <w:lang w:val="fr-FR"/>
        </w:rPr>
        <w:t xml:space="preserve"> de la même valeur de référence. </w:t>
      </w:r>
    </w:p>
    <w:p w14:paraId="3C13A275" w14:textId="77777777" w:rsidR="00077B75" w:rsidRPr="00494098" w:rsidRDefault="00077B75" w:rsidP="00480570">
      <w:pPr>
        <w:pStyle w:val="SingleTxtG"/>
        <w:rPr>
          <w:lang w:val="fr-FR"/>
        </w:rPr>
      </w:pPr>
      <w:r w:rsidRPr="00494098">
        <w:rPr>
          <w:lang w:val="fr-FR"/>
        </w:rPr>
        <w:t>127.</w:t>
      </w:r>
      <w:r w:rsidRPr="00494098">
        <w:rPr>
          <w:lang w:val="fr-FR"/>
        </w:rPr>
        <w:tab/>
        <w:t>Outre l'actualisation de 2016 qui a permis de rembourser 25</w:t>
      </w:r>
      <w:r w:rsidR="003B4E18" w:rsidRPr="00494098">
        <w:rPr>
          <w:lang w:val="fr-FR"/>
        </w:rPr>
        <w:t> %</w:t>
      </w:r>
      <w:r w:rsidRPr="00494098">
        <w:rPr>
          <w:lang w:val="fr-FR"/>
        </w:rPr>
        <w:t xml:space="preserve"> des coupes précédentes, une nouvelle mise à jour de la valeur de référence du RSI a été </w:t>
      </w:r>
      <w:r w:rsidR="00904A6C" w:rsidRPr="00494098">
        <w:rPr>
          <w:lang w:val="fr-FR"/>
        </w:rPr>
        <w:t xml:space="preserve">effectuée </w:t>
      </w:r>
      <w:r w:rsidRPr="00494098">
        <w:rPr>
          <w:lang w:val="fr-FR"/>
        </w:rPr>
        <w:t xml:space="preserve">en 2017 (après celle de l’indice de soutien social). Considérant qu’il </w:t>
      </w:r>
      <w:r w:rsidR="00F24246" w:rsidRPr="00494098">
        <w:rPr>
          <w:lang w:val="fr-FR"/>
        </w:rPr>
        <w:t>est</w:t>
      </w:r>
      <w:r w:rsidR="00A447CA" w:rsidRPr="00494098">
        <w:rPr>
          <w:lang w:val="fr-FR"/>
        </w:rPr>
        <w:t xml:space="preserve"> </w:t>
      </w:r>
      <w:r w:rsidRPr="00494098">
        <w:rPr>
          <w:lang w:val="fr-FR"/>
        </w:rPr>
        <w:t xml:space="preserve">encore nécessaire de contrecarrer les changements </w:t>
      </w:r>
      <w:r w:rsidR="00A447CA" w:rsidRPr="00494098">
        <w:rPr>
          <w:lang w:val="fr-FR"/>
        </w:rPr>
        <w:t xml:space="preserve">négatifs résultant </w:t>
      </w:r>
      <w:r w:rsidRPr="00494098">
        <w:rPr>
          <w:lang w:val="fr-FR"/>
        </w:rPr>
        <w:t>des mesures d’austérité, le Gouvernem</w:t>
      </w:r>
      <w:r w:rsidR="00A447CA" w:rsidRPr="00494098">
        <w:rPr>
          <w:lang w:val="fr-FR"/>
        </w:rPr>
        <w:t>ent a l’intention de renforcer l</w:t>
      </w:r>
      <w:r w:rsidRPr="00494098">
        <w:rPr>
          <w:lang w:val="fr-FR"/>
        </w:rPr>
        <w:t xml:space="preserve">es mesures </w:t>
      </w:r>
      <w:r w:rsidR="00A447CA" w:rsidRPr="00494098">
        <w:rPr>
          <w:lang w:val="fr-FR"/>
        </w:rPr>
        <w:t>d’application générale</w:t>
      </w:r>
      <w:r w:rsidRPr="00494098">
        <w:rPr>
          <w:lang w:val="fr-FR"/>
        </w:rPr>
        <w:t xml:space="preserve"> </w:t>
      </w:r>
      <w:r w:rsidR="00904A6C" w:rsidRPr="00494098">
        <w:rPr>
          <w:lang w:val="fr-FR"/>
        </w:rPr>
        <w:t xml:space="preserve">pour </w:t>
      </w:r>
      <w:r w:rsidRPr="00494098">
        <w:rPr>
          <w:lang w:val="fr-FR"/>
        </w:rPr>
        <w:t xml:space="preserve">protéger les groupes les plus vulnérables (décret-loi </w:t>
      </w:r>
      <w:r w:rsidR="006717A5" w:rsidRPr="00494098">
        <w:rPr>
          <w:lang w:val="fr-FR"/>
        </w:rPr>
        <w:t>n° </w:t>
      </w:r>
      <w:r w:rsidRPr="00494098">
        <w:rPr>
          <w:lang w:val="fr-FR"/>
        </w:rPr>
        <w:t>90/2017 du 28</w:t>
      </w:r>
      <w:r w:rsidR="00090CBF" w:rsidRPr="00494098">
        <w:rPr>
          <w:lang w:val="fr-FR"/>
        </w:rPr>
        <w:t> juin</w:t>
      </w:r>
      <w:r w:rsidRPr="00494098">
        <w:rPr>
          <w:lang w:val="fr-FR"/>
        </w:rPr>
        <w:t xml:space="preserve"> 2017 et ordonnance </w:t>
      </w:r>
      <w:r w:rsidR="006717A5" w:rsidRPr="00494098">
        <w:rPr>
          <w:lang w:val="fr-FR"/>
        </w:rPr>
        <w:t>n° </w:t>
      </w:r>
      <w:r w:rsidRPr="00494098">
        <w:rPr>
          <w:lang w:val="fr-FR"/>
        </w:rPr>
        <w:t>253/2017 du 8</w:t>
      </w:r>
      <w:r w:rsidR="00480991" w:rsidRPr="00494098">
        <w:rPr>
          <w:lang w:val="fr-FR"/>
        </w:rPr>
        <w:t> août</w:t>
      </w:r>
      <w:r w:rsidRPr="00494098">
        <w:rPr>
          <w:lang w:val="fr-FR"/>
        </w:rPr>
        <w:t xml:space="preserve"> 2017).</w:t>
      </w:r>
    </w:p>
    <w:p w14:paraId="584C3599" w14:textId="77777777" w:rsidR="00077B75" w:rsidRPr="00494098" w:rsidRDefault="00077B75" w:rsidP="00480570">
      <w:pPr>
        <w:pStyle w:val="SingleTxtG"/>
        <w:rPr>
          <w:lang w:val="fr-FR"/>
        </w:rPr>
      </w:pPr>
      <w:r w:rsidRPr="00494098">
        <w:rPr>
          <w:lang w:val="fr-FR"/>
        </w:rPr>
        <w:lastRenderedPageBreak/>
        <w:t>128.</w:t>
      </w:r>
      <w:r w:rsidRPr="00494098">
        <w:rPr>
          <w:lang w:val="fr-FR"/>
        </w:rPr>
        <w:tab/>
        <w:t xml:space="preserve">Le régime de prestations de </w:t>
      </w:r>
      <w:r w:rsidR="00E7609D" w:rsidRPr="00494098">
        <w:rPr>
          <w:lang w:val="fr-FR"/>
        </w:rPr>
        <w:t xml:space="preserve">la </w:t>
      </w:r>
      <w:r w:rsidRPr="00494098">
        <w:rPr>
          <w:lang w:val="fr-FR"/>
        </w:rPr>
        <w:t xml:space="preserve">protection parentale a été modifié afin de renforcer les droits de maternité et de paternité (loi </w:t>
      </w:r>
      <w:r w:rsidR="006717A5" w:rsidRPr="00494098">
        <w:rPr>
          <w:lang w:val="fr-FR"/>
        </w:rPr>
        <w:t>n° </w:t>
      </w:r>
      <w:r w:rsidR="00480991" w:rsidRPr="00494098">
        <w:rPr>
          <w:lang w:val="fr-FR"/>
        </w:rPr>
        <w:t>1</w:t>
      </w:r>
      <w:r w:rsidRPr="00494098">
        <w:rPr>
          <w:lang w:val="fr-FR"/>
        </w:rPr>
        <w:t>20/2015)</w:t>
      </w:r>
      <w:r w:rsidR="00090CBF" w:rsidRPr="00494098">
        <w:rPr>
          <w:lang w:val="fr-FR"/>
        </w:rPr>
        <w:t> :</w:t>
      </w:r>
      <w:r w:rsidRPr="00494098">
        <w:rPr>
          <w:lang w:val="fr-FR"/>
        </w:rPr>
        <w:t xml:space="preserve"> le congé parental initial peut désormais être </w:t>
      </w:r>
      <w:r w:rsidR="00A447CA" w:rsidRPr="00494098">
        <w:rPr>
          <w:lang w:val="fr-FR"/>
        </w:rPr>
        <w:t xml:space="preserve">simultanément </w:t>
      </w:r>
      <w:r w:rsidRPr="00494098">
        <w:rPr>
          <w:lang w:val="fr-FR"/>
        </w:rPr>
        <w:t xml:space="preserve">exercé par les deux parents </w:t>
      </w:r>
      <w:r w:rsidR="00A447CA" w:rsidRPr="00494098">
        <w:rPr>
          <w:lang w:val="fr-FR"/>
        </w:rPr>
        <w:t>pendant une période de 120 à 150 </w:t>
      </w:r>
      <w:r w:rsidRPr="00494098">
        <w:rPr>
          <w:lang w:val="fr-FR"/>
        </w:rPr>
        <w:t>jours</w:t>
      </w:r>
      <w:r w:rsidR="006717A5" w:rsidRPr="00494098">
        <w:rPr>
          <w:lang w:val="fr-FR"/>
        </w:rPr>
        <w:t> ;</w:t>
      </w:r>
      <w:r w:rsidRPr="00494098">
        <w:rPr>
          <w:lang w:val="fr-FR"/>
        </w:rPr>
        <w:t xml:space="preserve"> la part obligatoire du congé parental re</w:t>
      </w:r>
      <w:r w:rsidR="00F24246" w:rsidRPr="00494098">
        <w:rPr>
          <w:lang w:val="fr-FR"/>
        </w:rPr>
        <w:t>venant exclusivement a</w:t>
      </w:r>
      <w:r w:rsidRPr="00494098">
        <w:rPr>
          <w:lang w:val="fr-FR"/>
        </w:rPr>
        <w:t>u père, qui correspond à une allocation versée par la sécurité sociale, est passé</w:t>
      </w:r>
      <w:r w:rsidR="00E7609D" w:rsidRPr="00494098">
        <w:rPr>
          <w:lang w:val="fr-FR"/>
        </w:rPr>
        <w:t>e</w:t>
      </w:r>
      <w:r w:rsidRPr="00494098">
        <w:rPr>
          <w:lang w:val="fr-FR"/>
        </w:rPr>
        <w:t xml:space="preserve"> de 10 à 15 jours.</w:t>
      </w:r>
    </w:p>
    <w:p w14:paraId="7EB11947" w14:textId="77777777" w:rsidR="00077B75" w:rsidRPr="00494098" w:rsidRDefault="00077B75" w:rsidP="00480570">
      <w:pPr>
        <w:pStyle w:val="SingleTxtG"/>
        <w:rPr>
          <w:lang w:val="fr-FR"/>
        </w:rPr>
      </w:pPr>
      <w:r w:rsidRPr="00494098">
        <w:rPr>
          <w:lang w:val="fr-FR"/>
        </w:rPr>
        <w:t>129.</w:t>
      </w:r>
      <w:r w:rsidRPr="00494098">
        <w:rPr>
          <w:lang w:val="fr-FR"/>
        </w:rPr>
        <w:tab/>
        <w:t xml:space="preserve">Le règlement </w:t>
      </w:r>
      <w:r w:rsidR="00A447CA" w:rsidRPr="00494098">
        <w:rPr>
          <w:lang w:val="fr-FR"/>
        </w:rPr>
        <w:t>n° </w:t>
      </w:r>
      <w:r w:rsidRPr="00494098">
        <w:rPr>
          <w:lang w:val="fr-FR"/>
        </w:rPr>
        <w:t xml:space="preserve">3/2016 a modifié l’allocation d’éducation spéciale </w:t>
      </w:r>
      <w:r w:rsidR="00A447CA" w:rsidRPr="00494098">
        <w:rPr>
          <w:lang w:val="fr-FR"/>
        </w:rPr>
        <w:t xml:space="preserve">afin </w:t>
      </w:r>
      <w:r w:rsidRPr="00494098">
        <w:rPr>
          <w:lang w:val="fr-FR"/>
        </w:rPr>
        <w:t>d’améliorer les règles d’attribution des prestations. Le régime d</w:t>
      </w:r>
      <w:r w:rsidR="006D5F25" w:rsidRPr="00494098">
        <w:rPr>
          <w:lang w:val="fr-FR"/>
        </w:rPr>
        <w:t>e l</w:t>
      </w:r>
      <w:r w:rsidRPr="00494098">
        <w:rPr>
          <w:lang w:val="fr-FR"/>
        </w:rPr>
        <w:t>’allocation d’éducation spéciale a donc été amélioré afin d’assurer l’harmonisation des critères de vérification de la preuve de l’invalidité</w:t>
      </w:r>
      <w:r w:rsidR="006D5F25" w:rsidRPr="00494098">
        <w:rPr>
          <w:lang w:val="fr-FR"/>
        </w:rPr>
        <w:t>,</w:t>
      </w:r>
      <w:r w:rsidRPr="00494098">
        <w:rPr>
          <w:lang w:val="fr-FR"/>
        </w:rPr>
        <w:t xml:space="preserve"> et de la nécessité de suivre un enseignement </w:t>
      </w:r>
      <w:r w:rsidR="00E60E08" w:rsidRPr="00494098">
        <w:rPr>
          <w:lang w:val="fr-FR"/>
        </w:rPr>
        <w:t xml:space="preserve">particulier </w:t>
      </w:r>
      <w:r w:rsidRPr="00494098">
        <w:rPr>
          <w:lang w:val="fr-FR"/>
        </w:rPr>
        <w:t>ou de bénéficier d'un soutien individuel ou spécialisé.</w:t>
      </w:r>
    </w:p>
    <w:p w14:paraId="6B23ABCE" w14:textId="77777777" w:rsidR="00077B75" w:rsidRPr="00494098" w:rsidRDefault="00C7410B" w:rsidP="00480570">
      <w:pPr>
        <w:pStyle w:val="SingleTxtG"/>
        <w:rPr>
          <w:lang w:val="fr-FR"/>
        </w:rPr>
      </w:pPr>
      <w:r w:rsidRPr="00494098">
        <w:rPr>
          <w:lang w:val="fr-FR"/>
        </w:rPr>
        <w:t>130.</w:t>
      </w:r>
      <w:r w:rsidRPr="00494098">
        <w:rPr>
          <w:lang w:val="fr-FR"/>
        </w:rPr>
        <w:tab/>
        <w:t>Pendant les « </w:t>
      </w:r>
      <w:r w:rsidR="00077B75" w:rsidRPr="00494098">
        <w:rPr>
          <w:lang w:val="fr-FR"/>
        </w:rPr>
        <w:t>années d'austérité</w:t>
      </w:r>
      <w:r w:rsidRPr="00494098">
        <w:rPr>
          <w:lang w:val="fr-FR"/>
        </w:rPr>
        <w:t> »</w:t>
      </w:r>
      <w:r w:rsidR="00077B75" w:rsidRPr="00494098">
        <w:rPr>
          <w:lang w:val="fr-FR"/>
        </w:rPr>
        <w:t>, davantage de ressources ont été allouées au développement des services sociaux (voir graphique</w:t>
      </w:r>
      <w:r w:rsidRPr="00494098">
        <w:rPr>
          <w:lang w:val="fr-FR"/>
        </w:rPr>
        <w:t> </w:t>
      </w:r>
      <w:r w:rsidR="00077B75" w:rsidRPr="00494098">
        <w:rPr>
          <w:lang w:val="fr-FR"/>
        </w:rPr>
        <w:t xml:space="preserve">2, </w:t>
      </w:r>
      <w:r w:rsidR="003B4E18" w:rsidRPr="00494098">
        <w:rPr>
          <w:lang w:val="fr-FR"/>
        </w:rPr>
        <w:t>annexe 1</w:t>
      </w:r>
      <w:r w:rsidR="00077B75" w:rsidRPr="00494098">
        <w:rPr>
          <w:lang w:val="fr-FR"/>
        </w:rPr>
        <w:t>).</w:t>
      </w:r>
    </w:p>
    <w:p w14:paraId="5282F725" w14:textId="77777777" w:rsidR="00077B75" w:rsidRPr="00494098" w:rsidRDefault="00077B75" w:rsidP="00480570">
      <w:pPr>
        <w:pStyle w:val="SingleTxtG"/>
        <w:rPr>
          <w:lang w:val="fr-FR"/>
        </w:rPr>
      </w:pPr>
      <w:r w:rsidRPr="00494098">
        <w:rPr>
          <w:lang w:val="fr-FR"/>
        </w:rPr>
        <w:t>131.</w:t>
      </w:r>
      <w:r w:rsidRPr="00494098">
        <w:rPr>
          <w:lang w:val="fr-FR"/>
        </w:rPr>
        <w:tab/>
        <w:t xml:space="preserve">Le développement de services sociaux tels que les écoles maternelles, le temps libéré pour la garde d'enfants, </w:t>
      </w:r>
      <w:r w:rsidR="004151A0" w:rsidRPr="00494098">
        <w:rPr>
          <w:lang w:val="fr-FR"/>
        </w:rPr>
        <w:t>l’</w:t>
      </w:r>
      <w:r w:rsidRPr="00494098">
        <w:rPr>
          <w:lang w:val="fr-FR"/>
        </w:rPr>
        <w:t xml:space="preserve">appui financier pour la fréquentation des établissements d’enseignement préscolaire et des Centre de soutien familial et de conseil parental (CAFAP), en particulier pour les familles en situation de grande vulnérabilité, dépend beaucoup de la coopération entre l’État et les institutions privées de solidarité sociale. </w:t>
      </w:r>
    </w:p>
    <w:p w14:paraId="05502348" w14:textId="77777777" w:rsidR="00077B75" w:rsidRPr="00494098" w:rsidRDefault="00077B75" w:rsidP="00AE4BF5">
      <w:pPr>
        <w:pStyle w:val="SingleTxtG"/>
        <w:rPr>
          <w:lang w:val="fr-FR"/>
        </w:rPr>
      </w:pPr>
      <w:r w:rsidRPr="00494098">
        <w:rPr>
          <w:lang w:val="fr-FR"/>
        </w:rPr>
        <w:t>132.</w:t>
      </w:r>
      <w:r w:rsidRPr="00494098">
        <w:rPr>
          <w:lang w:val="fr-FR"/>
        </w:rPr>
        <w:tab/>
        <w:t>En 2016, 5</w:t>
      </w:r>
      <w:r w:rsidR="0091537C" w:rsidRPr="00494098">
        <w:rPr>
          <w:lang w:val="fr-FR"/>
        </w:rPr>
        <w:t> </w:t>
      </w:r>
      <w:r w:rsidRPr="00494098">
        <w:rPr>
          <w:lang w:val="fr-FR"/>
        </w:rPr>
        <w:t>804</w:t>
      </w:r>
      <w:r w:rsidR="0091537C" w:rsidRPr="00494098">
        <w:rPr>
          <w:lang w:val="fr-FR"/>
        </w:rPr>
        <w:t> </w:t>
      </w:r>
      <w:r w:rsidRPr="00494098">
        <w:rPr>
          <w:lang w:val="fr-FR"/>
        </w:rPr>
        <w:t xml:space="preserve">accords de coopération ont été signés </w:t>
      </w:r>
      <w:r w:rsidR="0091537C" w:rsidRPr="00494098">
        <w:rPr>
          <w:lang w:val="fr-FR"/>
        </w:rPr>
        <w:t xml:space="preserve">pour des </w:t>
      </w:r>
      <w:r w:rsidRPr="00494098">
        <w:rPr>
          <w:lang w:val="fr-FR"/>
        </w:rPr>
        <w:t>équipements et de</w:t>
      </w:r>
      <w:r w:rsidR="0091537C" w:rsidRPr="00494098">
        <w:rPr>
          <w:lang w:val="fr-FR"/>
        </w:rPr>
        <w:t>s</w:t>
      </w:r>
      <w:r w:rsidRPr="00494098">
        <w:rPr>
          <w:lang w:val="fr-FR"/>
        </w:rPr>
        <w:t xml:space="preserve"> ser</w:t>
      </w:r>
      <w:r w:rsidRPr="00494098">
        <w:rPr>
          <w:lang w:val="fr-FR"/>
        </w:rPr>
        <w:lastRenderedPageBreak/>
        <w:t xml:space="preserve">vices sociaux </w:t>
      </w:r>
      <w:r w:rsidR="0091537C" w:rsidRPr="00494098">
        <w:rPr>
          <w:lang w:val="fr-FR"/>
        </w:rPr>
        <w:t xml:space="preserve">destinés aux </w:t>
      </w:r>
      <w:r w:rsidRPr="00494098">
        <w:rPr>
          <w:lang w:val="fr-FR"/>
        </w:rPr>
        <w:t xml:space="preserve">enfants et </w:t>
      </w:r>
      <w:r w:rsidR="0091537C" w:rsidRPr="00494098">
        <w:rPr>
          <w:lang w:val="fr-FR"/>
        </w:rPr>
        <w:t>aux jeunes (S</w:t>
      </w:r>
      <w:r w:rsidRPr="00494098">
        <w:rPr>
          <w:lang w:val="fr-FR"/>
        </w:rPr>
        <w:t>ystème d’information sur la sécurité sociale, coopération 2014 – 2017), au bénéfice de 228</w:t>
      </w:r>
      <w:r w:rsidR="0091537C" w:rsidRPr="00494098">
        <w:rPr>
          <w:lang w:val="fr-FR"/>
        </w:rPr>
        <w:t> 333 </w:t>
      </w:r>
      <w:r w:rsidRPr="00494098">
        <w:rPr>
          <w:lang w:val="fr-FR"/>
        </w:rPr>
        <w:t>enfants et jeunes ainsi que leur famille, avec un financement de l'</w:t>
      </w:r>
      <w:r w:rsidR="006E7DB9" w:rsidRPr="00494098">
        <w:rPr>
          <w:lang w:val="fr-FR"/>
        </w:rPr>
        <w:t>État</w:t>
      </w:r>
      <w:r w:rsidRPr="00494098">
        <w:rPr>
          <w:lang w:val="fr-FR"/>
        </w:rPr>
        <w:t xml:space="preserve"> s'élevant à 532</w:t>
      </w:r>
      <w:r w:rsidR="0091537C" w:rsidRPr="00494098">
        <w:rPr>
          <w:lang w:val="fr-FR"/>
        </w:rPr>
        <w:t> </w:t>
      </w:r>
      <w:r w:rsidRPr="00494098">
        <w:rPr>
          <w:lang w:val="fr-FR"/>
        </w:rPr>
        <w:t>281</w:t>
      </w:r>
      <w:r w:rsidR="0091537C" w:rsidRPr="00494098">
        <w:rPr>
          <w:lang w:val="fr-FR"/>
        </w:rPr>
        <w:t> 959 </w:t>
      </w:r>
      <w:r w:rsidRPr="00494098">
        <w:rPr>
          <w:lang w:val="fr-FR"/>
        </w:rPr>
        <w:t>euros (Inspection générale des activités de santé 2015 – 2016), c’est-à-dire 41</w:t>
      </w:r>
      <w:r w:rsidR="003B4E18" w:rsidRPr="00494098">
        <w:rPr>
          <w:lang w:val="fr-FR"/>
        </w:rPr>
        <w:t> %</w:t>
      </w:r>
      <w:r w:rsidRPr="00494098">
        <w:rPr>
          <w:lang w:val="fr-FR"/>
        </w:rPr>
        <w:t xml:space="preserve"> du financement de tous les accords de coopération conclus en 2016. Ces mesures permettront d’améliorer les transferts sociaux, c’est-à-</w:t>
      </w:r>
      <w:r w:rsidR="006D5F25" w:rsidRPr="00494098">
        <w:rPr>
          <w:lang w:val="fr-FR"/>
        </w:rPr>
        <w:t>dire les prestations familiales</w:t>
      </w:r>
      <w:r w:rsidRPr="00494098">
        <w:rPr>
          <w:lang w:val="fr-FR"/>
        </w:rPr>
        <w:t xml:space="preserve"> </w:t>
      </w:r>
      <w:r w:rsidR="006D5F25" w:rsidRPr="00494098">
        <w:rPr>
          <w:lang w:val="fr-FR"/>
        </w:rPr>
        <w:t xml:space="preserve">en vue de </w:t>
      </w:r>
      <w:r w:rsidRPr="00494098">
        <w:rPr>
          <w:lang w:val="fr-FR"/>
        </w:rPr>
        <w:t xml:space="preserve">la récupération et </w:t>
      </w:r>
      <w:r w:rsidR="006D5F25" w:rsidRPr="00494098">
        <w:rPr>
          <w:lang w:val="fr-FR"/>
        </w:rPr>
        <w:t xml:space="preserve">de </w:t>
      </w:r>
      <w:r w:rsidRPr="00494098">
        <w:rPr>
          <w:lang w:val="fr-FR"/>
        </w:rPr>
        <w:t>l</w:t>
      </w:r>
      <w:r w:rsidR="0091537C" w:rsidRPr="00494098">
        <w:rPr>
          <w:lang w:val="fr-FR"/>
        </w:rPr>
        <w:t xml:space="preserve">’activation </w:t>
      </w:r>
      <w:r w:rsidRPr="00494098">
        <w:rPr>
          <w:lang w:val="fr-FR"/>
        </w:rPr>
        <w:t>de la couverture des minima sociaux, tels que le Revenu social d'insertion et d'autres investissements dans les réponses sociales</w:t>
      </w:r>
      <w:r w:rsidR="006D5F25" w:rsidRPr="00494098">
        <w:rPr>
          <w:lang w:val="fr-FR"/>
        </w:rPr>
        <w:t>,</w:t>
      </w:r>
      <w:r w:rsidRPr="00494098">
        <w:rPr>
          <w:lang w:val="fr-FR"/>
        </w:rPr>
        <w:t xml:space="preserve"> et socia</w:t>
      </w:r>
      <w:r w:rsidR="0091537C" w:rsidRPr="00494098">
        <w:rPr>
          <w:lang w:val="fr-FR"/>
        </w:rPr>
        <w:t>les</w:t>
      </w:r>
      <w:r w:rsidRPr="00494098">
        <w:rPr>
          <w:lang w:val="fr-FR"/>
        </w:rPr>
        <w:t xml:space="preserve"> intégrées</w:t>
      </w:r>
      <w:r w:rsidR="006D5F25" w:rsidRPr="00494098">
        <w:rPr>
          <w:lang w:val="fr-FR"/>
        </w:rPr>
        <w:t>,</w:t>
      </w:r>
      <w:r w:rsidRPr="00494098">
        <w:rPr>
          <w:lang w:val="fr-FR"/>
        </w:rPr>
        <w:t xml:space="preserve"> au bénéfice des enfants et des familles, afin de réduire puis </w:t>
      </w:r>
      <w:r w:rsidR="0091537C" w:rsidRPr="00494098">
        <w:rPr>
          <w:lang w:val="fr-FR"/>
        </w:rPr>
        <w:t xml:space="preserve">parvenir à </w:t>
      </w:r>
      <w:r w:rsidRPr="00494098">
        <w:rPr>
          <w:lang w:val="fr-FR"/>
        </w:rPr>
        <w:t>éliminer la pauvreté des enfants au Portugal.</w:t>
      </w:r>
    </w:p>
    <w:p w14:paraId="6E6636A7" w14:textId="77777777" w:rsidR="00077B75" w:rsidRPr="00494098" w:rsidRDefault="00077B75" w:rsidP="00480570">
      <w:pPr>
        <w:pStyle w:val="SingleTxtG"/>
        <w:rPr>
          <w:lang w:val="fr-FR"/>
        </w:rPr>
      </w:pPr>
      <w:r w:rsidRPr="00494098">
        <w:rPr>
          <w:lang w:val="fr-FR"/>
        </w:rPr>
        <w:t>133.</w:t>
      </w:r>
      <w:r w:rsidRPr="00494098">
        <w:rPr>
          <w:lang w:val="fr-FR"/>
        </w:rPr>
        <w:tab/>
        <w:t>Dans le cadre du Protocole de coopération signé en</w:t>
      </w:r>
      <w:r w:rsidR="00026A16" w:rsidRPr="00494098">
        <w:rPr>
          <w:lang w:val="fr-FR"/>
        </w:rPr>
        <w:t xml:space="preserve"> </w:t>
      </w:r>
      <w:r w:rsidR="00B34673" w:rsidRPr="00494098">
        <w:rPr>
          <w:lang w:val="fr-FR"/>
        </w:rPr>
        <w:t>juillet</w:t>
      </w:r>
      <w:r w:rsidRPr="00494098">
        <w:rPr>
          <w:lang w:val="fr-FR"/>
        </w:rPr>
        <w:t xml:space="preserve"> 2014 entre la Commission nationale pour la promotion des droits et la protection des enfants et des adolescents</w:t>
      </w:r>
      <w:r w:rsidR="000608D4" w:rsidRPr="00494098">
        <w:rPr>
          <w:lang w:val="fr-FR"/>
        </w:rPr>
        <w:t>,</w:t>
      </w:r>
      <w:r w:rsidRPr="00494098">
        <w:rPr>
          <w:lang w:val="fr-FR"/>
        </w:rPr>
        <w:t xml:space="preserve"> et le Réseau européen de lutte contre la pauvreté, une formation intitulée </w:t>
      </w:r>
      <w:r w:rsidR="00026A16" w:rsidRPr="00494098">
        <w:rPr>
          <w:lang w:val="fr-FR"/>
        </w:rPr>
        <w:t>« </w:t>
      </w:r>
      <w:r w:rsidR="00026A16" w:rsidRPr="00494098">
        <w:rPr>
          <w:i/>
          <w:lang w:val="fr-FR"/>
        </w:rPr>
        <w:t>P</w:t>
      </w:r>
      <w:r w:rsidRPr="00494098">
        <w:rPr>
          <w:i/>
          <w:lang w:val="fr-FR"/>
        </w:rPr>
        <w:t>auvreté et exclusion sociale</w:t>
      </w:r>
      <w:r w:rsidR="00090CBF" w:rsidRPr="00494098">
        <w:rPr>
          <w:i/>
          <w:lang w:val="fr-FR"/>
        </w:rPr>
        <w:t> :</w:t>
      </w:r>
      <w:r w:rsidRPr="00494098">
        <w:rPr>
          <w:i/>
          <w:lang w:val="fr-FR"/>
        </w:rPr>
        <w:t xml:space="preserve"> un regar</w:t>
      </w:r>
      <w:r w:rsidR="00026A16" w:rsidRPr="00494098">
        <w:rPr>
          <w:i/>
          <w:lang w:val="fr-FR"/>
        </w:rPr>
        <w:t>d sur les enfants et les jeunes</w:t>
      </w:r>
      <w:r w:rsidR="00026A16" w:rsidRPr="00494098">
        <w:rPr>
          <w:lang w:val="fr-FR"/>
        </w:rPr>
        <w:t> »</w:t>
      </w:r>
      <w:r w:rsidRPr="00494098">
        <w:rPr>
          <w:lang w:val="fr-FR"/>
        </w:rPr>
        <w:t xml:space="preserve"> a été dispensée aux </w:t>
      </w:r>
      <w:r w:rsidR="00026A16" w:rsidRPr="00494098">
        <w:rPr>
          <w:lang w:val="fr-FR"/>
        </w:rPr>
        <w:t>professionnels concernés, et u</w:t>
      </w:r>
      <w:r w:rsidRPr="00494098">
        <w:rPr>
          <w:lang w:val="fr-FR"/>
        </w:rPr>
        <w:t>ne collaboration dans le domaine de la prévention et des réponses aux situations où les droits des enfants peuvent être menacés a été mise en place.</w:t>
      </w:r>
    </w:p>
    <w:p w14:paraId="624B9908" w14:textId="77777777" w:rsidR="00077B75" w:rsidRPr="00494098" w:rsidRDefault="00077B75" w:rsidP="007A52C2">
      <w:pPr>
        <w:pStyle w:val="H4G"/>
        <w:rPr>
          <w:lang w:val="fr-FR"/>
        </w:rPr>
      </w:pPr>
      <w:r w:rsidRPr="00494098">
        <w:rPr>
          <w:lang w:val="fr-FR"/>
        </w:rPr>
        <w:tab/>
      </w:r>
      <w:r w:rsidRPr="00494098">
        <w:rPr>
          <w:lang w:val="fr-FR"/>
        </w:rPr>
        <w:tab/>
      </w:r>
      <w:r w:rsidRPr="00494098">
        <w:rPr>
          <w:iCs/>
          <w:lang w:val="fr-FR"/>
        </w:rPr>
        <w:t>Éducation</w:t>
      </w:r>
      <w:bookmarkStart w:id="105" w:name="_Toc530057503"/>
      <w:bookmarkEnd w:id="105"/>
    </w:p>
    <w:p w14:paraId="093AA532" w14:textId="7366810E" w:rsidR="00077B75" w:rsidRPr="00494098" w:rsidRDefault="00077B75" w:rsidP="00480570">
      <w:pPr>
        <w:pStyle w:val="SingleTxtG"/>
        <w:rPr>
          <w:lang w:val="fr-FR"/>
        </w:rPr>
      </w:pPr>
      <w:r w:rsidRPr="00494098">
        <w:rPr>
          <w:lang w:val="fr-FR"/>
        </w:rPr>
        <w:t>134.</w:t>
      </w:r>
      <w:r w:rsidRPr="00494098">
        <w:rPr>
          <w:lang w:val="fr-FR"/>
        </w:rPr>
        <w:tab/>
        <w:t xml:space="preserve">L’accès à une éducation de qualité pour tous, </w:t>
      </w:r>
      <w:r w:rsidR="00380B80">
        <w:rPr>
          <w:lang w:val="fr-FR"/>
        </w:rPr>
        <w:t xml:space="preserve">visant </w:t>
      </w:r>
      <w:r w:rsidRPr="00494098">
        <w:rPr>
          <w:lang w:val="fr-FR"/>
        </w:rPr>
        <w:t xml:space="preserve"> à prévenir et combattre la ségrégation et offrant un accès équitable et général est prioritaire. Plusieurs prestations, allocations et autres </w:t>
      </w:r>
      <w:r w:rsidRPr="00494098">
        <w:rPr>
          <w:lang w:val="fr-FR"/>
        </w:rPr>
        <w:lastRenderedPageBreak/>
        <w:t>services, comme les services de conseil, sont en place pour soutenir les familles touchées par la crise économique, les familles monoparentales, les familles a</w:t>
      </w:r>
      <w:r w:rsidR="00A47E2A" w:rsidRPr="00494098">
        <w:rPr>
          <w:lang w:val="fr-FR"/>
        </w:rPr>
        <w:t>yant</w:t>
      </w:r>
      <w:r w:rsidRPr="00494098">
        <w:rPr>
          <w:lang w:val="fr-FR"/>
        </w:rPr>
        <w:t xml:space="preserve"> deux enfants ou plus, les familles ayant des enfants handicapés et celles qui vivent dans une pauvreté persistante. Voir annexe 3</w:t>
      </w:r>
      <w:r w:rsidR="00A47E2A" w:rsidRPr="00494098">
        <w:rPr>
          <w:lang w:val="fr-FR"/>
        </w:rPr>
        <w:noBreakHyphen/>
      </w:r>
      <w:r w:rsidRPr="00494098">
        <w:rPr>
          <w:lang w:val="fr-FR"/>
        </w:rPr>
        <w:t>G, Soutien social à l'école.</w:t>
      </w:r>
    </w:p>
    <w:p w14:paraId="29E0281C" w14:textId="59D9B317" w:rsidR="00077B75" w:rsidRPr="00494098" w:rsidRDefault="00077B75" w:rsidP="00480570">
      <w:pPr>
        <w:pStyle w:val="SingleTxtG"/>
        <w:rPr>
          <w:lang w:val="fr-FR"/>
        </w:rPr>
      </w:pPr>
      <w:r w:rsidRPr="00494098">
        <w:rPr>
          <w:lang w:val="fr-FR"/>
        </w:rPr>
        <w:t>135.</w:t>
      </w:r>
      <w:r w:rsidRPr="00494098">
        <w:rPr>
          <w:lang w:val="fr-FR"/>
        </w:rPr>
        <w:tab/>
        <w:t>L’enseignement</w:t>
      </w:r>
      <w:r w:rsidR="00A47E2A" w:rsidRPr="00494098">
        <w:rPr>
          <w:lang w:val="fr-FR"/>
        </w:rPr>
        <w:t xml:space="preserve"> public obligatoire (pendant 12 </w:t>
      </w:r>
      <w:r w:rsidRPr="00494098">
        <w:rPr>
          <w:lang w:val="fr-FR"/>
        </w:rPr>
        <w:t xml:space="preserve">années) est gratuit, aucun frais d’inscription n'est dû et aucun paiement n’est demandé pour les activités </w:t>
      </w:r>
      <w:r w:rsidR="008906BE">
        <w:rPr>
          <w:lang w:val="fr-FR"/>
        </w:rPr>
        <w:t>scolaires  et le</w:t>
      </w:r>
      <w:r w:rsidR="008C420E">
        <w:rPr>
          <w:lang w:val="fr-FR"/>
        </w:rPr>
        <w:t xml:space="preserve"> passage des</w:t>
      </w:r>
      <w:r w:rsidR="008906BE">
        <w:rPr>
          <w:lang w:val="fr-FR"/>
        </w:rPr>
        <w:t xml:space="preserve"> examens </w:t>
      </w:r>
      <w:r w:rsidR="008D7164">
        <w:rPr>
          <w:lang w:val="fr-FR"/>
        </w:rPr>
        <w:t xml:space="preserve">menant au diplôme </w:t>
      </w:r>
      <w:r w:rsidR="008C420E">
        <w:rPr>
          <w:lang w:val="fr-FR"/>
        </w:rPr>
        <w:t>de fin d’études</w:t>
      </w:r>
      <w:r w:rsidRPr="00494098">
        <w:rPr>
          <w:lang w:val="fr-FR"/>
        </w:rPr>
        <w:t>.</w:t>
      </w:r>
    </w:p>
    <w:p w14:paraId="176F95D0" w14:textId="77777777" w:rsidR="00077B75" w:rsidRPr="00494098" w:rsidRDefault="00077B75" w:rsidP="00480570">
      <w:pPr>
        <w:pStyle w:val="SingleTxtG"/>
        <w:rPr>
          <w:lang w:val="fr-FR"/>
        </w:rPr>
      </w:pPr>
      <w:r w:rsidRPr="00494098">
        <w:rPr>
          <w:lang w:val="fr-FR"/>
        </w:rPr>
        <w:t>136.</w:t>
      </w:r>
      <w:r w:rsidRPr="00494098">
        <w:rPr>
          <w:lang w:val="fr-FR"/>
        </w:rPr>
        <w:tab/>
        <w:t xml:space="preserve">Des subventions peuvent être accordées aux familles défavorisées pour le transport scolaire, </w:t>
      </w:r>
      <w:r w:rsidR="00BC3717" w:rsidRPr="00494098">
        <w:rPr>
          <w:lang w:val="fr-FR"/>
        </w:rPr>
        <w:t>l’alimentation, les manuels et l</w:t>
      </w:r>
      <w:r w:rsidRPr="00494098">
        <w:rPr>
          <w:lang w:val="fr-FR"/>
        </w:rPr>
        <w:t>es fournitures scolaires. L</w:t>
      </w:r>
      <w:r w:rsidR="00275698" w:rsidRPr="00494098">
        <w:rPr>
          <w:lang w:val="fr-FR"/>
        </w:rPr>
        <w:t>e soutien social</w:t>
      </w:r>
      <w:r w:rsidRPr="00494098">
        <w:rPr>
          <w:lang w:val="fr-FR"/>
        </w:rPr>
        <w:t xml:space="preserve"> </w:t>
      </w:r>
      <w:r w:rsidR="00275698" w:rsidRPr="00494098">
        <w:rPr>
          <w:lang w:val="fr-FR"/>
        </w:rPr>
        <w:t xml:space="preserve">des élèves </w:t>
      </w:r>
      <w:r w:rsidRPr="00494098">
        <w:rPr>
          <w:lang w:val="fr-FR"/>
        </w:rPr>
        <w:t>est étendu jusqu'à la fin de l’enseignement secondaire.</w:t>
      </w:r>
    </w:p>
    <w:p w14:paraId="2ED305A9" w14:textId="77777777" w:rsidR="00077B75" w:rsidRPr="00494098" w:rsidRDefault="00077B75" w:rsidP="00480570">
      <w:pPr>
        <w:pStyle w:val="SingleTxtG"/>
        <w:rPr>
          <w:lang w:val="fr-FR"/>
        </w:rPr>
      </w:pPr>
      <w:r w:rsidRPr="00494098">
        <w:rPr>
          <w:lang w:val="fr-FR"/>
        </w:rPr>
        <w:t>137.</w:t>
      </w:r>
      <w:r w:rsidRPr="00494098">
        <w:rPr>
          <w:lang w:val="fr-FR"/>
        </w:rPr>
        <w:tab/>
        <w:t xml:space="preserve">Les familles financièrement défavorisées peuvent recevoir une allocation mensuelle qui varie en fonction du revenu familial et du nombre d’enfants présents dans le système éducatif. </w:t>
      </w:r>
    </w:p>
    <w:p w14:paraId="708CE79A" w14:textId="77777777" w:rsidR="00077B75" w:rsidRPr="00494098" w:rsidRDefault="00077B75" w:rsidP="00480570">
      <w:pPr>
        <w:pStyle w:val="SingleTxtG"/>
        <w:rPr>
          <w:lang w:val="fr-FR"/>
        </w:rPr>
      </w:pPr>
      <w:r w:rsidRPr="00494098">
        <w:rPr>
          <w:lang w:val="fr-FR"/>
        </w:rPr>
        <w:t>138.</w:t>
      </w:r>
      <w:r w:rsidRPr="00494098">
        <w:rPr>
          <w:lang w:val="fr-FR"/>
        </w:rPr>
        <w:tab/>
        <w:t xml:space="preserve">Le programme </w:t>
      </w:r>
      <w:r w:rsidR="000D1E17" w:rsidRPr="00494098">
        <w:rPr>
          <w:lang w:val="fr-FR"/>
        </w:rPr>
        <w:t xml:space="preserve">relatif </w:t>
      </w:r>
      <w:r w:rsidRPr="00494098">
        <w:rPr>
          <w:lang w:val="fr-FR"/>
        </w:rPr>
        <w:t>aux Zones d'intervention éducative prioritaires, créé en 1996 et prorogé</w:t>
      </w:r>
      <w:r w:rsidR="00F21199" w:rsidRPr="00494098">
        <w:rPr>
          <w:lang w:val="fr-FR"/>
        </w:rPr>
        <w:t xml:space="preserve"> depuis lors</w:t>
      </w:r>
      <w:r w:rsidRPr="00494098">
        <w:rPr>
          <w:lang w:val="fr-FR"/>
        </w:rPr>
        <w:t xml:space="preserve">, apporte des ressources supplémentaires, </w:t>
      </w:r>
      <w:r w:rsidR="00F21199" w:rsidRPr="00494098">
        <w:rPr>
          <w:lang w:val="fr-FR"/>
        </w:rPr>
        <w:t>notamment d</w:t>
      </w:r>
      <w:r w:rsidRPr="00494098">
        <w:rPr>
          <w:lang w:val="fr-FR"/>
        </w:rPr>
        <w:t>es psychologues, des médiateurs, des travailleurs sociaux et des enseignants, à 136</w:t>
      </w:r>
      <w:r w:rsidR="00F21199" w:rsidRPr="00494098">
        <w:rPr>
          <w:lang w:val="fr-FR"/>
        </w:rPr>
        <w:t> </w:t>
      </w:r>
      <w:r w:rsidR="0064128C" w:rsidRPr="00494098">
        <w:rPr>
          <w:lang w:val="fr-FR"/>
        </w:rPr>
        <w:t>groupements d’écoles</w:t>
      </w:r>
      <w:r w:rsidRPr="00494098">
        <w:rPr>
          <w:lang w:val="fr-FR"/>
        </w:rPr>
        <w:t xml:space="preserve"> situés dans des zones défavorisées, afin de </w:t>
      </w:r>
      <w:r w:rsidR="00F21199" w:rsidRPr="00494098">
        <w:rPr>
          <w:lang w:val="fr-FR"/>
        </w:rPr>
        <w:t xml:space="preserve">permettre </w:t>
      </w:r>
      <w:r w:rsidRPr="00494098">
        <w:rPr>
          <w:lang w:val="fr-FR"/>
        </w:rPr>
        <w:t xml:space="preserve">un suivi plus étroit des élèves et de leurs familles, selon les besoins spécifiques et les projets de l’école. </w:t>
      </w:r>
    </w:p>
    <w:p w14:paraId="689DFC86" w14:textId="77777777" w:rsidR="00077B75" w:rsidRPr="00494098" w:rsidRDefault="00077B75" w:rsidP="007A52C2">
      <w:pPr>
        <w:pStyle w:val="H4G"/>
        <w:rPr>
          <w:lang w:val="fr-FR"/>
        </w:rPr>
      </w:pPr>
      <w:r w:rsidRPr="00494098">
        <w:rPr>
          <w:lang w:val="fr-FR"/>
        </w:rPr>
        <w:lastRenderedPageBreak/>
        <w:tab/>
      </w:r>
      <w:r w:rsidRPr="00494098">
        <w:rPr>
          <w:lang w:val="fr-FR"/>
        </w:rPr>
        <w:tab/>
        <w:t>Santé</w:t>
      </w:r>
      <w:bookmarkStart w:id="106" w:name="_Toc530057504"/>
      <w:bookmarkEnd w:id="106"/>
    </w:p>
    <w:p w14:paraId="0FED8B02" w14:textId="0FB86ED9" w:rsidR="00077B75" w:rsidRPr="00494098" w:rsidRDefault="00077B75" w:rsidP="00480570">
      <w:pPr>
        <w:pStyle w:val="SingleTxtG"/>
        <w:rPr>
          <w:lang w:val="fr-FR"/>
        </w:rPr>
      </w:pPr>
      <w:r w:rsidRPr="00494098">
        <w:rPr>
          <w:lang w:val="fr-FR"/>
        </w:rPr>
        <w:t>139.</w:t>
      </w:r>
      <w:r w:rsidRPr="00494098">
        <w:rPr>
          <w:lang w:val="fr-FR"/>
        </w:rPr>
        <w:tab/>
        <w:t>Le droit à la protection de la santé est inscrit dans la Constitution (art</w:t>
      </w:r>
      <w:r w:rsidR="00174C91">
        <w:rPr>
          <w:lang w:val="fr-FR"/>
        </w:rPr>
        <w:t>.</w:t>
      </w:r>
      <w:r w:rsidR="006D1264" w:rsidRPr="00494098">
        <w:rPr>
          <w:lang w:val="fr-FR"/>
        </w:rPr>
        <w:t> </w:t>
      </w:r>
      <w:r w:rsidRPr="00494098">
        <w:rPr>
          <w:lang w:val="fr-FR"/>
        </w:rPr>
        <w:t>64)</w:t>
      </w:r>
      <w:r w:rsidR="00BC3717" w:rsidRPr="00494098">
        <w:rPr>
          <w:lang w:val="fr-FR"/>
        </w:rPr>
        <w:t>,</w:t>
      </w:r>
      <w:r w:rsidR="006D1264" w:rsidRPr="00494098">
        <w:rPr>
          <w:lang w:val="fr-FR"/>
        </w:rPr>
        <w:t xml:space="preserve"> </w:t>
      </w:r>
      <w:r w:rsidRPr="00494098">
        <w:rPr>
          <w:lang w:val="fr-FR"/>
        </w:rPr>
        <w:t xml:space="preserve">et la loi relative à la santé de base (loi </w:t>
      </w:r>
      <w:r w:rsidR="006717A5" w:rsidRPr="00494098">
        <w:rPr>
          <w:lang w:val="fr-FR"/>
        </w:rPr>
        <w:t>n° </w:t>
      </w:r>
      <w:r w:rsidRPr="00494098">
        <w:rPr>
          <w:lang w:val="fr-FR"/>
        </w:rPr>
        <w:t>48/90 du 24</w:t>
      </w:r>
      <w:r w:rsidR="00480991" w:rsidRPr="00494098">
        <w:rPr>
          <w:lang w:val="fr-FR"/>
        </w:rPr>
        <w:t> août</w:t>
      </w:r>
      <w:r w:rsidRPr="00494098">
        <w:rPr>
          <w:lang w:val="fr-FR"/>
        </w:rPr>
        <w:t xml:space="preserve"> 1990) définit les mesures spéciales à prendre en faveur des groupes les plus à risque, comme les enfants, les adolescents, les femmes enceintes, les personnes âgées, les handicapés et les toxicomanes.</w:t>
      </w:r>
    </w:p>
    <w:p w14:paraId="26FA758A" w14:textId="77777777" w:rsidR="00077B75" w:rsidRPr="00494098" w:rsidRDefault="00077B75" w:rsidP="00480570">
      <w:pPr>
        <w:pStyle w:val="SingleTxtG"/>
        <w:rPr>
          <w:lang w:val="fr-FR"/>
        </w:rPr>
      </w:pPr>
      <w:r w:rsidRPr="00494098">
        <w:rPr>
          <w:lang w:val="fr-FR"/>
        </w:rPr>
        <w:t>140.</w:t>
      </w:r>
      <w:r w:rsidRPr="00494098">
        <w:rPr>
          <w:lang w:val="fr-FR"/>
        </w:rPr>
        <w:tab/>
      </w:r>
      <w:r w:rsidR="00AB0864" w:rsidRPr="00494098">
        <w:rPr>
          <w:lang w:val="fr-FR"/>
        </w:rPr>
        <w:t>D</w:t>
      </w:r>
      <w:r w:rsidRPr="00494098">
        <w:rPr>
          <w:lang w:val="fr-FR"/>
        </w:rPr>
        <w:t xml:space="preserve">es exonérations de </w:t>
      </w:r>
      <w:r w:rsidR="00AB0864" w:rsidRPr="00494098">
        <w:rPr>
          <w:lang w:val="fr-FR"/>
        </w:rPr>
        <w:t xml:space="preserve">frais </w:t>
      </w:r>
      <w:r w:rsidRPr="00494098">
        <w:rPr>
          <w:lang w:val="fr-FR"/>
        </w:rPr>
        <w:t xml:space="preserve">d’accès aux services de santé </w:t>
      </w:r>
      <w:r w:rsidR="00AB0864" w:rsidRPr="00494098">
        <w:rPr>
          <w:lang w:val="fr-FR"/>
        </w:rPr>
        <w:t xml:space="preserve">sont en place </w:t>
      </w:r>
      <w:r w:rsidRPr="00494098">
        <w:rPr>
          <w:lang w:val="fr-FR"/>
        </w:rPr>
        <w:t>pour les femmes enceintes et les parturientes, les enfants de moins de 18</w:t>
      </w:r>
      <w:r w:rsidR="00AB0864" w:rsidRPr="00494098">
        <w:rPr>
          <w:lang w:val="fr-FR"/>
        </w:rPr>
        <w:t> </w:t>
      </w:r>
      <w:r w:rsidRPr="00494098">
        <w:rPr>
          <w:lang w:val="fr-FR"/>
        </w:rPr>
        <w:t xml:space="preserve">ans, les enfants et les jeunes </w:t>
      </w:r>
      <w:r w:rsidR="00AB0864" w:rsidRPr="00494098">
        <w:rPr>
          <w:lang w:val="fr-FR"/>
        </w:rPr>
        <w:t xml:space="preserve">bénéficiant d’une action de promotion </w:t>
      </w:r>
      <w:r w:rsidRPr="00494098">
        <w:rPr>
          <w:lang w:val="fr-FR"/>
        </w:rPr>
        <w:t xml:space="preserve">et de protection, les </w:t>
      </w:r>
      <w:r w:rsidR="00AB0864" w:rsidRPr="00494098">
        <w:rPr>
          <w:lang w:val="fr-FR"/>
        </w:rPr>
        <w:t xml:space="preserve">mineurs </w:t>
      </w:r>
      <w:r w:rsidRPr="00494098">
        <w:rPr>
          <w:lang w:val="fr-FR"/>
        </w:rPr>
        <w:t xml:space="preserve">soumis à des mesures au titre de la loi sur la tutelle civile, les enfants et les jeunes pris en charge </w:t>
      </w:r>
      <w:r w:rsidR="00AB0864" w:rsidRPr="00494098">
        <w:rPr>
          <w:lang w:val="fr-FR"/>
        </w:rPr>
        <w:t xml:space="preserve">dans des opérations </w:t>
      </w:r>
      <w:r w:rsidRPr="00494098">
        <w:rPr>
          <w:lang w:val="fr-FR"/>
        </w:rPr>
        <w:t xml:space="preserve">d'hébergement social à la suite d'une décision de justice </w:t>
      </w:r>
      <w:r w:rsidR="00AB0864" w:rsidRPr="00494098">
        <w:rPr>
          <w:lang w:val="fr-FR"/>
        </w:rPr>
        <w:t xml:space="preserve">rendue </w:t>
      </w:r>
      <w:r w:rsidRPr="00494098">
        <w:rPr>
          <w:lang w:val="fr-FR"/>
        </w:rPr>
        <w:t>dans le cadre d'une procédure de tutelle civile, les demandeurs d’asile et les réfugiés, leurs conjoints ou équivalents et leurs descendants (décret-loi 131/2017 du 10</w:t>
      </w:r>
      <w:r w:rsidR="00203C62" w:rsidRPr="00494098">
        <w:rPr>
          <w:lang w:val="fr-FR"/>
        </w:rPr>
        <w:t> octobre</w:t>
      </w:r>
      <w:r w:rsidRPr="00494098">
        <w:rPr>
          <w:lang w:val="fr-FR"/>
        </w:rPr>
        <w:t xml:space="preserve"> 2017). </w:t>
      </w:r>
    </w:p>
    <w:p w14:paraId="717BF03E" w14:textId="50FB8666" w:rsidR="00077B75" w:rsidRPr="00494098" w:rsidRDefault="00077B75" w:rsidP="007A52C2">
      <w:pPr>
        <w:pStyle w:val="H23G"/>
        <w:rPr>
          <w:lang w:val="fr-FR"/>
        </w:rPr>
      </w:pPr>
      <w:r w:rsidRPr="00494098">
        <w:rPr>
          <w:lang w:val="fr-FR"/>
        </w:rPr>
        <w:tab/>
      </w:r>
      <w:r w:rsidRPr="00494098">
        <w:rPr>
          <w:lang w:val="fr-FR"/>
        </w:rPr>
        <w:tab/>
        <w:t>Enfants privés de milieu familial (</w:t>
      </w:r>
      <w:r w:rsidR="00231F7C">
        <w:rPr>
          <w:lang w:val="fr-FR"/>
        </w:rPr>
        <w:t>par.</w:t>
      </w:r>
      <w:r w:rsidRPr="00494098">
        <w:rPr>
          <w:lang w:val="fr-FR"/>
        </w:rPr>
        <w:t xml:space="preserve"> 42 </w:t>
      </w:r>
      <w:r w:rsidR="00872592" w:rsidRPr="00494098">
        <w:rPr>
          <w:lang w:val="fr-FR"/>
        </w:rPr>
        <w:t xml:space="preserve">des </w:t>
      </w:r>
      <w:r w:rsidR="005C0DDE">
        <w:rPr>
          <w:lang w:val="fr-FR"/>
        </w:rPr>
        <w:t>0</w:t>
      </w:r>
      <w:r w:rsidR="00916D99" w:rsidRPr="00494098">
        <w:rPr>
          <w:lang w:val="fr-FR"/>
        </w:rPr>
        <w:t>bservations finales</w:t>
      </w:r>
      <w:r w:rsidR="00872592" w:rsidRPr="00494098">
        <w:rPr>
          <w:lang w:val="fr-FR"/>
        </w:rPr>
        <w:t>)</w:t>
      </w:r>
      <w:bookmarkStart w:id="107" w:name="_Toc530057298"/>
      <w:bookmarkStart w:id="108" w:name="_Toc530057505"/>
      <w:bookmarkStart w:id="109" w:name="_Toc530057612"/>
      <w:bookmarkStart w:id="110" w:name="_Toc530067993"/>
      <w:bookmarkEnd w:id="107"/>
      <w:bookmarkEnd w:id="108"/>
      <w:bookmarkEnd w:id="109"/>
      <w:bookmarkEnd w:id="110"/>
    </w:p>
    <w:p w14:paraId="3ABC74CF" w14:textId="5253AF22" w:rsidR="00077B75" w:rsidRPr="00494098" w:rsidRDefault="00077B75" w:rsidP="007A52C2">
      <w:pPr>
        <w:pStyle w:val="H4G"/>
        <w:rPr>
          <w:lang w:val="fr-FR"/>
        </w:rPr>
      </w:pPr>
      <w:r w:rsidRPr="00494098">
        <w:rPr>
          <w:lang w:val="fr-FR"/>
        </w:rPr>
        <w:tab/>
      </w:r>
      <w:r w:rsidRPr="00494098">
        <w:rPr>
          <w:lang w:val="fr-FR"/>
        </w:rPr>
        <w:tab/>
        <w:t xml:space="preserve">Prévention des placements </w:t>
      </w:r>
      <w:r w:rsidR="00901C0D">
        <w:rPr>
          <w:lang w:val="fr-FR"/>
        </w:rPr>
        <w:t>hors du cadre familial</w:t>
      </w:r>
      <w:r w:rsidRPr="00494098">
        <w:rPr>
          <w:lang w:val="fr-FR"/>
        </w:rPr>
        <w:t xml:space="preserve"> et</w:t>
      </w:r>
      <w:r w:rsidR="00DC3AB8">
        <w:rPr>
          <w:lang w:val="fr-FR"/>
        </w:rPr>
        <w:t xml:space="preserve"> promotion</w:t>
      </w:r>
      <w:r w:rsidRPr="00494098">
        <w:rPr>
          <w:lang w:val="fr-FR"/>
        </w:rPr>
        <w:t xml:space="preserve"> </w:t>
      </w:r>
      <w:r w:rsidR="00DC3AB8">
        <w:rPr>
          <w:lang w:val="fr-FR"/>
        </w:rPr>
        <w:t>d</w:t>
      </w:r>
      <w:r w:rsidR="0001100F">
        <w:rPr>
          <w:lang w:val="fr-FR"/>
        </w:rPr>
        <w:t xml:space="preserve">e la prise </w:t>
      </w:r>
      <w:r w:rsidR="00DC3AB8">
        <w:rPr>
          <w:lang w:val="fr-FR"/>
        </w:rPr>
        <w:t xml:space="preserve">en charge dans </w:t>
      </w:r>
      <w:r w:rsidR="0001100F">
        <w:rPr>
          <w:lang w:val="fr-FR"/>
        </w:rPr>
        <w:t xml:space="preserve">une structure </w:t>
      </w:r>
      <w:r w:rsidR="00DC3AB8">
        <w:rPr>
          <w:lang w:val="fr-FR"/>
        </w:rPr>
        <w:t>familial</w:t>
      </w:r>
      <w:r w:rsidR="0001100F">
        <w:rPr>
          <w:lang w:val="fr-FR"/>
        </w:rPr>
        <w:t>e</w:t>
      </w:r>
      <w:bookmarkStart w:id="111" w:name="_Toc530057506"/>
      <w:bookmarkEnd w:id="111"/>
    </w:p>
    <w:p w14:paraId="6AD9ED75" w14:textId="77777777" w:rsidR="00077B75" w:rsidRPr="00494098" w:rsidRDefault="00077B75" w:rsidP="00480570">
      <w:pPr>
        <w:pStyle w:val="SingleTxtG"/>
        <w:rPr>
          <w:lang w:val="fr-FR"/>
        </w:rPr>
      </w:pPr>
      <w:r w:rsidRPr="00494098">
        <w:rPr>
          <w:lang w:val="fr-FR"/>
        </w:rPr>
        <w:t>141.</w:t>
      </w:r>
      <w:r w:rsidRPr="00494098">
        <w:rPr>
          <w:lang w:val="fr-FR"/>
        </w:rPr>
        <w:tab/>
        <w:t xml:space="preserve">La loi sur la protection des enfants et des jeunes en danger (loi n°147/99 révisée par la loi </w:t>
      </w:r>
      <w:r w:rsidR="006717A5" w:rsidRPr="00494098">
        <w:rPr>
          <w:lang w:val="fr-FR"/>
        </w:rPr>
        <w:t>n° </w:t>
      </w:r>
      <w:r w:rsidR="00480991" w:rsidRPr="00494098">
        <w:rPr>
          <w:lang w:val="fr-FR"/>
        </w:rPr>
        <w:t>1</w:t>
      </w:r>
      <w:r w:rsidRPr="00494098">
        <w:rPr>
          <w:lang w:val="fr-FR"/>
        </w:rPr>
        <w:t>42/2015 du 8</w:t>
      </w:r>
      <w:r w:rsidR="00480991" w:rsidRPr="00494098">
        <w:rPr>
          <w:lang w:val="fr-FR"/>
        </w:rPr>
        <w:t> septembre</w:t>
      </w:r>
      <w:r w:rsidRPr="00494098">
        <w:rPr>
          <w:lang w:val="fr-FR"/>
        </w:rPr>
        <w:t xml:space="preserve"> 2015) cherche à répondre aux problèmes auxquels font face les enfants et les jeunes placés en milieu familial en renforçant son</w:t>
      </w:r>
      <w:r w:rsidR="0022401B" w:rsidRPr="00494098">
        <w:rPr>
          <w:lang w:val="fr-FR"/>
        </w:rPr>
        <w:t xml:space="preserve"> </w:t>
      </w:r>
      <w:r w:rsidR="00DF14F1" w:rsidRPr="00494098">
        <w:rPr>
          <w:lang w:val="fr-FR"/>
        </w:rPr>
        <w:t xml:space="preserve">schéma </w:t>
      </w:r>
      <w:r w:rsidRPr="00494098">
        <w:rPr>
          <w:lang w:val="fr-FR"/>
        </w:rPr>
        <w:t>d'encadrement ainsi que les mesures visant à réduire la du</w:t>
      </w:r>
      <w:r w:rsidRPr="00494098">
        <w:rPr>
          <w:lang w:val="fr-FR"/>
        </w:rPr>
        <w:lastRenderedPageBreak/>
        <w:t xml:space="preserve">rée de leur placement en institution, et en améliorant la qualité de la prise en charge et des actions de </w:t>
      </w:r>
      <w:r w:rsidR="0022401B" w:rsidRPr="00494098">
        <w:rPr>
          <w:lang w:val="fr-FR"/>
        </w:rPr>
        <w:t xml:space="preserve">promotion </w:t>
      </w:r>
      <w:r w:rsidRPr="00494098">
        <w:rPr>
          <w:lang w:val="fr-FR"/>
        </w:rPr>
        <w:t xml:space="preserve">et de protection qui leur sont destinées. </w:t>
      </w:r>
    </w:p>
    <w:p w14:paraId="45778D8D" w14:textId="77777777" w:rsidR="00077B75" w:rsidRPr="00494098" w:rsidRDefault="00077B75" w:rsidP="00480570">
      <w:pPr>
        <w:pStyle w:val="SingleTxtG"/>
        <w:rPr>
          <w:lang w:val="fr-FR"/>
        </w:rPr>
      </w:pPr>
      <w:r w:rsidRPr="00494098">
        <w:rPr>
          <w:lang w:val="fr-FR"/>
        </w:rPr>
        <w:t>142.</w:t>
      </w:r>
      <w:r w:rsidRPr="00494098">
        <w:rPr>
          <w:lang w:val="fr-FR"/>
        </w:rPr>
        <w:tab/>
        <w:t xml:space="preserve">En vertu du cadre révisé, la famille </w:t>
      </w:r>
      <w:r w:rsidR="00B6207F" w:rsidRPr="00494098">
        <w:rPr>
          <w:lang w:val="fr-FR"/>
        </w:rPr>
        <w:t xml:space="preserve">d’accueil </w:t>
      </w:r>
      <w:r w:rsidRPr="00494098">
        <w:rPr>
          <w:lang w:val="fr-FR"/>
        </w:rPr>
        <w:t>est la mesure de placement familial qui sera privilégiée pour les enfants jusqu’à l’âge de 6</w:t>
      </w:r>
      <w:r w:rsidR="00B6207F" w:rsidRPr="00494098">
        <w:rPr>
          <w:lang w:val="fr-FR"/>
        </w:rPr>
        <w:t> </w:t>
      </w:r>
      <w:r w:rsidRPr="00494098">
        <w:rPr>
          <w:lang w:val="fr-FR"/>
        </w:rPr>
        <w:t>ans. Les foyers de placement familial doivent mettre au point des modèles d’intervention socio-éducative adaptés aux enfants et aux jeunes dont ils ont la charge</w:t>
      </w:r>
      <w:r w:rsidR="0029356E" w:rsidRPr="00494098">
        <w:rPr>
          <w:lang w:val="fr-FR"/>
        </w:rPr>
        <w:t>,</w:t>
      </w:r>
      <w:r w:rsidRPr="00494098">
        <w:rPr>
          <w:lang w:val="fr-FR"/>
        </w:rPr>
        <w:t xml:space="preserve"> et faire face aux situations d’urgence ainsi qu’aux besoins éducatifs et d’intervention thérapeutique particuliers. </w:t>
      </w:r>
    </w:p>
    <w:p w14:paraId="167E315E" w14:textId="77777777" w:rsidR="00077B75" w:rsidRPr="00494098" w:rsidRDefault="00077B75" w:rsidP="00480570">
      <w:pPr>
        <w:pStyle w:val="SingleTxtG"/>
        <w:rPr>
          <w:lang w:val="fr-FR"/>
        </w:rPr>
      </w:pPr>
      <w:r w:rsidRPr="00494098">
        <w:rPr>
          <w:lang w:val="fr-FR"/>
        </w:rPr>
        <w:t>143.</w:t>
      </w:r>
      <w:r w:rsidRPr="00494098">
        <w:rPr>
          <w:lang w:val="fr-FR"/>
        </w:rPr>
        <w:tab/>
      </w:r>
      <w:r w:rsidR="00B6207F" w:rsidRPr="00494098">
        <w:rPr>
          <w:lang w:val="fr-FR"/>
        </w:rPr>
        <w:t>Les m</w:t>
      </w:r>
      <w:r w:rsidRPr="00494098">
        <w:rPr>
          <w:lang w:val="fr-FR"/>
        </w:rPr>
        <w:t xml:space="preserve">esures de </w:t>
      </w:r>
      <w:r w:rsidR="00B6207F" w:rsidRPr="00494098">
        <w:rPr>
          <w:lang w:val="fr-FR"/>
        </w:rPr>
        <w:t xml:space="preserve">placement familial </w:t>
      </w:r>
      <w:r w:rsidRPr="00494098">
        <w:rPr>
          <w:lang w:val="fr-FR"/>
        </w:rPr>
        <w:t>doivent être privilégié</w:t>
      </w:r>
      <w:r w:rsidR="00B6207F" w:rsidRPr="00494098">
        <w:rPr>
          <w:lang w:val="fr-FR"/>
        </w:rPr>
        <w:t>e</w:t>
      </w:r>
      <w:r w:rsidRPr="00494098">
        <w:rPr>
          <w:lang w:val="fr-FR"/>
        </w:rPr>
        <w:t>s en tant que solution d</w:t>
      </w:r>
      <w:r w:rsidR="00B6207F" w:rsidRPr="00494098">
        <w:rPr>
          <w:lang w:val="fr-FR"/>
        </w:rPr>
        <w:t>iffér</w:t>
      </w:r>
      <w:r w:rsidR="0029356E" w:rsidRPr="00494098">
        <w:rPr>
          <w:lang w:val="fr-FR"/>
        </w:rPr>
        <w:t>e</w:t>
      </w:r>
      <w:r w:rsidR="00B6207F" w:rsidRPr="00494098">
        <w:rPr>
          <w:lang w:val="fr-FR"/>
        </w:rPr>
        <w:t>nt</w:t>
      </w:r>
      <w:r w:rsidR="0029356E" w:rsidRPr="00494098">
        <w:rPr>
          <w:lang w:val="fr-FR"/>
        </w:rPr>
        <w:t>e</w:t>
      </w:r>
      <w:r w:rsidR="00B6207F" w:rsidRPr="00494098">
        <w:rPr>
          <w:lang w:val="fr-FR"/>
        </w:rPr>
        <w:t xml:space="preserve"> du </w:t>
      </w:r>
      <w:r w:rsidRPr="00494098">
        <w:rPr>
          <w:lang w:val="fr-FR"/>
        </w:rPr>
        <w:t>placement en institution, en particulier pour les enfants jusqu’à l’âge de 6</w:t>
      </w:r>
      <w:r w:rsidR="00B6207F" w:rsidRPr="00494098">
        <w:rPr>
          <w:lang w:val="fr-FR"/>
        </w:rPr>
        <w:t> </w:t>
      </w:r>
      <w:r w:rsidRPr="00494098">
        <w:rPr>
          <w:lang w:val="fr-FR"/>
        </w:rPr>
        <w:t>ans. Un nouveau programme de prise en charge familiale est envisagé pour améliorer l’application des mesures de protection fondée</w:t>
      </w:r>
      <w:r w:rsidR="00B6207F" w:rsidRPr="00494098">
        <w:rPr>
          <w:lang w:val="fr-FR"/>
        </w:rPr>
        <w:t xml:space="preserve">s sur la famille et le système d’accueil </w:t>
      </w:r>
      <w:r w:rsidRPr="00494098">
        <w:rPr>
          <w:lang w:val="fr-FR"/>
        </w:rPr>
        <w:t xml:space="preserve">familial existant. </w:t>
      </w:r>
    </w:p>
    <w:p w14:paraId="0238A025" w14:textId="6F728257" w:rsidR="00077B75" w:rsidRPr="00494098" w:rsidRDefault="00077B75" w:rsidP="007A52C2">
      <w:pPr>
        <w:pStyle w:val="H4G"/>
        <w:rPr>
          <w:lang w:val="fr-FR"/>
        </w:rPr>
      </w:pPr>
      <w:r w:rsidRPr="00494098">
        <w:rPr>
          <w:lang w:val="fr-FR"/>
        </w:rPr>
        <w:tab/>
      </w:r>
      <w:r w:rsidRPr="00494098">
        <w:rPr>
          <w:lang w:val="fr-FR"/>
        </w:rPr>
        <w:tab/>
      </w:r>
      <w:r w:rsidR="0029356E" w:rsidRPr="00494098">
        <w:rPr>
          <w:lang w:val="fr-FR"/>
        </w:rPr>
        <w:t>S</w:t>
      </w:r>
      <w:r w:rsidR="007E4801" w:rsidRPr="00494098">
        <w:rPr>
          <w:lang w:val="fr-FR"/>
        </w:rPr>
        <w:t xml:space="preserve">tratégie de </w:t>
      </w:r>
      <w:r w:rsidR="00660325">
        <w:rPr>
          <w:lang w:val="fr-FR"/>
        </w:rPr>
        <w:t>désinstitution</w:t>
      </w:r>
      <w:r w:rsidR="00176F26">
        <w:rPr>
          <w:lang w:val="fr-FR"/>
        </w:rPr>
        <w:t>n</w:t>
      </w:r>
      <w:r w:rsidR="00660325">
        <w:rPr>
          <w:lang w:val="fr-FR"/>
        </w:rPr>
        <w:t>alisation</w:t>
      </w:r>
    </w:p>
    <w:p w14:paraId="5164595F" w14:textId="77777777" w:rsidR="00077B75" w:rsidRPr="00494098" w:rsidRDefault="00077B75" w:rsidP="00480570">
      <w:pPr>
        <w:pStyle w:val="SingleTxtG"/>
        <w:rPr>
          <w:lang w:val="fr-FR"/>
        </w:rPr>
      </w:pPr>
      <w:r w:rsidRPr="00494098">
        <w:rPr>
          <w:lang w:val="fr-FR"/>
        </w:rPr>
        <w:t>144.</w:t>
      </w:r>
      <w:r w:rsidRPr="00494098">
        <w:rPr>
          <w:lang w:val="fr-FR"/>
        </w:rPr>
        <w:tab/>
        <w:t xml:space="preserve">La loi </w:t>
      </w:r>
      <w:r w:rsidR="006717A5" w:rsidRPr="00494098">
        <w:rPr>
          <w:lang w:val="fr-FR"/>
        </w:rPr>
        <w:t>n° </w:t>
      </w:r>
      <w:r w:rsidR="00480991" w:rsidRPr="00494098">
        <w:rPr>
          <w:lang w:val="fr-FR"/>
        </w:rPr>
        <w:t>1</w:t>
      </w:r>
      <w:r w:rsidRPr="00494098">
        <w:rPr>
          <w:lang w:val="fr-FR"/>
        </w:rPr>
        <w:t>42/2015 du 8</w:t>
      </w:r>
      <w:r w:rsidR="00480991" w:rsidRPr="00494098">
        <w:rPr>
          <w:lang w:val="fr-FR"/>
        </w:rPr>
        <w:t> septembre</w:t>
      </w:r>
      <w:r w:rsidRPr="00494098">
        <w:rPr>
          <w:lang w:val="fr-FR"/>
        </w:rPr>
        <w:t xml:space="preserve"> 2015 a renforcé le droit de l’enfant à la pr</w:t>
      </w:r>
      <w:r w:rsidR="004C4C43" w:rsidRPr="00494098">
        <w:rPr>
          <w:lang w:val="fr-FR"/>
        </w:rPr>
        <w:t xml:space="preserve">éservation </w:t>
      </w:r>
      <w:r w:rsidRPr="00494098">
        <w:rPr>
          <w:lang w:val="fr-FR"/>
        </w:rPr>
        <w:t xml:space="preserve">des relations nécessaires à son développement et son épanouissement. </w:t>
      </w:r>
    </w:p>
    <w:p w14:paraId="11C5789E" w14:textId="77777777" w:rsidR="00077B75" w:rsidRPr="00494098" w:rsidRDefault="00077B75" w:rsidP="00480570">
      <w:pPr>
        <w:pStyle w:val="SingleTxtG"/>
        <w:rPr>
          <w:lang w:val="fr-FR"/>
        </w:rPr>
      </w:pPr>
      <w:r w:rsidRPr="00494098">
        <w:rPr>
          <w:lang w:val="fr-FR"/>
        </w:rPr>
        <w:t>145.</w:t>
      </w:r>
      <w:r w:rsidRPr="00494098">
        <w:rPr>
          <w:lang w:val="fr-FR"/>
        </w:rPr>
        <w:tab/>
        <w:t xml:space="preserve">Au cours des dernières années, </w:t>
      </w:r>
      <w:r w:rsidR="0029356E" w:rsidRPr="00494098">
        <w:rPr>
          <w:lang w:val="fr-FR"/>
        </w:rPr>
        <w:t>l</w:t>
      </w:r>
      <w:r w:rsidRPr="00494098">
        <w:rPr>
          <w:lang w:val="fr-FR"/>
        </w:rPr>
        <w:t>es mesures en milieu de</w:t>
      </w:r>
      <w:r w:rsidR="0029356E" w:rsidRPr="00494098">
        <w:rPr>
          <w:lang w:val="fr-FR"/>
        </w:rPr>
        <w:t xml:space="preserve"> vie naturel (appui aux parents</w:t>
      </w:r>
      <w:r w:rsidRPr="00494098">
        <w:rPr>
          <w:lang w:val="fr-FR"/>
        </w:rPr>
        <w:t xml:space="preserve"> ou autres personnes fiables et soutien favorisant l'autonomie de vie) </w:t>
      </w:r>
      <w:r w:rsidR="0029356E" w:rsidRPr="00494098">
        <w:rPr>
          <w:lang w:val="fr-FR"/>
        </w:rPr>
        <w:t xml:space="preserve">ont prédominé </w:t>
      </w:r>
      <w:r w:rsidRPr="00494098">
        <w:rPr>
          <w:lang w:val="fr-FR"/>
        </w:rPr>
        <w:t xml:space="preserve">par rapport aux mesures de placement (placements familiaux et en institution), aussi bien dans les procédures judiciaires que dans </w:t>
      </w:r>
      <w:r w:rsidR="004C4C43" w:rsidRPr="00494098">
        <w:rPr>
          <w:lang w:val="fr-FR"/>
        </w:rPr>
        <w:t xml:space="preserve">les </w:t>
      </w:r>
      <w:r w:rsidR="0029356E" w:rsidRPr="00494098">
        <w:rPr>
          <w:lang w:val="fr-FR"/>
        </w:rPr>
        <w:t xml:space="preserve">celles </w:t>
      </w:r>
      <w:r w:rsidRPr="00494098">
        <w:rPr>
          <w:lang w:val="fr-FR"/>
        </w:rPr>
        <w:t xml:space="preserve">de la </w:t>
      </w:r>
      <w:r w:rsidRPr="00494098">
        <w:rPr>
          <w:lang w:val="fr-FR"/>
        </w:rPr>
        <w:lastRenderedPageBreak/>
        <w:t>Commission pour la prote</w:t>
      </w:r>
      <w:r w:rsidR="0029356E" w:rsidRPr="00494098">
        <w:rPr>
          <w:lang w:val="fr-FR"/>
        </w:rPr>
        <w:t>ction des enfants et des jeunes</w:t>
      </w:r>
      <w:r w:rsidRPr="00494098">
        <w:rPr>
          <w:lang w:val="fr-FR"/>
        </w:rPr>
        <w:t>.</w:t>
      </w:r>
    </w:p>
    <w:p w14:paraId="5FB10D7A" w14:textId="16FF3F64" w:rsidR="00077B75" w:rsidRPr="00494098" w:rsidRDefault="00077B75" w:rsidP="00480570">
      <w:pPr>
        <w:pStyle w:val="SingleTxtG"/>
        <w:rPr>
          <w:lang w:val="fr-FR"/>
        </w:rPr>
      </w:pPr>
      <w:r w:rsidRPr="00494098">
        <w:rPr>
          <w:lang w:val="fr-FR"/>
        </w:rPr>
        <w:t>146.</w:t>
      </w:r>
      <w:r w:rsidRPr="00494098">
        <w:rPr>
          <w:lang w:val="fr-FR"/>
        </w:rPr>
        <w:tab/>
        <w:t>En 2014, sur le nombre total d’enfants placés, 46,5</w:t>
      </w:r>
      <w:r w:rsidR="003B4E18" w:rsidRPr="00494098">
        <w:rPr>
          <w:lang w:val="fr-FR"/>
        </w:rPr>
        <w:t> %</w:t>
      </w:r>
      <w:r w:rsidRPr="00494098">
        <w:rPr>
          <w:lang w:val="fr-FR"/>
        </w:rPr>
        <w:t xml:space="preserve"> </w:t>
      </w:r>
      <w:r w:rsidR="00551211" w:rsidRPr="00494098">
        <w:rPr>
          <w:lang w:val="fr-FR"/>
        </w:rPr>
        <w:t xml:space="preserve">avaient </w:t>
      </w:r>
      <w:r w:rsidRPr="00494098">
        <w:rPr>
          <w:lang w:val="fr-FR"/>
        </w:rPr>
        <w:t>bénéficié d’une mesure en milieu de vie naturel avant leur placement en institution. Ce nombre est passé à 49,5</w:t>
      </w:r>
      <w:r w:rsidR="003B4E18" w:rsidRPr="00494098">
        <w:rPr>
          <w:lang w:val="fr-FR"/>
        </w:rPr>
        <w:t> %</w:t>
      </w:r>
      <w:r w:rsidRPr="00494098">
        <w:rPr>
          <w:lang w:val="fr-FR"/>
        </w:rPr>
        <w:t xml:space="preserve"> en 2015 et </w:t>
      </w:r>
      <w:r w:rsidR="00151F3F">
        <w:rPr>
          <w:lang w:val="fr-FR"/>
        </w:rPr>
        <w:t xml:space="preserve">à </w:t>
      </w:r>
      <w:r w:rsidRPr="00494098">
        <w:rPr>
          <w:lang w:val="fr-FR"/>
        </w:rPr>
        <w:t>52,3</w:t>
      </w:r>
      <w:r w:rsidR="003B4E18" w:rsidRPr="00494098">
        <w:rPr>
          <w:lang w:val="fr-FR"/>
        </w:rPr>
        <w:t> %</w:t>
      </w:r>
      <w:r w:rsidRPr="00494098">
        <w:rPr>
          <w:lang w:val="fr-FR"/>
        </w:rPr>
        <w:t xml:space="preserve"> en 2016. Parallèlement, on a constaté une augmentation du pourcentage d’enfants et de jeunes qui ont </w:t>
      </w:r>
      <w:r w:rsidR="000216B6">
        <w:rPr>
          <w:lang w:val="fr-FR"/>
        </w:rPr>
        <w:t xml:space="preserve">quitté les structures </w:t>
      </w:r>
      <w:r w:rsidR="00551211" w:rsidRPr="00494098">
        <w:rPr>
          <w:lang w:val="fr-FR"/>
        </w:rPr>
        <w:t xml:space="preserve"> de </w:t>
      </w:r>
      <w:r w:rsidRPr="00494098">
        <w:rPr>
          <w:lang w:val="fr-FR"/>
        </w:rPr>
        <w:t>pris</w:t>
      </w:r>
      <w:r w:rsidR="00551211" w:rsidRPr="00494098">
        <w:rPr>
          <w:lang w:val="fr-FR"/>
        </w:rPr>
        <w:t>e</w:t>
      </w:r>
      <w:r w:rsidRPr="00494098">
        <w:rPr>
          <w:lang w:val="fr-FR"/>
        </w:rPr>
        <w:t xml:space="preserve"> en charge (voir </w:t>
      </w:r>
      <w:r w:rsidR="003B4E18" w:rsidRPr="00494098">
        <w:rPr>
          <w:lang w:val="fr-FR"/>
        </w:rPr>
        <w:t>tableau 1</w:t>
      </w:r>
      <w:r w:rsidRPr="00494098">
        <w:rPr>
          <w:lang w:val="fr-FR"/>
        </w:rPr>
        <w:t xml:space="preserve">1, </w:t>
      </w:r>
      <w:r w:rsidR="003B4E18" w:rsidRPr="00494098">
        <w:rPr>
          <w:lang w:val="fr-FR"/>
        </w:rPr>
        <w:t>annexe 1</w:t>
      </w:r>
      <w:r w:rsidRPr="00494098">
        <w:rPr>
          <w:lang w:val="fr-FR"/>
        </w:rPr>
        <w:t xml:space="preserve">). </w:t>
      </w:r>
    </w:p>
    <w:p w14:paraId="265EF77C" w14:textId="592F9580" w:rsidR="00077B75" w:rsidRPr="00494098" w:rsidRDefault="00077B75" w:rsidP="00480570">
      <w:pPr>
        <w:pStyle w:val="SingleTxtG"/>
        <w:rPr>
          <w:lang w:val="fr-FR"/>
        </w:rPr>
      </w:pPr>
      <w:r w:rsidRPr="00494098">
        <w:rPr>
          <w:lang w:val="fr-FR"/>
        </w:rPr>
        <w:t>147.</w:t>
      </w:r>
      <w:r w:rsidRPr="00494098">
        <w:rPr>
          <w:lang w:val="fr-FR"/>
        </w:rPr>
        <w:tab/>
        <w:t xml:space="preserve">Selon le rapport de 2016, les principales causes </w:t>
      </w:r>
      <w:r w:rsidR="005C6FE8">
        <w:rPr>
          <w:lang w:val="fr-FR"/>
        </w:rPr>
        <w:t>d’arrêt</w:t>
      </w:r>
      <w:r w:rsidRPr="00494098">
        <w:rPr>
          <w:lang w:val="fr-FR"/>
        </w:rPr>
        <w:t xml:space="preserve"> de la prise en charge </w:t>
      </w:r>
      <w:r w:rsidR="00F74C61" w:rsidRPr="00494098">
        <w:rPr>
          <w:lang w:val="fr-FR"/>
        </w:rPr>
        <w:t xml:space="preserve">sont </w:t>
      </w:r>
      <w:r w:rsidRPr="00494098">
        <w:rPr>
          <w:lang w:val="fr-FR"/>
        </w:rPr>
        <w:t xml:space="preserve">le retour des enfants et des jeunes dans leur cadre de vie naturel (réintégration </w:t>
      </w:r>
      <w:r w:rsidR="008E6841" w:rsidRPr="00494098">
        <w:rPr>
          <w:lang w:val="fr-FR"/>
        </w:rPr>
        <w:t xml:space="preserve">chez </w:t>
      </w:r>
      <w:r w:rsidRPr="00494098">
        <w:rPr>
          <w:lang w:val="fr-FR"/>
        </w:rPr>
        <w:t>les parents, le père, mère, les oncles/ les grands-parents, les frères (64,2</w:t>
      </w:r>
      <w:r w:rsidR="003B4E18" w:rsidRPr="00494098">
        <w:rPr>
          <w:lang w:val="fr-FR"/>
        </w:rPr>
        <w:t> %</w:t>
      </w:r>
      <w:r w:rsidRPr="00494098">
        <w:rPr>
          <w:lang w:val="fr-FR"/>
        </w:rPr>
        <w:t xml:space="preserve">), le placement dans une famille </w:t>
      </w:r>
      <w:r w:rsidR="008E6841" w:rsidRPr="00494098">
        <w:rPr>
          <w:lang w:val="fr-FR"/>
        </w:rPr>
        <w:t>d’accueil</w:t>
      </w:r>
      <w:r w:rsidRPr="00494098">
        <w:rPr>
          <w:lang w:val="fr-FR"/>
        </w:rPr>
        <w:t xml:space="preserve"> ou auprès d'une personne ou </w:t>
      </w:r>
      <w:r w:rsidR="00F74C61" w:rsidRPr="00494098">
        <w:rPr>
          <w:lang w:val="fr-FR"/>
        </w:rPr>
        <w:t>d’</w:t>
      </w:r>
      <w:r w:rsidRPr="00494098">
        <w:rPr>
          <w:lang w:val="fr-FR"/>
        </w:rPr>
        <w:t>une famille fiable (13,6</w:t>
      </w:r>
      <w:r w:rsidR="003B4E18" w:rsidRPr="00494098">
        <w:rPr>
          <w:lang w:val="fr-FR"/>
        </w:rPr>
        <w:t> %</w:t>
      </w:r>
      <w:r w:rsidRPr="00494098">
        <w:rPr>
          <w:lang w:val="fr-FR"/>
        </w:rPr>
        <w:t xml:space="preserve">) et </w:t>
      </w:r>
      <w:r w:rsidR="008E6841" w:rsidRPr="00494098">
        <w:rPr>
          <w:lang w:val="fr-FR"/>
        </w:rPr>
        <w:t xml:space="preserve">des procédures civiles de </w:t>
      </w:r>
      <w:r w:rsidRPr="00494098">
        <w:rPr>
          <w:lang w:val="fr-FR"/>
        </w:rPr>
        <w:t xml:space="preserve">garde </w:t>
      </w:r>
      <w:r w:rsidR="008E6841" w:rsidRPr="00494098">
        <w:rPr>
          <w:lang w:val="fr-FR"/>
        </w:rPr>
        <w:t>pour l</w:t>
      </w:r>
      <w:r w:rsidRPr="00494098">
        <w:rPr>
          <w:lang w:val="fr-FR"/>
        </w:rPr>
        <w:t>es jeunes qui ne poursuivent pas leur trajectoire vers l’autonomie (0,3</w:t>
      </w:r>
      <w:r w:rsidR="003B4E18" w:rsidRPr="00494098">
        <w:rPr>
          <w:lang w:val="fr-FR"/>
        </w:rPr>
        <w:t> %</w:t>
      </w:r>
      <w:r w:rsidRPr="00494098">
        <w:rPr>
          <w:lang w:val="fr-FR"/>
        </w:rPr>
        <w:t xml:space="preserve">). </w:t>
      </w:r>
    </w:p>
    <w:p w14:paraId="244914AF" w14:textId="118735DB" w:rsidR="00077B75" w:rsidRPr="00494098" w:rsidRDefault="00077B75" w:rsidP="00480570">
      <w:pPr>
        <w:pStyle w:val="SingleTxtG"/>
        <w:rPr>
          <w:lang w:val="fr-FR"/>
        </w:rPr>
      </w:pPr>
      <w:r w:rsidRPr="00494098">
        <w:rPr>
          <w:lang w:val="fr-FR"/>
        </w:rPr>
        <w:t>148.</w:t>
      </w:r>
      <w:r w:rsidRPr="00494098">
        <w:rPr>
          <w:lang w:val="fr-FR"/>
        </w:rPr>
        <w:tab/>
        <w:t xml:space="preserve">Le nombre des </w:t>
      </w:r>
      <w:r w:rsidR="00AC3A65">
        <w:rPr>
          <w:lang w:val="fr-FR"/>
        </w:rPr>
        <w:t xml:space="preserve">foyers d’accueil </w:t>
      </w:r>
      <w:r w:rsidRPr="00494098">
        <w:rPr>
          <w:lang w:val="fr-FR"/>
        </w:rPr>
        <w:t xml:space="preserve"> a simultanément baissé au Portugal, passant de 315 en 2014 à 313 en 2015 et </w:t>
      </w:r>
      <w:r w:rsidR="00397BB2">
        <w:rPr>
          <w:lang w:val="fr-FR"/>
        </w:rPr>
        <w:t xml:space="preserve">à </w:t>
      </w:r>
      <w:r w:rsidRPr="00494098">
        <w:rPr>
          <w:lang w:val="fr-FR"/>
        </w:rPr>
        <w:t xml:space="preserve">310 en 2016. </w:t>
      </w:r>
    </w:p>
    <w:p w14:paraId="22AB3FBD" w14:textId="77777777" w:rsidR="00077B75" w:rsidRPr="00494098" w:rsidRDefault="00077B75" w:rsidP="007A52C2">
      <w:pPr>
        <w:pStyle w:val="H4G"/>
        <w:rPr>
          <w:lang w:val="fr-FR"/>
        </w:rPr>
      </w:pPr>
      <w:r w:rsidRPr="00494098">
        <w:rPr>
          <w:lang w:val="fr-FR"/>
        </w:rPr>
        <w:tab/>
      </w:r>
      <w:r w:rsidRPr="00494098">
        <w:rPr>
          <w:lang w:val="fr-FR"/>
        </w:rPr>
        <w:tab/>
        <w:t>Qualification des professionnels et des aidants</w:t>
      </w:r>
      <w:bookmarkStart w:id="112" w:name="_Toc530057508"/>
      <w:bookmarkEnd w:id="112"/>
    </w:p>
    <w:p w14:paraId="1EB8F80D" w14:textId="77777777" w:rsidR="00077B75" w:rsidRPr="00494098" w:rsidRDefault="00077B75" w:rsidP="00480570">
      <w:pPr>
        <w:pStyle w:val="SingleTxtG"/>
        <w:rPr>
          <w:lang w:val="fr-FR"/>
        </w:rPr>
      </w:pPr>
      <w:r w:rsidRPr="00494098">
        <w:rPr>
          <w:lang w:val="fr-FR"/>
        </w:rPr>
        <w:t>149.</w:t>
      </w:r>
      <w:r w:rsidRPr="00494098">
        <w:rPr>
          <w:lang w:val="fr-FR"/>
        </w:rPr>
        <w:tab/>
        <w:t xml:space="preserve">La qualification des </w:t>
      </w:r>
      <w:r w:rsidR="00C313EF" w:rsidRPr="00494098">
        <w:rPr>
          <w:lang w:val="fr-FR"/>
        </w:rPr>
        <w:t xml:space="preserve">personnels </w:t>
      </w:r>
      <w:r w:rsidRPr="00494098">
        <w:rPr>
          <w:lang w:val="fr-FR"/>
        </w:rPr>
        <w:t xml:space="preserve">dans ces établissements </w:t>
      </w:r>
      <w:r w:rsidR="008E6841" w:rsidRPr="00494098">
        <w:rPr>
          <w:lang w:val="fr-FR"/>
        </w:rPr>
        <w:t xml:space="preserve">de prise en charge </w:t>
      </w:r>
      <w:r w:rsidRPr="00494098">
        <w:rPr>
          <w:lang w:val="fr-FR"/>
        </w:rPr>
        <w:t xml:space="preserve">a fait l'objet d'une attention considérable au niveau législatif </w:t>
      </w:r>
      <w:r w:rsidR="00C313EF" w:rsidRPr="00494098">
        <w:rPr>
          <w:lang w:val="fr-FR"/>
        </w:rPr>
        <w:t xml:space="preserve">en ce qui concerne </w:t>
      </w:r>
      <w:r w:rsidRPr="00494098">
        <w:rPr>
          <w:lang w:val="fr-FR"/>
        </w:rPr>
        <w:t xml:space="preserve">la gestion stratégique des institutions sociales. </w:t>
      </w:r>
    </w:p>
    <w:p w14:paraId="3910BBA7" w14:textId="0B29CAAF" w:rsidR="00077B75" w:rsidRPr="00494098" w:rsidRDefault="00077B75" w:rsidP="00480570">
      <w:pPr>
        <w:pStyle w:val="SingleTxtG"/>
        <w:rPr>
          <w:lang w:val="fr-FR"/>
        </w:rPr>
      </w:pPr>
      <w:r w:rsidRPr="00494098">
        <w:rPr>
          <w:lang w:val="fr-FR"/>
        </w:rPr>
        <w:t>150.</w:t>
      </w:r>
      <w:r w:rsidRPr="00494098">
        <w:rPr>
          <w:lang w:val="fr-FR"/>
        </w:rPr>
        <w:tab/>
        <w:t xml:space="preserve">Les </w:t>
      </w:r>
      <w:r w:rsidR="007A7834">
        <w:rPr>
          <w:lang w:val="fr-FR"/>
        </w:rPr>
        <w:t xml:space="preserve">foyers </w:t>
      </w:r>
      <w:r w:rsidR="00EF12E1" w:rsidRPr="00494098">
        <w:rPr>
          <w:lang w:val="fr-FR"/>
        </w:rPr>
        <w:t xml:space="preserve"> d’accueil </w:t>
      </w:r>
      <w:r w:rsidRPr="00494098">
        <w:rPr>
          <w:lang w:val="fr-FR"/>
        </w:rPr>
        <w:t>sont obligatoirement dotés d’une équipe technique pluridisciplinaire (responsable du diagnostic de la situation de l'enfant ou de la jeune personne</w:t>
      </w:r>
      <w:r w:rsidR="00C313EF" w:rsidRPr="00494098">
        <w:rPr>
          <w:lang w:val="fr-FR"/>
        </w:rPr>
        <w:t>,</w:t>
      </w:r>
      <w:r w:rsidRPr="00494098">
        <w:rPr>
          <w:lang w:val="fr-FR"/>
        </w:rPr>
        <w:t xml:space="preserve"> </w:t>
      </w:r>
      <w:r w:rsidR="00C313EF" w:rsidRPr="00494098">
        <w:rPr>
          <w:lang w:val="fr-FR"/>
        </w:rPr>
        <w:t xml:space="preserve">et </w:t>
      </w:r>
      <w:r w:rsidRPr="00494098">
        <w:rPr>
          <w:lang w:val="fr-FR"/>
        </w:rPr>
        <w:t xml:space="preserve">définition et </w:t>
      </w:r>
      <w:r w:rsidR="00C313EF" w:rsidRPr="00494098">
        <w:rPr>
          <w:lang w:val="fr-FR"/>
        </w:rPr>
        <w:lastRenderedPageBreak/>
        <w:t xml:space="preserve">exécution </w:t>
      </w:r>
      <w:r w:rsidRPr="00494098">
        <w:rPr>
          <w:lang w:val="fr-FR"/>
        </w:rPr>
        <w:t xml:space="preserve">de chaque projet de vie), </w:t>
      </w:r>
      <w:r w:rsidR="00EF12E1" w:rsidRPr="00494098">
        <w:rPr>
          <w:lang w:val="fr-FR"/>
        </w:rPr>
        <w:t>d’</w:t>
      </w:r>
      <w:r w:rsidRPr="00494098">
        <w:rPr>
          <w:lang w:val="fr-FR"/>
        </w:rPr>
        <w:t xml:space="preserve">une équipe éducative (intégrant du personnel </w:t>
      </w:r>
      <w:r w:rsidR="00C313EF" w:rsidRPr="00494098">
        <w:rPr>
          <w:lang w:val="fr-FR"/>
        </w:rPr>
        <w:t xml:space="preserve">spécifiquement formé aux </w:t>
      </w:r>
      <w:r w:rsidRPr="00494098">
        <w:rPr>
          <w:lang w:val="fr-FR"/>
        </w:rPr>
        <w:t>fonctions socio-éducatives)</w:t>
      </w:r>
      <w:r w:rsidR="00C313EF" w:rsidRPr="00494098">
        <w:rPr>
          <w:lang w:val="fr-FR"/>
        </w:rPr>
        <w:t>,</w:t>
      </w:r>
      <w:r w:rsidRPr="00494098">
        <w:rPr>
          <w:lang w:val="fr-FR"/>
        </w:rPr>
        <w:t xml:space="preserve"> ainsi qu'une équipe d'auxiliaires.</w:t>
      </w:r>
    </w:p>
    <w:p w14:paraId="51FBC098" w14:textId="77777777" w:rsidR="00077B75" w:rsidRPr="00494098" w:rsidRDefault="00077B75" w:rsidP="00480570">
      <w:pPr>
        <w:pStyle w:val="SingleTxtG"/>
        <w:rPr>
          <w:lang w:val="fr-FR"/>
        </w:rPr>
      </w:pPr>
      <w:r w:rsidRPr="00494098">
        <w:rPr>
          <w:lang w:val="fr-FR"/>
        </w:rPr>
        <w:t>151.</w:t>
      </w:r>
      <w:r w:rsidRPr="00494098">
        <w:rPr>
          <w:lang w:val="fr-FR"/>
        </w:rPr>
        <w:tab/>
        <w:t xml:space="preserve">Le recrutement et la sélection des professionnels </w:t>
      </w:r>
      <w:r w:rsidR="00C313EF" w:rsidRPr="00494098">
        <w:rPr>
          <w:lang w:val="fr-FR"/>
        </w:rPr>
        <w:t>correspondent à des</w:t>
      </w:r>
      <w:r w:rsidRPr="00494098">
        <w:rPr>
          <w:lang w:val="fr-FR"/>
        </w:rPr>
        <w:t xml:space="preserve"> procédure</w:t>
      </w:r>
      <w:r w:rsidR="00C313EF" w:rsidRPr="00494098">
        <w:rPr>
          <w:lang w:val="fr-FR"/>
        </w:rPr>
        <w:t>s</w:t>
      </w:r>
      <w:r w:rsidRPr="00494098">
        <w:rPr>
          <w:lang w:val="fr-FR"/>
        </w:rPr>
        <w:t xml:space="preserve"> stricte</w:t>
      </w:r>
      <w:r w:rsidR="00C313EF" w:rsidRPr="00494098">
        <w:rPr>
          <w:lang w:val="fr-FR"/>
        </w:rPr>
        <w:t>s</w:t>
      </w:r>
      <w:r w:rsidRPr="00494098">
        <w:rPr>
          <w:lang w:val="fr-FR"/>
        </w:rPr>
        <w:t xml:space="preserve">, </w:t>
      </w:r>
      <w:r w:rsidR="00C313EF" w:rsidRPr="00494098">
        <w:rPr>
          <w:lang w:val="fr-FR"/>
        </w:rPr>
        <w:t xml:space="preserve">qui </w:t>
      </w:r>
      <w:r w:rsidRPr="00494098">
        <w:rPr>
          <w:lang w:val="fr-FR"/>
        </w:rPr>
        <w:t>exige</w:t>
      </w:r>
      <w:r w:rsidR="00C313EF" w:rsidRPr="00494098">
        <w:rPr>
          <w:lang w:val="fr-FR"/>
        </w:rPr>
        <w:t>nt</w:t>
      </w:r>
      <w:r w:rsidRPr="00494098">
        <w:rPr>
          <w:lang w:val="fr-FR"/>
        </w:rPr>
        <w:t xml:space="preserve"> des titres universitaires, </w:t>
      </w:r>
      <w:r w:rsidR="00EF12E1" w:rsidRPr="00494098">
        <w:rPr>
          <w:lang w:val="fr-FR"/>
        </w:rPr>
        <w:t xml:space="preserve">une </w:t>
      </w:r>
      <w:r w:rsidRPr="00494098">
        <w:rPr>
          <w:lang w:val="fr-FR"/>
        </w:rPr>
        <w:t xml:space="preserve">expérience professionnelle et un profil psychologique adéquat. Des actions de formation professionnelle se tiennent régulièrement, avec l’appui des institutions universitaires et publiques, </w:t>
      </w:r>
      <w:r w:rsidR="00EF12E1" w:rsidRPr="00494098">
        <w:rPr>
          <w:lang w:val="fr-FR"/>
        </w:rPr>
        <w:t xml:space="preserve">et </w:t>
      </w:r>
      <w:r w:rsidRPr="00494098">
        <w:rPr>
          <w:lang w:val="fr-FR"/>
        </w:rPr>
        <w:t>vis</w:t>
      </w:r>
      <w:r w:rsidR="00EF12E1" w:rsidRPr="00494098">
        <w:rPr>
          <w:lang w:val="fr-FR"/>
        </w:rPr>
        <w:t>e</w:t>
      </w:r>
      <w:r w:rsidRPr="00494098">
        <w:rPr>
          <w:lang w:val="fr-FR"/>
        </w:rPr>
        <w:t>nt à l’i</w:t>
      </w:r>
      <w:r w:rsidR="00C313EF" w:rsidRPr="00494098">
        <w:rPr>
          <w:lang w:val="fr-FR"/>
        </w:rPr>
        <w:t>ntégration, la mise à jour et au</w:t>
      </w:r>
      <w:r w:rsidRPr="00494098">
        <w:rPr>
          <w:lang w:val="fr-FR"/>
        </w:rPr>
        <w:t xml:space="preserve"> regroupement des bonnes pratiques socio-éducatives</w:t>
      </w:r>
      <w:r w:rsidR="00C313EF" w:rsidRPr="00494098">
        <w:rPr>
          <w:lang w:val="fr-FR"/>
        </w:rPr>
        <w:t>,</w:t>
      </w:r>
      <w:r w:rsidRPr="00494098">
        <w:rPr>
          <w:lang w:val="fr-FR"/>
        </w:rPr>
        <w:t xml:space="preserve"> dans le cadre du </w:t>
      </w:r>
      <w:r w:rsidR="00C313EF" w:rsidRPr="00494098">
        <w:rPr>
          <w:lang w:val="fr-FR"/>
        </w:rPr>
        <w:t xml:space="preserve">mécanisme </w:t>
      </w:r>
      <w:r w:rsidRPr="00494098">
        <w:rPr>
          <w:lang w:val="fr-FR"/>
        </w:rPr>
        <w:t>de la promotion des droits et de la protection des enfants et des jeunes.</w:t>
      </w:r>
    </w:p>
    <w:p w14:paraId="421879A2" w14:textId="77777777" w:rsidR="00077B75" w:rsidRPr="00494098" w:rsidRDefault="00077B75" w:rsidP="007A52C2">
      <w:pPr>
        <w:pStyle w:val="H4G"/>
        <w:rPr>
          <w:lang w:val="fr-FR"/>
        </w:rPr>
      </w:pPr>
      <w:r w:rsidRPr="00494098">
        <w:rPr>
          <w:lang w:val="fr-FR"/>
        </w:rPr>
        <w:tab/>
      </w:r>
      <w:r w:rsidRPr="00494098">
        <w:rPr>
          <w:lang w:val="fr-FR"/>
        </w:rPr>
        <w:tab/>
        <w:t>Inspection et suivi</w:t>
      </w:r>
      <w:bookmarkStart w:id="113" w:name="_Toc530057509"/>
      <w:bookmarkEnd w:id="113"/>
    </w:p>
    <w:p w14:paraId="3FFF23B4" w14:textId="5D5150EC" w:rsidR="00077B75" w:rsidRPr="00494098" w:rsidRDefault="00077B75" w:rsidP="00480570">
      <w:pPr>
        <w:pStyle w:val="SingleTxtG"/>
        <w:rPr>
          <w:lang w:val="fr-FR"/>
        </w:rPr>
      </w:pPr>
      <w:r w:rsidRPr="00494098">
        <w:rPr>
          <w:lang w:val="fr-FR"/>
        </w:rPr>
        <w:t>152.</w:t>
      </w:r>
      <w:r w:rsidRPr="00494098">
        <w:rPr>
          <w:lang w:val="fr-FR"/>
        </w:rPr>
        <w:tab/>
        <w:t xml:space="preserve">L’inspection et le suivi des </w:t>
      </w:r>
      <w:r w:rsidR="00C72D96">
        <w:rPr>
          <w:lang w:val="fr-FR"/>
        </w:rPr>
        <w:t xml:space="preserve">interventions </w:t>
      </w:r>
      <w:r w:rsidRPr="00494098">
        <w:rPr>
          <w:lang w:val="fr-FR"/>
        </w:rPr>
        <w:t xml:space="preserve"> </w:t>
      </w:r>
      <w:r w:rsidR="00C313EF" w:rsidRPr="00494098">
        <w:rPr>
          <w:lang w:val="fr-FR"/>
        </w:rPr>
        <w:t>sociales auprès de l’enfance et</w:t>
      </w:r>
      <w:r w:rsidRPr="00494098">
        <w:rPr>
          <w:lang w:val="fr-FR"/>
        </w:rPr>
        <w:t xml:space="preserve"> de la jeunesse se déroulent à deux niveaux</w:t>
      </w:r>
      <w:r w:rsidR="00090CBF" w:rsidRPr="00494098">
        <w:rPr>
          <w:lang w:val="fr-FR"/>
        </w:rPr>
        <w:t> :</w:t>
      </w:r>
    </w:p>
    <w:p w14:paraId="3A0980CA" w14:textId="77777777" w:rsidR="00077B75" w:rsidRPr="00494098" w:rsidRDefault="00112210" w:rsidP="00112210">
      <w:pPr>
        <w:pStyle w:val="Bullet1G"/>
        <w:numPr>
          <w:ilvl w:val="0"/>
          <w:numId w:val="0"/>
        </w:numPr>
        <w:tabs>
          <w:tab w:val="left" w:pos="1701"/>
        </w:tabs>
        <w:ind w:left="1701" w:hanging="170"/>
        <w:rPr>
          <w:lang w:val="fr-FR"/>
        </w:rPr>
      </w:pPr>
      <w:r w:rsidRPr="00494098">
        <w:rPr>
          <w:lang w:val="fr-FR"/>
        </w:rPr>
        <w:t>•</w:t>
      </w:r>
      <w:r w:rsidRPr="00494098">
        <w:rPr>
          <w:lang w:val="fr-FR"/>
        </w:rPr>
        <w:tab/>
        <w:t xml:space="preserve">Une intervention technique relative aux réponses sociales </w:t>
      </w:r>
      <w:r w:rsidR="00EF12E1" w:rsidRPr="00494098">
        <w:rPr>
          <w:lang w:val="fr-FR"/>
        </w:rPr>
        <w:t xml:space="preserve">aux </w:t>
      </w:r>
      <w:r w:rsidRPr="00494098">
        <w:rPr>
          <w:lang w:val="fr-FR"/>
        </w:rPr>
        <w:t xml:space="preserve">enfants et </w:t>
      </w:r>
      <w:r w:rsidR="00EF12E1" w:rsidRPr="00494098">
        <w:rPr>
          <w:lang w:val="fr-FR"/>
        </w:rPr>
        <w:t>aux</w:t>
      </w:r>
      <w:r w:rsidRPr="00494098">
        <w:rPr>
          <w:lang w:val="fr-FR"/>
        </w:rPr>
        <w:t xml:space="preserve"> jeunes pris en charge, selon un modèle d’accompagnement semestriel</w:t>
      </w:r>
      <w:r w:rsidR="00F74C61" w:rsidRPr="00494098">
        <w:rPr>
          <w:lang w:val="fr-FR"/>
        </w:rPr>
        <w:t>,</w:t>
      </w:r>
      <w:r w:rsidRPr="00494098">
        <w:rPr>
          <w:lang w:val="fr-FR"/>
        </w:rPr>
        <w:t xml:space="preserve"> </w:t>
      </w:r>
      <w:r w:rsidR="00DF1EB1" w:rsidRPr="00494098">
        <w:rPr>
          <w:lang w:val="fr-FR"/>
        </w:rPr>
        <w:t xml:space="preserve">pour les </w:t>
      </w:r>
      <w:r w:rsidRPr="00494098">
        <w:rPr>
          <w:lang w:val="fr-FR"/>
        </w:rPr>
        <w:t xml:space="preserve">diverses réponses sociales </w:t>
      </w:r>
      <w:r w:rsidR="00DF1EB1" w:rsidRPr="00494098">
        <w:rPr>
          <w:lang w:val="fr-FR"/>
        </w:rPr>
        <w:t xml:space="preserve">apportées </w:t>
      </w:r>
      <w:r w:rsidRPr="00494098">
        <w:rPr>
          <w:lang w:val="fr-FR"/>
        </w:rPr>
        <w:t>dans le domaine des prises en charge en institution</w:t>
      </w:r>
      <w:r w:rsidR="006717A5" w:rsidRPr="00494098">
        <w:rPr>
          <w:lang w:val="fr-FR"/>
        </w:rPr>
        <w:t> ;</w:t>
      </w:r>
      <w:r w:rsidRPr="00494098">
        <w:rPr>
          <w:lang w:val="fr-FR"/>
        </w:rPr>
        <w:t xml:space="preserve"> </w:t>
      </w:r>
    </w:p>
    <w:p w14:paraId="199E9B67" w14:textId="77777777" w:rsidR="00077B75" w:rsidRPr="00494098" w:rsidRDefault="00112210" w:rsidP="00112210">
      <w:pPr>
        <w:pStyle w:val="Bullet1G"/>
        <w:numPr>
          <w:ilvl w:val="0"/>
          <w:numId w:val="0"/>
        </w:numPr>
        <w:tabs>
          <w:tab w:val="left" w:pos="1701"/>
        </w:tabs>
        <w:ind w:left="1701" w:hanging="170"/>
        <w:rPr>
          <w:lang w:val="fr-FR"/>
        </w:rPr>
      </w:pPr>
      <w:r w:rsidRPr="00494098">
        <w:rPr>
          <w:lang w:val="fr-FR"/>
        </w:rPr>
        <w:t>•</w:t>
      </w:r>
      <w:r w:rsidRPr="00494098">
        <w:rPr>
          <w:lang w:val="fr-FR"/>
        </w:rPr>
        <w:tab/>
        <w:t xml:space="preserve">Un accompagnement technique </w:t>
      </w:r>
      <w:r w:rsidR="00435B45" w:rsidRPr="00494098">
        <w:rPr>
          <w:lang w:val="fr-FR"/>
        </w:rPr>
        <w:t xml:space="preserve">pour </w:t>
      </w:r>
      <w:r w:rsidRPr="00494098">
        <w:rPr>
          <w:lang w:val="fr-FR"/>
        </w:rPr>
        <w:t>les réponses sociales</w:t>
      </w:r>
      <w:r w:rsidR="00435B45" w:rsidRPr="00494098">
        <w:rPr>
          <w:lang w:val="fr-FR"/>
        </w:rPr>
        <w:t>,</w:t>
      </w:r>
      <w:r w:rsidRPr="00494098">
        <w:rPr>
          <w:lang w:val="fr-FR"/>
        </w:rPr>
        <w:t xml:space="preserve"> avec des accords de coopération et/ou l'octroi de licences (voir tableaux</w:t>
      </w:r>
      <w:r w:rsidR="00435B45" w:rsidRPr="00494098">
        <w:rPr>
          <w:lang w:val="fr-FR"/>
        </w:rPr>
        <w:t> </w:t>
      </w:r>
      <w:r w:rsidRPr="00494098">
        <w:rPr>
          <w:lang w:val="fr-FR"/>
        </w:rPr>
        <w:t xml:space="preserve">12 et 13, </w:t>
      </w:r>
      <w:r w:rsidR="003B4E18" w:rsidRPr="00494098">
        <w:rPr>
          <w:lang w:val="fr-FR"/>
        </w:rPr>
        <w:t>annexe 1</w:t>
      </w:r>
      <w:r w:rsidRPr="00494098">
        <w:rPr>
          <w:lang w:val="fr-FR"/>
        </w:rPr>
        <w:t>).</w:t>
      </w:r>
    </w:p>
    <w:p w14:paraId="74BC85F9" w14:textId="139A542A" w:rsidR="00077B75" w:rsidRPr="00494098" w:rsidRDefault="00077B75" w:rsidP="00480570">
      <w:pPr>
        <w:pStyle w:val="SingleTxtG"/>
        <w:rPr>
          <w:lang w:val="fr-FR"/>
        </w:rPr>
      </w:pPr>
      <w:r w:rsidRPr="00494098">
        <w:rPr>
          <w:lang w:val="fr-FR"/>
        </w:rPr>
        <w:t>153.</w:t>
      </w:r>
      <w:r w:rsidRPr="00494098">
        <w:rPr>
          <w:lang w:val="fr-FR"/>
        </w:rPr>
        <w:tab/>
        <w:t xml:space="preserve">Les interventions techniques dans les </w:t>
      </w:r>
      <w:r w:rsidR="007A7834">
        <w:rPr>
          <w:lang w:val="fr-FR"/>
        </w:rPr>
        <w:t>foyers</w:t>
      </w:r>
      <w:r w:rsidR="00860688" w:rsidRPr="00494098">
        <w:rPr>
          <w:lang w:val="fr-FR"/>
        </w:rPr>
        <w:t xml:space="preserve"> d’accueil </w:t>
      </w:r>
      <w:r w:rsidRPr="00494098">
        <w:rPr>
          <w:lang w:val="fr-FR"/>
        </w:rPr>
        <w:t xml:space="preserve">spécialisés visent la prise en </w:t>
      </w:r>
      <w:r w:rsidRPr="00494098">
        <w:rPr>
          <w:lang w:val="fr-FR"/>
        </w:rPr>
        <w:lastRenderedPageBreak/>
        <w:t>charge thérapeutique des enfants de 12 à 18</w:t>
      </w:r>
      <w:r w:rsidR="00860688" w:rsidRPr="00494098">
        <w:rPr>
          <w:lang w:val="fr-FR"/>
        </w:rPr>
        <w:t> </w:t>
      </w:r>
      <w:r w:rsidRPr="00494098">
        <w:rPr>
          <w:lang w:val="fr-FR"/>
        </w:rPr>
        <w:t>ans qui connaissent de</w:t>
      </w:r>
      <w:r w:rsidR="00DF1EB1" w:rsidRPr="00494098">
        <w:rPr>
          <w:lang w:val="fr-FR"/>
        </w:rPr>
        <w:t>s</w:t>
      </w:r>
      <w:r w:rsidRPr="00494098">
        <w:rPr>
          <w:lang w:val="fr-FR"/>
        </w:rPr>
        <w:t xml:space="preserve"> difficultés affectives </w:t>
      </w:r>
      <w:r w:rsidR="00DF1EB1" w:rsidRPr="00494098">
        <w:rPr>
          <w:lang w:val="fr-FR"/>
        </w:rPr>
        <w:t xml:space="preserve">graves </w:t>
      </w:r>
      <w:r w:rsidRPr="00494098">
        <w:rPr>
          <w:lang w:val="fr-FR"/>
        </w:rPr>
        <w:t xml:space="preserve">en raison de comportements perturbateurs qui affectent </w:t>
      </w:r>
      <w:r w:rsidR="00DF1EB1" w:rsidRPr="00494098">
        <w:rPr>
          <w:lang w:val="fr-FR"/>
        </w:rPr>
        <w:t xml:space="preserve">lourdement </w:t>
      </w:r>
      <w:r w:rsidRPr="00494098">
        <w:rPr>
          <w:lang w:val="fr-FR"/>
        </w:rPr>
        <w:t xml:space="preserve">leur santé, leur sécurité, leur formation, leur éducation ou leur développement, dans des situations où le frein des parents, tuteurs ou représentants légaux ne suffit pas pour changer la situation. L’intervention est basée </w:t>
      </w:r>
      <w:r w:rsidR="00DF1EB1" w:rsidRPr="00494098">
        <w:rPr>
          <w:lang w:val="fr-FR"/>
        </w:rPr>
        <w:t xml:space="preserve">sur </w:t>
      </w:r>
      <w:r w:rsidRPr="00494098">
        <w:rPr>
          <w:lang w:val="fr-FR"/>
        </w:rPr>
        <w:t xml:space="preserve">des modèles thérapeutiques participatifs, de sorte que les enfants puissent se développer dans un environnement bien pensé et </w:t>
      </w:r>
      <w:r w:rsidR="00DF1EB1" w:rsidRPr="00494098">
        <w:rPr>
          <w:lang w:val="fr-FR"/>
        </w:rPr>
        <w:t xml:space="preserve">bien </w:t>
      </w:r>
      <w:r w:rsidRPr="00494098">
        <w:rPr>
          <w:lang w:val="fr-FR"/>
        </w:rPr>
        <w:t xml:space="preserve">guidé. Elle nécessite un accompagnement précis, qui se traduit par des réunions mensuelles et des voies de communication articulées en provenance de l’Institut de sécurité sociale </w:t>
      </w:r>
      <w:r w:rsidR="00860688" w:rsidRPr="00494098">
        <w:rPr>
          <w:lang w:val="fr-FR"/>
        </w:rPr>
        <w:t>(</w:t>
      </w:r>
      <w:r w:rsidRPr="00494098">
        <w:rPr>
          <w:lang w:val="fr-FR"/>
        </w:rPr>
        <w:t xml:space="preserve">Infrastructures du </w:t>
      </w:r>
      <w:r w:rsidR="00860688" w:rsidRPr="00494098">
        <w:rPr>
          <w:lang w:val="fr-FR"/>
        </w:rPr>
        <w:t>Portugal)</w:t>
      </w:r>
      <w:r w:rsidR="00F74C61" w:rsidRPr="00494098">
        <w:rPr>
          <w:lang w:val="fr-FR"/>
        </w:rPr>
        <w:t>,</w:t>
      </w:r>
      <w:r w:rsidRPr="00494098">
        <w:rPr>
          <w:lang w:val="fr-FR"/>
        </w:rPr>
        <w:t xml:space="preserve"> </w:t>
      </w:r>
      <w:r w:rsidR="00DF1EB1" w:rsidRPr="00494098">
        <w:rPr>
          <w:lang w:val="fr-FR"/>
        </w:rPr>
        <w:t xml:space="preserve">et se concrétise dans des </w:t>
      </w:r>
      <w:r w:rsidRPr="00494098">
        <w:rPr>
          <w:lang w:val="fr-FR"/>
        </w:rPr>
        <w:t xml:space="preserve">équipes techniques, pédagogiques et de direction. </w:t>
      </w:r>
      <w:r w:rsidR="00860688" w:rsidRPr="00494098">
        <w:rPr>
          <w:lang w:val="fr-FR"/>
        </w:rPr>
        <w:t xml:space="preserve">Elle </w:t>
      </w:r>
      <w:r w:rsidRPr="00494098">
        <w:rPr>
          <w:lang w:val="fr-FR"/>
        </w:rPr>
        <w:t xml:space="preserve">a un caractère provisoire et </w:t>
      </w:r>
      <w:r w:rsidR="00860688" w:rsidRPr="00494098">
        <w:rPr>
          <w:lang w:val="fr-FR"/>
        </w:rPr>
        <w:t xml:space="preserve">s’étale sur </w:t>
      </w:r>
      <w:r w:rsidRPr="00494098">
        <w:rPr>
          <w:lang w:val="fr-FR"/>
        </w:rPr>
        <w:t>18 à 36</w:t>
      </w:r>
      <w:r w:rsidR="00860688" w:rsidRPr="00494098">
        <w:rPr>
          <w:lang w:val="fr-FR"/>
        </w:rPr>
        <w:t> </w:t>
      </w:r>
      <w:r w:rsidRPr="00494098">
        <w:rPr>
          <w:lang w:val="fr-FR"/>
        </w:rPr>
        <w:t>mois</w:t>
      </w:r>
      <w:r w:rsidR="00DF1EB1" w:rsidRPr="00494098">
        <w:rPr>
          <w:lang w:val="fr-FR"/>
        </w:rPr>
        <w:t xml:space="preserve"> en moyenne</w:t>
      </w:r>
      <w:r w:rsidRPr="00494098">
        <w:rPr>
          <w:lang w:val="fr-FR"/>
        </w:rPr>
        <w:t>.</w:t>
      </w:r>
    </w:p>
    <w:p w14:paraId="7F6C8D33" w14:textId="77777777" w:rsidR="00077B75" w:rsidRPr="00494098" w:rsidRDefault="00077B75" w:rsidP="007A52C2">
      <w:pPr>
        <w:pStyle w:val="H4G"/>
        <w:rPr>
          <w:lang w:val="fr-FR"/>
        </w:rPr>
      </w:pPr>
      <w:r w:rsidRPr="00494098">
        <w:rPr>
          <w:lang w:val="fr-FR"/>
        </w:rPr>
        <w:tab/>
      </w:r>
      <w:r w:rsidRPr="00494098">
        <w:rPr>
          <w:lang w:val="fr-FR"/>
        </w:rPr>
        <w:tab/>
      </w:r>
      <w:bookmarkStart w:id="114" w:name="_Toc530057510"/>
      <w:bookmarkEnd w:id="114"/>
      <w:r w:rsidR="001A3D7C" w:rsidRPr="00494098">
        <w:rPr>
          <w:lang w:val="fr-FR"/>
        </w:rPr>
        <w:t>Soutien aux enfants quittant les structures de protection de remplacement</w:t>
      </w:r>
    </w:p>
    <w:p w14:paraId="0271E587" w14:textId="77777777" w:rsidR="00077B75" w:rsidRPr="00494098" w:rsidRDefault="00077B75" w:rsidP="00480570">
      <w:pPr>
        <w:pStyle w:val="SingleTxtG"/>
        <w:rPr>
          <w:lang w:val="fr-FR"/>
        </w:rPr>
      </w:pPr>
      <w:r w:rsidRPr="00494098">
        <w:rPr>
          <w:lang w:val="fr-FR"/>
        </w:rPr>
        <w:t>154.</w:t>
      </w:r>
      <w:r w:rsidRPr="00494098">
        <w:rPr>
          <w:lang w:val="fr-FR"/>
        </w:rPr>
        <w:tab/>
        <w:t>Le système de promotion et de protection comprend des mesures en milieu de vie naturel et des mesures de placement.</w:t>
      </w:r>
    </w:p>
    <w:p w14:paraId="667F133A" w14:textId="77777777" w:rsidR="00077B75" w:rsidRPr="00494098" w:rsidRDefault="00077B75" w:rsidP="00480570">
      <w:pPr>
        <w:pStyle w:val="SingleTxtG"/>
        <w:rPr>
          <w:lang w:val="fr-FR"/>
        </w:rPr>
      </w:pPr>
      <w:r w:rsidRPr="00494098">
        <w:rPr>
          <w:lang w:val="fr-FR"/>
        </w:rPr>
        <w:t>155.</w:t>
      </w:r>
      <w:r w:rsidRPr="00494098">
        <w:rPr>
          <w:lang w:val="fr-FR"/>
        </w:rPr>
        <w:tab/>
        <w:t>Les mesures en milieu de vie naturel consistent en un soutien de nature sociale et psychopédagogique et, lorsque c'est justifiable, de nature économique (occasionnelle ou régulière). Ces soutiens peuvent être cumulés.</w:t>
      </w:r>
    </w:p>
    <w:p w14:paraId="34119833" w14:textId="77777777" w:rsidR="00077B75" w:rsidRPr="00494098" w:rsidRDefault="00077B75" w:rsidP="00480570">
      <w:pPr>
        <w:pStyle w:val="SingleTxtG"/>
        <w:rPr>
          <w:lang w:val="fr-FR"/>
        </w:rPr>
      </w:pPr>
      <w:r w:rsidRPr="00494098">
        <w:rPr>
          <w:lang w:val="fr-FR"/>
        </w:rPr>
        <w:t>156.</w:t>
      </w:r>
      <w:r w:rsidRPr="00494098">
        <w:rPr>
          <w:lang w:val="fr-FR"/>
        </w:rPr>
        <w:tab/>
        <w:t>Les jeunes faisant l’objet de mesures de placement institutionnel (en résidentiel ou en accueil familial), bénéficient d’un appui financier, social et pédagogique</w:t>
      </w:r>
      <w:r w:rsidR="00C2040C" w:rsidRPr="00494098">
        <w:rPr>
          <w:lang w:val="fr-FR"/>
        </w:rPr>
        <w:t xml:space="preserve">, ainsi que </w:t>
      </w:r>
      <w:r w:rsidRPr="00494098">
        <w:rPr>
          <w:lang w:val="fr-FR"/>
        </w:rPr>
        <w:t xml:space="preserve">d'appartements </w:t>
      </w:r>
      <w:r w:rsidR="00CE7FFB" w:rsidRPr="00494098">
        <w:rPr>
          <w:lang w:val="fr-FR"/>
        </w:rPr>
        <w:t xml:space="preserve">indépendants </w:t>
      </w:r>
      <w:r w:rsidRPr="00494098">
        <w:rPr>
          <w:lang w:val="fr-FR"/>
        </w:rPr>
        <w:t xml:space="preserve">pour une vie plus </w:t>
      </w:r>
      <w:r w:rsidR="00CE7FFB" w:rsidRPr="00494098">
        <w:rPr>
          <w:lang w:val="fr-FR"/>
        </w:rPr>
        <w:lastRenderedPageBreak/>
        <w:t xml:space="preserve">autonome </w:t>
      </w:r>
      <w:r w:rsidRPr="00494098">
        <w:rPr>
          <w:lang w:val="fr-FR"/>
        </w:rPr>
        <w:t>dans un environnement plus protégé.</w:t>
      </w:r>
    </w:p>
    <w:p w14:paraId="2208BE3C" w14:textId="77777777" w:rsidR="00077B75" w:rsidRPr="00494098" w:rsidRDefault="00077B75" w:rsidP="00480570">
      <w:pPr>
        <w:pStyle w:val="SingleTxtG"/>
        <w:rPr>
          <w:lang w:val="fr-FR"/>
        </w:rPr>
      </w:pPr>
      <w:r w:rsidRPr="00494098">
        <w:rPr>
          <w:lang w:val="fr-FR"/>
        </w:rPr>
        <w:t>157.</w:t>
      </w:r>
      <w:r w:rsidRPr="00494098">
        <w:rPr>
          <w:lang w:val="fr-FR"/>
        </w:rPr>
        <w:tab/>
        <w:t>Ces mesures sont accompagnées par l'équipe technique lorsqu'il y a consentement pour l'intervention. Chaque fois que nécessaire, ceci déclenche d’autres ressour</w:t>
      </w:r>
      <w:r w:rsidR="00DD4A2F" w:rsidRPr="00494098">
        <w:rPr>
          <w:lang w:val="fr-FR"/>
        </w:rPr>
        <w:t>ces de la communauté, à savoir d</w:t>
      </w:r>
      <w:r w:rsidRPr="00494098">
        <w:rPr>
          <w:lang w:val="fr-FR"/>
        </w:rPr>
        <w:t>es Centres de soutien familial et de conseil parental.</w:t>
      </w:r>
    </w:p>
    <w:p w14:paraId="4476D83E" w14:textId="77777777" w:rsidR="00077B75" w:rsidRPr="00494098" w:rsidRDefault="00077B75" w:rsidP="00480570">
      <w:pPr>
        <w:pStyle w:val="SingleTxtG"/>
        <w:rPr>
          <w:lang w:val="fr-FR"/>
        </w:rPr>
      </w:pPr>
      <w:r w:rsidRPr="00494098">
        <w:rPr>
          <w:lang w:val="fr-FR"/>
        </w:rPr>
        <w:t>158.</w:t>
      </w:r>
      <w:r w:rsidRPr="00494098">
        <w:rPr>
          <w:lang w:val="fr-FR"/>
        </w:rPr>
        <w:tab/>
        <w:t>En ce qui concerne l’assistance technique, sur un total de 14</w:t>
      </w:r>
      <w:r w:rsidR="00DD4A2F" w:rsidRPr="00494098">
        <w:rPr>
          <w:lang w:val="fr-FR"/>
        </w:rPr>
        <w:t> 387 </w:t>
      </w:r>
      <w:r w:rsidRPr="00494098">
        <w:rPr>
          <w:lang w:val="fr-FR"/>
        </w:rPr>
        <w:t xml:space="preserve">mesures </w:t>
      </w:r>
      <w:r w:rsidR="00DD4A2F" w:rsidRPr="00494098">
        <w:rPr>
          <w:lang w:val="fr-FR"/>
        </w:rPr>
        <w:t>en</w:t>
      </w:r>
      <w:r w:rsidRPr="00494098">
        <w:rPr>
          <w:lang w:val="fr-FR"/>
        </w:rPr>
        <w:t xml:space="preserve"> milieu de vie naturel accompagnées en 2016, 13</w:t>
      </w:r>
      <w:r w:rsidR="00DD4A2F" w:rsidRPr="00494098">
        <w:rPr>
          <w:lang w:val="fr-FR"/>
        </w:rPr>
        <w:t> </w:t>
      </w:r>
      <w:r w:rsidRPr="00494098">
        <w:rPr>
          <w:lang w:val="fr-FR"/>
        </w:rPr>
        <w:t>413</w:t>
      </w:r>
      <w:r w:rsidR="00DD4A2F" w:rsidRPr="00494098">
        <w:rPr>
          <w:lang w:val="fr-FR"/>
        </w:rPr>
        <w:t> </w:t>
      </w:r>
      <w:r w:rsidRPr="00494098">
        <w:rPr>
          <w:lang w:val="fr-FR"/>
        </w:rPr>
        <w:t>ressources ont été mises à disposition. Le soutien social a été vérifié dans 5</w:t>
      </w:r>
      <w:r w:rsidR="00DD4A2F" w:rsidRPr="00494098">
        <w:rPr>
          <w:lang w:val="fr-FR"/>
        </w:rPr>
        <w:t> </w:t>
      </w:r>
      <w:r w:rsidRPr="00494098">
        <w:rPr>
          <w:lang w:val="fr-FR"/>
        </w:rPr>
        <w:t>598 de</w:t>
      </w:r>
      <w:r w:rsidR="00DD4A2F" w:rsidRPr="00494098">
        <w:rPr>
          <w:lang w:val="fr-FR"/>
        </w:rPr>
        <w:t xml:space="preserve"> ces</w:t>
      </w:r>
      <w:r w:rsidRPr="00494098">
        <w:rPr>
          <w:lang w:val="fr-FR"/>
        </w:rPr>
        <w:t xml:space="preserve"> mesures accompagnées (42%), le soutien psychopédagogique dans 4</w:t>
      </w:r>
      <w:r w:rsidR="00DD4A2F" w:rsidRPr="00494098">
        <w:rPr>
          <w:lang w:val="fr-FR"/>
        </w:rPr>
        <w:t> </w:t>
      </w:r>
      <w:r w:rsidRPr="00494098">
        <w:rPr>
          <w:lang w:val="fr-FR"/>
        </w:rPr>
        <w:t>120 (31%) et le soutien économique dans 3</w:t>
      </w:r>
      <w:r w:rsidR="00DD4A2F" w:rsidRPr="00494098">
        <w:rPr>
          <w:lang w:val="fr-FR"/>
        </w:rPr>
        <w:t> </w:t>
      </w:r>
      <w:r w:rsidRPr="00494098">
        <w:rPr>
          <w:lang w:val="fr-FR"/>
        </w:rPr>
        <w:t>695 (27%).</w:t>
      </w:r>
    </w:p>
    <w:p w14:paraId="1E529133" w14:textId="77777777" w:rsidR="00077B75" w:rsidRPr="00494098" w:rsidRDefault="00077B75" w:rsidP="007A52C2">
      <w:pPr>
        <w:pStyle w:val="H4G"/>
        <w:rPr>
          <w:lang w:val="fr-FR"/>
        </w:rPr>
      </w:pPr>
      <w:r w:rsidRPr="00494098">
        <w:rPr>
          <w:lang w:val="fr-FR"/>
        </w:rPr>
        <w:tab/>
      </w:r>
      <w:r w:rsidRPr="00494098">
        <w:rPr>
          <w:lang w:val="fr-FR"/>
        </w:rPr>
        <w:tab/>
        <w:t>Recrutement et suivi du personnel</w:t>
      </w:r>
      <w:bookmarkStart w:id="115" w:name="_Toc530057511"/>
      <w:bookmarkEnd w:id="115"/>
    </w:p>
    <w:p w14:paraId="609920BA" w14:textId="77777777" w:rsidR="00077B75" w:rsidRPr="00494098" w:rsidRDefault="00077B75" w:rsidP="00480570">
      <w:pPr>
        <w:pStyle w:val="SingleTxtG"/>
        <w:rPr>
          <w:lang w:val="fr-FR"/>
        </w:rPr>
      </w:pPr>
      <w:r w:rsidRPr="00494098">
        <w:rPr>
          <w:lang w:val="fr-FR"/>
        </w:rPr>
        <w:t>159.</w:t>
      </w:r>
      <w:r w:rsidRPr="00494098">
        <w:rPr>
          <w:lang w:val="fr-FR"/>
        </w:rPr>
        <w:tab/>
        <w:t xml:space="preserve">En vertu de la loi </w:t>
      </w:r>
      <w:r w:rsidR="004943FA" w:rsidRPr="00494098">
        <w:rPr>
          <w:lang w:val="fr-FR"/>
        </w:rPr>
        <w:t>n° 103/2015</w:t>
      </w:r>
      <w:r w:rsidRPr="00494098">
        <w:rPr>
          <w:lang w:val="fr-FR"/>
        </w:rPr>
        <w:t xml:space="preserve"> du 4</w:t>
      </w:r>
      <w:r w:rsidR="00480991" w:rsidRPr="00494098">
        <w:rPr>
          <w:lang w:val="fr-FR"/>
        </w:rPr>
        <w:t> août</w:t>
      </w:r>
      <w:r w:rsidRPr="00494098">
        <w:rPr>
          <w:lang w:val="fr-FR"/>
        </w:rPr>
        <w:t xml:space="preserve"> 2015, l’exercice de fonctions impliquant un contact régulier avec des enfants, de nature privé ou public, rémunéré ou bénévole, par des personnes qui ont été condamnées pour des infractions contre l’autodétermination sexuelle et la liberté sexuelle des mineurs (art</w:t>
      </w:r>
      <w:r w:rsidR="004943FA" w:rsidRPr="00494098">
        <w:rPr>
          <w:lang w:val="fr-FR"/>
        </w:rPr>
        <w:t>.</w:t>
      </w:r>
      <w:r w:rsidRPr="00494098">
        <w:rPr>
          <w:lang w:val="fr-FR"/>
        </w:rPr>
        <w:t xml:space="preserve"> 69</w:t>
      </w:r>
      <w:r w:rsidR="004943FA" w:rsidRPr="00494098">
        <w:rPr>
          <w:lang w:val="fr-FR"/>
        </w:rPr>
        <w:t> B</w:t>
      </w:r>
      <w:r w:rsidRPr="00494098">
        <w:rPr>
          <w:lang w:val="fr-FR"/>
        </w:rPr>
        <w:t xml:space="preserve"> du Code pénal) peut être interdit pour des périodes allant de 2 à 20</w:t>
      </w:r>
      <w:r w:rsidR="004943FA" w:rsidRPr="00494098">
        <w:rPr>
          <w:lang w:val="fr-FR"/>
        </w:rPr>
        <w:t> </w:t>
      </w:r>
      <w:r w:rsidRPr="00494098">
        <w:rPr>
          <w:lang w:val="fr-FR"/>
        </w:rPr>
        <w:t xml:space="preserve">ans, en fonction de la gravité de l’infraction. Depuis 2015, un </w:t>
      </w:r>
      <w:r w:rsidR="003A05A6" w:rsidRPr="00494098">
        <w:rPr>
          <w:lang w:val="fr-FR"/>
        </w:rPr>
        <w:t xml:space="preserve">fichier </w:t>
      </w:r>
      <w:r w:rsidRPr="00494098">
        <w:rPr>
          <w:lang w:val="fr-FR"/>
        </w:rPr>
        <w:t xml:space="preserve">d’identification des personnes condamnées </w:t>
      </w:r>
      <w:r w:rsidR="003A05A6" w:rsidRPr="00494098">
        <w:rPr>
          <w:lang w:val="fr-FR"/>
        </w:rPr>
        <w:t xml:space="preserve">au pénal </w:t>
      </w:r>
      <w:r w:rsidRPr="00494098">
        <w:rPr>
          <w:lang w:val="fr-FR"/>
        </w:rPr>
        <w:t>pour infractions contre l’autodétermination sexuelle et la liberté sexuelle des mineurs a été créé</w:t>
      </w:r>
      <w:r w:rsidR="003A05A6" w:rsidRPr="00494098">
        <w:rPr>
          <w:lang w:val="fr-FR"/>
        </w:rPr>
        <w:t>,</w:t>
      </w:r>
      <w:r w:rsidRPr="00494098">
        <w:rPr>
          <w:lang w:val="fr-FR"/>
        </w:rPr>
        <w:t xml:space="preserve"> et les personnes qui travaillent ou qui ont l’intention de travailler avec les enfants doivent maintenant, obligatoirement, présenter un casier judiciaire vierge.</w:t>
      </w:r>
      <w:r w:rsidR="00AC1992" w:rsidRPr="00494098">
        <w:rPr>
          <w:lang w:val="fr-FR"/>
        </w:rPr>
        <w:t xml:space="preserve"> </w:t>
      </w:r>
    </w:p>
    <w:p w14:paraId="6D89592F" w14:textId="77777777" w:rsidR="00077B75" w:rsidRPr="00494098" w:rsidRDefault="00077B75" w:rsidP="007A52C2">
      <w:pPr>
        <w:pStyle w:val="H4G"/>
        <w:rPr>
          <w:lang w:val="fr-FR"/>
        </w:rPr>
      </w:pPr>
      <w:r w:rsidRPr="00494098">
        <w:rPr>
          <w:lang w:val="fr-FR"/>
        </w:rPr>
        <w:lastRenderedPageBreak/>
        <w:tab/>
      </w:r>
      <w:r w:rsidRPr="00494098">
        <w:rPr>
          <w:lang w:val="fr-FR"/>
        </w:rPr>
        <w:tab/>
      </w:r>
      <w:bookmarkStart w:id="116" w:name="_Toc530057512"/>
      <w:bookmarkEnd w:id="116"/>
      <w:r w:rsidR="00DB1E83" w:rsidRPr="00494098">
        <w:rPr>
          <w:lang w:val="fr-FR"/>
        </w:rPr>
        <w:t>Formation adéquate en matière de normes de protection</w:t>
      </w:r>
    </w:p>
    <w:p w14:paraId="492F4334" w14:textId="77777777" w:rsidR="00077B75" w:rsidRPr="00494098" w:rsidRDefault="00077B75" w:rsidP="00480570">
      <w:pPr>
        <w:pStyle w:val="SingleTxtG"/>
        <w:rPr>
          <w:lang w:val="fr-FR"/>
        </w:rPr>
      </w:pPr>
      <w:r w:rsidRPr="00494098">
        <w:rPr>
          <w:lang w:val="fr-FR"/>
        </w:rPr>
        <w:t>160.</w:t>
      </w:r>
      <w:r w:rsidRPr="00494098">
        <w:rPr>
          <w:lang w:val="fr-FR"/>
        </w:rPr>
        <w:tab/>
        <w:t xml:space="preserve">Le </w:t>
      </w:r>
      <w:r w:rsidRPr="00494098">
        <w:rPr>
          <w:i/>
          <w:lang w:val="fr-FR"/>
        </w:rPr>
        <w:t>Plan stratégique de sécurité sociale pour l’enfance et la jeunesse</w:t>
      </w:r>
      <w:r w:rsidRPr="00494098">
        <w:rPr>
          <w:lang w:val="fr-FR"/>
        </w:rPr>
        <w:t xml:space="preserve"> met en </w:t>
      </w:r>
      <w:r w:rsidR="00D264B0" w:rsidRPr="00494098">
        <w:rPr>
          <w:lang w:val="fr-FR"/>
        </w:rPr>
        <w:t>œuvr</w:t>
      </w:r>
      <w:r w:rsidRPr="00494098">
        <w:rPr>
          <w:lang w:val="fr-FR"/>
        </w:rPr>
        <w:t>e un modèle intégré d’intervention auprès des enfants, des jeunes et de leurs familles, qui englobe l’intervention sociale, les réponses sociales, l’enfance et la jeunesse. Il comprend trois axes</w:t>
      </w:r>
      <w:r w:rsidR="00090CBF" w:rsidRPr="00494098">
        <w:rPr>
          <w:lang w:val="fr-FR"/>
        </w:rPr>
        <w:t> :</w:t>
      </w:r>
      <w:r w:rsidRPr="00494098">
        <w:rPr>
          <w:lang w:val="fr-FR"/>
        </w:rPr>
        <w:t xml:space="preserve"> </w:t>
      </w:r>
    </w:p>
    <w:p w14:paraId="353207B8" w14:textId="77777777" w:rsidR="00077B75" w:rsidRPr="00494098" w:rsidRDefault="00BF376A" w:rsidP="00AE5873">
      <w:pPr>
        <w:pStyle w:val="SingleTxtG"/>
        <w:ind w:firstLine="567"/>
        <w:rPr>
          <w:lang w:val="fr-FR"/>
        </w:rPr>
      </w:pPr>
      <w:r w:rsidRPr="00494098">
        <w:rPr>
          <w:lang w:val="fr-FR"/>
        </w:rPr>
        <w:t>1.</w:t>
      </w:r>
      <w:r w:rsidRPr="00494098">
        <w:rPr>
          <w:lang w:val="fr-FR"/>
        </w:rPr>
        <w:tab/>
        <w:t xml:space="preserve">(Ré)organisation des services </w:t>
      </w:r>
      <w:r w:rsidR="003A05A6" w:rsidRPr="00494098">
        <w:rPr>
          <w:lang w:val="fr-FR"/>
        </w:rPr>
        <w:t>aux fins d’</w:t>
      </w:r>
      <w:r w:rsidRPr="00494098">
        <w:rPr>
          <w:lang w:val="fr-FR"/>
        </w:rPr>
        <w:t xml:space="preserve">interventions intégrées </w:t>
      </w:r>
      <w:r w:rsidR="003A05A6" w:rsidRPr="00494098">
        <w:rPr>
          <w:lang w:val="fr-FR"/>
        </w:rPr>
        <w:t>auprès des enfants, d</w:t>
      </w:r>
      <w:r w:rsidRPr="00494098">
        <w:rPr>
          <w:lang w:val="fr-FR"/>
        </w:rPr>
        <w:t>es jeune</w:t>
      </w:r>
      <w:r w:rsidR="00AE5B04" w:rsidRPr="00494098">
        <w:rPr>
          <w:lang w:val="fr-FR"/>
        </w:rPr>
        <w:t>s</w:t>
      </w:r>
      <w:r w:rsidR="003A05A6" w:rsidRPr="00494098">
        <w:rPr>
          <w:lang w:val="fr-FR"/>
        </w:rPr>
        <w:t xml:space="preserve"> et d</w:t>
      </w:r>
      <w:r w:rsidRPr="00494098">
        <w:rPr>
          <w:lang w:val="fr-FR"/>
        </w:rPr>
        <w:t>es familles (élaboration/révision du manuel et des instruments techniques</w:t>
      </w:r>
      <w:r w:rsidR="006717A5" w:rsidRPr="00494098">
        <w:rPr>
          <w:lang w:val="fr-FR"/>
        </w:rPr>
        <w:t> ;</w:t>
      </w:r>
      <w:r w:rsidR="00AE5B04" w:rsidRPr="00494098">
        <w:rPr>
          <w:lang w:val="fr-FR"/>
        </w:rPr>
        <w:t xml:space="preserve"> d</w:t>
      </w:r>
      <w:r w:rsidRPr="00494098">
        <w:rPr>
          <w:lang w:val="fr-FR"/>
        </w:rPr>
        <w:t>éfinition des ratios d’affectation en ressources humaines</w:t>
      </w:r>
      <w:r w:rsidR="006717A5" w:rsidRPr="00494098">
        <w:rPr>
          <w:lang w:val="fr-FR"/>
        </w:rPr>
        <w:t> ;</w:t>
      </w:r>
      <w:r w:rsidR="00AE5B04" w:rsidRPr="00494098">
        <w:rPr>
          <w:lang w:val="fr-FR"/>
        </w:rPr>
        <w:t xml:space="preserve"> c</w:t>
      </w:r>
      <w:r w:rsidRPr="00494098">
        <w:rPr>
          <w:lang w:val="fr-FR"/>
        </w:rPr>
        <w:t xml:space="preserve">réation et mise en </w:t>
      </w:r>
      <w:r w:rsidR="00D264B0" w:rsidRPr="00494098">
        <w:rPr>
          <w:lang w:val="fr-FR"/>
        </w:rPr>
        <w:t>œuvr</w:t>
      </w:r>
      <w:r w:rsidRPr="00494098">
        <w:rPr>
          <w:lang w:val="fr-FR"/>
        </w:rPr>
        <w:t>e des systèmes d’information</w:t>
      </w:r>
      <w:r w:rsidR="006717A5" w:rsidRPr="00494098">
        <w:rPr>
          <w:lang w:val="fr-FR"/>
        </w:rPr>
        <w:t> ;</w:t>
      </w:r>
    </w:p>
    <w:p w14:paraId="5B5EF1E9" w14:textId="77777777" w:rsidR="00077B75" w:rsidRPr="00494098" w:rsidRDefault="00BF376A" w:rsidP="00AE5873">
      <w:pPr>
        <w:pStyle w:val="SingleTxtG"/>
        <w:ind w:firstLine="567"/>
        <w:rPr>
          <w:lang w:val="fr-FR"/>
        </w:rPr>
      </w:pPr>
      <w:r w:rsidRPr="00494098">
        <w:rPr>
          <w:lang w:val="fr-FR"/>
        </w:rPr>
        <w:t>2.</w:t>
      </w:r>
      <w:r w:rsidRPr="00494098">
        <w:rPr>
          <w:lang w:val="fr-FR"/>
        </w:rPr>
        <w:tab/>
      </w:r>
      <w:r w:rsidR="00AE5B04" w:rsidRPr="00494098">
        <w:rPr>
          <w:lang w:val="fr-FR"/>
        </w:rPr>
        <w:t xml:space="preserve">Personnalisation </w:t>
      </w:r>
      <w:r w:rsidRPr="00494098">
        <w:rPr>
          <w:lang w:val="fr-FR"/>
        </w:rPr>
        <w:t xml:space="preserve">de l’intervention auprès de </w:t>
      </w:r>
      <w:r w:rsidR="00AE5B04" w:rsidRPr="00494098">
        <w:rPr>
          <w:lang w:val="fr-FR"/>
        </w:rPr>
        <w:t>l’</w:t>
      </w:r>
      <w:r w:rsidRPr="00494098">
        <w:rPr>
          <w:lang w:val="fr-FR"/>
        </w:rPr>
        <w:t>enfant, d</w:t>
      </w:r>
      <w:r w:rsidR="00AE5B04" w:rsidRPr="00494098">
        <w:rPr>
          <w:lang w:val="fr-FR"/>
        </w:rPr>
        <w:t>u/de la</w:t>
      </w:r>
      <w:r w:rsidRPr="00494098">
        <w:rPr>
          <w:lang w:val="fr-FR"/>
        </w:rPr>
        <w:t xml:space="preserve"> jeune et de </w:t>
      </w:r>
      <w:r w:rsidR="00AE5B04" w:rsidRPr="00494098">
        <w:rPr>
          <w:lang w:val="fr-FR"/>
        </w:rPr>
        <w:t xml:space="preserve">la </w:t>
      </w:r>
      <w:r w:rsidRPr="00494098">
        <w:rPr>
          <w:lang w:val="fr-FR"/>
        </w:rPr>
        <w:t>famille (définition des profils de compétences et de</w:t>
      </w:r>
      <w:r w:rsidR="00AE5B04" w:rsidRPr="00494098">
        <w:rPr>
          <w:lang w:val="fr-FR"/>
        </w:rPr>
        <w:t>s</w:t>
      </w:r>
      <w:r w:rsidRPr="00494098">
        <w:rPr>
          <w:lang w:val="fr-FR"/>
        </w:rPr>
        <w:t xml:space="preserve"> </w:t>
      </w:r>
      <w:r w:rsidR="00AE5B04" w:rsidRPr="00494098">
        <w:rPr>
          <w:lang w:val="fr-FR"/>
        </w:rPr>
        <w:t xml:space="preserve">schémas </w:t>
      </w:r>
      <w:r w:rsidRPr="00494098">
        <w:rPr>
          <w:lang w:val="fr-FR"/>
        </w:rPr>
        <w:t>de services</w:t>
      </w:r>
      <w:r w:rsidR="006717A5" w:rsidRPr="00494098">
        <w:rPr>
          <w:lang w:val="fr-FR"/>
        </w:rPr>
        <w:t> ;</w:t>
      </w:r>
      <w:r w:rsidRPr="00494098">
        <w:rPr>
          <w:lang w:val="fr-FR"/>
        </w:rPr>
        <w:t xml:space="preserve"> encouragement à la formation</w:t>
      </w:r>
      <w:r w:rsidR="006717A5" w:rsidRPr="00494098">
        <w:rPr>
          <w:lang w:val="fr-FR"/>
        </w:rPr>
        <w:t> ;</w:t>
      </w:r>
      <w:r w:rsidRPr="00494098">
        <w:rPr>
          <w:lang w:val="fr-FR"/>
        </w:rPr>
        <w:t xml:space="preserve"> intervention et supervision)</w:t>
      </w:r>
      <w:r w:rsidR="006717A5" w:rsidRPr="00494098">
        <w:rPr>
          <w:lang w:val="fr-FR"/>
        </w:rPr>
        <w:t> ;</w:t>
      </w:r>
    </w:p>
    <w:p w14:paraId="64737034" w14:textId="77777777" w:rsidR="00077B75" w:rsidRPr="00494098" w:rsidRDefault="00BF376A" w:rsidP="00AE5873">
      <w:pPr>
        <w:pStyle w:val="SingleTxtG"/>
        <w:ind w:firstLine="567"/>
        <w:rPr>
          <w:lang w:val="fr-FR"/>
        </w:rPr>
      </w:pPr>
      <w:r w:rsidRPr="00494098">
        <w:rPr>
          <w:lang w:val="fr-FR"/>
        </w:rPr>
        <w:t>3.</w:t>
      </w:r>
      <w:r w:rsidRPr="00494098">
        <w:rPr>
          <w:lang w:val="fr-FR"/>
        </w:rPr>
        <w:tab/>
        <w:t>Articulation intra</w:t>
      </w:r>
      <w:r w:rsidR="009E21F9" w:rsidRPr="00494098">
        <w:rPr>
          <w:lang w:val="fr-FR"/>
        </w:rPr>
        <w:t>-</w:t>
      </w:r>
      <w:r w:rsidRPr="00494098">
        <w:rPr>
          <w:lang w:val="fr-FR"/>
        </w:rPr>
        <w:t xml:space="preserve"> et interinstitutionnelle (définition et mise en œuvre d'un plan de communication et articulation int</w:t>
      </w:r>
      <w:r w:rsidR="00AE5B04" w:rsidRPr="00494098">
        <w:rPr>
          <w:lang w:val="fr-FR"/>
        </w:rPr>
        <w:t>ra</w:t>
      </w:r>
      <w:r w:rsidR="009E21F9" w:rsidRPr="00494098">
        <w:rPr>
          <w:lang w:val="fr-FR"/>
        </w:rPr>
        <w:t>-</w:t>
      </w:r>
      <w:r w:rsidRPr="00494098">
        <w:rPr>
          <w:lang w:val="fr-FR"/>
        </w:rPr>
        <w:t xml:space="preserve"> et int</w:t>
      </w:r>
      <w:r w:rsidR="00AE5B04" w:rsidRPr="00494098">
        <w:rPr>
          <w:lang w:val="fr-FR"/>
        </w:rPr>
        <w:t>er</w:t>
      </w:r>
      <w:r w:rsidRPr="00494098">
        <w:rPr>
          <w:lang w:val="fr-FR"/>
        </w:rPr>
        <w:t>institutionnelle).</w:t>
      </w:r>
    </w:p>
    <w:p w14:paraId="3BA45EB2" w14:textId="229B8E59" w:rsidR="00077B75" w:rsidRPr="00494098" w:rsidRDefault="00077B75" w:rsidP="00BF376A">
      <w:pPr>
        <w:pStyle w:val="H4G"/>
        <w:rPr>
          <w:lang w:val="fr-FR"/>
        </w:rPr>
      </w:pPr>
      <w:r w:rsidRPr="00494098">
        <w:rPr>
          <w:lang w:val="fr-FR"/>
        </w:rPr>
        <w:tab/>
      </w:r>
      <w:r w:rsidRPr="00494098">
        <w:rPr>
          <w:lang w:val="fr-FR"/>
        </w:rPr>
        <w:tab/>
        <w:t xml:space="preserve">Analyse des données et  </w:t>
      </w:r>
      <w:r w:rsidR="00D976B0" w:rsidRPr="00494098">
        <w:rPr>
          <w:lang w:val="fr-FR"/>
        </w:rPr>
        <w:t>archives</w:t>
      </w:r>
      <w:bookmarkStart w:id="117" w:name="_Toc530057513"/>
      <w:bookmarkEnd w:id="117"/>
    </w:p>
    <w:p w14:paraId="2BD1AA68" w14:textId="6FFAF444" w:rsidR="00077B75" w:rsidRPr="00494098" w:rsidRDefault="00077B75" w:rsidP="00480570">
      <w:pPr>
        <w:pStyle w:val="SingleTxtG"/>
        <w:rPr>
          <w:lang w:val="fr-FR"/>
        </w:rPr>
      </w:pPr>
      <w:r w:rsidRPr="00494098">
        <w:rPr>
          <w:lang w:val="fr-FR"/>
        </w:rPr>
        <w:t>161.</w:t>
      </w:r>
      <w:r w:rsidRPr="00494098">
        <w:rPr>
          <w:lang w:val="fr-FR"/>
        </w:rPr>
        <w:tab/>
        <w:t xml:space="preserve">La collecte et l’analyse systématique d’informations sur les enfants </w:t>
      </w:r>
      <w:r w:rsidR="00A117DD" w:rsidRPr="00494098">
        <w:rPr>
          <w:lang w:val="fr-FR"/>
        </w:rPr>
        <w:t xml:space="preserve">pris en charge dans </w:t>
      </w:r>
      <w:r w:rsidR="00293E8F">
        <w:rPr>
          <w:lang w:val="fr-FR"/>
        </w:rPr>
        <w:t>l</w:t>
      </w:r>
      <w:r w:rsidR="00A117DD" w:rsidRPr="00494098">
        <w:rPr>
          <w:lang w:val="fr-FR"/>
        </w:rPr>
        <w:t xml:space="preserve">es </w:t>
      </w:r>
      <w:r w:rsidR="00293E8F">
        <w:rPr>
          <w:lang w:val="fr-FR"/>
        </w:rPr>
        <w:t xml:space="preserve">structures </w:t>
      </w:r>
      <w:r w:rsidRPr="00494098">
        <w:rPr>
          <w:lang w:val="fr-FR"/>
        </w:rPr>
        <w:t xml:space="preserve">de protection de remplacement </w:t>
      </w:r>
      <w:r w:rsidR="00293E8F">
        <w:rPr>
          <w:lang w:val="fr-FR"/>
        </w:rPr>
        <w:t xml:space="preserve">sont effectuées dans le cadre de la </w:t>
      </w:r>
      <w:r w:rsidR="009E21F9" w:rsidRPr="00494098">
        <w:rPr>
          <w:lang w:val="fr-FR"/>
        </w:rPr>
        <w:t>« </w:t>
      </w:r>
      <w:r w:rsidR="00A117DD" w:rsidRPr="00494098">
        <w:rPr>
          <w:rStyle w:val="tlid-translation"/>
          <w:lang w:val="fr-FR"/>
        </w:rPr>
        <w:t>Description annuelle de situation</w:t>
      </w:r>
      <w:r w:rsidR="009E21F9" w:rsidRPr="00494098">
        <w:rPr>
          <w:rStyle w:val="tlid-translation"/>
          <w:lang w:val="fr-FR"/>
        </w:rPr>
        <w:t> »</w:t>
      </w:r>
      <w:r w:rsidR="00A117DD" w:rsidRPr="00494098">
        <w:rPr>
          <w:rStyle w:val="tlid-translation"/>
          <w:lang w:val="fr-FR"/>
        </w:rPr>
        <w:t xml:space="preserve"> </w:t>
      </w:r>
      <w:r w:rsidRPr="00494098">
        <w:rPr>
          <w:lang w:val="fr-FR"/>
        </w:rPr>
        <w:t xml:space="preserve">qui, chaque année depuis 2003, </w:t>
      </w:r>
      <w:r w:rsidR="00293E8F">
        <w:rPr>
          <w:lang w:val="fr-FR"/>
        </w:rPr>
        <w:t xml:space="preserve">présente une </w:t>
      </w:r>
      <w:r w:rsidRPr="00494098">
        <w:rPr>
          <w:lang w:val="fr-FR"/>
        </w:rPr>
        <w:t xml:space="preserve">analyse </w:t>
      </w:r>
      <w:r w:rsidR="00293E8F">
        <w:rPr>
          <w:lang w:val="fr-FR"/>
        </w:rPr>
        <w:t>de la situation  d</w:t>
      </w:r>
      <w:r w:rsidRPr="00494098">
        <w:rPr>
          <w:lang w:val="fr-FR"/>
        </w:rPr>
        <w:t xml:space="preserve">es enfants et </w:t>
      </w:r>
      <w:r w:rsidR="00293E8F">
        <w:rPr>
          <w:lang w:val="fr-FR"/>
        </w:rPr>
        <w:t>d</w:t>
      </w:r>
      <w:r w:rsidRPr="00494098">
        <w:rPr>
          <w:lang w:val="fr-FR"/>
        </w:rPr>
        <w:t>es jeunes pris en charge</w:t>
      </w:r>
      <w:r w:rsidR="00293E8F">
        <w:rPr>
          <w:lang w:val="fr-FR"/>
        </w:rPr>
        <w:t xml:space="preserve">, </w:t>
      </w:r>
      <w:r w:rsidR="00293E8F" w:rsidRPr="00494098">
        <w:rPr>
          <w:lang w:val="fr-FR"/>
        </w:rPr>
        <w:t>selon une méthode clairement définie</w:t>
      </w:r>
      <w:r w:rsidRPr="00494098">
        <w:rPr>
          <w:lang w:val="fr-FR"/>
        </w:rPr>
        <w:t xml:space="preserve">. Le rapport de 2016 a été rédigé </w:t>
      </w:r>
      <w:r w:rsidR="00AA753D">
        <w:rPr>
          <w:lang w:val="fr-FR"/>
        </w:rPr>
        <w:t xml:space="preserve">en </w:t>
      </w:r>
      <w:r w:rsidRPr="00494098">
        <w:rPr>
          <w:lang w:val="fr-FR"/>
        </w:rPr>
        <w:t xml:space="preserve"> collaboration </w:t>
      </w:r>
      <w:r w:rsidR="00AA753D">
        <w:rPr>
          <w:lang w:val="fr-FR"/>
        </w:rPr>
        <w:t>avec  l’</w:t>
      </w:r>
      <w:r w:rsidR="00917E8A" w:rsidRPr="00494098">
        <w:rPr>
          <w:color w:val="333333"/>
          <w:shd w:val="clear" w:color="auto" w:fill="FFFFFF"/>
          <w:lang w:val="fr-FR"/>
        </w:rPr>
        <w:t xml:space="preserve">Institut supérieur des sciences </w:t>
      </w:r>
      <w:r w:rsidR="00917E8A" w:rsidRPr="00494098">
        <w:rPr>
          <w:color w:val="333333"/>
          <w:shd w:val="clear" w:color="auto" w:fill="FFFFFF"/>
          <w:lang w:val="fr-FR"/>
        </w:rPr>
        <w:lastRenderedPageBreak/>
        <w:t>du travail et de l’entreprise</w:t>
      </w:r>
      <w:r w:rsidR="00917E8A" w:rsidRPr="00494098">
        <w:rPr>
          <w:lang w:val="fr-FR"/>
        </w:rPr>
        <w:t xml:space="preserve"> </w:t>
      </w:r>
      <w:r w:rsidR="00AA753D">
        <w:rPr>
          <w:lang w:val="fr-FR"/>
        </w:rPr>
        <w:t>(</w:t>
      </w:r>
      <w:r w:rsidRPr="00494098">
        <w:rPr>
          <w:lang w:val="fr-FR"/>
        </w:rPr>
        <w:t xml:space="preserve">ISCTE). </w:t>
      </w:r>
    </w:p>
    <w:p w14:paraId="25832628" w14:textId="77777777" w:rsidR="00077B75" w:rsidRPr="00494098" w:rsidRDefault="00077B75" w:rsidP="00480570">
      <w:pPr>
        <w:pStyle w:val="SingleTxtG"/>
        <w:rPr>
          <w:lang w:val="fr-FR"/>
        </w:rPr>
      </w:pPr>
      <w:r w:rsidRPr="00494098">
        <w:rPr>
          <w:lang w:val="fr-FR"/>
        </w:rPr>
        <w:t>162.</w:t>
      </w:r>
      <w:r w:rsidRPr="00494098">
        <w:rPr>
          <w:lang w:val="fr-FR"/>
        </w:rPr>
        <w:tab/>
        <w:t xml:space="preserve">Dans le cadre de l’assistance technique aux tribunaux, l’accès aux données personnelles sensibles nécessite une décision judiciaire et le consentement du détenteur des données ou </w:t>
      </w:r>
      <w:r w:rsidR="00E60D98" w:rsidRPr="00494098">
        <w:rPr>
          <w:lang w:val="fr-FR"/>
        </w:rPr>
        <w:t xml:space="preserve">de </w:t>
      </w:r>
      <w:r w:rsidRPr="00494098">
        <w:rPr>
          <w:lang w:val="fr-FR"/>
        </w:rPr>
        <w:t>son représentant légal.</w:t>
      </w:r>
    </w:p>
    <w:p w14:paraId="335BA639" w14:textId="77777777" w:rsidR="00077B75" w:rsidRPr="00494098" w:rsidRDefault="00077B75" w:rsidP="00480570">
      <w:pPr>
        <w:pStyle w:val="SingleTxtG"/>
        <w:rPr>
          <w:lang w:val="fr-FR"/>
        </w:rPr>
      </w:pPr>
      <w:r w:rsidRPr="00494098">
        <w:rPr>
          <w:lang w:val="fr-FR"/>
        </w:rPr>
        <w:t>163.</w:t>
      </w:r>
      <w:r w:rsidRPr="00494098">
        <w:rPr>
          <w:lang w:val="fr-FR"/>
        </w:rPr>
        <w:tab/>
        <w:t xml:space="preserve">Tout au long du processus d’adoption et des procédures préliminaires connexes, y compris celles de nature administrative, la confidentialité </w:t>
      </w:r>
      <w:r w:rsidR="009E21F9" w:rsidRPr="00494098">
        <w:rPr>
          <w:lang w:val="fr-FR"/>
        </w:rPr>
        <w:t xml:space="preserve">de l’identité </w:t>
      </w:r>
      <w:r w:rsidRPr="00494098">
        <w:rPr>
          <w:lang w:val="fr-FR"/>
        </w:rPr>
        <w:t>doit être préservée. La violation du secret constitue une infraction pénale, passible d'une peine d’emprisonnement pouvant aller jusqu’à 1</w:t>
      </w:r>
      <w:r w:rsidR="009E21F9" w:rsidRPr="00494098">
        <w:rPr>
          <w:lang w:val="fr-FR"/>
        </w:rPr>
        <w:t> </w:t>
      </w:r>
      <w:r w:rsidRPr="00494098">
        <w:rPr>
          <w:lang w:val="fr-FR"/>
        </w:rPr>
        <w:t xml:space="preserve">an ou d’une amende pouvant </w:t>
      </w:r>
      <w:r w:rsidR="003705CC" w:rsidRPr="00494098">
        <w:rPr>
          <w:lang w:val="fr-FR"/>
        </w:rPr>
        <w:t xml:space="preserve">s’élever à </w:t>
      </w:r>
      <w:r w:rsidRPr="00494098">
        <w:rPr>
          <w:lang w:val="fr-FR"/>
        </w:rPr>
        <w:t>120</w:t>
      </w:r>
      <w:r w:rsidR="00E60D98" w:rsidRPr="00494098">
        <w:rPr>
          <w:lang w:val="fr-FR"/>
        </w:rPr>
        <w:t> </w:t>
      </w:r>
      <w:r w:rsidRPr="00494098">
        <w:rPr>
          <w:lang w:val="fr-FR"/>
        </w:rPr>
        <w:t>jours.</w:t>
      </w:r>
    </w:p>
    <w:p w14:paraId="5E049C71" w14:textId="77777777" w:rsidR="00077B75" w:rsidRPr="00494098" w:rsidRDefault="00077B75" w:rsidP="00480570">
      <w:pPr>
        <w:pStyle w:val="SingleTxtG"/>
        <w:rPr>
          <w:lang w:val="fr-FR"/>
        </w:rPr>
      </w:pPr>
      <w:r w:rsidRPr="00494098">
        <w:rPr>
          <w:lang w:val="fr-FR"/>
        </w:rPr>
        <w:t>164.</w:t>
      </w:r>
      <w:r w:rsidRPr="00494098">
        <w:rPr>
          <w:lang w:val="fr-FR"/>
        </w:rPr>
        <w:tab/>
        <w:t>Les mêmes règles s’appliquent au traitement des données dans les procédures techniques et administratives relatives au processus d</w:t>
      </w:r>
      <w:r w:rsidR="003E70C1" w:rsidRPr="00494098">
        <w:rPr>
          <w:lang w:val="fr-FR"/>
        </w:rPr>
        <w:t>e l</w:t>
      </w:r>
      <w:r w:rsidRPr="00494098">
        <w:rPr>
          <w:lang w:val="fr-FR"/>
        </w:rPr>
        <w:t>’adoption.</w:t>
      </w:r>
    </w:p>
    <w:p w14:paraId="71F27CAE" w14:textId="77777777" w:rsidR="00077B75" w:rsidRPr="00494098" w:rsidRDefault="00077B75" w:rsidP="00480570">
      <w:pPr>
        <w:pStyle w:val="SingleTxtG"/>
        <w:rPr>
          <w:lang w:val="fr-FR"/>
        </w:rPr>
      </w:pPr>
      <w:r w:rsidRPr="00494098">
        <w:rPr>
          <w:lang w:val="fr-FR"/>
        </w:rPr>
        <w:t>165.</w:t>
      </w:r>
      <w:r w:rsidRPr="00494098">
        <w:rPr>
          <w:lang w:val="fr-FR"/>
        </w:rPr>
        <w:tab/>
        <w:t xml:space="preserve">En ce qui concerne l’accès aux </w:t>
      </w:r>
      <w:r w:rsidR="00934B62" w:rsidRPr="00494098">
        <w:rPr>
          <w:lang w:val="fr-FR"/>
        </w:rPr>
        <w:t xml:space="preserve">registres relatifs aux </w:t>
      </w:r>
      <w:r w:rsidRPr="00494098">
        <w:rPr>
          <w:lang w:val="fr-FR"/>
        </w:rPr>
        <w:t>historique</w:t>
      </w:r>
      <w:r w:rsidR="003E70C1" w:rsidRPr="00494098">
        <w:rPr>
          <w:lang w:val="fr-FR"/>
        </w:rPr>
        <w:t>s familiaux</w:t>
      </w:r>
      <w:r w:rsidRPr="00494098">
        <w:rPr>
          <w:lang w:val="fr-FR"/>
        </w:rPr>
        <w:t>, la loi prévoit que les services ont le devoir de fournir des informations, des conseils et un appui technique, de sorte que ces documents d</w:t>
      </w:r>
      <w:r w:rsidR="00934B62" w:rsidRPr="00494098">
        <w:rPr>
          <w:lang w:val="fr-FR"/>
        </w:rPr>
        <w:t xml:space="preserve">evront </w:t>
      </w:r>
      <w:r w:rsidRPr="00494098">
        <w:rPr>
          <w:lang w:val="fr-FR"/>
        </w:rPr>
        <w:t>êtr</w:t>
      </w:r>
      <w:r w:rsidR="003E70C1" w:rsidRPr="00494098">
        <w:rPr>
          <w:lang w:val="fr-FR"/>
        </w:rPr>
        <w:t>e conservés pendant au moins 50 </w:t>
      </w:r>
      <w:r w:rsidRPr="00494098">
        <w:rPr>
          <w:lang w:val="fr-FR"/>
        </w:rPr>
        <w:t>ans.</w:t>
      </w:r>
    </w:p>
    <w:p w14:paraId="7EA6130C" w14:textId="1E156635" w:rsidR="00077B75" w:rsidRPr="00494098" w:rsidRDefault="00077B75" w:rsidP="00BF376A">
      <w:pPr>
        <w:pStyle w:val="H23G"/>
        <w:rPr>
          <w:lang w:val="fr-FR"/>
        </w:rPr>
      </w:pPr>
      <w:r w:rsidRPr="00494098">
        <w:rPr>
          <w:lang w:val="fr-FR"/>
        </w:rPr>
        <w:tab/>
      </w:r>
      <w:r w:rsidRPr="00494098">
        <w:rPr>
          <w:lang w:val="fr-FR"/>
        </w:rPr>
        <w:tab/>
      </w:r>
      <w:r w:rsidRPr="00494098">
        <w:rPr>
          <w:bCs/>
          <w:lang w:val="fr-FR"/>
        </w:rPr>
        <w:t>Adoption (par</w:t>
      </w:r>
      <w:r w:rsidR="00CD63B6" w:rsidRPr="00494098">
        <w:rPr>
          <w:bCs/>
          <w:lang w:val="fr-FR"/>
        </w:rPr>
        <w:t>.</w:t>
      </w:r>
      <w:r w:rsidRPr="00494098">
        <w:rPr>
          <w:bCs/>
          <w:lang w:val="fr-FR"/>
        </w:rPr>
        <w:t xml:space="preserve"> 44 </w:t>
      </w:r>
      <w:r w:rsidR="00872592" w:rsidRPr="00494098">
        <w:rPr>
          <w:bCs/>
          <w:lang w:val="fr-FR"/>
        </w:rPr>
        <w:t xml:space="preserve">des </w:t>
      </w:r>
      <w:r w:rsidR="005C0DDE">
        <w:rPr>
          <w:bCs/>
          <w:lang w:val="fr-FR"/>
        </w:rPr>
        <w:t>o</w:t>
      </w:r>
      <w:r w:rsidR="00916D99" w:rsidRPr="00494098">
        <w:rPr>
          <w:bCs/>
          <w:lang w:val="fr-FR"/>
        </w:rPr>
        <w:t>bservations finales</w:t>
      </w:r>
      <w:r w:rsidR="00872592" w:rsidRPr="00494098">
        <w:rPr>
          <w:bCs/>
          <w:lang w:val="fr-FR"/>
        </w:rPr>
        <w:t>)</w:t>
      </w:r>
      <w:bookmarkStart w:id="118" w:name="_Toc530057299"/>
      <w:bookmarkStart w:id="119" w:name="_Toc530057514"/>
      <w:bookmarkStart w:id="120" w:name="_Toc530057613"/>
      <w:bookmarkStart w:id="121" w:name="_Toc530067994"/>
      <w:bookmarkEnd w:id="118"/>
      <w:bookmarkEnd w:id="119"/>
      <w:bookmarkEnd w:id="120"/>
      <w:bookmarkEnd w:id="121"/>
    </w:p>
    <w:p w14:paraId="4435ACAB" w14:textId="77777777" w:rsidR="00077B75" w:rsidRPr="00494098" w:rsidRDefault="00077B75" w:rsidP="00480570">
      <w:pPr>
        <w:pStyle w:val="SingleTxtG"/>
        <w:rPr>
          <w:lang w:val="fr-FR"/>
        </w:rPr>
      </w:pPr>
      <w:r w:rsidRPr="00494098">
        <w:rPr>
          <w:lang w:val="fr-FR"/>
        </w:rPr>
        <w:t>166.</w:t>
      </w:r>
      <w:r w:rsidRPr="00494098">
        <w:rPr>
          <w:lang w:val="fr-FR"/>
        </w:rPr>
        <w:tab/>
        <w:t xml:space="preserve">Le régime d’adoption a été révisé par la loi </w:t>
      </w:r>
      <w:r w:rsidR="006717A5" w:rsidRPr="00494098">
        <w:rPr>
          <w:lang w:val="fr-FR"/>
        </w:rPr>
        <w:t>n° </w:t>
      </w:r>
      <w:r w:rsidR="00480991" w:rsidRPr="00494098">
        <w:rPr>
          <w:lang w:val="fr-FR"/>
        </w:rPr>
        <w:t>1</w:t>
      </w:r>
      <w:r w:rsidRPr="00494098">
        <w:rPr>
          <w:lang w:val="fr-FR"/>
        </w:rPr>
        <w:t>43/2015 du 8</w:t>
      </w:r>
      <w:r w:rsidR="00480991" w:rsidRPr="00494098">
        <w:rPr>
          <w:lang w:val="fr-FR"/>
        </w:rPr>
        <w:t> septembre</w:t>
      </w:r>
      <w:r w:rsidRPr="00494098">
        <w:rPr>
          <w:lang w:val="fr-FR"/>
        </w:rPr>
        <w:t xml:space="preserve"> 2015, conformément aux obligations internationales du </w:t>
      </w:r>
      <w:r w:rsidR="00E9438C" w:rsidRPr="00494098">
        <w:rPr>
          <w:lang w:val="fr-FR"/>
        </w:rPr>
        <w:t>Portugal,</w:t>
      </w:r>
      <w:r w:rsidRPr="00494098">
        <w:rPr>
          <w:lang w:val="fr-FR"/>
        </w:rPr>
        <w:t xml:space="preserve"> l’intérêt supérieur de l’enfant </w:t>
      </w:r>
      <w:r w:rsidR="00E9438C" w:rsidRPr="00494098">
        <w:rPr>
          <w:lang w:val="fr-FR"/>
        </w:rPr>
        <w:t>éta</w:t>
      </w:r>
      <w:r w:rsidR="003705CC" w:rsidRPr="00494098">
        <w:rPr>
          <w:lang w:val="fr-FR"/>
        </w:rPr>
        <w:t>n</w:t>
      </w:r>
      <w:r w:rsidR="00E9438C" w:rsidRPr="00494098">
        <w:rPr>
          <w:lang w:val="fr-FR"/>
        </w:rPr>
        <w:t xml:space="preserve">t positionné </w:t>
      </w:r>
      <w:r w:rsidRPr="00494098">
        <w:rPr>
          <w:lang w:val="fr-FR"/>
        </w:rPr>
        <w:t xml:space="preserve">au tout premier </w:t>
      </w:r>
      <w:r w:rsidR="00E9438C" w:rsidRPr="00494098">
        <w:rPr>
          <w:lang w:val="fr-FR"/>
        </w:rPr>
        <w:t xml:space="preserve">rang </w:t>
      </w:r>
      <w:r w:rsidRPr="00494098">
        <w:rPr>
          <w:lang w:val="fr-FR"/>
        </w:rPr>
        <w:t xml:space="preserve">des réflexions. </w:t>
      </w:r>
    </w:p>
    <w:p w14:paraId="5A2DF8F5" w14:textId="77777777" w:rsidR="00077B75" w:rsidRPr="00494098" w:rsidRDefault="00077B75" w:rsidP="00480570">
      <w:pPr>
        <w:pStyle w:val="SingleTxtG"/>
        <w:rPr>
          <w:lang w:val="fr-FR"/>
        </w:rPr>
      </w:pPr>
      <w:r w:rsidRPr="00494098">
        <w:rPr>
          <w:lang w:val="fr-FR"/>
        </w:rPr>
        <w:t>167.</w:t>
      </w:r>
      <w:r w:rsidRPr="00494098">
        <w:rPr>
          <w:lang w:val="fr-FR"/>
        </w:rPr>
        <w:tab/>
        <w:t>Il faut citer</w:t>
      </w:r>
      <w:r w:rsidR="00177411" w:rsidRPr="00494098">
        <w:rPr>
          <w:lang w:val="fr-FR"/>
        </w:rPr>
        <w:t>,</w:t>
      </w:r>
      <w:r w:rsidRPr="00494098">
        <w:rPr>
          <w:lang w:val="fr-FR"/>
        </w:rPr>
        <w:t xml:space="preserve"> </w:t>
      </w:r>
      <w:r w:rsidR="003705CC" w:rsidRPr="00494098">
        <w:rPr>
          <w:lang w:val="fr-FR"/>
        </w:rPr>
        <w:t xml:space="preserve">entre autres </w:t>
      </w:r>
      <w:r w:rsidRPr="00494098">
        <w:rPr>
          <w:lang w:val="fr-FR"/>
        </w:rPr>
        <w:t>innovations</w:t>
      </w:r>
      <w:r w:rsidR="00177411" w:rsidRPr="00494098">
        <w:rPr>
          <w:lang w:val="fr-FR"/>
        </w:rPr>
        <w:t>,</w:t>
      </w:r>
      <w:r w:rsidRPr="00494098">
        <w:rPr>
          <w:lang w:val="fr-FR"/>
        </w:rPr>
        <w:t xml:space="preserve"> l’élimination de la forme d’adoption dite restreinte, l'incrimination de l’intervention </w:t>
      </w:r>
      <w:r w:rsidRPr="00494098">
        <w:rPr>
          <w:lang w:val="fr-FR"/>
        </w:rPr>
        <w:lastRenderedPageBreak/>
        <w:t>n</w:t>
      </w:r>
      <w:r w:rsidR="009E6B62" w:rsidRPr="00494098">
        <w:rPr>
          <w:lang w:val="fr-FR"/>
        </w:rPr>
        <w:t>on autorisée d</w:t>
      </w:r>
      <w:r w:rsidR="00177411" w:rsidRPr="00494098">
        <w:rPr>
          <w:lang w:val="fr-FR"/>
        </w:rPr>
        <w:t>’</w:t>
      </w:r>
      <w:r w:rsidR="009E6B62" w:rsidRPr="00494098">
        <w:rPr>
          <w:lang w:val="fr-FR"/>
        </w:rPr>
        <w:t>entités</w:t>
      </w:r>
      <w:r w:rsidRPr="00494098">
        <w:rPr>
          <w:lang w:val="fr-FR"/>
        </w:rPr>
        <w:t xml:space="preserve"> telles que les intermédiaires dans le processus d'adoption, la reconnaissance du droit de connaître ses origines génétiques, la simplification des procédures et le renforcement de la participation des institutions privées de solidarité sociale.</w:t>
      </w:r>
    </w:p>
    <w:p w14:paraId="30B4AADE" w14:textId="77777777" w:rsidR="00077B75" w:rsidRPr="00494098" w:rsidRDefault="00077B75" w:rsidP="00480570">
      <w:pPr>
        <w:pStyle w:val="SingleTxtG"/>
        <w:rPr>
          <w:lang w:val="fr-FR"/>
        </w:rPr>
      </w:pPr>
      <w:r w:rsidRPr="00494098">
        <w:rPr>
          <w:lang w:val="fr-FR"/>
        </w:rPr>
        <w:t>168.</w:t>
      </w:r>
      <w:r w:rsidRPr="00494098">
        <w:rPr>
          <w:lang w:val="fr-FR"/>
        </w:rPr>
        <w:tab/>
        <w:t xml:space="preserve">En outre, la loi </w:t>
      </w:r>
      <w:r w:rsidR="006717A5" w:rsidRPr="00494098">
        <w:rPr>
          <w:lang w:val="fr-FR"/>
        </w:rPr>
        <w:t>n° </w:t>
      </w:r>
      <w:r w:rsidRPr="00494098">
        <w:rPr>
          <w:lang w:val="fr-FR"/>
        </w:rPr>
        <w:t>2/2016 du 29</w:t>
      </w:r>
      <w:r w:rsidR="006717A5" w:rsidRPr="00494098">
        <w:rPr>
          <w:lang w:val="fr-FR"/>
        </w:rPr>
        <w:t> février</w:t>
      </w:r>
      <w:r w:rsidRPr="00494098">
        <w:rPr>
          <w:lang w:val="fr-FR"/>
        </w:rPr>
        <w:t xml:space="preserve"> 2016 a éliminé la discrimination </w:t>
      </w:r>
      <w:r w:rsidR="00C65914" w:rsidRPr="00494098">
        <w:rPr>
          <w:lang w:val="fr-FR"/>
        </w:rPr>
        <w:t>à l’encontre d</w:t>
      </w:r>
      <w:r w:rsidRPr="00494098">
        <w:rPr>
          <w:lang w:val="fr-FR"/>
        </w:rPr>
        <w:t>es couples de même sexe et ou non mariés en ce qui concerne l’adoption, le parrainage civil et d’autres aspects des relations familiales.</w:t>
      </w:r>
    </w:p>
    <w:p w14:paraId="1E0BD4A7" w14:textId="5123C977" w:rsidR="00077B75" w:rsidRPr="00494098" w:rsidRDefault="00077B75" w:rsidP="00480570">
      <w:pPr>
        <w:pStyle w:val="SingleTxtG"/>
        <w:rPr>
          <w:lang w:val="fr-FR"/>
        </w:rPr>
      </w:pPr>
      <w:r w:rsidRPr="00494098">
        <w:rPr>
          <w:lang w:val="fr-FR"/>
        </w:rPr>
        <w:t>169.</w:t>
      </w:r>
      <w:r w:rsidRPr="00494098">
        <w:rPr>
          <w:lang w:val="fr-FR"/>
        </w:rPr>
        <w:tab/>
        <w:t xml:space="preserve">Une période de transition destinée à encourager la </w:t>
      </w:r>
      <w:r w:rsidR="00C65914" w:rsidRPr="00494098">
        <w:rPr>
          <w:lang w:val="fr-FR"/>
        </w:rPr>
        <w:t xml:space="preserve">familiarisation </w:t>
      </w:r>
      <w:r w:rsidRPr="00494098">
        <w:rPr>
          <w:lang w:val="fr-FR"/>
        </w:rPr>
        <w:t xml:space="preserve">mutuelle et les liens entre l’enfant adopté et les candidats est prévue, </w:t>
      </w:r>
      <w:r w:rsidR="00C65914" w:rsidRPr="00494098">
        <w:rPr>
          <w:lang w:val="fr-FR"/>
        </w:rPr>
        <w:t>pour</w:t>
      </w:r>
      <w:r w:rsidRPr="00494098">
        <w:rPr>
          <w:lang w:val="fr-FR"/>
        </w:rPr>
        <w:t xml:space="preserve"> une du</w:t>
      </w:r>
      <w:r w:rsidR="00C65914" w:rsidRPr="00494098">
        <w:rPr>
          <w:lang w:val="fr-FR"/>
        </w:rPr>
        <w:t>rée variable d’un maximum de 15 </w:t>
      </w:r>
      <w:r w:rsidRPr="00494098">
        <w:rPr>
          <w:lang w:val="fr-FR"/>
        </w:rPr>
        <w:t>jours. Une période de pré-adoption</w:t>
      </w:r>
      <w:r w:rsidR="00017337" w:rsidRPr="00494098">
        <w:rPr>
          <w:lang w:val="fr-FR"/>
        </w:rPr>
        <w:t>,</w:t>
      </w:r>
      <w:r w:rsidRPr="00494098">
        <w:rPr>
          <w:lang w:val="fr-FR"/>
        </w:rPr>
        <w:t xml:space="preserve"> jusqu’à 6</w:t>
      </w:r>
      <w:r w:rsidR="00C65914" w:rsidRPr="00494098">
        <w:rPr>
          <w:lang w:val="fr-FR"/>
        </w:rPr>
        <w:t> </w:t>
      </w:r>
      <w:r w:rsidRPr="00494098">
        <w:rPr>
          <w:lang w:val="fr-FR"/>
        </w:rPr>
        <w:t>mois</w:t>
      </w:r>
      <w:r w:rsidR="00017337" w:rsidRPr="00494098">
        <w:rPr>
          <w:lang w:val="fr-FR"/>
        </w:rPr>
        <w:t>,</w:t>
      </w:r>
      <w:r w:rsidRPr="00494098">
        <w:rPr>
          <w:lang w:val="fr-FR"/>
        </w:rPr>
        <w:t xml:space="preserve"> est ensuite engagée. Pendant cette phase de pré-adoption, les services de sécurité sociale continuent de fournir l’appui et de déclencher les actions nécessaires à une prise en charge effective </w:t>
      </w:r>
      <w:r w:rsidR="003705CC" w:rsidRPr="00494098">
        <w:rPr>
          <w:lang w:val="fr-FR"/>
        </w:rPr>
        <w:t xml:space="preserve">donnant une large place à </w:t>
      </w:r>
      <w:r w:rsidRPr="00494098">
        <w:rPr>
          <w:lang w:val="fr-FR"/>
        </w:rPr>
        <w:t xml:space="preserve">la construction et </w:t>
      </w:r>
      <w:r w:rsidR="00AA30B4">
        <w:rPr>
          <w:lang w:val="fr-FR"/>
        </w:rPr>
        <w:t xml:space="preserve">à </w:t>
      </w:r>
      <w:r w:rsidRPr="00494098">
        <w:rPr>
          <w:lang w:val="fr-FR"/>
        </w:rPr>
        <w:t xml:space="preserve">la consolidation du lien familial. </w:t>
      </w:r>
    </w:p>
    <w:p w14:paraId="46E9C184" w14:textId="3065E40C" w:rsidR="00077B75" w:rsidRPr="00494098" w:rsidRDefault="00C65914" w:rsidP="00480570">
      <w:pPr>
        <w:pStyle w:val="SingleTxtG"/>
        <w:rPr>
          <w:lang w:val="fr-FR"/>
        </w:rPr>
      </w:pPr>
      <w:r w:rsidRPr="00494098">
        <w:rPr>
          <w:lang w:val="fr-FR"/>
        </w:rPr>
        <w:t>170.</w:t>
      </w:r>
      <w:r w:rsidRPr="00494098">
        <w:rPr>
          <w:lang w:val="fr-FR"/>
        </w:rPr>
        <w:tab/>
        <w:t>Les enfants ne sont « </w:t>
      </w:r>
      <w:r w:rsidR="00891934">
        <w:rPr>
          <w:lang w:val="fr-FR"/>
        </w:rPr>
        <w:t>rendus</w:t>
      </w:r>
      <w:r w:rsidRPr="00494098">
        <w:rPr>
          <w:lang w:val="fr-FR"/>
        </w:rPr>
        <w:t> »</w:t>
      </w:r>
      <w:r w:rsidR="00077B75" w:rsidRPr="00494098">
        <w:rPr>
          <w:lang w:val="fr-FR"/>
        </w:rPr>
        <w:t xml:space="preserve"> que dans des cas exceptionnels, </w:t>
      </w:r>
      <w:r w:rsidR="00FC2FC5">
        <w:rPr>
          <w:lang w:val="fr-FR"/>
        </w:rPr>
        <w:t xml:space="preserve">lorsque </w:t>
      </w:r>
      <w:r w:rsidR="00077B75" w:rsidRPr="00494098">
        <w:rPr>
          <w:lang w:val="fr-FR"/>
        </w:rPr>
        <w:t xml:space="preserve"> l’intérêt de l’enfant est mis en cause ou </w:t>
      </w:r>
      <w:r w:rsidR="00FC2FC5">
        <w:rPr>
          <w:lang w:val="fr-FR"/>
        </w:rPr>
        <w:t xml:space="preserve">lorsque </w:t>
      </w:r>
      <w:r w:rsidR="00077B75" w:rsidRPr="00494098">
        <w:rPr>
          <w:lang w:val="fr-FR"/>
        </w:rPr>
        <w:t xml:space="preserve"> l’évaluation technique conclut qu</w:t>
      </w:r>
      <w:r w:rsidRPr="00494098">
        <w:rPr>
          <w:lang w:val="fr-FR"/>
        </w:rPr>
        <w:t xml:space="preserve">e les </w:t>
      </w:r>
      <w:r w:rsidR="00077B75" w:rsidRPr="00494098">
        <w:rPr>
          <w:lang w:val="fr-FR"/>
        </w:rPr>
        <w:t>liens structurants</w:t>
      </w:r>
      <w:r w:rsidRPr="00494098">
        <w:rPr>
          <w:lang w:val="fr-FR"/>
        </w:rPr>
        <w:t xml:space="preserve"> sont insuffisants</w:t>
      </w:r>
      <w:r w:rsidR="00077B75" w:rsidRPr="00494098">
        <w:rPr>
          <w:lang w:val="fr-FR"/>
        </w:rPr>
        <w:t>. Le Plan de</w:t>
      </w:r>
      <w:r w:rsidR="003705CC" w:rsidRPr="00494098">
        <w:rPr>
          <w:lang w:val="fr-FR"/>
        </w:rPr>
        <w:t xml:space="preserve"> formation en vue de l'adoption</w:t>
      </w:r>
      <w:r w:rsidR="00077B75" w:rsidRPr="00494098">
        <w:rPr>
          <w:lang w:val="fr-FR"/>
        </w:rPr>
        <w:t xml:space="preserve"> auquel participent les parents adoptifs et le Plan de préparation de l’enfant à l’adoption visent à prévenir ces situations. </w:t>
      </w:r>
    </w:p>
    <w:p w14:paraId="10B1BD4C" w14:textId="77777777" w:rsidR="00077B75" w:rsidRPr="00494098" w:rsidRDefault="00077B75" w:rsidP="00480570">
      <w:pPr>
        <w:pStyle w:val="SingleTxtG"/>
        <w:rPr>
          <w:lang w:val="fr-FR"/>
        </w:rPr>
      </w:pPr>
      <w:r w:rsidRPr="00494098">
        <w:rPr>
          <w:lang w:val="fr-FR"/>
        </w:rPr>
        <w:t>171.</w:t>
      </w:r>
      <w:r w:rsidRPr="00494098">
        <w:rPr>
          <w:lang w:val="fr-FR"/>
        </w:rPr>
        <w:tab/>
        <w:t>L’Institut de sécurité sociale</w:t>
      </w:r>
      <w:r w:rsidR="00017337" w:rsidRPr="00494098">
        <w:rPr>
          <w:lang w:val="fr-FR"/>
        </w:rPr>
        <w:t xml:space="preserve"> </w:t>
      </w:r>
      <w:r w:rsidR="00B91422" w:rsidRPr="00494098">
        <w:rPr>
          <w:lang w:val="fr-FR"/>
        </w:rPr>
        <w:t>(Infrastructures du Portugal)</w:t>
      </w:r>
      <w:r w:rsidRPr="00494098">
        <w:rPr>
          <w:lang w:val="fr-FR"/>
        </w:rPr>
        <w:t xml:space="preserve"> est l’autorité centrale </w:t>
      </w:r>
      <w:r w:rsidR="00B91422" w:rsidRPr="00494098">
        <w:rPr>
          <w:lang w:val="fr-FR"/>
        </w:rPr>
        <w:t xml:space="preserve">de </w:t>
      </w:r>
      <w:r w:rsidRPr="00494098">
        <w:rPr>
          <w:lang w:val="fr-FR"/>
        </w:rPr>
        <w:t>l’adoption internationale</w:t>
      </w:r>
      <w:r w:rsidR="00B91422" w:rsidRPr="00494098">
        <w:rPr>
          <w:lang w:val="fr-FR"/>
        </w:rPr>
        <w:t> ;</w:t>
      </w:r>
      <w:r w:rsidRPr="00494098">
        <w:rPr>
          <w:lang w:val="fr-FR"/>
        </w:rPr>
        <w:t xml:space="preserve"> </w:t>
      </w:r>
      <w:r w:rsidR="003705CC" w:rsidRPr="00494098">
        <w:rPr>
          <w:lang w:val="fr-FR"/>
        </w:rPr>
        <w:t xml:space="preserve">il </w:t>
      </w:r>
      <w:r w:rsidRPr="00494098">
        <w:rPr>
          <w:lang w:val="fr-FR"/>
        </w:rPr>
        <w:t>est respon</w:t>
      </w:r>
      <w:r w:rsidRPr="00494098">
        <w:rPr>
          <w:lang w:val="fr-FR"/>
        </w:rPr>
        <w:lastRenderedPageBreak/>
        <w:t xml:space="preserve">sable de l’exécution des engagements internationaux contractés par le Portugal. </w:t>
      </w:r>
    </w:p>
    <w:p w14:paraId="0DB7C602" w14:textId="6E56AB1D" w:rsidR="00077B75" w:rsidRPr="00494098" w:rsidRDefault="00491E89" w:rsidP="00DE703C">
      <w:pPr>
        <w:pStyle w:val="H1G"/>
        <w:rPr>
          <w:lang w:val="fr-FR"/>
        </w:rPr>
      </w:pPr>
      <w:r w:rsidRPr="00494098">
        <w:rPr>
          <w:lang w:val="fr-FR"/>
        </w:rPr>
        <w:tab/>
      </w:r>
      <w:r w:rsidR="00077B75" w:rsidRPr="00494098">
        <w:rPr>
          <w:lang w:val="fr-FR"/>
        </w:rPr>
        <w:t>E.</w:t>
      </w:r>
      <w:r w:rsidR="00077B75" w:rsidRPr="00494098">
        <w:rPr>
          <w:lang w:val="fr-FR"/>
        </w:rPr>
        <w:tab/>
        <w:t>Handicap, santé de base et bien-être (art</w:t>
      </w:r>
      <w:r w:rsidR="005C0DDE">
        <w:rPr>
          <w:lang w:val="fr-FR"/>
        </w:rPr>
        <w:t>.</w:t>
      </w:r>
      <w:r w:rsidR="00077B75" w:rsidRPr="00494098">
        <w:rPr>
          <w:lang w:val="fr-FR"/>
        </w:rPr>
        <w:t xml:space="preserve"> 6, 18</w:t>
      </w:r>
      <w:r w:rsidR="005C0DDE">
        <w:rPr>
          <w:lang w:val="fr-FR"/>
        </w:rPr>
        <w:t xml:space="preserve"> (par</w:t>
      </w:r>
      <w:r w:rsidR="00077B75" w:rsidRPr="00494098">
        <w:rPr>
          <w:lang w:val="fr-FR"/>
        </w:rPr>
        <w:t>.3</w:t>
      </w:r>
      <w:r w:rsidR="005C0DDE">
        <w:rPr>
          <w:lang w:val="fr-FR"/>
        </w:rPr>
        <w:t>)</w:t>
      </w:r>
      <w:r w:rsidR="00077B75" w:rsidRPr="00494098">
        <w:rPr>
          <w:lang w:val="fr-FR"/>
        </w:rPr>
        <w:t>, 23, 24, 26,</w:t>
      </w:r>
      <w:r w:rsidR="0028473D" w:rsidRPr="00494098">
        <w:rPr>
          <w:lang w:val="fr-FR"/>
        </w:rPr>
        <w:t xml:space="preserve"> </w:t>
      </w:r>
      <w:r w:rsidR="00077B75" w:rsidRPr="00494098">
        <w:rPr>
          <w:lang w:val="fr-FR"/>
        </w:rPr>
        <w:t>27</w:t>
      </w:r>
      <w:r w:rsidR="005C0DDE">
        <w:rPr>
          <w:lang w:val="fr-FR"/>
        </w:rPr>
        <w:t xml:space="preserve"> (par</w:t>
      </w:r>
      <w:r w:rsidR="00077B75" w:rsidRPr="00494098">
        <w:rPr>
          <w:lang w:val="fr-FR"/>
        </w:rPr>
        <w:t>.1</w:t>
      </w:r>
      <w:r w:rsidR="0028473D" w:rsidRPr="00494098">
        <w:rPr>
          <w:lang w:val="fr-FR"/>
        </w:rPr>
        <w:t xml:space="preserve"> à</w:t>
      </w:r>
      <w:r w:rsidR="00077B75" w:rsidRPr="00494098">
        <w:rPr>
          <w:lang w:val="fr-FR"/>
        </w:rPr>
        <w:t xml:space="preserve"> 3</w:t>
      </w:r>
      <w:r w:rsidR="005C0DDE">
        <w:rPr>
          <w:lang w:val="fr-FR"/>
        </w:rPr>
        <w:t>)</w:t>
      </w:r>
      <w:r w:rsidR="00077B75" w:rsidRPr="00494098">
        <w:rPr>
          <w:lang w:val="fr-FR"/>
        </w:rPr>
        <w:t xml:space="preserve">, et 33 de la Convention) </w:t>
      </w:r>
      <w:bookmarkStart w:id="122" w:name="_Toc530057300"/>
      <w:bookmarkStart w:id="123" w:name="_Toc530057515"/>
      <w:bookmarkStart w:id="124" w:name="_Toc530057614"/>
      <w:bookmarkStart w:id="125" w:name="_Toc530067995"/>
      <w:bookmarkEnd w:id="122"/>
      <w:bookmarkEnd w:id="123"/>
      <w:bookmarkEnd w:id="124"/>
      <w:bookmarkEnd w:id="125"/>
    </w:p>
    <w:p w14:paraId="5E33F372" w14:textId="602C5193" w:rsidR="00077B75" w:rsidRPr="00494098" w:rsidRDefault="00077B75" w:rsidP="00DE703C">
      <w:pPr>
        <w:pStyle w:val="H23G"/>
        <w:rPr>
          <w:lang w:val="fr-FR"/>
        </w:rPr>
      </w:pPr>
      <w:r w:rsidRPr="00494098">
        <w:rPr>
          <w:lang w:val="fr-FR"/>
        </w:rPr>
        <w:tab/>
      </w:r>
      <w:r w:rsidRPr="00494098">
        <w:rPr>
          <w:lang w:val="fr-FR"/>
        </w:rPr>
        <w:tab/>
        <w:t>Enfants handicapés (</w:t>
      </w:r>
      <w:r w:rsidR="004F01E2">
        <w:rPr>
          <w:lang w:val="fr-FR"/>
        </w:rPr>
        <w:t>par</w:t>
      </w:r>
      <w:r w:rsidR="00B91422" w:rsidRPr="00494098">
        <w:rPr>
          <w:lang w:val="fr-FR"/>
        </w:rPr>
        <w:t>.</w:t>
      </w:r>
      <w:r w:rsidRPr="00494098">
        <w:rPr>
          <w:lang w:val="fr-FR"/>
        </w:rPr>
        <w:t xml:space="preserve"> 46 </w:t>
      </w:r>
      <w:r w:rsidR="00872592" w:rsidRPr="00494098">
        <w:rPr>
          <w:lang w:val="fr-FR"/>
        </w:rPr>
        <w:t xml:space="preserve">des </w:t>
      </w:r>
      <w:r w:rsidR="005C0DDE">
        <w:rPr>
          <w:lang w:val="fr-FR"/>
        </w:rPr>
        <w:t>o</w:t>
      </w:r>
      <w:r w:rsidR="00916D99" w:rsidRPr="00494098">
        <w:rPr>
          <w:lang w:val="fr-FR"/>
        </w:rPr>
        <w:t>bservations finales</w:t>
      </w:r>
      <w:r w:rsidR="00872592" w:rsidRPr="00494098">
        <w:rPr>
          <w:lang w:val="fr-FR"/>
        </w:rPr>
        <w:t>)</w:t>
      </w:r>
      <w:bookmarkStart w:id="126" w:name="_Toc530057301"/>
      <w:bookmarkStart w:id="127" w:name="_Toc530057516"/>
      <w:bookmarkStart w:id="128" w:name="_Toc530057615"/>
      <w:bookmarkStart w:id="129" w:name="_Toc530067996"/>
      <w:bookmarkEnd w:id="126"/>
      <w:bookmarkEnd w:id="127"/>
      <w:bookmarkEnd w:id="128"/>
      <w:bookmarkEnd w:id="129"/>
    </w:p>
    <w:p w14:paraId="0A0F4983" w14:textId="77777777" w:rsidR="00077B75" w:rsidRPr="00494098" w:rsidRDefault="00077B75" w:rsidP="00DE703C">
      <w:pPr>
        <w:pStyle w:val="H4G"/>
        <w:rPr>
          <w:lang w:val="fr-FR"/>
        </w:rPr>
      </w:pPr>
      <w:r w:rsidRPr="00494098">
        <w:rPr>
          <w:lang w:val="fr-FR"/>
        </w:rPr>
        <w:tab/>
      </w:r>
      <w:r w:rsidRPr="00494098">
        <w:rPr>
          <w:lang w:val="fr-FR"/>
        </w:rPr>
        <w:tab/>
        <w:t>Intégration dans tous les domaines de la vie sociale</w:t>
      </w:r>
      <w:bookmarkStart w:id="130" w:name="_Toc530057517"/>
      <w:bookmarkEnd w:id="130"/>
    </w:p>
    <w:p w14:paraId="0783EC0D" w14:textId="77777777" w:rsidR="00077B75" w:rsidRPr="00494098" w:rsidRDefault="00077B75" w:rsidP="00480570">
      <w:pPr>
        <w:pStyle w:val="SingleTxtG"/>
        <w:rPr>
          <w:lang w:val="fr-FR"/>
        </w:rPr>
      </w:pPr>
      <w:r w:rsidRPr="00494098">
        <w:rPr>
          <w:lang w:val="fr-FR"/>
        </w:rPr>
        <w:t>172.</w:t>
      </w:r>
      <w:r w:rsidRPr="00494098">
        <w:rPr>
          <w:lang w:val="fr-FR"/>
        </w:rPr>
        <w:tab/>
        <w:t xml:space="preserve">Le Portugal a des taux élevés </w:t>
      </w:r>
      <w:r w:rsidR="005B78F3" w:rsidRPr="00494098">
        <w:rPr>
          <w:lang w:val="fr-FR"/>
        </w:rPr>
        <w:t xml:space="preserve">en matière </w:t>
      </w:r>
      <w:r w:rsidRPr="00494098">
        <w:rPr>
          <w:lang w:val="fr-FR"/>
        </w:rPr>
        <w:t>d’intégration d'enfants et de jeunes handicapés dans le système éducatif. Le pays poursuit une politique d’éducation inclusive et seulement 2</w:t>
      </w:r>
      <w:r w:rsidR="003B4E18" w:rsidRPr="00494098">
        <w:rPr>
          <w:lang w:val="fr-FR"/>
        </w:rPr>
        <w:t> %</w:t>
      </w:r>
      <w:r w:rsidRPr="00494098">
        <w:rPr>
          <w:lang w:val="fr-FR"/>
        </w:rPr>
        <w:t xml:space="preserve"> des élèves ayant des besoins éducatifs particuliers suivent leur scolarité dans des écoles spéciales </w:t>
      </w:r>
      <w:r w:rsidR="00017337" w:rsidRPr="00494098">
        <w:rPr>
          <w:lang w:val="fr-FR"/>
        </w:rPr>
        <w:t>distinctes</w:t>
      </w:r>
      <w:r w:rsidRPr="00494098">
        <w:rPr>
          <w:lang w:val="fr-FR"/>
        </w:rPr>
        <w:t>. En 2015</w:t>
      </w:r>
      <w:r w:rsidR="00713F3C" w:rsidRPr="00494098">
        <w:rPr>
          <w:lang w:val="fr-FR"/>
        </w:rPr>
        <w:t>-</w:t>
      </w:r>
      <w:r w:rsidRPr="00494098">
        <w:rPr>
          <w:lang w:val="fr-FR"/>
        </w:rPr>
        <w:t>2016 plus de 98,5</w:t>
      </w:r>
      <w:r w:rsidR="003B4E18" w:rsidRPr="00494098">
        <w:rPr>
          <w:lang w:val="fr-FR"/>
        </w:rPr>
        <w:t> %</w:t>
      </w:r>
      <w:r w:rsidRPr="00494098">
        <w:rPr>
          <w:lang w:val="fr-FR"/>
        </w:rPr>
        <w:t xml:space="preserve"> de</w:t>
      </w:r>
      <w:r w:rsidR="00713F3C" w:rsidRPr="00494098">
        <w:rPr>
          <w:lang w:val="fr-FR"/>
        </w:rPr>
        <w:t xml:space="preserve"> ces</w:t>
      </w:r>
      <w:r w:rsidRPr="00494098">
        <w:rPr>
          <w:lang w:val="fr-FR"/>
        </w:rPr>
        <w:t xml:space="preserve"> élèves fréque</w:t>
      </w:r>
      <w:r w:rsidR="00713F3C" w:rsidRPr="00494098">
        <w:rPr>
          <w:lang w:val="fr-FR"/>
        </w:rPr>
        <w:t xml:space="preserve">ntaient des écoles ordinaires. Ils </w:t>
      </w:r>
      <w:r w:rsidRPr="00494098">
        <w:rPr>
          <w:lang w:val="fr-FR"/>
        </w:rPr>
        <w:t xml:space="preserve">sont prioritaires pour leur inscription dans les établissements publics, du préscolaires à l’enseignement primaire </w:t>
      </w:r>
      <w:r w:rsidR="00713F3C" w:rsidRPr="00494098">
        <w:rPr>
          <w:lang w:val="fr-FR"/>
        </w:rPr>
        <w:t>et au secondaire. Voir annexe 3-</w:t>
      </w:r>
      <w:r w:rsidRPr="00494098">
        <w:rPr>
          <w:lang w:val="fr-FR"/>
        </w:rPr>
        <w:t>D - Enfants et élèves à besoins éducatifs particuliers</w:t>
      </w:r>
    </w:p>
    <w:p w14:paraId="6B0370CF" w14:textId="77777777" w:rsidR="00077B75" w:rsidRPr="00494098" w:rsidRDefault="00077B75" w:rsidP="00480570">
      <w:pPr>
        <w:pStyle w:val="SingleTxtG"/>
        <w:rPr>
          <w:lang w:val="fr-FR"/>
        </w:rPr>
      </w:pPr>
      <w:r w:rsidRPr="00494098">
        <w:rPr>
          <w:lang w:val="fr-FR"/>
        </w:rPr>
        <w:t>173.</w:t>
      </w:r>
      <w:r w:rsidRPr="00494098">
        <w:rPr>
          <w:lang w:val="fr-FR"/>
        </w:rPr>
        <w:tab/>
        <w:t xml:space="preserve">L’ordonnance </w:t>
      </w:r>
      <w:r w:rsidR="006717A5" w:rsidRPr="00494098">
        <w:rPr>
          <w:lang w:val="fr-FR"/>
        </w:rPr>
        <w:t>n° </w:t>
      </w:r>
      <w:r w:rsidR="005B072B" w:rsidRPr="00494098">
        <w:rPr>
          <w:lang w:val="fr-FR"/>
        </w:rPr>
        <w:t>201-</w:t>
      </w:r>
      <w:r w:rsidRPr="00494098">
        <w:rPr>
          <w:lang w:val="fr-FR"/>
        </w:rPr>
        <w:t>C/2015 du 10</w:t>
      </w:r>
      <w:r w:rsidR="00B34673" w:rsidRPr="00494098">
        <w:rPr>
          <w:lang w:val="fr-FR"/>
        </w:rPr>
        <w:t> juillet</w:t>
      </w:r>
      <w:r w:rsidRPr="00494098">
        <w:rPr>
          <w:lang w:val="fr-FR"/>
        </w:rPr>
        <w:t xml:space="preserve"> 2015 vise à préparer </w:t>
      </w:r>
      <w:r w:rsidR="00017337" w:rsidRPr="00494098">
        <w:rPr>
          <w:lang w:val="fr-FR"/>
        </w:rPr>
        <w:t>l</w:t>
      </w:r>
      <w:r w:rsidRPr="00494098">
        <w:rPr>
          <w:lang w:val="fr-FR"/>
        </w:rPr>
        <w:t>es élèves souffrant d’un handicap grave</w:t>
      </w:r>
      <w:r w:rsidR="005B072B" w:rsidRPr="00494098">
        <w:rPr>
          <w:lang w:val="fr-FR"/>
        </w:rPr>
        <w:t xml:space="preserve"> et âgés de 15 </w:t>
      </w:r>
      <w:r w:rsidRPr="00494098">
        <w:rPr>
          <w:lang w:val="fr-FR"/>
        </w:rPr>
        <w:t xml:space="preserve">ans ou plus </w:t>
      </w:r>
      <w:r w:rsidR="00017337" w:rsidRPr="00494098">
        <w:rPr>
          <w:lang w:val="fr-FR"/>
        </w:rPr>
        <w:t xml:space="preserve">au passage </w:t>
      </w:r>
      <w:r w:rsidRPr="00494098">
        <w:rPr>
          <w:lang w:val="fr-FR"/>
        </w:rPr>
        <w:t xml:space="preserve">de l’école à une vie d’adulte pleine et active et, </w:t>
      </w:r>
      <w:r w:rsidR="005B072B" w:rsidRPr="00494098">
        <w:rPr>
          <w:lang w:val="fr-FR"/>
        </w:rPr>
        <w:t xml:space="preserve">toutes les </w:t>
      </w:r>
      <w:r w:rsidRPr="00494098">
        <w:rPr>
          <w:lang w:val="fr-FR"/>
        </w:rPr>
        <w:t>fois possible</w:t>
      </w:r>
      <w:r w:rsidR="005B072B" w:rsidRPr="00494098">
        <w:rPr>
          <w:lang w:val="fr-FR"/>
        </w:rPr>
        <w:t>s</w:t>
      </w:r>
      <w:r w:rsidRPr="00494098">
        <w:rPr>
          <w:lang w:val="fr-FR"/>
        </w:rPr>
        <w:t xml:space="preserve">, à la vie professionnelle. </w:t>
      </w:r>
    </w:p>
    <w:p w14:paraId="7E0B96FA" w14:textId="77777777" w:rsidR="00077B75" w:rsidRPr="00494098" w:rsidRDefault="00077B75" w:rsidP="00480570">
      <w:pPr>
        <w:pStyle w:val="SingleTxtG"/>
        <w:rPr>
          <w:lang w:val="fr-FR"/>
        </w:rPr>
      </w:pPr>
      <w:r w:rsidRPr="00494098">
        <w:rPr>
          <w:lang w:val="fr-FR"/>
        </w:rPr>
        <w:t>174.</w:t>
      </w:r>
      <w:r w:rsidRPr="00494098">
        <w:rPr>
          <w:lang w:val="fr-FR"/>
        </w:rPr>
        <w:tab/>
        <w:t>Les droits des enfants handicapés sont garantis par la loi et bénéficient généralement d’une protection juridique satisfaisante, mais les étiquettes et les stéréotypes négatifs associés au handicap perdurent.</w:t>
      </w:r>
    </w:p>
    <w:p w14:paraId="1DABF6AC" w14:textId="77777777" w:rsidR="00077B75" w:rsidRPr="00494098" w:rsidRDefault="00077B75" w:rsidP="00480570">
      <w:pPr>
        <w:pStyle w:val="SingleTxtG"/>
        <w:rPr>
          <w:lang w:val="fr-FR"/>
        </w:rPr>
      </w:pPr>
      <w:r w:rsidRPr="00494098">
        <w:rPr>
          <w:lang w:val="fr-FR"/>
        </w:rPr>
        <w:lastRenderedPageBreak/>
        <w:t>175.</w:t>
      </w:r>
      <w:r w:rsidRPr="00494098">
        <w:rPr>
          <w:lang w:val="fr-FR"/>
        </w:rPr>
        <w:tab/>
        <w:t xml:space="preserve">Parmi les autres obstacles à l’éducation des enfants handicapés, il faut notamment citer le manque de soutien spécialisé dans les écoles ordinaires, de disponibilité des matériels d’appui sous des formes accessibles, de formation des enseignants et des autres personnels, de transport et d'application effective des règlements sur l’accessibilité conformément au principe de </w:t>
      </w:r>
      <w:r w:rsidR="005B072B" w:rsidRPr="00494098">
        <w:rPr>
          <w:lang w:val="fr-FR"/>
        </w:rPr>
        <w:t>« </w:t>
      </w:r>
      <w:r w:rsidRPr="00494098">
        <w:rPr>
          <w:lang w:val="fr-FR"/>
        </w:rPr>
        <w:t>conception universelle</w:t>
      </w:r>
      <w:r w:rsidR="005B072B" w:rsidRPr="00494098">
        <w:rPr>
          <w:lang w:val="fr-FR"/>
        </w:rPr>
        <w:t> »</w:t>
      </w:r>
      <w:r w:rsidRPr="00494098">
        <w:rPr>
          <w:lang w:val="fr-FR"/>
        </w:rPr>
        <w:t xml:space="preserve"> inscrit dans la Convention relative aux droits des personnes handicapées.</w:t>
      </w:r>
    </w:p>
    <w:p w14:paraId="6922F614" w14:textId="77777777" w:rsidR="00077B75" w:rsidRPr="00494098" w:rsidRDefault="005B072B" w:rsidP="00480570">
      <w:pPr>
        <w:pStyle w:val="SingleTxtG"/>
        <w:rPr>
          <w:lang w:val="fr-FR"/>
        </w:rPr>
      </w:pPr>
      <w:r w:rsidRPr="00494098">
        <w:rPr>
          <w:lang w:val="fr-FR"/>
        </w:rPr>
        <w:t>176.</w:t>
      </w:r>
      <w:r w:rsidRPr="00494098">
        <w:rPr>
          <w:lang w:val="fr-FR"/>
        </w:rPr>
        <w:tab/>
        <w:t>À</w:t>
      </w:r>
      <w:r w:rsidR="00077B75" w:rsidRPr="00494098">
        <w:rPr>
          <w:lang w:val="fr-FR"/>
        </w:rPr>
        <w:t xml:space="preserve"> cet égard, le Portugal </w:t>
      </w:r>
      <w:r w:rsidRPr="00494098">
        <w:rPr>
          <w:lang w:val="fr-FR"/>
        </w:rPr>
        <w:t>s’attache à</w:t>
      </w:r>
      <w:r w:rsidR="00090CBF" w:rsidRPr="00494098">
        <w:rPr>
          <w:lang w:val="fr-FR"/>
        </w:rPr>
        <w:t> :</w:t>
      </w:r>
    </w:p>
    <w:p w14:paraId="7D47560C" w14:textId="77777777" w:rsidR="00077B75" w:rsidRPr="00494098" w:rsidRDefault="00112210" w:rsidP="00112210">
      <w:pPr>
        <w:pStyle w:val="Bullet1G"/>
        <w:numPr>
          <w:ilvl w:val="0"/>
          <w:numId w:val="0"/>
        </w:numPr>
        <w:tabs>
          <w:tab w:val="left" w:pos="1701"/>
        </w:tabs>
        <w:ind w:left="1701" w:hanging="170"/>
        <w:rPr>
          <w:lang w:val="fr-FR"/>
        </w:rPr>
      </w:pPr>
      <w:r w:rsidRPr="00494098">
        <w:rPr>
          <w:lang w:val="fr-FR"/>
        </w:rPr>
        <w:t>•</w:t>
      </w:r>
      <w:r w:rsidRPr="00494098">
        <w:rPr>
          <w:lang w:val="fr-FR"/>
        </w:rPr>
        <w:tab/>
        <w:t xml:space="preserve">Renforcer les mécanismes de suivi et de mise en </w:t>
      </w:r>
      <w:r w:rsidR="00D264B0" w:rsidRPr="00494098">
        <w:rPr>
          <w:lang w:val="fr-FR"/>
        </w:rPr>
        <w:t>œuvr</w:t>
      </w:r>
      <w:r w:rsidRPr="00494098">
        <w:rPr>
          <w:lang w:val="fr-FR"/>
        </w:rPr>
        <w:t xml:space="preserve">e des dispositions </w:t>
      </w:r>
      <w:r w:rsidR="00183418" w:rsidRPr="00494098">
        <w:rPr>
          <w:lang w:val="fr-FR"/>
        </w:rPr>
        <w:t xml:space="preserve">légales </w:t>
      </w:r>
      <w:r w:rsidR="00017337" w:rsidRPr="00494098">
        <w:rPr>
          <w:lang w:val="fr-FR"/>
        </w:rPr>
        <w:t xml:space="preserve">présentes </w:t>
      </w:r>
      <w:r w:rsidRPr="00494098">
        <w:rPr>
          <w:lang w:val="fr-FR"/>
        </w:rPr>
        <w:t>dans le domaine de l’éducation</w:t>
      </w:r>
      <w:r w:rsidR="006717A5" w:rsidRPr="00494098">
        <w:rPr>
          <w:lang w:val="fr-FR"/>
        </w:rPr>
        <w:t> ;</w:t>
      </w:r>
    </w:p>
    <w:p w14:paraId="34BD0312" w14:textId="77777777" w:rsidR="00077B75" w:rsidRPr="00494098" w:rsidRDefault="00112210" w:rsidP="00112210">
      <w:pPr>
        <w:pStyle w:val="Bullet1G"/>
        <w:numPr>
          <w:ilvl w:val="0"/>
          <w:numId w:val="0"/>
        </w:numPr>
        <w:tabs>
          <w:tab w:val="left" w:pos="1701"/>
        </w:tabs>
        <w:ind w:left="1701" w:hanging="170"/>
        <w:rPr>
          <w:lang w:val="fr-FR"/>
        </w:rPr>
      </w:pPr>
      <w:r w:rsidRPr="00494098">
        <w:rPr>
          <w:lang w:val="fr-FR"/>
        </w:rPr>
        <w:t>•</w:t>
      </w:r>
      <w:r w:rsidRPr="00494098">
        <w:rPr>
          <w:lang w:val="fr-FR"/>
        </w:rPr>
        <w:tab/>
        <w:t xml:space="preserve">Revoir la législation existante pour </w:t>
      </w:r>
      <w:r w:rsidR="005B78F3" w:rsidRPr="00494098">
        <w:rPr>
          <w:lang w:val="fr-FR"/>
        </w:rPr>
        <w:t xml:space="preserve">s’assurer </w:t>
      </w:r>
      <w:r w:rsidRPr="00494098">
        <w:rPr>
          <w:lang w:val="fr-FR"/>
        </w:rPr>
        <w:t xml:space="preserve">que tous les textes juridiques essentiels </w:t>
      </w:r>
      <w:r w:rsidR="00017337" w:rsidRPr="00494098">
        <w:rPr>
          <w:lang w:val="fr-FR"/>
        </w:rPr>
        <w:t>concernant les enfants handicapés</w:t>
      </w:r>
      <w:r w:rsidRPr="00494098">
        <w:rPr>
          <w:lang w:val="fr-FR"/>
        </w:rPr>
        <w:t xml:space="preserve"> respectent les principes de la Convention relative aux droits des personnes handicapées et </w:t>
      </w:r>
      <w:r w:rsidR="00183418" w:rsidRPr="00494098">
        <w:rPr>
          <w:lang w:val="fr-FR"/>
        </w:rPr>
        <w:t xml:space="preserve">ceux de </w:t>
      </w:r>
      <w:r w:rsidRPr="00494098">
        <w:rPr>
          <w:lang w:val="fr-FR"/>
        </w:rPr>
        <w:t xml:space="preserve">la Convention relative aux droits de l’enfant, et que toutes les interventions </w:t>
      </w:r>
      <w:r w:rsidR="00017337" w:rsidRPr="00494098">
        <w:rPr>
          <w:lang w:val="fr-FR"/>
        </w:rPr>
        <w:t xml:space="preserve">s’adressant </w:t>
      </w:r>
      <w:r w:rsidRPr="00494098">
        <w:rPr>
          <w:lang w:val="fr-FR"/>
        </w:rPr>
        <w:t>aux enfants handicapés respectent les principes de participation et d’autonomisation</w:t>
      </w:r>
      <w:r w:rsidR="006717A5" w:rsidRPr="00494098">
        <w:rPr>
          <w:lang w:val="fr-FR"/>
        </w:rPr>
        <w:t> ;</w:t>
      </w:r>
      <w:r w:rsidRPr="00494098">
        <w:rPr>
          <w:lang w:val="fr-FR"/>
        </w:rPr>
        <w:t xml:space="preserve"> </w:t>
      </w:r>
    </w:p>
    <w:p w14:paraId="522B94FE" w14:textId="77777777" w:rsidR="00077B75" w:rsidRPr="00494098" w:rsidRDefault="00112210" w:rsidP="00112210">
      <w:pPr>
        <w:pStyle w:val="Bullet1G"/>
        <w:numPr>
          <w:ilvl w:val="0"/>
          <w:numId w:val="0"/>
        </w:numPr>
        <w:tabs>
          <w:tab w:val="left" w:pos="1701"/>
        </w:tabs>
        <w:ind w:left="1701" w:hanging="170"/>
        <w:rPr>
          <w:lang w:val="fr-FR"/>
        </w:rPr>
      </w:pPr>
      <w:r w:rsidRPr="00494098">
        <w:rPr>
          <w:lang w:val="fr-FR"/>
        </w:rPr>
        <w:t>•</w:t>
      </w:r>
      <w:r w:rsidRPr="00494098">
        <w:rPr>
          <w:lang w:val="fr-FR"/>
        </w:rPr>
        <w:tab/>
        <w:t>R</w:t>
      </w:r>
      <w:r w:rsidR="00183418" w:rsidRPr="00494098">
        <w:rPr>
          <w:lang w:val="fr-FR"/>
        </w:rPr>
        <w:t xml:space="preserve">éviser </w:t>
      </w:r>
      <w:r w:rsidRPr="00494098">
        <w:rPr>
          <w:lang w:val="fr-FR"/>
        </w:rPr>
        <w:t xml:space="preserve">les critères énoncés dans le décret-loi </w:t>
      </w:r>
      <w:r w:rsidR="006717A5" w:rsidRPr="00494098">
        <w:rPr>
          <w:lang w:val="fr-FR"/>
        </w:rPr>
        <w:t>n° </w:t>
      </w:r>
      <w:r w:rsidRPr="00494098">
        <w:rPr>
          <w:lang w:val="fr-FR"/>
        </w:rPr>
        <w:t xml:space="preserve">3/2008 pour inclure le droit de l’enfant d’être entendu </w:t>
      </w:r>
      <w:r w:rsidR="00183418" w:rsidRPr="00494098">
        <w:rPr>
          <w:lang w:val="fr-FR"/>
        </w:rPr>
        <w:t xml:space="preserve">lors de </w:t>
      </w:r>
      <w:r w:rsidRPr="00494098">
        <w:rPr>
          <w:lang w:val="fr-FR"/>
        </w:rPr>
        <w:t xml:space="preserve">la définition et </w:t>
      </w:r>
      <w:r w:rsidR="00183418" w:rsidRPr="00494098">
        <w:rPr>
          <w:lang w:val="fr-FR"/>
        </w:rPr>
        <w:t xml:space="preserve">de </w:t>
      </w:r>
      <w:r w:rsidRPr="00494098">
        <w:rPr>
          <w:lang w:val="fr-FR"/>
        </w:rPr>
        <w:t>l’évaluation de son plan d’éducation, et assurer la participation effective des parents et des é</w:t>
      </w:r>
      <w:r w:rsidR="005B78F3" w:rsidRPr="00494098">
        <w:rPr>
          <w:lang w:val="fr-FR"/>
        </w:rPr>
        <w:t xml:space="preserve">lèves </w:t>
      </w:r>
      <w:r w:rsidRPr="00494098">
        <w:rPr>
          <w:lang w:val="fr-FR"/>
        </w:rPr>
        <w:t xml:space="preserve">à l’élaboration de leur projet personnalisé de scolarisation et </w:t>
      </w:r>
      <w:r w:rsidR="00183418" w:rsidRPr="00494098">
        <w:rPr>
          <w:lang w:val="fr-FR"/>
        </w:rPr>
        <w:t xml:space="preserve">de </w:t>
      </w:r>
      <w:r w:rsidRPr="00494098">
        <w:rPr>
          <w:lang w:val="fr-FR"/>
        </w:rPr>
        <w:t xml:space="preserve">leur </w:t>
      </w:r>
      <w:r w:rsidRPr="00494098">
        <w:rPr>
          <w:lang w:val="fr-FR"/>
        </w:rPr>
        <w:lastRenderedPageBreak/>
        <w:t>plan individuel de transition</w:t>
      </w:r>
      <w:r w:rsidR="006717A5" w:rsidRPr="00494098">
        <w:rPr>
          <w:lang w:val="fr-FR"/>
        </w:rPr>
        <w:t> ;</w:t>
      </w:r>
    </w:p>
    <w:p w14:paraId="6CFFAABD" w14:textId="77777777" w:rsidR="00077B75" w:rsidRPr="00494098" w:rsidRDefault="00077B75" w:rsidP="00480570">
      <w:pPr>
        <w:pStyle w:val="SingleTxtG"/>
        <w:rPr>
          <w:lang w:val="fr-FR"/>
        </w:rPr>
      </w:pPr>
      <w:r w:rsidRPr="00494098">
        <w:rPr>
          <w:lang w:val="fr-FR"/>
        </w:rPr>
        <w:t>177.</w:t>
      </w:r>
      <w:r w:rsidRPr="00494098">
        <w:rPr>
          <w:lang w:val="fr-FR"/>
        </w:rPr>
        <w:tab/>
      </w:r>
      <w:r w:rsidR="00563533" w:rsidRPr="00494098">
        <w:rPr>
          <w:lang w:val="fr-FR"/>
        </w:rPr>
        <w:t>En 2016, l</w:t>
      </w:r>
      <w:r w:rsidRPr="00494098">
        <w:rPr>
          <w:lang w:val="fr-FR"/>
        </w:rPr>
        <w:t>e Conseil des ministres a dé</w:t>
      </w:r>
      <w:r w:rsidR="00563533" w:rsidRPr="00494098">
        <w:rPr>
          <w:lang w:val="fr-FR"/>
        </w:rPr>
        <w:t>battu de la mise en place d'un P</w:t>
      </w:r>
      <w:r w:rsidRPr="00494098">
        <w:rPr>
          <w:lang w:val="fr-FR"/>
        </w:rPr>
        <w:t>ro</w:t>
      </w:r>
      <w:r w:rsidR="00563533" w:rsidRPr="00494098">
        <w:rPr>
          <w:lang w:val="fr-FR"/>
        </w:rPr>
        <w:t>gramme</w:t>
      </w:r>
      <w:r w:rsidRPr="00494098">
        <w:rPr>
          <w:lang w:val="fr-FR"/>
        </w:rPr>
        <w:t xml:space="preserve"> d’inclusion des élèves ayant des besoins éducatifs particuliers, qui permettra d'appliquer des mesures efficaces </w:t>
      </w:r>
      <w:r w:rsidR="00F32AB3" w:rsidRPr="00494098">
        <w:rPr>
          <w:lang w:val="fr-FR"/>
        </w:rPr>
        <w:t xml:space="preserve">pour </w:t>
      </w:r>
      <w:r w:rsidR="00563533" w:rsidRPr="00494098">
        <w:rPr>
          <w:lang w:val="fr-FR"/>
        </w:rPr>
        <w:t xml:space="preserve">promouvoir </w:t>
      </w:r>
      <w:r w:rsidRPr="00494098">
        <w:rPr>
          <w:lang w:val="fr-FR"/>
        </w:rPr>
        <w:t xml:space="preserve">une plus grande intégration scolaire des élèves concernés. Ce </w:t>
      </w:r>
      <w:r w:rsidR="00563533" w:rsidRPr="00494098">
        <w:rPr>
          <w:lang w:val="fr-FR"/>
        </w:rPr>
        <w:t xml:space="preserve">programme </w:t>
      </w:r>
      <w:r w:rsidRPr="00494098">
        <w:rPr>
          <w:lang w:val="fr-FR"/>
        </w:rPr>
        <w:t>sera é</w:t>
      </w:r>
      <w:r w:rsidR="00563533" w:rsidRPr="00494098">
        <w:rPr>
          <w:lang w:val="fr-FR"/>
        </w:rPr>
        <w:t xml:space="preserve">laboré </w:t>
      </w:r>
      <w:r w:rsidRPr="00494098">
        <w:rPr>
          <w:lang w:val="fr-FR"/>
        </w:rPr>
        <w:t>par un groupe de travail qui examinera aussi la législation existante.</w:t>
      </w:r>
    </w:p>
    <w:p w14:paraId="27460607" w14:textId="77777777" w:rsidR="00077B75" w:rsidRPr="00494098" w:rsidRDefault="00077B75" w:rsidP="00480570">
      <w:pPr>
        <w:pStyle w:val="SingleTxtG"/>
        <w:rPr>
          <w:lang w:val="fr-FR"/>
        </w:rPr>
      </w:pPr>
      <w:r w:rsidRPr="00494098">
        <w:rPr>
          <w:lang w:val="fr-FR"/>
        </w:rPr>
        <w:t>178.</w:t>
      </w:r>
      <w:r w:rsidRPr="00494098">
        <w:rPr>
          <w:lang w:val="fr-FR"/>
        </w:rPr>
        <w:tab/>
        <w:t xml:space="preserve">En 2014, le Conseil national de l’éducation a </w:t>
      </w:r>
      <w:r w:rsidR="009659E6" w:rsidRPr="00494098">
        <w:rPr>
          <w:lang w:val="fr-FR"/>
        </w:rPr>
        <w:t xml:space="preserve">mené </w:t>
      </w:r>
      <w:r w:rsidRPr="00494098">
        <w:rPr>
          <w:lang w:val="fr-FR"/>
        </w:rPr>
        <w:t xml:space="preserve">une étude </w:t>
      </w:r>
      <w:r w:rsidR="00F32AB3" w:rsidRPr="00494098">
        <w:rPr>
          <w:lang w:val="fr-FR"/>
        </w:rPr>
        <w:t xml:space="preserve">qui </w:t>
      </w:r>
      <w:r w:rsidRPr="00494098">
        <w:rPr>
          <w:lang w:val="fr-FR"/>
        </w:rPr>
        <w:t>visa</w:t>
      </w:r>
      <w:r w:rsidR="00F32AB3" w:rsidRPr="00494098">
        <w:rPr>
          <w:lang w:val="fr-FR"/>
        </w:rPr>
        <w:t>i</w:t>
      </w:r>
      <w:r w:rsidRPr="00494098">
        <w:rPr>
          <w:lang w:val="fr-FR"/>
        </w:rPr>
        <w:t xml:space="preserve">t à décrire la situation actuelle des élèves ayant des besoins éducatifs particuliers dans le système de l’éducation nationale, </w:t>
      </w:r>
      <w:r w:rsidR="00F32AB3" w:rsidRPr="00494098">
        <w:rPr>
          <w:lang w:val="fr-FR"/>
        </w:rPr>
        <w:t xml:space="preserve">et </w:t>
      </w:r>
      <w:r w:rsidRPr="00494098">
        <w:rPr>
          <w:lang w:val="fr-FR"/>
        </w:rPr>
        <w:t xml:space="preserve">qui </w:t>
      </w:r>
      <w:r w:rsidR="009659E6" w:rsidRPr="00494098">
        <w:rPr>
          <w:lang w:val="fr-FR"/>
        </w:rPr>
        <w:t xml:space="preserve">a </w:t>
      </w:r>
      <w:r w:rsidRPr="00494098">
        <w:rPr>
          <w:lang w:val="fr-FR"/>
        </w:rPr>
        <w:t>définit</w:t>
      </w:r>
      <w:r w:rsidR="009659E6" w:rsidRPr="00494098">
        <w:rPr>
          <w:lang w:val="fr-FR"/>
        </w:rPr>
        <w:t xml:space="preserve"> l</w:t>
      </w:r>
      <w:r w:rsidRPr="00494098">
        <w:rPr>
          <w:lang w:val="fr-FR"/>
        </w:rPr>
        <w:t xml:space="preserve">’éducation inclusive comme le </w:t>
      </w:r>
      <w:r w:rsidR="00700627" w:rsidRPr="00494098">
        <w:rPr>
          <w:lang w:val="fr-FR"/>
        </w:rPr>
        <w:t xml:space="preserve">principal </w:t>
      </w:r>
      <w:r w:rsidRPr="00494098">
        <w:rPr>
          <w:lang w:val="fr-FR"/>
        </w:rPr>
        <w:t>fil d</w:t>
      </w:r>
      <w:r w:rsidR="00700627" w:rsidRPr="00494098">
        <w:rPr>
          <w:lang w:val="fr-FR"/>
        </w:rPr>
        <w:t xml:space="preserve">irecteur </w:t>
      </w:r>
      <w:r w:rsidRPr="00494098">
        <w:rPr>
          <w:lang w:val="fr-FR"/>
        </w:rPr>
        <w:t>des politiques publiques en faveur de ces enfants.</w:t>
      </w:r>
    </w:p>
    <w:p w14:paraId="44620DA3" w14:textId="77777777" w:rsidR="00077B75" w:rsidRPr="00494098" w:rsidRDefault="00077B75" w:rsidP="00480570">
      <w:pPr>
        <w:pStyle w:val="SingleTxtG"/>
        <w:rPr>
          <w:lang w:val="fr-FR"/>
        </w:rPr>
      </w:pPr>
      <w:r w:rsidRPr="00494098">
        <w:rPr>
          <w:lang w:val="fr-FR"/>
        </w:rPr>
        <w:t>179.</w:t>
      </w:r>
      <w:r w:rsidRPr="00494098">
        <w:rPr>
          <w:lang w:val="fr-FR"/>
        </w:rPr>
        <w:tab/>
        <w:t xml:space="preserve">À la suite de cette étude, </w:t>
      </w:r>
      <w:r w:rsidR="000B3D81" w:rsidRPr="00494098">
        <w:rPr>
          <w:lang w:val="fr-FR"/>
        </w:rPr>
        <w:t xml:space="preserve">le Conseil a </w:t>
      </w:r>
      <w:r w:rsidRPr="00494098">
        <w:rPr>
          <w:lang w:val="fr-FR"/>
        </w:rPr>
        <w:t xml:space="preserve">présenté la recommandation </w:t>
      </w:r>
      <w:r w:rsidR="006717A5" w:rsidRPr="00494098">
        <w:rPr>
          <w:lang w:val="fr-FR"/>
        </w:rPr>
        <w:t>n° </w:t>
      </w:r>
      <w:r w:rsidR="00480991" w:rsidRPr="00494098">
        <w:rPr>
          <w:lang w:val="fr-FR"/>
        </w:rPr>
        <w:t>1</w:t>
      </w:r>
      <w:r w:rsidRPr="00494098">
        <w:rPr>
          <w:lang w:val="fr-FR"/>
        </w:rPr>
        <w:t>/2014, qui contient 19</w:t>
      </w:r>
      <w:r w:rsidR="00700627" w:rsidRPr="00494098">
        <w:rPr>
          <w:lang w:val="fr-FR"/>
        </w:rPr>
        <w:t> </w:t>
      </w:r>
      <w:r w:rsidRPr="00494098">
        <w:rPr>
          <w:lang w:val="fr-FR"/>
        </w:rPr>
        <w:t xml:space="preserve">directives sur le cadre juridique des besoins </w:t>
      </w:r>
      <w:r w:rsidR="00700627" w:rsidRPr="00494098">
        <w:rPr>
          <w:lang w:val="fr-FR"/>
        </w:rPr>
        <w:t xml:space="preserve">éducatifs </w:t>
      </w:r>
      <w:r w:rsidRPr="00494098">
        <w:rPr>
          <w:lang w:val="fr-FR"/>
        </w:rPr>
        <w:t xml:space="preserve">particuliers et de l’éducation inclusive. </w:t>
      </w:r>
    </w:p>
    <w:p w14:paraId="00B210EB" w14:textId="77777777" w:rsidR="00077B75" w:rsidRPr="00494098" w:rsidRDefault="00077B75" w:rsidP="00480570">
      <w:pPr>
        <w:pStyle w:val="SingleTxtG"/>
        <w:rPr>
          <w:lang w:val="fr-FR"/>
        </w:rPr>
      </w:pPr>
      <w:r w:rsidRPr="00494098">
        <w:rPr>
          <w:lang w:val="fr-FR"/>
        </w:rPr>
        <w:t>180.</w:t>
      </w:r>
      <w:r w:rsidRPr="00494098">
        <w:rPr>
          <w:lang w:val="fr-FR"/>
        </w:rPr>
        <w:tab/>
        <w:t>Seulement 2</w:t>
      </w:r>
      <w:r w:rsidR="000B3D81" w:rsidRPr="00494098">
        <w:rPr>
          <w:lang w:val="fr-FR"/>
        </w:rPr>
        <w:t> </w:t>
      </w:r>
      <w:r w:rsidRPr="00494098">
        <w:rPr>
          <w:lang w:val="fr-FR"/>
        </w:rPr>
        <w:t xml:space="preserve">% de ces enfants et jeunes restent placés dans des </w:t>
      </w:r>
      <w:r w:rsidR="00700627" w:rsidRPr="00494098">
        <w:rPr>
          <w:lang w:val="fr-FR"/>
        </w:rPr>
        <w:t xml:space="preserve">établissements </w:t>
      </w:r>
      <w:r w:rsidRPr="00494098">
        <w:rPr>
          <w:lang w:val="fr-FR"/>
        </w:rPr>
        <w:t>spécia</w:t>
      </w:r>
      <w:r w:rsidR="00700627" w:rsidRPr="00494098">
        <w:rPr>
          <w:lang w:val="fr-FR"/>
        </w:rPr>
        <w:t>ux</w:t>
      </w:r>
      <w:r w:rsidR="00396309" w:rsidRPr="00494098">
        <w:rPr>
          <w:lang w:val="fr-FR"/>
        </w:rPr>
        <w:t xml:space="preserve"> </w:t>
      </w:r>
      <w:r w:rsidRPr="00494098">
        <w:rPr>
          <w:lang w:val="fr-FR"/>
        </w:rPr>
        <w:t>subventionnés par l'</w:t>
      </w:r>
      <w:r w:rsidR="006E7DB9" w:rsidRPr="00494098">
        <w:rPr>
          <w:lang w:val="fr-FR"/>
        </w:rPr>
        <w:t>État</w:t>
      </w:r>
      <w:r w:rsidRPr="00494098">
        <w:rPr>
          <w:lang w:val="fr-FR"/>
        </w:rPr>
        <w:t xml:space="preserve"> </w:t>
      </w:r>
      <w:r w:rsidR="00396309" w:rsidRPr="00494098">
        <w:rPr>
          <w:lang w:val="fr-FR"/>
        </w:rPr>
        <w:t xml:space="preserve">en </w:t>
      </w:r>
      <w:r w:rsidR="000B3D81" w:rsidRPr="00494098">
        <w:rPr>
          <w:lang w:val="fr-FR"/>
        </w:rPr>
        <w:t xml:space="preserve">ce qui concerne la </w:t>
      </w:r>
      <w:r w:rsidRPr="00494098">
        <w:rPr>
          <w:lang w:val="fr-FR"/>
        </w:rPr>
        <w:t xml:space="preserve">scolarité, </w:t>
      </w:r>
      <w:r w:rsidR="000B3D81" w:rsidRPr="00494098">
        <w:rPr>
          <w:lang w:val="fr-FR"/>
        </w:rPr>
        <w:t>l</w:t>
      </w:r>
      <w:r w:rsidR="00396309" w:rsidRPr="00494098">
        <w:rPr>
          <w:lang w:val="fr-FR"/>
        </w:rPr>
        <w:t>e</w:t>
      </w:r>
      <w:r w:rsidR="000B3D81" w:rsidRPr="00494098">
        <w:rPr>
          <w:lang w:val="fr-FR"/>
        </w:rPr>
        <w:t>s</w:t>
      </w:r>
      <w:r w:rsidRPr="00494098">
        <w:rPr>
          <w:lang w:val="fr-FR"/>
        </w:rPr>
        <w:t xml:space="preserve"> repas, </w:t>
      </w:r>
      <w:r w:rsidR="000B3D81" w:rsidRPr="00494098">
        <w:rPr>
          <w:lang w:val="fr-FR"/>
        </w:rPr>
        <w:t>l</w:t>
      </w:r>
      <w:r w:rsidRPr="00494098">
        <w:rPr>
          <w:lang w:val="fr-FR"/>
        </w:rPr>
        <w:t>e</w:t>
      </w:r>
      <w:r w:rsidR="000B3D81" w:rsidRPr="00494098">
        <w:rPr>
          <w:lang w:val="fr-FR"/>
        </w:rPr>
        <w:t>s</w:t>
      </w:r>
      <w:r w:rsidRPr="00494098">
        <w:rPr>
          <w:lang w:val="fr-FR"/>
        </w:rPr>
        <w:t xml:space="preserve"> transports et </w:t>
      </w:r>
      <w:r w:rsidR="000B3D81" w:rsidRPr="00494098">
        <w:rPr>
          <w:lang w:val="fr-FR"/>
        </w:rPr>
        <w:t>les</w:t>
      </w:r>
      <w:r w:rsidR="00396309" w:rsidRPr="00494098">
        <w:rPr>
          <w:lang w:val="fr-FR"/>
        </w:rPr>
        <w:t xml:space="preserve"> </w:t>
      </w:r>
      <w:r w:rsidRPr="00494098">
        <w:rPr>
          <w:lang w:val="fr-FR"/>
        </w:rPr>
        <w:t>thérapies</w:t>
      </w:r>
      <w:r w:rsidR="00396309" w:rsidRPr="00494098">
        <w:rPr>
          <w:lang w:val="fr-FR"/>
        </w:rPr>
        <w:t xml:space="preserve"> de différentes catégories</w:t>
      </w:r>
      <w:r w:rsidRPr="00494098">
        <w:rPr>
          <w:lang w:val="fr-FR"/>
        </w:rPr>
        <w:t>.</w:t>
      </w:r>
    </w:p>
    <w:p w14:paraId="4A3FADA9" w14:textId="77777777" w:rsidR="00077B75" w:rsidRPr="00494098" w:rsidRDefault="00077B75" w:rsidP="00480570">
      <w:pPr>
        <w:pStyle w:val="SingleTxtG"/>
        <w:rPr>
          <w:lang w:val="fr-FR"/>
        </w:rPr>
      </w:pPr>
      <w:r w:rsidRPr="00494098">
        <w:rPr>
          <w:lang w:val="fr-FR"/>
        </w:rPr>
        <w:t>181.</w:t>
      </w:r>
      <w:r w:rsidRPr="00494098">
        <w:rPr>
          <w:lang w:val="fr-FR"/>
        </w:rPr>
        <w:tab/>
        <w:t xml:space="preserve">Il faut également signaler </w:t>
      </w:r>
      <w:r w:rsidR="006E2F48" w:rsidRPr="00494098">
        <w:rPr>
          <w:lang w:val="fr-FR"/>
        </w:rPr>
        <w:t>la disponibilité d’</w:t>
      </w:r>
      <w:r w:rsidRPr="00494098">
        <w:rPr>
          <w:lang w:val="fr-FR"/>
        </w:rPr>
        <w:t xml:space="preserve">un ensemble d’interventions spécialisées, en particulier sur l’autisme, les handicaps multiples, la surdité, </w:t>
      </w:r>
      <w:r w:rsidR="006E2F48" w:rsidRPr="00494098">
        <w:rPr>
          <w:lang w:val="fr-FR"/>
        </w:rPr>
        <w:t xml:space="preserve">la </w:t>
      </w:r>
      <w:r w:rsidRPr="00494098">
        <w:rPr>
          <w:lang w:val="fr-FR"/>
        </w:rPr>
        <w:t>cécité, la déficience visuelle</w:t>
      </w:r>
      <w:r w:rsidR="006E2F48" w:rsidRPr="00494098">
        <w:rPr>
          <w:lang w:val="fr-FR"/>
        </w:rPr>
        <w:t xml:space="preserve">, ainsi que </w:t>
      </w:r>
      <w:r w:rsidR="00D514E1" w:rsidRPr="00494098">
        <w:rPr>
          <w:lang w:val="fr-FR"/>
        </w:rPr>
        <w:t>l</w:t>
      </w:r>
      <w:r w:rsidRPr="00494098">
        <w:rPr>
          <w:lang w:val="fr-FR"/>
        </w:rPr>
        <w:t>es interventions destinées à la petite enfance.</w:t>
      </w:r>
    </w:p>
    <w:p w14:paraId="07F5FF45" w14:textId="77777777" w:rsidR="00077B75" w:rsidRPr="00494098" w:rsidRDefault="00077B75" w:rsidP="00480570">
      <w:pPr>
        <w:pStyle w:val="SingleTxtG"/>
        <w:rPr>
          <w:lang w:val="fr-FR"/>
        </w:rPr>
      </w:pPr>
      <w:r w:rsidRPr="00494098">
        <w:rPr>
          <w:lang w:val="fr-FR"/>
        </w:rPr>
        <w:t>182.</w:t>
      </w:r>
      <w:r w:rsidRPr="00494098">
        <w:rPr>
          <w:lang w:val="fr-FR"/>
        </w:rPr>
        <w:tab/>
        <w:t xml:space="preserve">En outre, des mesures visant à éliminer les obstacles et la </w:t>
      </w:r>
      <w:r w:rsidRPr="00494098">
        <w:rPr>
          <w:lang w:val="fr-FR"/>
        </w:rPr>
        <w:lastRenderedPageBreak/>
        <w:t>ségrégation</w:t>
      </w:r>
      <w:r w:rsidR="006E2F48" w:rsidRPr="00494098">
        <w:rPr>
          <w:lang w:val="fr-FR"/>
        </w:rPr>
        <w:t>,</w:t>
      </w:r>
      <w:r w:rsidRPr="00494098">
        <w:rPr>
          <w:lang w:val="fr-FR"/>
        </w:rPr>
        <w:t xml:space="preserve"> et à promouvoir l’inclusion et la réussite scolaire, ont été mises en </w:t>
      </w:r>
      <w:r w:rsidR="00D264B0" w:rsidRPr="00494098">
        <w:rPr>
          <w:lang w:val="fr-FR"/>
        </w:rPr>
        <w:t>œuvr</w:t>
      </w:r>
      <w:r w:rsidRPr="00494098">
        <w:rPr>
          <w:lang w:val="fr-FR"/>
        </w:rPr>
        <w:t xml:space="preserve">e, </w:t>
      </w:r>
      <w:r w:rsidR="00D514E1" w:rsidRPr="00494098">
        <w:rPr>
          <w:lang w:val="fr-FR"/>
        </w:rPr>
        <w:t>avec</w:t>
      </w:r>
      <w:r w:rsidR="00090CBF" w:rsidRPr="00494098">
        <w:rPr>
          <w:lang w:val="fr-FR"/>
        </w:rPr>
        <w:t> :</w:t>
      </w:r>
    </w:p>
    <w:p w14:paraId="034EB4F7" w14:textId="77777777" w:rsidR="00077B75" w:rsidRPr="00494098" w:rsidRDefault="00112210" w:rsidP="00112210">
      <w:pPr>
        <w:pStyle w:val="Bullet1G"/>
        <w:numPr>
          <w:ilvl w:val="0"/>
          <w:numId w:val="0"/>
        </w:numPr>
        <w:tabs>
          <w:tab w:val="left" w:pos="1701"/>
        </w:tabs>
        <w:ind w:left="1701" w:hanging="170"/>
        <w:rPr>
          <w:lang w:val="fr-FR"/>
        </w:rPr>
      </w:pPr>
      <w:r w:rsidRPr="00494098">
        <w:rPr>
          <w:lang w:val="fr-FR"/>
        </w:rPr>
        <w:t>•</w:t>
      </w:r>
      <w:r w:rsidRPr="00494098">
        <w:rPr>
          <w:lang w:val="fr-FR"/>
        </w:rPr>
        <w:tab/>
        <w:t>L</w:t>
      </w:r>
      <w:r w:rsidR="006E2F48" w:rsidRPr="00494098">
        <w:rPr>
          <w:lang w:val="fr-FR"/>
        </w:rPr>
        <w:t xml:space="preserve">’affectation </w:t>
      </w:r>
      <w:r w:rsidRPr="00494098">
        <w:rPr>
          <w:lang w:val="fr-FR"/>
        </w:rPr>
        <w:t>d</w:t>
      </w:r>
      <w:r w:rsidR="006E2F48" w:rsidRPr="00494098">
        <w:rPr>
          <w:lang w:val="fr-FR"/>
        </w:rPr>
        <w:t>’</w:t>
      </w:r>
      <w:r w:rsidRPr="00494098">
        <w:rPr>
          <w:lang w:val="fr-FR"/>
        </w:rPr>
        <w:t xml:space="preserve">enseignants et de spécialistes </w:t>
      </w:r>
      <w:r w:rsidR="006E2F48" w:rsidRPr="00494098">
        <w:rPr>
          <w:lang w:val="fr-FR"/>
        </w:rPr>
        <w:t>des</w:t>
      </w:r>
      <w:r w:rsidRPr="00494098">
        <w:rPr>
          <w:lang w:val="fr-FR"/>
        </w:rPr>
        <w:t xml:space="preserve"> besoins </w:t>
      </w:r>
      <w:r w:rsidR="006821B7" w:rsidRPr="00494098">
        <w:rPr>
          <w:lang w:val="fr-FR"/>
        </w:rPr>
        <w:t xml:space="preserve">éducatifs </w:t>
      </w:r>
      <w:r w:rsidR="006E2F48" w:rsidRPr="00494098">
        <w:rPr>
          <w:lang w:val="fr-FR"/>
        </w:rPr>
        <w:t>particuliers</w:t>
      </w:r>
      <w:r w:rsidRPr="00494098">
        <w:rPr>
          <w:lang w:val="fr-FR"/>
        </w:rPr>
        <w:t xml:space="preserve"> </w:t>
      </w:r>
      <w:r w:rsidR="00D514E1" w:rsidRPr="00494098">
        <w:rPr>
          <w:lang w:val="fr-FR"/>
        </w:rPr>
        <w:t>à</w:t>
      </w:r>
      <w:r w:rsidRPr="00494098">
        <w:rPr>
          <w:lang w:val="fr-FR"/>
        </w:rPr>
        <w:t xml:space="preserve"> presque toutes les écoles ordinaires, pour apporter un soutien aux élèves ayant, à long terme, </w:t>
      </w:r>
      <w:r w:rsidR="006E2F48" w:rsidRPr="00494098">
        <w:rPr>
          <w:lang w:val="fr-FR"/>
        </w:rPr>
        <w:t xml:space="preserve">ces types de </w:t>
      </w:r>
      <w:r w:rsidRPr="00494098">
        <w:rPr>
          <w:lang w:val="fr-FR"/>
        </w:rPr>
        <w:t>besoins</w:t>
      </w:r>
      <w:r w:rsidR="006717A5" w:rsidRPr="00494098">
        <w:rPr>
          <w:lang w:val="fr-FR"/>
        </w:rPr>
        <w:t>;</w:t>
      </w:r>
    </w:p>
    <w:p w14:paraId="7D81125C" w14:textId="77777777" w:rsidR="00077B75" w:rsidRPr="00494098" w:rsidRDefault="00112210" w:rsidP="00112210">
      <w:pPr>
        <w:pStyle w:val="Bullet1G"/>
        <w:numPr>
          <w:ilvl w:val="0"/>
          <w:numId w:val="0"/>
        </w:numPr>
        <w:tabs>
          <w:tab w:val="left" w:pos="1701"/>
        </w:tabs>
        <w:ind w:left="1701" w:hanging="170"/>
        <w:rPr>
          <w:lang w:val="fr-FR"/>
        </w:rPr>
      </w:pPr>
      <w:r w:rsidRPr="00494098">
        <w:rPr>
          <w:lang w:val="fr-FR"/>
        </w:rPr>
        <w:t>•</w:t>
      </w:r>
      <w:r w:rsidRPr="00494098">
        <w:rPr>
          <w:lang w:val="fr-FR"/>
        </w:rPr>
        <w:tab/>
        <w:t>Le soutien aux enfants de 0 à 6</w:t>
      </w:r>
      <w:r w:rsidR="006E2F48" w:rsidRPr="00494098">
        <w:rPr>
          <w:lang w:val="fr-FR"/>
        </w:rPr>
        <w:t> </w:t>
      </w:r>
      <w:r w:rsidRPr="00494098">
        <w:rPr>
          <w:lang w:val="fr-FR"/>
        </w:rPr>
        <w:t>ans au titre du Système national d’intervention pour la petite enfance</w:t>
      </w:r>
      <w:r w:rsidR="006717A5" w:rsidRPr="00494098">
        <w:rPr>
          <w:lang w:val="fr-FR"/>
        </w:rPr>
        <w:t> ;</w:t>
      </w:r>
    </w:p>
    <w:p w14:paraId="5BAA6130" w14:textId="77777777" w:rsidR="00077B75" w:rsidRPr="00494098" w:rsidRDefault="00112210" w:rsidP="00112210">
      <w:pPr>
        <w:pStyle w:val="Bullet1G"/>
        <w:numPr>
          <w:ilvl w:val="0"/>
          <w:numId w:val="0"/>
        </w:numPr>
        <w:tabs>
          <w:tab w:val="left" w:pos="1701"/>
        </w:tabs>
        <w:ind w:left="1701" w:hanging="170"/>
        <w:rPr>
          <w:lang w:val="fr-FR"/>
        </w:rPr>
      </w:pPr>
      <w:r w:rsidRPr="00494098">
        <w:rPr>
          <w:lang w:val="fr-FR"/>
        </w:rPr>
        <w:t>•</w:t>
      </w:r>
      <w:r w:rsidRPr="00494098">
        <w:rPr>
          <w:lang w:val="fr-FR"/>
        </w:rPr>
        <w:tab/>
        <w:t>Des conditions spéciales d'inscription et de fréquentation scolaire pour les enfants qui ont des besoins particuliers, auxquels est accordée une priorité d’inscription et qui peuvent fréquenter un jardin d’enfants ou une école indépendamment du secteur où ils habitent</w:t>
      </w:r>
      <w:r w:rsidR="006717A5" w:rsidRPr="00494098">
        <w:rPr>
          <w:lang w:val="fr-FR"/>
        </w:rPr>
        <w:t> ;</w:t>
      </w:r>
    </w:p>
    <w:p w14:paraId="325F5278" w14:textId="77777777" w:rsidR="00077B75" w:rsidRPr="00494098" w:rsidRDefault="00112210" w:rsidP="00112210">
      <w:pPr>
        <w:pStyle w:val="Bullet1G"/>
        <w:numPr>
          <w:ilvl w:val="0"/>
          <w:numId w:val="0"/>
        </w:numPr>
        <w:tabs>
          <w:tab w:val="left" w:pos="1701"/>
        </w:tabs>
        <w:ind w:left="1701" w:hanging="170"/>
        <w:rPr>
          <w:lang w:val="fr-FR"/>
        </w:rPr>
      </w:pPr>
      <w:r w:rsidRPr="00494098">
        <w:rPr>
          <w:lang w:val="fr-FR"/>
        </w:rPr>
        <w:t>•</w:t>
      </w:r>
      <w:r w:rsidRPr="00494098">
        <w:rPr>
          <w:lang w:val="fr-FR"/>
        </w:rPr>
        <w:tab/>
        <w:t>La création d’un réseau national de 25</w:t>
      </w:r>
      <w:r w:rsidR="00A802CF" w:rsidRPr="00494098">
        <w:rPr>
          <w:lang w:val="fr-FR"/>
        </w:rPr>
        <w:t> </w:t>
      </w:r>
      <w:r w:rsidRPr="00494098">
        <w:rPr>
          <w:lang w:val="fr-FR"/>
        </w:rPr>
        <w:t>Centres de ressources informatiques pour les besoins éducatifs particuliers</w:t>
      </w:r>
      <w:r w:rsidR="006717A5" w:rsidRPr="00494098">
        <w:rPr>
          <w:lang w:val="fr-FR"/>
        </w:rPr>
        <w:t> ;</w:t>
      </w:r>
      <w:r w:rsidRPr="00494098">
        <w:rPr>
          <w:lang w:val="fr-FR"/>
        </w:rPr>
        <w:t xml:space="preserve"> </w:t>
      </w:r>
    </w:p>
    <w:p w14:paraId="0DEB8BE1" w14:textId="77777777" w:rsidR="00077B75" w:rsidRPr="00494098" w:rsidRDefault="00112210" w:rsidP="00112210">
      <w:pPr>
        <w:pStyle w:val="Bullet1G"/>
        <w:numPr>
          <w:ilvl w:val="0"/>
          <w:numId w:val="0"/>
        </w:numPr>
        <w:tabs>
          <w:tab w:val="left" w:pos="1701"/>
        </w:tabs>
        <w:ind w:left="1701" w:hanging="170"/>
        <w:rPr>
          <w:lang w:val="fr-FR"/>
        </w:rPr>
      </w:pPr>
      <w:r w:rsidRPr="00494098">
        <w:rPr>
          <w:lang w:val="fr-FR"/>
        </w:rPr>
        <w:t>•</w:t>
      </w:r>
      <w:r w:rsidRPr="00494098">
        <w:rPr>
          <w:lang w:val="fr-FR"/>
        </w:rPr>
        <w:tab/>
        <w:t>La mise en place d’un Système d’attribution des produits de soutien</w:t>
      </w:r>
      <w:r w:rsidR="00A802CF" w:rsidRPr="00494098">
        <w:rPr>
          <w:lang w:val="fr-FR"/>
        </w:rPr>
        <w:t>,</w:t>
      </w:r>
      <w:r w:rsidRPr="00494098">
        <w:rPr>
          <w:lang w:val="fr-FR"/>
        </w:rPr>
        <w:t xml:space="preserve"> visant à </w:t>
      </w:r>
      <w:r w:rsidR="00A802CF" w:rsidRPr="00494098">
        <w:rPr>
          <w:lang w:val="fr-FR"/>
        </w:rPr>
        <w:t xml:space="preserve">appliquer aux personnes handicapées </w:t>
      </w:r>
      <w:r w:rsidRPr="00494098">
        <w:rPr>
          <w:lang w:val="fr-FR"/>
        </w:rPr>
        <w:t>une politique générale, intégrée et de grande portée</w:t>
      </w:r>
      <w:r w:rsidR="00A802CF" w:rsidRPr="00494098">
        <w:rPr>
          <w:lang w:val="fr-FR"/>
        </w:rPr>
        <w:t xml:space="preserve">, </w:t>
      </w:r>
      <w:r w:rsidRPr="00494098">
        <w:rPr>
          <w:lang w:val="fr-FR"/>
        </w:rPr>
        <w:t xml:space="preserve">afin de </w:t>
      </w:r>
      <w:r w:rsidR="00A802CF" w:rsidRPr="00494098">
        <w:rPr>
          <w:lang w:val="fr-FR"/>
        </w:rPr>
        <w:t xml:space="preserve">compenser </w:t>
      </w:r>
      <w:r w:rsidRPr="00494098">
        <w:rPr>
          <w:lang w:val="fr-FR"/>
        </w:rPr>
        <w:t xml:space="preserve">et atténuer les </w:t>
      </w:r>
      <w:r w:rsidR="00A802CF" w:rsidRPr="00494098">
        <w:rPr>
          <w:lang w:val="fr-FR"/>
        </w:rPr>
        <w:t xml:space="preserve">contraintes </w:t>
      </w:r>
      <w:r w:rsidRPr="00494098">
        <w:rPr>
          <w:lang w:val="fr-FR"/>
        </w:rPr>
        <w:t>résultant de l</w:t>
      </w:r>
      <w:r w:rsidR="00A802CF" w:rsidRPr="00494098">
        <w:rPr>
          <w:lang w:val="fr-FR"/>
        </w:rPr>
        <w:t>eur</w:t>
      </w:r>
      <w:r w:rsidRPr="00494098">
        <w:rPr>
          <w:lang w:val="fr-FR"/>
        </w:rPr>
        <w:t xml:space="preserve"> invalidité ou de leur handicap, via un soutien gratuit et universel.</w:t>
      </w:r>
    </w:p>
    <w:p w14:paraId="2061F8C1" w14:textId="77777777" w:rsidR="00077B75" w:rsidRPr="00494098" w:rsidRDefault="00112210" w:rsidP="00112210">
      <w:pPr>
        <w:pStyle w:val="Bullet1G"/>
        <w:numPr>
          <w:ilvl w:val="0"/>
          <w:numId w:val="0"/>
        </w:numPr>
        <w:tabs>
          <w:tab w:val="left" w:pos="1701"/>
        </w:tabs>
        <w:ind w:left="1701" w:hanging="170"/>
        <w:rPr>
          <w:lang w:val="fr-FR"/>
        </w:rPr>
      </w:pPr>
      <w:r w:rsidRPr="00494098">
        <w:rPr>
          <w:lang w:val="fr-FR"/>
        </w:rPr>
        <w:t>•</w:t>
      </w:r>
      <w:r w:rsidRPr="00494098">
        <w:rPr>
          <w:lang w:val="fr-FR"/>
        </w:rPr>
        <w:tab/>
      </w:r>
      <w:r w:rsidR="002308DF" w:rsidRPr="00494098">
        <w:rPr>
          <w:lang w:val="fr-FR"/>
        </w:rPr>
        <w:t>La c</w:t>
      </w:r>
      <w:r w:rsidRPr="00494098">
        <w:rPr>
          <w:lang w:val="fr-FR"/>
        </w:rPr>
        <w:t>réation d’un réseau national de 90</w:t>
      </w:r>
      <w:r w:rsidR="002308DF" w:rsidRPr="00494098">
        <w:rPr>
          <w:lang w:val="fr-FR"/>
        </w:rPr>
        <w:t> </w:t>
      </w:r>
      <w:r w:rsidRPr="00494098">
        <w:rPr>
          <w:lang w:val="fr-FR"/>
        </w:rPr>
        <w:t xml:space="preserve">Centres de ressources pour l’inclusion, conçus pour faciliter l’inclusion des enfants et </w:t>
      </w:r>
      <w:r w:rsidRPr="00494098">
        <w:rPr>
          <w:lang w:val="fr-FR"/>
        </w:rPr>
        <w:lastRenderedPageBreak/>
        <w:t>des jeune</w:t>
      </w:r>
      <w:r w:rsidR="002308DF" w:rsidRPr="00494098">
        <w:rPr>
          <w:lang w:val="fr-FR"/>
        </w:rPr>
        <w:t>s</w:t>
      </w:r>
      <w:r w:rsidRPr="00494098">
        <w:rPr>
          <w:lang w:val="fr-FR"/>
        </w:rPr>
        <w:t xml:space="preserve"> handicapés, en coordination avec les regroupements d’écoles</w:t>
      </w:r>
      <w:r w:rsidR="006717A5" w:rsidRPr="00494098">
        <w:rPr>
          <w:lang w:val="fr-FR"/>
        </w:rPr>
        <w:t> ;</w:t>
      </w:r>
    </w:p>
    <w:p w14:paraId="6990B890" w14:textId="77777777" w:rsidR="00077B75" w:rsidRPr="00494098" w:rsidRDefault="00112210" w:rsidP="00112210">
      <w:pPr>
        <w:pStyle w:val="Bullet1G"/>
        <w:numPr>
          <w:ilvl w:val="0"/>
          <w:numId w:val="0"/>
        </w:numPr>
        <w:tabs>
          <w:tab w:val="left" w:pos="1701"/>
        </w:tabs>
        <w:ind w:left="1701" w:hanging="170"/>
        <w:rPr>
          <w:lang w:val="fr-FR"/>
        </w:rPr>
      </w:pPr>
      <w:r w:rsidRPr="00494098">
        <w:rPr>
          <w:lang w:val="fr-FR"/>
        </w:rPr>
        <w:t>•</w:t>
      </w:r>
      <w:r w:rsidRPr="00494098">
        <w:rPr>
          <w:lang w:val="fr-FR"/>
        </w:rPr>
        <w:tab/>
      </w:r>
      <w:r w:rsidR="002308DF" w:rsidRPr="00494098">
        <w:rPr>
          <w:lang w:val="fr-FR"/>
        </w:rPr>
        <w:t>La p</w:t>
      </w:r>
      <w:r w:rsidRPr="00494098">
        <w:rPr>
          <w:lang w:val="fr-FR"/>
        </w:rPr>
        <w:t>romulgation de l’ordonnance n°</w:t>
      </w:r>
      <w:r w:rsidR="00D514E1" w:rsidRPr="00494098">
        <w:rPr>
          <w:lang w:val="fr-FR"/>
        </w:rPr>
        <w:t> </w:t>
      </w:r>
      <w:r w:rsidRPr="00494098">
        <w:rPr>
          <w:lang w:val="fr-FR"/>
        </w:rPr>
        <w:t>201–C2015 du 10</w:t>
      </w:r>
      <w:r w:rsidR="00B34673" w:rsidRPr="00494098">
        <w:rPr>
          <w:lang w:val="fr-FR"/>
        </w:rPr>
        <w:t> juillet</w:t>
      </w:r>
      <w:r w:rsidRPr="00494098">
        <w:rPr>
          <w:lang w:val="fr-FR"/>
        </w:rPr>
        <w:t xml:space="preserve"> 2015, réglementant l’enseignement dispensé aux élèves âgés de 15</w:t>
      </w:r>
      <w:r w:rsidR="002308DF" w:rsidRPr="00494098">
        <w:rPr>
          <w:lang w:val="fr-FR"/>
        </w:rPr>
        <w:t> </w:t>
      </w:r>
      <w:r w:rsidRPr="00494098">
        <w:rPr>
          <w:lang w:val="fr-FR"/>
        </w:rPr>
        <w:t>ans ou plus, avec un programme spécifique pour la transition vers la vie postscolaire</w:t>
      </w:r>
      <w:r w:rsidR="006717A5" w:rsidRPr="00494098">
        <w:rPr>
          <w:lang w:val="fr-FR"/>
        </w:rPr>
        <w:t> ;</w:t>
      </w:r>
    </w:p>
    <w:p w14:paraId="70054BD8" w14:textId="77777777" w:rsidR="00077B75" w:rsidRPr="00494098" w:rsidRDefault="00112210" w:rsidP="00112210">
      <w:pPr>
        <w:pStyle w:val="Bullet1G"/>
        <w:numPr>
          <w:ilvl w:val="0"/>
          <w:numId w:val="0"/>
        </w:numPr>
        <w:tabs>
          <w:tab w:val="left" w:pos="1701"/>
        </w:tabs>
        <w:ind w:left="1701" w:hanging="170"/>
        <w:rPr>
          <w:lang w:val="fr-FR"/>
        </w:rPr>
      </w:pPr>
      <w:r w:rsidRPr="00494098">
        <w:rPr>
          <w:lang w:val="fr-FR"/>
        </w:rPr>
        <w:t>•</w:t>
      </w:r>
      <w:r w:rsidRPr="00494098">
        <w:rPr>
          <w:lang w:val="fr-FR"/>
        </w:rPr>
        <w:tab/>
        <w:t>L'adaptation (</w:t>
      </w:r>
      <w:r w:rsidR="006821B7" w:rsidRPr="00494098">
        <w:rPr>
          <w:lang w:val="fr-FR"/>
        </w:rPr>
        <w:t>en B</w:t>
      </w:r>
      <w:r w:rsidR="00BE5381" w:rsidRPr="00494098">
        <w:rPr>
          <w:lang w:val="fr-FR"/>
        </w:rPr>
        <w:t>raille</w:t>
      </w:r>
      <w:r w:rsidRPr="00494098">
        <w:rPr>
          <w:lang w:val="fr-FR"/>
        </w:rPr>
        <w:t xml:space="preserve">, </w:t>
      </w:r>
      <w:r w:rsidR="00BE5381" w:rsidRPr="00494098">
        <w:rPr>
          <w:lang w:val="fr-FR"/>
        </w:rPr>
        <w:t>DAISY</w:t>
      </w:r>
      <w:r w:rsidRPr="00494098">
        <w:rPr>
          <w:lang w:val="fr-FR"/>
        </w:rPr>
        <w:t xml:space="preserve"> et </w:t>
      </w:r>
      <w:r w:rsidR="00BD3C28" w:rsidRPr="00494098">
        <w:rPr>
          <w:lang w:val="fr-FR"/>
        </w:rPr>
        <w:t>PDF</w:t>
      </w:r>
      <w:r w:rsidRPr="00494098">
        <w:rPr>
          <w:lang w:val="fr-FR"/>
        </w:rPr>
        <w:t>) et la distribution des manuels scolaires pour l’enseignement primaire et secondaire</w:t>
      </w:r>
      <w:r w:rsidR="002308DF" w:rsidRPr="00494098">
        <w:rPr>
          <w:lang w:val="fr-FR"/>
        </w:rPr>
        <w:t>,</w:t>
      </w:r>
      <w:r w:rsidRPr="00494098">
        <w:rPr>
          <w:lang w:val="fr-FR"/>
        </w:rPr>
        <w:t xml:space="preserve"> </w:t>
      </w:r>
      <w:r w:rsidR="00D514E1" w:rsidRPr="00494098">
        <w:rPr>
          <w:lang w:val="fr-FR"/>
        </w:rPr>
        <w:t xml:space="preserve">avec la </w:t>
      </w:r>
      <w:r w:rsidRPr="00494098">
        <w:rPr>
          <w:lang w:val="fr-FR"/>
        </w:rPr>
        <w:t xml:space="preserve">garantie </w:t>
      </w:r>
      <w:r w:rsidR="00D514E1" w:rsidRPr="00494098">
        <w:rPr>
          <w:lang w:val="fr-FR"/>
        </w:rPr>
        <w:t>d</w:t>
      </w:r>
      <w:r w:rsidRPr="00494098">
        <w:rPr>
          <w:lang w:val="fr-FR"/>
        </w:rPr>
        <w:t>es services centraux du Ministère de l’éducation</w:t>
      </w:r>
      <w:r w:rsidR="006717A5" w:rsidRPr="00494098">
        <w:rPr>
          <w:lang w:val="fr-FR"/>
        </w:rPr>
        <w:t> ;</w:t>
      </w:r>
    </w:p>
    <w:p w14:paraId="163B8E04" w14:textId="77777777" w:rsidR="00077B75" w:rsidRPr="00494098" w:rsidRDefault="00112210" w:rsidP="00112210">
      <w:pPr>
        <w:pStyle w:val="Bullet1G"/>
        <w:numPr>
          <w:ilvl w:val="0"/>
          <w:numId w:val="0"/>
        </w:numPr>
        <w:tabs>
          <w:tab w:val="left" w:pos="1701"/>
        </w:tabs>
        <w:ind w:left="1701" w:hanging="170"/>
        <w:rPr>
          <w:lang w:val="fr-FR"/>
        </w:rPr>
      </w:pPr>
      <w:r w:rsidRPr="00494098">
        <w:rPr>
          <w:lang w:val="fr-FR"/>
        </w:rPr>
        <w:t>•</w:t>
      </w:r>
      <w:r w:rsidRPr="00494098">
        <w:rPr>
          <w:lang w:val="fr-FR"/>
        </w:rPr>
        <w:tab/>
        <w:t xml:space="preserve">La distribution </w:t>
      </w:r>
      <w:r w:rsidR="002308DF" w:rsidRPr="00494098">
        <w:rPr>
          <w:lang w:val="fr-FR"/>
        </w:rPr>
        <w:t xml:space="preserve">aux bibliothèques scolaires, par les services centraux du Ministère de l’éducation, </w:t>
      </w:r>
      <w:r w:rsidRPr="00494098">
        <w:rPr>
          <w:lang w:val="fr-FR"/>
        </w:rPr>
        <w:t xml:space="preserve">de livres conformes </w:t>
      </w:r>
      <w:r w:rsidR="002308DF" w:rsidRPr="00494098">
        <w:rPr>
          <w:lang w:val="fr-FR"/>
        </w:rPr>
        <w:t>aux principes de</w:t>
      </w:r>
      <w:r w:rsidRPr="00494098">
        <w:rPr>
          <w:lang w:val="fr-FR"/>
        </w:rPr>
        <w:t xml:space="preserve"> la conception universelle</w:t>
      </w:r>
      <w:r w:rsidR="006717A5" w:rsidRPr="00494098">
        <w:rPr>
          <w:lang w:val="fr-FR"/>
        </w:rPr>
        <w:t>;</w:t>
      </w:r>
    </w:p>
    <w:p w14:paraId="05C3DC57" w14:textId="77777777" w:rsidR="00077B75" w:rsidRPr="00494098" w:rsidRDefault="00112210" w:rsidP="00112210">
      <w:pPr>
        <w:pStyle w:val="Bullet1G"/>
        <w:numPr>
          <w:ilvl w:val="0"/>
          <w:numId w:val="0"/>
        </w:numPr>
        <w:tabs>
          <w:tab w:val="left" w:pos="1701"/>
        </w:tabs>
        <w:ind w:left="1701" w:hanging="170"/>
        <w:rPr>
          <w:lang w:val="fr-FR"/>
        </w:rPr>
      </w:pPr>
      <w:r w:rsidRPr="00494098">
        <w:rPr>
          <w:lang w:val="fr-FR"/>
        </w:rPr>
        <w:t>•</w:t>
      </w:r>
      <w:r w:rsidRPr="00494098">
        <w:rPr>
          <w:lang w:val="fr-FR"/>
        </w:rPr>
        <w:tab/>
        <w:t xml:space="preserve">L'apport de formes particulières d’éducation aux élèves qui ont besoin de matériels adaptés et de ressources humaines spécialisées, </w:t>
      </w:r>
      <w:r w:rsidR="006821B7" w:rsidRPr="00494098">
        <w:rPr>
          <w:lang w:val="fr-FR"/>
        </w:rPr>
        <w:t xml:space="preserve">afin que les </w:t>
      </w:r>
      <w:r w:rsidRPr="00494098">
        <w:rPr>
          <w:lang w:val="fr-FR"/>
        </w:rPr>
        <w:t xml:space="preserve">écoles ordinaires </w:t>
      </w:r>
      <w:r w:rsidR="006821B7" w:rsidRPr="00494098">
        <w:rPr>
          <w:lang w:val="fr-FR"/>
        </w:rPr>
        <w:t xml:space="preserve">puissent </w:t>
      </w:r>
      <w:r w:rsidRPr="00494098">
        <w:rPr>
          <w:lang w:val="fr-FR"/>
        </w:rPr>
        <w:t>répondre aux besoins particuliers de</w:t>
      </w:r>
      <w:r w:rsidR="00C023B2" w:rsidRPr="00494098">
        <w:rPr>
          <w:lang w:val="fr-FR"/>
        </w:rPr>
        <w:t xml:space="preserve"> ce</w:t>
      </w:r>
      <w:r w:rsidRPr="00494098">
        <w:rPr>
          <w:lang w:val="fr-FR"/>
        </w:rPr>
        <w:t>s élèves, à savoir</w:t>
      </w:r>
      <w:r w:rsidR="00090CBF" w:rsidRPr="00494098">
        <w:rPr>
          <w:lang w:val="fr-FR"/>
        </w:rPr>
        <w:t> :</w:t>
      </w:r>
    </w:p>
    <w:p w14:paraId="45E8A183" w14:textId="77777777" w:rsidR="00077B75" w:rsidRPr="00494098" w:rsidRDefault="00112210" w:rsidP="00112210">
      <w:pPr>
        <w:pStyle w:val="Bullet2G"/>
        <w:numPr>
          <w:ilvl w:val="0"/>
          <w:numId w:val="0"/>
        </w:numPr>
        <w:tabs>
          <w:tab w:val="left" w:pos="2268"/>
        </w:tabs>
        <w:ind w:left="2268" w:hanging="170"/>
        <w:rPr>
          <w:lang w:val="fr-FR"/>
        </w:rPr>
      </w:pPr>
      <w:r w:rsidRPr="00494098">
        <w:rPr>
          <w:lang w:val="fr-FR"/>
        </w:rPr>
        <w:t>•</w:t>
      </w:r>
      <w:r w:rsidRPr="00494098">
        <w:rPr>
          <w:lang w:val="fr-FR"/>
        </w:rPr>
        <w:tab/>
        <w:t>Des écoles de référence pour l’éducation bilingue des élèves sourds</w:t>
      </w:r>
      <w:r w:rsidR="006717A5" w:rsidRPr="00494098">
        <w:rPr>
          <w:lang w:val="fr-FR"/>
        </w:rPr>
        <w:t> ;</w:t>
      </w:r>
    </w:p>
    <w:p w14:paraId="0889095E" w14:textId="77777777" w:rsidR="00077B75" w:rsidRPr="00494098" w:rsidRDefault="00112210" w:rsidP="00112210">
      <w:pPr>
        <w:pStyle w:val="Bullet2G"/>
        <w:numPr>
          <w:ilvl w:val="0"/>
          <w:numId w:val="0"/>
        </w:numPr>
        <w:tabs>
          <w:tab w:val="left" w:pos="2268"/>
        </w:tabs>
        <w:ind w:left="2268" w:hanging="170"/>
        <w:rPr>
          <w:lang w:val="fr-FR"/>
        </w:rPr>
      </w:pPr>
      <w:r w:rsidRPr="00494098">
        <w:rPr>
          <w:lang w:val="fr-FR"/>
        </w:rPr>
        <w:t>•</w:t>
      </w:r>
      <w:r w:rsidRPr="00494098">
        <w:rPr>
          <w:lang w:val="fr-FR"/>
        </w:rPr>
        <w:tab/>
        <w:t>Des écoles de référence pour l’éducation des élèves aveugles et malvoyants</w:t>
      </w:r>
      <w:r w:rsidR="006717A5" w:rsidRPr="00494098">
        <w:rPr>
          <w:lang w:val="fr-FR"/>
        </w:rPr>
        <w:t> ;</w:t>
      </w:r>
    </w:p>
    <w:p w14:paraId="0C390869" w14:textId="77777777" w:rsidR="00077B75" w:rsidRPr="00494098" w:rsidRDefault="00112210" w:rsidP="00112210">
      <w:pPr>
        <w:pStyle w:val="Bullet2G"/>
        <w:numPr>
          <w:ilvl w:val="0"/>
          <w:numId w:val="0"/>
        </w:numPr>
        <w:tabs>
          <w:tab w:val="left" w:pos="2268"/>
        </w:tabs>
        <w:ind w:left="2268" w:hanging="170"/>
        <w:rPr>
          <w:lang w:val="fr-FR"/>
        </w:rPr>
      </w:pPr>
      <w:r w:rsidRPr="00494098">
        <w:rPr>
          <w:lang w:val="fr-FR"/>
        </w:rPr>
        <w:t>•</w:t>
      </w:r>
      <w:r w:rsidRPr="00494098">
        <w:rPr>
          <w:lang w:val="fr-FR"/>
        </w:rPr>
        <w:tab/>
        <w:t xml:space="preserve">Des services spéciaux organisés pour les élèves </w:t>
      </w:r>
      <w:r w:rsidRPr="00494098">
        <w:rPr>
          <w:lang w:val="fr-FR"/>
        </w:rPr>
        <w:lastRenderedPageBreak/>
        <w:t>ayant des troubles du spectre autistique</w:t>
      </w:r>
      <w:r w:rsidR="006717A5" w:rsidRPr="00494098">
        <w:rPr>
          <w:lang w:val="fr-FR"/>
        </w:rPr>
        <w:t> ;</w:t>
      </w:r>
    </w:p>
    <w:p w14:paraId="03044C89" w14:textId="77777777" w:rsidR="00077B75" w:rsidRPr="00494098" w:rsidRDefault="00112210" w:rsidP="00112210">
      <w:pPr>
        <w:pStyle w:val="Bullet2G"/>
        <w:numPr>
          <w:ilvl w:val="0"/>
          <w:numId w:val="0"/>
        </w:numPr>
        <w:tabs>
          <w:tab w:val="left" w:pos="2268"/>
        </w:tabs>
        <w:ind w:left="2268" w:hanging="170"/>
        <w:rPr>
          <w:lang w:val="fr-FR"/>
        </w:rPr>
      </w:pPr>
      <w:r w:rsidRPr="00494098">
        <w:rPr>
          <w:lang w:val="fr-FR"/>
        </w:rPr>
        <w:t>•</w:t>
      </w:r>
      <w:r w:rsidRPr="00494098">
        <w:rPr>
          <w:lang w:val="fr-FR"/>
        </w:rPr>
        <w:tab/>
        <w:t>Des unités spécialisées pour les élèves souffrant de handicaps multiples ou de surdité/cécité congénitale.</w:t>
      </w:r>
    </w:p>
    <w:p w14:paraId="56F8D393" w14:textId="77777777" w:rsidR="00077B75" w:rsidRPr="00494098" w:rsidRDefault="00CA59F7" w:rsidP="00480570">
      <w:pPr>
        <w:pStyle w:val="SingleTxtG"/>
        <w:rPr>
          <w:lang w:val="fr-FR"/>
        </w:rPr>
      </w:pPr>
      <w:r w:rsidRPr="00494098">
        <w:rPr>
          <w:lang w:val="fr-FR"/>
        </w:rPr>
        <w:t>183.</w:t>
      </w:r>
      <w:r w:rsidRPr="00494098">
        <w:rPr>
          <w:lang w:val="fr-FR"/>
        </w:rPr>
        <w:tab/>
        <w:t>D</w:t>
      </w:r>
      <w:r w:rsidR="00077B75" w:rsidRPr="00494098">
        <w:rPr>
          <w:lang w:val="fr-FR"/>
        </w:rPr>
        <w:t xml:space="preserve">es écoles de référence et </w:t>
      </w:r>
      <w:r w:rsidRPr="00494098">
        <w:rPr>
          <w:lang w:val="fr-FR"/>
        </w:rPr>
        <w:t>d</w:t>
      </w:r>
      <w:r w:rsidR="00077B75" w:rsidRPr="00494098">
        <w:rPr>
          <w:lang w:val="fr-FR"/>
        </w:rPr>
        <w:t xml:space="preserve">es unités spécialisées sont créées chaque fois que cela est justifié, en fonction du nombre d’élèves d’une école ou des </w:t>
      </w:r>
      <w:r w:rsidR="0064128C" w:rsidRPr="00494098">
        <w:rPr>
          <w:lang w:val="fr-FR"/>
        </w:rPr>
        <w:t>groupes d’écoles</w:t>
      </w:r>
      <w:r w:rsidR="00077B75" w:rsidRPr="00494098">
        <w:rPr>
          <w:lang w:val="fr-FR"/>
        </w:rPr>
        <w:t xml:space="preserve"> voisines, de la nature des interventions, des équipements et des compétences </w:t>
      </w:r>
      <w:r w:rsidRPr="00494098">
        <w:rPr>
          <w:lang w:val="fr-FR"/>
        </w:rPr>
        <w:t xml:space="preserve">professionnelles </w:t>
      </w:r>
      <w:r w:rsidR="00077B75" w:rsidRPr="00494098">
        <w:rPr>
          <w:lang w:val="fr-FR"/>
        </w:rPr>
        <w:t>nécessaires.</w:t>
      </w:r>
    </w:p>
    <w:p w14:paraId="22D983E6" w14:textId="77777777" w:rsidR="00077B75" w:rsidRPr="00494098" w:rsidRDefault="00077B75" w:rsidP="00480570">
      <w:pPr>
        <w:pStyle w:val="SingleTxtG"/>
        <w:rPr>
          <w:lang w:val="fr-FR"/>
        </w:rPr>
      </w:pPr>
      <w:r w:rsidRPr="00494098">
        <w:rPr>
          <w:lang w:val="fr-FR"/>
        </w:rPr>
        <w:t>184.</w:t>
      </w:r>
      <w:r w:rsidRPr="00494098">
        <w:rPr>
          <w:lang w:val="fr-FR"/>
        </w:rPr>
        <w:tab/>
        <w:t>L’accessibilité est également une priorité d</w:t>
      </w:r>
      <w:r w:rsidR="005F6CCE" w:rsidRPr="00494098">
        <w:rPr>
          <w:lang w:val="fr-FR"/>
        </w:rPr>
        <w:t>e</w:t>
      </w:r>
      <w:r w:rsidRPr="00494098">
        <w:rPr>
          <w:lang w:val="fr-FR"/>
        </w:rPr>
        <w:t xml:space="preserve"> l’éducation inclusive. Un manuel traitant de l’accessibilité dans les écoles est en usage dans les établissements d’enseignement existants et nouveaux</w:t>
      </w:r>
      <w:r w:rsidR="006717A5" w:rsidRPr="00494098">
        <w:rPr>
          <w:lang w:val="fr-FR"/>
        </w:rPr>
        <w:t> ;</w:t>
      </w:r>
      <w:r w:rsidRPr="00494098">
        <w:rPr>
          <w:lang w:val="fr-FR"/>
        </w:rPr>
        <w:t xml:space="preserve"> il traite de questions telles que l’adaptabilité et la souplesse des espaces, la mobilité, l’accès à toutes les parties des écoles</w:t>
      </w:r>
      <w:r w:rsidR="006717A5" w:rsidRPr="00494098">
        <w:rPr>
          <w:lang w:val="fr-FR"/>
        </w:rPr>
        <w:t> ;</w:t>
      </w:r>
      <w:r w:rsidRPr="00494098">
        <w:rPr>
          <w:lang w:val="fr-FR"/>
        </w:rPr>
        <w:t xml:space="preserve"> l</w:t>
      </w:r>
      <w:r w:rsidR="005F6CCE" w:rsidRPr="00494098">
        <w:rPr>
          <w:lang w:val="fr-FR"/>
        </w:rPr>
        <w:t>a bonne qualité de l</w:t>
      </w:r>
      <w:r w:rsidRPr="00494098">
        <w:rPr>
          <w:lang w:val="fr-FR"/>
        </w:rPr>
        <w:t>'éclairage</w:t>
      </w:r>
      <w:r w:rsidR="006717A5" w:rsidRPr="00494098">
        <w:rPr>
          <w:lang w:val="fr-FR"/>
        </w:rPr>
        <w:t> ;</w:t>
      </w:r>
      <w:r w:rsidRPr="00494098">
        <w:rPr>
          <w:lang w:val="fr-FR"/>
        </w:rPr>
        <w:t xml:space="preserve"> l’acoustique et le contrôle du bruit ambiant</w:t>
      </w:r>
      <w:r w:rsidR="006717A5" w:rsidRPr="00494098">
        <w:rPr>
          <w:lang w:val="fr-FR"/>
        </w:rPr>
        <w:t> ;</w:t>
      </w:r>
      <w:r w:rsidRPr="00494098">
        <w:rPr>
          <w:lang w:val="fr-FR"/>
        </w:rPr>
        <w:t xml:space="preserve"> le mobilier et les matériels spécialisés (logiciels spéciaux, claviers adaptés, pointage en braille, etc.)</w:t>
      </w:r>
      <w:r w:rsidR="006717A5" w:rsidRPr="00494098">
        <w:rPr>
          <w:lang w:val="fr-FR"/>
        </w:rPr>
        <w:t> ;</w:t>
      </w:r>
      <w:r w:rsidRPr="00494098">
        <w:rPr>
          <w:lang w:val="fr-FR"/>
        </w:rPr>
        <w:t xml:space="preserve"> la gestion</w:t>
      </w:r>
      <w:r w:rsidR="00D514E1" w:rsidRPr="00494098">
        <w:rPr>
          <w:lang w:val="fr-FR"/>
        </w:rPr>
        <w:t xml:space="preserve"> des conditions d'accessibilité de l’école</w:t>
      </w:r>
      <w:r w:rsidR="005F6CCE" w:rsidRPr="00494098">
        <w:rPr>
          <w:lang w:val="fr-FR"/>
        </w:rPr>
        <w:t xml:space="preserve"> par la direction de l’établissement</w:t>
      </w:r>
      <w:r w:rsidRPr="00494098">
        <w:rPr>
          <w:lang w:val="fr-FR"/>
        </w:rPr>
        <w:t>.</w:t>
      </w:r>
    </w:p>
    <w:p w14:paraId="0DA5E2B4" w14:textId="77777777" w:rsidR="00077B75" w:rsidRPr="00494098" w:rsidRDefault="00077B75" w:rsidP="00480570">
      <w:pPr>
        <w:pStyle w:val="SingleTxtG"/>
        <w:rPr>
          <w:lang w:val="fr-FR"/>
        </w:rPr>
      </w:pPr>
      <w:r w:rsidRPr="00494098">
        <w:rPr>
          <w:lang w:val="fr-FR"/>
        </w:rPr>
        <w:t>185.</w:t>
      </w:r>
      <w:r w:rsidRPr="00494098">
        <w:rPr>
          <w:lang w:val="fr-FR"/>
        </w:rPr>
        <w:tab/>
        <w:t xml:space="preserve">L’accès aux programmes d’études et la participation aux activités scolaires des élèves ayant des besoins éducatifs particuliers sont encouragés par l’adaptation </w:t>
      </w:r>
      <w:r w:rsidR="004567B4" w:rsidRPr="00494098">
        <w:rPr>
          <w:lang w:val="fr-FR"/>
        </w:rPr>
        <w:t xml:space="preserve">dans des formats accessibles </w:t>
      </w:r>
      <w:r w:rsidRPr="00494098">
        <w:rPr>
          <w:lang w:val="fr-FR"/>
        </w:rPr>
        <w:t>et la distribution de manuels scolaires pour l’enseignement primaire et secondaire</w:t>
      </w:r>
      <w:r w:rsidR="006717A5" w:rsidRPr="00494098">
        <w:rPr>
          <w:lang w:val="fr-FR"/>
        </w:rPr>
        <w:t> ;</w:t>
      </w:r>
      <w:r w:rsidRPr="00494098">
        <w:rPr>
          <w:lang w:val="fr-FR"/>
        </w:rPr>
        <w:t xml:space="preserve"> </w:t>
      </w:r>
      <w:r w:rsidR="001D3863" w:rsidRPr="00494098">
        <w:rPr>
          <w:lang w:val="fr-FR"/>
        </w:rPr>
        <w:t xml:space="preserve">il faut citer aussi </w:t>
      </w:r>
      <w:r w:rsidRPr="00494098">
        <w:rPr>
          <w:lang w:val="fr-FR"/>
        </w:rPr>
        <w:t>l’évaluation des besoins e</w:t>
      </w:r>
      <w:r w:rsidR="00BE5381" w:rsidRPr="00494098">
        <w:rPr>
          <w:lang w:val="fr-FR"/>
        </w:rPr>
        <w:t>n</w:t>
      </w:r>
      <w:r w:rsidRPr="00494098">
        <w:rPr>
          <w:lang w:val="fr-FR"/>
        </w:rPr>
        <w:t xml:space="preserve"> technologies d’assistance</w:t>
      </w:r>
      <w:r w:rsidR="006717A5" w:rsidRPr="00494098">
        <w:rPr>
          <w:lang w:val="fr-FR"/>
        </w:rPr>
        <w:t> ;</w:t>
      </w:r>
      <w:r w:rsidRPr="00494098">
        <w:rPr>
          <w:lang w:val="fr-FR"/>
        </w:rPr>
        <w:t xml:space="preserve"> l'attribution des produits </w:t>
      </w:r>
      <w:r w:rsidRPr="00494098">
        <w:rPr>
          <w:lang w:val="fr-FR"/>
        </w:rPr>
        <w:lastRenderedPageBreak/>
        <w:t xml:space="preserve">de soutien pour bénéficier des programmes scolaires par l’intermédiaire du système national SAPA </w:t>
      </w:r>
      <w:r w:rsidR="001D3863" w:rsidRPr="00494098">
        <w:rPr>
          <w:lang w:val="fr-FR"/>
        </w:rPr>
        <w:t>(</w:t>
      </w:r>
      <w:r w:rsidRPr="00494098">
        <w:rPr>
          <w:lang w:val="fr-FR"/>
        </w:rPr>
        <w:t>Système d’attribution des produits de soutien</w:t>
      </w:r>
      <w:r w:rsidR="001D3863" w:rsidRPr="00494098">
        <w:rPr>
          <w:lang w:val="fr-FR"/>
        </w:rPr>
        <w:t>)</w:t>
      </w:r>
      <w:r w:rsidR="006717A5" w:rsidRPr="00494098">
        <w:rPr>
          <w:lang w:val="fr-FR"/>
        </w:rPr>
        <w:t> ;</w:t>
      </w:r>
      <w:r w:rsidRPr="00494098">
        <w:rPr>
          <w:lang w:val="fr-FR"/>
        </w:rPr>
        <w:t xml:space="preserve"> l’octroi aux élèves aveugles de licences d'utilisation </w:t>
      </w:r>
      <w:r w:rsidR="00BE5381" w:rsidRPr="00494098">
        <w:rPr>
          <w:lang w:val="fr-FR"/>
        </w:rPr>
        <w:t xml:space="preserve">gratuites </w:t>
      </w:r>
      <w:r w:rsidRPr="00494098">
        <w:rPr>
          <w:lang w:val="fr-FR"/>
        </w:rPr>
        <w:t xml:space="preserve">du logiciel </w:t>
      </w:r>
      <w:r w:rsidRPr="00494098">
        <w:rPr>
          <w:i/>
          <w:lang w:val="fr-FR"/>
        </w:rPr>
        <w:t>Easy Reader</w:t>
      </w:r>
      <w:r w:rsidRPr="00494098">
        <w:rPr>
          <w:lang w:val="fr-FR"/>
        </w:rPr>
        <w:t xml:space="preserve"> et </w:t>
      </w:r>
      <w:r w:rsidR="001D3863" w:rsidRPr="00494098">
        <w:rPr>
          <w:lang w:val="fr-FR"/>
        </w:rPr>
        <w:t xml:space="preserve">la lecture </w:t>
      </w:r>
      <w:r w:rsidRPr="00494098">
        <w:rPr>
          <w:lang w:val="fr-FR"/>
        </w:rPr>
        <w:t xml:space="preserve">de livres audio au format </w:t>
      </w:r>
      <w:r w:rsidR="00BE5381" w:rsidRPr="00494098">
        <w:rPr>
          <w:lang w:val="fr-FR"/>
        </w:rPr>
        <w:t>DAISY</w:t>
      </w:r>
      <w:r w:rsidR="006717A5" w:rsidRPr="00494098">
        <w:rPr>
          <w:lang w:val="fr-FR"/>
        </w:rPr>
        <w:t> ;</w:t>
      </w:r>
      <w:r w:rsidRPr="00494098">
        <w:rPr>
          <w:lang w:val="fr-FR"/>
        </w:rPr>
        <w:t xml:space="preserve"> ou </w:t>
      </w:r>
      <w:r w:rsidR="004567B4" w:rsidRPr="00494098">
        <w:rPr>
          <w:lang w:val="fr-FR"/>
        </w:rPr>
        <w:t xml:space="preserve">encore </w:t>
      </w:r>
      <w:r w:rsidRPr="00494098">
        <w:rPr>
          <w:lang w:val="fr-FR"/>
        </w:rPr>
        <w:t>les activités de formation au sein des Centres de ressources informatiques pour les élèves ayant des besoins éducatifs particuliers</w:t>
      </w:r>
      <w:r w:rsidR="00BE5381" w:rsidRPr="00494098">
        <w:rPr>
          <w:lang w:val="fr-FR"/>
        </w:rPr>
        <w:t>,</w:t>
      </w:r>
      <w:r w:rsidRPr="00494098">
        <w:rPr>
          <w:lang w:val="fr-FR"/>
        </w:rPr>
        <w:t xml:space="preserve"> afin de promouvoir l’accessibilité des pages Web scolaires et l’utilisation des technologies d’assistance par les enseignants et les élèves.</w:t>
      </w:r>
    </w:p>
    <w:p w14:paraId="2FF6C631" w14:textId="77777777" w:rsidR="00077B75" w:rsidRPr="00494098" w:rsidRDefault="00077B75" w:rsidP="00480570">
      <w:pPr>
        <w:pStyle w:val="SingleTxtG"/>
        <w:rPr>
          <w:lang w:val="fr-FR"/>
        </w:rPr>
      </w:pPr>
      <w:r w:rsidRPr="00494098">
        <w:rPr>
          <w:lang w:val="fr-FR"/>
        </w:rPr>
        <w:t>186.</w:t>
      </w:r>
      <w:r w:rsidRPr="00494098">
        <w:rPr>
          <w:lang w:val="fr-FR"/>
        </w:rPr>
        <w:tab/>
      </w:r>
      <w:r w:rsidR="007264DB" w:rsidRPr="00494098">
        <w:rPr>
          <w:lang w:val="fr-FR"/>
        </w:rPr>
        <w:t>Ont également été mises en place d</w:t>
      </w:r>
      <w:r w:rsidRPr="00494098">
        <w:rPr>
          <w:lang w:val="fr-FR"/>
        </w:rPr>
        <w:t xml:space="preserve">es incitations à la </w:t>
      </w:r>
      <w:r w:rsidR="00BD3C28" w:rsidRPr="00494098">
        <w:rPr>
          <w:lang w:val="fr-FR"/>
        </w:rPr>
        <w:t xml:space="preserve">conception </w:t>
      </w:r>
      <w:r w:rsidRPr="00494098">
        <w:rPr>
          <w:lang w:val="fr-FR"/>
        </w:rPr>
        <w:t xml:space="preserve">de projets et d’initiatives en partenariat avec des écoles et des organisations non gouvernementales, </w:t>
      </w:r>
      <w:r w:rsidR="004567B4" w:rsidRPr="00494098">
        <w:rPr>
          <w:lang w:val="fr-FR"/>
        </w:rPr>
        <w:t xml:space="preserve">comme </w:t>
      </w:r>
      <w:r w:rsidRPr="00494098">
        <w:rPr>
          <w:lang w:val="fr-FR"/>
        </w:rPr>
        <w:t>la publication de livres pour enfants dans la conception universelle et leur distribution par les bibliothèques scolaires à partir du Réseau de bibliothèques scolaires</w:t>
      </w:r>
      <w:r w:rsidR="007264DB" w:rsidRPr="00494098">
        <w:rPr>
          <w:lang w:val="fr-FR"/>
        </w:rPr>
        <w:t xml:space="preserve">, ainsi que </w:t>
      </w:r>
      <w:r w:rsidRPr="00494098">
        <w:rPr>
          <w:lang w:val="fr-FR"/>
        </w:rPr>
        <w:t>de</w:t>
      </w:r>
      <w:r w:rsidR="007264DB" w:rsidRPr="00494098">
        <w:rPr>
          <w:lang w:val="fr-FR"/>
        </w:rPr>
        <w:t>s</w:t>
      </w:r>
      <w:r w:rsidRPr="00494098">
        <w:rPr>
          <w:lang w:val="fr-FR"/>
        </w:rPr>
        <w:t xml:space="preserve"> projets inclusifs dans celles-ci, </w:t>
      </w:r>
      <w:r w:rsidR="007264DB" w:rsidRPr="00494098">
        <w:rPr>
          <w:lang w:val="fr-FR"/>
        </w:rPr>
        <w:t xml:space="preserve">l’objectif étant d’élaborer </w:t>
      </w:r>
      <w:r w:rsidRPr="00494098">
        <w:rPr>
          <w:lang w:val="fr-FR"/>
        </w:rPr>
        <w:t>de</w:t>
      </w:r>
      <w:r w:rsidR="007264DB" w:rsidRPr="00494098">
        <w:rPr>
          <w:lang w:val="fr-FR"/>
        </w:rPr>
        <w:t>s</w:t>
      </w:r>
      <w:r w:rsidRPr="00494098">
        <w:rPr>
          <w:lang w:val="fr-FR"/>
        </w:rPr>
        <w:t xml:space="preserve"> matériels de lecture dans des formats accessibles.</w:t>
      </w:r>
    </w:p>
    <w:p w14:paraId="291E257C" w14:textId="77777777" w:rsidR="00077B75" w:rsidRPr="00494098" w:rsidRDefault="00077B75" w:rsidP="00480570">
      <w:pPr>
        <w:pStyle w:val="SingleTxtG"/>
        <w:rPr>
          <w:lang w:val="fr-FR"/>
        </w:rPr>
      </w:pPr>
      <w:r w:rsidRPr="00494098">
        <w:rPr>
          <w:lang w:val="fr-FR"/>
        </w:rPr>
        <w:t>187.</w:t>
      </w:r>
      <w:r w:rsidRPr="00494098">
        <w:rPr>
          <w:lang w:val="fr-FR"/>
        </w:rPr>
        <w:tab/>
        <w:t>L</w:t>
      </w:r>
      <w:r w:rsidR="00BD3C28" w:rsidRPr="00494098">
        <w:rPr>
          <w:lang w:val="fr-FR"/>
        </w:rPr>
        <w:t>es écoles publiques ont adopté d</w:t>
      </w:r>
      <w:r w:rsidRPr="00494098">
        <w:rPr>
          <w:lang w:val="fr-FR"/>
        </w:rPr>
        <w:t xml:space="preserve">es mesures </w:t>
      </w:r>
      <w:r w:rsidR="00BD3C28" w:rsidRPr="00494098">
        <w:rPr>
          <w:lang w:val="fr-FR"/>
        </w:rPr>
        <w:t xml:space="preserve">dans le cadre de la </w:t>
      </w:r>
      <w:r w:rsidRPr="00494098">
        <w:rPr>
          <w:lang w:val="fr-FR"/>
        </w:rPr>
        <w:t>politique d'inclusion, parmi lesquelles</w:t>
      </w:r>
      <w:r w:rsidR="004567B4" w:rsidRPr="00494098">
        <w:rPr>
          <w:lang w:val="fr-FR"/>
        </w:rPr>
        <w:t xml:space="preserve"> d</w:t>
      </w:r>
      <w:r w:rsidR="00823890" w:rsidRPr="00494098">
        <w:rPr>
          <w:lang w:val="fr-FR"/>
        </w:rPr>
        <w:t xml:space="preserve">es financements annuels </w:t>
      </w:r>
      <w:r w:rsidR="00BD3C28" w:rsidRPr="00494098">
        <w:rPr>
          <w:lang w:val="fr-FR"/>
        </w:rPr>
        <w:t>pour</w:t>
      </w:r>
      <w:r w:rsidR="009E483A" w:rsidRPr="00494098">
        <w:rPr>
          <w:lang w:val="fr-FR"/>
        </w:rPr>
        <w:t> </w:t>
      </w:r>
      <w:r w:rsidRPr="00494098">
        <w:rPr>
          <w:lang w:val="fr-FR"/>
        </w:rPr>
        <w:t>:</w:t>
      </w:r>
    </w:p>
    <w:p w14:paraId="0490DE2B" w14:textId="77777777" w:rsidR="00077B75" w:rsidRPr="00494098" w:rsidRDefault="00112210" w:rsidP="00112210">
      <w:pPr>
        <w:pStyle w:val="Bullet1G"/>
        <w:numPr>
          <w:ilvl w:val="0"/>
          <w:numId w:val="0"/>
        </w:numPr>
        <w:tabs>
          <w:tab w:val="left" w:pos="1701"/>
        </w:tabs>
        <w:ind w:left="1701" w:hanging="170"/>
        <w:rPr>
          <w:lang w:val="fr-FR"/>
        </w:rPr>
      </w:pPr>
      <w:r w:rsidRPr="00494098">
        <w:rPr>
          <w:lang w:val="fr-FR"/>
        </w:rPr>
        <w:t>•</w:t>
      </w:r>
      <w:r w:rsidRPr="00494098">
        <w:rPr>
          <w:lang w:val="fr-FR"/>
        </w:rPr>
        <w:tab/>
      </w:r>
      <w:r w:rsidR="00BD3C28" w:rsidRPr="00494098">
        <w:rPr>
          <w:lang w:val="fr-FR"/>
        </w:rPr>
        <w:t>L</w:t>
      </w:r>
      <w:r w:rsidRPr="00494098">
        <w:rPr>
          <w:lang w:val="fr-FR"/>
        </w:rPr>
        <w:t>e fonctionnement de 25</w:t>
      </w:r>
      <w:r w:rsidR="009E483A" w:rsidRPr="00494098">
        <w:rPr>
          <w:lang w:val="fr-FR"/>
        </w:rPr>
        <w:t> </w:t>
      </w:r>
      <w:r w:rsidRPr="00494098">
        <w:rPr>
          <w:lang w:val="fr-FR"/>
        </w:rPr>
        <w:t xml:space="preserve">Centres de ressources informatiques </w:t>
      </w:r>
      <w:r w:rsidR="00BD3C28" w:rsidRPr="00494098">
        <w:rPr>
          <w:lang w:val="fr-FR"/>
        </w:rPr>
        <w:t xml:space="preserve">destinés aux </w:t>
      </w:r>
      <w:r w:rsidRPr="00494098">
        <w:rPr>
          <w:lang w:val="fr-FR"/>
        </w:rPr>
        <w:t>besoins éducatifs particuliers. Ces centres évaluent les besoins des élèves en technologies d</w:t>
      </w:r>
      <w:r w:rsidR="00BD3C28" w:rsidRPr="00494098">
        <w:rPr>
          <w:lang w:val="fr-FR"/>
        </w:rPr>
        <w:t>’assistance </w:t>
      </w:r>
      <w:r w:rsidR="006717A5" w:rsidRPr="00494098">
        <w:rPr>
          <w:lang w:val="fr-FR"/>
        </w:rPr>
        <w:t>;</w:t>
      </w:r>
    </w:p>
    <w:p w14:paraId="44A7BC1C" w14:textId="77777777" w:rsidR="00077B75" w:rsidRPr="00494098" w:rsidRDefault="00112210" w:rsidP="00112210">
      <w:pPr>
        <w:pStyle w:val="Bullet1G"/>
        <w:numPr>
          <w:ilvl w:val="0"/>
          <w:numId w:val="0"/>
        </w:numPr>
        <w:tabs>
          <w:tab w:val="left" w:pos="1701"/>
        </w:tabs>
        <w:ind w:left="1701" w:hanging="170"/>
        <w:rPr>
          <w:lang w:val="fr-FR"/>
        </w:rPr>
      </w:pPr>
      <w:r w:rsidRPr="00494098">
        <w:rPr>
          <w:lang w:val="fr-FR"/>
        </w:rPr>
        <w:t>•</w:t>
      </w:r>
      <w:r w:rsidRPr="00494098">
        <w:rPr>
          <w:lang w:val="fr-FR"/>
        </w:rPr>
        <w:tab/>
      </w:r>
      <w:r w:rsidR="00BD3C28" w:rsidRPr="00494098">
        <w:rPr>
          <w:lang w:val="fr-FR"/>
        </w:rPr>
        <w:t>L</w:t>
      </w:r>
      <w:r w:rsidR="009E483A" w:rsidRPr="00494098">
        <w:rPr>
          <w:lang w:val="fr-FR"/>
        </w:rPr>
        <w:t>’</w:t>
      </w:r>
      <w:r w:rsidRPr="00494098">
        <w:rPr>
          <w:lang w:val="fr-FR"/>
        </w:rPr>
        <w:t xml:space="preserve">appui </w:t>
      </w:r>
      <w:r w:rsidR="009E483A" w:rsidRPr="00494098">
        <w:rPr>
          <w:lang w:val="fr-FR"/>
        </w:rPr>
        <w:t>aux</w:t>
      </w:r>
      <w:r w:rsidRPr="00494098">
        <w:rPr>
          <w:lang w:val="fr-FR"/>
        </w:rPr>
        <w:t xml:space="preserve"> technologies d’assistance pour les élèves ayant des besoins </w:t>
      </w:r>
      <w:r w:rsidRPr="00494098">
        <w:rPr>
          <w:lang w:val="fr-FR"/>
        </w:rPr>
        <w:lastRenderedPageBreak/>
        <w:t>particuliers et qui fréquentent l’école publique</w:t>
      </w:r>
      <w:r w:rsidR="006717A5" w:rsidRPr="00494098">
        <w:rPr>
          <w:lang w:val="fr-FR"/>
        </w:rPr>
        <w:t> ;</w:t>
      </w:r>
    </w:p>
    <w:p w14:paraId="71E8699E" w14:textId="77777777" w:rsidR="00077B75" w:rsidRPr="00494098" w:rsidRDefault="00112210" w:rsidP="00112210">
      <w:pPr>
        <w:pStyle w:val="Bullet1G"/>
        <w:numPr>
          <w:ilvl w:val="0"/>
          <w:numId w:val="0"/>
        </w:numPr>
        <w:tabs>
          <w:tab w:val="left" w:pos="1701"/>
        </w:tabs>
        <w:ind w:left="1701" w:hanging="170"/>
        <w:rPr>
          <w:lang w:val="fr-FR"/>
        </w:rPr>
      </w:pPr>
      <w:r w:rsidRPr="00494098">
        <w:rPr>
          <w:lang w:val="fr-FR"/>
        </w:rPr>
        <w:t>•</w:t>
      </w:r>
      <w:r w:rsidRPr="00494098">
        <w:rPr>
          <w:lang w:val="fr-FR"/>
        </w:rPr>
        <w:tab/>
      </w:r>
      <w:r w:rsidR="00BD3C28" w:rsidRPr="00494098">
        <w:rPr>
          <w:lang w:val="fr-FR"/>
        </w:rPr>
        <w:t>L</w:t>
      </w:r>
      <w:r w:rsidRPr="00494098">
        <w:rPr>
          <w:lang w:val="fr-FR"/>
        </w:rPr>
        <w:t>’adaptation et la distribution</w:t>
      </w:r>
      <w:r w:rsidR="00BD3C28" w:rsidRPr="00494098">
        <w:rPr>
          <w:lang w:val="fr-FR"/>
        </w:rPr>
        <w:t>, par les services centraux du Ministère de l’éducation et des sciences</w:t>
      </w:r>
      <w:r w:rsidR="004567B4" w:rsidRPr="00494098">
        <w:rPr>
          <w:lang w:val="fr-FR"/>
        </w:rPr>
        <w:t>,</w:t>
      </w:r>
      <w:r w:rsidRPr="00494098">
        <w:rPr>
          <w:lang w:val="fr-FR"/>
        </w:rPr>
        <w:t xml:space="preserve"> de manuels scolaires pour l’enseignement primaire et secondaire dans des formats accessibles (</w:t>
      </w:r>
      <w:r w:rsidR="00BE5381" w:rsidRPr="00494098">
        <w:rPr>
          <w:lang w:val="fr-FR"/>
        </w:rPr>
        <w:t>braille</w:t>
      </w:r>
      <w:r w:rsidRPr="00494098">
        <w:rPr>
          <w:lang w:val="fr-FR"/>
        </w:rPr>
        <w:t xml:space="preserve">, </w:t>
      </w:r>
      <w:r w:rsidR="00BE5381" w:rsidRPr="00494098">
        <w:rPr>
          <w:lang w:val="fr-FR"/>
        </w:rPr>
        <w:t>DAISY</w:t>
      </w:r>
      <w:r w:rsidRPr="00494098">
        <w:rPr>
          <w:lang w:val="fr-FR"/>
        </w:rPr>
        <w:t xml:space="preserve"> et </w:t>
      </w:r>
      <w:r w:rsidR="00BD3C28" w:rsidRPr="00494098">
        <w:rPr>
          <w:lang w:val="fr-FR"/>
        </w:rPr>
        <w:t>PDF</w:t>
      </w:r>
      <w:r w:rsidRPr="00494098">
        <w:rPr>
          <w:lang w:val="fr-FR"/>
        </w:rPr>
        <w:t>)</w:t>
      </w:r>
      <w:r w:rsidR="006717A5" w:rsidRPr="00494098">
        <w:rPr>
          <w:lang w:val="fr-FR"/>
        </w:rPr>
        <w:t> ;</w:t>
      </w:r>
    </w:p>
    <w:p w14:paraId="7C28BE5E" w14:textId="77777777" w:rsidR="00077B75" w:rsidRPr="00494098" w:rsidRDefault="00112210" w:rsidP="00112210">
      <w:pPr>
        <w:pStyle w:val="Bullet1G"/>
        <w:numPr>
          <w:ilvl w:val="0"/>
          <w:numId w:val="0"/>
        </w:numPr>
        <w:tabs>
          <w:tab w:val="left" w:pos="1701"/>
        </w:tabs>
        <w:ind w:left="1701" w:hanging="170"/>
        <w:rPr>
          <w:lang w:val="fr-FR"/>
        </w:rPr>
      </w:pPr>
      <w:r w:rsidRPr="00494098">
        <w:rPr>
          <w:lang w:val="fr-FR"/>
        </w:rPr>
        <w:t>•</w:t>
      </w:r>
      <w:r w:rsidRPr="00494098">
        <w:rPr>
          <w:lang w:val="fr-FR"/>
        </w:rPr>
        <w:tab/>
      </w:r>
      <w:r w:rsidR="00BD3C28" w:rsidRPr="00494098">
        <w:rPr>
          <w:lang w:val="fr-FR"/>
        </w:rPr>
        <w:t>L</w:t>
      </w:r>
      <w:r w:rsidRPr="00494098">
        <w:rPr>
          <w:lang w:val="fr-FR"/>
        </w:rPr>
        <w:t>a distribution de livres en conception universelle, pour les bibliothèques scolaires</w:t>
      </w:r>
      <w:r w:rsidR="006717A5" w:rsidRPr="00494098">
        <w:rPr>
          <w:lang w:val="fr-FR"/>
        </w:rPr>
        <w:t> ;</w:t>
      </w:r>
    </w:p>
    <w:p w14:paraId="421C129C" w14:textId="77777777" w:rsidR="00077B75" w:rsidRPr="00494098" w:rsidRDefault="00112210" w:rsidP="00112210">
      <w:pPr>
        <w:pStyle w:val="Bullet1G"/>
        <w:numPr>
          <w:ilvl w:val="0"/>
          <w:numId w:val="0"/>
        </w:numPr>
        <w:tabs>
          <w:tab w:val="left" w:pos="1701"/>
        </w:tabs>
        <w:ind w:left="1701" w:hanging="170"/>
        <w:rPr>
          <w:lang w:val="fr-FR"/>
        </w:rPr>
      </w:pPr>
      <w:r w:rsidRPr="00494098">
        <w:rPr>
          <w:lang w:val="fr-FR"/>
        </w:rPr>
        <w:t>•</w:t>
      </w:r>
      <w:r w:rsidRPr="00494098">
        <w:rPr>
          <w:lang w:val="fr-FR"/>
        </w:rPr>
        <w:tab/>
      </w:r>
      <w:r w:rsidR="00BD3C28" w:rsidRPr="00494098">
        <w:rPr>
          <w:lang w:val="fr-FR"/>
        </w:rPr>
        <w:t>L</w:t>
      </w:r>
      <w:r w:rsidRPr="00494098">
        <w:rPr>
          <w:lang w:val="fr-FR"/>
        </w:rPr>
        <w:t xml:space="preserve">es plans d’action présentés par les groupes scolaires et les Centres de ressources pour l’inclusion. Ces Centres apportent </w:t>
      </w:r>
      <w:r w:rsidR="00740794" w:rsidRPr="00494098">
        <w:rPr>
          <w:lang w:val="fr-FR"/>
        </w:rPr>
        <w:t xml:space="preserve">aux écoles d’enseignement ordinaires </w:t>
      </w:r>
      <w:r w:rsidRPr="00494098">
        <w:rPr>
          <w:lang w:val="fr-FR"/>
        </w:rPr>
        <w:t xml:space="preserve">des services spécialisés </w:t>
      </w:r>
      <w:r w:rsidR="00740794" w:rsidRPr="00494098">
        <w:rPr>
          <w:lang w:val="fr-FR"/>
        </w:rPr>
        <w:t xml:space="preserve">destinés aux </w:t>
      </w:r>
      <w:r w:rsidRPr="00494098">
        <w:rPr>
          <w:lang w:val="fr-FR"/>
        </w:rPr>
        <w:t xml:space="preserve">élèves ayant des besoins éducatifs </w:t>
      </w:r>
      <w:r w:rsidR="00740794" w:rsidRPr="00494098">
        <w:rPr>
          <w:lang w:val="fr-FR"/>
        </w:rPr>
        <w:t>particuliers</w:t>
      </w:r>
      <w:r w:rsidRPr="00494098">
        <w:rPr>
          <w:lang w:val="fr-FR"/>
        </w:rPr>
        <w:t xml:space="preserve">, </w:t>
      </w:r>
      <w:r w:rsidR="00740794" w:rsidRPr="00494098">
        <w:rPr>
          <w:lang w:val="fr-FR"/>
        </w:rPr>
        <w:t xml:space="preserve">aux </w:t>
      </w:r>
      <w:r w:rsidRPr="00494098">
        <w:rPr>
          <w:lang w:val="fr-FR"/>
        </w:rPr>
        <w:t xml:space="preserve">enseignants et </w:t>
      </w:r>
      <w:r w:rsidR="00740794" w:rsidRPr="00494098">
        <w:rPr>
          <w:lang w:val="fr-FR"/>
        </w:rPr>
        <w:t>aux</w:t>
      </w:r>
      <w:r w:rsidRPr="00494098">
        <w:rPr>
          <w:lang w:val="fr-FR"/>
        </w:rPr>
        <w:t xml:space="preserve"> familles, et assurent les activités correspondant à la mise en </w:t>
      </w:r>
      <w:r w:rsidR="00D264B0" w:rsidRPr="00494098">
        <w:rPr>
          <w:lang w:val="fr-FR"/>
        </w:rPr>
        <w:t>œuvr</w:t>
      </w:r>
      <w:r w:rsidRPr="00494098">
        <w:rPr>
          <w:lang w:val="fr-FR"/>
        </w:rPr>
        <w:t>e des Plans individuels de transition</w:t>
      </w:r>
      <w:r w:rsidR="006717A5" w:rsidRPr="00494098">
        <w:rPr>
          <w:lang w:val="fr-FR"/>
        </w:rPr>
        <w:t> ;</w:t>
      </w:r>
    </w:p>
    <w:p w14:paraId="4A02CB41" w14:textId="77777777" w:rsidR="00077B75" w:rsidRPr="00494098" w:rsidRDefault="00112210" w:rsidP="00112210">
      <w:pPr>
        <w:pStyle w:val="Bullet1G"/>
        <w:numPr>
          <w:ilvl w:val="0"/>
          <w:numId w:val="0"/>
        </w:numPr>
        <w:tabs>
          <w:tab w:val="left" w:pos="1701"/>
        </w:tabs>
        <w:ind w:left="1701" w:hanging="170"/>
        <w:rPr>
          <w:lang w:val="fr-FR"/>
        </w:rPr>
      </w:pPr>
      <w:r w:rsidRPr="00494098">
        <w:rPr>
          <w:lang w:val="fr-FR"/>
        </w:rPr>
        <w:t>•</w:t>
      </w:r>
      <w:r w:rsidRPr="00494098">
        <w:rPr>
          <w:lang w:val="fr-FR"/>
        </w:rPr>
        <w:tab/>
      </w:r>
      <w:r w:rsidR="00BD3C28" w:rsidRPr="00494098">
        <w:rPr>
          <w:lang w:val="fr-FR"/>
        </w:rPr>
        <w:t>L</w:t>
      </w:r>
      <w:r w:rsidRPr="00494098">
        <w:rPr>
          <w:lang w:val="fr-FR"/>
        </w:rPr>
        <w:t xml:space="preserve">e fonctionnement des unités spécialisées de soutien à l’éducation des élèves polyhandicapés </w:t>
      </w:r>
      <w:r w:rsidR="00BD3C28" w:rsidRPr="00494098">
        <w:rPr>
          <w:lang w:val="fr-FR"/>
        </w:rPr>
        <w:t xml:space="preserve">ou </w:t>
      </w:r>
      <w:r w:rsidRPr="00494098">
        <w:rPr>
          <w:lang w:val="fr-FR"/>
        </w:rPr>
        <w:t xml:space="preserve">des sourds-aveugles, ainsi que les unités d'enseignement structuré </w:t>
      </w:r>
      <w:r w:rsidR="00740794" w:rsidRPr="00494098">
        <w:rPr>
          <w:lang w:val="fr-FR"/>
        </w:rPr>
        <w:t xml:space="preserve">consacrées à </w:t>
      </w:r>
      <w:r w:rsidRPr="00494098">
        <w:rPr>
          <w:lang w:val="fr-FR"/>
        </w:rPr>
        <w:t>l'éducation des élèves ayant des trouble</w:t>
      </w:r>
      <w:r w:rsidR="00740794" w:rsidRPr="00494098">
        <w:rPr>
          <w:lang w:val="fr-FR"/>
        </w:rPr>
        <w:t>s</w:t>
      </w:r>
      <w:r w:rsidRPr="00494098">
        <w:rPr>
          <w:lang w:val="fr-FR"/>
        </w:rPr>
        <w:t xml:space="preserve"> du spectre de l'autisme.</w:t>
      </w:r>
    </w:p>
    <w:p w14:paraId="683C5B9F" w14:textId="77777777" w:rsidR="00077B75" w:rsidRPr="00494098" w:rsidRDefault="00077B75" w:rsidP="00480570">
      <w:pPr>
        <w:pStyle w:val="SingleTxtG"/>
        <w:rPr>
          <w:lang w:val="fr-FR"/>
        </w:rPr>
      </w:pPr>
      <w:r w:rsidRPr="00494098">
        <w:rPr>
          <w:lang w:val="fr-FR"/>
        </w:rPr>
        <w:t>188.</w:t>
      </w:r>
      <w:r w:rsidRPr="00494098">
        <w:rPr>
          <w:lang w:val="fr-FR"/>
        </w:rPr>
        <w:tab/>
        <w:t xml:space="preserve">Au cours de la période considérée, </w:t>
      </w:r>
      <w:r w:rsidR="00EB6786" w:rsidRPr="00494098">
        <w:rPr>
          <w:lang w:val="fr-FR"/>
        </w:rPr>
        <w:t xml:space="preserve">le </w:t>
      </w:r>
      <w:r w:rsidRPr="00494098">
        <w:rPr>
          <w:lang w:val="fr-FR"/>
        </w:rPr>
        <w:t>nombre d</w:t>
      </w:r>
      <w:r w:rsidR="00823890" w:rsidRPr="00494098">
        <w:rPr>
          <w:lang w:val="fr-FR"/>
        </w:rPr>
        <w:t>’enfants et de</w:t>
      </w:r>
      <w:r w:rsidRPr="00494098">
        <w:rPr>
          <w:lang w:val="fr-FR"/>
        </w:rPr>
        <w:t xml:space="preserve"> jeunes </w:t>
      </w:r>
      <w:r w:rsidR="00823890" w:rsidRPr="00494098">
        <w:rPr>
          <w:lang w:val="fr-FR"/>
        </w:rPr>
        <w:t xml:space="preserve">concernés par </w:t>
      </w:r>
      <w:r w:rsidRPr="00494098">
        <w:rPr>
          <w:lang w:val="fr-FR"/>
        </w:rPr>
        <w:t xml:space="preserve">les accords </w:t>
      </w:r>
      <w:r w:rsidR="00823890" w:rsidRPr="00494098">
        <w:rPr>
          <w:lang w:val="fr-FR"/>
        </w:rPr>
        <w:t xml:space="preserve">au titre </w:t>
      </w:r>
      <w:r w:rsidRPr="00494098">
        <w:rPr>
          <w:lang w:val="fr-FR"/>
        </w:rPr>
        <w:t>de la réponse sociale</w:t>
      </w:r>
      <w:r w:rsidR="00EB6786" w:rsidRPr="00494098">
        <w:rPr>
          <w:lang w:val="fr-FR"/>
        </w:rPr>
        <w:t>,</w:t>
      </w:r>
      <w:r w:rsidR="00823890" w:rsidRPr="00494098">
        <w:rPr>
          <w:lang w:val="fr-FR"/>
        </w:rPr>
        <w:t xml:space="preserve"> consistant en des </w:t>
      </w:r>
      <w:r w:rsidRPr="00494098">
        <w:rPr>
          <w:lang w:val="fr-FR"/>
        </w:rPr>
        <w:t xml:space="preserve">interventions précoces chez l’enfant, </w:t>
      </w:r>
      <w:r w:rsidR="00EB6786" w:rsidRPr="00494098">
        <w:rPr>
          <w:lang w:val="fr-FR"/>
        </w:rPr>
        <w:t xml:space="preserve">a augmenté, tandis le </w:t>
      </w:r>
      <w:r w:rsidR="00823890" w:rsidRPr="00494098">
        <w:rPr>
          <w:lang w:val="fr-FR"/>
        </w:rPr>
        <w:t xml:space="preserve">recours aux </w:t>
      </w:r>
      <w:r w:rsidRPr="00494098">
        <w:rPr>
          <w:lang w:val="fr-FR"/>
        </w:rPr>
        <w:t xml:space="preserve">foyers de protection </w:t>
      </w:r>
      <w:r w:rsidR="00EB6786" w:rsidRPr="00494098">
        <w:rPr>
          <w:lang w:val="fr-FR"/>
        </w:rPr>
        <w:t xml:space="preserve">diminuait et </w:t>
      </w:r>
      <w:r w:rsidR="00EB6786" w:rsidRPr="00494098">
        <w:rPr>
          <w:lang w:val="fr-FR"/>
        </w:rPr>
        <w:lastRenderedPageBreak/>
        <w:t xml:space="preserve">que le </w:t>
      </w:r>
      <w:r w:rsidRPr="00494098">
        <w:rPr>
          <w:lang w:val="fr-FR"/>
        </w:rPr>
        <w:t xml:space="preserve">nombre d’enfants et de jeunes </w:t>
      </w:r>
      <w:r w:rsidR="00823890" w:rsidRPr="00494098">
        <w:rPr>
          <w:lang w:val="fr-FR"/>
        </w:rPr>
        <w:t xml:space="preserve">concernés </w:t>
      </w:r>
      <w:r w:rsidRPr="00494098">
        <w:rPr>
          <w:lang w:val="fr-FR"/>
        </w:rPr>
        <w:t>par les accord</w:t>
      </w:r>
      <w:r w:rsidR="00687D8D" w:rsidRPr="00494098">
        <w:rPr>
          <w:lang w:val="fr-FR"/>
        </w:rPr>
        <w:t xml:space="preserve">s de coopération en matière de </w:t>
      </w:r>
      <w:r w:rsidRPr="00494098">
        <w:rPr>
          <w:lang w:val="fr-FR"/>
        </w:rPr>
        <w:t xml:space="preserve">transport des personnes handicapées </w:t>
      </w:r>
      <w:r w:rsidR="00EB6786" w:rsidRPr="00494098">
        <w:rPr>
          <w:lang w:val="fr-FR"/>
        </w:rPr>
        <w:t xml:space="preserve">se stabilisait </w:t>
      </w:r>
      <w:r w:rsidRPr="00494098">
        <w:rPr>
          <w:lang w:val="fr-FR"/>
        </w:rPr>
        <w:t xml:space="preserve">(voir </w:t>
      </w:r>
      <w:r w:rsidR="003B4E18" w:rsidRPr="00494098">
        <w:rPr>
          <w:lang w:val="fr-FR"/>
        </w:rPr>
        <w:t>tableau 1</w:t>
      </w:r>
      <w:r w:rsidRPr="00494098">
        <w:rPr>
          <w:lang w:val="fr-FR"/>
        </w:rPr>
        <w:t xml:space="preserve">4, </w:t>
      </w:r>
      <w:r w:rsidR="003B4E18" w:rsidRPr="00494098">
        <w:rPr>
          <w:lang w:val="fr-FR"/>
        </w:rPr>
        <w:t>annexe 1</w:t>
      </w:r>
      <w:r w:rsidRPr="00494098">
        <w:rPr>
          <w:lang w:val="fr-FR"/>
        </w:rPr>
        <w:t>).</w:t>
      </w:r>
    </w:p>
    <w:p w14:paraId="6E93C8E3" w14:textId="77777777" w:rsidR="00077B75" w:rsidRPr="00494098" w:rsidRDefault="00077B75" w:rsidP="00480570">
      <w:pPr>
        <w:pStyle w:val="SingleTxtG"/>
        <w:rPr>
          <w:lang w:val="fr-FR"/>
        </w:rPr>
      </w:pPr>
      <w:r w:rsidRPr="00494098">
        <w:rPr>
          <w:lang w:val="fr-FR"/>
        </w:rPr>
        <w:t>189.</w:t>
      </w:r>
      <w:r w:rsidRPr="00494098">
        <w:rPr>
          <w:lang w:val="fr-FR"/>
        </w:rPr>
        <w:tab/>
        <w:t>En 2015, 234</w:t>
      </w:r>
      <w:r w:rsidR="003D5B1A" w:rsidRPr="00494098">
        <w:rPr>
          <w:lang w:val="fr-FR"/>
        </w:rPr>
        <w:t> </w:t>
      </w:r>
      <w:r w:rsidRPr="00494098">
        <w:rPr>
          <w:lang w:val="fr-FR"/>
        </w:rPr>
        <w:t>projets de loisirs ont été élaborés par des ONG travaillant sur le handicap</w:t>
      </w:r>
      <w:r w:rsidR="00EB6786" w:rsidRPr="00494098">
        <w:rPr>
          <w:lang w:val="fr-FR"/>
        </w:rPr>
        <w:t>,</w:t>
      </w:r>
      <w:r w:rsidRPr="00494098">
        <w:rPr>
          <w:lang w:val="fr-FR"/>
        </w:rPr>
        <w:t xml:space="preserve"> et financés par l’Institut national de rééducation</w:t>
      </w:r>
      <w:r w:rsidR="003D5B1A" w:rsidRPr="00494098">
        <w:rPr>
          <w:lang w:val="fr-FR"/>
        </w:rPr>
        <w:t xml:space="preserve"> (I</w:t>
      </w:r>
      <w:r w:rsidRPr="00494098">
        <w:rPr>
          <w:lang w:val="fr-FR"/>
        </w:rPr>
        <w:t xml:space="preserve">nfrastructures du </w:t>
      </w:r>
      <w:r w:rsidR="003D5B1A" w:rsidRPr="00494098">
        <w:rPr>
          <w:lang w:val="fr-FR"/>
        </w:rPr>
        <w:t>Portugal)</w:t>
      </w:r>
      <w:r w:rsidRPr="00494098">
        <w:rPr>
          <w:lang w:val="fr-FR"/>
        </w:rPr>
        <w:t>, pour un montant total de 685</w:t>
      </w:r>
      <w:r w:rsidR="003D5B1A" w:rsidRPr="00494098">
        <w:rPr>
          <w:lang w:val="fr-FR"/>
        </w:rPr>
        <w:t> </w:t>
      </w:r>
      <w:r w:rsidRPr="00494098">
        <w:rPr>
          <w:lang w:val="fr-FR"/>
        </w:rPr>
        <w:t>628</w:t>
      </w:r>
      <w:r w:rsidR="003D5B1A" w:rsidRPr="00494098">
        <w:rPr>
          <w:lang w:val="fr-FR"/>
        </w:rPr>
        <w:t> </w:t>
      </w:r>
      <w:r w:rsidRPr="00494098">
        <w:rPr>
          <w:lang w:val="fr-FR"/>
        </w:rPr>
        <w:t>euros. En 2016, 292</w:t>
      </w:r>
      <w:r w:rsidR="003D5B1A" w:rsidRPr="00494098">
        <w:rPr>
          <w:lang w:val="fr-FR"/>
        </w:rPr>
        <w:t> </w:t>
      </w:r>
      <w:r w:rsidRPr="00494098">
        <w:rPr>
          <w:lang w:val="fr-FR"/>
        </w:rPr>
        <w:t>projets de loisirs ont vu le jour, pour un montant de 999</w:t>
      </w:r>
      <w:r w:rsidR="003D5B1A" w:rsidRPr="00494098">
        <w:rPr>
          <w:lang w:val="fr-FR"/>
        </w:rPr>
        <w:t> </w:t>
      </w:r>
      <w:r w:rsidRPr="00494098">
        <w:rPr>
          <w:lang w:val="fr-FR"/>
        </w:rPr>
        <w:t>028</w:t>
      </w:r>
      <w:r w:rsidR="003D5B1A" w:rsidRPr="00494098">
        <w:rPr>
          <w:lang w:val="fr-FR"/>
        </w:rPr>
        <w:t> euros</w:t>
      </w:r>
      <w:r w:rsidRPr="00494098">
        <w:rPr>
          <w:lang w:val="fr-FR"/>
        </w:rPr>
        <w:t>. Ces projets ont financé la promotion d</w:t>
      </w:r>
      <w:r w:rsidR="003D5B1A" w:rsidRPr="00494098">
        <w:rPr>
          <w:lang w:val="fr-FR"/>
        </w:rPr>
        <w:t>’</w:t>
      </w:r>
      <w:r w:rsidRPr="00494098">
        <w:rPr>
          <w:lang w:val="fr-FR"/>
        </w:rPr>
        <w:t xml:space="preserve">activités artistiques, culturelles, sportives et récréatives, l’élaboration de campagnes d’information et de sensibilisation </w:t>
      </w:r>
      <w:r w:rsidR="00EB6786" w:rsidRPr="00494098">
        <w:rPr>
          <w:lang w:val="fr-FR"/>
        </w:rPr>
        <w:t xml:space="preserve">portant sur </w:t>
      </w:r>
      <w:r w:rsidR="003D5B1A" w:rsidRPr="00494098">
        <w:rPr>
          <w:lang w:val="fr-FR"/>
        </w:rPr>
        <w:t xml:space="preserve">les </w:t>
      </w:r>
      <w:r w:rsidRPr="00494098">
        <w:rPr>
          <w:lang w:val="fr-FR"/>
        </w:rPr>
        <w:t>personnes handicapées</w:t>
      </w:r>
      <w:r w:rsidR="003D5B1A" w:rsidRPr="00494098">
        <w:rPr>
          <w:lang w:val="fr-FR"/>
        </w:rPr>
        <w:t>,</w:t>
      </w:r>
      <w:r w:rsidRPr="00494098">
        <w:rPr>
          <w:lang w:val="fr-FR"/>
        </w:rPr>
        <w:t xml:space="preserve"> </w:t>
      </w:r>
      <w:r w:rsidR="00EB6786" w:rsidRPr="00494098">
        <w:rPr>
          <w:lang w:val="fr-FR"/>
        </w:rPr>
        <w:t xml:space="preserve">ainsi que </w:t>
      </w:r>
      <w:r w:rsidRPr="00494098">
        <w:rPr>
          <w:lang w:val="fr-FR"/>
        </w:rPr>
        <w:t>des camps de vacances pour les personnes handicapées et leurs aidants.</w:t>
      </w:r>
    </w:p>
    <w:p w14:paraId="368E9C69" w14:textId="77777777" w:rsidR="00077B75" w:rsidRPr="00494098" w:rsidRDefault="00077B75" w:rsidP="00480570">
      <w:pPr>
        <w:pStyle w:val="SingleTxtG"/>
        <w:rPr>
          <w:lang w:val="fr-FR"/>
        </w:rPr>
      </w:pPr>
      <w:r w:rsidRPr="00494098">
        <w:rPr>
          <w:lang w:val="fr-FR"/>
        </w:rPr>
        <w:t>190.</w:t>
      </w:r>
      <w:r w:rsidRPr="00494098">
        <w:rPr>
          <w:lang w:val="fr-FR"/>
        </w:rPr>
        <w:tab/>
        <w:t xml:space="preserve">Dans le domaine de l’éducation et des sports, plusieurs associations de jeunesse portugaises travaillant avec les enfants et </w:t>
      </w:r>
      <w:r w:rsidR="003D5B1A" w:rsidRPr="00494098">
        <w:rPr>
          <w:lang w:val="fr-FR"/>
        </w:rPr>
        <w:t xml:space="preserve">les </w:t>
      </w:r>
      <w:r w:rsidRPr="00494098">
        <w:rPr>
          <w:lang w:val="fr-FR"/>
        </w:rPr>
        <w:t xml:space="preserve">jeunes handicapés reçoivent des aides de l'État. L’Institut portugais de la jeunesse et des sports encourage les sports </w:t>
      </w:r>
      <w:r w:rsidR="003D5B1A" w:rsidRPr="00494098">
        <w:rPr>
          <w:lang w:val="fr-FR"/>
        </w:rPr>
        <w:t xml:space="preserve">scolaires </w:t>
      </w:r>
      <w:r w:rsidRPr="00494098">
        <w:rPr>
          <w:lang w:val="fr-FR"/>
        </w:rPr>
        <w:t>adaptés</w:t>
      </w:r>
      <w:r w:rsidR="00EB6786" w:rsidRPr="00494098">
        <w:rPr>
          <w:lang w:val="fr-FR"/>
        </w:rPr>
        <w:t xml:space="preserve"> </w:t>
      </w:r>
      <w:r w:rsidR="003D5B1A" w:rsidRPr="00494098">
        <w:rPr>
          <w:lang w:val="fr-FR"/>
        </w:rPr>
        <w:t xml:space="preserve">en soutenant financièrement les </w:t>
      </w:r>
      <w:r w:rsidRPr="00494098">
        <w:rPr>
          <w:lang w:val="fr-FR"/>
        </w:rPr>
        <w:t xml:space="preserve">fédérations sportives </w:t>
      </w:r>
      <w:r w:rsidR="003D5B1A" w:rsidRPr="00494098">
        <w:rPr>
          <w:lang w:val="fr-FR"/>
        </w:rPr>
        <w:t xml:space="preserve">qui œuvrent à </w:t>
      </w:r>
      <w:r w:rsidRPr="00494098">
        <w:rPr>
          <w:lang w:val="fr-FR"/>
        </w:rPr>
        <w:t xml:space="preserve">la promotion et </w:t>
      </w:r>
      <w:r w:rsidR="003D5B1A" w:rsidRPr="00494098">
        <w:rPr>
          <w:lang w:val="fr-FR"/>
        </w:rPr>
        <w:t>au</w:t>
      </w:r>
      <w:r w:rsidRPr="00494098">
        <w:rPr>
          <w:lang w:val="fr-FR"/>
        </w:rPr>
        <w:t xml:space="preserve"> développement du sport pour les enfants et les han</w:t>
      </w:r>
      <w:r w:rsidR="003205B5" w:rsidRPr="00494098">
        <w:rPr>
          <w:lang w:val="fr-FR"/>
        </w:rPr>
        <w:t>dicapés. Le Programme national « Sport pour tous »</w:t>
      </w:r>
      <w:r w:rsidRPr="00494098">
        <w:rPr>
          <w:lang w:val="fr-FR"/>
        </w:rPr>
        <w:t>, lancé en 2015, finance les organisations sportives et d’autres parties prenantes, ainsi que des ONG et des Centres de médecine physique et de réadaptation, dans le but de promouvoir le sport en tant que moyen d’inclusion des personnes handicapées, y compris les enfants et les jeunes.</w:t>
      </w:r>
    </w:p>
    <w:p w14:paraId="18132A02" w14:textId="1F426360" w:rsidR="00077B75" w:rsidRPr="00494098" w:rsidRDefault="00077B75" w:rsidP="00DF1F00">
      <w:pPr>
        <w:pStyle w:val="H4G"/>
        <w:rPr>
          <w:lang w:val="fr-FR"/>
        </w:rPr>
      </w:pPr>
      <w:r w:rsidRPr="00494098">
        <w:rPr>
          <w:lang w:val="fr-FR"/>
        </w:rPr>
        <w:tab/>
      </w:r>
      <w:r w:rsidRPr="00494098">
        <w:rPr>
          <w:lang w:val="fr-FR"/>
        </w:rPr>
        <w:tab/>
        <w:t xml:space="preserve">Demandes </w:t>
      </w:r>
      <w:r w:rsidR="009677AC">
        <w:rPr>
          <w:lang w:val="fr-FR"/>
        </w:rPr>
        <w:t xml:space="preserve">d’allocation </w:t>
      </w:r>
      <w:r w:rsidR="00BD2625" w:rsidRPr="00494098">
        <w:rPr>
          <w:lang w:val="fr-FR"/>
        </w:rPr>
        <w:t xml:space="preserve"> </w:t>
      </w:r>
      <w:r w:rsidRPr="00494098">
        <w:rPr>
          <w:lang w:val="fr-FR"/>
        </w:rPr>
        <w:t>d’éducation spéciale</w:t>
      </w:r>
      <w:bookmarkStart w:id="131" w:name="_Toc530057518"/>
      <w:bookmarkEnd w:id="131"/>
    </w:p>
    <w:p w14:paraId="323F5B9B" w14:textId="46C38BFE" w:rsidR="00077B75" w:rsidRPr="00494098" w:rsidRDefault="00077B75" w:rsidP="00480570">
      <w:pPr>
        <w:pStyle w:val="SingleTxtG"/>
        <w:rPr>
          <w:lang w:val="fr-FR"/>
        </w:rPr>
      </w:pPr>
      <w:r w:rsidRPr="00494098">
        <w:rPr>
          <w:lang w:val="fr-FR"/>
        </w:rPr>
        <w:t>191.</w:t>
      </w:r>
      <w:r w:rsidRPr="00494098">
        <w:rPr>
          <w:lang w:val="fr-FR"/>
        </w:rPr>
        <w:tab/>
        <w:t xml:space="preserve">Davantage de demandes </w:t>
      </w:r>
      <w:r w:rsidR="009677AC">
        <w:rPr>
          <w:lang w:val="fr-FR"/>
        </w:rPr>
        <w:t xml:space="preserve">d’allocations </w:t>
      </w:r>
      <w:r w:rsidR="002C7D0D" w:rsidRPr="00494098">
        <w:rPr>
          <w:lang w:val="fr-FR"/>
        </w:rPr>
        <w:t xml:space="preserve"> </w:t>
      </w:r>
      <w:r w:rsidRPr="00494098">
        <w:rPr>
          <w:lang w:val="fr-FR"/>
        </w:rPr>
        <w:t>d’éducation spéciale ont été rejetées pendant l’année scolaire 2013-2014. Le rapport annuel 2013 portant sur l’application de la loi relative à la lutte contre la discrimination a révélé que 78</w:t>
      </w:r>
      <w:r w:rsidR="00006A2E" w:rsidRPr="00494098">
        <w:rPr>
          <w:lang w:val="fr-FR"/>
        </w:rPr>
        <w:t> </w:t>
      </w:r>
      <w:r w:rsidRPr="00494098">
        <w:rPr>
          <w:lang w:val="fr-FR"/>
        </w:rPr>
        <w:t xml:space="preserve">plaintes pour discrimination dans le domaine de l’éducation avaient été déposées. Par </w:t>
      </w:r>
      <w:r w:rsidR="00EB6786" w:rsidRPr="00494098">
        <w:rPr>
          <w:lang w:val="fr-FR"/>
        </w:rPr>
        <w:t xml:space="preserve">comparaison avec le </w:t>
      </w:r>
      <w:r w:rsidRPr="00494098">
        <w:rPr>
          <w:lang w:val="fr-FR"/>
        </w:rPr>
        <w:t>rapport annuel de 2012, cela représentait une augmentation sensible (9</w:t>
      </w:r>
      <w:r w:rsidR="00006A2E" w:rsidRPr="00494098">
        <w:rPr>
          <w:lang w:val="fr-FR"/>
        </w:rPr>
        <w:t> </w:t>
      </w:r>
      <w:r w:rsidRPr="00494098">
        <w:rPr>
          <w:lang w:val="fr-FR"/>
        </w:rPr>
        <w:t>plaintes relatives à l'éducation)</w:t>
      </w:r>
      <w:r w:rsidR="00006A2E" w:rsidRPr="00494098">
        <w:rPr>
          <w:lang w:val="fr-FR"/>
        </w:rPr>
        <w:t>.</w:t>
      </w:r>
      <w:r w:rsidRPr="00494098">
        <w:rPr>
          <w:lang w:val="fr-FR"/>
        </w:rPr>
        <w:t xml:space="preserve"> Toutefois, en 2014, le nombre de plaintes est passé à 26 et</w:t>
      </w:r>
      <w:r w:rsidR="00006A2E" w:rsidRPr="00494098">
        <w:rPr>
          <w:lang w:val="fr-FR"/>
        </w:rPr>
        <w:t>,</w:t>
      </w:r>
      <w:r w:rsidR="00EB6786" w:rsidRPr="00494098">
        <w:rPr>
          <w:lang w:val="fr-FR"/>
        </w:rPr>
        <w:t xml:space="preserve"> dans les années 2015 et 2016</w:t>
      </w:r>
      <w:r w:rsidR="00507963" w:rsidRPr="00494098">
        <w:rPr>
          <w:lang w:val="fr-FR"/>
        </w:rPr>
        <w:t>,</w:t>
      </w:r>
      <w:r w:rsidRPr="00494098">
        <w:rPr>
          <w:lang w:val="fr-FR"/>
        </w:rPr>
        <w:t xml:space="preserve"> </w:t>
      </w:r>
      <w:r w:rsidR="00507963" w:rsidRPr="00494098">
        <w:rPr>
          <w:lang w:val="fr-FR"/>
        </w:rPr>
        <w:t xml:space="preserve">respectivement </w:t>
      </w:r>
      <w:r w:rsidRPr="00494098">
        <w:rPr>
          <w:lang w:val="fr-FR"/>
        </w:rPr>
        <w:t>45 et 44 plaintes ont été déposées.</w:t>
      </w:r>
    </w:p>
    <w:p w14:paraId="43AA0AB9" w14:textId="77777777" w:rsidR="00077B75" w:rsidRPr="00494098" w:rsidRDefault="00077B75" w:rsidP="00DF1F00">
      <w:pPr>
        <w:pStyle w:val="H4G"/>
        <w:rPr>
          <w:lang w:val="fr-FR"/>
        </w:rPr>
      </w:pPr>
      <w:r w:rsidRPr="00494098">
        <w:rPr>
          <w:lang w:val="fr-FR"/>
        </w:rPr>
        <w:tab/>
      </w:r>
      <w:r w:rsidRPr="00494098">
        <w:rPr>
          <w:lang w:val="fr-FR"/>
        </w:rPr>
        <w:tab/>
      </w:r>
      <w:r w:rsidRPr="00494098">
        <w:rPr>
          <w:iCs/>
          <w:lang w:val="fr-FR"/>
        </w:rPr>
        <w:t>Formation</w:t>
      </w:r>
      <w:bookmarkStart w:id="132" w:name="_Toc530057519"/>
      <w:bookmarkEnd w:id="132"/>
    </w:p>
    <w:p w14:paraId="6D6A24A2" w14:textId="77777777" w:rsidR="00077B75" w:rsidRPr="00494098" w:rsidRDefault="00077B75" w:rsidP="00480570">
      <w:pPr>
        <w:pStyle w:val="SingleTxtG"/>
        <w:rPr>
          <w:lang w:val="fr-FR"/>
        </w:rPr>
      </w:pPr>
      <w:r w:rsidRPr="00494098">
        <w:rPr>
          <w:lang w:val="fr-FR"/>
        </w:rPr>
        <w:t>192.</w:t>
      </w:r>
      <w:r w:rsidRPr="00494098">
        <w:rPr>
          <w:lang w:val="fr-FR"/>
        </w:rPr>
        <w:tab/>
      </w:r>
      <w:r w:rsidR="00AF63D8" w:rsidRPr="00494098">
        <w:rPr>
          <w:lang w:val="fr-FR"/>
        </w:rPr>
        <w:t>L</w:t>
      </w:r>
      <w:r w:rsidRPr="00494098">
        <w:rPr>
          <w:lang w:val="fr-FR"/>
        </w:rPr>
        <w:t xml:space="preserve">es sommes dépensées pour les enseignants chargés de l'éducation des enfants ayant des besoins particuliers et autres </w:t>
      </w:r>
      <w:r w:rsidR="00EB6786" w:rsidRPr="00494098">
        <w:rPr>
          <w:lang w:val="fr-FR"/>
        </w:rPr>
        <w:t xml:space="preserve">spécialistes </w:t>
      </w:r>
      <w:r w:rsidRPr="00494098">
        <w:rPr>
          <w:lang w:val="fr-FR"/>
        </w:rPr>
        <w:t>(ergothérapeutes, orthophonistes, physiothérapeutes, psychologues, interprètes et enseignants en langue des signes portugaise, etc</w:t>
      </w:r>
      <w:r w:rsidR="00863A72" w:rsidRPr="00494098">
        <w:rPr>
          <w:lang w:val="fr-FR"/>
        </w:rPr>
        <w:t>.</w:t>
      </w:r>
      <w:r w:rsidRPr="00494098">
        <w:rPr>
          <w:lang w:val="fr-FR"/>
        </w:rPr>
        <w:t>)</w:t>
      </w:r>
      <w:r w:rsidR="00AF63D8" w:rsidRPr="00494098">
        <w:rPr>
          <w:lang w:val="fr-FR"/>
        </w:rPr>
        <w:t xml:space="preserve"> sont incluses dans l’investissement public pour les besoins particuliers et l’éducation inclusive</w:t>
      </w:r>
      <w:r w:rsidRPr="00494098">
        <w:rPr>
          <w:lang w:val="fr-FR"/>
        </w:rPr>
        <w:t>.</w:t>
      </w:r>
    </w:p>
    <w:p w14:paraId="1C0C5B5B" w14:textId="77777777" w:rsidR="00077B75" w:rsidRPr="00494098" w:rsidRDefault="00077B75" w:rsidP="00480570">
      <w:pPr>
        <w:pStyle w:val="SingleTxtG"/>
        <w:rPr>
          <w:lang w:val="fr-FR"/>
        </w:rPr>
      </w:pPr>
      <w:r w:rsidRPr="00494098">
        <w:rPr>
          <w:lang w:val="fr-FR"/>
        </w:rPr>
        <w:t>193.</w:t>
      </w:r>
      <w:r w:rsidRPr="00494098">
        <w:rPr>
          <w:lang w:val="fr-FR"/>
        </w:rPr>
        <w:tab/>
        <w:t>Entre 2014 et 2017, la formation du personnel en</w:t>
      </w:r>
      <w:r w:rsidR="00863A72" w:rsidRPr="00494098">
        <w:rPr>
          <w:lang w:val="fr-FR"/>
        </w:rPr>
        <w:t>seignant s'est traduite par 202 </w:t>
      </w:r>
      <w:r w:rsidRPr="00494098">
        <w:rPr>
          <w:lang w:val="fr-FR"/>
        </w:rPr>
        <w:t>actions de formation concernant les besoins particuliers de 241</w:t>
      </w:r>
      <w:r w:rsidR="00863A72" w:rsidRPr="00494098">
        <w:rPr>
          <w:lang w:val="fr-FR"/>
        </w:rPr>
        <w:t> </w:t>
      </w:r>
      <w:r w:rsidRPr="00494098">
        <w:rPr>
          <w:lang w:val="fr-FR"/>
        </w:rPr>
        <w:t>classes. Les entités chargées de la formation du personnel non enseignant ont mené en 2014 et 2017</w:t>
      </w:r>
      <w:r w:rsidR="004A50E8" w:rsidRPr="00494098">
        <w:rPr>
          <w:lang w:val="fr-FR"/>
        </w:rPr>
        <w:t xml:space="preserve"> respectivement, 37</w:t>
      </w:r>
      <w:r w:rsidR="00863A72" w:rsidRPr="00494098">
        <w:rPr>
          <w:lang w:val="fr-FR"/>
        </w:rPr>
        <w:t> </w:t>
      </w:r>
      <w:r w:rsidRPr="00494098">
        <w:rPr>
          <w:lang w:val="fr-FR"/>
        </w:rPr>
        <w:t>actions de formation pour 151</w:t>
      </w:r>
      <w:r w:rsidR="00863A72" w:rsidRPr="00494098">
        <w:rPr>
          <w:lang w:val="fr-FR"/>
        </w:rPr>
        <w:t> </w:t>
      </w:r>
      <w:r w:rsidRPr="00494098">
        <w:rPr>
          <w:lang w:val="fr-FR"/>
        </w:rPr>
        <w:t>classes.</w:t>
      </w:r>
    </w:p>
    <w:p w14:paraId="21197951" w14:textId="77777777" w:rsidR="00077B75" w:rsidRPr="00494098" w:rsidRDefault="00077B75" w:rsidP="00480570">
      <w:pPr>
        <w:pStyle w:val="SingleTxtG"/>
        <w:rPr>
          <w:lang w:val="fr-FR"/>
        </w:rPr>
      </w:pPr>
      <w:r w:rsidRPr="00494098">
        <w:rPr>
          <w:lang w:val="fr-FR"/>
        </w:rPr>
        <w:t>194.</w:t>
      </w:r>
      <w:r w:rsidRPr="00494098">
        <w:rPr>
          <w:lang w:val="fr-FR"/>
        </w:rPr>
        <w:tab/>
        <w:t xml:space="preserve">En 2015 et 2016, les professionnels ont bénéficié de nombreuses séances de formation (voir </w:t>
      </w:r>
      <w:r w:rsidR="003B4E18" w:rsidRPr="00494098">
        <w:rPr>
          <w:lang w:val="fr-FR"/>
        </w:rPr>
        <w:t>tableau 1</w:t>
      </w:r>
      <w:r w:rsidRPr="00494098">
        <w:rPr>
          <w:lang w:val="fr-FR"/>
        </w:rPr>
        <w:t xml:space="preserve">5, </w:t>
      </w:r>
      <w:r w:rsidR="003B4E18" w:rsidRPr="00494098">
        <w:rPr>
          <w:lang w:val="fr-FR"/>
        </w:rPr>
        <w:t>annexe 1</w:t>
      </w:r>
      <w:r w:rsidRPr="00494098">
        <w:rPr>
          <w:lang w:val="fr-FR"/>
        </w:rPr>
        <w:t>).</w:t>
      </w:r>
    </w:p>
    <w:p w14:paraId="694FE84C" w14:textId="77777777" w:rsidR="00077B75" w:rsidRPr="00494098" w:rsidRDefault="00077B75" w:rsidP="00480570">
      <w:pPr>
        <w:pStyle w:val="SingleTxtG"/>
        <w:rPr>
          <w:lang w:val="fr-FR"/>
        </w:rPr>
      </w:pPr>
      <w:r w:rsidRPr="00494098">
        <w:rPr>
          <w:lang w:val="fr-FR"/>
        </w:rPr>
        <w:t>195.</w:t>
      </w:r>
      <w:r w:rsidRPr="00494098">
        <w:rPr>
          <w:lang w:val="fr-FR"/>
        </w:rPr>
        <w:tab/>
        <w:t xml:space="preserve">Dans le cadre du </w:t>
      </w:r>
      <w:r w:rsidRPr="00494098">
        <w:rPr>
          <w:i/>
          <w:lang w:val="fr-FR"/>
        </w:rPr>
        <w:t>Système national d'intervention précoce dans l'enfance</w:t>
      </w:r>
      <w:r w:rsidRPr="00494098">
        <w:rPr>
          <w:lang w:val="fr-FR"/>
        </w:rPr>
        <w:t>, 7</w:t>
      </w:r>
      <w:r w:rsidR="00364F82" w:rsidRPr="00494098">
        <w:rPr>
          <w:lang w:val="fr-FR"/>
        </w:rPr>
        <w:t> </w:t>
      </w:r>
      <w:r w:rsidRPr="00494098">
        <w:rPr>
          <w:lang w:val="fr-FR"/>
        </w:rPr>
        <w:t xml:space="preserve">actions de formation professionnelle ont </w:t>
      </w:r>
      <w:r w:rsidR="00364F82" w:rsidRPr="00494098">
        <w:rPr>
          <w:lang w:val="fr-FR"/>
        </w:rPr>
        <w:t>été menées au titre du Plan</w:t>
      </w:r>
      <w:r w:rsidRPr="00494098">
        <w:rPr>
          <w:lang w:val="fr-FR"/>
        </w:rPr>
        <w:t xml:space="preserve"> de formation professionnelle de l’Institut de sécurité sociale</w:t>
      </w:r>
      <w:r w:rsidR="00364F82" w:rsidRPr="00494098">
        <w:rPr>
          <w:lang w:val="fr-FR"/>
        </w:rPr>
        <w:t xml:space="preserve"> (</w:t>
      </w:r>
      <w:r w:rsidRPr="00494098">
        <w:rPr>
          <w:lang w:val="fr-FR"/>
        </w:rPr>
        <w:t xml:space="preserve">Infrastructures du </w:t>
      </w:r>
      <w:r w:rsidR="00364F82" w:rsidRPr="00494098">
        <w:rPr>
          <w:lang w:val="fr-FR"/>
        </w:rPr>
        <w:t>Portugal)</w:t>
      </w:r>
      <w:r w:rsidRPr="00494098">
        <w:rPr>
          <w:lang w:val="fr-FR"/>
        </w:rPr>
        <w:t xml:space="preserve">, </w:t>
      </w:r>
      <w:r w:rsidR="00364F82" w:rsidRPr="00494098">
        <w:rPr>
          <w:lang w:val="fr-FR"/>
        </w:rPr>
        <w:t>ce qui a permis d'atteindre 175 </w:t>
      </w:r>
      <w:r w:rsidR="00EB6786" w:rsidRPr="00494098">
        <w:rPr>
          <w:lang w:val="fr-FR"/>
        </w:rPr>
        <w:t xml:space="preserve">spécialistes </w:t>
      </w:r>
      <w:r w:rsidRPr="00494098">
        <w:rPr>
          <w:lang w:val="fr-FR"/>
        </w:rPr>
        <w:t xml:space="preserve">travaillant dans les centres de </w:t>
      </w:r>
      <w:r w:rsidR="00364F82" w:rsidRPr="00494098">
        <w:rPr>
          <w:lang w:val="fr-FR"/>
        </w:rPr>
        <w:t xml:space="preserve">supervision </w:t>
      </w:r>
      <w:r w:rsidRPr="00494098">
        <w:rPr>
          <w:lang w:val="fr-FR"/>
        </w:rPr>
        <w:t>technique. Ces formations étaient axées sur les principes clefs de l’intervention précoce dans l’enfance.</w:t>
      </w:r>
    </w:p>
    <w:p w14:paraId="398F9D93" w14:textId="77777777" w:rsidR="00077B75" w:rsidRPr="00494098" w:rsidRDefault="00077B75" w:rsidP="00480570">
      <w:pPr>
        <w:pStyle w:val="SingleTxtG"/>
        <w:rPr>
          <w:lang w:val="fr-FR"/>
        </w:rPr>
      </w:pPr>
      <w:r w:rsidRPr="00494098">
        <w:rPr>
          <w:lang w:val="fr-FR"/>
        </w:rPr>
        <w:t>196.</w:t>
      </w:r>
      <w:r w:rsidRPr="00494098">
        <w:rPr>
          <w:lang w:val="fr-FR"/>
        </w:rPr>
        <w:tab/>
        <w:t xml:space="preserve">Un guide en ligne pour les professionnels, </w:t>
      </w:r>
      <w:r w:rsidR="00EB6786" w:rsidRPr="00494098">
        <w:rPr>
          <w:lang w:val="fr-FR"/>
        </w:rPr>
        <w:t xml:space="preserve">sur les </w:t>
      </w:r>
      <w:r w:rsidRPr="00494098">
        <w:rPr>
          <w:lang w:val="fr-FR"/>
        </w:rPr>
        <w:t>Pratiques recommandées en matière d'interven</w:t>
      </w:r>
      <w:r w:rsidR="00CF0852" w:rsidRPr="00494098">
        <w:rPr>
          <w:lang w:val="fr-FR"/>
        </w:rPr>
        <w:t>tion précoce auprès des enfants</w:t>
      </w:r>
      <w:r w:rsidR="00EB6786" w:rsidRPr="00494098">
        <w:rPr>
          <w:lang w:val="fr-FR"/>
        </w:rPr>
        <w:t>,</w:t>
      </w:r>
      <w:r w:rsidRPr="00494098">
        <w:rPr>
          <w:lang w:val="fr-FR"/>
        </w:rPr>
        <w:t xml:space="preserve"> a été élaboré (disponible à l’adresse</w:t>
      </w:r>
      <w:r w:rsidR="00090CBF" w:rsidRPr="00494098">
        <w:rPr>
          <w:lang w:val="fr-FR"/>
        </w:rPr>
        <w:t> :</w:t>
      </w:r>
      <w:r w:rsidRPr="00494098">
        <w:rPr>
          <w:lang w:val="fr-FR"/>
        </w:rPr>
        <w:t xml:space="preserve"> http://im2.anip.net/index.php/guia/versao-on-line) et </w:t>
      </w:r>
      <w:r w:rsidR="00EB6786" w:rsidRPr="00494098">
        <w:rPr>
          <w:lang w:val="fr-FR"/>
        </w:rPr>
        <w:t>d</w:t>
      </w:r>
      <w:r w:rsidR="00CF0852" w:rsidRPr="00494098">
        <w:rPr>
          <w:lang w:val="fr-FR"/>
        </w:rPr>
        <w:t>iffusé au cours de 5 </w:t>
      </w:r>
      <w:r w:rsidRPr="00494098">
        <w:rPr>
          <w:lang w:val="fr-FR"/>
        </w:rPr>
        <w:t>sessions régionales</w:t>
      </w:r>
      <w:r w:rsidR="006717A5" w:rsidRPr="00494098">
        <w:rPr>
          <w:lang w:val="fr-FR"/>
        </w:rPr>
        <w:t> ;</w:t>
      </w:r>
      <w:r w:rsidRPr="00494098">
        <w:rPr>
          <w:lang w:val="fr-FR"/>
        </w:rPr>
        <w:t xml:space="preserve"> 16</w:t>
      </w:r>
      <w:r w:rsidR="00CF0852" w:rsidRPr="00494098">
        <w:rPr>
          <w:lang w:val="fr-FR"/>
        </w:rPr>
        <w:t> </w:t>
      </w:r>
      <w:r w:rsidRPr="00494098">
        <w:rPr>
          <w:lang w:val="fr-FR"/>
        </w:rPr>
        <w:t xml:space="preserve">actions de formation professionnelle </w:t>
      </w:r>
      <w:r w:rsidR="00CF0852" w:rsidRPr="00494098">
        <w:rPr>
          <w:lang w:val="fr-FR"/>
        </w:rPr>
        <w:t xml:space="preserve">ont été organisées </w:t>
      </w:r>
      <w:r w:rsidRPr="00494098">
        <w:rPr>
          <w:lang w:val="fr-FR"/>
        </w:rPr>
        <w:t>sur la base de ce guide entre</w:t>
      </w:r>
      <w:r w:rsidR="00CF0852" w:rsidRPr="00494098">
        <w:rPr>
          <w:lang w:val="fr-FR"/>
        </w:rPr>
        <w:t xml:space="preserve"> </w:t>
      </w:r>
      <w:r w:rsidR="00203C62" w:rsidRPr="00494098">
        <w:rPr>
          <w:lang w:val="fr-FR"/>
        </w:rPr>
        <w:t>octobre</w:t>
      </w:r>
      <w:r w:rsidRPr="00494098">
        <w:rPr>
          <w:lang w:val="fr-FR"/>
        </w:rPr>
        <w:t xml:space="preserve"> 2015 et</w:t>
      </w:r>
      <w:r w:rsidR="00CF0852" w:rsidRPr="00494098">
        <w:rPr>
          <w:lang w:val="fr-FR"/>
        </w:rPr>
        <w:t xml:space="preserve"> </w:t>
      </w:r>
      <w:r w:rsidR="0082263D" w:rsidRPr="00494098">
        <w:rPr>
          <w:lang w:val="fr-FR"/>
        </w:rPr>
        <w:t>mars</w:t>
      </w:r>
      <w:r w:rsidRPr="00494098">
        <w:rPr>
          <w:lang w:val="fr-FR"/>
        </w:rPr>
        <w:t xml:space="preserve"> 2016, ce qui a permis d'atteindre 439</w:t>
      </w:r>
      <w:r w:rsidR="00CF0852" w:rsidRPr="00494098">
        <w:rPr>
          <w:lang w:val="fr-FR"/>
        </w:rPr>
        <w:t> </w:t>
      </w:r>
      <w:r w:rsidRPr="00494098">
        <w:rPr>
          <w:lang w:val="fr-FR"/>
        </w:rPr>
        <w:t>professionnels des interventions précoces dans l'enfance.</w:t>
      </w:r>
    </w:p>
    <w:p w14:paraId="559CF4CE" w14:textId="3BF0B7DC" w:rsidR="00077B75" w:rsidRPr="00494098" w:rsidRDefault="00077B75" w:rsidP="00DF1F00">
      <w:pPr>
        <w:pStyle w:val="H23G"/>
        <w:rPr>
          <w:lang w:val="fr-FR"/>
        </w:rPr>
      </w:pPr>
      <w:r w:rsidRPr="00494098">
        <w:rPr>
          <w:lang w:val="fr-FR"/>
        </w:rPr>
        <w:tab/>
      </w:r>
      <w:r w:rsidRPr="00494098">
        <w:rPr>
          <w:lang w:val="fr-FR"/>
        </w:rPr>
        <w:tab/>
        <w:t>Santé et services de santé (</w:t>
      </w:r>
      <w:r w:rsidR="00EC71BE">
        <w:rPr>
          <w:lang w:val="fr-FR"/>
        </w:rPr>
        <w:t>par.</w:t>
      </w:r>
      <w:r w:rsidRPr="00494098">
        <w:rPr>
          <w:lang w:val="fr-FR"/>
        </w:rPr>
        <w:t xml:space="preserve"> 48 </w:t>
      </w:r>
      <w:r w:rsidR="00872592" w:rsidRPr="00494098">
        <w:rPr>
          <w:lang w:val="fr-FR"/>
        </w:rPr>
        <w:t xml:space="preserve">des </w:t>
      </w:r>
      <w:r w:rsidR="00EC71BE">
        <w:rPr>
          <w:lang w:val="fr-FR"/>
        </w:rPr>
        <w:t>o</w:t>
      </w:r>
      <w:r w:rsidR="00916D99" w:rsidRPr="00494098">
        <w:rPr>
          <w:lang w:val="fr-FR"/>
        </w:rPr>
        <w:t>bservations finales</w:t>
      </w:r>
      <w:r w:rsidR="00872592" w:rsidRPr="00494098">
        <w:rPr>
          <w:lang w:val="fr-FR"/>
        </w:rPr>
        <w:t>)</w:t>
      </w:r>
      <w:bookmarkStart w:id="133" w:name="_Toc530057302"/>
      <w:bookmarkStart w:id="134" w:name="_Toc530057520"/>
      <w:bookmarkStart w:id="135" w:name="_Toc530057616"/>
      <w:bookmarkStart w:id="136" w:name="_Toc530067997"/>
      <w:bookmarkEnd w:id="133"/>
      <w:bookmarkEnd w:id="134"/>
      <w:bookmarkEnd w:id="135"/>
      <w:bookmarkEnd w:id="136"/>
    </w:p>
    <w:p w14:paraId="01686BF7" w14:textId="77777777" w:rsidR="00077B75" w:rsidRPr="00494098" w:rsidRDefault="00077B75" w:rsidP="00480570">
      <w:pPr>
        <w:pStyle w:val="SingleTxtG"/>
        <w:rPr>
          <w:lang w:val="fr-FR"/>
        </w:rPr>
      </w:pPr>
      <w:r w:rsidRPr="00494098">
        <w:rPr>
          <w:lang w:val="fr-FR"/>
        </w:rPr>
        <w:t>197.</w:t>
      </w:r>
      <w:r w:rsidRPr="00494098">
        <w:rPr>
          <w:lang w:val="fr-FR"/>
        </w:rPr>
        <w:tab/>
        <w:t xml:space="preserve">Les préoccupations exprimées par le Comité quant aux </w:t>
      </w:r>
      <w:r w:rsidR="00B269F5" w:rsidRPr="00494098">
        <w:rPr>
          <w:lang w:val="fr-FR"/>
        </w:rPr>
        <w:t xml:space="preserve">éventuelles </w:t>
      </w:r>
      <w:r w:rsidRPr="00494098">
        <w:rPr>
          <w:lang w:val="fr-FR"/>
        </w:rPr>
        <w:t>incidences négatives des mesures d’austérité sur le droit de l’enfant de jouir du meilleur état de santé possible</w:t>
      </w:r>
      <w:r w:rsidR="00B269F5" w:rsidRPr="00494098">
        <w:rPr>
          <w:lang w:val="fr-FR"/>
        </w:rPr>
        <w:t xml:space="preserve"> ont été prise en considération</w:t>
      </w:r>
      <w:r w:rsidRPr="00494098">
        <w:rPr>
          <w:lang w:val="fr-FR"/>
        </w:rPr>
        <w:t xml:space="preserve">. Les interventions au titre des Programmes de santé nationaux pertinents (comme le Programme national pour la santé des enfants et des adolescents, l'Action de santé pour les enfants et les adolescents à risque, ou le Programme </w:t>
      </w:r>
      <w:r w:rsidR="00B1606B" w:rsidRPr="00494098">
        <w:rPr>
          <w:lang w:val="fr-FR"/>
        </w:rPr>
        <w:t>n</w:t>
      </w:r>
      <w:r w:rsidRPr="00494098">
        <w:rPr>
          <w:lang w:val="fr-FR"/>
        </w:rPr>
        <w:t>ational de santé scolaire)</w:t>
      </w:r>
      <w:r w:rsidR="008D0CC3" w:rsidRPr="00494098">
        <w:rPr>
          <w:lang w:val="fr-FR"/>
        </w:rPr>
        <w:t xml:space="preserve">, </w:t>
      </w:r>
      <w:r w:rsidRPr="00494098">
        <w:rPr>
          <w:lang w:val="fr-FR"/>
        </w:rPr>
        <w:t>ont été renforcées afin d</w:t>
      </w:r>
      <w:r w:rsidR="00B1606B" w:rsidRPr="00494098">
        <w:rPr>
          <w:lang w:val="fr-FR"/>
        </w:rPr>
        <w:t xml:space="preserve">e les </w:t>
      </w:r>
      <w:r w:rsidRPr="00494098">
        <w:rPr>
          <w:lang w:val="fr-FR"/>
        </w:rPr>
        <w:t>améliorer.</w:t>
      </w:r>
    </w:p>
    <w:p w14:paraId="1E029024" w14:textId="77777777" w:rsidR="00077B75" w:rsidRPr="00494098" w:rsidRDefault="00077B75" w:rsidP="00480570">
      <w:pPr>
        <w:pStyle w:val="SingleTxtG"/>
        <w:rPr>
          <w:lang w:val="fr-FR"/>
        </w:rPr>
      </w:pPr>
      <w:r w:rsidRPr="00494098">
        <w:rPr>
          <w:lang w:val="fr-FR"/>
        </w:rPr>
        <w:t>198.</w:t>
      </w:r>
      <w:r w:rsidRPr="00494098">
        <w:rPr>
          <w:lang w:val="fr-FR"/>
        </w:rPr>
        <w:tab/>
        <w:t>Les données disponibles ne permettent pas d</w:t>
      </w:r>
      <w:r w:rsidR="0063167A" w:rsidRPr="00494098">
        <w:rPr>
          <w:lang w:val="fr-FR"/>
        </w:rPr>
        <w:t xml:space="preserve">e confirmer </w:t>
      </w:r>
      <w:r w:rsidRPr="00494098">
        <w:rPr>
          <w:lang w:val="fr-FR"/>
        </w:rPr>
        <w:t>l’impact négatif de l’austérité</w:t>
      </w:r>
      <w:r w:rsidR="008D4146" w:rsidRPr="00494098">
        <w:rPr>
          <w:lang w:val="fr-FR"/>
        </w:rPr>
        <w:t xml:space="preserve"> sur l’accès des enfants au</w:t>
      </w:r>
      <w:r w:rsidRPr="00494098">
        <w:rPr>
          <w:lang w:val="fr-FR"/>
        </w:rPr>
        <w:t xml:space="preserve"> Service national de la santé. En fait, la proportion des enfants et de</w:t>
      </w:r>
      <w:r w:rsidR="0063167A" w:rsidRPr="00494098">
        <w:rPr>
          <w:lang w:val="fr-FR"/>
        </w:rPr>
        <w:t>s</w:t>
      </w:r>
      <w:r w:rsidRPr="00494098">
        <w:rPr>
          <w:lang w:val="fr-FR"/>
        </w:rPr>
        <w:t xml:space="preserve"> jeunes respectant les programmes de consultations et de surveillance sanitaire prévus par le programme national a augmenté de</w:t>
      </w:r>
      <w:r w:rsidR="008D4146" w:rsidRPr="00494098">
        <w:rPr>
          <w:lang w:val="fr-FR"/>
        </w:rPr>
        <w:t xml:space="preserve"> </w:t>
      </w:r>
      <w:r w:rsidRPr="00494098">
        <w:rPr>
          <w:lang w:val="fr-FR"/>
        </w:rPr>
        <w:t>2012</w:t>
      </w:r>
      <w:r w:rsidR="008D4146" w:rsidRPr="00494098">
        <w:rPr>
          <w:lang w:val="fr-FR"/>
        </w:rPr>
        <w:t xml:space="preserve"> à </w:t>
      </w:r>
      <w:r w:rsidR="0063167A" w:rsidRPr="00494098">
        <w:rPr>
          <w:lang w:val="fr-FR"/>
        </w:rPr>
        <w:t>2016 (voir tableaux </w:t>
      </w:r>
      <w:r w:rsidRPr="00494098">
        <w:rPr>
          <w:lang w:val="fr-FR"/>
        </w:rPr>
        <w:t xml:space="preserve">16 et 17, </w:t>
      </w:r>
      <w:r w:rsidR="003B4E18" w:rsidRPr="00494098">
        <w:rPr>
          <w:lang w:val="fr-FR"/>
        </w:rPr>
        <w:t>annexe 1</w:t>
      </w:r>
      <w:r w:rsidRPr="00494098">
        <w:rPr>
          <w:lang w:val="fr-FR"/>
        </w:rPr>
        <w:t xml:space="preserve">). </w:t>
      </w:r>
    </w:p>
    <w:p w14:paraId="63606B67" w14:textId="14A56C68" w:rsidR="00077B75" w:rsidRPr="00494098" w:rsidRDefault="00077B75" w:rsidP="00DF1F00">
      <w:pPr>
        <w:pStyle w:val="H23G"/>
        <w:rPr>
          <w:lang w:val="fr-FR"/>
        </w:rPr>
      </w:pPr>
      <w:r w:rsidRPr="00494098">
        <w:rPr>
          <w:lang w:val="fr-FR"/>
        </w:rPr>
        <w:tab/>
      </w:r>
      <w:r w:rsidRPr="00494098">
        <w:rPr>
          <w:lang w:val="fr-FR"/>
        </w:rPr>
        <w:tab/>
        <w:t>Santé mentale (par</w:t>
      </w:r>
      <w:r w:rsidR="00565BF0" w:rsidRPr="00494098">
        <w:rPr>
          <w:lang w:val="fr-FR"/>
        </w:rPr>
        <w:t>.</w:t>
      </w:r>
      <w:r w:rsidRPr="00494098">
        <w:rPr>
          <w:lang w:val="fr-FR"/>
        </w:rPr>
        <w:t xml:space="preserve"> 50</w:t>
      </w:r>
      <w:r w:rsidR="00565BF0" w:rsidRPr="00494098">
        <w:rPr>
          <w:lang w:val="fr-FR"/>
        </w:rPr>
        <w:t xml:space="preserve"> des </w:t>
      </w:r>
      <w:r w:rsidR="00EC71BE">
        <w:rPr>
          <w:lang w:val="fr-FR"/>
        </w:rPr>
        <w:t>o</w:t>
      </w:r>
      <w:r w:rsidR="00916D99" w:rsidRPr="00494098">
        <w:rPr>
          <w:lang w:val="fr-FR"/>
        </w:rPr>
        <w:t>bservations finales</w:t>
      </w:r>
      <w:r w:rsidRPr="00494098">
        <w:rPr>
          <w:lang w:val="fr-FR"/>
        </w:rPr>
        <w:t>)</w:t>
      </w:r>
      <w:bookmarkStart w:id="137" w:name="_Toc530057303"/>
      <w:bookmarkStart w:id="138" w:name="_Toc530057521"/>
      <w:bookmarkStart w:id="139" w:name="_Toc530057617"/>
      <w:bookmarkStart w:id="140" w:name="_Toc530067998"/>
      <w:bookmarkEnd w:id="137"/>
      <w:bookmarkEnd w:id="138"/>
      <w:bookmarkEnd w:id="139"/>
      <w:bookmarkEnd w:id="140"/>
    </w:p>
    <w:p w14:paraId="050527D9" w14:textId="77777777" w:rsidR="00077B75" w:rsidRPr="00494098" w:rsidRDefault="00077B75" w:rsidP="00480570">
      <w:pPr>
        <w:pStyle w:val="SingleTxtG"/>
        <w:rPr>
          <w:lang w:val="fr-FR"/>
        </w:rPr>
      </w:pPr>
      <w:r w:rsidRPr="00494098">
        <w:rPr>
          <w:lang w:val="fr-FR"/>
        </w:rPr>
        <w:t>199.</w:t>
      </w:r>
      <w:r w:rsidRPr="00494098">
        <w:rPr>
          <w:lang w:val="fr-FR"/>
        </w:rPr>
        <w:tab/>
        <w:t xml:space="preserve">Le nouveau Plan national </w:t>
      </w:r>
      <w:r w:rsidR="00143FE6" w:rsidRPr="00494098">
        <w:rPr>
          <w:lang w:val="fr-FR"/>
        </w:rPr>
        <w:t xml:space="preserve">pour la </w:t>
      </w:r>
      <w:r w:rsidRPr="00494098">
        <w:rPr>
          <w:lang w:val="fr-FR"/>
        </w:rPr>
        <w:t xml:space="preserve">santé mentale mettra l’accent sur la santé mentale des enfants et des adolescents, lorsque des soins et des services aux enfants et adolescents </w:t>
      </w:r>
      <w:r w:rsidR="00EA5777" w:rsidRPr="00494098">
        <w:rPr>
          <w:lang w:val="fr-FR"/>
        </w:rPr>
        <w:t xml:space="preserve">dans ces domaines </w:t>
      </w:r>
      <w:r w:rsidRPr="00494098">
        <w:rPr>
          <w:lang w:val="fr-FR"/>
        </w:rPr>
        <w:t xml:space="preserve">auront été identifiés comme une nécessité pressante. </w:t>
      </w:r>
    </w:p>
    <w:p w14:paraId="31D66E53" w14:textId="77777777" w:rsidR="00077B75" w:rsidRPr="00494098" w:rsidRDefault="00077B75" w:rsidP="00480570">
      <w:pPr>
        <w:pStyle w:val="SingleTxtG"/>
        <w:rPr>
          <w:lang w:val="fr-FR"/>
        </w:rPr>
      </w:pPr>
      <w:r w:rsidRPr="00494098">
        <w:rPr>
          <w:lang w:val="fr-FR"/>
        </w:rPr>
        <w:t>200.</w:t>
      </w:r>
      <w:r w:rsidRPr="00494098">
        <w:rPr>
          <w:lang w:val="fr-FR"/>
        </w:rPr>
        <w:tab/>
        <w:t>Selon les estimations, il conviendrait de créer 500</w:t>
      </w:r>
      <w:r w:rsidR="00143FE6" w:rsidRPr="00494098">
        <w:rPr>
          <w:lang w:val="fr-FR"/>
        </w:rPr>
        <w:t> </w:t>
      </w:r>
      <w:r w:rsidRPr="00494098">
        <w:rPr>
          <w:lang w:val="fr-FR"/>
        </w:rPr>
        <w:t>places d'enfants dans le Réseau de soins continus intégrés de santé mentale d'ici 2020 (http://www.saudemental.pt/mais-informacao/4594066908/Plano-Nacional-para-a-Saúde-Mental---2017/11234964).</w:t>
      </w:r>
    </w:p>
    <w:p w14:paraId="0A532C5D" w14:textId="77777777" w:rsidR="00077B75" w:rsidRPr="00494098" w:rsidRDefault="00077B75" w:rsidP="00AE4BF5">
      <w:pPr>
        <w:pStyle w:val="SingleTxtG"/>
        <w:rPr>
          <w:lang w:val="fr-FR"/>
        </w:rPr>
      </w:pPr>
      <w:r w:rsidRPr="00494098">
        <w:rPr>
          <w:lang w:val="fr-FR"/>
        </w:rPr>
        <w:t>201.</w:t>
      </w:r>
      <w:r w:rsidRPr="00494098">
        <w:rPr>
          <w:lang w:val="fr-FR"/>
        </w:rPr>
        <w:tab/>
        <w:t>Le «</w:t>
      </w:r>
      <w:r w:rsidR="00143FE6" w:rsidRPr="00494098">
        <w:rPr>
          <w:lang w:val="fr-FR"/>
        </w:rPr>
        <w:t> </w:t>
      </w:r>
      <w:r w:rsidRPr="00494098">
        <w:rPr>
          <w:lang w:val="fr-FR"/>
        </w:rPr>
        <w:t>Plan de développement du réseau national de soins continus intégrés (RNCCI) 2016 – 2019</w:t>
      </w:r>
      <w:r w:rsidR="00143FE6" w:rsidRPr="00494098">
        <w:rPr>
          <w:lang w:val="fr-FR"/>
        </w:rPr>
        <w:t> </w:t>
      </w:r>
      <w:r w:rsidRPr="00494098">
        <w:rPr>
          <w:lang w:val="fr-FR"/>
        </w:rPr>
        <w:t xml:space="preserve">» englobe les soins palliatifs pédiatriques et les personnes </w:t>
      </w:r>
      <w:r w:rsidR="008D0CC3" w:rsidRPr="00494098">
        <w:rPr>
          <w:lang w:val="fr-FR"/>
        </w:rPr>
        <w:t xml:space="preserve">de tous âges </w:t>
      </w:r>
      <w:r w:rsidRPr="00494098">
        <w:rPr>
          <w:lang w:val="fr-FR"/>
        </w:rPr>
        <w:t xml:space="preserve">souffrant de graves troubles mentaux. La priorité a été accordée aux interventions de soins pédiatriques (ordonnance </w:t>
      </w:r>
      <w:r w:rsidR="006717A5" w:rsidRPr="00494098">
        <w:rPr>
          <w:lang w:val="fr-FR"/>
        </w:rPr>
        <w:t>n° </w:t>
      </w:r>
      <w:r w:rsidR="00480991" w:rsidRPr="00494098">
        <w:rPr>
          <w:lang w:val="fr-FR"/>
        </w:rPr>
        <w:t>1</w:t>
      </w:r>
      <w:r w:rsidRPr="00494098">
        <w:rPr>
          <w:lang w:val="fr-FR"/>
        </w:rPr>
        <w:t>53/2016 du 27</w:t>
      </w:r>
      <w:r w:rsidR="00143FE6" w:rsidRPr="00494098">
        <w:rPr>
          <w:lang w:val="fr-FR"/>
        </w:rPr>
        <w:t> </w:t>
      </w:r>
      <w:r w:rsidRPr="00494098">
        <w:rPr>
          <w:lang w:val="fr-FR"/>
        </w:rPr>
        <w:t>mai 2016). En</w:t>
      </w:r>
      <w:r w:rsidR="00143FE6" w:rsidRPr="00494098">
        <w:rPr>
          <w:lang w:val="fr-FR"/>
        </w:rPr>
        <w:t xml:space="preserve"> </w:t>
      </w:r>
      <w:r w:rsidR="00090CBF" w:rsidRPr="00494098">
        <w:rPr>
          <w:lang w:val="fr-FR"/>
        </w:rPr>
        <w:t>juin</w:t>
      </w:r>
      <w:r w:rsidR="00143FE6" w:rsidRPr="00494098">
        <w:rPr>
          <w:lang w:val="fr-FR"/>
        </w:rPr>
        <w:t xml:space="preserve"> 2017, il y avait 46 </w:t>
      </w:r>
      <w:r w:rsidRPr="00494098">
        <w:rPr>
          <w:lang w:val="fr-FR"/>
        </w:rPr>
        <w:t xml:space="preserve">unités de soins pédiatriques continus (voir </w:t>
      </w:r>
      <w:r w:rsidR="003B4E18" w:rsidRPr="00494098">
        <w:rPr>
          <w:lang w:val="fr-FR"/>
        </w:rPr>
        <w:t>tableau 1</w:t>
      </w:r>
      <w:r w:rsidRPr="00494098">
        <w:rPr>
          <w:lang w:val="fr-FR"/>
        </w:rPr>
        <w:t xml:space="preserve">8, </w:t>
      </w:r>
      <w:r w:rsidR="003B4E18" w:rsidRPr="00494098">
        <w:rPr>
          <w:lang w:val="fr-FR"/>
        </w:rPr>
        <w:t>annexe 1</w:t>
      </w:r>
      <w:r w:rsidRPr="00494098">
        <w:rPr>
          <w:lang w:val="fr-FR"/>
        </w:rPr>
        <w:t>), dont 16</w:t>
      </w:r>
      <w:r w:rsidR="00143FE6" w:rsidRPr="00494098">
        <w:rPr>
          <w:lang w:val="fr-FR"/>
        </w:rPr>
        <w:t> </w:t>
      </w:r>
      <w:r w:rsidRPr="00494098">
        <w:rPr>
          <w:lang w:val="fr-FR"/>
        </w:rPr>
        <w:t>unités de santé mentale.</w:t>
      </w:r>
    </w:p>
    <w:p w14:paraId="33D9A6D4" w14:textId="77777777" w:rsidR="00077B75" w:rsidRPr="00494098" w:rsidRDefault="00077B75" w:rsidP="00480570">
      <w:pPr>
        <w:pStyle w:val="SingleTxtG"/>
        <w:rPr>
          <w:lang w:val="fr-FR"/>
        </w:rPr>
      </w:pPr>
      <w:r w:rsidRPr="00494098">
        <w:rPr>
          <w:lang w:val="fr-FR"/>
        </w:rPr>
        <w:t>202.</w:t>
      </w:r>
      <w:r w:rsidRPr="00494098">
        <w:rPr>
          <w:lang w:val="fr-FR"/>
        </w:rPr>
        <w:tab/>
        <w:t xml:space="preserve">Depuis 2016, les unités de soins pédiatriques intégrés et, à partir de 2017, le nombre de lits </w:t>
      </w:r>
      <w:r w:rsidR="00143FE6" w:rsidRPr="00494098">
        <w:rPr>
          <w:lang w:val="fr-FR"/>
        </w:rPr>
        <w:t xml:space="preserve">en </w:t>
      </w:r>
      <w:r w:rsidRPr="00494098">
        <w:rPr>
          <w:lang w:val="fr-FR"/>
        </w:rPr>
        <w:t xml:space="preserve">soins de santé </w:t>
      </w:r>
      <w:r w:rsidR="00143FE6" w:rsidRPr="00494098">
        <w:rPr>
          <w:lang w:val="fr-FR"/>
        </w:rPr>
        <w:t xml:space="preserve">pour les </w:t>
      </w:r>
      <w:r w:rsidRPr="00494098">
        <w:rPr>
          <w:lang w:val="fr-FR"/>
        </w:rPr>
        <w:t xml:space="preserve">enfants et </w:t>
      </w:r>
      <w:r w:rsidR="00143FE6" w:rsidRPr="00494098">
        <w:rPr>
          <w:lang w:val="fr-FR"/>
        </w:rPr>
        <w:t>les</w:t>
      </w:r>
      <w:r w:rsidRPr="00494098">
        <w:rPr>
          <w:lang w:val="fr-FR"/>
        </w:rPr>
        <w:t xml:space="preserve"> jeunes, ont bénéficié d'un investissement massif.</w:t>
      </w:r>
    </w:p>
    <w:p w14:paraId="3FE1F1F3" w14:textId="77777777" w:rsidR="00077B75" w:rsidRPr="00494098" w:rsidRDefault="00077B75" w:rsidP="00480570">
      <w:pPr>
        <w:pStyle w:val="SingleTxtG"/>
        <w:rPr>
          <w:lang w:val="fr-FR"/>
        </w:rPr>
      </w:pPr>
      <w:r w:rsidRPr="00494098">
        <w:rPr>
          <w:lang w:val="fr-FR"/>
        </w:rPr>
        <w:t>203.</w:t>
      </w:r>
      <w:r w:rsidRPr="00494098">
        <w:rPr>
          <w:lang w:val="fr-FR"/>
        </w:rPr>
        <w:tab/>
        <w:t>Le Groupe d’appui à la santé mentale des enfants (</w:t>
      </w:r>
      <w:r w:rsidRPr="00494098">
        <w:rPr>
          <w:i/>
          <w:iCs/>
          <w:lang w:val="fr-FR"/>
        </w:rPr>
        <w:t>Grupo de Apoio à Saúde Mental Infantil</w:t>
      </w:r>
      <w:r w:rsidRPr="00494098">
        <w:rPr>
          <w:lang w:val="fr-FR"/>
        </w:rPr>
        <w:t xml:space="preserve"> — GASMI), est un bon exemple de démarche pluridisciplinaire d</w:t>
      </w:r>
      <w:r w:rsidR="00143FE6" w:rsidRPr="00494098">
        <w:rPr>
          <w:lang w:val="fr-FR"/>
        </w:rPr>
        <w:t>ans le</w:t>
      </w:r>
      <w:r w:rsidRPr="00494098">
        <w:rPr>
          <w:lang w:val="fr-FR"/>
        </w:rPr>
        <w:t xml:space="preserve"> traitement des troubles et maladies d’ordre psychologique et psychosocial chez les enfants. </w:t>
      </w:r>
      <w:r w:rsidR="00EA5777" w:rsidRPr="00494098">
        <w:rPr>
          <w:lang w:val="fr-FR"/>
        </w:rPr>
        <w:t xml:space="preserve">Pour </w:t>
      </w:r>
      <w:r w:rsidRPr="00494098">
        <w:rPr>
          <w:lang w:val="fr-FR"/>
        </w:rPr>
        <w:t xml:space="preserve">ce projet, des équipes ont été formées dans le cadre d’un accord de coopération avec l’hôpital pour enfants </w:t>
      </w:r>
      <w:r w:rsidRPr="00494098">
        <w:rPr>
          <w:i/>
          <w:lang w:val="fr-FR"/>
        </w:rPr>
        <w:t>Dona Estefânia</w:t>
      </w:r>
      <w:r w:rsidR="00143FE6" w:rsidRPr="00494098">
        <w:rPr>
          <w:lang w:val="fr-FR"/>
        </w:rPr>
        <w:t xml:space="preserve">, à </w:t>
      </w:r>
      <w:r w:rsidRPr="00494098">
        <w:rPr>
          <w:lang w:val="fr-FR"/>
        </w:rPr>
        <w:t>Lisbonne, afin de remédier à l’absence de services et d'unités psychiatriques spécialisées pour les enfants et les jeunes des hôpitaux de l'Algarve.</w:t>
      </w:r>
    </w:p>
    <w:p w14:paraId="5A0BD66F" w14:textId="293C9704" w:rsidR="00077B75" w:rsidRPr="00494098" w:rsidRDefault="00077B75" w:rsidP="00DF1F00">
      <w:pPr>
        <w:pStyle w:val="H4G"/>
        <w:rPr>
          <w:lang w:val="fr-FR"/>
        </w:rPr>
      </w:pPr>
      <w:r w:rsidRPr="00494098">
        <w:rPr>
          <w:lang w:val="fr-FR"/>
        </w:rPr>
        <w:tab/>
      </w:r>
      <w:r w:rsidRPr="00494098">
        <w:rPr>
          <w:lang w:val="fr-FR"/>
        </w:rPr>
        <w:tab/>
        <w:t xml:space="preserve">Données sur les enfants et les adolescents </w:t>
      </w:r>
      <w:r w:rsidR="00BE1B29">
        <w:rPr>
          <w:lang w:val="fr-FR"/>
        </w:rPr>
        <w:t xml:space="preserve">recevant un </w:t>
      </w:r>
      <w:r w:rsidR="00143FE6" w:rsidRPr="00494098">
        <w:rPr>
          <w:lang w:val="fr-FR"/>
        </w:rPr>
        <w:t xml:space="preserve"> </w:t>
      </w:r>
      <w:r w:rsidRPr="00494098">
        <w:rPr>
          <w:lang w:val="fr-FR"/>
        </w:rPr>
        <w:t>traitement</w:t>
      </w:r>
      <w:bookmarkStart w:id="141" w:name="_Toc530057522"/>
      <w:bookmarkEnd w:id="141"/>
    </w:p>
    <w:p w14:paraId="132E5464" w14:textId="147A4800" w:rsidR="00077B75" w:rsidRPr="00494098" w:rsidRDefault="00077B75" w:rsidP="00480570">
      <w:pPr>
        <w:pStyle w:val="SingleTxtG"/>
        <w:rPr>
          <w:lang w:val="fr-FR"/>
        </w:rPr>
      </w:pPr>
      <w:r w:rsidRPr="00494098">
        <w:rPr>
          <w:lang w:val="fr-FR"/>
        </w:rPr>
        <w:t>204.</w:t>
      </w:r>
      <w:r w:rsidRPr="00494098">
        <w:rPr>
          <w:lang w:val="fr-FR"/>
        </w:rPr>
        <w:tab/>
        <w:t xml:space="preserve">Des informations sur le nombre de </w:t>
      </w:r>
      <w:r w:rsidR="004408B5" w:rsidRPr="00494098">
        <w:rPr>
          <w:lang w:val="fr-FR"/>
        </w:rPr>
        <w:t xml:space="preserve">patients </w:t>
      </w:r>
      <w:r w:rsidR="00AD537B">
        <w:rPr>
          <w:lang w:val="fr-FR"/>
        </w:rPr>
        <w:t xml:space="preserve">recevant un </w:t>
      </w:r>
      <w:r w:rsidR="004408B5" w:rsidRPr="00494098">
        <w:rPr>
          <w:lang w:val="fr-FR"/>
        </w:rPr>
        <w:t xml:space="preserve"> traitement</w:t>
      </w:r>
      <w:r w:rsidRPr="00494098">
        <w:rPr>
          <w:lang w:val="fr-FR"/>
        </w:rPr>
        <w:t xml:space="preserve">, le nombre d’installations et </w:t>
      </w:r>
      <w:r w:rsidR="008D0CC3" w:rsidRPr="00494098">
        <w:rPr>
          <w:lang w:val="fr-FR"/>
        </w:rPr>
        <w:t xml:space="preserve">de </w:t>
      </w:r>
      <w:r w:rsidRPr="00494098">
        <w:rPr>
          <w:lang w:val="fr-FR"/>
        </w:rPr>
        <w:t xml:space="preserve">services ambulatoires de réadaptation psychosociale, ainsi que </w:t>
      </w:r>
      <w:r w:rsidR="00EA5777" w:rsidRPr="00494098">
        <w:rPr>
          <w:lang w:val="fr-FR"/>
        </w:rPr>
        <w:t xml:space="preserve">sur </w:t>
      </w:r>
      <w:r w:rsidRPr="00494098">
        <w:rPr>
          <w:lang w:val="fr-FR"/>
        </w:rPr>
        <w:t>la répartition des installations et des services à l’intérieur du territoire portugais sont disponibles dans le rapport de 2015 du Programme national pour la santé mentale (https://www.dgs.pt/em-destaque/portugal-saude-mental-em-numeros-201511.aspx) et via le portail du Service national de la santé</w:t>
      </w:r>
      <w:r w:rsidR="00EA5777" w:rsidRPr="00494098">
        <w:rPr>
          <w:lang w:val="fr-FR"/>
        </w:rPr>
        <w:t>,</w:t>
      </w:r>
      <w:r w:rsidRPr="00494098">
        <w:rPr>
          <w:lang w:val="fr-FR"/>
        </w:rPr>
        <w:t xml:space="preserve"> à la section transparence (révision mensuelle). </w:t>
      </w:r>
    </w:p>
    <w:p w14:paraId="736841AA" w14:textId="6783A5F1" w:rsidR="00077B75" w:rsidRPr="00494098" w:rsidRDefault="00077B75" w:rsidP="00DF1F00">
      <w:pPr>
        <w:pStyle w:val="H23G"/>
        <w:rPr>
          <w:lang w:val="fr-FR"/>
        </w:rPr>
      </w:pPr>
      <w:r w:rsidRPr="00494098">
        <w:rPr>
          <w:lang w:val="fr-FR"/>
        </w:rPr>
        <w:tab/>
      </w:r>
      <w:r w:rsidRPr="00494098">
        <w:rPr>
          <w:lang w:val="fr-FR"/>
        </w:rPr>
        <w:tab/>
        <w:t>Santé des adolescents (par</w:t>
      </w:r>
      <w:r w:rsidR="004408B5" w:rsidRPr="00494098">
        <w:rPr>
          <w:lang w:val="fr-FR"/>
        </w:rPr>
        <w:t>.</w:t>
      </w:r>
      <w:r w:rsidRPr="00494098">
        <w:rPr>
          <w:lang w:val="fr-FR"/>
        </w:rPr>
        <w:t xml:space="preserve"> 52 </w:t>
      </w:r>
      <w:r w:rsidR="00872592" w:rsidRPr="00494098">
        <w:rPr>
          <w:lang w:val="fr-FR"/>
        </w:rPr>
        <w:t xml:space="preserve">des </w:t>
      </w:r>
      <w:r w:rsidR="0036248C">
        <w:rPr>
          <w:lang w:val="fr-FR"/>
        </w:rPr>
        <w:t>o</w:t>
      </w:r>
      <w:r w:rsidR="00916D99" w:rsidRPr="00494098">
        <w:rPr>
          <w:lang w:val="fr-FR"/>
        </w:rPr>
        <w:t>bservations finales</w:t>
      </w:r>
      <w:r w:rsidR="00872592" w:rsidRPr="00494098">
        <w:rPr>
          <w:lang w:val="fr-FR"/>
        </w:rPr>
        <w:t>)</w:t>
      </w:r>
      <w:bookmarkStart w:id="142" w:name="_Toc530057304"/>
      <w:bookmarkStart w:id="143" w:name="_Toc530057523"/>
      <w:bookmarkStart w:id="144" w:name="_Toc530057618"/>
      <w:bookmarkStart w:id="145" w:name="_Toc530067999"/>
      <w:bookmarkEnd w:id="142"/>
      <w:bookmarkEnd w:id="143"/>
      <w:bookmarkEnd w:id="144"/>
      <w:bookmarkEnd w:id="145"/>
    </w:p>
    <w:p w14:paraId="01ABFF96" w14:textId="77777777" w:rsidR="00077B75" w:rsidRPr="00494098" w:rsidRDefault="00077B75" w:rsidP="00480570">
      <w:pPr>
        <w:pStyle w:val="SingleTxtG"/>
        <w:rPr>
          <w:lang w:val="fr-FR"/>
        </w:rPr>
      </w:pPr>
      <w:r w:rsidRPr="00494098">
        <w:rPr>
          <w:lang w:val="fr-FR"/>
        </w:rPr>
        <w:t>205.</w:t>
      </w:r>
      <w:r w:rsidRPr="00494098">
        <w:rPr>
          <w:lang w:val="fr-FR"/>
        </w:rPr>
        <w:tab/>
        <w:t xml:space="preserve">L’éducation sexuelle est obligatoire à tous les niveaux de l’enseignement, elle </w:t>
      </w:r>
      <w:r w:rsidR="004408B5" w:rsidRPr="00494098">
        <w:rPr>
          <w:lang w:val="fr-FR"/>
        </w:rPr>
        <w:t xml:space="preserve">fait partie du </w:t>
      </w:r>
      <w:r w:rsidRPr="00494098">
        <w:rPr>
          <w:lang w:val="fr-FR"/>
        </w:rPr>
        <w:t xml:space="preserve">programme d’éducation à la santé et est mise en </w:t>
      </w:r>
      <w:r w:rsidR="00D264B0" w:rsidRPr="00494098">
        <w:rPr>
          <w:lang w:val="fr-FR"/>
        </w:rPr>
        <w:t>œuvr</w:t>
      </w:r>
      <w:r w:rsidR="004408B5" w:rsidRPr="00494098">
        <w:rPr>
          <w:lang w:val="fr-FR"/>
        </w:rPr>
        <w:t>e dans d</w:t>
      </w:r>
      <w:r w:rsidRPr="00494098">
        <w:rPr>
          <w:lang w:val="fr-FR"/>
        </w:rPr>
        <w:t xml:space="preserve">es projets élaborés </w:t>
      </w:r>
      <w:r w:rsidR="00EA1C6E" w:rsidRPr="00494098">
        <w:rPr>
          <w:lang w:val="fr-FR"/>
        </w:rPr>
        <w:t>en milieu scolaire</w:t>
      </w:r>
      <w:r w:rsidRPr="00494098">
        <w:rPr>
          <w:lang w:val="fr-FR"/>
        </w:rPr>
        <w:t xml:space="preserve">, depuis l’école maternelle jusqu’à la fin de l’enseignement secondaire. </w:t>
      </w:r>
    </w:p>
    <w:p w14:paraId="3E78D577" w14:textId="77777777" w:rsidR="00077B75" w:rsidRPr="00494098" w:rsidRDefault="00077B75" w:rsidP="00480570">
      <w:pPr>
        <w:pStyle w:val="SingleTxtG"/>
        <w:rPr>
          <w:lang w:val="fr-FR"/>
        </w:rPr>
      </w:pPr>
      <w:r w:rsidRPr="00494098">
        <w:rPr>
          <w:lang w:val="fr-FR"/>
        </w:rPr>
        <w:t>206.</w:t>
      </w:r>
      <w:r w:rsidRPr="00494098">
        <w:rPr>
          <w:lang w:val="fr-FR"/>
        </w:rPr>
        <w:tab/>
        <w:t xml:space="preserve">Le cadre de mise en </w:t>
      </w:r>
      <w:r w:rsidR="00D264B0" w:rsidRPr="00494098">
        <w:rPr>
          <w:lang w:val="fr-FR"/>
        </w:rPr>
        <w:t>œuvr</w:t>
      </w:r>
      <w:r w:rsidRPr="00494098">
        <w:rPr>
          <w:lang w:val="fr-FR"/>
        </w:rPr>
        <w:t xml:space="preserve">e de l’éducation sexuelle dans les écoles a été </w:t>
      </w:r>
      <w:r w:rsidR="00EA1C6E" w:rsidRPr="00494098">
        <w:rPr>
          <w:lang w:val="fr-FR"/>
        </w:rPr>
        <w:t>posé</w:t>
      </w:r>
      <w:r w:rsidRPr="00494098">
        <w:rPr>
          <w:lang w:val="fr-FR"/>
        </w:rPr>
        <w:t xml:space="preserve"> en 2009 (loi </w:t>
      </w:r>
      <w:r w:rsidR="006717A5" w:rsidRPr="00494098">
        <w:rPr>
          <w:lang w:val="fr-FR"/>
        </w:rPr>
        <w:t>n° </w:t>
      </w:r>
      <w:r w:rsidRPr="00494098">
        <w:rPr>
          <w:lang w:val="fr-FR"/>
        </w:rPr>
        <w:t xml:space="preserve">60/2009 et ordonnance </w:t>
      </w:r>
      <w:r w:rsidR="006717A5" w:rsidRPr="00494098">
        <w:rPr>
          <w:lang w:val="fr-FR"/>
        </w:rPr>
        <w:t>n° </w:t>
      </w:r>
      <w:r w:rsidR="00480991" w:rsidRPr="00494098">
        <w:rPr>
          <w:lang w:val="fr-FR"/>
        </w:rPr>
        <w:t>1</w:t>
      </w:r>
      <w:r w:rsidRPr="00494098">
        <w:rPr>
          <w:lang w:val="fr-FR"/>
        </w:rPr>
        <w:t>96-A/2010). Le récent Référentiel d’éducation à la santé</w:t>
      </w:r>
      <w:r w:rsidR="004408B5" w:rsidRPr="00494098">
        <w:rPr>
          <w:lang w:val="fr-FR"/>
        </w:rPr>
        <w:t>,</w:t>
      </w:r>
      <w:r w:rsidRPr="00494098">
        <w:rPr>
          <w:lang w:val="fr-FR"/>
        </w:rPr>
        <w:t xml:space="preserve"> destiné aux enseignants/éducateurs à tous les niveaux de l’enseignement</w:t>
      </w:r>
      <w:r w:rsidR="004408B5" w:rsidRPr="00494098">
        <w:rPr>
          <w:lang w:val="fr-FR"/>
        </w:rPr>
        <w:t>,</w:t>
      </w:r>
      <w:r w:rsidRPr="00494098">
        <w:rPr>
          <w:lang w:val="fr-FR"/>
        </w:rPr>
        <w:t xml:space="preserve"> comprend un </w:t>
      </w:r>
      <w:r w:rsidR="004408B5" w:rsidRPr="00494098">
        <w:rPr>
          <w:lang w:val="fr-FR"/>
        </w:rPr>
        <w:t xml:space="preserve">thème intitulé </w:t>
      </w:r>
      <w:r w:rsidRPr="00494098">
        <w:rPr>
          <w:lang w:val="fr-FR"/>
        </w:rPr>
        <w:t>«</w:t>
      </w:r>
      <w:r w:rsidR="004408B5" w:rsidRPr="00494098">
        <w:rPr>
          <w:lang w:val="fr-FR"/>
        </w:rPr>
        <w:t xml:space="preserve"> Sentiments </w:t>
      </w:r>
      <w:r w:rsidRPr="00494098">
        <w:rPr>
          <w:lang w:val="fr-FR"/>
        </w:rPr>
        <w:t xml:space="preserve">et éducation </w:t>
      </w:r>
      <w:r w:rsidR="008D0CC3" w:rsidRPr="00494098">
        <w:rPr>
          <w:lang w:val="fr-FR"/>
        </w:rPr>
        <w:t>à la sexualité</w:t>
      </w:r>
      <w:r w:rsidR="004408B5" w:rsidRPr="00494098">
        <w:rPr>
          <w:lang w:val="fr-FR"/>
        </w:rPr>
        <w:t> </w:t>
      </w:r>
      <w:r w:rsidRPr="00494098">
        <w:rPr>
          <w:lang w:val="fr-FR"/>
        </w:rPr>
        <w:t xml:space="preserve">», centré sur la prévention des maladies sexuellement transmissibles et la grossesse précoce, l’amélioration des relations </w:t>
      </w:r>
      <w:r w:rsidR="004408B5" w:rsidRPr="00494098">
        <w:rPr>
          <w:lang w:val="fr-FR"/>
        </w:rPr>
        <w:t xml:space="preserve">sentimentales </w:t>
      </w:r>
      <w:r w:rsidRPr="00494098">
        <w:rPr>
          <w:lang w:val="fr-FR"/>
        </w:rPr>
        <w:t xml:space="preserve">et sexuelles, </w:t>
      </w:r>
      <w:r w:rsidR="004408B5" w:rsidRPr="00494098">
        <w:rPr>
          <w:lang w:val="fr-FR"/>
        </w:rPr>
        <w:t xml:space="preserve">et les </w:t>
      </w:r>
      <w:r w:rsidRPr="00494098">
        <w:rPr>
          <w:lang w:val="fr-FR"/>
        </w:rPr>
        <w:t>décisions éclairées en matière de sexualité.</w:t>
      </w:r>
    </w:p>
    <w:p w14:paraId="3CA20402" w14:textId="77777777" w:rsidR="00077B75" w:rsidRPr="00494098" w:rsidRDefault="00077B75" w:rsidP="00480570">
      <w:pPr>
        <w:pStyle w:val="SingleTxtG"/>
        <w:rPr>
          <w:lang w:val="fr-FR"/>
        </w:rPr>
      </w:pPr>
      <w:r w:rsidRPr="00494098">
        <w:rPr>
          <w:lang w:val="fr-FR"/>
        </w:rPr>
        <w:t>207.</w:t>
      </w:r>
      <w:r w:rsidRPr="00494098">
        <w:rPr>
          <w:lang w:val="fr-FR"/>
        </w:rPr>
        <w:tab/>
        <w:t xml:space="preserve">Tous les groupements d'écoles ont un bureau de psychologie, notamment une heure hebdomadaire </w:t>
      </w:r>
      <w:r w:rsidR="004408B5" w:rsidRPr="00494098">
        <w:rPr>
          <w:lang w:val="fr-FR"/>
        </w:rPr>
        <w:t>réservée à l’accueil en toute confidentialité d</w:t>
      </w:r>
      <w:r w:rsidRPr="00494098">
        <w:rPr>
          <w:lang w:val="fr-FR"/>
        </w:rPr>
        <w:t>es élèves qui souhaitent discuter de questions de santé et de sexualité.</w:t>
      </w:r>
    </w:p>
    <w:p w14:paraId="2E80A009" w14:textId="77777777" w:rsidR="00077B75" w:rsidRPr="00494098" w:rsidRDefault="00077B75" w:rsidP="00480570">
      <w:pPr>
        <w:pStyle w:val="SingleTxtG"/>
        <w:rPr>
          <w:lang w:val="fr-FR"/>
        </w:rPr>
      </w:pPr>
      <w:r w:rsidRPr="00494098">
        <w:rPr>
          <w:lang w:val="fr-FR"/>
        </w:rPr>
        <w:t>208.</w:t>
      </w:r>
      <w:r w:rsidRPr="00494098">
        <w:rPr>
          <w:lang w:val="fr-FR"/>
        </w:rPr>
        <w:tab/>
        <w:t>Des consultations de planification familiale, gratuites, sont offertes au niveau des soins de santé primaires du Service national de santé</w:t>
      </w:r>
      <w:r w:rsidR="0064128C" w:rsidRPr="00494098">
        <w:rPr>
          <w:lang w:val="fr-FR"/>
        </w:rPr>
        <w:t>,</w:t>
      </w:r>
      <w:r w:rsidRPr="00494098">
        <w:rPr>
          <w:lang w:val="fr-FR"/>
        </w:rPr>
        <w:t xml:space="preserve"> et le Programme national de santé scolaire comprend un groupe thématique sur l’éducation </w:t>
      </w:r>
      <w:r w:rsidR="0064128C" w:rsidRPr="00494098">
        <w:rPr>
          <w:lang w:val="fr-FR"/>
        </w:rPr>
        <w:t xml:space="preserve">aux relations sentimentales et </w:t>
      </w:r>
      <w:r w:rsidRPr="00494098">
        <w:rPr>
          <w:lang w:val="fr-FR"/>
        </w:rPr>
        <w:t xml:space="preserve">à la sexualité (ordonnance </w:t>
      </w:r>
      <w:r w:rsidR="006717A5" w:rsidRPr="00494098">
        <w:rPr>
          <w:lang w:val="fr-FR"/>
        </w:rPr>
        <w:t>n° </w:t>
      </w:r>
      <w:r w:rsidRPr="00494098">
        <w:rPr>
          <w:lang w:val="fr-FR"/>
        </w:rPr>
        <w:t>8815/2015 du 20</w:t>
      </w:r>
      <w:r w:rsidR="00B34673" w:rsidRPr="00494098">
        <w:rPr>
          <w:lang w:val="fr-FR"/>
        </w:rPr>
        <w:t> juillet</w:t>
      </w:r>
      <w:r w:rsidRPr="00494098">
        <w:rPr>
          <w:lang w:val="fr-FR"/>
        </w:rPr>
        <w:t xml:space="preserve"> 2015)</w:t>
      </w:r>
      <w:r w:rsidR="007B2CAD" w:rsidRPr="00494098">
        <w:rPr>
          <w:lang w:val="fr-FR"/>
        </w:rPr>
        <w:t>.</w:t>
      </w:r>
    </w:p>
    <w:p w14:paraId="178854E9" w14:textId="77777777" w:rsidR="00077B75" w:rsidRPr="00494098" w:rsidRDefault="00077B75" w:rsidP="00480570">
      <w:pPr>
        <w:pStyle w:val="SingleTxtG"/>
        <w:rPr>
          <w:lang w:val="fr-FR"/>
        </w:rPr>
      </w:pPr>
      <w:r w:rsidRPr="00494098">
        <w:rPr>
          <w:lang w:val="fr-FR"/>
        </w:rPr>
        <w:t>209.</w:t>
      </w:r>
      <w:r w:rsidRPr="00494098">
        <w:rPr>
          <w:lang w:val="fr-FR"/>
        </w:rPr>
        <w:tab/>
        <w:t>L’Institut portugais de la jeunesse et des sports gère une permanence téléphonique anonyme et confidentielle sur la sexualité, qui offre des services de psychologie aux jeunes dans le domaine de la santé sexuelle et procréative (http://juventude.gov.pt/Eventos/SexualidadeJuvenil/Paginas/Sexualidade-</w:t>
      </w:r>
      <w:r w:rsidR="0064128C" w:rsidRPr="00494098">
        <w:rPr>
          <w:lang w:val="fr-FR"/>
        </w:rPr>
        <w:t>em-Lia-Novo-numéro-800222003.a</w:t>
      </w:r>
      <w:r w:rsidRPr="00494098">
        <w:rPr>
          <w:lang w:val="fr-FR"/>
        </w:rPr>
        <w:t>spx)</w:t>
      </w:r>
    </w:p>
    <w:p w14:paraId="642E27BD" w14:textId="2481904D" w:rsidR="00077B75" w:rsidRPr="00494098" w:rsidRDefault="00077B75" w:rsidP="00DF1F00">
      <w:pPr>
        <w:pStyle w:val="H23G"/>
        <w:rPr>
          <w:lang w:val="fr-FR"/>
        </w:rPr>
      </w:pPr>
      <w:r w:rsidRPr="00494098">
        <w:rPr>
          <w:lang w:val="fr-FR"/>
        </w:rPr>
        <w:tab/>
      </w:r>
      <w:r w:rsidRPr="00494098">
        <w:rPr>
          <w:lang w:val="fr-FR"/>
        </w:rPr>
        <w:tab/>
        <w:t xml:space="preserve">Consommation de drogues et </w:t>
      </w:r>
      <w:r w:rsidR="00022EF9">
        <w:rPr>
          <w:lang w:val="fr-FR"/>
        </w:rPr>
        <w:t xml:space="preserve">de </w:t>
      </w:r>
      <w:r w:rsidRPr="00494098">
        <w:rPr>
          <w:lang w:val="fr-FR"/>
        </w:rPr>
        <w:t xml:space="preserve"> substances psychoactives (par</w:t>
      </w:r>
      <w:r w:rsidR="0064128C" w:rsidRPr="00494098">
        <w:rPr>
          <w:lang w:val="fr-FR"/>
        </w:rPr>
        <w:t>.</w:t>
      </w:r>
      <w:r w:rsidRPr="00494098">
        <w:rPr>
          <w:lang w:val="fr-FR"/>
        </w:rPr>
        <w:t xml:space="preserve"> 54 </w:t>
      </w:r>
      <w:r w:rsidR="00872592" w:rsidRPr="00494098">
        <w:rPr>
          <w:lang w:val="fr-FR"/>
        </w:rPr>
        <w:t xml:space="preserve">des </w:t>
      </w:r>
      <w:r w:rsidR="0036248C">
        <w:rPr>
          <w:lang w:val="fr-FR"/>
        </w:rPr>
        <w:t>o</w:t>
      </w:r>
      <w:r w:rsidR="00916D99" w:rsidRPr="00494098">
        <w:rPr>
          <w:lang w:val="fr-FR"/>
        </w:rPr>
        <w:t>bservations finales</w:t>
      </w:r>
      <w:r w:rsidR="00872592" w:rsidRPr="00494098">
        <w:rPr>
          <w:lang w:val="fr-FR"/>
        </w:rPr>
        <w:t>)</w:t>
      </w:r>
      <w:bookmarkStart w:id="146" w:name="_Toc530057305"/>
      <w:bookmarkStart w:id="147" w:name="_Toc530057524"/>
      <w:bookmarkStart w:id="148" w:name="_Toc530057619"/>
      <w:bookmarkStart w:id="149" w:name="_Toc530068000"/>
      <w:bookmarkEnd w:id="146"/>
      <w:bookmarkEnd w:id="147"/>
      <w:bookmarkEnd w:id="148"/>
      <w:bookmarkEnd w:id="149"/>
    </w:p>
    <w:p w14:paraId="59B7673C" w14:textId="77777777" w:rsidR="00077B75" w:rsidRPr="00494098" w:rsidRDefault="00077B75" w:rsidP="00DF1F00">
      <w:pPr>
        <w:pStyle w:val="H4G"/>
        <w:rPr>
          <w:lang w:val="fr-FR"/>
        </w:rPr>
      </w:pPr>
      <w:r w:rsidRPr="00494098">
        <w:rPr>
          <w:lang w:val="fr-FR"/>
        </w:rPr>
        <w:tab/>
      </w:r>
      <w:r w:rsidRPr="00494098">
        <w:rPr>
          <w:lang w:val="fr-FR"/>
        </w:rPr>
        <w:tab/>
        <w:t>Promotion de modes de vie sains</w:t>
      </w:r>
      <w:bookmarkStart w:id="150" w:name="_Toc530057525"/>
      <w:bookmarkEnd w:id="150"/>
    </w:p>
    <w:p w14:paraId="6C004003" w14:textId="77777777" w:rsidR="00077B75" w:rsidRPr="00494098" w:rsidRDefault="00077B75" w:rsidP="00480570">
      <w:pPr>
        <w:pStyle w:val="SingleTxtG"/>
        <w:rPr>
          <w:lang w:val="fr-FR"/>
        </w:rPr>
      </w:pPr>
      <w:r w:rsidRPr="00494098">
        <w:rPr>
          <w:lang w:val="fr-FR"/>
        </w:rPr>
        <w:t>210.</w:t>
      </w:r>
      <w:r w:rsidRPr="00494098">
        <w:rPr>
          <w:lang w:val="fr-FR"/>
        </w:rPr>
        <w:tab/>
      </w:r>
      <w:r w:rsidR="00D53765" w:rsidRPr="00494098">
        <w:rPr>
          <w:lang w:val="fr-FR"/>
        </w:rPr>
        <w:t>Les politiques d’éducation et de santé mettent en avant l</w:t>
      </w:r>
      <w:r w:rsidRPr="00494098">
        <w:rPr>
          <w:lang w:val="fr-FR"/>
        </w:rPr>
        <w:t xml:space="preserve">a réduction des </w:t>
      </w:r>
      <w:r w:rsidR="000C1C8F" w:rsidRPr="00494098">
        <w:rPr>
          <w:lang w:val="fr-FR"/>
        </w:rPr>
        <w:t>addictions comportementales</w:t>
      </w:r>
      <w:r w:rsidRPr="00494098">
        <w:rPr>
          <w:lang w:val="fr-FR"/>
        </w:rPr>
        <w:t xml:space="preserve"> et la promotion de modes de vie sains </w:t>
      </w:r>
      <w:r w:rsidR="00D53765" w:rsidRPr="00494098">
        <w:rPr>
          <w:lang w:val="fr-FR"/>
        </w:rPr>
        <w:t>pour les</w:t>
      </w:r>
      <w:r w:rsidRPr="00494098">
        <w:rPr>
          <w:lang w:val="fr-FR"/>
        </w:rPr>
        <w:t xml:space="preserve"> enf</w:t>
      </w:r>
      <w:r w:rsidR="00D53765" w:rsidRPr="00494098">
        <w:rPr>
          <w:lang w:val="fr-FR"/>
        </w:rPr>
        <w:t>ants et l</w:t>
      </w:r>
      <w:r w:rsidRPr="00494098">
        <w:rPr>
          <w:lang w:val="fr-FR"/>
        </w:rPr>
        <w:t>es jeunes, y compris dans le milieu scolaire.</w:t>
      </w:r>
    </w:p>
    <w:p w14:paraId="60A49D69" w14:textId="77777777" w:rsidR="00077B75" w:rsidRPr="00494098" w:rsidRDefault="00077B75" w:rsidP="003E786A">
      <w:pPr>
        <w:pStyle w:val="SingleTxtG"/>
        <w:rPr>
          <w:lang w:val="fr-FR"/>
        </w:rPr>
      </w:pPr>
      <w:r w:rsidRPr="00494098">
        <w:rPr>
          <w:lang w:val="fr-FR"/>
        </w:rPr>
        <w:t>211.</w:t>
      </w:r>
      <w:r w:rsidRPr="00494098">
        <w:rPr>
          <w:lang w:val="fr-FR"/>
        </w:rPr>
        <w:tab/>
        <w:t>Il faut citer, parmi les programmes pertinents, le Programme national de santé scolaire, le Programme national pour la santé mentale, le Programme national pour la santé des enfants et</w:t>
      </w:r>
      <w:r w:rsidR="00026269" w:rsidRPr="00494098">
        <w:rPr>
          <w:lang w:val="fr-FR"/>
        </w:rPr>
        <w:t xml:space="preserve"> des adolescents, le Programme n</w:t>
      </w:r>
      <w:r w:rsidRPr="00494098">
        <w:rPr>
          <w:lang w:val="fr-FR"/>
        </w:rPr>
        <w:t>ational pour la prévention et le contrôle du tabagisme</w:t>
      </w:r>
      <w:r w:rsidR="00026269" w:rsidRPr="00494098">
        <w:rPr>
          <w:lang w:val="fr-FR"/>
        </w:rPr>
        <w:t>,</w:t>
      </w:r>
      <w:r w:rsidRPr="00494098">
        <w:rPr>
          <w:lang w:val="fr-FR"/>
        </w:rPr>
        <w:t xml:space="preserve"> le Plan national de réduction des </w:t>
      </w:r>
      <w:r w:rsidR="000C1C8F" w:rsidRPr="00494098">
        <w:rPr>
          <w:lang w:val="fr-FR"/>
        </w:rPr>
        <w:t>addictions comportementales</w:t>
      </w:r>
      <w:r w:rsidRPr="00494098">
        <w:rPr>
          <w:lang w:val="fr-FR"/>
        </w:rPr>
        <w:t xml:space="preserve"> et </w:t>
      </w:r>
      <w:r w:rsidR="000C1C8F" w:rsidRPr="00494098">
        <w:rPr>
          <w:lang w:val="fr-FR"/>
        </w:rPr>
        <w:t>d</w:t>
      </w:r>
      <w:r w:rsidRPr="00494098">
        <w:rPr>
          <w:lang w:val="fr-FR"/>
        </w:rPr>
        <w:t>es dépendances 2013–2020</w:t>
      </w:r>
      <w:r w:rsidR="000C1C8F" w:rsidRPr="00494098">
        <w:rPr>
          <w:lang w:val="fr-FR"/>
        </w:rPr>
        <w:t>,</w:t>
      </w:r>
      <w:r w:rsidRPr="00494098">
        <w:rPr>
          <w:lang w:val="fr-FR"/>
        </w:rPr>
        <w:t xml:space="preserve"> et le Programme national pour la promotion de l'activité physique, créé en 2016, qui définit </w:t>
      </w:r>
      <w:r w:rsidR="000C1C8F" w:rsidRPr="00494098">
        <w:rPr>
          <w:lang w:val="fr-FR"/>
        </w:rPr>
        <w:t xml:space="preserve">aussi </w:t>
      </w:r>
      <w:r w:rsidRPr="00494098">
        <w:rPr>
          <w:lang w:val="fr-FR"/>
        </w:rPr>
        <w:t xml:space="preserve">les interventions auprès des enfants et des jeunes. </w:t>
      </w:r>
    </w:p>
    <w:p w14:paraId="2637BBC2" w14:textId="77777777" w:rsidR="00077B75" w:rsidRPr="00494098" w:rsidRDefault="00077B75" w:rsidP="00480570">
      <w:pPr>
        <w:pStyle w:val="SingleTxtG"/>
        <w:rPr>
          <w:lang w:val="fr-FR"/>
        </w:rPr>
      </w:pPr>
      <w:r w:rsidRPr="00494098">
        <w:rPr>
          <w:lang w:val="fr-FR"/>
        </w:rPr>
        <w:t>212.</w:t>
      </w:r>
      <w:r w:rsidRPr="00494098">
        <w:rPr>
          <w:lang w:val="fr-FR"/>
        </w:rPr>
        <w:tab/>
        <w:t>Les habitudes alimentaires saines sont encouragé</w:t>
      </w:r>
      <w:r w:rsidR="00BA0F94" w:rsidRPr="00494098">
        <w:rPr>
          <w:lang w:val="fr-FR"/>
        </w:rPr>
        <w:t>e</w:t>
      </w:r>
      <w:r w:rsidRPr="00494098">
        <w:rPr>
          <w:lang w:val="fr-FR"/>
        </w:rPr>
        <w:t xml:space="preserve">s par la distribution de fruits, de légumes et de produits laitiers, en vue de réduire l’obésité chez l'enfant et de prévenir les maladies cardiovasculaires et le diabète parmi les élèves de l’enseignement public préscolaire, primaire et secondaire. Les repas et les approvisionnements alimentaires dans les écoles suivent les principes diététiques de la diversité et de la qualité alimentaire définis par la législation et les directives élaborées par le Ministère de l’éducation </w:t>
      </w:r>
      <w:r w:rsidR="00567861" w:rsidRPr="00494098">
        <w:rPr>
          <w:lang w:val="fr-FR"/>
        </w:rPr>
        <w:t>et des sciences</w:t>
      </w:r>
      <w:r w:rsidR="008F5EB7" w:rsidRPr="00494098">
        <w:rPr>
          <w:lang w:val="fr-FR"/>
        </w:rPr>
        <w:t>,</w:t>
      </w:r>
      <w:r w:rsidRPr="00494098">
        <w:rPr>
          <w:lang w:val="fr-FR"/>
        </w:rPr>
        <w:t xml:space="preserve"> </w:t>
      </w:r>
      <w:r w:rsidR="00567861" w:rsidRPr="00494098">
        <w:rPr>
          <w:lang w:val="fr-FR"/>
        </w:rPr>
        <w:t xml:space="preserve">et </w:t>
      </w:r>
      <w:r w:rsidRPr="00494098">
        <w:rPr>
          <w:lang w:val="fr-FR"/>
        </w:rPr>
        <w:t xml:space="preserve">mis en </w:t>
      </w:r>
      <w:r w:rsidR="00D264B0" w:rsidRPr="00494098">
        <w:rPr>
          <w:lang w:val="fr-FR"/>
        </w:rPr>
        <w:t>œuvr</w:t>
      </w:r>
      <w:r w:rsidRPr="00494098">
        <w:rPr>
          <w:lang w:val="fr-FR"/>
        </w:rPr>
        <w:t>e par la direction de l'école.</w:t>
      </w:r>
    </w:p>
    <w:p w14:paraId="432AC98F" w14:textId="77777777" w:rsidR="00077B75" w:rsidRPr="00494098" w:rsidRDefault="00077B75" w:rsidP="00480570">
      <w:pPr>
        <w:pStyle w:val="SingleTxtG"/>
        <w:rPr>
          <w:lang w:val="fr-FR"/>
        </w:rPr>
      </w:pPr>
      <w:r w:rsidRPr="00494098">
        <w:rPr>
          <w:lang w:val="fr-FR"/>
        </w:rPr>
        <w:t>213.</w:t>
      </w:r>
      <w:r w:rsidRPr="00494098">
        <w:rPr>
          <w:lang w:val="fr-FR"/>
        </w:rPr>
        <w:tab/>
      </w:r>
      <w:r w:rsidR="00AE22FF" w:rsidRPr="00494098">
        <w:rPr>
          <w:lang w:val="fr-FR"/>
        </w:rPr>
        <w:t>Il convient aussi de mentionner l</w:t>
      </w:r>
      <w:r w:rsidRPr="00494098">
        <w:rPr>
          <w:lang w:val="fr-FR"/>
        </w:rPr>
        <w:t xml:space="preserve">a pratique de l’éducation physique </w:t>
      </w:r>
      <w:r w:rsidR="00AE22FF" w:rsidRPr="00494098">
        <w:rPr>
          <w:lang w:val="fr-FR"/>
        </w:rPr>
        <w:t xml:space="preserve">tout au long du </w:t>
      </w:r>
      <w:r w:rsidRPr="00494098">
        <w:rPr>
          <w:lang w:val="fr-FR"/>
        </w:rPr>
        <w:t xml:space="preserve">parcours scolaire, la présence du sport en tant que supplément aux programmes scolaires et </w:t>
      </w:r>
      <w:r w:rsidR="00AE22FF" w:rsidRPr="00494098">
        <w:rPr>
          <w:lang w:val="fr-FR"/>
        </w:rPr>
        <w:t xml:space="preserve">dans les </w:t>
      </w:r>
      <w:r w:rsidRPr="00494098">
        <w:rPr>
          <w:lang w:val="fr-FR"/>
        </w:rPr>
        <w:t>moment</w:t>
      </w:r>
      <w:r w:rsidR="00AE22FF" w:rsidRPr="00494098">
        <w:rPr>
          <w:lang w:val="fr-FR"/>
        </w:rPr>
        <w:t>s</w:t>
      </w:r>
      <w:r w:rsidRPr="00494098">
        <w:rPr>
          <w:lang w:val="fr-FR"/>
        </w:rPr>
        <w:t xml:space="preserve"> de loisir</w:t>
      </w:r>
      <w:r w:rsidR="00AE22FF" w:rsidRPr="00494098">
        <w:rPr>
          <w:lang w:val="fr-FR"/>
        </w:rPr>
        <w:t>s</w:t>
      </w:r>
      <w:r w:rsidR="006717A5" w:rsidRPr="00494098">
        <w:rPr>
          <w:lang w:val="fr-FR"/>
        </w:rPr>
        <w:t> ;</w:t>
      </w:r>
      <w:r w:rsidR="00AE22FF" w:rsidRPr="00494098">
        <w:rPr>
          <w:lang w:val="fr-FR"/>
        </w:rPr>
        <w:t xml:space="preserve"> le programme « </w:t>
      </w:r>
      <w:r w:rsidRPr="00494098">
        <w:rPr>
          <w:lang w:val="fr-FR"/>
        </w:rPr>
        <w:t>Prends soin de toi</w:t>
      </w:r>
      <w:r w:rsidR="00AE22FF" w:rsidRPr="00494098">
        <w:rPr>
          <w:lang w:val="fr-FR"/>
        </w:rPr>
        <w:t> »</w:t>
      </w:r>
      <w:r w:rsidRPr="00494098">
        <w:rPr>
          <w:lang w:val="fr-FR"/>
        </w:rPr>
        <w:t xml:space="preserve"> (CUIDA-TE) d'éducation à la santé et </w:t>
      </w:r>
      <w:r w:rsidR="00AE22FF" w:rsidRPr="00494098">
        <w:rPr>
          <w:lang w:val="fr-FR"/>
        </w:rPr>
        <w:t xml:space="preserve">aux compétences de la vie pratique </w:t>
      </w:r>
      <w:r w:rsidRPr="00494098">
        <w:rPr>
          <w:lang w:val="fr-FR"/>
        </w:rPr>
        <w:t>dans ce domaine, qui s’adresse à environ 30</w:t>
      </w:r>
      <w:r w:rsidR="00AE22FF" w:rsidRPr="00494098">
        <w:rPr>
          <w:lang w:val="fr-FR"/>
        </w:rPr>
        <w:t> </w:t>
      </w:r>
      <w:r w:rsidRPr="00494098">
        <w:rPr>
          <w:lang w:val="fr-FR"/>
        </w:rPr>
        <w:t>000</w:t>
      </w:r>
      <w:r w:rsidR="00AE22FF" w:rsidRPr="00494098">
        <w:rPr>
          <w:lang w:val="fr-FR"/>
        </w:rPr>
        <w:t> </w:t>
      </w:r>
      <w:r w:rsidRPr="00494098">
        <w:rPr>
          <w:lang w:val="fr-FR"/>
        </w:rPr>
        <w:t>jeunes de 12 à 25</w:t>
      </w:r>
      <w:r w:rsidR="00AE22FF" w:rsidRPr="00494098">
        <w:rPr>
          <w:lang w:val="fr-FR"/>
        </w:rPr>
        <w:t> </w:t>
      </w:r>
      <w:r w:rsidRPr="00494098">
        <w:rPr>
          <w:lang w:val="fr-FR"/>
        </w:rPr>
        <w:t>ans</w:t>
      </w:r>
      <w:r w:rsidR="006717A5" w:rsidRPr="00494098">
        <w:rPr>
          <w:lang w:val="fr-FR"/>
        </w:rPr>
        <w:t> ;</w:t>
      </w:r>
      <w:r w:rsidRPr="00494098">
        <w:rPr>
          <w:lang w:val="fr-FR"/>
        </w:rPr>
        <w:t xml:space="preserve"> l</w:t>
      </w:r>
      <w:r w:rsidR="002B42FA" w:rsidRPr="00494098">
        <w:rPr>
          <w:lang w:val="fr-FR"/>
        </w:rPr>
        <w:t xml:space="preserve">e numéro d’appel </w:t>
      </w:r>
      <w:r w:rsidRPr="00494098">
        <w:rPr>
          <w:lang w:val="fr-FR"/>
        </w:rPr>
        <w:t xml:space="preserve">en ligne sur la sexualité, géré par l'Institut portugais de la jeunesse et des sports, le Programme scolaire </w:t>
      </w:r>
      <w:r w:rsidR="00AE22FF" w:rsidRPr="00494098">
        <w:rPr>
          <w:lang w:val="fr-FR"/>
        </w:rPr>
        <w:t xml:space="preserve">PERA </w:t>
      </w:r>
      <w:r w:rsidRPr="00494098">
        <w:rPr>
          <w:lang w:val="fr-FR"/>
        </w:rPr>
        <w:t>de renforcement alimentaire, et les Programmes scolaires de distribution de fruits et de lait.</w:t>
      </w:r>
    </w:p>
    <w:p w14:paraId="5B8342BF" w14:textId="19899099" w:rsidR="00077B75" w:rsidRPr="00494098" w:rsidRDefault="00077B75" w:rsidP="00480570">
      <w:pPr>
        <w:pStyle w:val="SingleTxtG"/>
        <w:rPr>
          <w:lang w:val="fr-FR"/>
        </w:rPr>
      </w:pPr>
      <w:r w:rsidRPr="00494098">
        <w:rPr>
          <w:lang w:val="fr-FR"/>
        </w:rPr>
        <w:t>214.</w:t>
      </w:r>
      <w:r w:rsidRPr="00494098">
        <w:rPr>
          <w:lang w:val="fr-FR"/>
        </w:rPr>
        <w:tab/>
        <w:t xml:space="preserve">Depuis 2017, le </w:t>
      </w:r>
      <w:r w:rsidR="002B42FA" w:rsidRPr="00494098">
        <w:rPr>
          <w:lang w:val="fr-FR"/>
        </w:rPr>
        <w:t>t</w:t>
      </w:r>
      <w:r w:rsidRPr="00494098">
        <w:rPr>
          <w:lang w:val="fr-FR"/>
        </w:rPr>
        <w:t>imbre «</w:t>
      </w:r>
      <w:r w:rsidR="008356F1" w:rsidRPr="00494098">
        <w:rPr>
          <w:lang w:val="fr-FR"/>
        </w:rPr>
        <w:t> </w:t>
      </w:r>
      <w:r w:rsidR="002B42FA" w:rsidRPr="00494098">
        <w:rPr>
          <w:lang w:val="fr-FR"/>
        </w:rPr>
        <w:t>É</w:t>
      </w:r>
      <w:r w:rsidRPr="00494098">
        <w:rPr>
          <w:lang w:val="fr-FR"/>
        </w:rPr>
        <w:t>cole saine</w:t>
      </w:r>
      <w:r w:rsidR="008356F1" w:rsidRPr="00494098">
        <w:rPr>
          <w:lang w:val="fr-FR"/>
        </w:rPr>
        <w:t> </w:t>
      </w:r>
      <w:r w:rsidRPr="00494098">
        <w:rPr>
          <w:lang w:val="fr-FR"/>
        </w:rPr>
        <w:t>» récompense les écoles qui promeuvent la santé et le bien-être de la communauté éducative (</w:t>
      </w:r>
      <w:r w:rsidR="000A0B6B">
        <w:rPr>
          <w:lang w:val="fr-FR"/>
        </w:rPr>
        <w:t xml:space="preserve">il est possible d’obtenir davantage de précisions </w:t>
      </w:r>
      <w:r w:rsidRPr="00494098">
        <w:rPr>
          <w:lang w:val="fr-FR"/>
        </w:rPr>
        <w:t xml:space="preserve"> à l'adresse</w:t>
      </w:r>
      <w:r w:rsidR="00090CBF" w:rsidRPr="00494098">
        <w:rPr>
          <w:lang w:val="fr-FR"/>
        </w:rPr>
        <w:t> :</w:t>
      </w:r>
      <w:r w:rsidRPr="00494098">
        <w:rPr>
          <w:lang w:val="fr-FR"/>
        </w:rPr>
        <w:t xml:space="preserve"> http://area.dge.mec.pt/selo-escola-saudavel/Regulamento.pdf)</w:t>
      </w:r>
    </w:p>
    <w:p w14:paraId="55A48462" w14:textId="77777777" w:rsidR="00077B75" w:rsidRPr="00494098" w:rsidRDefault="00077B75" w:rsidP="00480570">
      <w:pPr>
        <w:pStyle w:val="SingleTxtG"/>
        <w:rPr>
          <w:lang w:val="fr-FR"/>
        </w:rPr>
      </w:pPr>
      <w:r w:rsidRPr="00494098">
        <w:rPr>
          <w:lang w:val="fr-FR"/>
        </w:rPr>
        <w:t>215.</w:t>
      </w:r>
      <w:r w:rsidRPr="00494098">
        <w:rPr>
          <w:lang w:val="fr-FR"/>
        </w:rPr>
        <w:tab/>
        <w:t xml:space="preserve">L’éducation à la vie pratique et </w:t>
      </w:r>
      <w:r w:rsidR="00815702" w:rsidRPr="00494098">
        <w:rPr>
          <w:lang w:val="fr-FR"/>
        </w:rPr>
        <w:t xml:space="preserve">aux modes </w:t>
      </w:r>
      <w:r w:rsidRPr="00494098">
        <w:rPr>
          <w:lang w:val="fr-FR"/>
        </w:rPr>
        <w:t xml:space="preserve">de vie sains </w:t>
      </w:r>
      <w:r w:rsidR="00815702" w:rsidRPr="00494098">
        <w:rPr>
          <w:lang w:val="fr-FR"/>
        </w:rPr>
        <w:t>est</w:t>
      </w:r>
      <w:r w:rsidRPr="00494098">
        <w:rPr>
          <w:lang w:val="fr-FR"/>
        </w:rPr>
        <w:t xml:space="preserve"> encouragé</w:t>
      </w:r>
      <w:r w:rsidR="00815702" w:rsidRPr="00494098">
        <w:rPr>
          <w:lang w:val="fr-FR"/>
        </w:rPr>
        <w:t>e</w:t>
      </w:r>
      <w:r w:rsidRPr="00494098">
        <w:rPr>
          <w:lang w:val="fr-FR"/>
        </w:rPr>
        <w:t xml:space="preserve"> aussi par des programmes communs, des partenariats et des protocoles dans les secteurs de l'éducation et de la santé. </w:t>
      </w:r>
    </w:p>
    <w:p w14:paraId="23778C21" w14:textId="77777777" w:rsidR="00077B75" w:rsidRPr="00494098" w:rsidRDefault="009E613B" w:rsidP="00480570">
      <w:pPr>
        <w:pStyle w:val="SingleTxtG"/>
        <w:rPr>
          <w:lang w:val="fr-FR"/>
        </w:rPr>
      </w:pPr>
      <w:r w:rsidRPr="00494098">
        <w:rPr>
          <w:lang w:val="fr-FR"/>
        </w:rPr>
        <w:t>216.</w:t>
      </w:r>
      <w:r w:rsidRPr="00494098">
        <w:rPr>
          <w:lang w:val="fr-FR"/>
        </w:rPr>
        <w:tab/>
        <w:t>À</w:t>
      </w:r>
      <w:r w:rsidR="00077B75" w:rsidRPr="00494098">
        <w:rPr>
          <w:lang w:val="fr-FR"/>
        </w:rPr>
        <w:t xml:space="preserve"> tous les niveaux de l'enseignement, les écoles publiques mettent en </w:t>
      </w:r>
      <w:r w:rsidR="00D264B0" w:rsidRPr="00494098">
        <w:rPr>
          <w:lang w:val="fr-FR"/>
        </w:rPr>
        <w:t>œuvr</w:t>
      </w:r>
      <w:r w:rsidR="00077B75" w:rsidRPr="00494098">
        <w:rPr>
          <w:lang w:val="fr-FR"/>
        </w:rPr>
        <w:t xml:space="preserve">e des projets de promotion de la santé et d’éducation à la santé, </w:t>
      </w:r>
      <w:r w:rsidRPr="00494098">
        <w:rPr>
          <w:lang w:val="fr-FR"/>
        </w:rPr>
        <w:t xml:space="preserve">mettent </w:t>
      </w:r>
      <w:r w:rsidR="00077B75" w:rsidRPr="00494098">
        <w:rPr>
          <w:lang w:val="fr-FR"/>
        </w:rPr>
        <w:t>l’accent sur l’éducation nutritionnelle et l’activité physique, l’éducation sexuelle et la prévention des infections sexuellement transmissibles, la prévention de la consommation de substances psychotropes, la santé mentale ou la prévention de la violence à l’école. En découle</w:t>
      </w:r>
      <w:r w:rsidRPr="00494098">
        <w:rPr>
          <w:lang w:val="fr-FR"/>
        </w:rPr>
        <w:t>nt</w:t>
      </w:r>
      <w:r w:rsidR="00077B75" w:rsidRPr="00494098">
        <w:rPr>
          <w:lang w:val="fr-FR"/>
        </w:rPr>
        <w:t xml:space="preserve"> notamment des activités scolaires, des lois et des directives </w:t>
      </w:r>
      <w:r w:rsidRPr="00494098">
        <w:rPr>
          <w:lang w:val="fr-FR"/>
        </w:rPr>
        <w:t xml:space="preserve">transversales </w:t>
      </w:r>
      <w:r w:rsidR="00077B75" w:rsidRPr="00494098">
        <w:rPr>
          <w:lang w:val="fr-FR"/>
        </w:rPr>
        <w:t>à l’intention des écoles.</w:t>
      </w:r>
    </w:p>
    <w:p w14:paraId="3C479060" w14:textId="77777777" w:rsidR="00077B75" w:rsidRPr="00494098" w:rsidRDefault="00077B75" w:rsidP="00DF1F00">
      <w:pPr>
        <w:pStyle w:val="H4G"/>
        <w:rPr>
          <w:lang w:val="fr-FR"/>
        </w:rPr>
      </w:pPr>
      <w:r w:rsidRPr="00494098">
        <w:rPr>
          <w:lang w:val="fr-FR"/>
        </w:rPr>
        <w:tab/>
      </w:r>
      <w:r w:rsidRPr="00494098">
        <w:rPr>
          <w:lang w:val="fr-FR"/>
        </w:rPr>
        <w:tab/>
      </w:r>
      <w:r w:rsidR="009E613B" w:rsidRPr="00494098">
        <w:rPr>
          <w:iCs/>
          <w:lang w:val="fr-FR"/>
        </w:rPr>
        <w:t>É</w:t>
      </w:r>
      <w:r w:rsidRPr="00494098">
        <w:rPr>
          <w:iCs/>
          <w:lang w:val="fr-FR"/>
        </w:rPr>
        <w:t>ducation à la vie pratique</w:t>
      </w:r>
      <w:bookmarkStart w:id="151" w:name="_Toc530057526"/>
      <w:bookmarkEnd w:id="151"/>
      <w:r w:rsidR="009E613B" w:rsidRPr="00494098">
        <w:rPr>
          <w:iCs/>
          <w:lang w:val="fr-FR"/>
        </w:rPr>
        <w:t xml:space="preserve"> et formation</w:t>
      </w:r>
    </w:p>
    <w:p w14:paraId="207A8A2B" w14:textId="77777777" w:rsidR="00077B75" w:rsidRPr="00494098" w:rsidRDefault="00077B75" w:rsidP="00480570">
      <w:pPr>
        <w:pStyle w:val="SingleTxtG"/>
        <w:rPr>
          <w:lang w:val="fr-FR"/>
        </w:rPr>
      </w:pPr>
      <w:r w:rsidRPr="00494098">
        <w:rPr>
          <w:lang w:val="fr-FR"/>
        </w:rPr>
        <w:t>217.</w:t>
      </w:r>
      <w:r w:rsidRPr="00494098">
        <w:rPr>
          <w:lang w:val="fr-FR"/>
        </w:rPr>
        <w:tab/>
        <w:t xml:space="preserve">Des ressources pédagogiques destinées aux enseignants et au personnel éducatif ainsi qu'aux enfants et aux jeunes sur l'éducation </w:t>
      </w:r>
      <w:r w:rsidR="00F028FA" w:rsidRPr="00494098">
        <w:rPr>
          <w:lang w:val="fr-FR"/>
        </w:rPr>
        <w:t>à la vie pratique</w:t>
      </w:r>
      <w:r w:rsidR="00C85060" w:rsidRPr="00494098">
        <w:rPr>
          <w:lang w:val="fr-FR"/>
        </w:rPr>
        <w:t>,</w:t>
      </w:r>
      <w:r w:rsidR="00F028FA" w:rsidRPr="00494098">
        <w:rPr>
          <w:lang w:val="fr-FR"/>
        </w:rPr>
        <w:t xml:space="preserve"> </w:t>
      </w:r>
      <w:r w:rsidRPr="00494098">
        <w:rPr>
          <w:lang w:val="fr-FR"/>
        </w:rPr>
        <w:t>et l</w:t>
      </w:r>
      <w:r w:rsidR="00571A82" w:rsidRPr="00494098">
        <w:rPr>
          <w:lang w:val="fr-FR"/>
        </w:rPr>
        <w:t>es</w:t>
      </w:r>
      <w:r w:rsidRPr="00494098">
        <w:rPr>
          <w:lang w:val="fr-FR"/>
        </w:rPr>
        <w:t xml:space="preserve"> formation</w:t>
      </w:r>
      <w:r w:rsidR="00571A82" w:rsidRPr="00494098">
        <w:rPr>
          <w:lang w:val="fr-FR"/>
        </w:rPr>
        <w:t>s</w:t>
      </w:r>
      <w:r w:rsidRPr="00494098">
        <w:rPr>
          <w:lang w:val="fr-FR"/>
        </w:rPr>
        <w:t xml:space="preserve"> </w:t>
      </w:r>
      <w:r w:rsidR="00F028FA" w:rsidRPr="00494098">
        <w:rPr>
          <w:lang w:val="fr-FR"/>
        </w:rPr>
        <w:t>correspondante</w:t>
      </w:r>
      <w:r w:rsidR="00571A82" w:rsidRPr="00494098">
        <w:rPr>
          <w:lang w:val="fr-FR"/>
        </w:rPr>
        <w:t>s</w:t>
      </w:r>
      <w:r w:rsidR="00C85060" w:rsidRPr="00494098">
        <w:rPr>
          <w:lang w:val="fr-FR"/>
        </w:rPr>
        <w:t>,</w:t>
      </w:r>
      <w:r w:rsidR="00F028FA" w:rsidRPr="00494098">
        <w:rPr>
          <w:lang w:val="fr-FR"/>
        </w:rPr>
        <w:t xml:space="preserve"> </w:t>
      </w:r>
      <w:r w:rsidRPr="00494098">
        <w:rPr>
          <w:lang w:val="fr-FR"/>
        </w:rPr>
        <w:t>ont été publiées</w:t>
      </w:r>
      <w:r w:rsidR="00C85060" w:rsidRPr="00494098">
        <w:rPr>
          <w:lang w:val="fr-FR"/>
        </w:rPr>
        <w:t> ;</w:t>
      </w:r>
      <w:r w:rsidRPr="00494098">
        <w:rPr>
          <w:lang w:val="fr-FR"/>
        </w:rPr>
        <w:t xml:space="preserve"> des sites Web destinés aux enfants et aux jeunes ont été créés.</w:t>
      </w:r>
    </w:p>
    <w:p w14:paraId="18135E8D" w14:textId="77777777" w:rsidR="00077B75" w:rsidRPr="00494098" w:rsidRDefault="00077B75" w:rsidP="00480570">
      <w:pPr>
        <w:pStyle w:val="SingleTxtG"/>
        <w:rPr>
          <w:lang w:val="fr-FR"/>
        </w:rPr>
      </w:pPr>
      <w:r w:rsidRPr="00494098">
        <w:rPr>
          <w:lang w:val="fr-FR"/>
        </w:rPr>
        <w:t>218.</w:t>
      </w:r>
      <w:r w:rsidRPr="00494098">
        <w:rPr>
          <w:lang w:val="fr-FR"/>
        </w:rPr>
        <w:tab/>
      </w:r>
      <w:r w:rsidR="00571A82" w:rsidRPr="00494098">
        <w:rPr>
          <w:lang w:val="fr-FR"/>
        </w:rPr>
        <w:t>À tous les niveaux de l’enseignement, l</w:t>
      </w:r>
      <w:r w:rsidRPr="00494098">
        <w:rPr>
          <w:lang w:val="fr-FR"/>
        </w:rPr>
        <w:t xml:space="preserve">e REH </w:t>
      </w:r>
      <w:r w:rsidR="00571A82" w:rsidRPr="00494098">
        <w:rPr>
          <w:lang w:val="fr-FR"/>
        </w:rPr>
        <w:t xml:space="preserve">propose </w:t>
      </w:r>
      <w:r w:rsidRPr="00494098">
        <w:rPr>
          <w:lang w:val="fr-FR"/>
        </w:rPr>
        <w:t xml:space="preserve">des directives spécifiques </w:t>
      </w:r>
      <w:r w:rsidR="00571A82" w:rsidRPr="00494098">
        <w:rPr>
          <w:lang w:val="fr-FR"/>
        </w:rPr>
        <w:t xml:space="preserve">aux </w:t>
      </w:r>
      <w:r w:rsidRPr="00494098">
        <w:rPr>
          <w:lang w:val="fr-FR"/>
        </w:rPr>
        <w:t xml:space="preserve">enseignants/éducateurs </w:t>
      </w:r>
      <w:r w:rsidR="00571A82" w:rsidRPr="00494098">
        <w:rPr>
          <w:lang w:val="fr-FR"/>
        </w:rPr>
        <w:t xml:space="preserve">en vue de promouvoir des </w:t>
      </w:r>
      <w:r w:rsidRPr="00494098">
        <w:rPr>
          <w:lang w:val="fr-FR"/>
        </w:rPr>
        <w:t xml:space="preserve">styles de vie sains chez les élèves, sur la base d’une perspective </w:t>
      </w:r>
      <w:r w:rsidR="00F028FA" w:rsidRPr="00494098">
        <w:rPr>
          <w:lang w:val="fr-FR"/>
        </w:rPr>
        <w:t>holistique</w:t>
      </w:r>
      <w:r w:rsidRPr="00494098">
        <w:rPr>
          <w:lang w:val="fr-FR"/>
        </w:rPr>
        <w:t xml:space="preserve">, </w:t>
      </w:r>
      <w:r w:rsidR="00C85060" w:rsidRPr="00494098">
        <w:rPr>
          <w:lang w:val="fr-FR"/>
        </w:rPr>
        <w:t xml:space="preserve">notamment </w:t>
      </w:r>
      <w:r w:rsidRPr="00494098">
        <w:rPr>
          <w:lang w:val="fr-FR"/>
        </w:rPr>
        <w:t xml:space="preserve">la prévention des </w:t>
      </w:r>
      <w:r w:rsidR="00F028FA" w:rsidRPr="00494098">
        <w:rPr>
          <w:lang w:val="fr-FR"/>
        </w:rPr>
        <w:t xml:space="preserve">addictions comportementales </w:t>
      </w:r>
      <w:r w:rsidRPr="00494098">
        <w:rPr>
          <w:lang w:val="fr-FR"/>
        </w:rPr>
        <w:t xml:space="preserve">et des dépendances. </w:t>
      </w:r>
    </w:p>
    <w:p w14:paraId="3A1F1347" w14:textId="77777777" w:rsidR="00077B75" w:rsidRPr="00494098" w:rsidRDefault="00077B75" w:rsidP="00480570">
      <w:pPr>
        <w:pStyle w:val="SingleTxtG"/>
        <w:rPr>
          <w:lang w:val="fr-FR"/>
        </w:rPr>
      </w:pPr>
      <w:r w:rsidRPr="00494098">
        <w:rPr>
          <w:lang w:val="fr-FR"/>
        </w:rPr>
        <w:t>219.</w:t>
      </w:r>
      <w:r w:rsidRPr="00494098">
        <w:rPr>
          <w:lang w:val="fr-FR"/>
        </w:rPr>
        <w:tab/>
        <w:t>Entre 2014 et 2017, 244</w:t>
      </w:r>
      <w:r w:rsidR="00F028FA" w:rsidRPr="00494098">
        <w:rPr>
          <w:lang w:val="fr-FR"/>
        </w:rPr>
        <w:t> </w:t>
      </w:r>
      <w:r w:rsidRPr="00494098">
        <w:rPr>
          <w:lang w:val="fr-FR"/>
        </w:rPr>
        <w:t xml:space="preserve">formations </w:t>
      </w:r>
      <w:r w:rsidR="00F028FA" w:rsidRPr="00494098">
        <w:rPr>
          <w:lang w:val="fr-FR"/>
        </w:rPr>
        <w:t xml:space="preserve">d’enseignants </w:t>
      </w:r>
      <w:r w:rsidRPr="00494098">
        <w:rPr>
          <w:lang w:val="fr-FR"/>
        </w:rPr>
        <w:t xml:space="preserve">ont été </w:t>
      </w:r>
      <w:r w:rsidR="00C85060" w:rsidRPr="00494098">
        <w:rPr>
          <w:lang w:val="fr-FR"/>
        </w:rPr>
        <w:t xml:space="preserve">organisées </w:t>
      </w:r>
      <w:r w:rsidRPr="00494098">
        <w:rPr>
          <w:lang w:val="fr-FR"/>
        </w:rPr>
        <w:t>pour 381</w:t>
      </w:r>
      <w:r w:rsidR="00F028FA" w:rsidRPr="00494098">
        <w:rPr>
          <w:lang w:val="fr-FR"/>
        </w:rPr>
        <w:t> </w:t>
      </w:r>
      <w:r w:rsidRPr="00494098">
        <w:rPr>
          <w:lang w:val="fr-FR"/>
        </w:rPr>
        <w:t>classes d'éducation à la santé. Les entités chargées de la formation du personnel non enseignant ont mené six actions de formation entre 2014 et 2017</w:t>
      </w:r>
      <w:r w:rsidR="00F028FA" w:rsidRPr="00494098">
        <w:rPr>
          <w:lang w:val="fr-FR"/>
        </w:rPr>
        <w:t>,</w:t>
      </w:r>
      <w:r w:rsidRPr="00494098">
        <w:rPr>
          <w:lang w:val="fr-FR"/>
        </w:rPr>
        <w:t xml:space="preserve"> pour 41</w:t>
      </w:r>
      <w:r w:rsidR="00F028FA" w:rsidRPr="00494098">
        <w:rPr>
          <w:lang w:val="fr-FR"/>
        </w:rPr>
        <w:t> </w:t>
      </w:r>
      <w:r w:rsidRPr="00494098">
        <w:rPr>
          <w:lang w:val="fr-FR"/>
        </w:rPr>
        <w:t>classes.</w:t>
      </w:r>
    </w:p>
    <w:p w14:paraId="55334C48" w14:textId="4D7D0104" w:rsidR="00077B75" w:rsidRPr="00494098" w:rsidRDefault="00077B75" w:rsidP="00DF1F00">
      <w:pPr>
        <w:pStyle w:val="H4G"/>
        <w:rPr>
          <w:lang w:val="fr-FR"/>
        </w:rPr>
      </w:pPr>
      <w:r w:rsidRPr="00494098">
        <w:rPr>
          <w:lang w:val="fr-FR"/>
        </w:rPr>
        <w:tab/>
      </w:r>
      <w:r w:rsidRPr="00494098">
        <w:rPr>
          <w:lang w:val="fr-FR"/>
        </w:rPr>
        <w:tab/>
      </w:r>
      <w:r w:rsidRPr="00494098">
        <w:rPr>
          <w:iCs/>
          <w:lang w:val="fr-FR"/>
        </w:rPr>
        <w:t xml:space="preserve">Vente </w:t>
      </w:r>
      <w:r w:rsidR="0028318B" w:rsidRPr="00494098">
        <w:rPr>
          <w:iCs/>
          <w:lang w:val="fr-FR"/>
        </w:rPr>
        <w:t xml:space="preserve">d’alcool et de tabac </w:t>
      </w:r>
      <w:r w:rsidRPr="00494098">
        <w:rPr>
          <w:iCs/>
          <w:lang w:val="fr-FR"/>
        </w:rPr>
        <w:t>et publicité</w:t>
      </w:r>
      <w:bookmarkStart w:id="152" w:name="_Toc530057527"/>
      <w:bookmarkEnd w:id="152"/>
      <w:r w:rsidR="00677C95">
        <w:rPr>
          <w:iCs/>
          <w:lang w:val="fr-FR"/>
        </w:rPr>
        <w:t xml:space="preserve"> pour l’alcool et le tabac</w:t>
      </w:r>
    </w:p>
    <w:p w14:paraId="2C02368E" w14:textId="4F9CE293" w:rsidR="00077B75" w:rsidRPr="00494098" w:rsidRDefault="00077B75" w:rsidP="00480570">
      <w:pPr>
        <w:pStyle w:val="SingleTxtG"/>
        <w:rPr>
          <w:lang w:val="fr-FR"/>
        </w:rPr>
      </w:pPr>
      <w:r w:rsidRPr="00494098">
        <w:rPr>
          <w:lang w:val="fr-FR"/>
        </w:rPr>
        <w:t>220.</w:t>
      </w:r>
      <w:r w:rsidRPr="00494098">
        <w:rPr>
          <w:lang w:val="fr-FR"/>
        </w:rPr>
        <w:tab/>
        <w:t xml:space="preserve">Le Code de la publicité portugais (loi </w:t>
      </w:r>
      <w:r w:rsidR="006717A5" w:rsidRPr="00494098">
        <w:rPr>
          <w:lang w:val="fr-FR"/>
        </w:rPr>
        <w:t>n° </w:t>
      </w:r>
      <w:r w:rsidRPr="00494098">
        <w:rPr>
          <w:lang w:val="fr-FR"/>
        </w:rPr>
        <w:t>330/90 du 23</w:t>
      </w:r>
      <w:r w:rsidR="00203C62" w:rsidRPr="00494098">
        <w:rPr>
          <w:lang w:val="fr-FR"/>
        </w:rPr>
        <w:t> octobre</w:t>
      </w:r>
      <w:r w:rsidRPr="00494098">
        <w:rPr>
          <w:lang w:val="fr-FR"/>
        </w:rPr>
        <w:t xml:space="preserve"> 1990) interdit la publicité </w:t>
      </w:r>
      <w:r w:rsidR="00677C95">
        <w:rPr>
          <w:lang w:val="fr-FR"/>
        </w:rPr>
        <w:t xml:space="preserve">pour les </w:t>
      </w:r>
      <w:r w:rsidRPr="00494098">
        <w:rPr>
          <w:lang w:val="fr-FR"/>
        </w:rPr>
        <w:t xml:space="preserve"> produits du tabac. </w:t>
      </w:r>
    </w:p>
    <w:p w14:paraId="6BF3BB9A" w14:textId="17CD6416" w:rsidR="00077B75" w:rsidRPr="00494098" w:rsidRDefault="00077B75" w:rsidP="00480570">
      <w:pPr>
        <w:pStyle w:val="SingleTxtG"/>
        <w:rPr>
          <w:lang w:val="fr-FR"/>
        </w:rPr>
      </w:pPr>
      <w:r w:rsidRPr="00494098">
        <w:rPr>
          <w:lang w:val="fr-FR"/>
        </w:rPr>
        <w:t>221.</w:t>
      </w:r>
      <w:r w:rsidRPr="00494098">
        <w:rPr>
          <w:lang w:val="fr-FR"/>
        </w:rPr>
        <w:tab/>
        <w:t xml:space="preserve">La publicité </w:t>
      </w:r>
      <w:r w:rsidR="009A0122">
        <w:rPr>
          <w:lang w:val="fr-FR"/>
        </w:rPr>
        <w:t xml:space="preserve">pour les </w:t>
      </w:r>
      <w:r w:rsidRPr="00494098">
        <w:rPr>
          <w:lang w:val="fr-FR"/>
        </w:rPr>
        <w:t xml:space="preserve"> produits alcoolisés dans les écoles, les publications, les programmes et les activités qui visent spécifiquement les mineurs est interdite par l’</w:t>
      </w:r>
      <w:r w:rsidR="0082263D" w:rsidRPr="00494098">
        <w:rPr>
          <w:lang w:val="fr-FR"/>
        </w:rPr>
        <w:t>article 1</w:t>
      </w:r>
      <w:r w:rsidR="00771F8A" w:rsidRPr="00494098">
        <w:rPr>
          <w:lang w:val="fr-FR"/>
        </w:rPr>
        <w:t>8. L’article </w:t>
      </w:r>
      <w:r w:rsidRPr="00494098">
        <w:rPr>
          <w:lang w:val="fr-FR"/>
        </w:rPr>
        <w:t xml:space="preserve">20 interdit toute publicité </w:t>
      </w:r>
      <w:r w:rsidR="009A0122">
        <w:rPr>
          <w:lang w:val="fr-FR"/>
        </w:rPr>
        <w:t xml:space="preserve">pour les </w:t>
      </w:r>
      <w:r w:rsidRPr="00494098">
        <w:rPr>
          <w:lang w:val="fr-FR"/>
        </w:rPr>
        <w:t xml:space="preserve"> produits alcoolisés à la télévision et à la radio, entre 7</w:t>
      </w:r>
      <w:r w:rsidR="00771F8A" w:rsidRPr="00494098">
        <w:rPr>
          <w:lang w:val="fr-FR"/>
        </w:rPr>
        <w:t> </w:t>
      </w:r>
      <w:r w:rsidRPr="00494098">
        <w:rPr>
          <w:lang w:val="fr-FR"/>
        </w:rPr>
        <w:t>heures et 2</w:t>
      </w:r>
      <w:r w:rsidR="00E143AB" w:rsidRPr="00494098">
        <w:rPr>
          <w:lang w:val="fr-FR"/>
        </w:rPr>
        <w:t>1</w:t>
      </w:r>
      <w:r w:rsidR="00771F8A" w:rsidRPr="00494098">
        <w:rPr>
          <w:lang w:val="fr-FR"/>
        </w:rPr>
        <w:t> </w:t>
      </w:r>
      <w:r w:rsidRPr="00494098">
        <w:rPr>
          <w:lang w:val="fr-FR"/>
        </w:rPr>
        <w:t>h</w:t>
      </w:r>
      <w:r w:rsidR="00771F8A" w:rsidRPr="00494098">
        <w:rPr>
          <w:lang w:val="fr-FR"/>
        </w:rPr>
        <w:t> </w:t>
      </w:r>
      <w:r w:rsidRPr="00494098">
        <w:rPr>
          <w:lang w:val="fr-FR"/>
        </w:rPr>
        <w:t>30.</w:t>
      </w:r>
    </w:p>
    <w:p w14:paraId="0070F0DF" w14:textId="77777777" w:rsidR="00077B75" w:rsidRPr="00494098" w:rsidRDefault="00077B75" w:rsidP="00480570">
      <w:pPr>
        <w:pStyle w:val="SingleTxtG"/>
        <w:rPr>
          <w:lang w:val="fr-FR"/>
        </w:rPr>
      </w:pPr>
      <w:r w:rsidRPr="00494098">
        <w:rPr>
          <w:lang w:val="fr-FR"/>
        </w:rPr>
        <w:t>222.</w:t>
      </w:r>
      <w:r w:rsidRPr="00494098">
        <w:rPr>
          <w:lang w:val="fr-FR"/>
        </w:rPr>
        <w:tab/>
      </w:r>
      <w:r w:rsidR="00C85060" w:rsidRPr="00494098">
        <w:rPr>
          <w:lang w:val="fr-FR"/>
        </w:rPr>
        <w:t>Dans le but de limiter la consommation d’alcool par les adolescents, qui sont un groupe à risque, l</w:t>
      </w:r>
      <w:r w:rsidRPr="00494098">
        <w:rPr>
          <w:lang w:val="fr-FR"/>
        </w:rPr>
        <w:t>’âge minimum légal de la consommation de boissons alcoolisées est passé à 18</w:t>
      </w:r>
      <w:r w:rsidR="004566AD" w:rsidRPr="00494098">
        <w:rPr>
          <w:lang w:val="fr-FR"/>
        </w:rPr>
        <w:t> </w:t>
      </w:r>
      <w:r w:rsidRPr="00494098">
        <w:rPr>
          <w:lang w:val="fr-FR"/>
        </w:rPr>
        <w:t xml:space="preserve">ans (décret-loi </w:t>
      </w:r>
      <w:r w:rsidR="006717A5" w:rsidRPr="00494098">
        <w:rPr>
          <w:lang w:val="fr-FR"/>
        </w:rPr>
        <w:t>n° </w:t>
      </w:r>
      <w:r w:rsidRPr="00494098">
        <w:rPr>
          <w:lang w:val="fr-FR"/>
        </w:rPr>
        <w:t>50/2013 du 16</w:t>
      </w:r>
      <w:r w:rsidR="007704A8" w:rsidRPr="00494098">
        <w:rPr>
          <w:lang w:val="fr-FR"/>
        </w:rPr>
        <w:t> avril</w:t>
      </w:r>
      <w:r w:rsidRPr="00494098">
        <w:rPr>
          <w:lang w:val="fr-FR"/>
        </w:rPr>
        <w:t xml:space="preserve"> 2013, tel que modifié par le décret-loi </w:t>
      </w:r>
      <w:r w:rsidR="006717A5" w:rsidRPr="00494098">
        <w:rPr>
          <w:lang w:val="fr-FR"/>
        </w:rPr>
        <w:t>n° </w:t>
      </w:r>
      <w:r w:rsidR="00480991" w:rsidRPr="00494098">
        <w:rPr>
          <w:lang w:val="fr-FR"/>
        </w:rPr>
        <w:t>1</w:t>
      </w:r>
      <w:r w:rsidRPr="00494098">
        <w:rPr>
          <w:lang w:val="fr-FR"/>
        </w:rPr>
        <w:t>06/2015 du 16</w:t>
      </w:r>
      <w:r w:rsidR="00090CBF" w:rsidRPr="00494098">
        <w:rPr>
          <w:lang w:val="fr-FR"/>
        </w:rPr>
        <w:t> juin</w:t>
      </w:r>
      <w:r w:rsidRPr="00494098">
        <w:rPr>
          <w:lang w:val="fr-FR"/>
        </w:rPr>
        <w:t xml:space="preserve"> 2015).</w:t>
      </w:r>
    </w:p>
    <w:p w14:paraId="07D53A1C" w14:textId="77777777" w:rsidR="00077B75" w:rsidRPr="00494098" w:rsidRDefault="00077B75" w:rsidP="00480570">
      <w:pPr>
        <w:pStyle w:val="SingleTxtG"/>
        <w:rPr>
          <w:lang w:val="fr-FR"/>
        </w:rPr>
      </w:pPr>
      <w:r w:rsidRPr="00494098">
        <w:rPr>
          <w:lang w:val="fr-FR"/>
        </w:rPr>
        <w:t>223.</w:t>
      </w:r>
      <w:r w:rsidRPr="00494098">
        <w:rPr>
          <w:lang w:val="fr-FR"/>
        </w:rPr>
        <w:tab/>
        <w:t>L’Agence de la sécurité alimentaire et économique (ASAE) est chargée de superviser l’application de la législation, d’enquêter sur les affaires et d'i</w:t>
      </w:r>
      <w:r w:rsidR="004566AD" w:rsidRPr="00494098">
        <w:rPr>
          <w:lang w:val="fr-FR"/>
        </w:rPr>
        <w:t xml:space="preserve">nfliger </w:t>
      </w:r>
      <w:r w:rsidRPr="00494098">
        <w:rPr>
          <w:lang w:val="fr-FR"/>
        </w:rPr>
        <w:t xml:space="preserve">des amendes et des sanctions accessoires (voir </w:t>
      </w:r>
      <w:r w:rsidR="003B4E18" w:rsidRPr="00494098">
        <w:rPr>
          <w:lang w:val="fr-FR"/>
        </w:rPr>
        <w:t>tableau 1</w:t>
      </w:r>
      <w:r w:rsidRPr="00494098">
        <w:rPr>
          <w:lang w:val="fr-FR"/>
        </w:rPr>
        <w:t xml:space="preserve">9, </w:t>
      </w:r>
      <w:r w:rsidR="003B4E18" w:rsidRPr="00494098">
        <w:rPr>
          <w:lang w:val="fr-FR"/>
        </w:rPr>
        <w:t>annexe 1</w:t>
      </w:r>
      <w:r w:rsidRPr="00494098">
        <w:rPr>
          <w:lang w:val="fr-FR"/>
        </w:rPr>
        <w:t>).</w:t>
      </w:r>
    </w:p>
    <w:p w14:paraId="1A230643" w14:textId="77777777" w:rsidR="00077B75" w:rsidRPr="00494098" w:rsidRDefault="00077B75" w:rsidP="00480570">
      <w:pPr>
        <w:pStyle w:val="SingleTxtG"/>
        <w:rPr>
          <w:lang w:val="fr-FR"/>
        </w:rPr>
      </w:pPr>
      <w:r w:rsidRPr="00494098">
        <w:rPr>
          <w:lang w:val="fr-FR"/>
        </w:rPr>
        <w:t>224.</w:t>
      </w:r>
      <w:r w:rsidRPr="00494098">
        <w:rPr>
          <w:lang w:val="fr-FR"/>
        </w:rPr>
        <w:tab/>
        <w:t xml:space="preserve">La loi </w:t>
      </w:r>
      <w:r w:rsidR="006717A5" w:rsidRPr="00494098">
        <w:rPr>
          <w:lang w:val="fr-FR"/>
        </w:rPr>
        <w:t>n° </w:t>
      </w:r>
      <w:r w:rsidRPr="00494098">
        <w:rPr>
          <w:lang w:val="fr-FR"/>
        </w:rPr>
        <w:t>37/2007 du 14</w:t>
      </w:r>
      <w:r w:rsidR="00480991" w:rsidRPr="00494098">
        <w:rPr>
          <w:lang w:val="fr-FR"/>
        </w:rPr>
        <w:t> août</w:t>
      </w:r>
      <w:r w:rsidRPr="00494098">
        <w:rPr>
          <w:lang w:val="fr-FR"/>
        </w:rPr>
        <w:t xml:space="preserve"> 2007, modifiée par la loi </w:t>
      </w:r>
      <w:r w:rsidR="006717A5" w:rsidRPr="00494098">
        <w:rPr>
          <w:lang w:val="fr-FR"/>
        </w:rPr>
        <w:t>n° </w:t>
      </w:r>
      <w:r w:rsidR="00480991" w:rsidRPr="00494098">
        <w:rPr>
          <w:lang w:val="fr-FR"/>
        </w:rPr>
        <w:t>1</w:t>
      </w:r>
      <w:r w:rsidRPr="00494098">
        <w:rPr>
          <w:lang w:val="fr-FR"/>
        </w:rPr>
        <w:t>09/2015 du 26</w:t>
      </w:r>
      <w:r w:rsidR="00480991" w:rsidRPr="00494098">
        <w:rPr>
          <w:lang w:val="fr-FR"/>
        </w:rPr>
        <w:t> août</w:t>
      </w:r>
      <w:r w:rsidRPr="00494098">
        <w:rPr>
          <w:lang w:val="fr-FR"/>
        </w:rPr>
        <w:t xml:space="preserve"> 2015, interdit la vente de tabac aux mineurs de moins de 18</w:t>
      </w:r>
      <w:r w:rsidR="004566AD" w:rsidRPr="00494098">
        <w:rPr>
          <w:lang w:val="fr-FR"/>
        </w:rPr>
        <w:t> </w:t>
      </w:r>
      <w:r w:rsidRPr="00494098">
        <w:rPr>
          <w:lang w:val="fr-FR"/>
        </w:rPr>
        <w:t xml:space="preserve">ans (pour </w:t>
      </w:r>
      <w:r w:rsidR="004566AD" w:rsidRPr="00494098">
        <w:rPr>
          <w:lang w:val="fr-FR"/>
        </w:rPr>
        <w:t>l</w:t>
      </w:r>
      <w:r w:rsidRPr="00494098">
        <w:rPr>
          <w:lang w:val="fr-FR"/>
        </w:rPr>
        <w:t xml:space="preserve">es infractions enregistrées par l'ASAE, voir le </w:t>
      </w:r>
      <w:r w:rsidR="00807954" w:rsidRPr="00494098">
        <w:rPr>
          <w:lang w:val="fr-FR"/>
        </w:rPr>
        <w:t>tableau 2</w:t>
      </w:r>
      <w:r w:rsidRPr="00494098">
        <w:rPr>
          <w:lang w:val="fr-FR"/>
        </w:rPr>
        <w:t xml:space="preserve">0, </w:t>
      </w:r>
      <w:r w:rsidR="003B4E18" w:rsidRPr="00494098">
        <w:rPr>
          <w:lang w:val="fr-FR"/>
        </w:rPr>
        <w:t>annexe 1</w:t>
      </w:r>
      <w:r w:rsidRPr="00494098">
        <w:rPr>
          <w:lang w:val="fr-FR"/>
        </w:rPr>
        <w:t>).</w:t>
      </w:r>
    </w:p>
    <w:p w14:paraId="4CB3FF42" w14:textId="3F55CEF7" w:rsidR="00077B75" w:rsidRPr="00494098" w:rsidRDefault="00077B75" w:rsidP="00DF1F00">
      <w:pPr>
        <w:pStyle w:val="H23G"/>
        <w:rPr>
          <w:lang w:val="fr-FR"/>
        </w:rPr>
      </w:pPr>
      <w:r w:rsidRPr="00494098">
        <w:rPr>
          <w:lang w:val="fr-FR"/>
        </w:rPr>
        <w:tab/>
      </w:r>
      <w:r w:rsidRPr="00494098">
        <w:rPr>
          <w:lang w:val="fr-FR"/>
        </w:rPr>
        <w:tab/>
        <w:t>Allaitement au sein (par</w:t>
      </w:r>
      <w:r w:rsidR="004566AD" w:rsidRPr="00494098">
        <w:rPr>
          <w:lang w:val="fr-FR"/>
        </w:rPr>
        <w:t>.</w:t>
      </w:r>
      <w:r w:rsidRPr="00494098">
        <w:rPr>
          <w:lang w:val="fr-FR"/>
        </w:rPr>
        <w:t xml:space="preserve"> 56 </w:t>
      </w:r>
      <w:r w:rsidR="00872592" w:rsidRPr="00494098">
        <w:rPr>
          <w:lang w:val="fr-FR"/>
        </w:rPr>
        <w:t xml:space="preserve">des </w:t>
      </w:r>
      <w:r w:rsidR="00034F52">
        <w:rPr>
          <w:lang w:val="fr-FR"/>
        </w:rPr>
        <w:t>o</w:t>
      </w:r>
      <w:r w:rsidR="00916D99" w:rsidRPr="00494098">
        <w:rPr>
          <w:lang w:val="fr-FR"/>
        </w:rPr>
        <w:t>bservations finales</w:t>
      </w:r>
      <w:r w:rsidR="00872592" w:rsidRPr="00494098">
        <w:rPr>
          <w:lang w:val="fr-FR"/>
        </w:rPr>
        <w:t>)</w:t>
      </w:r>
      <w:bookmarkStart w:id="153" w:name="_Toc530057306"/>
      <w:bookmarkStart w:id="154" w:name="_Toc530057528"/>
      <w:bookmarkStart w:id="155" w:name="_Toc530057620"/>
      <w:bookmarkStart w:id="156" w:name="_Toc530068001"/>
      <w:bookmarkEnd w:id="153"/>
      <w:bookmarkEnd w:id="154"/>
      <w:bookmarkEnd w:id="155"/>
      <w:bookmarkEnd w:id="156"/>
    </w:p>
    <w:p w14:paraId="3054710A" w14:textId="77777777" w:rsidR="00077B75" w:rsidRPr="00494098" w:rsidRDefault="00077B75" w:rsidP="00480570">
      <w:pPr>
        <w:pStyle w:val="SingleTxtG"/>
        <w:rPr>
          <w:lang w:val="fr-FR"/>
        </w:rPr>
      </w:pPr>
      <w:r w:rsidRPr="00494098">
        <w:rPr>
          <w:lang w:val="fr-FR"/>
        </w:rPr>
        <w:t>225.</w:t>
      </w:r>
      <w:r w:rsidRPr="00494098">
        <w:rPr>
          <w:lang w:val="fr-FR"/>
        </w:rPr>
        <w:tab/>
        <w:t xml:space="preserve">Le Programme national pour la santé des enfants et des adolescents suit les recommandations de l’UNICEF sur l’allaitement maternel, et </w:t>
      </w:r>
      <w:r w:rsidR="00C85060" w:rsidRPr="00494098">
        <w:rPr>
          <w:lang w:val="fr-FR"/>
        </w:rPr>
        <w:t xml:space="preserve">cette </w:t>
      </w:r>
      <w:r w:rsidRPr="00494098">
        <w:rPr>
          <w:lang w:val="fr-FR"/>
        </w:rPr>
        <w:t>question est traitée dans les sessions de formation. L’allaitement maternel, exclusif jusqu’à l’âge de 6</w:t>
      </w:r>
      <w:r w:rsidR="00063158" w:rsidRPr="00494098">
        <w:rPr>
          <w:lang w:val="fr-FR"/>
        </w:rPr>
        <w:t> </w:t>
      </w:r>
      <w:r w:rsidRPr="00494098">
        <w:rPr>
          <w:lang w:val="fr-FR"/>
        </w:rPr>
        <w:t>mois, et maintenu avec une alimentation d’appoint au moins jusqu’à la deuxième année de vie est encouragé comme étant un mode de nutrition optimal pour les nouveau-nés, qui réduit la morbidité, la mortalité, les inégalités, la violence et les dommages causés à l’environnement.</w:t>
      </w:r>
    </w:p>
    <w:p w14:paraId="32815790" w14:textId="77777777" w:rsidR="00077B75" w:rsidRPr="00494098" w:rsidRDefault="00077B75" w:rsidP="003E786A">
      <w:pPr>
        <w:pStyle w:val="SingleTxtG"/>
        <w:rPr>
          <w:lang w:val="fr-FR"/>
        </w:rPr>
      </w:pPr>
      <w:r w:rsidRPr="00494098">
        <w:rPr>
          <w:lang w:val="fr-FR"/>
        </w:rPr>
        <w:t>226.</w:t>
      </w:r>
      <w:r w:rsidRPr="00494098">
        <w:rPr>
          <w:lang w:val="fr-FR"/>
        </w:rPr>
        <w:tab/>
        <w:t xml:space="preserve">Le Module de santé infantile et juvénile </w:t>
      </w:r>
      <w:r w:rsidR="00D45373" w:rsidRPr="00494098">
        <w:rPr>
          <w:lang w:val="fr-FR"/>
        </w:rPr>
        <w:t xml:space="preserve">rassemble des </w:t>
      </w:r>
      <w:r w:rsidRPr="00494098">
        <w:rPr>
          <w:lang w:val="fr-FR"/>
        </w:rPr>
        <w:t>informations sur l’allaitement maternel et l’alimentation de</w:t>
      </w:r>
      <w:r w:rsidR="00D45373" w:rsidRPr="00494098">
        <w:rPr>
          <w:lang w:val="fr-FR"/>
        </w:rPr>
        <w:t>s enfants de</w:t>
      </w:r>
      <w:r w:rsidRPr="00494098">
        <w:rPr>
          <w:lang w:val="fr-FR"/>
        </w:rPr>
        <w:t xml:space="preserve"> 0</w:t>
      </w:r>
      <w:r w:rsidR="00D45373" w:rsidRPr="00494098">
        <w:rPr>
          <w:lang w:val="fr-FR"/>
        </w:rPr>
        <w:t xml:space="preserve"> à </w:t>
      </w:r>
      <w:r w:rsidRPr="00494098">
        <w:rPr>
          <w:lang w:val="fr-FR"/>
        </w:rPr>
        <w:t>18</w:t>
      </w:r>
      <w:r w:rsidR="00D45373" w:rsidRPr="00494098">
        <w:rPr>
          <w:lang w:val="fr-FR"/>
        </w:rPr>
        <w:t> </w:t>
      </w:r>
      <w:r w:rsidRPr="00494098">
        <w:rPr>
          <w:lang w:val="fr-FR"/>
        </w:rPr>
        <w:t>ans.</w:t>
      </w:r>
    </w:p>
    <w:p w14:paraId="2708FB5E" w14:textId="77777777" w:rsidR="00077B75" w:rsidRPr="00494098" w:rsidRDefault="00077B75" w:rsidP="00480570">
      <w:pPr>
        <w:pStyle w:val="SingleTxtG"/>
        <w:rPr>
          <w:lang w:val="fr-FR"/>
        </w:rPr>
      </w:pPr>
      <w:r w:rsidRPr="00494098">
        <w:rPr>
          <w:lang w:val="fr-FR"/>
        </w:rPr>
        <w:t>227.</w:t>
      </w:r>
      <w:r w:rsidRPr="00494098">
        <w:rPr>
          <w:lang w:val="fr-FR"/>
        </w:rPr>
        <w:tab/>
        <w:t xml:space="preserve">Le Ministère de la santé s’emploie à mieux faire connaître l’importance de l’allaitement maternel et se joint aux célébrations de la Semaine mondiale de l’allaitement maternel qui, en 2017, </w:t>
      </w:r>
      <w:r w:rsidR="00C85060" w:rsidRPr="00494098">
        <w:rPr>
          <w:lang w:val="fr-FR"/>
        </w:rPr>
        <w:t xml:space="preserve">a permis de tenir </w:t>
      </w:r>
      <w:r w:rsidRPr="00494098">
        <w:rPr>
          <w:lang w:val="fr-FR"/>
        </w:rPr>
        <w:t xml:space="preserve">une conférence internationale de l’allaitement maternel. </w:t>
      </w:r>
    </w:p>
    <w:p w14:paraId="1EA006A3" w14:textId="77777777" w:rsidR="00077B75" w:rsidRPr="00494098" w:rsidRDefault="00077B75" w:rsidP="00480570">
      <w:pPr>
        <w:pStyle w:val="SingleTxtG"/>
        <w:rPr>
          <w:lang w:val="fr-FR"/>
        </w:rPr>
      </w:pPr>
      <w:r w:rsidRPr="00494098">
        <w:rPr>
          <w:lang w:val="fr-FR"/>
        </w:rPr>
        <w:t>228.</w:t>
      </w:r>
      <w:r w:rsidRPr="00494098">
        <w:rPr>
          <w:lang w:val="fr-FR"/>
        </w:rPr>
        <w:tab/>
        <w:t xml:space="preserve">En 2017, la Direction générale de la santé, en partenariat avec l’Initiative </w:t>
      </w:r>
      <w:r w:rsidR="002D3711" w:rsidRPr="00494098">
        <w:rPr>
          <w:lang w:val="fr-FR"/>
        </w:rPr>
        <w:t>« </w:t>
      </w:r>
      <w:r w:rsidRPr="00494098">
        <w:rPr>
          <w:lang w:val="fr-FR"/>
        </w:rPr>
        <w:t>ami des bébés</w:t>
      </w:r>
      <w:r w:rsidR="002D3711" w:rsidRPr="00494098">
        <w:rPr>
          <w:lang w:val="fr-FR"/>
        </w:rPr>
        <w:t> »</w:t>
      </w:r>
      <w:r w:rsidRPr="00494098">
        <w:rPr>
          <w:lang w:val="fr-FR"/>
        </w:rPr>
        <w:t xml:space="preserve">, de l’UNICEF, </w:t>
      </w:r>
      <w:r w:rsidR="00E143AB" w:rsidRPr="00494098">
        <w:rPr>
          <w:lang w:val="fr-FR"/>
        </w:rPr>
        <w:t xml:space="preserve">et </w:t>
      </w:r>
      <w:r w:rsidRPr="00494098">
        <w:rPr>
          <w:lang w:val="fr-FR"/>
        </w:rPr>
        <w:t xml:space="preserve">sous l'égide du Programme national pour la santé des enfants et des adolescents, a constitué un groupe de travail </w:t>
      </w:r>
      <w:r w:rsidR="00C85060" w:rsidRPr="00494098">
        <w:rPr>
          <w:lang w:val="fr-FR"/>
        </w:rPr>
        <w:t xml:space="preserve">et l’a </w:t>
      </w:r>
      <w:r w:rsidRPr="00494098">
        <w:rPr>
          <w:lang w:val="fr-FR"/>
        </w:rPr>
        <w:t xml:space="preserve">chargé de définir une politique et une stratégie nationales pour l’alimentation des nourrissons et des </w:t>
      </w:r>
      <w:r w:rsidR="00E143AB" w:rsidRPr="00494098">
        <w:rPr>
          <w:lang w:val="fr-FR"/>
        </w:rPr>
        <w:t xml:space="preserve">bébés </w:t>
      </w:r>
      <w:r w:rsidRPr="00494098">
        <w:rPr>
          <w:lang w:val="fr-FR"/>
        </w:rPr>
        <w:t>jusqu’à 3</w:t>
      </w:r>
      <w:r w:rsidR="002D3711" w:rsidRPr="00494098">
        <w:rPr>
          <w:lang w:val="fr-FR"/>
        </w:rPr>
        <w:t> </w:t>
      </w:r>
      <w:r w:rsidRPr="00494098">
        <w:rPr>
          <w:lang w:val="fr-FR"/>
        </w:rPr>
        <w:t xml:space="preserve">ans, </w:t>
      </w:r>
      <w:r w:rsidR="00C85060" w:rsidRPr="00494098">
        <w:rPr>
          <w:lang w:val="fr-FR"/>
        </w:rPr>
        <w:t xml:space="preserve">qui soient </w:t>
      </w:r>
      <w:r w:rsidRPr="00494098">
        <w:rPr>
          <w:lang w:val="fr-FR"/>
        </w:rPr>
        <w:t>conforme</w:t>
      </w:r>
      <w:r w:rsidR="00C85060" w:rsidRPr="00494098">
        <w:rPr>
          <w:lang w:val="fr-FR"/>
        </w:rPr>
        <w:t>s</w:t>
      </w:r>
      <w:r w:rsidRPr="00494098">
        <w:rPr>
          <w:lang w:val="fr-FR"/>
        </w:rPr>
        <w:t xml:space="preserve"> aux directives de l’OMS.</w:t>
      </w:r>
    </w:p>
    <w:p w14:paraId="7C2B6B9C" w14:textId="77777777" w:rsidR="00077B75" w:rsidRPr="00494098" w:rsidRDefault="00077B75" w:rsidP="00480570">
      <w:pPr>
        <w:pStyle w:val="SingleTxtG"/>
        <w:rPr>
          <w:lang w:val="fr-FR"/>
        </w:rPr>
      </w:pPr>
      <w:r w:rsidRPr="00494098">
        <w:rPr>
          <w:lang w:val="fr-FR"/>
        </w:rPr>
        <w:t>229.</w:t>
      </w:r>
      <w:r w:rsidRPr="00494098">
        <w:rPr>
          <w:lang w:val="fr-FR"/>
        </w:rPr>
        <w:tab/>
        <w:t xml:space="preserve">La réglementation de la commercialisation des substituts du lait maternel est </w:t>
      </w:r>
      <w:r w:rsidR="00E143AB" w:rsidRPr="00494098">
        <w:rPr>
          <w:lang w:val="fr-FR"/>
        </w:rPr>
        <w:t xml:space="preserve">supervisée </w:t>
      </w:r>
      <w:r w:rsidRPr="00494098">
        <w:rPr>
          <w:lang w:val="fr-FR"/>
        </w:rPr>
        <w:t>par l'Agence de la sécurité alimentaire et économique.</w:t>
      </w:r>
    </w:p>
    <w:p w14:paraId="28CC3C0E" w14:textId="261E7542" w:rsidR="00077B75" w:rsidRPr="00494098" w:rsidRDefault="00077B75" w:rsidP="00DF1F00">
      <w:pPr>
        <w:pStyle w:val="H23G"/>
        <w:rPr>
          <w:lang w:val="fr-FR"/>
        </w:rPr>
      </w:pPr>
      <w:r w:rsidRPr="00494098">
        <w:rPr>
          <w:lang w:val="fr-FR"/>
        </w:rPr>
        <w:tab/>
      </w:r>
      <w:r w:rsidRPr="00494098">
        <w:rPr>
          <w:lang w:val="fr-FR"/>
        </w:rPr>
        <w:tab/>
        <w:t>Niveau de vie (par</w:t>
      </w:r>
      <w:r w:rsidR="002D36FF" w:rsidRPr="00494098">
        <w:rPr>
          <w:lang w:val="fr-FR"/>
        </w:rPr>
        <w:t>.</w:t>
      </w:r>
      <w:r w:rsidRPr="00494098">
        <w:rPr>
          <w:lang w:val="fr-FR"/>
        </w:rPr>
        <w:t xml:space="preserve"> 58 </w:t>
      </w:r>
      <w:r w:rsidR="00872592" w:rsidRPr="00494098">
        <w:rPr>
          <w:lang w:val="fr-FR"/>
        </w:rPr>
        <w:t xml:space="preserve">des </w:t>
      </w:r>
      <w:r w:rsidR="00034F52">
        <w:rPr>
          <w:lang w:val="fr-FR"/>
        </w:rPr>
        <w:t>o</w:t>
      </w:r>
      <w:r w:rsidR="00916D99" w:rsidRPr="00494098">
        <w:rPr>
          <w:lang w:val="fr-FR"/>
        </w:rPr>
        <w:t>bservations finales</w:t>
      </w:r>
      <w:r w:rsidR="00872592" w:rsidRPr="00494098">
        <w:rPr>
          <w:lang w:val="fr-FR"/>
        </w:rPr>
        <w:t>)</w:t>
      </w:r>
      <w:bookmarkStart w:id="157" w:name="_Toc530057307"/>
      <w:bookmarkStart w:id="158" w:name="_Toc530057529"/>
      <w:bookmarkStart w:id="159" w:name="_Toc530057621"/>
      <w:bookmarkStart w:id="160" w:name="_Toc530068002"/>
      <w:bookmarkEnd w:id="157"/>
      <w:bookmarkEnd w:id="158"/>
      <w:bookmarkEnd w:id="159"/>
      <w:bookmarkEnd w:id="160"/>
    </w:p>
    <w:p w14:paraId="3E28ACA5" w14:textId="77777777" w:rsidR="00077B75" w:rsidRPr="00494098" w:rsidRDefault="00077B75" w:rsidP="00480570">
      <w:pPr>
        <w:pStyle w:val="SingleTxtG"/>
        <w:rPr>
          <w:lang w:val="fr-FR"/>
        </w:rPr>
      </w:pPr>
      <w:r w:rsidRPr="00494098">
        <w:rPr>
          <w:lang w:val="fr-FR"/>
        </w:rPr>
        <w:t>230.</w:t>
      </w:r>
      <w:r w:rsidRPr="00494098">
        <w:rPr>
          <w:lang w:val="fr-FR"/>
        </w:rPr>
        <w:tab/>
        <w:t xml:space="preserve">Les prestations familiales </w:t>
      </w:r>
      <w:r w:rsidR="00E143AB" w:rsidRPr="00494098">
        <w:rPr>
          <w:lang w:val="fr-FR"/>
        </w:rPr>
        <w:t xml:space="preserve">destinées à </w:t>
      </w:r>
      <w:r w:rsidRPr="00494098">
        <w:rPr>
          <w:lang w:val="fr-FR"/>
        </w:rPr>
        <w:t xml:space="preserve">réduire la pauvreté des enfants comprennent </w:t>
      </w:r>
      <w:r w:rsidR="00E143AB" w:rsidRPr="00494098">
        <w:rPr>
          <w:lang w:val="fr-FR"/>
        </w:rPr>
        <w:t xml:space="preserve">actuellement : </w:t>
      </w:r>
      <w:r w:rsidRPr="00494098">
        <w:rPr>
          <w:lang w:val="fr-FR"/>
        </w:rPr>
        <w:t>l’Allocation de présence parentale (arrêt de travail pour aider à la prise en charge urgente et nécessaire des enfants biologique</w:t>
      </w:r>
      <w:r w:rsidR="00C85060" w:rsidRPr="00494098">
        <w:rPr>
          <w:lang w:val="fr-FR"/>
        </w:rPr>
        <w:t>s</w:t>
      </w:r>
      <w:r w:rsidRPr="00494098">
        <w:rPr>
          <w:lang w:val="fr-FR"/>
        </w:rPr>
        <w:t>, adoptés ou du partenaire)</w:t>
      </w:r>
      <w:r w:rsidR="00E143AB" w:rsidRPr="00494098">
        <w:rPr>
          <w:lang w:val="fr-FR"/>
        </w:rPr>
        <w:t> ;</w:t>
      </w:r>
      <w:r w:rsidRPr="00494098">
        <w:rPr>
          <w:lang w:val="fr-FR"/>
        </w:rPr>
        <w:t xml:space="preserve"> et l’allocation d'aide aux petits-enfants (arrêt de travail en raison de la naissance des petits enfants ou </w:t>
      </w:r>
      <w:r w:rsidR="002D36FF" w:rsidRPr="00494098">
        <w:rPr>
          <w:lang w:val="fr-FR"/>
        </w:rPr>
        <w:t>de l’</w:t>
      </w:r>
      <w:r w:rsidRPr="00494098">
        <w:rPr>
          <w:lang w:val="fr-FR"/>
        </w:rPr>
        <w:t xml:space="preserve">assistance </w:t>
      </w:r>
      <w:r w:rsidR="002D36FF" w:rsidRPr="00494098">
        <w:rPr>
          <w:lang w:val="fr-FR"/>
        </w:rPr>
        <w:t xml:space="preserve">à ces derniers, </w:t>
      </w:r>
      <w:r w:rsidRPr="00494098">
        <w:rPr>
          <w:lang w:val="fr-FR"/>
        </w:rPr>
        <w:t>en vue de compenser la perte de revenu pendant les jours d’arrêt de travail, dans trois types de circonstances</w:t>
      </w:r>
      <w:r w:rsidR="00090CBF" w:rsidRPr="00494098">
        <w:rPr>
          <w:lang w:val="fr-FR"/>
        </w:rPr>
        <w:t> :</w:t>
      </w:r>
      <w:r w:rsidRPr="00494098">
        <w:rPr>
          <w:lang w:val="fr-FR"/>
        </w:rPr>
        <w:t xml:space="preserve"> assistance à la naissance, assistance aux jeunes petits-enfants ou </w:t>
      </w:r>
      <w:r w:rsidR="00C85060" w:rsidRPr="00494098">
        <w:rPr>
          <w:lang w:val="fr-FR"/>
        </w:rPr>
        <w:t xml:space="preserve">aux </w:t>
      </w:r>
      <w:r w:rsidRPr="00494098">
        <w:rPr>
          <w:lang w:val="fr-FR"/>
        </w:rPr>
        <w:t>petits-enfants souffrant de handicaps ou de maladies chroniques).</w:t>
      </w:r>
    </w:p>
    <w:p w14:paraId="3973FB53" w14:textId="77777777" w:rsidR="00077B75" w:rsidRPr="00494098" w:rsidRDefault="00077B75" w:rsidP="00480570">
      <w:pPr>
        <w:pStyle w:val="SingleTxtG"/>
        <w:rPr>
          <w:lang w:val="fr-FR"/>
        </w:rPr>
      </w:pPr>
      <w:r w:rsidRPr="00494098">
        <w:rPr>
          <w:lang w:val="fr-FR"/>
        </w:rPr>
        <w:t>231.</w:t>
      </w:r>
      <w:r w:rsidRPr="00494098">
        <w:rPr>
          <w:lang w:val="fr-FR"/>
        </w:rPr>
        <w:tab/>
        <w:t>D'autres mesures</w:t>
      </w:r>
      <w:r w:rsidR="00E143AB" w:rsidRPr="00494098">
        <w:rPr>
          <w:lang w:val="fr-FR"/>
        </w:rPr>
        <w:t>,</w:t>
      </w:r>
      <w:r w:rsidRPr="00494098">
        <w:rPr>
          <w:lang w:val="fr-FR"/>
        </w:rPr>
        <w:t xml:space="preserve"> adoptées en 2016</w:t>
      </w:r>
      <w:r w:rsidR="00E143AB" w:rsidRPr="00494098">
        <w:rPr>
          <w:lang w:val="fr-FR"/>
        </w:rPr>
        <w:t>,</w:t>
      </w:r>
      <w:r w:rsidRPr="00494098">
        <w:rPr>
          <w:lang w:val="fr-FR"/>
        </w:rPr>
        <w:t xml:space="preserve"> pourraient avoir un impact sur les ménages vulnérables ayant des enfants à charge, notamment</w:t>
      </w:r>
      <w:r w:rsidR="00C85060" w:rsidRPr="00494098">
        <w:rPr>
          <w:lang w:val="fr-FR"/>
        </w:rPr>
        <w:t xml:space="preserve"> les suivantes </w:t>
      </w:r>
      <w:r w:rsidRPr="00494098">
        <w:rPr>
          <w:lang w:val="fr-FR"/>
        </w:rPr>
        <w:t>:</w:t>
      </w:r>
    </w:p>
    <w:p w14:paraId="317D80A3" w14:textId="798539CB" w:rsidR="00077B75" w:rsidRPr="00494098" w:rsidRDefault="00112210" w:rsidP="00112210">
      <w:pPr>
        <w:pStyle w:val="Bullet1G"/>
        <w:numPr>
          <w:ilvl w:val="0"/>
          <w:numId w:val="0"/>
        </w:numPr>
        <w:tabs>
          <w:tab w:val="left" w:pos="1701"/>
        </w:tabs>
        <w:ind w:left="1701" w:hanging="170"/>
        <w:rPr>
          <w:lang w:val="fr-FR"/>
        </w:rPr>
      </w:pPr>
      <w:r w:rsidRPr="00494098">
        <w:rPr>
          <w:lang w:val="fr-FR"/>
        </w:rPr>
        <w:t>•</w:t>
      </w:r>
      <w:r w:rsidRPr="00494098">
        <w:rPr>
          <w:lang w:val="fr-FR"/>
        </w:rPr>
        <w:tab/>
      </w:r>
      <w:r w:rsidR="00CB25B4">
        <w:rPr>
          <w:lang w:val="fr-FR"/>
        </w:rPr>
        <w:t xml:space="preserve"> La r</w:t>
      </w:r>
      <w:r w:rsidRPr="00494098">
        <w:rPr>
          <w:lang w:val="fr-FR"/>
        </w:rPr>
        <w:t xml:space="preserve">estauration des niveaux de protection </w:t>
      </w:r>
      <w:r w:rsidR="002D36FF" w:rsidRPr="00494098">
        <w:rPr>
          <w:lang w:val="fr-FR"/>
        </w:rPr>
        <w:t>des</w:t>
      </w:r>
      <w:r w:rsidRPr="00494098">
        <w:rPr>
          <w:lang w:val="fr-FR"/>
        </w:rPr>
        <w:t xml:space="preserve"> familles vivant dans la pauvreté, qui a entraîné une augmentation du pourcentage du Revenu social d'insertion</w:t>
      </w:r>
      <w:r w:rsidR="00FB5A51" w:rsidRPr="00494098">
        <w:rPr>
          <w:lang w:val="fr-FR"/>
        </w:rPr>
        <w:t xml:space="preserve"> (RSI)</w:t>
      </w:r>
      <w:r w:rsidR="002D36FF" w:rsidRPr="00494098">
        <w:rPr>
          <w:lang w:val="fr-FR"/>
        </w:rPr>
        <w:t>,</w:t>
      </w:r>
      <w:r w:rsidRPr="00494098">
        <w:rPr>
          <w:lang w:val="fr-FR"/>
        </w:rPr>
        <w:t xml:space="preserve"> pass</w:t>
      </w:r>
      <w:r w:rsidR="002D36FF" w:rsidRPr="00494098">
        <w:rPr>
          <w:lang w:val="fr-FR"/>
        </w:rPr>
        <w:t>é</w:t>
      </w:r>
      <w:r w:rsidRPr="00494098">
        <w:rPr>
          <w:lang w:val="fr-FR"/>
        </w:rPr>
        <w:t xml:space="preserve"> </w:t>
      </w:r>
      <w:r w:rsidR="002D36FF" w:rsidRPr="00494098">
        <w:rPr>
          <w:lang w:val="fr-FR"/>
        </w:rPr>
        <w:t xml:space="preserve">pour chaque individu </w:t>
      </w:r>
      <w:r w:rsidR="00FB5A51" w:rsidRPr="00494098">
        <w:rPr>
          <w:lang w:val="fr-FR"/>
        </w:rPr>
        <w:t xml:space="preserve">majeur </w:t>
      </w:r>
      <w:r w:rsidRPr="00494098">
        <w:rPr>
          <w:lang w:val="fr-FR"/>
        </w:rPr>
        <w:t>de 50</w:t>
      </w:r>
      <w:r w:rsidR="003B4E18" w:rsidRPr="00494098">
        <w:rPr>
          <w:lang w:val="fr-FR"/>
        </w:rPr>
        <w:t> %</w:t>
      </w:r>
      <w:r w:rsidRPr="00494098">
        <w:rPr>
          <w:lang w:val="fr-FR"/>
        </w:rPr>
        <w:t xml:space="preserve"> à 70</w:t>
      </w:r>
      <w:r w:rsidR="003B4E18" w:rsidRPr="00494098">
        <w:rPr>
          <w:lang w:val="fr-FR"/>
        </w:rPr>
        <w:t> %</w:t>
      </w:r>
      <w:r w:rsidRPr="00494098">
        <w:rPr>
          <w:lang w:val="fr-FR"/>
        </w:rPr>
        <w:t xml:space="preserve"> de </w:t>
      </w:r>
      <w:r w:rsidR="002D36FF" w:rsidRPr="00494098">
        <w:rPr>
          <w:lang w:val="fr-FR"/>
        </w:rPr>
        <w:t>l</w:t>
      </w:r>
      <w:r w:rsidRPr="00494098">
        <w:rPr>
          <w:lang w:val="fr-FR"/>
        </w:rPr>
        <w:t>a valeur</w:t>
      </w:r>
      <w:r w:rsidR="002D36FF" w:rsidRPr="00494098">
        <w:rPr>
          <w:lang w:val="fr-FR"/>
        </w:rPr>
        <w:t xml:space="preserve"> </w:t>
      </w:r>
      <w:r w:rsidR="00FB5A51" w:rsidRPr="00494098">
        <w:rPr>
          <w:lang w:val="fr-FR"/>
        </w:rPr>
        <w:t xml:space="preserve">de référence </w:t>
      </w:r>
      <w:r w:rsidR="002D36FF" w:rsidRPr="00494098">
        <w:rPr>
          <w:lang w:val="fr-FR"/>
        </w:rPr>
        <w:t>d</w:t>
      </w:r>
      <w:r w:rsidR="00FB5A51" w:rsidRPr="00494098">
        <w:rPr>
          <w:lang w:val="fr-FR"/>
        </w:rPr>
        <w:t>u</w:t>
      </w:r>
      <w:r w:rsidR="002D36FF" w:rsidRPr="00494098">
        <w:rPr>
          <w:lang w:val="fr-FR"/>
        </w:rPr>
        <w:t xml:space="preserve"> RSI</w:t>
      </w:r>
      <w:r w:rsidRPr="00494098">
        <w:rPr>
          <w:lang w:val="fr-FR"/>
        </w:rPr>
        <w:t xml:space="preserve">, et pour chaque individu </w:t>
      </w:r>
      <w:r w:rsidR="00FB5A51" w:rsidRPr="00494098">
        <w:rPr>
          <w:lang w:val="fr-FR"/>
        </w:rPr>
        <w:t xml:space="preserve">mineur </w:t>
      </w:r>
      <w:r w:rsidRPr="00494098">
        <w:rPr>
          <w:lang w:val="fr-FR"/>
        </w:rPr>
        <w:t>de 30</w:t>
      </w:r>
      <w:r w:rsidR="003B4E18" w:rsidRPr="00494098">
        <w:rPr>
          <w:lang w:val="fr-FR"/>
        </w:rPr>
        <w:t> %</w:t>
      </w:r>
      <w:r w:rsidRPr="00494098">
        <w:rPr>
          <w:lang w:val="fr-FR"/>
        </w:rPr>
        <w:t xml:space="preserve"> à 50</w:t>
      </w:r>
      <w:r w:rsidR="003B4E18" w:rsidRPr="00494098">
        <w:rPr>
          <w:lang w:val="fr-FR"/>
        </w:rPr>
        <w:t> %</w:t>
      </w:r>
      <w:r w:rsidRPr="00494098">
        <w:rPr>
          <w:lang w:val="fr-FR"/>
        </w:rPr>
        <w:t xml:space="preserve"> de la valeur de référence</w:t>
      </w:r>
      <w:r w:rsidR="00FB5A51" w:rsidRPr="00494098">
        <w:rPr>
          <w:lang w:val="fr-FR"/>
        </w:rPr>
        <w:t xml:space="preserve"> du RSI</w:t>
      </w:r>
      <w:r w:rsidRPr="00494098">
        <w:rPr>
          <w:lang w:val="fr-FR"/>
        </w:rPr>
        <w:t xml:space="preserve"> — décret-loi n</w:t>
      </w:r>
      <w:r w:rsidR="009B470A" w:rsidRPr="00494098">
        <w:rPr>
          <w:lang w:val="fr-FR"/>
        </w:rPr>
        <w:t>° </w:t>
      </w:r>
      <w:r w:rsidRPr="00494098">
        <w:rPr>
          <w:lang w:val="fr-FR"/>
        </w:rPr>
        <w:t>2/2016 du 6</w:t>
      </w:r>
      <w:r w:rsidR="006717A5" w:rsidRPr="00494098">
        <w:rPr>
          <w:lang w:val="fr-FR"/>
        </w:rPr>
        <w:t> janvier</w:t>
      </w:r>
      <w:r w:rsidRPr="00494098">
        <w:rPr>
          <w:lang w:val="fr-FR"/>
        </w:rPr>
        <w:t xml:space="preserve"> 2016. Ce texte a également </w:t>
      </w:r>
      <w:r w:rsidR="00C85060" w:rsidRPr="00494098">
        <w:rPr>
          <w:lang w:val="fr-FR"/>
        </w:rPr>
        <w:t xml:space="preserve">rehaussé </w:t>
      </w:r>
      <w:r w:rsidRPr="00494098">
        <w:rPr>
          <w:lang w:val="fr-FR"/>
        </w:rPr>
        <w:t>la valeur du Revenu social d'insertion</w:t>
      </w:r>
      <w:r w:rsidR="00E2153F" w:rsidRPr="00494098">
        <w:rPr>
          <w:lang w:val="fr-FR"/>
        </w:rPr>
        <w:t>,</w:t>
      </w:r>
      <w:r w:rsidRPr="00494098">
        <w:rPr>
          <w:lang w:val="fr-FR"/>
        </w:rPr>
        <w:t xml:space="preserve"> de 178</w:t>
      </w:r>
      <w:r w:rsidR="00E2153F" w:rsidRPr="00494098">
        <w:rPr>
          <w:lang w:val="fr-FR"/>
        </w:rPr>
        <w:t>,</w:t>
      </w:r>
      <w:r w:rsidR="00C85060" w:rsidRPr="00494098">
        <w:rPr>
          <w:lang w:val="fr-FR"/>
        </w:rPr>
        <w:t>15 </w:t>
      </w:r>
      <w:r w:rsidRPr="00494098">
        <w:rPr>
          <w:lang w:val="fr-FR"/>
        </w:rPr>
        <w:t>euros à 180</w:t>
      </w:r>
      <w:r w:rsidR="00E2153F" w:rsidRPr="00494098">
        <w:rPr>
          <w:lang w:val="fr-FR"/>
        </w:rPr>
        <w:t>,</w:t>
      </w:r>
      <w:r w:rsidR="00C85060" w:rsidRPr="00494098">
        <w:rPr>
          <w:lang w:val="fr-FR"/>
        </w:rPr>
        <w:t>99 </w:t>
      </w:r>
      <w:r w:rsidR="00E2153F" w:rsidRPr="00494098">
        <w:rPr>
          <w:lang w:val="fr-FR"/>
        </w:rPr>
        <w:t>euros</w:t>
      </w:r>
      <w:r w:rsidRPr="00494098">
        <w:rPr>
          <w:lang w:val="fr-FR"/>
        </w:rPr>
        <w:t xml:space="preserve"> (de 42</w:t>
      </w:r>
      <w:r w:rsidR="00C85060" w:rsidRPr="00494098">
        <w:rPr>
          <w:lang w:val="fr-FR"/>
        </w:rPr>
        <w:t>,</w:t>
      </w:r>
      <w:r w:rsidRPr="00494098">
        <w:rPr>
          <w:lang w:val="fr-FR"/>
        </w:rPr>
        <w:t>495</w:t>
      </w:r>
      <w:r w:rsidR="003B4E18" w:rsidRPr="00494098">
        <w:rPr>
          <w:lang w:val="fr-FR"/>
        </w:rPr>
        <w:t> %</w:t>
      </w:r>
      <w:r w:rsidRPr="00494098">
        <w:rPr>
          <w:lang w:val="fr-FR"/>
        </w:rPr>
        <w:t xml:space="preserve"> </w:t>
      </w:r>
      <w:r w:rsidR="00C85060" w:rsidRPr="00494098">
        <w:rPr>
          <w:lang w:val="fr-FR"/>
        </w:rPr>
        <w:t>à 43,</w:t>
      </w:r>
      <w:r w:rsidRPr="00494098">
        <w:rPr>
          <w:lang w:val="fr-FR"/>
        </w:rPr>
        <w:t>173</w:t>
      </w:r>
      <w:r w:rsidR="003B4E18" w:rsidRPr="00494098">
        <w:rPr>
          <w:lang w:val="fr-FR"/>
        </w:rPr>
        <w:t> %</w:t>
      </w:r>
      <w:r w:rsidRPr="00494098">
        <w:rPr>
          <w:lang w:val="fr-FR"/>
        </w:rPr>
        <w:t xml:space="preserve"> de la valeur de l'Indice de soutien social)</w:t>
      </w:r>
      <w:r w:rsidR="006717A5" w:rsidRPr="00494098">
        <w:rPr>
          <w:lang w:val="fr-FR"/>
        </w:rPr>
        <w:t> ;</w:t>
      </w:r>
    </w:p>
    <w:p w14:paraId="36BCACC1" w14:textId="07071244" w:rsidR="00077B75" w:rsidRPr="00494098" w:rsidRDefault="00112210" w:rsidP="00112210">
      <w:pPr>
        <w:pStyle w:val="Bullet1G"/>
        <w:numPr>
          <w:ilvl w:val="0"/>
          <w:numId w:val="0"/>
        </w:numPr>
        <w:tabs>
          <w:tab w:val="left" w:pos="1701"/>
        </w:tabs>
        <w:ind w:left="1701" w:hanging="170"/>
        <w:rPr>
          <w:lang w:val="fr-FR"/>
        </w:rPr>
      </w:pPr>
      <w:r w:rsidRPr="00494098">
        <w:rPr>
          <w:lang w:val="fr-FR"/>
        </w:rPr>
        <w:t>•</w:t>
      </w:r>
      <w:r w:rsidRPr="00494098">
        <w:rPr>
          <w:lang w:val="fr-FR"/>
        </w:rPr>
        <w:tab/>
      </w:r>
      <w:r w:rsidR="00CB25B4">
        <w:rPr>
          <w:lang w:val="fr-FR"/>
        </w:rPr>
        <w:t>Le r</w:t>
      </w:r>
      <w:r w:rsidRPr="00494098">
        <w:rPr>
          <w:lang w:val="fr-FR"/>
        </w:rPr>
        <w:t xml:space="preserve">établissement du montant de référence du Revenu social d'insertion et de son échelle d’équivalence, </w:t>
      </w:r>
      <w:r w:rsidR="00302533" w:rsidRPr="00494098">
        <w:rPr>
          <w:lang w:val="fr-FR"/>
        </w:rPr>
        <w:t xml:space="preserve">entraînant </w:t>
      </w:r>
      <w:r w:rsidRPr="00494098">
        <w:rPr>
          <w:lang w:val="fr-FR"/>
        </w:rPr>
        <w:t>une augmentation du pourcentage du montant à allouer à chaque adulte, de 50</w:t>
      </w:r>
      <w:r w:rsidR="003B4E18" w:rsidRPr="00494098">
        <w:rPr>
          <w:lang w:val="fr-FR"/>
        </w:rPr>
        <w:t> %</w:t>
      </w:r>
      <w:r w:rsidRPr="00494098">
        <w:rPr>
          <w:lang w:val="fr-FR"/>
        </w:rPr>
        <w:t xml:space="preserve"> à 70</w:t>
      </w:r>
      <w:r w:rsidR="003B4E18" w:rsidRPr="00494098">
        <w:rPr>
          <w:lang w:val="fr-FR"/>
        </w:rPr>
        <w:t> %</w:t>
      </w:r>
      <w:r w:rsidRPr="00494098">
        <w:rPr>
          <w:lang w:val="fr-FR"/>
        </w:rPr>
        <w:t xml:space="preserve"> de la valeur de référence de ce R</w:t>
      </w:r>
      <w:r w:rsidR="00302533" w:rsidRPr="00494098">
        <w:rPr>
          <w:lang w:val="fr-FR"/>
        </w:rPr>
        <w:t>SI</w:t>
      </w:r>
      <w:r w:rsidRPr="00494098">
        <w:rPr>
          <w:lang w:val="fr-FR"/>
        </w:rPr>
        <w:t>, et de 30</w:t>
      </w:r>
      <w:r w:rsidR="003B4E18" w:rsidRPr="00494098">
        <w:rPr>
          <w:lang w:val="fr-FR"/>
        </w:rPr>
        <w:t> %</w:t>
      </w:r>
      <w:r w:rsidRPr="00494098">
        <w:rPr>
          <w:lang w:val="fr-FR"/>
        </w:rPr>
        <w:t xml:space="preserve"> à 50</w:t>
      </w:r>
      <w:r w:rsidR="003B4E18" w:rsidRPr="00494098">
        <w:rPr>
          <w:lang w:val="fr-FR"/>
        </w:rPr>
        <w:t> %</w:t>
      </w:r>
      <w:r w:rsidRPr="00494098">
        <w:rPr>
          <w:lang w:val="fr-FR"/>
        </w:rPr>
        <w:t xml:space="preserve"> pour chaque mineur</w:t>
      </w:r>
      <w:r w:rsidR="006717A5" w:rsidRPr="00494098">
        <w:rPr>
          <w:lang w:val="fr-FR"/>
        </w:rPr>
        <w:t> ;</w:t>
      </w:r>
    </w:p>
    <w:p w14:paraId="7F3C4326" w14:textId="3554755F" w:rsidR="00077B75" w:rsidRPr="00494098" w:rsidRDefault="00112210" w:rsidP="00112210">
      <w:pPr>
        <w:pStyle w:val="Bullet1G"/>
        <w:numPr>
          <w:ilvl w:val="0"/>
          <w:numId w:val="0"/>
        </w:numPr>
        <w:tabs>
          <w:tab w:val="left" w:pos="1701"/>
        </w:tabs>
        <w:ind w:left="1701" w:hanging="170"/>
        <w:rPr>
          <w:lang w:val="fr-FR"/>
        </w:rPr>
      </w:pPr>
      <w:r w:rsidRPr="00494098">
        <w:rPr>
          <w:lang w:val="fr-FR"/>
        </w:rPr>
        <w:t>•</w:t>
      </w:r>
      <w:r w:rsidRPr="00494098">
        <w:rPr>
          <w:lang w:val="fr-FR"/>
        </w:rPr>
        <w:tab/>
      </w:r>
      <w:r w:rsidR="00CB25B4">
        <w:rPr>
          <w:lang w:val="fr-FR"/>
        </w:rPr>
        <w:t>L’a</w:t>
      </w:r>
      <w:r w:rsidRPr="00494098">
        <w:rPr>
          <w:lang w:val="fr-FR"/>
        </w:rPr>
        <w:t>ctualisation des montants de l’indemnité pour enfant à charge</w:t>
      </w:r>
      <w:r w:rsidR="00E143AB" w:rsidRPr="00494098">
        <w:rPr>
          <w:lang w:val="fr-FR"/>
        </w:rPr>
        <w:t>,</w:t>
      </w:r>
      <w:r w:rsidRPr="00494098">
        <w:rPr>
          <w:lang w:val="fr-FR"/>
        </w:rPr>
        <w:t xml:space="preserve"> pour les trois premi</w:t>
      </w:r>
      <w:r w:rsidR="00807903" w:rsidRPr="00494098">
        <w:rPr>
          <w:lang w:val="fr-FR"/>
        </w:rPr>
        <w:t xml:space="preserve">ères tranches </w:t>
      </w:r>
      <w:r w:rsidRPr="00494098">
        <w:rPr>
          <w:lang w:val="fr-FR"/>
        </w:rPr>
        <w:t>de revenus des ménages (3,5% pour la tranche</w:t>
      </w:r>
      <w:r w:rsidR="00807903" w:rsidRPr="00494098">
        <w:rPr>
          <w:lang w:val="fr-FR"/>
        </w:rPr>
        <w:t> </w:t>
      </w:r>
      <w:r w:rsidRPr="00494098">
        <w:rPr>
          <w:lang w:val="fr-FR"/>
        </w:rPr>
        <w:t>1</w:t>
      </w:r>
      <w:r w:rsidR="006717A5" w:rsidRPr="00494098">
        <w:rPr>
          <w:lang w:val="fr-FR"/>
        </w:rPr>
        <w:t> ;</w:t>
      </w:r>
      <w:r w:rsidRPr="00494098">
        <w:rPr>
          <w:lang w:val="fr-FR"/>
        </w:rPr>
        <w:t xml:space="preserve"> 2,5</w:t>
      </w:r>
      <w:r w:rsidR="003B4E18" w:rsidRPr="00494098">
        <w:rPr>
          <w:lang w:val="fr-FR"/>
        </w:rPr>
        <w:t> %</w:t>
      </w:r>
      <w:r w:rsidRPr="00494098">
        <w:rPr>
          <w:lang w:val="fr-FR"/>
        </w:rPr>
        <w:t xml:space="preserve"> pour la tranche</w:t>
      </w:r>
      <w:r w:rsidR="00807903" w:rsidRPr="00494098">
        <w:rPr>
          <w:lang w:val="fr-FR"/>
        </w:rPr>
        <w:t> </w:t>
      </w:r>
      <w:r w:rsidRPr="00494098">
        <w:rPr>
          <w:lang w:val="fr-FR"/>
        </w:rPr>
        <w:t>2</w:t>
      </w:r>
      <w:r w:rsidR="006717A5" w:rsidRPr="00494098">
        <w:rPr>
          <w:lang w:val="fr-FR"/>
        </w:rPr>
        <w:t> ;</w:t>
      </w:r>
      <w:r w:rsidRPr="00494098">
        <w:rPr>
          <w:lang w:val="fr-FR"/>
        </w:rPr>
        <w:t xml:space="preserve"> et 2</w:t>
      </w:r>
      <w:r w:rsidR="003B4E18" w:rsidRPr="00494098">
        <w:rPr>
          <w:lang w:val="fr-FR"/>
        </w:rPr>
        <w:t> %</w:t>
      </w:r>
      <w:r w:rsidRPr="00494098">
        <w:rPr>
          <w:lang w:val="fr-FR"/>
        </w:rPr>
        <w:t xml:space="preserve"> pour la tranche</w:t>
      </w:r>
      <w:r w:rsidR="00807903" w:rsidRPr="00494098">
        <w:rPr>
          <w:lang w:val="fr-FR"/>
        </w:rPr>
        <w:t> </w:t>
      </w:r>
      <w:r w:rsidRPr="00494098">
        <w:rPr>
          <w:lang w:val="fr-FR"/>
        </w:rPr>
        <w:t>3)</w:t>
      </w:r>
      <w:r w:rsidR="00E143AB" w:rsidRPr="00494098">
        <w:rPr>
          <w:lang w:val="fr-FR"/>
        </w:rPr>
        <w:t> ;</w:t>
      </w:r>
      <w:r w:rsidRPr="00494098">
        <w:rPr>
          <w:lang w:val="fr-FR"/>
        </w:rPr>
        <w:t xml:space="preserve"> </w:t>
      </w:r>
      <w:r w:rsidR="00E143AB" w:rsidRPr="00494098">
        <w:rPr>
          <w:lang w:val="fr-FR"/>
        </w:rPr>
        <w:t xml:space="preserve">et </w:t>
      </w:r>
      <w:r w:rsidRPr="00494098">
        <w:rPr>
          <w:lang w:val="fr-FR"/>
        </w:rPr>
        <w:t xml:space="preserve">augmentation de la </w:t>
      </w:r>
      <w:r w:rsidR="007D6672" w:rsidRPr="00494098">
        <w:rPr>
          <w:lang w:val="fr-FR"/>
        </w:rPr>
        <w:t xml:space="preserve">majoration, </w:t>
      </w:r>
      <w:r w:rsidRPr="00494098">
        <w:rPr>
          <w:lang w:val="fr-FR"/>
        </w:rPr>
        <w:t>de 20</w:t>
      </w:r>
      <w:r w:rsidR="003B4E18" w:rsidRPr="00494098">
        <w:rPr>
          <w:lang w:val="fr-FR"/>
        </w:rPr>
        <w:t> %</w:t>
      </w:r>
      <w:r w:rsidRPr="00494098">
        <w:rPr>
          <w:lang w:val="fr-FR"/>
        </w:rPr>
        <w:t xml:space="preserve"> à 35</w:t>
      </w:r>
      <w:r w:rsidR="003B4E18" w:rsidRPr="00494098">
        <w:rPr>
          <w:lang w:val="fr-FR"/>
        </w:rPr>
        <w:t> %</w:t>
      </w:r>
      <w:r w:rsidRPr="00494098">
        <w:rPr>
          <w:lang w:val="fr-FR"/>
        </w:rPr>
        <w:t xml:space="preserve"> de l'</w:t>
      </w:r>
      <w:r w:rsidR="007D6672" w:rsidRPr="00494098">
        <w:rPr>
          <w:lang w:val="fr-FR"/>
        </w:rPr>
        <w:t xml:space="preserve">allocation </w:t>
      </w:r>
      <w:r w:rsidRPr="00494098">
        <w:rPr>
          <w:lang w:val="fr-FR"/>
        </w:rPr>
        <w:t>pour enfants à charge pour les familles monoparentales</w:t>
      </w:r>
      <w:r w:rsidR="006717A5" w:rsidRPr="00494098">
        <w:rPr>
          <w:lang w:val="fr-FR"/>
        </w:rPr>
        <w:t> ;</w:t>
      </w:r>
    </w:p>
    <w:p w14:paraId="45E8FD3E" w14:textId="04279FF9" w:rsidR="00077B75" w:rsidRPr="00494098" w:rsidRDefault="00112210" w:rsidP="00112210">
      <w:pPr>
        <w:pStyle w:val="Bullet1G"/>
        <w:numPr>
          <w:ilvl w:val="0"/>
          <w:numId w:val="0"/>
        </w:numPr>
        <w:tabs>
          <w:tab w:val="left" w:pos="1701"/>
        </w:tabs>
        <w:ind w:left="1701" w:hanging="170"/>
        <w:rPr>
          <w:lang w:val="fr-FR"/>
        </w:rPr>
      </w:pPr>
      <w:r w:rsidRPr="00494098">
        <w:rPr>
          <w:lang w:val="fr-FR"/>
        </w:rPr>
        <w:t>•</w:t>
      </w:r>
      <w:r w:rsidRPr="00494098">
        <w:rPr>
          <w:lang w:val="fr-FR"/>
        </w:rPr>
        <w:tab/>
      </w:r>
      <w:r w:rsidR="00CB25B4">
        <w:rPr>
          <w:lang w:val="fr-FR"/>
        </w:rPr>
        <w:t>La r</w:t>
      </w:r>
      <w:r w:rsidRPr="00494098">
        <w:rPr>
          <w:lang w:val="fr-FR"/>
        </w:rPr>
        <w:t>econduction de l'augmentation de 10</w:t>
      </w:r>
      <w:r w:rsidR="003B4E18" w:rsidRPr="00494098">
        <w:rPr>
          <w:lang w:val="fr-FR"/>
        </w:rPr>
        <w:t> %</w:t>
      </w:r>
      <w:r w:rsidRPr="00494098">
        <w:rPr>
          <w:lang w:val="fr-FR"/>
        </w:rPr>
        <w:t xml:space="preserve"> de l'allocation de chômage pour les parents sans emploi.</w:t>
      </w:r>
    </w:p>
    <w:p w14:paraId="164817DB" w14:textId="7F30BA7E" w:rsidR="00077B75" w:rsidRPr="00494098" w:rsidRDefault="00491E89" w:rsidP="003B32BB">
      <w:pPr>
        <w:pStyle w:val="H1G"/>
        <w:rPr>
          <w:lang w:val="fr-FR"/>
        </w:rPr>
      </w:pPr>
      <w:r w:rsidRPr="00494098">
        <w:rPr>
          <w:lang w:val="fr-FR"/>
        </w:rPr>
        <w:tab/>
      </w:r>
      <w:r w:rsidR="00077B75" w:rsidRPr="00494098">
        <w:rPr>
          <w:lang w:val="fr-FR"/>
        </w:rPr>
        <w:t>F.</w:t>
      </w:r>
      <w:r w:rsidR="00077B75" w:rsidRPr="00494098">
        <w:rPr>
          <w:lang w:val="fr-FR"/>
        </w:rPr>
        <w:tab/>
        <w:t>Éducation, loisirs et activités culturelles (art</w:t>
      </w:r>
      <w:r w:rsidR="00806CAA">
        <w:rPr>
          <w:lang w:val="fr-FR"/>
        </w:rPr>
        <w:t>.</w:t>
      </w:r>
      <w:r w:rsidR="00077B75" w:rsidRPr="00494098">
        <w:rPr>
          <w:lang w:val="fr-FR"/>
        </w:rPr>
        <w:t xml:space="preserve"> 28, 29, 30 et 31 de la Convention)</w:t>
      </w:r>
      <w:bookmarkStart w:id="161" w:name="_Toc530057308"/>
      <w:bookmarkStart w:id="162" w:name="_Toc530057530"/>
      <w:bookmarkStart w:id="163" w:name="_Toc530057622"/>
      <w:bookmarkStart w:id="164" w:name="_Toc530068003"/>
      <w:bookmarkEnd w:id="161"/>
      <w:bookmarkEnd w:id="162"/>
      <w:bookmarkEnd w:id="163"/>
      <w:bookmarkEnd w:id="164"/>
    </w:p>
    <w:p w14:paraId="66C7E859" w14:textId="62BE41DF" w:rsidR="00077B75" w:rsidRPr="00494098" w:rsidRDefault="00077B75" w:rsidP="003B32BB">
      <w:pPr>
        <w:pStyle w:val="H23G"/>
        <w:rPr>
          <w:lang w:val="fr-FR"/>
        </w:rPr>
      </w:pPr>
      <w:r w:rsidRPr="00494098">
        <w:rPr>
          <w:lang w:val="fr-FR"/>
        </w:rPr>
        <w:tab/>
      </w:r>
      <w:r w:rsidRPr="00494098">
        <w:rPr>
          <w:lang w:val="fr-FR"/>
        </w:rPr>
        <w:tab/>
        <w:t xml:space="preserve">Éducation, </w:t>
      </w:r>
      <w:r w:rsidR="009D383D">
        <w:rPr>
          <w:lang w:val="fr-FR"/>
        </w:rPr>
        <w:t>y compris</w:t>
      </w:r>
      <w:r w:rsidRPr="00494098">
        <w:rPr>
          <w:lang w:val="fr-FR"/>
        </w:rPr>
        <w:t xml:space="preserve"> la formation et l’orientation professionnelles (</w:t>
      </w:r>
      <w:r w:rsidR="00806CAA">
        <w:rPr>
          <w:lang w:val="fr-FR"/>
        </w:rPr>
        <w:t>par.</w:t>
      </w:r>
      <w:r w:rsidRPr="00494098">
        <w:rPr>
          <w:lang w:val="fr-FR"/>
        </w:rPr>
        <w:t xml:space="preserve"> 60 </w:t>
      </w:r>
      <w:r w:rsidR="00872592" w:rsidRPr="00494098">
        <w:rPr>
          <w:lang w:val="fr-FR"/>
        </w:rPr>
        <w:t xml:space="preserve">des </w:t>
      </w:r>
      <w:r w:rsidR="00034F52">
        <w:rPr>
          <w:lang w:val="fr-FR"/>
        </w:rPr>
        <w:t>o</w:t>
      </w:r>
      <w:r w:rsidR="00916D99" w:rsidRPr="00494098">
        <w:rPr>
          <w:lang w:val="fr-FR"/>
        </w:rPr>
        <w:t>bservations finales</w:t>
      </w:r>
      <w:r w:rsidR="00872592" w:rsidRPr="00494098">
        <w:rPr>
          <w:lang w:val="fr-FR"/>
        </w:rPr>
        <w:t>)</w:t>
      </w:r>
      <w:bookmarkStart w:id="165" w:name="_Toc530057309"/>
      <w:bookmarkStart w:id="166" w:name="_Toc530057531"/>
      <w:bookmarkStart w:id="167" w:name="_Toc530057623"/>
      <w:bookmarkStart w:id="168" w:name="_Toc530068004"/>
      <w:bookmarkEnd w:id="165"/>
      <w:bookmarkEnd w:id="166"/>
      <w:bookmarkEnd w:id="167"/>
      <w:bookmarkEnd w:id="168"/>
    </w:p>
    <w:p w14:paraId="1E299C97" w14:textId="77777777" w:rsidR="00077B75" w:rsidRPr="00494098" w:rsidRDefault="00077B75" w:rsidP="003B32BB">
      <w:pPr>
        <w:pStyle w:val="H4G"/>
        <w:rPr>
          <w:lang w:val="fr-FR"/>
        </w:rPr>
      </w:pPr>
      <w:r w:rsidRPr="00494098">
        <w:rPr>
          <w:lang w:val="fr-FR"/>
        </w:rPr>
        <w:tab/>
      </w:r>
      <w:r w:rsidRPr="00494098">
        <w:rPr>
          <w:lang w:val="fr-FR"/>
        </w:rPr>
        <w:tab/>
        <w:t>Coupes budgétaires</w:t>
      </w:r>
      <w:bookmarkStart w:id="169" w:name="_Toc530057532"/>
      <w:bookmarkEnd w:id="169"/>
    </w:p>
    <w:p w14:paraId="3D6902CE" w14:textId="77777777" w:rsidR="00077B75" w:rsidRPr="00494098" w:rsidRDefault="00077B75" w:rsidP="00480570">
      <w:pPr>
        <w:pStyle w:val="SingleTxtG"/>
        <w:rPr>
          <w:lang w:val="fr-FR"/>
        </w:rPr>
      </w:pPr>
      <w:r w:rsidRPr="00494098">
        <w:rPr>
          <w:lang w:val="fr-FR"/>
        </w:rPr>
        <w:t>232.</w:t>
      </w:r>
      <w:r w:rsidRPr="00494098">
        <w:rPr>
          <w:lang w:val="fr-FR"/>
        </w:rPr>
        <w:tab/>
        <w:t xml:space="preserve">Au cours de la dernière décennie, et particulièrement en 2012, les mesures d’austérité ont entraîné d’importantes réductions dans le secteur de l’éducation. </w:t>
      </w:r>
    </w:p>
    <w:p w14:paraId="009D6A4A" w14:textId="77777777" w:rsidR="00077B75" w:rsidRPr="00494098" w:rsidRDefault="00077B75" w:rsidP="00480570">
      <w:pPr>
        <w:pStyle w:val="SingleTxtG"/>
        <w:rPr>
          <w:lang w:val="fr-FR"/>
        </w:rPr>
      </w:pPr>
      <w:r w:rsidRPr="00494098">
        <w:rPr>
          <w:lang w:val="fr-FR"/>
        </w:rPr>
        <w:t>233.</w:t>
      </w:r>
      <w:r w:rsidRPr="00494098">
        <w:rPr>
          <w:lang w:val="fr-FR"/>
        </w:rPr>
        <w:tab/>
        <w:t>Depuis 2013, le budget de l’État pour l’éducation a légèrement augmenté, mais il demeure encore loin du niveau de 2010. En 2015, les dépenses représentaient 6</w:t>
      </w:r>
      <w:r w:rsidR="003B4E18" w:rsidRPr="00494098">
        <w:rPr>
          <w:lang w:val="fr-FR"/>
        </w:rPr>
        <w:t> %</w:t>
      </w:r>
      <w:r w:rsidRPr="00494098">
        <w:rPr>
          <w:lang w:val="fr-FR"/>
        </w:rPr>
        <w:t xml:space="preserve"> du PIB, contre 7,6</w:t>
      </w:r>
      <w:r w:rsidR="003B4E18" w:rsidRPr="00494098">
        <w:rPr>
          <w:lang w:val="fr-FR"/>
        </w:rPr>
        <w:t> %</w:t>
      </w:r>
      <w:r w:rsidRPr="00494098">
        <w:rPr>
          <w:lang w:val="fr-FR"/>
        </w:rPr>
        <w:t xml:space="preserve"> en 2010.</w:t>
      </w:r>
      <w:r w:rsidR="00912F7A" w:rsidRPr="00494098">
        <w:rPr>
          <w:lang w:val="fr-FR"/>
        </w:rPr>
        <w:t>Comme l</w:t>
      </w:r>
      <w:r w:rsidRPr="00494098">
        <w:rPr>
          <w:lang w:val="fr-FR"/>
        </w:rPr>
        <w:t>e niveau nominal du PIB au cours de ces deux années</w:t>
      </w:r>
      <w:r w:rsidR="00912F7A" w:rsidRPr="00494098">
        <w:rPr>
          <w:lang w:val="fr-FR"/>
        </w:rPr>
        <w:t xml:space="preserve"> n’a pratiquement pas bougé</w:t>
      </w:r>
      <w:r w:rsidRPr="00494098">
        <w:rPr>
          <w:lang w:val="fr-FR"/>
        </w:rPr>
        <w:t>, les dépenses consacrées à l'éducation ont diminué de quelque 20</w:t>
      </w:r>
      <w:r w:rsidR="003B4E18" w:rsidRPr="00494098">
        <w:rPr>
          <w:lang w:val="fr-FR"/>
        </w:rPr>
        <w:t> %</w:t>
      </w:r>
      <w:r w:rsidR="00912F7A" w:rsidRPr="00494098">
        <w:rPr>
          <w:lang w:val="fr-FR"/>
        </w:rPr>
        <w:t xml:space="preserve"> au cours de la période</w:t>
      </w:r>
      <w:r w:rsidRPr="00494098">
        <w:rPr>
          <w:lang w:val="fr-FR"/>
        </w:rPr>
        <w:t>.</w:t>
      </w:r>
    </w:p>
    <w:p w14:paraId="32033701" w14:textId="77777777" w:rsidR="00077B75" w:rsidRPr="00494098" w:rsidRDefault="00077B75" w:rsidP="00480570">
      <w:pPr>
        <w:pStyle w:val="SingleTxtG"/>
        <w:rPr>
          <w:lang w:val="fr-FR"/>
        </w:rPr>
      </w:pPr>
      <w:r w:rsidRPr="00494098">
        <w:rPr>
          <w:lang w:val="fr-FR"/>
        </w:rPr>
        <w:t>234.</w:t>
      </w:r>
      <w:r w:rsidRPr="00494098">
        <w:rPr>
          <w:lang w:val="fr-FR"/>
        </w:rPr>
        <w:tab/>
        <w:t xml:space="preserve">La diminution des dépenses publiques dans le domaine de l’enseignement depuis 2011 </w:t>
      </w:r>
      <w:r w:rsidR="0039099B" w:rsidRPr="00494098">
        <w:rPr>
          <w:lang w:val="fr-FR"/>
        </w:rPr>
        <w:t xml:space="preserve">était </w:t>
      </w:r>
      <w:r w:rsidRPr="00494098">
        <w:rPr>
          <w:lang w:val="fr-FR"/>
        </w:rPr>
        <w:t xml:space="preserve">principalement </w:t>
      </w:r>
      <w:r w:rsidR="0039099B" w:rsidRPr="00494098">
        <w:rPr>
          <w:lang w:val="fr-FR"/>
        </w:rPr>
        <w:t xml:space="preserve">liée </w:t>
      </w:r>
      <w:r w:rsidRPr="00494098">
        <w:rPr>
          <w:lang w:val="fr-FR"/>
        </w:rPr>
        <w:t xml:space="preserve">à la baisse du nombre de fonctionnaires et </w:t>
      </w:r>
      <w:r w:rsidR="0039099B" w:rsidRPr="00494098">
        <w:rPr>
          <w:lang w:val="fr-FR"/>
        </w:rPr>
        <w:t>à</w:t>
      </w:r>
      <w:r w:rsidRPr="00494098">
        <w:rPr>
          <w:lang w:val="fr-FR"/>
        </w:rPr>
        <w:t xml:space="preserve"> la réduction temporaire des salaires des enseignants et du personnel scolaire. Ces coupes ont eu un impact considérable sur les dépenses publiques consacrées à l’éducation, étant donné que la composante des frais de personnel dans le budget de l’éducation </w:t>
      </w:r>
      <w:r w:rsidR="00CF62D1" w:rsidRPr="00494098">
        <w:rPr>
          <w:lang w:val="fr-FR"/>
        </w:rPr>
        <w:t xml:space="preserve">constitue </w:t>
      </w:r>
      <w:r w:rsidRPr="00494098">
        <w:rPr>
          <w:lang w:val="fr-FR"/>
        </w:rPr>
        <w:t>environ 80</w:t>
      </w:r>
      <w:r w:rsidR="003B4E18" w:rsidRPr="00494098">
        <w:rPr>
          <w:lang w:val="fr-FR"/>
        </w:rPr>
        <w:t> %</w:t>
      </w:r>
      <w:r w:rsidRPr="00494098">
        <w:rPr>
          <w:lang w:val="fr-FR"/>
        </w:rPr>
        <w:t xml:space="preserve"> du montant total. Le déficit budgétaire a été aggravé par la suspension de programmes clefs tels que </w:t>
      </w:r>
      <w:r w:rsidR="001C4FA3" w:rsidRPr="00494098">
        <w:rPr>
          <w:lang w:val="fr-FR"/>
        </w:rPr>
        <w:t xml:space="preserve">ceux concernant </w:t>
      </w:r>
      <w:r w:rsidRPr="00494098">
        <w:rPr>
          <w:lang w:val="fr-FR"/>
        </w:rPr>
        <w:t>la rénovation et la construction d’écoles</w:t>
      </w:r>
      <w:r w:rsidR="001C4FA3" w:rsidRPr="00494098">
        <w:rPr>
          <w:lang w:val="fr-FR"/>
        </w:rPr>
        <w:t xml:space="preserve">, ou </w:t>
      </w:r>
      <w:r w:rsidRPr="00494098">
        <w:rPr>
          <w:lang w:val="fr-FR"/>
        </w:rPr>
        <w:t xml:space="preserve">les technologies de l'information et des communications. L’action sociale </w:t>
      </w:r>
      <w:r w:rsidR="001C4FA3" w:rsidRPr="00494098">
        <w:rPr>
          <w:lang w:val="fr-FR"/>
        </w:rPr>
        <w:t>scolaire</w:t>
      </w:r>
      <w:r w:rsidRPr="00494098">
        <w:rPr>
          <w:lang w:val="fr-FR"/>
        </w:rPr>
        <w:t xml:space="preserve"> et le Programme pour les zones d'intervention éducative prioritaire n’ont pas été touchés par ces coupes.</w:t>
      </w:r>
    </w:p>
    <w:p w14:paraId="4061FBF4" w14:textId="77777777" w:rsidR="00077B75" w:rsidRPr="00494098" w:rsidRDefault="00077B75" w:rsidP="00480570">
      <w:pPr>
        <w:pStyle w:val="SingleTxtG"/>
        <w:rPr>
          <w:lang w:val="fr-FR"/>
        </w:rPr>
      </w:pPr>
      <w:r w:rsidRPr="00494098">
        <w:rPr>
          <w:lang w:val="fr-FR"/>
        </w:rPr>
        <w:t>235.</w:t>
      </w:r>
      <w:r w:rsidRPr="00494098">
        <w:rPr>
          <w:lang w:val="fr-FR"/>
        </w:rPr>
        <w:tab/>
        <w:t>En 2016, les réductions de salaires des fonctionnaires ont été progressivement supprimées et le</w:t>
      </w:r>
      <w:r w:rsidR="00CF62D1" w:rsidRPr="00494098">
        <w:rPr>
          <w:lang w:val="fr-FR"/>
        </w:rPr>
        <w:t>s</w:t>
      </w:r>
      <w:r w:rsidRPr="00494098">
        <w:rPr>
          <w:lang w:val="fr-FR"/>
        </w:rPr>
        <w:t xml:space="preserve"> enseignants et </w:t>
      </w:r>
      <w:r w:rsidR="00CF62D1" w:rsidRPr="00494098">
        <w:rPr>
          <w:lang w:val="fr-FR"/>
        </w:rPr>
        <w:t xml:space="preserve">ainsi que les membres </w:t>
      </w:r>
      <w:r w:rsidRPr="00494098">
        <w:rPr>
          <w:lang w:val="fr-FR"/>
        </w:rPr>
        <w:t>non enseignant</w:t>
      </w:r>
      <w:r w:rsidR="00CF62D1" w:rsidRPr="00494098">
        <w:rPr>
          <w:lang w:val="fr-FR"/>
        </w:rPr>
        <w:t>s du personnel</w:t>
      </w:r>
      <w:r w:rsidRPr="00494098">
        <w:rPr>
          <w:lang w:val="fr-FR"/>
        </w:rPr>
        <w:t xml:space="preserve"> dans le système public </w:t>
      </w:r>
      <w:r w:rsidR="00CF62D1" w:rsidRPr="00494098">
        <w:rPr>
          <w:lang w:val="fr-FR"/>
        </w:rPr>
        <w:t>sont plus nombreux</w:t>
      </w:r>
      <w:r w:rsidRPr="00494098">
        <w:rPr>
          <w:lang w:val="fr-FR"/>
        </w:rPr>
        <w:t xml:space="preserve">. En 2017, les dépenses en immobilisations ont également commencé à augmenter, avec des investissements importants dans la reconstruction des écoles en mauvais état. </w:t>
      </w:r>
      <w:r w:rsidR="00C72E01" w:rsidRPr="00494098">
        <w:rPr>
          <w:lang w:val="fr-FR"/>
        </w:rPr>
        <w:t xml:space="preserve">Il faut noter aussi ces autres facteurs explicatifs que sont les </w:t>
      </w:r>
      <w:r w:rsidRPr="00494098">
        <w:rPr>
          <w:lang w:val="fr-FR"/>
        </w:rPr>
        <w:t>flux migratoires et le vieillissement de la population</w:t>
      </w:r>
      <w:r w:rsidR="008E09C4" w:rsidRPr="00494098">
        <w:rPr>
          <w:lang w:val="fr-FR"/>
        </w:rPr>
        <w:t xml:space="preserve">, qui se sont </w:t>
      </w:r>
      <w:r w:rsidRPr="00494098">
        <w:rPr>
          <w:lang w:val="fr-FR"/>
        </w:rPr>
        <w:t>renforcé</w:t>
      </w:r>
      <w:r w:rsidR="008E09C4" w:rsidRPr="00494098">
        <w:rPr>
          <w:lang w:val="fr-FR"/>
        </w:rPr>
        <w:t>s</w:t>
      </w:r>
      <w:r w:rsidRPr="00494098">
        <w:rPr>
          <w:lang w:val="fr-FR"/>
        </w:rPr>
        <w:t xml:space="preserve"> durant la crise économique</w:t>
      </w:r>
      <w:r w:rsidR="008E09C4" w:rsidRPr="00494098">
        <w:rPr>
          <w:lang w:val="fr-FR"/>
        </w:rPr>
        <w:t xml:space="preserve"> et</w:t>
      </w:r>
      <w:r w:rsidRPr="00494098">
        <w:rPr>
          <w:lang w:val="fr-FR"/>
        </w:rPr>
        <w:t xml:space="preserve"> ont entraîné une diminution du nombre d’enfants et de jeunes au </w:t>
      </w:r>
      <w:r w:rsidR="008E09C4" w:rsidRPr="00494098">
        <w:rPr>
          <w:lang w:val="fr-FR"/>
        </w:rPr>
        <w:t>Portugal</w:t>
      </w:r>
      <w:r w:rsidRPr="00494098">
        <w:rPr>
          <w:lang w:val="fr-FR"/>
        </w:rPr>
        <w:t xml:space="preserve">. </w:t>
      </w:r>
    </w:p>
    <w:p w14:paraId="0A0B95C6" w14:textId="77777777" w:rsidR="00077B75" w:rsidRPr="00494098" w:rsidRDefault="00077B75" w:rsidP="007159C7">
      <w:pPr>
        <w:pStyle w:val="H4G"/>
        <w:rPr>
          <w:lang w:val="fr-FR"/>
        </w:rPr>
      </w:pPr>
      <w:r w:rsidRPr="00494098">
        <w:rPr>
          <w:lang w:val="fr-FR"/>
        </w:rPr>
        <w:tab/>
      </w:r>
      <w:r w:rsidRPr="00494098">
        <w:rPr>
          <w:lang w:val="fr-FR"/>
        </w:rPr>
        <w:tab/>
      </w:r>
      <w:r w:rsidRPr="00494098">
        <w:rPr>
          <w:iCs/>
          <w:lang w:val="fr-FR"/>
        </w:rPr>
        <w:t>Enseignement préscolaire</w:t>
      </w:r>
      <w:bookmarkStart w:id="170" w:name="_Toc530057533"/>
      <w:bookmarkEnd w:id="170"/>
    </w:p>
    <w:p w14:paraId="797D8BB7" w14:textId="77777777" w:rsidR="00077B75" w:rsidRPr="00494098" w:rsidRDefault="00077B75" w:rsidP="00480570">
      <w:pPr>
        <w:pStyle w:val="SingleTxtG"/>
        <w:rPr>
          <w:lang w:val="fr-FR"/>
        </w:rPr>
      </w:pPr>
      <w:r w:rsidRPr="00494098">
        <w:rPr>
          <w:lang w:val="fr-FR"/>
        </w:rPr>
        <w:t>236.</w:t>
      </w:r>
      <w:r w:rsidRPr="00494098">
        <w:rPr>
          <w:lang w:val="fr-FR"/>
        </w:rPr>
        <w:tab/>
        <w:t>Le Portugal progresse dans la mise e</w:t>
      </w:r>
      <w:r w:rsidR="008E09C4" w:rsidRPr="00494098">
        <w:rPr>
          <w:lang w:val="fr-FR"/>
        </w:rPr>
        <w:t>n</w:t>
      </w:r>
      <w:r w:rsidRPr="00494098">
        <w:rPr>
          <w:lang w:val="fr-FR"/>
        </w:rPr>
        <w:t xml:space="preserve"> place généralisée de l'enseignement préscolaire pour tous les enfants âgés de 3 à 5</w:t>
      </w:r>
      <w:r w:rsidR="008E09C4" w:rsidRPr="00494098">
        <w:rPr>
          <w:lang w:val="fr-FR"/>
        </w:rPr>
        <w:t> </w:t>
      </w:r>
      <w:r w:rsidRPr="00494098">
        <w:rPr>
          <w:lang w:val="fr-FR"/>
        </w:rPr>
        <w:t>ans, d’ici à 2019. L’objectif de la généralisation totale de l’enseignement préscolaire — objectif fixé en 2016 — devrait être atteint pour les enfants âgés de 5</w:t>
      </w:r>
      <w:r w:rsidR="008E09C4" w:rsidRPr="00494098">
        <w:rPr>
          <w:lang w:val="fr-FR"/>
        </w:rPr>
        <w:t> </w:t>
      </w:r>
      <w:r w:rsidRPr="00494098">
        <w:rPr>
          <w:lang w:val="fr-FR"/>
        </w:rPr>
        <w:t>ans en 2017. Pendant l’année scolaire 2015</w:t>
      </w:r>
      <w:r w:rsidR="008E09C4" w:rsidRPr="00494098">
        <w:rPr>
          <w:lang w:val="fr-FR"/>
        </w:rPr>
        <w:t>-</w:t>
      </w:r>
      <w:r w:rsidRPr="00494098">
        <w:rPr>
          <w:lang w:val="fr-FR"/>
        </w:rPr>
        <w:t>2016, le taux de fréquentation préscolaire était de 94,8</w:t>
      </w:r>
      <w:r w:rsidR="003B4E18" w:rsidRPr="00494098">
        <w:rPr>
          <w:lang w:val="fr-FR"/>
        </w:rPr>
        <w:t> %</w:t>
      </w:r>
      <w:r w:rsidRPr="00494098">
        <w:rPr>
          <w:lang w:val="fr-FR"/>
        </w:rPr>
        <w:t xml:space="preserve"> pour les enfants de 5</w:t>
      </w:r>
      <w:r w:rsidR="008E09C4" w:rsidRPr="00494098">
        <w:rPr>
          <w:lang w:val="fr-FR"/>
        </w:rPr>
        <w:t> </w:t>
      </w:r>
      <w:r w:rsidRPr="00494098">
        <w:rPr>
          <w:lang w:val="fr-FR"/>
        </w:rPr>
        <w:t>ans</w:t>
      </w:r>
      <w:r w:rsidR="006717A5" w:rsidRPr="00494098">
        <w:rPr>
          <w:lang w:val="fr-FR"/>
        </w:rPr>
        <w:t> ;</w:t>
      </w:r>
      <w:r w:rsidRPr="00494098">
        <w:rPr>
          <w:lang w:val="fr-FR"/>
        </w:rPr>
        <w:t xml:space="preserve"> 90,1% pour </w:t>
      </w:r>
      <w:r w:rsidR="008E09C4" w:rsidRPr="00494098">
        <w:rPr>
          <w:lang w:val="fr-FR"/>
        </w:rPr>
        <w:t>ceux de 4 </w:t>
      </w:r>
      <w:r w:rsidRPr="00494098">
        <w:rPr>
          <w:lang w:val="fr-FR"/>
        </w:rPr>
        <w:t xml:space="preserve">ans et 79,9% pour </w:t>
      </w:r>
      <w:r w:rsidR="008E09C4" w:rsidRPr="00494098">
        <w:rPr>
          <w:lang w:val="fr-FR"/>
        </w:rPr>
        <w:t xml:space="preserve">ceux </w:t>
      </w:r>
      <w:r w:rsidRPr="00494098">
        <w:rPr>
          <w:lang w:val="fr-FR"/>
        </w:rPr>
        <w:t>de</w:t>
      </w:r>
      <w:r w:rsidR="008E09C4" w:rsidRPr="00494098">
        <w:rPr>
          <w:lang w:val="fr-FR"/>
        </w:rPr>
        <w:t> </w:t>
      </w:r>
      <w:r w:rsidRPr="00494098">
        <w:rPr>
          <w:lang w:val="fr-FR"/>
        </w:rPr>
        <w:t>3 ans. Voir annexe</w:t>
      </w:r>
      <w:r w:rsidR="000B54C1" w:rsidRPr="00494098">
        <w:rPr>
          <w:lang w:val="fr-FR"/>
        </w:rPr>
        <w:t> </w:t>
      </w:r>
      <w:r w:rsidRPr="00494098">
        <w:rPr>
          <w:lang w:val="fr-FR"/>
        </w:rPr>
        <w:t>3 B sur les taux de scolarisation.</w:t>
      </w:r>
    </w:p>
    <w:p w14:paraId="6065F3EC" w14:textId="77777777" w:rsidR="00077B75" w:rsidRPr="00494098" w:rsidRDefault="00077B75" w:rsidP="00480570">
      <w:pPr>
        <w:pStyle w:val="SingleTxtG"/>
        <w:rPr>
          <w:lang w:val="fr-FR"/>
        </w:rPr>
      </w:pPr>
      <w:r w:rsidRPr="00494098">
        <w:rPr>
          <w:lang w:val="fr-FR"/>
        </w:rPr>
        <w:t>237.</w:t>
      </w:r>
      <w:r w:rsidRPr="00494098">
        <w:rPr>
          <w:lang w:val="fr-FR"/>
        </w:rPr>
        <w:tab/>
        <w:t xml:space="preserve">En 2015, la participation des enfants </w:t>
      </w:r>
      <w:r w:rsidR="003425F6" w:rsidRPr="00494098">
        <w:rPr>
          <w:lang w:val="fr-FR"/>
        </w:rPr>
        <w:t xml:space="preserve">ayant entre </w:t>
      </w:r>
      <w:r w:rsidRPr="00494098">
        <w:rPr>
          <w:lang w:val="fr-FR"/>
        </w:rPr>
        <w:t>4</w:t>
      </w:r>
      <w:r w:rsidR="009F4C81" w:rsidRPr="00494098">
        <w:rPr>
          <w:lang w:val="fr-FR"/>
        </w:rPr>
        <w:t> </w:t>
      </w:r>
      <w:r w:rsidRPr="00494098">
        <w:rPr>
          <w:lang w:val="fr-FR"/>
        </w:rPr>
        <w:t xml:space="preserve">ans </w:t>
      </w:r>
      <w:r w:rsidR="003425F6" w:rsidRPr="00494098">
        <w:rPr>
          <w:lang w:val="fr-FR"/>
        </w:rPr>
        <w:t>et</w:t>
      </w:r>
      <w:r w:rsidR="000B54C1" w:rsidRPr="00494098">
        <w:rPr>
          <w:lang w:val="fr-FR"/>
        </w:rPr>
        <w:t xml:space="preserve"> </w:t>
      </w:r>
      <w:r w:rsidRPr="00494098">
        <w:rPr>
          <w:lang w:val="fr-FR"/>
        </w:rPr>
        <w:t xml:space="preserve">l'âge de la scolarité obligatoire </w:t>
      </w:r>
      <w:r w:rsidR="003425F6" w:rsidRPr="00494098">
        <w:rPr>
          <w:lang w:val="fr-FR"/>
        </w:rPr>
        <w:t xml:space="preserve">atteignait </w:t>
      </w:r>
      <w:r w:rsidRPr="00494098">
        <w:rPr>
          <w:lang w:val="fr-FR"/>
        </w:rPr>
        <w:t xml:space="preserve">93,6%, légèrement en deçà de la moyenne de l'UE (94,8%). </w:t>
      </w:r>
    </w:p>
    <w:p w14:paraId="424B9C18" w14:textId="77777777" w:rsidR="00077B75" w:rsidRPr="00494098" w:rsidRDefault="00077B75" w:rsidP="00480570">
      <w:pPr>
        <w:pStyle w:val="SingleTxtG"/>
        <w:rPr>
          <w:lang w:val="fr-FR"/>
        </w:rPr>
      </w:pPr>
      <w:r w:rsidRPr="00494098">
        <w:rPr>
          <w:lang w:val="fr-FR"/>
        </w:rPr>
        <w:t>238.</w:t>
      </w:r>
      <w:r w:rsidRPr="00494098">
        <w:rPr>
          <w:lang w:val="fr-FR"/>
        </w:rPr>
        <w:tab/>
        <w:t xml:space="preserve">L’intervention dans l’éducation et la prise en charge de la petite enfance </w:t>
      </w:r>
      <w:r w:rsidR="005541D6" w:rsidRPr="00494098">
        <w:rPr>
          <w:lang w:val="fr-FR"/>
        </w:rPr>
        <w:t xml:space="preserve">est </w:t>
      </w:r>
      <w:r w:rsidRPr="00494098">
        <w:rPr>
          <w:lang w:val="fr-FR"/>
        </w:rPr>
        <w:t>réglementée par des mécanismes juridiques élaborés sous l’égide du Ministère de l’éducation et du Ministère du travail, de la solidarité et de la sécurité sociale.</w:t>
      </w:r>
    </w:p>
    <w:p w14:paraId="69B02C1E" w14:textId="77777777" w:rsidR="00077B75" w:rsidRPr="00494098" w:rsidRDefault="00077B75" w:rsidP="00480570">
      <w:pPr>
        <w:pStyle w:val="SingleTxtG"/>
        <w:rPr>
          <w:lang w:val="fr-FR"/>
        </w:rPr>
      </w:pPr>
      <w:r w:rsidRPr="00494098">
        <w:rPr>
          <w:lang w:val="fr-FR"/>
        </w:rPr>
        <w:t>239.</w:t>
      </w:r>
      <w:r w:rsidRPr="00494098">
        <w:rPr>
          <w:lang w:val="fr-FR"/>
        </w:rPr>
        <w:tab/>
        <w:t>L'expansion et l’amélioration de la qualité du réseau na</w:t>
      </w:r>
      <w:r w:rsidR="000B54C1" w:rsidRPr="00494098">
        <w:rPr>
          <w:lang w:val="fr-FR"/>
        </w:rPr>
        <w:t xml:space="preserve">tional d’éducation préscolaire </w:t>
      </w:r>
      <w:r w:rsidRPr="00494098">
        <w:rPr>
          <w:lang w:val="fr-FR"/>
        </w:rPr>
        <w:t xml:space="preserve">ont </w:t>
      </w:r>
      <w:r w:rsidR="000B54C1" w:rsidRPr="00494098">
        <w:rPr>
          <w:lang w:val="fr-FR"/>
        </w:rPr>
        <w:t xml:space="preserve">été </w:t>
      </w:r>
      <w:r w:rsidRPr="00494098">
        <w:rPr>
          <w:lang w:val="fr-FR"/>
        </w:rPr>
        <w:t xml:space="preserve">lancées </w:t>
      </w:r>
      <w:r w:rsidR="000B54C1" w:rsidRPr="00494098">
        <w:rPr>
          <w:lang w:val="fr-FR"/>
        </w:rPr>
        <w:t xml:space="preserve">en </w:t>
      </w:r>
      <w:r w:rsidRPr="00494098">
        <w:rPr>
          <w:lang w:val="fr-FR"/>
        </w:rPr>
        <w:t>1995, le but étant de permettre à tous les enfants d’avoir accès à l’éducation préscolaire</w:t>
      </w:r>
      <w:r w:rsidR="003425F6" w:rsidRPr="00494098">
        <w:rPr>
          <w:lang w:val="fr-FR"/>
        </w:rPr>
        <w:t>,</w:t>
      </w:r>
      <w:r w:rsidRPr="00494098">
        <w:rPr>
          <w:lang w:val="fr-FR"/>
        </w:rPr>
        <w:t xml:space="preserve"> et d</w:t>
      </w:r>
      <w:r w:rsidR="00A10DE4" w:rsidRPr="00494098">
        <w:rPr>
          <w:lang w:val="fr-FR"/>
        </w:rPr>
        <w:t>e garantir</w:t>
      </w:r>
      <w:r w:rsidRPr="00494098">
        <w:rPr>
          <w:lang w:val="fr-FR"/>
        </w:rPr>
        <w:t xml:space="preserve"> des interventions éducatives </w:t>
      </w:r>
      <w:r w:rsidR="005541D6" w:rsidRPr="00494098">
        <w:rPr>
          <w:lang w:val="fr-FR"/>
        </w:rPr>
        <w:t xml:space="preserve">de qualité, </w:t>
      </w:r>
      <w:r w:rsidRPr="00494098">
        <w:rPr>
          <w:lang w:val="fr-FR"/>
        </w:rPr>
        <w:t xml:space="preserve">diversifiées et adaptées aux besoins des familles. </w:t>
      </w:r>
    </w:p>
    <w:p w14:paraId="26996E37" w14:textId="77777777" w:rsidR="00077B75" w:rsidRPr="00494098" w:rsidRDefault="00077B75" w:rsidP="00AE4BF5">
      <w:pPr>
        <w:pStyle w:val="SingleTxtG"/>
        <w:rPr>
          <w:lang w:val="fr-FR"/>
        </w:rPr>
      </w:pPr>
      <w:r w:rsidRPr="00494098">
        <w:rPr>
          <w:lang w:val="fr-FR"/>
        </w:rPr>
        <w:t>240.</w:t>
      </w:r>
      <w:r w:rsidRPr="00494098">
        <w:rPr>
          <w:lang w:val="fr-FR"/>
        </w:rPr>
        <w:tab/>
        <w:t>La généralisation de l’éducation préscolaire, qui est également une priorité de la politique de l’éducation à ce niveau de l’enseigne</w:t>
      </w:r>
      <w:r w:rsidR="005541D6" w:rsidRPr="00494098">
        <w:rPr>
          <w:lang w:val="fr-FR"/>
        </w:rPr>
        <w:t>ment, est actuellement assurée pour</w:t>
      </w:r>
      <w:r w:rsidRPr="00494098">
        <w:rPr>
          <w:lang w:val="fr-FR"/>
        </w:rPr>
        <w:t xml:space="preserve"> environ 83</w:t>
      </w:r>
      <w:r w:rsidR="003B4E18" w:rsidRPr="00494098">
        <w:rPr>
          <w:lang w:val="fr-FR"/>
        </w:rPr>
        <w:t> %</w:t>
      </w:r>
      <w:r w:rsidRPr="00494098">
        <w:rPr>
          <w:lang w:val="fr-FR"/>
        </w:rPr>
        <w:t xml:space="preserve"> des enfants de 3 à </w:t>
      </w:r>
      <w:r w:rsidR="000B54C1" w:rsidRPr="00494098">
        <w:rPr>
          <w:lang w:val="fr-FR"/>
        </w:rPr>
        <w:t>6</w:t>
      </w:r>
      <w:r w:rsidR="005541D6" w:rsidRPr="00494098">
        <w:rPr>
          <w:lang w:val="fr-FR"/>
        </w:rPr>
        <w:t> </w:t>
      </w:r>
      <w:r w:rsidR="000B54C1" w:rsidRPr="00494098">
        <w:rPr>
          <w:lang w:val="fr-FR"/>
        </w:rPr>
        <w:t>ans</w:t>
      </w:r>
      <w:r w:rsidRPr="00494098">
        <w:rPr>
          <w:lang w:val="fr-FR"/>
        </w:rPr>
        <w:t xml:space="preserve"> dans les établissements préscolaires.</w:t>
      </w:r>
    </w:p>
    <w:p w14:paraId="6725FC5C" w14:textId="77777777" w:rsidR="00077B75" w:rsidRPr="00494098" w:rsidRDefault="00077B75" w:rsidP="00480570">
      <w:pPr>
        <w:pStyle w:val="SingleTxtG"/>
        <w:rPr>
          <w:lang w:val="fr-FR"/>
        </w:rPr>
      </w:pPr>
      <w:r w:rsidRPr="00494098">
        <w:rPr>
          <w:lang w:val="fr-FR"/>
        </w:rPr>
        <w:t>241.</w:t>
      </w:r>
      <w:r w:rsidRPr="00494098">
        <w:rPr>
          <w:lang w:val="fr-FR"/>
        </w:rPr>
        <w:tab/>
        <w:t xml:space="preserve">Le réseau national d’éducation préscolaire en place s’appuie sur de solides partenariats entre le Ministère de l’éducation et des sciences, le Ministère du travail, de la solidarité et de la sécurité sociale, l’Union des institutions privées de solidarité sociale, l’Union des sociétés de secours mutuel, l’Association nationale des municipalités portugaises et d’autres institutions. </w:t>
      </w:r>
    </w:p>
    <w:p w14:paraId="374F4118" w14:textId="77777777" w:rsidR="00077B75" w:rsidRPr="00494098" w:rsidRDefault="00077B75" w:rsidP="00480570">
      <w:pPr>
        <w:pStyle w:val="SingleTxtG"/>
        <w:rPr>
          <w:lang w:val="fr-FR"/>
        </w:rPr>
      </w:pPr>
      <w:r w:rsidRPr="00494098">
        <w:rPr>
          <w:lang w:val="fr-FR"/>
        </w:rPr>
        <w:t>242.</w:t>
      </w:r>
      <w:r w:rsidRPr="00494098">
        <w:rPr>
          <w:lang w:val="fr-FR"/>
        </w:rPr>
        <w:tab/>
        <w:t xml:space="preserve">Des protocoles de coopération établis avec les différents partenaires sociaux garantissent la gratuité du temps d'enseignement grâce à l’appui financier de l’État aux établissements publics et aux institutions privées à but non lucratif. </w:t>
      </w:r>
      <w:r w:rsidR="00E065F6" w:rsidRPr="00494098">
        <w:rPr>
          <w:lang w:val="fr-FR"/>
        </w:rPr>
        <w:t>Par ailleurs, l</w:t>
      </w:r>
      <w:r w:rsidRPr="00494098">
        <w:rPr>
          <w:lang w:val="fr-FR"/>
        </w:rPr>
        <w:t>es h</w:t>
      </w:r>
      <w:r w:rsidR="00E065F6" w:rsidRPr="00494098">
        <w:rPr>
          <w:lang w:val="fr-FR"/>
        </w:rPr>
        <w:t xml:space="preserve">oraires </w:t>
      </w:r>
      <w:r w:rsidRPr="00494098">
        <w:rPr>
          <w:lang w:val="fr-FR"/>
        </w:rPr>
        <w:t xml:space="preserve">d’ouverture des établissements préscolaires ont </w:t>
      </w:r>
      <w:r w:rsidR="00E065F6" w:rsidRPr="00494098">
        <w:rPr>
          <w:lang w:val="fr-FR"/>
        </w:rPr>
        <w:t>été étendu</w:t>
      </w:r>
      <w:r w:rsidRPr="00494098">
        <w:rPr>
          <w:lang w:val="fr-FR"/>
        </w:rPr>
        <w:t>s afin d</w:t>
      </w:r>
      <w:r w:rsidR="00E065F6" w:rsidRPr="00494098">
        <w:rPr>
          <w:lang w:val="fr-FR"/>
        </w:rPr>
        <w:t>e les</w:t>
      </w:r>
      <w:r w:rsidR="00A10DE4" w:rsidRPr="00494098">
        <w:rPr>
          <w:lang w:val="fr-FR"/>
        </w:rPr>
        <w:t xml:space="preserve"> </w:t>
      </w:r>
      <w:r w:rsidRPr="00494098">
        <w:rPr>
          <w:lang w:val="fr-FR"/>
        </w:rPr>
        <w:t>adapter aux besoins des familles. Lors de</w:t>
      </w:r>
      <w:r w:rsidR="005541D6" w:rsidRPr="00494098">
        <w:rPr>
          <w:lang w:val="fr-FR"/>
        </w:rPr>
        <w:t>s</w:t>
      </w:r>
      <w:r w:rsidRPr="00494098">
        <w:rPr>
          <w:lang w:val="fr-FR"/>
        </w:rPr>
        <w:t xml:space="preserve"> inscription</w:t>
      </w:r>
      <w:r w:rsidR="005541D6" w:rsidRPr="00494098">
        <w:rPr>
          <w:lang w:val="fr-FR"/>
        </w:rPr>
        <w:t>s</w:t>
      </w:r>
      <w:r w:rsidRPr="00494098">
        <w:rPr>
          <w:lang w:val="fr-FR"/>
        </w:rPr>
        <w:t xml:space="preserve"> dans </w:t>
      </w:r>
      <w:r w:rsidR="005541D6" w:rsidRPr="00494098">
        <w:rPr>
          <w:lang w:val="fr-FR"/>
        </w:rPr>
        <w:t xml:space="preserve">les </w:t>
      </w:r>
      <w:r w:rsidRPr="00494098">
        <w:rPr>
          <w:lang w:val="fr-FR"/>
        </w:rPr>
        <w:t>jardin</w:t>
      </w:r>
      <w:r w:rsidR="005541D6" w:rsidRPr="00494098">
        <w:rPr>
          <w:lang w:val="fr-FR"/>
        </w:rPr>
        <w:t>s</w:t>
      </w:r>
      <w:r w:rsidRPr="00494098">
        <w:rPr>
          <w:lang w:val="fr-FR"/>
        </w:rPr>
        <w:t xml:space="preserve"> d’enfant</w:t>
      </w:r>
      <w:r w:rsidR="005541D6" w:rsidRPr="00494098">
        <w:rPr>
          <w:lang w:val="fr-FR"/>
        </w:rPr>
        <w:t>s</w:t>
      </w:r>
      <w:r w:rsidRPr="00494098">
        <w:rPr>
          <w:lang w:val="fr-FR"/>
        </w:rPr>
        <w:t xml:space="preserve">, </w:t>
      </w:r>
      <w:r w:rsidR="005541D6" w:rsidRPr="00494098">
        <w:rPr>
          <w:lang w:val="fr-FR"/>
        </w:rPr>
        <w:t xml:space="preserve">priorité est donnée aux </w:t>
      </w:r>
      <w:r w:rsidRPr="00494098">
        <w:rPr>
          <w:lang w:val="fr-FR"/>
        </w:rPr>
        <w:t>enfants ayant des besoins particuliers, une invalidité permanente ou dont les parents sont mineurs.</w:t>
      </w:r>
    </w:p>
    <w:p w14:paraId="7681103B" w14:textId="77777777" w:rsidR="00077B75" w:rsidRPr="00494098" w:rsidRDefault="00077B75" w:rsidP="00AE4BF5">
      <w:pPr>
        <w:pStyle w:val="SingleTxtG"/>
        <w:rPr>
          <w:lang w:val="fr-FR"/>
        </w:rPr>
      </w:pPr>
      <w:r w:rsidRPr="00494098">
        <w:rPr>
          <w:lang w:val="fr-FR"/>
        </w:rPr>
        <w:t>243.</w:t>
      </w:r>
      <w:r w:rsidRPr="00494098">
        <w:rPr>
          <w:lang w:val="fr-FR"/>
        </w:rPr>
        <w:tab/>
        <w:t>Les enseignants de maternelle (groupe d'âge de 0 à 6</w:t>
      </w:r>
      <w:r w:rsidR="00B41861" w:rsidRPr="00494098">
        <w:rPr>
          <w:lang w:val="fr-FR"/>
        </w:rPr>
        <w:t> </w:t>
      </w:r>
      <w:r w:rsidRPr="00494098">
        <w:rPr>
          <w:lang w:val="fr-FR"/>
        </w:rPr>
        <w:t xml:space="preserve">ans) acquièrent leurs </w:t>
      </w:r>
      <w:r w:rsidR="00E065F6" w:rsidRPr="00494098">
        <w:rPr>
          <w:lang w:val="fr-FR"/>
        </w:rPr>
        <w:t xml:space="preserve">compétences </w:t>
      </w:r>
      <w:r w:rsidRPr="00494098">
        <w:rPr>
          <w:lang w:val="fr-FR"/>
        </w:rPr>
        <w:t xml:space="preserve">professionnelles </w:t>
      </w:r>
      <w:r w:rsidR="00B41861" w:rsidRPr="00494098">
        <w:rPr>
          <w:lang w:val="fr-FR"/>
        </w:rPr>
        <w:t xml:space="preserve">lors d’un </w:t>
      </w:r>
      <w:r w:rsidRPr="00494098">
        <w:rPr>
          <w:lang w:val="fr-FR"/>
        </w:rPr>
        <w:t xml:space="preserve">cours de formation initial dispensé dans des établissements d’enseignement supérieur (universités ou instituts universitaires), organisé en fonction des profils de qualifications pédagogiques, </w:t>
      </w:r>
      <w:r w:rsidR="00B41861" w:rsidRPr="00494098">
        <w:rPr>
          <w:lang w:val="fr-FR"/>
        </w:rPr>
        <w:t xml:space="preserve">et </w:t>
      </w:r>
      <w:r w:rsidRPr="00494098">
        <w:rPr>
          <w:lang w:val="fr-FR"/>
        </w:rPr>
        <w:t>auquel s</w:t>
      </w:r>
      <w:r w:rsidR="00A10DE4" w:rsidRPr="00494098">
        <w:rPr>
          <w:lang w:val="fr-FR"/>
        </w:rPr>
        <w:t xml:space="preserve">’ajoute </w:t>
      </w:r>
      <w:r w:rsidRPr="00494098">
        <w:rPr>
          <w:lang w:val="fr-FR"/>
        </w:rPr>
        <w:t xml:space="preserve">une formation pédagogique continue. </w:t>
      </w:r>
      <w:r w:rsidR="00B41861" w:rsidRPr="00494098">
        <w:rPr>
          <w:lang w:val="fr-FR"/>
        </w:rPr>
        <w:t xml:space="preserve">Ces cours qualifiants débouchent sur </w:t>
      </w:r>
      <w:r w:rsidRPr="00494098">
        <w:rPr>
          <w:lang w:val="fr-FR"/>
        </w:rPr>
        <w:t>un diplôme de premier degré. La formation continue permet d'actualiser et améliorer les pratiques professionnelles</w:t>
      </w:r>
      <w:r w:rsidR="00BA6A7F" w:rsidRPr="00494098">
        <w:rPr>
          <w:lang w:val="fr-FR"/>
        </w:rPr>
        <w:t xml:space="preserve"> des enseignants</w:t>
      </w:r>
      <w:r w:rsidRPr="00494098">
        <w:rPr>
          <w:lang w:val="fr-FR"/>
        </w:rPr>
        <w:t xml:space="preserve">, leur reconversion, </w:t>
      </w:r>
      <w:r w:rsidR="00BA6A7F" w:rsidRPr="00494098">
        <w:rPr>
          <w:lang w:val="fr-FR"/>
        </w:rPr>
        <w:t>et</w:t>
      </w:r>
      <w:r w:rsidRPr="00494098">
        <w:rPr>
          <w:lang w:val="fr-FR"/>
        </w:rPr>
        <w:t xml:space="preserve"> </w:t>
      </w:r>
      <w:r w:rsidR="00E065F6" w:rsidRPr="00494098">
        <w:rPr>
          <w:lang w:val="fr-FR"/>
        </w:rPr>
        <w:t xml:space="preserve">leur amène </w:t>
      </w:r>
      <w:r w:rsidRPr="00494098">
        <w:rPr>
          <w:lang w:val="fr-FR"/>
        </w:rPr>
        <w:t>un soutien</w:t>
      </w:r>
      <w:r w:rsidR="00BA6A7F" w:rsidRPr="00494098">
        <w:rPr>
          <w:lang w:val="fr-FR"/>
        </w:rPr>
        <w:t xml:space="preserve"> dans leurs activités professionnelles</w:t>
      </w:r>
      <w:r w:rsidR="00E065F6" w:rsidRPr="00494098">
        <w:rPr>
          <w:lang w:val="fr-FR"/>
        </w:rPr>
        <w:t xml:space="preserve">, de meilleures </w:t>
      </w:r>
      <w:r w:rsidRPr="00494098">
        <w:rPr>
          <w:lang w:val="fr-FR"/>
        </w:rPr>
        <w:t xml:space="preserve">perspectives de carrière et </w:t>
      </w:r>
      <w:r w:rsidR="00E065F6" w:rsidRPr="00494098">
        <w:rPr>
          <w:lang w:val="fr-FR"/>
        </w:rPr>
        <w:t xml:space="preserve">une plus grande </w:t>
      </w:r>
      <w:r w:rsidRPr="00494098">
        <w:rPr>
          <w:lang w:val="fr-FR"/>
        </w:rPr>
        <w:t>mobilité.</w:t>
      </w:r>
    </w:p>
    <w:p w14:paraId="50589175" w14:textId="77777777" w:rsidR="00077B75" w:rsidRPr="00494098" w:rsidRDefault="00077B75" w:rsidP="008C240D">
      <w:pPr>
        <w:pStyle w:val="H4G"/>
        <w:rPr>
          <w:lang w:val="fr-FR"/>
        </w:rPr>
      </w:pPr>
      <w:r w:rsidRPr="00494098">
        <w:rPr>
          <w:lang w:val="fr-FR"/>
        </w:rPr>
        <w:tab/>
      </w:r>
      <w:r w:rsidRPr="00494098">
        <w:rPr>
          <w:lang w:val="fr-FR"/>
        </w:rPr>
        <w:tab/>
        <w:t>Abandon scolaire prématuré</w:t>
      </w:r>
      <w:bookmarkStart w:id="171" w:name="_Toc530057534"/>
      <w:bookmarkEnd w:id="171"/>
    </w:p>
    <w:p w14:paraId="70D1103D" w14:textId="77777777" w:rsidR="00077B75" w:rsidRPr="00494098" w:rsidRDefault="00077B75" w:rsidP="00480570">
      <w:pPr>
        <w:pStyle w:val="SingleTxtG"/>
        <w:rPr>
          <w:lang w:val="fr-FR"/>
        </w:rPr>
      </w:pPr>
      <w:r w:rsidRPr="00494098">
        <w:rPr>
          <w:lang w:val="fr-FR"/>
        </w:rPr>
        <w:t>244.</w:t>
      </w:r>
      <w:r w:rsidRPr="00494098">
        <w:rPr>
          <w:lang w:val="fr-FR"/>
        </w:rPr>
        <w:tab/>
      </w:r>
      <w:r w:rsidR="003B52F8" w:rsidRPr="00494098">
        <w:rPr>
          <w:lang w:val="fr-FR"/>
        </w:rPr>
        <w:t xml:space="preserve">La lutte contre l’abandon scolaire </w:t>
      </w:r>
      <w:r w:rsidR="00CB04A8" w:rsidRPr="00494098">
        <w:rPr>
          <w:lang w:val="fr-FR"/>
        </w:rPr>
        <w:t>précoce</w:t>
      </w:r>
      <w:r w:rsidR="00E065F6" w:rsidRPr="00494098">
        <w:rPr>
          <w:lang w:val="fr-FR"/>
        </w:rPr>
        <w:t xml:space="preserve"> </w:t>
      </w:r>
      <w:r w:rsidR="00A10DE4" w:rsidRPr="00494098">
        <w:rPr>
          <w:lang w:val="fr-FR"/>
        </w:rPr>
        <w:t xml:space="preserve">est une priorité nationale qui </w:t>
      </w:r>
      <w:r w:rsidR="00E065F6" w:rsidRPr="00494098">
        <w:rPr>
          <w:lang w:val="fr-FR"/>
        </w:rPr>
        <w:t xml:space="preserve">vise à </w:t>
      </w:r>
      <w:r w:rsidR="00CB04A8" w:rsidRPr="00494098">
        <w:rPr>
          <w:lang w:val="fr-FR"/>
        </w:rPr>
        <w:t>améliorer les taux de réussite de la scolarité obligatoire</w:t>
      </w:r>
      <w:r w:rsidR="00A10DE4" w:rsidRPr="00494098">
        <w:rPr>
          <w:lang w:val="fr-FR"/>
        </w:rPr>
        <w:t xml:space="preserve"> (enseignement secondaire ou 18 </w:t>
      </w:r>
      <w:r w:rsidR="00CB04A8" w:rsidRPr="00494098">
        <w:rPr>
          <w:lang w:val="fr-FR"/>
        </w:rPr>
        <w:t>ans)</w:t>
      </w:r>
      <w:r w:rsidRPr="00494098">
        <w:rPr>
          <w:lang w:val="fr-FR"/>
        </w:rPr>
        <w:t>. Voir annexe</w:t>
      </w:r>
      <w:r w:rsidR="00A10DE4" w:rsidRPr="00494098">
        <w:rPr>
          <w:lang w:val="fr-FR"/>
        </w:rPr>
        <w:t> </w:t>
      </w:r>
      <w:r w:rsidRPr="00494098">
        <w:rPr>
          <w:lang w:val="fr-FR"/>
        </w:rPr>
        <w:t>3, A et B, sur les élèves et les taux de scolarisation.</w:t>
      </w:r>
    </w:p>
    <w:p w14:paraId="1F68F317" w14:textId="77777777" w:rsidR="00077B75" w:rsidRPr="00494098" w:rsidRDefault="00077B75" w:rsidP="00480570">
      <w:pPr>
        <w:pStyle w:val="SingleTxtG"/>
        <w:rPr>
          <w:lang w:val="fr-FR"/>
        </w:rPr>
      </w:pPr>
      <w:r w:rsidRPr="00494098">
        <w:rPr>
          <w:lang w:val="fr-FR"/>
        </w:rPr>
        <w:t>245.</w:t>
      </w:r>
      <w:r w:rsidRPr="00494098">
        <w:rPr>
          <w:lang w:val="fr-FR"/>
        </w:rPr>
        <w:tab/>
      </w:r>
      <w:r w:rsidR="009C57D9" w:rsidRPr="00494098">
        <w:rPr>
          <w:lang w:val="fr-FR"/>
        </w:rPr>
        <w:t xml:space="preserve">Le </w:t>
      </w:r>
      <w:r w:rsidRPr="00494098">
        <w:rPr>
          <w:lang w:val="fr-FR"/>
        </w:rPr>
        <w:t xml:space="preserve">taux de jeunes quittant prématurément le système de l'éducation et de la formation </w:t>
      </w:r>
      <w:r w:rsidR="009C57D9" w:rsidRPr="00494098">
        <w:rPr>
          <w:lang w:val="fr-FR"/>
        </w:rPr>
        <w:t xml:space="preserve">a fortement chuté </w:t>
      </w:r>
      <w:r w:rsidRPr="00494098">
        <w:rPr>
          <w:lang w:val="fr-FR"/>
        </w:rPr>
        <w:t>(de 43,6</w:t>
      </w:r>
      <w:r w:rsidR="003B4E18" w:rsidRPr="00494098">
        <w:rPr>
          <w:lang w:val="fr-FR"/>
        </w:rPr>
        <w:t> %</w:t>
      </w:r>
      <w:r w:rsidRPr="00494098">
        <w:rPr>
          <w:lang w:val="fr-FR"/>
        </w:rPr>
        <w:t xml:space="preserve"> en 2000 à 14,5</w:t>
      </w:r>
      <w:r w:rsidR="003B4E18" w:rsidRPr="00494098">
        <w:rPr>
          <w:lang w:val="fr-FR"/>
        </w:rPr>
        <w:t> %</w:t>
      </w:r>
      <w:r w:rsidRPr="00494098">
        <w:rPr>
          <w:lang w:val="fr-FR"/>
        </w:rPr>
        <w:t xml:space="preserve"> en 2016). Toutefois,</w:t>
      </w:r>
      <w:r w:rsidR="009C57D9" w:rsidRPr="00494098">
        <w:rPr>
          <w:lang w:val="fr-FR"/>
        </w:rPr>
        <w:t xml:space="preserve"> </w:t>
      </w:r>
      <w:r w:rsidRPr="00494098">
        <w:rPr>
          <w:lang w:val="fr-FR"/>
        </w:rPr>
        <w:t>le Portugal accuse encore un retard par rapport à la m</w:t>
      </w:r>
      <w:r w:rsidR="00E065F6" w:rsidRPr="00494098">
        <w:rPr>
          <w:lang w:val="fr-FR"/>
        </w:rPr>
        <w:t>oyenne européenne (10,</w:t>
      </w:r>
      <w:r w:rsidRPr="00494098">
        <w:rPr>
          <w:lang w:val="fr-FR"/>
        </w:rPr>
        <w:t>7</w:t>
      </w:r>
      <w:r w:rsidR="003B4E18" w:rsidRPr="00494098">
        <w:rPr>
          <w:lang w:val="fr-FR"/>
        </w:rPr>
        <w:t> %</w:t>
      </w:r>
      <w:r w:rsidRPr="00494098">
        <w:rPr>
          <w:lang w:val="fr-FR"/>
        </w:rPr>
        <w:t>). Voir annexe</w:t>
      </w:r>
      <w:r w:rsidR="00E065F6" w:rsidRPr="00494098">
        <w:rPr>
          <w:lang w:val="fr-FR"/>
        </w:rPr>
        <w:t> </w:t>
      </w:r>
      <w:r w:rsidRPr="00494098">
        <w:rPr>
          <w:lang w:val="fr-FR"/>
        </w:rPr>
        <w:t>3, F - Statistiques sur l</w:t>
      </w:r>
      <w:r w:rsidR="009C57D9" w:rsidRPr="00494098">
        <w:rPr>
          <w:lang w:val="fr-FR"/>
        </w:rPr>
        <w:t>’abandon scolaire prématuré</w:t>
      </w:r>
      <w:r w:rsidRPr="00494098">
        <w:rPr>
          <w:lang w:val="fr-FR"/>
        </w:rPr>
        <w:t xml:space="preserve">. </w:t>
      </w:r>
    </w:p>
    <w:p w14:paraId="184287CF" w14:textId="77777777" w:rsidR="00077B75" w:rsidRPr="00494098" w:rsidRDefault="00077B75" w:rsidP="00480570">
      <w:pPr>
        <w:pStyle w:val="SingleTxtG"/>
        <w:rPr>
          <w:lang w:val="fr-FR"/>
        </w:rPr>
      </w:pPr>
      <w:r w:rsidRPr="00494098">
        <w:rPr>
          <w:lang w:val="fr-FR"/>
        </w:rPr>
        <w:t>246.</w:t>
      </w:r>
      <w:r w:rsidRPr="00494098">
        <w:rPr>
          <w:lang w:val="fr-FR"/>
        </w:rPr>
        <w:tab/>
        <w:t xml:space="preserve">Ces progrès ont été accomplis grâce à des mesures </w:t>
      </w:r>
      <w:r w:rsidR="00EF2B26" w:rsidRPr="00494098">
        <w:rPr>
          <w:lang w:val="fr-FR"/>
        </w:rPr>
        <w:t xml:space="preserve">prises </w:t>
      </w:r>
      <w:r w:rsidRPr="00494098">
        <w:rPr>
          <w:lang w:val="fr-FR"/>
        </w:rPr>
        <w:t xml:space="preserve">au cours de la dernière décennie, notamment la diversification </w:t>
      </w:r>
      <w:r w:rsidR="00E56915" w:rsidRPr="00494098">
        <w:rPr>
          <w:lang w:val="fr-FR"/>
        </w:rPr>
        <w:t>de l’offre au niveau secondaire</w:t>
      </w:r>
      <w:r w:rsidR="00EF2B26" w:rsidRPr="00494098">
        <w:rPr>
          <w:lang w:val="fr-FR"/>
        </w:rPr>
        <w:t xml:space="preserve"> au travers de </w:t>
      </w:r>
      <w:r w:rsidRPr="00494098">
        <w:rPr>
          <w:lang w:val="fr-FR"/>
        </w:rPr>
        <w:t xml:space="preserve">l’éducation et </w:t>
      </w:r>
      <w:r w:rsidR="00EF2B26" w:rsidRPr="00494098">
        <w:rPr>
          <w:lang w:val="fr-FR"/>
        </w:rPr>
        <w:t xml:space="preserve">de </w:t>
      </w:r>
      <w:r w:rsidR="00E56915" w:rsidRPr="00494098">
        <w:rPr>
          <w:lang w:val="fr-FR"/>
        </w:rPr>
        <w:t xml:space="preserve">la </w:t>
      </w:r>
      <w:r w:rsidRPr="00494098">
        <w:rPr>
          <w:lang w:val="fr-FR"/>
        </w:rPr>
        <w:t>formation professionnelles</w:t>
      </w:r>
      <w:r w:rsidR="00A10DE4" w:rsidRPr="00494098">
        <w:rPr>
          <w:lang w:val="fr-FR"/>
        </w:rPr>
        <w:t> ;</w:t>
      </w:r>
      <w:r w:rsidRPr="00494098">
        <w:rPr>
          <w:lang w:val="fr-FR"/>
        </w:rPr>
        <w:t xml:space="preserve"> la mise en </w:t>
      </w:r>
      <w:r w:rsidR="00D264B0" w:rsidRPr="00494098">
        <w:rPr>
          <w:lang w:val="fr-FR"/>
        </w:rPr>
        <w:t>œuvr</w:t>
      </w:r>
      <w:r w:rsidRPr="00494098">
        <w:rPr>
          <w:lang w:val="fr-FR"/>
        </w:rPr>
        <w:t xml:space="preserve">e de projets visant à améliorer les compétences de base des élèves ainsi que des </w:t>
      </w:r>
      <w:r w:rsidR="00717747" w:rsidRPr="00494098">
        <w:rPr>
          <w:lang w:val="fr-FR"/>
        </w:rPr>
        <w:t xml:space="preserve">actions de prévention et de correction de </w:t>
      </w:r>
      <w:r w:rsidRPr="00494098">
        <w:rPr>
          <w:lang w:val="fr-FR"/>
        </w:rPr>
        <w:t xml:space="preserve">la faible réussite et </w:t>
      </w:r>
      <w:r w:rsidR="00717747" w:rsidRPr="00494098">
        <w:rPr>
          <w:lang w:val="fr-FR"/>
        </w:rPr>
        <w:t xml:space="preserve">de </w:t>
      </w:r>
      <w:r w:rsidRPr="00494098">
        <w:rPr>
          <w:lang w:val="fr-FR"/>
        </w:rPr>
        <w:t>l’abandon scolaires</w:t>
      </w:r>
      <w:r w:rsidR="00A10DE4" w:rsidRPr="00494098">
        <w:rPr>
          <w:lang w:val="fr-FR"/>
        </w:rPr>
        <w:t> ;</w:t>
      </w:r>
      <w:r w:rsidRPr="00494098">
        <w:rPr>
          <w:lang w:val="fr-FR"/>
        </w:rPr>
        <w:t xml:space="preserve"> la réorganisation du réseau des écoles et certaines initiatives d’apprentissage tout au long de la vie, considérées comme des mesures compensatoires </w:t>
      </w:r>
      <w:r w:rsidR="00E56915" w:rsidRPr="00494098">
        <w:rPr>
          <w:lang w:val="fr-FR"/>
        </w:rPr>
        <w:t xml:space="preserve">destinées à faire revenir </w:t>
      </w:r>
      <w:r w:rsidRPr="00494098">
        <w:rPr>
          <w:lang w:val="fr-FR"/>
        </w:rPr>
        <w:t>dans le système d’enseignement et de formation des jeunes ayant quitté prématurément l’école.</w:t>
      </w:r>
    </w:p>
    <w:p w14:paraId="4B60CA7E" w14:textId="77777777" w:rsidR="00077B75" w:rsidRPr="00494098" w:rsidRDefault="00077B75" w:rsidP="00480570">
      <w:pPr>
        <w:pStyle w:val="SingleTxtG"/>
        <w:rPr>
          <w:lang w:val="fr-FR"/>
        </w:rPr>
      </w:pPr>
      <w:r w:rsidRPr="00494098">
        <w:rPr>
          <w:lang w:val="fr-FR"/>
        </w:rPr>
        <w:t>247.</w:t>
      </w:r>
      <w:r w:rsidRPr="00494098">
        <w:rPr>
          <w:lang w:val="fr-FR"/>
        </w:rPr>
        <w:tab/>
        <w:t xml:space="preserve">Des programmes de prévention ont été mis en </w:t>
      </w:r>
      <w:r w:rsidR="00D264B0" w:rsidRPr="00494098">
        <w:rPr>
          <w:lang w:val="fr-FR"/>
        </w:rPr>
        <w:t>œuvr</w:t>
      </w:r>
      <w:r w:rsidRPr="00494098">
        <w:rPr>
          <w:lang w:val="fr-FR"/>
        </w:rPr>
        <w:t xml:space="preserve">e au niveau secondaire, comme le programme </w:t>
      </w:r>
      <w:r w:rsidR="00632947" w:rsidRPr="00494098">
        <w:rPr>
          <w:lang w:val="fr-FR"/>
        </w:rPr>
        <w:t xml:space="preserve">relatif aux </w:t>
      </w:r>
      <w:r w:rsidRPr="00494098">
        <w:rPr>
          <w:lang w:val="fr-FR"/>
        </w:rPr>
        <w:t xml:space="preserve">Zones d'intervention éducative prioritaires, le Programme national de promotion de la réussite scolaire, le programme Parcours scolaires alternatifs, le Programme intégré d'éducation et de formation, </w:t>
      </w:r>
      <w:r w:rsidR="00141A42" w:rsidRPr="00494098">
        <w:rPr>
          <w:lang w:val="fr-FR"/>
        </w:rPr>
        <w:t>le</w:t>
      </w:r>
      <w:r w:rsidRPr="00494098">
        <w:rPr>
          <w:lang w:val="fr-FR"/>
        </w:rPr>
        <w:t xml:space="preserve"> Programme d’enseignement et de formation, ainsi que les cours d'enseignement général et professionnel.</w:t>
      </w:r>
    </w:p>
    <w:p w14:paraId="5B4529C0" w14:textId="77777777" w:rsidR="00077B75" w:rsidRPr="00494098" w:rsidRDefault="00077B75" w:rsidP="00480570">
      <w:pPr>
        <w:pStyle w:val="SingleTxtG"/>
        <w:rPr>
          <w:lang w:val="fr-FR"/>
        </w:rPr>
      </w:pPr>
      <w:r w:rsidRPr="00494098">
        <w:rPr>
          <w:lang w:val="fr-FR"/>
        </w:rPr>
        <w:t>248.</w:t>
      </w:r>
      <w:r w:rsidRPr="00494098">
        <w:rPr>
          <w:lang w:val="fr-FR"/>
        </w:rPr>
        <w:tab/>
        <w:t xml:space="preserve">En 2016, </w:t>
      </w:r>
      <w:r w:rsidR="00D016D4" w:rsidRPr="00494098">
        <w:rPr>
          <w:lang w:val="fr-FR"/>
        </w:rPr>
        <w:t xml:space="preserve">une initiative phare, </w:t>
      </w:r>
      <w:r w:rsidRPr="00494098">
        <w:rPr>
          <w:lang w:val="fr-FR"/>
        </w:rPr>
        <w:t>le Programme national de promotion de la réussite scolaire a été adopté</w:t>
      </w:r>
      <w:r w:rsidR="005775DA" w:rsidRPr="00494098">
        <w:rPr>
          <w:lang w:val="fr-FR"/>
        </w:rPr>
        <w:t>e</w:t>
      </w:r>
      <w:r w:rsidRPr="00494098">
        <w:rPr>
          <w:lang w:val="fr-FR"/>
        </w:rPr>
        <w:t xml:space="preserve"> </w:t>
      </w:r>
      <w:r w:rsidR="00D016D4" w:rsidRPr="00494098">
        <w:rPr>
          <w:lang w:val="fr-FR"/>
        </w:rPr>
        <w:t xml:space="preserve">pour </w:t>
      </w:r>
      <w:r w:rsidRPr="00494098">
        <w:rPr>
          <w:lang w:val="fr-FR"/>
        </w:rPr>
        <w:t xml:space="preserve">prévenir l’échec scolaire et réduire le taux de rétention à tous les stades de l’éducation, en mettant l’accent sur la première classe de chaque cycle de l’éducation de base. </w:t>
      </w:r>
      <w:r w:rsidR="00F7240C" w:rsidRPr="00494098">
        <w:rPr>
          <w:lang w:val="fr-FR"/>
        </w:rPr>
        <w:t>À ce niveau</w:t>
      </w:r>
      <w:r w:rsidRPr="00494098">
        <w:rPr>
          <w:lang w:val="fr-FR"/>
        </w:rPr>
        <w:t>, le nouveau système national d’examen</w:t>
      </w:r>
      <w:r w:rsidR="00D016D4" w:rsidRPr="00494098">
        <w:rPr>
          <w:lang w:val="fr-FR"/>
        </w:rPr>
        <w:t>s,</w:t>
      </w:r>
      <w:r w:rsidRPr="00494098">
        <w:rPr>
          <w:lang w:val="fr-FR"/>
        </w:rPr>
        <w:t xml:space="preserve"> qui introduit les évaluations formatives pour les classes de 2</w:t>
      </w:r>
      <w:r w:rsidRPr="00494098">
        <w:rPr>
          <w:vertAlign w:val="superscript"/>
          <w:lang w:val="fr-FR"/>
        </w:rPr>
        <w:t>ème</w:t>
      </w:r>
      <w:r w:rsidRPr="00494098">
        <w:rPr>
          <w:lang w:val="fr-FR"/>
        </w:rPr>
        <w:t>, 5</w:t>
      </w:r>
      <w:r w:rsidRPr="00494098">
        <w:rPr>
          <w:vertAlign w:val="superscript"/>
          <w:lang w:val="fr-FR"/>
        </w:rPr>
        <w:t>ème</w:t>
      </w:r>
      <w:r w:rsidRPr="00494098">
        <w:rPr>
          <w:lang w:val="fr-FR"/>
        </w:rPr>
        <w:t xml:space="preserve"> et 8</w:t>
      </w:r>
      <w:r w:rsidRPr="00494098">
        <w:rPr>
          <w:vertAlign w:val="superscript"/>
          <w:lang w:val="fr-FR"/>
        </w:rPr>
        <w:t>ème</w:t>
      </w:r>
      <w:r w:rsidRPr="00494098">
        <w:rPr>
          <w:lang w:val="fr-FR"/>
        </w:rPr>
        <w:t xml:space="preserve"> années (élèves âgés de 7, 10 et 13</w:t>
      </w:r>
      <w:r w:rsidR="00D016D4" w:rsidRPr="00494098">
        <w:rPr>
          <w:lang w:val="fr-FR"/>
        </w:rPr>
        <w:t> </w:t>
      </w:r>
      <w:r w:rsidRPr="00494098">
        <w:rPr>
          <w:lang w:val="fr-FR"/>
        </w:rPr>
        <w:t>ans) est maintenant pleinement opérationnel pour le portugais et les mathématiques. Depuis l’année scolaire 2016-2017, les élèves qui ont redoublé plusieurs années se voient attribuer un tuteur qualifié pour accompagner leur processus d’apprentissage et améliorer leurs résultats, mais aussi pour renforcer leur co</w:t>
      </w:r>
      <w:r w:rsidR="005775DA" w:rsidRPr="00494098">
        <w:rPr>
          <w:lang w:val="fr-FR"/>
        </w:rPr>
        <w:t>nfiance en l’école. Voir annexe </w:t>
      </w:r>
      <w:r w:rsidRPr="00494098">
        <w:rPr>
          <w:lang w:val="fr-FR"/>
        </w:rPr>
        <w:t xml:space="preserve">3,C — Taux de rétention. </w:t>
      </w:r>
    </w:p>
    <w:p w14:paraId="075F8CC3" w14:textId="77777777" w:rsidR="00077B75" w:rsidRPr="00494098" w:rsidRDefault="00077B75" w:rsidP="00480570">
      <w:pPr>
        <w:pStyle w:val="SingleTxtG"/>
        <w:rPr>
          <w:lang w:val="fr-FR"/>
        </w:rPr>
      </w:pPr>
      <w:r w:rsidRPr="00494098">
        <w:rPr>
          <w:lang w:val="fr-FR"/>
        </w:rPr>
        <w:t>249.</w:t>
      </w:r>
      <w:r w:rsidRPr="00494098">
        <w:rPr>
          <w:lang w:val="fr-FR"/>
        </w:rPr>
        <w:tab/>
        <w:t xml:space="preserve">Au cours de la première année de mise en </w:t>
      </w:r>
      <w:r w:rsidR="00D264B0" w:rsidRPr="00494098">
        <w:rPr>
          <w:lang w:val="fr-FR"/>
        </w:rPr>
        <w:t>œuvr</w:t>
      </w:r>
      <w:r w:rsidRPr="00494098">
        <w:rPr>
          <w:lang w:val="fr-FR"/>
        </w:rPr>
        <w:t>e, 663</w:t>
      </w:r>
      <w:r w:rsidR="008F23D9" w:rsidRPr="00494098">
        <w:rPr>
          <w:lang w:val="fr-FR"/>
        </w:rPr>
        <w:t> </w:t>
      </w:r>
      <w:r w:rsidRPr="00494098">
        <w:rPr>
          <w:lang w:val="fr-FR"/>
        </w:rPr>
        <w:t xml:space="preserve">centres d’éducation se </w:t>
      </w:r>
      <w:r w:rsidR="008F23D9" w:rsidRPr="00494098">
        <w:rPr>
          <w:lang w:val="fr-FR"/>
        </w:rPr>
        <w:t>s</w:t>
      </w:r>
      <w:r w:rsidRPr="00494098">
        <w:rPr>
          <w:lang w:val="fr-FR"/>
        </w:rPr>
        <w:t>ont joints au Programme national de promotion de la réussite scolaire, soit 80</w:t>
      </w:r>
      <w:r w:rsidR="003B4E18" w:rsidRPr="00494098">
        <w:rPr>
          <w:lang w:val="fr-FR"/>
        </w:rPr>
        <w:t> %</w:t>
      </w:r>
      <w:r w:rsidRPr="00494098">
        <w:rPr>
          <w:lang w:val="fr-FR"/>
        </w:rPr>
        <w:t xml:space="preserve"> de</w:t>
      </w:r>
      <w:r w:rsidR="008F23D9" w:rsidRPr="00494098">
        <w:rPr>
          <w:lang w:val="fr-FR"/>
        </w:rPr>
        <w:t>s</w:t>
      </w:r>
      <w:r w:rsidRPr="00494098">
        <w:rPr>
          <w:lang w:val="fr-FR"/>
        </w:rPr>
        <w:t xml:space="preserve"> écoles. Au total, les écoles ont proposé 2</w:t>
      </w:r>
      <w:r w:rsidR="008F23D9" w:rsidRPr="00494098">
        <w:rPr>
          <w:lang w:val="fr-FR"/>
        </w:rPr>
        <w:t> </w:t>
      </w:r>
      <w:r w:rsidRPr="00494098">
        <w:rPr>
          <w:lang w:val="fr-FR"/>
        </w:rPr>
        <w:t>915</w:t>
      </w:r>
      <w:r w:rsidR="008F23D9" w:rsidRPr="00494098">
        <w:rPr>
          <w:lang w:val="fr-FR"/>
        </w:rPr>
        <w:t> </w:t>
      </w:r>
      <w:r w:rsidRPr="00494098">
        <w:rPr>
          <w:lang w:val="fr-FR"/>
        </w:rPr>
        <w:t>mesures dans divers domaines tels que la flexibilité des programmes, la souplesse organisationnelle, les équipes pluridisciplinaires, les sciences expérimentales et l’éducation des parents.</w:t>
      </w:r>
    </w:p>
    <w:p w14:paraId="77A7B86D" w14:textId="77777777" w:rsidR="00077B75" w:rsidRPr="00494098" w:rsidRDefault="00077B75" w:rsidP="00480570">
      <w:pPr>
        <w:pStyle w:val="SingleTxtG"/>
        <w:rPr>
          <w:lang w:val="fr-FR"/>
        </w:rPr>
      </w:pPr>
      <w:r w:rsidRPr="00494098">
        <w:rPr>
          <w:lang w:val="fr-FR"/>
        </w:rPr>
        <w:t>250.</w:t>
      </w:r>
      <w:r w:rsidRPr="00494098">
        <w:rPr>
          <w:lang w:val="fr-FR"/>
        </w:rPr>
        <w:tab/>
        <w:t>Parmi les autres mesures visant à lutter contre l</w:t>
      </w:r>
      <w:r w:rsidR="00F7240C" w:rsidRPr="00494098">
        <w:rPr>
          <w:lang w:val="fr-FR"/>
        </w:rPr>
        <w:t xml:space="preserve">e décrochage </w:t>
      </w:r>
      <w:r w:rsidRPr="00494098">
        <w:rPr>
          <w:lang w:val="fr-FR"/>
        </w:rPr>
        <w:t>scolaire précoce</w:t>
      </w:r>
      <w:r w:rsidR="00F7240C" w:rsidRPr="00494098">
        <w:rPr>
          <w:lang w:val="fr-FR"/>
        </w:rPr>
        <w:t>,</w:t>
      </w:r>
      <w:r w:rsidRPr="00494098">
        <w:rPr>
          <w:lang w:val="fr-FR"/>
        </w:rPr>
        <w:t xml:space="preserve"> pour la réussite scolaire et l’inclusion, il faut citer</w:t>
      </w:r>
      <w:r w:rsidR="008F23D9" w:rsidRPr="00494098">
        <w:rPr>
          <w:lang w:val="fr-FR"/>
        </w:rPr>
        <w:t>, depuis l’année 2017–2018,</w:t>
      </w:r>
      <w:r w:rsidRPr="00494098">
        <w:rPr>
          <w:lang w:val="fr-FR"/>
        </w:rPr>
        <w:t xml:space="preserve"> la distribution gratuite des manuels aux enfants du 1</w:t>
      </w:r>
      <w:r w:rsidRPr="00494098">
        <w:rPr>
          <w:vertAlign w:val="superscript"/>
          <w:lang w:val="fr-FR"/>
        </w:rPr>
        <w:t>er</w:t>
      </w:r>
      <w:r w:rsidR="008F23D9" w:rsidRPr="00494098">
        <w:rPr>
          <w:lang w:val="fr-FR"/>
        </w:rPr>
        <w:t> </w:t>
      </w:r>
      <w:r w:rsidRPr="00494098">
        <w:rPr>
          <w:lang w:val="fr-FR"/>
        </w:rPr>
        <w:t>cycle de l’enseignement de base</w:t>
      </w:r>
      <w:r w:rsidR="008F23D9" w:rsidRPr="00494098">
        <w:rPr>
          <w:lang w:val="fr-FR"/>
        </w:rPr>
        <w:t> </w:t>
      </w:r>
      <w:r w:rsidR="006717A5" w:rsidRPr="00494098">
        <w:rPr>
          <w:lang w:val="fr-FR"/>
        </w:rPr>
        <w:t>;</w:t>
      </w:r>
      <w:r w:rsidRPr="00494098">
        <w:rPr>
          <w:lang w:val="fr-FR"/>
        </w:rPr>
        <w:t xml:space="preserve"> les programmes sociaux pour les livres, l’alimentation, les transports et les bourses/dons (soutiens </w:t>
      </w:r>
      <w:r w:rsidR="00D82A26" w:rsidRPr="00494098">
        <w:rPr>
          <w:lang w:val="fr-FR"/>
        </w:rPr>
        <w:t xml:space="preserve">à la scolarité </w:t>
      </w:r>
      <w:r w:rsidRPr="00494098">
        <w:rPr>
          <w:lang w:val="fr-FR"/>
        </w:rPr>
        <w:t>universels, différenciés, conditionnels, direct, indirect, totaux ou partiels, gratuits ou subventionnés)</w:t>
      </w:r>
      <w:r w:rsidR="006717A5" w:rsidRPr="00494098">
        <w:rPr>
          <w:lang w:val="fr-FR"/>
        </w:rPr>
        <w:t> ;</w:t>
      </w:r>
      <w:r w:rsidRPr="00494098">
        <w:rPr>
          <w:lang w:val="fr-FR"/>
        </w:rPr>
        <w:t xml:space="preserve"> la disponibilité de</w:t>
      </w:r>
      <w:r w:rsidR="00F7240C" w:rsidRPr="00494098">
        <w:rPr>
          <w:lang w:val="fr-FR"/>
        </w:rPr>
        <w:t>s</w:t>
      </w:r>
      <w:r w:rsidRPr="00494098">
        <w:rPr>
          <w:lang w:val="fr-FR"/>
        </w:rPr>
        <w:t xml:space="preserve"> services de conseil, à savoir l’orientation scolaire et professionnelle, et </w:t>
      </w:r>
      <w:r w:rsidR="008F23D9" w:rsidRPr="00494098">
        <w:rPr>
          <w:lang w:val="fr-FR"/>
        </w:rPr>
        <w:t>le</w:t>
      </w:r>
      <w:r w:rsidRPr="00494098">
        <w:rPr>
          <w:lang w:val="fr-FR"/>
        </w:rPr>
        <w:t xml:space="preserve"> soutien psychologique, assurés par les établissements scolaires afin de réduire les abandons.</w:t>
      </w:r>
    </w:p>
    <w:p w14:paraId="785B3883" w14:textId="77777777" w:rsidR="00077B75" w:rsidRPr="00494098" w:rsidRDefault="00077B75" w:rsidP="00480570">
      <w:pPr>
        <w:pStyle w:val="SingleTxtG"/>
        <w:rPr>
          <w:lang w:val="fr-FR"/>
        </w:rPr>
      </w:pPr>
      <w:r w:rsidRPr="00494098">
        <w:rPr>
          <w:lang w:val="fr-FR"/>
        </w:rPr>
        <w:t>251.</w:t>
      </w:r>
      <w:r w:rsidRPr="00494098">
        <w:rPr>
          <w:lang w:val="fr-FR"/>
        </w:rPr>
        <w:tab/>
        <w:t xml:space="preserve">Les familles des élèves ayant des besoins éducatifs particuliers ont accès à des fournitures scolaires adaptées aux besoins des élèves, à des aides pédagogiques supplémentaires sans frais additionnels, au financement public de l’enseignement privé et à des avantages fiscaux spéciaux. Le décret-loi </w:t>
      </w:r>
      <w:r w:rsidR="006717A5" w:rsidRPr="00494098">
        <w:rPr>
          <w:lang w:val="fr-FR"/>
        </w:rPr>
        <w:t>n° </w:t>
      </w:r>
      <w:r w:rsidR="00480991" w:rsidRPr="00494098">
        <w:rPr>
          <w:lang w:val="fr-FR"/>
        </w:rPr>
        <w:t>1</w:t>
      </w:r>
      <w:r w:rsidRPr="00494098">
        <w:rPr>
          <w:lang w:val="fr-FR"/>
        </w:rPr>
        <w:t>25/2017 relatif aux conditions d’accès à toutes les ins</w:t>
      </w:r>
      <w:r w:rsidR="00D82A26" w:rsidRPr="00494098">
        <w:rPr>
          <w:lang w:val="fr-FR"/>
        </w:rPr>
        <w:t>titutions publiques, y compris l</w:t>
      </w:r>
      <w:r w:rsidRPr="00494098">
        <w:rPr>
          <w:lang w:val="fr-FR"/>
        </w:rPr>
        <w:t xml:space="preserve">es écoles, </w:t>
      </w:r>
      <w:r w:rsidR="008E6769" w:rsidRPr="00494098">
        <w:rPr>
          <w:lang w:val="fr-FR"/>
        </w:rPr>
        <w:t xml:space="preserve">se traduira par une meilleure </w:t>
      </w:r>
      <w:r w:rsidRPr="00494098">
        <w:rPr>
          <w:lang w:val="fr-FR"/>
        </w:rPr>
        <w:t>accessibilité dans les</w:t>
      </w:r>
      <w:r w:rsidR="00D82A26" w:rsidRPr="00494098">
        <w:rPr>
          <w:lang w:val="fr-FR"/>
        </w:rPr>
        <w:t xml:space="preserve"> établissements d’enseignement</w:t>
      </w:r>
      <w:r w:rsidRPr="00494098">
        <w:rPr>
          <w:lang w:val="fr-FR"/>
        </w:rPr>
        <w:t xml:space="preserve">. </w:t>
      </w:r>
    </w:p>
    <w:p w14:paraId="5E93F0CD" w14:textId="77777777" w:rsidR="00077B75" w:rsidRPr="00494098" w:rsidRDefault="008E6769" w:rsidP="00480570">
      <w:pPr>
        <w:pStyle w:val="SingleTxtG"/>
        <w:rPr>
          <w:lang w:val="fr-FR"/>
        </w:rPr>
      </w:pPr>
      <w:r w:rsidRPr="00494098">
        <w:rPr>
          <w:lang w:val="fr-FR"/>
        </w:rPr>
        <w:t>252.</w:t>
      </w:r>
      <w:r w:rsidRPr="00494098">
        <w:rPr>
          <w:lang w:val="fr-FR"/>
        </w:rPr>
        <w:tab/>
        <w:t>Le « </w:t>
      </w:r>
      <w:r w:rsidR="00077B75" w:rsidRPr="00494098">
        <w:rPr>
          <w:lang w:val="fr-FR"/>
        </w:rPr>
        <w:t>Programme Choix</w:t>
      </w:r>
      <w:r w:rsidRPr="00494098">
        <w:rPr>
          <w:lang w:val="fr-FR"/>
        </w:rPr>
        <w:t> »</w:t>
      </w:r>
      <w:r w:rsidR="00077B75" w:rsidRPr="00494098">
        <w:rPr>
          <w:lang w:val="fr-FR"/>
        </w:rPr>
        <w:t xml:space="preserve"> (www.programaescolhas.pt) mis au point par le Haut Commissariat aux migrations, favorise l’intégration sociale des enfants et des jeunes (de 6 à 30</w:t>
      </w:r>
      <w:r w:rsidR="001554B9" w:rsidRPr="00494098">
        <w:rPr>
          <w:lang w:val="fr-FR"/>
        </w:rPr>
        <w:t> </w:t>
      </w:r>
      <w:r w:rsidR="00077B75" w:rsidRPr="00494098">
        <w:rPr>
          <w:lang w:val="fr-FR"/>
        </w:rPr>
        <w:t xml:space="preserve">ans) issus de </w:t>
      </w:r>
      <w:r w:rsidR="00771108" w:rsidRPr="00494098">
        <w:rPr>
          <w:lang w:val="fr-FR"/>
        </w:rPr>
        <w:t xml:space="preserve">milieux </w:t>
      </w:r>
      <w:r w:rsidR="00077B75" w:rsidRPr="00494098">
        <w:rPr>
          <w:lang w:val="fr-FR"/>
        </w:rPr>
        <w:t xml:space="preserve">socioéconomiques vulnérables, en particulier les descendants des immigrants et des minorités ethniques. </w:t>
      </w:r>
      <w:r w:rsidR="00491A29" w:rsidRPr="00494098">
        <w:rPr>
          <w:lang w:val="fr-FR"/>
        </w:rPr>
        <w:t>L</w:t>
      </w:r>
      <w:r w:rsidR="00077B75" w:rsidRPr="00494098">
        <w:rPr>
          <w:lang w:val="fr-FR"/>
        </w:rPr>
        <w:t xml:space="preserve">es projets locaux </w:t>
      </w:r>
      <w:r w:rsidR="00491A29" w:rsidRPr="00494098">
        <w:rPr>
          <w:lang w:val="fr-FR"/>
        </w:rPr>
        <w:t xml:space="preserve">de ce Programme sont conçus </w:t>
      </w:r>
      <w:r w:rsidR="00077B75" w:rsidRPr="00494098">
        <w:rPr>
          <w:lang w:val="fr-FR"/>
        </w:rPr>
        <w:t>de manière à répondre aux besoins particuliers des personnes à qui il</w:t>
      </w:r>
      <w:r w:rsidR="00771108" w:rsidRPr="00494098">
        <w:rPr>
          <w:lang w:val="fr-FR"/>
        </w:rPr>
        <w:t>s</w:t>
      </w:r>
      <w:r w:rsidR="00077B75" w:rsidRPr="00494098">
        <w:rPr>
          <w:lang w:val="fr-FR"/>
        </w:rPr>
        <w:t xml:space="preserve"> s’adresse</w:t>
      </w:r>
      <w:r w:rsidR="00771108" w:rsidRPr="00494098">
        <w:rPr>
          <w:lang w:val="fr-FR"/>
        </w:rPr>
        <w:t>nt</w:t>
      </w:r>
      <w:r w:rsidR="00077B75" w:rsidRPr="00494098">
        <w:rPr>
          <w:lang w:val="fr-FR"/>
        </w:rPr>
        <w:t xml:space="preserve"> et insistent fortement sur le soutien </w:t>
      </w:r>
      <w:r w:rsidR="001554B9" w:rsidRPr="00494098">
        <w:rPr>
          <w:lang w:val="fr-FR"/>
        </w:rPr>
        <w:t xml:space="preserve">de l’école </w:t>
      </w:r>
      <w:r w:rsidR="00077B75" w:rsidRPr="00494098">
        <w:rPr>
          <w:lang w:val="fr-FR"/>
        </w:rPr>
        <w:t xml:space="preserve">pour accroître la réussite scolaire. </w:t>
      </w:r>
      <w:r w:rsidR="00491A29" w:rsidRPr="00494098">
        <w:rPr>
          <w:lang w:val="fr-FR"/>
        </w:rPr>
        <w:t>L</w:t>
      </w:r>
      <w:r w:rsidR="00077B75" w:rsidRPr="00494098">
        <w:rPr>
          <w:lang w:val="fr-FR"/>
        </w:rPr>
        <w:t xml:space="preserve">e </w:t>
      </w:r>
      <w:r w:rsidR="00491A29" w:rsidRPr="00494098">
        <w:rPr>
          <w:lang w:val="fr-FR"/>
        </w:rPr>
        <w:t xml:space="preserve">but est de </w:t>
      </w:r>
      <w:r w:rsidR="00077B75" w:rsidRPr="00494098">
        <w:rPr>
          <w:lang w:val="fr-FR"/>
        </w:rPr>
        <w:t xml:space="preserve">lutter contre l’abandon scolaire précoce par la promotion de l’enseignement non traditionnel, la formation professionnelle, la participation </w:t>
      </w:r>
      <w:r w:rsidR="001554B9" w:rsidRPr="00494098">
        <w:rPr>
          <w:lang w:val="fr-FR"/>
        </w:rPr>
        <w:t>de la collectivité</w:t>
      </w:r>
      <w:r w:rsidR="00077B75" w:rsidRPr="00494098">
        <w:rPr>
          <w:lang w:val="fr-FR"/>
        </w:rPr>
        <w:t xml:space="preserve">, l’inclusion numérique et l’autonomisation. </w:t>
      </w:r>
    </w:p>
    <w:p w14:paraId="6C89C202" w14:textId="77777777" w:rsidR="00077B75" w:rsidRPr="00494098" w:rsidRDefault="00077B75" w:rsidP="00AE4BF5">
      <w:pPr>
        <w:pStyle w:val="SingleTxtG"/>
        <w:rPr>
          <w:lang w:val="fr-FR"/>
        </w:rPr>
      </w:pPr>
      <w:r w:rsidRPr="00494098">
        <w:rPr>
          <w:lang w:val="fr-FR"/>
        </w:rPr>
        <w:t>253.</w:t>
      </w:r>
      <w:r w:rsidRPr="00494098">
        <w:rPr>
          <w:lang w:val="fr-FR"/>
        </w:rPr>
        <w:tab/>
        <w:t>Il en est actuellement à sa 6</w:t>
      </w:r>
      <w:r w:rsidRPr="00494098">
        <w:rPr>
          <w:vertAlign w:val="superscript"/>
          <w:lang w:val="fr-FR"/>
        </w:rPr>
        <w:t>ème</w:t>
      </w:r>
      <w:r w:rsidR="00150E0A" w:rsidRPr="00494098">
        <w:rPr>
          <w:lang w:val="fr-FR"/>
        </w:rPr>
        <w:t> </w:t>
      </w:r>
      <w:r w:rsidRPr="00494098">
        <w:rPr>
          <w:lang w:val="fr-FR"/>
        </w:rPr>
        <w:t>édition (2016-2018), et soutient 112</w:t>
      </w:r>
      <w:r w:rsidR="00150E0A" w:rsidRPr="00494098">
        <w:rPr>
          <w:lang w:val="fr-FR"/>
        </w:rPr>
        <w:t> </w:t>
      </w:r>
      <w:r w:rsidRPr="00494098">
        <w:rPr>
          <w:lang w:val="fr-FR"/>
        </w:rPr>
        <w:t>projets approuvés, avec environ 85</w:t>
      </w:r>
      <w:r w:rsidR="00150E0A" w:rsidRPr="00494098">
        <w:rPr>
          <w:lang w:val="fr-FR"/>
        </w:rPr>
        <w:t> </w:t>
      </w:r>
      <w:r w:rsidRPr="00494098">
        <w:rPr>
          <w:lang w:val="fr-FR"/>
        </w:rPr>
        <w:t>000</w:t>
      </w:r>
      <w:r w:rsidR="00150E0A" w:rsidRPr="00494098">
        <w:rPr>
          <w:lang w:val="fr-FR"/>
        </w:rPr>
        <w:t> </w:t>
      </w:r>
      <w:r w:rsidRPr="00494098">
        <w:rPr>
          <w:lang w:val="fr-FR"/>
        </w:rPr>
        <w:t>participants. Les projets sont définis par des regroupements de partenaires locaux. Ils sont structurées en cinq catégories principales</w:t>
      </w:r>
      <w:r w:rsidR="00090CBF" w:rsidRPr="00494098">
        <w:rPr>
          <w:lang w:val="fr-FR"/>
        </w:rPr>
        <w:t> :</w:t>
      </w:r>
      <w:r w:rsidRPr="00494098">
        <w:rPr>
          <w:lang w:val="fr-FR"/>
        </w:rPr>
        <w:t xml:space="preserve"> 1</w:t>
      </w:r>
      <w:r w:rsidR="00150E0A" w:rsidRPr="00494098">
        <w:rPr>
          <w:lang w:val="fr-FR"/>
        </w:rPr>
        <w:t>. </w:t>
      </w:r>
      <w:r w:rsidRPr="00494098">
        <w:rPr>
          <w:lang w:val="fr-FR"/>
        </w:rPr>
        <w:t>l’intégration scolaire et l’enseignement non traditionnel</w:t>
      </w:r>
      <w:r w:rsidR="006717A5" w:rsidRPr="00494098">
        <w:rPr>
          <w:lang w:val="fr-FR"/>
        </w:rPr>
        <w:t> ;</w:t>
      </w:r>
      <w:r w:rsidRPr="00494098">
        <w:rPr>
          <w:lang w:val="fr-FR"/>
        </w:rPr>
        <w:t xml:space="preserve"> 2</w:t>
      </w:r>
      <w:r w:rsidR="00150E0A" w:rsidRPr="00494098">
        <w:rPr>
          <w:lang w:val="fr-FR"/>
        </w:rPr>
        <w:t>. </w:t>
      </w:r>
      <w:r w:rsidRPr="00494098">
        <w:rPr>
          <w:lang w:val="fr-FR"/>
        </w:rPr>
        <w:t>la formation professionnelle et l'employabilité</w:t>
      </w:r>
      <w:r w:rsidR="006717A5" w:rsidRPr="00494098">
        <w:rPr>
          <w:lang w:val="fr-FR"/>
        </w:rPr>
        <w:t> ;</w:t>
      </w:r>
      <w:r w:rsidRPr="00494098">
        <w:rPr>
          <w:lang w:val="fr-FR"/>
        </w:rPr>
        <w:t xml:space="preserve"> 3</w:t>
      </w:r>
      <w:r w:rsidR="00150E0A" w:rsidRPr="00494098">
        <w:rPr>
          <w:lang w:val="fr-FR"/>
        </w:rPr>
        <w:t> </w:t>
      </w:r>
      <w:r w:rsidRPr="00494098">
        <w:rPr>
          <w:lang w:val="fr-FR"/>
        </w:rPr>
        <w:t>la communauté et la participation des citoyens</w:t>
      </w:r>
      <w:r w:rsidR="006717A5" w:rsidRPr="00494098">
        <w:rPr>
          <w:lang w:val="fr-FR"/>
        </w:rPr>
        <w:t> ;</w:t>
      </w:r>
      <w:r w:rsidRPr="00494098">
        <w:rPr>
          <w:lang w:val="fr-FR"/>
        </w:rPr>
        <w:t xml:space="preserve"> 4</w:t>
      </w:r>
      <w:r w:rsidR="00150E0A" w:rsidRPr="00494098">
        <w:rPr>
          <w:lang w:val="fr-FR"/>
        </w:rPr>
        <w:t>. </w:t>
      </w:r>
      <w:r w:rsidRPr="00494098">
        <w:rPr>
          <w:lang w:val="fr-FR"/>
        </w:rPr>
        <w:t>l’inclusion numérique et 5</w:t>
      </w:r>
      <w:r w:rsidR="00150E0A" w:rsidRPr="00494098">
        <w:rPr>
          <w:lang w:val="fr-FR"/>
        </w:rPr>
        <w:t>. </w:t>
      </w:r>
      <w:r w:rsidRPr="00494098">
        <w:rPr>
          <w:lang w:val="fr-FR"/>
        </w:rPr>
        <w:t xml:space="preserve">l’esprit d’entreprise et </w:t>
      </w:r>
      <w:r w:rsidR="00150E0A" w:rsidRPr="00494098">
        <w:rPr>
          <w:lang w:val="fr-FR"/>
        </w:rPr>
        <w:t>l</w:t>
      </w:r>
      <w:r w:rsidRPr="00494098">
        <w:rPr>
          <w:lang w:val="fr-FR"/>
        </w:rPr>
        <w:t>’autonomisation.</w:t>
      </w:r>
    </w:p>
    <w:p w14:paraId="7BE4C940" w14:textId="77777777" w:rsidR="00077B75" w:rsidRPr="00494098" w:rsidRDefault="00077B75" w:rsidP="008C240D">
      <w:pPr>
        <w:pStyle w:val="H4G"/>
        <w:rPr>
          <w:lang w:val="fr-FR"/>
        </w:rPr>
      </w:pPr>
      <w:r w:rsidRPr="00494098">
        <w:rPr>
          <w:lang w:val="fr-FR"/>
        </w:rPr>
        <w:tab/>
      </w:r>
      <w:r w:rsidRPr="00494098">
        <w:rPr>
          <w:lang w:val="fr-FR"/>
        </w:rPr>
        <w:tab/>
      </w:r>
      <w:r w:rsidRPr="00494098">
        <w:rPr>
          <w:iCs/>
          <w:lang w:val="fr-FR"/>
        </w:rPr>
        <w:t>Formation professionnelle</w:t>
      </w:r>
      <w:bookmarkStart w:id="172" w:name="_Toc530057535"/>
      <w:bookmarkEnd w:id="172"/>
    </w:p>
    <w:p w14:paraId="13098647" w14:textId="77777777" w:rsidR="00077B75" w:rsidRPr="00494098" w:rsidRDefault="00077B75" w:rsidP="00480570">
      <w:pPr>
        <w:pStyle w:val="SingleTxtG"/>
        <w:rPr>
          <w:lang w:val="fr-FR"/>
        </w:rPr>
      </w:pPr>
      <w:r w:rsidRPr="00494098">
        <w:rPr>
          <w:lang w:val="fr-FR"/>
        </w:rPr>
        <w:t>254.</w:t>
      </w:r>
      <w:r w:rsidRPr="00494098">
        <w:rPr>
          <w:lang w:val="fr-FR"/>
        </w:rPr>
        <w:tab/>
        <w:t>La diversification de l’offre de programmes d</w:t>
      </w:r>
      <w:r w:rsidR="00771108" w:rsidRPr="00494098">
        <w:rPr>
          <w:lang w:val="fr-FR"/>
        </w:rPr>
        <w:t>its d</w:t>
      </w:r>
      <w:r w:rsidRPr="00494098">
        <w:rPr>
          <w:lang w:val="fr-FR"/>
        </w:rPr>
        <w:t>’</w:t>
      </w:r>
      <w:r w:rsidR="004E76BC" w:rsidRPr="00494098">
        <w:rPr>
          <w:lang w:val="fr-FR"/>
        </w:rPr>
        <w:t xml:space="preserve">Enseignement </w:t>
      </w:r>
      <w:r w:rsidRPr="00494098">
        <w:rPr>
          <w:lang w:val="fr-FR"/>
        </w:rPr>
        <w:t>et formation professionnel</w:t>
      </w:r>
      <w:r w:rsidR="004E76BC" w:rsidRPr="00494098">
        <w:rPr>
          <w:lang w:val="fr-FR"/>
        </w:rPr>
        <w:t xml:space="preserve"> (EFP) </w:t>
      </w:r>
      <w:r w:rsidRPr="00494098">
        <w:rPr>
          <w:lang w:val="fr-FR"/>
        </w:rPr>
        <w:t>favorise le bon achèvement des 12</w:t>
      </w:r>
      <w:r w:rsidR="00150E0A" w:rsidRPr="00494098">
        <w:rPr>
          <w:lang w:val="fr-FR"/>
        </w:rPr>
        <w:t> </w:t>
      </w:r>
      <w:r w:rsidRPr="00494098">
        <w:rPr>
          <w:lang w:val="fr-FR"/>
        </w:rPr>
        <w:t>années d’enseignement obligatoire</w:t>
      </w:r>
      <w:r w:rsidR="00150E0A" w:rsidRPr="00494098">
        <w:rPr>
          <w:lang w:val="fr-FR"/>
        </w:rPr>
        <w:t>,</w:t>
      </w:r>
      <w:r w:rsidRPr="00494098">
        <w:rPr>
          <w:lang w:val="fr-FR"/>
        </w:rPr>
        <w:t xml:space="preserve"> et accroît le niveau de qualification des jeunes portugais. L'</w:t>
      </w:r>
      <w:r w:rsidR="004E76BC" w:rsidRPr="00494098">
        <w:rPr>
          <w:lang w:val="fr-FR"/>
        </w:rPr>
        <w:t>EFP</w:t>
      </w:r>
      <w:r w:rsidRPr="00494098">
        <w:rPr>
          <w:lang w:val="fr-FR"/>
        </w:rPr>
        <w:t xml:space="preserve"> joue un rôle important dans la promotion de la réussite scolaire et dans la réduction de l’abandon scolaire, ainsi que dans l’amélioration de l’employabilité des élèves. L’accent mis sur l’</w:t>
      </w:r>
      <w:r w:rsidR="004E76BC" w:rsidRPr="00494098">
        <w:rPr>
          <w:lang w:val="fr-FR"/>
        </w:rPr>
        <w:t>EFP</w:t>
      </w:r>
      <w:r w:rsidRPr="00494098">
        <w:rPr>
          <w:lang w:val="fr-FR"/>
        </w:rPr>
        <w:t xml:space="preserve"> a contribué à une augmentation des taux de fréquentation (42</w:t>
      </w:r>
      <w:r w:rsidR="00150E0A" w:rsidRPr="00494098">
        <w:rPr>
          <w:lang w:val="fr-FR"/>
        </w:rPr>
        <w:t>,</w:t>
      </w:r>
      <w:r w:rsidRPr="00494098">
        <w:rPr>
          <w:lang w:val="fr-FR"/>
        </w:rPr>
        <w:t>4</w:t>
      </w:r>
      <w:r w:rsidR="003B4E18" w:rsidRPr="00494098">
        <w:rPr>
          <w:lang w:val="fr-FR"/>
        </w:rPr>
        <w:t> %</w:t>
      </w:r>
      <w:r w:rsidRPr="00494098">
        <w:rPr>
          <w:lang w:val="fr-FR"/>
        </w:rPr>
        <w:t>, en 2015/16) et d'achèvement du deuxième cycle de l’enseignement secondaire. L’un des avantages de l’</w:t>
      </w:r>
      <w:r w:rsidR="004E76BC" w:rsidRPr="00494098">
        <w:rPr>
          <w:lang w:val="fr-FR"/>
        </w:rPr>
        <w:t>EFP</w:t>
      </w:r>
      <w:r w:rsidRPr="00494098">
        <w:rPr>
          <w:lang w:val="fr-FR"/>
        </w:rPr>
        <w:t xml:space="preserve"> réside dans le fait qu’</w:t>
      </w:r>
      <w:r w:rsidR="00771108" w:rsidRPr="00494098">
        <w:rPr>
          <w:lang w:val="fr-FR"/>
        </w:rPr>
        <w:t>il</w:t>
      </w:r>
      <w:r w:rsidR="00150E0A" w:rsidRPr="00494098">
        <w:rPr>
          <w:lang w:val="fr-FR"/>
        </w:rPr>
        <w:t xml:space="preserve"> débouche sur </w:t>
      </w:r>
      <w:r w:rsidRPr="00494098">
        <w:rPr>
          <w:lang w:val="fr-FR"/>
        </w:rPr>
        <w:t>une double certification — certification scolaire (de la 12</w:t>
      </w:r>
      <w:r w:rsidRPr="00494098">
        <w:rPr>
          <w:vertAlign w:val="superscript"/>
          <w:lang w:val="fr-FR"/>
        </w:rPr>
        <w:t>ème</w:t>
      </w:r>
      <w:r w:rsidR="00150E0A" w:rsidRPr="00494098">
        <w:rPr>
          <w:lang w:val="fr-FR"/>
        </w:rPr>
        <w:t> </w:t>
      </w:r>
      <w:r w:rsidRPr="00494098">
        <w:rPr>
          <w:lang w:val="fr-FR"/>
        </w:rPr>
        <w:t>année) et professionnelle — ce qui donne aux élèves une formation technique et professionnelle, ainsi que des compétences transversales essentielles. Le taux d’emploi des diplômés de l’</w:t>
      </w:r>
      <w:r w:rsidR="004E76BC" w:rsidRPr="00494098">
        <w:rPr>
          <w:lang w:val="fr-FR"/>
        </w:rPr>
        <w:t>EFP a atteint récemment 69,</w:t>
      </w:r>
      <w:r w:rsidRPr="00494098">
        <w:rPr>
          <w:lang w:val="fr-FR"/>
        </w:rPr>
        <w:t>8</w:t>
      </w:r>
      <w:r w:rsidR="003B4E18" w:rsidRPr="00494098">
        <w:rPr>
          <w:lang w:val="fr-FR"/>
        </w:rPr>
        <w:t> %</w:t>
      </w:r>
      <w:r w:rsidRPr="00494098">
        <w:rPr>
          <w:lang w:val="fr-FR"/>
        </w:rPr>
        <w:t xml:space="preserve"> en 2016, mais il reste inférieur à la moyenne de l’Union européenne, à 75</w:t>
      </w:r>
      <w:r w:rsidR="003B4E18" w:rsidRPr="00494098">
        <w:rPr>
          <w:lang w:val="fr-FR"/>
        </w:rPr>
        <w:t> %</w:t>
      </w:r>
      <w:r w:rsidRPr="00494098">
        <w:rPr>
          <w:lang w:val="fr-FR"/>
        </w:rPr>
        <w:t>.</w:t>
      </w:r>
    </w:p>
    <w:p w14:paraId="6F71062A" w14:textId="77777777" w:rsidR="00077B75" w:rsidRPr="00494098" w:rsidRDefault="00077B75" w:rsidP="00480570">
      <w:pPr>
        <w:pStyle w:val="SingleTxtG"/>
        <w:rPr>
          <w:lang w:val="fr-FR"/>
        </w:rPr>
      </w:pPr>
      <w:r w:rsidRPr="00494098">
        <w:rPr>
          <w:lang w:val="fr-FR"/>
        </w:rPr>
        <w:t>255.</w:t>
      </w:r>
      <w:r w:rsidRPr="00494098">
        <w:rPr>
          <w:lang w:val="fr-FR"/>
        </w:rPr>
        <w:tab/>
        <w:t>Des efforts sont faits pour accroître l’attractivité de l’</w:t>
      </w:r>
      <w:r w:rsidR="004E76BC" w:rsidRPr="00494098">
        <w:rPr>
          <w:lang w:val="fr-FR"/>
        </w:rPr>
        <w:t>EFP</w:t>
      </w:r>
      <w:r w:rsidRPr="00494098">
        <w:rPr>
          <w:lang w:val="fr-FR"/>
        </w:rPr>
        <w:t xml:space="preserve"> et pour stimuler la participation des élèves aux programmes </w:t>
      </w:r>
      <w:r w:rsidR="004E76BC" w:rsidRPr="00494098">
        <w:rPr>
          <w:lang w:val="fr-FR"/>
        </w:rPr>
        <w:t xml:space="preserve">du second cycle </w:t>
      </w:r>
      <w:r w:rsidRPr="00494098">
        <w:rPr>
          <w:lang w:val="fr-FR"/>
        </w:rPr>
        <w:t>de l’enseignement professionnel secondaire, tout en gardant à l'esprit l’ambitieux objectif national de 90</w:t>
      </w:r>
      <w:r w:rsidR="003B4E18" w:rsidRPr="00494098">
        <w:rPr>
          <w:lang w:val="fr-FR"/>
        </w:rPr>
        <w:t> %</w:t>
      </w:r>
      <w:r w:rsidRPr="00494098">
        <w:rPr>
          <w:lang w:val="fr-FR"/>
        </w:rPr>
        <w:t xml:space="preserve"> de jeunes titulaires d'un diplôme secondaire du deuxième cycle en 2020</w:t>
      </w:r>
      <w:r w:rsidR="004E76BC" w:rsidRPr="00494098">
        <w:rPr>
          <w:lang w:val="fr-FR"/>
        </w:rPr>
        <w:t>,</w:t>
      </w:r>
      <w:r w:rsidRPr="00494098">
        <w:rPr>
          <w:lang w:val="fr-FR"/>
        </w:rPr>
        <w:t xml:space="preserve"> dont la moitié d'entre eux </w:t>
      </w:r>
      <w:r w:rsidR="004E76BC" w:rsidRPr="00494098">
        <w:rPr>
          <w:lang w:val="fr-FR"/>
        </w:rPr>
        <w:t xml:space="preserve">issus </w:t>
      </w:r>
      <w:r w:rsidRPr="00494098">
        <w:rPr>
          <w:lang w:val="fr-FR"/>
        </w:rPr>
        <w:t xml:space="preserve">d'un programme </w:t>
      </w:r>
      <w:r w:rsidR="004E76BC" w:rsidRPr="00494098">
        <w:rPr>
          <w:lang w:val="fr-FR"/>
        </w:rPr>
        <w:t>EFP</w:t>
      </w:r>
      <w:r w:rsidRPr="00494098">
        <w:rPr>
          <w:lang w:val="fr-FR"/>
        </w:rPr>
        <w:t xml:space="preserve"> (double certification). La journée de l'éducation et de l</w:t>
      </w:r>
      <w:r w:rsidR="00D15DDE" w:rsidRPr="00494098">
        <w:rPr>
          <w:lang w:val="fr-FR"/>
        </w:rPr>
        <w:t>’EFP</w:t>
      </w:r>
      <w:r w:rsidRPr="00494098">
        <w:rPr>
          <w:lang w:val="fr-FR"/>
        </w:rPr>
        <w:t xml:space="preserve"> a été lancée pour en améliorer la visibilité et l’image sociale</w:t>
      </w:r>
      <w:r w:rsidR="00D15DDE" w:rsidRPr="00494098">
        <w:rPr>
          <w:lang w:val="fr-FR"/>
        </w:rPr>
        <w:t>,</w:t>
      </w:r>
      <w:r w:rsidRPr="00494098">
        <w:rPr>
          <w:lang w:val="fr-FR"/>
        </w:rPr>
        <w:t xml:space="preserve"> ainsi que son potentiel pour les élèves </w:t>
      </w:r>
      <w:r w:rsidR="00D15DDE" w:rsidRPr="00494098">
        <w:rPr>
          <w:lang w:val="fr-FR"/>
        </w:rPr>
        <w:t xml:space="preserve">EFP </w:t>
      </w:r>
      <w:r w:rsidRPr="00494098">
        <w:rPr>
          <w:lang w:val="fr-FR"/>
        </w:rPr>
        <w:t>concernés, les entreprises et le pays. En 2017, le nombre de places dans les formations professionnelles a augmenté de 25</w:t>
      </w:r>
      <w:r w:rsidR="003B4E18" w:rsidRPr="00494098">
        <w:rPr>
          <w:lang w:val="fr-FR"/>
        </w:rPr>
        <w:t> %</w:t>
      </w:r>
      <w:r w:rsidRPr="00494098">
        <w:rPr>
          <w:lang w:val="fr-FR"/>
        </w:rPr>
        <w:t xml:space="preserve"> à la suite de l’intervention des Services de psychologie et d’orientation dans les écoles.</w:t>
      </w:r>
    </w:p>
    <w:p w14:paraId="5E06782F" w14:textId="37F1EBD1" w:rsidR="00077B75" w:rsidRPr="00494098" w:rsidRDefault="00077B75" w:rsidP="008C240D">
      <w:pPr>
        <w:pStyle w:val="H4G"/>
        <w:rPr>
          <w:lang w:val="fr-FR"/>
        </w:rPr>
      </w:pPr>
      <w:r w:rsidRPr="00494098">
        <w:rPr>
          <w:lang w:val="fr-FR"/>
        </w:rPr>
        <w:tab/>
      </w:r>
      <w:r w:rsidRPr="00494098">
        <w:rPr>
          <w:lang w:val="fr-FR"/>
        </w:rPr>
        <w:tab/>
      </w:r>
      <w:r w:rsidR="007908E3">
        <w:rPr>
          <w:lang w:val="fr-FR"/>
        </w:rPr>
        <w:t xml:space="preserve">Prise en compte </w:t>
      </w:r>
      <w:r w:rsidRPr="00494098">
        <w:rPr>
          <w:lang w:val="fr-FR"/>
        </w:rPr>
        <w:t xml:space="preserve"> de l’égalité des sexes</w:t>
      </w:r>
      <w:bookmarkStart w:id="173" w:name="_Toc530057536"/>
      <w:bookmarkEnd w:id="173"/>
    </w:p>
    <w:p w14:paraId="393D97E3" w14:textId="56F088AA" w:rsidR="00077B75" w:rsidRPr="00494098" w:rsidRDefault="00077B75" w:rsidP="00480570">
      <w:pPr>
        <w:pStyle w:val="SingleTxtG"/>
        <w:rPr>
          <w:lang w:val="fr-FR"/>
        </w:rPr>
      </w:pPr>
      <w:r w:rsidRPr="00494098">
        <w:rPr>
          <w:lang w:val="fr-FR"/>
        </w:rPr>
        <w:t>256.</w:t>
      </w:r>
      <w:r w:rsidRPr="00494098">
        <w:rPr>
          <w:lang w:val="fr-FR"/>
        </w:rPr>
        <w:tab/>
        <w:t xml:space="preserve">Le Portugal est fermement attaché à l’élimination des stéréotypes sexistes </w:t>
      </w:r>
      <w:r w:rsidR="00F8264C">
        <w:rPr>
          <w:lang w:val="fr-FR"/>
        </w:rPr>
        <w:t>dans  le</w:t>
      </w:r>
      <w:r w:rsidRPr="00494098">
        <w:rPr>
          <w:lang w:val="fr-FR"/>
        </w:rPr>
        <w:t xml:space="preserve"> système d’enseignement</w:t>
      </w:r>
      <w:r w:rsidR="00FD3F54">
        <w:rPr>
          <w:lang w:val="fr-FR"/>
        </w:rPr>
        <w:t xml:space="preserve"> et </w:t>
      </w:r>
      <w:r w:rsidR="00F8264C">
        <w:rPr>
          <w:lang w:val="fr-FR"/>
        </w:rPr>
        <w:t>au moyen d</w:t>
      </w:r>
      <w:r w:rsidR="00FD3F54">
        <w:rPr>
          <w:lang w:val="fr-FR"/>
        </w:rPr>
        <w:t>u système d</w:t>
      </w:r>
      <w:r w:rsidR="00F8264C">
        <w:rPr>
          <w:lang w:val="fr-FR"/>
        </w:rPr>
        <w:t>’enseignement</w:t>
      </w:r>
      <w:r w:rsidRPr="00494098">
        <w:rPr>
          <w:lang w:val="fr-FR"/>
        </w:rPr>
        <w:t xml:space="preserve">. </w:t>
      </w:r>
    </w:p>
    <w:p w14:paraId="0AF8C020" w14:textId="77777777" w:rsidR="00077B75" w:rsidRPr="00494098" w:rsidRDefault="00077B75" w:rsidP="00AE4BF5">
      <w:pPr>
        <w:pStyle w:val="SingleTxtG"/>
        <w:rPr>
          <w:lang w:val="fr-FR"/>
        </w:rPr>
      </w:pPr>
      <w:r w:rsidRPr="00494098">
        <w:rPr>
          <w:lang w:val="fr-FR"/>
        </w:rPr>
        <w:t>257.</w:t>
      </w:r>
      <w:r w:rsidRPr="00494098">
        <w:rPr>
          <w:lang w:val="fr-FR"/>
        </w:rPr>
        <w:tab/>
        <w:t>Les Guides d’éducation à l’égalité des sexes et à la citoyenneté</w:t>
      </w:r>
      <w:r w:rsidR="003D2826" w:rsidRPr="00494098">
        <w:rPr>
          <w:lang w:val="fr-FR"/>
        </w:rPr>
        <w:t>,</w:t>
      </w:r>
      <w:r w:rsidRPr="00494098">
        <w:rPr>
          <w:lang w:val="fr-FR"/>
        </w:rPr>
        <w:t xml:space="preserve"> élaborés par la Commission pour la citoyenneté et l’égalité des sexes et le Ministère de l'éducation et des sciences</w:t>
      </w:r>
      <w:r w:rsidR="003D2826" w:rsidRPr="00494098">
        <w:rPr>
          <w:lang w:val="fr-FR"/>
        </w:rPr>
        <w:t>,</w:t>
      </w:r>
      <w:r w:rsidRPr="00494098">
        <w:rPr>
          <w:lang w:val="fr-FR"/>
        </w:rPr>
        <w:t xml:space="preserve"> sont utilisés depuis 2008-2009 pour intégrer </w:t>
      </w:r>
      <w:r w:rsidR="00807B21" w:rsidRPr="00494098">
        <w:rPr>
          <w:lang w:val="fr-FR"/>
        </w:rPr>
        <w:t xml:space="preserve">pleinement </w:t>
      </w:r>
      <w:r w:rsidRPr="00494098">
        <w:rPr>
          <w:lang w:val="fr-FR"/>
        </w:rPr>
        <w:t>l’égalité des sexes dans le système éducatif, de manière efficace, permanent</w:t>
      </w:r>
      <w:r w:rsidR="003D2826" w:rsidRPr="00494098">
        <w:rPr>
          <w:lang w:val="fr-FR"/>
        </w:rPr>
        <w:t>e</w:t>
      </w:r>
      <w:r w:rsidRPr="00494098">
        <w:rPr>
          <w:lang w:val="fr-FR"/>
        </w:rPr>
        <w:t xml:space="preserve"> et soutenue (voir </w:t>
      </w:r>
      <w:r w:rsidR="00807954" w:rsidRPr="00494098">
        <w:rPr>
          <w:lang w:val="fr-FR"/>
        </w:rPr>
        <w:t>tableau 2</w:t>
      </w:r>
      <w:r w:rsidRPr="00494098">
        <w:rPr>
          <w:lang w:val="fr-FR"/>
        </w:rPr>
        <w:t xml:space="preserve">1, </w:t>
      </w:r>
      <w:r w:rsidR="003B4E18" w:rsidRPr="00494098">
        <w:rPr>
          <w:lang w:val="fr-FR"/>
        </w:rPr>
        <w:t>annexe 1</w:t>
      </w:r>
      <w:r w:rsidRPr="00494098">
        <w:rPr>
          <w:lang w:val="fr-FR"/>
        </w:rPr>
        <w:t>)</w:t>
      </w:r>
    </w:p>
    <w:p w14:paraId="03EF4B3E" w14:textId="77777777" w:rsidR="00077B75" w:rsidRPr="00494098" w:rsidRDefault="00077B75" w:rsidP="00AE4BF5">
      <w:pPr>
        <w:pStyle w:val="SingleTxtG"/>
        <w:rPr>
          <w:lang w:val="fr-FR"/>
        </w:rPr>
      </w:pPr>
      <w:r w:rsidRPr="00494098">
        <w:rPr>
          <w:lang w:val="fr-FR"/>
        </w:rPr>
        <w:t>258.</w:t>
      </w:r>
      <w:r w:rsidRPr="00494098">
        <w:rPr>
          <w:lang w:val="fr-FR"/>
        </w:rPr>
        <w:tab/>
      </w:r>
      <w:r w:rsidR="003D2826" w:rsidRPr="00494098">
        <w:rPr>
          <w:lang w:val="fr-FR"/>
        </w:rPr>
        <w:t xml:space="preserve">Ces Guides </w:t>
      </w:r>
      <w:r w:rsidRPr="00494098">
        <w:rPr>
          <w:lang w:val="fr-FR"/>
        </w:rPr>
        <w:t xml:space="preserve">offrent aux enseignants toute une gamme de thèmes </w:t>
      </w:r>
      <w:r w:rsidR="00061877" w:rsidRPr="00494098">
        <w:rPr>
          <w:lang w:val="fr-FR"/>
        </w:rPr>
        <w:t xml:space="preserve">de travail </w:t>
      </w:r>
      <w:r w:rsidRPr="00494098">
        <w:rPr>
          <w:lang w:val="fr-FR"/>
        </w:rPr>
        <w:t xml:space="preserve">concrets et communs </w:t>
      </w:r>
      <w:r w:rsidR="00061877" w:rsidRPr="00494098">
        <w:rPr>
          <w:lang w:val="fr-FR"/>
        </w:rPr>
        <w:t xml:space="preserve">pour leurs élèves et leurs étudiants, </w:t>
      </w:r>
      <w:r w:rsidR="00807B21" w:rsidRPr="00494098">
        <w:rPr>
          <w:lang w:val="fr-FR"/>
        </w:rPr>
        <w:t xml:space="preserve">comme </w:t>
      </w:r>
      <w:r w:rsidRPr="00494098">
        <w:rPr>
          <w:lang w:val="fr-FR"/>
        </w:rPr>
        <w:t>le corps et le mouvement, la santé, la sexualité, la sécurité, le sexisme ou les stéréotypes</w:t>
      </w:r>
      <w:r w:rsidR="00061877" w:rsidRPr="00494098">
        <w:rPr>
          <w:lang w:val="fr-FR"/>
        </w:rPr>
        <w:t>, dans une perspective soucieuse d'égalité entre les sexes</w:t>
      </w:r>
      <w:r w:rsidRPr="00494098">
        <w:rPr>
          <w:lang w:val="fr-FR"/>
        </w:rPr>
        <w:t xml:space="preserve">. </w:t>
      </w:r>
      <w:r w:rsidR="003D2826" w:rsidRPr="00494098">
        <w:rPr>
          <w:lang w:val="fr-FR"/>
        </w:rPr>
        <w:t xml:space="preserve">Ils </w:t>
      </w:r>
      <w:r w:rsidRPr="00494098">
        <w:rPr>
          <w:lang w:val="fr-FR"/>
        </w:rPr>
        <w:t>font maintenant partie de la formation des enseignants. Au cours de la période 2014–2017, 84</w:t>
      </w:r>
      <w:r w:rsidR="00061877" w:rsidRPr="00494098">
        <w:rPr>
          <w:lang w:val="fr-FR"/>
        </w:rPr>
        <w:t> </w:t>
      </w:r>
      <w:r w:rsidRPr="00494098">
        <w:rPr>
          <w:lang w:val="fr-FR"/>
        </w:rPr>
        <w:t>sessions de formation ont été organisées, avec la participation de 1</w:t>
      </w:r>
      <w:r w:rsidR="00061877" w:rsidRPr="00494098">
        <w:rPr>
          <w:lang w:val="fr-FR"/>
        </w:rPr>
        <w:t> </w:t>
      </w:r>
      <w:r w:rsidRPr="00494098">
        <w:rPr>
          <w:lang w:val="fr-FR"/>
        </w:rPr>
        <w:t>314</w:t>
      </w:r>
      <w:r w:rsidR="00061877" w:rsidRPr="00494098">
        <w:rPr>
          <w:lang w:val="fr-FR"/>
        </w:rPr>
        <w:t> </w:t>
      </w:r>
      <w:r w:rsidRPr="00494098">
        <w:rPr>
          <w:lang w:val="fr-FR"/>
        </w:rPr>
        <w:t>enseignants venus de 180</w:t>
      </w:r>
      <w:r w:rsidR="00061877" w:rsidRPr="00494098">
        <w:rPr>
          <w:lang w:val="fr-FR"/>
        </w:rPr>
        <w:t> </w:t>
      </w:r>
      <w:r w:rsidRPr="00494098">
        <w:rPr>
          <w:lang w:val="fr-FR"/>
        </w:rPr>
        <w:t>groupements scolaires.</w:t>
      </w:r>
    </w:p>
    <w:p w14:paraId="0E26452B" w14:textId="77777777" w:rsidR="00077B75" w:rsidRPr="00494098" w:rsidRDefault="00077B75" w:rsidP="00480570">
      <w:pPr>
        <w:pStyle w:val="SingleTxtG"/>
        <w:rPr>
          <w:lang w:val="fr-FR"/>
        </w:rPr>
      </w:pPr>
      <w:r w:rsidRPr="00494098">
        <w:rPr>
          <w:lang w:val="fr-FR"/>
        </w:rPr>
        <w:t>259.</w:t>
      </w:r>
      <w:r w:rsidRPr="00494098">
        <w:rPr>
          <w:lang w:val="fr-FR"/>
        </w:rPr>
        <w:tab/>
      </w:r>
      <w:r w:rsidR="003D2826" w:rsidRPr="00494098">
        <w:rPr>
          <w:lang w:val="fr-FR"/>
        </w:rPr>
        <w:t xml:space="preserve">Ils sont </w:t>
      </w:r>
      <w:r w:rsidRPr="00494098">
        <w:rPr>
          <w:lang w:val="fr-FR"/>
        </w:rPr>
        <w:t>mis en pratique dans les domaines transversaux de l’éducation et de la citoyenneté et dans plusieurs matières d</w:t>
      </w:r>
      <w:r w:rsidR="00305B3B" w:rsidRPr="00494098">
        <w:rPr>
          <w:lang w:val="fr-FR"/>
        </w:rPr>
        <w:t>es</w:t>
      </w:r>
      <w:r w:rsidRPr="00494098">
        <w:rPr>
          <w:lang w:val="fr-FR"/>
        </w:rPr>
        <w:t xml:space="preserve"> programme</w:t>
      </w:r>
      <w:r w:rsidR="00305B3B" w:rsidRPr="00494098">
        <w:rPr>
          <w:lang w:val="fr-FR"/>
        </w:rPr>
        <w:t>s</w:t>
      </w:r>
      <w:r w:rsidRPr="00494098">
        <w:rPr>
          <w:lang w:val="fr-FR"/>
        </w:rPr>
        <w:t xml:space="preserve"> d’études nationaux de l’enseignement préscolaire, primaire et secondaire, ainsi que dans des projets sur la santé et l’éducation sexuelle, </w:t>
      </w:r>
      <w:r w:rsidR="00305B3B" w:rsidRPr="00494098">
        <w:rPr>
          <w:lang w:val="fr-FR"/>
        </w:rPr>
        <w:t xml:space="preserve">et </w:t>
      </w:r>
      <w:r w:rsidRPr="00494098">
        <w:rPr>
          <w:lang w:val="fr-FR"/>
        </w:rPr>
        <w:t>assur</w:t>
      </w:r>
      <w:r w:rsidR="00305B3B" w:rsidRPr="00494098">
        <w:rPr>
          <w:lang w:val="fr-FR"/>
        </w:rPr>
        <w:t>e</w:t>
      </w:r>
      <w:r w:rsidRPr="00494098">
        <w:rPr>
          <w:lang w:val="fr-FR"/>
        </w:rPr>
        <w:t xml:space="preserve">nt </w:t>
      </w:r>
      <w:r w:rsidR="00305B3B" w:rsidRPr="00494098">
        <w:rPr>
          <w:lang w:val="fr-FR"/>
        </w:rPr>
        <w:t>une</w:t>
      </w:r>
      <w:r w:rsidRPr="00494098">
        <w:rPr>
          <w:lang w:val="fr-FR"/>
        </w:rPr>
        <w:t xml:space="preserve"> continuité </w:t>
      </w:r>
      <w:r w:rsidR="002E0BE0" w:rsidRPr="00494098">
        <w:rPr>
          <w:lang w:val="fr-FR"/>
        </w:rPr>
        <w:t>au fil d</w:t>
      </w:r>
      <w:r w:rsidRPr="00494098">
        <w:rPr>
          <w:lang w:val="fr-FR"/>
        </w:rPr>
        <w:t>es années scolaires su</w:t>
      </w:r>
      <w:r w:rsidR="003D2826" w:rsidRPr="00494098">
        <w:rPr>
          <w:lang w:val="fr-FR"/>
        </w:rPr>
        <w:t>ccessives</w:t>
      </w:r>
      <w:r w:rsidRPr="00494098">
        <w:rPr>
          <w:lang w:val="fr-FR"/>
        </w:rPr>
        <w:t xml:space="preserve">. </w:t>
      </w:r>
    </w:p>
    <w:p w14:paraId="6D384C93" w14:textId="77777777" w:rsidR="00077B75" w:rsidRPr="00494098" w:rsidRDefault="00077B75" w:rsidP="00480570">
      <w:pPr>
        <w:pStyle w:val="SingleTxtG"/>
        <w:rPr>
          <w:lang w:val="fr-FR"/>
        </w:rPr>
      </w:pPr>
      <w:r w:rsidRPr="00494098">
        <w:rPr>
          <w:lang w:val="fr-FR"/>
        </w:rPr>
        <w:t>260.</w:t>
      </w:r>
      <w:r w:rsidRPr="00494098">
        <w:rPr>
          <w:lang w:val="fr-FR"/>
        </w:rPr>
        <w:tab/>
        <w:t xml:space="preserve">Plusieurs écoles ont décidé d’adopter les Guides comme manuels scolaires pour la matière d'enseignement obligatoire </w:t>
      </w:r>
      <w:r w:rsidR="003D2826" w:rsidRPr="00494098">
        <w:rPr>
          <w:lang w:val="fr-FR"/>
        </w:rPr>
        <w:t>« </w:t>
      </w:r>
      <w:r w:rsidR="00613DA3" w:rsidRPr="00494098">
        <w:rPr>
          <w:lang w:val="fr-FR"/>
        </w:rPr>
        <w:t>É</w:t>
      </w:r>
      <w:r w:rsidRPr="00494098">
        <w:rPr>
          <w:lang w:val="fr-FR"/>
        </w:rPr>
        <w:t>ducation et citoyenneté</w:t>
      </w:r>
      <w:r w:rsidR="003D2826" w:rsidRPr="00494098">
        <w:rPr>
          <w:lang w:val="fr-FR"/>
        </w:rPr>
        <w:t> »</w:t>
      </w:r>
      <w:r w:rsidRPr="00494098">
        <w:rPr>
          <w:lang w:val="fr-FR"/>
        </w:rPr>
        <w:t>. Le Guide de</w:t>
      </w:r>
      <w:r w:rsidR="00613DA3" w:rsidRPr="00494098">
        <w:rPr>
          <w:lang w:val="fr-FR"/>
        </w:rPr>
        <w:t>stiné au niveau</w:t>
      </w:r>
      <w:r w:rsidRPr="00494098">
        <w:rPr>
          <w:lang w:val="fr-FR"/>
        </w:rPr>
        <w:t xml:space="preserve"> préscolaire a été utilisé comme manuel dans un cours </w:t>
      </w:r>
      <w:r w:rsidR="00613DA3" w:rsidRPr="00494098">
        <w:rPr>
          <w:lang w:val="fr-FR"/>
        </w:rPr>
        <w:t xml:space="preserve">professionnel </w:t>
      </w:r>
      <w:r w:rsidRPr="00494098">
        <w:rPr>
          <w:lang w:val="fr-FR"/>
        </w:rPr>
        <w:t xml:space="preserve">de pédagogie </w:t>
      </w:r>
      <w:r w:rsidR="00613DA3" w:rsidRPr="00494098">
        <w:rPr>
          <w:lang w:val="fr-FR"/>
        </w:rPr>
        <w:t>(niveau </w:t>
      </w:r>
      <w:r w:rsidRPr="00494098">
        <w:rPr>
          <w:lang w:val="fr-FR"/>
        </w:rPr>
        <w:t xml:space="preserve">III) </w:t>
      </w:r>
      <w:r w:rsidR="00613DA3" w:rsidRPr="00494098">
        <w:rPr>
          <w:lang w:val="fr-FR"/>
        </w:rPr>
        <w:t>destiné aux a</w:t>
      </w:r>
      <w:r w:rsidRPr="00494098">
        <w:rPr>
          <w:lang w:val="fr-FR"/>
        </w:rPr>
        <w:t xml:space="preserve">ssistants en éducation préscolaire. </w:t>
      </w:r>
    </w:p>
    <w:p w14:paraId="23DE87F5" w14:textId="77777777" w:rsidR="00077B75" w:rsidRPr="00494098" w:rsidRDefault="00077B75" w:rsidP="00480570">
      <w:pPr>
        <w:pStyle w:val="SingleTxtG"/>
        <w:rPr>
          <w:lang w:val="fr-FR"/>
        </w:rPr>
      </w:pPr>
      <w:r w:rsidRPr="00494098">
        <w:rPr>
          <w:lang w:val="fr-FR"/>
        </w:rPr>
        <w:t>261.</w:t>
      </w:r>
      <w:r w:rsidRPr="00494098">
        <w:rPr>
          <w:lang w:val="fr-FR"/>
        </w:rPr>
        <w:tab/>
        <w:t>Le projet des Guides a été élargi et des partenariats ont été renforcés entre la Commission pour la citoyenneté et l’égalité des sexes, le Ministère de l’éducation et des sciences, les écoles, les université</w:t>
      </w:r>
      <w:r w:rsidR="000E0780" w:rsidRPr="00494098">
        <w:rPr>
          <w:lang w:val="fr-FR"/>
        </w:rPr>
        <w:t>s, les instituts universitaires</w:t>
      </w:r>
      <w:r w:rsidRPr="00494098">
        <w:rPr>
          <w:lang w:val="fr-FR"/>
        </w:rPr>
        <w:t>, les municipalités et les associations. Des protocoles ont été signés entre la Commission pour la citoyenneté et l’égalité des sexes</w:t>
      </w:r>
      <w:r w:rsidR="003D2826" w:rsidRPr="00494098">
        <w:rPr>
          <w:lang w:val="fr-FR"/>
        </w:rPr>
        <w:t>,</w:t>
      </w:r>
      <w:r w:rsidRPr="00494098">
        <w:rPr>
          <w:lang w:val="fr-FR"/>
        </w:rPr>
        <w:t xml:space="preserve"> les universités et </w:t>
      </w:r>
      <w:r w:rsidR="003D2826" w:rsidRPr="00494098">
        <w:rPr>
          <w:lang w:val="fr-FR"/>
        </w:rPr>
        <w:t xml:space="preserve">les </w:t>
      </w:r>
      <w:r w:rsidRPr="00494098">
        <w:rPr>
          <w:lang w:val="fr-FR"/>
        </w:rPr>
        <w:t>facultés de journalisme et de communication de masse</w:t>
      </w:r>
      <w:r w:rsidR="003D2826" w:rsidRPr="00494098">
        <w:rPr>
          <w:lang w:val="fr-FR"/>
        </w:rPr>
        <w:t>,</w:t>
      </w:r>
      <w:r w:rsidRPr="00494098">
        <w:rPr>
          <w:lang w:val="fr-FR"/>
        </w:rPr>
        <w:t xml:space="preserve"> pour intégrer les questions d’égalité des sexes dans leurs programmes d’enseignement.</w:t>
      </w:r>
    </w:p>
    <w:p w14:paraId="2B1292DA" w14:textId="77777777" w:rsidR="00077B75" w:rsidRPr="00494098" w:rsidRDefault="00077B75" w:rsidP="00480570">
      <w:pPr>
        <w:pStyle w:val="SingleTxtG"/>
        <w:rPr>
          <w:lang w:val="fr-FR"/>
        </w:rPr>
      </w:pPr>
      <w:r w:rsidRPr="00494098">
        <w:rPr>
          <w:lang w:val="fr-FR"/>
        </w:rPr>
        <w:t>262.</w:t>
      </w:r>
      <w:r w:rsidRPr="00494098">
        <w:rPr>
          <w:lang w:val="fr-FR"/>
        </w:rPr>
        <w:tab/>
        <w:t xml:space="preserve">La Stratégie nationale d’éducation à la citoyenneté, qui sera mise en </w:t>
      </w:r>
      <w:r w:rsidR="00D264B0" w:rsidRPr="00494098">
        <w:rPr>
          <w:lang w:val="fr-FR"/>
        </w:rPr>
        <w:t>œuvr</w:t>
      </w:r>
      <w:r w:rsidRPr="00494098">
        <w:rPr>
          <w:lang w:val="fr-FR"/>
        </w:rPr>
        <w:t xml:space="preserve">e </w:t>
      </w:r>
      <w:r w:rsidR="00E53B3D" w:rsidRPr="00494098">
        <w:rPr>
          <w:lang w:val="fr-FR"/>
        </w:rPr>
        <w:t xml:space="preserve">à tous les niveaux de l’enseignement </w:t>
      </w:r>
      <w:r w:rsidRPr="00494098">
        <w:rPr>
          <w:lang w:val="fr-FR"/>
        </w:rPr>
        <w:t xml:space="preserve">durant l’année scolaire 2017-2018 </w:t>
      </w:r>
      <w:r w:rsidR="00E53B3D" w:rsidRPr="00494098">
        <w:rPr>
          <w:lang w:val="fr-FR"/>
        </w:rPr>
        <w:t xml:space="preserve">sous la forme d’un </w:t>
      </w:r>
      <w:r w:rsidRPr="00494098">
        <w:rPr>
          <w:lang w:val="fr-FR"/>
        </w:rPr>
        <w:t>projet pilote</w:t>
      </w:r>
      <w:r w:rsidR="00E53B3D" w:rsidRPr="00494098">
        <w:rPr>
          <w:lang w:val="fr-FR"/>
        </w:rPr>
        <w:t>,</w:t>
      </w:r>
      <w:r w:rsidRPr="00494098">
        <w:rPr>
          <w:lang w:val="fr-FR"/>
        </w:rPr>
        <w:t xml:space="preserve"> dans 235</w:t>
      </w:r>
      <w:r w:rsidR="00E53B3D" w:rsidRPr="00494098">
        <w:rPr>
          <w:lang w:val="fr-FR"/>
        </w:rPr>
        <w:t> </w:t>
      </w:r>
      <w:r w:rsidRPr="00494098">
        <w:rPr>
          <w:lang w:val="fr-FR"/>
        </w:rPr>
        <w:t xml:space="preserve">établissements scolaires, </w:t>
      </w:r>
      <w:r w:rsidR="00E53B3D" w:rsidRPr="00494098">
        <w:rPr>
          <w:lang w:val="fr-FR"/>
        </w:rPr>
        <w:t>prend en considération l</w:t>
      </w:r>
      <w:r w:rsidRPr="00494098">
        <w:rPr>
          <w:lang w:val="fr-FR"/>
        </w:rPr>
        <w:t xml:space="preserve">es questions d’égalité entre hommes et femmes, </w:t>
      </w:r>
      <w:r w:rsidR="00E53B3D" w:rsidRPr="00494098">
        <w:rPr>
          <w:lang w:val="fr-FR"/>
        </w:rPr>
        <w:t>de</w:t>
      </w:r>
      <w:r w:rsidRPr="00494098">
        <w:rPr>
          <w:lang w:val="fr-FR"/>
        </w:rPr>
        <w:t xml:space="preserve"> droits de l’homme, </w:t>
      </w:r>
      <w:r w:rsidR="00E53B3D" w:rsidRPr="00494098">
        <w:rPr>
          <w:lang w:val="fr-FR"/>
        </w:rPr>
        <w:t>de</w:t>
      </w:r>
      <w:r w:rsidRPr="00494098">
        <w:rPr>
          <w:lang w:val="fr-FR"/>
        </w:rPr>
        <w:t xml:space="preserve"> non-discrimination, </w:t>
      </w:r>
      <w:r w:rsidR="00E53B3D" w:rsidRPr="00494098">
        <w:rPr>
          <w:lang w:val="fr-FR"/>
        </w:rPr>
        <w:t>de</w:t>
      </w:r>
      <w:r w:rsidRPr="00494098">
        <w:rPr>
          <w:lang w:val="fr-FR"/>
        </w:rPr>
        <w:t xml:space="preserve"> diversité et </w:t>
      </w:r>
      <w:r w:rsidR="00E53B3D" w:rsidRPr="00494098">
        <w:rPr>
          <w:lang w:val="fr-FR"/>
        </w:rPr>
        <w:t>de</w:t>
      </w:r>
      <w:r w:rsidRPr="00494098">
        <w:rPr>
          <w:lang w:val="fr-FR"/>
        </w:rPr>
        <w:t xml:space="preserve"> </w:t>
      </w:r>
      <w:r w:rsidR="00E53B3D" w:rsidRPr="00494098">
        <w:rPr>
          <w:lang w:val="fr-FR"/>
        </w:rPr>
        <w:t xml:space="preserve">citoyenneté, considérées comme </w:t>
      </w:r>
      <w:r w:rsidR="003D2826" w:rsidRPr="00494098">
        <w:rPr>
          <w:lang w:val="fr-FR"/>
        </w:rPr>
        <w:t xml:space="preserve">des </w:t>
      </w:r>
      <w:r w:rsidR="00E53B3D" w:rsidRPr="00494098">
        <w:rPr>
          <w:lang w:val="fr-FR"/>
        </w:rPr>
        <w:t>a</w:t>
      </w:r>
      <w:r w:rsidRPr="00494098">
        <w:rPr>
          <w:lang w:val="fr-FR"/>
        </w:rPr>
        <w:t xml:space="preserve">xes structurants. Cette stratégie </w:t>
      </w:r>
      <w:r w:rsidR="00E53B3D" w:rsidRPr="00494098">
        <w:rPr>
          <w:lang w:val="fr-FR"/>
        </w:rPr>
        <w:t xml:space="preserve">prévoit </w:t>
      </w:r>
      <w:r w:rsidRPr="00494098">
        <w:rPr>
          <w:lang w:val="fr-FR"/>
        </w:rPr>
        <w:t xml:space="preserve">la formation des enseignants à l’éducation à la citoyenneté et la définition d’un profil concret de l’enseignant. </w:t>
      </w:r>
    </w:p>
    <w:p w14:paraId="02988EAA" w14:textId="77777777" w:rsidR="00077B75" w:rsidRPr="00494098" w:rsidRDefault="00077B75" w:rsidP="00480570">
      <w:pPr>
        <w:pStyle w:val="SingleTxtG"/>
        <w:rPr>
          <w:lang w:val="fr-FR"/>
        </w:rPr>
      </w:pPr>
      <w:r w:rsidRPr="00494098">
        <w:rPr>
          <w:lang w:val="fr-FR"/>
        </w:rPr>
        <w:t>263.</w:t>
      </w:r>
      <w:r w:rsidRPr="00494098">
        <w:rPr>
          <w:lang w:val="fr-FR"/>
        </w:rPr>
        <w:tab/>
        <w:t>L’égalité entre les sexes a également été intégrée à la 2</w:t>
      </w:r>
      <w:r w:rsidR="001E5F0F" w:rsidRPr="00494098">
        <w:rPr>
          <w:vertAlign w:val="superscript"/>
          <w:lang w:val="fr-FR"/>
        </w:rPr>
        <w:t>è</w:t>
      </w:r>
      <w:r w:rsidRPr="00494098">
        <w:rPr>
          <w:vertAlign w:val="superscript"/>
          <w:lang w:val="fr-FR"/>
        </w:rPr>
        <w:t>me</w:t>
      </w:r>
      <w:r w:rsidR="001E5F0F" w:rsidRPr="00494098">
        <w:rPr>
          <w:lang w:val="fr-FR"/>
        </w:rPr>
        <w:t> </w:t>
      </w:r>
      <w:r w:rsidRPr="00494098">
        <w:rPr>
          <w:lang w:val="fr-FR"/>
        </w:rPr>
        <w:t>Stratégie nationale pour l'éducation au développement, élaborée en 2017.</w:t>
      </w:r>
    </w:p>
    <w:p w14:paraId="31A5BE97" w14:textId="77777777" w:rsidR="00077B75" w:rsidRPr="00494098" w:rsidRDefault="00077B75" w:rsidP="00480570">
      <w:pPr>
        <w:pStyle w:val="SingleTxtG"/>
        <w:rPr>
          <w:lang w:val="fr-FR"/>
        </w:rPr>
      </w:pPr>
      <w:r w:rsidRPr="00494098">
        <w:rPr>
          <w:lang w:val="fr-FR"/>
        </w:rPr>
        <w:t>264.</w:t>
      </w:r>
      <w:r w:rsidRPr="00494098">
        <w:rPr>
          <w:lang w:val="fr-FR"/>
        </w:rPr>
        <w:tab/>
        <w:t>Enfin, le projet pilote «</w:t>
      </w:r>
      <w:r w:rsidR="00E02ECA" w:rsidRPr="00494098">
        <w:rPr>
          <w:lang w:val="fr-FR"/>
        </w:rPr>
        <w:t> </w:t>
      </w:r>
      <w:r w:rsidRPr="00494098">
        <w:rPr>
          <w:lang w:val="fr-FR"/>
        </w:rPr>
        <w:t>Ingénieur d'un jour</w:t>
      </w:r>
      <w:r w:rsidR="00E02ECA" w:rsidRPr="00494098">
        <w:rPr>
          <w:lang w:val="fr-FR"/>
        </w:rPr>
        <w:t> </w:t>
      </w:r>
      <w:r w:rsidRPr="00494098">
        <w:rPr>
          <w:lang w:val="fr-FR"/>
        </w:rPr>
        <w:t>» a été lancé le 10</w:t>
      </w:r>
      <w:r w:rsidR="00203C62" w:rsidRPr="00494098">
        <w:rPr>
          <w:lang w:val="fr-FR"/>
        </w:rPr>
        <w:t> octobre</w:t>
      </w:r>
      <w:r w:rsidRPr="00494098">
        <w:rPr>
          <w:lang w:val="fr-FR"/>
        </w:rPr>
        <w:t xml:space="preserve"> 2017 en prévision de la Journée internationale des filles (12</w:t>
      </w:r>
      <w:r w:rsidR="00203C62" w:rsidRPr="00494098">
        <w:rPr>
          <w:lang w:val="fr-FR"/>
        </w:rPr>
        <w:t> octobre</w:t>
      </w:r>
      <w:r w:rsidRPr="00494098">
        <w:rPr>
          <w:lang w:val="fr-FR"/>
        </w:rPr>
        <w:t xml:space="preserve">), </w:t>
      </w:r>
      <w:r w:rsidR="00E02ECA" w:rsidRPr="00494098">
        <w:rPr>
          <w:lang w:val="fr-FR"/>
        </w:rPr>
        <w:t xml:space="preserve">avec </w:t>
      </w:r>
      <w:r w:rsidRPr="00494098">
        <w:rPr>
          <w:lang w:val="fr-FR"/>
        </w:rPr>
        <w:t xml:space="preserve">une initiative du Gouvernement pour l’égalité. </w:t>
      </w:r>
      <w:r w:rsidR="00E02ECA" w:rsidRPr="00494098">
        <w:rPr>
          <w:lang w:val="fr-FR"/>
        </w:rPr>
        <w:t xml:space="preserve">Ce projet </w:t>
      </w:r>
      <w:r w:rsidRPr="00494098">
        <w:rPr>
          <w:lang w:val="fr-FR"/>
        </w:rPr>
        <w:t>vise à prévenir l’</w:t>
      </w:r>
      <w:r w:rsidR="002E0BE0" w:rsidRPr="00494098">
        <w:rPr>
          <w:lang w:val="fr-FR"/>
        </w:rPr>
        <w:t xml:space="preserve">aggravation </w:t>
      </w:r>
      <w:r w:rsidRPr="00494098">
        <w:rPr>
          <w:lang w:val="fr-FR"/>
        </w:rPr>
        <w:t>de la ségrégation dans l’éducation et les choix professionnels et, par la suite, la carrière professionnelle</w:t>
      </w:r>
      <w:r w:rsidR="00E02ECA" w:rsidRPr="00494098">
        <w:rPr>
          <w:lang w:val="fr-FR"/>
        </w:rPr>
        <w:t>,</w:t>
      </w:r>
      <w:r w:rsidRPr="00494098">
        <w:rPr>
          <w:lang w:val="fr-FR"/>
        </w:rPr>
        <w:t xml:space="preserve"> en raison du sexe et, en particulier, l’absence des femmes dans les domaines d</w:t>
      </w:r>
      <w:r w:rsidR="00E02ECA" w:rsidRPr="00494098">
        <w:rPr>
          <w:lang w:val="fr-FR"/>
        </w:rPr>
        <w:t>e l’ingénierie</w:t>
      </w:r>
      <w:r w:rsidRPr="00494098">
        <w:rPr>
          <w:lang w:val="fr-FR"/>
        </w:rPr>
        <w:t xml:space="preserve"> et des technologies. </w:t>
      </w:r>
      <w:r w:rsidR="002E0BE0" w:rsidRPr="00494098">
        <w:rPr>
          <w:lang w:val="fr-FR"/>
        </w:rPr>
        <w:t>U</w:t>
      </w:r>
      <w:r w:rsidRPr="00494098">
        <w:rPr>
          <w:lang w:val="fr-FR"/>
        </w:rPr>
        <w:t xml:space="preserve">n protocole est en train d’être </w:t>
      </w:r>
      <w:r w:rsidR="00E02ECA" w:rsidRPr="00494098">
        <w:rPr>
          <w:lang w:val="fr-FR"/>
        </w:rPr>
        <w:t>élaboré</w:t>
      </w:r>
      <w:r w:rsidRPr="00494098">
        <w:rPr>
          <w:lang w:val="fr-FR"/>
        </w:rPr>
        <w:t xml:space="preserve"> </w:t>
      </w:r>
      <w:r w:rsidR="002E0BE0" w:rsidRPr="00494098">
        <w:rPr>
          <w:lang w:val="fr-FR"/>
        </w:rPr>
        <w:t xml:space="preserve">à cette fin </w:t>
      </w:r>
      <w:r w:rsidRPr="00494098">
        <w:rPr>
          <w:lang w:val="fr-FR"/>
        </w:rPr>
        <w:t xml:space="preserve">entre la Commission pour la citoyenneté et l’égalité des sexes, l’Université de technologie portugaise, </w:t>
      </w:r>
      <w:r w:rsidR="003D2826" w:rsidRPr="00494098">
        <w:rPr>
          <w:lang w:val="fr-FR"/>
        </w:rPr>
        <w:t xml:space="preserve">et </w:t>
      </w:r>
      <w:r w:rsidRPr="00494098">
        <w:rPr>
          <w:lang w:val="fr-FR"/>
        </w:rPr>
        <w:t>les écoles et les entreprises actives dans les secteurs concernés.</w:t>
      </w:r>
    </w:p>
    <w:p w14:paraId="3E8D6E7D" w14:textId="77777777" w:rsidR="00077B75" w:rsidRPr="00494098" w:rsidRDefault="00077B75" w:rsidP="00AE4BF5">
      <w:pPr>
        <w:pStyle w:val="SingleTxtG"/>
        <w:rPr>
          <w:lang w:val="fr-FR"/>
        </w:rPr>
      </w:pPr>
      <w:r w:rsidRPr="00494098">
        <w:rPr>
          <w:lang w:val="fr-FR"/>
        </w:rPr>
        <w:t>265.</w:t>
      </w:r>
      <w:r w:rsidRPr="00494098">
        <w:rPr>
          <w:lang w:val="fr-FR"/>
        </w:rPr>
        <w:tab/>
        <w:t>Ce projet pilote s'est mis en place tout au long de l’année scolaire 2017–2018. Il s’adresse aux filles du premier cycle secondaire et les appelle à s'engager dans toutes sortes de voies techniques. Il les incite à s'intéresser aux sciences, aux technologies, à l'ingénierie et aux mathématiques et à remettre en cause les stéréotypes de ces secteurs dominés par les hommes.</w:t>
      </w:r>
    </w:p>
    <w:p w14:paraId="52D494C4" w14:textId="46C721A3" w:rsidR="00077B75" w:rsidRPr="00494098" w:rsidRDefault="00491E89" w:rsidP="008C240D">
      <w:pPr>
        <w:pStyle w:val="H1G"/>
        <w:rPr>
          <w:lang w:val="fr-FR"/>
        </w:rPr>
      </w:pPr>
      <w:r w:rsidRPr="00494098">
        <w:rPr>
          <w:lang w:val="fr-FR"/>
        </w:rPr>
        <w:tab/>
      </w:r>
      <w:r w:rsidR="00077B75" w:rsidRPr="00494098">
        <w:rPr>
          <w:lang w:val="fr-FR"/>
        </w:rPr>
        <w:t>G.</w:t>
      </w:r>
      <w:r w:rsidR="00077B75" w:rsidRPr="00494098">
        <w:rPr>
          <w:lang w:val="fr-FR"/>
        </w:rPr>
        <w:tab/>
      </w:r>
      <w:r w:rsidR="00077B75" w:rsidRPr="00494098">
        <w:rPr>
          <w:bCs/>
          <w:lang w:val="fr-FR"/>
        </w:rPr>
        <w:t xml:space="preserve">Mesures  de protection </w:t>
      </w:r>
      <w:r w:rsidR="00BB662B">
        <w:rPr>
          <w:bCs/>
          <w:lang w:val="fr-FR"/>
        </w:rPr>
        <w:t xml:space="preserve">spéciales </w:t>
      </w:r>
      <w:r w:rsidR="00077B75" w:rsidRPr="00494098">
        <w:rPr>
          <w:bCs/>
          <w:lang w:val="fr-FR"/>
        </w:rPr>
        <w:t>(art</w:t>
      </w:r>
      <w:r w:rsidR="008864B1">
        <w:rPr>
          <w:bCs/>
          <w:lang w:val="fr-FR"/>
        </w:rPr>
        <w:t>.</w:t>
      </w:r>
      <w:r w:rsidR="00077B75" w:rsidRPr="00494098">
        <w:rPr>
          <w:bCs/>
          <w:lang w:val="fr-FR"/>
        </w:rPr>
        <w:t xml:space="preserve"> 22, 30, 32</w:t>
      </w:r>
      <w:r w:rsidR="00BD19BE">
        <w:rPr>
          <w:bCs/>
          <w:lang w:val="fr-FR"/>
        </w:rPr>
        <w:t>,</w:t>
      </w:r>
      <w:r w:rsidR="00077B75" w:rsidRPr="00494098">
        <w:rPr>
          <w:bCs/>
          <w:lang w:val="fr-FR"/>
        </w:rPr>
        <w:t xml:space="preserve">  33, 35</w:t>
      </w:r>
      <w:r w:rsidR="00BD19BE">
        <w:rPr>
          <w:bCs/>
          <w:lang w:val="fr-FR"/>
        </w:rPr>
        <w:t>,</w:t>
      </w:r>
      <w:r w:rsidR="00077B75" w:rsidRPr="00494098">
        <w:rPr>
          <w:bCs/>
          <w:lang w:val="fr-FR"/>
        </w:rPr>
        <w:t xml:space="preserve">  36, 37</w:t>
      </w:r>
      <w:r w:rsidR="00F4230D" w:rsidRPr="00494098">
        <w:rPr>
          <w:bCs/>
          <w:lang w:val="fr-FR"/>
        </w:rPr>
        <w:t> </w:t>
      </w:r>
      <w:r w:rsidR="00077B75" w:rsidRPr="00494098">
        <w:rPr>
          <w:bCs/>
          <w:lang w:val="fr-FR"/>
        </w:rPr>
        <w:t>b) à d)</w:t>
      </w:r>
      <w:r w:rsidR="00BA4F01">
        <w:rPr>
          <w:bCs/>
          <w:lang w:val="fr-FR"/>
        </w:rPr>
        <w:t xml:space="preserve"> et</w:t>
      </w:r>
      <w:r w:rsidR="00077B75" w:rsidRPr="00494098">
        <w:rPr>
          <w:bCs/>
          <w:lang w:val="fr-FR"/>
        </w:rPr>
        <w:t xml:space="preserve"> 38</w:t>
      </w:r>
      <w:r w:rsidR="00BA4F01">
        <w:rPr>
          <w:bCs/>
          <w:lang w:val="fr-FR"/>
        </w:rPr>
        <w:t xml:space="preserve"> à</w:t>
      </w:r>
      <w:r w:rsidR="00077B75" w:rsidRPr="00494098">
        <w:rPr>
          <w:bCs/>
          <w:lang w:val="fr-FR"/>
        </w:rPr>
        <w:t xml:space="preserve"> 40 de la Convention)</w:t>
      </w:r>
      <w:bookmarkStart w:id="174" w:name="_Toc530057310"/>
      <w:bookmarkStart w:id="175" w:name="_Toc530057537"/>
      <w:bookmarkStart w:id="176" w:name="_Toc530057624"/>
      <w:bookmarkStart w:id="177" w:name="_Toc530068005"/>
      <w:bookmarkEnd w:id="174"/>
      <w:bookmarkEnd w:id="175"/>
      <w:bookmarkEnd w:id="176"/>
      <w:bookmarkEnd w:id="177"/>
    </w:p>
    <w:p w14:paraId="405BF77F" w14:textId="35581912" w:rsidR="00077B75" w:rsidRPr="00494098" w:rsidRDefault="00077B75" w:rsidP="003A5321">
      <w:pPr>
        <w:pStyle w:val="H23G"/>
        <w:rPr>
          <w:lang w:val="fr-FR"/>
        </w:rPr>
      </w:pPr>
      <w:r w:rsidRPr="00494098">
        <w:rPr>
          <w:lang w:val="fr-FR"/>
        </w:rPr>
        <w:tab/>
      </w:r>
      <w:r w:rsidRPr="00494098">
        <w:rPr>
          <w:lang w:val="fr-FR"/>
        </w:rPr>
        <w:tab/>
        <w:t>Enfants demandeurs d’asile et réfugiés (par</w:t>
      </w:r>
      <w:r w:rsidR="00F4230D" w:rsidRPr="00494098">
        <w:rPr>
          <w:lang w:val="fr-FR"/>
        </w:rPr>
        <w:t>.</w:t>
      </w:r>
      <w:r w:rsidRPr="00494098">
        <w:rPr>
          <w:lang w:val="fr-FR"/>
        </w:rPr>
        <w:t xml:space="preserve"> 62 </w:t>
      </w:r>
      <w:r w:rsidR="00872592" w:rsidRPr="00494098">
        <w:rPr>
          <w:lang w:val="fr-FR"/>
        </w:rPr>
        <w:t xml:space="preserve">des </w:t>
      </w:r>
      <w:r w:rsidR="00BB662B">
        <w:rPr>
          <w:lang w:val="fr-FR"/>
        </w:rPr>
        <w:t>o</w:t>
      </w:r>
      <w:r w:rsidR="00916D99" w:rsidRPr="00494098">
        <w:rPr>
          <w:lang w:val="fr-FR"/>
        </w:rPr>
        <w:t>bservations finales</w:t>
      </w:r>
      <w:r w:rsidR="00872592" w:rsidRPr="00494098">
        <w:rPr>
          <w:lang w:val="fr-FR"/>
        </w:rPr>
        <w:t>)</w:t>
      </w:r>
      <w:bookmarkStart w:id="178" w:name="_Toc530057311"/>
      <w:bookmarkStart w:id="179" w:name="_Toc530057538"/>
      <w:bookmarkStart w:id="180" w:name="_Toc530057625"/>
      <w:bookmarkStart w:id="181" w:name="_Toc530068006"/>
      <w:bookmarkEnd w:id="178"/>
      <w:bookmarkEnd w:id="179"/>
      <w:bookmarkEnd w:id="180"/>
      <w:bookmarkEnd w:id="181"/>
    </w:p>
    <w:p w14:paraId="2332AA3D" w14:textId="77777777" w:rsidR="00077B75" w:rsidRPr="00494098" w:rsidRDefault="00077B75" w:rsidP="00480570">
      <w:pPr>
        <w:pStyle w:val="SingleTxtG"/>
        <w:rPr>
          <w:lang w:val="fr-FR"/>
        </w:rPr>
      </w:pPr>
      <w:r w:rsidRPr="00494098">
        <w:rPr>
          <w:lang w:val="fr-FR"/>
        </w:rPr>
        <w:t>266.</w:t>
      </w:r>
      <w:r w:rsidRPr="00494098">
        <w:rPr>
          <w:lang w:val="fr-FR"/>
        </w:rPr>
        <w:tab/>
        <w:t xml:space="preserve">Toutes les demandes d’asile présentées par des mineurs non accompagnés sont immédiatement notifiées au tribunal pour mineurs et des affaires familiales. </w:t>
      </w:r>
      <w:r w:rsidR="008E1C56" w:rsidRPr="00494098">
        <w:rPr>
          <w:lang w:val="fr-FR"/>
        </w:rPr>
        <w:t>L’article </w:t>
      </w:r>
      <w:r w:rsidRPr="00494098">
        <w:rPr>
          <w:lang w:val="fr-FR"/>
        </w:rPr>
        <w:t>79 de la loi sur l’asile prévo</w:t>
      </w:r>
      <w:r w:rsidR="008E1C56" w:rsidRPr="00494098">
        <w:rPr>
          <w:lang w:val="fr-FR"/>
        </w:rPr>
        <w:t>yant</w:t>
      </w:r>
      <w:r w:rsidRPr="00494098">
        <w:rPr>
          <w:lang w:val="fr-FR"/>
        </w:rPr>
        <w:t xml:space="preserve"> la nomination d’un représentant </w:t>
      </w:r>
      <w:r w:rsidR="008E1C56" w:rsidRPr="00494098">
        <w:rPr>
          <w:lang w:val="fr-FR"/>
        </w:rPr>
        <w:t xml:space="preserve">s’applique, </w:t>
      </w:r>
      <w:r w:rsidR="008B27C9" w:rsidRPr="00494098">
        <w:rPr>
          <w:lang w:val="fr-FR"/>
        </w:rPr>
        <w:t xml:space="preserve">pour </w:t>
      </w:r>
      <w:r w:rsidRPr="00494098">
        <w:rPr>
          <w:lang w:val="fr-FR"/>
        </w:rPr>
        <w:t xml:space="preserve">permettre à ces enfants d’exercer leurs droits conformément </w:t>
      </w:r>
      <w:r w:rsidR="008E1C56" w:rsidRPr="00494098">
        <w:rPr>
          <w:lang w:val="fr-FR"/>
        </w:rPr>
        <w:t xml:space="preserve">au mécanisme </w:t>
      </w:r>
      <w:r w:rsidRPr="00494098">
        <w:rPr>
          <w:lang w:val="fr-FR"/>
        </w:rPr>
        <w:t>de la protection internationale et aux objectifs de promotion et de protection des droits de l’enfant dans les actions en justice.</w:t>
      </w:r>
    </w:p>
    <w:p w14:paraId="69B9BD99" w14:textId="4DEB48CB" w:rsidR="00077B75" w:rsidRPr="00494098" w:rsidRDefault="00077B75" w:rsidP="00480570">
      <w:pPr>
        <w:pStyle w:val="SingleTxtG"/>
        <w:rPr>
          <w:lang w:val="fr-FR"/>
        </w:rPr>
      </w:pPr>
      <w:r w:rsidRPr="00494098">
        <w:rPr>
          <w:lang w:val="fr-FR"/>
        </w:rPr>
        <w:t>267.</w:t>
      </w:r>
      <w:r w:rsidRPr="00494098">
        <w:rPr>
          <w:lang w:val="fr-FR"/>
        </w:rPr>
        <w:tab/>
        <w:t>Selon le Haut Commissariat aux migrations</w:t>
      </w:r>
      <w:r w:rsidR="00664112" w:rsidRPr="00494098">
        <w:rPr>
          <w:lang w:val="fr-FR"/>
        </w:rPr>
        <w:t>,</w:t>
      </w:r>
      <w:r w:rsidRPr="00494098">
        <w:rPr>
          <w:lang w:val="fr-FR"/>
        </w:rPr>
        <w:t xml:space="preserve"> on compte actuellement au Portugal 488</w:t>
      </w:r>
      <w:r w:rsidR="00664112" w:rsidRPr="00494098">
        <w:rPr>
          <w:lang w:val="fr-FR"/>
        </w:rPr>
        <w:t> </w:t>
      </w:r>
      <w:r w:rsidRPr="00494098">
        <w:rPr>
          <w:lang w:val="fr-FR"/>
        </w:rPr>
        <w:t>mineurs réfugiés</w:t>
      </w:r>
      <w:r w:rsidR="002D635A">
        <w:rPr>
          <w:lang w:val="fr-FR"/>
        </w:rPr>
        <w:t xml:space="preserve">, qui bénéficient </w:t>
      </w:r>
      <w:r w:rsidRPr="00494098">
        <w:rPr>
          <w:lang w:val="fr-FR"/>
        </w:rPr>
        <w:t xml:space="preserve"> du programme de réinstallation de l'Agenda européen en matière de migration (277</w:t>
      </w:r>
      <w:r w:rsidR="00664112" w:rsidRPr="00494098">
        <w:rPr>
          <w:lang w:val="fr-FR"/>
        </w:rPr>
        <w:t> </w:t>
      </w:r>
      <w:r w:rsidRPr="00494098">
        <w:rPr>
          <w:lang w:val="fr-FR"/>
        </w:rPr>
        <w:t>garçons et 211</w:t>
      </w:r>
      <w:r w:rsidR="00664112" w:rsidRPr="00494098">
        <w:rPr>
          <w:lang w:val="fr-FR"/>
        </w:rPr>
        <w:t> </w:t>
      </w:r>
      <w:r w:rsidRPr="00494098">
        <w:rPr>
          <w:lang w:val="fr-FR"/>
        </w:rPr>
        <w:t>filles), principalement des ressortissants syriens (360</w:t>
      </w:r>
      <w:r w:rsidR="00664112" w:rsidRPr="00494098">
        <w:rPr>
          <w:lang w:val="fr-FR"/>
        </w:rPr>
        <w:t> </w:t>
      </w:r>
      <w:r w:rsidRPr="00494098">
        <w:rPr>
          <w:lang w:val="fr-FR"/>
        </w:rPr>
        <w:t>mineurs), suivis par les Iraquiens (113). Le bon accueil de ces mineurs est assuré par l’</w:t>
      </w:r>
      <w:r w:rsidR="00664112" w:rsidRPr="00494098">
        <w:rPr>
          <w:lang w:val="fr-FR"/>
        </w:rPr>
        <w:t>U</w:t>
      </w:r>
      <w:r w:rsidRPr="00494098">
        <w:rPr>
          <w:lang w:val="fr-FR"/>
        </w:rPr>
        <w:t>nité d’appui pour l'intégration des réfugiés du Haut Commissariat aux migrations, en étroite coordination avec les autorités locales et les institutions chargées de l'accueil.</w:t>
      </w:r>
    </w:p>
    <w:p w14:paraId="15AB95D0" w14:textId="77777777" w:rsidR="00077B75" w:rsidRPr="00494098" w:rsidRDefault="00077B75" w:rsidP="00480570">
      <w:pPr>
        <w:pStyle w:val="SingleTxtG"/>
        <w:rPr>
          <w:lang w:val="fr-FR"/>
        </w:rPr>
      </w:pPr>
      <w:r w:rsidRPr="00494098">
        <w:rPr>
          <w:lang w:val="fr-FR"/>
        </w:rPr>
        <w:t>268.</w:t>
      </w:r>
      <w:r w:rsidRPr="00494098">
        <w:rPr>
          <w:lang w:val="fr-FR"/>
        </w:rPr>
        <w:tab/>
        <w:t>En</w:t>
      </w:r>
      <w:r w:rsidR="00664112" w:rsidRPr="00494098">
        <w:rPr>
          <w:lang w:val="fr-FR"/>
        </w:rPr>
        <w:t xml:space="preserve"> </w:t>
      </w:r>
      <w:r w:rsidR="0082263D" w:rsidRPr="00494098">
        <w:rPr>
          <w:lang w:val="fr-FR"/>
        </w:rPr>
        <w:t>mars</w:t>
      </w:r>
      <w:r w:rsidRPr="00494098">
        <w:rPr>
          <w:lang w:val="fr-FR"/>
        </w:rPr>
        <w:t xml:space="preserve"> 2017, le Portugal a accueilli cinq mineurs non accompagnés </w:t>
      </w:r>
      <w:r w:rsidR="00EE1EAA" w:rsidRPr="00494098">
        <w:rPr>
          <w:lang w:val="fr-FR"/>
        </w:rPr>
        <w:t xml:space="preserve">venus </w:t>
      </w:r>
      <w:r w:rsidRPr="00494098">
        <w:rPr>
          <w:lang w:val="fr-FR"/>
        </w:rPr>
        <w:t xml:space="preserve">d'Afghanistan. Cette initiative s'est </w:t>
      </w:r>
      <w:r w:rsidR="00EE1EAA" w:rsidRPr="00494098">
        <w:rPr>
          <w:lang w:val="fr-FR"/>
        </w:rPr>
        <w:t xml:space="preserve">déroulée </w:t>
      </w:r>
      <w:r w:rsidRPr="00494098">
        <w:rPr>
          <w:lang w:val="fr-FR"/>
        </w:rPr>
        <w:t>dans le cadre d'un mécanisme bilatéral</w:t>
      </w:r>
      <w:r w:rsidR="00EE1EAA" w:rsidRPr="00494098">
        <w:rPr>
          <w:lang w:val="fr-FR"/>
        </w:rPr>
        <w:t xml:space="preserve"> de solidarité</w:t>
      </w:r>
      <w:r w:rsidRPr="00494098">
        <w:rPr>
          <w:lang w:val="fr-FR"/>
        </w:rPr>
        <w:t xml:space="preserve"> avec la Grèce, et visait à se conformer pleinement à l’article</w:t>
      </w:r>
      <w:r w:rsidR="00EE1EAA" w:rsidRPr="00494098">
        <w:rPr>
          <w:lang w:val="fr-FR"/>
        </w:rPr>
        <w:t> </w:t>
      </w:r>
      <w:r w:rsidRPr="00494098">
        <w:rPr>
          <w:lang w:val="fr-FR"/>
        </w:rPr>
        <w:t xml:space="preserve">3 de la Convention et aux recommandations formulées par le Comité des droits de l’enfant dans son observation générale </w:t>
      </w:r>
      <w:r w:rsidR="006717A5" w:rsidRPr="00494098">
        <w:rPr>
          <w:lang w:val="fr-FR"/>
        </w:rPr>
        <w:t>n° </w:t>
      </w:r>
      <w:r w:rsidRPr="00494098">
        <w:rPr>
          <w:lang w:val="fr-FR"/>
        </w:rPr>
        <w:t xml:space="preserve">6. Un groupe de travail </w:t>
      </w:r>
      <w:r w:rsidR="00EE1EAA" w:rsidRPr="00494098">
        <w:rPr>
          <w:lang w:val="fr-FR"/>
        </w:rPr>
        <w:t xml:space="preserve">composé </w:t>
      </w:r>
      <w:r w:rsidRPr="00494098">
        <w:rPr>
          <w:lang w:val="fr-FR"/>
        </w:rPr>
        <w:t xml:space="preserve">de représentants des entités publiques compétentes </w:t>
      </w:r>
      <w:r w:rsidR="00EE1EAA" w:rsidRPr="00494098">
        <w:rPr>
          <w:lang w:val="fr-FR"/>
        </w:rPr>
        <w:t xml:space="preserve">a </w:t>
      </w:r>
      <w:r w:rsidRPr="00494098">
        <w:rPr>
          <w:lang w:val="fr-FR"/>
        </w:rPr>
        <w:t>garanti l’accès à l’éducation, aux documents légaux, à la santé et l’apprentissage de langues portugaise. Les autorités portugaises sont prêtes à recevoir d'autres groupes de mineurs non accompagnés à l’avenir.</w:t>
      </w:r>
    </w:p>
    <w:p w14:paraId="729F105F" w14:textId="77777777" w:rsidR="00077B75" w:rsidRPr="00494098" w:rsidRDefault="00077B75" w:rsidP="00480570">
      <w:pPr>
        <w:pStyle w:val="SingleTxtG"/>
        <w:rPr>
          <w:lang w:val="fr-FR"/>
        </w:rPr>
      </w:pPr>
      <w:r w:rsidRPr="00494098">
        <w:rPr>
          <w:lang w:val="fr-FR"/>
        </w:rPr>
        <w:t>269.</w:t>
      </w:r>
      <w:r w:rsidRPr="00494098">
        <w:rPr>
          <w:lang w:val="fr-FR"/>
        </w:rPr>
        <w:tab/>
        <w:t xml:space="preserve">Pour accueillir le nombre croissant de demandeurs d’asile, le Portugal a choisi d'héberger les familles avec enfants dans des appartements loués sur le marché du logement, en fonction de la taille du foyer à loger, </w:t>
      </w:r>
      <w:r w:rsidR="00040D2C" w:rsidRPr="00494098">
        <w:rPr>
          <w:lang w:val="fr-FR"/>
        </w:rPr>
        <w:t xml:space="preserve">et </w:t>
      </w:r>
      <w:r w:rsidRPr="00494098">
        <w:rPr>
          <w:lang w:val="fr-FR"/>
        </w:rPr>
        <w:t xml:space="preserve">en tirant parti de toutes les </w:t>
      </w:r>
      <w:r w:rsidR="00040D2C" w:rsidRPr="00494098">
        <w:rPr>
          <w:lang w:val="fr-FR"/>
        </w:rPr>
        <w:t xml:space="preserve">modalités </w:t>
      </w:r>
      <w:r w:rsidR="00EE1EAA" w:rsidRPr="00494098">
        <w:rPr>
          <w:lang w:val="fr-FR"/>
        </w:rPr>
        <w:t xml:space="preserve">existantes </w:t>
      </w:r>
      <w:r w:rsidRPr="00494098">
        <w:rPr>
          <w:lang w:val="fr-FR"/>
        </w:rPr>
        <w:t xml:space="preserve">d’accueil et d’assistance </w:t>
      </w:r>
      <w:r w:rsidR="00040D2C" w:rsidRPr="00494098">
        <w:rPr>
          <w:lang w:val="fr-FR"/>
        </w:rPr>
        <w:t xml:space="preserve">accordées </w:t>
      </w:r>
      <w:r w:rsidRPr="00494098">
        <w:rPr>
          <w:lang w:val="fr-FR"/>
        </w:rPr>
        <w:t>aux demandeurs d’asile.</w:t>
      </w:r>
    </w:p>
    <w:p w14:paraId="5B43F51C" w14:textId="77777777" w:rsidR="00077B75" w:rsidRPr="00494098" w:rsidRDefault="00077B75" w:rsidP="00480570">
      <w:pPr>
        <w:pStyle w:val="SingleTxtG"/>
        <w:rPr>
          <w:lang w:val="fr-FR"/>
        </w:rPr>
      </w:pPr>
      <w:r w:rsidRPr="00494098">
        <w:rPr>
          <w:lang w:val="fr-FR"/>
        </w:rPr>
        <w:t>270.</w:t>
      </w:r>
      <w:r w:rsidRPr="00494098">
        <w:rPr>
          <w:lang w:val="fr-FR"/>
        </w:rPr>
        <w:tab/>
        <w:t>En outre, la construction d’un nouvel abri pour les réfugiés a été lancée</w:t>
      </w:r>
      <w:r w:rsidR="00040D2C" w:rsidRPr="00494098">
        <w:rPr>
          <w:lang w:val="fr-FR"/>
        </w:rPr>
        <w:t> ;</w:t>
      </w:r>
      <w:r w:rsidRPr="00494098">
        <w:rPr>
          <w:lang w:val="fr-FR"/>
        </w:rPr>
        <w:t xml:space="preserve"> e</w:t>
      </w:r>
      <w:r w:rsidR="00040D2C" w:rsidRPr="00494098">
        <w:rPr>
          <w:lang w:val="fr-FR"/>
        </w:rPr>
        <w:t>lle</w:t>
      </w:r>
      <w:r w:rsidRPr="00494098">
        <w:rPr>
          <w:lang w:val="fr-FR"/>
        </w:rPr>
        <w:t xml:space="preserve"> prendra en compte les besoins particuliers en logement des familles avec enfants </w:t>
      </w:r>
      <w:r w:rsidR="00AE35C8" w:rsidRPr="00494098">
        <w:rPr>
          <w:lang w:val="fr-FR"/>
        </w:rPr>
        <w:t xml:space="preserve">et mettra en place </w:t>
      </w:r>
      <w:r w:rsidRPr="00494098">
        <w:rPr>
          <w:lang w:val="fr-FR"/>
        </w:rPr>
        <w:t xml:space="preserve">un environnement adéquat, </w:t>
      </w:r>
      <w:r w:rsidR="00040D2C" w:rsidRPr="00494098">
        <w:rPr>
          <w:lang w:val="fr-FR"/>
        </w:rPr>
        <w:t xml:space="preserve">conforme aux </w:t>
      </w:r>
      <w:r w:rsidRPr="00494098">
        <w:rPr>
          <w:lang w:val="fr-FR"/>
        </w:rPr>
        <w:t>normes de l’ONU. Le Conseil portugais pour les réfugiés est responsable de la construction et de la gestion de ce centre.</w:t>
      </w:r>
    </w:p>
    <w:p w14:paraId="591F22E4" w14:textId="77777777" w:rsidR="00077B75" w:rsidRPr="00494098" w:rsidRDefault="00077B75" w:rsidP="00480570">
      <w:pPr>
        <w:pStyle w:val="SingleTxtG"/>
        <w:rPr>
          <w:lang w:val="fr-FR"/>
        </w:rPr>
      </w:pPr>
      <w:r w:rsidRPr="00494098">
        <w:rPr>
          <w:lang w:val="fr-FR"/>
        </w:rPr>
        <w:t>271.</w:t>
      </w:r>
      <w:r w:rsidRPr="00494098">
        <w:rPr>
          <w:lang w:val="fr-FR"/>
        </w:rPr>
        <w:tab/>
        <w:t xml:space="preserve">Le Mécanisme national d’orientation révisé accorde une attention particulière aux enfants. Lorsqu'un enfant présumé victime de la traite est signalé, il est orienté vers le système de protection par les entités compétentes (par exemple les services de police, une ONG ou un tribunal). Le système de protection des enfants à risque, conforme à la loi </w:t>
      </w:r>
      <w:r w:rsidR="006717A5" w:rsidRPr="00494098">
        <w:rPr>
          <w:lang w:val="fr-FR"/>
        </w:rPr>
        <w:t>n° </w:t>
      </w:r>
      <w:r w:rsidR="00480991" w:rsidRPr="00494098">
        <w:rPr>
          <w:lang w:val="fr-FR"/>
        </w:rPr>
        <w:t>1</w:t>
      </w:r>
      <w:r w:rsidRPr="00494098">
        <w:rPr>
          <w:lang w:val="fr-FR"/>
        </w:rPr>
        <w:t>47/99 sur la protection des enfants et des jeunes en danger, modifié pour la dernière fois en</w:t>
      </w:r>
      <w:r w:rsidR="00AE35C8" w:rsidRPr="00494098">
        <w:rPr>
          <w:lang w:val="fr-FR"/>
        </w:rPr>
        <w:t xml:space="preserve"> </w:t>
      </w:r>
      <w:r w:rsidR="00480991" w:rsidRPr="00494098">
        <w:rPr>
          <w:lang w:val="fr-FR"/>
        </w:rPr>
        <w:t>septembre</w:t>
      </w:r>
      <w:r w:rsidRPr="00494098">
        <w:rPr>
          <w:lang w:val="fr-FR"/>
        </w:rPr>
        <w:t xml:space="preserve"> 2015, ne prévoit pas de mesures spécifiques pour les enfants victimes de la traite</w:t>
      </w:r>
      <w:r w:rsidR="00040D2C" w:rsidRPr="00494098">
        <w:rPr>
          <w:lang w:val="fr-FR"/>
        </w:rPr>
        <w:t> ;</w:t>
      </w:r>
      <w:r w:rsidRPr="00494098">
        <w:rPr>
          <w:lang w:val="fr-FR"/>
        </w:rPr>
        <w:t xml:space="preserve"> il n’</w:t>
      </w:r>
      <w:r w:rsidR="00AE35C8" w:rsidRPr="00494098">
        <w:rPr>
          <w:lang w:val="fr-FR"/>
        </w:rPr>
        <w:t xml:space="preserve">existe pas </w:t>
      </w:r>
      <w:r w:rsidRPr="00494098">
        <w:rPr>
          <w:lang w:val="fr-FR"/>
        </w:rPr>
        <w:t xml:space="preserve">actuellement </w:t>
      </w:r>
      <w:r w:rsidR="00AE35C8" w:rsidRPr="00494098">
        <w:rPr>
          <w:lang w:val="fr-FR"/>
        </w:rPr>
        <w:t xml:space="preserve">au Portugal </w:t>
      </w:r>
      <w:r w:rsidRPr="00494098">
        <w:rPr>
          <w:lang w:val="fr-FR"/>
        </w:rPr>
        <w:t>d</w:t>
      </w:r>
      <w:r w:rsidR="00AE35C8" w:rsidRPr="00494098">
        <w:rPr>
          <w:lang w:val="fr-FR"/>
        </w:rPr>
        <w:t>e structures spécialisées pour c</w:t>
      </w:r>
      <w:r w:rsidRPr="00494098">
        <w:rPr>
          <w:lang w:val="fr-FR"/>
        </w:rPr>
        <w:t>es enfants, c’est-à-dire qu'une victime de la traite âgée de moins de 18</w:t>
      </w:r>
      <w:r w:rsidR="00AE35C8" w:rsidRPr="00494098">
        <w:rPr>
          <w:lang w:val="fr-FR"/>
        </w:rPr>
        <w:t> </w:t>
      </w:r>
      <w:r w:rsidRPr="00494098">
        <w:rPr>
          <w:lang w:val="fr-FR"/>
        </w:rPr>
        <w:t>ans sera aidée de la même façon que tout enfant à risque ou en danger. En cas de danger imminent, les enfants peuvent faire l’objet d’un placement d’urgence.</w:t>
      </w:r>
    </w:p>
    <w:p w14:paraId="1A8A5800" w14:textId="77777777" w:rsidR="00077B75" w:rsidRPr="00494098" w:rsidRDefault="00077B75" w:rsidP="00480570">
      <w:pPr>
        <w:pStyle w:val="SingleTxtG"/>
        <w:rPr>
          <w:lang w:val="fr-FR"/>
        </w:rPr>
      </w:pPr>
      <w:r w:rsidRPr="00494098">
        <w:rPr>
          <w:lang w:val="fr-FR"/>
        </w:rPr>
        <w:t>272.</w:t>
      </w:r>
      <w:r w:rsidRPr="00494098">
        <w:rPr>
          <w:lang w:val="fr-FR"/>
        </w:rPr>
        <w:tab/>
        <w:t>Les questions liées à la traite des êtres humains seront examinées dans le futur plan pluriannuel pour la promotion et la défense des droits de l’enfant, que la nouvelle Commission nationale pour la promotion des droits et la protection des enfants et des adolescents est en train de préparer.</w:t>
      </w:r>
    </w:p>
    <w:p w14:paraId="485EC34E" w14:textId="77777777" w:rsidR="00077B75" w:rsidRPr="00494098" w:rsidRDefault="000717EC" w:rsidP="00480570">
      <w:pPr>
        <w:pStyle w:val="SingleTxtG"/>
        <w:rPr>
          <w:lang w:val="fr-FR"/>
        </w:rPr>
      </w:pPr>
      <w:r w:rsidRPr="00494098">
        <w:rPr>
          <w:lang w:val="fr-FR"/>
        </w:rPr>
        <w:t>273.</w:t>
      </w:r>
      <w:r w:rsidRPr="00494098">
        <w:rPr>
          <w:lang w:val="fr-FR"/>
        </w:rPr>
        <w:tab/>
        <w:t>L</w:t>
      </w:r>
      <w:r w:rsidR="00077B75" w:rsidRPr="00494098">
        <w:rPr>
          <w:lang w:val="fr-FR"/>
        </w:rPr>
        <w:t xml:space="preserve">es professionnels qui s’occupent d’enfants réfugiés et demandeurs d’asile, d'enfants non accompagnés ou séparés de leur famille, d'enfants victimes de la traite ou traumatisés de toute autre manière, sont formés à assister ces enfants qui ont des besoins spécifiques. Un accès universel aux services de santé est assuré, notamment dans le domaine de la santé mentale, à savoir en cas de traumatisme. Le Ministère de la santé élabore également des actions de formation spécifiques </w:t>
      </w:r>
      <w:r w:rsidR="00040D2C" w:rsidRPr="00494098">
        <w:rPr>
          <w:lang w:val="fr-FR"/>
        </w:rPr>
        <w:t xml:space="preserve">au titre </w:t>
      </w:r>
      <w:r w:rsidR="00077B75" w:rsidRPr="00494098">
        <w:rPr>
          <w:lang w:val="fr-FR"/>
        </w:rPr>
        <w:t xml:space="preserve">du troisième Plan de prévention et de lutte contre la traite des êtres humains, de l'Action de santé pour les enfants et les adolescents à risque, de l'Action sanitaire sur l’égalité des sexes, la violence et le cycle de vie (ordonnance </w:t>
      </w:r>
      <w:r w:rsidR="006717A5" w:rsidRPr="00494098">
        <w:rPr>
          <w:lang w:val="fr-FR"/>
        </w:rPr>
        <w:t>n° </w:t>
      </w:r>
      <w:r w:rsidR="00077B75" w:rsidRPr="00494098">
        <w:rPr>
          <w:lang w:val="fr-FR"/>
        </w:rPr>
        <w:t>6378/2013 du 16</w:t>
      </w:r>
      <w:r w:rsidRPr="00494098">
        <w:rPr>
          <w:lang w:val="fr-FR"/>
        </w:rPr>
        <w:t> </w:t>
      </w:r>
      <w:r w:rsidR="00077B75" w:rsidRPr="00494098">
        <w:rPr>
          <w:lang w:val="fr-FR"/>
        </w:rPr>
        <w:t>mai 2013),</w:t>
      </w:r>
      <w:r w:rsidRPr="00494098">
        <w:rPr>
          <w:lang w:val="fr-FR"/>
        </w:rPr>
        <w:t xml:space="preserve"> </w:t>
      </w:r>
      <w:r w:rsidR="00040D2C" w:rsidRPr="00494098">
        <w:rPr>
          <w:lang w:val="fr-FR"/>
        </w:rPr>
        <w:t>afin de v</w:t>
      </w:r>
      <w:r w:rsidR="00077B75" w:rsidRPr="00494098">
        <w:rPr>
          <w:lang w:val="fr-FR"/>
        </w:rPr>
        <w:t>ise</w:t>
      </w:r>
      <w:r w:rsidR="00040D2C" w:rsidRPr="00494098">
        <w:rPr>
          <w:lang w:val="fr-FR"/>
        </w:rPr>
        <w:t>r</w:t>
      </w:r>
      <w:r w:rsidR="00077B75" w:rsidRPr="00494098">
        <w:rPr>
          <w:lang w:val="fr-FR"/>
        </w:rPr>
        <w:t xml:space="preserve"> les besoins spécifiques des victimes de la traite des êtres humains, y compris les enfants.</w:t>
      </w:r>
    </w:p>
    <w:p w14:paraId="76774FDD" w14:textId="77777777" w:rsidR="00077B75" w:rsidRPr="00494098" w:rsidRDefault="00077B75" w:rsidP="00480570">
      <w:pPr>
        <w:pStyle w:val="SingleTxtG"/>
        <w:rPr>
          <w:lang w:val="fr-FR"/>
        </w:rPr>
      </w:pPr>
      <w:r w:rsidRPr="00494098">
        <w:rPr>
          <w:lang w:val="fr-FR"/>
        </w:rPr>
        <w:t>274.</w:t>
      </w:r>
      <w:r w:rsidRPr="00494098">
        <w:rPr>
          <w:lang w:val="fr-FR"/>
        </w:rPr>
        <w:tab/>
        <w:t>Le Ministère de la justice participe activement aux travaux du Réseau européen sur la tutelle des enfants non accompagnés (ressortissant de pays tiers), créé sous l</w:t>
      </w:r>
      <w:r w:rsidR="000717EC" w:rsidRPr="00494098">
        <w:rPr>
          <w:lang w:val="fr-FR"/>
        </w:rPr>
        <w:t xml:space="preserve">es auspices </w:t>
      </w:r>
      <w:r w:rsidRPr="00494098">
        <w:rPr>
          <w:lang w:val="fr-FR"/>
        </w:rPr>
        <w:t>de la Commission européenne.</w:t>
      </w:r>
    </w:p>
    <w:p w14:paraId="5A3FCAE4" w14:textId="0366BDDA" w:rsidR="00077B75" w:rsidRPr="00494098" w:rsidRDefault="00077B75" w:rsidP="00480570">
      <w:pPr>
        <w:pStyle w:val="H23G"/>
        <w:rPr>
          <w:lang w:val="fr-FR"/>
        </w:rPr>
      </w:pPr>
      <w:r w:rsidRPr="00494098">
        <w:rPr>
          <w:lang w:val="fr-FR"/>
        </w:rPr>
        <w:tab/>
      </w:r>
      <w:r w:rsidRPr="00494098">
        <w:rPr>
          <w:lang w:val="fr-FR"/>
        </w:rPr>
        <w:tab/>
      </w:r>
      <w:r w:rsidRPr="00494098">
        <w:rPr>
          <w:bCs/>
          <w:lang w:val="fr-FR"/>
        </w:rPr>
        <w:t>Exploitation économique, notamment le travail des enfants (par</w:t>
      </w:r>
      <w:r w:rsidR="001F544C" w:rsidRPr="00494098">
        <w:rPr>
          <w:bCs/>
          <w:lang w:val="fr-FR"/>
        </w:rPr>
        <w:t>.</w:t>
      </w:r>
      <w:r w:rsidRPr="00494098">
        <w:rPr>
          <w:bCs/>
          <w:lang w:val="fr-FR"/>
        </w:rPr>
        <w:t xml:space="preserve"> 64 </w:t>
      </w:r>
      <w:r w:rsidR="00872592" w:rsidRPr="00494098">
        <w:rPr>
          <w:bCs/>
          <w:lang w:val="fr-FR"/>
        </w:rPr>
        <w:t xml:space="preserve">des </w:t>
      </w:r>
      <w:r w:rsidR="00B57BEB">
        <w:rPr>
          <w:bCs/>
          <w:lang w:val="fr-FR"/>
        </w:rPr>
        <w:t>o</w:t>
      </w:r>
      <w:r w:rsidR="00916D99" w:rsidRPr="00494098">
        <w:rPr>
          <w:bCs/>
          <w:lang w:val="fr-FR"/>
        </w:rPr>
        <w:t>bservations finales</w:t>
      </w:r>
      <w:r w:rsidR="00872592" w:rsidRPr="00494098">
        <w:rPr>
          <w:bCs/>
          <w:lang w:val="fr-FR"/>
        </w:rPr>
        <w:t>)</w:t>
      </w:r>
      <w:bookmarkStart w:id="182" w:name="_Toc530057312"/>
      <w:bookmarkStart w:id="183" w:name="_Toc530057539"/>
      <w:bookmarkStart w:id="184" w:name="_Toc530057626"/>
      <w:bookmarkStart w:id="185" w:name="_Toc530068007"/>
      <w:bookmarkEnd w:id="182"/>
      <w:bookmarkEnd w:id="183"/>
      <w:bookmarkEnd w:id="184"/>
      <w:bookmarkEnd w:id="185"/>
    </w:p>
    <w:p w14:paraId="5C578589" w14:textId="77777777" w:rsidR="00077B75" w:rsidRPr="00494098" w:rsidRDefault="00077B75" w:rsidP="00480570">
      <w:pPr>
        <w:pStyle w:val="SingleTxtG"/>
        <w:rPr>
          <w:lang w:val="fr-FR"/>
        </w:rPr>
      </w:pPr>
      <w:r w:rsidRPr="00494098">
        <w:rPr>
          <w:lang w:val="fr-FR"/>
        </w:rPr>
        <w:t>275.</w:t>
      </w:r>
      <w:r w:rsidRPr="00494098">
        <w:rPr>
          <w:lang w:val="fr-FR"/>
        </w:rPr>
        <w:tab/>
        <w:t>Le travail des enfants est contrôlé par l’Agence des conditions de travail (ACT)</w:t>
      </w:r>
      <w:r w:rsidR="00543E23" w:rsidRPr="00494098">
        <w:rPr>
          <w:lang w:val="fr-FR"/>
        </w:rPr>
        <w:t>.</w:t>
      </w:r>
      <w:r w:rsidRPr="00494098">
        <w:rPr>
          <w:lang w:val="fr-FR"/>
        </w:rPr>
        <w:t xml:space="preserve"> Au cours des dernières années, un programme spécifique</w:t>
      </w:r>
      <w:r w:rsidR="00543E23" w:rsidRPr="00494098">
        <w:rPr>
          <w:lang w:val="fr-FR"/>
        </w:rPr>
        <w:t xml:space="preserve"> a été mis en œuvre ;</w:t>
      </w:r>
      <w:r w:rsidRPr="00494098">
        <w:rPr>
          <w:lang w:val="fr-FR"/>
        </w:rPr>
        <w:t xml:space="preserve"> </w:t>
      </w:r>
      <w:r w:rsidR="00543E23" w:rsidRPr="00494098">
        <w:rPr>
          <w:lang w:val="fr-FR"/>
        </w:rPr>
        <w:t xml:space="preserve">il est </w:t>
      </w:r>
      <w:r w:rsidRPr="00494098">
        <w:rPr>
          <w:lang w:val="fr-FR"/>
        </w:rPr>
        <w:t xml:space="preserve">axé sur l’intervention en matière de prévention et de </w:t>
      </w:r>
      <w:r w:rsidR="00543E23" w:rsidRPr="00494098">
        <w:rPr>
          <w:lang w:val="fr-FR"/>
        </w:rPr>
        <w:t xml:space="preserve">contrôle </w:t>
      </w:r>
      <w:r w:rsidRPr="00494098">
        <w:rPr>
          <w:lang w:val="fr-FR"/>
        </w:rPr>
        <w:t>de la discrimination et des conditions de travail des groupes de travailleurs vulnérables, ce qui comprend la surveillance des condi</w:t>
      </w:r>
      <w:r w:rsidR="00F175CB" w:rsidRPr="00494098">
        <w:rPr>
          <w:lang w:val="fr-FR"/>
        </w:rPr>
        <w:t>tions de travail des mineurs (&lt; </w:t>
      </w:r>
      <w:r w:rsidRPr="00494098">
        <w:rPr>
          <w:lang w:val="fr-FR"/>
        </w:rPr>
        <w:t>18</w:t>
      </w:r>
      <w:r w:rsidR="00F175CB" w:rsidRPr="00494098">
        <w:rPr>
          <w:lang w:val="fr-FR"/>
        </w:rPr>
        <w:t> </w:t>
      </w:r>
      <w:r w:rsidRPr="00494098">
        <w:rPr>
          <w:lang w:val="fr-FR"/>
        </w:rPr>
        <w:t xml:space="preserve">ans). </w:t>
      </w:r>
    </w:p>
    <w:p w14:paraId="24AACA83" w14:textId="77777777" w:rsidR="00077B75" w:rsidRPr="00494098" w:rsidRDefault="00077B75" w:rsidP="00480570">
      <w:pPr>
        <w:pStyle w:val="SingleTxtG"/>
        <w:rPr>
          <w:lang w:val="fr-FR"/>
        </w:rPr>
      </w:pPr>
      <w:r w:rsidRPr="00494098">
        <w:rPr>
          <w:lang w:val="fr-FR"/>
        </w:rPr>
        <w:t>276.</w:t>
      </w:r>
      <w:r w:rsidRPr="00494098">
        <w:rPr>
          <w:lang w:val="fr-FR"/>
        </w:rPr>
        <w:tab/>
        <w:t xml:space="preserve">L'Agence procède à des inspections sur les conditions de travail des mineurs, </w:t>
      </w:r>
      <w:r w:rsidR="00C01DE6" w:rsidRPr="00494098">
        <w:rPr>
          <w:lang w:val="fr-FR"/>
        </w:rPr>
        <w:t xml:space="preserve">sur </w:t>
      </w:r>
      <w:r w:rsidRPr="00494098">
        <w:rPr>
          <w:lang w:val="fr-FR"/>
        </w:rPr>
        <w:t xml:space="preserve">le respect de l’âge minimum d’admission, sur l’éducation des jeunes travailleurs et sur les conditions de participation des travailleurs dans les petits spectacles, la publicité et les activités connexes. </w:t>
      </w:r>
    </w:p>
    <w:p w14:paraId="4727D317" w14:textId="77777777" w:rsidR="00077B75" w:rsidRPr="00494098" w:rsidRDefault="00077B75" w:rsidP="00480570">
      <w:pPr>
        <w:pStyle w:val="SingleTxtG"/>
        <w:rPr>
          <w:lang w:val="fr-FR"/>
        </w:rPr>
      </w:pPr>
      <w:r w:rsidRPr="00494098">
        <w:rPr>
          <w:lang w:val="fr-FR"/>
        </w:rPr>
        <w:t>277.</w:t>
      </w:r>
      <w:r w:rsidRPr="00494098">
        <w:rPr>
          <w:lang w:val="fr-FR"/>
        </w:rPr>
        <w:tab/>
        <w:t>Les programmes dans les domaines de l’éducation et de la formation, le soutien financier aux familles par le subventionnement de l’insertion sociale et l'institution d’un salaire minimum national</w:t>
      </w:r>
      <w:r w:rsidR="003E291F" w:rsidRPr="00494098">
        <w:rPr>
          <w:lang w:val="fr-FR"/>
        </w:rPr>
        <w:t>,</w:t>
      </w:r>
      <w:r w:rsidRPr="00494098">
        <w:rPr>
          <w:lang w:val="fr-FR"/>
        </w:rPr>
        <w:t xml:space="preserve"> ont contribué à l’élimination du travail des enfants.</w:t>
      </w:r>
    </w:p>
    <w:p w14:paraId="5DD9E87A" w14:textId="77777777" w:rsidR="00077B75" w:rsidRPr="00494098" w:rsidRDefault="00077B75" w:rsidP="00480570">
      <w:pPr>
        <w:pStyle w:val="SingleTxtG"/>
        <w:rPr>
          <w:lang w:val="fr-FR"/>
        </w:rPr>
      </w:pPr>
      <w:r w:rsidRPr="00494098">
        <w:rPr>
          <w:lang w:val="fr-FR"/>
        </w:rPr>
        <w:t>278.</w:t>
      </w:r>
      <w:r w:rsidRPr="00494098">
        <w:rPr>
          <w:lang w:val="fr-FR"/>
        </w:rPr>
        <w:tab/>
        <w:t>Les volumes de main-d'</w:t>
      </w:r>
      <w:r w:rsidR="00D264B0" w:rsidRPr="00494098">
        <w:rPr>
          <w:lang w:val="fr-FR"/>
        </w:rPr>
        <w:t>œuvr</w:t>
      </w:r>
      <w:r w:rsidRPr="00494098">
        <w:rPr>
          <w:lang w:val="fr-FR"/>
        </w:rPr>
        <w:t xml:space="preserve">e enfantine sont actuellement résiduels (voir </w:t>
      </w:r>
      <w:r w:rsidR="00807954" w:rsidRPr="00494098">
        <w:rPr>
          <w:lang w:val="fr-FR"/>
        </w:rPr>
        <w:t>tableau 2</w:t>
      </w:r>
      <w:r w:rsidRPr="00494098">
        <w:rPr>
          <w:lang w:val="fr-FR"/>
        </w:rPr>
        <w:t xml:space="preserve">2, </w:t>
      </w:r>
      <w:r w:rsidR="003B4E18" w:rsidRPr="00494098">
        <w:rPr>
          <w:lang w:val="fr-FR"/>
        </w:rPr>
        <w:t>annexe 1</w:t>
      </w:r>
      <w:r w:rsidRPr="00494098">
        <w:rPr>
          <w:lang w:val="fr-FR"/>
        </w:rPr>
        <w:t>).</w:t>
      </w:r>
    </w:p>
    <w:p w14:paraId="0BB88955" w14:textId="77777777" w:rsidR="00077B75" w:rsidRPr="00494098" w:rsidRDefault="00077B75" w:rsidP="00480570">
      <w:pPr>
        <w:pStyle w:val="SingleTxtG"/>
        <w:rPr>
          <w:lang w:val="fr-FR"/>
        </w:rPr>
      </w:pPr>
      <w:r w:rsidRPr="00494098">
        <w:rPr>
          <w:lang w:val="fr-FR"/>
        </w:rPr>
        <w:t>279.</w:t>
      </w:r>
      <w:r w:rsidRPr="00494098">
        <w:rPr>
          <w:lang w:val="fr-FR"/>
        </w:rPr>
        <w:tab/>
        <w:t xml:space="preserve">En ce qui concerne la tauromachie, la loi </w:t>
      </w:r>
      <w:r w:rsidR="006717A5" w:rsidRPr="00494098">
        <w:rPr>
          <w:lang w:val="fr-FR"/>
        </w:rPr>
        <w:t>n° </w:t>
      </w:r>
      <w:r w:rsidRPr="00494098">
        <w:rPr>
          <w:lang w:val="fr-FR"/>
        </w:rPr>
        <w:t>31/2015 du 23</w:t>
      </w:r>
      <w:r w:rsidR="007704A8" w:rsidRPr="00494098">
        <w:rPr>
          <w:lang w:val="fr-FR"/>
        </w:rPr>
        <w:t> avril</w:t>
      </w:r>
      <w:r w:rsidRPr="00494098">
        <w:rPr>
          <w:lang w:val="fr-FR"/>
        </w:rPr>
        <w:t xml:space="preserve"> 2015 stipule que les toreros et autres artistes auxiliaires doivent être âgés de 16</w:t>
      </w:r>
      <w:r w:rsidR="00213481" w:rsidRPr="00494098">
        <w:rPr>
          <w:lang w:val="fr-FR"/>
        </w:rPr>
        <w:t> </w:t>
      </w:r>
      <w:r w:rsidRPr="00494098">
        <w:rPr>
          <w:lang w:val="fr-FR"/>
        </w:rPr>
        <w:t>ans au moins (art</w:t>
      </w:r>
      <w:r w:rsidR="00213481" w:rsidRPr="00494098">
        <w:rPr>
          <w:lang w:val="fr-FR"/>
        </w:rPr>
        <w:t>.</w:t>
      </w:r>
      <w:r w:rsidR="00C01DE6" w:rsidRPr="00494098">
        <w:rPr>
          <w:lang w:val="fr-FR"/>
        </w:rPr>
        <w:t> </w:t>
      </w:r>
      <w:r w:rsidRPr="00494098">
        <w:rPr>
          <w:lang w:val="fr-FR"/>
        </w:rPr>
        <w:t xml:space="preserve">3.3). </w:t>
      </w:r>
    </w:p>
    <w:p w14:paraId="417942C4" w14:textId="77777777" w:rsidR="00077B75" w:rsidRPr="00494098" w:rsidRDefault="00077B75" w:rsidP="00480570">
      <w:pPr>
        <w:pStyle w:val="SingleTxtG"/>
        <w:rPr>
          <w:lang w:val="fr-FR"/>
        </w:rPr>
      </w:pPr>
      <w:r w:rsidRPr="00494098">
        <w:rPr>
          <w:lang w:val="fr-FR"/>
        </w:rPr>
        <w:t>280.</w:t>
      </w:r>
      <w:r w:rsidRPr="00494098">
        <w:rPr>
          <w:lang w:val="fr-FR"/>
        </w:rPr>
        <w:tab/>
        <w:t>La Convention n°</w:t>
      </w:r>
      <w:r w:rsidR="00C01DE6" w:rsidRPr="00494098">
        <w:rPr>
          <w:lang w:val="fr-FR"/>
        </w:rPr>
        <w:t> </w:t>
      </w:r>
      <w:r w:rsidRPr="00494098">
        <w:rPr>
          <w:lang w:val="fr-FR"/>
        </w:rPr>
        <w:t>189 de l’Organisation internationale du travail (2011)</w:t>
      </w:r>
      <w:r w:rsidR="00804747" w:rsidRPr="00494098">
        <w:rPr>
          <w:lang w:val="fr-FR"/>
        </w:rPr>
        <w:t xml:space="preserve"> concernant le travail décent pour les travailleuses et travailleurs domestiques</w:t>
      </w:r>
      <w:r w:rsidRPr="00494098">
        <w:rPr>
          <w:lang w:val="fr-FR"/>
        </w:rPr>
        <w:t xml:space="preserve">, a été approuvée en vue de sa ratification par la résolution </w:t>
      </w:r>
      <w:r w:rsidR="006717A5" w:rsidRPr="00494098">
        <w:rPr>
          <w:lang w:val="fr-FR"/>
        </w:rPr>
        <w:t>n° </w:t>
      </w:r>
      <w:r w:rsidRPr="00494098">
        <w:rPr>
          <w:lang w:val="fr-FR"/>
        </w:rPr>
        <w:t xml:space="preserve">42/2015 de l’Assemblée de la République, puis ratifiée par le décret </w:t>
      </w:r>
      <w:r w:rsidR="006717A5" w:rsidRPr="00494098">
        <w:rPr>
          <w:lang w:val="fr-FR"/>
        </w:rPr>
        <w:t>n° </w:t>
      </w:r>
      <w:r w:rsidRPr="00494098">
        <w:rPr>
          <w:lang w:val="fr-FR"/>
        </w:rPr>
        <w:t>31/201</w:t>
      </w:r>
      <w:r w:rsidR="00C01DE6" w:rsidRPr="00494098">
        <w:rPr>
          <w:lang w:val="fr-FR"/>
        </w:rPr>
        <w:t>5 du Président de la République ;</w:t>
      </w:r>
      <w:r w:rsidRPr="00494098">
        <w:rPr>
          <w:lang w:val="fr-FR"/>
        </w:rPr>
        <w:t xml:space="preserve"> les deux textes </w:t>
      </w:r>
      <w:r w:rsidR="00C01DE6" w:rsidRPr="00494098">
        <w:rPr>
          <w:lang w:val="fr-FR"/>
        </w:rPr>
        <w:t xml:space="preserve">ont été </w:t>
      </w:r>
      <w:r w:rsidRPr="00494098">
        <w:rPr>
          <w:lang w:val="fr-FR"/>
        </w:rPr>
        <w:t>publiés au Journal officiel (</w:t>
      </w:r>
      <w:r w:rsidRPr="00494098">
        <w:rPr>
          <w:i/>
          <w:iCs/>
          <w:lang w:val="fr-FR"/>
        </w:rPr>
        <w:t>Diário da República</w:t>
      </w:r>
      <w:r w:rsidRPr="00494098">
        <w:rPr>
          <w:lang w:val="fr-FR"/>
        </w:rPr>
        <w:t>) le 27</w:t>
      </w:r>
      <w:r w:rsidR="007704A8" w:rsidRPr="00494098">
        <w:rPr>
          <w:lang w:val="fr-FR"/>
        </w:rPr>
        <w:t> avril</w:t>
      </w:r>
      <w:r w:rsidRPr="00494098">
        <w:rPr>
          <w:lang w:val="fr-FR"/>
        </w:rPr>
        <w:t xml:space="preserve"> 2015 (série</w:t>
      </w:r>
      <w:r w:rsidR="00804747" w:rsidRPr="00494098">
        <w:rPr>
          <w:lang w:val="fr-FR"/>
        </w:rPr>
        <w:t> </w:t>
      </w:r>
      <w:r w:rsidRPr="00494098">
        <w:rPr>
          <w:lang w:val="fr-FR"/>
        </w:rPr>
        <w:t xml:space="preserve">I, </w:t>
      </w:r>
      <w:r w:rsidR="006717A5" w:rsidRPr="00494098">
        <w:rPr>
          <w:lang w:val="fr-FR"/>
        </w:rPr>
        <w:t>n° </w:t>
      </w:r>
      <w:r w:rsidRPr="00494098">
        <w:rPr>
          <w:lang w:val="fr-FR"/>
        </w:rPr>
        <w:t>81).</w:t>
      </w:r>
    </w:p>
    <w:p w14:paraId="64033E94" w14:textId="0018E056" w:rsidR="00077B75" w:rsidRPr="00494098" w:rsidRDefault="00077B75" w:rsidP="006F07D9">
      <w:pPr>
        <w:pStyle w:val="H23G"/>
        <w:rPr>
          <w:lang w:val="fr-FR"/>
        </w:rPr>
      </w:pPr>
      <w:r w:rsidRPr="00494098">
        <w:rPr>
          <w:lang w:val="fr-FR"/>
        </w:rPr>
        <w:tab/>
      </w:r>
      <w:r w:rsidRPr="00494098">
        <w:rPr>
          <w:lang w:val="fr-FR"/>
        </w:rPr>
        <w:tab/>
        <w:t>Administration de la justice pour mineurs (par</w:t>
      </w:r>
      <w:r w:rsidR="00B57BEB">
        <w:rPr>
          <w:lang w:val="fr-FR"/>
        </w:rPr>
        <w:t>.</w:t>
      </w:r>
      <w:r w:rsidRPr="00494098">
        <w:rPr>
          <w:lang w:val="fr-FR"/>
        </w:rPr>
        <w:t xml:space="preserve"> 66 </w:t>
      </w:r>
      <w:r w:rsidR="00872592" w:rsidRPr="00494098">
        <w:rPr>
          <w:lang w:val="fr-FR"/>
        </w:rPr>
        <w:t xml:space="preserve">des </w:t>
      </w:r>
      <w:r w:rsidR="00B57BEB">
        <w:rPr>
          <w:lang w:val="fr-FR"/>
        </w:rPr>
        <w:t>o</w:t>
      </w:r>
      <w:r w:rsidR="00916D99" w:rsidRPr="00494098">
        <w:rPr>
          <w:lang w:val="fr-FR"/>
        </w:rPr>
        <w:t>bservations finales</w:t>
      </w:r>
      <w:r w:rsidR="00872592" w:rsidRPr="00494098">
        <w:rPr>
          <w:lang w:val="fr-FR"/>
        </w:rPr>
        <w:t>)</w:t>
      </w:r>
      <w:bookmarkStart w:id="186" w:name="_Toc530057313"/>
      <w:bookmarkStart w:id="187" w:name="_Toc530057540"/>
      <w:bookmarkStart w:id="188" w:name="_Toc530057627"/>
      <w:bookmarkStart w:id="189" w:name="_Toc530068008"/>
      <w:bookmarkEnd w:id="186"/>
      <w:bookmarkEnd w:id="187"/>
      <w:bookmarkEnd w:id="188"/>
      <w:bookmarkEnd w:id="189"/>
    </w:p>
    <w:p w14:paraId="6B84AAC0" w14:textId="77777777" w:rsidR="00077B75" w:rsidRPr="00494098" w:rsidRDefault="00077B75" w:rsidP="00480570">
      <w:pPr>
        <w:pStyle w:val="SingleTxtG"/>
        <w:rPr>
          <w:lang w:val="fr-FR"/>
        </w:rPr>
      </w:pPr>
      <w:r w:rsidRPr="00494098">
        <w:rPr>
          <w:lang w:val="fr-FR"/>
        </w:rPr>
        <w:t>281.</w:t>
      </w:r>
      <w:r w:rsidRPr="00494098">
        <w:rPr>
          <w:lang w:val="fr-FR"/>
        </w:rPr>
        <w:tab/>
        <w:t xml:space="preserve">Entre 2014 et 2017, plusieurs </w:t>
      </w:r>
      <w:r w:rsidR="00883A4C" w:rsidRPr="00494098">
        <w:rPr>
          <w:lang w:val="fr-FR"/>
        </w:rPr>
        <w:t xml:space="preserve">mesures </w:t>
      </w:r>
      <w:r w:rsidRPr="00494098">
        <w:rPr>
          <w:lang w:val="fr-FR"/>
        </w:rPr>
        <w:t xml:space="preserve">de formation à l’intention des professionnels travaillant dans le système de justice pour mineurs </w:t>
      </w:r>
      <w:r w:rsidR="00883A4C" w:rsidRPr="00494098">
        <w:rPr>
          <w:lang w:val="fr-FR"/>
        </w:rPr>
        <w:t>s</w:t>
      </w:r>
      <w:r w:rsidRPr="00494098">
        <w:rPr>
          <w:lang w:val="fr-FR"/>
        </w:rPr>
        <w:t xml:space="preserve">ont </w:t>
      </w:r>
      <w:r w:rsidR="00883A4C" w:rsidRPr="00494098">
        <w:rPr>
          <w:lang w:val="fr-FR"/>
        </w:rPr>
        <w:t>entrées en action</w:t>
      </w:r>
      <w:r w:rsidRPr="00494098">
        <w:rPr>
          <w:lang w:val="fr-FR"/>
        </w:rPr>
        <w:t>, notamment</w:t>
      </w:r>
      <w:r w:rsidR="00C01DE6" w:rsidRPr="00494098">
        <w:rPr>
          <w:lang w:val="fr-FR"/>
        </w:rPr>
        <w:t xml:space="preserve"> les suivantes</w:t>
      </w:r>
      <w:r w:rsidR="00090CBF" w:rsidRPr="00494098">
        <w:rPr>
          <w:lang w:val="fr-FR"/>
        </w:rPr>
        <w:t> :</w:t>
      </w:r>
      <w:r w:rsidRPr="00494098">
        <w:rPr>
          <w:lang w:val="fr-FR"/>
        </w:rPr>
        <w:t xml:space="preserve"> formation des nouveaux professionnels de la réinsertion sociale</w:t>
      </w:r>
      <w:r w:rsidR="006717A5" w:rsidRPr="00494098">
        <w:rPr>
          <w:lang w:val="fr-FR"/>
        </w:rPr>
        <w:t> ;</w:t>
      </w:r>
      <w:r w:rsidRPr="00494098">
        <w:rPr>
          <w:lang w:val="fr-FR"/>
        </w:rPr>
        <w:t xml:space="preserve"> directives du Conseil de l’Europe sur une justice adaptée aux enfants</w:t>
      </w:r>
      <w:r w:rsidR="006717A5" w:rsidRPr="00494098">
        <w:rPr>
          <w:lang w:val="fr-FR"/>
        </w:rPr>
        <w:t> ;</w:t>
      </w:r>
      <w:r w:rsidRPr="00494098">
        <w:rPr>
          <w:lang w:val="fr-FR"/>
        </w:rPr>
        <w:t xml:space="preserve"> entretiens de motivation</w:t>
      </w:r>
      <w:r w:rsidR="006717A5" w:rsidRPr="00494098">
        <w:rPr>
          <w:lang w:val="fr-FR"/>
        </w:rPr>
        <w:t> ;</w:t>
      </w:r>
      <w:r w:rsidRPr="00494098">
        <w:rPr>
          <w:lang w:val="fr-FR"/>
        </w:rPr>
        <w:t xml:space="preserve"> </w:t>
      </w:r>
      <w:r w:rsidR="003A0861" w:rsidRPr="00494098">
        <w:rPr>
          <w:lang w:val="fr-FR"/>
        </w:rPr>
        <w:t>i</w:t>
      </w:r>
      <w:r w:rsidRPr="00494098">
        <w:rPr>
          <w:lang w:val="fr-FR"/>
        </w:rPr>
        <w:t>tinéraires personn</w:t>
      </w:r>
      <w:r w:rsidR="00B36272" w:rsidRPr="00494098">
        <w:rPr>
          <w:lang w:val="fr-FR"/>
        </w:rPr>
        <w:t>alisés</w:t>
      </w:r>
      <w:r w:rsidR="006717A5" w:rsidRPr="00494098">
        <w:rPr>
          <w:lang w:val="fr-FR"/>
        </w:rPr>
        <w:t> ;</w:t>
      </w:r>
      <w:r w:rsidRPr="00494098">
        <w:rPr>
          <w:lang w:val="fr-FR"/>
        </w:rPr>
        <w:t xml:space="preserve"> évaluation psychologique et expertise de la personnalité des jeunes délinquants</w:t>
      </w:r>
      <w:r w:rsidR="006717A5" w:rsidRPr="00494098">
        <w:rPr>
          <w:lang w:val="fr-FR"/>
        </w:rPr>
        <w:t> ;</w:t>
      </w:r>
      <w:r w:rsidRPr="00494098">
        <w:rPr>
          <w:lang w:val="fr-FR"/>
        </w:rPr>
        <w:t xml:space="preserve"> formation technique des équipes des centres </w:t>
      </w:r>
      <w:r w:rsidR="00883A4C" w:rsidRPr="00494098">
        <w:rPr>
          <w:lang w:val="fr-FR"/>
        </w:rPr>
        <w:t xml:space="preserve">locaux </w:t>
      </w:r>
      <w:r w:rsidRPr="00494098">
        <w:rPr>
          <w:lang w:val="fr-FR"/>
        </w:rPr>
        <w:t>de réinsertion et d'éducation</w:t>
      </w:r>
      <w:r w:rsidR="00883A4C" w:rsidRPr="00494098">
        <w:rPr>
          <w:lang w:val="fr-FR"/>
        </w:rPr>
        <w:t>,</w:t>
      </w:r>
      <w:r w:rsidRPr="00494098">
        <w:rPr>
          <w:lang w:val="fr-FR"/>
        </w:rPr>
        <w:t xml:space="preserve"> sur le niveau de service </w:t>
      </w:r>
      <w:r w:rsidR="00883A4C" w:rsidRPr="00494098">
        <w:rPr>
          <w:lang w:val="fr-FR"/>
        </w:rPr>
        <w:t>pour la jeunesse –</w:t>
      </w:r>
      <w:r w:rsidRPr="00494098">
        <w:rPr>
          <w:lang w:val="fr-FR"/>
        </w:rPr>
        <w:t xml:space="preserve"> intervention sur la gestion des dossiers individuels</w:t>
      </w:r>
      <w:r w:rsidR="006717A5" w:rsidRPr="00494098">
        <w:rPr>
          <w:lang w:val="fr-FR"/>
        </w:rPr>
        <w:t> ;</w:t>
      </w:r>
      <w:r w:rsidRPr="00494098">
        <w:rPr>
          <w:lang w:val="fr-FR"/>
        </w:rPr>
        <w:t xml:space="preserve"> gestion des cas lorsque des mesures de suivi éducatif (</w:t>
      </w:r>
      <w:r w:rsidR="00C55E44" w:rsidRPr="00494098">
        <w:rPr>
          <w:lang w:val="fr-FR"/>
        </w:rPr>
        <w:t xml:space="preserve">application </w:t>
      </w:r>
      <w:r w:rsidR="0034461E" w:rsidRPr="00494098">
        <w:rPr>
          <w:lang w:val="fr-FR"/>
        </w:rPr>
        <w:t xml:space="preserve">de la loi </w:t>
      </w:r>
      <w:r w:rsidRPr="00494098">
        <w:rPr>
          <w:lang w:val="fr-FR"/>
        </w:rPr>
        <w:t xml:space="preserve">dans la communauté) et d'internement dans un centre </w:t>
      </w:r>
      <w:r w:rsidR="0034461E" w:rsidRPr="00494098">
        <w:rPr>
          <w:lang w:val="fr-FR"/>
        </w:rPr>
        <w:t>d’éducation</w:t>
      </w:r>
      <w:r w:rsidR="00C55E44" w:rsidRPr="00494098">
        <w:rPr>
          <w:lang w:val="fr-FR"/>
        </w:rPr>
        <w:t> </w:t>
      </w:r>
      <w:r w:rsidR="006717A5" w:rsidRPr="00494098">
        <w:rPr>
          <w:lang w:val="fr-FR"/>
        </w:rPr>
        <w:t>;</w:t>
      </w:r>
      <w:r w:rsidRPr="00494098">
        <w:rPr>
          <w:lang w:val="fr-FR"/>
        </w:rPr>
        <w:t xml:space="preserve"> intervention auprès des familles des jeunes en exécution des mesures éducatives de tutelle</w:t>
      </w:r>
      <w:r w:rsidR="006717A5" w:rsidRPr="00494098">
        <w:rPr>
          <w:lang w:val="fr-FR"/>
        </w:rPr>
        <w:t> ;</w:t>
      </w:r>
      <w:r w:rsidRPr="00494098">
        <w:rPr>
          <w:lang w:val="fr-FR"/>
        </w:rPr>
        <w:t xml:space="preserve"> programme pour la prévention du suicide</w:t>
      </w:r>
      <w:r w:rsidR="006717A5" w:rsidRPr="00494098">
        <w:rPr>
          <w:lang w:val="fr-FR"/>
        </w:rPr>
        <w:t> ;</w:t>
      </w:r>
      <w:r w:rsidRPr="00494098">
        <w:rPr>
          <w:lang w:val="fr-FR"/>
        </w:rPr>
        <w:t xml:space="preserve"> programmes spéciaux destinés aux jeunes délinquants violents</w:t>
      </w:r>
      <w:r w:rsidR="006717A5" w:rsidRPr="00494098">
        <w:rPr>
          <w:lang w:val="fr-FR"/>
        </w:rPr>
        <w:t> ;</w:t>
      </w:r>
      <w:r w:rsidRPr="00494098">
        <w:rPr>
          <w:lang w:val="fr-FR"/>
        </w:rPr>
        <w:t xml:space="preserve"> programmes spéciaux destinés aux jeunes délinquants sexuels.</w:t>
      </w:r>
    </w:p>
    <w:p w14:paraId="5B9772AC" w14:textId="77777777" w:rsidR="00077B75" w:rsidRPr="00494098" w:rsidRDefault="00077B75" w:rsidP="00480570">
      <w:pPr>
        <w:pStyle w:val="SingleTxtG"/>
        <w:rPr>
          <w:lang w:val="fr-FR"/>
        </w:rPr>
      </w:pPr>
      <w:r w:rsidRPr="00494098">
        <w:rPr>
          <w:lang w:val="fr-FR"/>
        </w:rPr>
        <w:t>282.</w:t>
      </w:r>
      <w:r w:rsidRPr="00494098">
        <w:rPr>
          <w:lang w:val="fr-FR"/>
        </w:rPr>
        <w:tab/>
        <w:t xml:space="preserve">La formation est un outil essentiel pour l’amélioration de la qualité </w:t>
      </w:r>
      <w:r w:rsidR="00D3715E" w:rsidRPr="00494098">
        <w:rPr>
          <w:lang w:val="fr-FR"/>
        </w:rPr>
        <w:t xml:space="preserve">du travail </w:t>
      </w:r>
      <w:r w:rsidRPr="00494098">
        <w:rPr>
          <w:lang w:val="fr-FR"/>
        </w:rPr>
        <w:t xml:space="preserve">des acteurs de la détection et de la répression. La formation initiale et les cours de promotion dispensés dans les écoles de police comprennent une formation aux droits de l’homme, au multiculturalisme, l’interdiction des pratiques discriminatoires et la résolution non violente des conflits, l’utilisation des moyens de coercition ou des droits attachés à la citoyenneté. </w:t>
      </w:r>
    </w:p>
    <w:p w14:paraId="5C17121D" w14:textId="77777777" w:rsidR="00077B75" w:rsidRPr="00494098" w:rsidRDefault="00077B75" w:rsidP="00480570">
      <w:pPr>
        <w:pStyle w:val="SingleTxtG"/>
        <w:rPr>
          <w:lang w:val="fr-FR"/>
        </w:rPr>
      </w:pPr>
      <w:r w:rsidRPr="00494098">
        <w:rPr>
          <w:lang w:val="fr-FR"/>
        </w:rPr>
        <w:t>283.</w:t>
      </w:r>
      <w:r w:rsidRPr="00494098">
        <w:rPr>
          <w:lang w:val="fr-FR"/>
        </w:rPr>
        <w:tab/>
        <w:t>Le référentiel «</w:t>
      </w:r>
      <w:r w:rsidR="00B6558C" w:rsidRPr="00494098">
        <w:rPr>
          <w:lang w:val="fr-FR"/>
        </w:rPr>
        <w:t> Une vision commune de l’enfant </w:t>
      </w:r>
      <w:r w:rsidRPr="00494098">
        <w:rPr>
          <w:lang w:val="fr-FR"/>
        </w:rPr>
        <w:t>» est utilisé lors des sessions de formation et un nouveau programme de formation pour les policiers t</w:t>
      </w:r>
      <w:r w:rsidR="008204DC" w:rsidRPr="00494098">
        <w:rPr>
          <w:lang w:val="fr-FR"/>
        </w:rPr>
        <w:t>ravaillant dans le cadre du p</w:t>
      </w:r>
      <w:r w:rsidR="00C01DE6" w:rsidRPr="00494098">
        <w:rPr>
          <w:lang w:val="fr-FR"/>
        </w:rPr>
        <w:t>rogramme « </w:t>
      </w:r>
      <w:r w:rsidR="008204DC" w:rsidRPr="00494098">
        <w:rPr>
          <w:lang w:val="fr-FR"/>
        </w:rPr>
        <w:t>S</w:t>
      </w:r>
      <w:r w:rsidRPr="00494098">
        <w:rPr>
          <w:lang w:val="fr-FR"/>
        </w:rPr>
        <w:t>écurité dans les écoles</w:t>
      </w:r>
      <w:r w:rsidR="00C01DE6" w:rsidRPr="00494098">
        <w:rPr>
          <w:lang w:val="fr-FR"/>
        </w:rPr>
        <w:t> </w:t>
      </w:r>
      <w:r w:rsidRPr="00494098">
        <w:rPr>
          <w:lang w:val="fr-FR"/>
        </w:rPr>
        <w:t xml:space="preserve">» a été </w:t>
      </w:r>
      <w:r w:rsidR="008204DC" w:rsidRPr="00494098">
        <w:rPr>
          <w:lang w:val="fr-FR"/>
        </w:rPr>
        <w:t xml:space="preserve">mis sur pied </w:t>
      </w:r>
      <w:r w:rsidRPr="00494098">
        <w:rPr>
          <w:lang w:val="fr-FR"/>
        </w:rPr>
        <w:t xml:space="preserve">et est en cours de mise en </w:t>
      </w:r>
      <w:r w:rsidR="00D264B0" w:rsidRPr="00494098">
        <w:rPr>
          <w:lang w:val="fr-FR"/>
        </w:rPr>
        <w:t>œuvr</w:t>
      </w:r>
      <w:r w:rsidR="00D3715E" w:rsidRPr="00494098">
        <w:rPr>
          <w:lang w:val="fr-FR"/>
        </w:rPr>
        <w:t>e (50 </w:t>
      </w:r>
      <w:r w:rsidRPr="00494098">
        <w:rPr>
          <w:lang w:val="fr-FR"/>
        </w:rPr>
        <w:t>agents sur 350 ont été formés).</w:t>
      </w:r>
    </w:p>
    <w:p w14:paraId="7C1ED65F" w14:textId="77777777" w:rsidR="00077B75" w:rsidRPr="00494098" w:rsidRDefault="00077B75" w:rsidP="00480570">
      <w:pPr>
        <w:pStyle w:val="SingleTxtG"/>
        <w:rPr>
          <w:lang w:val="fr-FR"/>
        </w:rPr>
      </w:pPr>
      <w:r w:rsidRPr="00494098">
        <w:rPr>
          <w:lang w:val="fr-FR"/>
        </w:rPr>
        <w:t>284.</w:t>
      </w:r>
      <w:r w:rsidRPr="00494098">
        <w:rPr>
          <w:lang w:val="fr-FR"/>
        </w:rPr>
        <w:tab/>
        <w:t>Le Ministère de la justice est en train de mener une étude sur l’interdiction et la suppression de la pratique de la mise à l’isolement.</w:t>
      </w:r>
    </w:p>
    <w:p w14:paraId="4612F3AC" w14:textId="52ADCAD9" w:rsidR="00077B75" w:rsidRPr="00494098" w:rsidRDefault="00491E89" w:rsidP="001770A1">
      <w:pPr>
        <w:pStyle w:val="H1G"/>
        <w:rPr>
          <w:lang w:val="fr-FR"/>
        </w:rPr>
      </w:pPr>
      <w:r w:rsidRPr="00494098">
        <w:rPr>
          <w:lang w:val="fr-FR"/>
        </w:rPr>
        <w:tab/>
      </w:r>
      <w:r w:rsidR="00077B75" w:rsidRPr="00494098">
        <w:rPr>
          <w:lang w:val="fr-FR"/>
        </w:rPr>
        <w:t>H.</w:t>
      </w:r>
      <w:r w:rsidR="00077B75" w:rsidRPr="00494098">
        <w:rPr>
          <w:lang w:val="fr-FR"/>
        </w:rPr>
        <w:tab/>
        <w:t>Ratification des instruments internationaux relatifs aux droits de l’homme (par</w:t>
      </w:r>
      <w:r w:rsidR="00D3715E" w:rsidRPr="00494098">
        <w:rPr>
          <w:lang w:val="fr-FR"/>
        </w:rPr>
        <w:t>.</w:t>
      </w:r>
      <w:r w:rsidR="00077B75" w:rsidRPr="00494098">
        <w:rPr>
          <w:lang w:val="fr-FR"/>
        </w:rPr>
        <w:t xml:space="preserve"> 67 </w:t>
      </w:r>
      <w:r w:rsidR="00872592" w:rsidRPr="00494098">
        <w:rPr>
          <w:lang w:val="fr-FR"/>
        </w:rPr>
        <w:t xml:space="preserve">des </w:t>
      </w:r>
      <w:r w:rsidR="00B45139">
        <w:rPr>
          <w:lang w:val="fr-FR"/>
        </w:rPr>
        <w:t>o</w:t>
      </w:r>
      <w:r w:rsidR="00916D99" w:rsidRPr="00494098">
        <w:rPr>
          <w:lang w:val="fr-FR"/>
        </w:rPr>
        <w:t>bservations finales</w:t>
      </w:r>
      <w:r w:rsidR="00872592" w:rsidRPr="00494098">
        <w:rPr>
          <w:lang w:val="fr-FR"/>
        </w:rPr>
        <w:t>)</w:t>
      </w:r>
      <w:bookmarkStart w:id="190" w:name="_Toc530057314"/>
      <w:bookmarkStart w:id="191" w:name="_Toc530057541"/>
      <w:bookmarkStart w:id="192" w:name="_Toc530057628"/>
      <w:bookmarkStart w:id="193" w:name="_Toc530068009"/>
      <w:bookmarkEnd w:id="190"/>
      <w:bookmarkEnd w:id="191"/>
      <w:bookmarkEnd w:id="192"/>
      <w:bookmarkEnd w:id="193"/>
    </w:p>
    <w:p w14:paraId="601ADC62" w14:textId="77777777" w:rsidR="00077B75" w:rsidRPr="00494098" w:rsidRDefault="00077B75" w:rsidP="00480570">
      <w:pPr>
        <w:pStyle w:val="SingleTxtG"/>
        <w:rPr>
          <w:lang w:val="fr-FR"/>
        </w:rPr>
      </w:pPr>
      <w:r w:rsidRPr="00494098">
        <w:rPr>
          <w:lang w:val="fr-FR"/>
        </w:rPr>
        <w:t>285.</w:t>
      </w:r>
      <w:r w:rsidRPr="00494098">
        <w:rPr>
          <w:lang w:val="fr-FR"/>
        </w:rPr>
        <w:tab/>
      </w:r>
      <w:r w:rsidR="008204DC" w:rsidRPr="00494098">
        <w:rPr>
          <w:lang w:val="fr-FR"/>
        </w:rPr>
        <w:t xml:space="preserve">Le </w:t>
      </w:r>
      <w:r w:rsidRPr="00494098">
        <w:rPr>
          <w:lang w:val="fr-FR"/>
        </w:rPr>
        <w:t xml:space="preserve">Portugal n’envisage pas de ratifier cette Convention car elle entre pour partie dans le champ des compétences de l’Union européenne. La norme nationale de protection accordée aux migrants et à leurs familles va au-delà des normes qui </w:t>
      </w:r>
      <w:r w:rsidR="008204DC" w:rsidRPr="00494098">
        <w:rPr>
          <w:lang w:val="fr-FR"/>
        </w:rPr>
        <w:t>s’</w:t>
      </w:r>
      <w:r w:rsidRPr="00494098">
        <w:rPr>
          <w:lang w:val="fr-FR"/>
        </w:rPr>
        <w:t xml:space="preserve">y </w:t>
      </w:r>
      <w:r w:rsidR="008204DC" w:rsidRPr="00494098">
        <w:rPr>
          <w:lang w:val="fr-FR"/>
        </w:rPr>
        <w:t xml:space="preserve">trouvent </w:t>
      </w:r>
      <w:r w:rsidRPr="00494098">
        <w:rPr>
          <w:lang w:val="fr-FR"/>
        </w:rPr>
        <w:t>énoncées.</w:t>
      </w:r>
    </w:p>
    <w:p w14:paraId="01857FB6" w14:textId="291C4AC4" w:rsidR="00077B75" w:rsidRPr="00494098" w:rsidRDefault="00491E89" w:rsidP="001770A1">
      <w:pPr>
        <w:pStyle w:val="H1G"/>
        <w:rPr>
          <w:lang w:val="fr-FR"/>
        </w:rPr>
      </w:pPr>
      <w:r w:rsidRPr="00494098">
        <w:rPr>
          <w:lang w:val="fr-FR"/>
        </w:rPr>
        <w:tab/>
      </w:r>
      <w:r w:rsidR="00077B75" w:rsidRPr="00494098">
        <w:rPr>
          <w:lang w:val="fr-FR"/>
        </w:rPr>
        <w:t>I.</w:t>
      </w:r>
      <w:r w:rsidR="00077B75" w:rsidRPr="00494098">
        <w:rPr>
          <w:lang w:val="fr-FR"/>
        </w:rPr>
        <w:tab/>
        <w:t>Coopération avec les organismes régionaux et internationaux (par</w:t>
      </w:r>
      <w:r w:rsidR="001F3300" w:rsidRPr="00494098">
        <w:rPr>
          <w:lang w:val="fr-FR"/>
        </w:rPr>
        <w:t>.</w:t>
      </w:r>
      <w:r w:rsidR="00077B75" w:rsidRPr="00494098">
        <w:rPr>
          <w:lang w:val="fr-FR"/>
        </w:rPr>
        <w:t xml:space="preserve"> 68 </w:t>
      </w:r>
      <w:r w:rsidR="00872592" w:rsidRPr="00494098">
        <w:rPr>
          <w:lang w:val="fr-FR"/>
        </w:rPr>
        <w:t xml:space="preserve">des </w:t>
      </w:r>
      <w:r w:rsidR="00B45139">
        <w:rPr>
          <w:lang w:val="fr-FR"/>
        </w:rPr>
        <w:t>o</w:t>
      </w:r>
      <w:r w:rsidR="00916D99" w:rsidRPr="00494098">
        <w:rPr>
          <w:lang w:val="fr-FR"/>
        </w:rPr>
        <w:t>bservations finales</w:t>
      </w:r>
      <w:r w:rsidR="00872592" w:rsidRPr="00494098">
        <w:rPr>
          <w:lang w:val="fr-FR"/>
        </w:rPr>
        <w:t>)</w:t>
      </w:r>
      <w:bookmarkStart w:id="194" w:name="_Toc530057315"/>
      <w:bookmarkStart w:id="195" w:name="_Toc530057542"/>
      <w:bookmarkStart w:id="196" w:name="_Toc530057629"/>
      <w:bookmarkStart w:id="197" w:name="_Toc530068010"/>
      <w:bookmarkEnd w:id="194"/>
      <w:bookmarkEnd w:id="195"/>
      <w:bookmarkEnd w:id="196"/>
      <w:bookmarkEnd w:id="197"/>
    </w:p>
    <w:p w14:paraId="79811000" w14:textId="77777777" w:rsidR="00077B75" w:rsidRPr="00494098" w:rsidRDefault="00077B75" w:rsidP="00480570">
      <w:pPr>
        <w:pStyle w:val="SingleTxtG"/>
        <w:rPr>
          <w:lang w:val="fr-FR"/>
        </w:rPr>
      </w:pPr>
      <w:r w:rsidRPr="00494098">
        <w:rPr>
          <w:lang w:val="fr-FR"/>
        </w:rPr>
        <w:t>286.</w:t>
      </w:r>
      <w:r w:rsidRPr="00494098">
        <w:rPr>
          <w:lang w:val="fr-FR"/>
        </w:rPr>
        <w:tab/>
      </w:r>
      <w:r w:rsidR="00D3715E" w:rsidRPr="00494098">
        <w:rPr>
          <w:lang w:val="fr-FR"/>
        </w:rPr>
        <w:t xml:space="preserve">Le </w:t>
      </w:r>
      <w:r w:rsidRPr="00494098">
        <w:rPr>
          <w:lang w:val="fr-FR"/>
        </w:rPr>
        <w:t>Portugal coopère régulièrement avec le Conseil de l’Europe dans le domaine des droits de l’enfant.</w:t>
      </w:r>
    </w:p>
    <w:p w14:paraId="674FDA9E" w14:textId="77777777" w:rsidR="00077B75" w:rsidRPr="00494098" w:rsidRDefault="00077B75" w:rsidP="00480570">
      <w:pPr>
        <w:pStyle w:val="SingleTxtG"/>
        <w:rPr>
          <w:lang w:val="fr-FR"/>
        </w:rPr>
      </w:pPr>
      <w:r w:rsidRPr="00494098">
        <w:rPr>
          <w:lang w:val="fr-FR"/>
        </w:rPr>
        <w:t>287.</w:t>
      </w:r>
      <w:r w:rsidRPr="00494098">
        <w:rPr>
          <w:lang w:val="fr-FR"/>
        </w:rPr>
        <w:tab/>
        <w:t>La participation aux travaux du Comité ad hoc pour les droits de l'enfant et aux Comités des Conventions de Lanzarote, d'Istanbul et sur la cybercriminalité revêt une importance particulière et a des effets mesurables et positifs sur les politiques concernant les enfants.</w:t>
      </w:r>
    </w:p>
    <w:p w14:paraId="7D82C61F" w14:textId="77777777" w:rsidR="00077B75" w:rsidRPr="00494098" w:rsidRDefault="00077B75" w:rsidP="00AE4BF5">
      <w:pPr>
        <w:pStyle w:val="SingleTxtG"/>
        <w:rPr>
          <w:lang w:val="fr-FR"/>
        </w:rPr>
      </w:pPr>
      <w:r w:rsidRPr="00494098">
        <w:rPr>
          <w:lang w:val="fr-FR"/>
        </w:rPr>
        <w:t>288.</w:t>
      </w:r>
      <w:r w:rsidRPr="00494098">
        <w:rPr>
          <w:lang w:val="fr-FR"/>
        </w:rPr>
        <w:tab/>
        <w:t xml:space="preserve">Dans le même ordre d’idées, le Portugal a également contribué à la </w:t>
      </w:r>
      <w:r w:rsidRPr="00494098">
        <w:rPr>
          <w:i/>
          <w:lang w:val="fr-FR"/>
        </w:rPr>
        <w:t>Stratégie du Conseil de l’Europe pour les droits de l’enfant, 2016–2021</w:t>
      </w:r>
      <w:r w:rsidRPr="00494098">
        <w:rPr>
          <w:lang w:val="fr-FR"/>
        </w:rPr>
        <w:t xml:space="preserve">. </w:t>
      </w:r>
    </w:p>
    <w:p w14:paraId="1CF79497" w14:textId="19973601" w:rsidR="00077B75" w:rsidRPr="00494098" w:rsidRDefault="00077B75" w:rsidP="00E10085">
      <w:pPr>
        <w:pStyle w:val="HChG"/>
        <w:rPr>
          <w:lang w:val="fr-FR"/>
        </w:rPr>
      </w:pPr>
      <w:r w:rsidRPr="00494098">
        <w:rPr>
          <w:lang w:val="fr-FR"/>
        </w:rPr>
        <w:tab/>
      </w:r>
      <w:r w:rsidRPr="00494098">
        <w:rPr>
          <w:lang w:val="fr-FR"/>
        </w:rPr>
        <w:tab/>
      </w:r>
      <w:r w:rsidRPr="00494098">
        <w:rPr>
          <w:bCs/>
          <w:lang w:val="fr-FR"/>
        </w:rPr>
        <w:t xml:space="preserve">Chapitre II - </w:t>
      </w:r>
      <w:r w:rsidR="00B45139">
        <w:rPr>
          <w:bCs/>
          <w:lang w:val="fr-FR"/>
        </w:rPr>
        <w:t xml:space="preserve">Suite donnée aux </w:t>
      </w:r>
      <w:r w:rsidRPr="00494098">
        <w:rPr>
          <w:bCs/>
          <w:lang w:val="fr-FR"/>
        </w:rPr>
        <w:t xml:space="preserve"> recommandations </w:t>
      </w:r>
      <w:r w:rsidR="00B45139">
        <w:rPr>
          <w:bCs/>
          <w:lang w:val="fr-FR"/>
        </w:rPr>
        <w:t xml:space="preserve">relatives au </w:t>
      </w:r>
      <w:r w:rsidRPr="00494098">
        <w:rPr>
          <w:bCs/>
          <w:lang w:val="fr-FR"/>
        </w:rPr>
        <w:t xml:space="preserve"> Protocole facultatif à la Convention relative aux droits de l’enfant, concernant l’implication d’enfants dans les conflits armés</w:t>
      </w:r>
      <w:bookmarkStart w:id="198" w:name="_Toc530057316"/>
      <w:bookmarkStart w:id="199" w:name="_Toc530057543"/>
      <w:bookmarkStart w:id="200" w:name="_Toc530057630"/>
      <w:bookmarkStart w:id="201" w:name="_Toc530068011"/>
      <w:bookmarkEnd w:id="198"/>
      <w:bookmarkEnd w:id="199"/>
      <w:bookmarkEnd w:id="200"/>
      <w:bookmarkEnd w:id="201"/>
    </w:p>
    <w:p w14:paraId="610C2C1C" w14:textId="5C94762F" w:rsidR="00077B75" w:rsidRPr="00494098" w:rsidRDefault="00491E89" w:rsidP="00E10085">
      <w:pPr>
        <w:pStyle w:val="H1G"/>
        <w:rPr>
          <w:lang w:val="fr-FR"/>
        </w:rPr>
      </w:pPr>
      <w:r w:rsidRPr="00494098">
        <w:rPr>
          <w:lang w:val="fr-FR"/>
        </w:rPr>
        <w:tab/>
      </w:r>
      <w:r w:rsidR="00077B75" w:rsidRPr="00494098">
        <w:rPr>
          <w:lang w:val="fr-FR"/>
        </w:rPr>
        <w:t>A.</w:t>
      </w:r>
      <w:r w:rsidR="00077B75" w:rsidRPr="00494098">
        <w:rPr>
          <w:lang w:val="fr-FR"/>
        </w:rPr>
        <w:tab/>
      </w:r>
      <w:r w:rsidR="00077B75" w:rsidRPr="00494098">
        <w:rPr>
          <w:bCs/>
          <w:lang w:val="fr-FR"/>
        </w:rPr>
        <w:t>Mesures d'application générale</w:t>
      </w:r>
      <w:bookmarkStart w:id="202" w:name="_Toc530057317"/>
      <w:bookmarkStart w:id="203" w:name="_Toc530057544"/>
      <w:bookmarkStart w:id="204" w:name="_Toc530057631"/>
      <w:bookmarkStart w:id="205" w:name="_Toc530068012"/>
      <w:bookmarkEnd w:id="202"/>
      <w:bookmarkEnd w:id="203"/>
      <w:bookmarkEnd w:id="204"/>
      <w:bookmarkEnd w:id="205"/>
      <w:r w:rsidR="006A544D">
        <w:rPr>
          <w:bCs/>
          <w:lang w:val="fr-FR"/>
        </w:rPr>
        <w:t>s</w:t>
      </w:r>
    </w:p>
    <w:p w14:paraId="2B052469" w14:textId="58FF8387" w:rsidR="00077B75" w:rsidRPr="00494098" w:rsidRDefault="00077B75" w:rsidP="00E10085">
      <w:pPr>
        <w:pStyle w:val="H23G"/>
        <w:rPr>
          <w:lang w:val="fr-FR"/>
        </w:rPr>
      </w:pPr>
      <w:r w:rsidRPr="00494098">
        <w:rPr>
          <w:lang w:val="fr-FR"/>
        </w:rPr>
        <w:tab/>
      </w:r>
      <w:r w:rsidRPr="00494098">
        <w:rPr>
          <w:lang w:val="fr-FR"/>
        </w:rPr>
        <w:tab/>
        <w:t>Coordination (par</w:t>
      </w:r>
      <w:r w:rsidR="0073658D" w:rsidRPr="00494098">
        <w:rPr>
          <w:lang w:val="fr-FR"/>
        </w:rPr>
        <w:t>.</w:t>
      </w:r>
      <w:r w:rsidRPr="00494098">
        <w:rPr>
          <w:lang w:val="fr-FR"/>
        </w:rPr>
        <w:t xml:space="preserve"> 7 des </w:t>
      </w:r>
      <w:r w:rsidR="006A544D">
        <w:rPr>
          <w:lang w:val="fr-FR"/>
        </w:rPr>
        <w:t>o</w:t>
      </w:r>
      <w:r w:rsidR="00916D99" w:rsidRPr="00494098">
        <w:rPr>
          <w:lang w:val="fr-FR"/>
        </w:rPr>
        <w:t>bservations finales - CRC/C/OPAC/PRT/CO/1</w:t>
      </w:r>
      <w:r w:rsidRPr="00494098">
        <w:rPr>
          <w:lang w:val="fr-FR"/>
        </w:rPr>
        <w:t>)</w:t>
      </w:r>
      <w:bookmarkStart w:id="206" w:name="_Toc530057318"/>
      <w:bookmarkStart w:id="207" w:name="_Toc530057545"/>
      <w:bookmarkStart w:id="208" w:name="_Toc530057632"/>
      <w:bookmarkStart w:id="209" w:name="_Toc530068013"/>
      <w:bookmarkEnd w:id="206"/>
      <w:bookmarkEnd w:id="207"/>
      <w:bookmarkEnd w:id="208"/>
      <w:bookmarkEnd w:id="209"/>
    </w:p>
    <w:p w14:paraId="7F529BBE" w14:textId="77777777" w:rsidR="00077B75" w:rsidRPr="00494098" w:rsidRDefault="00077B75" w:rsidP="00480570">
      <w:pPr>
        <w:pStyle w:val="SingleTxtG"/>
        <w:rPr>
          <w:lang w:val="fr-FR"/>
        </w:rPr>
      </w:pPr>
      <w:r w:rsidRPr="00494098">
        <w:rPr>
          <w:lang w:val="fr-FR"/>
        </w:rPr>
        <w:t>289.</w:t>
      </w:r>
      <w:r w:rsidRPr="00494098">
        <w:rPr>
          <w:lang w:val="fr-FR"/>
        </w:rPr>
        <w:tab/>
        <w:t xml:space="preserve">Le Ministère de la défense nationale </w:t>
      </w:r>
      <w:r w:rsidR="008204DC" w:rsidRPr="00494098">
        <w:rPr>
          <w:lang w:val="fr-FR"/>
        </w:rPr>
        <w:t xml:space="preserve">a entrepris </w:t>
      </w:r>
      <w:r w:rsidRPr="00494098">
        <w:rPr>
          <w:lang w:val="fr-FR"/>
        </w:rPr>
        <w:t>une profonde réforme de ses cadres éducatifs spécifiques, l’objectif ultime étant de</w:t>
      </w:r>
      <w:r w:rsidR="009037C4" w:rsidRPr="00494098">
        <w:rPr>
          <w:lang w:val="fr-FR"/>
        </w:rPr>
        <w:t xml:space="preserve"> </w:t>
      </w:r>
      <w:r w:rsidRPr="00494098">
        <w:rPr>
          <w:lang w:val="fr-FR"/>
        </w:rPr>
        <w:t>sensibiliser davantage les élèves des établissements d’enseignement militaire (élémentaires et supérieurs) aux défis complexes des droits de l’homme — y compris en ce qui concerne les droits des enfants dans les conflits armés — mais aussi de donner aux militaires portugais les compétences nécessaires pour s’acquitter de leurs missions sur le terrain.</w:t>
      </w:r>
    </w:p>
    <w:p w14:paraId="1F2DD2CB" w14:textId="77777777" w:rsidR="00077B75" w:rsidRPr="00494098" w:rsidRDefault="00077B75" w:rsidP="00480570">
      <w:pPr>
        <w:pStyle w:val="SingleTxtG"/>
        <w:rPr>
          <w:lang w:val="fr-FR"/>
        </w:rPr>
      </w:pPr>
      <w:r w:rsidRPr="00494098">
        <w:rPr>
          <w:lang w:val="fr-FR"/>
        </w:rPr>
        <w:t>290.</w:t>
      </w:r>
      <w:r w:rsidRPr="00494098">
        <w:rPr>
          <w:lang w:val="fr-FR"/>
        </w:rPr>
        <w:tab/>
      </w:r>
      <w:r w:rsidR="001F3300" w:rsidRPr="00494098">
        <w:rPr>
          <w:lang w:val="fr-FR"/>
        </w:rPr>
        <w:t>Par l’intermédiaire de ses établissements d’enseignement, l</w:t>
      </w:r>
      <w:r w:rsidRPr="00494098">
        <w:rPr>
          <w:lang w:val="fr-FR"/>
        </w:rPr>
        <w:t>e Ministère de la défense a affecté</w:t>
      </w:r>
      <w:r w:rsidR="009037C4" w:rsidRPr="00494098">
        <w:rPr>
          <w:lang w:val="fr-FR"/>
        </w:rPr>
        <w:t xml:space="preserve"> l</w:t>
      </w:r>
      <w:r w:rsidRPr="00494098">
        <w:rPr>
          <w:lang w:val="fr-FR"/>
        </w:rPr>
        <w:t>es ressources financières et humaines et pédagogiques</w:t>
      </w:r>
      <w:r w:rsidR="009037C4" w:rsidRPr="00494098">
        <w:rPr>
          <w:lang w:val="fr-FR"/>
        </w:rPr>
        <w:t xml:space="preserve"> </w:t>
      </w:r>
      <w:r w:rsidR="008204DC" w:rsidRPr="00494098">
        <w:rPr>
          <w:lang w:val="fr-FR"/>
        </w:rPr>
        <w:t xml:space="preserve">nécessaires à ce que </w:t>
      </w:r>
      <w:r w:rsidRPr="00494098">
        <w:rPr>
          <w:lang w:val="fr-FR"/>
        </w:rPr>
        <w:t>les contenus pédagogiques actuellement à l’examen puissent intégrer les différents projets pédagogiques au cours de l’année scolaire 2018/2019.</w:t>
      </w:r>
    </w:p>
    <w:p w14:paraId="3BFC7882" w14:textId="77777777" w:rsidR="00077B75" w:rsidRPr="00494098" w:rsidRDefault="00077B75" w:rsidP="00480570">
      <w:pPr>
        <w:pStyle w:val="SingleTxtG"/>
        <w:rPr>
          <w:lang w:val="fr-FR"/>
        </w:rPr>
      </w:pPr>
      <w:r w:rsidRPr="00494098">
        <w:rPr>
          <w:lang w:val="fr-FR"/>
        </w:rPr>
        <w:t>291.</w:t>
      </w:r>
      <w:r w:rsidRPr="00494098">
        <w:rPr>
          <w:lang w:val="fr-FR"/>
        </w:rPr>
        <w:tab/>
        <w:t xml:space="preserve">En outre, </w:t>
      </w:r>
      <w:r w:rsidR="009037C4" w:rsidRPr="00494098">
        <w:rPr>
          <w:lang w:val="fr-FR"/>
        </w:rPr>
        <w:t>de par</w:t>
      </w:r>
      <w:r w:rsidR="001F3300" w:rsidRPr="00494098">
        <w:rPr>
          <w:lang w:val="fr-FR"/>
        </w:rPr>
        <w:t xml:space="preserve"> sa participation à la Société i</w:t>
      </w:r>
      <w:r w:rsidR="009037C4" w:rsidRPr="00494098">
        <w:rPr>
          <w:lang w:val="fr-FR"/>
        </w:rPr>
        <w:t xml:space="preserve">nternationale de droit militaire et de droit de la guerre, </w:t>
      </w:r>
      <w:r w:rsidRPr="00494098">
        <w:rPr>
          <w:lang w:val="fr-FR"/>
        </w:rPr>
        <w:t>le Ministère participe au développement de la doctrine de protection des enfants dans les conflits armés.</w:t>
      </w:r>
    </w:p>
    <w:p w14:paraId="5FA7E6FF" w14:textId="2134E6A1" w:rsidR="00077B75" w:rsidRPr="00494098" w:rsidRDefault="00077B75" w:rsidP="00F60ADE">
      <w:pPr>
        <w:pStyle w:val="H23G"/>
        <w:rPr>
          <w:lang w:val="fr-FR"/>
        </w:rPr>
      </w:pPr>
      <w:r w:rsidRPr="00494098">
        <w:rPr>
          <w:lang w:val="fr-FR"/>
        </w:rPr>
        <w:tab/>
      </w:r>
      <w:r w:rsidRPr="00494098">
        <w:rPr>
          <w:lang w:val="fr-FR"/>
        </w:rPr>
        <w:tab/>
        <w:t>Diffusion et sensibilisation (par</w:t>
      </w:r>
      <w:r w:rsidR="009037C4" w:rsidRPr="00494098">
        <w:rPr>
          <w:lang w:val="fr-FR"/>
        </w:rPr>
        <w:t>.</w:t>
      </w:r>
      <w:r w:rsidRPr="00494098">
        <w:rPr>
          <w:lang w:val="fr-FR"/>
        </w:rPr>
        <w:t xml:space="preserve"> 9 des </w:t>
      </w:r>
      <w:r w:rsidR="0095673B">
        <w:rPr>
          <w:lang w:val="fr-FR"/>
        </w:rPr>
        <w:t>o</w:t>
      </w:r>
      <w:r w:rsidR="00916D99" w:rsidRPr="00494098">
        <w:rPr>
          <w:lang w:val="fr-FR"/>
        </w:rPr>
        <w:t>bservations finales</w:t>
      </w:r>
      <w:r w:rsidRPr="00494098">
        <w:rPr>
          <w:lang w:val="fr-FR"/>
        </w:rPr>
        <w:t>)</w:t>
      </w:r>
      <w:bookmarkStart w:id="210" w:name="_Toc530057319"/>
      <w:bookmarkStart w:id="211" w:name="_Toc530057546"/>
      <w:bookmarkStart w:id="212" w:name="_Toc530057633"/>
      <w:bookmarkStart w:id="213" w:name="_Toc530068014"/>
      <w:bookmarkEnd w:id="210"/>
      <w:bookmarkEnd w:id="211"/>
      <w:bookmarkEnd w:id="212"/>
      <w:bookmarkEnd w:id="213"/>
    </w:p>
    <w:p w14:paraId="4755A153" w14:textId="77777777" w:rsidR="00077B75" w:rsidRPr="00494098" w:rsidRDefault="00077B75" w:rsidP="00480570">
      <w:pPr>
        <w:pStyle w:val="SingleTxtG"/>
        <w:rPr>
          <w:lang w:val="fr-FR"/>
        </w:rPr>
      </w:pPr>
      <w:r w:rsidRPr="00494098">
        <w:rPr>
          <w:lang w:val="fr-FR"/>
        </w:rPr>
        <w:t>292.</w:t>
      </w:r>
      <w:r w:rsidRPr="00494098">
        <w:rPr>
          <w:lang w:val="fr-FR"/>
        </w:rPr>
        <w:tab/>
        <w:t xml:space="preserve">Le Ministère </w:t>
      </w:r>
      <w:r w:rsidR="00C74F3A" w:rsidRPr="00494098">
        <w:rPr>
          <w:lang w:val="fr-FR"/>
        </w:rPr>
        <w:t xml:space="preserve">de la défense </w:t>
      </w:r>
      <w:r w:rsidRPr="00494098">
        <w:rPr>
          <w:lang w:val="fr-FR"/>
        </w:rPr>
        <w:t>est en train d'élaborer un nouveau cadre d’enseignement (voir la réponse ci-dessus) qui sera utilisé dans toutes les écoles nationales, en vue de son intégration dans le plan pédagogique pour le domaine de la citoyenneté. Cela permettra une diffusion à grande échelle, non seulement auprès des enfants d’âge scolaire mais aussi dans la communauté militaire.</w:t>
      </w:r>
    </w:p>
    <w:p w14:paraId="3B1ABB14" w14:textId="2A7FE3CA" w:rsidR="00077B75" w:rsidRPr="00494098" w:rsidRDefault="00077B75" w:rsidP="00F60ADE">
      <w:pPr>
        <w:pStyle w:val="H23G"/>
        <w:rPr>
          <w:lang w:val="fr-FR"/>
        </w:rPr>
      </w:pPr>
      <w:r w:rsidRPr="00494098">
        <w:rPr>
          <w:lang w:val="fr-FR"/>
        </w:rPr>
        <w:tab/>
      </w:r>
      <w:r w:rsidRPr="00494098">
        <w:rPr>
          <w:lang w:val="fr-FR"/>
        </w:rPr>
        <w:tab/>
        <w:t>Formation (</w:t>
      </w:r>
      <w:r w:rsidR="00872592" w:rsidRPr="00494098">
        <w:rPr>
          <w:lang w:val="fr-FR"/>
        </w:rPr>
        <w:t>par. 1</w:t>
      </w:r>
      <w:r w:rsidRPr="00494098">
        <w:rPr>
          <w:lang w:val="fr-FR"/>
        </w:rPr>
        <w:t xml:space="preserve">1 des </w:t>
      </w:r>
      <w:r w:rsidR="0095673B">
        <w:rPr>
          <w:lang w:val="fr-FR"/>
        </w:rPr>
        <w:t>o</w:t>
      </w:r>
      <w:r w:rsidR="00916D99" w:rsidRPr="00494098">
        <w:rPr>
          <w:lang w:val="fr-FR"/>
        </w:rPr>
        <w:t>bservations finales</w:t>
      </w:r>
      <w:r w:rsidRPr="00494098">
        <w:rPr>
          <w:lang w:val="fr-FR"/>
        </w:rPr>
        <w:t>)</w:t>
      </w:r>
      <w:bookmarkStart w:id="214" w:name="_Toc530057320"/>
      <w:bookmarkStart w:id="215" w:name="_Toc530057547"/>
      <w:bookmarkStart w:id="216" w:name="_Toc530057634"/>
      <w:bookmarkStart w:id="217" w:name="_Toc530068015"/>
      <w:bookmarkEnd w:id="214"/>
      <w:bookmarkEnd w:id="215"/>
      <w:bookmarkEnd w:id="216"/>
      <w:bookmarkEnd w:id="217"/>
    </w:p>
    <w:p w14:paraId="0B87C483" w14:textId="77777777" w:rsidR="00077B75" w:rsidRPr="00494098" w:rsidRDefault="00077B75" w:rsidP="00480570">
      <w:pPr>
        <w:pStyle w:val="SingleTxtG"/>
        <w:rPr>
          <w:lang w:val="fr-FR"/>
        </w:rPr>
      </w:pPr>
      <w:r w:rsidRPr="00494098">
        <w:rPr>
          <w:lang w:val="fr-FR"/>
        </w:rPr>
        <w:t>293.</w:t>
      </w:r>
      <w:r w:rsidRPr="00494098">
        <w:rPr>
          <w:lang w:val="fr-FR"/>
        </w:rPr>
        <w:tab/>
        <w:t xml:space="preserve">Le cadre de la formation militaire portugaise, tant initiale et que continue, </w:t>
      </w:r>
      <w:r w:rsidR="001F34DD" w:rsidRPr="00494098">
        <w:rPr>
          <w:lang w:val="fr-FR"/>
        </w:rPr>
        <w:t xml:space="preserve">possède </w:t>
      </w:r>
      <w:r w:rsidRPr="00494098">
        <w:rPr>
          <w:lang w:val="fr-FR"/>
        </w:rPr>
        <w:t xml:space="preserve">une forte composante </w:t>
      </w:r>
      <w:r w:rsidR="001F3300" w:rsidRPr="00494098">
        <w:rPr>
          <w:lang w:val="fr-FR"/>
        </w:rPr>
        <w:t xml:space="preserve">liée aux </w:t>
      </w:r>
      <w:r w:rsidRPr="00494098">
        <w:rPr>
          <w:lang w:val="fr-FR"/>
        </w:rPr>
        <w:t xml:space="preserve">droits de l’homme, </w:t>
      </w:r>
      <w:r w:rsidR="001F3300" w:rsidRPr="00494098">
        <w:rPr>
          <w:lang w:val="fr-FR"/>
        </w:rPr>
        <w:t>au</w:t>
      </w:r>
      <w:r w:rsidRPr="00494098">
        <w:rPr>
          <w:lang w:val="fr-FR"/>
        </w:rPr>
        <w:t xml:space="preserve"> droit international humanitaire, </w:t>
      </w:r>
      <w:r w:rsidR="001F3300" w:rsidRPr="00494098">
        <w:rPr>
          <w:lang w:val="fr-FR"/>
        </w:rPr>
        <w:t>au</w:t>
      </w:r>
      <w:r w:rsidRPr="00494098">
        <w:rPr>
          <w:lang w:val="fr-FR"/>
        </w:rPr>
        <w:t xml:space="preserve"> droit des conflits armés, </w:t>
      </w:r>
      <w:r w:rsidR="001F3300" w:rsidRPr="00494098">
        <w:rPr>
          <w:lang w:val="fr-FR"/>
        </w:rPr>
        <w:t>à l’</w:t>
      </w:r>
      <w:r w:rsidRPr="00494098">
        <w:rPr>
          <w:lang w:val="fr-FR"/>
        </w:rPr>
        <w:t xml:space="preserve">égalité des sexes et </w:t>
      </w:r>
      <w:r w:rsidR="001F3300" w:rsidRPr="00494098">
        <w:rPr>
          <w:lang w:val="fr-FR"/>
        </w:rPr>
        <w:t xml:space="preserve">à la </w:t>
      </w:r>
      <w:r w:rsidRPr="00494098">
        <w:rPr>
          <w:lang w:val="fr-FR"/>
        </w:rPr>
        <w:t xml:space="preserve">lutte contre la violence à l’égard des femmes. Parmi les autres cours, il faut citer le cours d'auditeur de la Défense nationale dispensé par l'institut de la Défense nationale, et le cours de reporter de guerre </w:t>
      </w:r>
      <w:r w:rsidR="001C2042" w:rsidRPr="00494098">
        <w:rPr>
          <w:lang w:val="fr-FR"/>
        </w:rPr>
        <w:t xml:space="preserve">dont se charge </w:t>
      </w:r>
      <w:r w:rsidRPr="00494098">
        <w:rPr>
          <w:lang w:val="fr-FR"/>
        </w:rPr>
        <w:t xml:space="preserve">l’Académie militaire. </w:t>
      </w:r>
    </w:p>
    <w:p w14:paraId="728A8BAF" w14:textId="77777777" w:rsidR="00077B75" w:rsidRPr="00494098" w:rsidRDefault="00077B75" w:rsidP="00480570">
      <w:pPr>
        <w:pStyle w:val="SingleTxtG"/>
        <w:rPr>
          <w:lang w:val="fr-FR"/>
        </w:rPr>
      </w:pPr>
      <w:r w:rsidRPr="00494098">
        <w:rPr>
          <w:lang w:val="fr-FR"/>
        </w:rPr>
        <w:t>294.</w:t>
      </w:r>
      <w:r w:rsidRPr="00494098">
        <w:rPr>
          <w:lang w:val="fr-FR"/>
        </w:rPr>
        <w:tab/>
        <w:t xml:space="preserve">Avec la création du nouveau cadre de formation, ces matières seront mises à la disposition de tous </w:t>
      </w:r>
      <w:r w:rsidR="0001180E" w:rsidRPr="00494098">
        <w:rPr>
          <w:lang w:val="fr-FR"/>
        </w:rPr>
        <w:t xml:space="preserve">les </w:t>
      </w:r>
      <w:r w:rsidRPr="00494098">
        <w:rPr>
          <w:lang w:val="fr-FR"/>
        </w:rPr>
        <w:t>jeune</w:t>
      </w:r>
      <w:r w:rsidR="00926465" w:rsidRPr="00494098">
        <w:rPr>
          <w:lang w:val="fr-FR"/>
        </w:rPr>
        <w:t>s</w:t>
      </w:r>
      <w:r w:rsidRPr="00494098">
        <w:rPr>
          <w:lang w:val="fr-FR"/>
        </w:rPr>
        <w:t xml:space="preserve"> élèves portugais, pour les sensibiliser davantage à ces questions.</w:t>
      </w:r>
    </w:p>
    <w:p w14:paraId="481DBE52" w14:textId="77777777" w:rsidR="00077B75" w:rsidRPr="00494098" w:rsidRDefault="00077B75" w:rsidP="00480570">
      <w:pPr>
        <w:pStyle w:val="SingleTxtG"/>
        <w:rPr>
          <w:lang w:val="fr-FR"/>
        </w:rPr>
      </w:pPr>
      <w:r w:rsidRPr="00494098">
        <w:rPr>
          <w:lang w:val="fr-FR"/>
        </w:rPr>
        <w:t>295.</w:t>
      </w:r>
      <w:r w:rsidRPr="00494098">
        <w:rPr>
          <w:lang w:val="fr-FR"/>
        </w:rPr>
        <w:tab/>
        <w:t xml:space="preserve">Le Portugal a fait des efforts considérables pour étendre et renforcer l’éducation aux droits de l’homme dans les écoles, notamment </w:t>
      </w:r>
      <w:r w:rsidR="00926465" w:rsidRPr="00494098">
        <w:rPr>
          <w:lang w:val="fr-FR"/>
        </w:rPr>
        <w:t>avec</w:t>
      </w:r>
      <w:r w:rsidRPr="00494098">
        <w:rPr>
          <w:lang w:val="fr-FR"/>
        </w:rPr>
        <w:t xml:space="preserve"> la mise en place d’une équipe de formation qui dispense des formations courtes </w:t>
      </w:r>
      <w:r w:rsidR="00325899" w:rsidRPr="00494098">
        <w:rPr>
          <w:lang w:val="fr-FR"/>
        </w:rPr>
        <w:t xml:space="preserve">en milieu scolaire </w:t>
      </w:r>
      <w:r w:rsidRPr="00494098">
        <w:rPr>
          <w:lang w:val="fr-FR"/>
        </w:rPr>
        <w:t>et diverses ONG</w:t>
      </w:r>
      <w:r w:rsidR="00325899" w:rsidRPr="00494098">
        <w:rPr>
          <w:lang w:val="fr-FR"/>
        </w:rPr>
        <w:t> ;</w:t>
      </w:r>
      <w:r w:rsidRPr="00494098">
        <w:rPr>
          <w:lang w:val="fr-FR"/>
        </w:rPr>
        <w:t xml:space="preserve"> l’octroi de récompenses aux écoles ayant de bonnes pratiques interculturelles</w:t>
      </w:r>
      <w:r w:rsidR="00325899" w:rsidRPr="00494098">
        <w:rPr>
          <w:lang w:val="fr-FR"/>
        </w:rPr>
        <w:t> ;</w:t>
      </w:r>
      <w:r w:rsidRPr="00494098">
        <w:rPr>
          <w:lang w:val="fr-FR"/>
        </w:rPr>
        <w:t xml:space="preserve"> et des réformes des programmes d'étude en sciences et en sciences humaines afin de couvrir les </w:t>
      </w:r>
      <w:r w:rsidR="00926465" w:rsidRPr="00494098">
        <w:rPr>
          <w:lang w:val="fr-FR"/>
        </w:rPr>
        <w:t xml:space="preserve">questions </w:t>
      </w:r>
      <w:r w:rsidRPr="00494098">
        <w:rPr>
          <w:lang w:val="fr-FR"/>
        </w:rPr>
        <w:t>de la citoyenneté, de la santé et de la sexualité.</w:t>
      </w:r>
    </w:p>
    <w:p w14:paraId="381B3278" w14:textId="77777777" w:rsidR="00077B75" w:rsidRPr="00494098" w:rsidRDefault="00077B75" w:rsidP="00480570">
      <w:pPr>
        <w:pStyle w:val="SingleTxtG"/>
        <w:rPr>
          <w:lang w:val="fr-FR"/>
        </w:rPr>
      </w:pPr>
      <w:r w:rsidRPr="00494098">
        <w:rPr>
          <w:lang w:val="fr-FR"/>
        </w:rPr>
        <w:t>296.</w:t>
      </w:r>
      <w:r w:rsidRPr="00494098">
        <w:rPr>
          <w:lang w:val="fr-FR"/>
        </w:rPr>
        <w:tab/>
        <w:t xml:space="preserve">La Garde nationale républicaine dispense une formation aux forces de sécurité placées </w:t>
      </w:r>
      <w:r w:rsidR="002E55DE" w:rsidRPr="00494098">
        <w:rPr>
          <w:lang w:val="fr-FR"/>
        </w:rPr>
        <w:t>sur</w:t>
      </w:r>
      <w:r w:rsidRPr="00494098">
        <w:rPr>
          <w:lang w:val="fr-FR"/>
        </w:rPr>
        <w:t xml:space="preserve"> différents théâtres d’opérations et dans le cadre de missions au sein des organisations internationales. En prévision de ces actions, des inspections approfondies sont réalisées pour évaluer l’organisation, le type de formation (individuelle ou collective), mettre en place les procédures administratives et logistiques adéquates et, si nécessaire, proposer des mesures correctives. </w:t>
      </w:r>
    </w:p>
    <w:p w14:paraId="066C07E7" w14:textId="77777777" w:rsidR="00077B75" w:rsidRPr="00494098" w:rsidRDefault="00077B75" w:rsidP="00480570">
      <w:pPr>
        <w:pStyle w:val="SingleTxtG"/>
        <w:rPr>
          <w:lang w:val="fr-FR"/>
        </w:rPr>
      </w:pPr>
      <w:r w:rsidRPr="00494098">
        <w:rPr>
          <w:lang w:val="fr-FR"/>
        </w:rPr>
        <w:t>297.</w:t>
      </w:r>
      <w:r w:rsidRPr="00494098">
        <w:rPr>
          <w:lang w:val="fr-FR"/>
        </w:rPr>
        <w:tab/>
        <w:t xml:space="preserve">La Garde nationale républicaine envoie </w:t>
      </w:r>
      <w:r w:rsidR="00282957" w:rsidRPr="00494098">
        <w:rPr>
          <w:lang w:val="fr-FR"/>
        </w:rPr>
        <w:t xml:space="preserve">également </w:t>
      </w:r>
      <w:r w:rsidRPr="00494098">
        <w:rPr>
          <w:lang w:val="fr-FR"/>
        </w:rPr>
        <w:t>des membres du personnel militaire aux cours de gestion de crise civile</w:t>
      </w:r>
      <w:r w:rsidR="00282957" w:rsidRPr="00494098">
        <w:rPr>
          <w:lang w:val="fr-FR"/>
        </w:rPr>
        <w:t> ; les formations initiales et les cours de promotion sont assurés par son école et,</w:t>
      </w:r>
      <w:r w:rsidRPr="00494098">
        <w:rPr>
          <w:lang w:val="fr-FR"/>
        </w:rPr>
        <w:t xml:space="preserve"> à l'Institut universitaire militaire</w:t>
      </w:r>
      <w:r w:rsidR="001F3300" w:rsidRPr="00494098">
        <w:rPr>
          <w:lang w:val="fr-FR"/>
        </w:rPr>
        <w:t>,</w:t>
      </w:r>
      <w:r w:rsidR="00282957" w:rsidRPr="00494098">
        <w:rPr>
          <w:lang w:val="fr-FR"/>
        </w:rPr>
        <w:t xml:space="preserve"> </w:t>
      </w:r>
      <w:r w:rsidRPr="00494098">
        <w:rPr>
          <w:lang w:val="fr-FR"/>
        </w:rPr>
        <w:t>les unités du programme de droit pénal et de procédures constitutionnelles et pénales comprennent une formation aux droits de l’homme.</w:t>
      </w:r>
    </w:p>
    <w:p w14:paraId="7977E861" w14:textId="057C8457" w:rsidR="00077B75" w:rsidRPr="00494098" w:rsidRDefault="00077B75" w:rsidP="00F60ADE">
      <w:pPr>
        <w:pStyle w:val="H23G"/>
        <w:rPr>
          <w:lang w:val="fr-FR"/>
        </w:rPr>
      </w:pPr>
      <w:r w:rsidRPr="00494098">
        <w:rPr>
          <w:lang w:val="fr-FR"/>
        </w:rPr>
        <w:tab/>
      </w:r>
      <w:r w:rsidRPr="00494098">
        <w:rPr>
          <w:lang w:val="fr-FR"/>
        </w:rPr>
        <w:tab/>
      </w:r>
      <w:r w:rsidRPr="00494098">
        <w:rPr>
          <w:bCs/>
          <w:lang w:val="fr-FR"/>
        </w:rPr>
        <w:t>Données (</w:t>
      </w:r>
      <w:r w:rsidR="00872592" w:rsidRPr="00494098">
        <w:rPr>
          <w:bCs/>
          <w:lang w:val="fr-FR"/>
        </w:rPr>
        <w:t>par. 1</w:t>
      </w:r>
      <w:r w:rsidRPr="00494098">
        <w:rPr>
          <w:bCs/>
          <w:lang w:val="fr-FR"/>
        </w:rPr>
        <w:t xml:space="preserve">3 des </w:t>
      </w:r>
      <w:r w:rsidR="009F3964">
        <w:rPr>
          <w:bCs/>
          <w:lang w:val="fr-FR"/>
        </w:rPr>
        <w:t>o</w:t>
      </w:r>
      <w:r w:rsidR="00916D99" w:rsidRPr="00494098">
        <w:rPr>
          <w:bCs/>
          <w:lang w:val="fr-FR"/>
        </w:rPr>
        <w:t>bservations finales</w:t>
      </w:r>
      <w:r w:rsidRPr="00494098">
        <w:rPr>
          <w:bCs/>
          <w:lang w:val="fr-FR"/>
        </w:rPr>
        <w:t>)</w:t>
      </w:r>
      <w:bookmarkStart w:id="218" w:name="_Toc530057321"/>
      <w:bookmarkStart w:id="219" w:name="_Toc530057548"/>
      <w:bookmarkStart w:id="220" w:name="_Toc530057635"/>
      <w:bookmarkStart w:id="221" w:name="_Toc530068016"/>
      <w:bookmarkEnd w:id="218"/>
      <w:bookmarkEnd w:id="219"/>
      <w:bookmarkEnd w:id="220"/>
      <w:bookmarkEnd w:id="221"/>
    </w:p>
    <w:p w14:paraId="081ACBAD" w14:textId="77777777" w:rsidR="00077B75" w:rsidRPr="00494098" w:rsidRDefault="00077B75" w:rsidP="00480570">
      <w:pPr>
        <w:pStyle w:val="SingleTxtG"/>
        <w:rPr>
          <w:lang w:val="fr-FR"/>
        </w:rPr>
      </w:pPr>
      <w:r w:rsidRPr="00494098">
        <w:rPr>
          <w:lang w:val="fr-FR"/>
        </w:rPr>
        <w:t>298.</w:t>
      </w:r>
      <w:r w:rsidRPr="00494098">
        <w:rPr>
          <w:lang w:val="fr-FR"/>
        </w:rPr>
        <w:tab/>
        <w:t xml:space="preserve">Par l’intermédiaire de la police locale et de proximité, les agents de la force publique cherchent à recueillir des informations pertinentes sur ce problème et </w:t>
      </w:r>
      <w:r w:rsidR="001F3300" w:rsidRPr="00494098">
        <w:rPr>
          <w:lang w:val="fr-FR"/>
        </w:rPr>
        <w:t>à</w:t>
      </w:r>
      <w:r w:rsidR="00282957" w:rsidRPr="00494098">
        <w:rPr>
          <w:lang w:val="fr-FR"/>
        </w:rPr>
        <w:t xml:space="preserve"> </w:t>
      </w:r>
      <w:r w:rsidRPr="00494098">
        <w:rPr>
          <w:lang w:val="fr-FR"/>
        </w:rPr>
        <w:t>déceler et signaler au Service des étrangers et des frontières les cas éventuels de recrutement ou d’utilisation d’enfants dans des hostilités.</w:t>
      </w:r>
    </w:p>
    <w:p w14:paraId="070457D6" w14:textId="77777777" w:rsidR="00077B75" w:rsidRPr="00494098" w:rsidRDefault="00077B75" w:rsidP="00480570">
      <w:pPr>
        <w:pStyle w:val="SingleTxtG"/>
        <w:rPr>
          <w:lang w:val="fr-FR"/>
        </w:rPr>
      </w:pPr>
      <w:r w:rsidRPr="00494098">
        <w:rPr>
          <w:lang w:val="fr-FR"/>
        </w:rPr>
        <w:t>299.</w:t>
      </w:r>
      <w:r w:rsidRPr="00494098">
        <w:rPr>
          <w:lang w:val="fr-FR"/>
        </w:rPr>
        <w:tab/>
        <w:t>Les réfugiés et les demandeurs d’asile arrivant en Portugal sont transférés de Grèce et d'Italie, en application du programme de l’Agenda européen en matière de migration. Le Haut Commissariat aux migrations reçoit les données relatives aux personnes arrivant par le Service des étrangers et des frontières</w:t>
      </w:r>
      <w:r w:rsidR="00475ACE" w:rsidRPr="00494098">
        <w:rPr>
          <w:lang w:val="fr-FR"/>
        </w:rPr>
        <w:t xml:space="preserve"> du</w:t>
      </w:r>
      <w:r w:rsidR="00C6152B" w:rsidRPr="00494098">
        <w:rPr>
          <w:lang w:val="fr-FR"/>
        </w:rPr>
        <w:t xml:space="preserve"> </w:t>
      </w:r>
      <w:r w:rsidRPr="00494098">
        <w:rPr>
          <w:lang w:val="fr-FR"/>
        </w:rPr>
        <w:t>Ministère de l'intérieur.</w:t>
      </w:r>
      <w:r w:rsidR="002F1306" w:rsidRPr="00494098">
        <w:rPr>
          <w:lang w:val="fr-FR"/>
        </w:rPr>
        <w:t xml:space="preserve"> </w:t>
      </w:r>
    </w:p>
    <w:p w14:paraId="4CAA51C2" w14:textId="77777777" w:rsidR="00077B75" w:rsidRPr="00494098" w:rsidRDefault="00491E89" w:rsidP="00F60ADE">
      <w:pPr>
        <w:pStyle w:val="H1G"/>
        <w:rPr>
          <w:lang w:val="fr-FR"/>
        </w:rPr>
      </w:pPr>
      <w:r w:rsidRPr="00494098">
        <w:rPr>
          <w:lang w:val="fr-FR"/>
        </w:rPr>
        <w:tab/>
      </w:r>
      <w:r w:rsidR="00077B75" w:rsidRPr="00494098">
        <w:rPr>
          <w:lang w:val="fr-FR"/>
        </w:rPr>
        <w:t>B.</w:t>
      </w:r>
      <w:r w:rsidR="00077B75" w:rsidRPr="00494098">
        <w:rPr>
          <w:lang w:val="fr-FR"/>
        </w:rPr>
        <w:tab/>
      </w:r>
      <w:r w:rsidR="00077B75" w:rsidRPr="00494098">
        <w:rPr>
          <w:bCs/>
          <w:lang w:val="fr-FR"/>
        </w:rPr>
        <w:t>Prévention</w:t>
      </w:r>
      <w:bookmarkStart w:id="222" w:name="_Toc530057322"/>
      <w:bookmarkStart w:id="223" w:name="_Toc530057549"/>
      <w:bookmarkStart w:id="224" w:name="_Toc530057636"/>
      <w:bookmarkStart w:id="225" w:name="_Toc530068017"/>
      <w:bookmarkEnd w:id="222"/>
      <w:bookmarkEnd w:id="223"/>
      <w:bookmarkEnd w:id="224"/>
      <w:bookmarkEnd w:id="225"/>
    </w:p>
    <w:p w14:paraId="3D0F4EFA" w14:textId="7F2D9319" w:rsidR="00077B75" w:rsidRPr="00494098" w:rsidRDefault="00077B75" w:rsidP="00F60ADE">
      <w:pPr>
        <w:pStyle w:val="H23G"/>
        <w:rPr>
          <w:lang w:val="fr-FR"/>
        </w:rPr>
      </w:pPr>
      <w:r w:rsidRPr="00494098">
        <w:rPr>
          <w:lang w:val="fr-FR"/>
        </w:rPr>
        <w:tab/>
      </w:r>
      <w:r w:rsidRPr="00494098">
        <w:rPr>
          <w:lang w:val="fr-FR"/>
        </w:rPr>
        <w:tab/>
      </w:r>
      <w:r w:rsidRPr="00494098">
        <w:rPr>
          <w:bCs/>
          <w:lang w:val="fr-FR"/>
        </w:rPr>
        <w:t>Participation directe (</w:t>
      </w:r>
      <w:r w:rsidR="00872592" w:rsidRPr="00494098">
        <w:rPr>
          <w:bCs/>
          <w:lang w:val="fr-FR"/>
        </w:rPr>
        <w:t>par. 1</w:t>
      </w:r>
      <w:r w:rsidRPr="00494098">
        <w:rPr>
          <w:bCs/>
          <w:lang w:val="fr-FR"/>
        </w:rPr>
        <w:t xml:space="preserve">5 des </w:t>
      </w:r>
      <w:r w:rsidR="00203F40">
        <w:rPr>
          <w:bCs/>
          <w:lang w:val="fr-FR"/>
        </w:rPr>
        <w:t>o</w:t>
      </w:r>
      <w:r w:rsidR="00916D99" w:rsidRPr="00494098">
        <w:rPr>
          <w:bCs/>
          <w:lang w:val="fr-FR"/>
        </w:rPr>
        <w:t>bservations finales</w:t>
      </w:r>
      <w:r w:rsidRPr="00494098">
        <w:rPr>
          <w:bCs/>
          <w:lang w:val="fr-FR"/>
        </w:rPr>
        <w:t>)</w:t>
      </w:r>
      <w:bookmarkStart w:id="226" w:name="_Toc530057323"/>
      <w:bookmarkStart w:id="227" w:name="_Toc530057550"/>
      <w:bookmarkStart w:id="228" w:name="_Toc530057637"/>
      <w:bookmarkStart w:id="229" w:name="_Toc530068018"/>
      <w:bookmarkEnd w:id="226"/>
      <w:bookmarkEnd w:id="227"/>
      <w:bookmarkEnd w:id="228"/>
      <w:bookmarkEnd w:id="229"/>
    </w:p>
    <w:p w14:paraId="0F559BF3" w14:textId="77777777" w:rsidR="00077B75" w:rsidRPr="00494098" w:rsidRDefault="00077B75" w:rsidP="00480570">
      <w:pPr>
        <w:pStyle w:val="SingleTxtG"/>
        <w:rPr>
          <w:lang w:val="fr-FR"/>
        </w:rPr>
      </w:pPr>
      <w:r w:rsidRPr="00494098">
        <w:rPr>
          <w:lang w:val="fr-FR"/>
        </w:rPr>
        <w:t>300.</w:t>
      </w:r>
      <w:r w:rsidRPr="00494098">
        <w:rPr>
          <w:lang w:val="fr-FR"/>
        </w:rPr>
        <w:tab/>
        <w:t xml:space="preserve">Le cadre juridique portugais interdit explicitement l’utilisation des enfants dans toute activité des forces armées. Cette </w:t>
      </w:r>
      <w:r w:rsidR="001952F9" w:rsidRPr="00494098">
        <w:rPr>
          <w:lang w:val="fr-FR"/>
        </w:rPr>
        <w:t>règle</w:t>
      </w:r>
      <w:r w:rsidRPr="00494098">
        <w:rPr>
          <w:lang w:val="fr-FR"/>
        </w:rPr>
        <w:t xml:space="preserve"> est applicable en toutes circonstances (en temps de paix et/ou en temps de guerre) à tous les citoyens portugais. En ce qui concerne cette recommandation</w:t>
      </w:r>
      <w:r w:rsidR="001952F9" w:rsidRPr="00494098">
        <w:rPr>
          <w:lang w:val="fr-FR"/>
        </w:rPr>
        <w:t xml:space="preserve"> précise</w:t>
      </w:r>
      <w:r w:rsidRPr="00494098">
        <w:rPr>
          <w:lang w:val="fr-FR"/>
        </w:rPr>
        <w:t xml:space="preserve">, il </w:t>
      </w:r>
      <w:r w:rsidR="001952F9" w:rsidRPr="00494098">
        <w:rPr>
          <w:lang w:val="fr-FR"/>
        </w:rPr>
        <w:t xml:space="preserve">faut toutefois dire </w:t>
      </w:r>
      <w:r w:rsidRPr="00494098">
        <w:rPr>
          <w:lang w:val="fr-FR"/>
        </w:rPr>
        <w:t>clair</w:t>
      </w:r>
      <w:r w:rsidR="001952F9" w:rsidRPr="00494098">
        <w:rPr>
          <w:lang w:val="fr-FR"/>
        </w:rPr>
        <w:t>ement que le Code de j</w:t>
      </w:r>
      <w:r w:rsidRPr="00494098">
        <w:rPr>
          <w:lang w:val="fr-FR"/>
        </w:rPr>
        <w:t xml:space="preserve">ustice militaire ne s’applique qu’aux militaires, et </w:t>
      </w:r>
      <w:r w:rsidR="001952F9" w:rsidRPr="00494098">
        <w:rPr>
          <w:lang w:val="fr-FR"/>
        </w:rPr>
        <w:t xml:space="preserve">que sa portée est donc </w:t>
      </w:r>
      <w:r w:rsidRPr="00494098">
        <w:rPr>
          <w:lang w:val="fr-FR"/>
        </w:rPr>
        <w:t>potentiel</w:t>
      </w:r>
      <w:r w:rsidR="001952F9" w:rsidRPr="00494098">
        <w:rPr>
          <w:lang w:val="fr-FR"/>
        </w:rPr>
        <w:t>lement</w:t>
      </w:r>
      <w:r w:rsidRPr="00494098">
        <w:rPr>
          <w:lang w:val="fr-FR"/>
        </w:rPr>
        <w:t xml:space="preserve"> limitée. </w:t>
      </w:r>
    </w:p>
    <w:p w14:paraId="624C658F" w14:textId="77777777" w:rsidR="00077B75" w:rsidRPr="00494098" w:rsidRDefault="00077B75" w:rsidP="00480570">
      <w:pPr>
        <w:pStyle w:val="SingleTxtG"/>
        <w:rPr>
          <w:lang w:val="fr-FR"/>
        </w:rPr>
      </w:pPr>
      <w:r w:rsidRPr="00494098">
        <w:rPr>
          <w:lang w:val="fr-FR"/>
        </w:rPr>
        <w:t>301.</w:t>
      </w:r>
      <w:r w:rsidRPr="00494098">
        <w:rPr>
          <w:lang w:val="fr-FR"/>
        </w:rPr>
        <w:tab/>
        <w:t>La solution portugaise d'interdiction</w:t>
      </w:r>
      <w:r w:rsidR="0052601F" w:rsidRPr="00494098">
        <w:rPr>
          <w:lang w:val="fr-FR"/>
        </w:rPr>
        <w:t>, par le droit commun,</w:t>
      </w:r>
      <w:r w:rsidRPr="00494098">
        <w:rPr>
          <w:lang w:val="fr-FR"/>
        </w:rPr>
        <w:t xml:space="preserve"> de tou</w:t>
      </w:r>
      <w:r w:rsidR="0052601F" w:rsidRPr="00494098">
        <w:rPr>
          <w:lang w:val="fr-FR"/>
        </w:rPr>
        <w:t xml:space="preserve">te utilisation </w:t>
      </w:r>
      <w:r w:rsidRPr="00494098">
        <w:rPr>
          <w:lang w:val="fr-FR"/>
        </w:rPr>
        <w:t>d</w:t>
      </w:r>
      <w:r w:rsidR="0052601F" w:rsidRPr="00494098">
        <w:rPr>
          <w:lang w:val="fr-FR"/>
        </w:rPr>
        <w:t>’</w:t>
      </w:r>
      <w:r w:rsidRPr="00494098">
        <w:rPr>
          <w:lang w:val="fr-FR"/>
        </w:rPr>
        <w:t>enfants dans des activités armées</w:t>
      </w:r>
      <w:r w:rsidR="0052601F" w:rsidRPr="00494098">
        <w:rPr>
          <w:lang w:val="fr-FR"/>
        </w:rPr>
        <w:t>,</w:t>
      </w:r>
      <w:r w:rsidRPr="00494098">
        <w:rPr>
          <w:lang w:val="fr-FR"/>
        </w:rPr>
        <w:t xml:space="preserve"> </w:t>
      </w:r>
      <w:r w:rsidR="0052601F" w:rsidRPr="00494098">
        <w:rPr>
          <w:lang w:val="fr-FR"/>
        </w:rPr>
        <w:t xml:space="preserve">garantit </w:t>
      </w:r>
      <w:r w:rsidRPr="00494098">
        <w:rPr>
          <w:lang w:val="fr-FR"/>
        </w:rPr>
        <w:t>l’objectif fondamental de la recommandation, qui est de veiller à ce que tous les actes commis contre des enfants soient punis par la loi.</w:t>
      </w:r>
    </w:p>
    <w:p w14:paraId="27E10634" w14:textId="181EC421" w:rsidR="00077B75" w:rsidRPr="00494098" w:rsidRDefault="00077B75" w:rsidP="00F60ADE">
      <w:pPr>
        <w:pStyle w:val="H23G"/>
        <w:rPr>
          <w:lang w:val="fr-FR"/>
        </w:rPr>
      </w:pPr>
      <w:r w:rsidRPr="00494098">
        <w:rPr>
          <w:lang w:val="fr-FR"/>
        </w:rPr>
        <w:tab/>
      </w:r>
      <w:r w:rsidRPr="00494098">
        <w:rPr>
          <w:lang w:val="fr-FR"/>
        </w:rPr>
        <w:tab/>
      </w:r>
      <w:r w:rsidRPr="00494098">
        <w:rPr>
          <w:bCs/>
          <w:lang w:val="fr-FR"/>
        </w:rPr>
        <w:t>Écoles militaires (</w:t>
      </w:r>
      <w:r w:rsidR="00872592" w:rsidRPr="00494098">
        <w:rPr>
          <w:bCs/>
          <w:lang w:val="fr-FR"/>
        </w:rPr>
        <w:t>par. 1</w:t>
      </w:r>
      <w:r w:rsidRPr="00494098">
        <w:rPr>
          <w:bCs/>
          <w:lang w:val="fr-FR"/>
        </w:rPr>
        <w:t xml:space="preserve">7 des </w:t>
      </w:r>
      <w:r w:rsidR="00203F40">
        <w:rPr>
          <w:bCs/>
          <w:lang w:val="fr-FR"/>
        </w:rPr>
        <w:t>o</w:t>
      </w:r>
      <w:r w:rsidR="00916D99" w:rsidRPr="00494098">
        <w:rPr>
          <w:bCs/>
          <w:lang w:val="fr-FR"/>
        </w:rPr>
        <w:t>bservations finales</w:t>
      </w:r>
      <w:r w:rsidRPr="00494098">
        <w:rPr>
          <w:bCs/>
          <w:lang w:val="fr-FR"/>
        </w:rPr>
        <w:t>)</w:t>
      </w:r>
      <w:bookmarkStart w:id="230" w:name="_Toc530057324"/>
      <w:bookmarkStart w:id="231" w:name="_Toc530057551"/>
      <w:bookmarkStart w:id="232" w:name="_Toc530057638"/>
      <w:bookmarkStart w:id="233" w:name="_Toc530068019"/>
      <w:bookmarkEnd w:id="230"/>
      <w:bookmarkEnd w:id="231"/>
      <w:bookmarkEnd w:id="232"/>
      <w:bookmarkEnd w:id="233"/>
    </w:p>
    <w:p w14:paraId="7EB7B7E7" w14:textId="77777777" w:rsidR="00077B75" w:rsidRPr="00494098" w:rsidRDefault="00077B75" w:rsidP="00480570">
      <w:pPr>
        <w:pStyle w:val="SingleTxtG"/>
        <w:rPr>
          <w:lang w:val="fr-FR"/>
        </w:rPr>
      </w:pPr>
      <w:r w:rsidRPr="00494098">
        <w:rPr>
          <w:lang w:val="fr-FR"/>
        </w:rPr>
        <w:t>302.</w:t>
      </w:r>
      <w:r w:rsidRPr="00494098">
        <w:rPr>
          <w:lang w:val="fr-FR"/>
        </w:rPr>
        <w:tab/>
        <w:t xml:space="preserve">Les établissements d'enseignement militaire font l'objet d'une surveillance rigoureuse. </w:t>
      </w:r>
      <w:r w:rsidR="006136D6" w:rsidRPr="00494098">
        <w:rPr>
          <w:lang w:val="fr-FR"/>
        </w:rPr>
        <w:t xml:space="preserve">À l’instar de </w:t>
      </w:r>
      <w:r w:rsidRPr="00494098">
        <w:rPr>
          <w:lang w:val="fr-FR"/>
        </w:rPr>
        <w:t>l’Un</w:t>
      </w:r>
      <w:r w:rsidR="006136D6" w:rsidRPr="00494098">
        <w:rPr>
          <w:lang w:val="fr-FR"/>
        </w:rPr>
        <w:t>iversité publique militaire et d</w:t>
      </w:r>
      <w:r w:rsidRPr="00494098">
        <w:rPr>
          <w:lang w:val="fr-FR"/>
        </w:rPr>
        <w:t>es établissements d’enseignement supérieur, l’Aca</w:t>
      </w:r>
      <w:r w:rsidR="0041468B" w:rsidRPr="00494098">
        <w:rPr>
          <w:lang w:val="fr-FR"/>
        </w:rPr>
        <w:t>démie militaire, l’É</w:t>
      </w:r>
      <w:r w:rsidRPr="00494098">
        <w:rPr>
          <w:lang w:val="fr-FR"/>
        </w:rPr>
        <w:t>cole navale et</w:t>
      </w:r>
      <w:r w:rsidR="006136D6" w:rsidRPr="00494098">
        <w:rPr>
          <w:lang w:val="fr-FR"/>
        </w:rPr>
        <w:t xml:space="preserve"> l’Académie de l'Armée de l'air</w:t>
      </w:r>
      <w:r w:rsidRPr="00494098">
        <w:rPr>
          <w:lang w:val="fr-FR"/>
        </w:rPr>
        <w:t xml:space="preserve"> sont pleinement </w:t>
      </w:r>
      <w:r w:rsidR="0041468B" w:rsidRPr="00494098">
        <w:rPr>
          <w:lang w:val="fr-FR"/>
        </w:rPr>
        <w:t>intégrées dans le système de l’É</w:t>
      </w:r>
      <w:r w:rsidRPr="00494098">
        <w:rPr>
          <w:lang w:val="fr-FR"/>
        </w:rPr>
        <w:t xml:space="preserve">ducation nationale, </w:t>
      </w:r>
      <w:r w:rsidR="006136D6" w:rsidRPr="00494098">
        <w:rPr>
          <w:lang w:val="fr-FR"/>
        </w:rPr>
        <w:t xml:space="preserve">moyennant </w:t>
      </w:r>
      <w:r w:rsidRPr="00494098">
        <w:rPr>
          <w:lang w:val="fr-FR"/>
        </w:rPr>
        <w:t xml:space="preserve">les adaptations nécessaires pour répondre aux besoins de chaque branche des Forces armées. </w:t>
      </w:r>
      <w:r w:rsidR="006136D6" w:rsidRPr="00494098">
        <w:rPr>
          <w:lang w:val="fr-FR"/>
        </w:rPr>
        <w:t xml:space="preserve">Elles </w:t>
      </w:r>
      <w:r w:rsidRPr="00494098">
        <w:rPr>
          <w:lang w:val="fr-FR"/>
        </w:rPr>
        <w:t>sont par conséquent sous le contrôle et la supervision du Ministère de l’éducation et du Ministère des sciences, de la technologie et de l'enseignement supérieur, ainsi que du Ministère de la défense n</w:t>
      </w:r>
      <w:r w:rsidR="0041468B" w:rsidRPr="00494098">
        <w:rPr>
          <w:lang w:val="fr-FR"/>
        </w:rPr>
        <w:t xml:space="preserve">ationale. Il en va de même </w:t>
      </w:r>
      <w:r w:rsidR="006136D6" w:rsidRPr="00494098">
        <w:rPr>
          <w:lang w:val="fr-FR"/>
        </w:rPr>
        <w:t>pour</w:t>
      </w:r>
      <w:r w:rsidR="0041468B" w:rsidRPr="00494098">
        <w:rPr>
          <w:lang w:val="fr-FR"/>
        </w:rPr>
        <w:t xml:space="preserve"> l’É</w:t>
      </w:r>
      <w:r w:rsidRPr="00494098">
        <w:rPr>
          <w:lang w:val="fr-FR"/>
        </w:rPr>
        <w:t xml:space="preserve">cole militaire qui, d’un point de vue pédagogique, intègre le système éducatif portugais sur un pied d’égalité avec les établissements d’enseignement publics. </w:t>
      </w:r>
    </w:p>
    <w:p w14:paraId="69170FE7" w14:textId="77777777" w:rsidR="00077B75" w:rsidRPr="00494098" w:rsidRDefault="00077B75" w:rsidP="00480570">
      <w:pPr>
        <w:pStyle w:val="SingleTxtG"/>
        <w:rPr>
          <w:lang w:val="fr-FR"/>
        </w:rPr>
      </w:pPr>
      <w:r w:rsidRPr="00494098">
        <w:rPr>
          <w:lang w:val="fr-FR"/>
        </w:rPr>
        <w:t>303.</w:t>
      </w:r>
      <w:r w:rsidRPr="00494098">
        <w:rPr>
          <w:lang w:val="fr-FR"/>
        </w:rPr>
        <w:tab/>
        <w:t>Conformément au cadre juridique qui régit le service militaire au Portugal, on ne peut acquérir le statut de «</w:t>
      </w:r>
      <w:r w:rsidR="00CF2BFE" w:rsidRPr="00494098">
        <w:rPr>
          <w:lang w:val="fr-FR"/>
        </w:rPr>
        <w:t> </w:t>
      </w:r>
      <w:r w:rsidRPr="00494098">
        <w:rPr>
          <w:lang w:val="fr-FR"/>
        </w:rPr>
        <w:t>militaire</w:t>
      </w:r>
      <w:r w:rsidR="00CF2BFE" w:rsidRPr="00494098">
        <w:rPr>
          <w:lang w:val="fr-FR"/>
        </w:rPr>
        <w:t> </w:t>
      </w:r>
      <w:r w:rsidRPr="00494098">
        <w:rPr>
          <w:lang w:val="fr-FR"/>
        </w:rPr>
        <w:t>» qu'à 18</w:t>
      </w:r>
      <w:r w:rsidR="0041468B" w:rsidRPr="00494098">
        <w:rPr>
          <w:lang w:val="fr-FR"/>
        </w:rPr>
        <w:t> </w:t>
      </w:r>
      <w:r w:rsidRPr="00494098">
        <w:rPr>
          <w:lang w:val="fr-FR"/>
        </w:rPr>
        <w:t>ans. C’est la raison pour laquelle les élèves des écoles militaires (</w:t>
      </w:r>
      <w:r w:rsidR="0041468B" w:rsidRPr="00494098">
        <w:rPr>
          <w:lang w:val="fr-FR"/>
        </w:rPr>
        <w:t>É</w:t>
      </w:r>
      <w:r w:rsidRPr="00494098">
        <w:rPr>
          <w:lang w:val="fr-FR"/>
        </w:rPr>
        <w:t xml:space="preserve">cole militaire et Institut des élèves de l'armée) ne peuvent acquérir </w:t>
      </w:r>
      <w:r w:rsidR="001C6497" w:rsidRPr="00494098">
        <w:rPr>
          <w:lang w:val="fr-FR"/>
        </w:rPr>
        <w:t>ce</w:t>
      </w:r>
      <w:r w:rsidRPr="00494098">
        <w:rPr>
          <w:lang w:val="fr-FR"/>
        </w:rPr>
        <w:t xml:space="preserve"> statut qu'à partir de l’âge de 18</w:t>
      </w:r>
      <w:r w:rsidR="001C6497" w:rsidRPr="00494098">
        <w:rPr>
          <w:lang w:val="fr-FR"/>
        </w:rPr>
        <w:t> </w:t>
      </w:r>
      <w:r w:rsidRPr="00494098">
        <w:rPr>
          <w:lang w:val="fr-FR"/>
        </w:rPr>
        <w:t>ans s'ils s'engagent volontairement dans une des branches des Forces armées.</w:t>
      </w:r>
      <w:r w:rsidR="0041468B" w:rsidRPr="00494098">
        <w:rPr>
          <w:lang w:val="fr-FR"/>
        </w:rPr>
        <w:t xml:space="preserve"> </w:t>
      </w:r>
    </w:p>
    <w:p w14:paraId="34C9FBD7" w14:textId="77777777" w:rsidR="00077B75" w:rsidRPr="00494098" w:rsidRDefault="00077B75" w:rsidP="00480570">
      <w:pPr>
        <w:pStyle w:val="SingleTxtG"/>
        <w:rPr>
          <w:lang w:val="fr-FR"/>
        </w:rPr>
      </w:pPr>
      <w:r w:rsidRPr="00494098">
        <w:rPr>
          <w:lang w:val="fr-FR"/>
        </w:rPr>
        <w:t>304.</w:t>
      </w:r>
      <w:r w:rsidRPr="00494098">
        <w:rPr>
          <w:lang w:val="fr-FR"/>
        </w:rPr>
        <w:tab/>
        <w:t xml:space="preserve">L’École militaire a pour mission de créer une matrice militaire, intellectuelle, technique, physique, morale et civique forte, inspirée par les qualités et les vertus de la vie militaire et conforme aux principes fondamentaux définis par le système éducatif portugais, tout en mettant l’accent sur le rôle de la défense nationale et des forces armées dans la société. </w:t>
      </w:r>
    </w:p>
    <w:p w14:paraId="43CF48AA" w14:textId="77777777" w:rsidR="00077B75" w:rsidRPr="00494098" w:rsidRDefault="00077B75" w:rsidP="00480570">
      <w:pPr>
        <w:pStyle w:val="SingleTxtG"/>
        <w:rPr>
          <w:lang w:val="fr-FR"/>
        </w:rPr>
      </w:pPr>
      <w:r w:rsidRPr="00494098">
        <w:rPr>
          <w:lang w:val="fr-FR"/>
        </w:rPr>
        <w:t>305.</w:t>
      </w:r>
      <w:r w:rsidRPr="00494098">
        <w:rPr>
          <w:lang w:val="fr-FR"/>
        </w:rPr>
        <w:tab/>
        <w:t>Les élèves n</w:t>
      </w:r>
      <w:r w:rsidR="00202AF1" w:rsidRPr="00494098">
        <w:rPr>
          <w:lang w:val="fr-FR"/>
        </w:rPr>
        <w:t xml:space="preserve">e suivent aucune </w:t>
      </w:r>
      <w:r w:rsidRPr="00494098">
        <w:rPr>
          <w:lang w:val="fr-FR"/>
        </w:rPr>
        <w:t>formation militaire à l’école. Au lieu de cela, différentes écoles militaires</w:t>
      </w:r>
      <w:r w:rsidR="00A573E2" w:rsidRPr="00494098">
        <w:rPr>
          <w:lang w:val="fr-FR"/>
        </w:rPr>
        <w:t xml:space="preserve"> mettent l’accent </w:t>
      </w:r>
      <w:r w:rsidRPr="00494098">
        <w:rPr>
          <w:lang w:val="fr-FR"/>
        </w:rPr>
        <w:t>sur le développement des compétences, physiques et motrices considérées comme une composante fondamentale du développement personnel</w:t>
      </w:r>
      <w:r w:rsidR="00A573E2" w:rsidRPr="00494098">
        <w:rPr>
          <w:lang w:val="fr-FR"/>
        </w:rPr>
        <w:t>,</w:t>
      </w:r>
      <w:r w:rsidRPr="00494098">
        <w:rPr>
          <w:lang w:val="fr-FR"/>
        </w:rPr>
        <w:t xml:space="preserve"> et sur les modes de vie sains propices à l’éducation à la santé. </w:t>
      </w:r>
    </w:p>
    <w:p w14:paraId="02236845" w14:textId="77777777" w:rsidR="00077B75" w:rsidRPr="00494098" w:rsidRDefault="00077B75" w:rsidP="00480570">
      <w:pPr>
        <w:pStyle w:val="SingleTxtG"/>
        <w:rPr>
          <w:lang w:val="fr-FR"/>
        </w:rPr>
      </w:pPr>
      <w:r w:rsidRPr="00494098">
        <w:rPr>
          <w:lang w:val="fr-FR"/>
        </w:rPr>
        <w:t>306.</w:t>
      </w:r>
      <w:r w:rsidRPr="00494098">
        <w:rPr>
          <w:lang w:val="fr-FR"/>
        </w:rPr>
        <w:tab/>
        <w:t xml:space="preserve">Récemment, les écoles militaires ont fait l’objet d’un processus de réforme rigoureux visant à améliorer la réponse éducative aux besoins des enfants. </w:t>
      </w:r>
      <w:r w:rsidR="00F460BA" w:rsidRPr="00494098">
        <w:rPr>
          <w:lang w:val="fr-FR"/>
        </w:rPr>
        <w:t xml:space="preserve">Ce faisant, </w:t>
      </w:r>
      <w:r w:rsidRPr="00494098">
        <w:rPr>
          <w:lang w:val="fr-FR"/>
        </w:rPr>
        <w:t>tous les élèves ont été interrogés afin d’évaluer leurs propres opinions quant à la solution à venir.</w:t>
      </w:r>
    </w:p>
    <w:p w14:paraId="2363CF9F" w14:textId="67970D51" w:rsidR="00077B75" w:rsidRPr="00494098" w:rsidRDefault="00077B75" w:rsidP="00F60ADE">
      <w:pPr>
        <w:pStyle w:val="H23G"/>
        <w:rPr>
          <w:lang w:val="fr-FR"/>
        </w:rPr>
      </w:pPr>
      <w:r w:rsidRPr="00494098">
        <w:rPr>
          <w:lang w:val="fr-FR"/>
        </w:rPr>
        <w:tab/>
      </w:r>
      <w:r w:rsidRPr="00494098">
        <w:rPr>
          <w:lang w:val="fr-FR"/>
        </w:rPr>
        <w:tab/>
      </w:r>
      <w:r w:rsidR="007A2E33">
        <w:rPr>
          <w:lang w:val="fr-FR"/>
        </w:rPr>
        <w:t>Éducation aux d</w:t>
      </w:r>
      <w:r w:rsidRPr="00494098">
        <w:rPr>
          <w:lang w:val="fr-FR"/>
        </w:rPr>
        <w:t xml:space="preserve">roits de l’homme et  </w:t>
      </w:r>
      <w:r w:rsidR="0071617D">
        <w:rPr>
          <w:lang w:val="fr-FR"/>
        </w:rPr>
        <w:t>à</w:t>
      </w:r>
      <w:r w:rsidRPr="00494098">
        <w:rPr>
          <w:lang w:val="fr-FR"/>
        </w:rPr>
        <w:t xml:space="preserve"> la paix (</w:t>
      </w:r>
      <w:r w:rsidR="00872592" w:rsidRPr="00494098">
        <w:rPr>
          <w:lang w:val="fr-FR"/>
        </w:rPr>
        <w:t>par. 1</w:t>
      </w:r>
      <w:r w:rsidRPr="00494098">
        <w:rPr>
          <w:lang w:val="fr-FR"/>
        </w:rPr>
        <w:t xml:space="preserve">9 des </w:t>
      </w:r>
      <w:r w:rsidR="00203F40">
        <w:rPr>
          <w:lang w:val="fr-FR"/>
        </w:rPr>
        <w:t>o</w:t>
      </w:r>
      <w:r w:rsidR="00916D99" w:rsidRPr="00494098">
        <w:rPr>
          <w:lang w:val="fr-FR"/>
        </w:rPr>
        <w:t>bservations finales</w:t>
      </w:r>
      <w:r w:rsidRPr="00494098">
        <w:rPr>
          <w:lang w:val="fr-FR"/>
        </w:rPr>
        <w:t>)</w:t>
      </w:r>
      <w:bookmarkStart w:id="234" w:name="_Toc530057325"/>
      <w:bookmarkStart w:id="235" w:name="_Toc530057552"/>
      <w:bookmarkStart w:id="236" w:name="_Toc530057639"/>
      <w:bookmarkStart w:id="237" w:name="_Toc530068020"/>
      <w:bookmarkEnd w:id="234"/>
      <w:bookmarkEnd w:id="235"/>
      <w:bookmarkEnd w:id="236"/>
      <w:bookmarkEnd w:id="237"/>
    </w:p>
    <w:p w14:paraId="4720D537" w14:textId="36699AAF" w:rsidR="00077B75" w:rsidRPr="00494098" w:rsidRDefault="00077B75" w:rsidP="00480570">
      <w:pPr>
        <w:pStyle w:val="SingleTxtG"/>
        <w:rPr>
          <w:lang w:val="fr-FR"/>
        </w:rPr>
      </w:pPr>
      <w:r w:rsidRPr="00494098">
        <w:rPr>
          <w:lang w:val="fr-FR"/>
        </w:rPr>
        <w:t>307.</w:t>
      </w:r>
      <w:r w:rsidRPr="00494098">
        <w:rPr>
          <w:lang w:val="fr-FR"/>
        </w:rPr>
        <w:tab/>
        <w:t xml:space="preserve">L’éducation </w:t>
      </w:r>
      <w:r w:rsidR="007B2BFE">
        <w:rPr>
          <w:lang w:val="fr-FR"/>
        </w:rPr>
        <w:t>à</w:t>
      </w:r>
      <w:r w:rsidRPr="00494098">
        <w:rPr>
          <w:lang w:val="fr-FR"/>
        </w:rPr>
        <w:t xml:space="preserve"> la paix </w:t>
      </w:r>
      <w:r w:rsidR="007B2BFE">
        <w:rPr>
          <w:lang w:val="fr-FR"/>
        </w:rPr>
        <w:t>fait partie</w:t>
      </w:r>
      <w:r w:rsidRPr="00494098">
        <w:rPr>
          <w:lang w:val="fr-FR"/>
        </w:rPr>
        <w:t xml:space="preserve"> du programme scolaire d’éducation à la citoyenneté.</w:t>
      </w:r>
    </w:p>
    <w:p w14:paraId="51A07047" w14:textId="77777777" w:rsidR="00077B75" w:rsidRPr="00494098" w:rsidRDefault="00077B75" w:rsidP="00480570">
      <w:pPr>
        <w:pStyle w:val="SingleTxtG"/>
        <w:rPr>
          <w:lang w:val="fr-FR"/>
        </w:rPr>
      </w:pPr>
      <w:r w:rsidRPr="00494098">
        <w:rPr>
          <w:lang w:val="fr-FR"/>
        </w:rPr>
        <w:t>308.</w:t>
      </w:r>
      <w:r w:rsidRPr="00494098">
        <w:rPr>
          <w:lang w:val="fr-FR"/>
        </w:rPr>
        <w:tab/>
        <w:t>Dans le c</w:t>
      </w:r>
      <w:r w:rsidR="00013C1D" w:rsidRPr="00494098">
        <w:rPr>
          <w:lang w:val="fr-FR"/>
        </w:rPr>
        <w:t xml:space="preserve">adre </w:t>
      </w:r>
      <w:r w:rsidRPr="00494098">
        <w:rPr>
          <w:lang w:val="fr-FR"/>
        </w:rPr>
        <w:t>de</w:t>
      </w:r>
      <w:r w:rsidR="00013C1D" w:rsidRPr="00494098">
        <w:rPr>
          <w:lang w:val="fr-FR"/>
        </w:rPr>
        <w:t xml:space="preserve"> l’action d</w:t>
      </w:r>
      <w:r w:rsidRPr="00494098">
        <w:rPr>
          <w:lang w:val="fr-FR"/>
        </w:rPr>
        <w:t>'éducation à la sécurité</w:t>
      </w:r>
      <w:r w:rsidR="00013C1D" w:rsidRPr="00494098">
        <w:rPr>
          <w:lang w:val="fr-FR"/>
        </w:rPr>
        <w:t xml:space="preserve">, à </w:t>
      </w:r>
      <w:r w:rsidRPr="00494098">
        <w:rPr>
          <w:lang w:val="fr-FR"/>
        </w:rPr>
        <w:t xml:space="preserve">la défense et </w:t>
      </w:r>
      <w:r w:rsidR="00013C1D" w:rsidRPr="00494098">
        <w:rPr>
          <w:lang w:val="fr-FR"/>
        </w:rPr>
        <w:t xml:space="preserve">à la </w:t>
      </w:r>
      <w:r w:rsidRPr="00494098">
        <w:rPr>
          <w:lang w:val="fr-FR"/>
        </w:rPr>
        <w:t>paix, le Ministère de l’éducation et le Ministère de la défense nationale</w:t>
      </w:r>
      <w:r w:rsidR="00202AF1" w:rsidRPr="00494098">
        <w:rPr>
          <w:lang w:val="fr-FR"/>
        </w:rPr>
        <w:t xml:space="preserve"> ont signé un protocole dont l’objectif principal est de </w:t>
      </w:r>
      <w:r w:rsidRPr="00494098">
        <w:rPr>
          <w:lang w:val="fr-FR"/>
        </w:rPr>
        <w:t xml:space="preserve">promouvoir </w:t>
      </w:r>
      <w:r w:rsidR="00013C1D" w:rsidRPr="00494098">
        <w:rPr>
          <w:lang w:val="fr-FR"/>
        </w:rPr>
        <w:t xml:space="preserve">dans l’enseignement primaire et secondaire </w:t>
      </w:r>
      <w:r w:rsidRPr="00494098">
        <w:rPr>
          <w:lang w:val="fr-FR"/>
        </w:rPr>
        <w:t xml:space="preserve">les valeurs </w:t>
      </w:r>
      <w:r w:rsidR="00013C1D" w:rsidRPr="00494098">
        <w:rPr>
          <w:lang w:val="fr-FR"/>
        </w:rPr>
        <w:t xml:space="preserve">propres </w:t>
      </w:r>
      <w:r w:rsidRPr="00494098">
        <w:rPr>
          <w:lang w:val="fr-FR"/>
        </w:rPr>
        <w:t>à la sécurité et à la protection.</w:t>
      </w:r>
    </w:p>
    <w:p w14:paraId="130030B5" w14:textId="77777777" w:rsidR="00077B75" w:rsidRPr="00494098" w:rsidRDefault="00013C1D" w:rsidP="00480570">
      <w:pPr>
        <w:pStyle w:val="SingleTxtG"/>
        <w:rPr>
          <w:lang w:val="fr-FR"/>
        </w:rPr>
      </w:pPr>
      <w:r w:rsidRPr="00494098">
        <w:rPr>
          <w:lang w:val="fr-FR"/>
        </w:rPr>
        <w:t>309.</w:t>
      </w:r>
      <w:r w:rsidRPr="00494098">
        <w:rPr>
          <w:lang w:val="fr-FR"/>
        </w:rPr>
        <w:tab/>
        <w:t>À la suite de ce p</w:t>
      </w:r>
      <w:r w:rsidR="00077B75" w:rsidRPr="00494098">
        <w:rPr>
          <w:lang w:val="fr-FR"/>
        </w:rPr>
        <w:t>rotocole, l’Institut de la défense nationale et la Direction générale de l’éducation ont élaboré conjointement un cadre de référence d'éducation pour la sécurité, la protection et la paix</w:t>
      </w:r>
      <w:r w:rsidR="00F460BA" w:rsidRPr="00494098">
        <w:rPr>
          <w:lang w:val="fr-FR"/>
        </w:rPr>
        <w:t xml:space="preserve">, à vocation </w:t>
      </w:r>
      <w:r w:rsidRPr="00494098">
        <w:rPr>
          <w:lang w:val="fr-FR"/>
        </w:rPr>
        <w:t>pédagogique</w:t>
      </w:r>
      <w:r w:rsidR="00077B75" w:rsidRPr="00494098">
        <w:rPr>
          <w:lang w:val="fr-FR"/>
        </w:rPr>
        <w:t xml:space="preserve">, </w:t>
      </w:r>
      <w:r w:rsidR="00F460BA" w:rsidRPr="00494098">
        <w:rPr>
          <w:lang w:val="fr-FR"/>
        </w:rPr>
        <w:t xml:space="preserve">pour </w:t>
      </w:r>
      <w:r w:rsidR="00077B75" w:rsidRPr="00494098">
        <w:rPr>
          <w:lang w:val="fr-FR"/>
        </w:rPr>
        <w:t xml:space="preserve">tous les niveaux de l’éducation. </w:t>
      </w:r>
      <w:r w:rsidRPr="00494098">
        <w:rPr>
          <w:lang w:val="fr-FR"/>
        </w:rPr>
        <w:t>C</w:t>
      </w:r>
      <w:r w:rsidR="00077B75" w:rsidRPr="00494098">
        <w:rPr>
          <w:lang w:val="fr-FR"/>
        </w:rPr>
        <w:t xml:space="preserve">es deux institutions s’engagent </w:t>
      </w:r>
      <w:r w:rsidRPr="00494098">
        <w:rPr>
          <w:lang w:val="fr-FR"/>
        </w:rPr>
        <w:t xml:space="preserve">aussi, à ce titre, </w:t>
      </w:r>
      <w:r w:rsidR="00077B75" w:rsidRPr="00494098">
        <w:rPr>
          <w:lang w:val="fr-FR"/>
        </w:rPr>
        <w:t xml:space="preserve">à collaborer à la conception, </w:t>
      </w:r>
      <w:r w:rsidRPr="00494098">
        <w:rPr>
          <w:lang w:val="fr-FR"/>
        </w:rPr>
        <w:t xml:space="preserve">à </w:t>
      </w:r>
      <w:r w:rsidR="00077B75" w:rsidRPr="00494098">
        <w:rPr>
          <w:lang w:val="fr-FR"/>
        </w:rPr>
        <w:t xml:space="preserve">la mise en </w:t>
      </w:r>
      <w:r w:rsidR="00D264B0" w:rsidRPr="00494098">
        <w:rPr>
          <w:lang w:val="fr-FR"/>
        </w:rPr>
        <w:t>œuvr</w:t>
      </w:r>
      <w:r w:rsidR="00077B75" w:rsidRPr="00494098">
        <w:rPr>
          <w:lang w:val="fr-FR"/>
        </w:rPr>
        <w:t xml:space="preserve">e et </w:t>
      </w:r>
      <w:r w:rsidRPr="00494098">
        <w:rPr>
          <w:lang w:val="fr-FR"/>
        </w:rPr>
        <w:t xml:space="preserve">à </w:t>
      </w:r>
      <w:r w:rsidR="00077B75" w:rsidRPr="00494098">
        <w:rPr>
          <w:lang w:val="fr-FR"/>
        </w:rPr>
        <w:t>la diffusion d'activit</w:t>
      </w:r>
      <w:r w:rsidR="00F460BA" w:rsidRPr="00494098">
        <w:rPr>
          <w:lang w:val="fr-FR"/>
        </w:rPr>
        <w:t>és de formation des enseignants</w:t>
      </w:r>
      <w:r w:rsidR="00077B75" w:rsidRPr="00494098">
        <w:rPr>
          <w:lang w:val="fr-FR"/>
        </w:rPr>
        <w:t xml:space="preserve"> dans le cadre de la formation continue</w:t>
      </w:r>
      <w:r w:rsidR="00F460BA" w:rsidRPr="00494098">
        <w:rPr>
          <w:lang w:val="fr-FR"/>
        </w:rPr>
        <w:t>,</w:t>
      </w:r>
      <w:r w:rsidR="00077B75" w:rsidRPr="00494098">
        <w:rPr>
          <w:lang w:val="fr-FR"/>
        </w:rPr>
        <w:t xml:space="preserve"> et à encourager et soutenir les initiatives pertinentes de la société civile liées à la promotion d’une culture de sécurité, de protection et de paix, qui font partie intégrante du projet d’éducation </w:t>
      </w:r>
      <w:r w:rsidRPr="00494098">
        <w:rPr>
          <w:lang w:val="fr-FR"/>
        </w:rPr>
        <w:t>à l’école</w:t>
      </w:r>
      <w:r w:rsidR="00077B75" w:rsidRPr="00494098">
        <w:rPr>
          <w:lang w:val="fr-FR"/>
        </w:rPr>
        <w:t>.</w:t>
      </w:r>
    </w:p>
    <w:p w14:paraId="09594C3A" w14:textId="77777777" w:rsidR="00077B75" w:rsidRPr="00494098" w:rsidRDefault="00491E89" w:rsidP="00F60ADE">
      <w:pPr>
        <w:pStyle w:val="H1G"/>
        <w:rPr>
          <w:lang w:val="fr-FR"/>
        </w:rPr>
      </w:pPr>
      <w:r w:rsidRPr="00494098">
        <w:rPr>
          <w:lang w:val="fr-FR"/>
        </w:rPr>
        <w:tab/>
      </w:r>
      <w:r w:rsidR="00077B75" w:rsidRPr="00494098">
        <w:rPr>
          <w:lang w:val="fr-FR"/>
        </w:rPr>
        <w:t>C.</w:t>
      </w:r>
      <w:r w:rsidR="00077B75" w:rsidRPr="00494098">
        <w:rPr>
          <w:lang w:val="fr-FR"/>
        </w:rPr>
        <w:tab/>
        <w:t xml:space="preserve">Interdiction et questions connexes </w:t>
      </w:r>
      <w:bookmarkStart w:id="238" w:name="_Toc530057326"/>
      <w:bookmarkStart w:id="239" w:name="_Toc530057553"/>
      <w:bookmarkStart w:id="240" w:name="_Toc530057640"/>
      <w:bookmarkStart w:id="241" w:name="_Toc530068021"/>
      <w:bookmarkEnd w:id="238"/>
      <w:bookmarkEnd w:id="239"/>
      <w:bookmarkEnd w:id="240"/>
      <w:bookmarkEnd w:id="241"/>
    </w:p>
    <w:p w14:paraId="41CDF096" w14:textId="5C3DB3D9" w:rsidR="00077B75" w:rsidRPr="00494098" w:rsidRDefault="00077B75" w:rsidP="00F60ADE">
      <w:pPr>
        <w:pStyle w:val="H23G"/>
        <w:rPr>
          <w:lang w:val="fr-FR"/>
        </w:rPr>
      </w:pPr>
      <w:r w:rsidRPr="00494098">
        <w:rPr>
          <w:lang w:val="fr-FR"/>
        </w:rPr>
        <w:tab/>
      </w:r>
      <w:r w:rsidRPr="00494098">
        <w:rPr>
          <w:lang w:val="fr-FR"/>
        </w:rPr>
        <w:tab/>
      </w:r>
      <w:r w:rsidRPr="00494098">
        <w:rPr>
          <w:bCs/>
          <w:lang w:val="fr-FR"/>
        </w:rPr>
        <w:t>Lois et réglementations pénales en vigueur</w:t>
      </w:r>
      <w:bookmarkStart w:id="242" w:name="_Toc530057327"/>
      <w:bookmarkStart w:id="243" w:name="_Toc530057554"/>
      <w:bookmarkStart w:id="244" w:name="_Toc530057641"/>
      <w:bookmarkStart w:id="245" w:name="_Toc530068022"/>
      <w:bookmarkEnd w:id="242"/>
      <w:bookmarkEnd w:id="243"/>
      <w:bookmarkEnd w:id="244"/>
      <w:bookmarkEnd w:id="245"/>
      <w:r w:rsidR="00FA6CBB" w:rsidRPr="00494098">
        <w:rPr>
          <w:bCs/>
          <w:lang w:val="fr-FR"/>
        </w:rPr>
        <w:t xml:space="preserve"> (par. 21 des </w:t>
      </w:r>
      <w:r w:rsidR="00F50F4D">
        <w:rPr>
          <w:bCs/>
          <w:lang w:val="fr-FR"/>
        </w:rPr>
        <w:t>o</w:t>
      </w:r>
      <w:r w:rsidR="00916D99" w:rsidRPr="00494098">
        <w:rPr>
          <w:bCs/>
          <w:lang w:val="fr-FR"/>
        </w:rPr>
        <w:t>bservations finales</w:t>
      </w:r>
      <w:r w:rsidR="00FA6CBB" w:rsidRPr="00494098">
        <w:rPr>
          <w:bCs/>
          <w:lang w:val="fr-FR"/>
        </w:rPr>
        <w:t>)</w:t>
      </w:r>
    </w:p>
    <w:p w14:paraId="14938815" w14:textId="409821D7" w:rsidR="00077B75" w:rsidRPr="00494098" w:rsidRDefault="00077B75" w:rsidP="00AE4BF5">
      <w:pPr>
        <w:pStyle w:val="SingleTxtG"/>
        <w:rPr>
          <w:lang w:val="fr-FR"/>
        </w:rPr>
      </w:pPr>
      <w:r w:rsidRPr="00494098">
        <w:rPr>
          <w:lang w:val="fr-FR"/>
        </w:rPr>
        <w:t>310.</w:t>
      </w:r>
      <w:r w:rsidRPr="00494098">
        <w:rPr>
          <w:lang w:val="fr-FR"/>
        </w:rPr>
        <w:tab/>
        <w:t xml:space="preserve">La loi relative au Service militaire (loi </w:t>
      </w:r>
      <w:r w:rsidR="006717A5" w:rsidRPr="00494098">
        <w:rPr>
          <w:lang w:val="fr-FR"/>
        </w:rPr>
        <w:t>n° </w:t>
      </w:r>
      <w:r w:rsidR="00480991" w:rsidRPr="00494098">
        <w:rPr>
          <w:lang w:val="fr-FR"/>
        </w:rPr>
        <w:t>1</w:t>
      </w:r>
      <w:r w:rsidRPr="00494098">
        <w:rPr>
          <w:lang w:val="fr-FR"/>
        </w:rPr>
        <w:t>74/99 du 21</w:t>
      </w:r>
      <w:r w:rsidR="00480991" w:rsidRPr="00494098">
        <w:rPr>
          <w:lang w:val="fr-FR"/>
        </w:rPr>
        <w:t> septembre</w:t>
      </w:r>
      <w:r w:rsidRPr="00494098">
        <w:rPr>
          <w:lang w:val="fr-FR"/>
        </w:rPr>
        <w:t xml:space="preserve"> 1999) dispose que la réserve de recrutement est constituée de citoyens portugais âgés de 18 à 35</w:t>
      </w:r>
      <w:r w:rsidR="00FA6CBB" w:rsidRPr="00494098">
        <w:rPr>
          <w:lang w:val="fr-FR"/>
        </w:rPr>
        <w:t> </w:t>
      </w:r>
      <w:r w:rsidRPr="00494098">
        <w:rPr>
          <w:lang w:val="fr-FR"/>
        </w:rPr>
        <w:t>ans qui, n’ayant pas effectivement servi sous les drapeaux, peuvent être recrutés dans des circonstances exceptionnelles. Les enfants ne sont recrutés en aucun c</w:t>
      </w:r>
      <w:r w:rsidR="00FA6CBB" w:rsidRPr="00494098">
        <w:rPr>
          <w:lang w:val="fr-FR"/>
        </w:rPr>
        <w:t>as</w:t>
      </w:r>
      <w:r w:rsidRPr="00494098">
        <w:rPr>
          <w:lang w:val="fr-FR"/>
        </w:rPr>
        <w:t xml:space="preserve"> (voir réponse donnée au </w:t>
      </w:r>
      <w:r w:rsidR="00872592" w:rsidRPr="00494098">
        <w:rPr>
          <w:lang w:val="fr-FR"/>
        </w:rPr>
        <w:t>par</w:t>
      </w:r>
      <w:r w:rsidR="00F50F4D">
        <w:rPr>
          <w:lang w:val="fr-FR"/>
        </w:rPr>
        <w:t>agraphe</w:t>
      </w:r>
      <w:r w:rsidR="00872592" w:rsidRPr="00494098">
        <w:rPr>
          <w:lang w:val="fr-FR"/>
        </w:rPr>
        <w:t> 1</w:t>
      </w:r>
      <w:r w:rsidRPr="00494098">
        <w:rPr>
          <w:lang w:val="fr-FR"/>
        </w:rPr>
        <w:t xml:space="preserve">5 des </w:t>
      </w:r>
      <w:r w:rsidR="00F50F4D">
        <w:rPr>
          <w:lang w:val="fr-FR"/>
        </w:rPr>
        <w:t>o</w:t>
      </w:r>
      <w:r w:rsidR="00916D99" w:rsidRPr="00494098">
        <w:rPr>
          <w:lang w:val="fr-FR"/>
        </w:rPr>
        <w:t>bservations finales - CRC/C/OPAC/PRT/CO/1</w:t>
      </w:r>
      <w:r w:rsidRPr="00494098">
        <w:rPr>
          <w:lang w:val="fr-FR"/>
        </w:rPr>
        <w:t xml:space="preserve">). </w:t>
      </w:r>
    </w:p>
    <w:p w14:paraId="7AD83C15" w14:textId="78B0D8CB" w:rsidR="00077B75" w:rsidRPr="00494098" w:rsidRDefault="00077B75" w:rsidP="00480570">
      <w:pPr>
        <w:pStyle w:val="SingleTxtG"/>
        <w:rPr>
          <w:lang w:val="fr-FR"/>
        </w:rPr>
      </w:pPr>
      <w:r w:rsidRPr="00494098">
        <w:rPr>
          <w:lang w:val="fr-FR"/>
        </w:rPr>
        <w:t>311.</w:t>
      </w:r>
      <w:r w:rsidRPr="00494098">
        <w:rPr>
          <w:lang w:val="fr-FR"/>
        </w:rPr>
        <w:tab/>
      </w:r>
      <w:r w:rsidR="00FA6CBB" w:rsidRPr="00494098">
        <w:rPr>
          <w:lang w:val="fr-FR"/>
        </w:rPr>
        <w:t xml:space="preserve"> </w:t>
      </w:r>
      <w:r w:rsidR="00F50F4D">
        <w:rPr>
          <w:lang w:val="fr-FR"/>
        </w:rPr>
        <w:t>L’</w:t>
      </w:r>
      <w:r w:rsidR="00FA6CBB" w:rsidRPr="00494098">
        <w:rPr>
          <w:lang w:val="fr-FR"/>
        </w:rPr>
        <w:t>article 10</w:t>
      </w:r>
      <w:r w:rsidR="00F50F4D">
        <w:rPr>
          <w:lang w:val="fr-FR"/>
        </w:rPr>
        <w:t xml:space="preserve"> (par</w:t>
      </w:r>
      <w:r w:rsidR="00FA6CBB" w:rsidRPr="00494098">
        <w:rPr>
          <w:lang w:val="fr-FR"/>
        </w:rPr>
        <w:t>.1 h)</w:t>
      </w:r>
      <w:r w:rsidR="00F50F4D">
        <w:rPr>
          <w:lang w:val="fr-FR"/>
        </w:rPr>
        <w:t xml:space="preserve"> de</w:t>
      </w:r>
      <w:r w:rsidR="00FA6CBB" w:rsidRPr="00494098">
        <w:rPr>
          <w:lang w:val="fr-FR"/>
        </w:rPr>
        <w:t xml:space="preserve"> l</w:t>
      </w:r>
      <w:r w:rsidRPr="00494098">
        <w:rPr>
          <w:lang w:val="fr-FR"/>
        </w:rPr>
        <w:t xml:space="preserve">a loi </w:t>
      </w:r>
      <w:r w:rsidR="006717A5" w:rsidRPr="00494098">
        <w:rPr>
          <w:lang w:val="fr-FR"/>
        </w:rPr>
        <w:t>n° </w:t>
      </w:r>
      <w:r w:rsidRPr="00494098">
        <w:rPr>
          <w:lang w:val="fr-FR"/>
        </w:rPr>
        <w:t>31/2004 du 22</w:t>
      </w:r>
      <w:r w:rsidR="00B34673" w:rsidRPr="00494098">
        <w:rPr>
          <w:lang w:val="fr-FR"/>
        </w:rPr>
        <w:t> juillet</w:t>
      </w:r>
      <w:r w:rsidRPr="00494098">
        <w:rPr>
          <w:lang w:val="fr-FR"/>
        </w:rPr>
        <w:t xml:space="preserve"> 2004, telle que modifiée par la loi </w:t>
      </w:r>
      <w:r w:rsidR="006717A5" w:rsidRPr="00494098">
        <w:rPr>
          <w:lang w:val="fr-FR"/>
        </w:rPr>
        <w:t>n° </w:t>
      </w:r>
      <w:r w:rsidRPr="00494098">
        <w:rPr>
          <w:lang w:val="fr-FR"/>
        </w:rPr>
        <w:t>59/2007</w:t>
      </w:r>
      <w:r w:rsidR="00CE3632">
        <w:rPr>
          <w:lang w:val="fr-FR"/>
        </w:rPr>
        <w:t xml:space="preserve"> qui</w:t>
      </w:r>
      <w:r w:rsidRPr="00494098">
        <w:rPr>
          <w:lang w:val="fr-FR"/>
        </w:rPr>
        <w:t xml:space="preserve"> adapte la législation nationale au Statut d</w:t>
      </w:r>
      <w:r w:rsidR="00F460BA" w:rsidRPr="00494098">
        <w:rPr>
          <w:lang w:val="fr-FR"/>
        </w:rPr>
        <w:t>e la Cour pénale internationale ;</w:t>
      </w:r>
      <w:r w:rsidRPr="00494098">
        <w:rPr>
          <w:lang w:val="fr-FR"/>
        </w:rPr>
        <w:t xml:space="preserve"> </w:t>
      </w:r>
      <w:r w:rsidR="00F460BA" w:rsidRPr="00494098">
        <w:rPr>
          <w:lang w:val="fr-FR"/>
        </w:rPr>
        <w:t xml:space="preserve"> </w:t>
      </w:r>
      <w:r w:rsidRPr="00494098">
        <w:rPr>
          <w:lang w:val="fr-FR"/>
        </w:rPr>
        <w:t>é</w:t>
      </w:r>
      <w:r w:rsidR="00FA6CBB" w:rsidRPr="00494098">
        <w:rPr>
          <w:lang w:val="fr-FR"/>
        </w:rPr>
        <w:t xml:space="preserve">rige le recrutement d’enfants par les forces armées ou </w:t>
      </w:r>
      <w:r w:rsidR="00CE3632">
        <w:rPr>
          <w:lang w:val="fr-FR"/>
        </w:rPr>
        <w:t xml:space="preserve">par </w:t>
      </w:r>
      <w:r w:rsidR="00FA6CBB" w:rsidRPr="00494098">
        <w:rPr>
          <w:lang w:val="fr-FR"/>
        </w:rPr>
        <w:t>tout autre groupe armé en crime de guerre contre l</w:t>
      </w:r>
      <w:r w:rsidRPr="00494098">
        <w:rPr>
          <w:lang w:val="fr-FR"/>
        </w:rPr>
        <w:t>es personnes</w:t>
      </w:r>
      <w:r w:rsidR="00996213" w:rsidRPr="00494098">
        <w:rPr>
          <w:lang w:val="fr-FR"/>
        </w:rPr>
        <w:t>,</w:t>
      </w:r>
      <w:r w:rsidR="00F460BA" w:rsidRPr="00494098">
        <w:rPr>
          <w:lang w:val="fr-FR"/>
        </w:rPr>
        <w:t xml:space="preserve"> </w:t>
      </w:r>
      <w:r w:rsidR="00FA6CBB" w:rsidRPr="00494098">
        <w:rPr>
          <w:lang w:val="fr-FR"/>
        </w:rPr>
        <w:t xml:space="preserve">et le rend </w:t>
      </w:r>
      <w:r w:rsidRPr="00494098">
        <w:rPr>
          <w:lang w:val="fr-FR"/>
        </w:rPr>
        <w:t>passible d’une peine de 10 à 25</w:t>
      </w:r>
      <w:r w:rsidR="00FA6CBB" w:rsidRPr="00494098">
        <w:rPr>
          <w:lang w:val="fr-FR"/>
        </w:rPr>
        <w:t> </w:t>
      </w:r>
      <w:r w:rsidRPr="00494098">
        <w:rPr>
          <w:lang w:val="fr-FR"/>
        </w:rPr>
        <w:t xml:space="preserve">ans d’emprisonnement,. </w:t>
      </w:r>
    </w:p>
    <w:p w14:paraId="5485E325" w14:textId="77777777" w:rsidR="00077B75" w:rsidRPr="00494098" w:rsidRDefault="00491E89" w:rsidP="00F60ADE">
      <w:pPr>
        <w:pStyle w:val="H1G"/>
        <w:rPr>
          <w:lang w:val="fr-FR"/>
        </w:rPr>
      </w:pPr>
      <w:r w:rsidRPr="00494098">
        <w:rPr>
          <w:lang w:val="fr-FR"/>
        </w:rPr>
        <w:tab/>
      </w:r>
      <w:r w:rsidR="00077B75" w:rsidRPr="00494098">
        <w:rPr>
          <w:lang w:val="fr-FR"/>
        </w:rPr>
        <w:t>D.</w:t>
      </w:r>
      <w:r w:rsidR="00077B75" w:rsidRPr="00494098">
        <w:rPr>
          <w:lang w:val="fr-FR"/>
        </w:rPr>
        <w:tab/>
      </w:r>
      <w:r w:rsidR="00077B75" w:rsidRPr="00494098">
        <w:rPr>
          <w:bCs/>
          <w:lang w:val="fr-FR"/>
        </w:rPr>
        <w:t>Protection, réadaptation et réinsertion</w:t>
      </w:r>
      <w:bookmarkStart w:id="246" w:name="_Toc530057328"/>
      <w:bookmarkStart w:id="247" w:name="_Toc530057555"/>
      <w:bookmarkStart w:id="248" w:name="_Toc530057642"/>
      <w:bookmarkStart w:id="249" w:name="_Toc530068023"/>
      <w:bookmarkEnd w:id="246"/>
      <w:bookmarkEnd w:id="247"/>
      <w:bookmarkEnd w:id="248"/>
      <w:bookmarkEnd w:id="249"/>
    </w:p>
    <w:p w14:paraId="2F67E37A" w14:textId="6652F136" w:rsidR="00077B75" w:rsidRPr="00494098" w:rsidRDefault="00077B75" w:rsidP="00F60ADE">
      <w:pPr>
        <w:pStyle w:val="H23G"/>
        <w:rPr>
          <w:lang w:val="fr-FR"/>
        </w:rPr>
      </w:pPr>
      <w:r w:rsidRPr="00494098">
        <w:rPr>
          <w:lang w:val="fr-FR"/>
        </w:rPr>
        <w:tab/>
      </w:r>
      <w:r w:rsidRPr="00494098">
        <w:rPr>
          <w:lang w:val="fr-FR"/>
        </w:rPr>
        <w:tab/>
      </w:r>
      <w:r w:rsidRPr="00494098">
        <w:rPr>
          <w:bCs/>
          <w:lang w:val="fr-FR"/>
        </w:rPr>
        <w:t>Mesures adoptées pour protéger les droits des enfants victimes (</w:t>
      </w:r>
      <w:r w:rsidR="00762179" w:rsidRPr="00494098">
        <w:rPr>
          <w:bCs/>
          <w:lang w:val="fr-FR"/>
        </w:rPr>
        <w:t>par. 2</w:t>
      </w:r>
      <w:r w:rsidRPr="00494098">
        <w:rPr>
          <w:bCs/>
          <w:lang w:val="fr-FR"/>
        </w:rPr>
        <w:t xml:space="preserve">3 des </w:t>
      </w:r>
      <w:r w:rsidR="001275FA">
        <w:rPr>
          <w:bCs/>
          <w:lang w:val="fr-FR"/>
        </w:rPr>
        <w:t>o</w:t>
      </w:r>
      <w:r w:rsidR="00916D99" w:rsidRPr="00494098">
        <w:rPr>
          <w:bCs/>
          <w:lang w:val="fr-FR"/>
        </w:rPr>
        <w:t>bservations finales</w:t>
      </w:r>
      <w:r w:rsidRPr="00494098">
        <w:rPr>
          <w:bCs/>
          <w:lang w:val="fr-FR"/>
        </w:rPr>
        <w:t>)</w:t>
      </w:r>
      <w:bookmarkStart w:id="250" w:name="_Toc530057329"/>
      <w:bookmarkStart w:id="251" w:name="_Toc530057556"/>
      <w:bookmarkStart w:id="252" w:name="_Toc530057643"/>
      <w:bookmarkStart w:id="253" w:name="_Toc530068024"/>
      <w:bookmarkEnd w:id="250"/>
      <w:bookmarkEnd w:id="251"/>
      <w:bookmarkEnd w:id="252"/>
      <w:bookmarkEnd w:id="253"/>
    </w:p>
    <w:p w14:paraId="3F8E7B6A" w14:textId="77777777" w:rsidR="00077B75" w:rsidRPr="00494098" w:rsidRDefault="00077B75" w:rsidP="00480570">
      <w:pPr>
        <w:pStyle w:val="SingleTxtG"/>
        <w:rPr>
          <w:lang w:val="fr-FR"/>
        </w:rPr>
      </w:pPr>
      <w:r w:rsidRPr="00494098">
        <w:rPr>
          <w:lang w:val="fr-FR"/>
        </w:rPr>
        <w:t>312.</w:t>
      </w:r>
      <w:r w:rsidRPr="00494098">
        <w:rPr>
          <w:lang w:val="fr-FR"/>
        </w:rPr>
        <w:tab/>
        <w:t>Bien qu</w:t>
      </w:r>
      <w:r w:rsidR="008E2C41" w:rsidRPr="00494098">
        <w:rPr>
          <w:lang w:val="fr-FR"/>
        </w:rPr>
        <w:t xml:space="preserve">e les autorités portugaises n’aient identifié </w:t>
      </w:r>
      <w:r w:rsidRPr="00494098">
        <w:rPr>
          <w:lang w:val="fr-FR"/>
        </w:rPr>
        <w:t xml:space="preserve">aucun enfant </w:t>
      </w:r>
      <w:r w:rsidR="008E2C41" w:rsidRPr="00494098">
        <w:rPr>
          <w:lang w:val="fr-FR"/>
        </w:rPr>
        <w:t>dans une telle situation, l</w:t>
      </w:r>
      <w:r w:rsidRPr="00494098">
        <w:rPr>
          <w:lang w:val="fr-FR"/>
        </w:rPr>
        <w:t xml:space="preserve">es policiers et d'autres fonctionnaires reçoivent une formation adéquate et des protocoles sont mis en place pour </w:t>
      </w:r>
      <w:r w:rsidR="00F460BA" w:rsidRPr="00494098">
        <w:rPr>
          <w:lang w:val="fr-FR"/>
        </w:rPr>
        <w:t xml:space="preserve">pouvoir </w:t>
      </w:r>
      <w:r w:rsidRPr="00494098">
        <w:rPr>
          <w:lang w:val="fr-FR"/>
        </w:rPr>
        <w:t xml:space="preserve">identifier et </w:t>
      </w:r>
      <w:r w:rsidR="008E2C41" w:rsidRPr="00494098">
        <w:rPr>
          <w:lang w:val="fr-FR"/>
        </w:rPr>
        <w:t xml:space="preserve">signaler </w:t>
      </w:r>
      <w:r w:rsidRPr="00494098">
        <w:rPr>
          <w:lang w:val="fr-FR"/>
        </w:rPr>
        <w:t>les cas</w:t>
      </w:r>
      <w:r w:rsidR="008E2C41" w:rsidRPr="00494098">
        <w:rPr>
          <w:lang w:val="fr-FR"/>
        </w:rPr>
        <w:t>, s’il en advenait,</w:t>
      </w:r>
      <w:r w:rsidRPr="00494098">
        <w:rPr>
          <w:lang w:val="fr-FR"/>
        </w:rPr>
        <w:t xml:space="preserve"> aux autorités compétentes. </w:t>
      </w:r>
    </w:p>
    <w:p w14:paraId="58215EE8" w14:textId="77777777" w:rsidR="00077B75" w:rsidRPr="00494098" w:rsidRDefault="00077B75" w:rsidP="00480570">
      <w:pPr>
        <w:pStyle w:val="SingleTxtG"/>
        <w:rPr>
          <w:lang w:val="fr-FR"/>
        </w:rPr>
      </w:pPr>
      <w:r w:rsidRPr="00494098">
        <w:rPr>
          <w:lang w:val="fr-FR"/>
        </w:rPr>
        <w:t>313.</w:t>
      </w:r>
      <w:r w:rsidRPr="00494098">
        <w:rPr>
          <w:lang w:val="fr-FR"/>
        </w:rPr>
        <w:tab/>
        <w:t>Par l</w:t>
      </w:r>
      <w:r w:rsidR="00F460BA" w:rsidRPr="00494098">
        <w:rPr>
          <w:lang w:val="fr-FR"/>
        </w:rPr>
        <w:t xml:space="preserve">e truchement </w:t>
      </w:r>
      <w:r w:rsidRPr="00494098">
        <w:rPr>
          <w:lang w:val="fr-FR"/>
        </w:rPr>
        <w:t xml:space="preserve">de la police locale et de proximité, la Garde nationale républicaine </w:t>
      </w:r>
      <w:r w:rsidR="008E2C41" w:rsidRPr="00494098">
        <w:rPr>
          <w:lang w:val="fr-FR"/>
        </w:rPr>
        <w:t xml:space="preserve">est </w:t>
      </w:r>
      <w:r w:rsidRPr="00494098">
        <w:rPr>
          <w:lang w:val="fr-FR"/>
        </w:rPr>
        <w:t xml:space="preserve">particulièrement </w:t>
      </w:r>
      <w:r w:rsidR="008E2C41" w:rsidRPr="00494098">
        <w:rPr>
          <w:lang w:val="fr-FR"/>
        </w:rPr>
        <w:t>vigilante à cet égard</w:t>
      </w:r>
      <w:r w:rsidR="00F460BA" w:rsidRPr="00494098">
        <w:rPr>
          <w:lang w:val="fr-FR"/>
        </w:rPr>
        <w:t xml:space="preserve"> ; elle </w:t>
      </w:r>
      <w:r w:rsidR="00996213" w:rsidRPr="00494098">
        <w:rPr>
          <w:lang w:val="fr-FR"/>
        </w:rPr>
        <w:t>est</w:t>
      </w:r>
      <w:r w:rsidR="008E2C41" w:rsidRPr="00494098">
        <w:rPr>
          <w:lang w:val="fr-FR"/>
        </w:rPr>
        <w:t xml:space="preserve"> </w:t>
      </w:r>
      <w:r w:rsidRPr="00494098">
        <w:rPr>
          <w:lang w:val="fr-FR"/>
        </w:rPr>
        <w:t xml:space="preserve">en mesure de recueillir des informations pertinentes </w:t>
      </w:r>
      <w:r w:rsidR="00996213" w:rsidRPr="00494098">
        <w:rPr>
          <w:lang w:val="fr-FR"/>
        </w:rPr>
        <w:t>sur ce problème</w:t>
      </w:r>
      <w:r w:rsidR="008E2C41" w:rsidRPr="00494098">
        <w:rPr>
          <w:lang w:val="fr-FR"/>
        </w:rPr>
        <w:t xml:space="preserve"> </w:t>
      </w:r>
      <w:r w:rsidR="00F460BA" w:rsidRPr="00494098">
        <w:rPr>
          <w:lang w:val="fr-FR"/>
        </w:rPr>
        <w:t xml:space="preserve">et </w:t>
      </w:r>
      <w:r w:rsidR="008E2C41" w:rsidRPr="00494098">
        <w:rPr>
          <w:lang w:val="fr-FR"/>
        </w:rPr>
        <w:t xml:space="preserve">de les communiquer </w:t>
      </w:r>
      <w:r w:rsidRPr="00494098">
        <w:rPr>
          <w:lang w:val="fr-FR"/>
        </w:rPr>
        <w:t>à l’autorité nation</w:t>
      </w:r>
      <w:r w:rsidR="008E2C41" w:rsidRPr="00494098">
        <w:rPr>
          <w:lang w:val="fr-FR"/>
        </w:rPr>
        <w:t xml:space="preserve">ale </w:t>
      </w:r>
      <w:r w:rsidRPr="00494098">
        <w:rPr>
          <w:lang w:val="fr-FR"/>
        </w:rPr>
        <w:t xml:space="preserve">compétente en la matière, c’est-à-dire </w:t>
      </w:r>
      <w:r w:rsidR="00F460BA" w:rsidRPr="00494098">
        <w:rPr>
          <w:lang w:val="fr-FR"/>
        </w:rPr>
        <w:t>au</w:t>
      </w:r>
      <w:r w:rsidRPr="00494098">
        <w:rPr>
          <w:lang w:val="fr-FR"/>
        </w:rPr>
        <w:t xml:space="preserve"> Service des étrangers et des frontières.</w:t>
      </w:r>
    </w:p>
    <w:p w14:paraId="1342DC7A" w14:textId="77777777" w:rsidR="00077B75" w:rsidRPr="00494098" w:rsidRDefault="00077B75" w:rsidP="00480570">
      <w:pPr>
        <w:pStyle w:val="SingleTxtG"/>
        <w:rPr>
          <w:lang w:val="fr-FR"/>
        </w:rPr>
      </w:pPr>
      <w:r w:rsidRPr="00494098">
        <w:rPr>
          <w:lang w:val="fr-FR"/>
        </w:rPr>
        <w:t>314.</w:t>
      </w:r>
      <w:r w:rsidRPr="00494098">
        <w:rPr>
          <w:lang w:val="fr-FR"/>
        </w:rPr>
        <w:tab/>
        <w:t xml:space="preserve">Les autorités portugaises sont sensibles à la </w:t>
      </w:r>
      <w:r w:rsidR="00F61444" w:rsidRPr="00494098">
        <w:rPr>
          <w:lang w:val="fr-FR"/>
        </w:rPr>
        <w:t xml:space="preserve">très grande </w:t>
      </w:r>
      <w:r w:rsidRPr="00494098">
        <w:rPr>
          <w:lang w:val="fr-FR"/>
        </w:rPr>
        <w:t>vulnérabilité psychologique des enfants réfugiés ou demandeurs d’asile.</w:t>
      </w:r>
    </w:p>
    <w:p w14:paraId="0710E0E8" w14:textId="77777777" w:rsidR="00077B75" w:rsidRPr="00494098" w:rsidRDefault="00077B75" w:rsidP="00480570">
      <w:pPr>
        <w:pStyle w:val="SingleTxtG"/>
        <w:rPr>
          <w:lang w:val="fr-FR"/>
        </w:rPr>
      </w:pPr>
      <w:r w:rsidRPr="00494098">
        <w:rPr>
          <w:lang w:val="fr-FR"/>
        </w:rPr>
        <w:t>315.</w:t>
      </w:r>
      <w:r w:rsidRPr="00494098">
        <w:rPr>
          <w:lang w:val="fr-FR"/>
        </w:rPr>
        <w:tab/>
        <w:t>Compte tenu de la nécessité du soutien psychologique à accorder aux réfugiés arrivant en Portugal, le Haut Commissariat aux migrations et l’Ordre des psychologues portugais ont signé un accord de coopération en</w:t>
      </w:r>
      <w:r w:rsidR="00F019C5" w:rsidRPr="00494098">
        <w:rPr>
          <w:lang w:val="fr-FR"/>
        </w:rPr>
        <w:t xml:space="preserve"> </w:t>
      </w:r>
      <w:r w:rsidR="00B34673" w:rsidRPr="00494098">
        <w:rPr>
          <w:lang w:val="fr-FR"/>
        </w:rPr>
        <w:t>juillet</w:t>
      </w:r>
      <w:r w:rsidRPr="00494098">
        <w:rPr>
          <w:lang w:val="fr-FR"/>
        </w:rPr>
        <w:t xml:space="preserve"> 2016</w:t>
      </w:r>
      <w:r w:rsidR="00F019C5" w:rsidRPr="00494098">
        <w:rPr>
          <w:lang w:val="fr-FR"/>
        </w:rPr>
        <w:t>,</w:t>
      </w:r>
      <w:r w:rsidRPr="00494098">
        <w:rPr>
          <w:lang w:val="fr-FR"/>
        </w:rPr>
        <w:t xml:space="preserve"> dans le but d’œuvrer </w:t>
      </w:r>
      <w:r w:rsidR="00F019C5" w:rsidRPr="00494098">
        <w:rPr>
          <w:lang w:val="fr-FR"/>
        </w:rPr>
        <w:t xml:space="preserve">en commun </w:t>
      </w:r>
      <w:r w:rsidRPr="00494098">
        <w:rPr>
          <w:lang w:val="fr-FR"/>
        </w:rPr>
        <w:t xml:space="preserve">à l'identification des risques psychosociaux </w:t>
      </w:r>
      <w:r w:rsidR="00F019C5" w:rsidRPr="00494098">
        <w:rPr>
          <w:lang w:val="fr-FR"/>
        </w:rPr>
        <w:t xml:space="preserve">et </w:t>
      </w:r>
      <w:r w:rsidRPr="00494098">
        <w:rPr>
          <w:lang w:val="fr-FR"/>
        </w:rPr>
        <w:t xml:space="preserve">aux interventions dans les situations de catastrophe. L'Ordre s'est engagé à mettre à la disposition du Haut Commissariat une liste de psychologues </w:t>
      </w:r>
      <w:r w:rsidR="00F019C5" w:rsidRPr="00494098">
        <w:rPr>
          <w:lang w:val="fr-FR"/>
        </w:rPr>
        <w:t xml:space="preserve">ayant </w:t>
      </w:r>
      <w:r w:rsidRPr="00494098">
        <w:rPr>
          <w:lang w:val="fr-FR"/>
        </w:rPr>
        <w:t>achevé la formation</w:t>
      </w:r>
      <w:r w:rsidR="00090CBF" w:rsidRPr="00494098">
        <w:rPr>
          <w:lang w:val="fr-FR"/>
        </w:rPr>
        <w:t> :</w:t>
      </w:r>
      <w:r w:rsidRPr="00494098">
        <w:rPr>
          <w:lang w:val="fr-FR"/>
        </w:rPr>
        <w:t xml:space="preserve"> «</w:t>
      </w:r>
      <w:r w:rsidR="00F019C5" w:rsidRPr="00494098">
        <w:rPr>
          <w:lang w:val="fr-FR"/>
        </w:rPr>
        <w:t> </w:t>
      </w:r>
      <w:r w:rsidRPr="00494098">
        <w:rPr>
          <w:lang w:val="fr-FR"/>
        </w:rPr>
        <w:t>1000 psychologues pour les situations de catastrophe</w:t>
      </w:r>
      <w:r w:rsidR="00F019C5" w:rsidRPr="00494098">
        <w:rPr>
          <w:lang w:val="fr-FR"/>
        </w:rPr>
        <w:t> </w:t>
      </w:r>
      <w:r w:rsidRPr="00494098">
        <w:rPr>
          <w:lang w:val="fr-FR"/>
        </w:rPr>
        <w:t>»</w:t>
      </w:r>
      <w:r w:rsidR="00996213" w:rsidRPr="00494098">
        <w:rPr>
          <w:lang w:val="fr-FR"/>
        </w:rPr>
        <w:t>,</w:t>
      </w:r>
      <w:r w:rsidRPr="00494098">
        <w:rPr>
          <w:lang w:val="fr-FR"/>
        </w:rPr>
        <w:t xml:space="preserve"> </w:t>
      </w:r>
      <w:r w:rsidR="00F019C5" w:rsidRPr="00494098">
        <w:rPr>
          <w:lang w:val="fr-FR"/>
        </w:rPr>
        <w:t>disponibles</w:t>
      </w:r>
      <w:r w:rsidRPr="00494098">
        <w:rPr>
          <w:lang w:val="fr-FR"/>
        </w:rPr>
        <w:t xml:space="preserve"> pour apporter </w:t>
      </w:r>
      <w:r w:rsidR="00F019C5" w:rsidRPr="00494098">
        <w:rPr>
          <w:lang w:val="fr-FR"/>
        </w:rPr>
        <w:t xml:space="preserve">gracieusement </w:t>
      </w:r>
      <w:r w:rsidRPr="00494098">
        <w:rPr>
          <w:lang w:val="fr-FR"/>
        </w:rPr>
        <w:t>leur soutien au processus de l’accueil des réfugiés en Portugal. Un protocole a également été signé avec le Comité olympique portugais.</w:t>
      </w:r>
    </w:p>
    <w:p w14:paraId="2D90DAAE" w14:textId="73605413" w:rsidR="00077B75" w:rsidRPr="00494098" w:rsidRDefault="00077B75" w:rsidP="00F60ADE">
      <w:pPr>
        <w:pStyle w:val="H23G"/>
        <w:rPr>
          <w:lang w:val="fr-FR"/>
        </w:rPr>
      </w:pPr>
      <w:r w:rsidRPr="00494098">
        <w:rPr>
          <w:lang w:val="fr-FR"/>
        </w:rPr>
        <w:tab/>
      </w:r>
      <w:r w:rsidRPr="00494098">
        <w:rPr>
          <w:lang w:val="fr-FR"/>
        </w:rPr>
        <w:tab/>
        <w:t>Aide à la réadaptation physique et psychologique et à la réinsertion sociale (</w:t>
      </w:r>
      <w:r w:rsidR="00762179" w:rsidRPr="00494098">
        <w:rPr>
          <w:lang w:val="fr-FR"/>
        </w:rPr>
        <w:t>par. 2</w:t>
      </w:r>
      <w:r w:rsidRPr="00494098">
        <w:rPr>
          <w:lang w:val="fr-FR"/>
        </w:rPr>
        <w:t xml:space="preserve">5 des </w:t>
      </w:r>
      <w:r w:rsidR="002879EF">
        <w:rPr>
          <w:lang w:val="fr-FR"/>
        </w:rPr>
        <w:t>o</w:t>
      </w:r>
      <w:r w:rsidR="00916D99" w:rsidRPr="00494098">
        <w:rPr>
          <w:lang w:val="fr-FR"/>
        </w:rPr>
        <w:t>bservations finales</w:t>
      </w:r>
      <w:r w:rsidRPr="00494098">
        <w:rPr>
          <w:lang w:val="fr-FR"/>
        </w:rPr>
        <w:t>)</w:t>
      </w:r>
      <w:bookmarkStart w:id="254" w:name="_Toc530057330"/>
      <w:bookmarkStart w:id="255" w:name="_Toc530057557"/>
      <w:bookmarkStart w:id="256" w:name="_Toc530057644"/>
      <w:bookmarkStart w:id="257" w:name="_Toc530068025"/>
      <w:bookmarkEnd w:id="254"/>
      <w:bookmarkEnd w:id="255"/>
      <w:bookmarkEnd w:id="256"/>
      <w:bookmarkEnd w:id="257"/>
    </w:p>
    <w:p w14:paraId="29221A1B" w14:textId="77777777" w:rsidR="00077B75" w:rsidRPr="00494098" w:rsidRDefault="00077B75" w:rsidP="00480570">
      <w:pPr>
        <w:pStyle w:val="SingleTxtG"/>
        <w:rPr>
          <w:lang w:val="fr-FR"/>
        </w:rPr>
      </w:pPr>
      <w:r w:rsidRPr="00494098">
        <w:rPr>
          <w:lang w:val="fr-FR"/>
        </w:rPr>
        <w:t>316.</w:t>
      </w:r>
      <w:r w:rsidRPr="00494098">
        <w:rPr>
          <w:lang w:val="fr-FR"/>
        </w:rPr>
        <w:tab/>
        <w:t>Bien que les autorités portugaises n’aient pas identifié d'enfant susceptible d’avoir été enrôlé ou utilisé dans des hostilités, les mesures de rétablissement physique</w:t>
      </w:r>
      <w:r w:rsidR="00401A99" w:rsidRPr="00494098">
        <w:rPr>
          <w:lang w:val="fr-FR"/>
        </w:rPr>
        <w:t>,</w:t>
      </w:r>
      <w:r w:rsidRPr="00494098">
        <w:rPr>
          <w:lang w:val="fr-FR"/>
        </w:rPr>
        <w:t xml:space="preserve"> psychologique et de réinsertion sociale dispo</w:t>
      </w:r>
      <w:r w:rsidR="00401A99" w:rsidRPr="00494098">
        <w:rPr>
          <w:lang w:val="fr-FR"/>
        </w:rPr>
        <w:t xml:space="preserve">nibles pour les </w:t>
      </w:r>
      <w:r w:rsidRPr="00494098">
        <w:rPr>
          <w:lang w:val="fr-FR"/>
        </w:rPr>
        <w:t xml:space="preserve">victimes s’appliqueraient dans </w:t>
      </w:r>
      <w:r w:rsidR="00757FBA" w:rsidRPr="00494098">
        <w:rPr>
          <w:lang w:val="fr-FR"/>
        </w:rPr>
        <w:t xml:space="preserve">de telles </w:t>
      </w:r>
      <w:r w:rsidRPr="00494098">
        <w:rPr>
          <w:lang w:val="fr-FR"/>
        </w:rPr>
        <w:t>situations.</w:t>
      </w:r>
    </w:p>
    <w:p w14:paraId="1C504FEF" w14:textId="77777777" w:rsidR="00077B75" w:rsidRPr="00494098" w:rsidRDefault="00077B75" w:rsidP="00480570">
      <w:pPr>
        <w:pStyle w:val="SingleTxtG"/>
        <w:rPr>
          <w:lang w:val="fr-FR"/>
        </w:rPr>
      </w:pPr>
      <w:r w:rsidRPr="00494098">
        <w:rPr>
          <w:lang w:val="fr-FR"/>
        </w:rPr>
        <w:t>317.</w:t>
      </w:r>
      <w:r w:rsidRPr="00494098">
        <w:rPr>
          <w:lang w:val="fr-FR"/>
        </w:rPr>
        <w:tab/>
        <w:t xml:space="preserve">En 2017, la Garde nationale républicaine a </w:t>
      </w:r>
      <w:r w:rsidR="00401A99" w:rsidRPr="00494098">
        <w:rPr>
          <w:lang w:val="fr-FR"/>
        </w:rPr>
        <w:t>créé</w:t>
      </w:r>
      <w:r w:rsidRPr="00494098">
        <w:rPr>
          <w:lang w:val="fr-FR"/>
        </w:rPr>
        <w:t xml:space="preserve"> un programme spécial d’aide aux migrants (</w:t>
      </w:r>
      <w:r w:rsidRPr="00494098">
        <w:rPr>
          <w:i/>
          <w:iCs/>
          <w:lang w:val="fr-FR"/>
        </w:rPr>
        <w:t>Programa de Apoio ao Migrante</w:t>
      </w:r>
      <w:r w:rsidRPr="00494098">
        <w:rPr>
          <w:lang w:val="fr-FR"/>
        </w:rPr>
        <w:t xml:space="preserve"> — PAM), afin de promouvoir leurs droits et contribuer ainsi à une société fondée sur les valeurs de l’égalité. Ce programme vise à renforcer la responsabilité conjointe de tous les partenaires sociaux dans la promotion de la sécurité et de la protection des droits des citoyens.</w:t>
      </w:r>
    </w:p>
    <w:p w14:paraId="50173A4C" w14:textId="77777777" w:rsidR="00077B75" w:rsidRPr="00494098" w:rsidRDefault="00077B75" w:rsidP="00480570">
      <w:pPr>
        <w:pStyle w:val="SingleTxtG"/>
        <w:rPr>
          <w:lang w:val="fr-FR"/>
        </w:rPr>
      </w:pPr>
      <w:r w:rsidRPr="00494098">
        <w:rPr>
          <w:lang w:val="fr-FR"/>
        </w:rPr>
        <w:t>318.</w:t>
      </w:r>
      <w:r w:rsidRPr="00494098">
        <w:rPr>
          <w:lang w:val="fr-FR"/>
        </w:rPr>
        <w:tab/>
        <w:t xml:space="preserve">Les enfants </w:t>
      </w:r>
      <w:r w:rsidR="00996213" w:rsidRPr="00494098">
        <w:rPr>
          <w:lang w:val="fr-FR"/>
        </w:rPr>
        <w:t xml:space="preserve">privés de protection parentale et </w:t>
      </w:r>
      <w:r w:rsidRPr="00494098">
        <w:rPr>
          <w:lang w:val="fr-FR"/>
        </w:rPr>
        <w:t>provena</w:t>
      </w:r>
      <w:r w:rsidR="00C93E69" w:rsidRPr="00494098">
        <w:rPr>
          <w:lang w:val="fr-FR"/>
        </w:rPr>
        <w:t>nt d’autres pays ou apatrides (m</w:t>
      </w:r>
      <w:r w:rsidRPr="00494098">
        <w:rPr>
          <w:lang w:val="fr-FR"/>
        </w:rPr>
        <w:t xml:space="preserve">ineurs étrangers non accompagnés, MENA), font l'objet de deux procédures judiciaires simultanées </w:t>
      </w:r>
      <w:r w:rsidR="00996213" w:rsidRPr="00494098">
        <w:rPr>
          <w:lang w:val="fr-FR"/>
        </w:rPr>
        <w:t xml:space="preserve">qui </w:t>
      </w:r>
      <w:r w:rsidRPr="00494098">
        <w:rPr>
          <w:lang w:val="fr-FR"/>
        </w:rPr>
        <w:t>garanti</w:t>
      </w:r>
      <w:r w:rsidR="00996213" w:rsidRPr="00494098">
        <w:rPr>
          <w:lang w:val="fr-FR"/>
        </w:rPr>
        <w:t>ssent</w:t>
      </w:r>
      <w:r w:rsidRPr="00494098">
        <w:rPr>
          <w:lang w:val="fr-FR"/>
        </w:rPr>
        <w:t xml:space="preserve"> </w:t>
      </w:r>
      <w:r w:rsidR="00996213" w:rsidRPr="00494098">
        <w:rPr>
          <w:lang w:val="fr-FR"/>
        </w:rPr>
        <w:t xml:space="preserve">leur </w:t>
      </w:r>
      <w:r w:rsidRPr="00494098">
        <w:rPr>
          <w:lang w:val="fr-FR"/>
        </w:rPr>
        <w:t xml:space="preserve">protection totale </w:t>
      </w:r>
      <w:r w:rsidR="00C93E69" w:rsidRPr="00494098">
        <w:rPr>
          <w:lang w:val="fr-FR"/>
        </w:rPr>
        <w:t xml:space="preserve">et </w:t>
      </w:r>
      <w:r w:rsidRPr="00494098">
        <w:rPr>
          <w:lang w:val="fr-FR"/>
        </w:rPr>
        <w:t>une entrée sans danger sur le territoire national</w:t>
      </w:r>
      <w:r w:rsidR="00090CBF" w:rsidRPr="00494098">
        <w:rPr>
          <w:lang w:val="fr-FR"/>
        </w:rPr>
        <w:t> :</w:t>
      </w:r>
      <w:r w:rsidRPr="00494098">
        <w:rPr>
          <w:lang w:val="fr-FR"/>
        </w:rPr>
        <w:t xml:space="preserve"> 1</w:t>
      </w:r>
      <w:r w:rsidR="00C93E69" w:rsidRPr="00494098">
        <w:rPr>
          <w:lang w:val="fr-FR"/>
        </w:rPr>
        <w:t>. </w:t>
      </w:r>
      <w:r w:rsidRPr="00494098">
        <w:rPr>
          <w:lang w:val="fr-FR"/>
        </w:rPr>
        <w:t xml:space="preserve">une procédure judiciaire au sein des tribunaux pour mineurs et des affaires familiales, afin de garantir les mesures de </w:t>
      </w:r>
      <w:r w:rsidR="00C93E69" w:rsidRPr="00494098">
        <w:rPr>
          <w:lang w:val="fr-FR"/>
        </w:rPr>
        <w:t xml:space="preserve">promotion </w:t>
      </w:r>
      <w:r w:rsidRPr="00494098">
        <w:rPr>
          <w:lang w:val="fr-FR"/>
        </w:rPr>
        <w:t xml:space="preserve">et de protection prévues dans la loi </w:t>
      </w:r>
      <w:r w:rsidR="006717A5" w:rsidRPr="00494098">
        <w:rPr>
          <w:lang w:val="fr-FR"/>
        </w:rPr>
        <w:t>n° </w:t>
      </w:r>
      <w:r w:rsidR="00480991" w:rsidRPr="00494098">
        <w:rPr>
          <w:lang w:val="fr-FR"/>
        </w:rPr>
        <w:t>1</w:t>
      </w:r>
      <w:r w:rsidRPr="00494098">
        <w:rPr>
          <w:lang w:val="fr-FR"/>
        </w:rPr>
        <w:t>47/99 du 1er</w:t>
      </w:r>
      <w:r w:rsidR="00480991" w:rsidRPr="00494098">
        <w:rPr>
          <w:lang w:val="fr-FR"/>
        </w:rPr>
        <w:t> septembre</w:t>
      </w:r>
      <w:r w:rsidRPr="00494098">
        <w:rPr>
          <w:lang w:val="fr-FR"/>
        </w:rPr>
        <w:t xml:space="preserve"> 1999 et</w:t>
      </w:r>
      <w:r w:rsidR="00C93E69" w:rsidRPr="00494098">
        <w:rPr>
          <w:lang w:val="fr-FR"/>
        </w:rPr>
        <w:t>,</w:t>
      </w:r>
      <w:r w:rsidRPr="00494098">
        <w:rPr>
          <w:lang w:val="fr-FR"/>
        </w:rPr>
        <w:t xml:space="preserve"> 2</w:t>
      </w:r>
      <w:r w:rsidR="00C93E69" w:rsidRPr="00494098">
        <w:rPr>
          <w:lang w:val="fr-FR"/>
        </w:rPr>
        <w:t>. </w:t>
      </w:r>
      <w:r w:rsidRPr="00494098">
        <w:rPr>
          <w:lang w:val="fr-FR"/>
        </w:rPr>
        <w:t>une procédure administrative, menée par le Service des étrangers et des frontières (asile, protection provisoire, retour), l’objectif étant de garantir une protection internationale provisoire, l’octroi de l'asile ou le retour de l’enfant dans son pays d’origine (si possible).</w:t>
      </w:r>
    </w:p>
    <w:p w14:paraId="26245179" w14:textId="77777777" w:rsidR="00077B75" w:rsidRPr="00494098" w:rsidRDefault="00077B75" w:rsidP="00480570">
      <w:pPr>
        <w:pStyle w:val="SingleTxtG"/>
        <w:rPr>
          <w:lang w:val="fr-FR"/>
        </w:rPr>
      </w:pPr>
      <w:r w:rsidRPr="00494098">
        <w:rPr>
          <w:lang w:val="fr-FR"/>
        </w:rPr>
        <w:t>319.</w:t>
      </w:r>
      <w:r w:rsidRPr="00494098">
        <w:rPr>
          <w:lang w:val="fr-FR"/>
        </w:rPr>
        <w:tab/>
      </w:r>
      <w:r w:rsidR="00757FBA" w:rsidRPr="00494098">
        <w:rPr>
          <w:lang w:val="fr-FR"/>
        </w:rPr>
        <w:t xml:space="preserve">Le </w:t>
      </w:r>
      <w:r w:rsidRPr="00494098">
        <w:rPr>
          <w:lang w:val="fr-FR"/>
        </w:rPr>
        <w:t xml:space="preserve">Portugal est actuellement en train de rationaliser </w:t>
      </w:r>
      <w:r w:rsidR="00C93E69" w:rsidRPr="00494098">
        <w:rPr>
          <w:lang w:val="fr-FR"/>
        </w:rPr>
        <w:t>s</w:t>
      </w:r>
      <w:r w:rsidRPr="00494098">
        <w:rPr>
          <w:lang w:val="fr-FR"/>
        </w:rPr>
        <w:t xml:space="preserve">es procédures afin de </w:t>
      </w:r>
      <w:r w:rsidR="00C93E69" w:rsidRPr="00494098">
        <w:rPr>
          <w:lang w:val="fr-FR"/>
        </w:rPr>
        <w:t xml:space="preserve">clarifier </w:t>
      </w:r>
      <w:r w:rsidRPr="00494098">
        <w:rPr>
          <w:lang w:val="fr-FR"/>
        </w:rPr>
        <w:t>le champ d’acti</w:t>
      </w:r>
      <w:r w:rsidR="00757FBA" w:rsidRPr="00494098">
        <w:rPr>
          <w:lang w:val="fr-FR"/>
        </w:rPr>
        <w:t>on des différents acteurs dans c</w:t>
      </w:r>
      <w:r w:rsidRPr="00494098">
        <w:rPr>
          <w:lang w:val="fr-FR"/>
        </w:rPr>
        <w:t xml:space="preserve">e processus, tant en ce qui concerne la compétence des tribunaux </w:t>
      </w:r>
      <w:r w:rsidR="00C93E69" w:rsidRPr="00494098">
        <w:rPr>
          <w:lang w:val="fr-FR"/>
        </w:rPr>
        <w:t xml:space="preserve">et </w:t>
      </w:r>
      <w:r w:rsidRPr="00494098">
        <w:rPr>
          <w:lang w:val="fr-FR"/>
        </w:rPr>
        <w:t>des différentes entités publiques et privées</w:t>
      </w:r>
      <w:r w:rsidR="00996213" w:rsidRPr="00494098">
        <w:rPr>
          <w:lang w:val="fr-FR"/>
        </w:rPr>
        <w:t xml:space="preserve"> (</w:t>
      </w:r>
      <w:r w:rsidRPr="00494098">
        <w:rPr>
          <w:lang w:val="fr-FR"/>
        </w:rPr>
        <w:t>par l’élaboration d’un Guide des procédures d’</w:t>
      </w:r>
      <w:r w:rsidR="00C93E69" w:rsidRPr="00494098">
        <w:rPr>
          <w:lang w:val="fr-FR"/>
        </w:rPr>
        <w:t xml:space="preserve">hébergement </w:t>
      </w:r>
      <w:r w:rsidRPr="00494098">
        <w:rPr>
          <w:lang w:val="fr-FR"/>
        </w:rPr>
        <w:t>des mineurs étrangers non accompagnés</w:t>
      </w:r>
      <w:r w:rsidR="00996213" w:rsidRPr="00494098">
        <w:rPr>
          <w:lang w:val="fr-FR"/>
        </w:rPr>
        <w:t>)</w:t>
      </w:r>
      <w:r w:rsidR="00C93E69" w:rsidRPr="00494098">
        <w:rPr>
          <w:lang w:val="fr-FR"/>
        </w:rPr>
        <w:t>, que par</w:t>
      </w:r>
      <w:r w:rsidRPr="00494098">
        <w:rPr>
          <w:lang w:val="fr-FR"/>
        </w:rPr>
        <w:t xml:space="preserve"> la définition d’un modèle d’accueil spécialisé dans le cadre de groupes de travail interministériels.</w:t>
      </w:r>
    </w:p>
    <w:p w14:paraId="5A565CF5" w14:textId="77777777" w:rsidR="00077B75" w:rsidRPr="00494098" w:rsidRDefault="00077B75" w:rsidP="00480570">
      <w:pPr>
        <w:pStyle w:val="SingleTxtG"/>
        <w:rPr>
          <w:lang w:val="fr-FR"/>
        </w:rPr>
      </w:pPr>
      <w:r w:rsidRPr="00494098">
        <w:rPr>
          <w:lang w:val="fr-FR"/>
        </w:rPr>
        <w:t>320.</w:t>
      </w:r>
      <w:r w:rsidRPr="00494098">
        <w:rPr>
          <w:lang w:val="fr-FR"/>
        </w:rPr>
        <w:tab/>
        <w:t>Le soutien aux bénéficiaires de la protection internationale découle d’un protocole de collaboration interministérielle.</w:t>
      </w:r>
    </w:p>
    <w:p w14:paraId="3E390037" w14:textId="77777777" w:rsidR="00077B75" w:rsidRPr="00494098" w:rsidRDefault="00077B75" w:rsidP="00480570">
      <w:pPr>
        <w:pStyle w:val="SingleTxtG"/>
        <w:rPr>
          <w:lang w:val="fr-FR"/>
        </w:rPr>
      </w:pPr>
      <w:r w:rsidRPr="00494098">
        <w:rPr>
          <w:lang w:val="fr-FR"/>
        </w:rPr>
        <w:t>321.</w:t>
      </w:r>
      <w:r w:rsidRPr="00494098">
        <w:rPr>
          <w:lang w:val="fr-FR"/>
        </w:rPr>
        <w:tab/>
        <w:t xml:space="preserve">La crise migratoire qui dure depuis quatre ans a été aggravée par l’afflux massif de migrants </w:t>
      </w:r>
      <w:r w:rsidR="00996213" w:rsidRPr="00494098">
        <w:rPr>
          <w:lang w:val="fr-FR"/>
        </w:rPr>
        <w:t>venant du bassin méditerranéen</w:t>
      </w:r>
      <w:r w:rsidRPr="00494098">
        <w:rPr>
          <w:lang w:val="fr-FR"/>
        </w:rPr>
        <w:t xml:space="preserve">, </w:t>
      </w:r>
      <w:r w:rsidR="008B6DD4" w:rsidRPr="00494098">
        <w:rPr>
          <w:lang w:val="fr-FR"/>
        </w:rPr>
        <w:t>en quête d’</w:t>
      </w:r>
      <w:r w:rsidRPr="00494098">
        <w:rPr>
          <w:lang w:val="fr-FR"/>
        </w:rPr>
        <w:t>une protection internationale ou de meilleures conditions de vie dans les pays de l’UE. Cette situation a entraîné une augmentation d’environ 190</w:t>
      </w:r>
      <w:r w:rsidR="003B4E18" w:rsidRPr="00494098">
        <w:rPr>
          <w:lang w:val="fr-FR"/>
        </w:rPr>
        <w:t> %</w:t>
      </w:r>
      <w:r w:rsidRPr="00494098">
        <w:rPr>
          <w:lang w:val="fr-FR"/>
        </w:rPr>
        <w:t xml:space="preserve"> du nombre de demandes d’asile reçues par le Portugal en 2016 (1</w:t>
      </w:r>
      <w:r w:rsidR="009542A4" w:rsidRPr="00494098">
        <w:rPr>
          <w:lang w:val="fr-FR"/>
        </w:rPr>
        <w:t> </w:t>
      </w:r>
      <w:r w:rsidRPr="00494098">
        <w:rPr>
          <w:lang w:val="fr-FR"/>
        </w:rPr>
        <w:t>496</w:t>
      </w:r>
      <w:r w:rsidR="009542A4" w:rsidRPr="00494098">
        <w:rPr>
          <w:lang w:val="fr-FR"/>
        </w:rPr>
        <w:t> </w:t>
      </w:r>
      <w:r w:rsidRPr="00494098">
        <w:rPr>
          <w:lang w:val="fr-FR"/>
        </w:rPr>
        <w:t>demandes) par rapport aux chiffres correspondants en 2013 (507</w:t>
      </w:r>
      <w:r w:rsidR="009542A4" w:rsidRPr="00494098">
        <w:rPr>
          <w:lang w:val="fr-FR"/>
        </w:rPr>
        <w:t> </w:t>
      </w:r>
      <w:r w:rsidRPr="00494098">
        <w:rPr>
          <w:lang w:val="fr-FR"/>
        </w:rPr>
        <w:t xml:space="preserve">demandes). </w:t>
      </w:r>
    </w:p>
    <w:p w14:paraId="2BCA1653" w14:textId="77777777" w:rsidR="00077B75" w:rsidRPr="00494098" w:rsidRDefault="00077B75" w:rsidP="00480570">
      <w:pPr>
        <w:pStyle w:val="SingleTxtG"/>
        <w:rPr>
          <w:lang w:val="fr-FR"/>
        </w:rPr>
      </w:pPr>
      <w:r w:rsidRPr="00494098">
        <w:rPr>
          <w:lang w:val="fr-FR"/>
        </w:rPr>
        <w:t>322.</w:t>
      </w:r>
      <w:r w:rsidRPr="00494098">
        <w:rPr>
          <w:lang w:val="fr-FR"/>
        </w:rPr>
        <w:tab/>
      </w:r>
      <w:r w:rsidR="00A63AB7" w:rsidRPr="00494098">
        <w:rPr>
          <w:lang w:val="fr-FR"/>
        </w:rPr>
        <w:t>U</w:t>
      </w:r>
      <w:r w:rsidRPr="00494098">
        <w:rPr>
          <w:lang w:val="fr-FR"/>
        </w:rPr>
        <w:t xml:space="preserve">ne nouvelle augmentation du nombre de demandes d’asile </w:t>
      </w:r>
      <w:r w:rsidR="00A63AB7" w:rsidRPr="00494098">
        <w:rPr>
          <w:lang w:val="fr-FR"/>
        </w:rPr>
        <w:t>devrait être constatée en</w:t>
      </w:r>
      <w:r w:rsidRPr="00494098">
        <w:rPr>
          <w:lang w:val="fr-FR"/>
        </w:rPr>
        <w:t xml:space="preserve"> 2017, compte tenu de l’engagement pris par le Portugal </w:t>
      </w:r>
      <w:r w:rsidR="00A63AB7" w:rsidRPr="00494098">
        <w:rPr>
          <w:lang w:val="fr-FR"/>
        </w:rPr>
        <w:t>au niveau de l’Union européenne</w:t>
      </w:r>
      <w:r w:rsidRPr="00494098">
        <w:rPr>
          <w:lang w:val="fr-FR"/>
        </w:rPr>
        <w:t xml:space="preserve"> dans le cadre du programme de réinstallation.</w:t>
      </w:r>
    </w:p>
    <w:p w14:paraId="02C7278D" w14:textId="77777777" w:rsidR="00077B75" w:rsidRPr="00494098" w:rsidRDefault="00077B75" w:rsidP="00480570">
      <w:pPr>
        <w:pStyle w:val="SingleTxtG"/>
        <w:rPr>
          <w:lang w:val="fr-FR"/>
        </w:rPr>
      </w:pPr>
      <w:r w:rsidRPr="00494098">
        <w:rPr>
          <w:lang w:val="fr-FR"/>
        </w:rPr>
        <w:t>323.</w:t>
      </w:r>
      <w:r w:rsidRPr="00494098">
        <w:rPr>
          <w:lang w:val="fr-FR"/>
        </w:rPr>
        <w:tab/>
        <w:t xml:space="preserve">Après la décision concernant la recevabilité, émise par le Service des étrangers et des frontières, ces enfants bénéficient de l’appui de la </w:t>
      </w:r>
      <w:r w:rsidRPr="00494098">
        <w:rPr>
          <w:i/>
          <w:lang w:val="fr-FR"/>
        </w:rPr>
        <w:t>Santa Casa da Misericórdia</w:t>
      </w:r>
      <w:r w:rsidRPr="00494098">
        <w:rPr>
          <w:lang w:val="fr-FR"/>
        </w:rPr>
        <w:t xml:space="preserve"> (établissement privé portugais d'utilité administrative publique)</w:t>
      </w:r>
      <w:r w:rsidR="005C30A0" w:rsidRPr="00494098">
        <w:rPr>
          <w:lang w:val="fr-FR"/>
        </w:rPr>
        <w:t>,</w:t>
      </w:r>
      <w:r w:rsidRPr="00494098">
        <w:rPr>
          <w:lang w:val="fr-FR"/>
        </w:rPr>
        <w:t xml:space="preserve"> et de l’Institut de sécurité sociale — qui sont des entités ayant compétence pour garantir les conditions matérielles d</w:t>
      </w:r>
      <w:r w:rsidR="008B6DD4" w:rsidRPr="00494098">
        <w:rPr>
          <w:lang w:val="fr-FR"/>
        </w:rPr>
        <w:t>e</w:t>
      </w:r>
      <w:r w:rsidRPr="00494098">
        <w:rPr>
          <w:lang w:val="fr-FR"/>
        </w:rPr>
        <w:t xml:space="preserve"> l’accueil des familles en situation de dénuement économique.</w:t>
      </w:r>
    </w:p>
    <w:p w14:paraId="2D4504F2" w14:textId="77777777" w:rsidR="00077B75" w:rsidRPr="00494098" w:rsidRDefault="00077B75" w:rsidP="00480570">
      <w:pPr>
        <w:pStyle w:val="SingleTxtG"/>
        <w:rPr>
          <w:lang w:val="fr-FR"/>
        </w:rPr>
      </w:pPr>
      <w:r w:rsidRPr="00494098">
        <w:rPr>
          <w:lang w:val="fr-FR"/>
        </w:rPr>
        <w:t>324.</w:t>
      </w:r>
      <w:r w:rsidRPr="00494098">
        <w:rPr>
          <w:lang w:val="fr-FR"/>
        </w:rPr>
        <w:tab/>
        <w:t>Actuellement, le Portugal dispose</w:t>
      </w:r>
      <w:r w:rsidR="00A63AB7" w:rsidRPr="00494098">
        <w:rPr>
          <w:lang w:val="fr-FR"/>
        </w:rPr>
        <w:t>, à Lisbonne,</w:t>
      </w:r>
      <w:r w:rsidRPr="00494098">
        <w:rPr>
          <w:lang w:val="fr-FR"/>
        </w:rPr>
        <w:t xml:space="preserve"> d’un centre d’accueil spécialisé pour les enfants réfugiés non accompagnés. </w:t>
      </w:r>
    </w:p>
    <w:p w14:paraId="4BDB7EA6" w14:textId="77777777" w:rsidR="00077B75" w:rsidRPr="00494098" w:rsidRDefault="00077B75" w:rsidP="00480570">
      <w:pPr>
        <w:pStyle w:val="SingleTxtG"/>
        <w:rPr>
          <w:lang w:val="fr-FR"/>
        </w:rPr>
      </w:pPr>
      <w:r w:rsidRPr="00494098">
        <w:rPr>
          <w:lang w:val="fr-FR"/>
        </w:rPr>
        <w:t>325.</w:t>
      </w:r>
      <w:r w:rsidRPr="00494098">
        <w:rPr>
          <w:lang w:val="fr-FR"/>
        </w:rPr>
        <w:tab/>
        <w:t xml:space="preserve">Il existe toutefois, dans tout le pays, un certain nombre de centres spécialisés dans la réception </w:t>
      </w:r>
      <w:r w:rsidR="00A63AB7" w:rsidRPr="00494098">
        <w:rPr>
          <w:lang w:val="fr-FR"/>
        </w:rPr>
        <w:t xml:space="preserve">et le logement </w:t>
      </w:r>
      <w:r w:rsidRPr="00494098">
        <w:rPr>
          <w:lang w:val="fr-FR"/>
        </w:rPr>
        <w:t>des mineurs non accompagnés ou réfugiés, lorsque la famille compétente et le tribunal pour mineurs le jugent approprié</w:t>
      </w:r>
      <w:r w:rsidR="008B6DD4" w:rsidRPr="00494098">
        <w:rPr>
          <w:lang w:val="fr-FR"/>
        </w:rPr>
        <w:t xml:space="preserve"> et </w:t>
      </w:r>
      <w:r w:rsidRPr="00494098">
        <w:rPr>
          <w:lang w:val="fr-FR"/>
        </w:rPr>
        <w:t>conform</w:t>
      </w:r>
      <w:r w:rsidR="008B6DD4" w:rsidRPr="00494098">
        <w:rPr>
          <w:lang w:val="fr-FR"/>
        </w:rPr>
        <w:t>e</w:t>
      </w:r>
      <w:r w:rsidRPr="00494098">
        <w:rPr>
          <w:lang w:val="fr-FR"/>
        </w:rPr>
        <w:t xml:space="preserve"> à l’intérêt supérieur de l’enfant. </w:t>
      </w:r>
    </w:p>
    <w:p w14:paraId="3E9682C4" w14:textId="26FCF12E" w:rsidR="00077B75" w:rsidRPr="00494098" w:rsidRDefault="00077B75" w:rsidP="00A954D7">
      <w:pPr>
        <w:pStyle w:val="HChG"/>
        <w:rPr>
          <w:lang w:val="fr-FR"/>
        </w:rPr>
      </w:pPr>
      <w:r w:rsidRPr="00494098">
        <w:rPr>
          <w:lang w:val="fr-FR"/>
        </w:rPr>
        <w:tab/>
      </w:r>
      <w:r w:rsidRPr="00494098">
        <w:rPr>
          <w:lang w:val="fr-FR"/>
        </w:rPr>
        <w:tab/>
      </w:r>
      <w:r w:rsidRPr="00494098">
        <w:rPr>
          <w:bCs/>
          <w:lang w:val="fr-FR"/>
        </w:rPr>
        <w:t xml:space="preserve">Chapitre III — Suite donnée aux recommandations </w:t>
      </w:r>
      <w:r w:rsidR="00147035">
        <w:rPr>
          <w:bCs/>
          <w:lang w:val="fr-FR"/>
        </w:rPr>
        <w:t xml:space="preserve">relatives au </w:t>
      </w:r>
      <w:r w:rsidRPr="00494098">
        <w:rPr>
          <w:bCs/>
          <w:lang w:val="fr-FR"/>
        </w:rPr>
        <w:t xml:space="preserve"> Protocole facultatif à la Convention, concernant la vente d'enfants, la prostitution des enfants et la pornographie mettant en scène des enfants</w:t>
      </w:r>
      <w:bookmarkStart w:id="258" w:name="_Toc530057331"/>
      <w:bookmarkStart w:id="259" w:name="_Toc530057558"/>
      <w:bookmarkStart w:id="260" w:name="_Toc530057645"/>
      <w:bookmarkStart w:id="261" w:name="_Toc530068026"/>
      <w:bookmarkEnd w:id="258"/>
      <w:bookmarkEnd w:id="259"/>
      <w:bookmarkEnd w:id="260"/>
      <w:bookmarkEnd w:id="261"/>
    </w:p>
    <w:p w14:paraId="2F237897" w14:textId="50BD3FC9" w:rsidR="00077B75" w:rsidRPr="00494098" w:rsidRDefault="00491E89" w:rsidP="00607E92">
      <w:pPr>
        <w:pStyle w:val="H1G"/>
        <w:rPr>
          <w:lang w:val="fr-FR"/>
        </w:rPr>
      </w:pPr>
      <w:r w:rsidRPr="00494098">
        <w:rPr>
          <w:lang w:val="fr-FR"/>
        </w:rPr>
        <w:tab/>
      </w:r>
      <w:r w:rsidR="00077B75" w:rsidRPr="00494098">
        <w:rPr>
          <w:lang w:val="fr-FR"/>
        </w:rPr>
        <w:t>A.</w:t>
      </w:r>
      <w:r w:rsidR="00077B75" w:rsidRPr="00494098">
        <w:rPr>
          <w:lang w:val="fr-FR"/>
        </w:rPr>
        <w:tab/>
      </w:r>
      <w:r w:rsidR="00077B75" w:rsidRPr="00494098">
        <w:rPr>
          <w:bCs/>
          <w:lang w:val="fr-FR"/>
        </w:rPr>
        <w:t>Données (par</w:t>
      </w:r>
      <w:r w:rsidR="001C34D6" w:rsidRPr="00494098">
        <w:rPr>
          <w:bCs/>
          <w:lang w:val="fr-FR"/>
        </w:rPr>
        <w:t>.</w:t>
      </w:r>
      <w:r w:rsidR="00077B75" w:rsidRPr="00494098">
        <w:rPr>
          <w:bCs/>
          <w:lang w:val="fr-FR"/>
        </w:rPr>
        <w:t xml:space="preserve"> 8 des </w:t>
      </w:r>
      <w:r w:rsidR="005E58EE">
        <w:rPr>
          <w:bCs/>
          <w:lang w:val="fr-FR"/>
        </w:rPr>
        <w:t>o</w:t>
      </w:r>
      <w:r w:rsidR="00916D99" w:rsidRPr="00494098">
        <w:rPr>
          <w:bCs/>
          <w:lang w:val="fr-FR"/>
        </w:rPr>
        <w:t>bservations finales - CRC/C/OPSC/PRT/CO/1</w:t>
      </w:r>
      <w:r w:rsidR="00077B75" w:rsidRPr="00494098">
        <w:rPr>
          <w:bCs/>
          <w:lang w:val="fr-FR"/>
        </w:rPr>
        <w:t>)</w:t>
      </w:r>
      <w:bookmarkStart w:id="262" w:name="_Toc530057332"/>
      <w:bookmarkStart w:id="263" w:name="_Toc530057559"/>
      <w:bookmarkStart w:id="264" w:name="_Toc530057646"/>
      <w:bookmarkStart w:id="265" w:name="_Toc530068027"/>
      <w:bookmarkEnd w:id="262"/>
      <w:bookmarkEnd w:id="263"/>
      <w:bookmarkEnd w:id="264"/>
      <w:bookmarkEnd w:id="265"/>
    </w:p>
    <w:p w14:paraId="7ED5F518" w14:textId="77777777" w:rsidR="00077B75" w:rsidRPr="00494098" w:rsidRDefault="00077B75" w:rsidP="00480570">
      <w:pPr>
        <w:pStyle w:val="SingleTxtG"/>
        <w:rPr>
          <w:lang w:val="fr-FR"/>
        </w:rPr>
      </w:pPr>
      <w:r w:rsidRPr="00494098">
        <w:rPr>
          <w:lang w:val="fr-FR"/>
        </w:rPr>
        <w:t>326.</w:t>
      </w:r>
      <w:r w:rsidRPr="00494098">
        <w:rPr>
          <w:lang w:val="fr-FR"/>
        </w:rPr>
        <w:tab/>
        <w:t>Le Système intégré d'informations policières opérationnelles (SIIOP), recueille des données utilisées à des fins analytiques, à savoir l’élaboration du Rapport annuel sur la sécurité intérieure (RASI).</w:t>
      </w:r>
    </w:p>
    <w:p w14:paraId="71289B6B" w14:textId="1F78642E" w:rsidR="00077B75" w:rsidRPr="00494098" w:rsidRDefault="00491E89" w:rsidP="00607E92">
      <w:pPr>
        <w:pStyle w:val="H1G"/>
        <w:rPr>
          <w:lang w:val="fr-FR"/>
        </w:rPr>
      </w:pPr>
      <w:r w:rsidRPr="00494098">
        <w:rPr>
          <w:lang w:val="fr-FR"/>
        </w:rPr>
        <w:tab/>
      </w:r>
      <w:r w:rsidR="00077B75" w:rsidRPr="00494098">
        <w:rPr>
          <w:lang w:val="fr-FR"/>
        </w:rPr>
        <w:t>B.</w:t>
      </w:r>
      <w:r w:rsidR="00077B75" w:rsidRPr="00494098">
        <w:rPr>
          <w:lang w:val="fr-FR"/>
        </w:rPr>
        <w:tab/>
      </w:r>
      <w:r w:rsidR="00077B75" w:rsidRPr="00494098">
        <w:rPr>
          <w:bCs/>
          <w:lang w:val="fr-FR"/>
        </w:rPr>
        <w:t>Mesures d'application générale</w:t>
      </w:r>
      <w:bookmarkStart w:id="266" w:name="_Toc530057333"/>
      <w:bookmarkStart w:id="267" w:name="_Toc530057560"/>
      <w:bookmarkStart w:id="268" w:name="_Toc530057647"/>
      <w:bookmarkStart w:id="269" w:name="_Toc530068028"/>
      <w:bookmarkEnd w:id="266"/>
      <w:bookmarkEnd w:id="267"/>
      <w:bookmarkEnd w:id="268"/>
      <w:bookmarkEnd w:id="269"/>
      <w:r w:rsidR="00DA4E91">
        <w:rPr>
          <w:bCs/>
          <w:lang w:val="fr-FR"/>
        </w:rPr>
        <w:t>s</w:t>
      </w:r>
    </w:p>
    <w:p w14:paraId="3DDF41E5" w14:textId="794006BE" w:rsidR="00077B75" w:rsidRPr="00494098" w:rsidRDefault="00077B75" w:rsidP="00607E92">
      <w:pPr>
        <w:pStyle w:val="H23G"/>
        <w:rPr>
          <w:lang w:val="fr-FR"/>
        </w:rPr>
      </w:pPr>
      <w:r w:rsidRPr="00494098">
        <w:rPr>
          <w:lang w:val="fr-FR"/>
        </w:rPr>
        <w:tab/>
      </w:r>
      <w:r w:rsidRPr="00494098">
        <w:rPr>
          <w:lang w:val="fr-FR"/>
        </w:rPr>
        <w:tab/>
      </w:r>
      <w:r w:rsidRPr="00494098">
        <w:rPr>
          <w:bCs/>
          <w:lang w:val="fr-FR"/>
        </w:rPr>
        <w:t>Législation (</w:t>
      </w:r>
      <w:r w:rsidR="00872592" w:rsidRPr="00494098">
        <w:rPr>
          <w:bCs/>
          <w:lang w:val="fr-FR"/>
        </w:rPr>
        <w:t>par. 1</w:t>
      </w:r>
      <w:r w:rsidRPr="00494098">
        <w:rPr>
          <w:bCs/>
          <w:lang w:val="fr-FR"/>
        </w:rPr>
        <w:t xml:space="preserve">0 des </w:t>
      </w:r>
      <w:r w:rsidR="00DA4E91">
        <w:rPr>
          <w:bCs/>
          <w:lang w:val="fr-FR"/>
        </w:rPr>
        <w:t>o</w:t>
      </w:r>
      <w:r w:rsidR="00916D99" w:rsidRPr="00494098">
        <w:rPr>
          <w:bCs/>
          <w:lang w:val="fr-FR"/>
        </w:rPr>
        <w:t>bservations finales</w:t>
      </w:r>
      <w:r w:rsidRPr="00494098">
        <w:rPr>
          <w:bCs/>
          <w:lang w:val="fr-FR"/>
        </w:rPr>
        <w:t>)</w:t>
      </w:r>
      <w:bookmarkStart w:id="270" w:name="_Toc530057334"/>
      <w:bookmarkStart w:id="271" w:name="_Toc530057561"/>
      <w:bookmarkStart w:id="272" w:name="_Toc530057648"/>
      <w:bookmarkStart w:id="273" w:name="_Toc530068029"/>
      <w:bookmarkEnd w:id="270"/>
      <w:bookmarkEnd w:id="271"/>
      <w:bookmarkEnd w:id="272"/>
      <w:bookmarkEnd w:id="273"/>
    </w:p>
    <w:p w14:paraId="38EFC8EE" w14:textId="77777777" w:rsidR="00077B75" w:rsidRPr="00494098" w:rsidRDefault="00077B75" w:rsidP="00480570">
      <w:pPr>
        <w:pStyle w:val="SingleTxtG"/>
        <w:rPr>
          <w:lang w:val="fr-FR"/>
        </w:rPr>
      </w:pPr>
      <w:r w:rsidRPr="00494098">
        <w:rPr>
          <w:lang w:val="fr-FR"/>
        </w:rPr>
        <w:t>327.</w:t>
      </w:r>
      <w:r w:rsidRPr="00494098">
        <w:rPr>
          <w:lang w:val="fr-FR"/>
        </w:rPr>
        <w:tab/>
        <w:t>Le Ministère de la justice a entrepris une étude sur l’in</w:t>
      </w:r>
      <w:r w:rsidR="001C34D6" w:rsidRPr="00494098">
        <w:rPr>
          <w:lang w:val="fr-FR"/>
        </w:rPr>
        <w:t xml:space="preserve">tégration </w:t>
      </w:r>
      <w:r w:rsidRPr="00494098">
        <w:rPr>
          <w:lang w:val="fr-FR"/>
        </w:rPr>
        <w:t>du Protocole facultatif dans le corpus juridique interne, qui abordera également la définition explicite de vente d'enfants.</w:t>
      </w:r>
    </w:p>
    <w:p w14:paraId="61FC2B06" w14:textId="13C0A2F5" w:rsidR="00077B75" w:rsidRPr="00494098" w:rsidRDefault="00077B75" w:rsidP="00607E92">
      <w:pPr>
        <w:pStyle w:val="H23G"/>
        <w:rPr>
          <w:lang w:val="fr-FR"/>
        </w:rPr>
      </w:pPr>
      <w:r w:rsidRPr="00494098">
        <w:rPr>
          <w:lang w:val="fr-FR"/>
        </w:rPr>
        <w:tab/>
      </w:r>
      <w:r w:rsidRPr="00494098">
        <w:rPr>
          <w:lang w:val="fr-FR"/>
        </w:rPr>
        <w:tab/>
      </w:r>
      <w:r w:rsidRPr="00494098">
        <w:rPr>
          <w:bCs/>
          <w:lang w:val="fr-FR"/>
        </w:rPr>
        <w:t>Plan d’action national (</w:t>
      </w:r>
      <w:r w:rsidR="00872592" w:rsidRPr="00494098">
        <w:rPr>
          <w:bCs/>
          <w:lang w:val="fr-FR"/>
        </w:rPr>
        <w:t>par. 1</w:t>
      </w:r>
      <w:r w:rsidRPr="00494098">
        <w:rPr>
          <w:bCs/>
          <w:lang w:val="fr-FR"/>
        </w:rPr>
        <w:t xml:space="preserve">2 des </w:t>
      </w:r>
      <w:r w:rsidR="00DA4E91">
        <w:rPr>
          <w:bCs/>
          <w:lang w:val="fr-FR"/>
        </w:rPr>
        <w:t>o</w:t>
      </w:r>
      <w:r w:rsidR="00916D99" w:rsidRPr="00494098">
        <w:rPr>
          <w:bCs/>
          <w:lang w:val="fr-FR"/>
        </w:rPr>
        <w:t>bservations finales</w:t>
      </w:r>
      <w:r w:rsidRPr="00494098">
        <w:rPr>
          <w:bCs/>
          <w:lang w:val="fr-FR"/>
        </w:rPr>
        <w:t>)</w:t>
      </w:r>
      <w:bookmarkStart w:id="274" w:name="_Toc530057335"/>
      <w:bookmarkStart w:id="275" w:name="_Toc530057562"/>
      <w:bookmarkStart w:id="276" w:name="_Toc530057649"/>
      <w:bookmarkStart w:id="277" w:name="_Toc530068030"/>
      <w:bookmarkEnd w:id="274"/>
      <w:bookmarkEnd w:id="275"/>
      <w:bookmarkEnd w:id="276"/>
      <w:bookmarkEnd w:id="277"/>
    </w:p>
    <w:p w14:paraId="220B79D8" w14:textId="77777777" w:rsidR="00077B75" w:rsidRPr="00494098" w:rsidRDefault="00077B75" w:rsidP="00480570">
      <w:pPr>
        <w:pStyle w:val="SingleTxtG"/>
        <w:rPr>
          <w:lang w:val="fr-FR"/>
        </w:rPr>
      </w:pPr>
      <w:r w:rsidRPr="00494098">
        <w:rPr>
          <w:lang w:val="fr-FR"/>
        </w:rPr>
        <w:t>328.</w:t>
      </w:r>
      <w:r w:rsidRPr="00494098">
        <w:rPr>
          <w:lang w:val="fr-FR"/>
        </w:rPr>
        <w:tab/>
        <w:t xml:space="preserve">L’élaboration d’un plan d’action spécifique </w:t>
      </w:r>
      <w:r w:rsidR="004C6852" w:rsidRPr="00494098">
        <w:rPr>
          <w:lang w:val="fr-FR"/>
        </w:rPr>
        <w:t>pour</w:t>
      </w:r>
      <w:r w:rsidRPr="00494098">
        <w:rPr>
          <w:lang w:val="fr-FR"/>
        </w:rPr>
        <w:t xml:space="preserve"> la mise en </w:t>
      </w:r>
      <w:r w:rsidR="00D264B0" w:rsidRPr="00494098">
        <w:rPr>
          <w:lang w:val="fr-FR"/>
        </w:rPr>
        <w:t>œuvr</w:t>
      </w:r>
      <w:r w:rsidRPr="00494098">
        <w:rPr>
          <w:lang w:val="fr-FR"/>
        </w:rPr>
        <w:t xml:space="preserve">e du Protocole facultatif n’a pas été jugée nécessaire, car la nouvelle Stratégie nationale pour les droits de l’enfant et le troisième Plan national de prévention et de lutte contre la traite des êtres humains (2014-2017) englobent la plupart des obligations énoncées dans cet instrument international. La Stratégie nationale pour les droits de l’enfant comportera </w:t>
      </w:r>
      <w:r w:rsidR="004C6852" w:rsidRPr="00494098">
        <w:rPr>
          <w:lang w:val="fr-FR"/>
        </w:rPr>
        <w:t>un plan d’action qui intègrera l</w:t>
      </w:r>
      <w:r w:rsidRPr="00494098">
        <w:rPr>
          <w:lang w:val="fr-FR"/>
        </w:rPr>
        <w:t xml:space="preserve">es questions </w:t>
      </w:r>
      <w:r w:rsidR="004C6852" w:rsidRPr="00494098">
        <w:rPr>
          <w:lang w:val="fr-FR"/>
        </w:rPr>
        <w:t xml:space="preserve">traitées dans le </w:t>
      </w:r>
      <w:r w:rsidRPr="00494098">
        <w:rPr>
          <w:lang w:val="fr-FR"/>
        </w:rPr>
        <w:t>Protocole facultatif.</w:t>
      </w:r>
    </w:p>
    <w:p w14:paraId="2D4E2631" w14:textId="77777777" w:rsidR="00077B75" w:rsidRPr="00494098" w:rsidRDefault="00077B75" w:rsidP="00480570">
      <w:pPr>
        <w:pStyle w:val="SingleTxtG"/>
        <w:rPr>
          <w:lang w:val="fr-FR"/>
        </w:rPr>
      </w:pPr>
      <w:r w:rsidRPr="00494098">
        <w:rPr>
          <w:lang w:val="fr-FR"/>
        </w:rPr>
        <w:t>329.</w:t>
      </w:r>
      <w:r w:rsidRPr="00494098">
        <w:rPr>
          <w:lang w:val="fr-FR"/>
        </w:rPr>
        <w:tab/>
        <w:t xml:space="preserve">En outre, l’Observatoire de la traite des êtres humains (OTSH) créé en 2008 (décret-loi </w:t>
      </w:r>
      <w:r w:rsidR="006717A5" w:rsidRPr="00494098">
        <w:rPr>
          <w:lang w:val="fr-FR"/>
        </w:rPr>
        <w:t>n° </w:t>
      </w:r>
      <w:r w:rsidRPr="00494098">
        <w:rPr>
          <w:lang w:val="fr-FR"/>
        </w:rPr>
        <w:t>229/2008 du 27</w:t>
      </w:r>
      <w:r w:rsidR="00872592" w:rsidRPr="00494098">
        <w:rPr>
          <w:lang w:val="fr-FR"/>
        </w:rPr>
        <w:t> novembre</w:t>
      </w:r>
      <w:r w:rsidRPr="00494098">
        <w:rPr>
          <w:lang w:val="fr-FR"/>
        </w:rPr>
        <w:t xml:space="preserve"> 2008) peut également </w:t>
      </w:r>
      <w:r w:rsidR="004C6852" w:rsidRPr="00494098">
        <w:rPr>
          <w:lang w:val="fr-FR"/>
        </w:rPr>
        <w:t xml:space="preserve">se pencher sur les </w:t>
      </w:r>
      <w:r w:rsidRPr="00494098">
        <w:rPr>
          <w:lang w:val="fr-FR"/>
        </w:rPr>
        <w:t>domaines visés par le Protocole.</w:t>
      </w:r>
    </w:p>
    <w:p w14:paraId="2A1BEDA9" w14:textId="6A7F8AA7" w:rsidR="00077B75" w:rsidRPr="00494098" w:rsidRDefault="00077B75" w:rsidP="00793BFB">
      <w:pPr>
        <w:pStyle w:val="H23G"/>
        <w:rPr>
          <w:lang w:val="fr-FR"/>
        </w:rPr>
      </w:pPr>
      <w:r w:rsidRPr="00494098">
        <w:rPr>
          <w:lang w:val="fr-FR"/>
        </w:rPr>
        <w:tab/>
      </w:r>
      <w:r w:rsidRPr="00494098">
        <w:rPr>
          <w:lang w:val="fr-FR"/>
        </w:rPr>
        <w:tab/>
      </w:r>
      <w:r w:rsidRPr="00494098">
        <w:rPr>
          <w:bCs/>
          <w:lang w:val="fr-FR"/>
        </w:rPr>
        <w:t>Coordination et évaluation (</w:t>
      </w:r>
      <w:r w:rsidR="00872592" w:rsidRPr="00494098">
        <w:rPr>
          <w:bCs/>
          <w:lang w:val="fr-FR"/>
        </w:rPr>
        <w:t>par. 1</w:t>
      </w:r>
      <w:r w:rsidRPr="00494098">
        <w:rPr>
          <w:bCs/>
          <w:lang w:val="fr-FR"/>
        </w:rPr>
        <w:t xml:space="preserve">4 des </w:t>
      </w:r>
      <w:r w:rsidR="00DA4E91">
        <w:rPr>
          <w:bCs/>
          <w:lang w:val="fr-FR"/>
        </w:rPr>
        <w:t>o</w:t>
      </w:r>
      <w:r w:rsidR="00916D99" w:rsidRPr="00494098">
        <w:rPr>
          <w:bCs/>
          <w:lang w:val="fr-FR"/>
        </w:rPr>
        <w:t>bservations finales</w:t>
      </w:r>
      <w:r w:rsidRPr="00494098">
        <w:rPr>
          <w:bCs/>
          <w:lang w:val="fr-FR"/>
        </w:rPr>
        <w:t>)</w:t>
      </w:r>
      <w:bookmarkStart w:id="278" w:name="_Toc530057336"/>
      <w:bookmarkStart w:id="279" w:name="_Toc530057563"/>
      <w:bookmarkStart w:id="280" w:name="_Toc530057650"/>
      <w:bookmarkStart w:id="281" w:name="_Toc530068031"/>
      <w:bookmarkEnd w:id="278"/>
      <w:bookmarkEnd w:id="279"/>
      <w:bookmarkEnd w:id="280"/>
      <w:bookmarkEnd w:id="281"/>
    </w:p>
    <w:p w14:paraId="0C79274B" w14:textId="39F72640" w:rsidR="00077B75" w:rsidRPr="00494098" w:rsidRDefault="00077B75" w:rsidP="00480570">
      <w:pPr>
        <w:pStyle w:val="SingleTxtG"/>
        <w:rPr>
          <w:lang w:val="fr-FR"/>
        </w:rPr>
      </w:pPr>
      <w:r w:rsidRPr="00494098">
        <w:rPr>
          <w:lang w:val="fr-FR"/>
        </w:rPr>
        <w:t>330.</w:t>
      </w:r>
      <w:r w:rsidRPr="00494098">
        <w:rPr>
          <w:lang w:val="fr-FR"/>
        </w:rPr>
        <w:tab/>
        <w:t xml:space="preserve">La Convention et les </w:t>
      </w:r>
      <w:r w:rsidR="00DA4E91">
        <w:rPr>
          <w:lang w:val="fr-FR"/>
        </w:rPr>
        <w:t>P</w:t>
      </w:r>
      <w:r w:rsidRPr="00494098">
        <w:rPr>
          <w:lang w:val="fr-FR"/>
        </w:rPr>
        <w:t xml:space="preserve">rotocoles </w:t>
      </w:r>
      <w:r w:rsidR="00DA4E91">
        <w:rPr>
          <w:lang w:val="fr-FR"/>
        </w:rPr>
        <w:t xml:space="preserve">s’y rapportant </w:t>
      </w:r>
      <w:r w:rsidRPr="00494098">
        <w:rPr>
          <w:lang w:val="fr-FR"/>
        </w:rPr>
        <w:t xml:space="preserve">ont été considérés comme une unité normative aux fins de la coordination et de l’évaluation menées </w:t>
      </w:r>
      <w:r w:rsidR="002978F4" w:rsidRPr="00494098">
        <w:rPr>
          <w:lang w:val="fr-FR"/>
        </w:rPr>
        <w:t xml:space="preserve">en vertu </w:t>
      </w:r>
      <w:r w:rsidRPr="00494098">
        <w:rPr>
          <w:lang w:val="fr-FR"/>
        </w:rPr>
        <w:t xml:space="preserve">de la Stratégie nationale pour les droits de l’enfant. </w:t>
      </w:r>
      <w:r w:rsidR="004C6852" w:rsidRPr="00494098">
        <w:rPr>
          <w:lang w:val="fr-FR"/>
        </w:rPr>
        <w:t xml:space="preserve">Cette </w:t>
      </w:r>
      <w:r w:rsidRPr="00494098">
        <w:rPr>
          <w:lang w:val="fr-FR"/>
        </w:rPr>
        <w:t>stratégie comprendra un plan d’action intégrant les questions relatives au Protocole facultatif.</w:t>
      </w:r>
    </w:p>
    <w:p w14:paraId="1EE512E2" w14:textId="17D0CCCB" w:rsidR="00077B75" w:rsidRPr="00494098" w:rsidRDefault="00077B75" w:rsidP="00793BFB">
      <w:pPr>
        <w:pStyle w:val="H23G"/>
        <w:rPr>
          <w:lang w:val="fr-FR"/>
        </w:rPr>
      </w:pPr>
      <w:r w:rsidRPr="00494098">
        <w:rPr>
          <w:lang w:val="fr-FR"/>
        </w:rPr>
        <w:tab/>
      </w:r>
      <w:r w:rsidRPr="00494098">
        <w:rPr>
          <w:lang w:val="fr-FR"/>
        </w:rPr>
        <w:tab/>
      </w:r>
      <w:r w:rsidRPr="00494098">
        <w:rPr>
          <w:bCs/>
          <w:lang w:val="fr-FR"/>
        </w:rPr>
        <w:t>Diffusion et sensibilisation (</w:t>
      </w:r>
      <w:r w:rsidR="00872592" w:rsidRPr="00494098">
        <w:rPr>
          <w:bCs/>
          <w:lang w:val="fr-FR"/>
        </w:rPr>
        <w:t>par. 1</w:t>
      </w:r>
      <w:r w:rsidRPr="00494098">
        <w:rPr>
          <w:bCs/>
          <w:lang w:val="fr-FR"/>
        </w:rPr>
        <w:t xml:space="preserve">6 des </w:t>
      </w:r>
      <w:r w:rsidR="00DA4E91">
        <w:rPr>
          <w:bCs/>
          <w:lang w:val="fr-FR"/>
        </w:rPr>
        <w:t>o</w:t>
      </w:r>
      <w:r w:rsidR="00916D99" w:rsidRPr="00494098">
        <w:rPr>
          <w:bCs/>
          <w:lang w:val="fr-FR"/>
        </w:rPr>
        <w:t>bservations finales</w:t>
      </w:r>
      <w:r w:rsidRPr="00494098">
        <w:rPr>
          <w:bCs/>
          <w:lang w:val="fr-FR"/>
        </w:rPr>
        <w:t>)</w:t>
      </w:r>
      <w:bookmarkStart w:id="282" w:name="_Toc530057337"/>
      <w:bookmarkStart w:id="283" w:name="_Toc530057564"/>
      <w:bookmarkStart w:id="284" w:name="_Toc530057651"/>
      <w:bookmarkStart w:id="285" w:name="_Toc530068032"/>
      <w:bookmarkEnd w:id="282"/>
      <w:bookmarkEnd w:id="283"/>
      <w:bookmarkEnd w:id="284"/>
      <w:bookmarkEnd w:id="285"/>
    </w:p>
    <w:p w14:paraId="55122923" w14:textId="77777777" w:rsidR="00077B75" w:rsidRPr="00494098" w:rsidRDefault="00077B75" w:rsidP="00480570">
      <w:pPr>
        <w:pStyle w:val="SingleTxtG"/>
        <w:rPr>
          <w:lang w:val="fr-FR"/>
        </w:rPr>
      </w:pPr>
      <w:r w:rsidRPr="00494098">
        <w:rPr>
          <w:lang w:val="fr-FR"/>
        </w:rPr>
        <w:t>331.</w:t>
      </w:r>
      <w:r w:rsidRPr="00494098">
        <w:rPr>
          <w:lang w:val="fr-FR"/>
        </w:rPr>
        <w:tab/>
        <w:t>Bien qu’aucune action spécifique de sensibilisation au Protocole facultatif n'ait été menée, la prise de conscience et la connaissance d</w:t>
      </w:r>
      <w:r w:rsidR="002978F4" w:rsidRPr="00494098">
        <w:rPr>
          <w:lang w:val="fr-FR"/>
        </w:rPr>
        <w:t>es</w:t>
      </w:r>
      <w:r w:rsidRPr="00494098">
        <w:rPr>
          <w:lang w:val="fr-FR"/>
        </w:rPr>
        <w:t xml:space="preserve"> phénomène</w:t>
      </w:r>
      <w:r w:rsidR="002978F4" w:rsidRPr="00494098">
        <w:rPr>
          <w:lang w:val="fr-FR"/>
        </w:rPr>
        <w:t>s</w:t>
      </w:r>
      <w:r w:rsidRPr="00494098">
        <w:rPr>
          <w:lang w:val="fr-FR"/>
        </w:rPr>
        <w:t xml:space="preserve"> de la pornographie mettant en scène des enfants, des violences sexuelles contre les enfants ou des adoptions illégales se sont répandues </w:t>
      </w:r>
      <w:r w:rsidR="002978F4" w:rsidRPr="00494098">
        <w:rPr>
          <w:lang w:val="fr-FR"/>
        </w:rPr>
        <w:t xml:space="preserve">grâce aux </w:t>
      </w:r>
      <w:r w:rsidRPr="00494098">
        <w:rPr>
          <w:lang w:val="fr-FR"/>
        </w:rPr>
        <w:t xml:space="preserve">campagnes nationales sur les droits de l’enfant et </w:t>
      </w:r>
      <w:r w:rsidR="002978F4" w:rsidRPr="00494098">
        <w:rPr>
          <w:lang w:val="fr-FR"/>
        </w:rPr>
        <w:t>à</w:t>
      </w:r>
      <w:r w:rsidRPr="00494098">
        <w:rPr>
          <w:lang w:val="fr-FR"/>
        </w:rPr>
        <w:t xml:space="preserve"> la couverture médiatique. </w:t>
      </w:r>
    </w:p>
    <w:p w14:paraId="34C11708" w14:textId="77777777" w:rsidR="00077B75" w:rsidRPr="00494098" w:rsidRDefault="00077B75" w:rsidP="00D87AA3">
      <w:pPr>
        <w:pStyle w:val="SingleTxtG"/>
        <w:rPr>
          <w:lang w:val="fr-FR"/>
        </w:rPr>
      </w:pPr>
      <w:r w:rsidRPr="00494098">
        <w:rPr>
          <w:lang w:val="fr-FR"/>
        </w:rPr>
        <w:t>332.</w:t>
      </w:r>
      <w:r w:rsidRPr="00494098">
        <w:rPr>
          <w:lang w:val="fr-FR"/>
        </w:rPr>
        <w:tab/>
      </w:r>
      <w:r w:rsidR="002C087A" w:rsidRPr="00494098">
        <w:rPr>
          <w:lang w:val="fr-FR"/>
        </w:rPr>
        <w:t>À</w:t>
      </w:r>
      <w:r w:rsidRPr="00494098">
        <w:rPr>
          <w:lang w:val="fr-FR"/>
        </w:rPr>
        <w:t xml:space="preserve"> titre d'illustration, on citera les campagnes de sensibilisation sur le partage de contenu</w:t>
      </w:r>
      <w:r w:rsidR="001B5A42" w:rsidRPr="00494098">
        <w:rPr>
          <w:lang w:val="fr-FR"/>
        </w:rPr>
        <w:t>s</w:t>
      </w:r>
      <w:r w:rsidRPr="00494098">
        <w:rPr>
          <w:lang w:val="fr-FR"/>
        </w:rPr>
        <w:t xml:space="preserve"> </w:t>
      </w:r>
      <w:r w:rsidR="001B5A42" w:rsidRPr="00494098">
        <w:rPr>
          <w:lang w:val="fr-FR"/>
        </w:rPr>
        <w:t xml:space="preserve">de sexualité intime et le </w:t>
      </w:r>
      <w:r w:rsidRPr="00494098">
        <w:rPr>
          <w:i/>
          <w:lang w:val="fr-FR"/>
        </w:rPr>
        <w:t>sexting</w:t>
      </w:r>
      <w:r w:rsidRPr="00494098">
        <w:rPr>
          <w:lang w:val="fr-FR"/>
        </w:rPr>
        <w:t xml:space="preserve"> (</w:t>
      </w:r>
      <w:hyperlink r:id="rId16" w:history="1">
        <w:r w:rsidR="002C087A" w:rsidRPr="00494098">
          <w:rPr>
            <w:rStyle w:val="Hyperlink"/>
            <w:color w:val="auto"/>
            <w:u w:val="none"/>
            <w:shd w:val="clear" w:color="auto" w:fill="FFFFFF"/>
            <w:lang w:val="fr-FR"/>
          </w:rPr>
          <w:t>https://www.youtube.com/watch?v=AxSzREwaKnM</w:t>
        </w:r>
      </w:hyperlink>
      <w:r w:rsidRPr="00494098">
        <w:rPr>
          <w:lang w:val="fr-FR"/>
        </w:rPr>
        <w:t>)</w:t>
      </w:r>
      <w:r w:rsidR="004E0605" w:rsidRPr="00494098">
        <w:rPr>
          <w:lang w:val="fr-FR"/>
        </w:rPr>
        <w:t> </w:t>
      </w:r>
      <w:r w:rsidR="001B5A42" w:rsidRPr="00494098">
        <w:rPr>
          <w:lang w:val="fr-FR"/>
        </w:rPr>
        <w:t xml:space="preserve">; le label </w:t>
      </w:r>
      <w:r w:rsidRPr="00494098">
        <w:rPr>
          <w:i/>
          <w:lang w:val="fr-FR"/>
        </w:rPr>
        <w:t>E-Safety</w:t>
      </w:r>
      <w:r w:rsidRPr="00494098">
        <w:rPr>
          <w:lang w:val="fr-FR"/>
        </w:rPr>
        <w:t xml:space="preserve"> attribué aux écoles (</w:t>
      </w:r>
      <w:hyperlink r:id="rId17" w:history="1">
        <w:r w:rsidR="002C087A" w:rsidRPr="00494098">
          <w:rPr>
            <w:rStyle w:val="Hyperlink"/>
            <w:color w:val="auto"/>
            <w:u w:val="none"/>
            <w:shd w:val="clear" w:color="auto" w:fill="FFFFFF"/>
            <w:lang w:val="fr-FR"/>
          </w:rPr>
          <w:t>http://www.seguranet.pt/pt/esafety-label</w:t>
        </w:r>
      </w:hyperlink>
      <w:r w:rsidRPr="00494098">
        <w:rPr>
          <w:lang w:val="fr-FR"/>
        </w:rPr>
        <w:t>)</w:t>
      </w:r>
      <w:r w:rsidR="001B5A42" w:rsidRPr="00494098">
        <w:rPr>
          <w:lang w:val="fr-FR"/>
        </w:rPr>
        <w:t> ;</w:t>
      </w:r>
      <w:r w:rsidRPr="00494098">
        <w:rPr>
          <w:lang w:val="fr-FR"/>
        </w:rPr>
        <w:t xml:space="preserve"> l'initiative </w:t>
      </w:r>
      <w:r w:rsidR="001B5A42" w:rsidRPr="00494098">
        <w:rPr>
          <w:i/>
          <w:iCs/>
          <w:lang w:val="fr-FR"/>
        </w:rPr>
        <w:t>Líderes </w:t>
      </w:r>
      <w:r w:rsidRPr="00494098">
        <w:rPr>
          <w:i/>
          <w:iCs/>
          <w:lang w:val="fr-FR"/>
        </w:rPr>
        <w:t>Digitais</w:t>
      </w:r>
      <w:r w:rsidRPr="00494098">
        <w:rPr>
          <w:lang w:val="fr-FR"/>
        </w:rPr>
        <w:t xml:space="preserve"> (</w:t>
      </w:r>
      <w:hyperlink r:id="rId18" w:history="1">
        <w:r w:rsidR="001B5A42" w:rsidRPr="00494098">
          <w:rPr>
            <w:rStyle w:val="Hyperlink"/>
            <w:color w:val="auto"/>
            <w:u w:val="none"/>
            <w:lang w:val="fr-FR"/>
          </w:rPr>
          <w:t>http://www.seguranet.pt/pt/iniciativa-lideres-digitais</w:t>
        </w:r>
      </w:hyperlink>
      <w:r w:rsidRPr="00494098">
        <w:rPr>
          <w:lang w:val="fr-FR"/>
        </w:rPr>
        <w:t>)</w:t>
      </w:r>
      <w:r w:rsidR="002978F4" w:rsidRPr="00494098">
        <w:rPr>
          <w:lang w:val="fr-FR"/>
        </w:rPr>
        <w:t> </w:t>
      </w:r>
      <w:r w:rsidR="001B5A42" w:rsidRPr="00494098">
        <w:rPr>
          <w:lang w:val="fr-FR"/>
        </w:rPr>
        <w:t>;</w:t>
      </w:r>
      <w:r w:rsidRPr="00494098">
        <w:rPr>
          <w:lang w:val="fr-FR"/>
        </w:rPr>
        <w:t xml:space="preserve"> le nouveau numéro d’urgence sur la santé et la sexualité des jeunes, lancé par l’Institut portugais de la jeunesse (</w:t>
      </w:r>
      <w:hyperlink r:id="rId19" w:history="1">
        <w:r w:rsidR="001B5A42" w:rsidRPr="00494098">
          <w:rPr>
            <w:rStyle w:val="Hyperlink"/>
            <w:color w:val="auto"/>
            <w:u w:val="none"/>
            <w:lang w:val="fr-FR"/>
          </w:rPr>
          <w:t>http://juventude.gov.pt/Eventos/SexualidadeJuvenil/Paginas/Sexualidade-em-linha-novo-numero-800222003.aspx</w:t>
        </w:r>
      </w:hyperlink>
      <w:r w:rsidRPr="00494098">
        <w:rPr>
          <w:lang w:val="fr-FR"/>
        </w:rPr>
        <w:t>)</w:t>
      </w:r>
      <w:r w:rsidR="004E0605" w:rsidRPr="00494098">
        <w:rPr>
          <w:lang w:val="fr-FR"/>
        </w:rPr>
        <w:t> ;</w:t>
      </w:r>
      <w:r w:rsidR="001B5A42" w:rsidRPr="00494098">
        <w:rPr>
          <w:lang w:val="fr-FR"/>
        </w:rPr>
        <w:t xml:space="preserve"> </w:t>
      </w:r>
      <w:r w:rsidRPr="00494098">
        <w:rPr>
          <w:lang w:val="fr-FR"/>
        </w:rPr>
        <w:t>et les initiatives de la société civile telles que les campagnes de prévention de l'Association portugaise de soutien aux victimes (APAV) contre l’exploitation sexuelle des enfants et des jeunes (</w:t>
      </w:r>
      <w:hyperlink r:id="rId20" w:history="1">
        <w:r w:rsidR="001B5A42" w:rsidRPr="00494098">
          <w:rPr>
            <w:rStyle w:val="Hyperlink"/>
            <w:color w:val="auto"/>
            <w:u w:val="none"/>
            <w:lang w:val="fr-FR"/>
          </w:rPr>
          <w:t>https://www.apav.pt/apav_v3/index.php/pt</w:t>
        </w:r>
      </w:hyperlink>
      <w:r w:rsidR="001B5A42" w:rsidRPr="00494098">
        <w:rPr>
          <w:lang w:val="fr-FR"/>
        </w:rPr>
        <w:t xml:space="preserve"> et</w:t>
      </w:r>
      <w:r w:rsidRPr="00494098">
        <w:rPr>
          <w:lang w:val="fr-FR"/>
        </w:rPr>
        <w:t xml:space="preserve"> </w:t>
      </w:r>
      <w:hyperlink r:id="rId21" w:history="1">
        <w:r w:rsidR="001B5A42" w:rsidRPr="00494098">
          <w:rPr>
            <w:rStyle w:val="Hyperlink"/>
            <w:color w:val="auto"/>
            <w:u w:val="none"/>
            <w:lang w:val="fr-FR"/>
          </w:rPr>
          <w:t>https://apav.pt/apav_v3/index.php/pt/1297-apav-lanca-campanha-de-prevencao-dos-abusos-sexuais-de-criancas-e-jovens</w:t>
        </w:r>
      </w:hyperlink>
      <w:r w:rsidRPr="00494098">
        <w:rPr>
          <w:lang w:val="fr-FR"/>
        </w:rPr>
        <w:t xml:space="preserve">). </w:t>
      </w:r>
    </w:p>
    <w:p w14:paraId="6E9D5649" w14:textId="6FF0F3D7" w:rsidR="00077B75" w:rsidRPr="00494098" w:rsidRDefault="00077B75" w:rsidP="00793BFB">
      <w:pPr>
        <w:pStyle w:val="H23G"/>
        <w:rPr>
          <w:lang w:val="fr-FR"/>
        </w:rPr>
      </w:pPr>
      <w:r w:rsidRPr="00494098">
        <w:rPr>
          <w:lang w:val="fr-FR"/>
        </w:rPr>
        <w:tab/>
      </w:r>
      <w:r w:rsidRPr="00494098">
        <w:rPr>
          <w:lang w:val="fr-FR"/>
        </w:rPr>
        <w:tab/>
      </w:r>
      <w:r w:rsidRPr="00494098">
        <w:rPr>
          <w:bCs/>
          <w:lang w:val="fr-FR"/>
        </w:rPr>
        <w:t>Formation (</w:t>
      </w:r>
      <w:r w:rsidR="00872592" w:rsidRPr="00494098">
        <w:rPr>
          <w:bCs/>
          <w:lang w:val="fr-FR"/>
        </w:rPr>
        <w:t>par. 1</w:t>
      </w:r>
      <w:r w:rsidRPr="00494098">
        <w:rPr>
          <w:bCs/>
          <w:lang w:val="fr-FR"/>
        </w:rPr>
        <w:t xml:space="preserve">8 des </w:t>
      </w:r>
      <w:r w:rsidR="00185A5A">
        <w:rPr>
          <w:bCs/>
          <w:lang w:val="fr-FR"/>
        </w:rPr>
        <w:t>o</w:t>
      </w:r>
      <w:r w:rsidR="00916D99" w:rsidRPr="00494098">
        <w:rPr>
          <w:bCs/>
          <w:lang w:val="fr-FR"/>
        </w:rPr>
        <w:t>bservations finales</w:t>
      </w:r>
      <w:r w:rsidRPr="00494098">
        <w:rPr>
          <w:bCs/>
          <w:lang w:val="fr-FR"/>
        </w:rPr>
        <w:t>)</w:t>
      </w:r>
      <w:bookmarkStart w:id="286" w:name="_Toc530057338"/>
      <w:bookmarkStart w:id="287" w:name="_Toc530057565"/>
      <w:bookmarkStart w:id="288" w:name="_Toc530057652"/>
      <w:bookmarkStart w:id="289" w:name="_Toc530068033"/>
      <w:bookmarkEnd w:id="286"/>
      <w:bookmarkEnd w:id="287"/>
      <w:bookmarkEnd w:id="288"/>
      <w:bookmarkEnd w:id="289"/>
    </w:p>
    <w:p w14:paraId="25041A32" w14:textId="77777777" w:rsidR="00077B75" w:rsidRPr="00494098" w:rsidRDefault="00077B75" w:rsidP="00480570">
      <w:pPr>
        <w:pStyle w:val="SingleTxtG"/>
        <w:rPr>
          <w:lang w:val="fr-FR"/>
        </w:rPr>
      </w:pPr>
      <w:r w:rsidRPr="00494098">
        <w:rPr>
          <w:lang w:val="fr-FR"/>
        </w:rPr>
        <w:t>333.</w:t>
      </w:r>
      <w:r w:rsidRPr="00494098">
        <w:rPr>
          <w:lang w:val="fr-FR"/>
        </w:rPr>
        <w:tab/>
      </w:r>
      <w:r w:rsidR="00B77C04" w:rsidRPr="00494098">
        <w:rPr>
          <w:lang w:val="fr-FR"/>
        </w:rPr>
        <w:t>Le cadre des formations initiales et continues aux droits de l’homme et aux droits des enfants comprend u</w:t>
      </w:r>
      <w:r w:rsidRPr="00494098">
        <w:rPr>
          <w:lang w:val="fr-FR"/>
        </w:rPr>
        <w:t>ne formation systématique sur le Protocole facultatif</w:t>
      </w:r>
      <w:r w:rsidR="002C087A" w:rsidRPr="00494098">
        <w:rPr>
          <w:lang w:val="fr-FR"/>
        </w:rPr>
        <w:t>,</w:t>
      </w:r>
      <w:r w:rsidRPr="00494098">
        <w:rPr>
          <w:lang w:val="fr-FR"/>
        </w:rPr>
        <w:t xml:space="preserve"> à l’intention des professionnels qui travaillent avec des enfants tels que les juges, les procureurs, les travailleurs sociaux, les services de détection et de répression et les agents de l’immigration. </w:t>
      </w:r>
    </w:p>
    <w:p w14:paraId="296DA464" w14:textId="20D7BD63" w:rsidR="00077B75" w:rsidRPr="00494098" w:rsidRDefault="00077B75" w:rsidP="00D615AF">
      <w:pPr>
        <w:pStyle w:val="SingleTxtG"/>
        <w:rPr>
          <w:i/>
          <w:iCs/>
          <w:lang w:val="fr-FR"/>
        </w:rPr>
      </w:pPr>
      <w:r w:rsidRPr="00494098">
        <w:rPr>
          <w:i/>
          <w:iCs/>
          <w:lang w:val="fr-FR"/>
        </w:rPr>
        <w:t>(Voir aussi les informations fournies ci-dessus aux paragraphes</w:t>
      </w:r>
      <w:r w:rsidR="004E0605" w:rsidRPr="00494098">
        <w:rPr>
          <w:i/>
          <w:iCs/>
          <w:lang w:val="fr-FR"/>
        </w:rPr>
        <w:t> </w:t>
      </w:r>
      <w:r w:rsidRPr="00494098">
        <w:rPr>
          <w:i/>
          <w:iCs/>
          <w:lang w:val="fr-FR"/>
        </w:rPr>
        <w:t>24, 28</w:t>
      </w:r>
      <w:r w:rsidR="00426CFC">
        <w:rPr>
          <w:i/>
          <w:iCs/>
          <w:lang w:val="fr-FR"/>
        </w:rPr>
        <w:t xml:space="preserve"> et</w:t>
      </w:r>
      <w:r w:rsidRPr="00494098">
        <w:rPr>
          <w:i/>
          <w:iCs/>
          <w:lang w:val="fr-FR"/>
        </w:rPr>
        <w:t xml:space="preserve"> 66 des </w:t>
      </w:r>
      <w:r w:rsidR="00426CFC">
        <w:rPr>
          <w:i/>
          <w:iCs/>
          <w:lang w:val="fr-FR"/>
        </w:rPr>
        <w:t>o</w:t>
      </w:r>
      <w:r w:rsidRPr="00494098">
        <w:rPr>
          <w:i/>
          <w:iCs/>
          <w:lang w:val="fr-FR"/>
        </w:rPr>
        <w:t xml:space="preserve">bservations finales </w:t>
      </w:r>
      <w:r w:rsidR="00426CFC">
        <w:rPr>
          <w:i/>
          <w:iCs/>
          <w:lang w:val="fr-FR"/>
        </w:rPr>
        <w:t xml:space="preserve">concernant </w:t>
      </w:r>
      <w:r w:rsidRPr="00494098">
        <w:rPr>
          <w:i/>
          <w:iCs/>
          <w:lang w:val="fr-FR"/>
        </w:rPr>
        <w:t xml:space="preserve"> la Convention et </w:t>
      </w:r>
      <w:r w:rsidR="00426CFC">
        <w:rPr>
          <w:i/>
          <w:iCs/>
          <w:lang w:val="fr-FR"/>
        </w:rPr>
        <w:t xml:space="preserve">le paragraphe </w:t>
      </w:r>
      <w:r w:rsidR="00B77C04" w:rsidRPr="00494098">
        <w:rPr>
          <w:i/>
          <w:iCs/>
          <w:lang w:val="fr-FR"/>
        </w:rPr>
        <w:t> </w:t>
      </w:r>
      <w:r w:rsidRPr="00494098">
        <w:rPr>
          <w:i/>
          <w:iCs/>
          <w:lang w:val="fr-FR"/>
        </w:rPr>
        <w:t xml:space="preserve">34 des </w:t>
      </w:r>
      <w:r w:rsidR="00426CFC">
        <w:rPr>
          <w:i/>
          <w:iCs/>
          <w:lang w:val="fr-FR"/>
        </w:rPr>
        <w:t>o</w:t>
      </w:r>
      <w:r w:rsidRPr="00494098">
        <w:rPr>
          <w:i/>
          <w:iCs/>
          <w:lang w:val="fr-FR"/>
        </w:rPr>
        <w:t xml:space="preserve">bservations finales </w:t>
      </w:r>
      <w:r w:rsidR="00426CFC">
        <w:rPr>
          <w:i/>
          <w:iCs/>
          <w:lang w:val="fr-FR"/>
        </w:rPr>
        <w:t xml:space="preserve">relatives au </w:t>
      </w:r>
      <w:r w:rsidRPr="00494098">
        <w:rPr>
          <w:i/>
          <w:iCs/>
          <w:lang w:val="fr-FR"/>
        </w:rPr>
        <w:t xml:space="preserve"> Protocole facultatif concernant la vente </w:t>
      </w:r>
      <w:r w:rsidR="00426CFC">
        <w:rPr>
          <w:i/>
          <w:iCs/>
          <w:lang w:val="fr-FR"/>
        </w:rPr>
        <w:t xml:space="preserve">d’enfants, </w:t>
      </w:r>
      <w:r w:rsidRPr="00494098">
        <w:rPr>
          <w:i/>
          <w:iCs/>
          <w:lang w:val="fr-FR"/>
        </w:rPr>
        <w:t xml:space="preserve"> la prostitution des enfants et la pornographie mettant en scène des enfants).</w:t>
      </w:r>
    </w:p>
    <w:p w14:paraId="6E485AF4" w14:textId="0F893631" w:rsidR="00077B75" w:rsidRPr="00494098" w:rsidRDefault="00491E89" w:rsidP="00793BFB">
      <w:pPr>
        <w:pStyle w:val="H1G"/>
        <w:rPr>
          <w:lang w:val="fr-FR"/>
        </w:rPr>
      </w:pPr>
      <w:r w:rsidRPr="00494098">
        <w:rPr>
          <w:lang w:val="fr-FR"/>
        </w:rPr>
        <w:tab/>
      </w:r>
      <w:r w:rsidR="00077B75" w:rsidRPr="00494098">
        <w:rPr>
          <w:lang w:val="fr-FR"/>
        </w:rPr>
        <w:t>C.</w:t>
      </w:r>
      <w:r w:rsidR="00077B75" w:rsidRPr="00494098">
        <w:rPr>
          <w:lang w:val="fr-FR"/>
        </w:rPr>
        <w:tab/>
        <w:t>Prévention de la vente d’enfants, de la prostitution des enfants et de la pornographie mettant en scène des enfants (</w:t>
      </w:r>
      <w:r w:rsidR="00162BB4" w:rsidRPr="00494098">
        <w:rPr>
          <w:lang w:val="fr-FR"/>
        </w:rPr>
        <w:t xml:space="preserve">art. 9 </w:t>
      </w:r>
      <w:r w:rsidR="002603FE">
        <w:rPr>
          <w:lang w:val="fr-FR"/>
        </w:rPr>
        <w:t>(</w:t>
      </w:r>
      <w:r w:rsidR="00162BB4" w:rsidRPr="00494098">
        <w:rPr>
          <w:lang w:val="fr-FR"/>
        </w:rPr>
        <w:t>par. 1 et 2</w:t>
      </w:r>
      <w:r w:rsidR="002603FE">
        <w:rPr>
          <w:lang w:val="fr-FR"/>
        </w:rPr>
        <w:t>)</w:t>
      </w:r>
      <w:r w:rsidR="00077B75" w:rsidRPr="00494098">
        <w:rPr>
          <w:lang w:val="fr-FR"/>
        </w:rPr>
        <w:t>)</w:t>
      </w:r>
      <w:bookmarkStart w:id="290" w:name="_Toc530057339"/>
      <w:bookmarkStart w:id="291" w:name="_Toc530057566"/>
      <w:bookmarkStart w:id="292" w:name="_Toc530057653"/>
      <w:bookmarkStart w:id="293" w:name="_Toc530068034"/>
      <w:bookmarkEnd w:id="290"/>
      <w:bookmarkEnd w:id="291"/>
      <w:bookmarkEnd w:id="292"/>
      <w:bookmarkEnd w:id="293"/>
      <w:r w:rsidR="006A565C" w:rsidRPr="00494098">
        <w:rPr>
          <w:lang w:val="fr-FR"/>
        </w:rPr>
        <w:t xml:space="preserve"> </w:t>
      </w:r>
    </w:p>
    <w:p w14:paraId="68D63F8B" w14:textId="33DA4321" w:rsidR="00077B75" w:rsidRPr="00494098" w:rsidRDefault="00077B75" w:rsidP="00793BFB">
      <w:pPr>
        <w:pStyle w:val="H23G"/>
        <w:rPr>
          <w:lang w:val="fr-FR"/>
        </w:rPr>
      </w:pPr>
      <w:r w:rsidRPr="00494098">
        <w:rPr>
          <w:lang w:val="fr-FR"/>
        </w:rPr>
        <w:tab/>
      </w:r>
      <w:r w:rsidRPr="00494098">
        <w:rPr>
          <w:lang w:val="fr-FR"/>
        </w:rPr>
        <w:tab/>
      </w:r>
      <w:r w:rsidRPr="00494098">
        <w:rPr>
          <w:bCs/>
          <w:lang w:val="fr-FR"/>
        </w:rPr>
        <w:t>Mesures prises pour prévenir les infractions visées par le Protocole facultatif (</w:t>
      </w:r>
      <w:r w:rsidR="00762179" w:rsidRPr="00494098">
        <w:rPr>
          <w:bCs/>
          <w:lang w:val="fr-FR"/>
        </w:rPr>
        <w:t>par. 2</w:t>
      </w:r>
      <w:r w:rsidRPr="00494098">
        <w:rPr>
          <w:bCs/>
          <w:lang w:val="fr-FR"/>
        </w:rPr>
        <w:t xml:space="preserve">2 des </w:t>
      </w:r>
      <w:r w:rsidR="001E28B9">
        <w:rPr>
          <w:bCs/>
          <w:lang w:val="fr-FR"/>
        </w:rPr>
        <w:t>o</w:t>
      </w:r>
      <w:r w:rsidR="00916D99" w:rsidRPr="00494098">
        <w:rPr>
          <w:bCs/>
          <w:lang w:val="fr-FR"/>
        </w:rPr>
        <w:t>bservations finales</w:t>
      </w:r>
      <w:r w:rsidRPr="00494098">
        <w:rPr>
          <w:bCs/>
          <w:lang w:val="fr-FR"/>
        </w:rPr>
        <w:t>)</w:t>
      </w:r>
      <w:bookmarkStart w:id="294" w:name="_Toc530057340"/>
      <w:bookmarkStart w:id="295" w:name="_Toc530057567"/>
      <w:bookmarkStart w:id="296" w:name="_Toc530057654"/>
      <w:bookmarkStart w:id="297" w:name="_Toc530068035"/>
      <w:bookmarkEnd w:id="294"/>
      <w:bookmarkEnd w:id="295"/>
      <w:bookmarkEnd w:id="296"/>
      <w:bookmarkEnd w:id="297"/>
    </w:p>
    <w:p w14:paraId="7E50AFE7" w14:textId="77777777" w:rsidR="00077B75" w:rsidRPr="00494098" w:rsidRDefault="00077B75" w:rsidP="00480570">
      <w:pPr>
        <w:pStyle w:val="SingleTxtG"/>
        <w:rPr>
          <w:lang w:val="fr-FR"/>
        </w:rPr>
      </w:pPr>
      <w:r w:rsidRPr="00494098">
        <w:rPr>
          <w:lang w:val="fr-FR"/>
        </w:rPr>
        <w:t>334.</w:t>
      </w:r>
      <w:r w:rsidRPr="00494098">
        <w:rPr>
          <w:lang w:val="fr-FR"/>
        </w:rPr>
        <w:tab/>
        <w:t>Les mesures d’austérité n’ont pas eu d’incidence sur l’appui accordé aux divers plans, stratégies et programmes nationaux, notamment le Plan stratégique pour les migrations, la Stratégie nationale pour l'intégration des co</w:t>
      </w:r>
      <w:r w:rsidR="007B4DC5" w:rsidRPr="00494098">
        <w:rPr>
          <w:lang w:val="fr-FR"/>
        </w:rPr>
        <w:t>mmunautés roms et le programme « </w:t>
      </w:r>
      <w:r w:rsidRPr="00494098">
        <w:rPr>
          <w:lang w:val="fr-FR"/>
        </w:rPr>
        <w:t>Choix</w:t>
      </w:r>
      <w:r w:rsidR="007B4DC5" w:rsidRPr="00494098">
        <w:rPr>
          <w:lang w:val="fr-FR"/>
        </w:rPr>
        <w:t> »</w:t>
      </w:r>
      <w:r w:rsidRPr="00494098">
        <w:rPr>
          <w:lang w:val="fr-FR"/>
        </w:rPr>
        <w:t xml:space="preserve">. </w:t>
      </w:r>
    </w:p>
    <w:p w14:paraId="78792D25" w14:textId="574E29F2" w:rsidR="00077B75" w:rsidRPr="00494098" w:rsidRDefault="00077B75" w:rsidP="00480570">
      <w:pPr>
        <w:pStyle w:val="SingleTxtG"/>
        <w:rPr>
          <w:lang w:val="fr-FR"/>
        </w:rPr>
      </w:pPr>
      <w:r w:rsidRPr="00494098">
        <w:rPr>
          <w:lang w:val="fr-FR"/>
        </w:rPr>
        <w:t>335.</w:t>
      </w:r>
      <w:r w:rsidRPr="00494098">
        <w:rPr>
          <w:lang w:val="fr-FR"/>
        </w:rPr>
        <w:tab/>
        <w:t>Bien que le Programme «</w:t>
      </w:r>
      <w:r w:rsidR="007B4DC5" w:rsidRPr="00494098">
        <w:rPr>
          <w:lang w:val="fr-FR"/>
        </w:rPr>
        <w:t> </w:t>
      </w:r>
      <w:r w:rsidRPr="00494098">
        <w:rPr>
          <w:lang w:val="fr-FR"/>
        </w:rPr>
        <w:t>Choix</w:t>
      </w:r>
      <w:r w:rsidR="007B4DC5" w:rsidRPr="00494098">
        <w:rPr>
          <w:lang w:val="fr-FR"/>
        </w:rPr>
        <w:t> </w:t>
      </w:r>
      <w:r w:rsidRPr="00494098">
        <w:rPr>
          <w:lang w:val="fr-FR"/>
        </w:rPr>
        <w:t xml:space="preserve">» (www.programmeaescolhas.pt) ne cible pas </w:t>
      </w:r>
      <w:r w:rsidR="007B4DC5" w:rsidRPr="00494098">
        <w:rPr>
          <w:lang w:val="fr-FR"/>
        </w:rPr>
        <w:t xml:space="preserve">particulièrement </w:t>
      </w:r>
      <w:r w:rsidRPr="00494098">
        <w:rPr>
          <w:lang w:val="fr-FR"/>
        </w:rPr>
        <w:t xml:space="preserve">la prévention d’infractions visées par le Protocole facultatif, il s’est avéré </w:t>
      </w:r>
      <w:r w:rsidR="00C010E1" w:rsidRPr="00494098">
        <w:rPr>
          <w:lang w:val="fr-FR"/>
        </w:rPr>
        <w:t xml:space="preserve">être </w:t>
      </w:r>
      <w:r w:rsidRPr="00494098">
        <w:rPr>
          <w:lang w:val="fr-FR"/>
        </w:rPr>
        <w:t>un important soutien pour les jeunes  en situation de vulnérabilité au Portugal.</w:t>
      </w:r>
    </w:p>
    <w:p w14:paraId="5BC5EAF0" w14:textId="77777777" w:rsidR="00077B75" w:rsidRPr="00494098" w:rsidRDefault="00077B75" w:rsidP="00480570">
      <w:pPr>
        <w:pStyle w:val="SingleTxtG"/>
        <w:rPr>
          <w:lang w:val="fr-FR"/>
        </w:rPr>
      </w:pPr>
      <w:r w:rsidRPr="00494098">
        <w:rPr>
          <w:lang w:val="fr-FR"/>
        </w:rPr>
        <w:t>336.</w:t>
      </w:r>
      <w:r w:rsidRPr="00494098">
        <w:rPr>
          <w:lang w:val="fr-FR"/>
        </w:rPr>
        <w:tab/>
      </w:r>
      <w:r w:rsidR="007B4DC5" w:rsidRPr="00494098">
        <w:rPr>
          <w:lang w:val="fr-FR"/>
        </w:rPr>
        <w:t xml:space="preserve">En reconnaissance du </w:t>
      </w:r>
      <w:r w:rsidRPr="00494098">
        <w:rPr>
          <w:lang w:val="fr-FR"/>
        </w:rPr>
        <w:t xml:space="preserve">travail accompli dans ce domaine, le Gouvernement portugais a continué de fournir un appui technique et financier. La mise en </w:t>
      </w:r>
      <w:r w:rsidR="00D264B0" w:rsidRPr="00494098">
        <w:rPr>
          <w:lang w:val="fr-FR"/>
        </w:rPr>
        <w:t>œuvr</w:t>
      </w:r>
      <w:r w:rsidRPr="00494098">
        <w:rPr>
          <w:lang w:val="fr-FR"/>
        </w:rPr>
        <w:t xml:space="preserve">e prévoit des équipes techniques réparties dans tout le pays, y compris dans les îles. Le suivi des projets s’appuie sur une plateforme en ligne pour l’établissement des rapports sur l’état d’avancement de chaque projet et l'appui financier aux projets est versé de façon échelonnée. </w:t>
      </w:r>
    </w:p>
    <w:p w14:paraId="52D2D4D3" w14:textId="77777777" w:rsidR="00077B75" w:rsidRPr="00494098" w:rsidRDefault="00077B75" w:rsidP="00480570">
      <w:pPr>
        <w:pStyle w:val="SingleTxtG"/>
        <w:rPr>
          <w:lang w:val="fr-FR"/>
        </w:rPr>
      </w:pPr>
      <w:r w:rsidRPr="00494098">
        <w:rPr>
          <w:lang w:val="fr-FR"/>
        </w:rPr>
        <w:t>337.</w:t>
      </w:r>
      <w:r w:rsidRPr="00494098">
        <w:rPr>
          <w:lang w:val="fr-FR"/>
        </w:rPr>
        <w:tab/>
        <w:t>Pour permettre de mieux saisir le travail de terrain en cours, une vidéo de présentation a été réalisée sur la base des projets existants</w:t>
      </w:r>
      <w:r w:rsidR="00090CBF" w:rsidRPr="00494098">
        <w:rPr>
          <w:lang w:val="fr-FR"/>
        </w:rPr>
        <w:t> :</w:t>
      </w:r>
      <w:r w:rsidRPr="00494098">
        <w:rPr>
          <w:lang w:val="fr-FR"/>
        </w:rPr>
        <w:t xml:space="preserve"> https://youtube/dfnlrxiK8cM.</w:t>
      </w:r>
    </w:p>
    <w:p w14:paraId="7D3B821C" w14:textId="77777777" w:rsidR="00077B75" w:rsidRPr="00494098" w:rsidRDefault="00077B75" w:rsidP="00480570">
      <w:pPr>
        <w:pStyle w:val="SingleTxtG"/>
        <w:rPr>
          <w:lang w:val="fr-FR"/>
        </w:rPr>
      </w:pPr>
      <w:r w:rsidRPr="00494098">
        <w:rPr>
          <w:lang w:val="fr-FR"/>
        </w:rPr>
        <w:t>338.</w:t>
      </w:r>
      <w:r w:rsidRPr="00494098">
        <w:rPr>
          <w:lang w:val="fr-FR"/>
        </w:rPr>
        <w:tab/>
        <w:t xml:space="preserve">L’identification précoce des enfants </w:t>
      </w:r>
      <w:r w:rsidR="007B4DC5" w:rsidRPr="00494098">
        <w:rPr>
          <w:lang w:val="fr-FR"/>
        </w:rPr>
        <w:t xml:space="preserve">risquant </w:t>
      </w:r>
      <w:r w:rsidRPr="00494098">
        <w:rPr>
          <w:lang w:val="fr-FR"/>
        </w:rPr>
        <w:t xml:space="preserve">particulièrement </w:t>
      </w:r>
      <w:r w:rsidR="007B4DC5" w:rsidRPr="00494098">
        <w:rPr>
          <w:lang w:val="fr-FR"/>
        </w:rPr>
        <w:t xml:space="preserve">de </w:t>
      </w:r>
      <w:r w:rsidRPr="00494098">
        <w:rPr>
          <w:lang w:val="fr-FR"/>
        </w:rPr>
        <w:t xml:space="preserve">devenir des victimes s'effectue de diverses manières, notamment </w:t>
      </w:r>
      <w:r w:rsidR="00D44B4D" w:rsidRPr="00494098">
        <w:rPr>
          <w:lang w:val="fr-FR"/>
        </w:rPr>
        <w:t xml:space="preserve">par </w:t>
      </w:r>
      <w:r w:rsidRPr="00494098">
        <w:rPr>
          <w:lang w:val="fr-FR"/>
        </w:rPr>
        <w:t>l’action de la police locale et de proximité et grâce au travail du système de promotion et de protection des droits de l’enfant</w:t>
      </w:r>
      <w:r w:rsidR="007B4DC5" w:rsidRPr="00494098">
        <w:rPr>
          <w:lang w:val="fr-FR"/>
        </w:rPr>
        <w:t>,</w:t>
      </w:r>
      <w:r w:rsidRPr="00494098">
        <w:rPr>
          <w:lang w:val="fr-FR"/>
        </w:rPr>
        <w:t xml:space="preserve"> en </w:t>
      </w:r>
      <w:r w:rsidR="007B4DC5" w:rsidRPr="00494098">
        <w:rPr>
          <w:lang w:val="fr-FR"/>
        </w:rPr>
        <w:t xml:space="preserve">symbiose </w:t>
      </w:r>
      <w:r w:rsidRPr="00494098">
        <w:rPr>
          <w:lang w:val="fr-FR"/>
        </w:rPr>
        <w:t>avec les stratégies et les programmes existants, à savoir ceux dédiés aux enfants les plus vulnérables, tels que les enfants roms.</w:t>
      </w:r>
    </w:p>
    <w:p w14:paraId="6EFB55BE" w14:textId="77777777" w:rsidR="00077B75" w:rsidRPr="00494098" w:rsidRDefault="00077B75" w:rsidP="00480570">
      <w:pPr>
        <w:pStyle w:val="SingleTxtG"/>
        <w:rPr>
          <w:lang w:val="fr-FR"/>
        </w:rPr>
      </w:pPr>
      <w:r w:rsidRPr="00494098">
        <w:rPr>
          <w:lang w:val="fr-FR"/>
        </w:rPr>
        <w:t>339.</w:t>
      </w:r>
      <w:r w:rsidRPr="00494098">
        <w:rPr>
          <w:lang w:val="fr-FR"/>
        </w:rPr>
        <w:tab/>
        <w:t>La Stratégie nationale pour l'intégration de</w:t>
      </w:r>
      <w:r w:rsidR="007B4DC5" w:rsidRPr="00494098">
        <w:rPr>
          <w:lang w:val="fr-FR"/>
        </w:rPr>
        <w:t>s communautés roms comporte 105 </w:t>
      </w:r>
      <w:r w:rsidRPr="00494098">
        <w:rPr>
          <w:lang w:val="fr-FR"/>
        </w:rPr>
        <w:t>mesures dans les domaines de l’éducation, de la santé, du logement et de l’emploi</w:t>
      </w:r>
      <w:r w:rsidR="008E5931" w:rsidRPr="00494098">
        <w:rPr>
          <w:lang w:val="fr-FR"/>
        </w:rPr>
        <w:t xml:space="preserve">, </w:t>
      </w:r>
      <w:r w:rsidRPr="00494098">
        <w:rPr>
          <w:lang w:val="fr-FR"/>
        </w:rPr>
        <w:t xml:space="preserve">et un axe transversal couvrant la discrimination, la médiation, l’éducation à la citoyenneté, la sécurité sociale, la promotion de l’histoire et </w:t>
      </w:r>
      <w:r w:rsidR="007B4DC5" w:rsidRPr="00494098">
        <w:rPr>
          <w:lang w:val="fr-FR"/>
        </w:rPr>
        <w:t xml:space="preserve">de </w:t>
      </w:r>
      <w:r w:rsidRPr="00494098">
        <w:rPr>
          <w:lang w:val="fr-FR"/>
        </w:rPr>
        <w:t xml:space="preserve">la culture roms, et l’égalité des sexes. </w:t>
      </w:r>
    </w:p>
    <w:p w14:paraId="3B1557AE" w14:textId="77777777" w:rsidR="00077B75" w:rsidRPr="00494098" w:rsidRDefault="00077B75" w:rsidP="00480570">
      <w:pPr>
        <w:pStyle w:val="SingleTxtG"/>
        <w:rPr>
          <w:lang w:val="fr-FR"/>
        </w:rPr>
      </w:pPr>
      <w:r w:rsidRPr="00494098">
        <w:rPr>
          <w:lang w:val="fr-FR"/>
        </w:rPr>
        <w:t>340.</w:t>
      </w:r>
      <w:r w:rsidRPr="00494098">
        <w:rPr>
          <w:lang w:val="fr-FR"/>
        </w:rPr>
        <w:tab/>
      </w:r>
      <w:r w:rsidR="00D44B4D" w:rsidRPr="00494098">
        <w:rPr>
          <w:lang w:val="fr-FR"/>
        </w:rPr>
        <w:t>Au titre du Revenu social d'insertion, des programmes de logement et d'accès au service national de la santé, l</w:t>
      </w:r>
      <w:r w:rsidRPr="00494098">
        <w:rPr>
          <w:lang w:val="fr-FR"/>
        </w:rPr>
        <w:t xml:space="preserve">es communautés roms bénéficient, sans discrimination, de toutes les mesures en place pour l’ensemble de la population, </w:t>
      </w:r>
      <w:r w:rsidR="00D44B4D" w:rsidRPr="00494098">
        <w:rPr>
          <w:lang w:val="fr-FR"/>
        </w:rPr>
        <w:t>y compris la protection sociale</w:t>
      </w:r>
      <w:r w:rsidRPr="00494098">
        <w:rPr>
          <w:lang w:val="fr-FR"/>
        </w:rPr>
        <w:t xml:space="preserve">. </w:t>
      </w:r>
    </w:p>
    <w:p w14:paraId="3CD17937" w14:textId="1E31B4F1" w:rsidR="00077B75" w:rsidRPr="00494098" w:rsidRDefault="00077B75" w:rsidP="00793BFB">
      <w:pPr>
        <w:pStyle w:val="H23G"/>
        <w:rPr>
          <w:lang w:val="fr-FR"/>
        </w:rPr>
      </w:pPr>
      <w:r w:rsidRPr="00494098">
        <w:rPr>
          <w:lang w:val="fr-FR"/>
        </w:rPr>
        <w:tab/>
      </w:r>
      <w:r w:rsidRPr="00494098">
        <w:rPr>
          <w:lang w:val="fr-FR"/>
        </w:rPr>
        <w:tab/>
      </w:r>
      <w:r w:rsidRPr="00494098">
        <w:rPr>
          <w:bCs/>
          <w:lang w:val="fr-FR"/>
        </w:rPr>
        <w:t>Traite des enfants (</w:t>
      </w:r>
      <w:r w:rsidR="00762179" w:rsidRPr="00494098">
        <w:rPr>
          <w:bCs/>
          <w:lang w:val="fr-FR"/>
        </w:rPr>
        <w:t>par. 2</w:t>
      </w:r>
      <w:r w:rsidRPr="00494098">
        <w:rPr>
          <w:bCs/>
          <w:lang w:val="fr-FR"/>
        </w:rPr>
        <w:t xml:space="preserve">4 des </w:t>
      </w:r>
      <w:r w:rsidR="00D66B47">
        <w:rPr>
          <w:bCs/>
          <w:lang w:val="fr-FR"/>
        </w:rPr>
        <w:t>o</w:t>
      </w:r>
      <w:r w:rsidR="00916D99" w:rsidRPr="00494098">
        <w:rPr>
          <w:bCs/>
          <w:lang w:val="fr-FR"/>
        </w:rPr>
        <w:t>bservations finales</w:t>
      </w:r>
      <w:r w:rsidRPr="00494098">
        <w:rPr>
          <w:bCs/>
          <w:lang w:val="fr-FR"/>
        </w:rPr>
        <w:t>)</w:t>
      </w:r>
      <w:bookmarkStart w:id="298" w:name="_Toc530057341"/>
      <w:bookmarkStart w:id="299" w:name="_Toc530057568"/>
      <w:bookmarkStart w:id="300" w:name="_Toc530057655"/>
      <w:bookmarkStart w:id="301" w:name="_Toc530068036"/>
      <w:bookmarkEnd w:id="298"/>
      <w:bookmarkEnd w:id="299"/>
      <w:bookmarkEnd w:id="300"/>
      <w:bookmarkEnd w:id="301"/>
    </w:p>
    <w:p w14:paraId="4B240600" w14:textId="77777777" w:rsidR="00077B75" w:rsidRPr="00494098" w:rsidRDefault="00077B75" w:rsidP="00AE4BF5">
      <w:pPr>
        <w:pStyle w:val="SingleTxtG"/>
        <w:rPr>
          <w:lang w:val="fr-FR"/>
        </w:rPr>
      </w:pPr>
      <w:r w:rsidRPr="00494098">
        <w:rPr>
          <w:lang w:val="fr-FR"/>
        </w:rPr>
        <w:t>341.</w:t>
      </w:r>
      <w:r w:rsidRPr="00494098">
        <w:rPr>
          <w:lang w:val="fr-FR"/>
        </w:rPr>
        <w:tab/>
        <w:t>Des mesures ciblées</w:t>
      </w:r>
      <w:r w:rsidR="00890494" w:rsidRPr="00494098">
        <w:rPr>
          <w:lang w:val="fr-FR"/>
        </w:rPr>
        <w:t xml:space="preserve">, qui mettent </w:t>
      </w:r>
      <w:r w:rsidRPr="00494098">
        <w:rPr>
          <w:lang w:val="fr-FR"/>
        </w:rPr>
        <w:t xml:space="preserve">l’accent sur les enfants </w:t>
      </w:r>
      <w:r w:rsidR="00CE4438" w:rsidRPr="00494098">
        <w:rPr>
          <w:lang w:val="fr-FR"/>
        </w:rPr>
        <w:t xml:space="preserve">se trouvant </w:t>
      </w:r>
      <w:r w:rsidRPr="00494098">
        <w:rPr>
          <w:lang w:val="fr-FR"/>
        </w:rPr>
        <w:t>dans les situations les plus vulnérables et marginalisées</w:t>
      </w:r>
      <w:r w:rsidR="00890494" w:rsidRPr="00494098">
        <w:rPr>
          <w:lang w:val="fr-FR"/>
        </w:rPr>
        <w:t>,</w:t>
      </w:r>
      <w:r w:rsidRPr="00494098">
        <w:rPr>
          <w:lang w:val="fr-FR"/>
        </w:rPr>
        <w:t xml:space="preserve"> sont menées au titre du troisième Plan national de prévention et de lutte contre la traite des êtres humains (2013–2017) et d’autres programmes, tels que l'Action de santé pour les enfants et</w:t>
      </w:r>
      <w:r w:rsidR="00CE4438" w:rsidRPr="00494098">
        <w:rPr>
          <w:lang w:val="fr-FR"/>
        </w:rPr>
        <w:t xml:space="preserve"> les adolescents à risque, et l'</w:t>
      </w:r>
      <w:r w:rsidRPr="00494098">
        <w:rPr>
          <w:lang w:val="fr-FR"/>
        </w:rPr>
        <w:t xml:space="preserve">Action sanitaire sur l’égalité des sexes, la violence et le cycle de vie (ordonnance </w:t>
      </w:r>
      <w:r w:rsidR="006717A5" w:rsidRPr="00494098">
        <w:rPr>
          <w:lang w:val="fr-FR"/>
        </w:rPr>
        <w:t>n° </w:t>
      </w:r>
      <w:r w:rsidRPr="00494098">
        <w:rPr>
          <w:lang w:val="fr-FR"/>
        </w:rPr>
        <w:t>6378/2013).</w:t>
      </w:r>
    </w:p>
    <w:p w14:paraId="400711BB" w14:textId="77777777" w:rsidR="00077B75" w:rsidRPr="00494098" w:rsidRDefault="00077B75" w:rsidP="00480570">
      <w:pPr>
        <w:pStyle w:val="SingleTxtG"/>
        <w:rPr>
          <w:lang w:val="fr-FR"/>
        </w:rPr>
      </w:pPr>
      <w:r w:rsidRPr="00494098">
        <w:rPr>
          <w:lang w:val="fr-FR"/>
        </w:rPr>
        <w:t>342.</w:t>
      </w:r>
      <w:r w:rsidRPr="00494098">
        <w:rPr>
          <w:lang w:val="fr-FR"/>
        </w:rPr>
        <w:tab/>
        <w:t>Le quatrième Plan national de prévention et de lutte contre la traite de</w:t>
      </w:r>
      <w:r w:rsidR="00CE4438" w:rsidRPr="00494098">
        <w:rPr>
          <w:lang w:val="fr-FR"/>
        </w:rPr>
        <w:t>s êtres humains, en préparation</w:t>
      </w:r>
      <w:r w:rsidR="00890494" w:rsidRPr="00494098">
        <w:rPr>
          <w:lang w:val="fr-FR"/>
        </w:rPr>
        <w:t>,</w:t>
      </w:r>
      <w:r w:rsidRPr="00494098">
        <w:rPr>
          <w:lang w:val="fr-FR"/>
        </w:rPr>
        <w:t xml:space="preserve"> portera également</w:t>
      </w:r>
      <w:r w:rsidR="00890494" w:rsidRPr="00494098">
        <w:rPr>
          <w:lang w:val="fr-FR"/>
        </w:rPr>
        <w:t xml:space="preserve"> </w:t>
      </w:r>
      <w:r w:rsidRPr="00494098">
        <w:rPr>
          <w:lang w:val="fr-FR"/>
        </w:rPr>
        <w:t xml:space="preserve">sur </w:t>
      </w:r>
      <w:r w:rsidR="00CE4438" w:rsidRPr="00494098">
        <w:rPr>
          <w:lang w:val="fr-FR"/>
        </w:rPr>
        <w:t xml:space="preserve">certaines </w:t>
      </w:r>
      <w:r w:rsidRPr="00494098">
        <w:rPr>
          <w:lang w:val="fr-FR"/>
        </w:rPr>
        <w:t xml:space="preserve">questions liées à la traite des enfants. </w:t>
      </w:r>
    </w:p>
    <w:p w14:paraId="6A4003B4" w14:textId="77777777" w:rsidR="00077B75" w:rsidRPr="00494098" w:rsidRDefault="00077B75" w:rsidP="00480570">
      <w:pPr>
        <w:pStyle w:val="SingleTxtG"/>
        <w:rPr>
          <w:lang w:val="fr-FR"/>
        </w:rPr>
      </w:pPr>
      <w:r w:rsidRPr="00494098">
        <w:rPr>
          <w:lang w:val="fr-FR"/>
        </w:rPr>
        <w:t>343.</w:t>
      </w:r>
      <w:r w:rsidRPr="00494098">
        <w:rPr>
          <w:lang w:val="fr-FR"/>
        </w:rPr>
        <w:tab/>
        <w:t>L’entraide internationale en lien avec les enquêtes et la coopération transfrontalière</w:t>
      </w:r>
      <w:r w:rsidR="00CE4438" w:rsidRPr="00494098">
        <w:rPr>
          <w:lang w:val="fr-FR"/>
        </w:rPr>
        <w:t>s</w:t>
      </w:r>
      <w:r w:rsidRPr="00494098">
        <w:rPr>
          <w:lang w:val="fr-FR"/>
        </w:rPr>
        <w:t xml:space="preserve"> </w:t>
      </w:r>
      <w:r w:rsidR="00CE4438" w:rsidRPr="00494098">
        <w:rPr>
          <w:lang w:val="fr-FR"/>
        </w:rPr>
        <w:t xml:space="preserve">visant à </w:t>
      </w:r>
      <w:r w:rsidRPr="00494098">
        <w:rPr>
          <w:lang w:val="fr-FR"/>
        </w:rPr>
        <w:t xml:space="preserve">lutter contre la traite aux fins de travail forcé ou d’exploitation sexuelle s’inscrit dans le cadre des mécanismes applicables de coopération policière et judiciaire. </w:t>
      </w:r>
    </w:p>
    <w:p w14:paraId="34DB0940" w14:textId="77777777" w:rsidR="00077B75" w:rsidRPr="00494098" w:rsidRDefault="00077B75" w:rsidP="00A14771">
      <w:pPr>
        <w:pStyle w:val="SingleTxtG"/>
        <w:rPr>
          <w:lang w:val="fr-FR"/>
        </w:rPr>
      </w:pPr>
      <w:r w:rsidRPr="00494098">
        <w:rPr>
          <w:lang w:val="fr-FR"/>
        </w:rPr>
        <w:t>344.</w:t>
      </w:r>
      <w:r w:rsidRPr="00494098">
        <w:rPr>
          <w:lang w:val="fr-FR"/>
        </w:rPr>
        <w:tab/>
        <w:t>D’autres projets et initiatives de sensibilisation méritent d’être mentionnés</w:t>
      </w:r>
      <w:r w:rsidR="00090CBF" w:rsidRPr="00494098">
        <w:rPr>
          <w:lang w:val="fr-FR"/>
        </w:rPr>
        <w:t> :</w:t>
      </w:r>
      <w:r w:rsidRPr="00494098">
        <w:rPr>
          <w:lang w:val="fr-FR"/>
        </w:rPr>
        <w:t xml:space="preserve"> le Kit de formation pour les travailleurs sociaux, conçu par la </w:t>
      </w:r>
      <w:r w:rsidR="0085613F" w:rsidRPr="00494098">
        <w:rPr>
          <w:lang w:val="fr-FR"/>
        </w:rPr>
        <w:t>« </w:t>
      </w:r>
      <w:r w:rsidRPr="00494098">
        <w:rPr>
          <w:lang w:val="fr-FR"/>
        </w:rPr>
        <w:t xml:space="preserve">Plate-forme européenne d'échanges inter-acteurs </w:t>
      </w:r>
      <w:r w:rsidR="00CE4438" w:rsidRPr="00494098">
        <w:rPr>
          <w:lang w:val="fr-FR"/>
        </w:rPr>
        <w:t>sur les enfants victimes de la traite aux fins de</w:t>
      </w:r>
      <w:r w:rsidRPr="00494098">
        <w:rPr>
          <w:lang w:val="fr-FR"/>
        </w:rPr>
        <w:t xml:space="preserve"> l'élaboration d'une méthodologie de prévention et d'inclusion durable</w:t>
      </w:r>
      <w:r w:rsidR="0085613F" w:rsidRPr="00494098">
        <w:rPr>
          <w:lang w:val="fr-FR"/>
        </w:rPr>
        <w:t> »</w:t>
      </w:r>
      <w:r w:rsidR="00013FFB" w:rsidRPr="00494098">
        <w:rPr>
          <w:lang w:val="fr-FR"/>
        </w:rPr>
        <w:t xml:space="preserve"> (</w:t>
      </w:r>
      <w:r w:rsidR="00013FFB" w:rsidRPr="00494098">
        <w:rPr>
          <w:i/>
          <w:lang w:val="fr-FR"/>
        </w:rPr>
        <w:t>CATCH &amp; SUSTAIN</w:t>
      </w:r>
      <w:r w:rsidR="00013FFB" w:rsidRPr="00494098">
        <w:rPr>
          <w:lang w:val="fr-FR"/>
        </w:rPr>
        <w:t>)</w:t>
      </w:r>
      <w:r w:rsidRPr="00494098">
        <w:rPr>
          <w:lang w:val="fr-FR"/>
        </w:rPr>
        <w:t xml:space="preserve">, </w:t>
      </w:r>
      <w:r w:rsidR="00890494" w:rsidRPr="00494098">
        <w:rPr>
          <w:lang w:val="fr-FR"/>
        </w:rPr>
        <w:t xml:space="preserve">est </w:t>
      </w:r>
      <w:r w:rsidRPr="00494098">
        <w:rPr>
          <w:lang w:val="fr-FR"/>
        </w:rPr>
        <w:t xml:space="preserve">actuellement </w:t>
      </w:r>
      <w:r w:rsidR="006E3342" w:rsidRPr="00494098">
        <w:rPr>
          <w:lang w:val="fr-FR"/>
        </w:rPr>
        <w:t xml:space="preserve">utilisé </w:t>
      </w:r>
      <w:r w:rsidRPr="00494098">
        <w:rPr>
          <w:lang w:val="fr-FR"/>
        </w:rPr>
        <w:t>par l’Institut de soutien à l’enfance (</w:t>
      </w:r>
      <w:r w:rsidRPr="00494098">
        <w:rPr>
          <w:i/>
          <w:iCs/>
          <w:lang w:val="fr-FR"/>
        </w:rPr>
        <w:t>Instituto de Apoio à Criança, IAC</w:t>
      </w:r>
      <w:r w:rsidR="00890494" w:rsidRPr="00494098">
        <w:rPr>
          <w:lang w:val="fr-FR"/>
        </w:rPr>
        <w:t>) :</w:t>
      </w:r>
      <w:r w:rsidRPr="00494098">
        <w:rPr>
          <w:lang w:val="fr-FR"/>
        </w:rPr>
        <w:t xml:space="preserve"> </w:t>
      </w:r>
      <w:r w:rsidR="00890494" w:rsidRPr="00494098">
        <w:rPr>
          <w:lang w:val="fr-FR"/>
        </w:rPr>
        <w:t xml:space="preserve">il </w:t>
      </w:r>
      <w:r w:rsidRPr="00494098">
        <w:rPr>
          <w:lang w:val="fr-FR"/>
        </w:rPr>
        <w:t>introduit des méthodes de prévention fondées sur l’identification et l’évaluation des risques, une démarche d'autonomisation et d’acquisition de compétences pratiques</w:t>
      </w:r>
      <w:r w:rsidR="006E3342" w:rsidRPr="00494098">
        <w:rPr>
          <w:lang w:val="fr-FR"/>
        </w:rPr>
        <w:t>,</w:t>
      </w:r>
      <w:r w:rsidRPr="00494098">
        <w:rPr>
          <w:lang w:val="fr-FR"/>
        </w:rPr>
        <w:t xml:space="preserve"> ainsi que la collecte de données </w:t>
      </w:r>
      <w:r w:rsidR="00CE4438" w:rsidRPr="00494098">
        <w:rPr>
          <w:lang w:val="fr-FR"/>
        </w:rPr>
        <w:t>dans le cadre d’une</w:t>
      </w:r>
      <w:r w:rsidRPr="00494098">
        <w:rPr>
          <w:lang w:val="fr-FR"/>
        </w:rPr>
        <w:t xml:space="preserve"> recherche participative</w:t>
      </w:r>
      <w:r w:rsidR="006717A5" w:rsidRPr="00494098">
        <w:rPr>
          <w:lang w:val="fr-FR"/>
        </w:rPr>
        <w:t> ;</w:t>
      </w:r>
      <w:r w:rsidRPr="00494098">
        <w:rPr>
          <w:lang w:val="fr-FR"/>
        </w:rPr>
        <w:t xml:space="preserve"> </w:t>
      </w:r>
      <w:r w:rsidR="00890494" w:rsidRPr="00494098">
        <w:rPr>
          <w:lang w:val="fr-FR"/>
        </w:rPr>
        <w:t xml:space="preserve">il faut citer </w:t>
      </w:r>
      <w:r w:rsidR="006E3342" w:rsidRPr="00494098">
        <w:rPr>
          <w:lang w:val="fr-FR"/>
        </w:rPr>
        <w:t xml:space="preserve">aussi </w:t>
      </w:r>
      <w:r w:rsidRPr="00494098">
        <w:rPr>
          <w:lang w:val="fr-FR"/>
        </w:rPr>
        <w:t>le lancement d’une campagne nationale</w:t>
      </w:r>
      <w:r w:rsidR="0085613F" w:rsidRPr="00494098">
        <w:rPr>
          <w:lang w:val="fr-FR"/>
        </w:rPr>
        <w:t>,</w:t>
      </w:r>
      <w:r w:rsidRPr="00494098">
        <w:rPr>
          <w:lang w:val="fr-FR"/>
        </w:rPr>
        <w:t xml:space="preserve"> en 2016, sur la Journée européenne contre la traite des êtres humains, qui vise spécifiquement à sensibiliser au risque de </w:t>
      </w:r>
      <w:r w:rsidR="006E3342" w:rsidRPr="00494098">
        <w:rPr>
          <w:lang w:val="fr-FR"/>
        </w:rPr>
        <w:t xml:space="preserve">la </w:t>
      </w:r>
      <w:r w:rsidRPr="00494098">
        <w:rPr>
          <w:lang w:val="fr-FR"/>
        </w:rPr>
        <w:t>traite des enfants.</w:t>
      </w:r>
    </w:p>
    <w:p w14:paraId="51FEB590" w14:textId="7050B788" w:rsidR="00077B75" w:rsidRPr="00494098" w:rsidRDefault="00491E89" w:rsidP="00A45660">
      <w:pPr>
        <w:pStyle w:val="H1G"/>
        <w:rPr>
          <w:lang w:val="fr-FR"/>
        </w:rPr>
      </w:pPr>
      <w:r w:rsidRPr="00494098">
        <w:rPr>
          <w:lang w:val="fr-FR"/>
        </w:rPr>
        <w:tab/>
      </w:r>
      <w:r w:rsidR="00077B75" w:rsidRPr="00494098">
        <w:rPr>
          <w:lang w:val="fr-FR"/>
        </w:rPr>
        <w:t>D.</w:t>
      </w:r>
      <w:r w:rsidR="00077B75" w:rsidRPr="00494098">
        <w:rPr>
          <w:lang w:val="fr-FR"/>
        </w:rPr>
        <w:tab/>
        <w:t>Interdiction de la vente d’enfants, de la pornographie mettant en scène des enfants et de la prostitution des enfan</w:t>
      </w:r>
      <w:r w:rsidR="00A93ED6" w:rsidRPr="00494098">
        <w:rPr>
          <w:lang w:val="fr-FR"/>
        </w:rPr>
        <w:t>ts et questions connexes (</w:t>
      </w:r>
      <w:r w:rsidR="00EE6F0D" w:rsidRPr="00494098">
        <w:rPr>
          <w:lang w:val="fr-FR"/>
        </w:rPr>
        <w:t xml:space="preserve">art. 3, 4 </w:t>
      </w:r>
      <w:r w:rsidR="005344ED">
        <w:rPr>
          <w:lang w:val="fr-FR"/>
        </w:rPr>
        <w:t>(</w:t>
      </w:r>
      <w:r w:rsidR="00EE6F0D" w:rsidRPr="00494098">
        <w:rPr>
          <w:lang w:val="fr-FR"/>
        </w:rPr>
        <w:t>par. 2 et 3</w:t>
      </w:r>
      <w:r w:rsidR="005344ED">
        <w:rPr>
          <w:lang w:val="fr-FR"/>
        </w:rPr>
        <w:t>)</w:t>
      </w:r>
      <w:r w:rsidR="00EE6F0D" w:rsidRPr="00494098">
        <w:rPr>
          <w:lang w:val="fr-FR"/>
        </w:rPr>
        <w:t xml:space="preserve"> et 5 à 7</w:t>
      </w:r>
      <w:r w:rsidR="00077B75" w:rsidRPr="00494098">
        <w:rPr>
          <w:lang w:val="fr-FR"/>
        </w:rPr>
        <w:t>)</w:t>
      </w:r>
      <w:bookmarkStart w:id="302" w:name="_Toc530057342"/>
      <w:bookmarkStart w:id="303" w:name="_Toc530057569"/>
      <w:bookmarkStart w:id="304" w:name="_Toc530057656"/>
      <w:bookmarkStart w:id="305" w:name="_Toc530068037"/>
      <w:bookmarkEnd w:id="302"/>
      <w:bookmarkEnd w:id="303"/>
      <w:bookmarkEnd w:id="304"/>
      <w:bookmarkEnd w:id="305"/>
    </w:p>
    <w:p w14:paraId="338842EF" w14:textId="35795438" w:rsidR="00077B75" w:rsidRPr="00494098" w:rsidRDefault="00077B75" w:rsidP="005A2A9B">
      <w:pPr>
        <w:pStyle w:val="H23G"/>
        <w:rPr>
          <w:lang w:val="fr-FR"/>
        </w:rPr>
      </w:pPr>
      <w:r w:rsidRPr="00494098">
        <w:rPr>
          <w:lang w:val="fr-FR"/>
        </w:rPr>
        <w:tab/>
      </w:r>
      <w:r w:rsidRPr="00494098">
        <w:rPr>
          <w:lang w:val="fr-FR"/>
        </w:rPr>
        <w:tab/>
      </w:r>
      <w:r w:rsidRPr="00494098">
        <w:rPr>
          <w:bCs/>
          <w:lang w:val="fr-FR"/>
        </w:rPr>
        <w:t>Lois et réglementations pénales en vigueur (</w:t>
      </w:r>
      <w:r w:rsidR="00762179" w:rsidRPr="00494098">
        <w:rPr>
          <w:bCs/>
          <w:lang w:val="fr-FR"/>
        </w:rPr>
        <w:t>par. 2</w:t>
      </w:r>
      <w:r w:rsidRPr="00494098">
        <w:rPr>
          <w:bCs/>
          <w:lang w:val="fr-FR"/>
        </w:rPr>
        <w:t xml:space="preserve">6 des </w:t>
      </w:r>
      <w:r w:rsidR="008759E4">
        <w:rPr>
          <w:bCs/>
          <w:lang w:val="fr-FR"/>
        </w:rPr>
        <w:t>o</w:t>
      </w:r>
      <w:r w:rsidR="00916D99" w:rsidRPr="00494098">
        <w:rPr>
          <w:bCs/>
          <w:lang w:val="fr-FR"/>
        </w:rPr>
        <w:t>bservations finales</w:t>
      </w:r>
      <w:r w:rsidRPr="00494098">
        <w:rPr>
          <w:bCs/>
          <w:lang w:val="fr-FR"/>
        </w:rPr>
        <w:t>)</w:t>
      </w:r>
      <w:bookmarkStart w:id="306" w:name="_Toc530057343"/>
      <w:bookmarkStart w:id="307" w:name="_Toc530057570"/>
      <w:bookmarkStart w:id="308" w:name="_Toc530057657"/>
      <w:bookmarkStart w:id="309" w:name="_Toc530068038"/>
      <w:bookmarkEnd w:id="306"/>
      <w:bookmarkEnd w:id="307"/>
      <w:bookmarkEnd w:id="308"/>
      <w:bookmarkEnd w:id="309"/>
    </w:p>
    <w:p w14:paraId="0D7C9AB4" w14:textId="53748030" w:rsidR="00077B75" w:rsidRPr="00494098" w:rsidRDefault="00077B75" w:rsidP="00480570">
      <w:pPr>
        <w:pStyle w:val="SingleTxtG"/>
        <w:rPr>
          <w:lang w:val="fr-FR"/>
        </w:rPr>
      </w:pPr>
      <w:r w:rsidRPr="00494098">
        <w:rPr>
          <w:lang w:val="fr-FR"/>
        </w:rPr>
        <w:t>345.</w:t>
      </w:r>
      <w:r w:rsidRPr="00494098">
        <w:rPr>
          <w:lang w:val="fr-FR"/>
        </w:rPr>
        <w:tab/>
        <w:t xml:space="preserve">Le cadre pénal portugais </w:t>
      </w:r>
      <w:r w:rsidR="007C0083" w:rsidRPr="00494098">
        <w:rPr>
          <w:lang w:val="fr-FR"/>
        </w:rPr>
        <w:t xml:space="preserve">actuel </w:t>
      </w:r>
      <w:r w:rsidRPr="00494098">
        <w:rPr>
          <w:lang w:val="fr-FR"/>
        </w:rPr>
        <w:t xml:space="preserve">incrimine </w:t>
      </w:r>
      <w:r w:rsidR="007C0083" w:rsidRPr="00494098">
        <w:rPr>
          <w:lang w:val="fr-FR"/>
        </w:rPr>
        <w:t xml:space="preserve">le fait de </w:t>
      </w:r>
      <w:r w:rsidRPr="00494098">
        <w:rPr>
          <w:lang w:val="fr-FR"/>
        </w:rPr>
        <w:t>sollicit</w:t>
      </w:r>
      <w:r w:rsidR="007C0083" w:rsidRPr="00494098">
        <w:rPr>
          <w:lang w:val="fr-FR"/>
        </w:rPr>
        <w:t>er</w:t>
      </w:r>
      <w:r w:rsidRPr="00494098">
        <w:rPr>
          <w:lang w:val="fr-FR"/>
        </w:rPr>
        <w:t xml:space="preserve"> </w:t>
      </w:r>
      <w:r w:rsidR="007C0083" w:rsidRPr="00494098">
        <w:rPr>
          <w:lang w:val="fr-FR"/>
        </w:rPr>
        <w:t xml:space="preserve">un </w:t>
      </w:r>
      <w:r w:rsidRPr="00494098">
        <w:rPr>
          <w:lang w:val="fr-FR"/>
        </w:rPr>
        <w:t xml:space="preserve">enfant à des fins sexuelles </w:t>
      </w:r>
      <w:r w:rsidR="006B1D5F" w:rsidRPr="00494098">
        <w:rPr>
          <w:lang w:val="fr-FR"/>
        </w:rPr>
        <w:t xml:space="preserve">ainsi que </w:t>
      </w:r>
      <w:r w:rsidRPr="00494098">
        <w:rPr>
          <w:lang w:val="fr-FR"/>
        </w:rPr>
        <w:t xml:space="preserve">l’accès à la pornographie mettant en scène des enfants par le biais des technologies de l'information et des communications. </w:t>
      </w:r>
      <w:r w:rsidR="007A5F44">
        <w:rPr>
          <w:lang w:val="fr-FR"/>
        </w:rPr>
        <w:t xml:space="preserve">Les dispositions </w:t>
      </w:r>
      <w:r w:rsidRPr="00494098">
        <w:rPr>
          <w:lang w:val="fr-FR"/>
        </w:rPr>
        <w:t xml:space="preserve"> pertinente</w:t>
      </w:r>
      <w:r w:rsidR="007A5F44">
        <w:rPr>
          <w:lang w:val="fr-FR"/>
        </w:rPr>
        <w:t>s</w:t>
      </w:r>
      <w:r w:rsidRPr="00494098">
        <w:rPr>
          <w:lang w:val="fr-FR"/>
        </w:rPr>
        <w:t xml:space="preserve"> </w:t>
      </w:r>
      <w:r w:rsidR="007C0083" w:rsidRPr="00494098">
        <w:rPr>
          <w:lang w:val="fr-FR"/>
        </w:rPr>
        <w:t>figure</w:t>
      </w:r>
      <w:r w:rsidR="007A5F44">
        <w:rPr>
          <w:lang w:val="fr-FR"/>
        </w:rPr>
        <w:t>nt</w:t>
      </w:r>
      <w:r w:rsidR="007C0083" w:rsidRPr="00494098">
        <w:rPr>
          <w:lang w:val="fr-FR"/>
        </w:rPr>
        <w:t xml:space="preserve"> aux </w:t>
      </w:r>
      <w:r w:rsidRPr="00494098">
        <w:rPr>
          <w:lang w:val="fr-FR"/>
        </w:rPr>
        <w:t>articles</w:t>
      </w:r>
      <w:r w:rsidR="007C0083" w:rsidRPr="00494098">
        <w:rPr>
          <w:lang w:val="fr-FR"/>
        </w:rPr>
        <w:t> </w:t>
      </w:r>
      <w:r w:rsidRPr="00494098">
        <w:rPr>
          <w:lang w:val="fr-FR"/>
        </w:rPr>
        <w:t xml:space="preserve">176 et 176-A du Code pénal sur la pédopornographie </w:t>
      </w:r>
      <w:r w:rsidR="007C0083" w:rsidRPr="00494098">
        <w:rPr>
          <w:lang w:val="fr-FR"/>
        </w:rPr>
        <w:t>et la sollicitation d’enfants</w:t>
      </w:r>
      <w:r w:rsidRPr="00494098">
        <w:rPr>
          <w:lang w:val="fr-FR"/>
        </w:rPr>
        <w:t xml:space="preserve">, </w:t>
      </w:r>
      <w:r w:rsidR="00477EC3" w:rsidRPr="00494098">
        <w:rPr>
          <w:lang w:val="fr-FR"/>
        </w:rPr>
        <w:t xml:space="preserve">dans </w:t>
      </w:r>
      <w:r w:rsidRPr="00494098">
        <w:rPr>
          <w:lang w:val="fr-FR"/>
        </w:rPr>
        <w:t xml:space="preserve">la loi </w:t>
      </w:r>
      <w:r w:rsidR="006717A5" w:rsidRPr="00494098">
        <w:rPr>
          <w:lang w:val="fr-FR"/>
        </w:rPr>
        <w:t>n° </w:t>
      </w:r>
      <w:r w:rsidRPr="00494098">
        <w:rPr>
          <w:lang w:val="fr-FR"/>
        </w:rPr>
        <w:t>83/2015 du 5</w:t>
      </w:r>
      <w:r w:rsidR="00480991" w:rsidRPr="00494098">
        <w:rPr>
          <w:lang w:val="fr-FR"/>
        </w:rPr>
        <w:t> août</w:t>
      </w:r>
      <w:r w:rsidR="00477EC3" w:rsidRPr="00494098">
        <w:rPr>
          <w:lang w:val="fr-FR"/>
        </w:rPr>
        <w:t xml:space="preserve"> 2015</w:t>
      </w:r>
      <w:r w:rsidRPr="00494098">
        <w:rPr>
          <w:lang w:val="fr-FR"/>
        </w:rPr>
        <w:t xml:space="preserve"> sur les délais de prescription en matière d’infractions sexuelles </w:t>
      </w:r>
      <w:r w:rsidR="007C0083" w:rsidRPr="00494098">
        <w:rPr>
          <w:lang w:val="fr-FR"/>
        </w:rPr>
        <w:t xml:space="preserve">à l’encontre </w:t>
      </w:r>
      <w:r w:rsidRPr="00494098">
        <w:rPr>
          <w:lang w:val="fr-FR"/>
        </w:rPr>
        <w:t xml:space="preserve">des enfants et </w:t>
      </w:r>
      <w:r w:rsidR="007C0083" w:rsidRPr="00494098">
        <w:rPr>
          <w:lang w:val="fr-FR"/>
        </w:rPr>
        <w:t xml:space="preserve">dans </w:t>
      </w:r>
      <w:r w:rsidRPr="00494098">
        <w:rPr>
          <w:lang w:val="fr-FR"/>
        </w:rPr>
        <w:t xml:space="preserve">la loi </w:t>
      </w:r>
      <w:r w:rsidR="006717A5" w:rsidRPr="00494098">
        <w:rPr>
          <w:lang w:val="fr-FR"/>
        </w:rPr>
        <w:t>n° </w:t>
      </w:r>
      <w:r w:rsidR="00480991" w:rsidRPr="00494098">
        <w:rPr>
          <w:lang w:val="fr-FR"/>
        </w:rPr>
        <w:t>1</w:t>
      </w:r>
      <w:r w:rsidRPr="00494098">
        <w:rPr>
          <w:lang w:val="fr-FR"/>
        </w:rPr>
        <w:t xml:space="preserve">03/2015 sur </w:t>
      </w:r>
      <w:r w:rsidR="007C0083" w:rsidRPr="00494098">
        <w:rPr>
          <w:lang w:val="fr-FR"/>
        </w:rPr>
        <w:t xml:space="preserve">le registre de </w:t>
      </w:r>
      <w:r w:rsidRPr="00494098">
        <w:rPr>
          <w:lang w:val="fr-FR"/>
        </w:rPr>
        <w:t>l’identité judiciaire</w:t>
      </w:r>
      <w:r w:rsidR="007C0083" w:rsidRPr="00494098">
        <w:rPr>
          <w:lang w:val="fr-FR"/>
        </w:rPr>
        <w:t xml:space="preserve"> concernant l</w:t>
      </w:r>
      <w:r w:rsidRPr="00494098">
        <w:rPr>
          <w:lang w:val="fr-FR"/>
        </w:rPr>
        <w:t xml:space="preserve">es personnes condamnées pour </w:t>
      </w:r>
      <w:r w:rsidR="007C0083" w:rsidRPr="00494098">
        <w:rPr>
          <w:lang w:val="fr-FR"/>
        </w:rPr>
        <w:t xml:space="preserve">avoir attenté à </w:t>
      </w:r>
      <w:r w:rsidRPr="00494098">
        <w:rPr>
          <w:lang w:val="fr-FR"/>
        </w:rPr>
        <w:t xml:space="preserve">l’autodétermination sexuelle et </w:t>
      </w:r>
      <w:r w:rsidR="007C0083" w:rsidRPr="00494098">
        <w:rPr>
          <w:lang w:val="fr-FR"/>
        </w:rPr>
        <w:t xml:space="preserve">à </w:t>
      </w:r>
      <w:r w:rsidRPr="00494098">
        <w:rPr>
          <w:lang w:val="fr-FR"/>
        </w:rPr>
        <w:t>la liberté sexuelle des enfants.</w:t>
      </w:r>
    </w:p>
    <w:p w14:paraId="004790A2" w14:textId="77777777" w:rsidR="00077B75" w:rsidRPr="00494098" w:rsidRDefault="00077B75" w:rsidP="00480570">
      <w:pPr>
        <w:pStyle w:val="SingleTxtG"/>
        <w:rPr>
          <w:lang w:val="fr-FR"/>
        </w:rPr>
      </w:pPr>
      <w:r w:rsidRPr="00494098">
        <w:rPr>
          <w:lang w:val="fr-FR"/>
        </w:rPr>
        <w:t>346.</w:t>
      </w:r>
      <w:r w:rsidRPr="00494098">
        <w:rPr>
          <w:lang w:val="fr-FR"/>
        </w:rPr>
        <w:tab/>
        <w:t>Conformément aux articles</w:t>
      </w:r>
      <w:r w:rsidR="00477EC3" w:rsidRPr="00494098">
        <w:rPr>
          <w:lang w:val="fr-FR"/>
        </w:rPr>
        <w:t> </w:t>
      </w:r>
      <w:r w:rsidRPr="00494098">
        <w:rPr>
          <w:lang w:val="fr-FR"/>
        </w:rPr>
        <w:t>2 et 3 du Protocole facultatif, le Ministère de la justice mène une étude sur la vente d’enfants.</w:t>
      </w:r>
    </w:p>
    <w:p w14:paraId="548454E4" w14:textId="72FFDFB7" w:rsidR="00077B75" w:rsidRPr="00494098" w:rsidRDefault="00077B75" w:rsidP="0095632E">
      <w:pPr>
        <w:pStyle w:val="H23G"/>
        <w:rPr>
          <w:lang w:val="fr-FR"/>
        </w:rPr>
      </w:pPr>
      <w:r w:rsidRPr="00494098">
        <w:rPr>
          <w:lang w:val="fr-FR"/>
        </w:rPr>
        <w:tab/>
      </w:r>
      <w:r w:rsidRPr="00494098">
        <w:rPr>
          <w:lang w:val="fr-FR"/>
        </w:rPr>
        <w:tab/>
      </w:r>
      <w:r w:rsidRPr="00494098">
        <w:rPr>
          <w:bCs/>
          <w:lang w:val="fr-FR"/>
        </w:rPr>
        <w:t>Impunité (</w:t>
      </w:r>
      <w:r w:rsidR="00762179" w:rsidRPr="00494098">
        <w:rPr>
          <w:bCs/>
          <w:lang w:val="fr-FR"/>
        </w:rPr>
        <w:t>par. 2</w:t>
      </w:r>
      <w:r w:rsidRPr="00494098">
        <w:rPr>
          <w:bCs/>
          <w:lang w:val="fr-FR"/>
        </w:rPr>
        <w:t xml:space="preserve">8 des </w:t>
      </w:r>
      <w:r w:rsidR="00F63DAC">
        <w:rPr>
          <w:bCs/>
          <w:lang w:val="fr-FR"/>
        </w:rPr>
        <w:t>o</w:t>
      </w:r>
      <w:r w:rsidR="00916D99" w:rsidRPr="00494098">
        <w:rPr>
          <w:bCs/>
          <w:lang w:val="fr-FR"/>
        </w:rPr>
        <w:t>bservations finales</w:t>
      </w:r>
      <w:r w:rsidRPr="00494098">
        <w:rPr>
          <w:bCs/>
          <w:lang w:val="fr-FR"/>
        </w:rPr>
        <w:t>)</w:t>
      </w:r>
      <w:bookmarkStart w:id="310" w:name="_Toc530057344"/>
      <w:bookmarkStart w:id="311" w:name="_Toc530057571"/>
      <w:bookmarkStart w:id="312" w:name="_Toc530057658"/>
      <w:bookmarkStart w:id="313" w:name="_Toc530068039"/>
      <w:bookmarkEnd w:id="310"/>
      <w:bookmarkEnd w:id="311"/>
      <w:bookmarkEnd w:id="312"/>
      <w:bookmarkEnd w:id="313"/>
    </w:p>
    <w:p w14:paraId="73B997F3" w14:textId="77777777" w:rsidR="00077B75" w:rsidRPr="00494098" w:rsidRDefault="00077B75" w:rsidP="00480570">
      <w:pPr>
        <w:pStyle w:val="SingleTxtG"/>
        <w:rPr>
          <w:lang w:val="fr-FR"/>
        </w:rPr>
      </w:pPr>
      <w:r w:rsidRPr="00494098">
        <w:rPr>
          <w:lang w:val="fr-FR"/>
        </w:rPr>
        <w:t>347.</w:t>
      </w:r>
      <w:r w:rsidRPr="00494098">
        <w:rPr>
          <w:lang w:val="fr-FR"/>
        </w:rPr>
        <w:tab/>
        <w:t xml:space="preserve">Les données disponibles </w:t>
      </w:r>
      <w:r w:rsidR="007C0083" w:rsidRPr="00494098">
        <w:rPr>
          <w:lang w:val="fr-FR"/>
        </w:rPr>
        <w:t xml:space="preserve">concernant </w:t>
      </w:r>
      <w:r w:rsidRPr="00494098">
        <w:rPr>
          <w:lang w:val="fr-FR"/>
        </w:rPr>
        <w:t xml:space="preserve">les </w:t>
      </w:r>
      <w:r w:rsidR="007C0083" w:rsidRPr="00494098">
        <w:rPr>
          <w:lang w:val="fr-FR"/>
        </w:rPr>
        <w:t>enlèvements</w:t>
      </w:r>
      <w:r w:rsidRPr="00494098">
        <w:rPr>
          <w:lang w:val="fr-FR"/>
        </w:rPr>
        <w:t xml:space="preserve"> et les rapts ne sont pas ventilées par âge.</w:t>
      </w:r>
    </w:p>
    <w:p w14:paraId="32074DCC" w14:textId="77777777" w:rsidR="00077B75" w:rsidRPr="00494098" w:rsidRDefault="00077B75" w:rsidP="00480570">
      <w:pPr>
        <w:pStyle w:val="SingleTxtG"/>
        <w:rPr>
          <w:lang w:val="fr-FR"/>
        </w:rPr>
      </w:pPr>
      <w:r w:rsidRPr="00494098">
        <w:rPr>
          <w:lang w:val="fr-FR"/>
        </w:rPr>
        <w:t>348.</w:t>
      </w:r>
      <w:r w:rsidRPr="00494098">
        <w:rPr>
          <w:lang w:val="fr-FR"/>
        </w:rPr>
        <w:tab/>
      </w:r>
      <w:r w:rsidR="007C0083" w:rsidRPr="00494098">
        <w:rPr>
          <w:lang w:val="fr-FR"/>
        </w:rPr>
        <w:t>L</w:t>
      </w:r>
      <w:r w:rsidRPr="00494098">
        <w:rPr>
          <w:lang w:val="fr-FR"/>
        </w:rPr>
        <w:t xml:space="preserve">'amélioration de la coordination et le renforcement des pratiques des services de détection et de répression en matière d’enquête sur les infractions sexuelles à l’encontre des enfants sont une priorité de </w:t>
      </w:r>
      <w:r w:rsidR="00E60134" w:rsidRPr="00494098">
        <w:rPr>
          <w:lang w:val="fr-FR"/>
        </w:rPr>
        <w:t xml:space="preserve">la </w:t>
      </w:r>
      <w:r w:rsidRPr="00494098">
        <w:rPr>
          <w:lang w:val="fr-FR"/>
        </w:rPr>
        <w:t>politique pénale.</w:t>
      </w:r>
    </w:p>
    <w:p w14:paraId="5D406326" w14:textId="77777777" w:rsidR="00077B75" w:rsidRPr="00494098" w:rsidRDefault="00077B75" w:rsidP="00480570">
      <w:pPr>
        <w:pStyle w:val="SingleTxtG"/>
        <w:rPr>
          <w:lang w:val="fr-FR"/>
        </w:rPr>
      </w:pPr>
      <w:r w:rsidRPr="00494098">
        <w:rPr>
          <w:lang w:val="fr-FR"/>
        </w:rPr>
        <w:t>349.</w:t>
      </w:r>
      <w:r w:rsidRPr="00494098">
        <w:rPr>
          <w:lang w:val="fr-FR"/>
        </w:rPr>
        <w:tab/>
        <w:t>La coordination et le renforcement des pratiques d’</w:t>
      </w:r>
      <w:r w:rsidR="007708DA" w:rsidRPr="00494098">
        <w:rPr>
          <w:lang w:val="fr-FR"/>
        </w:rPr>
        <w:t>enquête</w:t>
      </w:r>
      <w:r w:rsidRPr="00494098">
        <w:rPr>
          <w:lang w:val="fr-FR"/>
        </w:rPr>
        <w:t xml:space="preserve"> </w:t>
      </w:r>
      <w:r w:rsidR="007708DA" w:rsidRPr="00494098">
        <w:rPr>
          <w:lang w:val="fr-FR"/>
        </w:rPr>
        <w:t xml:space="preserve">se concrétisent </w:t>
      </w:r>
      <w:r w:rsidRPr="00494098">
        <w:rPr>
          <w:lang w:val="fr-FR"/>
        </w:rPr>
        <w:t>dans l</w:t>
      </w:r>
      <w:r w:rsidR="007708DA" w:rsidRPr="00494098">
        <w:rPr>
          <w:lang w:val="fr-FR"/>
        </w:rPr>
        <w:t xml:space="preserve">’interpénétration des </w:t>
      </w:r>
      <w:r w:rsidRPr="00494098">
        <w:rPr>
          <w:lang w:val="fr-FR"/>
        </w:rPr>
        <w:t xml:space="preserve">mécanismes </w:t>
      </w:r>
      <w:r w:rsidR="007708DA" w:rsidRPr="00494098">
        <w:rPr>
          <w:lang w:val="fr-FR"/>
        </w:rPr>
        <w:t xml:space="preserve">créés par </w:t>
      </w:r>
      <w:r w:rsidRPr="00494098">
        <w:rPr>
          <w:lang w:val="fr-FR"/>
        </w:rPr>
        <w:t>diverses lois</w:t>
      </w:r>
      <w:r w:rsidR="00090CBF" w:rsidRPr="00494098">
        <w:rPr>
          <w:lang w:val="fr-FR"/>
        </w:rPr>
        <w:t> :</w:t>
      </w:r>
      <w:r w:rsidRPr="00494098">
        <w:rPr>
          <w:lang w:val="fr-FR"/>
        </w:rPr>
        <w:t xml:space="preserve"> la loi </w:t>
      </w:r>
      <w:r w:rsidR="006717A5" w:rsidRPr="00494098">
        <w:rPr>
          <w:lang w:val="fr-FR"/>
        </w:rPr>
        <w:t>n° </w:t>
      </w:r>
      <w:r w:rsidRPr="00494098">
        <w:rPr>
          <w:lang w:val="fr-FR"/>
        </w:rPr>
        <w:t>96/2017 du 23</w:t>
      </w:r>
      <w:r w:rsidR="00480991" w:rsidRPr="00494098">
        <w:rPr>
          <w:lang w:val="fr-FR"/>
        </w:rPr>
        <w:t> août</w:t>
      </w:r>
      <w:r w:rsidRPr="00494098">
        <w:rPr>
          <w:lang w:val="fr-FR"/>
        </w:rPr>
        <w:t xml:space="preserve"> 2017, aux termes de laquelle la cybercriminalité, les infractions contre la liberté et l’autodétermination sexuelle</w:t>
      </w:r>
      <w:r w:rsidR="007708DA" w:rsidRPr="00494098">
        <w:rPr>
          <w:lang w:val="fr-FR"/>
        </w:rPr>
        <w:t>s</w:t>
      </w:r>
      <w:r w:rsidRPr="00494098">
        <w:rPr>
          <w:lang w:val="fr-FR"/>
        </w:rPr>
        <w:t xml:space="preserve"> et les cri</w:t>
      </w:r>
      <w:r w:rsidR="007708DA" w:rsidRPr="00494098">
        <w:rPr>
          <w:lang w:val="fr-FR"/>
        </w:rPr>
        <w:t>mes commis contre l</w:t>
      </w:r>
      <w:r w:rsidRPr="00494098">
        <w:rPr>
          <w:lang w:val="fr-FR"/>
        </w:rPr>
        <w:t>es enfants font l'objet de mesures prioritaires</w:t>
      </w:r>
      <w:r w:rsidR="007708DA" w:rsidRPr="00494098">
        <w:rPr>
          <w:lang w:val="fr-FR"/>
        </w:rPr>
        <w:t xml:space="preserve"> de prévention</w:t>
      </w:r>
      <w:r w:rsidR="006717A5" w:rsidRPr="00494098">
        <w:rPr>
          <w:lang w:val="fr-FR"/>
        </w:rPr>
        <w:t> ;</w:t>
      </w:r>
      <w:r w:rsidRPr="00494098">
        <w:rPr>
          <w:lang w:val="fr-FR"/>
        </w:rPr>
        <w:t xml:space="preserve"> le décret-loi </w:t>
      </w:r>
      <w:r w:rsidR="006717A5" w:rsidRPr="00494098">
        <w:rPr>
          <w:lang w:val="fr-FR"/>
        </w:rPr>
        <w:t>n° </w:t>
      </w:r>
      <w:r w:rsidRPr="00494098">
        <w:rPr>
          <w:lang w:val="fr-FR"/>
        </w:rPr>
        <w:t>81/2016 du 28</w:t>
      </w:r>
      <w:r w:rsidR="00872592" w:rsidRPr="00494098">
        <w:rPr>
          <w:lang w:val="fr-FR"/>
        </w:rPr>
        <w:t> novembre</w:t>
      </w:r>
      <w:r w:rsidRPr="00494098">
        <w:rPr>
          <w:lang w:val="fr-FR"/>
        </w:rPr>
        <w:t xml:space="preserve"> 2016, qui crée une unité de lutte contre la cybercriminalité et la criminalité technologique</w:t>
      </w:r>
      <w:r w:rsidR="006717A5" w:rsidRPr="00494098">
        <w:rPr>
          <w:lang w:val="fr-FR"/>
        </w:rPr>
        <w:t> ;</w:t>
      </w:r>
      <w:r w:rsidRPr="00494098">
        <w:rPr>
          <w:lang w:val="fr-FR"/>
        </w:rPr>
        <w:t xml:space="preserve"> le décret-loi </w:t>
      </w:r>
      <w:r w:rsidR="006717A5" w:rsidRPr="00494098">
        <w:rPr>
          <w:lang w:val="fr-FR"/>
        </w:rPr>
        <w:t>n° </w:t>
      </w:r>
      <w:r w:rsidRPr="00494098">
        <w:rPr>
          <w:lang w:val="fr-FR"/>
        </w:rPr>
        <w:t>68/2017 du 16</w:t>
      </w:r>
      <w:r w:rsidR="00090CBF" w:rsidRPr="00494098">
        <w:rPr>
          <w:lang w:val="fr-FR"/>
        </w:rPr>
        <w:t> juin</w:t>
      </w:r>
      <w:r w:rsidRPr="00494098">
        <w:rPr>
          <w:lang w:val="fr-FR"/>
        </w:rPr>
        <w:t xml:space="preserve"> 2017, relatif à la demande par voie électronique de l'extrait de casier judiciaire</w:t>
      </w:r>
      <w:r w:rsidR="006717A5" w:rsidRPr="00494098">
        <w:rPr>
          <w:lang w:val="fr-FR"/>
        </w:rPr>
        <w:t> ;</w:t>
      </w:r>
      <w:r w:rsidRPr="00494098">
        <w:rPr>
          <w:lang w:val="fr-FR"/>
        </w:rPr>
        <w:t xml:space="preserve"> la loi </w:t>
      </w:r>
      <w:r w:rsidR="006717A5" w:rsidRPr="00494098">
        <w:rPr>
          <w:lang w:val="fr-FR"/>
        </w:rPr>
        <w:t>n° </w:t>
      </w:r>
      <w:r w:rsidRPr="00494098">
        <w:rPr>
          <w:lang w:val="fr-FR"/>
        </w:rPr>
        <w:t>71/2015 du 20</w:t>
      </w:r>
      <w:r w:rsidR="00B34673" w:rsidRPr="00494098">
        <w:rPr>
          <w:lang w:val="fr-FR"/>
        </w:rPr>
        <w:t> juillet</w:t>
      </w:r>
      <w:r w:rsidRPr="00494098">
        <w:rPr>
          <w:lang w:val="fr-FR"/>
        </w:rPr>
        <w:t xml:space="preserve"> 2015, mettant en </w:t>
      </w:r>
      <w:r w:rsidR="00D264B0" w:rsidRPr="00494098">
        <w:rPr>
          <w:lang w:val="fr-FR"/>
        </w:rPr>
        <w:t>œuvr</w:t>
      </w:r>
      <w:r w:rsidRPr="00494098">
        <w:rPr>
          <w:lang w:val="fr-FR"/>
        </w:rPr>
        <w:t xml:space="preserve">e la </w:t>
      </w:r>
      <w:r w:rsidR="007708DA" w:rsidRPr="00494098">
        <w:rPr>
          <w:lang w:val="fr-FR"/>
        </w:rPr>
        <w:t>D</w:t>
      </w:r>
      <w:r w:rsidRPr="00494098">
        <w:rPr>
          <w:lang w:val="fr-FR"/>
        </w:rPr>
        <w:t>écision de protection européenne (Directive 2011/99/UE du 13</w:t>
      </w:r>
      <w:r w:rsidR="00087821" w:rsidRPr="00494098">
        <w:rPr>
          <w:lang w:val="fr-FR"/>
        </w:rPr>
        <w:t> décembre</w:t>
      </w:r>
      <w:r w:rsidRPr="00494098">
        <w:rPr>
          <w:lang w:val="fr-FR"/>
        </w:rPr>
        <w:t xml:space="preserve"> 2011)</w:t>
      </w:r>
      <w:r w:rsidR="006717A5" w:rsidRPr="00494098">
        <w:rPr>
          <w:lang w:val="fr-FR"/>
        </w:rPr>
        <w:t> ;</w:t>
      </w:r>
      <w:r w:rsidRPr="00494098">
        <w:rPr>
          <w:lang w:val="fr-FR"/>
        </w:rPr>
        <w:t xml:space="preserve"> la loi </w:t>
      </w:r>
      <w:r w:rsidR="006717A5" w:rsidRPr="00494098">
        <w:rPr>
          <w:lang w:val="fr-FR"/>
        </w:rPr>
        <w:t>n° </w:t>
      </w:r>
      <w:r w:rsidR="00480991" w:rsidRPr="00494098">
        <w:rPr>
          <w:lang w:val="fr-FR"/>
        </w:rPr>
        <w:t>1</w:t>
      </w:r>
      <w:r w:rsidRPr="00494098">
        <w:rPr>
          <w:lang w:val="fr-FR"/>
        </w:rPr>
        <w:t>58/2015 du 17</w:t>
      </w:r>
      <w:r w:rsidR="00480991" w:rsidRPr="00494098">
        <w:rPr>
          <w:lang w:val="fr-FR"/>
        </w:rPr>
        <w:t> septembre</w:t>
      </w:r>
      <w:r w:rsidRPr="00494098">
        <w:rPr>
          <w:lang w:val="fr-FR"/>
        </w:rPr>
        <w:t xml:space="preserve"> 2015</w:t>
      </w:r>
      <w:r w:rsidR="006B1D5F" w:rsidRPr="00494098">
        <w:rPr>
          <w:lang w:val="fr-FR"/>
        </w:rPr>
        <w:t>,</w:t>
      </w:r>
      <w:r w:rsidRPr="00494098">
        <w:rPr>
          <w:lang w:val="fr-FR"/>
        </w:rPr>
        <w:t xml:space="preserve"> mettant en </w:t>
      </w:r>
      <w:r w:rsidR="00D264B0" w:rsidRPr="00494098">
        <w:rPr>
          <w:lang w:val="fr-FR"/>
        </w:rPr>
        <w:t>œuvr</w:t>
      </w:r>
      <w:r w:rsidRPr="00494098">
        <w:rPr>
          <w:lang w:val="fr-FR"/>
        </w:rPr>
        <w:t>e de la décision-cadre 2008/909/JAI du Conseil du 27</w:t>
      </w:r>
      <w:r w:rsidR="00872592" w:rsidRPr="00494098">
        <w:rPr>
          <w:lang w:val="fr-FR"/>
        </w:rPr>
        <w:t> novembre</w:t>
      </w:r>
      <w:r w:rsidRPr="00494098">
        <w:rPr>
          <w:lang w:val="fr-FR"/>
        </w:rPr>
        <w:t xml:space="preserve"> 2008</w:t>
      </w:r>
      <w:r w:rsidR="006B1D5F" w:rsidRPr="00494098">
        <w:rPr>
          <w:lang w:val="fr-FR"/>
        </w:rPr>
        <w:t>,</w:t>
      </w:r>
      <w:r w:rsidRPr="00494098">
        <w:rPr>
          <w:lang w:val="fr-FR"/>
        </w:rPr>
        <w:t xml:space="preserve"> concernant l’application du principe de reconnaissance mutuelle aux jugements en matière pénale prononçant des peines ou des mesures privatives de liberté</w:t>
      </w:r>
      <w:r w:rsidR="007708DA" w:rsidRPr="00494098">
        <w:rPr>
          <w:lang w:val="fr-FR"/>
        </w:rPr>
        <w:t> ;</w:t>
      </w:r>
      <w:r w:rsidRPr="00494098">
        <w:rPr>
          <w:lang w:val="fr-FR"/>
        </w:rPr>
        <w:t xml:space="preserve"> et la décision-cadre 2008/947/JAI du Conseil du 27</w:t>
      </w:r>
      <w:r w:rsidR="00872592" w:rsidRPr="00494098">
        <w:rPr>
          <w:lang w:val="fr-FR"/>
        </w:rPr>
        <w:t> novembre</w:t>
      </w:r>
      <w:r w:rsidRPr="00494098">
        <w:rPr>
          <w:lang w:val="fr-FR"/>
        </w:rPr>
        <w:t xml:space="preserve"> 2008</w:t>
      </w:r>
      <w:r w:rsidR="006B1D5F" w:rsidRPr="00494098">
        <w:rPr>
          <w:lang w:val="fr-FR"/>
        </w:rPr>
        <w:t>,</w:t>
      </w:r>
      <w:r w:rsidRPr="00494098">
        <w:rPr>
          <w:lang w:val="fr-FR"/>
        </w:rPr>
        <w:t xml:space="preserve"> concernant l’application du principe de reconnaissance mutuelle aux jugements et aux décisions de probation aux fins de la surveillance des mesures de probation et des peines de substitution</w:t>
      </w:r>
      <w:r w:rsidR="006717A5" w:rsidRPr="00494098">
        <w:rPr>
          <w:lang w:val="fr-FR"/>
        </w:rPr>
        <w:t> ;</w:t>
      </w:r>
      <w:r w:rsidR="007708DA" w:rsidRPr="00494098">
        <w:rPr>
          <w:lang w:val="fr-FR"/>
        </w:rPr>
        <w:t xml:space="preserve"> la loi n° </w:t>
      </w:r>
      <w:r w:rsidRPr="00494098">
        <w:rPr>
          <w:lang w:val="fr-FR"/>
        </w:rPr>
        <w:t>36/2015 du 5</w:t>
      </w:r>
      <w:r w:rsidR="007704A8" w:rsidRPr="00494098">
        <w:rPr>
          <w:lang w:val="fr-FR"/>
        </w:rPr>
        <w:t> avril</w:t>
      </w:r>
      <w:r w:rsidRPr="00494098">
        <w:rPr>
          <w:lang w:val="fr-FR"/>
        </w:rPr>
        <w:t xml:space="preserve"> 2015, mettant en </w:t>
      </w:r>
      <w:r w:rsidR="00D264B0" w:rsidRPr="00494098">
        <w:rPr>
          <w:lang w:val="fr-FR"/>
        </w:rPr>
        <w:t>œuvr</w:t>
      </w:r>
      <w:r w:rsidRPr="00494098">
        <w:rPr>
          <w:lang w:val="fr-FR"/>
        </w:rPr>
        <w:t>e la décision-cadre 2009/829/JAI du Conseil du 23</w:t>
      </w:r>
      <w:r w:rsidR="00203C62" w:rsidRPr="00494098">
        <w:rPr>
          <w:lang w:val="fr-FR"/>
        </w:rPr>
        <w:t> octobre</w:t>
      </w:r>
      <w:r w:rsidRPr="00494098">
        <w:rPr>
          <w:lang w:val="fr-FR"/>
        </w:rPr>
        <w:t xml:space="preserve"> 2009, concernant l’application du principe de reconnaissance mutuelle aux décisions relatives à des mesures de contrôle en tant qu’alternative</w:t>
      </w:r>
      <w:r w:rsidR="007708DA" w:rsidRPr="00494098">
        <w:rPr>
          <w:lang w:val="fr-FR"/>
        </w:rPr>
        <w:t xml:space="preserve"> </w:t>
      </w:r>
      <w:r w:rsidRPr="00494098">
        <w:rPr>
          <w:lang w:val="fr-FR"/>
        </w:rPr>
        <w:t>à la détention provisoire</w:t>
      </w:r>
      <w:r w:rsidR="006717A5" w:rsidRPr="00494098">
        <w:rPr>
          <w:lang w:val="fr-FR"/>
        </w:rPr>
        <w:t> ;</w:t>
      </w:r>
      <w:r w:rsidRPr="00494098">
        <w:rPr>
          <w:lang w:val="fr-FR"/>
        </w:rPr>
        <w:t xml:space="preserve"> la loi </w:t>
      </w:r>
      <w:r w:rsidR="006717A5" w:rsidRPr="00494098">
        <w:rPr>
          <w:lang w:val="fr-FR"/>
        </w:rPr>
        <w:t>n° </w:t>
      </w:r>
      <w:r w:rsidRPr="00494098">
        <w:rPr>
          <w:lang w:val="fr-FR"/>
        </w:rPr>
        <w:t>38/2015 du 11</w:t>
      </w:r>
      <w:r w:rsidR="007708DA" w:rsidRPr="00494098">
        <w:rPr>
          <w:lang w:val="fr-FR"/>
        </w:rPr>
        <w:t> </w:t>
      </w:r>
      <w:r w:rsidRPr="00494098">
        <w:rPr>
          <w:lang w:val="fr-FR"/>
        </w:rPr>
        <w:t>mai 2015, relative à l’amélioration des conditions d’interopérabilité des organes de la police criminelle</w:t>
      </w:r>
      <w:r w:rsidR="006717A5" w:rsidRPr="00494098">
        <w:rPr>
          <w:lang w:val="fr-FR"/>
        </w:rPr>
        <w:t> ;</w:t>
      </w:r>
      <w:r w:rsidRPr="00494098">
        <w:rPr>
          <w:lang w:val="fr-FR"/>
        </w:rPr>
        <w:t xml:space="preserve"> la loi n</w:t>
      </w:r>
      <w:r w:rsidR="007708DA" w:rsidRPr="00494098">
        <w:rPr>
          <w:lang w:val="fr-FR"/>
        </w:rPr>
        <w:t>° </w:t>
      </w:r>
      <w:r w:rsidRPr="00494098">
        <w:rPr>
          <w:lang w:val="fr-FR"/>
        </w:rPr>
        <w:t>88/2017 du 21</w:t>
      </w:r>
      <w:r w:rsidR="00480991" w:rsidRPr="00494098">
        <w:rPr>
          <w:lang w:val="fr-FR"/>
        </w:rPr>
        <w:t> août</w:t>
      </w:r>
      <w:r w:rsidRPr="00494098">
        <w:rPr>
          <w:lang w:val="fr-FR"/>
        </w:rPr>
        <w:t xml:space="preserve"> 2017, mettant en </w:t>
      </w:r>
      <w:r w:rsidR="00D264B0" w:rsidRPr="00494098">
        <w:rPr>
          <w:lang w:val="fr-FR"/>
        </w:rPr>
        <w:t>œuvr</w:t>
      </w:r>
      <w:r w:rsidRPr="00494098">
        <w:rPr>
          <w:lang w:val="fr-FR"/>
        </w:rPr>
        <w:t>e la Directive 2014/41/UE du 3</w:t>
      </w:r>
      <w:r w:rsidR="007704A8" w:rsidRPr="00494098">
        <w:rPr>
          <w:lang w:val="fr-FR"/>
        </w:rPr>
        <w:t> avril</w:t>
      </w:r>
      <w:r w:rsidRPr="00494098">
        <w:rPr>
          <w:lang w:val="fr-FR"/>
        </w:rPr>
        <w:t xml:space="preserve"> 2014</w:t>
      </w:r>
      <w:r w:rsidR="006B1D5F" w:rsidRPr="00494098">
        <w:rPr>
          <w:lang w:val="fr-FR"/>
        </w:rPr>
        <w:t>,</w:t>
      </w:r>
      <w:r w:rsidRPr="00494098">
        <w:rPr>
          <w:lang w:val="fr-FR"/>
        </w:rPr>
        <w:t xml:space="preserve"> concernant la </w:t>
      </w:r>
      <w:r w:rsidR="007708DA" w:rsidRPr="00494098">
        <w:rPr>
          <w:lang w:val="fr-FR"/>
        </w:rPr>
        <w:t>D</w:t>
      </w:r>
      <w:r w:rsidRPr="00494098">
        <w:rPr>
          <w:lang w:val="fr-FR"/>
        </w:rPr>
        <w:t>écision d'enquête européenne en matière pénale</w:t>
      </w:r>
      <w:r w:rsidR="007708DA" w:rsidRPr="00494098">
        <w:rPr>
          <w:lang w:val="fr-FR"/>
        </w:rPr>
        <w:t> ;</w:t>
      </w:r>
      <w:r w:rsidRPr="00494098">
        <w:rPr>
          <w:lang w:val="fr-FR"/>
        </w:rPr>
        <w:t xml:space="preserve"> la loi </w:t>
      </w:r>
      <w:r w:rsidR="006717A5" w:rsidRPr="00494098">
        <w:rPr>
          <w:lang w:val="fr-FR"/>
        </w:rPr>
        <w:t>n° </w:t>
      </w:r>
      <w:r w:rsidR="007708DA" w:rsidRPr="00494098">
        <w:rPr>
          <w:lang w:val="fr-FR"/>
        </w:rPr>
        <w:t>37/2015 du 5 </w:t>
      </w:r>
      <w:r w:rsidRPr="00494098">
        <w:rPr>
          <w:lang w:val="fr-FR"/>
        </w:rPr>
        <w:t xml:space="preserve">mai 2015, portant création d’un système d’identification pénale et mettant en </w:t>
      </w:r>
      <w:r w:rsidR="00D264B0" w:rsidRPr="00494098">
        <w:rPr>
          <w:lang w:val="fr-FR"/>
        </w:rPr>
        <w:t>œuvr</w:t>
      </w:r>
      <w:r w:rsidRPr="00494098">
        <w:rPr>
          <w:lang w:val="fr-FR"/>
        </w:rPr>
        <w:t xml:space="preserve">e la décision-cadre 2009/315/JAI du Conseil </w:t>
      </w:r>
      <w:r w:rsidR="007708DA" w:rsidRPr="00494098">
        <w:rPr>
          <w:lang w:val="fr-FR"/>
        </w:rPr>
        <w:t xml:space="preserve">du </w:t>
      </w:r>
      <w:r w:rsidRPr="00494098">
        <w:rPr>
          <w:lang w:val="fr-FR"/>
        </w:rPr>
        <w:t>26</w:t>
      </w:r>
      <w:r w:rsidR="006717A5" w:rsidRPr="00494098">
        <w:rPr>
          <w:lang w:val="fr-FR"/>
        </w:rPr>
        <w:t> février</w:t>
      </w:r>
      <w:r w:rsidRPr="00494098">
        <w:rPr>
          <w:lang w:val="fr-FR"/>
        </w:rPr>
        <w:t xml:space="preserve"> 2009</w:t>
      </w:r>
      <w:r w:rsidR="006717A5" w:rsidRPr="00494098">
        <w:rPr>
          <w:lang w:val="fr-FR"/>
        </w:rPr>
        <w:t> ;</w:t>
      </w:r>
      <w:r w:rsidRPr="00494098">
        <w:rPr>
          <w:lang w:val="fr-FR"/>
        </w:rPr>
        <w:t xml:space="preserve"> le décret-loi 171/2015 du 25</w:t>
      </w:r>
      <w:r w:rsidR="00480991" w:rsidRPr="00494098">
        <w:rPr>
          <w:lang w:val="fr-FR"/>
        </w:rPr>
        <w:t> août</w:t>
      </w:r>
      <w:r w:rsidRPr="00494098">
        <w:rPr>
          <w:lang w:val="fr-FR"/>
        </w:rPr>
        <w:t xml:space="preserve"> 2015, régissant la loi portant identification criminelle.</w:t>
      </w:r>
    </w:p>
    <w:p w14:paraId="0A28930E" w14:textId="77777777" w:rsidR="00077B75" w:rsidRPr="00494098" w:rsidRDefault="00077B75" w:rsidP="00480570">
      <w:pPr>
        <w:pStyle w:val="SingleTxtG"/>
        <w:rPr>
          <w:lang w:val="fr-FR"/>
        </w:rPr>
      </w:pPr>
      <w:r w:rsidRPr="00494098">
        <w:rPr>
          <w:lang w:val="fr-FR"/>
        </w:rPr>
        <w:t>350.</w:t>
      </w:r>
      <w:r w:rsidRPr="00494098">
        <w:rPr>
          <w:lang w:val="fr-FR"/>
        </w:rPr>
        <w:tab/>
        <w:t>En outre, à un niveau plus sociétal, le programme «</w:t>
      </w:r>
      <w:r w:rsidR="00F94365" w:rsidRPr="00494098">
        <w:rPr>
          <w:lang w:val="fr-FR"/>
        </w:rPr>
        <w:t> </w:t>
      </w:r>
      <w:r w:rsidRPr="00494098">
        <w:rPr>
          <w:lang w:val="fr-FR"/>
        </w:rPr>
        <w:t>Sécurité dans les écoles</w:t>
      </w:r>
      <w:r w:rsidR="00F94365" w:rsidRPr="00494098">
        <w:rPr>
          <w:lang w:val="fr-FR"/>
        </w:rPr>
        <w:t> </w:t>
      </w:r>
      <w:r w:rsidRPr="00494098">
        <w:rPr>
          <w:lang w:val="fr-FR"/>
        </w:rPr>
        <w:t>» contribue à prévenir les crimes contre les enfants, notamment les enlèvements d’enfants, la prostitution des enfants et la pornographie mettant en scène des enfants, ainsi que d’autres formes de violence</w:t>
      </w:r>
      <w:r w:rsidR="00F94365" w:rsidRPr="00494098">
        <w:rPr>
          <w:lang w:val="fr-FR"/>
        </w:rPr>
        <w:t>,</w:t>
      </w:r>
      <w:r w:rsidRPr="00494098">
        <w:rPr>
          <w:lang w:val="fr-FR"/>
        </w:rPr>
        <w:t xml:space="preserve"> et améliore la connaissance des droits des enfants.</w:t>
      </w:r>
    </w:p>
    <w:p w14:paraId="519E494A" w14:textId="08932A80" w:rsidR="00077B75" w:rsidRPr="00494098" w:rsidRDefault="00077B75" w:rsidP="0095632E">
      <w:pPr>
        <w:pStyle w:val="H23G"/>
        <w:rPr>
          <w:lang w:val="fr-FR"/>
        </w:rPr>
      </w:pPr>
      <w:r w:rsidRPr="00494098">
        <w:rPr>
          <w:lang w:val="fr-FR"/>
        </w:rPr>
        <w:tab/>
      </w:r>
      <w:r w:rsidRPr="00494098">
        <w:rPr>
          <w:lang w:val="fr-FR"/>
        </w:rPr>
        <w:tab/>
      </w:r>
      <w:r w:rsidRPr="00494098">
        <w:rPr>
          <w:bCs/>
          <w:lang w:val="fr-FR"/>
        </w:rPr>
        <w:t>Responsabilité pénale des personnes morales (</w:t>
      </w:r>
      <w:r w:rsidR="00762179" w:rsidRPr="00494098">
        <w:rPr>
          <w:bCs/>
          <w:lang w:val="fr-FR"/>
        </w:rPr>
        <w:t>par. 2</w:t>
      </w:r>
      <w:r w:rsidRPr="00494098">
        <w:rPr>
          <w:bCs/>
          <w:lang w:val="fr-FR"/>
        </w:rPr>
        <w:t xml:space="preserve">8 des </w:t>
      </w:r>
      <w:r w:rsidR="002C05EE">
        <w:rPr>
          <w:bCs/>
          <w:lang w:val="fr-FR"/>
        </w:rPr>
        <w:t>o</w:t>
      </w:r>
      <w:r w:rsidR="00916D99" w:rsidRPr="00494098">
        <w:rPr>
          <w:bCs/>
          <w:lang w:val="fr-FR"/>
        </w:rPr>
        <w:t>bservations finales</w:t>
      </w:r>
      <w:r w:rsidRPr="00494098">
        <w:rPr>
          <w:bCs/>
          <w:lang w:val="fr-FR"/>
        </w:rPr>
        <w:t>)</w:t>
      </w:r>
      <w:bookmarkStart w:id="314" w:name="_Toc530057345"/>
      <w:bookmarkStart w:id="315" w:name="_Toc530057572"/>
      <w:bookmarkStart w:id="316" w:name="_Toc530057659"/>
      <w:bookmarkStart w:id="317" w:name="_Toc530068040"/>
      <w:bookmarkEnd w:id="314"/>
      <w:bookmarkEnd w:id="315"/>
      <w:bookmarkEnd w:id="316"/>
      <w:bookmarkEnd w:id="317"/>
    </w:p>
    <w:p w14:paraId="406E877B" w14:textId="77777777" w:rsidR="00077B75" w:rsidRPr="00494098" w:rsidRDefault="00077B75" w:rsidP="00480570">
      <w:pPr>
        <w:pStyle w:val="SingleTxtG"/>
        <w:rPr>
          <w:lang w:val="fr-FR"/>
        </w:rPr>
      </w:pPr>
      <w:r w:rsidRPr="00494098">
        <w:rPr>
          <w:lang w:val="fr-FR"/>
        </w:rPr>
        <w:t>351.</w:t>
      </w:r>
      <w:r w:rsidRPr="00494098">
        <w:rPr>
          <w:lang w:val="fr-FR"/>
        </w:rPr>
        <w:tab/>
        <w:t>Le Ministère de la justice a entrepris une étude sur la modification de textes de loi</w:t>
      </w:r>
      <w:r w:rsidR="0015361D" w:rsidRPr="00494098">
        <w:rPr>
          <w:lang w:val="fr-FR"/>
        </w:rPr>
        <w:t>,</w:t>
      </w:r>
      <w:r w:rsidRPr="00494098">
        <w:rPr>
          <w:lang w:val="fr-FR"/>
        </w:rPr>
        <w:t xml:space="preserve"> pour exiger que les fournisseurs d’accès à Internet, de services de téléphonie ou de services bancaires soient tenus de signaler la détection sur leurs réseaux de sites pornographiques impliquant des enfants et de transmettre aux autorités de police des renseignements sur les personnes qui diffusent du matériel pédopornographique ou d’autres contenus du même ordre. </w:t>
      </w:r>
    </w:p>
    <w:p w14:paraId="6B504D3A" w14:textId="68A120A7" w:rsidR="00077B75" w:rsidRPr="00494098" w:rsidRDefault="00077B75" w:rsidP="0095632E">
      <w:pPr>
        <w:pStyle w:val="H23G"/>
        <w:rPr>
          <w:lang w:val="fr-FR"/>
        </w:rPr>
      </w:pPr>
      <w:r w:rsidRPr="00494098">
        <w:rPr>
          <w:lang w:val="fr-FR"/>
        </w:rPr>
        <w:tab/>
      </w:r>
      <w:r w:rsidRPr="00494098">
        <w:rPr>
          <w:lang w:val="fr-FR"/>
        </w:rPr>
        <w:tab/>
      </w:r>
      <w:r w:rsidRPr="00494098">
        <w:rPr>
          <w:bCs/>
          <w:lang w:val="fr-FR"/>
        </w:rPr>
        <w:t>Compétence extraterritoriale (par</w:t>
      </w:r>
      <w:r w:rsidR="00F94365" w:rsidRPr="00494098">
        <w:rPr>
          <w:bCs/>
          <w:lang w:val="fr-FR"/>
        </w:rPr>
        <w:t>. </w:t>
      </w:r>
      <w:r w:rsidRPr="00494098">
        <w:rPr>
          <w:bCs/>
          <w:lang w:val="fr-FR"/>
        </w:rPr>
        <w:t xml:space="preserve">32 des </w:t>
      </w:r>
      <w:r w:rsidR="002C05EE">
        <w:rPr>
          <w:bCs/>
          <w:lang w:val="fr-FR"/>
        </w:rPr>
        <w:t>o</w:t>
      </w:r>
      <w:r w:rsidR="00916D99" w:rsidRPr="00494098">
        <w:rPr>
          <w:bCs/>
          <w:lang w:val="fr-FR"/>
        </w:rPr>
        <w:t>bservations finales</w:t>
      </w:r>
      <w:r w:rsidRPr="00494098">
        <w:rPr>
          <w:bCs/>
          <w:lang w:val="fr-FR"/>
        </w:rPr>
        <w:t>)</w:t>
      </w:r>
      <w:bookmarkStart w:id="318" w:name="_Toc530057346"/>
      <w:bookmarkStart w:id="319" w:name="_Toc530057573"/>
      <w:bookmarkStart w:id="320" w:name="_Toc530057660"/>
      <w:bookmarkStart w:id="321" w:name="_Toc530068041"/>
      <w:bookmarkEnd w:id="318"/>
      <w:bookmarkEnd w:id="319"/>
      <w:bookmarkEnd w:id="320"/>
      <w:bookmarkEnd w:id="321"/>
    </w:p>
    <w:p w14:paraId="02AF9838" w14:textId="17C26DA9" w:rsidR="00077B75" w:rsidRPr="00494098" w:rsidRDefault="00077B75" w:rsidP="00480570">
      <w:pPr>
        <w:pStyle w:val="SingleTxtG"/>
        <w:rPr>
          <w:lang w:val="fr-FR"/>
        </w:rPr>
      </w:pPr>
      <w:r w:rsidRPr="00494098">
        <w:rPr>
          <w:lang w:val="fr-FR"/>
        </w:rPr>
        <w:t>352.</w:t>
      </w:r>
      <w:r w:rsidRPr="00494098">
        <w:rPr>
          <w:lang w:val="fr-FR"/>
        </w:rPr>
        <w:tab/>
        <w:t xml:space="preserve">La compétence extraterritoriale est garantie pour les actes incriminés </w:t>
      </w:r>
      <w:r w:rsidR="001E6070">
        <w:rPr>
          <w:lang w:val="fr-FR"/>
        </w:rPr>
        <w:t xml:space="preserve">par le </w:t>
      </w:r>
      <w:r w:rsidRPr="00494098">
        <w:rPr>
          <w:lang w:val="fr-FR"/>
        </w:rPr>
        <w:t xml:space="preserve"> Protocole facultatif (art</w:t>
      </w:r>
      <w:r w:rsidR="001E6070">
        <w:rPr>
          <w:lang w:val="fr-FR"/>
        </w:rPr>
        <w:t>.</w:t>
      </w:r>
      <w:r w:rsidR="00F94365" w:rsidRPr="00494098">
        <w:rPr>
          <w:lang w:val="fr-FR"/>
        </w:rPr>
        <w:t> </w:t>
      </w:r>
      <w:r w:rsidRPr="00494098">
        <w:rPr>
          <w:lang w:val="fr-FR"/>
        </w:rPr>
        <w:t xml:space="preserve">5 du Code pénal). Le Ministère de la justice mène actuellement une étude sur cette question. </w:t>
      </w:r>
    </w:p>
    <w:p w14:paraId="256F506C" w14:textId="18F5B17B" w:rsidR="00077B75" w:rsidRPr="00494098" w:rsidRDefault="00491E89" w:rsidP="0095632E">
      <w:pPr>
        <w:pStyle w:val="H1G"/>
        <w:rPr>
          <w:lang w:val="fr-FR"/>
        </w:rPr>
      </w:pPr>
      <w:r w:rsidRPr="00494098">
        <w:rPr>
          <w:lang w:val="fr-FR"/>
        </w:rPr>
        <w:tab/>
      </w:r>
      <w:r w:rsidR="00077B75" w:rsidRPr="00494098">
        <w:rPr>
          <w:lang w:val="fr-FR"/>
        </w:rPr>
        <w:t>E.</w:t>
      </w:r>
      <w:r w:rsidR="00077B75" w:rsidRPr="00494098">
        <w:rPr>
          <w:lang w:val="fr-FR"/>
        </w:rPr>
        <w:tab/>
        <w:t>Protection des droits des enfants victimes (</w:t>
      </w:r>
      <w:r w:rsidR="008D7042" w:rsidRPr="00494098">
        <w:rPr>
          <w:lang w:val="fr-FR"/>
        </w:rPr>
        <w:t xml:space="preserve">art. 8 et 9 </w:t>
      </w:r>
      <w:r w:rsidR="004925AB">
        <w:rPr>
          <w:lang w:val="fr-FR"/>
        </w:rPr>
        <w:t>(</w:t>
      </w:r>
      <w:r w:rsidR="008D7042" w:rsidRPr="00494098">
        <w:rPr>
          <w:lang w:val="fr-FR"/>
        </w:rPr>
        <w:t>par. 3 et 4</w:t>
      </w:r>
      <w:r w:rsidR="004925AB">
        <w:rPr>
          <w:lang w:val="fr-FR"/>
        </w:rPr>
        <w:t>)</w:t>
      </w:r>
      <w:r w:rsidR="00077B75" w:rsidRPr="00494098">
        <w:rPr>
          <w:lang w:val="fr-FR"/>
        </w:rPr>
        <w:t xml:space="preserve">) </w:t>
      </w:r>
      <w:bookmarkStart w:id="322" w:name="_Toc530057347"/>
      <w:bookmarkStart w:id="323" w:name="_Toc530057574"/>
      <w:bookmarkStart w:id="324" w:name="_Toc530057661"/>
      <w:bookmarkStart w:id="325" w:name="_Toc530068042"/>
      <w:bookmarkEnd w:id="322"/>
      <w:bookmarkEnd w:id="323"/>
      <w:bookmarkEnd w:id="324"/>
      <w:bookmarkEnd w:id="325"/>
    </w:p>
    <w:p w14:paraId="3A6CFBEE" w14:textId="22BAEA46" w:rsidR="00077B75" w:rsidRPr="00494098" w:rsidRDefault="00077B75" w:rsidP="0095632E">
      <w:pPr>
        <w:pStyle w:val="H23G"/>
        <w:rPr>
          <w:lang w:val="fr-FR"/>
        </w:rPr>
      </w:pPr>
      <w:r w:rsidRPr="00494098">
        <w:rPr>
          <w:lang w:val="fr-FR"/>
        </w:rPr>
        <w:tab/>
      </w:r>
      <w:r w:rsidRPr="00494098">
        <w:rPr>
          <w:lang w:val="fr-FR"/>
        </w:rPr>
        <w:tab/>
      </w:r>
      <w:r w:rsidRPr="00494098">
        <w:rPr>
          <w:bCs/>
          <w:lang w:val="fr-FR"/>
        </w:rPr>
        <w:t>Mesures adoptées pour protéger les droits des enfants victimes (par</w:t>
      </w:r>
      <w:r w:rsidR="00F94365" w:rsidRPr="00494098">
        <w:rPr>
          <w:bCs/>
          <w:lang w:val="fr-FR"/>
        </w:rPr>
        <w:t>. </w:t>
      </w:r>
      <w:r w:rsidRPr="00494098">
        <w:rPr>
          <w:bCs/>
          <w:lang w:val="fr-FR"/>
        </w:rPr>
        <w:t xml:space="preserve">34 des </w:t>
      </w:r>
      <w:r w:rsidR="004925AB">
        <w:rPr>
          <w:bCs/>
          <w:lang w:val="fr-FR"/>
        </w:rPr>
        <w:t>o</w:t>
      </w:r>
      <w:r w:rsidR="00916D99" w:rsidRPr="00494098">
        <w:rPr>
          <w:bCs/>
          <w:lang w:val="fr-FR"/>
        </w:rPr>
        <w:t>bservations finales</w:t>
      </w:r>
      <w:r w:rsidRPr="00494098">
        <w:rPr>
          <w:bCs/>
          <w:lang w:val="fr-FR"/>
        </w:rPr>
        <w:t>)</w:t>
      </w:r>
      <w:bookmarkStart w:id="326" w:name="_Toc530057348"/>
      <w:bookmarkStart w:id="327" w:name="_Toc530057575"/>
      <w:bookmarkStart w:id="328" w:name="_Toc530057662"/>
      <w:bookmarkStart w:id="329" w:name="_Toc530068043"/>
      <w:bookmarkEnd w:id="326"/>
      <w:bookmarkEnd w:id="327"/>
      <w:bookmarkEnd w:id="328"/>
      <w:bookmarkEnd w:id="329"/>
    </w:p>
    <w:p w14:paraId="0209A8E4" w14:textId="4AC87A34" w:rsidR="00077B75" w:rsidRPr="00494098" w:rsidRDefault="00077B75" w:rsidP="0095632E">
      <w:pPr>
        <w:pStyle w:val="H4G"/>
        <w:rPr>
          <w:lang w:val="fr-FR"/>
        </w:rPr>
      </w:pPr>
      <w:r w:rsidRPr="00494098">
        <w:rPr>
          <w:lang w:val="fr-FR"/>
        </w:rPr>
        <w:tab/>
      </w:r>
      <w:r w:rsidRPr="00494098">
        <w:rPr>
          <w:lang w:val="fr-FR"/>
        </w:rPr>
        <w:tab/>
      </w:r>
      <w:r w:rsidRPr="00494098">
        <w:rPr>
          <w:iCs/>
          <w:lang w:val="fr-FR"/>
        </w:rPr>
        <w:t>Droit à la protection et à l’assistance</w:t>
      </w:r>
      <w:r w:rsidR="006717A5" w:rsidRPr="00494098">
        <w:rPr>
          <w:iCs/>
          <w:lang w:val="fr-FR"/>
        </w:rPr>
        <w:t> ;</w:t>
      </w:r>
      <w:bookmarkStart w:id="330" w:name="_Toc530057576"/>
      <w:bookmarkEnd w:id="330"/>
    </w:p>
    <w:p w14:paraId="47A0D49F" w14:textId="77BA329A" w:rsidR="00077B75" w:rsidRPr="00494098" w:rsidRDefault="00077B75" w:rsidP="00480570">
      <w:pPr>
        <w:pStyle w:val="SingleTxtG"/>
        <w:rPr>
          <w:lang w:val="fr-FR"/>
        </w:rPr>
      </w:pPr>
      <w:r w:rsidRPr="00494098">
        <w:rPr>
          <w:lang w:val="fr-FR"/>
        </w:rPr>
        <w:t>353.</w:t>
      </w:r>
      <w:r w:rsidRPr="00494098">
        <w:rPr>
          <w:lang w:val="fr-FR"/>
        </w:rPr>
        <w:tab/>
        <w:t xml:space="preserve">La loi </w:t>
      </w:r>
      <w:r w:rsidR="006717A5" w:rsidRPr="00494098">
        <w:rPr>
          <w:lang w:val="fr-FR"/>
        </w:rPr>
        <w:t>n° </w:t>
      </w:r>
      <w:r w:rsidR="00480991" w:rsidRPr="00494098">
        <w:rPr>
          <w:lang w:val="fr-FR"/>
        </w:rPr>
        <w:t>1</w:t>
      </w:r>
      <w:r w:rsidRPr="00494098">
        <w:rPr>
          <w:lang w:val="fr-FR"/>
        </w:rPr>
        <w:t>30/2015 du 4</w:t>
      </w:r>
      <w:r w:rsidR="00480991" w:rsidRPr="00494098">
        <w:rPr>
          <w:lang w:val="fr-FR"/>
        </w:rPr>
        <w:t> septembre</w:t>
      </w:r>
      <w:r w:rsidRPr="00494098">
        <w:rPr>
          <w:lang w:val="fr-FR"/>
        </w:rPr>
        <w:t xml:space="preserve"> 2015 a modifié le Code de procédure pénale  et approuvé le Statut d</w:t>
      </w:r>
      <w:r w:rsidR="006A01DE" w:rsidRPr="00494098">
        <w:rPr>
          <w:lang w:val="fr-FR"/>
        </w:rPr>
        <w:t>e la victime, qui transpose la d</w:t>
      </w:r>
      <w:r w:rsidRPr="00494098">
        <w:rPr>
          <w:lang w:val="fr-FR"/>
        </w:rPr>
        <w:t>irective 2012/29/UE du 25</w:t>
      </w:r>
      <w:r w:rsidR="00203C62" w:rsidRPr="00494098">
        <w:rPr>
          <w:lang w:val="fr-FR"/>
        </w:rPr>
        <w:t> octobre</w:t>
      </w:r>
      <w:r w:rsidRPr="00494098">
        <w:rPr>
          <w:lang w:val="fr-FR"/>
        </w:rPr>
        <w:t xml:space="preserve"> 2012 établissant des normes minimales concernant les droits, le soutien et la protection des victimes de la criminalité. </w:t>
      </w:r>
    </w:p>
    <w:p w14:paraId="0009AE89" w14:textId="6CA1F90F" w:rsidR="00077B75" w:rsidRPr="00494098" w:rsidRDefault="00077B75" w:rsidP="00480570">
      <w:pPr>
        <w:pStyle w:val="SingleTxtG"/>
        <w:rPr>
          <w:lang w:val="fr-FR"/>
        </w:rPr>
      </w:pPr>
      <w:r w:rsidRPr="00494098">
        <w:rPr>
          <w:lang w:val="fr-FR"/>
        </w:rPr>
        <w:t>354.</w:t>
      </w:r>
      <w:r w:rsidRPr="00494098">
        <w:rPr>
          <w:lang w:val="fr-FR"/>
        </w:rPr>
        <w:tab/>
        <w:t>Le Statut de la victime et le C</w:t>
      </w:r>
      <w:r w:rsidR="005D67D6">
        <w:rPr>
          <w:lang w:val="fr-FR"/>
        </w:rPr>
        <w:t>ode de procédure pénale</w:t>
      </w:r>
      <w:r w:rsidRPr="00494098">
        <w:rPr>
          <w:lang w:val="fr-FR"/>
        </w:rPr>
        <w:t xml:space="preserve"> (art</w:t>
      </w:r>
      <w:r w:rsidR="005D67D6">
        <w:rPr>
          <w:lang w:val="fr-FR"/>
        </w:rPr>
        <w:t>.</w:t>
      </w:r>
      <w:r w:rsidRPr="00494098">
        <w:rPr>
          <w:lang w:val="fr-FR"/>
        </w:rPr>
        <w:t xml:space="preserve"> 67-A) consacrent un concept élargi de la victime, qui comprend non seulement la personne directement touchée par l'infraction</w:t>
      </w:r>
      <w:r w:rsidR="006A01DE" w:rsidRPr="00494098">
        <w:rPr>
          <w:lang w:val="fr-FR"/>
        </w:rPr>
        <w:t>,</w:t>
      </w:r>
      <w:r w:rsidRPr="00494098">
        <w:rPr>
          <w:lang w:val="fr-FR"/>
        </w:rPr>
        <w:t xml:space="preserve"> mais aussi</w:t>
      </w:r>
      <w:r w:rsidR="00D3305E" w:rsidRPr="00494098">
        <w:rPr>
          <w:lang w:val="fr-FR"/>
        </w:rPr>
        <w:t xml:space="preserve"> sa famille</w:t>
      </w:r>
      <w:r w:rsidR="006A01DE" w:rsidRPr="00494098">
        <w:rPr>
          <w:lang w:val="fr-FR"/>
        </w:rPr>
        <w:t xml:space="preserve"> </w:t>
      </w:r>
      <w:r w:rsidRPr="00494098">
        <w:rPr>
          <w:lang w:val="fr-FR"/>
        </w:rPr>
        <w:t>en cas de décès</w:t>
      </w:r>
      <w:r w:rsidR="00D3305E" w:rsidRPr="00494098">
        <w:rPr>
          <w:lang w:val="fr-FR"/>
        </w:rPr>
        <w:t xml:space="preserve"> de cette personne</w:t>
      </w:r>
      <w:r w:rsidRPr="00494098">
        <w:rPr>
          <w:lang w:val="fr-FR"/>
        </w:rPr>
        <w:t>.</w:t>
      </w:r>
    </w:p>
    <w:p w14:paraId="0E796EED" w14:textId="77777777" w:rsidR="00077B75" w:rsidRPr="00494098" w:rsidRDefault="00077B75" w:rsidP="00480570">
      <w:pPr>
        <w:pStyle w:val="SingleTxtG"/>
        <w:rPr>
          <w:lang w:val="fr-FR"/>
        </w:rPr>
      </w:pPr>
      <w:r w:rsidRPr="00494098">
        <w:rPr>
          <w:lang w:val="fr-FR"/>
        </w:rPr>
        <w:t>355.</w:t>
      </w:r>
      <w:r w:rsidRPr="00494098">
        <w:rPr>
          <w:lang w:val="fr-FR"/>
        </w:rPr>
        <w:tab/>
        <w:t xml:space="preserve">Les victimes ont, entre autres, le droit à l’information, à l'assistance, </w:t>
      </w:r>
      <w:r w:rsidR="00203BBA" w:rsidRPr="00494098">
        <w:rPr>
          <w:lang w:val="fr-FR"/>
        </w:rPr>
        <w:t xml:space="preserve">à </w:t>
      </w:r>
      <w:r w:rsidRPr="00494098">
        <w:rPr>
          <w:lang w:val="fr-FR"/>
        </w:rPr>
        <w:t xml:space="preserve">la protection et </w:t>
      </w:r>
      <w:r w:rsidR="00203BBA" w:rsidRPr="00494098">
        <w:rPr>
          <w:lang w:val="fr-FR"/>
        </w:rPr>
        <w:t xml:space="preserve">à </w:t>
      </w:r>
      <w:r w:rsidRPr="00494098">
        <w:rPr>
          <w:lang w:val="fr-FR"/>
        </w:rPr>
        <w:t xml:space="preserve">la participation </w:t>
      </w:r>
      <w:r w:rsidR="00203BBA" w:rsidRPr="00494098">
        <w:rPr>
          <w:lang w:val="fr-FR"/>
        </w:rPr>
        <w:t xml:space="preserve">durant </w:t>
      </w:r>
      <w:r w:rsidRPr="00494098">
        <w:rPr>
          <w:lang w:val="fr-FR"/>
        </w:rPr>
        <w:t xml:space="preserve">la procédure, </w:t>
      </w:r>
      <w:r w:rsidR="004248DF" w:rsidRPr="00494098">
        <w:rPr>
          <w:lang w:val="fr-FR"/>
        </w:rPr>
        <w:t xml:space="preserve">notamment </w:t>
      </w:r>
      <w:r w:rsidRPr="00494098">
        <w:rPr>
          <w:lang w:val="fr-FR"/>
        </w:rPr>
        <w:t xml:space="preserve">en </w:t>
      </w:r>
      <w:r w:rsidR="004248DF" w:rsidRPr="00494098">
        <w:rPr>
          <w:lang w:val="fr-FR"/>
        </w:rPr>
        <w:t xml:space="preserve">apportant </w:t>
      </w:r>
      <w:r w:rsidRPr="00494098">
        <w:rPr>
          <w:lang w:val="fr-FR"/>
        </w:rPr>
        <w:t>des informations et en présentant des preuves. Elles peuvent devenir parties à la procédure à tout moment, y compris après que le jugement de première instance a été rendu (art</w:t>
      </w:r>
      <w:r w:rsidR="004248DF" w:rsidRPr="00494098">
        <w:rPr>
          <w:lang w:val="fr-FR"/>
        </w:rPr>
        <w:t>. </w:t>
      </w:r>
      <w:r w:rsidRPr="00494098">
        <w:rPr>
          <w:lang w:val="fr-FR"/>
        </w:rPr>
        <w:t>68</w:t>
      </w:r>
      <w:r w:rsidR="00203BBA" w:rsidRPr="00494098">
        <w:rPr>
          <w:lang w:val="fr-FR"/>
        </w:rPr>
        <w:t>.</w:t>
      </w:r>
      <w:r w:rsidR="004248DF" w:rsidRPr="00494098">
        <w:rPr>
          <w:lang w:val="fr-FR"/>
        </w:rPr>
        <w:t> </w:t>
      </w:r>
      <w:r w:rsidRPr="00494098">
        <w:rPr>
          <w:lang w:val="fr-FR"/>
        </w:rPr>
        <w:t>3</w:t>
      </w:r>
      <w:r w:rsidR="004248DF" w:rsidRPr="00494098">
        <w:rPr>
          <w:lang w:val="fr-FR"/>
        </w:rPr>
        <w:t> c</w:t>
      </w:r>
      <w:r w:rsidRPr="00494098">
        <w:rPr>
          <w:lang w:val="fr-FR"/>
        </w:rPr>
        <w:t>)</w:t>
      </w:r>
      <w:r w:rsidR="004248DF" w:rsidRPr="00494098">
        <w:rPr>
          <w:lang w:val="fr-FR"/>
        </w:rPr>
        <w:t>.</w:t>
      </w:r>
    </w:p>
    <w:p w14:paraId="63A13391" w14:textId="19D80EE5" w:rsidR="00077B75" w:rsidRPr="00494098" w:rsidRDefault="00077B75" w:rsidP="00480570">
      <w:pPr>
        <w:pStyle w:val="SingleTxtG"/>
        <w:rPr>
          <w:lang w:val="fr-FR"/>
        </w:rPr>
      </w:pPr>
      <w:r w:rsidRPr="00494098">
        <w:rPr>
          <w:lang w:val="fr-FR"/>
        </w:rPr>
        <w:t>356.</w:t>
      </w:r>
      <w:r w:rsidRPr="00494098">
        <w:rPr>
          <w:lang w:val="fr-FR"/>
        </w:rPr>
        <w:tab/>
        <w:t>Lors d</w:t>
      </w:r>
      <w:r w:rsidR="00550E19" w:rsidRPr="00494098">
        <w:rPr>
          <w:lang w:val="fr-FR"/>
        </w:rPr>
        <w:t xml:space="preserve">u dépôt </w:t>
      </w:r>
      <w:r w:rsidRPr="00494098">
        <w:rPr>
          <w:lang w:val="fr-FR"/>
        </w:rPr>
        <w:t>de la plainte, elles ont droit à la gratuité de l’assistance et à la traduction de la confirmation écrite de la requête dans une l</w:t>
      </w:r>
      <w:r w:rsidR="00550E19" w:rsidRPr="00494098">
        <w:rPr>
          <w:lang w:val="fr-FR"/>
        </w:rPr>
        <w:t>angue qu’elles comprennent (art. </w:t>
      </w:r>
      <w:r w:rsidRPr="00494098">
        <w:rPr>
          <w:lang w:val="fr-FR"/>
        </w:rPr>
        <w:t xml:space="preserve">11 et 12 de la loi </w:t>
      </w:r>
      <w:r w:rsidR="006717A5" w:rsidRPr="00494098">
        <w:rPr>
          <w:lang w:val="fr-FR"/>
        </w:rPr>
        <w:t>n° </w:t>
      </w:r>
      <w:r w:rsidR="00480991" w:rsidRPr="00494098">
        <w:rPr>
          <w:lang w:val="fr-FR"/>
        </w:rPr>
        <w:t>1</w:t>
      </w:r>
      <w:r w:rsidRPr="00494098">
        <w:rPr>
          <w:lang w:val="fr-FR"/>
        </w:rPr>
        <w:t>30/2015 et art</w:t>
      </w:r>
      <w:r w:rsidR="00EF6529">
        <w:rPr>
          <w:lang w:val="fr-FR"/>
        </w:rPr>
        <w:t>.</w:t>
      </w:r>
      <w:r w:rsidR="00550E19" w:rsidRPr="00494098">
        <w:rPr>
          <w:lang w:val="fr-FR"/>
        </w:rPr>
        <w:t> </w:t>
      </w:r>
      <w:r w:rsidRPr="00494098">
        <w:rPr>
          <w:lang w:val="fr-FR"/>
        </w:rPr>
        <w:t>246.5 du C</w:t>
      </w:r>
      <w:r w:rsidR="00EF6529">
        <w:rPr>
          <w:lang w:val="fr-FR"/>
        </w:rPr>
        <w:t>ode de procédure pénale</w:t>
      </w:r>
      <w:r w:rsidRPr="00494098">
        <w:rPr>
          <w:lang w:val="fr-FR"/>
        </w:rPr>
        <w:t>), et doivent se voir remettre un certificat d’enregistrement de la plainte décrivant les faits e</w:t>
      </w:r>
      <w:r w:rsidR="00613AD0" w:rsidRPr="00494098">
        <w:rPr>
          <w:lang w:val="fr-FR"/>
        </w:rPr>
        <w:t>ssentiels de l’infraction (art. </w:t>
      </w:r>
      <w:r w:rsidRPr="00494098">
        <w:rPr>
          <w:lang w:val="fr-FR"/>
        </w:rPr>
        <w:t>247.7 du C</w:t>
      </w:r>
      <w:r w:rsidR="009D4EEC">
        <w:rPr>
          <w:lang w:val="fr-FR"/>
        </w:rPr>
        <w:t>ode de procédure pénale</w:t>
      </w:r>
      <w:r w:rsidRPr="00494098">
        <w:rPr>
          <w:lang w:val="fr-FR"/>
        </w:rPr>
        <w:t xml:space="preserve">). </w:t>
      </w:r>
    </w:p>
    <w:p w14:paraId="3A443562" w14:textId="37C2C1A7" w:rsidR="00077B75" w:rsidRPr="00494098" w:rsidRDefault="00077B75" w:rsidP="00480570">
      <w:pPr>
        <w:pStyle w:val="SingleTxtG"/>
        <w:rPr>
          <w:lang w:val="fr-FR"/>
        </w:rPr>
      </w:pPr>
      <w:r w:rsidRPr="00494098">
        <w:rPr>
          <w:lang w:val="fr-FR"/>
        </w:rPr>
        <w:t>357.</w:t>
      </w:r>
      <w:r w:rsidRPr="00494098">
        <w:rPr>
          <w:lang w:val="fr-FR"/>
        </w:rPr>
        <w:tab/>
        <w:t xml:space="preserve">En outre, les victimes sont entendues </w:t>
      </w:r>
      <w:r w:rsidR="00203BBA" w:rsidRPr="00494098">
        <w:rPr>
          <w:lang w:val="fr-FR"/>
        </w:rPr>
        <w:t xml:space="preserve">à </w:t>
      </w:r>
      <w:r w:rsidRPr="00494098">
        <w:rPr>
          <w:lang w:val="fr-FR"/>
        </w:rPr>
        <w:t xml:space="preserve">chaque </w:t>
      </w:r>
      <w:r w:rsidR="006E7CEA" w:rsidRPr="00494098">
        <w:rPr>
          <w:lang w:val="fr-FR"/>
        </w:rPr>
        <w:t xml:space="preserve">modification </w:t>
      </w:r>
      <w:r w:rsidRPr="00494098">
        <w:rPr>
          <w:lang w:val="fr-FR"/>
        </w:rPr>
        <w:t>de</w:t>
      </w:r>
      <w:r w:rsidR="006E7CEA" w:rsidRPr="00494098">
        <w:rPr>
          <w:lang w:val="fr-FR"/>
        </w:rPr>
        <w:t>s</w:t>
      </w:r>
      <w:r w:rsidRPr="00494098">
        <w:rPr>
          <w:lang w:val="fr-FR"/>
        </w:rPr>
        <w:t xml:space="preserve"> mesures coercitives (art</w:t>
      </w:r>
      <w:r w:rsidR="006E7CEA" w:rsidRPr="00494098">
        <w:rPr>
          <w:lang w:val="fr-FR"/>
        </w:rPr>
        <w:t>.</w:t>
      </w:r>
      <w:r w:rsidR="00203BBA" w:rsidRPr="00494098">
        <w:rPr>
          <w:lang w:val="fr-FR"/>
        </w:rPr>
        <w:t> </w:t>
      </w:r>
      <w:r w:rsidRPr="00494098">
        <w:rPr>
          <w:lang w:val="fr-FR"/>
        </w:rPr>
        <w:t>212 du C</w:t>
      </w:r>
      <w:r w:rsidR="004F51AD">
        <w:rPr>
          <w:lang w:val="fr-FR"/>
        </w:rPr>
        <w:t>ode de procédure pénale</w:t>
      </w:r>
      <w:r w:rsidRPr="00494098">
        <w:rPr>
          <w:lang w:val="fr-FR"/>
        </w:rPr>
        <w:t>) et pendant l’exécution des peines, en particulier en cas de non-respect</w:t>
      </w:r>
      <w:r w:rsidR="006E7CEA" w:rsidRPr="00494098">
        <w:rPr>
          <w:lang w:val="fr-FR"/>
        </w:rPr>
        <w:t xml:space="preserve"> par l’auteur de l’infraction</w:t>
      </w:r>
      <w:r w:rsidRPr="00494098">
        <w:rPr>
          <w:lang w:val="fr-FR"/>
        </w:rPr>
        <w:t xml:space="preserve"> des conditions de la peine avec sursis (art</w:t>
      </w:r>
      <w:r w:rsidR="006E7CEA" w:rsidRPr="00494098">
        <w:rPr>
          <w:lang w:val="fr-FR"/>
        </w:rPr>
        <w:t>. </w:t>
      </w:r>
      <w:r w:rsidRPr="00494098">
        <w:rPr>
          <w:lang w:val="fr-FR"/>
        </w:rPr>
        <w:t>495.2 du C</w:t>
      </w:r>
      <w:r w:rsidR="00560CE7">
        <w:rPr>
          <w:lang w:val="fr-FR"/>
        </w:rPr>
        <w:t>ode de procédure pénale</w:t>
      </w:r>
      <w:r w:rsidRPr="00494098">
        <w:rPr>
          <w:lang w:val="fr-FR"/>
        </w:rPr>
        <w:t xml:space="preserve">). </w:t>
      </w:r>
    </w:p>
    <w:p w14:paraId="65C0D3F4" w14:textId="77777777" w:rsidR="00077B75" w:rsidRPr="00494098" w:rsidRDefault="00077B75" w:rsidP="00480570">
      <w:pPr>
        <w:pStyle w:val="SingleTxtG"/>
        <w:rPr>
          <w:lang w:val="fr-FR"/>
        </w:rPr>
      </w:pPr>
      <w:r w:rsidRPr="00494098">
        <w:rPr>
          <w:lang w:val="fr-FR"/>
        </w:rPr>
        <w:t>358.</w:t>
      </w:r>
      <w:r w:rsidRPr="00494098">
        <w:rPr>
          <w:lang w:val="fr-FR"/>
        </w:rPr>
        <w:tab/>
        <w:t>Les victimes particulièrement vulnérables (art</w:t>
      </w:r>
      <w:r w:rsidR="00757F5B" w:rsidRPr="00494098">
        <w:rPr>
          <w:lang w:val="fr-FR"/>
        </w:rPr>
        <w:t>. </w:t>
      </w:r>
      <w:r w:rsidRPr="00494098">
        <w:rPr>
          <w:lang w:val="fr-FR"/>
        </w:rPr>
        <w:t xml:space="preserve">20 et suivants de la loi </w:t>
      </w:r>
      <w:r w:rsidR="006717A5" w:rsidRPr="00494098">
        <w:rPr>
          <w:lang w:val="fr-FR"/>
        </w:rPr>
        <w:t>n° </w:t>
      </w:r>
      <w:r w:rsidR="00480991" w:rsidRPr="00494098">
        <w:rPr>
          <w:lang w:val="fr-FR"/>
        </w:rPr>
        <w:t>1</w:t>
      </w:r>
      <w:r w:rsidRPr="00494098">
        <w:rPr>
          <w:lang w:val="fr-FR"/>
        </w:rPr>
        <w:t xml:space="preserve">30/2015) bénéficient de mesures de protection spéciales au cours de la procédure, </w:t>
      </w:r>
      <w:r w:rsidR="00757F5B" w:rsidRPr="00494098">
        <w:rPr>
          <w:lang w:val="fr-FR"/>
        </w:rPr>
        <w:t xml:space="preserve">comme </w:t>
      </w:r>
      <w:r w:rsidRPr="00494098">
        <w:rPr>
          <w:lang w:val="fr-FR"/>
        </w:rPr>
        <w:t>le droit d’être interrogé</w:t>
      </w:r>
      <w:r w:rsidR="00757F5B" w:rsidRPr="00494098">
        <w:rPr>
          <w:lang w:val="fr-FR"/>
        </w:rPr>
        <w:t>e</w:t>
      </w:r>
      <w:r w:rsidRPr="00494098">
        <w:rPr>
          <w:lang w:val="fr-FR"/>
        </w:rPr>
        <w:t xml:space="preserve">s par la même personne et par une personne du même sexe dans les cas de violence sexuelle, de violence sexiste ou familiale, ou </w:t>
      </w:r>
      <w:r w:rsidR="00757F5B" w:rsidRPr="00494098">
        <w:rPr>
          <w:lang w:val="fr-FR"/>
        </w:rPr>
        <w:t>le</w:t>
      </w:r>
      <w:r w:rsidRPr="00494098">
        <w:rPr>
          <w:lang w:val="fr-FR"/>
        </w:rPr>
        <w:t xml:space="preserve"> droit de témoigner ou de faire des déclarations par vidéoconférence</w:t>
      </w:r>
      <w:r w:rsidR="00E7372E" w:rsidRPr="00494098">
        <w:rPr>
          <w:lang w:val="fr-FR"/>
        </w:rPr>
        <w:t>,</w:t>
      </w:r>
      <w:r w:rsidRPr="00494098">
        <w:rPr>
          <w:lang w:val="fr-FR"/>
        </w:rPr>
        <w:t xml:space="preserve"> afin d’éviter tout contact avec l’agresseur, ou </w:t>
      </w:r>
      <w:r w:rsidR="0027057A" w:rsidRPr="00494098">
        <w:rPr>
          <w:lang w:val="fr-FR"/>
        </w:rPr>
        <w:t xml:space="preserve">pour </w:t>
      </w:r>
      <w:r w:rsidRPr="00494098">
        <w:rPr>
          <w:lang w:val="fr-FR"/>
        </w:rPr>
        <w:t xml:space="preserve">que leurs déclarations soient consignées </w:t>
      </w:r>
      <w:r w:rsidR="00E7372E" w:rsidRPr="00494098">
        <w:rPr>
          <w:lang w:val="fr-FR"/>
        </w:rPr>
        <w:t xml:space="preserve">en vue de leur utilisation </w:t>
      </w:r>
      <w:r w:rsidRPr="00494098">
        <w:rPr>
          <w:lang w:val="fr-FR"/>
        </w:rPr>
        <w:t>comme éléments de preuve lors du procès.</w:t>
      </w:r>
    </w:p>
    <w:p w14:paraId="3190324D" w14:textId="77777777" w:rsidR="00077B75" w:rsidRPr="00494098" w:rsidRDefault="00077B75" w:rsidP="00480570">
      <w:pPr>
        <w:pStyle w:val="SingleTxtG"/>
        <w:rPr>
          <w:lang w:val="fr-FR"/>
        </w:rPr>
      </w:pPr>
      <w:r w:rsidRPr="00494098">
        <w:rPr>
          <w:lang w:val="fr-FR"/>
        </w:rPr>
        <w:t>359.</w:t>
      </w:r>
      <w:r w:rsidRPr="00494098">
        <w:rPr>
          <w:lang w:val="fr-FR"/>
        </w:rPr>
        <w:tab/>
        <w:t>Les droits de l’enfant victime sont spéci</w:t>
      </w:r>
      <w:r w:rsidR="00EF220C" w:rsidRPr="00494098">
        <w:rPr>
          <w:lang w:val="fr-FR"/>
        </w:rPr>
        <w:t xml:space="preserve">alement traités à </w:t>
      </w:r>
      <w:r w:rsidRPr="00494098">
        <w:rPr>
          <w:lang w:val="fr-FR"/>
        </w:rPr>
        <w:t>l’article</w:t>
      </w:r>
      <w:r w:rsidR="00EF220C" w:rsidRPr="00494098">
        <w:rPr>
          <w:lang w:val="fr-FR"/>
        </w:rPr>
        <w:t> </w:t>
      </w:r>
      <w:r w:rsidRPr="00494098">
        <w:rPr>
          <w:lang w:val="fr-FR"/>
        </w:rPr>
        <w:t>22</w:t>
      </w:r>
      <w:r w:rsidR="00EF220C" w:rsidRPr="00494098">
        <w:rPr>
          <w:lang w:val="fr-FR"/>
        </w:rPr>
        <w:t> </w:t>
      </w:r>
      <w:r w:rsidR="00090CBF" w:rsidRPr="00494098">
        <w:rPr>
          <w:lang w:val="fr-FR"/>
        </w:rPr>
        <w:t>:</w:t>
      </w:r>
      <w:r w:rsidRPr="00494098">
        <w:rPr>
          <w:lang w:val="fr-FR"/>
        </w:rPr>
        <w:t xml:space="preserve"> les enfants ont le droit d’être entendus dans une procédure pénale au cours de laquelle leur âge et leur degré de maturité sont pris en considération</w:t>
      </w:r>
      <w:r w:rsidR="006717A5" w:rsidRPr="00494098">
        <w:rPr>
          <w:lang w:val="fr-FR"/>
        </w:rPr>
        <w:t> ;</w:t>
      </w:r>
      <w:r w:rsidRPr="00494098">
        <w:rPr>
          <w:lang w:val="fr-FR"/>
        </w:rPr>
        <w:t xml:space="preserve"> </w:t>
      </w:r>
      <w:r w:rsidR="00EF220C" w:rsidRPr="00494098">
        <w:rPr>
          <w:lang w:val="fr-FR"/>
        </w:rPr>
        <w:t>i</w:t>
      </w:r>
      <w:r w:rsidRPr="00494098">
        <w:rPr>
          <w:lang w:val="fr-FR"/>
        </w:rPr>
        <w:t xml:space="preserve">ls peuvent être accompagnés au procès par leurs parents, leur représentant légal ou leur tuteur ou avoir un avocat commis d'office s'il y a conflit d’intérêts ou lorsque l’enfant, doté d'une maturité suffisante, le demande (l'avocat est commis d'office conformément aux dispositions de la loi relative à d’aide juridictionnelle). La vie privée </w:t>
      </w:r>
      <w:r w:rsidR="00EF220C" w:rsidRPr="00494098">
        <w:rPr>
          <w:lang w:val="fr-FR"/>
        </w:rPr>
        <w:t xml:space="preserve">de l’enfant victime </w:t>
      </w:r>
      <w:r w:rsidRPr="00494098">
        <w:rPr>
          <w:lang w:val="fr-FR"/>
        </w:rPr>
        <w:t xml:space="preserve">est également assurée, car aucune information qui serait susceptible de conduire à </w:t>
      </w:r>
      <w:r w:rsidR="00EF220C" w:rsidRPr="00494098">
        <w:rPr>
          <w:lang w:val="fr-FR"/>
        </w:rPr>
        <w:t xml:space="preserve">son </w:t>
      </w:r>
      <w:r w:rsidRPr="00494098">
        <w:rPr>
          <w:lang w:val="fr-FR"/>
        </w:rPr>
        <w:t xml:space="preserve">identification ne peut être divulguée au public. Toute violation de ces règles est assimilable à un outrage au tribunal. Lorsque l’âge de la victime est incertain et qu’il existe des raisons de croire qu’elle est mineure, </w:t>
      </w:r>
      <w:r w:rsidR="00EF220C" w:rsidRPr="00494098">
        <w:rPr>
          <w:lang w:val="fr-FR"/>
        </w:rPr>
        <w:t>elle</w:t>
      </w:r>
      <w:r w:rsidRPr="00494098">
        <w:rPr>
          <w:lang w:val="fr-FR"/>
        </w:rPr>
        <w:t xml:space="preserve"> est considérée comme un enfant.</w:t>
      </w:r>
    </w:p>
    <w:p w14:paraId="03E674B7" w14:textId="77777777" w:rsidR="00077B75" w:rsidRPr="00494098" w:rsidRDefault="00077B75" w:rsidP="00480570">
      <w:pPr>
        <w:pStyle w:val="SingleTxtG"/>
        <w:rPr>
          <w:lang w:val="fr-FR"/>
        </w:rPr>
      </w:pPr>
      <w:r w:rsidRPr="00494098">
        <w:rPr>
          <w:lang w:val="fr-FR"/>
        </w:rPr>
        <w:t>360.</w:t>
      </w:r>
      <w:r w:rsidRPr="00494098">
        <w:rPr>
          <w:lang w:val="fr-FR"/>
        </w:rPr>
        <w:tab/>
        <w:t xml:space="preserve">La loi </w:t>
      </w:r>
      <w:r w:rsidR="006717A5" w:rsidRPr="00494098">
        <w:rPr>
          <w:lang w:val="fr-FR"/>
        </w:rPr>
        <w:t>n° </w:t>
      </w:r>
      <w:r w:rsidR="00480991" w:rsidRPr="00494098">
        <w:rPr>
          <w:lang w:val="fr-FR"/>
        </w:rPr>
        <w:t>1</w:t>
      </w:r>
      <w:r w:rsidRPr="00494098">
        <w:rPr>
          <w:lang w:val="fr-FR"/>
        </w:rPr>
        <w:t>21/2015 du 1</w:t>
      </w:r>
      <w:r w:rsidRPr="00494098">
        <w:rPr>
          <w:vertAlign w:val="superscript"/>
          <w:lang w:val="fr-FR"/>
        </w:rPr>
        <w:t>er</w:t>
      </w:r>
      <w:r w:rsidR="00480991" w:rsidRPr="00494098">
        <w:rPr>
          <w:lang w:val="fr-FR"/>
        </w:rPr>
        <w:t> septembre</w:t>
      </w:r>
      <w:r w:rsidRPr="00494098">
        <w:rPr>
          <w:lang w:val="fr-FR"/>
        </w:rPr>
        <w:t xml:space="preserve"> 2015, qui a modifié la loi n°104/2009 du 14</w:t>
      </w:r>
      <w:r w:rsidR="00480991" w:rsidRPr="00494098">
        <w:rPr>
          <w:lang w:val="fr-FR"/>
        </w:rPr>
        <w:t> septembre</w:t>
      </w:r>
      <w:r w:rsidRPr="00494098">
        <w:rPr>
          <w:lang w:val="fr-FR"/>
        </w:rPr>
        <w:t xml:space="preserve"> 2009, met l’accent sur les droits des victimes de violence familiale à pouvoir accéder aux mécanismes de plainte et de réparation (</w:t>
      </w:r>
      <w:r w:rsidR="0082263D" w:rsidRPr="00494098">
        <w:rPr>
          <w:lang w:val="fr-FR"/>
        </w:rPr>
        <w:t>art</w:t>
      </w:r>
      <w:r w:rsidR="00EF220C" w:rsidRPr="00494098">
        <w:rPr>
          <w:lang w:val="fr-FR"/>
        </w:rPr>
        <w:t>.</w:t>
      </w:r>
      <w:r w:rsidR="0082263D" w:rsidRPr="00494098">
        <w:rPr>
          <w:lang w:val="fr-FR"/>
        </w:rPr>
        <w:t> 1</w:t>
      </w:r>
      <w:r w:rsidRPr="00494098">
        <w:rPr>
          <w:lang w:val="fr-FR"/>
        </w:rPr>
        <w:t>52 du Code pénal).</w:t>
      </w:r>
    </w:p>
    <w:p w14:paraId="3B18418F" w14:textId="77777777" w:rsidR="00077B75" w:rsidRPr="00494098" w:rsidRDefault="00077B75" w:rsidP="009F5935">
      <w:pPr>
        <w:pStyle w:val="H4G"/>
        <w:rPr>
          <w:lang w:val="fr-FR"/>
        </w:rPr>
      </w:pPr>
      <w:r w:rsidRPr="00494098">
        <w:rPr>
          <w:lang w:val="fr-FR"/>
        </w:rPr>
        <w:tab/>
      </w:r>
      <w:r w:rsidRPr="00494098">
        <w:rPr>
          <w:lang w:val="fr-FR"/>
        </w:rPr>
        <w:tab/>
      </w:r>
      <w:r w:rsidRPr="00494098">
        <w:rPr>
          <w:iCs/>
          <w:lang w:val="fr-FR"/>
        </w:rPr>
        <w:t>Renforcement de la protection et de la sécurité des enfants victimes</w:t>
      </w:r>
      <w:bookmarkStart w:id="331" w:name="_Toc530057577"/>
      <w:bookmarkEnd w:id="331"/>
    </w:p>
    <w:p w14:paraId="2C97E3D1" w14:textId="77777777" w:rsidR="00077B75" w:rsidRPr="00494098" w:rsidRDefault="00077B75" w:rsidP="00480570">
      <w:pPr>
        <w:pStyle w:val="SingleTxtG"/>
        <w:rPr>
          <w:lang w:val="fr-FR"/>
        </w:rPr>
      </w:pPr>
      <w:r w:rsidRPr="00494098">
        <w:rPr>
          <w:lang w:val="fr-FR"/>
        </w:rPr>
        <w:t>361.</w:t>
      </w:r>
      <w:r w:rsidRPr="00494098">
        <w:rPr>
          <w:lang w:val="fr-FR"/>
        </w:rPr>
        <w:tab/>
        <w:t>Voir la réponse fournie au paragraphe</w:t>
      </w:r>
      <w:r w:rsidR="00EF220C" w:rsidRPr="00494098">
        <w:rPr>
          <w:lang w:val="fr-FR"/>
        </w:rPr>
        <w:t> </w:t>
      </w:r>
      <w:r w:rsidRPr="00494098">
        <w:rPr>
          <w:lang w:val="fr-FR"/>
        </w:rPr>
        <w:t>36 des Observations finales sur la Convention relative aux droits de l'enfant, ci-dessus.</w:t>
      </w:r>
    </w:p>
    <w:p w14:paraId="5A0B8CBC" w14:textId="77777777" w:rsidR="00077B75" w:rsidRPr="00494098" w:rsidRDefault="00077B75" w:rsidP="00480570">
      <w:pPr>
        <w:pStyle w:val="SingleTxtG"/>
        <w:rPr>
          <w:lang w:val="fr-FR"/>
        </w:rPr>
      </w:pPr>
      <w:r w:rsidRPr="00494098">
        <w:rPr>
          <w:lang w:val="fr-FR"/>
        </w:rPr>
        <w:t>362.</w:t>
      </w:r>
      <w:r w:rsidRPr="00494098">
        <w:rPr>
          <w:lang w:val="fr-FR"/>
        </w:rPr>
        <w:tab/>
        <w:t xml:space="preserve">Le Portugal prépare actuellement la mise en </w:t>
      </w:r>
      <w:r w:rsidR="00FB1E15" w:rsidRPr="00494098">
        <w:rPr>
          <w:lang w:val="fr-FR"/>
        </w:rPr>
        <w:t xml:space="preserve">place </w:t>
      </w:r>
      <w:r w:rsidRPr="00494098">
        <w:rPr>
          <w:lang w:val="fr-FR"/>
        </w:rPr>
        <w:t>d’un centre d’accueil pour les enfants victimes de la traite. Dans ce centre, comme dan</w:t>
      </w:r>
      <w:r w:rsidR="00FB1E15" w:rsidRPr="00494098">
        <w:rPr>
          <w:lang w:val="fr-FR"/>
        </w:rPr>
        <w:t>s les trois autres, c</w:t>
      </w:r>
      <w:r w:rsidRPr="00494098">
        <w:rPr>
          <w:lang w:val="fr-FR"/>
        </w:rPr>
        <w:t xml:space="preserve">es enfants auront droit à des moyens de subsistance, à l'accès aux traitements médicaux d’urgence appropriés, à une assistance psychologique, à la protection, à des services de traduction et d’interprétation, ainsi qu'à des services juridiques adaptés </w:t>
      </w:r>
      <w:r w:rsidR="00562AB0" w:rsidRPr="00494098">
        <w:rPr>
          <w:lang w:val="fr-FR"/>
        </w:rPr>
        <w:t>à leurs besoins</w:t>
      </w:r>
      <w:r w:rsidRPr="00494098">
        <w:rPr>
          <w:lang w:val="fr-FR"/>
        </w:rPr>
        <w:t xml:space="preserve">. Tout le soutien et tous les services seront adaptés aux besoins des enfants. </w:t>
      </w:r>
    </w:p>
    <w:p w14:paraId="0822F0E7" w14:textId="77777777" w:rsidR="00077B75" w:rsidRPr="00494098" w:rsidRDefault="00077B75" w:rsidP="00480570">
      <w:pPr>
        <w:pStyle w:val="SingleTxtG"/>
        <w:rPr>
          <w:lang w:val="fr-FR"/>
        </w:rPr>
      </w:pPr>
      <w:r w:rsidRPr="00494098">
        <w:rPr>
          <w:lang w:val="fr-FR"/>
        </w:rPr>
        <w:t>363.</w:t>
      </w:r>
      <w:r w:rsidRPr="00494098">
        <w:rPr>
          <w:lang w:val="fr-FR"/>
        </w:rPr>
        <w:tab/>
        <w:t xml:space="preserve">La formation est déjà effective pour toutes les parties prenantes, à l’aide des outils de formation </w:t>
      </w:r>
      <w:r w:rsidR="0043141C" w:rsidRPr="00494098">
        <w:rPr>
          <w:lang w:val="fr-FR"/>
        </w:rPr>
        <w:t>sus</w:t>
      </w:r>
      <w:r w:rsidRPr="00494098">
        <w:rPr>
          <w:lang w:val="fr-FR"/>
        </w:rPr>
        <w:t xml:space="preserve">mentionnés. </w:t>
      </w:r>
    </w:p>
    <w:p w14:paraId="3F8070E9" w14:textId="77777777" w:rsidR="00077B75" w:rsidRPr="00494098" w:rsidRDefault="00077B75" w:rsidP="00480570">
      <w:pPr>
        <w:pStyle w:val="SingleTxtG"/>
        <w:rPr>
          <w:lang w:val="fr-FR"/>
        </w:rPr>
      </w:pPr>
      <w:r w:rsidRPr="00494098">
        <w:rPr>
          <w:lang w:val="fr-FR"/>
        </w:rPr>
        <w:t>364.</w:t>
      </w:r>
      <w:r w:rsidRPr="00494098">
        <w:rPr>
          <w:lang w:val="fr-FR"/>
        </w:rPr>
        <w:tab/>
        <w:t>Le suivi à long terme de la réinsertion des enfants victimes de la traite sera renforcé.</w:t>
      </w:r>
    </w:p>
    <w:p w14:paraId="3D786DD1" w14:textId="77777777" w:rsidR="00077B75" w:rsidRPr="00494098" w:rsidRDefault="00077B75" w:rsidP="00480570">
      <w:pPr>
        <w:pStyle w:val="SingleTxtG"/>
        <w:rPr>
          <w:lang w:val="fr-FR"/>
        </w:rPr>
      </w:pPr>
      <w:r w:rsidRPr="00494098">
        <w:rPr>
          <w:lang w:val="fr-FR"/>
        </w:rPr>
        <w:t>365.</w:t>
      </w:r>
      <w:r w:rsidRPr="00494098">
        <w:rPr>
          <w:lang w:val="fr-FR"/>
        </w:rPr>
        <w:tab/>
        <w:t>Au cours de l’année 2016 sur les 2</w:t>
      </w:r>
      <w:r w:rsidR="0043141C" w:rsidRPr="00494098">
        <w:rPr>
          <w:lang w:val="fr-FR"/>
        </w:rPr>
        <w:t> </w:t>
      </w:r>
      <w:r w:rsidRPr="00494098">
        <w:rPr>
          <w:lang w:val="fr-FR"/>
        </w:rPr>
        <w:t>396</w:t>
      </w:r>
      <w:r w:rsidR="0043141C" w:rsidRPr="00494098">
        <w:rPr>
          <w:lang w:val="fr-FR"/>
        </w:rPr>
        <w:t> </w:t>
      </w:r>
      <w:r w:rsidRPr="00494098">
        <w:rPr>
          <w:lang w:val="fr-FR"/>
        </w:rPr>
        <w:t>enfants et jeunes placés, 485 (20,2</w:t>
      </w:r>
      <w:r w:rsidR="003B4E18" w:rsidRPr="00494098">
        <w:rPr>
          <w:lang w:val="fr-FR"/>
        </w:rPr>
        <w:t> %</w:t>
      </w:r>
      <w:r w:rsidRPr="00494098">
        <w:rPr>
          <w:lang w:val="fr-FR"/>
        </w:rPr>
        <w:t>) ont demandé une protection immédiate, soit 2,3</w:t>
      </w:r>
      <w:r w:rsidR="003B4E18" w:rsidRPr="00494098">
        <w:rPr>
          <w:lang w:val="fr-FR"/>
        </w:rPr>
        <w:t> %</w:t>
      </w:r>
      <w:r w:rsidRPr="00494098">
        <w:rPr>
          <w:lang w:val="fr-FR"/>
        </w:rPr>
        <w:t xml:space="preserve"> de plus que l’année précédente (394</w:t>
      </w:r>
      <w:r w:rsidR="0043141C" w:rsidRPr="00494098">
        <w:rPr>
          <w:lang w:val="fr-FR"/>
        </w:rPr>
        <w:t> </w:t>
      </w:r>
      <w:r w:rsidRPr="00494098">
        <w:rPr>
          <w:lang w:val="fr-FR"/>
        </w:rPr>
        <w:t xml:space="preserve">enfants en 2015). </w:t>
      </w:r>
    </w:p>
    <w:p w14:paraId="5019B63A" w14:textId="458BEF45" w:rsidR="00077B75" w:rsidRPr="00494098" w:rsidRDefault="00077B75" w:rsidP="00480570">
      <w:pPr>
        <w:pStyle w:val="SingleTxtG"/>
        <w:rPr>
          <w:lang w:val="fr-FR"/>
        </w:rPr>
      </w:pPr>
      <w:r w:rsidRPr="00494098">
        <w:rPr>
          <w:lang w:val="fr-FR"/>
        </w:rPr>
        <w:t>366.</w:t>
      </w:r>
      <w:r w:rsidRPr="00494098">
        <w:rPr>
          <w:lang w:val="fr-FR"/>
        </w:rPr>
        <w:tab/>
        <w:t>D</w:t>
      </w:r>
      <w:r w:rsidR="00A65BFD" w:rsidRPr="00494098">
        <w:rPr>
          <w:lang w:val="fr-FR"/>
        </w:rPr>
        <w:t xml:space="preserve">ans les foyers </w:t>
      </w:r>
      <w:r w:rsidR="007726FF">
        <w:rPr>
          <w:lang w:val="fr-FR"/>
        </w:rPr>
        <w:t xml:space="preserve">d’accueil </w:t>
      </w:r>
      <w:r w:rsidR="00A65BFD" w:rsidRPr="00494098">
        <w:rPr>
          <w:lang w:val="fr-FR"/>
        </w:rPr>
        <w:t xml:space="preserve"> familial, d</w:t>
      </w:r>
      <w:r w:rsidRPr="00494098">
        <w:rPr>
          <w:lang w:val="fr-FR"/>
        </w:rPr>
        <w:t xml:space="preserve">es places d'urgence </w:t>
      </w:r>
      <w:r w:rsidR="00A65BFD" w:rsidRPr="00494098">
        <w:rPr>
          <w:lang w:val="fr-FR"/>
        </w:rPr>
        <w:t xml:space="preserve">spéciales </w:t>
      </w:r>
      <w:r w:rsidRPr="00494098">
        <w:rPr>
          <w:lang w:val="fr-FR"/>
        </w:rPr>
        <w:t xml:space="preserve">sont </w:t>
      </w:r>
      <w:r w:rsidR="00A65BFD" w:rsidRPr="00494098">
        <w:rPr>
          <w:lang w:val="fr-FR"/>
        </w:rPr>
        <w:t xml:space="preserve">prévues </w:t>
      </w:r>
      <w:r w:rsidRPr="00494098">
        <w:rPr>
          <w:lang w:val="fr-FR"/>
        </w:rPr>
        <w:t xml:space="preserve">pour les enfants les plus vulnérables. De plus, le numéro national </w:t>
      </w:r>
      <w:r w:rsidR="00A65BFD" w:rsidRPr="00494098">
        <w:rPr>
          <w:lang w:val="fr-FR"/>
        </w:rPr>
        <w:t xml:space="preserve">d’appel </w:t>
      </w:r>
      <w:r w:rsidRPr="00494098">
        <w:rPr>
          <w:lang w:val="fr-FR"/>
        </w:rPr>
        <w:t xml:space="preserve">d’urgence donne des réponses aux situations d'absence de protection et de besoin immédiat d’aide sociale, </w:t>
      </w:r>
      <w:r w:rsidR="00A65BFD" w:rsidRPr="00494098">
        <w:rPr>
          <w:lang w:val="fr-FR"/>
        </w:rPr>
        <w:t xml:space="preserve">ce qui </w:t>
      </w:r>
      <w:r w:rsidRPr="00494098">
        <w:rPr>
          <w:lang w:val="fr-FR"/>
        </w:rPr>
        <w:t>assure la protection et la sécurité des enfants et des jeunes en situation de danger, entre autres.</w:t>
      </w:r>
    </w:p>
    <w:p w14:paraId="0570BDF8" w14:textId="77777777" w:rsidR="00077B75" w:rsidRPr="00494098" w:rsidRDefault="00077B75" w:rsidP="009F5935">
      <w:pPr>
        <w:pStyle w:val="H4G"/>
        <w:rPr>
          <w:lang w:val="fr-FR"/>
        </w:rPr>
      </w:pPr>
      <w:r w:rsidRPr="00494098">
        <w:rPr>
          <w:lang w:val="fr-FR"/>
        </w:rPr>
        <w:tab/>
      </w:r>
      <w:r w:rsidRPr="00494098">
        <w:rPr>
          <w:lang w:val="fr-FR"/>
        </w:rPr>
        <w:tab/>
        <w:t xml:space="preserve">Formation systématique et régulière </w:t>
      </w:r>
      <w:bookmarkStart w:id="332" w:name="_Toc530057578"/>
      <w:bookmarkEnd w:id="332"/>
    </w:p>
    <w:p w14:paraId="51347FFA" w14:textId="77777777" w:rsidR="00077B75" w:rsidRPr="00494098" w:rsidRDefault="00077B75" w:rsidP="00480570">
      <w:pPr>
        <w:pStyle w:val="SingleTxtG"/>
        <w:rPr>
          <w:lang w:val="fr-FR"/>
        </w:rPr>
      </w:pPr>
      <w:r w:rsidRPr="00494098">
        <w:rPr>
          <w:lang w:val="fr-FR"/>
        </w:rPr>
        <w:t>367.</w:t>
      </w:r>
      <w:r w:rsidRPr="00494098">
        <w:rPr>
          <w:lang w:val="fr-FR"/>
        </w:rPr>
        <w:tab/>
        <w:t>Dans le cadre des travaux menés par un groupe de travail créé par la Commission nationale pour la promotion des droits et la protection des enfants et des adolescents</w:t>
      </w:r>
      <w:r w:rsidR="00FC4B27" w:rsidRPr="00494098">
        <w:rPr>
          <w:lang w:val="fr-FR"/>
        </w:rPr>
        <w:t>,</w:t>
      </w:r>
      <w:r w:rsidRPr="00494098">
        <w:rPr>
          <w:lang w:val="fr-FR"/>
        </w:rPr>
        <w:t xml:space="preserve"> en vue de l’élaboration de projets/actions de coopération technique et scientifique sur la promotion et la protection des enfants et des jeunes, la Garde nationale républicaine a élaboré </w:t>
      </w:r>
      <w:r w:rsidR="00FC4B27" w:rsidRPr="00494098">
        <w:rPr>
          <w:lang w:val="fr-FR"/>
        </w:rPr>
        <w:t xml:space="preserve">et utilise actuellement </w:t>
      </w:r>
      <w:r w:rsidRPr="00494098">
        <w:rPr>
          <w:lang w:val="fr-FR"/>
        </w:rPr>
        <w:t xml:space="preserve">un cadre de </w:t>
      </w:r>
      <w:r w:rsidR="00FC4B27" w:rsidRPr="00494098">
        <w:rPr>
          <w:lang w:val="fr-FR"/>
        </w:rPr>
        <w:t xml:space="preserve">formation intitulé </w:t>
      </w:r>
      <w:r w:rsidR="00B6558C" w:rsidRPr="00494098">
        <w:rPr>
          <w:lang w:val="fr-FR"/>
        </w:rPr>
        <w:t>« Une vision commune de l’enfant »</w:t>
      </w:r>
      <w:r w:rsidRPr="00494098">
        <w:rPr>
          <w:lang w:val="fr-FR"/>
        </w:rPr>
        <w:t xml:space="preserve">. </w:t>
      </w:r>
    </w:p>
    <w:p w14:paraId="661E6C17" w14:textId="77777777" w:rsidR="00077B75" w:rsidRPr="00494098" w:rsidRDefault="00077B75" w:rsidP="00480570">
      <w:pPr>
        <w:pStyle w:val="SingleTxtG"/>
        <w:rPr>
          <w:lang w:val="fr-FR"/>
        </w:rPr>
      </w:pPr>
      <w:r w:rsidRPr="00494098">
        <w:rPr>
          <w:lang w:val="fr-FR"/>
        </w:rPr>
        <w:t>368.</w:t>
      </w:r>
      <w:r w:rsidRPr="00494098">
        <w:rPr>
          <w:lang w:val="fr-FR"/>
        </w:rPr>
        <w:tab/>
        <w:t>Le Centre d’études judiciaires (</w:t>
      </w:r>
      <w:r w:rsidRPr="00494098">
        <w:rPr>
          <w:i/>
          <w:lang w:val="fr-FR"/>
        </w:rPr>
        <w:t>Centro de Estudos Judiciários</w:t>
      </w:r>
      <w:r w:rsidRPr="00494098">
        <w:rPr>
          <w:lang w:val="fr-FR"/>
        </w:rPr>
        <w:t>, CEJ) a organisé des cours de formation sur les droits de l’enfant, y compris le droit international</w:t>
      </w:r>
      <w:r w:rsidR="007C5E84" w:rsidRPr="00494098">
        <w:rPr>
          <w:lang w:val="fr-FR"/>
        </w:rPr>
        <w:t>,</w:t>
      </w:r>
      <w:r w:rsidRPr="00494098">
        <w:rPr>
          <w:lang w:val="fr-FR"/>
        </w:rPr>
        <w:t xml:space="preserve"> </w:t>
      </w:r>
      <w:r w:rsidR="00280518" w:rsidRPr="00494098">
        <w:rPr>
          <w:lang w:val="fr-FR"/>
        </w:rPr>
        <w:t xml:space="preserve">lors de </w:t>
      </w:r>
      <w:r w:rsidRPr="00494098">
        <w:rPr>
          <w:lang w:val="fr-FR"/>
        </w:rPr>
        <w:t xml:space="preserve">ses formations initiales et continues entre 2013 et 2017. Ces cours sont destinés aux juges et aux procureurs. Outre les droits de l’enfant, la formation du Centre d’études judiciaires se concentre aussi sur la violence dans la famille et la prise en compte de la problématique femmes-hommes, la victimologie et le système de promotion et de protection </w:t>
      </w:r>
      <w:r w:rsidR="00280518" w:rsidRPr="00494098">
        <w:rPr>
          <w:lang w:val="fr-FR"/>
        </w:rPr>
        <w:t>au</w:t>
      </w:r>
      <w:r w:rsidRPr="00494098">
        <w:rPr>
          <w:lang w:val="fr-FR"/>
        </w:rPr>
        <w:t xml:space="preserve"> Portugal.</w:t>
      </w:r>
    </w:p>
    <w:p w14:paraId="38259921" w14:textId="77777777" w:rsidR="00077B75" w:rsidRPr="00494098" w:rsidRDefault="00077B75" w:rsidP="00480570">
      <w:pPr>
        <w:pStyle w:val="SingleTxtG"/>
        <w:rPr>
          <w:lang w:val="fr-FR"/>
        </w:rPr>
      </w:pPr>
      <w:r w:rsidRPr="00494098">
        <w:rPr>
          <w:lang w:val="fr-FR"/>
        </w:rPr>
        <w:t>369.</w:t>
      </w:r>
      <w:r w:rsidRPr="00494098">
        <w:rPr>
          <w:lang w:val="fr-FR"/>
        </w:rPr>
        <w:tab/>
        <w:t>Les membres de la Police de sécurité publique, de la Garde nationale républicaine et de la police judiciaire suivent une formation approfondie sur les droits des victimes, leur identification, leur protection et l’assistance à leur octroyer aux différentes étapes du cheminement de la justice pénale.</w:t>
      </w:r>
    </w:p>
    <w:p w14:paraId="15705A9C" w14:textId="77777777" w:rsidR="00077B75" w:rsidRPr="00494098" w:rsidRDefault="00077B75" w:rsidP="009F5935">
      <w:pPr>
        <w:pStyle w:val="H4G"/>
        <w:rPr>
          <w:lang w:val="fr-FR"/>
        </w:rPr>
      </w:pPr>
      <w:r w:rsidRPr="00494098">
        <w:rPr>
          <w:lang w:val="fr-FR"/>
        </w:rPr>
        <w:tab/>
      </w:r>
      <w:r w:rsidRPr="00494098">
        <w:rPr>
          <w:lang w:val="fr-FR"/>
        </w:rPr>
        <w:tab/>
      </w:r>
      <w:r w:rsidRPr="00494098">
        <w:rPr>
          <w:iCs/>
          <w:lang w:val="fr-FR"/>
        </w:rPr>
        <w:t>Indemnisation</w:t>
      </w:r>
      <w:bookmarkStart w:id="333" w:name="_Toc530057579"/>
      <w:bookmarkEnd w:id="333"/>
    </w:p>
    <w:p w14:paraId="1250E16D" w14:textId="77777777" w:rsidR="00077B75" w:rsidRPr="00494098" w:rsidRDefault="00077B75" w:rsidP="00480570">
      <w:pPr>
        <w:pStyle w:val="SingleTxtG"/>
        <w:rPr>
          <w:lang w:val="fr-FR"/>
        </w:rPr>
      </w:pPr>
      <w:r w:rsidRPr="00494098">
        <w:rPr>
          <w:lang w:val="fr-FR"/>
        </w:rPr>
        <w:t>370.</w:t>
      </w:r>
      <w:r w:rsidRPr="00494098">
        <w:rPr>
          <w:lang w:val="fr-FR"/>
        </w:rPr>
        <w:tab/>
        <w:t xml:space="preserve">La loi </w:t>
      </w:r>
      <w:r w:rsidR="006717A5" w:rsidRPr="00494098">
        <w:rPr>
          <w:lang w:val="fr-FR"/>
        </w:rPr>
        <w:t>n° </w:t>
      </w:r>
      <w:r w:rsidR="00480991" w:rsidRPr="00494098">
        <w:rPr>
          <w:lang w:val="fr-FR"/>
        </w:rPr>
        <w:t>1</w:t>
      </w:r>
      <w:r w:rsidRPr="00494098">
        <w:rPr>
          <w:lang w:val="fr-FR"/>
        </w:rPr>
        <w:t>30/2015 du 4</w:t>
      </w:r>
      <w:r w:rsidR="00480991" w:rsidRPr="00494098">
        <w:rPr>
          <w:lang w:val="fr-FR"/>
        </w:rPr>
        <w:t> septembre</w:t>
      </w:r>
      <w:r w:rsidRPr="00494098">
        <w:rPr>
          <w:lang w:val="fr-FR"/>
        </w:rPr>
        <w:t xml:space="preserve"> 2015, sur le statut de la victime</w:t>
      </w:r>
      <w:r w:rsidR="00280518" w:rsidRPr="00494098">
        <w:rPr>
          <w:lang w:val="fr-FR"/>
        </w:rPr>
        <w:t>,</w:t>
      </w:r>
      <w:r w:rsidRPr="00494098">
        <w:rPr>
          <w:lang w:val="fr-FR"/>
        </w:rPr>
        <w:t xml:space="preserve"> a renforcé le droit des victimes de demander réparation (</w:t>
      </w:r>
      <w:r w:rsidR="0082263D" w:rsidRPr="00494098">
        <w:rPr>
          <w:lang w:val="fr-FR"/>
        </w:rPr>
        <w:t>art</w:t>
      </w:r>
      <w:r w:rsidR="00280518" w:rsidRPr="00494098">
        <w:rPr>
          <w:lang w:val="fr-FR"/>
        </w:rPr>
        <w:t>.</w:t>
      </w:r>
      <w:r w:rsidR="0082263D" w:rsidRPr="00494098">
        <w:rPr>
          <w:lang w:val="fr-FR"/>
        </w:rPr>
        <w:t> 1</w:t>
      </w:r>
      <w:r w:rsidRPr="00494098">
        <w:rPr>
          <w:lang w:val="fr-FR"/>
        </w:rPr>
        <w:t>6)</w:t>
      </w:r>
      <w:r w:rsidR="009709F7" w:rsidRPr="00494098">
        <w:rPr>
          <w:lang w:val="fr-FR"/>
        </w:rPr>
        <w:t>.</w:t>
      </w:r>
    </w:p>
    <w:p w14:paraId="43E4C267" w14:textId="20A2FAB8" w:rsidR="00077B75" w:rsidRPr="00494098" w:rsidRDefault="00077B75" w:rsidP="009F5935">
      <w:pPr>
        <w:pStyle w:val="H23G"/>
        <w:rPr>
          <w:lang w:val="fr-FR"/>
        </w:rPr>
      </w:pPr>
      <w:r w:rsidRPr="00494098">
        <w:rPr>
          <w:lang w:val="fr-FR"/>
        </w:rPr>
        <w:tab/>
      </w:r>
      <w:r w:rsidRPr="00494098">
        <w:rPr>
          <w:lang w:val="fr-FR"/>
        </w:rPr>
        <w:tab/>
        <w:t>Réadaptation et réinsertion des victimes (par</w:t>
      </w:r>
      <w:r w:rsidR="00A36D52" w:rsidRPr="00494098">
        <w:rPr>
          <w:lang w:val="fr-FR"/>
        </w:rPr>
        <w:t>. </w:t>
      </w:r>
      <w:r w:rsidRPr="00494098">
        <w:rPr>
          <w:lang w:val="fr-FR"/>
        </w:rPr>
        <w:t xml:space="preserve">36 des </w:t>
      </w:r>
      <w:r w:rsidR="00B23936">
        <w:rPr>
          <w:lang w:val="fr-FR"/>
        </w:rPr>
        <w:t>o</w:t>
      </w:r>
      <w:r w:rsidR="00916D99" w:rsidRPr="00494098">
        <w:rPr>
          <w:lang w:val="fr-FR"/>
        </w:rPr>
        <w:t>bservations finales</w:t>
      </w:r>
      <w:r w:rsidRPr="00494098">
        <w:rPr>
          <w:lang w:val="fr-FR"/>
        </w:rPr>
        <w:t>)</w:t>
      </w:r>
      <w:bookmarkStart w:id="334" w:name="_Toc530057349"/>
      <w:bookmarkStart w:id="335" w:name="_Toc530057580"/>
      <w:bookmarkStart w:id="336" w:name="_Toc530057663"/>
      <w:bookmarkStart w:id="337" w:name="_Toc530068044"/>
      <w:bookmarkEnd w:id="334"/>
      <w:bookmarkEnd w:id="335"/>
      <w:bookmarkEnd w:id="336"/>
      <w:bookmarkEnd w:id="337"/>
    </w:p>
    <w:p w14:paraId="3A02BEE9" w14:textId="2779389E" w:rsidR="00077B75" w:rsidRPr="00494098" w:rsidRDefault="00077B75" w:rsidP="00480570">
      <w:pPr>
        <w:pStyle w:val="SingleTxtG"/>
        <w:rPr>
          <w:lang w:val="fr-FR"/>
        </w:rPr>
      </w:pPr>
      <w:r w:rsidRPr="00494098">
        <w:rPr>
          <w:lang w:val="fr-FR"/>
        </w:rPr>
        <w:t>371.</w:t>
      </w:r>
      <w:r w:rsidRPr="00494098">
        <w:rPr>
          <w:lang w:val="fr-FR"/>
        </w:rPr>
        <w:tab/>
        <w:t>Comme indiqué ci-dessus (réponse au paragraphe</w:t>
      </w:r>
      <w:r w:rsidR="00A36D52" w:rsidRPr="00494098">
        <w:rPr>
          <w:lang w:val="fr-FR"/>
        </w:rPr>
        <w:t xml:space="preserve"> 34 des </w:t>
      </w:r>
      <w:r w:rsidR="00C22940">
        <w:rPr>
          <w:lang w:val="fr-FR"/>
        </w:rPr>
        <w:t>o</w:t>
      </w:r>
      <w:r w:rsidR="00916D99" w:rsidRPr="00494098">
        <w:rPr>
          <w:lang w:val="fr-FR"/>
        </w:rPr>
        <w:t>bservations finales - CRC/C/OPSC/PRT/CO/1</w:t>
      </w:r>
      <w:r w:rsidRPr="00494098">
        <w:rPr>
          <w:lang w:val="fr-FR"/>
        </w:rPr>
        <w:t xml:space="preserve">), le Portugal prépare actuellement la mise en </w:t>
      </w:r>
      <w:r w:rsidR="00A36D52" w:rsidRPr="00494098">
        <w:rPr>
          <w:lang w:val="fr-FR"/>
        </w:rPr>
        <w:t xml:space="preserve">place </w:t>
      </w:r>
      <w:r w:rsidRPr="00494098">
        <w:rPr>
          <w:lang w:val="fr-FR"/>
        </w:rPr>
        <w:t xml:space="preserve">d’un centre d’accueil pour les enfants victimes de la traite. Dans ce centre comme dans les trois autres, les enfants victimes de la traite auront droit à des moyens de subsistance, à l'accès aux traitements médicaux d’urgence appropriés, à une assistance psychologique, à la protection, à des services de traduction et d’interprétation, ainsi qu'à des services juridiques adaptés </w:t>
      </w:r>
      <w:r w:rsidR="00410FF0" w:rsidRPr="00494098">
        <w:rPr>
          <w:lang w:val="fr-FR"/>
        </w:rPr>
        <w:t xml:space="preserve">à leurs </w:t>
      </w:r>
      <w:r w:rsidRPr="00494098">
        <w:rPr>
          <w:lang w:val="fr-FR"/>
        </w:rPr>
        <w:t xml:space="preserve">besoins. Tout le soutien et tous les services seront adaptés aux besoins des enfants. </w:t>
      </w:r>
    </w:p>
    <w:p w14:paraId="1662D427" w14:textId="77777777" w:rsidR="00077B75" w:rsidRPr="00494098" w:rsidRDefault="00077B75" w:rsidP="009F5935">
      <w:pPr>
        <w:pStyle w:val="H1G"/>
        <w:rPr>
          <w:lang w:val="fr-FR"/>
        </w:rPr>
      </w:pPr>
      <w:r w:rsidRPr="00494098">
        <w:rPr>
          <w:lang w:val="fr-FR"/>
        </w:rPr>
        <w:tab/>
      </w:r>
      <w:r w:rsidRPr="00494098">
        <w:rPr>
          <w:lang w:val="fr-FR"/>
        </w:rPr>
        <w:tab/>
        <w:t>Assistance et coopération internationales (</w:t>
      </w:r>
      <w:r w:rsidR="008F107E" w:rsidRPr="00494098">
        <w:rPr>
          <w:lang w:val="fr-FR"/>
        </w:rPr>
        <w:t>art. 10</w:t>
      </w:r>
      <w:r w:rsidRPr="00494098">
        <w:rPr>
          <w:lang w:val="fr-FR"/>
        </w:rPr>
        <w:t>)</w:t>
      </w:r>
      <w:bookmarkStart w:id="338" w:name="_Toc530057350"/>
      <w:bookmarkStart w:id="339" w:name="_Toc530057581"/>
      <w:bookmarkStart w:id="340" w:name="_Toc530057664"/>
      <w:bookmarkStart w:id="341" w:name="_Toc530068045"/>
      <w:bookmarkEnd w:id="338"/>
      <w:bookmarkEnd w:id="339"/>
      <w:bookmarkEnd w:id="340"/>
      <w:bookmarkEnd w:id="341"/>
    </w:p>
    <w:p w14:paraId="68719809" w14:textId="22977622" w:rsidR="00077B75" w:rsidRPr="00494098" w:rsidRDefault="00077B75" w:rsidP="009F5935">
      <w:pPr>
        <w:pStyle w:val="H23G"/>
        <w:rPr>
          <w:lang w:val="fr-FR"/>
        </w:rPr>
      </w:pPr>
      <w:r w:rsidRPr="00494098">
        <w:rPr>
          <w:lang w:val="fr-FR"/>
        </w:rPr>
        <w:tab/>
      </w:r>
      <w:r w:rsidRPr="00494098">
        <w:rPr>
          <w:lang w:val="fr-FR"/>
        </w:rPr>
        <w:tab/>
        <w:t>Accords multilatéraux, régionaux et bilatéraux (par</w:t>
      </w:r>
      <w:r w:rsidR="00A81397" w:rsidRPr="00494098">
        <w:rPr>
          <w:lang w:val="fr-FR"/>
        </w:rPr>
        <w:t>. </w:t>
      </w:r>
      <w:r w:rsidRPr="00494098">
        <w:rPr>
          <w:lang w:val="fr-FR"/>
        </w:rPr>
        <w:t xml:space="preserve">37 des </w:t>
      </w:r>
      <w:r w:rsidR="003E327A">
        <w:rPr>
          <w:lang w:val="fr-FR"/>
        </w:rPr>
        <w:t>o</w:t>
      </w:r>
      <w:r w:rsidR="00916D99" w:rsidRPr="00494098">
        <w:rPr>
          <w:lang w:val="fr-FR"/>
        </w:rPr>
        <w:t>bservations finales</w:t>
      </w:r>
      <w:r w:rsidRPr="00494098">
        <w:rPr>
          <w:lang w:val="fr-FR"/>
        </w:rPr>
        <w:t>)</w:t>
      </w:r>
      <w:bookmarkStart w:id="342" w:name="_Toc530057351"/>
      <w:bookmarkStart w:id="343" w:name="_Toc530057582"/>
      <w:bookmarkStart w:id="344" w:name="_Toc530057665"/>
      <w:bookmarkStart w:id="345" w:name="_Toc530068046"/>
      <w:bookmarkEnd w:id="342"/>
      <w:bookmarkEnd w:id="343"/>
      <w:bookmarkEnd w:id="344"/>
      <w:bookmarkEnd w:id="345"/>
    </w:p>
    <w:p w14:paraId="68E27020" w14:textId="143A5599" w:rsidR="00077B75" w:rsidRPr="00494098" w:rsidRDefault="00077B75" w:rsidP="00480570">
      <w:pPr>
        <w:pStyle w:val="SingleTxtG"/>
        <w:rPr>
          <w:lang w:val="fr-FR"/>
        </w:rPr>
      </w:pPr>
      <w:r w:rsidRPr="00494098">
        <w:rPr>
          <w:lang w:val="fr-FR"/>
        </w:rPr>
        <w:t>372.</w:t>
      </w:r>
      <w:r w:rsidRPr="00494098">
        <w:rPr>
          <w:lang w:val="fr-FR"/>
        </w:rPr>
        <w:tab/>
        <w:t xml:space="preserve">La coopération et </w:t>
      </w:r>
      <w:r w:rsidR="006D53C6" w:rsidRPr="00494098">
        <w:rPr>
          <w:lang w:val="fr-FR"/>
        </w:rPr>
        <w:t xml:space="preserve">la </w:t>
      </w:r>
      <w:r w:rsidRPr="00494098">
        <w:rPr>
          <w:lang w:val="fr-FR"/>
        </w:rPr>
        <w:t>coordination internationales en vue d’améliorer la détection</w:t>
      </w:r>
      <w:r w:rsidR="00C154B0">
        <w:rPr>
          <w:lang w:val="fr-FR"/>
        </w:rPr>
        <w:t xml:space="preserve"> des cas de ventes d’enfants, </w:t>
      </w:r>
      <w:r w:rsidRPr="00494098">
        <w:rPr>
          <w:lang w:val="fr-FR"/>
        </w:rPr>
        <w:t xml:space="preserve"> les enquêtes </w:t>
      </w:r>
      <w:r w:rsidR="00C154B0">
        <w:rPr>
          <w:lang w:val="fr-FR"/>
        </w:rPr>
        <w:t xml:space="preserve">sur ces infractions </w:t>
      </w:r>
      <w:r w:rsidRPr="00494098">
        <w:rPr>
          <w:lang w:val="fr-FR"/>
        </w:rPr>
        <w:t xml:space="preserve">et </w:t>
      </w:r>
      <w:r w:rsidR="007265E8">
        <w:rPr>
          <w:lang w:val="fr-FR"/>
        </w:rPr>
        <w:t>l’application de sanctions aux coupables</w:t>
      </w:r>
      <w:r w:rsidRPr="00494098">
        <w:rPr>
          <w:lang w:val="fr-FR"/>
        </w:rPr>
        <w:t xml:space="preserve"> s'organisent dans le cadre de</w:t>
      </w:r>
      <w:r w:rsidR="006D53C6" w:rsidRPr="00494098">
        <w:rPr>
          <w:lang w:val="fr-FR"/>
        </w:rPr>
        <w:t>s</w:t>
      </w:r>
      <w:r w:rsidRPr="00494098">
        <w:rPr>
          <w:lang w:val="fr-FR"/>
        </w:rPr>
        <w:t xml:space="preserve"> conventions internationales et régionales pertinentes, </w:t>
      </w:r>
      <w:r w:rsidR="006D53C6" w:rsidRPr="00494098">
        <w:rPr>
          <w:lang w:val="fr-FR"/>
        </w:rPr>
        <w:t xml:space="preserve">notamment </w:t>
      </w:r>
      <w:r w:rsidRPr="00494098">
        <w:rPr>
          <w:lang w:val="fr-FR"/>
        </w:rPr>
        <w:t>la Convention du Conseil de l'Europe sur la protection des enfants contre l'exploitation et les abus sexuels, les mécanismes de coopération judiciaire et policière</w:t>
      </w:r>
      <w:r w:rsidR="006D53C6" w:rsidRPr="00494098">
        <w:rPr>
          <w:lang w:val="fr-FR"/>
        </w:rPr>
        <w:t>,</w:t>
      </w:r>
      <w:r w:rsidRPr="00494098">
        <w:rPr>
          <w:lang w:val="fr-FR"/>
        </w:rPr>
        <w:t xml:space="preserve"> et d’autres initiatives telles que l'intégration par le Portugal de</w:t>
      </w:r>
      <w:r w:rsidR="003872FA" w:rsidRPr="00494098">
        <w:rPr>
          <w:lang w:val="fr-FR"/>
        </w:rPr>
        <w:t xml:space="preserve"> </w:t>
      </w:r>
      <w:r w:rsidR="00C85995" w:rsidRPr="00494098">
        <w:rPr>
          <w:lang w:val="fr-FR"/>
        </w:rPr>
        <w:t xml:space="preserve">l’Alliance mondiale </w:t>
      </w:r>
      <w:r w:rsidR="003872FA" w:rsidRPr="00494098">
        <w:rPr>
          <w:i/>
          <w:lang w:val="fr-FR"/>
        </w:rPr>
        <w:t>WePROTECT</w:t>
      </w:r>
      <w:r w:rsidR="003872FA" w:rsidRPr="00494098">
        <w:rPr>
          <w:lang w:val="fr-FR"/>
        </w:rPr>
        <w:t>, consacrée à l’action nationale et mondiale</w:t>
      </w:r>
      <w:r w:rsidR="006402D5" w:rsidRPr="00494098">
        <w:rPr>
          <w:lang w:val="fr-FR"/>
        </w:rPr>
        <w:t>,</w:t>
      </w:r>
      <w:r w:rsidR="003872FA" w:rsidRPr="00494098">
        <w:rPr>
          <w:lang w:val="fr-FR"/>
        </w:rPr>
        <w:t xml:space="preserve"> </w:t>
      </w:r>
      <w:r w:rsidR="001752BC" w:rsidRPr="00494098">
        <w:rPr>
          <w:lang w:val="fr-FR"/>
        </w:rPr>
        <w:t xml:space="preserve">visant à </w:t>
      </w:r>
      <w:r w:rsidR="003872FA" w:rsidRPr="00494098">
        <w:rPr>
          <w:lang w:val="fr-FR"/>
        </w:rPr>
        <w:t>mettre fin à l’exploitation sexuelle en ligne</w:t>
      </w:r>
      <w:r w:rsidR="006402D5" w:rsidRPr="00494098">
        <w:rPr>
          <w:lang w:val="fr-FR"/>
        </w:rPr>
        <w:t xml:space="preserve"> des enfants</w:t>
      </w:r>
      <w:r w:rsidRPr="00494098">
        <w:rPr>
          <w:rStyle w:val="FootnoteReference"/>
          <w:lang w:val="fr-FR"/>
        </w:rPr>
        <w:footnoteReference w:id="8"/>
      </w:r>
      <w:r w:rsidRPr="00494098">
        <w:rPr>
          <w:lang w:val="fr-FR"/>
        </w:rPr>
        <w:t>.</w:t>
      </w:r>
    </w:p>
    <w:p w14:paraId="51F47A2E" w14:textId="77777777" w:rsidR="00BA7826" w:rsidRPr="00494098" w:rsidRDefault="009F5935" w:rsidP="006318FE">
      <w:pPr>
        <w:jc w:val="center"/>
        <w:rPr>
          <w:u w:val="single"/>
          <w:lang w:val="fr-FR"/>
        </w:rPr>
      </w:pPr>
      <w:r w:rsidRPr="00494098">
        <w:rPr>
          <w:u w:val="single"/>
          <w:lang w:val="fr-FR"/>
        </w:rPr>
        <w:tab/>
      </w:r>
      <w:r w:rsidRPr="00494098">
        <w:rPr>
          <w:u w:val="single"/>
          <w:lang w:val="fr-FR"/>
        </w:rPr>
        <w:tab/>
      </w:r>
      <w:r w:rsidRPr="00494098">
        <w:rPr>
          <w:u w:val="single"/>
          <w:lang w:val="fr-FR"/>
        </w:rPr>
        <w:tab/>
      </w:r>
    </w:p>
    <w:sectPr w:rsidR="00BA7826" w:rsidRPr="00494098" w:rsidSect="00ED625E">
      <w:footerReference w:type="first" r:id="rId22"/>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F5547" w14:textId="77777777" w:rsidR="00A8359C" w:rsidRPr="00C60504" w:rsidRDefault="00A8359C" w:rsidP="00C60504">
      <w:pPr>
        <w:pStyle w:val="Footer"/>
      </w:pPr>
    </w:p>
  </w:endnote>
  <w:endnote w:type="continuationSeparator" w:id="0">
    <w:p w14:paraId="0812003A" w14:textId="77777777" w:rsidR="00A8359C" w:rsidRPr="00C60504" w:rsidRDefault="00A8359C"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93FC1" w14:textId="6FD03F22" w:rsidR="00906EDA" w:rsidRDefault="00906EDA" w:rsidP="006C66A4">
    <w:pPr>
      <w:pStyle w:val="Footer"/>
      <w:tabs>
        <w:tab w:val="right" w:pos="9638"/>
      </w:tabs>
    </w:pPr>
    <w:r w:rsidRPr="00077B75">
      <w:rPr>
        <w:b/>
        <w:bCs/>
        <w:sz w:val="18"/>
      </w:rPr>
      <w:fldChar w:fldCharType="begin"/>
    </w:r>
    <w:r w:rsidRPr="00077B75">
      <w:rPr>
        <w:b/>
        <w:bCs/>
        <w:sz w:val="18"/>
      </w:rPr>
      <w:instrText xml:space="preserve"> PAGE  \* MERGEFORMAT </w:instrText>
    </w:r>
    <w:r w:rsidRPr="00077B75">
      <w:rPr>
        <w:b/>
        <w:bCs/>
        <w:sz w:val="18"/>
      </w:rPr>
      <w:fldChar w:fldCharType="separate"/>
    </w:r>
    <w:r w:rsidR="00F84440">
      <w:rPr>
        <w:b/>
        <w:bCs/>
        <w:noProof/>
        <w:sz w:val="18"/>
      </w:rPr>
      <w:t>38</w:t>
    </w:r>
    <w:r w:rsidRPr="00077B75">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336D7" w14:textId="77777777" w:rsidR="00906EDA" w:rsidRDefault="00906EDA" w:rsidP="00077B75">
    <w:pPr>
      <w:pStyle w:val="Footer"/>
      <w:tabs>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0A167" w14:textId="77777777" w:rsidR="00906EDA" w:rsidRDefault="00906EDA" w:rsidP="00112210">
    <w:pPr>
      <w:pStyle w:val="Footer"/>
    </w:pPr>
  </w:p>
  <w:p w14:paraId="7F3CB0C0" w14:textId="77777777" w:rsidR="00906EDA" w:rsidRDefault="00906EDA" w:rsidP="00112210">
    <w:pPr>
      <w:pStyle w:val="Footer"/>
      <w:ind w:right="1134"/>
      <w:rPr>
        <w:sz w:val="20"/>
      </w:rPr>
    </w:pPr>
    <w:r>
      <w:rPr>
        <w:noProof/>
        <w:lang w:eastAsia="en-GB"/>
      </w:rPr>
      <w:drawing>
        <wp:anchor distT="0" distB="0" distL="114300" distR="114300" simplePos="0" relativeHeight="251661312" behindDoc="1" locked="0" layoutInCell="1" allowOverlap="1" wp14:anchorId="1C7F6FBC" wp14:editId="5FEE34CB">
          <wp:simplePos x="0" y="0"/>
          <wp:positionH relativeFrom="column">
            <wp:posOffset>4353560</wp:posOffset>
          </wp:positionH>
          <wp:positionV relativeFrom="paragraph">
            <wp:posOffset>1270</wp:posOffset>
          </wp:positionV>
          <wp:extent cx="1078230" cy="224155"/>
          <wp:effectExtent l="19050" t="0" r="7620" b="0"/>
          <wp:wrapTight wrapText="bothSides">
            <wp:wrapPolygon edited="0">
              <wp:start x="-382" y="0"/>
              <wp:lineTo x="-382" y="20193"/>
              <wp:lineTo x="21753" y="20193"/>
              <wp:lineTo x="21753" y="0"/>
              <wp:lineTo x="-382" y="0"/>
            </wp:wrapPolygon>
          </wp:wrapTight>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078230" cy="224155"/>
                  </a:xfrm>
                  <a:prstGeom prst="rect">
                    <a:avLst/>
                  </a:prstGeom>
                  <a:noFill/>
                  <a:ln w="9525">
                    <a:noFill/>
                    <a:miter lim="800000"/>
                    <a:headEnd/>
                    <a:tailEnd/>
                  </a:ln>
                </pic:spPr>
              </pic:pic>
            </a:graphicData>
          </a:graphic>
        </wp:anchor>
      </w:drawing>
    </w:r>
    <w:r>
      <w:rPr>
        <w:lang w:val="fr-FR"/>
      </w:rPr>
      <w:t>GE. 18-19562 (F)</w:t>
    </w:r>
  </w:p>
  <w:p w14:paraId="5655A8C4" w14:textId="77777777" w:rsidR="00906EDA" w:rsidRPr="00112210" w:rsidRDefault="00906EDA" w:rsidP="00112210">
    <w:pPr>
      <w:pStyle w:val="Footer"/>
      <w:ind w:right="1134"/>
      <w:rPr>
        <w:rFonts w:ascii="C39T30Lfz" w:hAnsi="C39T30Lfz"/>
        <w:sz w:val="56"/>
      </w:rPr>
    </w:pPr>
    <w:r>
      <w:rPr>
        <w:lang w:val="fr-FR"/>
      </w:rPr>
      <w:t xml:space="preserve"> </w:t>
    </w:r>
    <w:r>
      <w:rPr>
        <w:lang w:val="fr-FR"/>
      </w:rPr>
      <w:t xml:space="preserve"> </w:t>
    </w:r>
    <w:r>
      <w:rPr>
        <w:lang w:val="fr-FR"/>
      </w:rPr>
      <w:t xml:space="preserve"> </w:t>
    </w:r>
    <w:r>
      <w:rPr>
        <w:lang w:val="fr-FR"/>
      </w:rPr>
      <w:t xml:space="preserve"> </w:t>
    </w:r>
    <w:r>
      <w:rPr>
        <w:lang w:val="fr-FR"/>
      </w:rPr>
      <w:t xml:space="preserve"> </w:t>
    </w:r>
    <w:r>
      <w:rPr>
        <w:lang w:val="fr-FR"/>
      </w:rPr>
      <w:t xml:space="preserve"> </w:t>
    </w:r>
    <w:r>
      <w:rPr>
        <w:lang w:val="fr-FR"/>
      </w:rPr>
      <w:t xml:space="preserve"> </w:t>
    </w:r>
    <w:r>
      <w:rPr>
        <w:lang w:val="fr-FR"/>
      </w:rPr>
      <w:t xml:space="preserve"> </w:t>
    </w:r>
    <w:r>
      <w:rPr>
        <w:lang w:val="fr-FR"/>
      </w:rPr>
      <w:t></w:t>
    </w:r>
    <w:r>
      <w:rPr>
        <w:rFonts w:ascii="C39T30Lfz" w:hAnsi="C39T30Lfz"/>
        <w:noProof/>
        <w:sz w:val="56"/>
        <w:lang w:eastAsia="en-GB"/>
      </w:rPr>
      <w:drawing>
        <wp:anchor distT="0" distB="0" distL="114300" distR="114300" simplePos="0" relativeHeight="251660288" behindDoc="0" locked="0" layoutInCell="1" allowOverlap="1" wp14:anchorId="506C441C" wp14:editId="647DC36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RC/C/PRT/5-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PRT/5-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BA092" w14:textId="77777777" w:rsidR="00906EDA" w:rsidRDefault="00906EDA" w:rsidP="001122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D5F125" w14:textId="77777777" w:rsidR="00A8359C" w:rsidRPr="00C60504" w:rsidRDefault="00A8359C" w:rsidP="00C60504">
      <w:pPr>
        <w:tabs>
          <w:tab w:val="right" w:pos="2155"/>
        </w:tabs>
        <w:spacing w:after="80"/>
        <w:ind w:left="680"/>
      </w:pPr>
      <w:r>
        <w:rPr>
          <w:u w:val="single"/>
        </w:rPr>
        <w:tab/>
      </w:r>
    </w:p>
  </w:footnote>
  <w:footnote w:type="continuationSeparator" w:id="0">
    <w:p w14:paraId="1A779CA6" w14:textId="77777777" w:rsidR="00A8359C" w:rsidRPr="00C60504" w:rsidRDefault="00A8359C" w:rsidP="00C60504">
      <w:pPr>
        <w:tabs>
          <w:tab w:val="right" w:pos="2155"/>
        </w:tabs>
        <w:spacing w:after="80"/>
        <w:ind w:left="680"/>
      </w:pPr>
      <w:r>
        <w:rPr>
          <w:u w:val="single"/>
        </w:rPr>
        <w:tab/>
      </w:r>
    </w:p>
  </w:footnote>
  <w:footnote w:id="1">
    <w:p w14:paraId="47BD5EF1" w14:textId="77777777" w:rsidR="00906EDA" w:rsidRPr="00C81F1A" w:rsidRDefault="00906EDA" w:rsidP="00077B75">
      <w:pPr>
        <w:pStyle w:val="FootnoteText"/>
        <w:rPr>
          <w:lang w:val="fr-CH"/>
        </w:rPr>
      </w:pPr>
      <w:r>
        <w:rPr>
          <w:lang w:val="fr-FR"/>
        </w:rPr>
        <w:tab/>
        <w:t>*</w:t>
      </w:r>
      <w:r>
        <w:rPr>
          <w:lang w:val="fr-FR"/>
        </w:rPr>
        <w:tab/>
        <w:t>La version originale du présent document n’a pas été revue par les services d’édition.</w:t>
      </w:r>
    </w:p>
  </w:footnote>
  <w:footnote w:id="2">
    <w:p w14:paraId="46F0234F" w14:textId="77777777" w:rsidR="00906EDA" w:rsidRPr="00C81F1A" w:rsidRDefault="00906EDA" w:rsidP="00895047">
      <w:pPr>
        <w:pStyle w:val="FootnoteText"/>
        <w:rPr>
          <w:lang w:val="fr-CH"/>
        </w:rPr>
      </w:pPr>
      <w:r>
        <w:rPr>
          <w:lang w:val="fr-FR"/>
        </w:rPr>
        <w:tab/>
        <w:t>**</w:t>
      </w:r>
      <w:r>
        <w:rPr>
          <w:lang w:val="fr-FR"/>
        </w:rPr>
        <w:tab/>
        <w:t>Les annexes au présent document sont conservées au Secrétariat, où elles peuvent être consultées. Elles peuvent également être consultées sur le site Web du Comité.</w:t>
      </w:r>
    </w:p>
  </w:footnote>
  <w:footnote w:id="3">
    <w:p w14:paraId="05876CCA" w14:textId="77777777" w:rsidR="00906EDA" w:rsidRPr="00C81F1A" w:rsidRDefault="00906EDA" w:rsidP="00077B75">
      <w:pPr>
        <w:pStyle w:val="FootnoteText"/>
        <w:widowControl w:val="0"/>
        <w:tabs>
          <w:tab w:val="clear" w:pos="1021"/>
          <w:tab w:val="right" w:pos="1020"/>
        </w:tabs>
        <w:rPr>
          <w:lang w:val="fr-CH"/>
        </w:rPr>
      </w:pPr>
      <w:r>
        <w:rPr>
          <w:lang w:val="fr-FR"/>
        </w:rPr>
        <w:tab/>
      </w:r>
      <w:r w:rsidRPr="009A40FC">
        <w:rPr>
          <w:rStyle w:val="FootnoteReference"/>
          <w:lang w:val="fr-FR"/>
        </w:rPr>
        <w:footnoteRef/>
      </w:r>
      <w:r>
        <w:rPr>
          <w:lang w:val="fr-FR"/>
        </w:rPr>
        <w:tab/>
        <w:t>Voir: http://www.pgdlisboa.pt/leis/lei_mostra_articulado.php?nid=2426&amp;tabela=leis&amp;ficha=1&amp;pagina=1&amp;so_miolo=.</w:t>
      </w:r>
    </w:p>
  </w:footnote>
  <w:footnote w:id="4">
    <w:p w14:paraId="376521C1" w14:textId="77777777" w:rsidR="00906EDA" w:rsidRPr="00C81F1A" w:rsidRDefault="00906EDA" w:rsidP="00077B75">
      <w:pPr>
        <w:pStyle w:val="FootnoteText"/>
        <w:widowControl w:val="0"/>
        <w:tabs>
          <w:tab w:val="clear" w:pos="1021"/>
          <w:tab w:val="right" w:pos="1020"/>
        </w:tabs>
        <w:rPr>
          <w:lang w:val="es-ES"/>
        </w:rPr>
      </w:pPr>
      <w:r>
        <w:rPr>
          <w:lang w:val="fr-FR"/>
        </w:rPr>
        <w:tab/>
      </w:r>
      <w:r w:rsidRPr="009A40FC">
        <w:rPr>
          <w:rStyle w:val="FootnoteReference"/>
          <w:lang w:val="fr-FR"/>
        </w:rPr>
        <w:footnoteRef/>
      </w:r>
      <w:r w:rsidRPr="00C81F1A">
        <w:rPr>
          <w:lang w:val="es-ES"/>
        </w:rPr>
        <w:tab/>
        <w:t>Voir : http://www.pgdlisboa.pt/leis/lei_mostra_articulado.php?nid =2429&amp;tabela=leis&amp;so_miolo=.</w:t>
      </w:r>
    </w:p>
  </w:footnote>
  <w:footnote w:id="5">
    <w:p w14:paraId="3DCCAE93" w14:textId="77777777" w:rsidR="00906EDA" w:rsidRPr="00C81F1A" w:rsidRDefault="00906EDA" w:rsidP="00130D0E">
      <w:pPr>
        <w:pStyle w:val="FootnoteText"/>
        <w:widowControl w:val="0"/>
        <w:tabs>
          <w:tab w:val="clear" w:pos="1021"/>
          <w:tab w:val="right" w:pos="1020"/>
        </w:tabs>
        <w:rPr>
          <w:lang w:val="es-ES"/>
        </w:rPr>
      </w:pPr>
      <w:r w:rsidRPr="00C81F1A">
        <w:rPr>
          <w:lang w:val="es-ES"/>
        </w:rPr>
        <w:tab/>
      </w:r>
      <w:r w:rsidRPr="00C81F1A">
        <w:rPr>
          <w:lang w:val="es-ES"/>
        </w:rPr>
        <w:tab/>
      </w:r>
      <w:r w:rsidRPr="009A40FC">
        <w:rPr>
          <w:rStyle w:val="FootnoteReference"/>
        </w:rPr>
        <w:footnoteRef/>
      </w:r>
      <w:r w:rsidRPr="00C81F1A">
        <w:rPr>
          <w:lang w:val="es-ES"/>
        </w:rPr>
        <w:t xml:space="preserve"> http://www.dge.mec.pt/sites/default/files/Projetos_Curriculares/Aprendizagens_Essenciais/estrategia_cidadania.pdf.</w:t>
      </w:r>
    </w:p>
  </w:footnote>
  <w:footnote w:id="6">
    <w:p w14:paraId="7051FF7D" w14:textId="77777777" w:rsidR="00906EDA" w:rsidRPr="00C81F1A" w:rsidRDefault="00906EDA" w:rsidP="00077B75">
      <w:pPr>
        <w:pStyle w:val="FootnoteText"/>
        <w:widowControl w:val="0"/>
        <w:tabs>
          <w:tab w:val="clear" w:pos="1021"/>
          <w:tab w:val="right" w:pos="1020"/>
        </w:tabs>
        <w:rPr>
          <w:lang w:val="es-ES"/>
        </w:rPr>
      </w:pPr>
      <w:r w:rsidRPr="00C81F1A">
        <w:rPr>
          <w:lang w:val="es-ES"/>
        </w:rPr>
        <w:tab/>
      </w:r>
      <w:r w:rsidRPr="009A40FC">
        <w:rPr>
          <w:rStyle w:val="FootnoteReference"/>
          <w:lang w:val="fr-FR"/>
        </w:rPr>
        <w:footnoteRef/>
      </w:r>
      <w:r w:rsidRPr="00C81F1A">
        <w:rPr>
          <w:lang w:val="es-ES"/>
        </w:rPr>
        <w:tab/>
        <w:t>http://www.acm.gov.pt/-/fundo-de-apoio-a-estrategia-nacional-para-a-integracao-das-comunidades-ciganas-fape-</w:t>
      </w:r>
    </w:p>
  </w:footnote>
  <w:footnote w:id="7">
    <w:p w14:paraId="14C34032" w14:textId="77777777" w:rsidR="00906EDA" w:rsidRPr="00C81F1A" w:rsidRDefault="00906EDA" w:rsidP="00077B75">
      <w:pPr>
        <w:pStyle w:val="FootnoteText"/>
        <w:tabs>
          <w:tab w:val="clear" w:pos="1021"/>
          <w:tab w:val="right" w:pos="1020"/>
        </w:tabs>
        <w:rPr>
          <w:lang w:val="es-ES"/>
        </w:rPr>
      </w:pPr>
      <w:r w:rsidRPr="00C81F1A">
        <w:rPr>
          <w:lang w:val="es-ES"/>
        </w:rPr>
        <w:tab/>
      </w:r>
      <w:r w:rsidRPr="009A40FC">
        <w:rPr>
          <w:rStyle w:val="FootnoteReference"/>
          <w:lang w:val="fr-FR"/>
        </w:rPr>
        <w:footnoteRef/>
      </w:r>
      <w:r w:rsidRPr="00C81F1A">
        <w:rPr>
          <w:lang w:val="es-ES"/>
        </w:rPr>
        <w:tab/>
        <w:t>http://www.acm.gov.pt/-/estrategia-nacional-para-as-comunidades-ciganas-enicc-concig</w:t>
      </w:r>
    </w:p>
  </w:footnote>
  <w:footnote w:id="8">
    <w:p w14:paraId="2182734A" w14:textId="77777777" w:rsidR="00906EDA" w:rsidRDefault="00906EDA" w:rsidP="00077B75">
      <w:pPr>
        <w:pStyle w:val="FootnoteText"/>
        <w:widowControl w:val="0"/>
        <w:tabs>
          <w:tab w:val="clear" w:pos="1021"/>
          <w:tab w:val="right" w:pos="1020"/>
        </w:tabs>
      </w:pPr>
      <w:r w:rsidRPr="00C81F1A">
        <w:rPr>
          <w:lang w:val="es-ES"/>
        </w:rPr>
        <w:tab/>
      </w:r>
      <w:r w:rsidRPr="009A40FC">
        <w:rPr>
          <w:rStyle w:val="FootnoteReference"/>
          <w:lang w:val="fr-FR"/>
        </w:rPr>
        <w:footnoteRef/>
      </w:r>
      <w:r>
        <w:rPr>
          <w:lang w:val="fr-FR"/>
        </w:rPr>
        <w:tab/>
        <w:t>http://www.weprotect.org/.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7C54E" w14:textId="77777777" w:rsidR="00906EDA" w:rsidRDefault="00906EDA" w:rsidP="00077B75">
    <w:pPr>
      <w:pStyle w:val="Header"/>
    </w:pPr>
    <w:r>
      <w:rPr>
        <w:lang w:val="fr-FR"/>
      </w:rPr>
      <w:t>CRC/C/PRT/5-6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77AF4" w14:textId="77777777" w:rsidR="00906EDA" w:rsidRDefault="00906EDA" w:rsidP="00077B75">
    <w:pPr>
      <w:pStyle w:val="Header"/>
      <w:jc w:val="right"/>
    </w:pPr>
    <w:r>
      <w:rPr>
        <w:lang w:val="fr-FR"/>
      </w:rPr>
      <w:t>CRC/C/PRT/5-6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A92402"/>
    <w:multiLevelType w:val="hybridMultilevel"/>
    <w:tmpl w:val="13F28352"/>
    <w:lvl w:ilvl="0" w:tplc="D402C96E">
      <w:start w:val="372"/>
      <w:numFmt w:val="bullet"/>
      <w:lvlText w:val="•"/>
      <w:lvlJc w:val="left"/>
      <w:pPr>
        <w:ind w:left="2823" w:hanging="555"/>
      </w:pPr>
      <w:rPr>
        <w:rFonts w:ascii="Times New Roman" w:eastAsia="SimSu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32CADD86"/>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B637F3"/>
    <w:multiLevelType w:val="hybridMultilevel"/>
    <w:tmpl w:val="276CA8BC"/>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15:restartNumberingAfterBreak="0">
    <w:nsid w:val="53E41ADB"/>
    <w:multiLevelType w:val="hybridMultilevel"/>
    <w:tmpl w:val="130E7DCA"/>
    <w:lvl w:ilvl="0" w:tplc="D402C96E">
      <w:start w:val="372"/>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2E650F5"/>
    <w:multiLevelType w:val="hybridMultilevel"/>
    <w:tmpl w:val="F7B43E18"/>
    <w:lvl w:ilvl="0" w:tplc="D402C96E">
      <w:start w:val="372"/>
      <w:numFmt w:val="bullet"/>
      <w:lvlText w:val="•"/>
      <w:lvlJc w:val="left"/>
      <w:pPr>
        <w:ind w:left="2823" w:hanging="555"/>
      </w:pPr>
      <w:rPr>
        <w:rFonts w:ascii="Times New Roman" w:eastAsia="SimSu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7"/>
  </w:num>
  <w:num w:numId="5">
    <w:abstractNumId w:val="8"/>
  </w:num>
  <w:num w:numId="6">
    <w:abstractNumId w:val="11"/>
  </w:num>
  <w:num w:numId="7">
    <w:abstractNumId w:val="2"/>
  </w:num>
  <w:num w:numId="8">
    <w:abstractNumId w:val="4"/>
  </w:num>
  <w:num w:numId="9">
    <w:abstractNumId w:val="3"/>
  </w:num>
  <w:num w:numId="10">
    <w:abstractNumId w:val="0"/>
  </w:num>
  <w:num w:numId="11">
    <w:abstractNumId w:val="9"/>
  </w:num>
  <w:num w:numId="12">
    <w:abstractNumId w:val="11"/>
  </w:num>
  <w:num w:numId="13">
    <w:abstractNumId w:val="5"/>
  </w:num>
  <w:num w:numId="14">
    <w:abstractNumId w:val="6"/>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7"/>
  <w:removePersonalInformation/>
  <w:removeDateAndTime/>
  <w:revisionView w:markup="0" w:comments="0" w:insDel="0" w:formatting="0" w:inkAnnotations="0"/>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D969E1"/>
    <w:rsid w:val="00006A2E"/>
    <w:rsid w:val="0001100F"/>
    <w:rsid w:val="0001180E"/>
    <w:rsid w:val="0001303F"/>
    <w:rsid w:val="00013C1D"/>
    <w:rsid w:val="00013FFB"/>
    <w:rsid w:val="00017337"/>
    <w:rsid w:val="000216B6"/>
    <w:rsid w:val="00022EF9"/>
    <w:rsid w:val="000248B5"/>
    <w:rsid w:val="00026269"/>
    <w:rsid w:val="00026A16"/>
    <w:rsid w:val="00030BA2"/>
    <w:rsid w:val="00030CAC"/>
    <w:rsid w:val="00031CC8"/>
    <w:rsid w:val="00034F52"/>
    <w:rsid w:val="00040D2C"/>
    <w:rsid w:val="00041FDE"/>
    <w:rsid w:val="00044384"/>
    <w:rsid w:val="00046E92"/>
    <w:rsid w:val="00047F8C"/>
    <w:rsid w:val="000608D4"/>
    <w:rsid w:val="00061877"/>
    <w:rsid w:val="00063158"/>
    <w:rsid w:val="000651E8"/>
    <w:rsid w:val="00067E5B"/>
    <w:rsid w:val="000705AF"/>
    <w:rsid w:val="000717EC"/>
    <w:rsid w:val="00073F09"/>
    <w:rsid w:val="00075F8D"/>
    <w:rsid w:val="00077B75"/>
    <w:rsid w:val="00087821"/>
    <w:rsid w:val="00090CBF"/>
    <w:rsid w:val="000A0B6B"/>
    <w:rsid w:val="000A0D23"/>
    <w:rsid w:val="000A5FCD"/>
    <w:rsid w:val="000B07E9"/>
    <w:rsid w:val="000B3D81"/>
    <w:rsid w:val="000B54C1"/>
    <w:rsid w:val="000C14C1"/>
    <w:rsid w:val="000C1C8F"/>
    <w:rsid w:val="000C29B6"/>
    <w:rsid w:val="000C5273"/>
    <w:rsid w:val="000D1E17"/>
    <w:rsid w:val="000D3DEE"/>
    <w:rsid w:val="000D4739"/>
    <w:rsid w:val="000E0780"/>
    <w:rsid w:val="000E2A4A"/>
    <w:rsid w:val="000E2C74"/>
    <w:rsid w:val="000E3FFD"/>
    <w:rsid w:val="000E4303"/>
    <w:rsid w:val="000E6801"/>
    <w:rsid w:val="000F62F3"/>
    <w:rsid w:val="000F68BC"/>
    <w:rsid w:val="000F732D"/>
    <w:rsid w:val="00105740"/>
    <w:rsid w:val="00112210"/>
    <w:rsid w:val="00113432"/>
    <w:rsid w:val="001135E1"/>
    <w:rsid w:val="00113ECD"/>
    <w:rsid w:val="001166D0"/>
    <w:rsid w:val="00123B84"/>
    <w:rsid w:val="00123E62"/>
    <w:rsid w:val="001275FA"/>
    <w:rsid w:val="00130D0E"/>
    <w:rsid w:val="00137E66"/>
    <w:rsid w:val="00141A42"/>
    <w:rsid w:val="00143FE6"/>
    <w:rsid w:val="00147035"/>
    <w:rsid w:val="00150E0A"/>
    <w:rsid w:val="00151F3F"/>
    <w:rsid w:val="0015361D"/>
    <w:rsid w:val="001553E8"/>
    <w:rsid w:val="001554B9"/>
    <w:rsid w:val="00162BB4"/>
    <w:rsid w:val="001653EE"/>
    <w:rsid w:val="0016691B"/>
    <w:rsid w:val="00171F9D"/>
    <w:rsid w:val="001736D1"/>
    <w:rsid w:val="00174C91"/>
    <w:rsid w:val="001752BC"/>
    <w:rsid w:val="00176F26"/>
    <w:rsid w:val="001770A1"/>
    <w:rsid w:val="00177411"/>
    <w:rsid w:val="00180D64"/>
    <w:rsid w:val="00183418"/>
    <w:rsid w:val="00185A5A"/>
    <w:rsid w:val="0018750A"/>
    <w:rsid w:val="00192B1A"/>
    <w:rsid w:val="00194D6E"/>
    <w:rsid w:val="001952F8"/>
    <w:rsid w:val="001952F9"/>
    <w:rsid w:val="00196C87"/>
    <w:rsid w:val="00196E24"/>
    <w:rsid w:val="001A2C70"/>
    <w:rsid w:val="001A3D7C"/>
    <w:rsid w:val="001A455F"/>
    <w:rsid w:val="001A47C4"/>
    <w:rsid w:val="001A6AFD"/>
    <w:rsid w:val="001B1356"/>
    <w:rsid w:val="001B248A"/>
    <w:rsid w:val="001B3561"/>
    <w:rsid w:val="001B5A42"/>
    <w:rsid w:val="001C2042"/>
    <w:rsid w:val="001C30B0"/>
    <w:rsid w:val="001C34D6"/>
    <w:rsid w:val="001C4FA3"/>
    <w:rsid w:val="001C6497"/>
    <w:rsid w:val="001C72D8"/>
    <w:rsid w:val="001D3863"/>
    <w:rsid w:val="001D7C8C"/>
    <w:rsid w:val="001E28B9"/>
    <w:rsid w:val="001E2B7D"/>
    <w:rsid w:val="001E37FA"/>
    <w:rsid w:val="001E5F0F"/>
    <w:rsid w:val="001E6070"/>
    <w:rsid w:val="001E7E09"/>
    <w:rsid w:val="001F2A47"/>
    <w:rsid w:val="001F3300"/>
    <w:rsid w:val="001F34DD"/>
    <w:rsid w:val="001F38DF"/>
    <w:rsid w:val="001F3E95"/>
    <w:rsid w:val="001F544C"/>
    <w:rsid w:val="00202489"/>
    <w:rsid w:val="00202AF1"/>
    <w:rsid w:val="00202E71"/>
    <w:rsid w:val="00203BBA"/>
    <w:rsid w:val="00203C62"/>
    <w:rsid w:val="00203F40"/>
    <w:rsid w:val="00204DED"/>
    <w:rsid w:val="002058ED"/>
    <w:rsid w:val="00210D2E"/>
    <w:rsid w:val="00213481"/>
    <w:rsid w:val="0021554F"/>
    <w:rsid w:val="002216F0"/>
    <w:rsid w:val="0022228A"/>
    <w:rsid w:val="0022401B"/>
    <w:rsid w:val="00225883"/>
    <w:rsid w:val="00226ADD"/>
    <w:rsid w:val="002308DF"/>
    <w:rsid w:val="00231F7C"/>
    <w:rsid w:val="00232322"/>
    <w:rsid w:val="002446A1"/>
    <w:rsid w:val="00247E2C"/>
    <w:rsid w:val="002566C6"/>
    <w:rsid w:val="002603FE"/>
    <w:rsid w:val="00261055"/>
    <w:rsid w:val="002628E6"/>
    <w:rsid w:val="002630D9"/>
    <w:rsid w:val="002647B3"/>
    <w:rsid w:val="0027057A"/>
    <w:rsid w:val="00275698"/>
    <w:rsid w:val="00280518"/>
    <w:rsid w:val="00282957"/>
    <w:rsid w:val="0028318B"/>
    <w:rsid w:val="00283CF1"/>
    <w:rsid w:val="0028473D"/>
    <w:rsid w:val="002879EF"/>
    <w:rsid w:val="00287FE1"/>
    <w:rsid w:val="0029356E"/>
    <w:rsid w:val="00293E8F"/>
    <w:rsid w:val="0029723E"/>
    <w:rsid w:val="002978F4"/>
    <w:rsid w:val="002A0197"/>
    <w:rsid w:val="002A09CA"/>
    <w:rsid w:val="002A660F"/>
    <w:rsid w:val="002B42FA"/>
    <w:rsid w:val="002B6198"/>
    <w:rsid w:val="002B7C3F"/>
    <w:rsid w:val="002C05EE"/>
    <w:rsid w:val="002C087A"/>
    <w:rsid w:val="002C7D0D"/>
    <w:rsid w:val="002D01DE"/>
    <w:rsid w:val="002D36FF"/>
    <w:rsid w:val="002D3711"/>
    <w:rsid w:val="002D4F1A"/>
    <w:rsid w:val="002D635A"/>
    <w:rsid w:val="002D6C53"/>
    <w:rsid w:val="002D78C1"/>
    <w:rsid w:val="002D7EBA"/>
    <w:rsid w:val="002E0BE0"/>
    <w:rsid w:val="002E4290"/>
    <w:rsid w:val="002E55DE"/>
    <w:rsid w:val="002E7F1F"/>
    <w:rsid w:val="002F1306"/>
    <w:rsid w:val="002F1C16"/>
    <w:rsid w:val="002F4CC2"/>
    <w:rsid w:val="002F5595"/>
    <w:rsid w:val="00301571"/>
    <w:rsid w:val="00302533"/>
    <w:rsid w:val="0030336C"/>
    <w:rsid w:val="0030337D"/>
    <w:rsid w:val="00305B3B"/>
    <w:rsid w:val="0031036A"/>
    <w:rsid w:val="00311892"/>
    <w:rsid w:val="00312362"/>
    <w:rsid w:val="00312D7F"/>
    <w:rsid w:val="00314F1C"/>
    <w:rsid w:val="00316724"/>
    <w:rsid w:val="003205B5"/>
    <w:rsid w:val="00325899"/>
    <w:rsid w:val="003339D0"/>
    <w:rsid w:val="00334F6A"/>
    <w:rsid w:val="00341F92"/>
    <w:rsid w:val="003425F6"/>
    <w:rsid w:val="00342AC8"/>
    <w:rsid w:val="00344336"/>
    <w:rsid w:val="0034461E"/>
    <w:rsid w:val="00344BF2"/>
    <w:rsid w:val="003503E3"/>
    <w:rsid w:val="003522C2"/>
    <w:rsid w:val="0036248C"/>
    <w:rsid w:val="00364F82"/>
    <w:rsid w:val="00367CBF"/>
    <w:rsid w:val="003705CC"/>
    <w:rsid w:val="00372204"/>
    <w:rsid w:val="00373D9C"/>
    <w:rsid w:val="003745DB"/>
    <w:rsid w:val="00376005"/>
    <w:rsid w:val="00380866"/>
    <w:rsid w:val="00380B80"/>
    <w:rsid w:val="00385BA2"/>
    <w:rsid w:val="003872FA"/>
    <w:rsid w:val="0039099B"/>
    <w:rsid w:val="00396309"/>
    <w:rsid w:val="00397BB2"/>
    <w:rsid w:val="003A05A6"/>
    <w:rsid w:val="003A0861"/>
    <w:rsid w:val="003A318B"/>
    <w:rsid w:val="003A5321"/>
    <w:rsid w:val="003A5BD8"/>
    <w:rsid w:val="003B10AE"/>
    <w:rsid w:val="003B2A2D"/>
    <w:rsid w:val="003B32BB"/>
    <w:rsid w:val="003B3D37"/>
    <w:rsid w:val="003B4550"/>
    <w:rsid w:val="003B4E18"/>
    <w:rsid w:val="003B52F8"/>
    <w:rsid w:val="003B61C6"/>
    <w:rsid w:val="003C4415"/>
    <w:rsid w:val="003D2826"/>
    <w:rsid w:val="003D5B1A"/>
    <w:rsid w:val="003E04C9"/>
    <w:rsid w:val="003E291F"/>
    <w:rsid w:val="003E327A"/>
    <w:rsid w:val="003E70C1"/>
    <w:rsid w:val="003E786A"/>
    <w:rsid w:val="003F0E02"/>
    <w:rsid w:val="003F5DEE"/>
    <w:rsid w:val="003F6414"/>
    <w:rsid w:val="00401A99"/>
    <w:rsid w:val="00406BF6"/>
    <w:rsid w:val="00407A27"/>
    <w:rsid w:val="00407C87"/>
    <w:rsid w:val="00410FF0"/>
    <w:rsid w:val="004124E4"/>
    <w:rsid w:val="0041468B"/>
    <w:rsid w:val="004151A0"/>
    <w:rsid w:val="004248DF"/>
    <w:rsid w:val="00426CFC"/>
    <w:rsid w:val="004270A7"/>
    <w:rsid w:val="00427590"/>
    <w:rsid w:val="00427AE3"/>
    <w:rsid w:val="0043141C"/>
    <w:rsid w:val="0043323C"/>
    <w:rsid w:val="004333C2"/>
    <w:rsid w:val="00435AEA"/>
    <w:rsid w:val="00435B45"/>
    <w:rsid w:val="004408B5"/>
    <w:rsid w:val="00441EC0"/>
    <w:rsid w:val="00450EC0"/>
    <w:rsid w:val="00453704"/>
    <w:rsid w:val="004566AD"/>
    <w:rsid w:val="004567B4"/>
    <w:rsid w:val="00461253"/>
    <w:rsid w:val="00461924"/>
    <w:rsid w:val="0047001E"/>
    <w:rsid w:val="0047245F"/>
    <w:rsid w:val="00472716"/>
    <w:rsid w:val="0047537B"/>
    <w:rsid w:val="00475ACE"/>
    <w:rsid w:val="00477A5F"/>
    <w:rsid w:val="00477EC3"/>
    <w:rsid w:val="004804DE"/>
    <w:rsid w:val="00480570"/>
    <w:rsid w:val="00480991"/>
    <w:rsid w:val="004813B3"/>
    <w:rsid w:val="00491A29"/>
    <w:rsid w:val="00491E89"/>
    <w:rsid w:val="004925AB"/>
    <w:rsid w:val="004939FE"/>
    <w:rsid w:val="00494098"/>
    <w:rsid w:val="004943FA"/>
    <w:rsid w:val="00497E38"/>
    <w:rsid w:val="004A0A8C"/>
    <w:rsid w:val="004A0F6F"/>
    <w:rsid w:val="004A22A1"/>
    <w:rsid w:val="004A50E8"/>
    <w:rsid w:val="004B3BEA"/>
    <w:rsid w:val="004B74F6"/>
    <w:rsid w:val="004C096B"/>
    <w:rsid w:val="004C2DF7"/>
    <w:rsid w:val="004C3855"/>
    <w:rsid w:val="004C4C43"/>
    <w:rsid w:val="004C6852"/>
    <w:rsid w:val="004C779F"/>
    <w:rsid w:val="004D0121"/>
    <w:rsid w:val="004D0B90"/>
    <w:rsid w:val="004D233A"/>
    <w:rsid w:val="004D2536"/>
    <w:rsid w:val="004D254D"/>
    <w:rsid w:val="004D29CC"/>
    <w:rsid w:val="004E0605"/>
    <w:rsid w:val="004E3D8E"/>
    <w:rsid w:val="004E5C9F"/>
    <w:rsid w:val="004E76BC"/>
    <w:rsid w:val="004F01E2"/>
    <w:rsid w:val="004F0828"/>
    <w:rsid w:val="004F4B71"/>
    <w:rsid w:val="004F51AD"/>
    <w:rsid w:val="00503065"/>
    <w:rsid w:val="005042C2"/>
    <w:rsid w:val="00506C2A"/>
    <w:rsid w:val="00507963"/>
    <w:rsid w:val="005155D1"/>
    <w:rsid w:val="0052111A"/>
    <w:rsid w:val="0052601F"/>
    <w:rsid w:val="00531C64"/>
    <w:rsid w:val="005344ED"/>
    <w:rsid w:val="00535B49"/>
    <w:rsid w:val="00535D69"/>
    <w:rsid w:val="00543E23"/>
    <w:rsid w:val="005468BF"/>
    <w:rsid w:val="00550E19"/>
    <w:rsid w:val="00551211"/>
    <w:rsid w:val="005541D6"/>
    <w:rsid w:val="005545A7"/>
    <w:rsid w:val="00557E58"/>
    <w:rsid w:val="00560CE7"/>
    <w:rsid w:val="00562AB0"/>
    <w:rsid w:val="00563533"/>
    <w:rsid w:val="005638F5"/>
    <w:rsid w:val="0056579B"/>
    <w:rsid w:val="005657C3"/>
    <w:rsid w:val="00565BF0"/>
    <w:rsid w:val="00566979"/>
    <w:rsid w:val="00567861"/>
    <w:rsid w:val="00571A82"/>
    <w:rsid w:val="00572723"/>
    <w:rsid w:val="005775DA"/>
    <w:rsid w:val="0057779E"/>
    <w:rsid w:val="00577E79"/>
    <w:rsid w:val="00580754"/>
    <w:rsid w:val="00580BE8"/>
    <w:rsid w:val="00582948"/>
    <w:rsid w:val="005829CC"/>
    <w:rsid w:val="005848EA"/>
    <w:rsid w:val="00584F4F"/>
    <w:rsid w:val="00591705"/>
    <w:rsid w:val="00593055"/>
    <w:rsid w:val="00594E75"/>
    <w:rsid w:val="005A0DB5"/>
    <w:rsid w:val="005A2A9B"/>
    <w:rsid w:val="005B072B"/>
    <w:rsid w:val="005B0A2C"/>
    <w:rsid w:val="005B423D"/>
    <w:rsid w:val="005B5B71"/>
    <w:rsid w:val="005B78F3"/>
    <w:rsid w:val="005C0DDE"/>
    <w:rsid w:val="005C30A0"/>
    <w:rsid w:val="005C46A9"/>
    <w:rsid w:val="005C6FE8"/>
    <w:rsid w:val="005D67D6"/>
    <w:rsid w:val="005E3E0A"/>
    <w:rsid w:val="005E58EE"/>
    <w:rsid w:val="005E6DE8"/>
    <w:rsid w:val="005F1739"/>
    <w:rsid w:val="005F6CCE"/>
    <w:rsid w:val="0060295C"/>
    <w:rsid w:val="00603238"/>
    <w:rsid w:val="00606FD6"/>
    <w:rsid w:val="00607E92"/>
    <w:rsid w:val="00611013"/>
    <w:rsid w:val="00611C32"/>
    <w:rsid w:val="006122F4"/>
    <w:rsid w:val="006136D6"/>
    <w:rsid w:val="006138B9"/>
    <w:rsid w:val="00613AD0"/>
    <w:rsid w:val="00613CE5"/>
    <w:rsid w:val="00613DA3"/>
    <w:rsid w:val="006236FE"/>
    <w:rsid w:val="0063167A"/>
    <w:rsid w:val="006318FE"/>
    <w:rsid w:val="00632947"/>
    <w:rsid w:val="00633ED8"/>
    <w:rsid w:val="006402D5"/>
    <w:rsid w:val="0064128C"/>
    <w:rsid w:val="00651ECB"/>
    <w:rsid w:val="00653FB1"/>
    <w:rsid w:val="00654D35"/>
    <w:rsid w:val="00660325"/>
    <w:rsid w:val="00664112"/>
    <w:rsid w:val="006679BA"/>
    <w:rsid w:val="0067038F"/>
    <w:rsid w:val="00671529"/>
    <w:rsid w:val="006715B4"/>
    <w:rsid w:val="006717A5"/>
    <w:rsid w:val="00671FF4"/>
    <w:rsid w:val="00674C06"/>
    <w:rsid w:val="00675DCC"/>
    <w:rsid w:val="00676A6D"/>
    <w:rsid w:val="00677C95"/>
    <w:rsid w:val="006821B7"/>
    <w:rsid w:val="00684766"/>
    <w:rsid w:val="00686FB9"/>
    <w:rsid w:val="0068797F"/>
    <w:rsid w:val="00687D8D"/>
    <w:rsid w:val="00694E49"/>
    <w:rsid w:val="006A01DE"/>
    <w:rsid w:val="006A3BFB"/>
    <w:rsid w:val="006A544D"/>
    <w:rsid w:val="006A565C"/>
    <w:rsid w:val="006B1BEF"/>
    <w:rsid w:val="006B1D5F"/>
    <w:rsid w:val="006C08F8"/>
    <w:rsid w:val="006C66A4"/>
    <w:rsid w:val="006D11E8"/>
    <w:rsid w:val="006D1264"/>
    <w:rsid w:val="006D20D6"/>
    <w:rsid w:val="006D53C6"/>
    <w:rsid w:val="006D5566"/>
    <w:rsid w:val="006D5F25"/>
    <w:rsid w:val="006E082B"/>
    <w:rsid w:val="006E1D75"/>
    <w:rsid w:val="006E2F48"/>
    <w:rsid w:val="006E3342"/>
    <w:rsid w:val="006E73AD"/>
    <w:rsid w:val="006E7CEA"/>
    <w:rsid w:val="006E7DB9"/>
    <w:rsid w:val="006F07D9"/>
    <w:rsid w:val="006F0959"/>
    <w:rsid w:val="006F32E4"/>
    <w:rsid w:val="00700627"/>
    <w:rsid w:val="00713F3C"/>
    <w:rsid w:val="00714825"/>
    <w:rsid w:val="00714890"/>
    <w:rsid w:val="007159C7"/>
    <w:rsid w:val="0071617D"/>
    <w:rsid w:val="00717747"/>
    <w:rsid w:val="00717DA7"/>
    <w:rsid w:val="00720124"/>
    <w:rsid w:val="00720346"/>
    <w:rsid w:val="00720FEE"/>
    <w:rsid w:val="007222C9"/>
    <w:rsid w:val="00722455"/>
    <w:rsid w:val="00723C2B"/>
    <w:rsid w:val="00725676"/>
    <w:rsid w:val="007264DB"/>
    <w:rsid w:val="007265E8"/>
    <w:rsid w:val="007268F9"/>
    <w:rsid w:val="00732801"/>
    <w:rsid w:val="0073658D"/>
    <w:rsid w:val="00740174"/>
    <w:rsid w:val="00740794"/>
    <w:rsid w:val="007436D7"/>
    <w:rsid w:val="00746EF6"/>
    <w:rsid w:val="00752DF9"/>
    <w:rsid w:val="007548DF"/>
    <w:rsid w:val="00755402"/>
    <w:rsid w:val="00757F5B"/>
    <w:rsid w:val="00757FBA"/>
    <w:rsid w:val="00761FB6"/>
    <w:rsid w:val="00762179"/>
    <w:rsid w:val="007704A8"/>
    <w:rsid w:val="007708DA"/>
    <w:rsid w:val="00771108"/>
    <w:rsid w:val="00771F8A"/>
    <w:rsid w:val="007726FF"/>
    <w:rsid w:val="00775D10"/>
    <w:rsid w:val="00781469"/>
    <w:rsid w:val="007842B6"/>
    <w:rsid w:val="0078611E"/>
    <w:rsid w:val="007908E3"/>
    <w:rsid w:val="00791894"/>
    <w:rsid w:val="00793BFB"/>
    <w:rsid w:val="00793F61"/>
    <w:rsid w:val="007A0478"/>
    <w:rsid w:val="007A2E33"/>
    <w:rsid w:val="007A52C2"/>
    <w:rsid w:val="007A5F44"/>
    <w:rsid w:val="007A7834"/>
    <w:rsid w:val="007B1184"/>
    <w:rsid w:val="007B2827"/>
    <w:rsid w:val="007B2BFE"/>
    <w:rsid w:val="007B2CAD"/>
    <w:rsid w:val="007B4DC5"/>
    <w:rsid w:val="007B5654"/>
    <w:rsid w:val="007C0083"/>
    <w:rsid w:val="007C52B0"/>
    <w:rsid w:val="007C5E84"/>
    <w:rsid w:val="007D46C9"/>
    <w:rsid w:val="007D6672"/>
    <w:rsid w:val="007E4801"/>
    <w:rsid w:val="007F1525"/>
    <w:rsid w:val="007F3BC5"/>
    <w:rsid w:val="007F526E"/>
    <w:rsid w:val="007F78A7"/>
    <w:rsid w:val="00800604"/>
    <w:rsid w:val="00803A6F"/>
    <w:rsid w:val="00804747"/>
    <w:rsid w:val="00806CAA"/>
    <w:rsid w:val="00807903"/>
    <w:rsid w:val="00807954"/>
    <w:rsid w:val="00807B21"/>
    <w:rsid w:val="00812461"/>
    <w:rsid w:val="00814B33"/>
    <w:rsid w:val="00815702"/>
    <w:rsid w:val="00815945"/>
    <w:rsid w:val="008204DC"/>
    <w:rsid w:val="0082263D"/>
    <w:rsid w:val="00823890"/>
    <w:rsid w:val="00830F96"/>
    <w:rsid w:val="00832830"/>
    <w:rsid w:val="008356F1"/>
    <w:rsid w:val="00846182"/>
    <w:rsid w:val="008509B5"/>
    <w:rsid w:val="00855DEB"/>
    <w:rsid w:val="0085613F"/>
    <w:rsid w:val="0085624F"/>
    <w:rsid w:val="00857286"/>
    <w:rsid w:val="00860688"/>
    <w:rsid w:val="00860A51"/>
    <w:rsid w:val="00863A72"/>
    <w:rsid w:val="0086576A"/>
    <w:rsid w:val="00871FB2"/>
    <w:rsid w:val="00872592"/>
    <w:rsid w:val="008759E4"/>
    <w:rsid w:val="00883A4C"/>
    <w:rsid w:val="008864B1"/>
    <w:rsid w:val="00890494"/>
    <w:rsid w:val="008906BE"/>
    <w:rsid w:val="00891934"/>
    <w:rsid w:val="00891DAF"/>
    <w:rsid w:val="00895047"/>
    <w:rsid w:val="00895B81"/>
    <w:rsid w:val="00897003"/>
    <w:rsid w:val="008A029B"/>
    <w:rsid w:val="008A3F77"/>
    <w:rsid w:val="008A50AD"/>
    <w:rsid w:val="008B1EA5"/>
    <w:rsid w:val="008B27C9"/>
    <w:rsid w:val="008B52ED"/>
    <w:rsid w:val="008B6DD4"/>
    <w:rsid w:val="008B70B1"/>
    <w:rsid w:val="008C240D"/>
    <w:rsid w:val="008C2FC1"/>
    <w:rsid w:val="008C420E"/>
    <w:rsid w:val="008C659F"/>
    <w:rsid w:val="008D0CC3"/>
    <w:rsid w:val="008D1EF0"/>
    <w:rsid w:val="008D4146"/>
    <w:rsid w:val="008D5523"/>
    <w:rsid w:val="008D7042"/>
    <w:rsid w:val="008D7164"/>
    <w:rsid w:val="008E09C4"/>
    <w:rsid w:val="008E1A48"/>
    <w:rsid w:val="008E1C56"/>
    <w:rsid w:val="008E2C41"/>
    <w:rsid w:val="008E5931"/>
    <w:rsid w:val="008E6769"/>
    <w:rsid w:val="008E6841"/>
    <w:rsid w:val="008F107E"/>
    <w:rsid w:val="008F1A2F"/>
    <w:rsid w:val="008F23D9"/>
    <w:rsid w:val="008F38E2"/>
    <w:rsid w:val="008F53DA"/>
    <w:rsid w:val="008F5EB7"/>
    <w:rsid w:val="008F77B2"/>
    <w:rsid w:val="00901C0D"/>
    <w:rsid w:val="009037BB"/>
    <w:rsid w:val="009037C4"/>
    <w:rsid w:val="00904A6C"/>
    <w:rsid w:val="00906EDA"/>
    <w:rsid w:val="00907CD5"/>
    <w:rsid w:val="00912F7A"/>
    <w:rsid w:val="009136BB"/>
    <w:rsid w:val="0091537C"/>
    <w:rsid w:val="00916D47"/>
    <w:rsid w:val="00916D99"/>
    <w:rsid w:val="00917E8A"/>
    <w:rsid w:val="00925A88"/>
    <w:rsid w:val="00926465"/>
    <w:rsid w:val="009271EF"/>
    <w:rsid w:val="00927FCB"/>
    <w:rsid w:val="009326B2"/>
    <w:rsid w:val="009347DF"/>
    <w:rsid w:val="00934B62"/>
    <w:rsid w:val="009411B4"/>
    <w:rsid w:val="00942211"/>
    <w:rsid w:val="0094500C"/>
    <w:rsid w:val="00947BB3"/>
    <w:rsid w:val="009505EE"/>
    <w:rsid w:val="009542A4"/>
    <w:rsid w:val="0095565E"/>
    <w:rsid w:val="0095632E"/>
    <w:rsid w:val="0095673B"/>
    <w:rsid w:val="0096326A"/>
    <w:rsid w:val="00964C2C"/>
    <w:rsid w:val="009659E6"/>
    <w:rsid w:val="009677AC"/>
    <w:rsid w:val="009709F7"/>
    <w:rsid w:val="009756D4"/>
    <w:rsid w:val="00980C08"/>
    <w:rsid w:val="009862CE"/>
    <w:rsid w:val="00990D00"/>
    <w:rsid w:val="009943D8"/>
    <w:rsid w:val="00995DEE"/>
    <w:rsid w:val="00996213"/>
    <w:rsid w:val="009A0122"/>
    <w:rsid w:val="009A40FC"/>
    <w:rsid w:val="009A554C"/>
    <w:rsid w:val="009A58EE"/>
    <w:rsid w:val="009B470A"/>
    <w:rsid w:val="009C18C2"/>
    <w:rsid w:val="009C3C78"/>
    <w:rsid w:val="009C430E"/>
    <w:rsid w:val="009C4330"/>
    <w:rsid w:val="009C43DD"/>
    <w:rsid w:val="009C57D9"/>
    <w:rsid w:val="009C78AA"/>
    <w:rsid w:val="009D0139"/>
    <w:rsid w:val="009D07B4"/>
    <w:rsid w:val="009D2FA6"/>
    <w:rsid w:val="009D383D"/>
    <w:rsid w:val="009D4EEC"/>
    <w:rsid w:val="009D5543"/>
    <w:rsid w:val="009E21F9"/>
    <w:rsid w:val="009E483A"/>
    <w:rsid w:val="009E60CF"/>
    <w:rsid w:val="009E613B"/>
    <w:rsid w:val="009E6B62"/>
    <w:rsid w:val="009F1183"/>
    <w:rsid w:val="009F3964"/>
    <w:rsid w:val="009F4C81"/>
    <w:rsid w:val="009F5935"/>
    <w:rsid w:val="009F5CDC"/>
    <w:rsid w:val="00A07012"/>
    <w:rsid w:val="00A10B9A"/>
    <w:rsid w:val="00A10DE4"/>
    <w:rsid w:val="00A10F09"/>
    <w:rsid w:val="00A117DD"/>
    <w:rsid w:val="00A11A2E"/>
    <w:rsid w:val="00A14771"/>
    <w:rsid w:val="00A158B8"/>
    <w:rsid w:val="00A17C0C"/>
    <w:rsid w:val="00A17C2F"/>
    <w:rsid w:val="00A210C0"/>
    <w:rsid w:val="00A34F8B"/>
    <w:rsid w:val="00A36D52"/>
    <w:rsid w:val="00A36F98"/>
    <w:rsid w:val="00A41328"/>
    <w:rsid w:val="00A41F86"/>
    <w:rsid w:val="00A42B67"/>
    <w:rsid w:val="00A43F68"/>
    <w:rsid w:val="00A447CA"/>
    <w:rsid w:val="00A45660"/>
    <w:rsid w:val="00A469E2"/>
    <w:rsid w:val="00A47E2A"/>
    <w:rsid w:val="00A52108"/>
    <w:rsid w:val="00A573E2"/>
    <w:rsid w:val="00A63AB7"/>
    <w:rsid w:val="00A64274"/>
    <w:rsid w:val="00A65BFD"/>
    <w:rsid w:val="00A67098"/>
    <w:rsid w:val="00A719E2"/>
    <w:rsid w:val="00A775CF"/>
    <w:rsid w:val="00A802CF"/>
    <w:rsid w:val="00A80D24"/>
    <w:rsid w:val="00A81397"/>
    <w:rsid w:val="00A8359C"/>
    <w:rsid w:val="00A93CD3"/>
    <w:rsid w:val="00A93ED6"/>
    <w:rsid w:val="00A9548D"/>
    <w:rsid w:val="00A954D7"/>
    <w:rsid w:val="00AA0476"/>
    <w:rsid w:val="00AA0E4E"/>
    <w:rsid w:val="00AA1DDD"/>
    <w:rsid w:val="00AA1EDA"/>
    <w:rsid w:val="00AA2EE3"/>
    <w:rsid w:val="00AA30B4"/>
    <w:rsid w:val="00AA3D04"/>
    <w:rsid w:val="00AA5D4A"/>
    <w:rsid w:val="00AA753D"/>
    <w:rsid w:val="00AB0864"/>
    <w:rsid w:val="00AB110E"/>
    <w:rsid w:val="00AB1E19"/>
    <w:rsid w:val="00AB21D7"/>
    <w:rsid w:val="00AB282D"/>
    <w:rsid w:val="00AB47AF"/>
    <w:rsid w:val="00AC1992"/>
    <w:rsid w:val="00AC3A65"/>
    <w:rsid w:val="00AD0DE6"/>
    <w:rsid w:val="00AD29F4"/>
    <w:rsid w:val="00AD3534"/>
    <w:rsid w:val="00AD537B"/>
    <w:rsid w:val="00AD54D7"/>
    <w:rsid w:val="00AE22FF"/>
    <w:rsid w:val="00AE35C8"/>
    <w:rsid w:val="00AE4BF5"/>
    <w:rsid w:val="00AE5873"/>
    <w:rsid w:val="00AE5B04"/>
    <w:rsid w:val="00AF0D52"/>
    <w:rsid w:val="00AF63D8"/>
    <w:rsid w:val="00AF6D76"/>
    <w:rsid w:val="00AF6ECE"/>
    <w:rsid w:val="00B01D03"/>
    <w:rsid w:val="00B03051"/>
    <w:rsid w:val="00B04E6C"/>
    <w:rsid w:val="00B05C97"/>
    <w:rsid w:val="00B06045"/>
    <w:rsid w:val="00B11761"/>
    <w:rsid w:val="00B1606B"/>
    <w:rsid w:val="00B166B2"/>
    <w:rsid w:val="00B22F54"/>
    <w:rsid w:val="00B23936"/>
    <w:rsid w:val="00B269F5"/>
    <w:rsid w:val="00B3015D"/>
    <w:rsid w:val="00B30791"/>
    <w:rsid w:val="00B3316A"/>
    <w:rsid w:val="00B34673"/>
    <w:rsid w:val="00B36272"/>
    <w:rsid w:val="00B3771A"/>
    <w:rsid w:val="00B377AD"/>
    <w:rsid w:val="00B41505"/>
    <w:rsid w:val="00B41861"/>
    <w:rsid w:val="00B42913"/>
    <w:rsid w:val="00B436E9"/>
    <w:rsid w:val="00B45139"/>
    <w:rsid w:val="00B57BEB"/>
    <w:rsid w:val="00B6207F"/>
    <w:rsid w:val="00B62148"/>
    <w:rsid w:val="00B6558C"/>
    <w:rsid w:val="00B739C0"/>
    <w:rsid w:val="00B74563"/>
    <w:rsid w:val="00B7789D"/>
    <w:rsid w:val="00B77C04"/>
    <w:rsid w:val="00B82574"/>
    <w:rsid w:val="00B87169"/>
    <w:rsid w:val="00B87218"/>
    <w:rsid w:val="00B91422"/>
    <w:rsid w:val="00B91C53"/>
    <w:rsid w:val="00B93E59"/>
    <w:rsid w:val="00B9590E"/>
    <w:rsid w:val="00B97029"/>
    <w:rsid w:val="00BA0F94"/>
    <w:rsid w:val="00BA3CAE"/>
    <w:rsid w:val="00BA3E85"/>
    <w:rsid w:val="00BA4F01"/>
    <w:rsid w:val="00BA6175"/>
    <w:rsid w:val="00BA6A7F"/>
    <w:rsid w:val="00BA7826"/>
    <w:rsid w:val="00BB2CF7"/>
    <w:rsid w:val="00BB662B"/>
    <w:rsid w:val="00BC004B"/>
    <w:rsid w:val="00BC2185"/>
    <w:rsid w:val="00BC290F"/>
    <w:rsid w:val="00BC3717"/>
    <w:rsid w:val="00BC7481"/>
    <w:rsid w:val="00BC7FF3"/>
    <w:rsid w:val="00BD19BE"/>
    <w:rsid w:val="00BD2625"/>
    <w:rsid w:val="00BD2728"/>
    <w:rsid w:val="00BD3C28"/>
    <w:rsid w:val="00BD47DC"/>
    <w:rsid w:val="00BD49D9"/>
    <w:rsid w:val="00BD66AE"/>
    <w:rsid w:val="00BE14CE"/>
    <w:rsid w:val="00BE1B29"/>
    <w:rsid w:val="00BE28AC"/>
    <w:rsid w:val="00BE2B86"/>
    <w:rsid w:val="00BE5381"/>
    <w:rsid w:val="00BE6457"/>
    <w:rsid w:val="00BE7CEC"/>
    <w:rsid w:val="00BF031D"/>
    <w:rsid w:val="00BF1AF0"/>
    <w:rsid w:val="00BF376A"/>
    <w:rsid w:val="00BF4A0B"/>
    <w:rsid w:val="00BF6E9A"/>
    <w:rsid w:val="00C00670"/>
    <w:rsid w:val="00C010E1"/>
    <w:rsid w:val="00C01DE6"/>
    <w:rsid w:val="00C01DF3"/>
    <w:rsid w:val="00C023B2"/>
    <w:rsid w:val="00C04C85"/>
    <w:rsid w:val="00C05FAD"/>
    <w:rsid w:val="00C073FD"/>
    <w:rsid w:val="00C10E57"/>
    <w:rsid w:val="00C11148"/>
    <w:rsid w:val="00C154B0"/>
    <w:rsid w:val="00C2040C"/>
    <w:rsid w:val="00C2191E"/>
    <w:rsid w:val="00C22940"/>
    <w:rsid w:val="00C313EF"/>
    <w:rsid w:val="00C34280"/>
    <w:rsid w:val="00C345E8"/>
    <w:rsid w:val="00C35A27"/>
    <w:rsid w:val="00C442F2"/>
    <w:rsid w:val="00C47781"/>
    <w:rsid w:val="00C52797"/>
    <w:rsid w:val="00C54063"/>
    <w:rsid w:val="00C54AA6"/>
    <w:rsid w:val="00C55E44"/>
    <w:rsid w:val="00C60504"/>
    <w:rsid w:val="00C607E5"/>
    <w:rsid w:val="00C6152B"/>
    <w:rsid w:val="00C65914"/>
    <w:rsid w:val="00C65CD6"/>
    <w:rsid w:val="00C66C7A"/>
    <w:rsid w:val="00C70B29"/>
    <w:rsid w:val="00C72D96"/>
    <w:rsid w:val="00C72E01"/>
    <w:rsid w:val="00C7410B"/>
    <w:rsid w:val="00C74F3A"/>
    <w:rsid w:val="00C756C5"/>
    <w:rsid w:val="00C75C30"/>
    <w:rsid w:val="00C81F1A"/>
    <w:rsid w:val="00C82497"/>
    <w:rsid w:val="00C8323F"/>
    <w:rsid w:val="00C8380A"/>
    <w:rsid w:val="00C85060"/>
    <w:rsid w:val="00C85627"/>
    <w:rsid w:val="00C85995"/>
    <w:rsid w:val="00C85B6D"/>
    <w:rsid w:val="00C862F2"/>
    <w:rsid w:val="00C86AA8"/>
    <w:rsid w:val="00C93441"/>
    <w:rsid w:val="00C93E69"/>
    <w:rsid w:val="00C9688D"/>
    <w:rsid w:val="00C96A9C"/>
    <w:rsid w:val="00CA04CE"/>
    <w:rsid w:val="00CA1A1B"/>
    <w:rsid w:val="00CA55A2"/>
    <w:rsid w:val="00CA59F7"/>
    <w:rsid w:val="00CA5D6A"/>
    <w:rsid w:val="00CB04A8"/>
    <w:rsid w:val="00CB14D5"/>
    <w:rsid w:val="00CB25B4"/>
    <w:rsid w:val="00CB4062"/>
    <w:rsid w:val="00CB4942"/>
    <w:rsid w:val="00CC4873"/>
    <w:rsid w:val="00CC714D"/>
    <w:rsid w:val="00CD0365"/>
    <w:rsid w:val="00CD071C"/>
    <w:rsid w:val="00CD08A9"/>
    <w:rsid w:val="00CD189B"/>
    <w:rsid w:val="00CD410A"/>
    <w:rsid w:val="00CD63B6"/>
    <w:rsid w:val="00CD68E8"/>
    <w:rsid w:val="00CD7A55"/>
    <w:rsid w:val="00CE1DBB"/>
    <w:rsid w:val="00CE22C5"/>
    <w:rsid w:val="00CE24DB"/>
    <w:rsid w:val="00CE3632"/>
    <w:rsid w:val="00CE4438"/>
    <w:rsid w:val="00CE4A6E"/>
    <w:rsid w:val="00CE54E0"/>
    <w:rsid w:val="00CE7FFB"/>
    <w:rsid w:val="00CF0852"/>
    <w:rsid w:val="00CF2BFE"/>
    <w:rsid w:val="00CF62D1"/>
    <w:rsid w:val="00D016D4"/>
    <w:rsid w:val="00D03FEF"/>
    <w:rsid w:val="00D07930"/>
    <w:rsid w:val="00D11075"/>
    <w:rsid w:val="00D118EF"/>
    <w:rsid w:val="00D122F6"/>
    <w:rsid w:val="00D128C3"/>
    <w:rsid w:val="00D15DDE"/>
    <w:rsid w:val="00D20863"/>
    <w:rsid w:val="00D21089"/>
    <w:rsid w:val="00D21E94"/>
    <w:rsid w:val="00D264B0"/>
    <w:rsid w:val="00D27F54"/>
    <w:rsid w:val="00D31EAF"/>
    <w:rsid w:val="00D3305E"/>
    <w:rsid w:val="00D3715E"/>
    <w:rsid w:val="00D44B4D"/>
    <w:rsid w:val="00D45373"/>
    <w:rsid w:val="00D514E1"/>
    <w:rsid w:val="00D52CB8"/>
    <w:rsid w:val="00D53765"/>
    <w:rsid w:val="00D615AF"/>
    <w:rsid w:val="00D63650"/>
    <w:rsid w:val="00D66B47"/>
    <w:rsid w:val="00D71D7F"/>
    <w:rsid w:val="00D75A81"/>
    <w:rsid w:val="00D81BBA"/>
    <w:rsid w:val="00D82A26"/>
    <w:rsid w:val="00D82C49"/>
    <w:rsid w:val="00D8307B"/>
    <w:rsid w:val="00D837D2"/>
    <w:rsid w:val="00D83881"/>
    <w:rsid w:val="00D87AA3"/>
    <w:rsid w:val="00D9310A"/>
    <w:rsid w:val="00D954FA"/>
    <w:rsid w:val="00D969E1"/>
    <w:rsid w:val="00D97267"/>
    <w:rsid w:val="00D976B0"/>
    <w:rsid w:val="00DA2249"/>
    <w:rsid w:val="00DA2645"/>
    <w:rsid w:val="00DA4E91"/>
    <w:rsid w:val="00DB0261"/>
    <w:rsid w:val="00DB1E83"/>
    <w:rsid w:val="00DB3191"/>
    <w:rsid w:val="00DB63EE"/>
    <w:rsid w:val="00DB76A2"/>
    <w:rsid w:val="00DC0785"/>
    <w:rsid w:val="00DC0BA9"/>
    <w:rsid w:val="00DC2698"/>
    <w:rsid w:val="00DC3AB8"/>
    <w:rsid w:val="00DC52D5"/>
    <w:rsid w:val="00DC792C"/>
    <w:rsid w:val="00DC7E67"/>
    <w:rsid w:val="00DD333E"/>
    <w:rsid w:val="00DD41A3"/>
    <w:rsid w:val="00DD4A2F"/>
    <w:rsid w:val="00DE2CC8"/>
    <w:rsid w:val="00DE2E6F"/>
    <w:rsid w:val="00DE49B9"/>
    <w:rsid w:val="00DE50C2"/>
    <w:rsid w:val="00DE703C"/>
    <w:rsid w:val="00DF14F1"/>
    <w:rsid w:val="00DF1EB1"/>
    <w:rsid w:val="00DF1F00"/>
    <w:rsid w:val="00DF76D3"/>
    <w:rsid w:val="00E02C2B"/>
    <w:rsid w:val="00E02ECA"/>
    <w:rsid w:val="00E065F6"/>
    <w:rsid w:val="00E10085"/>
    <w:rsid w:val="00E102EB"/>
    <w:rsid w:val="00E143AB"/>
    <w:rsid w:val="00E16DCE"/>
    <w:rsid w:val="00E20198"/>
    <w:rsid w:val="00E2153F"/>
    <w:rsid w:val="00E234B1"/>
    <w:rsid w:val="00E33160"/>
    <w:rsid w:val="00E3445F"/>
    <w:rsid w:val="00E36B13"/>
    <w:rsid w:val="00E429C9"/>
    <w:rsid w:val="00E42E5A"/>
    <w:rsid w:val="00E53B3D"/>
    <w:rsid w:val="00E562BA"/>
    <w:rsid w:val="00E56915"/>
    <w:rsid w:val="00E60134"/>
    <w:rsid w:val="00E60D98"/>
    <w:rsid w:val="00E60E08"/>
    <w:rsid w:val="00E62EB2"/>
    <w:rsid w:val="00E659C5"/>
    <w:rsid w:val="00E66000"/>
    <w:rsid w:val="00E67CB5"/>
    <w:rsid w:val="00E7372E"/>
    <w:rsid w:val="00E7609D"/>
    <w:rsid w:val="00E76633"/>
    <w:rsid w:val="00E773D5"/>
    <w:rsid w:val="00E84B5F"/>
    <w:rsid w:val="00E8686E"/>
    <w:rsid w:val="00E90450"/>
    <w:rsid w:val="00E90F5B"/>
    <w:rsid w:val="00E9438C"/>
    <w:rsid w:val="00E96D00"/>
    <w:rsid w:val="00E979BB"/>
    <w:rsid w:val="00EA1C6E"/>
    <w:rsid w:val="00EA49DB"/>
    <w:rsid w:val="00EA5777"/>
    <w:rsid w:val="00EA7975"/>
    <w:rsid w:val="00EB4B22"/>
    <w:rsid w:val="00EB6786"/>
    <w:rsid w:val="00EB7A95"/>
    <w:rsid w:val="00EC0E84"/>
    <w:rsid w:val="00EC2472"/>
    <w:rsid w:val="00EC53B4"/>
    <w:rsid w:val="00EC5D8E"/>
    <w:rsid w:val="00EC71BE"/>
    <w:rsid w:val="00ED1C5A"/>
    <w:rsid w:val="00ED2A62"/>
    <w:rsid w:val="00ED4ADA"/>
    <w:rsid w:val="00ED54AE"/>
    <w:rsid w:val="00ED625E"/>
    <w:rsid w:val="00ED6C48"/>
    <w:rsid w:val="00EE1EAA"/>
    <w:rsid w:val="00EE5489"/>
    <w:rsid w:val="00EE6F0D"/>
    <w:rsid w:val="00EE7C06"/>
    <w:rsid w:val="00EE7F56"/>
    <w:rsid w:val="00EF12E1"/>
    <w:rsid w:val="00EF168D"/>
    <w:rsid w:val="00EF220C"/>
    <w:rsid w:val="00EF279C"/>
    <w:rsid w:val="00EF2B26"/>
    <w:rsid w:val="00EF3185"/>
    <w:rsid w:val="00EF335B"/>
    <w:rsid w:val="00EF6529"/>
    <w:rsid w:val="00F019C5"/>
    <w:rsid w:val="00F028FA"/>
    <w:rsid w:val="00F07D29"/>
    <w:rsid w:val="00F11EFB"/>
    <w:rsid w:val="00F15FB6"/>
    <w:rsid w:val="00F175CB"/>
    <w:rsid w:val="00F21199"/>
    <w:rsid w:val="00F24246"/>
    <w:rsid w:val="00F25BD5"/>
    <w:rsid w:val="00F32012"/>
    <w:rsid w:val="00F3281A"/>
    <w:rsid w:val="00F32AB3"/>
    <w:rsid w:val="00F3461F"/>
    <w:rsid w:val="00F3559F"/>
    <w:rsid w:val="00F4230D"/>
    <w:rsid w:val="00F43873"/>
    <w:rsid w:val="00F439B5"/>
    <w:rsid w:val="00F442BC"/>
    <w:rsid w:val="00F460BA"/>
    <w:rsid w:val="00F461D4"/>
    <w:rsid w:val="00F47868"/>
    <w:rsid w:val="00F50254"/>
    <w:rsid w:val="00F50F4D"/>
    <w:rsid w:val="00F53D7E"/>
    <w:rsid w:val="00F561E9"/>
    <w:rsid w:val="00F60ADE"/>
    <w:rsid w:val="00F611CB"/>
    <w:rsid w:val="00F61444"/>
    <w:rsid w:val="00F63DAC"/>
    <w:rsid w:val="00F65A7E"/>
    <w:rsid w:val="00F65F5D"/>
    <w:rsid w:val="00F67649"/>
    <w:rsid w:val="00F7240C"/>
    <w:rsid w:val="00F74C61"/>
    <w:rsid w:val="00F7609C"/>
    <w:rsid w:val="00F8264C"/>
    <w:rsid w:val="00F84440"/>
    <w:rsid w:val="00F86A3A"/>
    <w:rsid w:val="00F93C73"/>
    <w:rsid w:val="00F94365"/>
    <w:rsid w:val="00F97893"/>
    <w:rsid w:val="00F97F2D"/>
    <w:rsid w:val="00FA133C"/>
    <w:rsid w:val="00FA6CBB"/>
    <w:rsid w:val="00FA6FDA"/>
    <w:rsid w:val="00FA7049"/>
    <w:rsid w:val="00FA7749"/>
    <w:rsid w:val="00FB09EB"/>
    <w:rsid w:val="00FB1E15"/>
    <w:rsid w:val="00FB5A51"/>
    <w:rsid w:val="00FC17AF"/>
    <w:rsid w:val="00FC2FC5"/>
    <w:rsid w:val="00FC4B27"/>
    <w:rsid w:val="00FC78C9"/>
    <w:rsid w:val="00FD0450"/>
    <w:rsid w:val="00FD1CBB"/>
    <w:rsid w:val="00FD3F54"/>
    <w:rsid w:val="00FD796B"/>
    <w:rsid w:val="00FE1027"/>
    <w:rsid w:val="00FE21CC"/>
    <w:rsid w:val="00FE24EA"/>
    <w:rsid w:val="00FF0385"/>
    <w:rsid w:val="00FF1CFA"/>
    <w:rsid w:val="00FF36C4"/>
    <w:rsid w:val="00FF3B3F"/>
    <w:rsid w:val="00FF4654"/>
    <w:rsid w:val="00FF6C58"/>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3C7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B75"/>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077B75"/>
    <w:pPr>
      <w:spacing w:after="0"/>
      <w:ind w:right="0"/>
      <w:jc w:val="left"/>
      <w:outlineLvl w:val="0"/>
    </w:pPr>
  </w:style>
  <w:style w:type="paragraph" w:styleId="Heading2">
    <w:name w:val="heading 2"/>
    <w:basedOn w:val="Normal"/>
    <w:next w:val="Normal"/>
    <w:link w:val="Heading2Char"/>
    <w:semiHidden/>
    <w:rsid w:val="00077B75"/>
    <w:pPr>
      <w:outlineLvl w:val="1"/>
    </w:pPr>
  </w:style>
  <w:style w:type="paragraph" w:styleId="Heading3">
    <w:name w:val="heading 3"/>
    <w:basedOn w:val="Normal"/>
    <w:next w:val="Normal"/>
    <w:link w:val="Heading3Char"/>
    <w:semiHidden/>
    <w:rsid w:val="00077B75"/>
    <w:pPr>
      <w:outlineLvl w:val="2"/>
    </w:pPr>
  </w:style>
  <w:style w:type="paragraph" w:styleId="Heading4">
    <w:name w:val="heading 4"/>
    <w:basedOn w:val="Normal"/>
    <w:next w:val="Normal"/>
    <w:link w:val="Heading4Char"/>
    <w:semiHidden/>
    <w:rsid w:val="00077B75"/>
    <w:pPr>
      <w:outlineLvl w:val="3"/>
    </w:pPr>
  </w:style>
  <w:style w:type="paragraph" w:styleId="Heading5">
    <w:name w:val="heading 5"/>
    <w:basedOn w:val="Normal"/>
    <w:next w:val="Normal"/>
    <w:link w:val="Heading5Char"/>
    <w:semiHidden/>
    <w:rsid w:val="00077B75"/>
    <w:pPr>
      <w:outlineLvl w:val="4"/>
    </w:pPr>
  </w:style>
  <w:style w:type="paragraph" w:styleId="Heading6">
    <w:name w:val="heading 6"/>
    <w:basedOn w:val="Normal"/>
    <w:next w:val="Normal"/>
    <w:link w:val="Heading6Char"/>
    <w:semiHidden/>
    <w:rsid w:val="00077B75"/>
    <w:pPr>
      <w:outlineLvl w:val="5"/>
    </w:pPr>
  </w:style>
  <w:style w:type="paragraph" w:styleId="Heading7">
    <w:name w:val="heading 7"/>
    <w:basedOn w:val="Normal"/>
    <w:next w:val="Normal"/>
    <w:link w:val="Heading7Char"/>
    <w:semiHidden/>
    <w:rsid w:val="00077B75"/>
    <w:pPr>
      <w:outlineLvl w:val="6"/>
    </w:pPr>
  </w:style>
  <w:style w:type="paragraph" w:styleId="Heading8">
    <w:name w:val="heading 8"/>
    <w:basedOn w:val="Normal"/>
    <w:next w:val="Normal"/>
    <w:link w:val="Heading8Char"/>
    <w:semiHidden/>
    <w:rsid w:val="00077B75"/>
    <w:pPr>
      <w:outlineLvl w:val="7"/>
    </w:pPr>
  </w:style>
  <w:style w:type="paragraph" w:styleId="Heading9">
    <w:name w:val="heading 9"/>
    <w:basedOn w:val="Normal"/>
    <w:next w:val="Normal"/>
    <w:link w:val="Heading9Char"/>
    <w:semiHidden/>
    <w:rsid w:val="00077B7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077B75"/>
    <w:pPr>
      <w:pBdr>
        <w:bottom w:val="single" w:sz="4" w:space="4" w:color="auto"/>
      </w:pBdr>
    </w:pPr>
    <w:rPr>
      <w:b/>
      <w:sz w:val="18"/>
    </w:rPr>
  </w:style>
  <w:style w:type="character" w:customStyle="1" w:styleId="HeaderChar">
    <w:name w:val="Header Char"/>
    <w:aliases w:val="6_G Char"/>
    <w:basedOn w:val="DefaultParagraphFont"/>
    <w:link w:val="Header"/>
    <w:rsid w:val="00077B75"/>
    <w:rPr>
      <w:rFonts w:ascii="Times New Roman" w:hAnsi="Times New Roman" w:cs="Times New Roman"/>
      <w:b/>
      <w:sz w:val="18"/>
      <w:szCs w:val="20"/>
    </w:rPr>
  </w:style>
  <w:style w:type="paragraph" w:styleId="Footer">
    <w:name w:val="footer"/>
    <w:aliases w:val="3_G"/>
    <w:basedOn w:val="Normal"/>
    <w:link w:val="FooterChar"/>
    <w:rsid w:val="00077B75"/>
    <w:rPr>
      <w:sz w:val="16"/>
    </w:rPr>
  </w:style>
  <w:style w:type="character" w:customStyle="1" w:styleId="FooterChar">
    <w:name w:val="Footer Char"/>
    <w:aliases w:val="3_G Char"/>
    <w:basedOn w:val="DefaultParagraphFont"/>
    <w:link w:val="Footer"/>
    <w:rsid w:val="00077B75"/>
    <w:rPr>
      <w:rFonts w:ascii="Times New Roman" w:hAnsi="Times New Roman" w:cs="Times New Roman"/>
      <w:sz w:val="16"/>
      <w:szCs w:val="20"/>
    </w:rPr>
  </w:style>
  <w:style w:type="paragraph" w:customStyle="1" w:styleId="HMG">
    <w:name w:val="_ H __M_G"/>
    <w:basedOn w:val="Normal"/>
    <w:next w:val="Normal"/>
    <w:rsid w:val="00077B7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077B7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077B7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077B7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077B7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077B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077B75"/>
    <w:pPr>
      <w:spacing w:after="120" w:line="240" w:lineRule="atLeast"/>
      <w:ind w:left="1134" w:right="1134"/>
      <w:jc w:val="both"/>
    </w:pPr>
  </w:style>
  <w:style w:type="paragraph" w:customStyle="1" w:styleId="SLG">
    <w:name w:val="__S_L_G"/>
    <w:basedOn w:val="Normal"/>
    <w:next w:val="Normal"/>
    <w:rsid w:val="00077B75"/>
    <w:pPr>
      <w:keepNext/>
      <w:keepLines/>
      <w:spacing w:before="240" w:after="240" w:line="580" w:lineRule="exact"/>
      <w:ind w:left="1134" w:right="1134"/>
    </w:pPr>
    <w:rPr>
      <w:b/>
      <w:sz w:val="56"/>
    </w:rPr>
  </w:style>
  <w:style w:type="paragraph" w:customStyle="1" w:styleId="SMG">
    <w:name w:val="__S_M_G"/>
    <w:basedOn w:val="Normal"/>
    <w:next w:val="Normal"/>
    <w:rsid w:val="00077B75"/>
    <w:pPr>
      <w:keepNext/>
      <w:keepLines/>
      <w:spacing w:before="240" w:after="240" w:line="420" w:lineRule="exact"/>
      <w:ind w:left="1134" w:right="1134"/>
    </w:pPr>
    <w:rPr>
      <w:b/>
      <w:sz w:val="40"/>
    </w:rPr>
  </w:style>
  <w:style w:type="paragraph" w:customStyle="1" w:styleId="SSG">
    <w:name w:val="__S_S_G"/>
    <w:basedOn w:val="Normal"/>
    <w:next w:val="Normal"/>
    <w:rsid w:val="00077B75"/>
    <w:pPr>
      <w:keepNext/>
      <w:keepLines/>
      <w:spacing w:before="240" w:after="240" w:line="300" w:lineRule="exact"/>
      <w:ind w:left="1134" w:right="1134"/>
    </w:pPr>
    <w:rPr>
      <w:b/>
      <w:sz w:val="28"/>
    </w:rPr>
  </w:style>
  <w:style w:type="paragraph" w:customStyle="1" w:styleId="XLargeG">
    <w:name w:val="__XLarge_G"/>
    <w:basedOn w:val="Normal"/>
    <w:next w:val="Normal"/>
    <w:rsid w:val="00077B75"/>
    <w:pPr>
      <w:keepNext/>
      <w:keepLines/>
      <w:spacing w:before="240" w:after="240" w:line="420" w:lineRule="exact"/>
      <w:ind w:left="1134" w:right="1134"/>
    </w:pPr>
    <w:rPr>
      <w:b/>
      <w:sz w:val="40"/>
    </w:rPr>
  </w:style>
  <w:style w:type="paragraph" w:customStyle="1" w:styleId="Bullet1G">
    <w:name w:val="_Bullet 1_G"/>
    <w:basedOn w:val="Normal"/>
    <w:qFormat/>
    <w:rsid w:val="00077B75"/>
    <w:pPr>
      <w:numPr>
        <w:numId w:val="8"/>
      </w:numPr>
      <w:spacing w:after="120"/>
      <w:ind w:right="1134"/>
      <w:jc w:val="both"/>
    </w:pPr>
  </w:style>
  <w:style w:type="paragraph" w:customStyle="1" w:styleId="Bullet2G">
    <w:name w:val="_Bullet 2_G"/>
    <w:basedOn w:val="Normal"/>
    <w:qFormat/>
    <w:rsid w:val="00077B75"/>
    <w:pPr>
      <w:numPr>
        <w:numId w:val="9"/>
      </w:numPr>
      <w:spacing w:after="120"/>
      <w:ind w:right="1134"/>
      <w:jc w:val="both"/>
    </w:pPr>
  </w:style>
  <w:style w:type="paragraph" w:customStyle="1" w:styleId="ParaNoG">
    <w:name w:val="_ParaNo._G"/>
    <w:basedOn w:val="SingleTxtG"/>
    <w:rsid w:val="00077B75"/>
    <w:pPr>
      <w:numPr>
        <w:numId w:val="10"/>
      </w:numPr>
    </w:pPr>
  </w:style>
  <w:style w:type="numbering" w:styleId="111111">
    <w:name w:val="Outline List 2"/>
    <w:basedOn w:val="NoList"/>
    <w:semiHidden/>
    <w:rsid w:val="00077B75"/>
    <w:pPr>
      <w:numPr>
        <w:numId w:val="11"/>
      </w:numPr>
    </w:pPr>
  </w:style>
  <w:style w:type="numbering" w:styleId="1ai">
    <w:name w:val="Outline List 1"/>
    <w:basedOn w:val="NoList"/>
    <w:semiHidden/>
    <w:rsid w:val="00077B75"/>
    <w:pPr>
      <w:numPr>
        <w:numId w:val="6"/>
      </w:numPr>
    </w:pPr>
  </w:style>
  <w:style w:type="character" w:styleId="EndnoteReference">
    <w:name w:val="endnote reference"/>
    <w:aliases w:val="1_G"/>
    <w:rsid w:val="00077B75"/>
    <w:rPr>
      <w:rFonts w:ascii="Times New Roman" w:hAnsi="Times New Roman"/>
      <w:sz w:val="18"/>
      <w:vertAlign w:val="superscript"/>
    </w:rPr>
  </w:style>
  <w:style w:type="paragraph" w:styleId="FootnoteText">
    <w:name w:val="footnote text"/>
    <w:aliases w:val="5_G"/>
    <w:basedOn w:val="Normal"/>
    <w:link w:val="FootnoteTextChar"/>
    <w:rsid w:val="00077B75"/>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077B75"/>
    <w:rPr>
      <w:rFonts w:ascii="Times New Roman" w:hAnsi="Times New Roman" w:cs="Times New Roman"/>
      <w:sz w:val="18"/>
      <w:szCs w:val="20"/>
    </w:rPr>
  </w:style>
  <w:style w:type="paragraph" w:styleId="EndnoteText">
    <w:name w:val="endnote text"/>
    <w:aliases w:val="2_G"/>
    <w:basedOn w:val="FootnoteText"/>
    <w:link w:val="EndnoteTextChar"/>
    <w:rsid w:val="00077B75"/>
  </w:style>
  <w:style w:type="character" w:customStyle="1" w:styleId="EndnoteTextChar">
    <w:name w:val="Endnote Text Char"/>
    <w:aliases w:val="2_G Char"/>
    <w:basedOn w:val="DefaultParagraphFont"/>
    <w:link w:val="EndnoteText"/>
    <w:rsid w:val="00077B75"/>
    <w:rPr>
      <w:rFonts w:ascii="Times New Roman" w:hAnsi="Times New Roman" w:cs="Times New Roman"/>
      <w:sz w:val="18"/>
      <w:szCs w:val="20"/>
    </w:rPr>
  </w:style>
  <w:style w:type="character" w:styleId="FootnoteReference">
    <w:name w:val="footnote reference"/>
    <w:aliases w:val="4_G"/>
    <w:rsid w:val="00077B75"/>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077B75"/>
    <w:rPr>
      <w:rFonts w:ascii="Times New Roman" w:hAnsi="Times New Roman" w:cs="Times New Roman"/>
      <w:sz w:val="20"/>
      <w:szCs w:val="20"/>
    </w:rPr>
  </w:style>
  <w:style w:type="character" w:customStyle="1" w:styleId="Heading2Char">
    <w:name w:val="Heading 2 Char"/>
    <w:basedOn w:val="DefaultParagraphFont"/>
    <w:link w:val="Heading2"/>
    <w:semiHidden/>
    <w:rsid w:val="00077B75"/>
    <w:rPr>
      <w:rFonts w:ascii="Times New Roman" w:hAnsi="Times New Roman" w:cs="Times New Roman"/>
      <w:sz w:val="20"/>
      <w:szCs w:val="20"/>
    </w:rPr>
  </w:style>
  <w:style w:type="character" w:customStyle="1" w:styleId="Heading3Char">
    <w:name w:val="Heading 3 Char"/>
    <w:basedOn w:val="DefaultParagraphFont"/>
    <w:link w:val="Heading3"/>
    <w:semiHidden/>
    <w:rsid w:val="00077B75"/>
    <w:rPr>
      <w:rFonts w:ascii="Times New Roman" w:hAnsi="Times New Roman" w:cs="Times New Roman"/>
      <w:sz w:val="20"/>
      <w:szCs w:val="20"/>
    </w:rPr>
  </w:style>
  <w:style w:type="character" w:customStyle="1" w:styleId="Heading4Char">
    <w:name w:val="Heading 4 Char"/>
    <w:basedOn w:val="DefaultParagraphFont"/>
    <w:link w:val="Heading4"/>
    <w:semiHidden/>
    <w:rsid w:val="00077B75"/>
    <w:rPr>
      <w:rFonts w:ascii="Times New Roman" w:hAnsi="Times New Roman" w:cs="Times New Roman"/>
      <w:sz w:val="20"/>
      <w:szCs w:val="20"/>
    </w:rPr>
  </w:style>
  <w:style w:type="character" w:customStyle="1" w:styleId="Heading5Char">
    <w:name w:val="Heading 5 Char"/>
    <w:basedOn w:val="DefaultParagraphFont"/>
    <w:link w:val="Heading5"/>
    <w:semiHidden/>
    <w:rsid w:val="00077B75"/>
    <w:rPr>
      <w:rFonts w:ascii="Times New Roman" w:hAnsi="Times New Roman" w:cs="Times New Roman"/>
      <w:sz w:val="20"/>
      <w:szCs w:val="20"/>
    </w:rPr>
  </w:style>
  <w:style w:type="character" w:customStyle="1" w:styleId="Heading6Char">
    <w:name w:val="Heading 6 Char"/>
    <w:basedOn w:val="DefaultParagraphFont"/>
    <w:link w:val="Heading6"/>
    <w:semiHidden/>
    <w:rsid w:val="00077B75"/>
    <w:rPr>
      <w:rFonts w:ascii="Times New Roman" w:hAnsi="Times New Roman" w:cs="Times New Roman"/>
      <w:sz w:val="20"/>
      <w:szCs w:val="20"/>
    </w:rPr>
  </w:style>
  <w:style w:type="character" w:customStyle="1" w:styleId="Heading7Char">
    <w:name w:val="Heading 7 Char"/>
    <w:basedOn w:val="DefaultParagraphFont"/>
    <w:link w:val="Heading7"/>
    <w:semiHidden/>
    <w:rsid w:val="00077B75"/>
    <w:rPr>
      <w:rFonts w:ascii="Times New Roman" w:hAnsi="Times New Roman" w:cs="Times New Roman"/>
      <w:sz w:val="20"/>
      <w:szCs w:val="20"/>
    </w:rPr>
  </w:style>
  <w:style w:type="character" w:customStyle="1" w:styleId="Heading8Char">
    <w:name w:val="Heading 8 Char"/>
    <w:basedOn w:val="DefaultParagraphFont"/>
    <w:link w:val="Heading8"/>
    <w:semiHidden/>
    <w:rsid w:val="00077B75"/>
    <w:rPr>
      <w:rFonts w:ascii="Times New Roman" w:hAnsi="Times New Roman" w:cs="Times New Roman"/>
      <w:sz w:val="20"/>
      <w:szCs w:val="20"/>
    </w:rPr>
  </w:style>
  <w:style w:type="character" w:customStyle="1" w:styleId="Heading9Char">
    <w:name w:val="Heading 9 Char"/>
    <w:basedOn w:val="DefaultParagraphFont"/>
    <w:link w:val="Heading9"/>
    <w:semiHidden/>
    <w:rsid w:val="00077B75"/>
    <w:rPr>
      <w:rFonts w:ascii="Times New Roman" w:hAnsi="Times New Roman" w:cs="Times New Roman"/>
      <w:sz w:val="20"/>
      <w:szCs w:val="20"/>
    </w:rPr>
  </w:style>
  <w:style w:type="character" w:styleId="PageNumber">
    <w:name w:val="page number"/>
    <w:aliases w:val="7_G"/>
    <w:semiHidden/>
    <w:rsid w:val="00077B75"/>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077B7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7B75"/>
    <w:rPr>
      <w:rFonts w:ascii="Tahoma" w:hAnsi="Tahoma" w:cs="Tahoma"/>
      <w:sz w:val="16"/>
      <w:szCs w:val="16"/>
    </w:rPr>
  </w:style>
  <w:style w:type="character" w:customStyle="1" w:styleId="BalloonTextChar">
    <w:name w:val="Balloon Text Char"/>
    <w:basedOn w:val="DefaultParagraphFont"/>
    <w:link w:val="BalloonText"/>
    <w:uiPriority w:val="99"/>
    <w:semiHidden/>
    <w:rsid w:val="00077B75"/>
    <w:rPr>
      <w:rFonts w:ascii="Tahoma" w:hAnsi="Tahoma" w:cs="Tahoma"/>
      <w:sz w:val="16"/>
      <w:szCs w:val="16"/>
    </w:rPr>
  </w:style>
  <w:style w:type="paragraph" w:styleId="TOC1">
    <w:name w:val="toc 1"/>
    <w:basedOn w:val="Normal"/>
    <w:next w:val="Normal"/>
    <w:autoRedefine/>
    <w:uiPriority w:val="39"/>
    <w:unhideWhenUsed/>
    <w:rsid w:val="00FD0450"/>
    <w:pPr>
      <w:spacing w:after="100"/>
    </w:pPr>
  </w:style>
  <w:style w:type="paragraph" w:styleId="TOC2">
    <w:name w:val="toc 2"/>
    <w:basedOn w:val="Normal"/>
    <w:next w:val="Normal"/>
    <w:autoRedefine/>
    <w:uiPriority w:val="39"/>
    <w:unhideWhenUsed/>
    <w:rsid w:val="00FD0450"/>
    <w:pPr>
      <w:spacing w:after="100"/>
      <w:ind w:left="200"/>
    </w:pPr>
  </w:style>
  <w:style w:type="paragraph" w:styleId="TOC3">
    <w:name w:val="toc 3"/>
    <w:basedOn w:val="Normal"/>
    <w:next w:val="Normal"/>
    <w:autoRedefine/>
    <w:uiPriority w:val="39"/>
    <w:unhideWhenUsed/>
    <w:rsid w:val="00FD0450"/>
    <w:pPr>
      <w:spacing w:after="100"/>
      <w:ind w:left="400"/>
    </w:pPr>
  </w:style>
  <w:style w:type="character" w:styleId="Hyperlink">
    <w:name w:val="Hyperlink"/>
    <w:basedOn w:val="DefaultParagraphFont"/>
    <w:uiPriority w:val="99"/>
    <w:unhideWhenUsed/>
    <w:rsid w:val="00FD0450"/>
    <w:rPr>
      <w:color w:val="0000FF" w:themeColor="hyperlink"/>
      <w:u w:val="single"/>
    </w:rPr>
  </w:style>
  <w:style w:type="paragraph" w:styleId="TOC4">
    <w:name w:val="toc 4"/>
    <w:basedOn w:val="Normal"/>
    <w:next w:val="Normal"/>
    <w:autoRedefine/>
    <w:uiPriority w:val="39"/>
    <w:unhideWhenUsed/>
    <w:rsid w:val="009C43DD"/>
    <w:pPr>
      <w:spacing w:after="100"/>
      <w:ind w:left="600"/>
    </w:pPr>
  </w:style>
  <w:style w:type="paragraph" w:styleId="TOC5">
    <w:name w:val="toc 5"/>
    <w:basedOn w:val="Normal"/>
    <w:next w:val="Normal"/>
    <w:autoRedefine/>
    <w:uiPriority w:val="39"/>
    <w:unhideWhenUsed/>
    <w:rsid w:val="009C43DD"/>
    <w:pPr>
      <w:spacing w:after="100" w:line="259" w:lineRule="auto"/>
      <w:ind w:left="880"/>
    </w:pPr>
    <w:rPr>
      <w:rFonts w:asciiTheme="minorHAnsi" w:hAnsiTheme="minorHAnsi" w:cstheme="minorBidi"/>
      <w:sz w:val="22"/>
      <w:szCs w:val="22"/>
    </w:rPr>
  </w:style>
  <w:style w:type="paragraph" w:styleId="TOC6">
    <w:name w:val="toc 6"/>
    <w:basedOn w:val="Normal"/>
    <w:next w:val="Normal"/>
    <w:autoRedefine/>
    <w:uiPriority w:val="39"/>
    <w:unhideWhenUsed/>
    <w:rsid w:val="009C43DD"/>
    <w:pPr>
      <w:spacing w:after="100" w:line="259" w:lineRule="auto"/>
      <w:ind w:left="1100"/>
    </w:pPr>
    <w:rPr>
      <w:rFonts w:asciiTheme="minorHAnsi" w:hAnsiTheme="minorHAnsi" w:cstheme="minorBidi"/>
      <w:sz w:val="22"/>
      <w:szCs w:val="22"/>
    </w:rPr>
  </w:style>
  <w:style w:type="paragraph" w:styleId="TOC7">
    <w:name w:val="toc 7"/>
    <w:basedOn w:val="Normal"/>
    <w:next w:val="Normal"/>
    <w:autoRedefine/>
    <w:uiPriority w:val="39"/>
    <w:unhideWhenUsed/>
    <w:rsid w:val="009C43DD"/>
    <w:pPr>
      <w:spacing w:after="100" w:line="259" w:lineRule="auto"/>
      <w:ind w:left="1320"/>
    </w:pPr>
    <w:rPr>
      <w:rFonts w:asciiTheme="minorHAnsi" w:hAnsiTheme="minorHAnsi" w:cstheme="minorBidi"/>
      <w:sz w:val="22"/>
      <w:szCs w:val="22"/>
    </w:rPr>
  </w:style>
  <w:style w:type="paragraph" w:styleId="TOC8">
    <w:name w:val="toc 8"/>
    <w:basedOn w:val="Normal"/>
    <w:next w:val="Normal"/>
    <w:autoRedefine/>
    <w:uiPriority w:val="39"/>
    <w:unhideWhenUsed/>
    <w:rsid w:val="009C43DD"/>
    <w:pPr>
      <w:spacing w:after="100" w:line="259" w:lineRule="auto"/>
      <w:ind w:left="1540"/>
    </w:pPr>
    <w:rPr>
      <w:rFonts w:asciiTheme="minorHAnsi" w:hAnsiTheme="minorHAnsi" w:cstheme="minorBidi"/>
      <w:sz w:val="22"/>
      <w:szCs w:val="22"/>
    </w:rPr>
  </w:style>
  <w:style w:type="paragraph" w:styleId="TOC9">
    <w:name w:val="toc 9"/>
    <w:basedOn w:val="Normal"/>
    <w:next w:val="Normal"/>
    <w:autoRedefine/>
    <w:uiPriority w:val="39"/>
    <w:unhideWhenUsed/>
    <w:rsid w:val="009C43DD"/>
    <w:pPr>
      <w:spacing w:after="100" w:line="259" w:lineRule="auto"/>
      <w:ind w:left="1760"/>
    </w:pPr>
    <w:rPr>
      <w:rFonts w:asciiTheme="minorHAnsi" w:hAnsiTheme="minorHAnsi" w:cstheme="minorBidi"/>
      <w:sz w:val="22"/>
      <w:szCs w:val="22"/>
    </w:rPr>
  </w:style>
  <w:style w:type="paragraph" w:styleId="CommentText">
    <w:name w:val="annotation text"/>
    <w:basedOn w:val="Normal"/>
    <w:link w:val="CommentTextChar"/>
    <w:uiPriority w:val="99"/>
    <w:semiHidden/>
    <w:unhideWhenUsed/>
    <w:rsid w:val="000248B5"/>
  </w:style>
  <w:style w:type="character" w:customStyle="1" w:styleId="CommentTextChar">
    <w:name w:val="Comment Text Char"/>
    <w:basedOn w:val="DefaultParagraphFont"/>
    <w:link w:val="CommentText"/>
    <w:uiPriority w:val="99"/>
    <w:semiHidden/>
    <w:rsid w:val="000248B5"/>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0248B5"/>
    <w:rPr>
      <w:sz w:val="16"/>
      <w:szCs w:val="16"/>
    </w:rPr>
  </w:style>
  <w:style w:type="character" w:styleId="PlaceholderText">
    <w:name w:val="Placeholder Text"/>
    <w:basedOn w:val="DefaultParagraphFont"/>
    <w:uiPriority w:val="99"/>
    <w:semiHidden/>
    <w:rsid w:val="00427AE3"/>
    <w:rPr>
      <w:color w:val="808080"/>
    </w:rPr>
  </w:style>
  <w:style w:type="character" w:customStyle="1" w:styleId="terminologypart">
    <w:name w:val="terminologypart"/>
    <w:basedOn w:val="DefaultParagraphFont"/>
    <w:rsid w:val="000E2C74"/>
  </w:style>
  <w:style w:type="paragraph" w:styleId="CommentSubject">
    <w:name w:val="annotation subject"/>
    <w:basedOn w:val="CommentText"/>
    <w:next w:val="CommentText"/>
    <w:link w:val="CommentSubjectChar"/>
    <w:uiPriority w:val="99"/>
    <w:semiHidden/>
    <w:unhideWhenUsed/>
    <w:rsid w:val="00535D69"/>
    <w:rPr>
      <w:b/>
      <w:bCs/>
    </w:rPr>
  </w:style>
  <w:style w:type="character" w:customStyle="1" w:styleId="CommentSubjectChar">
    <w:name w:val="Comment Subject Char"/>
    <w:basedOn w:val="CommentTextChar"/>
    <w:link w:val="CommentSubject"/>
    <w:uiPriority w:val="99"/>
    <w:semiHidden/>
    <w:rsid w:val="00535D69"/>
    <w:rPr>
      <w:rFonts w:ascii="Times New Roman" w:hAnsi="Times New Roman" w:cs="Times New Roman"/>
      <w:b/>
      <w:bCs/>
      <w:sz w:val="20"/>
      <w:szCs w:val="20"/>
    </w:rPr>
  </w:style>
  <w:style w:type="character" w:customStyle="1" w:styleId="tlid-translation">
    <w:name w:val="tlid-translation"/>
    <w:basedOn w:val="DefaultParagraphFont"/>
    <w:rsid w:val="00A117DD"/>
  </w:style>
  <w:style w:type="character" w:styleId="FollowedHyperlink">
    <w:name w:val="FollowedHyperlink"/>
    <w:basedOn w:val="DefaultParagraphFont"/>
    <w:uiPriority w:val="99"/>
    <w:semiHidden/>
    <w:unhideWhenUsed/>
    <w:rsid w:val="002C08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346233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58274498">
      <w:bodyDiv w:val="1"/>
      <w:marLeft w:val="0"/>
      <w:marRight w:val="0"/>
      <w:marTop w:val="0"/>
      <w:marBottom w:val="0"/>
      <w:divBdr>
        <w:top w:val="none" w:sz="0" w:space="0" w:color="auto"/>
        <w:left w:val="none" w:sz="0" w:space="0" w:color="auto"/>
        <w:bottom w:val="none" w:sz="0" w:space="0" w:color="auto"/>
        <w:right w:val="none" w:sz="0" w:space="0" w:color="auto"/>
      </w:divBdr>
      <w:divsChild>
        <w:div w:id="1200508367">
          <w:marLeft w:val="0"/>
          <w:marRight w:val="0"/>
          <w:marTop w:val="0"/>
          <w:marBottom w:val="0"/>
          <w:divBdr>
            <w:top w:val="none" w:sz="0" w:space="0" w:color="auto"/>
            <w:left w:val="none" w:sz="0" w:space="0" w:color="auto"/>
            <w:bottom w:val="none" w:sz="0" w:space="0" w:color="auto"/>
            <w:right w:val="none" w:sz="0" w:space="0" w:color="auto"/>
          </w:divBdr>
        </w:div>
        <w:div w:id="680937654">
          <w:marLeft w:val="0"/>
          <w:marRight w:val="0"/>
          <w:marTop w:val="0"/>
          <w:marBottom w:val="0"/>
          <w:divBdr>
            <w:top w:val="none" w:sz="0" w:space="0" w:color="auto"/>
            <w:left w:val="none" w:sz="0" w:space="0" w:color="auto"/>
            <w:bottom w:val="none" w:sz="0" w:space="0" w:color="auto"/>
            <w:right w:val="none" w:sz="0" w:space="0" w:color="auto"/>
          </w:divBdr>
        </w:div>
        <w:div w:id="500049848">
          <w:marLeft w:val="0"/>
          <w:marRight w:val="0"/>
          <w:marTop w:val="0"/>
          <w:marBottom w:val="0"/>
          <w:divBdr>
            <w:top w:val="none" w:sz="0" w:space="0" w:color="auto"/>
            <w:left w:val="none" w:sz="0" w:space="0" w:color="auto"/>
            <w:bottom w:val="none" w:sz="0" w:space="0" w:color="auto"/>
            <w:right w:val="none" w:sz="0" w:space="0" w:color="auto"/>
          </w:divBdr>
        </w:div>
        <w:div w:id="1103650914">
          <w:marLeft w:val="0"/>
          <w:marRight w:val="0"/>
          <w:marTop w:val="0"/>
          <w:marBottom w:val="0"/>
          <w:divBdr>
            <w:top w:val="none" w:sz="0" w:space="0" w:color="auto"/>
            <w:left w:val="none" w:sz="0" w:space="0" w:color="auto"/>
            <w:bottom w:val="none" w:sz="0" w:space="0" w:color="auto"/>
            <w:right w:val="none" w:sz="0" w:space="0" w:color="auto"/>
          </w:divBdr>
        </w:div>
        <w:div w:id="591475473">
          <w:marLeft w:val="0"/>
          <w:marRight w:val="0"/>
          <w:marTop w:val="0"/>
          <w:marBottom w:val="0"/>
          <w:divBdr>
            <w:top w:val="none" w:sz="0" w:space="0" w:color="auto"/>
            <w:left w:val="none" w:sz="0" w:space="0" w:color="auto"/>
            <w:bottom w:val="none" w:sz="0" w:space="0" w:color="auto"/>
            <w:right w:val="none" w:sz="0" w:space="0" w:color="auto"/>
          </w:divBdr>
        </w:div>
        <w:div w:id="408887022">
          <w:marLeft w:val="0"/>
          <w:marRight w:val="0"/>
          <w:marTop w:val="0"/>
          <w:marBottom w:val="0"/>
          <w:divBdr>
            <w:top w:val="none" w:sz="0" w:space="0" w:color="auto"/>
            <w:left w:val="none" w:sz="0" w:space="0" w:color="auto"/>
            <w:bottom w:val="none" w:sz="0" w:space="0" w:color="auto"/>
            <w:right w:val="none" w:sz="0" w:space="0" w:color="auto"/>
          </w:divBdr>
        </w:div>
        <w:div w:id="723720191">
          <w:marLeft w:val="0"/>
          <w:marRight w:val="0"/>
          <w:marTop w:val="0"/>
          <w:marBottom w:val="0"/>
          <w:divBdr>
            <w:top w:val="none" w:sz="0" w:space="0" w:color="auto"/>
            <w:left w:val="none" w:sz="0" w:space="0" w:color="auto"/>
            <w:bottom w:val="none" w:sz="0" w:space="0" w:color="auto"/>
            <w:right w:val="none" w:sz="0" w:space="0" w:color="auto"/>
          </w:divBdr>
        </w:div>
        <w:div w:id="607081357">
          <w:marLeft w:val="0"/>
          <w:marRight w:val="0"/>
          <w:marTop w:val="0"/>
          <w:marBottom w:val="0"/>
          <w:divBdr>
            <w:top w:val="none" w:sz="0" w:space="0" w:color="auto"/>
            <w:left w:val="none" w:sz="0" w:space="0" w:color="auto"/>
            <w:bottom w:val="none" w:sz="0" w:space="0" w:color="auto"/>
            <w:right w:val="none" w:sz="0" w:space="0" w:color="auto"/>
          </w:divBdr>
        </w:div>
        <w:div w:id="2042364740">
          <w:marLeft w:val="0"/>
          <w:marRight w:val="0"/>
          <w:marTop w:val="0"/>
          <w:marBottom w:val="0"/>
          <w:divBdr>
            <w:top w:val="none" w:sz="0" w:space="0" w:color="auto"/>
            <w:left w:val="none" w:sz="0" w:space="0" w:color="auto"/>
            <w:bottom w:val="none" w:sz="0" w:space="0" w:color="auto"/>
            <w:right w:val="none" w:sz="0" w:space="0" w:color="auto"/>
          </w:divBdr>
        </w:div>
        <w:div w:id="1221863445">
          <w:marLeft w:val="0"/>
          <w:marRight w:val="0"/>
          <w:marTop w:val="0"/>
          <w:marBottom w:val="0"/>
          <w:divBdr>
            <w:top w:val="none" w:sz="0" w:space="0" w:color="auto"/>
            <w:left w:val="none" w:sz="0" w:space="0" w:color="auto"/>
            <w:bottom w:val="none" w:sz="0" w:space="0" w:color="auto"/>
            <w:right w:val="none" w:sz="0" w:space="0" w:color="auto"/>
          </w:divBdr>
        </w:div>
        <w:div w:id="964117050">
          <w:marLeft w:val="0"/>
          <w:marRight w:val="0"/>
          <w:marTop w:val="0"/>
          <w:marBottom w:val="0"/>
          <w:divBdr>
            <w:top w:val="none" w:sz="0" w:space="0" w:color="auto"/>
            <w:left w:val="none" w:sz="0" w:space="0" w:color="auto"/>
            <w:bottom w:val="none" w:sz="0" w:space="0" w:color="auto"/>
            <w:right w:val="none" w:sz="0" w:space="0" w:color="auto"/>
          </w:divBdr>
        </w:div>
        <w:div w:id="1457866331">
          <w:marLeft w:val="0"/>
          <w:marRight w:val="0"/>
          <w:marTop w:val="0"/>
          <w:marBottom w:val="0"/>
          <w:divBdr>
            <w:top w:val="none" w:sz="0" w:space="0" w:color="auto"/>
            <w:left w:val="none" w:sz="0" w:space="0" w:color="auto"/>
            <w:bottom w:val="none" w:sz="0" w:space="0" w:color="auto"/>
            <w:right w:val="none" w:sz="0" w:space="0" w:color="auto"/>
          </w:divBdr>
        </w:div>
        <w:div w:id="771629727">
          <w:marLeft w:val="0"/>
          <w:marRight w:val="0"/>
          <w:marTop w:val="0"/>
          <w:marBottom w:val="0"/>
          <w:divBdr>
            <w:top w:val="none" w:sz="0" w:space="0" w:color="auto"/>
            <w:left w:val="none" w:sz="0" w:space="0" w:color="auto"/>
            <w:bottom w:val="none" w:sz="0" w:space="0" w:color="auto"/>
            <w:right w:val="none" w:sz="0" w:space="0" w:color="auto"/>
          </w:divBdr>
        </w:div>
        <w:div w:id="1347058128">
          <w:marLeft w:val="0"/>
          <w:marRight w:val="0"/>
          <w:marTop w:val="0"/>
          <w:marBottom w:val="0"/>
          <w:divBdr>
            <w:top w:val="none" w:sz="0" w:space="0" w:color="auto"/>
            <w:left w:val="none" w:sz="0" w:space="0" w:color="auto"/>
            <w:bottom w:val="none" w:sz="0" w:space="0" w:color="auto"/>
            <w:right w:val="none" w:sz="0" w:space="0" w:color="auto"/>
          </w:divBdr>
        </w:div>
        <w:div w:id="1108769849">
          <w:marLeft w:val="0"/>
          <w:marRight w:val="0"/>
          <w:marTop w:val="0"/>
          <w:marBottom w:val="0"/>
          <w:divBdr>
            <w:top w:val="none" w:sz="0" w:space="0" w:color="auto"/>
            <w:left w:val="none" w:sz="0" w:space="0" w:color="auto"/>
            <w:bottom w:val="none" w:sz="0" w:space="0" w:color="auto"/>
            <w:right w:val="none" w:sz="0" w:space="0" w:color="auto"/>
          </w:divBdr>
        </w:div>
        <w:div w:id="1343629279">
          <w:marLeft w:val="0"/>
          <w:marRight w:val="0"/>
          <w:marTop w:val="0"/>
          <w:marBottom w:val="0"/>
          <w:divBdr>
            <w:top w:val="none" w:sz="0" w:space="0" w:color="auto"/>
            <w:left w:val="none" w:sz="0" w:space="0" w:color="auto"/>
            <w:bottom w:val="none" w:sz="0" w:space="0" w:color="auto"/>
            <w:right w:val="none" w:sz="0" w:space="0" w:color="auto"/>
          </w:divBdr>
        </w:div>
        <w:div w:id="767773783">
          <w:marLeft w:val="0"/>
          <w:marRight w:val="0"/>
          <w:marTop w:val="0"/>
          <w:marBottom w:val="0"/>
          <w:divBdr>
            <w:top w:val="none" w:sz="0" w:space="0" w:color="auto"/>
            <w:left w:val="none" w:sz="0" w:space="0" w:color="auto"/>
            <w:bottom w:val="none" w:sz="0" w:space="0" w:color="auto"/>
            <w:right w:val="none" w:sz="0" w:space="0" w:color="auto"/>
          </w:divBdr>
        </w:div>
        <w:div w:id="1270697552">
          <w:marLeft w:val="0"/>
          <w:marRight w:val="0"/>
          <w:marTop w:val="0"/>
          <w:marBottom w:val="0"/>
          <w:divBdr>
            <w:top w:val="none" w:sz="0" w:space="0" w:color="auto"/>
            <w:left w:val="none" w:sz="0" w:space="0" w:color="auto"/>
            <w:bottom w:val="none" w:sz="0" w:space="0" w:color="auto"/>
            <w:right w:val="none" w:sz="0" w:space="0" w:color="auto"/>
          </w:divBdr>
        </w:div>
        <w:div w:id="1736275745">
          <w:marLeft w:val="0"/>
          <w:marRight w:val="0"/>
          <w:marTop w:val="0"/>
          <w:marBottom w:val="0"/>
          <w:divBdr>
            <w:top w:val="none" w:sz="0" w:space="0" w:color="auto"/>
            <w:left w:val="none" w:sz="0" w:space="0" w:color="auto"/>
            <w:bottom w:val="none" w:sz="0" w:space="0" w:color="auto"/>
            <w:right w:val="none" w:sz="0" w:space="0" w:color="auto"/>
          </w:divBdr>
        </w:div>
        <w:div w:id="1601988403">
          <w:marLeft w:val="0"/>
          <w:marRight w:val="0"/>
          <w:marTop w:val="0"/>
          <w:marBottom w:val="0"/>
          <w:divBdr>
            <w:top w:val="none" w:sz="0" w:space="0" w:color="auto"/>
            <w:left w:val="none" w:sz="0" w:space="0" w:color="auto"/>
            <w:bottom w:val="none" w:sz="0" w:space="0" w:color="auto"/>
            <w:right w:val="none" w:sz="0" w:space="0" w:color="auto"/>
          </w:divBdr>
        </w:div>
        <w:div w:id="1177576084">
          <w:marLeft w:val="0"/>
          <w:marRight w:val="0"/>
          <w:marTop w:val="0"/>
          <w:marBottom w:val="0"/>
          <w:divBdr>
            <w:top w:val="none" w:sz="0" w:space="0" w:color="auto"/>
            <w:left w:val="none" w:sz="0" w:space="0" w:color="auto"/>
            <w:bottom w:val="none" w:sz="0" w:space="0" w:color="auto"/>
            <w:right w:val="none" w:sz="0" w:space="0" w:color="auto"/>
          </w:divBdr>
        </w:div>
        <w:div w:id="1721708223">
          <w:marLeft w:val="0"/>
          <w:marRight w:val="0"/>
          <w:marTop w:val="0"/>
          <w:marBottom w:val="0"/>
          <w:divBdr>
            <w:top w:val="none" w:sz="0" w:space="0" w:color="auto"/>
            <w:left w:val="none" w:sz="0" w:space="0" w:color="auto"/>
            <w:bottom w:val="none" w:sz="0" w:space="0" w:color="auto"/>
            <w:right w:val="none" w:sz="0" w:space="0" w:color="auto"/>
          </w:divBdr>
        </w:div>
        <w:div w:id="1643001591">
          <w:marLeft w:val="0"/>
          <w:marRight w:val="0"/>
          <w:marTop w:val="0"/>
          <w:marBottom w:val="0"/>
          <w:divBdr>
            <w:top w:val="none" w:sz="0" w:space="0" w:color="auto"/>
            <w:left w:val="none" w:sz="0" w:space="0" w:color="auto"/>
            <w:bottom w:val="none" w:sz="0" w:space="0" w:color="auto"/>
            <w:right w:val="none" w:sz="0" w:space="0" w:color="auto"/>
          </w:divBdr>
        </w:div>
        <w:div w:id="842472666">
          <w:marLeft w:val="0"/>
          <w:marRight w:val="0"/>
          <w:marTop w:val="0"/>
          <w:marBottom w:val="0"/>
          <w:divBdr>
            <w:top w:val="none" w:sz="0" w:space="0" w:color="auto"/>
            <w:left w:val="none" w:sz="0" w:space="0" w:color="auto"/>
            <w:bottom w:val="none" w:sz="0" w:space="0" w:color="auto"/>
            <w:right w:val="none" w:sz="0" w:space="0" w:color="auto"/>
          </w:divBdr>
        </w:div>
        <w:div w:id="2009018463">
          <w:marLeft w:val="0"/>
          <w:marRight w:val="0"/>
          <w:marTop w:val="0"/>
          <w:marBottom w:val="0"/>
          <w:divBdr>
            <w:top w:val="none" w:sz="0" w:space="0" w:color="auto"/>
            <w:left w:val="none" w:sz="0" w:space="0" w:color="auto"/>
            <w:bottom w:val="none" w:sz="0" w:space="0" w:color="auto"/>
            <w:right w:val="none" w:sz="0" w:space="0" w:color="auto"/>
          </w:divBdr>
        </w:div>
        <w:div w:id="804784970">
          <w:marLeft w:val="0"/>
          <w:marRight w:val="0"/>
          <w:marTop w:val="0"/>
          <w:marBottom w:val="0"/>
          <w:divBdr>
            <w:top w:val="none" w:sz="0" w:space="0" w:color="auto"/>
            <w:left w:val="none" w:sz="0" w:space="0" w:color="auto"/>
            <w:bottom w:val="none" w:sz="0" w:space="0" w:color="auto"/>
            <w:right w:val="none" w:sz="0" w:space="0" w:color="auto"/>
          </w:divBdr>
        </w:div>
        <w:div w:id="546529250">
          <w:marLeft w:val="0"/>
          <w:marRight w:val="0"/>
          <w:marTop w:val="0"/>
          <w:marBottom w:val="0"/>
          <w:divBdr>
            <w:top w:val="none" w:sz="0" w:space="0" w:color="auto"/>
            <w:left w:val="none" w:sz="0" w:space="0" w:color="auto"/>
            <w:bottom w:val="none" w:sz="0" w:space="0" w:color="auto"/>
            <w:right w:val="none" w:sz="0" w:space="0" w:color="auto"/>
          </w:divBdr>
        </w:div>
        <w:div w:id="1926643064">
          <w:marLeft w:val="0"/>
          <w:marRight w:val="0"/>
          <w:marTop w:val="0"/>
          <w:marBottom w:val="0"/>
          <w:divBdr>
            <w:top w:val="none" w:sz="0" w:space="0" w:color="auto"/>
            <w:left w:val="none" w:sz="0" w:space="0" w:color="auto"/>
            <w:bottom w:val="none" w:sz="0" w:space="0" w:color="auto"/>
            <w:right w:val="none" w:sz="0" w:space="0" w:color="auto"/>
          </w:divBdr>
        </w:div>
        <w:div w:id="1146044554">
          <w:marLeft w:val="0"/>
          <w:marRight w:val="0"/>
          <w:marTop w:val="0"/>
          <w:marBottom w:val="0"/>
          <w:divBdr>
            <w:top w:val="none" w:sz="0" w:space="0" w:color="auto"/>
            <w:left w:val="none" w:sz="0" w:space="0" w:color="auto"/>
            <w:bottom w:val="none" w:sz="0" w:space="0" w:color="auto"/>
            <w:right w:val="none" w:sz="0" w:space="0" w:color="auto"/>
          </w:divBdr>
        </w:div>
        <w:div w:id="198592584">
          <w:marLeft w:val="0"/>
          <w:marRight w:val="0"/>
          <w:marTop w:val="0"/>
          <w:marBottom w:val="0"/>
          <w:divBdr>
            <w:top w:val="none" w:sz="0" w:space="0" w:color="auto"/>
            <w:left w:val="none" w:sz="0" w:space="0" w:color="auto"/>
            <w:bottom w:val="none" w:sz="0" w:space="0" w:color="auto"/>
            <w:right w:val="none" w:sz="0" w:space="0" w:color="auto"/>
          </w:divBdr>
        </w:div>
        <w:div w:id="2131123084">
          <w:marLeft w:val="0"/>
          <w:marRight w:val="0"/>
          <w:marTop w:val="0"/>
          <w:marBottom w:val="0"/>
          <w:divBdr>
            <w:top w:val="none" w:sz="0" w:space="0" w:color="auto"/>
            <w:left w:val="none" w:sz="0" w:space="0" w:color="auto"/>
            <w:bottom w:val="none" w:sz="0" w:space="0" w:color="auto"/>
            <w:right w:val="none" w:sz="0" w:space="0" w:color="auto"/>
          </w:divBdr>
        </w:div>
        <w:div w:id="756367872">
          <w:marLeft w:val="0"/>
          <w:marRight w:val="0"/>
          <w:marTop w:val="0"/>
          <w:marBottom w:val="0"/>
          <w:divBdr>
            <w:top w:val="none" w:sz="0" w:space="0" w:color="auto"/>
            <w:left w:val="none" w:sz="0" w:space="0" w:color="auto"/>
            <w:bottom w:val="none" w:sz="0" w:space="0" w:color="auto"/>
            <w:right w:val="none" w:sz="0" w:space="0" w:color="auto"/>
          </w:divBdr>
        </w:div>
        <w:div w:id="42102994">
          <w:marLeft w:val="0"/>
          <w:marRight w:val="0"/>
          <w:marTop w:val="0"/>
          <w:marBottom w:val="0"/>
          <w:divBdr>
            <w:top w:val="none" w:sz="0" w:space="0" w:color="auto"/>
            <w:left w:val="none" w:sz="0" w:space="0" w:color="auto"/>
            <w:bottom w:val="none" w:sz="0" w:space="0" w:color="auto"/>
            <w:right w:val="none" w:sz="0" w:space="0" w:color="auto"/>
          </w:divBdr>
        </w:div>
        <w:div w:id="1579244031">
          <w:marLeft w:val="0"/>
          <w:marRight w:val="0"/>
          <w:marTop w:val="0"/>
          <w:marBottom w:val="0"/>
          <w:divBdr>
            <w:top w:val="none" w:sz="0" w:space="0" w:color="auto"/>
            <w:left w:val="none" w:sz="0" w:space="0" w:color="auto"/>
            <w:bottom w:val="none" w:sz="0" w:space="0" w:color="auto"/>
            <w:right w:val="none" w:sz="0" w:space="0" w:color="auto"/>
          </w:divBdr>
        </w:div>
        <w:div w:id="696807468">
          <w:marLeft w:val="0"/>
          <w:marRight w:val="0"/>
          <w:marTop w:val="0"/>
          <w:marBottom w:val="0"/>
          <w:divBdr>
            <w:top w:val="none" w:sz="0" w:space="0" w:color="auto"/>
            <w:left w:val="none" w:sz="0" w:space="0" w:color="auto"/>
            <w:bottom w:val="none" w:sz="0" w:space="0" w:color="auto"/>
            <w:right w:val="none" w:sz="0" w:space="0" w:color="auto"/>
          </w:divBdr>
        </w:div>
        <w:div w:id="1855339574">
          <w:marLeft w:val="0"/>
          <w:marRight w:val="0"/>
          <w:marTop w:val="0"/>
          <w:marBottom w:val="0"/>
          <w:divBdr>
            <w:top w:val="none" w:sz="0" w:space="0" w:color="auto"/>
            <w:left w:val="none" w:sz="0" w:space="0" w:color="auto"/>
            <w:bottom w:val="none" w:sz="0" w:space="0" w:color="auto"/>
            <w:right w:val="none" w:sz="0" w:space="0" w:color="auto"/>
          </w:divBdr>
        </w:div>
      </w:divsChild>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hyperlink" Target="http://www.seguranet.pt/pt/iniciativa-lideres-digitais"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yperlink" Target="https://apav.pt/apav_v3/index.php/pt/1297-apav-lanca-campanha-de-prevencao-dos-abusos-sexuais-de-criancas-e-jovens"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seguranet.pt/pt/esafety-label"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s://www.youtube.com/watch?v=AxSzREwaKnM" TargetMode="External"/><Relationship Id="rId20" Type="http://schemas.openxmlformats.org/officeDocument/2006/relationships/hyperlink" Target="https://www.apav.pt/apav_v3/index.php/p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npcjr.pt"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juventude.gov.pt/Eventos/SexualidadeJuvenil/Paginas/Sexualidade-em-linha-novo-numero-800222003.asp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facebook.com/Provedor-de-Justi&#231;a" TargetMode="External"/><Relationship Id="rId22" Type="http://schemas.openxmlformats.org/officeDocument/2006/relationships/footer" Target="footer4.xml"/><Relationship Id="rId27" Type="http://schemas.openxmlformats.org/officeDocument/2006/relationships/customXml" Target="../customXml/item4.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2EFB0846309C4280BBEF2F95FCFF71" ma:contentTypeVersion="0" ma:contentTypeDescription="Create a new document." ma:contentTypeScope="" ma:versionID="5fd90acdf40394612f154a674bbecd0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8CB689-8CBD-4917-8508-FD5FF1929331}"/>
</file>

<file path=customXml/itemProps2.xml><?xml version="1.0" encoding="utf-8"?>
<ds:datastoreItem xmlns:ds="http://schemas.openxmlformats.org/officeDocument/2006/customXml" ds:itemID="{BC93538A-5771-4CC9-83A7-CF0F38BE8A87}"/>
</file>

<file path=customXml/itemProps3.xml><?xml version="1.0" encoding="utf-8"?>
<ds:datastoreItem xmlns:ds="http://schemas.openxmlformats.org/officeDocument/2006/customXml" ds:itemID="{7ED53543-B482-4336-B415-93BB2675FF6F}"/>
</file>

<file path=customXml/itemProps4.xml><?xml version="1.0" encoding="utf-8"?>
<ds:datastoreItem xmlns:ds="http://schemas.openxmlformats.org/officeDocument/2006/customXml" ds:itemID="{B5D9BB7B-86F4-443E-8BA8-9323072F40DE}"/>
</file>

<file path=docProps/app.xml><?xml version="1.0" encoding="utf-8"?>
<Properties xmlns="http://schemas.openxmlformats.org/officeDocument/2006/extended-properties" xmlns:vt="http://schemas.openxmlformats.org/officeDocument/2006/docPropsVTypes">
  <Template>Normal.dotm</Template>
  <TotalTime>0</TotalTime>
  <Pages>40</Pages>
  <Words>26021</Words>
  <Characters>148322</Characters>
  <Application>Microsoft Office Word</Application>
  <DocSecurity>0</DocSecurity>
  <Lines>1236</Lines>
  <Paragraphs>347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2019-01-15T14:38:00Z</dcterms:created>
  <dcterms:modified xsi:type="dcterms:W3CDTF">2019-01-15T14:38:00Z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0x0101000A2EFB0846309C4280BBEF2F95FCFF71</vt:lpwstr>
  </property>
</Properties>
</file>