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1.xml" ContentType="application/vnd.openxmlformats-officedocument.theme+xml"/>
  <Override PartName="/word/charts/chart9.xml" ContentType="application/vnd.openxmlformats-officedocument.drawingml.chart+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1AE35" w14:textId="77777777" w:rsidR="00C45F89" w:rsidRPr="00055EB3" w:rsidRDefault="00C45F89" w:rsidP="00AE6EBE">
      <w:pPr>
        <w:spacing w:line="360" w:lineRule="auto"/>
        <w:rPr>
          <w:b/>
          <w:lang w:val="en-GB"/>
        </w:rPr>
      </w:pPr>
    </w:p>
    <w:p w14:paraId="774744DC" w14:textId="33EFF107" w:rsidR="00C45F89" w:rsidRPr="00055EB3" w:rsidRDefault="0054202D" w:rsidP="00AE6EBE">
      <w:pPr>
        <w:spacing w:line="360" w:lineRule="auto"/>
        <w:jc w:val="center"/>
        <w:rPr>
          <w:b/>
          <w:lang w:val="en-GB"/>
        </w:rPr>
      </w:pPr>
      <w:r w:rsidRPr="00055EB3">
        <w:rPr>
          <w:b/>
          <w:noProof/>
        </w:rPr>
        <w:drawing>
          <wp:inline distT="0" distB="0" distL="0" distR="0" wp14:anchorId="16FE6AD8" wp14:editId="0BE78A41">
            <wp:extent cx="2386468" cy="695814"/>
            <wp:effectExtent l="0" t="0" r="127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anet-logo.png"/>
                    <pic:cNvPicPr/>
                  </pic:nvPicPr>
                  <pic:blipFill>
                    <a:blip r:embed="rId8">
                      <a:extLst>
                        <a:ext uri="{28A0092B-C50C-407E-A947-70E740481C1C}">
                          <a14:useLocalDpi xmlns:a14="http://schemas.microsoft.com/office/drawing/2010/main" val="0"/>
                        </a:ext>
                      </a:extLst>
                    </a:blip>
                    <a:stretch>
                      <a:fillRect/>
                    </a:stretch>
                  </pic:blipFill>
                  <pic:spPr>
                    <a:xfrm>
                      <a:off x="0" y="0"/>
                      <a:ext cx="2410572" cy="702842"/>
                    </a:xfrm>
                    <a:prstGeom prst="rect">
                      <a:avLst/>
                    </a:prstGeom>
                  </pic:spPr>
                </pic:pic>
              </a:graphicData>
            </a:graphic>
          </wp:inline>
        </w:drawing>
      </w:r>
    </w:p>
    <w:p w14:paraId="424839E1" w14:textId="77777777" w:rsidR="00C76271" w:rsidRPr="00055EB3" w:rsidRDefault="00C76271" w:rsidP="00AE6EBE">
      <w:pPr>
        <w:spacing w:line="360" w:lineRule="auto"/>
        <w:jc w:val="center"/>
        <w:rPr>
          <w:b/>
          <w:lang w:val="en-GB"/>
        </w:rPr>
      </w:pPr>
    </w:p>
    <w:p w14:paraId="1356D62A" w14:textId="77777777" w:rsidR="009D781E" w:rsidRPr="00055EB3" w:rsidRDefault="009D781E" w:rsidP="00AE6EBE">
      <w:pPr>
        <w:spacing w:line="360" w:lineRule="auto"/>
        <w:jc w:val="center"/>
        <w:rPr>
          <w:b/>
          <w:lang w:val="en-GB"/>
        </w:rPr>
      </w:pPr>
    </w:p>
    <w:p w14:paraId="07174C8D" w14:textId="7872EE25" w:rsidR="009D781E" w:rsidRPr="00055EB3" w:rsidRDefault="009D781E" w:rsidP="00AE6EBE">
      <w:pPr>
        <w:spacing w:line="360" w:lineRule="auto"/>
        <w:jc w:val="center"/>
        <w:rPr>
          <w:b/>
          <w:lang w:val="en-GB"/>
        </w:rPr>
      </w:pPr>
    </w:p>
    <w:p w14:paraId="306EFFDA" w14:textId="77777777" w:rsidR="009D781E" w:rsidRPr="00055EB3" w:rsidRDefault="009D781E" w:rsidP="00AE6EBE">
      <w:pPr>
        <w:spacing w:line="360" w:lineRule="auto"/>
        <w:jc w:val="center"/>
        <w:rPr>
          <w:b/>
          <w:lang w:val="en-GB"/>
        </w:rPr>
      </w:pPr>
    </w:p>
    <w:p w14:paraId="6329B68D" w14:textId="79ADE49B" w:rsidR="009D781E" w:rsidRPr="00055EB3" w:rsidRDefault="009D781E" w:rsidP="00AE6EBE">
      <w:pPr>
        <w:spacing w:line="360" w:lineRule="auto"/>
        <w:jc w:val="center"/>
        <w:rPr>
          <w:b/>
          <w:lang w:val="en-GB"/>
        </w:rPr>
      </w:pPr>
      <w:r w:rsidRPr="00055EB3">
        <w:rPr>
          <w:b/>
          <w:lang w:val="en-GB"/>
        </w:rPr>
        <w:t>CIVIL SOCIETY REPORT: SUBMISSION TO THE HUMAN RIGHTS COMMITTEE IN PREPARATION FOR THE REVIEW OF THE SECOND PERIODIC REPORT OF TÜRKİYE</w:t>
      </w:r>
    </w:p>
    <w:p w14:paraId="07AAD7E0" w14:textId="6592F775" w:rsidR="009D781E" w:rsidRPr="00055EB3" w:rsidRDefault="009D781E" w:rsidP="00AE6EBE">
      <w:pPr>
        <w:spacing w:line="360" w:lineRule="auto"/>
        <w:jc w:val="center"/>
        <w:rPr>
          <w:b/>
          <w:lang w:val="en-GB"/>
        </w:rPr>
      </w:pPr>
      <w:r w:rsidRPr="00055EB3">
        <w:rPr>
          <w:b/>
          <w:lang w:val="en-GB"/>
        </w:rPr>
        <w:t>142</w:t>
      </w:r>
      <w:r w:rsidRPr="00055EB3">
        <w:rPr>
          <w:b/>
          <w:vertAlign w:val="superscript"/>
          <w:lang w:val="en-GB"/>
        </w:rPr>
        <w:t>nd</w:t>
      </w:r>
      <w:r w:rsidRPr="00055EB3">
        <w:rPr>
          <w:b/>
          <w:lang w:val="en-GB"/>
        </w:rPr>
        <w:t xml:space="preserve"> SESSION </w:t>
      </w:r>
    </w:p>
    <w:p w14:paraId="67E1339E" w14:textId="77777777" w:rsidR="00C76271" w:rsidRPr="00055EB3" w:rsidRDefault="00C76271" w:rsidP="00AE6EBE">
      <w:pPr>
        <w:spacing w:line="360" w:lineRule="auto"/>
        <w:jc w:val="center"/>
        <w:rPr>
          <w:b/>
          <w:lang w:val="en-GB"/>
        </w:rPr>
      </w:pPr>
    </w:p>
    <w:p w14:paraId="3FDB96D0" w14:textId="77777777" w:rsidR="00404E0E" w:rsidRPr="00055EB3" w:rsidRDefault="00404E0E" w:rsidP="00AE6EBE">
      <w:pPr>
        <w:spacing w:line="360" w:lineRule="auto"/>
        <w:jc w:val="center"/>
        <w:rPr>
          <w:b/>
          <w:lang w:val="en-GB"/>
        </w:rPr>
      </w:pPr>
    </w:p>
    <w:p w14:paraId="66357563" w14:textId="77777777" w:rsidR="00404E0E" w:rsidRPr="00055EB3" w:rsidRDefault="00404E0E" w:rsidP="00AE6EBE">
      <w:pPr>
        <w:spacing w:line="360" w:lineRule="auto"/>
        <w:jc w:val="center"/>
        <w:rPr>
          <w:b/>
          <w:lang w:val="en-GB"/>
        </w:rPr>
      </w:pPr>
    </w:p>
    <w:p w14:paraId="1C11715F" w14:textId="5CCAA228" w:rsidR="00F01A42" w:rsidRPr="00055EB3" w:rsidRDefault="009D781E" w:rsidP="00AE6EBE">
      <w:pPr>
        <w:spacing w:line="360" w:lineRule="auto"/>
        <w:jc w:val="center"/>
        <w:rPr>
          <w:b/>
          <w:lang w:val="en-GB"/>
        </w:rPr>
      </w:pPr>
      <w:r w:rsidRPr="00055EB3">
        <w:rPr>
          <w:b/>
          <w:lang w:val="en-GB"/>
        </w:rPr>
        <w:t>Date of submission: 16.09.2024</w:t>
      </w:r>
    </w:p>
    <w:p w14:paraId="6169A68E" w14:textId="77777777" w:rsidR="00D9286A" w:rsidRPr="00055EB3" w:rsidRDefault="00D9286A" w:rsidP="00AE6EBE">
      <w:pPr>
        <w:spacing w:line="360" w:lineRule="auto"/>
        <w:jc w:val="both"/>
        <w:rPr>
          <w:lang w:val="en-GB"/>
        </w:rPr>
      </w:pPr>
    </w:p>
    <w:p w14:paraId="2D2778A5" w14:textId="77777777" w:rsidR="00D9286A" w:rsidRPr="00055EB3" w:rsidRDefault="00D9286A" w:rsidP="00AE6EBE">
      <w:pPr>
        <w:spacing w:line="360" w:lineRule="auto"/>
        <w:jc w:val="both"/>
        <w:rPr>
          <w:lang w:val="en-GB"/>
        </w:rPr>
      </w:pPr>
    </w:p>
    <w:p w14:paraId="5E4C0A5C" w14:textId="77777777" w:rsidR="00D9286A" w:rsidRPr="00055EB3" w:rsidRDefault="00D9286A" w:rsidP="00AE6EBE">
      <w:pPr>
        <w:spacing w:line="360" w:lineRule="auto"/>
        <w:jc w:val="both"/>
        <w:rPr>
          <w:lang w:val="en-GB"/>
        </w:rPr>
      </w:pPr>
    </w:p>
    <w:p w14:paraId="26366302" w14:textId="77777777" w:rsidR="00D9286A" w:rsidRPr="00055EB3" w:rsidRDefault="00D9286A" w:rsidP="00AE6EBE">
      <w:pPr>
        <w:spacing w:line="360" w:lineRule="auto"/>
        <w:jc w:val="both"/>
        <w:rPr>
          <w:lang w:val="en-GB"/>
        </w:rPr>
      </w:pPr>
    </w:p>
    <w:p w14:paraId="0F8119AC" w14:textId="77777777" w:rsidR="00D9286A" w:rsidRPr="00055EB3" w:rsidRDefault="00D9286A" w:rsidP="00AE6EBE">
      <w:pPr>
        <w:spacing w:line="360" w:lineRule="auto"/>
        <w:jc w:val="both"/>
        <w:rPr>
          <w:lang w:val="en-GB"/>
        </w:rPr>
      </w:pPr>
    </w:p>
    <w:p w14:paraId="68694146" w14:textId="77777777" w:rsidR="008D380B" w:rsidRPr="00055EB3" w:rsidRDefault="008D380B" w:rsidP="00AE6EBE">
      <w:pPr>
        <w:spacing w:line="360" w:lineRule="auto"/>
        <w:jc w:val="both"/>
        <w:rPr>
          <w:lang w:val="en-GB"/>
        </w:rPr>
      </w:pPr>
    </w:p>
    <w:p w14:paraId="66C29C12" w14:textId="77777777" w:rsidR="00D9286A" w:rsidRPr="00055EB3" w:rsidRDefault="00D9286A" w:rsidP="00AE6EBE">
      <w:pPr>
        <w:spacing w:line="360" w:lineRule="auto"/>
        <w:jc w:val="both"/>
        <w:rPr>
          <w:lang w:val="en-GB"/>
        </w:rPr>
      </w:pPr>
    </w:p>
    <w:p w14:paraId="32ADAE8F" w14:textId="77777777" w:rsidR="008D380B" w:rsidRPr="00055EB3" w:rsidRDefault="008D380B" w:rsidP="00AE6EBE">
      <w:pPr>
        <w:jc w:val="center"/>
        <w:rPr>
          <w:b/>
          <w:sz w:val="22"/>
          <w:szCs w:val="22"/>
          <w:lang w:val="en-GB"/>
        </w:rPr>
      </w:pPr>
      <w:r w:rsidRPr="00055EB3">
        <w:rPr>
          <w:b/>
          <w:sz w:val="22"/>
          <w:szCs w:val="22"/>
          <w:lang w:val="en-GB"/>
        </w:rPr>
        <w:t>Contact</w:t>
      </w:r>
    </w:p>
    <w:p w14:paraId="4C0E6237" w14:textId="77777777" w:rsidR="008D380B" w:rsidRPr="00055EB3" w:rsidRDefault="008D380B" w:rsidP="00AE6EBE">
      <w:pPr>
        <w:jc w:val="center"/>
        <w:rPr>
          <w:b/>
          <w:sz w:val="22"/>
          <w:szCs w:val="22"/>
          <w:lang w:val="en-GB"/>
        </w:rPr>
      </w:pPr>
    </w:p>
    <w:p w14:paraId="5EDAAFA5" w14:textId="77777777" w:rsidR="008D380B" w:rsidRPr="00055EB3" w:rsidRDefault="008D380B" w:rsidP="00AE6EBE">
      <w:pPr>
        <w:jc w:val="center"/>
        <w:rPr>
          <w:sz w:val="22"/>
          <w:szCs w:val="22"/>
          <w:lang w:val="en-GB"/>
        </w:rPr>
      </w:pPr>
      <w:r w:rsidRPr="00055EB3">
        <w:rPr>
          <w:b/>
          <w:sz w:val="22"/>
          <w:szCs w:val="22"/>
          <w:lang w:val="en-GB"/>
        </w:rPr>
        <w:t>Address:</w:t>
      </w:r>
      <w:r w:rsidRPr="00055EB3">
        <w:rPr>
          <w:sz w:val="22"/>
          <w:szCs w:val="22"/>
          <w:lang w:val="en-GB"/>
        </w:rPr>
        <w:t xml:space="preserve"> Faikpaşa Cad. Faikpaşa Apt.</w:t>
      </w:r>
    </w:p>
    <w:p w14:paraId="06913AB7" w14:textId="77777777" w:rsidR="008D380B" w:rsidRPr="00055EB3" w:rsidRDefault="008D380B" w:rsidP="00AE6EBE">
      <w:pPr>
        <w:jc w:val="center"/>
        <w:rPr>
          <w:sz w:val="22"/>
          <w:szCs w:val="22"/>
          <w:lang w:val="en-GB"/>
        </w:rPr>
      </w:pPr>
      <w:r w:rsidRPr="00055EB3">
        <w:rPr>
          <w:sz w:val="22"/>
          <w:szCs w:val="22"/>
          <w:lang w:val="en-GB"/>
        </w:rPr>
        <w:t>No: 37 Kat: 3 Daire: 7-8</w:t>
      </w:r>
    </w:p>
    <w:p w14:paraId="0C8635EE" w14:textId="77777777" w:rsidR="008D380B" w:rsidRPr="00055EB3" w:rsidRDefault="008D380B" w:rsidP="00AE6EBE">
      <w:pPr>
        <w:jc w:val="center"/>
        <w:rPr>
          <w:sz w:val="22"/>
          <w:szCs w:val="22"/>
          <w:lang w:val="en-GB"/>
        </w:rPr>
      </w:pPr>
      <w:r w:rsidRPr="00055EB3">
        <w:rPr>
          <w:sz w:val="22"/>
          <w:szCs w:val="22"/>
          <w:lang w:val="en-GB"/>
        </w:rPr>
        <w:t>34425 Beyoğlu/İstanbul, Türkiye</w:t>
      </w:r>
    </w:p>
    <w:p w14:paraId="13CFAED3" w14:textId="77777777" w:rsidR="008D380B" w:rsidRPr="00055EB3" w:rsidRDefault="008D380B" w:rsidP="00AE6EBE">
      <w:pPr>
        <w:jc w:val="center"/>
        <w:rPr>
          <w:sz w:val="22"/>
          <w:szCs w:val="22"/>
          <w:lang w:val="en-GB"/>
        </w:rPr>
      </w:pPr>
      <w:r w:rsidRPr="00055EB3">
        <w:rPr>
          <w:b/>
          <w:sz w:val="22"/>
          <w:szCs w:val="22"/>
          <w:lang w:val="en-GB"/>
        </w:rPr>
        <w:t>Phone:</w:t>
      </w:r>
      <w:r w:rsidRPr="00055EB3">
        <w:rPr>
          <w:sz w:val="22"/>
          <w:szCs w:val="22"/>
          <w:lang w:val="en-GB"/>
        </w:rPr>
        <w:t xml:space="preserve"> +90 212 251 15 03 (pbx)</w:t>
      </w:r>
    </w:p>
    <w:p w14:paraId="21729372" w14:textId="77777777" w:rsidR="008D380B" w:rsidRPr="00055EB3" w:rsidRDefault="008D380B" w:rsidP="00AE6EBE">
      <w:pPr>
        <w:jc w:val="center"/>
        <w:rPr>
          <w:sz w:val="22"/>
          <w:szCs w:val="22"/>
          <w:lang w:val="en-GB"/>
        </w:rPr>
      </w:pPr>
      <w:r w:rsidRPr="00055EB3">
        <w:rPr>
          <w:sz w:val="22"/>
          <w:szCs w:val="22"/>
          <w:lang w:val="en-GB"/>
        </w:rPr>
        <w:t>+90 532 206 36 69 (gsm)</w:t>
      </w:r>
    </w:p>
    <w:p w14:paraId="438F3822" w14:textId="2AD6CC8D" w:rsidR="008D380B" w:rsidRPr="00055EB3" w:rsidRDefault="008D380B" w:rsidP="00AE6EBE">
      <w:pPr>
        <w:jc w:val="center"/>
        <w:rPr>
          <w:sz w:val="22"/>
          <w:szCs w:val="22"/>
          <w:lang w:val="en-GB"/>
        </w:rPr>
      </w:pPr>
      <w:r w:rsidRPr="00055EB3">
        <w:rPr>
          <w:b/>
          <w:sz w:val="22"/>
          <w:szCs w:val="22"/>
          <w:lang w:val="en-GB"/>
        </w:rPr>
        <w:t>E-mail:</w:t>
      </w:r>
      <w:r w:rsidRPr="00055EB3">
        <w:rPr>
          <w:sz w:val="22"/>
          <w:szCs w:val="22"/>
          <w:lang w:val="en-GB"/>
        </w:rPr>
        <w:t xml:space="preserve"> </w:t>
      </w:r>
      <w:hyperlink r:id="rId9" w:tgtFrame="_blank" w:history="1">
        <w:r w:rsidRPr="00055EB3">
          <w:rPr>
            <w:rStyle w:val="Hyperlink"/>
            <w:sz w:val="22"/>
            <w:szCs w:val="22"/>
            <w:lang w:val="en-GB"/>
          </w:rPr>
          <w:t>bia@</w:t>
        </w:r>
        <w:r w:rsidR="00047389" w:rsidRPr="00055EB3">
          <w:rPr>
            <w:rStyle w:val="Hyperlink"/>
            <w:sz w:val="22"/>
            <w:szCs w:val="22"/>
            <w:lang w:val="en-GB"/>
          </w:rPr>
          <w:t>bianet</w:t>
        </w:r>
        <w:r w:rsidRPr="00055EB3">
          <w:rPr>
            <w:rStyle w:val="Hyperlink"/>
            <w:sz w:val="22"/>
            <w:szCs w:val="22"/>
            <w:lang w:val="en-GB"/>
          </w:rPr>
          <w:t>.org</w:t>
        </w:r>
      </w:hyperlink>
    </w:p>
    <w:p w14:paraId="52EA4E68" w14:textId="77777777" w:rsidR="00D9286A" w:rsidRPr="00055EB3" w:rsidRDefault="00D9286A" w:rsidP="00AE6EBE">
      <w:pPr>
        <w:spacing w:line="360" w:lineRule="auto"/>
        <w:jc w:val="both"/>
        <w:rPr>
          <w:lang w:val="en-GB"/>
        </w:rPr>
      </w:pPr>
    </w:p>
    <w:p w14:paraId="52A2C7C5" w14:textId="77777777" w:rsidR="003F13A9" w:rsidRPr="00055EB3" w:rsidRDefault="003F13A9" w:rsidP="00AE6EBE">
      <w:pPr>
        <w:jc w:val="both"/>
        <w:rPr>
          <w:b/>
          <w:sz w:val="22"/>
          <w:szCs w:val="22"/>
          <w:lang w:val="en-GB"/>
        </w:rPr>
      </w:pPr>
    </w:p>
    <w:p w14:paraId="49D6B379" w14:textId="77777777" w:rsidR="003F13A9" w:rsidRPr="00055EB3" w:rsidRDefault="003F13A9" w:rsidP="00AE6EBE">
      <w:pPr>
        <w:jc w:val="both"/>
        <w:rPr>
          <w:b/>
          <w:sz w:val="22"/>
          <w:szCs w:val="22"/>
          <w:lang w:val="en-GB"/>
        </w:rPr>
      </w:pPr>
    </w:p>
    <w:p w14:paraId="4C571260" w14:textId="074FC5D2" w:rsidR="00EC0F7C" w:rsidRPr="00055EB3" w:rsidRDefault="00047389" w:rsidP="00AE6EBE">
      <w:pPr>
        <w:jc w:val="both"/>
        <w:rPr>
          <w:sz w:val="22"/>
          <w:szCs w:val="22"/>
          <w:lang w:val="en-GB"/>
        </w:rPr>
      </w:pPr>
      <w:r w:rsidRPr="00055EB3">
        <w:rPr>
          <w:b/>
          <w:sz w:val="22"/>
          <w:szCs w:val="22"/>
          <w:lang w:val="en-GB"/>
        </w:rPr>
        <w:t>bianet</w:t>
      </w:r>
      <w:r w:rsidR="00A02343" w:rsidRPr="00055EB3">
        <w:rPr>
          <w:sz w:val="22"/>
          <w:szCs w:val="22"/>
          <w:lang w:val="en-GB"/>
        </w:rPr>
        <w:t xml:space="preserve">, also known as Independent Communication Network, is a news portal founded </w:t>
      </w:r>
      <w:r w:rsidR="00D9286A" w:rsidRPr="00055EB3">
        <w:rPr>
          <w:sz w:val="22"/>
          <w:szCs w:val="22"/>
          <w:lang w:val="en-GB"/>
        </w:rPr>
        <w:t>by IPS Communication Foundation in 1997 in Istanbul, Türkiye</w:t>
      </w:r>
      <w:r w:rsidR="00A02343" w:rsidRPr="00055EB3">
        <w:rPr>
          <w:sz w:val="22"/>
          <w:szCs w:val="22"/>
          <w:lang w:val="en-GB"/>
        </w:rPr>
        <w:t>, which has adopted the principles of rights journalism, citizen journalism and free journalism.</w:t>
      </w:r>
      <w:r w:rsidR="004929C9" w:rsidRPr="00055EB3">
        <w:rPr>
          <w:sz w:val="22"/>
          <w:szCs w:val="22"/>
          <w:lang w:val="en-GB"/>
        </w:rPr>
        <w:t xml:space="preserve"> Further information is accessible at: </w:t>
      </w:r>
      <w:hyperlink r:id="rId10" w:history="1">
        <w:r w:rsidRPr="00055EB3">
          <w:rPr>
            <w:rStyle w:val="Hyperlink"/>
            <w:sz w:val="22"/>
            <w:szCs w:val="22"/>
            <w:lang w:val="en-GB"/>
          </w:rPr>
          <w:t>https://bianet.org/about-us</w:t>
        </w:r>
      </w:hyperlink>
      <w:r w:rsidRPr="00055EB3">
        <w:rPr>
          <w:sz w:val="22"/>
          <w:szCs w:val="22"/>
          <w:lang w:val="en-GB"/>
        </w:rPr>
        <w:t xml:space="preserve"> </w:t>
      </w:r>
    </w:p>
    <w:p w14:paraId="3549DFF6" w14:textId="389C42F6" w:rsidR="00F01A42" w:rsidRPr="00055EB3" w:rsidRDefault="00C45F89" w:rsidP="00AE6EBE">
      <w:pPr>
        <w:pageBreakBefore/>
        <w:spacing w:line="360" w:lineRule="auto"/>
        <w:jc w:val="both"/>
        <w:rPr>
          <w:b/>
          <w:lang w:val="en-GB"/>
        </w:rPr>
      </w:pPr>
      <w:r w:rsidRPr="00055EB3">
        <w:rPr>
          <w:b/>
          <w:lang w:val="en-GB"/>
        </w:rPr>
        <w:lastRenderedPageBreak/>
        <w:t xml:space="preserve">Table of </w:t>
      </w:r>
      <w:r w:rsidR="00F01A42" w:rsidRPr="00055EB3">
        <w:rPr>
          <w:b/>
          <w:lang w:val="en-GB"/>
        </w:rPr>
        <w:t>Content</w:t>
      </w:r>
      <w:r w:rsidRPr="00055EB3">
        <w:rPr>
          <w:b/>
          <w:lang w:val="en-GB"/>
        </w:rPr>
        <w:t>s</w:t>
      </w:r>
    </w:p>
    <w:p w14:paraId="26703419" w14:textId="77777777" w:rsidR="00552ECA" w:rsidRPr="00055EB3" w:rsidRDefault="00552ECA" w:rsidP="00AE6EBE">
      <w:pPr>
        <w:spacing w:line="360" w:lineRule="auto"/>
        <w:jc w:val="both"/>
        <w:rPr>
          <w:b/>
          <w:lang w:val="en-GB"/>
        </w:rPr>
      </w:pPr>
    </w:p>
    <w:p w14:paraId="2A5FF45D" w14:textId="77777777" w:rsidR="00055EB3" w:rsidRDefault="00C00191" w:rsidP="00055EB3">
      <w:pPr>
        <w:pStyle w:val="TOC1"/>
        <w:rPr>
          <w:rFonts w:asciiTheme="minorHAnsi" w:eastAsiaTheme="minorEastAsia" w:hAnsiTheme="minorHAnsi" w:cstheme="minorBidi"/>
          <w:noProof/>
        </w:rPr>
      </w:pPr>
      <w:r w:rsidRPr="00055EB3">
        <w:rPr>
          <w:lang w:val="en-GB"/>
        </w:rPr>
        <w:fldChar w:fldCharType="begin"/>
      </w:r>
      <w:r w:rsidRPr="00055EB3">
        <w:rPr>
          <w:lang w:val="en-GB"/>
        </w:rPr>
        <w:instrText xml:space="preserve"> TOC \o "1-3" \h \z </w:instrText>
      </w:r>
      <w:r w:rsidRPr="00055EB3">
        <w:rPr>
          <w:lang w:val="en-GB"/>
        </w:rPr>
        <w:fldChar w:fldCharType="separate"/>
      </w:r>
      <w:hyperlink w:anchor="_Toc177388601" w:history="1">
        <w:r w:rsidR="00055EB3" w:rsidRPr="001C3048">
          <w:rPr>
            <w:rStyle w:val="Hyperlink"/>
            <w:b/>
            <w:noProof/>
            <w:lang w:val="en-GB"/>
          </w:rPr>
          <w:t>Abbreviations</w:t>
        </w:r>
        <w:r w:rsidR="00055EB3">
          <w:rPr>
            <w:noProof/>
            <w:webHidden/>
          </w:rPr>
          <w:tab/>
        </w:r>
        <w:r w:rsidR="00055EB3">
          <w:rPr>
            <w:noProof/>
            <w:webHidden/>
          </w:rPr>
          <w:fldChar w:fldCharType="begin"/>
        </w:r>
        <w:r w:rsidR="00055EB3">
          <w:rPr>
            <w:noProof/>
            <w:webHidden/>
          </w:rPr>
          <w:instrText xml:space="preserve"> PAGEREF _Toc177388601 \h </w:instrText>
        </w:r>
        <w:r w:rsidR="00055EB3">
          <w:rPr>
            <w:noProof/>
            <w:webHidden/>
          </w:rPr>
        </w:r>
        <w:r w:rsidR="00055EB3">
          <w:rPr>
            <w:noProof/>
            <w:webHidden/>
          </w:rPr>
          <w:fldChar w:fldCharType="separate"/>
        </w:r>
        <w:r w:rsidR="00055EB3">
          <w:rPr>
            <w:noProof/>
            <w:webHidden/>
          </w:rPr>
          <w:t>2</w:t>
        </w:r>
        <w:r w:rsidR="00055EB3">
          <w:rPr>
            <w:noProof/>
            <w:webHidden/>
          </w:rPr>
          <w:fldChar w:fldCharType="end"/>
        </w:r>
      </w:hyperlink>
    </w:p>
    <w:p w14:paraId="3E2E65AF" w14:textId="77777777" w:rsidR="00055EB3" w:rsidRDefault="00B0563C" w:rsidP="00055EB3">
      <w:pPr>
        <w:pStyle w:val="TOC1"/>
        <w:rPr>
          <w:rFonts w:asciiTheme="minorHAnsi" w:eastAsiaTheme="minorEastAsia" w:hAnsiTheme="minorHAnsi" w:cstheme="minorBidi"/>
          <w:noProof/>
        </w:rPr>
      </w:pPr>
      <w:hyperlink w:anchor="_Toc177388602" w:history="1">
        <w:r w:rsidR="00055EB3" w:rsidRPr="001C3048">
          <w:rPr>
            <w:rStyle w:val="Hyperlink"/>
            <w:b/>
            <w:noProof/>
            <w:lang w:val="en-GB"/>
          </w:rPr>
          <w:t>About BİA</w:t>
        </w:r>
        <w:r w:rsidR="00055EB3">
          <w:rPr>
            <w:noProof/>
            <w:webHidden/>
          </w:rPr>
          <w:tab/>
        </w:r>
        <w:r w:rsidR="00055EB3">
          <w:rPr>
            <w:noProof/>
            <w:webHidden/>
          </w:rPr>
          <w:fldChar w:fldCharType="begin"/>
        </w:r>
        <w:r w:rsidR="00055EB3">
          <w:rPr>
            <w:noProof/>
            <w:webHidden/>
          </w:rPr>
          <w:instrText xml:space="preserve"> PAGEREF _Toc177388602 \h </w:instrText>
        </w:r>
        <w:r w:rsidR="00055EB3">
          <w:rPr>
            <w:noProof/>
            <w:webHidden/>
          </w:rPr>
        </w:r>
        <w:r w:rsidR="00055EB3">
          <w:rPr>
            <w:noProof/>
            <w:webHidden/>
          </w:rPr>
          <w:fldChar w:fldCharType="separate"/>
        </w:r>
        <w:r w:rsidR="00055EB3">
          <w:rPr>
            <w:noProof/>
            <w:webHidden/>
          </w:rPr>
          <w:t>3</w:t>
        </w:r>
        <w:r w:rsidR="00055EB3">
          <w:rPr>
            <w:noProof/>
            <w:webHidden/>
          </w:rPr>
          <w:fldChar w:fldCharType="end"/>
        </w:r>
      </w:hyperlink>
    </w:p>
    <w:p w14:paraId="14FFB282" w14:textId="77777777" w:rsidR="00055EB3" w:rsidRDefault="00B0563C" w:rsidP="00055EB3">
      <w:pPr>
        <w:pStyle w:val="TOC1"/>
        <w:rPr>
          <w:rFonts w:asciiTheme="minorHAnsi" w:eastAsiaTheme="minorEastAsia" w:hAnsiTheme="minorHAnsi" w:cstheme="minorBidi"/>
          <w:noProof/>
        </w:rPr>
      </w:pPr>
      <w:hyperlink w:anchor="_Toc177388603" w:history="1">
        <w:r w:rsidR="00055EB3" w:rsidRPr="001C3048">
          <w:rPr>
            <w:rStyle w:val="Hyperlink"/>
            <w:b/>
            <w:noProof/>
            <w:lang w:val="en-GB"/>
          </w:rPr>
          <w:t>Executive Summary</w:t>
        </w:r>
        <w:r w:rsidR="00055EB3">
          <w:rPr>
            <w:noProof/>
            <w:webHidden/>
          </w:rPr>
          <w:tab/>
        </w:r>
        <w:r w:rsidR="00055EB3">
          <w:rPr>
            <w:noProof/>
            <w:webHidden/>
          </w:rPr>
          <w:fldChar w:fldCharType="begin"/>
        </w:r>
        <w:r w:rsidR="00055EB3">
          <w:rPr>
            <w:noProof/>
            <w:webHidden/>
          </w:rPr>
          <w:instrText xml:space="preserve"> PAGEREF _Toc177388603 \h </w:instrText>
        </w:r>
        <w:r w:rsidR="00055EB3">
          <w:rPr>
            <w:noProof/>
            <w:webHidden/>
          </w:rPr>
        </w:r>
        <w:r w:rsidR="00055EB3">
          <w:rPr>
            <w:noProof/>
            <w:webHidden/>
          </w:rPr>
          <w:fldChar w:fldCharType="separate"/>
        </w:r>
        <w:r w:rsidR="00055EB3">
          <w:rPr>
            <w:noProof/>
            <w:webHidden/>
          </w:rPr>
          <w:t>4</w:t>
        </w:r>
        <w:r w:rsidR="00055EB3">
          <w:rPr>
            <w:noProof/>
            <w:webHidden/>
          </w:rPr>
          <w:fldChar w:fldCharType="end"/>
        </w:r>
      </w:hyperlink>
    </w:p>
    <w:p w14:paraId="306FE717" w14:textId="77777777" w:rsidR="00055EB3" w:rsidRDefault="00B0563C" w:rsidP="00055EB3">
      <w:pPr>
        <w:pStyle w:val="TOC1"/>
        <w:rPr>
          <w:rFonts w:asciiTheme="minorHAnsi" w:eastAsiaTheme="minorEastAsia" w:hAnsiTheme="minorHAnsi" w:cstheme="minorBidi"/>
          <w:noProof/>
        </w:rPr>
      </w:pPr>
      <w:hyperlink w:anchor="_Toc177388604" w:history="1">
        <w:r w:rsidR="00055EB3" w:rsidRPr="001C3048">
          <w:rPr>
            <w:rStyle w:val="Hyperlink"/>
            <w:b/>
            <w:noProof/>
            <w:lang w:val="en-GB"/>
          </w:rPr>
          <w:t>Methodology and Important Introductory Remarks</w:t>
        </w:r>
        <w:r w:rsidR="00055EB3">
          <w:rPr>
            <w:noProof/>
            <w:webHidden/>
          </w:rPr>
          <w:tab/>
        </w:r>
        <w:r w:rsidR="00055EB3">
          <w:rPr>
            <w:noProof/>
            <w:webHidden/>
          </w:rPr>
          <w:fldChar w:fldCharType="begin"/>
        </w:r>
        <w:r w:rsidR="00055EB3">
          <w:rPr>
            <w:noProof/>
            <w:webHidden/>
          </w:rPr>
          <w:instrText xml:space="preserve"> PAGEREF _Toc177388604 \h </w:instrText>
        </w:r>
        <w:r w:rsidR="00055EB3">
          <w:rPr>
            <w:noProof/>
            <w:webHidden/>
          </w:rPr>
        </w:r>
        <w:r w:rsidR="00055EB3">
          <w:rPr>
            <w:noProof/>
            <w:webHidden/>
          </w:rPr>
          <w:fldChar w:fldCharType="separate"/>
        </w:r>
        <w:r w:rsidR="00055EB3">
          <w:rPr>
            <w:noProof/>
            <w:webHidden/>
          </w:rPr>
          <w:t>6</w:t>
        </w:r>
        <w:r w:rsidR="00055EB3">
          <w:rPr>
            <w:noProof/>
            <w:webHidden/>
          </w:rPr>
          <w:fldChar w:fldCharType="end"/>
        </w:r>
      </w:hyperlink>
    </w:p>
    <w:p w14:paraId="50012A3B" w14:textId="77777777" w:rsidR="00055EB3" w:rsidRDefault="00B0563C" w:rsidP="00055EB3">
      <w:pPr>
        <w:pStyle w:val="TOC1"/>
        <w:rPr>
          <w:rFonts w:asciiTheme="minorHAnsi" w:eastAsiaTheme="minorEastAsia" w:hAnsiTheme="minorHAnsi" w:cstheme="minorBidi"/>
          <w:noProof/>
        </w:rPr>
      </w:pPr>
      <w:hyperlink w:anchor="_Toc177388605" w:history="1">
        <w:r w:rsidR="00055EB3" w:rsidRPr="001C3048">
          <w:rPr>
            <w:rStyle w:val="Hyperlink"/>
            <w:rFonts w:eastAsia="Times New Roman"/>
            <w:b/>
            <w:noProof/>
            <w:lang w:val="en-GB"/>
          </w:rPr>
          <w:t>I. Freedom of Expression (Art. 19)</w:t>
        </w:r>
        <w:r w:rsidR="00055EB3">
          <w:rPr>
            <w:noProof/>
            <w:webHidden/>
          </w:rPr>
          <w:tab/>
        </w:r>
        <w:r w:rsidR="00055EB3">
          <w:rPr>
            <w:noProof/>
            <w:webHidden/>
          </w:rPr>
          <w:fldChar w:fldCharType="begin"/>
        </w:r>
        <w:r w:rsidR="00055EB3">
          <w:rPr>
            <w:noProof/>
            <w:webHidden/>
          </w:rPr>
          <w:instrText xml:space="preserve"> PAGEREF _Toc177388605 \h </w:instrText>
        </w:r>
        <w:r w:rsidR="00055EB3">
          <w:rPr>
            <w:noProof/>
            <w:webHidden/>
          </w:rPr>
        </w:r>
        <w:r w:rsidR="00055EB3">
          <w:rPr>
            <w:noProof/>
            <w:webHidden/>
          </w:rPr>
          <w:fldChar w:fldCharType="separate"/>
        </w:r>
        <w:r w:rsidR="00055EB3">
          <w:rPr>
            <w:noProof/>
            <w:webHidden/>
          </w:rPr>
          <w:t>6</w:t>
        </w:r>
        <w:r w:rsidR="00055EB3">
          <w:rPr>
            <w:noProof/>
            <w:webHidden/>
          </w:rPr>
          <w:fldChar w:fldCharType="end"/>
        </w:r>
      </w:hyperlink>
    </w:p>
    <w:p w14:paraId="57BE0135" w14:textId="77777777" w:rsidR="00055EB3" w:rsidRDefault="00B0563C">
      <w:pPr>
        <w:pStyle w:val="TOC2"/>
        <w:rPr>
          <w:rFonts w:asciiTheme="minorHAnsi" w:eastAsiaTheme="minorEastAsia" w:hAnsiTheme="minorHAnsi" w:cstheme="minorBidi"/>
          <w:noProof/>
        </w:rPr>
      </w:pPr>
      <w:hyperlink w:anchor="_Toc177388606" w:history="1">
        <w:r w:rsidR="00055EB3" w:rsidRPr="001C3048">
          <w:rPr>
            <w:rStyle w:val="Hyperlink"/>
            <w:b/>
            <w:noProof/>
            <w:lang w:val="en-GB"/>
          </w:rPr>
          <w:t>A- In General</w:t>
        </w:r>
        <w:r w:rsidR="00055EB3">
          <w:rPr>
            <w:noProof/>
            <w:webHidden/>
          </w:rPr>
          <w:tab/>
        </w:r>
        <w:r w:rsidR="00055EB3">
          <w:rPr>
            <w:noProof/>
            <w:webHidden/>
          </w:rPr>
          <w:fldChar w:fldCharType="begin"/>
        </w:r>
        <w:r w:rsidR="00055EB3">
          <w:rPr>
            <w:noProof/>
            <w:webHidden/>
          </w:rPr>
          <w:instrText xml:space="preserve"> PAGEREF _Toc177388606 \h </w:instrText>
        </w:r>
        <w:r w:rsidR="00055EB3">
          <w:rPr>
            <w:noProof/>
            <w:webHidden/>
          </w:rPr>
        </w:r>
        <w:r w:rsidR="00055EB3">
          <w:rPr>
            <w:noProof/>
            <w:webHidden/>
          </w:rPr>
          <w:fldChar w:fldCharType="separate"/>
        </w:r>
        <w:r w:rsidR="00055EB3">
          <w:rPr>
            <w:noProof/>
            <w:webHidden/>
          </w:rPr>
          <w:t>6</w:t>
        </w:r>
        <w:r w:rsidR="00055EB3">
          <w:rPr>
            <w:noProof/>
            <w:webHidden/>
          </w:rPr>
          <w:fldChar w:fldCharType="end"/>
        </w:r>
      </w:hyperlink>
    </w:p>
    <w:p w14:paraId="2F413E0C" w14:textId="77777777" w:rsidR="00055EB3" w:rsidRDefault="00B0563C">
      <w:pPr>
        <w:pStyle w:val="TOC2"/>
        <w:rPr>
          <w:rFonts w:asciiTheme="minorHAnsi" w:eastAsiaTheme="minorEastAsia" w:hAnsiTheme="minorHAnsi" w:cstheme="minorBidi"/>
          <w:noProof/>
        </w:rPr>
      </w:pPr>
      <w:hyperlink w:anchor="_Toc177388607" w:history="1">
        <w:r w:rsidR="00055EB3" w:rsidRPr="001C3048">
          <w:rPr>
            <w:rStyle w:val="Hyperlink"/>
            <w:b/>
            <w:noProof/>
            <w:lang w:val="en-GB"/>
          </w:rPr>
          <w:t>B- Interventions Through Criminal Law</w:t>
        </w:r>
        <w:r w:rsidR="00055EB3">
          <w:rPr>
            <w:noProof/>
            <w:webHidden/>
          </w:rPr>
          <w:tab/>
        </w:r>
        <w:r w:rsidR="00055EB3">
          <w:rPr>
            <w:noProof/>
            <w:webHidden/>
          </w:rPr>
          <w:fldChar w:fldCharType="begin"/>
        </w:r>
        <w:r w:rsidR="00055EB3">
          <w:rPr>
            <w:noProof/>
            <w:webHidden/>
          </w:rPr>
          <w:instrText xml:space="preserve"> PAGEREF _Toc177388607 \h </w:instrText>
        </w:r>
        <w:r w:rsidR="00055EB3">
          <w:rPr>
            <w:noProof/>
            <w:webHidden/>
          </w:rPr>
        </w:r>
        <w:r w:rsidR="00055EB3">
          <w:rPr>
            <w:noProof/>
            <w:webHidden/>
          </w:rPr>
          <w:fldChar w:fldCharType="separate"/>
        </w:r>
        <w:r w:rsidR="00055EB3">
          <w:rPr>
            <w:noProof/>
            <w:webHidden/>
          </w:rPr>
          <w:t>10</w:t>
        </w:r>
        <w:r w:rsidR="00055EB3">
          <w:rPr>
            <w:noProof/>
            <w:webHidden/>
          </w:rPr>
          <w:fldChar w:fldCharType="end"/>
        </w:r>
      </w:hyperlink>
    </w:p>
    <w:p w14:paraId="74F62C7F" w14:textId="77777777" w:rsidR="00055EB3" w:rsidRDefault="00B0563C">
      <w:pPr>
        <w:pStyle w:val="TOC3"/>
        <w:tabs>
          <w:tab w:val="right" w:leader="dot" w:pos="9056"/>
        </w:tabs>
        <w:rPr>
          <w:rFonts w:asciiTheme="minorHAnsi" w:eastAsiaTheme="minorEastAsia" w:hAnsiTheme="minorHAnsi" w:cstheme="minorBidi"/>
          <w:noProof/>
        </w:rPr>
      </w:pPr>
      <w:hyperlink w:anchor="_Toc177388608" w:history="1">
        <w:r w:rsidR="00055EB3" w:rsidRPr="001C3048">
          <w:rPr>
            <w:rStyle w:val="Hyperlink"/>
            <w:noProof/>
            <w:lang w:val="en-GB"/>
          </w:rPr>
          <w:t>1. Anti-Terrorism Law</w:t>
        </w:r>
        <w:r w:rsidR="00055EB3">
          <w:rPr>
            <w:noProof/>
            <w:webHidden/>
          </w:rPr>
          <w:tab/>
        </w:r>
        <w:r w:rsidR="00055EB3">
          <w:rPr>
            <w:noProof/>
            <w:webHidden/>
          </w:rPr>
          <w:fldChar w:fldCharType="begin"/>
        </w:r>
        <w:r w:rsidR="00055EB3">
          <w:rPr>
            <w:noProof/>
            <w:webHidden/>
          </w:rPr>
          <w:instrText xml:space="preserve"> PAGEREF _Toc177388608 \h </w:instrText>
        </w:r>
        <w:r w:rsidR="00055EB3">
          <w:rPr>
            <w:noProof/>
            <w:webHidden/>
          </w:rPr>
        </w:r>
        <w:r w:rsidR="00055EB3">
          <w:rPr>
            <w:noProof/>
            <w:webHidden/>
          </w:rPr>
          <w:fldChar w:fldCharType="separate"/>
        </w:r>
        <w:r w:rsidR="00055EB3">
          <w:rPr>
            <w:noProof/>
            <w:webHidden/>
          </w:rPr>
          <w:t>10</w:t>
        </w:r>
        <w:r w:rsidR="00055EB3">
          <w:rPr>
            <w:noProof/>
            <w:webHidden/>
          </w:rPr>
          <w:fldChar w:fldCharType="end"/>
        </w:r>
      </w:hyperlink>
    </w:p>
    <w:p w14:paraId="2315F1AF" w14:textId="77777777" w:rsidR="00055EB3" w:rsidRDefault="00B0563C">
      <w:pPr>
        <w:pStyle w:val="TOC3"/>
        <w:tabs>
          <w:tab w:val="right" w:leader="dot" w:pos="9056"/>
        </w:tabs>
        <w:rPr>
          <w:rFonts w:asciiTheme="minorHAnsi" w:eastAsiaTheme="minorEastAsia" w:hAnsiTheme="minorHAnsi" w:cstheme="minorBidi"/>
          <w:noProof/>
        </w:rPr>
      </w:pPr>
      <w:hyperlink w:anchor="_Toc177388609" w:history="1">
        <w:r w:rsidR="00055EB3" w:rsidRPr="001C3048">
          <w:rPr>
            <w:rStyle w:val="Hyperlink"/>
            <w:noProof/>
            <w:lang w:val="en-GB"/>
          </w:rPr>
          <w:t>2. Defamation and Other Related Offences</w:t>
        </w:r>
        <w:r w:rsidR="00055EB3">
          <w:rPr>
            <w:noProof/>
            <w:webHidden/>
          </w:rPr>
          <w:tab/>
        </w:r>
        <w:r w:rsidR="00055EB3">
          <w:rPr>
            <w:noProof/>
            <w:webHidden/>
          </w:rPr>
          <w:fldChar w:fldCharType="begin"/>
        </w:r>
        <w:r w:rsidR="00055EB3">
          <w:rPr>
            <w:noProof/>
            <w:webHidden/>
          </w:rPr>
          <w:instrText xml:space="preserve"> PAGEREF _Toc177388609 \h </w:instrText>
        </w:r>
        <w:r w:rsidR="00055EB3">
          <w:rPr>
            <w:noProof/>
            <w:webHidden/>
          </w:rPr>
        </w:r>
        <w:r w:rsidR="00055EB3">
          <w:rPr>
            <w:noProof/>
            <w:webHidden/>
          </w:rPr>
          <w:fldChar w:fldCharType="separate"/>
        </w:r>
        <w:r w:rsidR="00055EB3">
          <w:rPr>
            <w:noProof/>
            <w:webHidden/>
          </w:rPr>
          <w:t>12</w:t>
        </w:r>
        <w:r w:rsidR="00055EB3">
          <w:rPr>
            <w:noProof/>
            <w:webHidden/>
          </w:rPr>
          <w:fldChar w:fldCharType="end"/>
        </w:r>
      </w:hyperlink>
    </w:p>
    <w:p w14:paraId="1BE58FA2" w14:textId="77777777" w:rsidR="00055EB3" w:rsidRDefault="00B0563C">
      <w:pPr>
        <w:pStyle w:val="TOC3"/>
        <w:tabs>
          <w:tab w:val="right" w:leader="dot" w:pos="9056"/>
        </w:tabs>
        <w:rPr>
          <w:rFonts w:asciiTheme="minorHAnsi" w:eastAsiaTheme="minorEastAsia" w:hAnsiTheme="minorHAnsi" w:cstheme="minorBidi"/>
          <w:noProof/>
        </w:rPr>
      </w:pPr>
      <w:hyperlink w:anchor="_Toc177388610" w:history="1">
        <w:r w:rsidR="00055EB3" w:rsidRPr="001C3048">
          <w:rPr>
            <w:rStyle w:val="Hyperlink"/>
            <w:noProof/>
            <w:lang w:val="en-GB"/>
          </w:rPr>
          <w:t>3. Incitement to Hatred</w:t>
        </w:r>
        <w:r w:rsidR="00055EB3">
          <w:rPr>
            <w:noProof/>
            <w:webHidden/>
          </w:rPr>
          <w:tab/>
        </w:r>
        <w:r w:rsidR="00055EB3">
          <w:rPr>
            <w:noProof/>
            <w:webHidden/>
          </w:rPr>
          <w:fldChar w:fldCharType="begin"/>
        </w:r>
        <w:r w:rsidR="00055EB3">
          <w:rPr>
            <w:noProof/>
            <w:webHidden/>
          </w:rPr>
          <w:instrText xml:space="preserve"> PAGEREF _Toc177388610 \h </w:instrText>
        </w:r>
        <w:r w:rsidR="00055EB3">
          <w:rPr>
            <w:noProof/>
            <w:webHidden/>
          </w:rPr>
        </w:r>
        <w:r w:rsidR="00055EB3">
          <w:rPr>
            <w:noProof/>
            <w:webHidden/>
          </w:rPr>
          <w:fldChar w:fldCharType="separate"/>
        </w:r>
        <w:r w:rsidR="00055EB3">
          <w:rPr>
            <w:noProof/>
            <w:webHidden/>
          </w:rPr>
          <w:t>14</w:t>
        </w:r>
        <w:r w:rsidR="00055EB3">
          <w:rPr>
            <w:noProof/>
            <w:webHidden/>
          </w:rPr>
          <w:fldChar w:fldCharType="end"/>
        </w:r>
      </w:hyperlink>
    </w:p>
    <w:p w14:paraId="50C3F126" w14:textId="77777777" w:rsidR="00055EB3" w:rsidRDefault="00B0563C">
      <w:pPr>
        <w:pStyle w:val="TOC3"/>
        <w:tabs>
          <w:tab w:val="right" w:leader="dot" w:pos="9056"/>
        </w:tabs>
        <w:rPr>
          <w:rFonts w:asciiTheme="minorHAnsi" w:eastAsiaTheme="minorEastAsia" w:hAnsiTheme="minorHAnsi" w:cstheme="minorBidi"/>
          <w:noProof/>
        </w:rPr>
      </w:pPr>
      <w:hyperlink w:anchor="_Toc177388611" w:history="1">
        <w:r w:rsidR="00055EB3" w:rsidRPr="001C3048">
          <w:rPr>
            <w:rStyle w:val="Hyperlink"/>
            <w:noProof/>
            <w:lang w:val="en-GB"/>
          </w:rPr>
          <w:t>4. “Disinformation Law”</w:t>
        </w:r>
        <w:r w:rsidR="00055EB3">
          <w:rPr>
            <w:noProof/>
            <w:webHidden/>
          </w:rPr>
          <w:tab/>
        </w:r>
        <w:r w:rsidR="00055EB3">
          <w:rPr>
            <w:noProof/>
            <w:webHidden/>
          </w:rPr>
          <w:fldChar w:fldCharType="begin"/>
        </w:r>
        <w:r w:rsidR="00055EB3">
          <w:rPr>
            <w:noProof/>
            <w:webHidden/>
          </w:rPr>
          <w:instrText xml:space="preserve"> PAGEREF _Toc177388611 \h </w:instrText>
        </w:r>
        <w:r w:rsidR="00055EB3">
          <w:rPr>
            <w:noProof/>
            <w:webHidden/>
          </w:rPr>
        </w:r>
        <w:r w:rsidR="00055EB3">
          <w:rPr>
            <w:noProof/>
            <w:webHidden/>
          </w:rPr>
          <w:fldChar w:fldCharType="separate"/>
        </w:r>
        <w:r w:rsidR="00055EB3">
          <w:rPr>
            <w:noProof/>
            <w:webHidden/>
          </w:rPr>
          <w:t>15</w:t>
        </w:r>
        <w:r w:rsidR="00055EB3">
          <w:rPr>
            <w:noProof/>
            <w:webHidden/>
          </w:rPr>
          <w:fldChar w:fldCharType="end"/>
        </w:r>
      </w:hyperlink>
    </w:p>
    <w:p w14:paraId="08071A98" w14:textId="77777777" w:rsidR="00055EB3" w:rsidRDefault="00B0563C">
      <w:pPr>
        <w:pStyle w:val="TOC2"/>
        <w:rPr>
          <w:rFonts w:asciiTheme="minorHAnsi" w:eastAsiaTheme="minorEastAsia" w:hAnsiTheme="minorHAnsi" w:cstheme="minorBidi"/>
          <w:noProof/>
        </w:rPr>
      </w:pPr>
      <w:hyperlink w:anchor="_Toc177388612" w:history="1">
        <w:r w:rsidR="00055EB3" w:rsidRPr="001C3048">
          <w:rPr>
            <w:rStyle w:val="Hyperlink"/>
            <w:b/>
            <w:noProof/>
            <w:lang w:val="en-GB"/>
          </w:rPr>
          <w:t>C- Interventions of Executive and Administrative Bodies</w:t>
        </w:r>
        <w:r w:rsidR="00055EB3">
          <w:rPr>
            <w:noProof/>
            <w:webHidden/>
          </w:rPr>
          <w:tab/>
        </w:r>
        <w:r w:rsidR="00055EB3">
          <w:rPr>
            <w:noProof/>
            <w:webHidden/>
          </w:rPr>
          <w:fldChar w:fldCharType="begin"/>
        </w:r>
        <w:r w:rsidR="00055EB3">
          <w:rPr>
            <w:noProof/>
            <w:webHidden/>
          </w:rPr>
          <w:instrText xml:space="preserve"> PAGEREF _Toc177388612 \h </w:instrText>
        </w:r>
        <w:r w:rsidR="00055EB3">
          <w:rPr>
            <w:noProof/>
            <w:webHidden/>
          </w:rPr>
        </w:r>
        <w:r w:rsidR="00055EB3">
          <w:rPr>
            <w:noProof/>
            <w:webHidden/>
          </w:rPr>
          <w:fldChar w:fldCharType="separate"/>
        </w:r>
        <w:r w:rsidR="00055EB3">
          <w:rPr>
            <w:noProof/>
            <w:webHidden/>
          </w:rPr>
          <w:t>15</w:t>
        </w:r>
        <w:r w:rsidR="00055EB3">
          <w:rPr>
            <w:noProof/>
            <w:webHidden/>
          </w:rPr>
          <w:fldChar w:fldCharType="end"/>
        </w:r>
      </w:hyperlink>
    </w:p>
    <w:p w14:paraId="13940041" w14:textId="77777777" w:rsidR="00055EB3" w:rsidRDefault="00B0563C">
      <w:pPr>
        <w:pStyle w:val="TOC3"/>
        <w:tabs>
          <w:tab w:val="right" w:leader="dot" w:pos="9056"/>
        </w:tabs>
        <w:rPr>
          <w:rFonts w:asciiTheme="minorHAnsi" w:eastAsiaTheme="minorEastAsia" w:hAnsiTheme="minorHAnsi" w:cstheme="minorBidi"/>
          <w:noProof/>
        </w:rPr>
      </w:pPr>
      <w:hyperlink w:anchor="_Toc177388613" w:history="1">
        <w:r w:rsidR="00055EB3" w:rsidRPr="001C3048">
          <w:rPr>
            <w:rStyle w:val="Hyperlink"/>
            <w:noProof/>
            <w:lang w:val="en-GB"/>
          </w:rPr>
          <w:t>1. Radio and Television Broadcasting</w:t>
        </w:r>
        <w:r w:rsidR="00055EB3">
          <w:rPr>
            <w:noProof/>
            <w:webHidden/>
          </w:rPr>
          <w:tab/>
        </w:r>
        <w:r w:rsidR="00055EB3">
          <w:rPr>
            <w:noProof/>
            <w:webHidden/>
          </w:rPr>
          <w:fldChar w:fldCharType="begin"/>
        </w:r>
        <w:r w:rsidR="00055EB3">
          <w:rPr>
            <w:noProof/>
            <w:webHidden/>
          </w:rPr>
          <w:instrText xml:space="preserve"> PAGEREF _Toc177388613 \h </w:instrText>
        </w:r>
        <w:r w:rsidR="00055EB3">
          <w:rPr>
            <w:noProof/>
            <w:webHidden/>
          </w:rPr>
        </w:r>
        <w:r w:rsidR="00055EB3">
          <w:rPr>
            <w:noProof/>
            <w:webHidden/>
          </w:rPr>
          <w:fldChar w:fldCharType="separate"/>
        </w:r>
        <w:r w:rsidR="00055EB3">
          <w:rPr>
            <w:noProof/>
            <w:webHidden/>
          </w:rPr>
          <w:t>15</w:t>
        </w:r>
        <w:r w:rsidR="00055EB3">
          <w:rPr>
            <w:noProof/>
            <w:webHidden/>
          </w:rPr>
          <w:fldChar w:fldCharType="end"/>
        </w:r>
      </w:hyperlink>
    </w:p>
    <w:p w14:paraId="2FDA7895" w14:textId="77777777" w:rsidR="00055EB3" w:rsidRDefault="00B0563C">
      <w:pPr>
        <w:pStyle w:val="TOC3"/>
        <w:tabs>
          <w:tab w:val="right" w:leader="dot" w:pos="9056"/>
        </w:tabs>
        <w:rPr>
          <w:rFonts w:asciiTheme="minorHAnsi" w:eastAsiaTheme="minorEastAsia" w:hAnsiTheme="minorHAnsi" w:cstheme="minorBidi"/>
          <w:noProof/>
        </w:rPr>
      </w:pPr>
      <w:hyperlink w:anchor="_Toc177388614" w:history="1">
        <w:r w:rsidR="00055EB3" w:rsidRPr="001C3048">
          <w:rPr>
            <w:rStyle w:val="Hyperlink"/>
            <w:noProof/>
            <w:lang w:val="en-GB"/>
          </w:rPr>
          <w:t>2. Internet Publishing</w:t>
        </w:r>
        <w:r w:rsidR="00055EB3">
          <w:rPr>
            <w:noProof/>
            <w:webHidden/>
          </w:rPr>
          <w:tab/>
        </w:r>
        <w:r w:rsidR="00055EB3">
          <w:rPr>
            <w:noProof/>
            <w:webHidden/>
          </w:rPr>
          <w:fldChar w:fldCharType="begin"/>
        </w:r>
        <w:r w:rsidR="00055EB3">
          <w:rPr>
            <w:noProof/>
            <w:webHidden/>
          </w:rPr>
          <w:instrText xml:space="preserve"> PAGEREF _Toc177388614 \h </w:instrText>
        </w:r>
        <w:r w:rsidR="00055EB3">
          <w:rPr>
            <w:noProof/>
            <w:webHidden/>
          </w:rPr>
        </w:r>
        <w:r w:rsidR="00055EB3">
          <w:rPr>
            <w:noProof/>
            <w:webHidden/>
          </w:rPr>
          <w:fldChar w:fldCharType="separate"/>
        </w:r>
        <w:r w:rsidR="00055EB3">
          <w:rPr>
            <w:noProof/>
            <w:webHidden/>
          </w:rPr>
          <w:t>17</w:t>
        </w:r>
        <w:r w:rsidR="00055EB3">
          <w:rPr>
            <w:noProof/>
            <w:webHidden/>
          </w:rPr>
          <w:fldChar w:fldCharType="end"/>
        </w:r>
      </w:hyperlink>
    </w:p>
    <w:p w14:paraId="6B50C418" w14:textId="77777777" w:rsidR="00055EB3" w:rsidRDefault="00B0563C">
      <w:pPr>
        <w:pStyle w:val="TOC2"/>
        <w:rPr>
          <w:rFonts w:asciiTheme="minorHAnsi" w:eastAsiaTheme="minorEastAsia" w:hAnsiTheme="minorHAnsi" w:cstheme="minorBidi"/>
          <w:noProof/>
        </w:rPr>
      </w:pPr>
      <w:hyperlink w:anchor="_Toc177388615" w:history="1">
        <w:r w:rsidR="00055EB3" w:rsidRPr="001C3048">
          <w:rPr>
            <w:rStyle w:val="Hyperlink"/>
            <w:b/>
            <w:noProof/>
            <w:lang w:val="en-GB"/>
          </w:rPr>
          <w:t>D- Non-State Actors’ Interventions</w:t>
        </w:r>
        <w:r w:rsidR="00055EB3">
          <w:rPr>
            <w:noProof/>
            <w:webHidden/>
          </w:rPr>
          <w:tab/>
        </w:r>
        <w:r w:rsidR="00055EB3">
          <w:rPr>
            <w:noProof/>
            <w:webHidden/>
          </w:rPr>
          <w:fldChar w:fldCharType="begin"/>
        </w:r>
        <w:r w:rsidR="00055EB3">
          <w:rPr>
            <w:noProof/>
            <w:webHidden/>
          </w:rPr>
          <w:instrText xml:space="preserve"> PAGEREF _Toc177388615 \h </w:instrText>
        </w:r>
        <w:r w:rsidR="00055EB3">
          <w:rPr>
            <w:noProof/>
            <w:webHidden/>
          </w:rPr>
        </w:r>
        <w:r w:rsidR="00055EB3">
          <w:rPr>
            <w:noProof/>
            <w:webHidden/>
          </w:rPr>
          <w:fldChar w:fldCharType="separate"/>
        </w:r>
        <w:r w:rsidR="00055EB3">
          <w:rPr>
            <w:noProof/>
            <w:webHidden/>
          </w:rPr>
          <w:t>20</w:t>
        </w:r>
        <w:r w:rsidR="00055EB3">
          <w:rPr>
            <w:noProof/>
            <w:webHidden/>
          </w:rPr>
          <w:fldChar w:fldCharType="end"/>
        </w:r>
      </w:hyperlink>
    </w:p>
    <w:p w14:paraId="147FB000" w14:textId="77777777" w:rsidR="00055EB3" w:rsidRDefault="00B0563C" w:rsidP="00055EB3">
      <w:pPr>
        <w:pStyle w:val="TOC1"/>
        <w:rPr>
          <w:rFonts w:asciiTheme="minorHAnsi" w:eastAsiaTheme="minorEastAsia" w:hAnsiTheme="minorHAnsi" w:cstheme="minorBidi"/>
          <w:noProof/>
        </w:rPr>
      </w:pPr>
      <w:hyperlink w:anchor="_Toc177388616" w:history="1">
        <w:r w:rsidR="00055EB3" w:rsidRPr="001C3048">
          <w:rPr>
            <w:rStyle w:val="Hyperlink"/>
            <w:rFonts w:eastAsia="Times New Roman"/>
            <w:b/>
            <w:noProof/>
            <w:lang w:val="en-GB"/>
          </w:rPr>
          <w:t>II. Violence Against Women (Arts. 2, 3, 6, 7 and 26)</w:t>
        </w:r>
        <w:r w:rsidR="00055EB3">
          <w:rPr>
            <w:noProof/>
            <w:webHidden/>
          </w:rPr>
          <w:tab/>
        </w:r>
        <w:r w:rsidR="00055EB3">
          <w:rPr>
            <w:noProof/>
            <w:webHidden/>
          </w:rPr>
          <w:fldChar w:fldCharType="begin"/>
        </w:r>
        <w:r w:rsidR="00055EB3">
          <w:rPr>
            <w:noProof/>
            <w:webHidden/>
          </w:rPr>
          <w:instrText xml:space="preserve"> PAGEREF _Toc177388616 \h </w:instrText>
        </w:r>
        <w:r w:rsidR="00055EB3">
          <w:rPr>
            <w:noProof/>
            <w:webHidden/>
          </w:rPr>
        </w:r>
        <w:r w:rsidR="00055EB3">
          <w:rPr>
            <w:noProof/>
            <w:webHidden/>
          </w:rPr>
          <w:fldChar w:fldCharType="separate"/>
        </w:r>
        <w:r w:rsidR="00055EB3">
          <w:rPr>
            <w:noProof/>
            <w:webHidden/>
          </w:rPr>
          <w:t>21</w:t>
        </w:r>
        <w:r w:rsidR="00055EB3">
          <w:rPr>
            <w:noProof/>
            <w:webHidden/>
          </w:rPr>
          <w:fldChar w:fldCharType="end"/>
        </w:r>
      </w:hyperlink>
    </w:p>
    <w:p w14:paraId="018FBD68" w14:textId="77777777" w:rsidR="00055EB3" w:rsidRDefault="00B0563C" w:rsidP="00055EB3">
      <w:pPr>
        <w:pStyle w:val="TOC1"/>
        <w:rPr>
          <w:rFonts w:asciiTheme="minorHAnsi" w:eastAsiaTheme="minorEastAsia" w:hAnsiTheme="minorHAnsi" w:cstheme="minorBidi"/>
          <w:noProof/>
        </w:rPr>
      </w:pPr>
      <w:hyperlink w:anchor="_Toc177388617" w:history="1">
        <w:r w:rsidR="00055EB3" w:rsidRPr="001C3048">
          <w:rPr>
            <w:rStyle w:val="Hyperlink"/>
            <w:b/>
            <w:noProof/>
            <w:lang w:val="en-GB"/>
          </w:rPr>
          <w:t>Suggested Recommendations</w:t>
        </w:r>
        <w:r w:rsidR="00055EB3">
          <w:rPr>
            <w:noProof/>
            <w:webHidden/>
          </w:rPr>
          <w:tab/>
        </w:r>
        <w:r w:rsidR="00055EB3">
          <w:rPr>
            <w:noProof/>
            <w:webHidden/>
          </w:rPr>
          <w:fldChar w:fldCharType="begin"/>
        </w:r>
        <w:r w:rsidR="00055EB3">
          <w:rPr>
            <w:noProof/>
            <w:webHidden/>
          </w:rPr>
          <w:instrText xml:space="preserve"> PAGEREF _Toc177388617 \h </w:instrText>
        </w:r>
        <w:r w:rsidR="00055EB3">
          <w:rPr>
            <w:noProof/>
            <w:webHidden/>
          </w:rPr>
        </w:r>
        <w:r w:rsidR="00055EB3">
          <w:rPr>
            <w:noProof/>
            <w:webHidden/>
          </w:rPr>
          <w:fldChar w:fldCharType="separate"/>
        </w:r>
        <w:r w:rsidR="00055EB3">
          <w:rPr>
            <w:noProof/>
            <w:webHidden/>
          </w:rPr>
          <w:t>23</w:t>
        </w:r>
        <w:r w:rsidR="00055EB3">
          <w:rPr>
            <w:noProof/>
            <w:webHidden/>
          </w:rPr>
          <w:fldChar w:fldCharType="end"/>
        </w:r>
      </w:hyperlink>
    </w:p>
    <w:p w14:paraId="60806EC5" w14:textId="740DEB4A" w:rsidR="00C00191" w:rsidRPr="00055EB3" w:rsidRDefault="00C00191" w:rsidP="00165CE4">
      <w:pPr>
        <w:spacing w:line="360" w:lineRule="auto"/>
        <w:jc w:val="both"/>
        <w:rPr>
          <w:lang w:val="en-GB"/>
        </w:rPr>
      </w:pPr>
      <w:r w:rsidRPr="00055EB3">
        <w:rPr>
          <w:lang w:val="en-GB"/>
        </w:rPr>
        <w:fldChar w:fldCharType="end"/>
      </w:r>
    </w:p>
    <w:p w14:paraId="022355A1" w14:textId="77777777" w:rsidR="009039CA" w:rsidRPr="00055EB3" w:rsidRDefault="009039CA" w:rsidP="00165CE4">
      <w:pPr>
        <w:spacing w:line="360" w:lineRule="auto"/>
        <w:jc w:val="both"/>
        <w:rPr>
          <w:lang w:val="en-GB"/>
        </w:rPr>
      </w:pPr>
    </w:p>
    <w:p w14:paraId="51C4F82E" w14:textId="08F291DC" w:rsidR="00552ECA" w:rsidRPr="00055EB3" w:rsidRDefault="00552ECA" w:rsidP="009039CA">
      <w:pPr>
        <w:pStyle w:val="Heading1"/>
        <w:spacing w:before="0"/>
        <w:rPr>
          <w:rFonts w:ascii="Times New Roman" w:hAnsi="Times New Roman" w:cs="Times New Roman"/>
          <w:b/>
          <w:color w:val="000000" w:themeColor="text1"/>
          <w:sz w:val="24"/>
          <w:szCs w:val="24"/>
          <w:lang w:val="en-GB"/>
        </w:rPr>
      </w:pPr>
      <w:bookmarkStart w:id="0" w:name="_Toc177388601"/>
      <w:r w:rsidRPr="00055EB3">
        <w:rPr>
          <w:rFonts w:ascii="Times New Roman" w:hAnsi="Times New Roman" w:cs="Times New Roman"/>
          <w:b/>
          <w:color w:val="000000" w:themeColor="text1"/>
          <w:sz w:val="24"/>
          <w:szCs w:val="24"/>
          <w:lang w:val="en-GB"/>
        </w:rPr>
        <w:t>Abbreviations</w:t>
      </w:r>
      <w:bookmarkEnd w:id="0"/>
    </w:p>
    <w:p w14:paraId="7D03DB15" w14:textId="77777777" w:rsidR="00552ECA" w:rsidRPr="00055EB3" w:rsidRDefault="00552ECA" w:rsidP="009039CA">
      <w:pPr>
        <w:rPr>
          <w:lang w:val="en-GB"/>
        </w:rPr>
      </w:pPr>
    </w:p>
    <w:p w14:paraId="17F6F0F0" w14:textId="65EBB460" w:rsidR="00404E0E" w:rsidRPr="00055EB3" w:rsidRDefault="00404E0E" w:rsidP="009039CA">
      <w:pPr>
        <w:rPr>
          <w:lang w:val="en-GB"/>
        </w:rPr>
      </w:pPr>
      <w:r w:rsidRPr="00055EB3">
        <w:rPr>
          <w:lang w:val="en-GB"/>
        </w:rPr>
        <w:t>Art.</w:t>
      </w:r>
      <w:r w:rsidRPr="00055EB3">
        <w:rPr>
          <w:lang w:val="en-GB"/>
        </w:rPr>
        <w:tab/>
      </w:r>
      <w:r w:rsidRPr="00055EB3">
        <w:rPr>
          <w:lang w:val="en-GB"/>
        </w:rPr>
        <w:tab/>
        <w:t>: Article</w:t>
      </w:r>
    </w:p>
    <w:p w14:paraId="6FC05D7E" w14:textId="41CF8E21" w:rsidR="00245C40" w:rsidRPr="00055EB3" w:rsidRDefault="00245C40" w:rsidP="009039CA">
      <w:pPr>
        <w:rPr>
          <w:lang w:val="en-GB"/>
        </w:rPr>
      </w:pPr>
      <w:r w:rsidRPr="00055EB3">
        <w:rPr>
          <w:lang w:val="en-GB"/>
        </w:rPr>
        <w:t>ATL</w:t>
      </w:r>
      <w:r w:rsidRPr="00055EB3">
        <w:rPr>
          <w:lang w:val="en-GB"/>
        </w:rPr>
        <w:tab/>
      </w:r>
      <w:r w:rsidRPr="00055EB3">
        <w:rPr>
          <w:lang w:val="en-GB"/>
        </w:rPr>
        <w:tab/>
        <w:t>: Anti-Terrorism Law</w:t>
      </w:r>
    </w:p>
    <w:p w14:paraId="0FFD7726" w14:textId="7785DFE8" w:rsidR="00552ECA" w:rsidRPr="00055EB3" w:rsidRDefault="00552ECA" w:rsidP="009039CA">
      <w:pPr>
        <w:rPr>
          <w:rFonts w:eastAsia="Times New Roman"/>
          <w:lang w:val="en-GB"/>
        </w:rPr>
      </w:pPr>
      <w:r w:rsidRPr="00055EB3">
        <w:rPr>
          <w:lang w:val="en-GB"/>
        </w:rPr>
        <w:t>BİA</w:t>
      </w:r>
      <w:r w:rsidRPr="00055EB3">
        <w:rPr>
          <w:lang w:val="en-GB"/>
        </w:rPr>
        <w:tab/>
      </w:r>
      <w:r w:rsidRPr="00055EB3">
        <w:rPr>
          <w:lang w:val="en-GB"/>
        </w:rPr>
        <w:tab/>
        <w:t xml:space="preserve">: </w:t>
      </w:r>
      <w:r w:rsidRPr="00055EB3">
        <w:rPr>
          <w:rFonts w:eastAsia="Times New Roman"/>
          <w:lang w:val="en-GB"/>
        </w:rPr>
        <w:t>Independent Communication Network</w:t>
      </w:r>
    </w:p>
    <w:p w14:paraId="2293EEC5" w14:textId="2E1006A7" w:rsidR="001174FE" w:rsidRPr="00055EB3" w:rsidRDefault="001174FE" w:rsidP="009039CA">
      <w:pPr>
        <w:rPr>
          <w:rFonts w:eastAsia="Times New Roman"/>
          <w:lang w:val="en-GB"/>
        </w:rPr>
      </w:pPr>
      <w:r w:rsidRPr="00055EB3">
        <w:rPr>
          <w:rFonts w:eastAsia="Times New Roman"/>
          <w:lang w:val="en-GB"/>
        </w:rPr>
        <w:t>BİK</w:t>
      </w:r>
      <w:r w:rsidRPr="00055EB3">
        <w:rPr>
          <w:rFonts w:eastAsia="Times New Roman"/>
          <w:lang w:val="en-GB"/>
        </w:rPr>
        <w:tab/>
      </w:r>
      <w:r w:rsidRPr="00055EB3">
        <w:rPr>
          <w:rFonts w:eastAsia="Times New Roman"/>
          <w:lang w:val="en-GB"/>
        </w:rPr>
        <w:tab/>
        <w:t xml:space="preserve">: </w:t>
      </w:r>
      <w:r w:rsidRPr="00055EB3">
        <w:rPr>
          <w:lang w:val="en-GB"/>
        </w:rPr>
        <w:t>Press Advertisement Institution</w:t>
      </w:r>
    </w:p>
    <w:p w14:paraId="1EBC068C" w14:textId="61B466DC" w:rsidR="00552ECA" w:rsidRPr="00055EB3" w:rsidRDefault="00552ECA" w:rsidP="009039CA">
      <w:pPr>
        <w:rPr>
          <w:rFonts w:eastAsia="Times New Roman"/>
          <w:lang w:val="en-GB"/>
        </w:rPr>
      </w:pPr>
      <w:r w:rsidRPr="00055EB3">
        <w:rPr>
          <w:rFonts w:eastAsia="Times New Roman"/>
          <w:lang w:val="en-GB"/>
        </w:rPr>
        <w:t>BTK</w:t>
      </w:r>
      <w:r w:rsidRPr="00055EB3">
        <w:rPr>
          <w:rFonts w:eastAsia="Times New Roman"/>
          <w:lang w:val="en-GB"/>
        </w:rPr>
        <w:tab/>
      </w:r>
      <w:r w:rsidRPr="00055EB3">
        <w:rPr>
          <w:rFonts w:eastAsia="Times New Roman"/>
          <w:lang w:val="en-GB"/>
        </w:rPr>
        <w:tab/>
        <w:t xml:space="preserve">: </w:t>
      </w:r>
      <w:r w:rsidRPr="00055EB3">
        <w:rPr>
          <w:lang w:val="en-GB"/>
        </w:rPr>
        <w:t>Information and Communication Technologies Authority</w:t>
      </w:r>
    </w:p>
    <w:p w14:paraId="34CF992E" w14:textId="1B344744" w:rsidR="00552ECA" w:rsidRPr="00055EB3" w:rsidRDefault="00552ECA" w:rsidP="009039CA">
      <w:pPr>
        <w:rPr>
          <w:rFonts w:eastAsia="Times New Roman"/>
          <w:lang w:val="en-GB"/>
        </w:rPr>
      </w:pPr>
      <w:r w:rsidRPr="00055EB3">
        <w:rPr>
          <w:rFonts w:eastAsia="Times New Roman"/>
          <w:lang w:val="en-GB"/>
        </w:rPr>
        <w:t>CC</w:t>
      </w:r>
      <w:r w:rsidRPr="00055EB3">
        <w:rPr>
          <w:rFonts w:eastAsia="Times New Roman"/>
          <w:lang w:val="en-GB"/>
        </w:rPr>
        <w:tab/>
      </w:r>
      <w:r w:rsidRPr="00055EB3">
        <w:rPr>
          <w:rFonts w:eastAsia="Times New Roman"/>
          <w:lang w:val="en-GB"/>
        </w:rPr>
        <w:tab/>
        <w:t>: Constitutional Court</w:t>
      </w:r>
    </w:p>
    <w:p w14:paraId="46C90BF2" w14:textId="29DC18EF" w:rsidR="00552ECA" w:rsidRPr="00055EB3" w:rsidRDefault="00552ECA" w:rsidP="009039CA">
      <w:pPr>
        <w:rPr>
          <w:rFonts w:eastAsia="Times New Roman"/>
          <w:lang w:val="en-GB"/>
        </w:rPr>
      </w:pPr>
      <w:r w:rsidRPr="00055EB3">
        <w:rPr>
          <w:rFonts w:eastAsia="Times New Roman"/>
          <w:lang w:val="en-GB"/>
        </w:rPr>
        <w:t>ECtHR</w:t>
      </w:r>
      <w:r w:rsidRPr="00055EB3">
        <w:rPr>
          <w:rFonts w:eastAsia="Times New Roman"/>
          <w:lang w:val="en-GB"/>
        </w:rPr>
        <w:tab/>
      </w:r>
      <w:r w:rsidRPr="00055EB3">
        <w:rPr>
          <w:rFonts w:eastAsia="Times New Roman"/>
          <w:lang w:val="en-GB"/>
        </w:rPr>
        <w:tab/>
        <w:t>: European Court of Human Rights</w:t>
      </w:r>
    </w:p>
    <w:p w14:paraId="33F41142" w14:textId="2275D272" w:rsidR="00552ECA" w:rsidRPr="00055EB3" w:rsidRDefault="00552ECA" w:rsidP="009039CA">
      <w:pPr>
        <w:rPr>
          <w:rFonts w:eastAsia="Times New Roman"/>
          <w:lang w:val="en-GB"/>
        </w:rPr>
      </w:pPr>
      <w:r w:rsidRPr="00055EB3">
        <w:rPr>
          <w:rFonts w:eastAsia="Times New Roman"/>
          <w:lang w:val="en-GB"/>
        </w:rPr>
        <w:t xml:space="preserve">LoIPR </w:t>
      </w:r>
      <w:r w:rsidRPr="00055EB3">
        <w:rPr>
          <w:rFonts w:eastAsia="Times New Roman"/>
          <w:lang w:val="en-GB"/>
        </w:rPr>
        <w:tab/>
      </w:r>
      <w:r w:rsidRPr="00055EB3">
        <w:rPr>
          <w:rFonts w:eastAsia="Times New Roman"/>
          <w:lang w:val="en-GB"/>
        </w:rPr>
        <w:tab/>
        <w:t>: List of Issues Prior to Reporting</w:t>
      </w:r>
    </w:p>
    <w:p w14:paraId="38847402" w14:textId="72B532EE" w:rsidR="00404E0E" w:rsidRPr="00055EB3" w:rsidRDefault="00404E0E" w:rsidP="009039CA">
      <w:pPr>
        <w:rPr>
          <w:rFonts w:eastAsia="Times New Roman"/>
          <w:lang w:val="en-GB"/>
        </w:rPr>
      </w:pPr>
      <w:r w:rsidRPr="00055EB3">
        <w:rPr>
          <w:rFonts w:eastAsia="Times New Roman"/>
          <w:lang w:val="en-GB"/>
        </w:rPr>
        <w:t>p</w:t>
      </w:r>
      <w:r w:rsidR="00AE6EBE" w:rsidRPr="00055EB3">
        <w:rPr>
          <w:rFonts w:eastAsia="Times New Roman"/>
          <w:lang w:val="en-GB"/>
        </w:rPr>
        <w:t>.</w:t>
      </w:r>
      <w:r w:rsidRPr="00055EB3">
        <w:rPr>
          <w:rFonts w:eastAsia="Times New Roman"/>
          <w:lang w:val="en-GB"/>
        </w:rPr>
        <w:tab/>
      </w:r>
      <w:r w:rsidRPr="00055EB3">
        <w:rPr>
          <w:rFonts w:eastAsia="Times New Roman"/>
          <w:lang w:val="en-GB"/>
        </w:rPr>
        <w:tab/>
        <w:t>: page</w:t>
      </w:r>
    </w:p>
    <w:p w14:paraId="5D3C7AB2" w14:textId="7DAD0C13" w:rsidR="00552ECA" w:rsidRPr="00055EB3" w:rsidRDefault="00552ECA" w:rsidP="009039CA">
      <w:pPr>
        <w:rPr>
          <w:rFonts w:eastAsia="Times New Roman"/>
          <w:lang w:val="en-GB"/>
        </w:rPr>
      </w:pPr>
      <w:r w:rsidRPr="00055EB3">
        <w:rPr>
          <w:rFonts w:eastAsia="Times New Roman"/>
          <w:lang w:val="en-GB"/>
        </w:rPr>
        <w:t>para</w:t>
      </w:r>
      <w:r w:rsidR="00AE6EBE" w:rsidRPr="00055EB3">
        <w:rPr>
          <w:rFonts w:eastAsia="Times New Roman"/>
          <w:lang w:val="en-GB"/>
        </w:rPr>
        <w:t>.</w:t>
      </w:r>
      <w:r w:rsidRPr="00055EB3">
        <w:rPr>
          <w:rFonts w:eastAsia="Times New Roman"/>
          <w:lang w:val="en-GB"/>
        </w:rPr>
        <w:tab/>
      </w:r>
      <w:r w:rsidRPr="00055EB3">
        <w:rPr>
          <w:rFonts w:eastAsia="Times New Roman"/>
          <w:lang w:val="en-GB"/>
        </w:rPr>
        <w:tab/>
        <w:t>: paragraph</w:t>
      </w:r>
    </w:p>
    <w:p w14:paraId="349888A5" w14:textId="6B004491" w:rsidR="00552ECA" w:rsidRPr="00055EB3" w:rsidRDefault="00552ECA" w:rsidP="009039CA">
      <w:pPr>
        <w:rPr>
          <w:rFonts w:eastAsia="Times New Roman"/>
          <w:lang w:val="en-GB"/>
        </w:rPr>
      </w:pPr>
      <w:r w:rsidRPr="00055EB3">
        <w:rPr>
          <w:lang w:val="en-GB"/>
        </w:rPr>
        <w:t>RSF</w:t>
      </w:r>
      <w:r w:rsidRPr="00055EB3">
        <w:rPr>
          <w:lang w:val="en-GB"/>
        </w:rPr>
        <w:tab/>
      </w:r>
      <w:r w:rsidRPr="00055EB3">
        <w:rPr>
          <w:lang w:val="en-GB"/>
        </w:rPr>
        <w:tab/>
        <w:t>: Reporters Without Borders</w:t>
      </w:r>
    </w:p>
    <w:p w14:paraId="6FAFCB8B" w14:textId="67933105" w:rsidR="001174FE" w:rsidRPr="00055EB3" w:rsidRDefault="001174FE" w:rsidP="009039CA">
      <w:pPr>
        <w:rPr>
          <w:rFonts w:eastAsia="Times New Roman"/>
          <w:lang w:val="en-GB"/>
        </w:rPr>
      </w:pPr>
      <w:r w:rsidRPr="00055EB3">
        <w:rPr>
          <w:rFonts w:eastAsia="Times New Roman"/>
          <w:lang w:val="en-GB"/>
        </w:rPr>
        <w:t>RTÜK</w:t>
      </w:r>
      <w:r w:rsidRPr="00055EB3">
        <w:rPr>
          <w:rFonts w:eastAsia="Times New Roman"/>
          <w:lang w:val="en-GB"/>
        </w:rPr>
        <w:tab/>
      </w:r>
      <w:r w:rsidRPr="00055EB3">
        <w:rPr>
          <w:rFonts w:eastAsia="Times New Roman"/>
          <w:lang w:val="en-GB"/>
        </w:rPr>
        <w:tab/>
        <w:t xml:space="preserve">: </w:t>
      </w:r>
      <w:r w:rsidRPr="00055EB3">
        <w:rPr>
          <w:lang w:val="en-GB"/>
        </w:rPr>
        <w:t>Radio and Television Supreme Council</w:t>
      </w:r>
    </w:p>
    <w:p w14:paraId="7BB55061" w14:textId="75D984FB" w:rsidR="00552ECA" w:rsidRPr="00055EB3" w:rsidRDefault="00552ECA" w:rsidP="009039CA">
      <w:pPr>
        <w:rPr>
          <w:rFonts w:eastAsia="Times New Roman"/>
          <w:lang w:val="en-GB"/>
        </w:rPr>
      </w:pPr>
      <w:r w:rsidRPr="00055EB3">
        <w:rPr>
          <w:rFonts w:eastAsia="Times New Roman"/>
          <w:lang w:val="en-GB"/>
        </w:rPr>
        <w:t>TCC</w:t>
      </w:r>
      <w:r w:rsidRPr="00055EB3">
        <w:rPr>
          <w:rFonts w:eastAsia="Times New Roman"/>
          <w:lang w:val="en-GB"/>
        </w:rPr>
        <w:tab/>
      </w:r>
      <w:r w:rsidRPr="00055EB3">
        <w:rPr>
          <w:rFonts w:eastAsia="Times New Roman"/>
          <w:lang w:val="en-GB"/>
        </w:rPr>
        <w:tab/>
        <w:t>: Turkish Criminal Code</w:t>
      </w:r>
    </w:p>
    <w:p w14:paraId="3FBF0510" w14:textId="7F5CE35E" w:rsidR="001174FE" w:rsidRPr="00055EB3" w:rsidRDefault="001174FE" w:rsidP="009039CA">
      <w:pPr>
        <w:rPr>
          <w:rFonts w:eastAsia="Times New Roman"/>
          <w:lang w:val="en-GB"/>
        </w:rPr>
      </w:pPr>
      <w:r w:rsidRPr="00055EB3">
        <w:rPr>
          <w:rFonts w:eastAsia="Times New Roman"/>
          <w:lang w:val="en-GB"/>
        </w:rPr>
        <w:t>TRT</w:t>
      </w:r>
      <w:r w:rsidRPr="00055EB3">
        <w:rPr>
          <w:rFonts w:eastAsia="Times New Roman"/>
          <w:lang w:val="en-GB"/>
        </w:rPr>
        <w:tab/>
      </w:r>
      <w:r w:rsidRPr="00055EB3">
        <w:rPr>
          <w:rFonts w:eastAsia="Times New Roman"/>
          <w:lang w:val="en-GB"/>
        </w:rPr>
        <w:tab/>
        <w:t xml:space="preserve">: </w:t>
      </w:r>
      <w:r w:rsidRPr="00055EB3">
        <w:rPr>
          <w:bCs/>
          <w:lang w:val="en-GB"/>
        </w:rPr>
        <w:t>Turkish Radio and Television</w:t>
      </w:r>
    </w:p>
    <w:p w14:paraId="3902AF0C" w14:textId="3702262B" w:rsidR="001174FE" w:rsidRPr="00055EB3" w:rsidRDefault="001174FE" w:rsidP="009039CA">
      <w:pPr>
        <w:rPr>
          <w:rFonts w:eastAsia="Times New Roman"/>
          <w:lang w:val="en-GB"/>
        </w:rPr>
      </w:pPr>
      <w:r w:rsidRPr="00055EB3">
        <w:rPr>
          <w:rFonts w:eastAsia="Times New Roman"/>
          <w:lang w:val="en-GB"/>
        </w:rPr>
        <w:t>TRY</w:t>
      </w:r>
      <w:r w:rsidRPr="00055EB3">
        <w:rPr>
          <w:rFonts w:eastAsia="Times New Roman"/>
          <w:lang w:val="en-GB"/>
        </w:rPr>
        <w:tab/>
      </w:r>
      <w:r w:rsidRPr="00055EB3">
        <w:rPr>
          <w:rFonts w:eastAsia="Times New Roman"/>
          <w:lang w:val="en-GB"/>
        </w:rPr>
        <w:tab/>
        <w:t>: Turkish Lira</w:t>
      </w:r>
    </w:p>
    <w:p w14:paraId="3423A2A5" w14:textId="77777777" w:rsidR="009D781E" w:rsidRPr="00055EB3" w:rsidRDefault="009D781E" w:rsidP="009D781E">
      <w:pPr>
        <w:pStyle w:val="Heading1"/>
        <w:pageBreakBefore/>
        <w:spacing w:before="0" w:line="360" w:lineRule="auto"/>
        <w:jc w:val="center"/>
        <w:rPr>
          <w:rFonts w:ascii="Times New Roman" w:hAnsi="Times New Roman" w:cs="Times New Roman"/>
          <w:b/>
          <w:color w:val="000000" w:themeColor="text1"/>
          <w:sz w:val="28"/>
          <w:szCs w:val="28"/>
          <w:lang w:val="en-GB"/>
        </w:rPr>
      </w:pPr>
      <w:bookmarkStart w:id="1" w:name="_Toc177388602"/>
      <w:r w:rsidRPr="00055EB3">
        <w:rPr>
          <w:rFonts w:ascii="Times New Roman" w:hAnsi="Times New Roman" w:cs="Times New Roman"/>
          <w:b/>
          <w:color w:val="000000" w:themeColor="text1"/>
          <w:sz w:val="28"/>
          <w:szCs w:val="28"/>
          <w:lang w:val="en-GB"/>
        </w:rPr>
        <w:lastRenderedPageBreak/>
        <w:t>About BİA</w:t>
      </w:r>
      <w:bookmarkEnd w:id="1"/>
    </w:p>
    <w:p w14:paraId="0E9C4B40" w14:textId="77777777" w:rsidR="006D4AB8" w:rsidRPr="00055EB3" w:rsidRDefault="006D4AB8" w:rsidP="008F7110">
      <w:pPr>
        <w:rPr>
          <w:lang w:val="en-GB"/>
        </w:rPr>
      </w:pPr>
    </w:p>
    <w:p w14:paraId="4D4E74C5" w14:textId="20890B9C" w:rsidR="006D4AB8" w:rsidRPr="00055EB3" w:rsidRDefault="006D4AB8" w:rsidP="00047389">
      <w:pPr>
        <w:jc w:val="both"/>
        <w:rPr>
          <w:lang w:val="en-GB"/>
        </w:rPr>
      </w:pPr>
      <w:r w:rsidRPr="00055EB3">
        <w:rPr>
          <w:color w:val="000000"/>
          <w:lang w:val="en-GB"/>
        </w:rPr>
        <w:t xml:space="preserve">The Independent Communication Network (BİA) is a project of the IPS Communication Foundation, aimed at strengthening independent media in Türkiye. While its news site </w:t>
      </w:r>
      <w:r w:rsidR="00906A9A" w:rsidRPr="00055EB3">
        <w:rPr>
          <w:color w:val="000000"/>
          <w:lang w:val="en-GB"/>
        </w:rPr>
        <w:t>“</w:t>
      </w:r>
      <w:r w:rsidR="00047389" w:rsidRPr="00055EB3">
        <w:rPr>
          <w:color w:val="000000"/>
          <w:lang w:val="en-GB"/>
        </w:rPr>
        <w:t>bianet</w:t>
      </w:r>
      <w:r w:rsidR="00906A9A" w:rsidRPr="00055EB3">
        <w:rPr>
          <w:color w:val="000000"/>
          <w:lang w:val="en-GB"/>
        </w:rPr>
        <w:t>”</w:t>
      </w:r>
      <w:r w:rsidRPr="00055EB3">
        <w:rPr>
          <w:color w:val="000000"/>
          <w:lang w:val="en-GB"/>
        </w:rPr>
        <w:t xml:space="preserve"> is widely known, BİA seeks to reform the entire communication process, responding to the decline of mainstream media in the 1990s, which led to a lack of reliable news. The merging of media and financial capital created a disinformation crisis, silencing marginalized voices. BİA began by building a network of local media cooperation and aims to establish a media system driven by social benefit rather than commercial interests. Its goal is for information to remain independent from capital and state control, transferring media oversight to the public. Since 2000, BİA has produced daily news, organized journalism workshops, published books, and released reports on male violence and media freedom. It promotes peace and rights-oriented journalism, offering content in Turkish, English, and Kurdish. One notable project is the </w:t>
      </w:r>
      <w:r w:rsidR="00906A9A" w:rsidRPr="00055EB3">
        <w:rPr>
          <w:color w:val="000000"/>
          <w:lang w:val="en-GB"/>
        </w:rPr>
        <w:t>“</w:t>
      </w:r>
      <w:r w:rsidRPr="00055EB3">
        <w:rPr>
          <w:color w:val="000000"/>
          <w:lang w:val="en-GB"/>
        </w:rPr>
        <w:t>Male Violence Tally,</w:t>
      </w:r>
      <w:r w:rsidR="00906A9A" w:rsidRPr="00055EB3">
        <w:rPr>
          <w:color w:val="000000"/>
          <w:lang w:val="en-GB"/>
        </w:rPr>
        <w:t>”</w:t>
      </w:r>
      <w:r w:rsidRPr="00055EB3">
        <w:rPr>
          <w:color w:val="000000"/>
          <w:lang w:val="en-GB"/>
        </w:rPr>
        <w:t xml:space="preserve"> where </w:t>
      </w:r>
      <w:r w:rsidR="00047389" w:rsidRPr="00055EB3">
        <w:rPr>
          <w:color w:val="000000"/>
          <w:lang w:val="en-GB"/>
        </w:rPr>
        <w:t>bianet</w:t>
      </w:r>
      <w:r w:rsidRPr="00055EB3">
        <w:rPr>
          <w:color w:val="000000"/>
          <w:lang w:val="en-GB"/>
        </w:rPr>
        <w:t xml:space="preserve"> tracks violence against women as reported in the media, highlighting the misuse of sexist language and the justification of violence in </w:t>
      </w:r>
      <w:r w:rsidR="00082092" w:rsidRPr="00055EB3">
        <w:rPr>
          <w:color w:val="000000"/>
          <w:lang w:val="en-GB"/>
        </w:rPr>
        <w:t>the media</w:t>
      </w:r>
      <w:r w:rsidRPr="00055EB3">
        <w:rPr>
          <w:color w:val="000000"/>
          <w:lang w:val="en-GB"/>
        </w:rPr>
        <w:t>.</w:t>
      </w:r>
    </w:p>
    <w:p w14:paraId="2B0D488E" w14:textId="0B4580A3" w:rsidR="006D4AB8" w:rsidRPr="00055EB3" w:rsidRDefault="006D4AB8" w:rsidP="00047389">
      <w:pPr>
        <w:jc w:val="both"/>
        <w:rPr>
          <w:color w:val="000000"/>
          <w:lang w:val="en-GB"/>
        </w:rPr>
      </w:pPr>
      <w:r w:rsidRPr="00055EB3">
        <w:rPr>
          <w:color w:val="000000"/>
          <w:lang w:val="en-GB"/>
        </w:rPr>
        <w:t xml:space="preserve">BİA has won several awards for its contributions to press freedom such as, among others, the </w:t>
      </w:r>
      <w:r w:rsidR="00906A9A" w:rsidRPr="00055EB3">
        <w:rPr>
          <w:color w:val="000000"/>
          <w:lang w:val="en-GB"/>
        </w:rPr>
        <w:t>“</w:t>
      </w:r>
      <w:r w:rsidRPr="00055EB3">
        <w:rPr>
          <w:color w:val="000000"/>
          <w:lang w:val="en-GB"/>
        </w:rPr>
        <w:t>Award for Achievements in Journalism in Turkey (2005)</w:t>
      </w:r>
      <w:r w:rsidR="00906A9A" w:rsidRPr="00055EB3">
        <w:rPr>
          <w:color w:val="000000"/>
          <w:lang w:val="en-GB"/>
        </w:rPr>
        <w:t>”</w:t>
      </w:r>
      <w:r w:rsidRPr="00055EB3">
        <w:rPr>
          <w:color w:val="000000"/>
          <w:lang w:val="en-GB"/>
        </w:rPr>
        <w:t xml:space="preserve"> by the Association of Journalists of Türkiye; the </w:t>
      </w:r>
      <w:r w:rsidR="00906A9A" w:rsidRPr="00055EB3">
        <w:rPr>
          <w:color w:val="000000"/>
          <w:lang w:val="en-GB"/>
        </w:rPr>
        <w:t>“</w:t>
      </w:r>
      <w:r w:rsidRPr="00055EB3">
        <w:rPr>
          <w:color w:val="000000"/>
          <w:lang w:val="en-GB"/>
        </w:rPr>
        <w:t>Special Contribution to the Struggle for Freedom of Expression Award (2006)</w:t>
      </w:r>
      <w:r w:rsidR="00906A9A" w:rsidRPr="00055EB3">
        <w:rPr>
          <w:color w:val="000000"/>
          <w:lang w:val="en-GB"/>
        </w:rPr>
        <w:t>”</w:t>
      </w:r>
      <w:r w:rsidRPr="00055EB3">
        <w:rPr>
          <w:color w:val="000000"/>
          <w:lang w:val="en-GB"/>
        </w:rPr>
        <w:t xml:space="preserve"> by the Turkish Association of Publishers and the </w:t>
      </w:r>
      <w:r w:rsidR="00906A9A" w:rsidRPr="00055EB3">
        <w:rPr>
          <w:color w:val="000000"/>
          <w:lang w:val="en-GB"/>
        </w:rPr>
        <w:t>“</w:t>
      </w:r>
      <w:r w:rsidRPr="00055EB3">
        <w:rPr>
          <w:color w:val="000000"/>
          <w:lang w:val="en-GB"/>
        </w:rPr>
        <w:t>Press Freedom Award</w:t>
      </w:r>
      <w:r w:rsidR="00906A9A" w:rsidRPr="00055EB3">
        <w:rPr>
          <w:color w:val="000000"/>
          <w:lang w:val="en-GB"/>
        </w:rPr>
        <w:t>”</w:t>
      </w:r>
      <w:r w:rsidRPr="00055EB3">
        <w:rPr>
          <w:color w:val="000000"/>
          <w:lang w:val="en-GB"/>
        </w:rPr>
        <w:t xml:space="preserve"> (2010) by the Association of Journalists of Türkiye.</w:t>
      </w:r>
    </w:p>
    <w:p w14:paraId="29825478" w14:textId="77777777" w:rsidR="006D4AB8" w:rsidRPr="00055EB3" w:rsidRDefault="006D4AB8" w:rsidP="006D4AB8">
      <w:pPr>
        <w:rPr>
          <w:color w:val="000000"/>
          <w:lang w:val="en-GB"/>
        </w:rPr>
      </w:pPr>
    </w:p>
    <w:p w14:paraId="2B876A47" w14:textId="7A9AEC9B" w:rsidR="006D4AB8" w:rsidRPr="00055EB3" w:rsidRDefault="006D4AB8" w:rsidP="008F7110">
      <w:pPr>
        <w:rPr>
          <w:lang w:val="en-GB"/>
        </w:rPr>
      </w:pPr>
      <w:r w:rsidRPr="00055EB3">
        <w:rPr>
          <w:color w:val="000000"/>
          <w:lang w:val="en-GB"/>
        </w:rPr>
        <w:t xml:space="preserve">More information can be found here: </w:t>
      </w:r>
      <w:hyperlink r:id="rId11" w:history="1">
        <w:r w:rsidRPr="00055EB3">
          <w:rPr>
            <w:rStyle w:val="Hyperlink"/>
            <w:lang w:val="en-GB"/>
          </w:rPr>
          <w:t>https://</w:t>
        </w:r>
        <w:r w:rsidR="00047389" w:rsidRPr="00055EB3">
          <w:rPr>
            <w:rStyle w:val="Hyperlink"/>
            <w:lang w:val="en-GB"/>
          </w:rPr>
          <w:t>bianet</w:t>
        </w:r>
        <w:r w:rsidRPr="00055EB3">
          <w:rPr>
            <w:rStyle w:val="Hyperlink"/>
            <w:lang w:val="en-GB"/>
          </w:rPr>
          <w:t>.org/about-us</w:t>
        </w:r>
      </w:hyperlink>
      <w:r w:rsidRPr="00055EB3">
        <w:rPr>
          <w:lang w:val="en-GB"/>
        </w:rPr>
        <w:t xml:space="preserve">  </w:t>
      </w:r>
    </w:p>
    <w:p w14:paraId="2098A216" w14:textId="1A8ED9FF" w:rsidR="009039CA" w:rsidRPr="00055EB3" w:rsidRDefault="009039CA" w:rsidP="00AE6EBE">
      <w:pPr>
        <w:pStyle w:val="Heading1"/>
        <w:pageBreakBefore/>
        <w:spacing w:before="0" w:line="360" w:lineRule="auto"/>
        <w:jc w:val="center"/>
        <w:rPr>
          <w:rFonts w:ascii="Times New Roman" w:hAnsi="Times New Roman" w:cs="Times New Roman"/>
          <w:b/>
          <w:color w:val="000000" w:themeColor="text1"/>
          <w:sz w:val="28"/>
          <w:szCs w:val="28"/>
          <w:lang w:val="en-GB"/>
        </w:rPr>
      </w:pPr>
      <w:bookmarkStart w:id="2" w:name="_Toc177388603"/>
      <w:r w:rsidRPr="00055EB3">
        <w:rPr>
          <w:rFonts w:ascii="Times New Roman" w:hAnsi="Times New Roman" w:cs="Times New Roman"/>
          <w:b/>
          <w:color w:val="000000" w:themeColor="text1"/>
          <w:sz w:val="28"/>
          <w:szCs w:val="28"/>
          <w:lang w:val="en-GB"/>
        </w:rPr>
        <w:lastRenderedPageBreak/>
        <w:t>Executive Summary</w:t>
      </w:r>
      <w:bookmarkEnd w:id="2"/>
    </w:p>
    <w:p w14:paraId="45C4544F" w14:textId="7DD6DDEA" w:rsidR="00EE7A0E" w:rsidRPr="00055EB3" w:rsidRDefault="006D4AB8" w:rsidP="00EE7A0E">
      <w:pPr>
        <w:pStyle w:val="ListParagraph"/>
        <w:numPr>
          <w:ilvl w:val="0"/>
          <w:numId w:val="2"/>
        </w:numPr>
        <w:spacing w:line="276" w:lineRule="auto"/>
        <w:ind w:left="0" w:firstLine="0"/>
        <w:jc w:val="both"/>
        <w:rPr>
          <w:lang w:val="en-GB"/>
        </w:rPr>
      </w:pPr>
      <w:r w:rsidRPr="00055EB3">
        <w:rPr>
          <w:rFonts w:eastAsia="Times New Roman"/>
          <w:b/>
          <w:bCs/>
          <w:color w:val="000000"/>
          <w:lang w:val="en-GB" w:eastAsia="en-GB"/>
        </w:rPr>
        <w:t xml:space="preserve">**Freedom of Expression Concerns in </w:t>
      </w:r>
      <w:r w:rsidR="00906A9A" w:rsidRPr="00055EB3">
        <w:rPr>
          <w:rFonts w:eastAsia="Times New Roman"/>
          <w:b/>
          <w:bCs/>
          <w:color w:val="000000"/>
          <w:lang w:val="en-GB" w:eastAsia="en-GB"/>
        </w:rPr>
        <w:t>Türkiye</w:t>
      </w:r>
      <w:r w:rsidRPr="00055EB3">
        <w:rPr>
          <w:rFonts w:eastAsia="Times New Roman"/>
          <w:b/>
          <w:bCs/>
          <w:color w:val="000000"/>
          <w:lang w:val="en-GB" w:eastAsia="en-GB"/>
        </w:rPr>
        <w:t>**</w:t>
      </w:r>
      <w:r w:rsidR="00366741" w:rsidRPr="00055EB3">
        <w:rPr>
          <w:rFonts w:eastAsia="Times New Roman"/>
          <w:color w:val="000000"/>
          <w:lang w:val="en-GB" w:eastAsia="en-GB"/>
        </w:rPr>
        <w:t xml:space="preserve"> - </w:t>
      </w:r>
      <w:r w:rsidR="00E92027" w:rsidRPr="00055EB3">
        <w:rPr>
          <w:rFonts w:eastAsia="Times New Roman"/>
          <w:lang w:val="en-GB"/>
        </w:rPr>
        <w:t xml:space="preserve">Freedom of expression has been a </w:t>
      </w:r>
      <w:r w:rsidR="00366741" w:rsidRPr="00055EB3">
        <w:rPr>
          <w:rFonts w:eastAsia="Times New Roman"/>
          <w:lang w:val="en-GB"/>
        </w:rPr>
        <w:t>longstanding issue</w:t>
      </w:r>
      <w:r w:rsidR="00E92027" w:rsidRPr="00055EB3">
        <w:rPr>
          <w:rFonts w:eastAsia="Times New Roman"/>
          <w:lang w:val="en-GB"/>
        </w:rPr>
        <w:t xml:space="preserve"> in </w:t>
      </w:r>
      <w:r w:rsidR="00906A9A" w:rsidRPr="00055EB3">
        <w:rPr>
          <w:rFonts w:eastAsia="Times New Roman"/>
          <w:lang w:val="en-GB"/>
        </w:rPr>
        <w:t>Türkiye</w:t>
      </w:r>
      <w:r w:rsidR="00E92027" w:rsidRPr="00055EB3">
        <w:rPr>
          <w:rFonts w:eastAsia="Times New Roman"/>
          <w:lang w:val="en-GB"/>
        </w:rPr>
        <w:t xml:space="preserve">. </w:t>
      </w:r>
      <w:r w:rsidR="00011A88" w:rsidRPr="00055EB3">
        <w:rPr>
          <w:rFonts w:eastAsia="Times New Roman"/>
          <w:lang w:val="en-GB"/>
        </w:rPr>
        <w:t>T</w:t>
      </w:r>
      <w:r w:rsidR="00E92027" w:rsidRPr="00055EB3">
        <w:rPr>
          <w:rFonts w:eastAsia="Times New Roman"/>
          <w:lang w:val="en-GB"/>
        </w:rPr>
        <w:t xml:space="preserve">wo specific indicators </w:t>
      </w:r>
      <w:r w:rsidR="00366741" w:rsidRPr="00055EB3">
        <w:rPr>
          <w:rFonts w:eastAsia="Times New Roman"/>
          <w:lang w:val="en-GB"/>
        </w:rPr>
        <w:t>can give an idea of the issue</w:t>
      </w:r>
      <w:r w:rsidR="00906A9A" w:rsidRPr="00055EB3">
        <w:rPr>
          <w:rFonts w:eastAsia="Times New Roman"/>
          <w:lang w:val="en-GB"/>
        </w:rPr>
        <w:t>’</w:t>
      </w:r>
      <w:r w:rsidR="00366741" w:rsidRPr="00055EB3">
        <w:rPr>
          <w:rFonts w:eastAsia="Times New Roman"/>
          <w:lang w:val="en-GB"/>
        </w:rPr>
        <w:t xml:space="preserve">s severity: </w:t>
      </w:r>
      <w:r w:rsidR="00E92027" w:rsidRPr="00055EB3">
        <w:rPr>
          <w:rFonts w:eastAsia="Times New Roman"/>
          <w:lang w:val="en-GB"/>
        </w:rPr>
        <w:t>Türkiye</w:t>
      </w:r>
      <w:r w:rsidR="00906A9A" w:rsidRPr="00055EB3">
        <w:rPr>
          <w:rFonts w:eastAsia="Times New Roman"/>
          <w:lang w:val="en-GB"/>
        </w:rPr>
        <w:t>’</w:t>
      </w:r>
      <w:r w:rsidR="00E92027" w:rsidRPr="00055EB3">
        <w:rPr>
          <w:rFonts w:eastAsia="Times New Roman"/>
          <w:lang w:val="en-GB"/>
        </w:rPr>
        <w:t xml:space="preserve">s record on freedom of expression before the </w:t>
      </w:r>
      <w:r w:rsidR="00E92027" w:rsidRPr="00055EB3">
        <w:rPr>
          <w:lang w:val="en-GB"/>
        </w:rPr>
        <w:t>European Court of Human Rights</w:t>
      </w:r>
      <w:r w:rsidR="00E92027" w:rsidRPr="00055EB3">
        <w:rPr>
          <w:rFonts w:eastAsia="Times New Roman"/>
          <w:lang w:val="en-GB"/>
        </w:rPr>
        <w:t xml:space="preserve"> (ECtHR) </w:t>
      </w:r>
      <w:r w:rsidR="00366741" w:rsidRPr="00055EB3">
        <w:rPr>
          <w:rFonts w:eastAsia="Times New Roman"/>
          <w:lang w:val="en-GB"/>
        </w:rPr>
        <w:t>and reports from Reporters Without Borders (RSF)</w:t>
      </w:r>
      <w:r w:rsidR="00E92027" w:rsidRPr="00055EB3">
        <w:rPr>
          <w:rFonts w:eastAsia="Times New Roman"/>
          <w:lang w:val="en-GB"/>
        </w:rPr>
        <w:t xml:space="preserve">. </w:t>
      </w:r>
      <w:r w:rsidR="00E92027" w:rsidRPr="00055EB3">
        <w:rPr>
          <w:lang w:val="en-GB"/>
        </w:rPr>
        <w:t>The data published by the ECtHR at the beginning of 2024 indicates that</w:t>
      </w:r>
      <w:r w:rsidR="00011A88" w:rsidRPr="00055EB3">
        <w:rPr>
          <w:lang w:val="en-GB"/>
        </w:rPr>
        <w:t>, between 1959 and 2022,</w:t>
      </w:r>
      <w:r w:rsidR="00E92027" w:rsidRPr="00055EB3">
        <w:rPr>
          <w:lang w:val="en-GB"/>
        </w:rPr>
        <w:t xml:space="preserve"> 436 (38%) </w:t>
      </w:r>
      <w:r w:rsidR="00366741" w:rsidRPr="00055EB3">
        <w:rPr>
          <w:lang w:val="en-GB"/>
        </w:rPr>
        <w:t xml:space="preserve">out </w:t>
      </w:r>
      <w:r w:rsidR="00E92027" w:rsidRPr="00055EB3">
        <w:rPr>
          <w:lang w:val="en-GB"/>
        </w:rPr>
        <w:t xml:space="preserve">of 1.142 judgments on freedom of expression </w:t>
      </w:r>
      <w:r w:rsidR="00366741" w:rsidRPr="00055EB3">
        <w:rPr>
          <w:lang w:val="en-GB"/>
        </w:rPr>
        <w:t xml:space="preserve">violations from </w:t>
      </w:r>
      <w:r w:rsidR="00E92027" w:rsidRPr="00055EB3">
        <w:rPr>
          <w:lang w:val="en-GB"/>
        </w:rPr>
        <w:t xml:space="preserve">47 </w:t>
      </w:r>
      <w:r w:rsidR="00366741" w:rsidRPr="00055EB3">
        <w:rPr>
          <w:lang w:val="en-GB"/>
        </w:rPr>
        <w:t>countries</w:t>
      </w:r>
      <w:r w:rsidR="001161E0" w:rsidRPr="00055EB3">
        <w:rPr>
          <w:lang w:val="en-GB"/>
        </w:rPr>
        <w:t xml:space="preserve"> </w:t>
      </w:r>
      <w:r w:rsidR="00E92027" w:rsidRPr="00055EB3">
        <w:rPr>
          <w:lang w:val="en-GB"/>
        </w:rPr>
        <w:t>involve</w:t>
      </w:r>
      <w:r w:rsidR="00366741" w:rsidRPr="00055EB3">
        <w:rPr>
          <w:lang w:val="en-GB"/>
        </w:rPr>
        <w:t>d</w:t>
      </w:r>
      <w:r w:rsidR="00E92027" w:rsidRPr="00055EB3">
        <w:rPr>
          <w:lang w:val="en-GB"/>
        </w:rPr>
        <w:t xml:space="preserve"> applications against Türkiye</w:t>
      </w:r>
      <w:r w:rsidR="00366741" w:rsidRPr="00055EB3">
        <w:rPr>
          <w:rFonts w:eastAsia="Times New Roman"/>
          <w:lang w:val="en-GB"/>
        </w:rPr>
        <w:t>, illustrating the country</w:t>
      </w:r>
      <w:r w:rsidR="00906A9A" w:rsidRPr="00055EB3">
        <w:rPr>
          <w:rFonts w:eastAsia="Times New Roman"/>
          <w:lang w:val="en-GB"/>
        </w:rPr>
        <w:t>’</w:t>
      </w:r>
      <w:r w:rsidR="00366741" w:rsidRPr="00055EB3">
        <w:rPr>
          <w:rFonts w:eastAsia="Times New Roman"/>
          <w:lang w:val="en-GB"/>
        </w:rPr>
        <w:t xml:space="preserve">s troubled record in this area. </w:t>
      </w:r>
      <w:r w:rsidR="00E92027" w:rsidRPr="00055EB3">
        <w:rPr>
          <w:rFonts w:eastAsia="Times New Roman"/>
          <w:lang w:val="en-GB"/>
        </w:rPr>
        <w:t xml:space="preserve">The second signal </w:t>
      </w:r>
      <w:r w:rsidR="00366741" w:rsidRPr="00055EB3">
        <w:rPr>
          <w:rFonts w:eastAsia="Times New Roman"/>
          <w:lang w:val="en-GB"/>
        </w:rPr>
        <w:t>comes from</w:t>
      </w:r>
      <w:r w:rsidR="00E92027" w:rsidRPr="00055EB3">
        <w:rPr>
          <w:rFonts w:eastAsia="Times New Roman"/>
          <w:lang w:val="en-GB"/>
        </w:rPr>
        <w:t xml:space="preserve"> Türkiye</w:t>
      </w:r>
      <w:r w:rsidR="00906A9A" w:rsidRPr="00055EB3">
        <w:rPr>
          <w:rFonts w:eastAsia="Times New Roman"/>
          <w:lang w:val="en-GB"/>
        </w:rPr>
        <w:t>’</w:t>
      </w:r>
      <w:r w:rsidR="00E92027" w:rsidRPr="00055EB3">
        <w:rPr>
          <w:rFonts w:eastAsia="Times New Roman"/>
          <w:lang w:val="en-GB"/>
        </w:rPr>
        <w:t>s ranking in the World Press Freedom Index</w:t>
      </w:r>
      <w:r w:rsidR="00366741" w:rsidRPr="00055EB3">
        <w:rPr>
          <w:rFonts w:eastAsia="Times New Roman"/>
          <w:lang w:val="en-GB"/>
        </w:rPr>
        <w:t xml:space="preserve"> by</w:t>
      </w:r>
      <w:r w:rsidR="00E92027" w:rsidRPr="00055EB3">
        <w:rPr>
          <w:rFonts w:eastAsia="Times New Roman"/>
          <w:lang w:val="en-GB"/>
        </w:rPr>
        <w:t xml:space="preserve"> RSF</w:t>
      </w:r>
      <w:r w:rsidR="00366741" w:rsidRPr="00055EB3">
        <w:rPr>
          <w:rFonts w:eastAsia="Times New Roman"/>
          <w:lang w:val="en-GB"/>
        </w:rPr>
        <w:t>.</w:t>
      </w:r>
      <w:r w:rsidR="00E92027" w:rsidRPr="00055EB3">
        <w:rPr>
          <w:rFonts w:eastAsia="Times New Roman"/>
          <w:lang w:val="en-GB"/>
        </w:rPr>
        <w:t xml:space="preserve"> </w:t>
      </w:r>
      <w:r w:rsidR="001161E0" w:rsidRPr="00055EB3">
        <w:rPr>
          <w:rFonts w:eastAsia="Times New Roman"/>
          <w:lang w:val="en-GB"/>
        </w:rPr>
        <w:t>Tü</w:t>
      </w:r>
      <w:r w:rsidR="00366741" w:rsidRPr="00055EB3">
        <w:rPr>
          <w:rFonts w:eastAsia="Times New Roman"/>
          <w:lang w:val="en-GB"/>
        </w:rPr>
        <w:t>rkiye saw a significant drop in its ranking after 2009, with little improvements since 2011-2012</w:t>
      </w:r>
      <w:r w:rsidR="00EE7A0E" w:rsidRPr="00055EB3">
        <w:rPr>
          <w:rFonts w:eastAsia="Times New Roman"/>
          <w:lang w:val="en-GB"/>
        </w:rPr>
        <w:t xml:space="preserve">. Press freedom has not been enhanced since that time. In 2023, </w:t>
      </w:r>
      <w:r w:rsidR="00906A9A" w:rsidRPr="00055EB3">
        <w:rPr>
          <w:rFonts w:eastAsia="Times New Roman"/>
          <w:color w:val="000000"/>
          <w:lang w:val="en-GB" w:eastAsia="en-GB"/>
        </w:rPr>
        <w:t>Türkiye</w:t>
      </w:r>
      <w:r w:rsidR="00EE7A0E" w:rsidRPr="00055EB3">
        <w:rPr>
          <w:rFonts w:eastAsia="Times New Roman"/>
          <w:color w:val="000000"/>
          <w:lang w:val="en-GB" w:eastAsia="en-GB"/>
        </w:rPr>
        <w:t xml:space="preserve"> ranked 165th out of 180 countries, the lowest in its history, </w:t>
      </w:r>
      <w:r w:rsidR="00873834" w:rsidRPr="00055EB3">
        <w:rPr>
          <w:rFonts w:eastAsia="Times New Roman"/>
          <w:color w:val="000000"/>
          <w:lang w:val="en-GB" w:eastAsia="en-GB"/>
        </w:rPr>
        <w:t>signalling</w:t>
      </w:r>
      <w:r w:rsidR="00EE7A0E" w:rsidRPr="00055EB3">
        <w:rPr>
          <w:rFonts w:eastAsia="Times New Roman"/>
          <w:color w:val="000000"/>
          <w:lang w:val="en-GB" w:eastAsia="en-GB"/>
        </w:rPr>
        <w:t xml:space="preserve"> no real progress in press freedom over the past decade.</w:t>
      </w:r>
    </w:p>
    <w:p w14:paraId="76D24DEA" w14:textId="05D0EB89" w:rsidR="001B0F7A" w:rsidRPr="00055EB3" w:rsidRDefault="001B0F7A" w:rsidP="008F7110">
      <w:pPr>
        <w:pStyle w:val="ListParagraph"/>
        <w:numPr>
          <w:ilvl w:val="0"/>
          <w:numId w:val="2"/>
        </w:numPr>
        <w:spacing w:line="276" w:lineRule="auto"/>
        <w:ind w:left="0" w:firstLine="0"/>
        <w:jc w:val="both"/>
        <w:rPr>
          <w:rFonts w:eastAsia="Times New Roman"/>
          <w:color w:val="000000"/>
          <w:lang w:val="en-GB" w:eastAsia="en-GB"/>
        </w:rPr>
      </w:pPr>
      <w:r w:rsidRPr="00055EB3">
        <w:rPr>
          <w:rFonts w:eastAsia="Times New Roman"/>
          <w:b/>
          <w:bCs/>
          <w:color w:val="000000"/>
          <w:lang w:val="en-GB" w:eastAsia="en-GB"/>
        </w:rPr>
        <w:t>**Legislative Restrictions**</w:t>
      </w:r>
      <w:r w:rsidRPr="00055EB3">
        <w:rPr>
          <w:rFonts w:eastAsia="Times New Roman"/>
          <w:color w:val="000000"/>
          <w:lang w:val="en-GB" w:eastAsia="en-GB"/>
        </w:rPr>
        <w:t xml:space="preserve"> - </w:t>
      </w:r>
      <w:r w:rsidR="00906A9A" w:rsidRPr="00055EB3">
        <w:rPr>
          <w:rFonts w:eastAsia="Times New Roman"/>
          <w:color w:val="000000"/>
          <w:lang w:val="en-GB" w:eastAsia="en-GB"/>
        </w:rPr>
        <w:t>Türkiye’</w:t>
      </w:r>
      <w:r w:rsidRPr="00055EB3">
        <w:rPr>
          <w:rFonts w:eastAsia="Times New Roman"/>
          <w:color w:val="000000"/>
          <w:lang w:val="en-GB" w:eastAsia="en-GB"/>
        </w:rPr>
        <w:t>s legislature plays a significant role in restricting freedom of expression. Legal regulations are often vague, granting public authorities excessive discretion. To safeguard freedom of expression, legal frameworks must be clear and accessible, ensuring individuals can freely express their opinions in compliance with the law.</w:t>
      </w:r>
    </w:p>
    <w:p w14:paraId="4AFE3876" w14:textId="05175377" w:rsidR="001B0F7A" w:rsidRPr="00055EB3" w:rsidRDefault="001B0F7A" w:rsidP="008F7110">
      <w:pPr>
        <w:pStyle w:val="ListParagraph"/>
        <w:numPr>
          <w:ilvl w:val="0"/>
          <w:numId w:val="2"/>
        </w:numPr>
        <w:spacing w:line="276" w:lineRule="auto"/>
        <w:ind w:left="0" w:firstLine="0"/>
        <w:jc w:val="both"/>
        <w:rPr>
          <w:lang w:val="en-GB"/>
        </w:rPr>
      </w:pPr>
      <w:r w:rsidRPr="00055EB3">
        <w:rPr>
          <w:rFonts w:eastAsia="Times New Roman"/>
          <w:b/>
          <w:bCs/>
          <w:color w:val="000000"/>
          <w:lang w:val="en-GB" w:eastAsia="en-GB"/>
        </w:rPr>
        <w:t xml:space="preserve">**Journalists and Human Rights Defenders** - </w:t>
      </w:r>
      <w:r w:rsidR="00E92027" w:rsidRPr="00055EB3">
        <w:rPr>
          <w:rFonts w:eastAsia="Times New Roman"/>
          <w:color w:val="000000"/>
          <w:lang w:val="en-GB" w:eastAsia="en-GB"/>
        </w:rPr>
        <w:t xml:space="preserve">In 2012, the Committee </w:t>
      </w:r>
      <w:r w:rsidRPr="00055EB3">
        <w:rPr>
          <w:rFonts w:eastAsia="Times New Roman"/>
          <w:color w:val="000000"/>
          <w:lang w:val="en-GB" w:eastAsia="en-GB"/>
        </w:rPr>
        <w:t>recommended</w:t>
      </w:r>
      <w:r w:rsidR="00E92027" w:rsidRPr="00055EB3">
        <w:rPr>
          <w:rFonts w:eastAsia="Times New Roman"/>
          <w:color w:val="000000"/>
          <w:lang w:val="en-GB" w:eastAsia="en-GB"/>
        </w:rPr>
        <w:t xml:space="preserve"> Türkiye </w:t>
      </w:r>
      <w:r w:rsidRPr="00055EB3">
        <w:rPr>
          <w:rFonts w:eastAsia="Times New Roman"/>
          <w:color w:val="000000"/>
          <w:lang w:val="en-GB" w:eastAsia="en-GB"/>
        </w:rPr>
        <w:t xml:space="preserve">allow </w:t>
      </w:r>
      <w:r w:rsidR="00E92027" w:rsidRPr="00055EB3">
        <w:rPr>
          <w:rFonts w:eastAsia="Times New Roman"/>
          <w:color w:val="000000"/>
          <w:lang w:val="en-GB" w:eastAsia="en-GB"/>
        </w:rPr>
        <w:t>journalists</w:t>
      </w:r>
      <w:r w:rsidRPr="00055EB3">
        <w:rPr>
          <w:rFonts w:eastAsia="Times New Roman"/>
          <w:color w:val="000000"/>
          <w:lang w:val="en-GB" w:eastAsia="en-GB"/>
        </w:rPr>
        <w:t xml:space="preserve"> and human rights defenders to work</w:t>
      </w:r>
      <w:r w:rsidR="00E92027" w:rsidRPr="00055EB3">
        <w:rPr>
          <w:rFonts w:eastAsia="Times New Roman"/>
          <w:color w:val="000000"/>
          <w:lang w:val="en-GB" w:eastAsia="en-GB"/>
        </w:rPr>
        <w:t xml:space="preserve"> without fear of prosecution</w:t>
      </w:r>
      <w:r w:rsidR="00011A88" w:rsidRPr="00055EB3">
        <w:rPr>
          <w:rFonts w:eastAsia="Times New Roman"/>
          <w:color w:val="000000"/>
          <w:lang w:val="en-GB" w:eastAsia="en-GB"/>
        </w:rPr>
        <w:t xml:space="preserve"> </w:t>
      </w:r>
      <w:r w:rsidRPr="00055EB3">
        <w:rPr>
          <w:rFonts w:eastAsia="Times New Roman"/>
          <w:color w:val="000000"/>
          <w:lang w:val="en-GB" w:eastAsia="en-GB"/>
        </w:rPr>
        <w:t xml:space="preserve">or libel suits. </w:t>
      </w:r>
      <w:r w:rsidR="00E92027" w:rsidRPr="00055EB3">
        <w:rPr>
          <w:rFonts w:eastAsia="Times New Roman"/>
          <w:color w:val="000000"/>
          <w:lang w:val="en-GB" w:eastAsia="en-GB"/>
        </w:rPr>
        <w:t xml:space="preserve">Nevertheless, </w:t>
      </w:r>
      <w:r w:rsidR="00906A9A" w:rsidRPr="00055EB3">
        <w:rPr>
          <w:rFonts w:eastAsia="Times New Roman"/>
          <w:color w:val="000000"/>
          <w:lang w:val="en-GB" w:eastAsia="en-GB"/>
        </w:rPr>
        <w:t>Türkiye</w:t>
      </w:r>
      <w:r w:rsidR="00E92027" w:rsidRPr="00055EB3">
        <w:rPr>
          <w:rFonts w:eastAsia="Times New Roman"/>
          <w:color w:val="000000"/>
          <w:lang w:val="en-GB" w:eastAsia="en-GB"/>
        </w:rPr>
        <w:t xml:space="preserve"> continues to apply defamation and other related offences frequently and </w:t>
      </w:r>
      <w:r w:rsidRPr="00055EB3">
        <w:rPr>
          <w:rFonts w:eastAsia="Times New Roman"/>
          <w:color w:val="000000"/>
          <w:lang w:val="en-GB" w:eastAsia="en-GB"/>
        </w:rPr>
        <w:t>has not yet decriminalized the</w:t>
      </w:r>
      <w:r w:rsidR="00E92027" w:rsidRPr="00055EB3">
        <w:rPr>
          <w:rFonts w:eastAsia="Times New Roman"/>
          <w:color w:val="000000"/>
          <w:lang w:val="en-GB" w:eastAsia="en-GB"/>
        </w:rPr>
        <w:t xml:space="preserve">m. Journalists </w:t>
      </w:r>
      <w:r w:rsidRPr="00055EB3">
        <w:rPr>
          <w:rFonts w:eastAsia="Times New Roman"/>
          <w:color w:val="000000"/>
          <w:lang w:val="en-GB" w:eastAsia="en-GB"/>
        </w:rPr>
        <w:t xml:space="preserve">face regular </w:t>
      </w:r>
      <w:r w:rsidR="00E92027" w:rsidRPr="00055EB3">
        <w:rPr>
          <w:rFonts w:eastAsia="Times New Roman"/>
          <w:color w:val="000000"/>
          <w:lang w:val="en-GB" w:eastAsia="en-GB"/>
        </w:rPr>
        <w:t>prosecution</w:t>
      </w:r>
      <w:r w:rsidRPr="00055EB3">
        <w:rPr>
          <w:rFonts w:eastAsia="Times New Roman"/>
          <w:color w:val="000000"/>
          <w:lang w:val="en-GB" w:eastAsia="en-GB"/>
        </w:rPr>
        <w:t>s</w:t>
      </w:r>
      <w:r w:rsidR="00E92027" w:rsidRPr="00055EB3">
        <w:rPr>
          <w:rFonts w:eastAsia="Times New Roman"/>
          <w:color w:val="000000"/>
          <w:lang w:val="en-GB" w:eastAsia="en-GB"/>
        </w:rPr>
        <w:t xml:space="preserve"> and imprisonment, which constitute violations of Articles 9 and 19 of the Covenant. The provisions of the T</w:t>
      </w:r>
      <w:r w:rsidR="00011A88" w:rsidRPr="00055EB3">
        <w:rPr>
          <w:rFonts w:eastAsia="Times New Roman"/>
          <w:color w:val="000000"/>
          <w:lang w:val="en-GB" w:eastAsia="en-GB"/>
        </w:rPr>
        <w:t>urkish Criminal Code</w:t>
      </w:r>
      <w:r w:rsidR="00E92027" w:rsidRPr="00055EB3">
        <w:rPr>
          <w:rFonts w:eastAsia="Times New Roman"/>
          <w:color w:val="000000"/>
          <w:lang w:val="en-GB" w:eastAsia="en-GB"/>
        </w:rPr>
        <w:t xml:space="preserve"> and </w:t>
      </w:r>
      <w:r w:rsidR="00011A88" w:rsidRPr="00055EB3">
        <w:rPr>
          <w:rFonts w:eastAsia="Times New Roman"/>
          <w:color w:val="000000"/>
          <w:lang w:val="en-GB" w:eastAsia="en-GB"/>
        </w:rPr>
        <w:t xml:space="preserve">Anti-Terrorism </w:t>
      </w:r>
      <w:r w:rsidR="00E92027" w:rsidRPr="00055EB3">
        <w:rPr>
          <w:rFonts w:eastAsia="Times New Roman"/>
          <w:color w:val="000000"/>
          <w:lang w:val="en-GB" w:eastAsia="en-GB"/>
        </w:rPr>
        <w:t>L</w:t>
      </w:r>
      <w:r w:rsidR="00011A88" w:rsidRPr="00055EB3">
        <w:rPr>
          <w:rFonts w:eastAsia="Times New Roman"/>
          <w:color w:val="000000"/>
          <w:lang w:val="en-GB" w:eastAsia="en-GB"/>
        </w:rPr>
        <w:t>aw</w:t>
      </w:r>
      <w:r w:rsidR="00E92027" w:rsidRPr="00055EB3">
        <w:rPr>
          <w:rFonts w:eastAsia="Times New Roman"/>
          <w:color w:val="000000"/>
          <w:lang w:val="en-GB" w:eastAsia="en-GB"/>
        </w:rPr>
        <w:t xml:space="preserve"> that are pertinent are frequently implemented as a </w:t>
      </w:r>
      <w:r w:rsidR="00011A88" w:rsidRPr="00055EB3">
        <w:rPr>
          <w:rFonts w:eastAsia="Times New Roman"/>
          <w:color w:val="000000"/>
          <w:lang w:val="en-GB" w:eastAsia="en-GB"/>
        </w:rPr>
        <w:t xml:space="preserve">first </w:t>
      </w:r>
      <w:r w:rsidR="00E92027" w:rsidRPr="00055EB3">
        <w:rPr>
          <w:rFonts w:eastAsia="Times New Roman"/>
          <w:color w:val="000000"/>
          <w:lang w:val="en-GB" w:eastAsia="en-GB"/>
        </w:rPr>
        <w:t xml:space="preserve">resort, rather than as a </w:t>
      </w:r>
      <w:r w:rsidR="00011A88" w:rsidRPr="00055EB3">
        <w:rPr>
          <w:rFonts w:eastAsia="Times New Roman"/>
          <w:color w:val="000000"/>
          <w:lang w:val="en-GB" w:eastAsia="en-GB"/>
        </w:rPr>
        <w:t xml:space="preserve">last </w:t>
      </w:r>
      <w:r w:rsidR="00E92027" w:rsidRPr="00055EB3">
        <w:rPr>
          <w:rFonts w:eastAsia="Times New Roman"/>
          <w:color w:val="000000"/>
          <w:lang w:val="en-GB" w:eastAsia="en-GB"/>
        </w:rPr>
        <w:t xml:space="preserve">resort, and are inconsistent with Article 19 of the Covenant. </w:t>
      </w:r>
      <w:r w:rsidRPr="00055EB3">
        <w:rPr>
          <w:rFonts w:eastAsia="Times New Roman"/>
          <w:color w:val="000000"/>
          <w:lang w:val="en-GB" w:eastAsia="en-GB"/>
        </w:rPr>
        <w:t>These me</w:t>
      </w:r>
      <w:r w:rsidR="00082092" w:rsidRPr="00055EB3">
        <w:rPr>
          <w:rFonts w:eastAsia="Times New Roman"/>
          <w:color w:val="000000"/>
          <w:lang w:val="en-GB" w:eastAsia="en-GB"/>
        </w:rPr>
        <w:t>a</w:t>
      </w:r>
      <w:r w:rsidRPr="00055EB3">
        <w:rPr>
          <w:rFonts w:eastAsia="Times New Roman"/>
          <w:color w:val="000000"/>
          <w:lang w:val="en-GB" w:eastAsia="en-GB"/>
        </w:rPr>
        <w:t>sures create</w:t>
      </w:r>
      <w:r w:rsidR="00E92027" w:rsidRPr="00055EB3">
        <w:rPr>
          <w:rFonts w:eastAsia="Times New Roman"/>
          <w:color w:val="000000"/>
          <w:lang w:val="en-GB" w:eastAsia="en-GB"/>
        </w:rPr>
        <w:t xml:space="preserve"> a chilling effect</w:t>
      </w:r>
      <w:r w:rsidRPr="00055EB3">
        <w:rPr>
          <w:rFonts w:eastAsia="Times New Roman"/>
          <w:color w:val="000000"/>
          <w:lang w:val="en-GB" w:eastAsia="en-GB"/>
        </w:rPr>
        <w:t xml:space="preserve">, deterring media professionals from expressing critical opinions or reporting on important public issues. </w:t>
      </w:r>
      <w:r w:rsidR="00E92027" w:rsidRPr="00055EB3">
        <w:rPr>
          <w:rFonts w:eastAsia="Times New Roman"/>
          <w:color w:val="000000"/>
          <w:lang w:val="en-GB" w:eastAsia="en-GB"/>
        </w:rPr>
        <w:t xml:space="preserve"> </w:t>
      </w:r>
    </w:p>
    <w:p w14:paraId="0616A9EB" w14:textId="35DBC757" w:rsidR="009F061A" w:rsidRPr="00055EB3" w:rsidRDefault="001B0F7A" w:rsidP="009F061A">
      <w:pPr>
        <w:pStyle w:val="ListParagraph"/>
        <w:numPr>
          <w:ilvl w:val="0"/>
          <w:numId w:val="2"/>
        </w:numPr>
        <w:spacing w:line="276" w:lineRule="auto"/>
        <w:ind w:left="0" w:firstLine="0"/>
        <w:jc w:val="both"/>
        <w:rPr>
          <w:rFonts w:eastAsia="Times New Roman"/>
          <w:color w:val="000000"/>
          <w:lang w:val="en-GB" w:eastAsia="en-GB"/>
        </w:rPr>
      </w:pPr>
      <w:r w:rsidRPr="00055EB3">
        <w:rPr>
          <w:rFonts w:eastAsia="Times New Roman"/>
          <w:b/>
          <w:bCs/>
          <w:color w:val="000000"/>
          <w:lang w:val="en-GB" w:eastAsia="en-GB"/>
        </w:rPr>
        <w:t>*</w:t>
      </w:r>
      <w:r w:rsidR="00011A88" w:rsidRPr="00055EB3">
        <w:rPr>
          <w:rFonts w:eastAsia="Times New Roman"/>
          <w:b/>
          <w:bCs/>
          <w:color w:val="000000"/>
          <w:lang w:val="en-GB" w:eastAsia="en-GB"/>
        </w:rPr>
        <w:t xml:space="preserve">*Judicial Role in Violations** </w:t>
      </w:r>
      <w:r w:rsidRPr="00055EB3">
        <w:rPr>
          <w:rFonts w:eastAsia="Times New Roman"/>
          <w:b/>
          <w:bCs/>
          <w:color w:val="000000"/>
          <w:lang w:val="en-GB" w:eastAsia="en-GB"/>
        </w:rPr>
        <w:t>-</w:t>
      </w:r>
      <w:r w:rsidR="009F061A" w:rsidRPr="00055EB3">
        <w:rPr>
          <w:rFonts w:eastAsia="Times New Roman"/>
          <w:b/>
          <w:bCs/>
          <w:color w:val="000000"/>
          <w:lang w:val="en-GB" w:eastAsia="en-GB"/>
        </w:rPr>
        <w:t xml:space="preserve"> </w:t>
      </w:r>
      <w:r w:rsidRPr="00055EB3">
        <w:rPr>
          <w:rFonts w:eastAsia="Times New Roman"/>
          <w:color w:val="000000"/>
          <w:lang w:val="en-GB" w:eastAsia="en-GB"/>
        </w:rPr>
        <w:t>J</w:t>
      </w:r>
      <w:r w:rsidR="00E92027" w:rsidRPr="00055EB3">
        <w:rPr>
          <w:rFonts w:eastAsia="Times New Roman"/>
          <w:color w:val="000000"/>
          <w:lang w:val="en-GB" w:eastAsia="en-GB"/>
        </w:rPr>
        <w:t>udicial bodies</w:t>
      </w:r>
      <w:r w:rsidRPr="00055EB3">
        <w:rPr>
          <w:rFonts w:eastAsia="Times New Roman"/>
          <w:color w:val="000000"/>
          <w:lang w:val="en-GB" w:eastAsia="en-GB"/>
        </w:rPr>
        <w:t xml:space="preserve"> are pr</w:t>
      </w:r>
      <w:r w:rsidR="009F061A" w:rsidRPr="00055EB3">
        <w:rPr>
          <w:rFonts w:eastAsia="Times New Roman"/>
          <w:color w:val="000000"/>
          <w:lang w:val="en-GB" w:eastAsia="en-GB"/>
        </w:rPr>
        <w:t xml:space="preserve">imary actors in violating freedom of expression in </w:t>
      </w:r>
      <w:r w:rsidR="00906A9A" w:rsidRPr="00055EB3">
        <w:rPr>
          <w:rFonts w:eastAsia="Times New Roman"/>
          <w:color w:val="000000"/>
          <w:lang w:val="en-GB" w:eastAsia="en-GB"/>
        </w:rPr>
        <w:t>Türkiye</w:t>
      </w:r>
      <w:r w:rsidR="00E92027" w:rsidRPr="00055EB3">
        <w:rPr>
          <w:rFonts w:eastAsia="Times New Roman"/>
          <w:color w:val="000000"/>
          <w:lang w:val="en-GB" w:eastAsia="en-GB"/>
        </w:rPr>
        <w:t xml:space="preserve">. </w:t>
      </w:r>
      <w:r w:rsidR="009F061A" w:rsidRPr="00055EB3">
        <w:rPr>
          <w:rFonts w:eastAsia="Times New Roman"/>
          <w:color w:val="000000"/>
          <w:lang w:val="en-GB" w:eastAsia="en-GB"/>
        </w:rPr>
        <w:t xml:space="preserve">There has been a significant rise in prosecutions for inciting hatred, degrading the Turkish state, or insulting the President. Despite some reforms in the early 2000s, these legal amendments have proven insufficient. In the first three </w:t>
      </w:r>
      <w:r w:rsidR="008F7110" w:rsidRPr="00055EB3">
        <w:rPr>
          <w:rFonts w:eastAsia="Times New Roman"/>
          <w:color w:val="000000"/>
          <w:lang w:val="en-GB" w:eastAsia="en-GB"/>
        </w:rPr>
        <w:t xml:space="preserve">months </w:t>
      </w:r>
      <w:r w:rsidR="00011A88" w:rsidRPr="00055EB3">
        <w:rPr>
          <w:rFonts w:eastAsia="Times New Roman"/>
          <w:color w:val="000000"/>
          <w:lang w:val="en-GB" w:eastAsia="en-GB"/>
        </w:rPr>
        <w:t xml:space="preserve">of </w:t>
      </w:r>
      <w:r w:rsidR="009F061A" w:rsidRPr="00055EB3">
        <w:rPr>
          <w:rFonts w:eastAsia="Times New Roman"/>
          <w:color w:val="000000"/>
          <w:lang w:val="en-GB" w:eastAsia="en-GB"/>
        </w:rPr>
        <w:t>2024, 55 journalists have been imprisoned, while, as of 5 Septemb</w:t>
      </w:r>
      <w:r w:rsidR="00011A88" w:rsidRPr="00055EB3">
        <w:rPr>
          <w:rFonts w:eastAsia="Times New Roman"/>
          <w:color w:val="000000"/>
          <w:lang w:val="en-GB" w:eastAsia="en-GB"/>
        </w:rPr>
        <w:t>er 2024, 12 journalists remain</w:t>
      </w:r>
      <w:r w:rsidR="009F061A" w:rsidRPr="00055EB3">
        <w:rPr>
          <w:rFonts w:eastAsia="Times New Roman"/>
          <w:color w:val="000000"/>
          <w:lang w:val="en-GB" w:eastAsia="en-GB"/>
        </w:rPr>
        <w:t xml:space="preserve"> detained. </w:t>
      </w:r>
    </w:p>
    <w:p w14:paraId="0FAA1CC0" w14:textId="680A8365" w:rsidR="00A245E0" w:rsidRPr="00055EB3" w:rsidRDefault="009F061A" w:rsidP="00A245E0">
      <w:pPr>
        <w:numPr>
          <w:ilvl w:val="0"/>
          <w:numId w:val="2"/>
        </w:numPr>
        <w:spacing w:line="276" w:lineRule="auto"/>
        <w:ind w:left="0" w:firstLine="0"/>
        <w:jc w:val="both"/>
        <w:rPr>
          <w:lang w:val="en-GB"/>
        </w:rPr>
      </w:pPr>
      <w:r w:rsidRPr="00055EB3">
        <w:rPr>
          <w:rFonts w:eastAsia="Times New Roman"/>
          <w:b/>
          <w:bCs/>
          <w:color w:val="000000"/>
          <w:lang w:val="en-GB" w:eastAsia="en-GB"/>
        </w:rPr>
        <w:t>**Executive Interference**</w:t>
      </w:r>
      <w:r w:rsidRPr="00055EB3">
        <w:rPr>
          <w:rFonts w:eastAsia="Times New Roman"/>
          <w:color w:val="000000"/>
          <w:lang w:val="en-GB" w:eastAsia="en-GB"/>
        </w:rPr>
        <w:t xml:space="preserve"> - The Turkish executive and administrative bodies </w:t>
      </w:r>
      <w:r w:rsidR="00E92027" w:rsidRPr="00055EB3">
        <w:rPr>
          <w:lang w:val="en-GB"/>
        </w:rPr>
        <w:t>systematicall</w:t>
      </w:r>
      <w:r w:rsidR="00082092" w:rsidRPr="00055EB3">
        <w:rPr>
          <w:lang w:val="en-GB"/>
        </w:rPr>
        <w:t>y</w:t>
      </w:r>
      <w:r w:rsidRPr="00055EB3">
        <w:rPr>
          <w:lang w:val="en-GB"/>
        </w:rPr>
        <w:t xml:space="preserve"> </w:t>
      </w:r>
      <w:r w:rsidR="00E92027" w:rsidRPr="00055EB3">
        <w:rPr>
          <w:lang w:val="en-GB"/>
        </w:rPr>
        <w:t>interfere with freedom of expression through closure</w:t>
      </w:r>
      <w:r w:rsidRPr="00055EB3">
        <w:rPr>
          <w:lang w:val="en-GB"/>
        </w:rPr>
        <w:t xml:space="preserve">s, content removal and media </w:t>
      </w:r>
      <w:r w:rsidR="00E92027" w:rsidRPr="00055EB3">
        <w:rPr>
          <w:lang w:val="en-GB"/>
        </w:rPr>
        <w:t>confiscation</w:t>
      </w:r>
      <w:r w:rsidRPr="00055EB3">
        <w:rPr>
          <w:lang w:val="en-GB"/>
        </w:rPr>
        <w:t>s</w:t>
      </w:r>
      <w:r w:rsidR="00E92027" w:rsidRPr="00055EB3">
        <w:rPr>
          <w:lang w:val="en-GB"/>
        </w:rPr>
        <w:t xml:space="preserve">. </w:t>
      </w:r>
      <w:r w:rsidRPr="00055EB3">
        <w:rPr>
          <w:lang w:val="en-GB"/>
        </w:rPr>
        <w:t>Agencies like</w:t>
      </w:r>
      <w:r w:rsidR="00E92027" w:rsidRPr="00055EB3">
        <w:rPr>
          <w:lang w:val="en-GB"/>
        </w:rPr>
        <w:t xml:space="preserve"> the Information and Communication Technologies Authority (BTK) </w:t>
      </w:r>
      <w:r w:rsidRPr="00055EB3">
        <w:rPr>
          <w:lang w:val="en-GB"/>
        </w:rPr>
        <w:t>and the Radio and Television Supreme Council (RTÜK)</w:t>
      </w:r>
      <w:r w:rsidR="00A245E0" w:rsidRPr="00055EB3">
        <w:rPr>
          <w:lang w:val="en-GB"/>
        </w:rPr>
        <w:t xml:space="preserve"> impose </w:t>
      </w:r>
      <w:r w:rsidR="00E92027" w:rsidRPr="00055EB3">
        <w:rPr>
          <w:lang w:val="en-GB"/>
        </w:rPr>
        <w:t xml:space="preserve">sanctions </w:t>
      </w:r>
      <w:r w:rsidR="00A245E0" w:rsidRPr="00055EB3">
        <w:rPr>
          <w:lang w:val="en-GB"/>
        </w:rPr>
        <w:t>such as content blocking, fines and licences cancellations, further restricting media freedom. Additionally, cuts imposed by the Press Advertisement Institution (BİK), along with decisions by the Directorate of Communications (part of the Presidency) to cancel or refuse to renew press cards for journalists, are other examples of how media freedom is restricted.</w:t>
      </w:r>
    </w:p>
    <w:p w14:paraId="142739EA" w14:textId="5DE3F53E" w:rsidR="00A245E0" w:rsidRPr="00055EB3" w:rsidRDefault="00A245E0" w:rsidP="008F7110">
      <w:pPr>
        <w:numPr>
          <w:ilvl w:val="0"/>
          <w:numId w:val="2"/>
        </w:numPr>
        <w:spacing w:line="276" w:lineRule="auto"/>
        <w:ind w:left="0" w:firstLine="0"/>
        <w:jc w:val="both"/>
        <w:rPr>
          <w:lang w:val="en-GB"/>
        </w:rPr>
      </w:pPr>
      <w:r w:rsidRPr="00055EB3">
        <w:rPr>
          <w:rFonts w:eastAsia="Times New Roman"/>
          <w:color w:val="000000"/>
          <w:lang w:val="en-GB" w:eastAsia="en-GB"/>
        </w:rPr>
        <w:t>**</w:t>
      </w:r>
      <w:r w:rsidRPr="00055EB3">
        <w:rPr>
          <w:rFonts w:eastAsia="Times New Roman"/>
          <w:b/>
          <w:color w:val="000000"/>
          <w:lang w:val="en-GB" w:eastAsia="en-GB"/>
        </w:rPr>
        <w:t>Intensified Pressure on Journalists</w:t>
      </w:r>
      <w:r w:rsidRPr="00055EB3">
        <w:rPr>
          <w:rFonts w:eastAsia="Times New Roman"/>
          <w:color w:val="000000"/>
          <w:lang w:val="en-GB" w:eastAsia="en-GB"/>
        </w:rPr>
        <w:t xml:space="preserve">** - </w:t>
      </w:r>
      <w:r w:rsidR="00E92027" w:rsidRPr="00055EB3">
        <w:rPr>
          <w:rFonts w:eastAsia="Times New Roman"/>
          <w:color w:val="000000"/>
          <w:lang w:val="en-GB" w:eastAsia="en-GB"/>
        </w:rPr>
        <w:t>The BİA Media Monitoring Reports</w:t>
      </w:r>
      <w:r w:rsidR="00CB6AEB">
        <w:rPr>
          <w:rFonts w:eastAsia="Times New Roman"/>
          <w:color w:val="000000"/>
          <w:lang w:val="en-GB" w:eastAsia="en-GB"/>
        </w:rPr>
        <w:t xml:space="preserve"> prepared by Erol </w:t>
      </w:r>
      <w:proofErr w:type="spellStart"/>
      <w:r w:rsidR="00CB6AEB">
        <w:rPr>
          <w:rFonts w:eastAsia="Times New Roman"/>
          <w:color w:val="000000"/>
          <w:lang w:val="en-GB" w:eastAsia="en-GB"/>
        </w:rPr>
        <w:t>Önderoğlu</w:t>
      </w:r>
      <w:proofErr w:type="spellEnd"/>
      <w:r w:rsidR="00E92027" w:rsidRPr="00055EB3">
        <w:rPr>
          <w:rFonts w:eastAsia="Times New Roman"/>
          <w:color w:val="000000"/>
          <w:lang w:val="en-GB" w:eastAsia="en-GB"/>
        </w:rPr>
        <w:t xml:space="preserve"> </w:t>
      </w:r>
      <w:r w:rsidRPr="00055EB3">
        <w:rPr>
          <w:rFonts w:eastAsia="Times New Roman"/>
          <w:color w:val="000000"/>
          <w:lang w:val="en-GB" w:eastAsia="en-GB"/>
        </w:rPr>
        <w:t xml:space="preserve">show </w:t>
      </w:r>
      <w:r w:rsidR="00E92027" w:rsidRPr="00055EB3">
        <w:rPr>
          <w:rFonts w:eastAsia="Times New Roman"/>
          <w:color w:val="000000"/>
          <w:lang w:val="en-GB" w:eastAsia="en-GB"/>
        </w:rPr>
        <w:t xml:space="preserve">that </w:t>
      </w:r>
      <w:r w:rsidR="00082092" w:rsidRPr="00055EB3">
        <w:rPr>
          <w:rFonts w:eastAsia="Times New Roman"/>
          <w:color w:val="000000"/>
          <w:lang w:val="en-GB" w:eastAsia="en-GB"/>
        </w:rPr>
        <w:t>i</w:t>
      </w:r>
      <w:r w:rsidR="00E92027" w:rsidRPr="00055EB3">
        <w:rPr>
          <w:rFonts w:eastAsia="Times New Roman"/>
          <w:color w:val="000000"/>
          <w:lang w:val="en-GB" w:eastAsia="en-GB"/>
        </w:rPr>
        <w:t xml:space="preserve">nterventions against journalists and media organisations have </w:t>
      </w:r>
      <w:r w:rsidRPr="00055EB3">
        <w:rPr>
          <w:rFonts w:eastAsia="Times New Roman"/>
          <w:color w:val="000000"/>
          <w:lang w:val="en-GB" w:eastAsia="en-GB"/>
        </w:rPr>
        <w:t xml:space="preserve">intensified </w:t>
      </w:r>
      <w:r w:rsidR="00E92027" w:rsidRPr="00055EB3">
        <w:rPr>
          <w:rFonts w:eastAsia="Times New Roman"/>
          <w:color w:val="000000"/>
          <w:lang w:val="en-GB" w:eastAsia="en-GB"/>
        </w:rPr>
        <w:t>over the past two decades</w:t>
      </w:r>
      <w:r w:rsidRPr="00055EB3">
        <w:rPr>
          <w:rFonts w:eastAsia="Times New Roman"/>
          <w:color w:val="000000"/>
          <w:lang w:val="en-GB" w:eastAsia="en-GB"/>
        </w:rPr>
        <w:t>. J</w:t>
      </w:r>
      <w:r w:rsidR="00E92027" w:rsidRPr="00055EB3">
        <w:rPr>
          <w:rFonts w:eastAsia="Times New Roman"/>
          <w:color w:val="000000"/>
          <w:lang w:val="en-GB" w:eastAsia="en-GB"/>
        </w:rPr>
        <w:t xml:space="preserve">ournalists </w:t>
      </w:r>
      <w:r w:rsidRPr="00055EB3">
        <w:rPr>
          <w:rFonts w:eastAsia="Times New Roman"/>
          <w:color w:val="000000"/>
          <w:lang w:val="en-GB" w:eastAsia="en-GB"/>
        </w:rPr>
        <w:t xml:space="preserve">are often </w:t>
      </w:r>
      <w:r w:rsidR="00E92027" w:rsidRPr="00055EB3">
        <w:rPr>
          <w:rFonts w:eastAsia="Times New Roman"/>
          <w:color w:val="000000"/>
          <w:lang w:val="en-GB" w:eastAsia="en-GB"/>
        </w:rPr>
        <w:t>subjected to violence</w:t>
      </w:r>
      <w:r w:rsidRPr="00055EB3">
        <w:rPr>
          <w:rFonts w:eastAsia="Times New Roman"/>
          <w:color w:val="000000"/>
          <w:lang w:val="en-GB" w:eastAsia="en-GB"/>
        </w:rPr>
        <w:t xml:space="preserve">, dismissed </w:t>
      </w:r>
      <w:r w:rsidRPr="00055EB3">
        <w:rPr>
          <w:rFonts w:eastAsia="Times New Roman"/>
          <w:color w:val="000000"/>
          <w:lang w:val="en-GB" w:eastAsia="en-GB"/>
        </w:rPr>
        <w:lastRenderedPageBreak/>
        <w:t>form their jobs, or even killed</w:t>
      </w:r>
      <w:r w:rsidR="00674526" w:rsidRPr="00055EB3">
        <w:rPr>
          <w:rFonts w:eastAsia="Times New Roman"/>
          <w:color w:val="000000"/>
          <w:lang w:val="en-GB" w:eastAsia="en-GB"/>
        </w:rPr>
        <w:t xml:space="preserve">, and the </w:t>
      </w:r>
      <w:r w:rsidR="00E92027" w:rsidRPr="00055EB3">
        <w:rPr>
          <w:rFonts w:eastAsia="Times New Roman"/>
          <w:color w:val="000000"/>
          <w:lang w:val="en-GB" w:eastAsia="en-GB"/>
        </w:rPr>
        <w:t xml:space="preserve">State Party has </w:t>
      </w:r>
      <w:r w:rsidR="00011A88" w:rsidRPr="00055EB3">
        <w:rPr>
          <w:rFonts w:eastAsia="Times New Roman"/>
          <w:color w:val="000000"/>
          <w:lang w:val="en-GB" w:eastAsia="en-GB"/>
        </w:rPr>
        <w:t>taken minimal steps to fulfil</w:t>
      </w:r>
      <w:r w:rsidRPr="00055EB3">
        <w:rPr>
          <w:rFonts w:eastAsia="Times New Roman"/>
          <w:color w:val="000000"/>
          <w:lang w:val="en-GB" w:eastAsia="en-GB"/>
        </w:rPr>
        <w:t xml:space="preserve"> its obligations to protect media professionals and uphold their rights.</w:t>
      </w:r>
    </w:p>
    <w:p w14:paraId="48076FA5" w14:textId="2C0CB8E0" w:rsidR="00674526" w:rsidRPr="00055EB3" w:rsidRDefault="00674526" w:rsidP="00674526">
      <w:pPr>
        <w:pStyle w:val="ListParagraph"/>
        <w:numPr>
          <w:ilvl w:val="0"/>
          <w:numId w:val="2"/>
        </w:numPr>
        <w:spacing w:line="276" w:lineRule="auto"/>
        <w:ind w:left="0" w:firstLine="0"/>
        <w:jc w:val="both"/>
        <w:rPr>
          <w:lang w:val="en-GB"/>
        </w:rPr>
      </w:pPr>
      <w:r w:rsidRPr="00055EB3">
        <w:rPr>
          <w:rFonts w:eastAsia="Times New Roman"/>
          <w:b/>
          <w:bCs/>
          <w:color w:val="000000"/>
          <w:lang w:val="en-GB" w:eastAsia="en-GB"/>
        </w:rPr>
        <w:t>**Impact of the State of Emergency**</w:t>
      </w:r>
      <w:r w:rsidRPr="00055EB3">
        <w:rPr>
          <w:rFonts w:eastAsia="Times New Roman"/>
          <w:color w:val="000000"/>
          <w:lang w:val="en-GB" w:eastAsia="en-GB"/>
        </w:rPr>
        <w:t xml:space="preserve"> - </w:t>
      </w:r>
      <w:r w:rsidR="00906A9A" w:rsidRPr="00055EB3">
        <w:rPr>
          <w:rFonts w:eastAsia="Times New Roman"/>
          <w:lang w:val="en-GB"/>
        </w:rPr>
        <w:t>Türkiye’</w:t>
      </w:r>
      <w:r w:rsidR="00011A88" w:rsidRPr="00055EB3">
        <w:rPr>
          <w:rFonts w:eastAsia="Times New Roman"/>
          <w:lang w:val="en-GB"/>
        </w:rPr>
        <w:t xml:space="preserve">s </w:t>
      </w:r>
      <w:r w:rsidR="00E92027" w:rsidRPr="00055EB3">
        <w:rPr>
          <w:rFonts w:eastAsia="Times New Roman"/>
          <w:lang w:val="en-GB"/>
        </w:rPr>
        <w:t>media</w:t>
      </w:r>
      <w:r w:rsidRPr="00055EB3">
        <w:rPr>
          <w:rFonts w:eastAsia="Times New Roman"/>
          <w:lang w:val="en-GB"/>
        </w:rPr>
        <w:t xml:space="preserve"> landscape</w:t>
      </w:r>
      <w:r w:rsidR="00E92027" w:rsidRPr="00055EB3">
        <w:rPr>
          <w:rFonts w:eastAsia="Times New Roman"/>
          <w:lang w:val="en-GB"/>
        </w:rPr>
        <w:t xml:space="preserve"> was </w:t>
      </w:r>
      <w:r w:rsidRPr="00055EB3">
        <w:rPr>
          <w:rFonts w:eastAsia="Times New Roman"/>
          <w:lang w:val="en-GB"/>
        </w:rPr>
        <w:t xml:space="preserve">severely impacted </w:t>
      </w:r>
      <w:r w:rsidR="00E92027" w:rsidRPr="00055EB3">
        <w:rPr>
          <w:rFonts w:eastAsia="Times New Roman"/>
          <w:lang w:val="en-GB"/>
        </w:rPr>
        <w:t xml:space="preserve">by the two-year state of emergency that was implemented throughout the nation from 2016 to 2018. The Decree Laws No. 668, 670, 675, 677, 689, 693, 695, and 701 resulted in the closure and confiscation of the assets of a total of 204 media </w:t>
      </w:r>
      <w:r w:rsidRPr="00055EB3">
        <w:rPr>
          <w:rFonts w:eastAsia="Times New Roman"/>
          <w:lang w:val="en-GB"/>
        </w:rPr>
        <w:t>outlets</w:t>
      </w:r>
      <w:r w:rsidR="00E92027" w:rsidRPr="00055EB3">
        <w:rPr>
          <w:rFonts w:eastAsia="Times New Roman"/>
          <w:lang w:val="en-GB"/>
        </w:rPr>
        <w:t>, including 6 news agencies, 70 newspapers, 20 magazines, 41 radios, 38 TV channels, and 29 publishing and distribution companies</w:t>
      </w:r>
      <w:r w:rsidRPr="00055EB3">
        <w:rPr>
          <w:rFonts w:eastAsia="Times New Roman"/>
          <w:lang w:val="en-GB"/>
        </w:rPr>
        <w:t>.</w:t>
      </w:r>
      <w:r w:rsidR="00E92027" w:rsidRPr="00055EB3">
        <w:rPr>
          <w:rFonts w:eastAsia="Times New Roman"/>
          <w:lang w:val="en-GB"/>
        </w:rPr>
        <w:t xml:space="preserve"> </w:t>
      </w:r>
      <w:r w:rsidRPr="00055EB3">
        <w:rPr>
          <w:rFonts w:eastAsia="Times New Roman"/>
          <w:color w:val="000000"/>
          <w:lang w:val="en-GB" w:eastAsia="en-GB"/>
        </w:rPr>
        <w:t>Though some closures were later reversed</w:t>
      </w:r>
      <w:r w:rsidRPr="00055EB3" w:rsidDel="00674526">
        <w:rPr>
          <w:rFonts w:eastAsia="Times New Roman"/>
          <w:lang w:val="en-GB"/>
        </w:rPr>
        <w:t xml:space="preserve"> </w:t>
      </w:r>
      <w:r w:rsidR="00827DB8" w:rsidRPr="00055EB3">
        <w:rPr>
          <w:rFonts w:eastAsia="Times New Roman"/>
          <w:lang w:val="en-GB"/>
        </w:rPr>
        <w:t>(25 media outlets)</w:t>
      </w:r>
      <w:r w:rsidRPr="00055EB3">
        <w:rPr>
          <w:rFonts w:eastAsia="Times New Roman"/>
          <w:color w:val="000000"/>
          <w:lang w:val="en-GB" w:eastAsia="en-GB"/>
        </w:rPr>
        <w:t>, most media organizations were unable to resume operations, with 88% (179 out of 204) remaining shut.</w:t>
      </w:r>
    </w:p>
    <w:p w14:paraId="72D6DE20" w14:textId="57F0A726" w:rsidR="006D4AB8" w:rsidRPr="00055EB3" w:rsidRDefault="00674526" w:rsidP="008F7110">
      <w:pPr>
        <w:pStyle w:val="ListParagraph"/>
        <w:numPr>
          <w:ilvl w:val="0"/>
          <w:numId w:val="2"/>
        </w:numPr>
        <w:spacing w:line="276" w:lineRule="auto"/>
        <w:ind w:left="0" w:firstLine="0"/>
        <w:jc w:val="both"/>
        <w:rPr>
          <w:lang w:val="en-GB"/>
        </w:rPr>
      </w:pPr>
      <w:r w:rsidRPr="00055EB3">
        <w:rPr>
          <w:rFonts w:eastAsia="Times New Roman"/>
          <w:b/>
          <w:bCs/>
          <w:color w:val="000000"/>
          <w:lang w:val="en-GB" w:eastAsia="en-GB"/>
        </w:rPr>
        <w:t xml:space="preserve">**Violence Against Women** -  </w:t>
      </w:r>
      <w:r w:rsidRPr="00055EB3">
        <w:rPr>
          <w:rFonts w:eastAsia="Times New Roman"/>
          <w:color w:val="000000"/>
          <w:lang w:val="en-GB" w:eastAsia="en-GB"/>
        </w:rPr>
        <w:t xml:space="preserve">Figures </w:t>
      </w:r>
      <w:r w:rsidR="00827DB8" w:rsidRPr="00055EB3">
        <w:rPr>
          <w:rFonts w:eastAsia="Times New Roman"/>
          <w:color w:val="000000"/>
          <w:lang w:val="en-GB" w:eastAsia="en-GB"/>
        </w:rPr>
        <w:t>exclusively based on</w:t>
      </w:r>
      <w:r w:rsidRPr="00055EB3">
        <w:rPr>
          <w:rFonts w:eastAsia="Times New Roman"/>
          <w:color w:val="000000"/>
          <w:lang w:val="en-GB" w:eastAsia="en-GB"/>
        </w:rPr>
        <w:t xml:space="preserve"> media reports show that,</w:t>
      </w:r>
      <w:r w:rsidRPr="00055EB3">
        <w:rPr>
          <w:rFonts w:eastAsia="Times New Roman"/>
          <w:b/>
          <w:bCs/>
          <w:color w:val="000000"/>
          <w:lang w:val="en-GB" w:eastAsia="en-GB"/>
        </w:rPr>
        <w:t xml:space="preserve"> </w:t>
      </w:r>
      <w:r w:rsidRPr="00055EB3">
        <w:rPr>
          <w:lang w:val="en-GB"/>
        </w:rPr>
        <w:t>despite legal protections, a</w:t>
      </w:r>
      <w:r w:rsidR="00E92027" w:rsidRPr="00055EB3">
        <w:rPr>
          <w:lang w:val="en-GB"/>
        </w:rPr>
        <w:t xml:space="preserve"> significant number of women</w:t>
      </w:r>
      <w:r w:rsidRPr="00055EB3">
        <w:rPr>
          <w:lang w:val="en-GB"/>
        </w:rPr>
        <w:t xml:space="preserve"> continue to be murdered, often despite existing restraining orders</w:t>
      </w:r>
      <w:r w:rsidR="00E92027" w:rsidRPr="00055EB3">
        <w:rPr>
          <w:lang w:val="en-GB"/>
        </w:rPr>
        <w:t>.</w:t>
      </w:r>
      <w:r w:rsidR="008F7110" w:rsidRPr="00055EB3">
        <w:rPr>
          <w:lang w:val="en-GB"/>
        </w:rPr>
        <w:t xml:space="preserve"> Men killed at least 233 women in their residences and 83 of them outside in 2023</w:t>
      </w:r>
      <w:r w:rsidRPr="00055EB3">
        <w:rPr>
          <w:lang w:val="en-GB"/>
        </w:rPr>
        <w:t xml:space="preserve">, </w:t>
      </w:r>
      <w:r w:rsidR="006D4AB8" w:rsidRPr="00055EB3">
        <w:rPr>
          <w:rFonts w:eastAsia="Times New Roman"/>
          <w:color w:val="000000"/>
          <w:lang w:val="en-GB" w:eastAsia="en-GB"/>
        </w:rPr>
        <w:t>highlighting serious issues with the legal framework and its enforcement regarding gender-based violence.</w:t>
      </w:r>
    </w:p>
    <w:p w14:paraId="5CFC7587" w14:textId="77777777" w:rsidR="006D4AB8" w:rsidRPr="00055EB3" w:rsidRDefault="006D4AB8" w:rsidP="008F7110">
      <w:pPr>
        <w:spacing w:line="276" w:lineRule="auto"/>
        <w:jc w:val="both"/>
        <w:rPr>
          <w:lang w:val="en-GB"/>
        </w:rPr>
      </w:pPr>
    </w:p>
    <w:p w14:paraId="0A44485D" w14:textId="77777777" w:rsidR="00E92027" w:rsidRPr="00055EB3" w:rsidRDefault="00E92027" w:rsidP="00E92027">
      <w:pPr>
        <w:rPr>
          <w:lang w:val="en-GB"/>
        </w:rPr>
      </w:pPr>
    </w:p>
    <w:p w14:paraId="7898D5BF" w14:textId="368D946D" w:rsidR="00E92027" w:rsidRPr="00055EB3" w:rsidRDefault="00E44353" w:rsidP="00E92027">
      <w:pPr>
        <w:rPr>
          <w:b/>
          <w:lang w:val="en-GB"/>
        </w:rPr>
      </w:pPr>
      <w:r w:rsidRPr="00055EB3">
        <w:rPr>
          <w:b/>
          <w:lang w:val="en-GB"/>
        </w:rPr>
        <w:t xml:space="preserve">Suggested </w:t>
      </w:r>
      <w:r w:rsidR="00E92027" w:rsidRPr="00055EB3">
        <w:rPr>
          <w:b/>
          <w:lang w:val="en-GB"/>
        </w:rPr>
        <w:t>Recommendations</w:t>
      </w:r>
    </w:p>
    <w:p w14:paraId="1A4D08E9" w14:textId="77777777" w:rsidR="00E92027" w:rsidRPr="00055EB3" w:rsidRDefault="00E92027" w:rsidP="00E92027">
      <w:pPr>
        <w:rPr>
          <w:b/>
          <w:lang w:val="en-GB"/>
        </w:rPr>
      </w:pPr>
    </w:p>
    <w:p w14:paraId="185B8453" w14:textId="3825C8E3" w:rsidR="00E92027" w:rsidRPr="00055EB3" w:rsidRDefault="00E44353" w:rsidP="00E92027">
      <w:pPr>
        <w:pStyle w:val="ListParagraph"/>
        <w:numPr>
          <w:ilvl w:val="0"/>
          <w:numId w:val="9"/>
        </w:numPr>
        <w:spacing w:line="276" w:lineRule="auto"/>
        <w:ind w:left="0" w:firstLine="0"/>
        <w:jc w:val="both"/>
        <w:rPr>
          <w:lang w:val="en-GB"/>
        </w:rPr>
      </w:pPr>
      <w:r w:rsidRPr="00055EB3">
        <w:rPr>
          <w:rFonts w:eastAsia="Times New Roman"/>
          <w:color w:val="000000"/>
          <w:lang w:val="en-GB" w:eastAsia="en-GB"/>
        </w:rPr>
        <w:t xml:space="preserve">A comprehensive legal reform is urgently needed to safeguard freedom of expression, ensuring that it covers all forms of media and recognizes freedom of expression as essential, with limitations being exceptional. </w:t>
      </w:r>
      <w:r w:rsidRPr="00055EB3">
        <w:rPr>
          <w:lang w:val="en-GB"/>
        </w:rPr>
        <w:t xml:space="preserve"> </w:t>
      </w:r>
    </w:p>
    <w:p w14:paraId="35286430" w14:textId="65B6D172" w:rsidR="00E44353" w:rsidRPr="00055EB3" w:rsidRDefault="00E44353" w:rsidP="00827DB8">
      <w:pPr>
        <w:pStyle w:val="ListParagraph"/>
        <w:numPr>
          <w:ilvl w:val="0"/>
          <w:numId w:val="9"/>
        </w:numPr>
        <w:spacing w:line="276" w:lineRule="auto"/>
        <w:ind w:left="0" w:firstLine="0"/>
        <w:jc w:val="both"/>
        <w:rPr>
          <w:lang w:val="en-GB"/>
        </w:rPr>
      </w:pPr>
      <w:r w:rsidRPr="00055EB3">
        <w:rPr>
          <w:rFonts w:eastAsia="Times New Roman"/>
          <w:color w:val="000000"/>
          <w:lang w:val="en-GB" w:eastAsia="en-GB"/>
        </w:rPr>
        <w:t>Crimes against journalists should be treated as aggravated offenses, and impunity in such cases should be eliminated</w:t>
      </w:r>
      <w:r w:rsidRPr="00055EB3" w:rsidDel="00E44353">
        <w:rPr>
          <w:rFonts w:eastAsia="Times New Roman"/>
          <w:lang w:val="en-GB"/>
        </w:rPr>
        <w:t xml:space="preserve"> </w:t>
      </w:r>
    </w:p>
    <w:p w14:paraId="5D3CD0D6" w14:textId="09F164B2" w:rsidR="00E92027" w:rsidRPr="00055EB3" w:rsidRDefault="00E44353" w:rsidP="00827DB8">
      <w:pPr>
        <w:pStyle w:val="ListParagraph"/>
        <w:numPr>
          <w:ilvl w:val="0"/>
          <w:numId w:val="9"/>
        </w:numPr>
        <w:spacing w:line="276" w:lineRule="auto"/>
        <w:ind w:left="0" w:firstLine="0"/>
        <w:jc w:val="both"/>
        <w:rPr>
          <w:rFonts w:eastAsia="Times New Roman"/>
          <w:lang w:val="en-GB"/>
        </w:rPr>
      </w:pPr>
      <w:r w:rsidRPr="00055EB3">
        <w:rPr>
          <w:rFonts w:eastAsia="Times New Roman"/>
          <w:lang w:val="en-GB"/>
        </w:rPr>
        <w:t>L</w:t>
      </w:r>
      <w:r w:rsidR="00E92027" w:rsidRPr="00055EB3">
        <w:rPr>
          <w:rFonts w:eastAsia="Times New Roman"/>
          <w:lang w:val="en-GB"/>
        </w:rPr>
        <w:t>egislative amendments should be made and implemented to ensure the independence and impartiality of institutions such as RTÜK, BİK, and BTK, and the</w:t>
      </w:r>
      <w:r w:rsidRPr="00055EB3">
        <w:rPr>
          <w:rFonts w:eastAsia="Times New Roman"/>
          <w:lang w:val="en-GB"/>
        </w:rPr>
        <w:t>ir</w:t>
      </w:r>
      <w:r w:rsidR="00E92027" w:rsidRPr="00055EB3">
        <w:rPr>
          <w:rFonts w:eastAsia="Times New Roman"/>
          <w:lang w:val="en-GB"/>
        </w:rPr>
        <w:t xml:space="preserve"> authority </w:t>
      </w:r>
      <w:r w:rsidRPr="00055EB3">
        <w:rPr>
          <w:rFonts w:eastAsia="Times New Roman"/>
          <w:lang w:val="en-GB"/>
        </w:rPr>
        <w:t>to restrict</w:t>
      </w:r>
      <w:r w:rsidR="00E92027" w:rsidRPr="00055EB3">
        <w:rPr>
          <w:rFonts w:eastAsia="Times New Roman"/>
          <w:lang w:val="en-GB"/>
        </w:rPr>
        <w:t xml:space="preserve"> freedom of expression should be limited</w:t>
      </w:r>
      <w:r w:rsidRPr="00055EB3">
        <w:rPr>
          <w:rFonts w:eastAsia="Times New Roman"/>
          <w:lang w:val="en-GB"/>
        </w:rPr>
        <w:t>.</w:t>
      </w:r>
    </w:p>
    <w:p w14:paraId="01248D58" w14:textId="593A2130" w:rsidR="00E92027" w:rsidRPr="00055EB3" w:rsidRDefault="00E44353" w:rsidP="00E92027">
      <w:pPr>
        <w:pStyle w:val="ListParagraph"/>
        <w:numPr>
          <w:ilvl w:val="0"/>
          <w:numId w:val="9"/>
        </w:numPr>
        <w:spacing w:line="276" w:lineRule="auto"/>
        <w:ind w:left="0" w:firstLine="0"/>
        <w:jc w:val="both"/>
        <w:rPr>
          <w:lang w:val="en-GB"/>
        </w:rPr>
      </w:pPr>
      <w:r w:rsidRPr="00055EB3">
        <w:rPr>
          <w:rFonts w:eastAsia="Times New Roman"/>
          <w:color w:val="000000"/>
          <w:lang w:val="en-GB" w:eastAsia="en-GB"/>
        </w:rPr>
        <w:t>The Ministry of Justice should collect and publish detailed data on offenses and sentences, ensuring full public access, and the same applies to institutions like RTÜK, BİK, and BTK.</w:t>
      </w:r>
    </w:p>
    <w:p w14:paraId="18EC29F3" w14:textId="013E55F6" w:rsidR="003757C7" w:rsidRPr="00055EB3" w:rsidRDefault="003757C7" w:rsidP="00E92027">
      <w:pPr>
        <w:pStyle w:val="ListParagraph"/>
        <w:numPr>
          <w:ilvl w:val="0"/>
          <w:numId w:val="9"/>
        </w:numPr>
        <w:spacing w:line="276" w:lineRule="auto"/>
        <w:ind w:left="0" w:firstLine="0"/>
        <w:jc w:val="both"/>
        <w:rPr>
          <w:lang w:val="en-GB"/>
        </w:rPr>
      </w:pPr>
      <w:r w:rsidRPr="00055EB3">
        <w:rPr>
          <w:rFonts w:eastAsia="Times New Roman"/>
          <w:color w:val="000000"/>
          <w:lang w:val="en-GB" w:eastAsia="en-GB"/>
        </w:rPr>
        <w:t xml:space="preserve">Legislation should impose clear and effective sanctions on judicial bodies that disregard Constitutional Court rulings, and procedural laws should ensure proper enforcement of ECtHR judgments. </w:t>
      </w:r>
    </w:p>
    <w:p w14:paraId="187D60AB" w14:textId="22570FB3" w:rsidR="003757C7" w:rsidRPr="00055EB3" w:rsidRDefault="003757C7" w:rsidP="008F7110">
      <w:pPr>
        <w:pStyle w:val="ListParagraph"/>
        <w:numPr>
          <w:ilvl w:val="0"/>
          <w:numId w:val="9"/>
        </w:numPr>
        <w:spacing w:line="276" w:lineRule="auto"/>
        <w:ind w:left="0" w:firstLine="0"/>
        <w:jc w:val="both"/>
        <w:rPr>
          <w:rFonts w:eastAsia="Times New Roman"/>
          <w:color w:val="000000"/>
          <w:lang w:val="en-GB" w:eastAsia="en-GB"/>
        </w:rPr>
      </w:pPr>
      <w:r w:rsidRPr="00055EB3">
        <w:rPr>
          <w:rFonts w:eastAsia="Times New Roman"/>
          <w:color w:val="000000"/>
          <w:lang w:val="en-GB" w:eastAsia="en-GB"/>
        </w:rPr>
        <w:t>Comprehensive legal reform is urgently needed to address violence against women, involving public bodies and civil society organizations, and Türkiye should retract its withdrawal from the Istanbul Convention.</w:t>
      </w:r>
    </w:p>
    <w:p w14:paraId="799ACF94" w14:textId="2FA27255" w:rsidR="00E44353" w:rsidRPr="00055EB3" w:rsidRDefault="00E44353" w:rsidP="00E92027">
      <w:pPr>
        <w:rPr>
          <w:lang w:val="en-GB"/>
        </w:rPr>
      </w:pPr>
    </w:p>
    <w:p w14:paraId="5472B60F" w14:textId="5C37C99F" w:rsidR="007803E7" w:rsidRPr="00055EB3" w:rsidRDefault="003757C7" w:rsidP="00AE6EBE">
      <w:pPr>
        <w:pStyle w:val="Heading1"/>
        <w:pageBreakBefore/>
        <w:spacing w:before="0" w:line="276" w:lineRule="auto"/>
        <w:jc w:val="center"/>
        <w:rPr>
          <w:rFonts w:ascii="Times New Roman" w:hAnsi="Times New Roman" w:cs="Times New Roman"/>
          <w:b/>
          <w:sz w:val="28"/>
          <w:szCs w:val="28"/>
          <w:lang w:val="en-GB"/>
        </w:rPr>
      </w:pPr>
      <w:bookmarkStart w:id="3" w:name="_Toc177388604"/>
      <w:r w:rsidRPr="00055EB3">
        <w:rPr>
          <w:rFonts w:ascii="Times New Roman" w:hAnsi="Times New Roman" w:cs="Times New Roman"/>
          <w:b/>
          <w:color w:val="000000" w:themeColor="text1"/>
          <w:sz w:val="28"/>
          <w:szCs w:val="28"/>
          <w:lang w:val="en-GB"/>
        </w:rPr>
        <w:lastRenderedPageBreak/>
        <w:t>Methodology and</w:t>
      </w:r>
      <w:r w:rsidR="00055EB3" w:rsidRPr="00055EB3">
        <w:rPr>
          <w:rFonts w:ascii="Times New Roman" w:hAnsi="Times New Roman" w:cs="Times New Roman"/>
          <w:b/>
          <w:color w:val="000000" w:themeColor="text1"/>
          <w:sz w:val="28"/>
          <w:szCs w:val="28"/>
          <w:lang w:val="en-GB"/>
        </w:rPr>
        <w:t xml:space="preserve"> I</w:t>
      </w:r>
      <w:r w:rsidR="000D6ACC" w:rsidRPr="00055EB3">
        <w:rPr>
          <w:rFonts w:ascii="Times New Roman" w:hAnsi="Times New Roman" w:cs="Times New Roman"/>
          <w:b/>
          <w:color w:val="000000" w:themeColor="text1"/>
          <w:sz w:val="28"/>
          <w:szCs w:val="28"/>
          <w:lang w:val="en-GB"/>
        </w:rPr>
        <w:t>mportant</w:t>
      </w:r>
      <w:r w:rsidR="00055EB3" w:rsidRPr="00055EB3">
        <w:rPr>
          <w:rFonts w:ascii="Times New Roman" w:hAnsi="Times New Roman" w:cs="Times New Roman"/>
          <w:b/>
          <w:color w:val="000000" w:themeColor="text1"/>
          <w:sz w:val="28"/>
          <w:szCs w:val="28"/>
          <w:lang w:val="en-GB"/>
        </w:rPr>
        <w:t xml:space="preserve"> I</w:t>
      </w:r>
      <w:r w:rsidRPr="00055EB3">
        <w:rPr>
          <w:rFonts w:ascii="Times New Roman" w:hAnsi="Times New Roman" w:cs="Times New Roman"/>
          <w:b/>
          <w:color w:val="000000" w:themeColor="text1"/>
          <w:sz w:val="28"/>
          <w:szCs w:val="28"/>
          <w:lang w:val="en-GB"/>
        </w:rPr>
        <w:t>ntroductory</w:t>
      </w:r>
      <w:r w:rsidR="00055EB3" w:rsidRPr="00055EB3">
        <w:rPr>
          <w:rFonts w:ascii="Times New Roman" w:hAnsi="Times New Roman" w:cs="Times New Roman"/>
          <w:b/>
          <w:color w:val="000000" w:themeColor="text1"/>
          <w:sz w:val="28"/>
          <w:szCs w:val="28"/>
          <w:lang w:val="en-GB"/>
        </w:rPr>
        <w:t xml:space="preserve"> R</w:t>
      </w:r>
      <w:r w:rsidRPr="00055EB3">
        <w:rPr>
          <w:rFonts w:ascii="Times New Roman" w:hAnsi="Times New Roman" w:cs="Times New Roman"/>
          <w:b/>
          <w:color w:val="000000" w:themeColor="text1"/>
          <w:sz w:val="28"/>
          <w:szCs w:val="28"/>
          <w:lang w:val="en-GB"/>
        </w:rPr>
        <w:t>emarks</w:t>
      </w:r>
      <w:bookmarkEnd w:id="3"/>
      <w:r w:rsidRPr="00055EB3">
        <w:rPr>
          <w:rFonts w:ascii="Times New Roman" w:hAnsi="Times New Roman" w:cs="Times New Roman"/>
          <w:b/>
          <w:color w:val="000000" w:themeColor="text1"/>
          <w:sz w:val="28"/>
          <w:szCs w:val="28"/>
          <w:lang w:val="en-GB"/>
        </w:rPr>
        <w:t xml:space="preserve"> </w:t>
      </w:r>
    </w:p>
    <w:p w14:paraId="01D145E3" w14:textId="77777777" w:rsidR="007803E7" w:rsidRPr="00055EB3" w:rsidRDefault="007803E7" w:rsidP="00AE6EBE">
      <w:pPr>
        <w:pStyle w:val="ListParagraph"/>
        <w:spacing w:line="276" w:lineRule="auto"/>
        <w:ind w:left="0"/>
        <w:jc w:val="both"/>
        <w:rPr>
          <w:rFonts w:eastAsia="Times New Roman"/>
          <w:lang w:val="en-GB"/>
        </w:rPr>
      </w:pPr>
    </w:p>
    <w:p w14:paraId="76CD1EC5" w14:textId="4649355F" w:rsidR="0084333A" w:rsidRPr="00055EB3" w:rsidRDefault="00047389" w:rsidP="00827DB8">
      <w:pPr>
        <w:pStyle w:val="ListParagraph"/>
        <w:numPr>
          <w:ilvl w:val="0"/>
          <w:numId w:val="16"/>
        </w:numPr>
        <w:spacing w:line="276" w:lineRule="auto"/>
        <w:ind w:left="0" w:firstLine="0"/>
        <w:jc w:val="both"/>
        <w:rPr>
          <w:rFonts w:eastAsia="Times New Roman"/>
          <w:lang w:val="en-GB"/>
        </w:rPr>
      </w:pPr>
      <w:r w:rsidRPr="00055EB3">
        <w:rPr>
          <w:rFonts w:eastAsia="Times New Roman"/>
          <w:lang w:val="en-GB"/>
        </w:rPr>
        <w:t>bianet</w:t>
      </w:r>
      <w:r w:rsidR="0084333A" w:rsidRPr="00055EB3">
        <w:rPr>
          <w:rFonts w:eastAsia="Times New Roman"/>
          <w:lang w:val="en-GB"/>
        </w:rPr>
        <w:t xml:space="preserve"> has been monitoring journalists</w:t>
      </w:r>
      <w:r w:rsidR="00906A9A" w:rsidRPr="00055EB3">
        <w:rPr>
          <w:rFonts w:eastAsia="Times New Roman"/>
          <w:b/>
          <w:lang w:val="en-GB"/>
        </w:rPr>
        <w:t>’</w:t>
      </w:r>
      <w:r w:rsidR="0084333A" w:rsidRPr="00055EB3">
        <w:rPr>
          <w:rFonts w:eastAsia="Times New Roman"/>
          <w:lang w:val="en-GB"/>
        </w:rPr>
        <w:t xml:space="preserve"> and media outlets</w:t>
      </w:r>
      <w:r w:rsidR="00906A9A" w:rsidRPr="00055EB3">
        <w:rPr>
          <w:rFonts w:eastAsia="Times New Roman"/>
          <w:lang w:val="en-GB"/>
        </w:rPr>
        <w:t>’</w:t>
      </w:r>
      <w:r w:rsidR="0084333A" w:rsidRPr="00055EB3">
        <w:rPr>
          <w:rFonts w:eastAsia="Times New Roman"/>
          <w:lang w:val="en-GB"/>
        </w:rPr>
        <w:t xml:space="preserve"> freedom of </w:t>
      </w:r>
      <w:r w:rsidR="001C7A24" w:rsidRPr="00055EB3">
        <w:rPr>
          <w:rFonts w:eastAsia="Times New Roman"/>
          <w:lang w:val="en-GB"/>
        </w:rPr>
        <w:t>expression</w:t>
      </w:r>
      <w:r w:rsidR="0084333A" w:rsidRPr="00055EB3">
        <w:rPr>
          <w:rFonts w:eastAsia="Times New Roman"/>
          <w:lang w:val="en-GB"/>
        </w:rPr>
        <w:t xml:space="preserve"> </w:t>
      </w:r>
      <w:r w:rsidR="00C16398" w:rsidRPr="00055EB3">
        <w:rPr>
          <w:rFonts w:eastAsia="Times New Roman"/>
          <w:lang w:val="en-GB"/>
        </w:rPr>
        <w:t>since 2001</w:t>
      </w:r>
      <w:r w:rsidR="0084333A" w:rsidRPr="00055EB3">
        <w:rPr>
          <w:rFonts w:eastAsia="Times New Roman"/>
          <w:lang w:val="en-GB"/>
        </w:rPr>
        <w:t xml:space="preserve"> </w:t>
      </w:r>
      <w:r w:rsidR="003757C7" w:rsidRPr="00055EB3">
        <w:rPr>
          <w:rFonts w:eastAsia="Times New Roman"/>
          <w:lang w:val="en-GB"/>
        </w:rPr>
        <w:t>through</w:t>
      </w:r>
      <w:r w:rsidR="0084333A" w:rsidRPr="00055EB3">
        <w:rPr>
          <w:rFonts w:eastAsia="Times New Roman"/>
          <w:lang w:val="en-GB"/>
        </w:rPr>
        <w:t xml:space="preserve"> BİA Media Monitoring Reports, </w:t>
      </w:r>
      <w:r w:rsidR="00C16398" w:rsidRPr="00055EB3">
        <w:rPr>
          <w:rFonts w:eastAsia="Times New Roman"/>
          <w:lang w:val="en-GB"/>
        </w:rPr>
        <w:t xml:space="preserve">issued quarterly. </w:t>
      </w:r>
      <w:r w:rsidR="003757C7" w:rsidRPr="00055EB3">
        <w:rPr>
          <w:rFonts w:eastAsia="Times New Roman"/>
          <w:lang w:val="en-GB"/>
        </w:rPr>
        <w:t xml:space="preserve">These reports served as the foundation </w:t>
      </w:r>
      <w:r w:rsidR="005C5E57" w:rsidRPr="00055EB3">
        <w:rPr>
          <w:rFonts w:eastAsia="Times New Roman"/>
          <w:lang w:val="en-GB"/>
        </w:rPr>
        <w:t>for this alternative report. Initially</w:t>
      </w:r>
      <w:r w:rsidR="003757C7" w:rsidRPr="00055EB3">
        <w:rPr>
          <w:rFonts w:eastAsia="Times New Roman"/>
          <w:lang w:val="en-GB"/>
        </w:rPr>
        <w:t xml:space="preserve"> focused on </w:t>
      </w:r>
      <w:r w:rsidR="005C5E57" w:rsidRPr="00055EB3">
        <w:rPr>
          <w:rFonts w:eastAsia="Times New Roman"/>
          <w:lang w:val="en-GB"/>
        </w:rPr>
        <w:t>traditional media</w:t>
      </w:r>
      <w:r w:rsidR="003757C7" w:rsidRPr="00055EB3">
        <w:rPr>
          <w:rFonts w:eastAsia="Times New Roman"/>
          <w:lang w:val="en-GB"/>
        </w:rPr>
        <w:t xml:space="preserve">, the reports </w:t>
      </w:r>
      <w:r w:rsidR="005C5E57" w:rsidRPr="00055EB3">
        <w:rPr>
          <w:rFonts w:eastAsia="Times New Roman"/>
          <w:lang w:val="en-GB"/>
        </w:rPr>
        <w:t xml:space="preserve">expanded to include internet journalism </w:t>
      </w:r>
      <w:r w:rsidR="003757C7" w:rsidRPr="00055EB3">
        <w:rPr>
          <w:rFonts w:eastAsia="Times New Roman"/>
          <w:lang w:val="en-GB"/>
        </w:rPr>
        <w:t xml:space="preserve">as technology advanced. </w:t>
      </w:r>
    </w:p>
    <w:p w14:paraId="2DE21423" w14:textId="787F884D" w:rsidR="00827DB8" w:rsidRPr="00055EB3" w:rsidRDefault="002F2832" w:rsidP="00827DB8">
      <w:pPr>
        <w:pStyle w:val="ListParagraph"/>
        <w:numPr>
          <w:ilvl w:val="0"/>
          <w:numId w:val="16"/>
        </w:numPr>
        <w:spacing w:line="276" w:lineRule="auto"/>
        <w:ind w:left="0" w:firstLine="0"/>
        <w:jc w:val="both"/>
        <w:rPr>
          <w:rFonts w:eastAsia="Times New Roman"/>
          <w:lang w:val="en-GB"/>
        </w:rPr>
      </w:pPr>
      <w:r w:rsidRPr="00055EB3">
        <w:rPr>
          <w:rFonts w:eastAsia="Times New Roman"/>
          <w:lang w:val="en-GB"/>
        </w:rPr>
        <w:t xml:space="preserve">This alternative report </w:t>
      </w:r>
      <w:r w:rsidR="003757C7" w:rsidRPr="00055EB3">
        <w:rPr>
          <w:rFonts w:eastAsia="Times New Roman"/>
          <w:lang w:val="en-GB"/>
        </w:rPr>
        <w:t xml:space="preserve">focuses solely </w:t>
      </w:r>
      <w:r w:rsidRPr="00055EB3">
        <w:rPr>
          <w:rFonts w:eastAsia="Times New Roman"/>
          <w:lang w:val="en-GB"/>
        </w:rPr>
        <w:t xml:space="preserve">on journalists and media entities, </w:t>
      </w:r>
      <w:r w:rsidR="003757C7" w:rsidRPr="00055EB3">
        <w:rPr>
          <w:rFonts w:eastAsia="Times New Roman"/>
          <w:lang w:val="en-GB"/>
        </w:rPr>
        <w:t xml:space="preserve">leaving out other aspects of </w:t>
      </w:r>
      <w:r w:rsidRPr="00055EB3">
        <w:rPr>
          <w:rFonts w:eastAsia="Times New Roman"/>
          <w:lang w:val="en-GB"/>
        </w:rPr>
        <w:t>freedom of expression.</w:t>
      </w:r>
      <w:r w:rsidR="003757C7" w:rsidRPr="00055EB3">
        <w:rPr>
          <w:rFonts w:eastAsia="Times New Roman"/>
          <w:lang w:val="en-GB"/>
        </w:rPr>
        <w:t xml:space="preserve"> This exclusion does not imply that the other issues are unimportant or irrelevant to the broader discussion of freedom of expression</w:t>
      </w:r>
      <w:r w:rsidR="000D6ACC" w:rsidRPr="00055EB3">
        <w:rPr>
          <w:rFonts w:eastAsia="Times New Roman"/>
          <w:lang w:val="en-GB"/>
        </w:rPr>
        <w:t>, or that the current issues with freedom of expression are restricted to the facts presented in the report</w:t>
      </w:r>
      <w:r w:rsidR="00827DB8" w:rsidRPr="00055EB3">
        <w:rPr>
          <w:rFonts w:eastAsia="Times New Roman"/>
          <w:lang w:val="en-GB"/>
        </w:rPr>
        <w:t>.</w:t>
      </w:r>
    </w:p>
    <w:p w14:paraId="70D2AD03" w14:textId="552B483F" w:rsidR="007803E7" w:rsidRPr="00055EB3" w:rsidRDefault="00762BCE" w:rsidP="00827DB8">
      <w:pPr>
        <w:pStyle w:val="ListParagraph"/>
        <w:numPr>
          <w:ilvl w:val="0"/>
          <w:numId w:val="16"/>
        </w:numPr>
        <w:spacing w:line="276" w:lineRule="auto"/>
        <w:ind w:left="0" w:firstLine="0"/>
        <w:jc w:val="both"/>
        <w:rPr>
          <w:rFonts w:eastAsia="Times New Roman"/>
          <w:lang w:val="en-GB"/>
        </w:rPr>
      </w:pPr>
      <w:r w:rsidRPr="00055EB3">
        <w:rPr>
          <w:b/>
          <w:bCs/>
          <w:lang w:val="en-GB"/>
        </w:rPr>
        <w:t>**Lack of Disse</w:t>
      </w:r>
      <w:r w:rsidR="00827DB8" w:rsidRPr="00055EB3">
        <w:rPr>
          <w:b/>
          <w:bCs/>
          <w:lang w:val="en-GB"/>
        </w:rPr>
        <w:t>mination and Translation** </w:t>
      </w:r>
      <w:r w:rsidRPr="00055EB3">
        <w:rPr>
          <w:b/>
          <w:bCs/>
          <w:lang w:val="en-GB"/>
        </w:rPr>
        <w:t xml:space="preserve">- </w:t>
      </w:r>
      <w:r w:rsidR="000D6ACC" w:rsidRPr="00055EB3">
        <w:rPr>
          <w:lang w:val="en-GB"/>
        </w:rPr>
        <w:t>In its 2012 Concluding Observations, the Committee raised concerns about the lack of awareness of the Covenant</w:t>
      </w:r>
      <w:r w:rsidR="00906A9A" w:rsidRPr="00055EB3">
        <w:rPr>
          <w:lang w:val="en-GB"/>
        </w:rPr>
        <w:t>’</w:t>
      </w:r>
      <w:r w:rsidR="000D6ACC" w:rsidRPr="00055EB3">
        <w:rPr>
          <w:lang w:val="en-GB"/>
        </w:rPr>
        <w:t>s provisions among the judiciary, legal professionals, and the public. Unfortunately, as of 2024, this issue remains unchanged. The Convention is still not widely known, particularly among the judiciary, and Türkiye has not made significant efforts to raise awareness and the State Party report does not include concrete examples of its application in domestic law.</w:t>
      </w:r>
    </w:p>
    <w:p w14:paraId="5D442FAB" w14:textId="4F9CF5FF" w:rsidR="007803E7" w:rsidRPr="00055EB3" w:rsidRDefault="000D6ACC" w:rsidP="00827DB8">
      <w:pPr>
        <w:pStyle w:val="ListParagraph"/>
        <w:numPr>
          <w:ilvl w:val="0"/>
          <w:numId w:val="16"/>
        </w:numPr>
        <w:spacing w:line="276" w:lineRule="auto"/>
        <w:ind w:left="0" w:firstLine="0"/>
        <w:jc w:val="both"/>
        <w:rPr>
          <w:lang w:val="en-GB"/>
        </w:rPr>
      </w:pPr>
      <w:r w:rsidRPr="00055EB3">
        <w:rPr>
          <w:lang w:val="en-GB"/>
        </w:rPr>
        <w:t>In 2012, the Committee recommended that Türkiye disseminate the Covenant</w:t>
      </w:r>
      <w:r w:rsidRPr="00055EB3">
        <w:rPr>
          <w:rStyle w:val="FootnoteReference"/>
          <w:lang w:val="en-GB"/>
        </w:rPr>
        <w:footnoteReference w:id="1"/>
      </w:r>
      <w:r w:rsidRPr="00055EB3">
        <w:rPr>
          <w:lang w:val="en-GB"/>
        </w:rPr>
        <w:t xml:space="preserve"> and related documents among state institutions, civil society, and the judiciary, and translate them into Turkish. However, none of these recommendations were implemented. NGOs have mainly handled translation efforts, and civil society </w:t>
      </w:r>
      <w:r w:rsidR="00827DB8" w:rsidRPr="00055EB3">
        <w:rPr>
          <w:lang w:val="en-GB"/>
        </w:rPr>
        <w:t xml:space="preserve">as a whole </w:t>
      </w:r>
      <w:r w:rsidRPr="00055EB3">
        <w:rPr>
          <w:lang w:val="en-GB"/>
        </w:rPr>
        <w:t>was not consulted during the preparation of the 2022 State Party report submitted to the Committee, only learning of it after its publication online.</w:t>
      </w:r>
    </w:p>
    <w:p w14:paraId="1BE59C66" w14:textId="3D48EC9A" w:rsidR="007803E7" w:rsidRPr="00055EB3" w:rsidRDefault="00762BCE" w:rsidP="00827DB8">
      <w:pPr>
        <w:pStyle w:val="ListParagraph"/>
        <w:numPr>
          <w:ilvl w:val="0"/>
          <w:numId w:val="16"/>
        </w:numPr>
        <w:spacing w:line="276" w:lineRule="auto"/>
        <w:ind w:left="0" w:firstLine="0"/>
        <w:jc w:val="both"/>
        <w:rPr>
          <w:rFonts w:eastAsia="Times New Roman"/>
          <w:lang w:val="en-GB"/>
        </w:rPr>
      </w:pPr>
      <w:r w:rsidRPr="00055EB3">
        <w:rPr>
          <w:b/>
          <w:bCs/>
          <w:lang w:val="en-GB"/>
        </w:rPr>
        <w:t>**Delayed and Incomplete Reporting**</w:t>
      </w:r>
      <w:r w:rsidRPr="00055EB3">
        <w:rPr>
          <w:rFonts w:eastAsia="Times New Roman"/>
          <w:lang w:val="en-GB"/>
        </w:rPr>
        <w:t xml:space="preserve"> </w:t>
      </w:r>
      <w:r w:rsidR="00827DB8" w:rsidRPr="00055EB3">
        <w:rPr>
          <w:rFonts w:eastAsia="Times New Roman"/>
          <w:lang w:val="en-GB"/>
        </w:rPr>
        <w:t>-</w:t>
      </w:r>
      <w:r w:rsidRPr="00055EB3">
        <w:rPr>
          <w:rFonts w:eastAsia="Times New Roman"/>
          <w:lang w:val="en-GB"/>
        </w:rPr>
        <w:t xml:space="preserve"> </w:t>
      </w:r>
      <w:r w:rsidR="000D6ACC" w:rsidRPr="00055EB3">
        <w:rPr>
          <w:rFonts w:eastAsia="Times New Roman"/>
          <w:lang w:val="en-GB"/>
        </w:rPr>
        <w:t>Türkiye</w:t>
      </w:r>
      <w:r w:rsidR="00906A9A" w:rsidRPr="00055EB3">
        <w:rPr>
          <w:rFonts w:eastAsia="Times New Roman"/>
          <w:lang w:val="en-GB"/>
        </w:rPr>
        <w:t>’</w:t>
      </w:r>
      <w:r w:rsidR="000D6ACC" w:rsidRPr="00055EB3">
        <w:rPr>
          <w:rFonts w:eastAsia="Times New Roman"/>
          <w:lang w:val="en-GB"/>
        </w:rPr>
        <w:t>s 2022 report</w:t>
      </w:r>
      <w:r w:rsidR="000D6ACC" w:rsidRPr="00055EB3">
        <w:rPr>
          <w:rStyle w:val="FootnoteReference"/>
          <w:rFonts w:eastAsia="Times New Roman"/>
          <w:lang w:val="en-GB"/>
        </w:rPr>
        <w:footnoteReference w:id="2"/>
      </w:r>
      <w:r w:rsidR="000D6ACC" w:rsidRPr="00055EB3">
        <w:rPr>
          <w:rFonts w:eastAsia="Times New Roman"/>
          <w:lang w:val="en-GB"/>
        </w:rPr>
        <w:t>, submitted six years late, largely repeats existing legal provisions without addressing the Committee</w:t>
      </w:r>
      <w:r w:rsidR="00906A9A" w:rsidRPr="00055EB3">
        <w:rPr>
          <w:rFonts w:eastAsia="Times New Roman"/>
          <w:lang w:val="en-GB"/>
        </w:rPr>
        <w:t>’</w:t>
      </w:r>
      <w:r w:rsidR="000D6ACC" w:rsidRPr="00055EB3">
        <w:rPr>
          <w:rFonts w:eastAsia="Times New Roman"/>
          <w:lang w:val="en-GB"/>
        </w:rPr>
        <w:t>s previous recommendations. The information requested in the List of Issues Prior to Reporting (LoIPR) was also not adequately provided, limiting the report</w:t>
      </w:r>
      <w:r w:rsidR="00906A9A" w:rsidRPr="00055EB3">
        <w:rPr>
          <w:rFonts w:eastAsia="Times New Roman"/>
          <w:lang w:val="en-GB"/>
        </w:rPr>
        <w:t>’</w:t>
      </w:r>
      <w:r w:rsidR="000D6ACC" w:rsidRPr="00055EB3">
        <w:rPr>
          <w:rFonts w:eastAsia="Times New Roman"/>
          <w:lang w:val="en-GB"/>
        </w:rPr>
        <w:t>s effectiveness in responding to the Committee</w:t>
      </w:r>
      <w:r w:rsidR="00906A9A" w:rsidRPr="00055EB3">
        <w:rPr>
          <w:rFonts w:eastAsia="Times New Roman"/>
          <w:lang w:val="en-GB"/>
        </w:rPr>
        <w:t>’</w:t>
      </w:r>
      <w:r w:rsidR="000D6ACC" w:rsidRPr="00055EB3">
        <w:rPr>
          <w:rFonts w:eastAsia="Times New Roman"/>
          <w:lang w:val="en-GB"/>
        </w:rPr>
        <w:t>s requests.</w:t>
      </w:r>
    </w:p>
    <w:p w14:paraId="52ADB066" w14:textId="1F9E9080" w:rsidR="007803E7" w:rsidRPr="00055EB3" w:rsidRDefault="00762BCE" w:rsidP="00827DB8">
      <w:pPr>
        <w:pStyle w:val="ListParagraph"/>
        <w:numPr>
          <w:ilvl w:val="0"/>
          <w:numId w:val="16"/>
        </w:numPr>
        <w:spacing w:line="276" w:lineRule="auto"/>
        <w:ind w:left="0" w:firstLine="0"/>
        <w:jc w:val="both"/>
        <w:rPr>
          <w:rFonts w:eastAsia="Times New Roman"/>
          <w:lang w:val="en-GB"/>
        </w:rPr>
      </w:pPr>
      <w:r w:rsidRPr="00055EB3">
        <w:rPr>
          <w:b/>
          <w:bCs/>
          <w:lang w:val="en-GB"/>
        </w:rPr>
        <w:t>**Failure to Address Concluding Observations** -</w:t>
      </w:r>
      <w:r w:rsidRPr="00055EB3">
        <w:rPr>
          <w:color w:val="000000"/>
          <w:sz w:val="27"/>
          <w:szCs w:val="27"/>
          <w:lang w:val="en-GB"/>
        </w:rPr>
        <w:t xml:space="preserve"> </w:t>
      </w:r>
      <w:r w:rsidR="000D6ACC" w:rsidRPr="00055EB3">
        <w:rPr>
          <w:rFonts w:eastAsia="Times New Roman"/>
          <w:lang w:val="en-GB"/>
        </w:rPr>
        <w:t>In our opinion, Türkiye failed to provide adequate information on the implementation of the Committee</w:t>
      </w:r>
      <w:r w:rsidR="00906A9A" w:rsidRPr="00055EB3">
        <w:rPr>
          <w:rFonts w:eastAsia="Times New Roman"/>
          <w:lang w:val="en-GB"/>
        </w:rPr>
        <w:t>’</w:t>
      </w:r>
      <w:r w:rsidR="000D6ACC" w:rsidRPr="00055EB3">
        <w:rPr>
          <w:rFonts w:eastAsia="Times New Roman"/>
          <w:lang w:val="en-GB"/>
        </w:rPr>
        <w:t xml:space="preserve">s </w:t>
      </w:r>
      <w:r w:rsidR="00082092" w:rsidRPr="00055EB3">
        <w:rPr>
          <w:rFonts w:eastAsia="Times New Roman"/>
          <w:lang w:val="en-GB"/>
        </w:rPr>
        <w:t>C</w:t>
      </w:r>
      <w:r w:rsidR="000D6ACC" w:rsidRPr="00055EB3">
        <w:rPr>
          <w:rFonts w:eastAsia="Times New Roman"/>
          <w:lang w:val="en-GB"/>
        </w:rPr>
        <w:t xml:space="preserve">oncluding </w:t>
      </w:r>
      <w:r w:rsidR="00082092" w:rsidRPr="00055EB3">
        <w:rPr>
          <w:rFonts w:eastAsia="Times New Roman"/>
          <w:lang w:val="en-GB"/>
        </w:rPr>
        <w:t>O</w:t>
      </w:r>
      <w:r w:rsidR="000D6ACC" w:rsidRPr="00055EB3">
        <w:rPr>
          <w:rFonts w:eastAsia="Times New Roman"/>
          <w:lang w:val="en-GB"/>
        </w:rPr>
        <w:t>bservations, despite being asked four times. The information provided was insufficient, and the Committee</w:t>
      </w:r>
      <w:r w:rsidR="00906A9A" w:rsidRPr="00055EB3">
        <w:rPr>
          <w:rFonts w:eastAsia="Times New Roman"/>
          <w:lang w:val="en-GB"/>
        </w:rPr>
        <w:t>’</w:t>
      </w:r>
      <w:r w:rsidR="000D6ACC" w:rsidRPr="00055EB3">
        <w:rPr>
          <w:rFonts w:eastAsia="Times New Roman"/>
          <w:lang w:val="en-GB"/>
        </w:rPr>
        <w:t>s concerns were not adequately addressed. We therefore urge the Committee to invite Türkiye to engage more constructively and implement its recommendations.</w:t>
      </w:r>
    </w:p>
    <w:p w14:paraId="0F740439" w14:textId="77777777" w:rsidR="007803E7" w:rsidRPr="00055EB3" w:rsidRDefault="007803E7" w:rsidP="00047389">
      <w:pPr>
        <w:pStyle w:val="ListParagraph"/>
        <w:spacing w:line="276" w:lineRule="auto"/>
        <w:ind w:left="0"/>
        <w:jc w:val="both"/>
        <w:rPr>
          <w:rFonts w:eastAsia="Times New Roman"/>
          <w:lang w:val="en-GB"/>
        </w:rPr>
      </w:pPr>
    </w:p>
    <w:p w14:paraId="20A90C3D" w14:textId="0E7D196C" w:rsidR="00BF43F0" w:rsidRPr="00055EB3" w:rsidRDefault="00AE6EBE" w:rsidP="00AE6EBE">
      <w:pPr>
        <w:pStyle w:val="Heading1"/>
        <w:spacing w:before="0" w:line="276" w:lineRule="auto"/>
        <w:jc w:val="center"/>
        <w:rPr>
          <w:rFonts w:ascii="Times New Roman" w:eastAsia="Times New Roman" w:hAnsi="Times New Roman" w:cs="Times New Roman"/>
          <w:b/>
          <w:color w:val="000000" w:themeColor="text1"/>
          <w:sz w:val="28"/>
          <w:szCs w:val="28"/>
          <w:lang w:val="en-GB"/>
        </w:rPr>
      </w:pPr>
      <w:bookmarkStart w:id="4" w:name="_Toc177388605"/>
      <w:r w:rsidRPr="00055EB3">
        <w:rPr>
          <w:rFonts w:ascii="Times New Roman" w:eastAsia="Times New Roman" w:hAnsi="Times New Roman" w:cs="Times New Roman"/>
          <w:b/>
          <w:color w:val="000000" w:themeColor="text1"/>
          <w:sz w:val="28"/>
          <w:szCs w:val="28"/>
          <w:lang w:val="en-GB"/>
        </w:rPr>
        <w:t>I. Freedom of E</w:t>
      </w:r>
      <w:r w:rsidR="002A7953" w:rsidRPr="00055EB3">
        <w:rPr>
          <w:rFonts w:ascii="Times New Roman" w:eastAsia="Times New Roman" w:hAnsi="Times New Roman" w:cs="Times New Roman"/>
          <w:b/>
          <w:color w:val="000000" w:themeColor="text1"/>
          <w:sz w:val="28"/>
          <w:szCs w:val="28"/>
          <w:lang w:val="en-GB"/>
        </w:rPr>
        <w:t>xpression (A</w:t>
      </w:r>
      <w:r w:rsidR="00BF43F0" w:rsidRPr="00055EB3">
        <w:rPr>
          <w:rFonts w:ascii="Times New Roman" w:eastAsia="Times New Roman" w:hAnsi="Times New Roman" w:cs="Times New Roman"/>
          <w:b/>
          <w:color w:val="000000" w:themeColor="text1"/>
          <w:sz w:val="28"/>
          <w:szCs w:val="28"/>
          <w:lang w:val="en-GB"/>
        </w:rPr>
        <w:t>rt. 19)</w:t>
      </w:r>
      <w:bookmarkEnd w:id="4"/>
    </w:p>
    <w:p w14:paraId="3F691A43" w14:textId="77777777" w:rsidR="00BF43F0" w:rsidRPr="00055EB3" w:rsidRDefault="00BF43F0" w:rsidP="00AE6EBE">
      <w:pPr>
        <w:spacing w:line="276" w:lineRule="auto"/>
        <w:jc w:val="both"/>
        <w:rPr>
          <w:b/>
          <w:lang w:val="en-GB"/>
        </w:rPr>
      </w:pPr>
    </w:p>
    <w:p w14:paraId="2B0EF385" w14:textId="54479ED3" w:rsidR="00030B6B" w:rsidRPr="00055EB3" w:rsidRDefault="00BF43F0" w:rsidP="00827DB8">
      <w:pPr>
        <w:pStyle w:val="Heading2"/>
        <w:spacing w:before="0" w:line="276" w:lineRule="auto"/>
        <w:rPr>
          <w:rFonts w:ascii="Times New Roman" w:hAnsi="Times New Roman" w:cs="Times New Roman"/>
          <w:b/>
          <w:color w:val="000000" w:themeColor="text1"/>
          <w:sz w:val="24"/>
          <w:szCs w:val="24"/>
          <w:lang w:val="en-GB"/>
        </w:rPr>
      </w:pPr>
      <w:bookmarkStart w:id="5" w:name="_Toc177388606"/>
      <w:r w:rsidRPr="00055EB3">
        <w:rPr>
          <w:rFonts w:ascii="Times New Roman" w:hAnsi="Times New Roman" w:cs="Times New Roman"/>
          <w:b/>
          <w:color w:val="000000" w:themeColor="text1"/>
          <w:sz w:val="24"/>
          <w:szCs w:val="24"/>
          <w:lang w:val="en-GB"/>
        </w:rPr>
        <w:t>A- In</w:t>
      </w:r>
      <w:r w:rsidR="00030B6B" w:rsidRPr="00055EB3">
        <w:rPr>
          <w:rFonts w:ascii="Times New Roman" w:hAnsi="Times New Roman" w:cs="Times New Roman"/>
          <w:b/>
          <w:color w:val="000000" w:themeColor="text1"/>
          <w:sz w:val="24"/>
          <w:szCs w:val="24"/>
          <w:lang w:val="en-GB"/>
        </w:rPr>
        <w:t xml:space="preserve"> G</w:t>
      </w:r>
      <w:r w:rsidRPr="00055EB3">
        <w:rPr>
          <w:rFonts w:ascii="Times New Roman" w:hAnsi="Times New Roman" w:cs="Times New Roman"/>
          <w:b/>
          <w:color w:val="000000" w:themeColor="text1"/>
          <w:sz w:val="24"/>
          <w:szCs w:val="24"/>
          <w:lang w:val="en-GB"/>
        </w:rPr>
        <w:t>eneral</w:t>
      </w:r>
      <w:bookmarkEnd w:id="5"/>
    </w:p>
    <w:p w14:paraId="5AA4DD4B" w14:textId="77777777" w:rsidR="00047389" w:rsidRPr="00055EB3" w:rsidRDefault="00047389" w:rsidP="00047389">
      <w:pPr>
        <w:rPr>
          <w:lang w:val="en-GB"/>
        </w:rPr>
      </w:pPr>
    </w:p>
    <w:p w14:paraId="31C72071" w14:textId="058F5733" w:rsidR="00047389" w:rsidRPr="00055EB3" w:rsidRDefault="00762BCE" w:rsidP="00827DB8">
      <w:pPr>
        <w:pStyle w:val="ListParagraph"/>
        <w:numPr>
          <w:ilvl w:val="0"/>
          <w:numId w:val="16"/>
        </w:numPr>
        <w:spacing w:line="276" w:lineRule="auto"/>
        <w:ind w:left="0" w:firstLine="0"/>
        <w:jc w:val="both"/>
        <w:rPr>
          <w:rFonts w:eastAsia="Times New Roman"/>
          <w:lang w:val="en-GB"/>
        </w:rPr>
      </w:pPr>
      <w:r w:rsidRPr="00055EB3">
        <w:rPr>
          <w:rFonts w:eastAsia="Times New Roman"/>
          <w:lang w:val="en-GB"/>
        </w:rPr>
        <w:t xml:space="preserve">Freedom of expression has been a longstanding issue in </w:t>
      </w:r>
      <w:r w:rsidR="00906A9A" w:rsidRPr="00055EB3">
        <w:rPr>
          <w:rFonts w:eastAsia="Times New Roman"/>
          <w:lang w:val="en-GB"/>
        </w:rPr>
        <w:t>Türkiye</w:t>
      </w:r>
      <w:r w:rsidRPr="00055EB3">
        <w:rPr>
          <w:rFonts w:eastAsia="Times New Roman"/>
          <w:lang w:val="en-GB"/>
        </w:rPr>
        <w:t>. Due to the complexity of the matter, providing comprehensive information to the Committee has been challenging. Nevertheless, two specific indicators can give an idea of the issue</w:t>
      </w:r>
      <w:r w:rsidR="00906A9A" w:rsidRPr="00055EB3">
        <w:rPr>
          <w:rFonts w:eastAsia="Times New Roman"/>
          <w:lang w:val="en-GB"/>
        </w:rPr>
        <w:t>’</w:t>
      </w:r>
      <w:r w:rsidRPr="00055EB3">
        <w:rPr>
          <w:rFonts w:eastAsia="Times New Roman"/>
          <w:lang w:val="en-GB"/>
        </w:rPr>
        <w:t>s severity: Türkiye</w:t>
      </w:r>
      <w:r w:rsidR="00906A9A" w:rsidRPr="00055EB3">
        <w:rPr>
          <w:rFonts w:eastAsia="Times New Roman"/>
          <w:lang w:val="en-GB"/>
        </w:rPr>
        <w:t>’</w:t>
      </w:r>
      <w:r w:rsidRPr="00055EB3">
        <w:rPr>
          <w:rFonts w:eastAsia="Times New Roman"/>
          <w:lang w:val="en-GB"/>
        </w:rPr>
        <w:t xml:space="preserve">s record on freedom of expression before the </w:t>
      </w:r>
      <w:r w:rsidRPr="00055EB3">
        <w:rPr>
          <w:lang w:val="en-GB"/>
        </w:rPr>
        <w:t>European Court of Human Rights</w:t>
      </w:r>
      <w:r w:rsidRPr="00055EB3">
        <w:rPr>
          <w:rFonts w:eastAsia="Times New Roman"/>
          <w:lang w:val="en-GB"/>
        </w:rPr>
        <w:t xml:space="preserve"> (ECtHR) and reports </w:t>
      </w:r>
      <w:r w:rsidRPr="00055EB3">
        <w:rPr>
          <w:rFonts w:eastAsia="Times New Roman"/>
          <w:lang w:val="en-GB"/>
        </w:rPr>
        <w:lastRenderedPageBreak/>
        <w:t xml:space="preserve">from Reporters Without Borders (RSF). </w:t>
      </w:r>
      <w:r w:rsidRPr="00055EB3">
        <w:rPr>
          <w:lang w:val="en-GB"/>
        </w:rPr>
        <w:t>The data published by the ECtHR at the beginning of 2024 indicate</w:t>
      </w:r>
      <w:r w:rsidR="00827DB8" w:rsidRPr="00055EB3">
        <w:rPr>
          <w:lang w:val="en-GB"/>
        </w:rPr>
        <w:t xml:space="preserve">s that, between 1959 and 2022, </w:t>
      </w:r>
      <w:r w:rsidRPr="00055EB3">
        <w:rPr>
          <w:lang w:val="en-GB"/>
        </w:rPr>
        <w:t>436 (38%) out of 1.142 judgments on freedo</w:t>
      </w:r>
      <w:r w:rsidR="00827DB8" w:rsidRPr="00055EB3">
        <w:rPr>
          <w:lang w:val="en-GB"/>
        </w:rPr>
        <w:t>m of expression violations from</w:t>
      </w:r>
      <w:r w:rsidR="008A62EC" w:rsidRPr="00055EB3">
        <w:rPr>
          <w:lang w:val="en-GB"/>
        </w:rPr>
        <w:t xml:space="preserve"> 47 countries</w:t>
      </w:r>
      <w:r w:rsidRPr="00055EB3">
        <w:rPr>
          <w:lang w:val="en-GB"/>
        </w:rPr>
        <w:t xml:space="preserve"> involved applications against Türkiye</w:t>
      </w:r>
      <w:r w:rsidRPr="00055EB3">
        <w:rPr>
          <w:rStyle w:val="FootnoteReference"/>
          <w:lang w:val="en-GB"/>
        </w:rPr>
        <w:footnoteReference w:id="3"/>
      </w:r>
      <w:r w:rsidRPr="00055EB3">
        <w:rPr>
          <w:rFonts w:eastAsia="Times New Roman"/>
          <w:lang w:val="en-GB"/>
        </w:rPr>
        <w:t>, illustrating the country</w:t>
      </w:r>
      <w:r w:rsidR="00906A9A" w:rsidRPr="00055EB3">
        <w:rPr>
          <w:rFonts w:eastAsia="Times New Roman"/>
          <w:lang w:val="en-GB"/>
        </w:rPr>
        <w:t>’</w:t>
      </w:r>
      <w:r w:rsidRPr="00055EB3">
        <w:rPr>
          <w:rFonts w:eastAsia="Times New Roman"/>
          <w:lang w:val="en-GB"/>
        </w:rPr>
        <w:t>s troubled record in this area. When you add the 4,315 freedom of expression violation judgments made by the Turkish Constitutional Court (CC) between 23 September 2012 (when the individual application mechanism began) and 30 June 2024</w:t>
      </w:r>
      <w:r w:rsidRPr="00055EB3">
        <w:rPr>
          <w:rStyle w:val="FootnoteReference"/>
          <w:lang w:val="en-GB"/>
        </w:rPr>
        <w:footnoteReference w:id="4"/>
      </w:r>
      <w:r w:rsidRPr="00055EB3">
        <w:rPr>
          <w:rFonts w:eastAsia="Times New Roman"/>
          <w:lang w:val="en-GB"/>
        </w:rPr>
        <w:t>, it becomes clear that freedom of expression is an ongoing c</w:t>
      </w:r>
      <w:r w:rsidR="00F87BA5" w:rsidRPr="00055EB3">
        <w:rPr>
          <w:rFonts w:eastAsia="Times New Roman"/>
          <w:lang w:val="en-GB"/>
        </w:rPr>
        <w:t>h</w:t>
      </w:r>
      <w:r w:rsidR="00827DB8" w:rsidRPr="00055EB3">
        <w:rPr>
          <w:rFonts w:eastAsia="Times New Roman"/>
          <w:lang w:val="en-GB"/>
        </w:rPr>
        <w:t xml:space="preserve">ronic </w:t>
      </w:r>
      <w:r w:rsidRPr="00055EB3">
        <w:rPr>
          <w:rFonts w:eastAsia="Times New Roman"/>
          <w:lang w:val="en-GB"/>
        </w:rPr>
        <w:t>issue rather than a short-term problem.</w:t>
      </w:r>
    </w:p>
    <w:p w14:paraId="1C174D6F" w14:textId="71E4A4CE" w:rsidR="00AC0393" w:rsidRPr="00055EB3" w:rsidRDefault="00FE5DCD" w:rsidP="00827DB8">
      <w:pPr>
        <w:pStyle w:val="ListParagraph"/>
        <w:numPr>
          <w:ilvl w:val="0"/>
          <w:numId w:val="16"/>
        </w:numPr>
        <w:spacing w:line="276" w:lineRule="auto"/>
        <w:ind w:left="0" w:firstLine="0"/>
        <w:jc w:val="both"/>
        <w:rPr>
          <w:rFonts w:eastAsia="Times New Roman"/>
          <w:lang w:val="en-GB"/>
        </w:rPr>
      </w:pPr>
      <w:r w:rsidRPr="00055EB3">
        <w:rPr>
          <w:rFonts w:eastAsia="Times New Roman"/>
          <w:lang w:val="en-GB"/>
        </w:rPr>
        <w:t xml:space="preserve">The second </w:t>
      </w:r>
      <w:r w:rsidR="00762BCE" w:rsidRPr="00055EB3">
        <w:rPr>
          <w:rFonts w:eastAsia="Times New Roman"/>
          <w:lang w:val="en-GB"/>
        </w:rPr>
        <w:t>comes from Türkiye</w:t>
      </w:r>
      <w:r w:rsidR="00906A9A" w:rsidRPr="00055EB3">
        <w:rPr>
          <w:rFonts w:eastAsia="Times New Roman"/>
          <w:lang w:val="en-GB"/>
        </w:rPr>
        <w:t>’</w:t>
      </w:r>
      <w:r w:rsidR="00762BCE" w:rsidRPr="00055EB3">
        <w:rPr>
          <w:rFonts w:eastAsia="Times New Roman"/>
          <w:lang w:val="en-GB"/>
        </w:rPr>
        <w:t>s ranking in the Worl</w:t>
      </w:r>
      <w:r w:rsidR="00873834" w:rsidRPr="00055EB3">
        <w:rPr>
          <w:rFonts w:eastAsia="Times New Roman"/>
          <w:lang w:val="en-GB"/>
        </w:rPr>
        <w:t>d Press Freedom Index by RSF. Tü</w:t>
      </w:r>
      <w:r w:rsidR="00762BCE" w:rsidRPr="00055EB3">
        <w:rPr>
          <w:rFonts w:eastAsia="Times New Roman"/>
          <w:lang w:val="en-GB"/>
        </w:rPr>
        <w:t xml:space="preserve">rkiye saw a significant drop in its ranking after 2009, with little improvements since 2011-2012. Press freedom has not been enhanced since that time. In 2023, </w:t>
      </w:r>
      <w:r w:rsidR="00906A9A" w:rsidRPr="00055EB3">
        <w:rPr>
          <w:rFonts w:eastAsia="Times New Roman"/>
          <w:color w:val="000000"/>
          <w:lang w:val="en-GB" w:eastAsia="en-GB"/>
        </w:rPr>
        <w:t>Türkiye</w:t>
      </w:r>
      <w:r w:rsidR="00762BCE" w:rsidRPr="00055EB3">
        <w:rPr>
          <w:rFonts w:eastAsia="Times New Roman"/>
          <w:color w:val="000000"/>
          <w:lang w:val="en-GB" w:eastAsia="en-GB"/>
        </w:rPr>
        <w:t xml:space="preserve"> ranked 165th out of 180 countries</w:t>
      </w:r>
      <w:r w:rsidR="005952E4" w:rsidRPr="00055EB3">
        <w:rPr>
          <w:rStyle w:val="FootnoteReference"/>
          <w:rFonts w:eastAsia="Times New Roman"/>
          <w:lang w:val="en-GB"/>
        </w:rPr>
        <w:footnoteReference w:id="5"/>
      </w:r>
      <w:r w:rsidR="00762BCE" w:rsidRPr="00055EB3">
        <w:rPr>
          <w:rFonts w:eastAsia="Times New Roman"/>
          <w:color w:val="000000"/>
          <w:lang w:val="en-GB" w:eastAsia="en-GB"/>
        </w:rPr>
        <w:t>, the lowest in its history, signal</w:t>
      </w:r>
      <w:r w:rsidR="00827DB8" w:rsidRPr="00055EB3">
        <w:rPr>
          <w:rFonts w:eastAsia="Times New Roman"/>
          <w:color w:val="000000"/>
          <w:lang w:val="en-GB" w:eastAsia="en-GB"/>
        </w:rPr>
        <w:t>l</w:t>
      </w:r>
      <w:r w:rsidR="00762BCE" w:rsidRPr="00055EB3">
        <w:rPr>
          <w:rFonts w:eastAsia="Times New Roman"/>
          <w:color w:val="000000"/>
          <w:lang w:val="en-GB" w:eastAsia="en-GB"/>
        </w:rPr>
        <w:t>ing no real progress in press freedom over the past decade.</w:t>
      </w:r>
    </w:p>
    <w:p w14:paraId="65004A8B" w14:textId="77777777" w:rsidR="0011405F" w:rsidRPr="00055EB3" w:rsidRDefault="0011405F" w:rsidP="00AE6EBE">
      <w:pPr>
        <w:pStyle w:val="ListParagraph"/>
        <w:spacing w:line="276" w:lineRule="auto"/>
        <w:ind w:left="0"/>
        <w:jc w:val="both"/>
        <w:rPr>
          <w:lang w:val="en-GB"/>
        </w:rPr>
      </w:pPr>
    </w:p>
    <w:p w14:paraId="7B0945D9" w14:textId="2DC99091" w:rsidR="00AC0393" w:rsidRPr="00055EB3" w:rsidRDefault="00AC0393" w:rsidP="00AE6EBE">
      <w:pPr>
        <w:spacing w:line="276" w:lineRule="auto"/>
        <w:jc w:val="center"/>
        <w:rPr>
          <w:lang w:val="en-GB"/>
        </w:rPr>
      </w:pPr>
      <w:r w:rsidRPr="00055EB3">
        <w:rPr>
          <w:noProof/>
        </w:rPr>
        <w:drawing>
          <wp:inline distT="0" distB="0" distL="0" distR="0" wp14:anchorId="37CC68E2" wp14:editId="49B0BDB5">
            <wp:extent cx="5486400" cy="2679065"/>
            <wp:effectExtent l="0" t="0" r="0" b="13335"/>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8BBD289" w14:textId="77777777" w:rsidR="00AC0393" w:rsidRPr="00055EB3" w:rsidRDefault="00AC0393" w:rsidP="00AE6EBE">
      <w:pPr>
        <w:spacing w:line="276" w:lineRule="auto"/>
        <w:rPr>
          <w:lang w:val="en-GB"/>
        </w:rPr>
      </w:pPr>
    </w:p>
    <w:p w14:paraId="5968D741" w14:textId="3E7480B1" w:rsidR="005952E4" w:rsidRPr="00055EB3" w:rsidRDefault="00952871" w:rsidP="00047389">
      <w:pPr>
        <w:pStyle w:val="ListParagraph"/>
        <w:numPr>
          <w:ilvl w:val="0"/>
          <w:numId w:val="16"/>
        </w:numPr>
        <w:spacing w:line="276" w:lineRule="auto"/>
        <w:ind w:left="0" w:firstLine="0"/>
        <w:jc w:val="both"/>
        <w:rPr>
          <w:rFonts w:eastAsia="Times New Roman"/>
          <w:color w:val="000000"/>
          <w:lang w:val="en-GB" w:eastAsia="en-GB"/>
        </w:rPr>
      </w:pPr>
      <w:r w:rsidRPr="00055EB3">
        <w:rPr>
          <w:lang w:val="en-GB"/>
        </w:rPr>
        <w:t>The legislature</w:t>
      </w:r>
      <w:r w:rsidR="00827DB8" w:rsidRPr="00055EB3">
        <w:rPr>
          <w:lang w:val="en-GB"/>
        </w:rPr>
        <w:t xml:space="preserve">, </w:t>
      </w:r>
      <w:r w:rsidR="00827DB8" w:rsidRPr="00055EB3">
        <w:rPr>
          <w:rFonts w:eastAsia="Times New Roman"/>
          <w:color w:val="000000"/>
          <w:lang w:val="en-GB" w:eastAsia="en-GB"/>
        </w:rPr>
        <w:t>by adopting vague legal regulations, which give public authorities too much discretion,</w:t>
      </w:r>
      <w:r w:rsidRPr="00055EB3">
        <w:rPr>
          <w:lang w:val="en-GB"/>
        </w:rPr>
        <w:t xml:space="preserve"> </w:t>
      </w:r>
      <w:r w:rsidR="005952E4" w:rsidRPr="00055EB3">
        <w:rPr>
          <w:lang w:val="en-GB"/>
        </w:rPr>
        <w:t>plays a key role</w:t>
      </w:r>
      <w:r w:rsidRPr="00055EB3">
        <w:rPr>
          <w:lang w:val="en-GB"/>
        </w:rPr>
        <w:t xml:space="preserve"> in restricting freedom of expression</w:t>
      </w:r>
      <w:r w:rsidR="005952E4" w:rsidRPr="00055EB3">
        <w:rPr>
          <w:rFonts w:eastAsia="Times New Roman"/>
          <w:color w:val="000000"/>
          <w:lang w:val="en-GB" w:eastAsia="en-GB"/>
        </w:rPr>
        <w:t xml:space="preserve"> in Türkiye.</w:t>
      </w:r>
      <w:r w:rsidR="00341CC3" w:rsidRPr="00055EB3">
        <w:rPr>
          <w:lang w:val="en-GB"/>
        </w:rPr>
        <w:t xml:space="preserve"> </w:t>
      </w:r>
      <w:r w:rsidR="00AD1178" w:rsidRPr="00055EB3">
        <w:rPr>
          <w:lang w:val="en-GB"/>
        </w:rPr>
        <w:t xml:space="preserve">It is imperative that legal regulations regarding freedom of expression be written in a manner that is both plain and accessible, enabling individuals to express their opinions in a manner that is consistent with the law. </w:t>
      </w:r>
      <w:r w:rsidR="005952E4" w:rsidRPr="00055EB3">
        <w:rPr>
          <w:rFonts w:eastAsia="Times New Roman"/>
          <w:color w:val="000000"/>
          <w:lang w:val="en-GB" w:eastAsia="en-GB"/>
        </w:rPr>
        <w:t xml:space="preserve">Some of the main legal sources of violations against media outlets and journalists include specific clauses from the Turkish Criminal Code (Law No. 5237, enacted 26/09/2004), the Anti-Terrorism Law (Law No. 3713, enacted 12/04/1991), many sections of the Law on Internet Broadcast Regulations and Suppression of Crimes (Law No. 5651, enacted 04/05/2007), and the Law on the Establishment of Radio and Television Enterprises and Their Media Services (Law No. 6112, enacted 15/02/2011). </w:t>
      </w:r>
    </w:p>
    <w:p w14:paraId="07854881" w14:textId="525FE329" w:rsidR="00EF1420" w:rsidRPr="00055EB3" w:rsidRDefault="00905FC6" w:rsidP="00047389">
      <w:pPr>
        <w:pStyle w:val="ListParagraph"/>
        <w:numPr>
          <w:ilvl w:val="0"/>
          <w:numId w:val="16"/>
        </w:numPr>
        <w:spacing w:line="276" w:lineRule="auto"/>
        <w:ind w:left="0" w:firstLine="0"/>
        <w:jc w:val="both"/>
        <w:rPr>
          <w:rFonts w:eastAsia="Times New Roman"/>
          <w:color w:val="000000"/>
          <w:lang w:val="en-GB" w:eastAsia="en-GB"/>
        </w:rPr>
      </w:pPr>
      <w:r w:rsidRPr="00055EB3">
        <w:rPr>
          <w:lang w:val="en-GB"/>
        </w:rPr>
        <w:lastRenderedPageBreak/>
        <w:t xml:space="preserve">In 2012, the Committee </w:t>
      </w:r>
      <w:r w:rsidR="005952E4" w:rsidRPr="00055EB3">
        <w:rPr>
          <w:lang w:val="en-GB"/>
        </w:rPr>
        <w:t>recommended</w:t>
      </w:r>
      <w:r w:rsidRPr="00055EB3">
        <w:rPr>
          <w:lang w:val="en-GB"/>
        </w:rPr>
        <w:t xml:space="preserve"> that Türkiye </w:t>
      </w:r>
      <w:r w:rsidR="005952E4" w:rsidRPr="00055EB3">
        <w:rPr>
          <w:lang w:val="en-GB"/>
        </w:rPr>
        <w:t>ensure</w:t>
      </w:r>
      <w:r w:rsidRPr="00055EB3">
        <w:rPr>
          <w:lang w:val="en-GB"/>
        </w:rPr>
        <w:t xml:space="preserve"> human rights defenders and journalists can practise their professions without fear of prosecution </w:t>
      </w:r>
      <w:r w:rsidR="005952E4" w:rsidRPr="00055EB3">
        <w:rPr>
          <w:lang w:val="en-GB"/>
        </w:rPr>
        <w:t>or</w:t>
      </w:r>
      <w:r w:rsidRPr="00055EB3">
        <w:rPr>
          <w:lang w:val="en-GB"/>
        </w:rPr>
        <w:t xml:space="preserve"> libel l</w:t>
      </w:r>
      <w:r w:rsidR="005952E4" w:rsidRPr="00055EB3">
        <w:rPr>
          <w:lang w:val="en-GB"/>
        </w:rPr>
        <w:t>awsuits</w:t>
      </w:r>
      <w:r w:rsidRPr="00055EB3">
        <w:rPr>
          <w:lang w:val="en-GB"/>
        </w:rPr>
        <w:t>, in accordance with its general comment No. 34 (2011) on freedoms of opinion and expression.</w:t>
      </w:r>
      <w:r w:rsidRPr="00055EB3">
        <w:rPr>
          <w:rStyle w:val="FootnoteReference"/>
          <w:lang w:val="en-GB"/>
        </w:rPr>
        <w:footnoteReference w:id="6"/>
      </w:r>
      <w:r w:rsidR="00165CE4" w:rsidRPr="00055EB3">
        <w:rPr>
          <w:lang w:val="en-GB"/>
        </w:rPr>
        <w:t xml:space="preserve"> </w:t>
      </w:r>
      <w:r w:rsidR="005952E4" w:rsidRPr="00055EB3">
        <w:rPr>
          <w:lang w:val="en-GB"/>
        </w:rPr>
        <w:t>However</w:t>
      </w:r>
      <w:r w:rsidR="00165CE4" w:rsidRPr="00055EB3">
        <w:rPr>
          <w:lang w:val="en-GB"/>
        </w:rPr>
        <w:t>, Türkiye</w:t>
      </w:r>
      <w:r w:rsidRPr="00055EB3">
        <w:rPr>
          <w:lang w:val="en-GB"/>
        </w:rPr>
        <w:t xml:space="preserve"> continues to </w:t>
      </w:r>
      <w:r w:rsidR="005952E4" w:rsidRPr="00055EB3">
        <w:rPr>
          <w:lang w:val="en-GB"/>
        </w:rPr>
        <w:t xml:space="preserve">frequently </w:t>
      </w:r>
      <w:r w:rsidRPr="00055EB3">
        <w:rPr>
          <w:lang w:val="en-GB"/>
        </w:rPr>
        <w:t xml:space="preserve">apply </w:t>
      </w:r>
      <w:r w:rsidR="00827DB8" w:rsidRPr="00055EB3">
        <w:rPr>
          <w:lang w:val="en-GB"/>
        </w:rPr>
        <w:t>defamation and related offences</w:t>
      </w:r>
      <w:r w:rsidR="005952E4" w:rsidRPr="00055EB3">
        <w:rPr>
          <w:lang w:val="en-GB"/>
        </w:rPr>
        <w:t>, without decriminalizing them</w:t>
      </w:r>
      <w:r w:rsidRPr="00055EB3">
        <w:rPr>
          <w:lang w:val="en-GB"/>
        </w:rPr>
        <w:t xml:space="preserve">. Journalists are </w:t>
      </w:r>
      <w:r w:rsidR="005952E4" w:rsidRPr="00055EB3">
        <w:rPr>
          <w:lang w:val="en-GB"/>
        </w:rPr>
        <w:t>often prose</w:t>
      </w:r>
      <w:r w:rsidR="00827DB8" w:rsidRPr="00055EB3">
        <w:rPr>
          <w:lang w:val="en-GB"/>
        </w:rPr>
        <w:t>cuted and imprisoned, violating</w:t>
      </w:r>
      <w:r w:rsidRPr="00055EB3">
        <w:rPr>
          <w:lang w:val="en-GB"/>
        </w:rPr>
        <w:t xml:space="preserve"> </w:t>
      </w:r>
      <w:r w:rsidR="005952E4" w:rsidRPr="00055EB3">
        <w:rPr>
          <w:lang w:val="en-GB"/>
        </w:rPr>
        <w:t>Articles 9 and 19</w:t>
      </w:r>
      <w:r w:rsidRPr="00055EB3">
        <w:rPr>
          <w:lang w:val="en-GB"/>
        </w:rPr>
        <w:t xml:space="preserve"> of the Covenant. </w:t>
      </w:r>
      <w:r w:rsidR="005952E4" w:rsidRPr="00055EB3">
        <w:rPr>
          <w:rFonts w:eastAsia="Times New Roman"/>
          <w:color w:val="000000"/>
          <w:lang w:val="en-GB" w:eastAsia="en-GB"/>
        </w:rPr>
        <w:t xml:space="preserve">Relevant provisions of the Turkish Criminal Code (TCC) and Anti-Terrorism Law (ATL) are usually applied as a last resort, rather than the first, which is inconsistent with Article 19 of the Covenant. </w:t>
      </w:r>
      <w:r w:rsidR="00EF1420" w:rsidRPr="00055EB3">
        <w:rPr>
          <w:rFonts w:eastAsia="Times New Roman"/>
          <w:color w:val="000000"/>
          <w:lang w:val="en-GB" w:eastAsia="en-GB"/>
        </w:rPr>
        <w:t>These convictions impact journalists, discouraging them from expressing critical views or reporting on issues of public interest. This creates a chilling effect on freedom of expression in Türkiye.</w:t>
      </w:r>
    </w:p>
    <w:p w14:paraId="16803E4C" w14:textId="6368A549" w:rsidR="00903764" w:rsidRPr="00055EB3" w:rsidRDefault="00183E45" w:rsidP="00047389">
      <w:pPr>
        <w:pStyle w:val="ListParagraph"/>
        <w:numPr>
          <w:ilvl w:val="0"/>
          <w:numId w:val="16"/>
        </w:numPr>
        <w:spacing w:line="276" w:lineRule="auto"/>
        <w:ind w:left="0" w:firstLine="0"/>
        <w:jc w:val="both"/>
        <w:rPr>
          <w:lang w:val="en-GB"/>
        </w:rPr>
      </w:pPr>
      <w:r w:rsidRPr="00055EB3">
        <w:rPr>
          <w:lang w:val="en-GB"/>
        </w:rPr>
        <w:t>The m</w:t>
      </w:r>
      <w:r w:rsidR="00EF1420" w:rsidRPr="00055EB3">
        <w:rPr>
          <w:lang w:val="en-GB"/>
        </w:rPr>
        <w:t>ain contributors to</w:t>
      </w:r>
      <w:r w:rsidRPr="00055EB3">
        <w:rPr>
          <w:lang w:val="en-GB"/>
        </w:rPr>
        <w:t xml:space="preserve"> violation</w:t>
      </w:r>
      <w:r w:rsidR="00EF1420" w:rsidRPr="00055EB3">
        <w:rPr>
          <w:lang w:val="en-GB"/>
        </w:rPr>
        <w:t>s</w:t>
      </w:r>
      <w:r w:rsidRPr="00055EB3">
        <w:rPr>
          <w:lang w:val="en-GB"/>
        </w:rPr>
        <w:t xml:space="preserve"> of freedom of expression are judicial bodies. The</w:t>
      </w:r>
      <w:r w:rsidR="00EF1420" w:rsidRPr="00055EB3">
        <w:rPr>
          <w:lang w:val="en-GB"/>
        </w:rPr>
        <w:t>re has been a</w:t>
      </w:r>
      <w:r w:rsidRPr="00055EB3">
        <w:rPr>
          <w:lang w:val="en-GB"/>
        </w:rPr>
        <w:t xml:space="preserve"> </w:t>
      </w:r>
      <w:r w:rsidR="00EF1420" w:rsidRPr="00055EB3">
        <w:rPr>
          <w:lang w:val="en-GB"/>
        </w:rPr>
        <w:t>rise</w:t>
      </w:r>
      <w:r w:rsidRPr="00055EB3">
        <w:rPr>
          <w:lang w:val="en-GB"/>
        </w:rPr>
        <w:t xml:space="preserve"> in investigations and prosecutions </w:t>
      </w:r>
      <w:r w:rsidR="00EF1420" w:rsidRPr="00055EB3">
        <w:rPr>
          <w:lang w:val="en-GB"/>
        </w:rPr>
        <w:t>for charges such as</w:t>
      </w:r>
      <w:r w:rsidRPr="00055EB3">
        <w:rPr>
          <w:lang w:val="en-GB"/>
        </w:rPr>
        <w:t xml:space="preserve"> </w:t>
      </w:r>
      <w:r w:rsidR="00EF1420" w:rsidRPr="00055EB3">
        <w:rPr>
          <w:lang w:val="en-GB"/>
        </w:rPr>
        <w:t xml:space="preserve">inciting </w:t>
      </w:r>
      <w:r w:rsidRPr="00055EB3">
        <w:rPr>
          <w:lang w:val="en-GB"/>
        </w:rPr>
        <w:t xml:space="preserve">public hatred and hostility, degrading the Turkish nation, the state, and </w:t>
      </w:r>
      <w:r w:rsidR="00EF1420" w:rsidRPr="00055EB3">
        <w:rPr>
          <w:lang w:val="en-GB"/>
        </w:rPr>
        <w:t>its institutions. These issues were thought to have been addressed by reforms in the early 2000s. However, the sharp increase in cases of people being prosecuted for insulting the President shows that the legal amendments focused solely on regulations have been insufficient.</w:t>
      </w:r>
      <w:r w:rsidR="00F87BA5" w:rsidRPr="00055EB3">
        <w:rPr>
          <w:lang w:val="en-GB"/>
        </w:rPr>
        <w:t xml:space="preserve"> </w:t>
      </w:r>
      <w:r w:rsidRPr="00055EB3">
        <w:rPr>
          <w:lang w:val="en-GB"/>
        </w:rPr>
        <w:t>At least 55 journalists have been incarcerated in the past year as of 3 May 2024.</w:t>
      </w:r>
      <w:r w:rsidR="00D25AB5" w:rsidRPr="00055EB3">
        <w:rPr>
          <w:rStyle w:val="FootnoteReference"/>
          <w:lang w:val="en-GB"/>
        </w:rPr>
        <w:footnoteReference w:id="7"/>
      </w:r>
      <w:r w:rsidR="00ED0A1F" w:rsidRPr="00055EB3">
        <w:rPr>
          <w:lang w:val="en-GB"/>
        </w:rPr>
        <w:t xml:space="preserve"> </w:t>
      </w:r>
      <w:r w:rsidRPr="00055EB3">
        <w:rPr>
          <w:rFonts w:eastAsia="Times New Roman"/>
          <w:lang w:val="en-GB"/>
        </w:rPr>
        <w:t>Twelve journalists are currently incarcerated for their journalistic activities as of 5 September 2024.</w:t>
      </w:r>
      <w:r w:rsidR="00D25AB5" w:rsidRPr="00055EB3">
        <w:rPr>
          <w:rStyle w:val="FootnoteReference"/>
          <w:lang w:val="en-GB"/>
        </w:rPr>
        <w:footnoteReference w:id="8"/>
      </w:r>
      <w:r w:rsidR="00EF1420" w:rsidRPr="00055EB3">
        <w:rPr>
          <w:rFonts w:eastAsia="Times New Roman"/>
          <w:lang w:val="en-GB"/>
        </w:rPr>
        <w:t xml:space="preserve"> </w:t>
      </w:r>
    </w:p>
    <w:p w14:paraId="4AD59F0E" w14:textId="439A7655" w:rsidR="005242D9" w:rsidRPr="00055EB3" w:rsidRDefault="005242D9" w:rsidP="00047389">
      <w:pPr>
        <w:pStyle w:val="ListParagraph"/>
        <w:numPr>
          <w:ilvl w:val="0"/>
          <w:numId w:val="16"/>
        </w:numPr>
        <w:spacing w:line="276" w:lineRule="auto"/>
        <w:ind w:left="0" w:firstLine="0"/>
        <w:jc w:val="both"/>
        <w:rPr>
          <w:lang w:val="en-GB"/>
        </w:rPr>
      </w:pPr>
      <w:r w:rsidRPr="00055EB3">
        <w:rPr>
          <w:lang w:val="en-GB"/>
        </w:rPr>
        <w:t xml:space="preserve">Additionally, the executive and administration </w:t>
      </w:r>
      <w:r w:rsidR="00EF1420" w:rsidRPr="00055EB3">
        <w:rPr>
          <w:lang w:val="en-GB"/>
        </w:rPr>
        <w:t xml:space="preserve">also </w:t>
      </w:r>
      <w:r w:rsidRPr="00055EB3">
        <w:rPr>
          <w:lang w:val="en-GB"/>
        </w:rPr>
        <w:t xml:space="preserve">systematically obstruct and interfere with freedom of expression through </w:t>
      </w:r>
      <w:r w:rsidR="00EF1420" w:rsidRPr="00055EB3">
        <w:rPr>
          <w:lang w:val="en-GB"/>
        </w:rPr>
        <w:t>actions</w:t>
      </w:r>
      <w:r w:rsidRPr="00055EB3">
        <w:rPr>
          <w:lang w:val="en-GB"/>
        </w:rPr>
        <w:t xml:space="preserve"> such as closure</w:t>
      </w:r>
      <w:r w:rsidR="00EF1420" w:rsidRPr="00055EB3">
        <w:rPr>
          <w:lang w:val="en-GB"/>
        </w:rPr>
        <w:t>s</w:t>
      </w:r>
      <w:r w:rsidRPr="00055EB3">
        <w:rPr>
          <w:lang w:val="en-GB"/>
        </w:rPr>
        <w:t xml:space="preserve"> </w:t>
      </w:r>
      <w:r w:rsidR="00EF1420" w:rsidRPr="00055EB3">
        <w:rPr>
          <w:lang w:val="en-GB"/>
        </w:rPr>
        <w:t>and</w:t>
      </w:r>
      <w:r w:rsidRPr="00055EB3">
        <w:rPr>
          <w:lang w:val="en-GB"/>
        </w:rPr>
        <w:t xml:space="preserve"> confiscation</w:t>
      </w:r>
      <w:r w:rsidR="00EF1420" w:rsidRPr="00055EB3">
        <w:rPr>
          <w:lang w:val="en-GB"/>
        </w:rPr>
        <w:t>s</w:t>
      </w:r>
      <w:r w:rsidRPr="00055EB3">
        <w:rPr>
          <w:lang w:val="en-GB"/>
        </w:rPr>
        <w:t xml:space="preserve">. </w:t>
      </w:r>
      <w:r w:rsidR="00EF1420" w:rsidRPr="00055EB3">
        <w:rPr>
          <w:lang w:val="en-GB"/>
        </w:rPr>
        <w:t xml:space="preserve">The </w:t>
      </w:r>
      <w:r w:rsidRPr="00055EB3">
        <w:rPr>
          <w:lang w:val="en-GB"/>
        </w:rPr>
        <w:t xml:space="preserve">Information and Communication Technologies Authority (BTK) </w:t>
      </w:r>
      <w:r w:rsidR="00EF1420" w:rsidRPr="00055EB3">
        <w:rPr>
          <w:lang w:val="en-GB"/>
        </w:rPr>
        <w:t>frequently requests the removal of content or blocks access, while broadcasting bans are imposed as well. The Radio and Television Supreme Council (RTÜK) issues sanctions like warnings, suspending programs, administrative fines, temporary suspensions, and cancel</w:t>
      </w:r>
      <w:r w:rsidR="00827DB8" w:rsidRPr="00055EB3">
        <w:rPr>
          <w:lang w:val="en-GB"/>
        </w:rPr>
        <w:t>l</w:t>
      </w:r>
      <w:r w:rsidR="00EF1420" w:rsidRPr="00055EB3">
        <w:rPr>
          <w:lang w:val="en-GB"/>
        </w:rPr>
        <w:t>ing broadcasting licenses</w:t>
      </w:r>
      <w:r w:rsidR="00EF1420" w:rsidRPr="00055EB3">
        <w:rPr>
          <w:rStyle w:val="FootnoteReference"/>
          <w:lang w:val="en-GB"/>
        </w:rPr>
        <w:footnoteReference w:id="9"/>
      </w:r>
      <w:r w:rsidR="00EF1420" w:rsidRPr="00055EB3">
        <w:rPr>
          <w:lang w:val="en-GB"/>
        </w:rPr>
        <w:t>. Additionally, the Press Advertisement Institution (BİK) imposes ad cuts</w:t>
      </w:r>
      <w:r w:rsidR="00EF1420" w:rsidRPr="00055EB3">
        <w:rPr>
          <w:rStyle w:val="FootnoteReference"/>
          <w:lang w:val="en-GB"/>
        </w:rPr>
        <w:footnoteReference w:id="10"/>
      </w:r>
      <w:r w:rsidR="00EF1420" w:rsidRPr="00055EB3">
        <w:rPr>
          <w:lang w:val="en-GB"/>
        </w:rPr>
        <w:t>, and the Directorate of Communications, part of the Presidency</w:t>
      </w:r>
      <w:r w:rsidR="00EF1420" w:rsidRPr="00055EB3">
        <w:rPr>
          <w:rStyle w:val="FootnoteReference"/>
          <w:lang w:val="en-GB"/>
        </w:rPr>
        <w:footnoteReference w:id="11"/>
      </w:r>
      <w:r w:rsidR="00EF1420" w:rsidRPr="00055EB3">
        <w:rPr>
          <w:lang w:val="en-GB"/>
        </w:rPr>
        <w:t>, cancels or refuses to renew press cards for journalists. These are all examples of actions that restrict freedom of expression.</w:t>
      </w:r>
    </w:p>
    <w:p w14:paraId="0A80F25C" w14:textId="29C33345" w:rsidR="00E22FDD" w:rsidRPr="00055EB3" w:rsidRDefault="002E55C2" w:rsidP="00047389">
      <w:pPr>
        <w:pStyle w:val="ListParagraph"/>
        <w:numPr>
          <w:ilvl w:val="0"/>
          <w:numId w:val="16"/>
        </w:numPr>
        <w:spacing w:line="276" w:lineRule="auto"/>
        <w:ind w:left="0" w:firstLine="0"/>
        <w:jc w:val="both"/>
        <w:rPr>
          <w:lang w:val="en-GB"/>
        </w:rPr>
      </w:pPr>
      <w:r w:rsidRPr="00055EB3">
        <w:rPr>
          <w:lang w:val="en-GB"/>
        </w:rPr>
        <w:t xml:space="preserve">Despite several journalists, including Aydın Engin, Nadire Mater, Mustafa Sönmez, Birkan Bulut, Berkant Gültekin, and Kazım Güleçyüz, bringing attention to the unfair treatment regarding press cards in court, the Communications Directorate—now acting as a tool of the ruling power—has continued its unlawful actions. </w:t>
      </w:r>
      <w:r w:rsidR="00720FB9" w:rsidRPr="00055EB3">
        <w:rPr>
          <w:lang w:val="en-GB"/>
        </w:rPr>
        <w:t xml:space="preserve"> </w:t>
      </w:r>
      <w:r w:rsidRPr="00055EB3">
        <w:rPr>
          <w:lang w:val="en-GB"/>
        </w:rPr>
        <w:t xml:space="preserve">Although the Turkish Radio and Television (TRT), the national public broadcaster established in 1964, is legally defined as an </w:t>
      </w:r>
      <w:r w:rsidR="00906A9A" w:rsidRPr="00055EB3">
        <w:rPr>
          <w:lang w:val="en-GB"/>
        </w:rPr>
        <w:t>“</w:t>
      </w:r>
      <w:r w:rsidRPr="00055EB3">
        <w:rPr>
          <w:lang w:val="en-GB"/>
        </w:rPr>
        <w:t>impartial public entity</w:t>
      </w:r>
      <w:r w:rsidR="00906A9A" w:rsidRPr="00055EB3">
        <w:rPr>
          <w:lang w:val="en-GB"/>
        </w:rPr>
        <w:t>”</w:t>
      </w:r>
      <w:r w:rsidRPr="00055EB3">
        <w:rPr>
          <w:lang w:val="en-GB"/>
        </w:rPr>
        <w:t xml:space="preserve"> under Law No. 2954, it is neither impartial nor independent. Instead, it operates under the control of the Presidency through its connection to the Directorate of Communications.</w:t>
      </w:r>
    </w:p>
    <w:p w14:paraId="36C49BFC" w14:textId="41E13CA8" w:rsidR="00920D10" w:rsidRPr="00055EB3" w:rsidRDefault="00B45E46" w:rsidP="00047389">
      <w:pPr>
        <w:pStyle w:val="ListParagraph"/>
        <w:numPr>
          <w:ilvl w:val="0"/>
          <w:numId w:val="16"/>
        </w:numPr>
        <w:spacing w:line="276" w:lineRule="auto"/>
        <w:ind w:left="0" w:firstLine="0"/>
        <w:jc w:val="both"/>
        <w:rPr>
          <w:rFonts w:eastAsia="Times New Roman"/>
          <w:lang w:val="en-GB"/>
        </w:rPr>
      </w:pPr>
      <w:r w:rsidRPr="00055EB3">
        <w:rPr>
          <w:lang w:val="en-GB"/>
        </w:rPr>
        <w:lastRenderedPageBreak/>
        <w:t>Public announcements and advertisements distributed by the Press Advertisement Institution (BİK), which became affiliated with the Presidency</w:t>
      </w:r>
      <w:r w:rsidR="00906A9A" w:rsidRPr="00055EB3">
        <w:rPr>
          <w:lang w:val="en-GB"/>
        </w:rPr>
        <w:t>’</w:t>
      </w:r>
      <w:r w:rsidRPr="00055EB3">
        <w:rPr>
          <w:lang w:val="en-GB"/>
        </w:rPr>
        <w:t xml:space="preserve">s Directorate of Communications as per the Presidential decree in 2018, </w:t>
      </w:r>
      <w:r w:rsidR="002E55C2" w:rsidRPr="00055EB3">
        <w:rPr>
          <w:lang w:val="en-GB"/>
        </w:rPr>
        <w:t xml:space="preserve">make up a significant part of </w:t>
      </w:r>
      <w:r w:rsidRPr="00055EB3">
        <w:rPr>
          <w:lang w:val="en-GB"/>
        </w:rPr>
        <w:t>newspapers</w:t>
      </w:r>
      <w:r w:rsidR="00906A9A" w:rsidRPr="00055EB3">
        <w:rPr>
          <w:lang w:val="en-GB"/>
        </w:rPr>
        <w:t>’</w:t>
      </w:r>
      <w:r w:rsidRPr="00055EB3">
        <w:rPr>
          <w:lang w:val="en-GB"/>
        </w:rPr>
        <w:t xml:space="preserve"> revenues</w:t>
      </w:r>
      <w:r w:rsidR="002E55C2" w:rsidRPr="00055EB3">
        <w:rPr>
          <w:lang w:val="en-GB"/>
        </w:rPr>
        <w:t xml:space="preserve"> </w:t>
      </w:r>
      <w:r w:rsidR="002E55C2" w:rsidRPr="00055EB3">
        <w:rPr>
          <w:rFonts w:eastAsia="Times New Roman"/>
          <w:lang w:val="en-GB"/>
        </w:rPr>
        <w:t>in Türkiye</w:t>
      </w:r>
      <w:r w:rsidRPr="00055EB3">
        <w:rPr>
          <w:lang w:val="en-GB"/>
        </w:rPr>
        <w:t>.</w:t>
      </w:r>
      <w:r w:rsidR="002E55C2" w:rsidRPr="00055EB3">
        <w:rPr>
          <w:rFonts w:eastAsia="Times New Roman"/>
          <w:lang w:val="en-GB"/>
        </w:rPr>
        <w:t xml:space="preserve"> These ads are allocated based on the newspaper</w:t>
      </w:r>
      <w:r w:rsidR="00906A9A" w:rsidRPr="00055EB3">
        <w:rPr>
          <w:rFonts w:eastAsia="Times New Roman"/>
          <w:lang w:val="en-GB"/>
        </w:rPr>
        <w:t>’</w:t>
      </w:r>
      <w:r w:rsidR="002E55C2" w:rsidRPr="00055EB3">
        <w:rPr>
          <w:rFonts w:eastAsia="Times New Roman"/>
          <w:lang w:val="en-GB"/>
        </w:rPr>
        <w:t xml:space="preserve">s circulation, with </w:t>
      </w:r>
      <w:r w:rsidR="006D468D">
        <w:rPr>
          <w:lang w:val="en-GB"/>
        </w:rPr>
        <w:t>n</w:t>
      </w:r>
      <w:r w:rsidR="006D468D" w:rsidRPr="00CF3A58">
        <w:rPr>
          <w:lang w:val="en-GB"/>
        </w:rPr>
        <w:t>ewspapers distributed free of</w:t>
      </w:r>
      <w:r w:rsidR="002E55C2" w:rsidRPr="00055EB3">
        <w:rPr>
          <w:rFonts w:eastAsia="Times New Roman"/>
          <w:lang w:val="en-GB"/>
        </w:rPr>
        <w:t xml:space="preserve"> </w:t>
      </w:r>
      <w:r w:rsidR="006D468D">
        <w:rPr>
          <w:rFonts w:eastAsia="Times New Roman"/>
          <w:lang w:val="en-GB"/>
        </w:rPr>
        <w:t xml:space="preserve">charge </w:t>
      </w:r>
      <w:r w:rsidR="002E55C2" w:rsidRPr="00055EB3">
        <w:rPr>
          <w:rFonts w:eastAsia="Times New Roman"/>
          <w:lang w:val="en-GB"/>
        </w:rPr>
        <w:t>boosting circulation numbers to qualify for more ads</w:t>
      </w:r>
      <w:r w:rsidR="002E55C2" w:rsidRPr="00055EB3">
        <w:rPr>
          <w:rStyle w:val="FootnoteReference"/>
          <w:lang w:val="en-GB"/>
        </w:rPr>
        <w:footnoteReference w:id="12"/>
      </w:r>
      <w:r w:rsidR="002E55C2" w:rsidRPr="00055EB3">
        <w:rPr>
          <w:rFonts w:eastAsia="Times New Roman"/>
          <w:lang w:val="en-GB"/>
        </w:rPr>
        <w:t xml:space="preserve">. Independent newspapers rely heavily on these revenues. However, since 2010, BİK has not disclosed the amount of public funds distributed through advertisements, claiming this information is a </w:t>
      </w:r>
      <w:r w:rsidR="00906A9A" w:rsidRPr="00055EB3">
        <w:rPr>
          <w:rFonts w:eastAsia="Times New Roman"/>
          <w:lang w:val="en-GB"/>
        </w:rPr>
        <w:t>“</w:t>
      </w:r>
      <w:r w:rsidR="002E55C2" w:rsidRPr="00055EB3">
        <w:rPr>
          <w:rFonts w:eastAsia="Times New Roman"/>
          <w:lang w:val="en-GB"/>
        </w:rPr>
        <w:t>trade secret.</w:t>
      </w:r>
      <w:r w:rsidR="00906A9A" w:rsidRPr="00055EB3">
        <w:rPr>
          <w:rFonts w:eastAsia="Times New Roman"/>
          <w:lang w:val="en-GB"/>
        </w:rPr>
        <w:t>”</w:t>
      </w:r>
      <w:r w:rsidR="002E55C2" w:rsidRPr="00055EB3">
        <w:rPr>
          <w:rFonts w:eastAsia="Times New Roman"/>
          <w:lang w:val="en-GB"/>
        </w:rPr>
        <w:t xml:space="preserve"> Although BİK</w:t>
      </w:r>
      <w:r w:rsidR="00906A9A" w:rsidRPr="00055EB3">
        <w:rPr>
          <w:rFonts w:eastAsia="Times New Roman"/>
          <w:lang w:val="en-GB"/>
        </w:rPr>
        <w:t>’</w:t>
      </w:r>
      <w:r w:rsidR="002E55C2" w:rsidRPr="00055EB3">
        <w:rPr>
          <w:rFonts w:eastAsia="Times New Roman"/>
          <w:lang w:val="en-GB"/>
        </w:rPr>
        <w:t xml:space="preserve">s annual report provides advertisement quantities and revenues to newspapers, it does not make this information available to the public. </w:t>
      </w:r>
      <w:r w:rsidR="00827DB8" w:rsidRPr="00055EB3">
        <w:rPr>
          <w:rFonts w:eastAsia="Times New Roman"/>
          <w:lang w:val="en-GB"/>
        </w:rPr>
        <w:t>According to a news report, p</w:t>
      </w:r>
      <w:r w:rsidR="002E55C2" w:rsidRPr="00055EB3">
        <w:rPr>
          <w:rFonts w:eastAsia="Times New Roman"/>
          <w:lang w:val="en-GB"/>
        </w:rPr>
        <w:t>ro-government newspapers received around 141.9 million TRY in advertisement funds, representing about 78% of the total, while other newspapers received only about 22%. Additionally, opposition newspapers faced 97% of advertisement penalties</w:t>
      </w:r>
      <w:r w:rsidR="002E55C2" w:rsidRPr="00055EB3">
        <w:rPr>
          <w:rStyle w:val="FootnoteReference"/>
          <w:lang w:val="en-GB"/>
        </w:rPr>
        <w:footnoteReference w:id="13"/>
      </w:r>
      <w:r w:rsidR="002E55C2" w:rsidRPr="00055EB3">
        <w:rPr>
          <w:rFonts w:eastAsia="Times New Roman"/>
          <w:lang w:val="en-GB"/>
        </w:rPr>
        <w:t>. The top four recipients of official advertisement revenues are all pro-government newspapers</w:t>
      </w:r>
      <w:r w:rsidR="002E55C2" w:rsidRPr="00055EB3">
        <w:rPr>
          <w:rStyle w:val="FootnoteReference"/>
          <w:bCs/>
          <w:lang w:val="en-GB"/>
        </w:rPr>
        <w:footnoteReference w:id="14"/>
      </w:r>
      <w:r w:rsidR="002E55C2" w:rsidRPr="00055EB3">
        <w:rPr>
          <w:rFonts w:eastAsia="Times New Roman"/>
          <w:lang w:val="en-GB"/>
        </w:rPr>
        <w:t>. BİK also interferes with the editorial content of critical newspapers, further depriving them of official announcements</w:t>
      </w:r>
      <w:r w:rsidR="002E55C2" w:rsidRPr="00055EB3">
        <w:rPr>
          <w:rStyle w:val="FootnoteReference"/>
          <w:lang w:val="en-GB"/>
        </w:rPr>
        <w:footnoteReference w:id="15"/>
      </w:r>
      <w:r w:rsidR="002E55C2" w:rsidRPr="00055EB3">
        <w:rPr>
          <w:rFonts w:eastAsia="Times New Roman"/>
          <w:lang w:val="en-GB"/>
        </w:rPr>
        <w:t>.</w:t>
      </w:r>
    </w:p>
    <w:p w14:paraId="4ADABC9E" w14:textId="6CA675F6" w:rsidR="00811E5F" w:rsidRPr="00055EB3" w:rsidRDefault="00920D10" w:rsidP="00047389">
      <w:pPr>
        <w:pStyle w:val="ListParagraph"/>
        <w:numPr>
          <w:ilvl w:val="0"/>
          <w:numId w:val="16"/>
        </w:numPr>
        <w:spacing w:line="276" w:lineRule="auto"/>
        <w:ind w:left="0" w:firstLine="0"/>
        <w:jc w:val="both"/>
        <w:rPr>
          <w:rFonts w:eastAsia="Times New Roman"/>
          <w:lang w:val="en-GB"/>
        </w:rPr>
      </w:pPr>
      <w:r w:rsidRPr="00055EB3">
        <w:rPr>
          <w:rFonts w:eastAsia="Times New Roman"/>
          <w:lang w:val="en-GB"/>
        </w:rPr>
        <w:t xml:space="preserve">The BİA Media Monitoring Reports </w:t>
      </w:r>
      <w:r w:rsidR="002E55C2" w:rsidRPr="00055EB3">
        <w:rPr>
          <w:rFonts w:eastAsia="Times New Roman"/>
          <w:lang w:val="en-GB"/>
        </w:rPr>
        <w:t xml:space="preserve">reveal ongoing </w:t>
      </w:r>
      <w:r w:rsidRPr="00055EB3">
        <w:rPr>
          <w:rFonts w:eastAsia="Times New Roman"/>
          <w:lang w:val="en-GB"/>
        </w:rPr>
        <w:t xml:space="preserve">practices that </w:t>
      </w:r>
      <w:r w:rsidR="002E55C2" w:rsidRPr="00055EB3">
        <w:rPr>
          <w:rFonts w:eastAsia="Times New Roman"/>
          <w:lang w:val="en-GB"/>
        </w:rPr>
        <w:t xml:space="preserve">violate </w:t>
      </w:r>
      <w:r w:rsidRPr="00055EB3">
        <w:rPr>
          <w:rFonts w:eastAsia="Times New Roman"/>
          <w:lang w:val="en-GB"/>
        </w:rPr>
        <w:t xml:space="preserve">the right to </w:t>
      </w:r>
      <w:r w:rsidR="002E55C2" w:rsidRPr="00055EB3">
        <w:rPr>
          <w:rFonts w:eastAsia="Times New Roman"/>
          <w:lang w:val="en-GB"/>
        </w:rPr>
        <w:t>share</w:t>
      </w:r>
      <w:r w:rsidRPr="00055EB3">
        <w:rPr>
          <w:rFonts w:eastAsia="Times New Roman"/>
          <w:lang w:val="en-GB"/>
        </w:rPr>
        <w:t xml:space="preserve"> information and ideas, as well as the </w:t>
      </w:r>
      <w:r w:rsidR="002E55C2" w:rsidRPr="00055EB3">
        <w:rPr>
          <w:rFonts w:eastAsia="Times New Roman"/>
          <w:lang w:val="en-GB"/>
        </w:rPr>
        <w:t>protected role of media organisations and journalists</w:t>
      </w:r>
      <w:r w:rsidRPr="00055EB3">
        <w:rPr>
          <w:rFonts w:eastAsia="Times New Roman"/>
          <w:lang w:val="en-GB"/>
        </w:rPr>
        <w:t>. Regrettably, this situation persists</w:t>
      </w:r>
      <w:r w:rsidR="002E55C2" w:rsidRPr="00055EB3">
        <w:rPr>
          <w:rFonts w:eastAsia="Times New Roman"/>
          <w:lang w:val="en-GB"/>
        </w:rPr>
        <w:t xml:space="preserve"> and continues to worsen</w:t>
      </w:r>
      <w:r w:rsidRPr="00055EB3">
        <w:rPr>
          <w:rFonts w:eastAsia="Times New Roman"/>
          <w:lang w:val="en-GB"/>
        </w:rPr>
        <w:t xml:space="preserve">. </w:t>
      </w:r>
      <w:r w:rsidR="002E55C2" w:rsidRPr="00055EB3">
        <w:rPr>
          <w:rFonts w:eastAsia="Times New Roman"/>
          <w:lang w:val="en-GB"/>
        </w:rPr>
        <w:t xml:space="preserve">Over the past two decades, </w:t>
      </w:r>
      <w:r w:rsidR="00F87BA5" w:rsidRPr="00055EB3">
        <w:rPr>
          <w:rFonts w:eastAsia="Times New Roman"/>
          <w:lang w:val="en-GB"/>
        </w:rPr>
        <w:t>i</w:t>
      </w:r>
      <w:r w:rsidRPr="00055EB3">
        <w:rPr>
          <w:rFonts w:eastAsia="Times New Roman"/>
          <w:lang w:val="en-GB"/>
        </w:rPr>
        <w:t>nterventions against journalists and media o</w:t>
      </w:r>
      <w:r w:rsidR="002E55C2" w:rsidRPr="00055EB3">
        <w:rPr>
          <w:rFonts w:eastAsia="Times New Roman"/>
          <w:lang w:val="en-GB"/>
        </w:rPr>
        <w:t>utlets</w:t>
      </w:r>
      <w:r w:rsidRPr="00055EB3">
        <w:rPr>
          <w:rFonts w:eastAsia="Times New Roman"/>
          <w:lang w:val="en-GB"/>
        </w:rPr>
        <w:t xml:space="preserve"> have not</w:t>
      </w:r>
      <w:r w:rsidR="002E55C2" w:rsidRPr="00055EB3">
        <w:rPr>
          <w:rFonts w:eastAsia="Times New Roman"/>
          <w:lang w:val="en-GB"/>
        </w:rPr>
        <w:t xml:space="preserve"> decreased</w:t>
      </w:r>
      <w:r w:rsidRPr="00055EB3">
        <w:rPr>
          <w:rFonts w:eastAsia="Times New Roman"/>
          <w:lang w:val="en-GB"/>
        </w:rPr>
        <w:t xml:space="preserve">; rather, they have intensified. Media outlets and journalists </w:t>
      </w:r>
      <w:r w:rsidR="002E55C2" w:rsidRPr="00055EB3">
        <w:rPr>
          <w:rFonts w:eastAsia="Times New Roman"/>
          <w:lang w:val="en-GB"/>
        </w:rPr>
        <w:t xml:space="preserve">exercising </w:t>
      </w:r>
      <w:r w:rsidRPr="00055EB3">
        <w:rPr>
          <w:rFonts w:eastAsia="Times New Roman"/>
          <w:lang w:val="en-GB"/>
        </w:rPr>
        <w:t xml:space="preserve">their freedom of </w:t>
      </w:r>
      <w:r w:rsidR="00811E5F" w:rsidRPr="00055EB3">
        <w:rPr>
          <w:rFonts w:eastAsia="Times New Roman"/>
          <w:lang w:val="en-GB"/>
        </w:rPr>
        <w:t>often face</w:t>
      </w:r>
      <w:r w:rsidRPr="00055EB3">
        <w:rPr>
          <w:rFonts w:eastAsia="Times New Roman"/>
          <w:lang w:val="en-GB"/>
        </w:rPr>
        <w:t xml:space="preserve"> violence </w:t>
      </w:r>
      <w:r w:rsidR="00811E5F" w:rsidRPr="00055EB3">
        <w:rPr>
          <w:rFonts w:eastAsia="Times New Roman"/>
          <w:lang w:val="en-GB"/>
        </w:rPr>
        <w:t>from</w:t>
      </w:r>
      <w:r w:rsidRPr="00055EB3">
        <w:rPr>
          <w:rFonts w:eastAsia="Times New Roman"/>
          <w:lang w:val="en-GB"/>
        </w:rPr>
        <w:t xml:space="preserve"> third parties, and in some cases, are murdered or dismissed from their positions. </w:t>
      </w:r>
      <w:r w:rsidR="002E55C2" w:rsidRPr="00055EB3">
        <w:rPr>
          <w:rFonts w:eastAsia="Times New Roman"/>
          <w:lang w:val="en-GB"/>
        </w:rPr>
        <w:t>The State has taken little to no action to meet its obligations to protect them.</w:t>
      </w:r>
    </w:p>
    <w:p w14:paraId="11D7A261" w14:textId="626E4136" w:rsidR="00811E5F" w:rsidRPr="00055EB3" w:rsidRDefault="00811E5F" w:rsidP="00047389">
      <w:pPr>
        <w:pStyle w:val="ListParagraph"/>
        <w:numPr>
          <w:ilvl w:val="0"/>
          <w:numId w:val="16"/>
        </w:numPr>
        <w:spacing w:line="276" w:lineRule="auto"/>
        <w:ind w:left="0" w:firstLine="0"/>
        <w:jc w:val="both"/>
        <w:rPr>
          <w:color w:val="000000"/>
          <w:lang w:val="en-GB"/>
        </w:rPr>
      </w:pPr>
      <w:r w:rsidRPr="00055EB3">
        <w:rPr>
          <w:color w:val="000000"/>
          <w:lang w:val="en-GB"/>
        </w:rPr>
        <w:t xml:space="preserve">Two key events over the past 20 years significantly worsened the situation for media in Türkiye: the aftermath of the 2013 Gezi Park Protests and the state of emergency following the 2016 coup attempt. During the protests, the state targeted journalists and media outlets, and following the coup attempt, it escalated by closing or confiscating a large number of media organizations. </w:t>
      </w:r>
      <w:r w:rsidR="005B33A1" w:rsidRPr="00055EB3">
        <w:rPr>
          <w:rFonts w:eastAsia="Times New Roman"/>
          <w:lang w:val="en-GB"/>
        </w:rPr>
        <w:t xml:space="preserve"> </w:t>
      </w:r>
      <w:r w:rsidRPr="00055EB3">
        <w:rPr>
          <w:color w:val="000000"/>
          <w:lang w:val="en-GB"/>
        </w:rPr>
        <w:t>The two-year state of emergency from 2016 to 2018 severely damaged the media landscape</w:t>
      </w:r>
      <w:r w:rsidR="005B33A1" w:rsidRPr="00055EB3">
        <w:rPr>
          <w:rFonts w:eastAsia="Times New Roman"/>
          <w:lang w:val="en-GB"/>
        </w:rPr>
        <w:t>. The Decree Laws No. 668, 670, 675, 677, 689, 693, 695, and 701 resulted in the closure and confiscation of the assets of a total of 204 media organisations, including 6 news agencies, 70 newspapers, 20 magazines, 41 radios, 38 TV channels, and 29 publishing and distribution companies.</w:t>
      </w:r>
      <w:r w:rsidR="0091702C" w:rsidRPr="00055EB3">
        <w:rPr>
          <w:rStyle w:val="FootnoteReference"/>
          <w:color w:val="000000"/>
          <w:lang w:val="en-GB"/>
        </w:rPr>
        <w:footnoteReference w:id="16"/>
      </w:r>
      <w:r w:rsidR="00CA702D" w:rsidRPr="00055EB3">
        <w:rPr>
          <w:rFonts w:eastAsia="Times New Roman"/>
          <w:lang w:val="en-GB"/>
        </w:rPr>
        <w:t xml:space="preserve"> Subsequently, the closure decisions of 25 media entities were reversed, including 17 newspapers, 4 radio stations, and 4 television stations.</w:t>
      </w:r>
      <w:r w:rsidR="00BB606F" w:rsidRPr="00055EB3">
        <w:rPr>
          <w:rStyle w:val="FootnoteReference"/>
          <w:color w:val="000000"/>
          <w:lang w:val="en-GB"/>
        </w:rPr>
        <w:footnoteReference w:id="17"/>
      </w:r>
      <w:r w:rsidR="001174FE" w:rsidRPr="00055EB3">
        <w:rPr>
          <w:color w:val="000000"/>
          <w:lang w:val="en-GB"/>
        </w:rPr>
        <w:t xml:space="preserve"> </w:t>
      </w:r>
      <w:r w:rsidR="00CA702D" w:rsidRPr="00055EB3">
        <w:rPr>
          <w:rFonts w:eastAsia="Times New Roman"/>
          <w:lang w:val="en-GB"/>
        </w:rPr>
        <w:t>On April 8, 2021, the C</w:t>
      </w:r>
      <w:r w:rsidRPr="00055EB3">
        <w:rPr>
          <w:rFonts w:eastAsia="Times New Roman"/>
          <w:lang w:val="en-GB"/>
        </w:rPr>
        <w:t xml:space="preserve">onstitutional </w:t>
      </w:r>
      <w:r w:rsidR="00CA702D" w:rsidRPr="00055EB3">
        <w:rPr>
          <w:rFonts w:eastAsia="Times New Roman"/>
          <w:lang w:val="en-GB"/>
        </w:rPr>
        <w:t>C</w:t>
      </w:r>
      <w:r w:rsidRPr="00055EB3">
        <w:rPr>
          <w:rFonts w:eastAsia="Times New Roman"/>
          <w:lang w:val="en-GB"/>
        </w:rPr>
        <w:t>ourt</w:t>
      </w:r>
      <w:r w:rsidR="00CA702D" w:rsidRPr="00055EB3">
        <w:rPr>
          <w:rFonts w:eastAsia="Times New Roman"/>
          <w:lang w:val="en-GB"/>
        </w:rPr>
        <w:t xml:space="preserve"> invalidated the pertinent provision of the Decree Law</w:t>
      </w:r>
      <w:r w:rsidRPr="00055EB3">
        <w:rPr>
          <w:color w:val="000000"/>
          <w:lang w:val="en-GB"/>
        </w:rPr>
        <w:t xml:space="preserve"> that </w:t>
      </w:r>
      <w:r w:rsidRPr="00055EB3">
        <w:rPr>
          <w:color w:val="000000"/>
          <w:lang w:val="en-GB"/>
        </w:rPr>
        <w:lastRenderedPageBreak/>
        <w:t xml:space="preserve">allowed the closure of media outlets for </w:t>
      </w:r>
      <w:r w:rsidR="00906A9A" w:rsidRPr="00055EB3">
        <w:rPr>
          <w:color w:val="000000"/>
          <w:lang w:val="en-GB"/>
        </w:rPr>
        <w:t>“</w:t>
      </w:r>
      <w:r w:rsidRPr="00055EB3">
        <w:rPr>
          <w:color w:val="000000"/>
          <w:lang w:val="en-GB"/>
        </w:rPr>
        <w:t>posing a threat to national security,</w:t>
      </w:r>
      <w:r w:rsidR="00906A9A" w:rsidRPr="00055EB3">
        <w:rPr>
          <w:color w:val="000000"/>
          <w:lang w:val="en-GB"/>
        </w:rPr>
        <w:t>”</w:t>
      </w:r>
      <w:r w:rsidRPr="00055EB3">
        <w:rPr>
          <w:color w:val="000000"/>
          <w:lang w:val="en-GB"/>
        </w:rPr>
        <w:t xml:space="preserve"> stating that it violated the principles of necessity and proportionality, key safeguards for freedom of expression and the press</w:t>
      </w:r>
      <w:r w:rsidRPr="00055EB3">
        <w:rPr>
          <w:rStyle w:val="FootnoteReference"/>
          <w:color w:val="000000"/>
          <w:lang w:val="en-GB"/>
        </w:rPr>
        <w:footnoteReference w:id="18"/>
      </w:r>
      <w:r w:rsidRPr="00055EB3">
        <w:rPr>
          <w:color w:val="000000"/>
          <w:lang w:val="en-GB"/>
        </w:rPr>
        <w:t>. Despite this ruling, 88% (179) of the closed media outlets have not been able to resume their operations or broadcasting</w:t>
      </w:r>
      <w:r w:rsidR="00827DB8" w:rsidRPr="00055EB3">
        <w:rPr>
          <w:color w:val="000000"/>
          <w:lang w:val="en-GB"/>
        </w:rPr>
        <w:t xml:space="preserve"> still today</w:t>
      </w:r>
      <w:r w:rsidRPr="00055EB3">
        <w:rPr>
          <w:color w:val="000000"/>
          <w:lang w:val="en-GB"/>
        </w:rPr>
        <w:t>.</w:t>
      </w:r>
    </w:p>
    <w:p w14:paraId="758F13C7" w14:textId="0FF5CFD5" w:rsidR="00D32A41" w:rsidRPr="00055EB3" w:rsidRDefault="00811E5F" w:rsidP="00047389">
      <w:pPr>
        <w:pStyle w:val="ListParagraph"/>
        <w:numPr>
          <w:ilvl w:val="0"/>
          <w:numId w:val="16"/>
        </w:numPr>
        <w:spacing w:line="276" w:lineRule="auto"/>
        <w:ind w:left="0" w:firstLine="0"/>
        <w:jc w:val="both"/>
        <w:rPr>
          <w:color w:val="000000"/>
          <w:lang w:val="en-GB"/>
        </w:rPr>
      </w:pPr>
      <w:r w:rsidRPr="00055EB3">
        <w:rPr>
          <w:color w:val="000000"/>
          <w:lang w:val="en-GB"/>
        </w:rPr>
        <w:t xml:space="preserve">Since the early 2000s, </w:t>
      </w:r>
      <w:r w:rsidRPr="00055EB3">
        <w:rPr>
          <w:lang w:val="en-GB"/>
        </w:rPr>
        <w:t>i</w:t>
      </w:r>
      <w:r w:rsidR="001E3DCE" w:rsidRPr="00055EB3">
        <w:rPr>
          <w:lang w:val="en-GB"/>
        </w:rPr>
        <w:t xml:space="preserve">nterventions have </w:t>
      </w:r>
      <w:r w:rsidRPr="00055EB3">
        <w:rPr>
          <w:lang w:val="en-GB"/>
        </w:rPr>
        <w:t>mostly</w:t>
      </w:r>
      <w:r w:rsidR="001E3DCE" w:rsidRPr="00055EB3">
        <w:rPr>
          <w:lang w:val="en-GB"/>
        </w:rPr>
        <w:t xml:space="preserve"> targeted local or opposition media outlets</w:t>
      </w:r>
      <w:r w:rsidRPr="00055EB3">
        <w:rPr>
          <w:lang w:val="en-GB"/>
        </w:rPr>
        <w:t xml:space="preserve">, though mainstream journalists have occasionally been affected. However, the </w:t>
      </w:r>
      <w:r w:rsidR="00D32A41" w:rsidRPr="00055EB3">
        <w:rPr>
          <w:lang w:val="en-GB"/>
        </w:rPr>
        <w:t xml:space="preserve">increasing </w:t>
      </w:r>
      <w:r w:rsidR="001E3DCE" w:rsidRPr="00055EB3">
        <w:rPr>
          <w:lang w:val="en-GB"/>
        </w:rPr>
        <w:t xml:space="preserve">monopolisation </w:t>
      </w:r>
      <w:r w:rsidR="00D32A41" w:rsidRPr="00055EB3">
        <w:rPr>
          <w:lang w:val="en-GB"/>
        </w:rPr>
        <w:t xml:space="preserve">of the media has led to fewer interventions against traditional media outlets. Today, public news organisations like </w:t>
      </w:r>
      <w:r w:rsidR="001E3DCE" w:rsidRPr="00055EB3">
        <w:rPr>
          <w:lang w:val="en-GB"/>
        </w:rPr>
        <w:t>Anadolu Agency and TRT</w:t>
      </w:r>
      <w:r w:rsidR="00D32A41" w:rsidRPr="00055EB3">
        <w:rPr>
          <w:lang w:val="en-GB"/>
        </w:rPr>
        <w:t xml:space="preserve"> are under direct government control, and according to </w:t>
      </w:r>
      <w:r w:rsidR="004756C7" w:rsidRPr="00055EB3">
        <w:rPr>
          <w:lang w:val="en-GB"/>
        </w:rPr>
        <w:t>bianet</w:t>
      </w:r>
      <w:r w:rsidR="00906A9A" w:rsidRPr="00055EB3">
        <w:rPr>
          <w:lang w:val="en-GB"/>
        </w:rPr>
        <w:t>’</w:t>
      </w:r>
      <w:r w:rsidR="001E3DCE" w:rsidRPr="00055EB3">
        <w:rPr>
          <w:lang w:val="en-GB"/>
        </w:rPr>
        <w:t>s Media Ownership Monitoring (MOM) database</w:t>
      </w:r>
      <w:r w:rsidR="00D32A41" w:rsidRPr="00055EB3">
        <w:rPr>
          <w:lang w:val="en-GB"/>
        </w:rPr>
        <w:t>, government-affiliated ow</w:t>
      </w:r>
      <w:r w:rsidR="00F87BA5" w:rsidRPr="00055EB3">
        <w:rPr>
          <w:lang w:val="en-GB"/>
        </w:rPr>
        <w:t>n</w:t>
      </w:r>
      <w:r w:rsidR="00827DB8" w:rsidRPr="00055EB3">
        <w:rPr>
          <w:lang w:val="en-GB"/>
        </w:rPr>
        <w:t>ers control</w:t>
      </w:r>
      <w:r w:rsidR="001E3DCE" w:rsidRPr="00055EB3">
        <w:rPr>
          <w:lang w:val="en-GB"/>
        </w:rPr>
        <w:t xml:space="preserve"> eight of the ten most widely read newspapers, seven of the ten most</w:t>
      </w:r>
      <w:r w:rsidR="00D32A41" w:rsidRPr="00055EB3">
        <w:rPr>
          <w:lang w:val="en-GB"/>
        </w:rPr>
        <w:t xml:space="preserve"> popular </w:t>
      </w:r>
      <w:r w:rsidR="001E3DCE" w:rsidRPr="00055EB3">
        <w:rPr>
          <w:lang w:val="en-GB"/>
        </w:rPr>
        <w:t xml:space="preserve">news portals, and nine of the ten most watched TV channels in Türkiye. </w:t>
      </w:r>
      <w:r w:rsidR="00D32A41" w:rsidRPr="00055EB3">
        <w:rPr>
          <w:lang w:val="en-GB"/>
        </w:rPr>
        <w:t xml:space="preserve">This monopolization is a key reason why </w:t>
      </w:r>
      <w:r w:rsidR="001E3DCE" w:rsidRPr="00055EB3">
        <w:rPr>
          <w:lang w:val="en-GB"/>
        </w:rPr>
        <w:t xml:space="preserve">critical news stories are </w:t>
      </w:r>
      <w:r w:rsidR="00827DB8" w:rsidRPr="00055EB3">
        <w:rPr>
          <w:lang w:val="en-GB"/>
        </w:rPr>
        <w:t>rarely covered</w:t>
      </w:r>
      <w:r w:rsidR="00D32A41" w:rsidRPr="00055EB3">
        <w:rPr>
          <w:lang w:val="en-GB"/>
        </w:rPr>
        <w:t xml:space="preserve"> in</w:t>
      </w:r>
      <w:r w:rsidR="001E3DCE" w:rsidRPr="00055EB3">
        <w:rPr>
          <w:lang w:val="en-GB"/>
        </w:rPr>
        <w:t xml:space="preserve"> mainstream media outlets. </w:t>
      </w:r>
      <w:r w:rsidR="00D32A41" w:rsidRPr="00055EB3">
        <w:rPr>
          <w:lang w:val="en-GB"/>
        </w:rPr>
        <w:t>Additionally, mainstream media outlets have shifted from being reliable news sources to becoming tools of disinformation and manipulation in the current landscape.</w:t>
      </w:r>
    </w:p>
    <w:p w14:paraId="490843F9" w14:textId="77777777" w:rsidR="00BB606F" w:rsidRPr="00055EB3" w:rsidRDefault="00BB606F" w:rsidP="00D32A41">
      <w:pPr>
        <w:pStyle w:val="ListParagraph"/>
        <w:spacing w:line="276" w:lineRule="auto"/>
        <w:ind w:left="0"/>
        <w:jc w:val="both"/>
        <w:rPr>
          <w:lang w:val="en-GB"/>
        </w:rPr>
      </w:pPr>
    </w:p>
    <w:p w14:paraId="7A48E02A" w14:textId="3D36F27F" w:rsidR="00531FDC" w:rsidRPr="00055EB3" w:rsidRDefault="00BF43F0" w:rsidP="00AE6EBE">
      <w:pPr>
        <w:pStyle w:val="Heading2"/>
        <w:spacing w:before="0" w:line="276" w:lineRule="auto"/>
        <w:rPr>
          <w:rFonts w:ascii="Times New Roman" w:hAnsi="Times New Roman" w:cs="Times New Roman"/>
          <w:b/>
          <w:color w:val="000000" w:themeColor="text1"/>
          <w:sz w:val="24"/>
          <w:szCs w:val="24"/>
          <w:lang w:val="en-GB"/>
        </w:rPr>
      </w:pPr>
      <w:bookmarkStart w:id="6" w:name="_Toc177388607"/>
      <w:r w:rsidRPr="00055EB3">
        <w:rPr>
          <w:rFonts w:ascii="Times New Roman" w:hAnsi="Times New Roman" w:cs="Times New Roman"/>
          <w:b/>
          <w:color w:val="000000" w:themeColor="text1"/>
          <w:sz w:val="24"/>
          <w:szCs w:val="24"/>
          <w:lang w:val="en-GB"/>
        </w:rPr>
        <w:t xml:space="preserve">B- </w:t>
      </w:r>
      <w:r w:rsidR="00531FDC" w:rsidRPr="00055EB3">
        <w:rPr>
          <w:rFonts w:ascii="Times New Roman" w:hAnsi="Times New Roman" w:cs="Times New Roman"/>
          <w:b/>
          <w:color w:val="000000" w:themeColor="text1"/>
          <w:sz w:val="24"/>
          <w:szCs w:val="24"/>
          <w:lang w:val="en-GB"/>
        </w:rPr>
        <w:t>Interventions Through Criminal Law</w:t>
      </w:r>
      <w:bookmarkEnd w:id="6"/>
    </w:p>
    <w:p w14:paraId="0001C65C" w14:textId="77777777" w:rsidR="00531FDC" w:rsidRPr="00055EB3" w:rsidRDefault="00531FDC" w:rsidP="00AE6EBE">
      <w:pPr>
        <w:pStyle w:val="Heading2"/>
        <w:spacing w:before="0" w:line="276" w:lineRule="auto"/>
        <w:rPr>
          <w:rFonts w:ascii="Times New Roman" w:hAnsi="Times New Roman" w:cs="Times New Roman"/>
          <w:b/>
          <w:color w:val="000000" w:themeColor="text1"/>
          <w:sz w:val="24"/>
          <w:szCs w:val="24"/>
          <w:lang w:val="en-GB"/>
        </w:rPr>
      </w:pPr>
    </w:p>
    <w:p w14:paraId="5853DCE7" w14:textId="6AB184EB" w:rsidR="00BF43F0" w:rsidRPr="00055EB3" w:rsidRDefault="00531FDC" w:rsidP="00AE6EBE">
      <w:pPr>
        <w:pStyle w:val="Heading3"/>
        <w:spacing w:before="0" w:beforeAutospacing="0" w:after="0" w:afterAutospacing="0" w:line="276" w:lineRule="auto"/>
        <w:rPr>
          <w:color w:val="000000" w:themeColor="text1"/>
          <w:sz w:val="24"/>
          <w:szCs w:val="24"/>
          <w:lang w:val="en-GB"/>
        </w:rPr>
      </w:pPr>
      <w:bookmarkStart w:id="7" w:name="_Toc177388608"/>
      <w:r w:rsidRPr="00055EB3">
        <w:rPr>
          <w:color w:val="000000" w:themeColor="text1"/>
          <w:sz w:val="24"/>
          <w:szCs w:val="24"/>
          <w:lang w:val="en-GB"/>
        </w:rPr>
        <w:t xml:space="preserve">1. </w:t>
      </w:r>
      <w:r w:rsidR="00BF43F0" w:rsidRPr="00055EB3">
        <w:rPr>
          <w:color w:val="000000" w:themeColor="text1"/>
          <w:sz w:val="24"/>
          <w:szCs w:val="24"/>
          <w:lang w:val="en-GB"/>
        </w:rPr>
        <w:t>Anti-Terrorism Law</w:t>
      </w:r>
      <w:bookmarkEnd w:id="7"/>
    </w:p>
    <w:p w14:paraId="22B86493" w14:textId="2F377A06" w:rsidR="00030A53" w:rsidRPr="00055EB3" w:rsidRDefault="00D32A41" w:rsidP="00047389">
      <w:pPr>
        <w:pStyle w:val="ListParagraph"/>
        <w:numPr>
          <w:ilvl w:val="0"/>
          <w:numId w:val="16"/>
        </w:numPr>
        <w:spacing w:line="276" w:lineRule="auto"/>
        <w:ind w:left="0" w:firstLine="0"/>
        <w:jc w:val="both"/>
        <w:rPr>
          <w:lang w:val="en-GB"/>
        </w:rPr>
      </w:pPr>
      <w:r w:rsidRPr="00055EB3">
        <w:rPr>
          <w:lang w:val="en-GB"/>
        </w:rPr>
        <w:t xml:space="preserve">In Türkiye, </w:t>
      </w:r>
      <w:r w:rsidR="00906A9A" w:rsidRPr="00055EB3">
        <w:rPr>
          <w:lang w:val="en-GB"/>
        </w:rPr>
        <w:t>“</w:t>
      </w:r>
      <w:r w:rsidRPr="00055EB3">
        <w:rPr>
          <w:lang w:val="en-GB"/>
        </w:rPr>
        <w:t>counter-terrorism</w:t>
      </w:r>
      <w:r w:rsidR="00906A9A" w:rsidRPr="00055EB3">
        <w:rPr>
          <w:lang w:val="en-GB"/>
        </w:rPr>
        <w:t>”</w:t>
      </w:r>
      <w:r w:rsidRPr="00055EB3">
        <w:rPr>
          <w:lang w:val="en-GB"/>
        </w:rPr>
        <w:t xml:space="preserve"> is the term most often used to limit freedom of expression. Public authorities interpret this concept as granting them unchecked power to restrict freedoms, disregarding legal limitations. In its 2012 </w:t>
      </w:r>
      <w:r w:rsidR="00F87BA5" w:rsidRPr="00055EB3">
        <w:rPr>
          <w:lang w:val="en-GB"/>
        </w:rPr>
        <w:t>C</w:t>
      </w:r>
      <w:r w:rsidRPr="00055EB3">
        <w:rPr>
          <w:lang w:val="en-GB"/>
        </w:rPr>
        <w:t xml:space="preserve">oncluding </w:t>
      </w:r>
      <w:r w:rsidR="00F87BA5" w:rsidRPr="00055EB3">
        <w:rPr>
          <w:lang w:val="en-GB"/>
        </w:rPr>
        <w:t>O</w:t>
      </w:r>
      <w:r w:rsidRPr="00055EB3">
        <w:rPr>
          <w:lang w:val="en-GB"/>
        </w:rPr>
        <w:t>bservations, the Committee raised concerns</w:t>
      </w:r>
      <w:r w:rsidR="00030A53" w:rsidRPr="00055EB3">
        <w:rPr>
          <w:rStyle w:val="FootnoteReference"/>
          <w:lang w:val="en-GB"/>
        </w:rPr>
        <w:footnoteReference w:id="19"/>
      </w:r>
      <w:r w:rsidRPr="00055EB3">
        <w:rPr>
          <w:lang w:val="en-GB"/>
        </w:rPr>
        <w:t xml:space="preserve"> about the Anti-Terrorism Law (ATL), particularly its vague definition of terrorist acts, restrictions on due process, and the frequent prosecution of human rights defenders, lawyers, journalists, and even children for expressing opinions—especially in discussions on the Kurdish issue. The Committee recommended reforms to address these concerns. In its 2021 List of Issues Prior to Reporting (LoIPR), the Committee asked for updates on the legal framework for counter-terrorism and whether these criticisms had been addressed</w:t>
      </w:r>
      <w:r w:rsidR="00030A53" w:rsidRPr="00055EB3">
        <w:rPr>
          <w:rStyle w:val="FootnoteReference"/>
          <w:lang w:val="en-GB"/>
        </w:rPr>
        <w:footnoteReference w:id="20"/>
      </w:r>
      <w:r w:rsidRPr="00055EB3">
        <w:rPr>
          <w:lang w:val="en-GB"/>
        </w:rPr>
        <w:t>.</w:t>
      </w:r>
    </w:p>
    <w:p w14:paraId="61DEB53E" w14:textId="54784003" w:rsidR="004F41B9" w:rsidRPr="00055EB3" w:rsidRDefault="004F41B9" w:rsidP="00047389">
      <w:pPr>
        <w:pStyle w:val="ListParagraph"/>
        <w:numPr>
          <w:ilvl w:val="0"/>
          <w:numId w:val="16"/>
        </w:numPr>
        <w:spacing w:line="276" w:lineRule="auto"/>
        <w:ind w:left="0" w:firstLine="0"/>
        <w:jc w:val="both"/>
        <w:rPr>
          <w:rFonts w:eastAsia="Times New Roman"/>
          <w:color w:val="000000"/>
          <w:lang w:val="en-GB" w:eastAsia="en-GB"/>
        </w:rPr>
      </w:pPr>
      <w:r w:rsidRPr="00055EB3">
        <w:rPr>
          <w:rFonts w:eastAsia="Times New Roman"/>
          <w:lang w:val="en-GB"/>
        </w:rPr>
        <w:t xml:space="preserve">The ATL has been amended by the Turkish government 38 times since </w:t>
      </w:r>
      <w:r w:rsidR="00030A53" w:rsidRPr="00055EB3">
        <w:rPr>
          <w:rFonts w:eastAsia="Times New Roman"/>
          <w:lang w:val="en-GB"/>
        </w:rPr>
        <w:t>2012</w:t>
      </w:r>
      <w:r w:rsidRPr="00055EB3">
        <w:rPr>
          <w:rFonts w:eastAsia="Times New Roman"/>
          <w:lang w:val="en-GB"/>
        </w:rPr>
        <w:t>.</w:t>
      </w:r>
      <w:r w:rsidR="005A4265" w:rsidRPr="00055EB3">
        <w:rPr>
          <w:rStyle w:val="FootnoteReference"/>
          <w:lang w:val="en-GB"/>
        </w:rPr>
        <w:footnoteReference w:id="21"/>
      </w:r>
      <w:r w:rsidR="00C024D8" w:rsidRPr="00055EB3">
        <w:rPr>
          <w:lang w:val="en-GB"/>
        </w:rPr>
        <w:t xml:space="preserve"> </w:t>
      </w:r>
      <w:r w:rsidRPr="00055EB3">
        <w:rPr>
          <w:rFonts w:eastAsia="Times New Roman"/>
          <w:lang w:val="en-GB"/>
        </w:rPr>
        <w:t>However, these amendments have not led to any positive change in practice or promoted freedom of expression, as stated in the State Party Report.</w:t>
      </w:r>
      <w:r w:rsidR="00715159" w:rsidRPr="00055EB3">
        <w:rPr>
          <w:rStyle w:val="FootnoteReference"/>
          <w:lang w:val="en-GB"/>
        </w:rPr>
        <w:footnoteReference w:id="22"/>
      </w:r>
      <w:r w:rsidR="00715159" w:rsidRPr="00055EB3">
        <w:rPr>
          <w:lang w:val="en-GB"/>
        </w:rPr>
        <w:t xml:space="preserve"> </w:t>
      </w:r>
      <w:r w:rsidR="00030A53" w:rsidRPr="00055EB3">
        <w:rPr>
          <w:lang w:val="en-GB"/>
        </w:rPr>
        <w:t xml:space="preserve">Many of these amendments </w:t>
      </w:r>
      <w:r w:rsidRPr="00055EB3">
        <w:rPr>
          <w:lang w:val="en-GB"/>
        </w:rPr>
        <w:t xml:space="preserve">occurred </w:t>
      </w:r>
      <w:r w:rsidR="00030A53" w:rsidRPr="00055EB3">
        <w:rPr>
          <w:lang w:val="en-GB"/>
        </w:rPr>
        <w:t>around the</w:t>
      </w:r>
      <w:r w:rsidRPr="00055EB3">
        <w:rPr>
          <w:lang w:val="en-GB"/>
        </w:rPr>
        <w:t xml:space="preserve"> state of emergency from 2016 to 2018</w:t>
      </w:r>
      <w:r w:rsidR="00030A53" w:rsidRPr="00055EB3">
        <w:rPr>
          <w:lang w:val="en-GB"/>
        </w:rPr>
        <w:t xml:space="preserve">, </w:t>
      </w:r>
      <w:r w:rsidR="00873834" w:rsidRPr="00055EB3">
        <w:rPr>
          <w:lang w:val="en-GB"/>
        </w:rPr>
        <w:t>suggesting that</w:t>
      </w:r>
      <w:r w:rsidR="00030A53" w:rsidRPr="00055EB3">
        <w:rPr>
          <w:lang w:val="en-GB"/>
        </w:rPr>
        <w:t xml:space="preserve"> the restrictive approach to counter-terrorism continued even outside emergency periods. </w:t>
      </w:r>
      <w:r w:rsidRPr="00055EB3">
        <w:rPr>
          <w:lang w:val="en-GB"/>
        </w:rPr>
        <w:t xml:space="preserve"> Terrorism-related offences continue to violate other rights</w:t>
      </w:r>
      <w:r w:rsidR="00030A53" w:rsidRPr="00055EB3">
        <w:rPr>
          <w:lang w:val="en-GB"/>
        </w:rPr>
        <w:t xml:space="preserve"> protected by the Covenant</w:t>
      </w:r>
      <w:r w:rsidRPr="00055EB3">
        <w:rPr>
          <w:lang w:val="en-GB"/>
        </w:rPr>
        <w:t>, and investigations and prosecutions under the Anti-Terrorism Law persist unchanged.</w:t>
      </w:r>
      <w:r w:rsidR="00030A53" w:rsidRPr="00055EB3">
        <w:rPr>
          <w:lang w:val="en-GB"/>
        </w:rPr>
        <w:t xml:space="preserve"> T</w:t>
      </w:r>
      <w:r w:rsidRPr="00055EB3">
        <w:rPr>
          <w:lang w:val="en-GB"/>
        </w:rPr>
        <w:t xml:space="preserve">he definition of terrorism </w:t>
      </w:r>
      <w:r w:rsidR="00030A53" w:rsidRPr="00055EB3">
        <w:rPr>
          <w:lang w:val="en-GB"/>
        </w:rPr>
        <w:t xml:space="preserve">is still vague, contradicting </w:t>
      </w:r>
      <w:r w:rsidR="00165CE4" w:rsidRPr="00055EB3">
        <w:rPr>
          <w:lang w:val="en-GB"/>
        </w:rPr>
        <w:t>Türkiye</w:t>
      </w:r>
      <w:r w:rsidR="00906A9A" w:rsidRPr="00055EB3">
        <w:rPr>
          <w:lang w:val="en-GB"/>
        </w:rPr>
        <w:t>’</w:t>
      </w:r>
      <w:r w:rsidRPr="00055EB3">
        <w:rPr>
          <w:lang w:val="en-GB"/>
        </w:rPr>
        <w:t xml:space="preserve">s </w:t>
      </w:r>
      <w:r w:rsidR="00030A53" w:rsidRPr="00055EB3">
        <w:rPr>
          <w:lang w:val="en-GB"/>
        </w:rPr>
        <w:t>claim</w:t>
      </w:r>
      <w:r w:rsidRPr="00055EB3">
        <w:rPr>
          <w:lang w:val="en-GB"/>
        </w:rPr>
        <w:t xml:space="preserve"> that the procedures for </w:t>
      </w:r>
      <w:r w:rsidR="00030A53" w:rsidRPr="00055EB3">
        <w:rPr>
          <w:lang w:val="en-GB"/>
        </w:rPr>
        <w:t xml:space="preserve">handling </w:t>
      </w:r>
      <w:r w:rsidRPr="00055EB3">
        <w:rPr>
          <w:lang w:val="en-GB"/>
        </w:rPr>
        <w:t xml:space="preserve">terrorist crimes are </w:t>
      </w:r>
      <w:r w:rsidRPr="00055EB3">
        <w:rPr>
          <w:lang w:val="en-GB"/>
        </w:rPr>
        <w:lastRenderedPageBreak/>
        <w:t xml:space="preserve">clear, </w:t>
      </w:r>
      <w:r w:rsidR="00030A53" w:rsidRPr="00055EB3">
        <w:rPr>
          <w:lang w:val="en-GB"/>
        </w:rPr>
        <w:t>understandable</w:t>
      </w:r>
      <w:r w:rsidRPr="00055EB3">
        <w:rPr>
          <w:lang w:val="en-GB"/>
        </w:rPr>
        <w:t xml:space="preserve"> </w:t>
      </w:r>
      <w:r w:rsidR="00030A53" w:rsidRPr="00055EB3">
        <w:rPr>
          <w:lang w:val="en-GB"/>
        </w:rPr>
        <w:t>and</w:t>
      </w:r>
      <w:r w:rsidR="008A62EC" w:rsidRPr="00055EB3">
        <w:rPr>
          <w:lang w:val="en-GB"/>
        </w:rPr>
        <w:t xml:space="preserve"> </w:t>
      </w:r>
      <w:r w:rsidRPr="00055EB3">
        <w:rPr>
          <w:lang w:val="en-GB"/>
        </w:rPr>
        <w:t>consistent with the Constitution and ICCPR</w:t>
      </w:r>
      <w:r w:rsidRPr="00055EB3">
        <w:rPr>
          <w:rStyle w:val="FootnoteReference"/>
          <w:lang w:val="en-GB"/>
        </w:rPr>
        <w:footnoteReference w:id="23"/>
      </w:r>
      <w:r w:rsidR="00030A53" w:rsidRPr="00055EB3">
        <w:rPr>
          <w:lang w:val="en-GB"/>
        </w:rPr>
        <w:t xml:space="preserve">. </w:t>
      </w:r>
      <w:r w:rsidRPr="00055EB3">
        <w:rPr>
          <w:lang w:val="en-GB"/>
        </w:rPr>
        <w:t xml:space="preserve"> </w:t>
      </w:r>
      <w:r w:rsidR="00030A53" w:rsidRPr="00055EB3">
        <w:rPr>
          <w:rFonts w:eastAsia="Times New Roman"/>
          <w:color w:val="000000"/>
          <w:lang w:val="en-GB" w:eastAsia="en-GB"/>
        </w:rPr>
        <w:t>The evidence shows this assertion is inaccurate.</w:t>
      </w:r>
    </w:p>
    <w:p w14:paraId="708AF3D8" w14:textId="1A6F33F0" w:rsidR="009824AA" w:rsidRPr="00055EB3" w:rsidRDefault="00020776" w:rsidP="00047389">
      <w:pPr>
        <w:pStyle w:val="ListParagraph"/>
        <w:numPr>
          <w:ilvl w:val="0"/>
          <w:numId w:val="16"/>
        </w:numPr>
        <w:spacing w:line="276" w:lineRule="auto"/>
        <w:ind w:left="0" w:firstLine="0"/>
        <w:jc w:val="both"/>
        <w:rPr>
          <w:lang w:val="en-GB"/>
        </w:rPr>
      </w:pPr>
      <w:r w:rsidRPr="00055EB3">
        <w:rPr>
          <w:lang w:val="en-GB"/>
        </w:rPr>
        <w:t>The</w:t>
      </w:r>
      <w:r w:rsidR="00F87BA5" w:rsidRPr="00055EB3">
        <w:rPr>
          <w:lang w:val="en-GB"/>
        </w:rPr>
        <w:t xml:space="preserve"> </w:t>
      </w:r>
      <w:r w:rsidR="009824AA" w:rsidRPr="00055EB3">
        <w:rPr>
          <w:lang w:val="en-GB"/>
        </w:rPr>
        <w:t>broad</w:t>
      </w:r>
      <w:r w:rsidRPr="00055EB3">
        <w:rPr>
          <w:lang w:val="en-GB"/>
        </w:rPr>
        <w:t xml:space="preserve"> application of Art</w:t>
      </w:r>
      <w:r w:rsidR="00066658" w:rsidRPr="00055EB3">
        <w:rPr>
          <w:lang w:val="en-GB"/>
        </w:rPr>
        <w:t>s.</w:t>
      </w:r>
      <w:r w:rsidRPr="00055EB3">
        <w:rPr>
          <w:lang w:val="en-GB"/>
        </w:rPr>
        <w:t xml:space="preserve"> 6 and 7 of ATL</w:t>
      </w:r>
      <w:r w:rsidRPr="00055EB3">
        <w:rPr>
          <w:rStyle w:val="FootnoteReference"/>
          <w:lang w:val="en-GB"/>
        </w:rPr>
        <w:footnoteReference w:id="24"/>
      </w:r>
      <w:r w:rsidRPr="00055EB3">
        <w:rPr>
          <w:lang w:val="en-GB"/>
        </w:rPr>
        <w:t xml:space="preserve"> </w:t>
      </w:r>
      <w:r w:rsidR="009824AA" w:rsidRPr="00055EB3">
        <w:rPr>
          <w:lang w:val="en-GB"/>
        </w:rPr>
        <w:t>has</w:t>
      </w:r>
      <w:r w:rsidRPr="00055EB3">
        <w:rPr>
          <w:lang w:val="en-GB"/>
        </w:rPr>
        <w:t xml:space="preserve"> not improved</w:t>
      </w:r>
      <w:r w:rsidR="009824AA" w:rsidRPr="00055EB3">
        <w:rPr>
          <w:lang w:val="en-GB"/>
        </w:rPr>
        <w:t xml:space="preserve">, despite </w:t>
      </w:r>
      <w:r w:rsidRPr="00055EB3">
        <w:rPr>
          <w:lang w:val="en-GB"/>
        </w:rPr>
        <w:t>Türkiye</w:t>
      </w:r>
      <w:r w:rsidR="00906A9A" w:rsidRPr="00055EB3">
        <w:rPr>
          <w:lang w:val="en-GB"/>
        </w:rPr>
        <w:t>’</w:t>
      </w:r>
      <w:r w:rsidRPr="00055EB3">
        <w:rPr>
          <w:lang w:val="en-GB"/>
        </w:rPr>
        <w:t xml:space="preserve">s claims of </w:t>
      </w:r>
      <w:r w:rsidR="009824AA" w:rsidRPr="00055EB3">
        <w:rPr>
          <w:lang w:val="en-GB"/>
        </w:rPr>
        <w:t xml:space="preserve">making significant amendments to align </w:t>
      </w:r>
      <w:r w:rsidRPr="00055EB3">
        <w:rPr>
          <w:lang w:val="en-GB"/>
        </w:rPr>
        <w:t xml:space="preserve">with </w:t>
      </w:r>
      <w:r w:rsidR="009824AA" w:rsidRPr="00055EB3">
        <w:rPr>
          <w:lang w:val="en-GB"/>
        </w:rPr>
        <w:t xml:space="preserve">the </w:t>
      </w:r>
      <w:r w:rsidRPr="00055EB3">
        <w:rPr>
          <w:lang w:val="en-GB"/>
        </w:rPr>
        <w:t xml:space="preserve">ECtHR standards and </w:t>
      </w:r>
      <w:r w:rsidR="009824AA" w:rsidRPr="00055EB3">
        <w:rPr>
          <w:lang w:val="en-GB"/>
        </w:rPr>
        <w:t xml:space="preserve">enhance </w:t>
      </w:r>
      <w:r w:rsidRPr="00055EB3">
        <w:rPr>
          <w:lang w:val="en-GB"/>
        </w:rPr>
        <w:t>freedom of expression</w:t>
      </w:r>
      <w:r w:rsidR="009824AA" w:rsidRPr="00055EB3">
        <w:rPr>
          <w:lang w:val="en-GB"/>
        </w:rPr>
        <w:t xml:space="preserve"> Similarly, the </w:t>
      </w:r>
      <w:r w:rsidRPr="00055EB3">
        <w:rPr>
          <w:lang w:val="en-GB"/>
        </w:rPr>
        <w:t>amendment to Art. 286 of the Criminal Procedure Code</w:t>
      </w:r>
      <w:r w:rsidRPr="00055EB3">
        <w:rPr>
          <w:rStyle w:val="FootnoteReference"/>
          <w:lang w:val="en-GB"/>
        </w:rPr>
        <w:footnoteReference w:id="25"/>
      </w:r>
      <w:r w:rsidRPr="00055EB3">
        <w:rPr>
          <w:lang w:val="en-GB"/>
        </w:rPr>
        <w:t xml:space="preserve"> does </w:t>
      </w:r>
      <w:r w:rsidR="009824AA" w:rsidRPr="00055EB3">
        <w:rPr>
          <w:lang w:val="en-GB"/>
        </w:rPr>
        <w:t xml:space="preserve">nothing to advance </w:t>
      </w:r>
      <w:r w:rsidRPr="00055EB3">
        <w:rPr>
          <w:lang w:val="en-GB"/>
        </w:rPr>
        <w:t xml:space="preserve">freedom of expression. </w:t>
      </w:r>
      <w:r w:rsidR="00030A53" w:rsidRPr="00055EB3">
        <w:rPr>
          <w:lang w:val="en-GB"/>
        </w:rPr>
        <w:t>This change is minimal and only allows the Court of Cassation to review first-instance court judgments for specific offenses after an appeal, without any real impact on protecting freedom of speech.</w:t>
      </w:r>
    </w:p>
    <w:p w14:paraId="5D393CF3" w14:textId="2AF85792" w:rsidR="0082068A" w:rsidRPr="00055EB3" w:rsidRDefault="00C07F2B" w:rsidP="00047389">
      <w:pPr>
        <w:pStyle w:val="ListParagraph"/>
        <w:numPr>
          <w:ilvl w:val="0"/>
          <w:numId w:val="16"/>
        </w:numPr>
        <w:spacing w:line="276" w:lineRule="auto"/>
        <w:ind w:left="0" w:firstLine="0"/>
        <w:jc w:val="both"/>
        <w:rPr>
          <w:rFonts w:eastAsia="Times New Roman"/>
          <w:color w:val="000000"/>
          <w:lang w:val="en-GB" w:eastAsia="en-GB"/>
        </w:rPr>
      </w:pPr>
      <w:r w:rsidRPr="00055EB3">
        <w:rPr>
          <w:rFonts w:eastAsia="Times New Roman"/>
          <w:color w:val="000000"/>
          <w:lang w:val="en-GB" w:eastAsia="en-GB"/>
        </w:rPr>
        <w:t xml:space="preserve">The most frequently cited regulation related to freedom of expression is Article 7/2 of the Anti-Terrorism Law (ATL), which covers </w:t>
      </w:r>
      <w:r w:rsidR="00906A9A" w:rsidRPr="00055EB3">
        <w:rPr>
          <w:rFonts w:eastAsia="Times New Roman"/>
          <w:color w:val="000000"/>
          <w:lang w:val="en-GB" w:eastAsia="en-GB"/>
        </w:rPr>
        <w:t>“</w:t>
      </w:r>
      <w:r w:rsidRPr="00055EB3">
        <w:rPr>
          <w:rFonts w:eastAsia="Times New Roman"/>
          <w:color w:val="000000"/>
          <w:lang w:val="en-GB" w:eastAsia="en-GB"/>
        </w:rPr>
        <w:t>propaganda for terror organizations.</w:t>
      </w:r>
      <w:r w:rsidR="00906A9A" w:rsidRPr="00055EB3">
        <w:rPr>
          <w:rFonts w:eastAsia="Times New Roman"/>
          <w:color w:val="000000"/>
          <w:lang w:val="en-GB" w:eastAsia="en-GB"/>
        </w:rPr>
        <w:t>”</w:t>
      </w:r>
      <w:r w:rsidRPr="00055EB3">
        <w:rPr>
          <w:rFonts w:eastAsia="Times New Roman"/>
          <w:color w:val="000000"/>
          <w:lang w:val="en-GB" w:eastAsia="en-GB"/>
        </w:rPr>
        <w:t xml:space="preserve"> </w:t>
      </w:r>
      <w:r w:rsidR="00135114" w:rsidRPr="00055EB3">
        <w:rPr>
          <w:lang w:val="en-GB"/>
        </w:rPr>
        <w:t xml:space="preserve">The terms </w:t>
      </w:r>
      <w:r w:rsidR="00906A9A" w:rsidRPr="00055EB3">
        <w:rPr>
          <w:lang w:val="en-GB"/>
        </w:rPr>
        <w:t>“</w:t>
      </w:r>
      <w:r w:rsidR="00135114" w:rsidRPr="00055EB3">
        <w:rPr>
          <w:lang w:val="en-GB"/>
        </w:rPr>
        <w:t>justifying</w:t>
      </w:r>
      <w:r w:rsidR="00906A9A" w:rsidRPr="00055EB3">
        <w:rPr>
          <w:lang w:val="en-GB"/>
        </w:rPr>
        <w:t>”</w:t>
      </w:r>
      <w:r w:rsidR="00135114" w:rsidRPr="00055EB3">
        <w:rPr>
          <w:lang w:val="en-GB"/>
        </w:rPr>
        <w:t xml:space="preserve">, </w:t>
      </w:r>
      <w:r w:rsidR="00906A9A" w:rsidRPr="00055EB3">
        <w:rPr>
          <w:lang w:val="en-GB"/>
        </w:rPr>
        <w:t>“</w:t>
      </w:r>
      <w:r w:rsidR="00135114" w:rsidRPr="00055EB3">
        <w:rPr>
          <w:lang w:val="en-GB"/>
        </w:rPr>
        <w:t>praising</w:t>
      </w:r>
      <w:r w:rsidR="00906A9A" w:rsidRPr="00055EB3">
        <w:rPr>
          <w:lang w:val="en-GB"/>
        </w:rPr>
        <w:t>”</w:t>
      </w:r>
      <w:r w:rsidR="00135114" w:rsidRPr="00055EB3">
        <w:rPr>
          <w:lang w:val="en-GB"/>
        </w:rPr>
        <w:t xml:space="preserve"> and </w:t>
      </w:r>
      <w:r w:rsidR="00906A9A" w:rsidRPr="00055EB3">
        <w:rPr>
          <w:lang w:val="en-GB"/>
        </w:rPr>
        <w:t>“</w:t>
      </w:r>
      <w:r w:rsidR="00135114" w:rsidRPr="00055EB3">
        <w:rPr>
          <w:lang w:val="en-GB"/>
        </w:rPr>
        <w:t>encouraging</w:t>
      </w:r>
      <w:r w:rsidR="00906A9A" w:rsidRPr="00055EB3">
        <w:rPr>
          <w:lang w:val="en-GB"/>
        </w:rPr>
        <w:t>”</w:t>
      </w:r>
      <w:r w:rsidR="00135114" w:rsidRPr="00055EB3">
        <w:rPr>
          <w:lang w:val="en-GB"/>
        </w:rPr>
        <w:t xml:space="preserve"> </w:t>
      </w:r>
      <w:r w:rsidRPr="00055EB3">
        <w:rPr>
          <w:lang w:val="en-GB"/>
        </w:rPr>
        <w:t xml:space="preserve">used </w:t>
      </w:r>
      <w:r w:rsidR="00135114" w:rsidRPr="00055EB3">
        <w:rPr>
          <w:lang w:val="en-GB"/>
        </w:rPr>
        <w:t xml:space="preserve">in the article are </w:t>
      </w:r>
      <w:r w:rsidRPr="00055EB3">
        <w:rPr>
          <w:lang w:val="en-GB"/>
        </w:rPr>
        <w:t xml:space="preserve">vague, making it easy </w:t>
      </w:r>
      <w:r w:rsidRPr="00055EB3">
        <w:rPr>
          <w:rFonts w:eastAsia="Times New Roman"/>
          <w:color w:val="000000"/>
          <w:lang w:val="en-GB" w:eastAsia="en-GB"/>
        </w:rPr>
        <w:t>for any expression, even if arbitrary, to be investigated as propaganda for a terror organization. This ambiguity allows for convictions based on such claims, even when there is no intent to promote terrorism. As a result, this regulation has become a key legal tool for restricting freedom of expression.</w:t>
      </w:r>
    </w:p>
    <w:p w14:paraId="49726B95" w14:textId="4538F2A1" w:rsidR="00845C96" w:rsidRPr="00055EB3" w:rsidRDefault="00873834" w:rsidP="00047389">
      <w:pPr>
        <w:pStyle w:val="ListParagraph"/>
        <w:numPr>
          <w:ilvl w:val="0"/>
          <w:numId w:val="16"/>
        </w:numPr>
        <w:spacing w:line="276" w:lineRule="auto"/>
        <w:ind w:left="0" w:firstLine="0"/>
        <w:jc w:val="both"/>
        <w:rPr>
          <w:lang w:val="en-GB"/>
        </w:rPr>
      </w:pPr>
      <w:r w:rsidRPr="00055EB3">
        <w:rPr>
          <w:lang w:val="en-GB"/>
        </w:rPr>
        <w:t xml:space="preserve">Due to the lack of distinct data collection by the State on the application of Art. 7/2 of the ATL by the state, it is difficult to provide detailed information on how it is enforced. </w:t>
      </w:r>
      <w:r w:rsidR="00C07F2B" w:rsidRPr="00055EB3">
        <w:rPr>
          <w:lang w:val="en-GB"/>
        </w:rPr>
        <w:t>However</w:t>
      </w:r>
      <w:r w:rsidR="00845C96" w:rsidRPr="00055EB3">
        <w:rPr>
          <w:lang w:val="en-GB"/>
        </w:rPr>
        <w:t xml:space="preserve">, a substantial portion of </w:t>
      </w:r>
      <w:r w:rsidR="00C07F2B" w:rsidRPr="00055EB3">
        <w:rPr>
          <w:lang w:val="en-GB"/>
        </w:rPr>
        <w:t>the cases involve charges</w:t>
      </w:r>
      <w:r w:rsidR="00845C96" w:rsidRPr="00055EB3">
        <w:rPr>
          <w:lang w:val="en-GB"/>
        </w:rPr>
        <w:t xml:space="preserve"> of terrorist propaganda, </w:t>
      </w:r>
      <w:r w:rsidR="00C07F2B" w:rsidRPr="00055EB3">
        <w:rPr>
          <w:lang w:val="en-GB"/>
        </w:rPr>
        <w:t>making it one of the most frequently cited articles</w:t>
      </w:r>
      <w:r w:rsidR="00845C96" w:rsidRPr="00055EB3">
        <w:rPr>
          <w:lang w:val="en-GB"/>
        </w:rPr>
        <w:t>.</w:t>
      </w:r>
      <w:r w:rsidR="003B62BC" w:rsidRPr="00055EB3">
        <w:rPr>
          <w:rStyle w:val="FootnoteReference"/>
          <w:lang w:val="en-GB"/>
        </w:rPr>
        <w:t xml:space="preserve"> </w:t>
      </w:r>
      <w:r w:rsidR="003B62BC" w:rsidRPr="00055EB3">
        <w:rPr>
          <w:rStyle w:val="FootnoteReference"/>
          <w:lang w:val="en-GB"/>
        </w:rPr>
        <w:footnoteReference w:id="26"/>
      </w:r>
      <w:r w:rsidR="00845C96" w:rsidRPr="00055EB3">
        <w:rPr>
          <w:lang w:val="en-GB"/>
        </w:rPr>
        <w:t xml:space="preserve"> The </w:t>
      </w:r>
      <w:r w:rsidR="00C07F2B" w:rsidRPr="00055EB3">
        <w:rPr>
          <w:lang w:val="en-GB"/>
        </w:rPr>
        <w:t xml:space="preserve">available </w:t>
      </w:r>
      <w:r w:rsidR="00845C96" w:rsidRPr="00055EB3">
        <w:rPr>
          <w:lang w:val="en-GB"/>
        </w:rPr>
        <w:t>figures suggest that the Turkish government</w:t>
      </w:r>
      <w:r w:rsidR="00906A9A" w:rsidRPr="00055EB3">
        <w:rPr>
          <w:lang w:val="en-GB"/>
        </w:rPr>
        <w:t>’</w:t>
      </w:r>
      <w:r w:rsidR="00845C96" w:rsidRPr="00055EB3">
        <w:rPr>
          <w:lang w:val="en-GB"/>
        </w:rPr>
        <w:t xml:space="preserve">s amendments to the law in 2013 and 2019 had </w:t>
      </w:r>
      <w:r w:rsidR="00C07F2B" w:rsidRPr="00055EB3">
        <w:rPr>
          <w:lang w:val="en-GB"/>
        </w:rPr>
        <w:t>little to no practical effect</w:t>
      </w:r>
      <w:r w:rsidR="00F87BA5" w:rsidRPr="00055EB3">
        <w:rPr>
          <w:lang w:val="en-GB"/>
        </w:rPr>
        <w:t>s</w:t>
      </w:r>
      <w:r w:rsidR="00C07F2B" w:rsidRPr="00055EB3">
        <w:rPr>
          <w:lang w:val="en-GB"/>
        </w:rPr>
        <w:t xml:space="preserve"> in reducing the use of this article.</w:t>
      </w:r>
    </w:p>
    <w:p w14:paraId="3709DC59" w14:textId="77777777" w:rsidR="00DC15CB" w:rsidRPr="00055EB3" w:rsidRDefault="00DC15CB" w:rsidP="00AE6EBE">
      <w:pPr>
        <w:pStyle w:val="ListParagraph"/>
        <w:spacing w:line="276" w:lineRule="auto"/>
        <w:ind w:left="0"/>
        <w:jc w:val="both"/>
        <w:rPr>
          <w:i/>
          <w:lang w:val="en-GB"/>
        </w:rPr>
      </w:pPr>
    </w:p>
    <w:p w14:paraId="0C8CA8ED" w14:textId="10D0F95D" w:rsidR="00C6145E" w:rsidRPr="00055EB3" w:rsidRDefault="00CA734D" w:rsidP="00873834">
      <w:pPr>
        <w:pStyle w:val="ListParagraph"/>
        <w:spacing w:line="276" w:lineRule="auto"/>
        <w:ind w:left="0"/>
        <w:jc w:val="center"/>
        <w:rPr>
          <w:lang w:val="en-GB"/>
        </w:rPr>
      </w:pPr>
      <w:r w:rsidRPr="00055EB3">
        <w:rPr>
          <w:noProof/>
        </w:rPr>
        <w:drawing>
          <wp:inline distT="0" distB="0" distL="0" distR="0" wp14:anchorId="3BFB1929" wp14:editId="1DE63E5C">
            <wp:extent cx="5486400" cy="3200400"/>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3400424" w14:textId="77777777" w:rsidR="00B5627C" w:rsidRPr="00055EB3" w:rsidRDefault="00B5627C" w:rsidP="00AE6EBE">
      <w:pPr>
        <w:pStyle w:val="ListParagraph"/>
        <w:spacing w:line="276" w:lineRule="auto"/>
        <w:ind w:left="0"/>
        <w:jc w:val="both"/>
        <w:rPr>
          <w:b/>
          <w:lang w:val="en-GB"/>
        </w:rPr>
      </w:pPr>
    </w:p>
    <w:p w14:paraId="5229D1F8" w14:textId="37451326" w:rsidR="00531FDC" w:rsidRPr="00055EB3" w:rsidRDefault="00531FDC" w:rsidP="00AE6EBE">
      <w:pPr>
        <w:pStyle w:val="Heading3"/>
        <w:spacing w:before="0" w:beforeAutospacing="0" w:after="0" w:afterAutospacing="0" w:line="276" w:lineRule="auto"/>
        <w:rPr>
          <w:lang w:val="en-GB"/>
        </w:rPr>
      </w:pPr>
      <w:bookmarkStart w:id="8" w:name="_Toc177388609"/>
      <w:r w:rsidRPr="00055EB3">
        <w:rPr>
          <w:lang w:val="en-GB"/>
        </w:rPr>
        <w:lastRenderedPageBreak/>
        <w:t>2. Defamation and Other Related Offences</w:t>
      </w:r>
      <w:bookmarkEnd w:id="8"/>
    </w:p>
    <w:p w14:paraId="0B44E896" w14:textId="31D18292" w:rsidR="00827DB8" w:rsidRPr="00055EB3" w:rsidRDefault="00491453" w:rsidP="00827DB8">
      <w:pPr>
        <w:pStyle w:val="ListParagraph"/>
        <w:numPr>
          <w:ilvl w:val="0"/>
          <w:numId w:val="16"/>
        </w:numPr>
        <w:spacing w:line="276" w:lineRule="auto"/>
        <w:ind w:left="0" w:firstLine="0"/>
        <w:jc w:val="both"/>
        <w:rPr>
          <w:lang w:val="en-GB"/>
        </w:rPr>
      </w:pPr>
      <w:r w:rsidRPr="00055EB3">
        <w:rPr>
          <w:lang w:val="en-GB"/>
        </w:rPr>
        <w:t xml:space="preserve">Defamation and other related offences </w:t>
      </w:r>
      <w:r w:rsidR="007C48D8" w:rsidRPr="00055EB3">
        <w:rPr>
          <w:lang w:val="en-GB"/>
        </w:rPr>
        <w:t xml:space="preserve">are a common way freedom of expression is restricted in Türkiye. </w:t>
      </w:r>
      <w:r w:rsidRPr="00055EB3">
        <w:rPr>
          <w:lang w:val="en-GB"/>
        </w:rPr>
        <w:t xml:space="preserve"> Defamation is a criminal offence, as stipulated in Art</w:t>
      </w:r>
      <w:r w:rsidR="00066658" w:rsidRPr="00055EB3">
        <w:rPr>
          <w:lang w:val="en-GB"/>
        </w:rPr>
        <w:t xml:space="preserve">. </w:t>
      </w:r>
      <w:r w:rsidRPr="00055EB3">
        <w:rPr>
          <w:lang w:val="en-GB"/>
        </w:rPr>
        <w:t xml:space="preserve">125 of the Turkish Criminal Code (TCC). </w:t>
      </w:r>
      <w:r w:rsidR="007C48D8" w:rsidRPr="00055EB3">
        <w:rPr>
          <w:lang w:val="en-GB"/>
        </w:rPr>
        <w:t xml:space="preserve">If the insult involves a public official during their duties, the sentence is increased, with a minimum penalty of one year in prison. The state does not collect specific data on insult crimes, making it difficult to </w:t>
      </w:r>
      <w:r w:rsidR="00827DB8" w:rsidRPr="00055EB3">
        <w:rPr>
          <w:lang w:val="en-GB"/>
        </w:rPr>
        <w:t>analyse</w:t>
      </w:r>
      <w:r w:rsidR="007C48D8" w:rsidRPr="00055EB3">
        <w:rPr>
          <w:lang w:val="en-GB"/>
        </w:rPr>
        <w:t xml:space="preserve"> how often media outlets and journalists are targeted under Article 125. However, investigations and prosecutions for insult have steadily increased. As of 2022, the Ministry of Justice has stopped publishing detailed data on these offenses, making it impossible to access current information. Despite this, the BİA Media Monitoring Reports show that criminal lawsuits for insult, as well as claims for damages against media outlets and journalists, continue to play a major role in limiting freedom of expression.</w:t>
      </w:r>
    </w:p>
    <w:p w14:paraId="7E23B29E" w14:textId="77777777" w:rsidR="00827DB8" w:rsidRPr="00055EB3" w:rsidRDefault="00827DB8" w:rsidP="00827DB8">
      <w:pPr>
        <w:pStyle w:val="ListParagraph"/>
        <w:rPr>
          <w:lang w:val="en-GB"/>
        </w:rPr>
      </w:pPr>
    </w:p>
    <w:p w14:paraId="043EAB3B" w14:textId="6D9B694D" w:rsidR="00383481" w:rsidRPr="00055EB3" w:rsidRDefault="00383481" w:rsidP="00873834">
      <w:pPr>
        <w:jc w:val="center"/>
        <w:rPr>
          <w:lang w:val="en-GB"/>
        </w:rPr>
      </w:pPr>
      <w:r w:rsidRPr="00055EB3">
        <w:rPr>
          <w:noProof/>
        </w:rPr>
        <w:drawing>
          <wp:inline distT="0" distB="0" distL="0" distR="0" wp14:anchorId="541FF3BC" wp14:editId="1AEF37B7">
            <wp:extent cx="5806618" cy="2920365"/>
            <wp:effectExtent l="0" t="0" r="10160" b="63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FDB7135" w14:textId="77777777" w:rsidR="00E24F8B" w:rsidRPr="00055EB3" w:rsidRDefault="00E24F8B" w:rsidP="00AE6EBE">
      <w:pPr>
        <w:spacing w:line="276" w:lineRule="auto"/>
        <w:jc w:val="both"/>
        <w:rPr>
          <w:lang w:val="en-GB"/>
        </w:rPr>
      </w:pPr>
    </w:p>
    <w:p w14:paraId="732FE562" w14:textId="31176CF1" w:rsidR="007C48D8" w:rsidRPr="00055EB3" w:rsidRDefault="007C48D8" w:rsidP="008A62EC">
      <w:pPr>
        <w:pStyle w:val="ListParagraph"/>
        <w:numPr>
          <w:ilvl w:val="0"/>
          <w:numId w:val="16"/>
        </w:numPr>
        <w:spacing w:line="276" w:lineRule="auto"/>
        <w:ind w:left="0" w:firstLine="0"/>
        <w:jc w:val="both"/>
        <w:rPr>
          <w:rFonts w:eastAsia="Times New Roman"/>
          <w:color w:val="000000"/>
          <w:lang w:val="en-GB" w:eastAsia="en-GB"/>
        </w:rPr>
      </w:pPr>
      <w:r w:rsidRPr="00055EB3">
        <w:rPr>
          <w:rFonts w:eastAsia="Times New Roman"/>
          <w:color w:val="000000"/>
          <w:lang w:val="en-GB" w:eastAsia="en-GB"/>
        </w:rPr>
        <w:t xml:space="preserve">In the context of freedom of expression, media outlets and journalists often face charges under Article 301 of the Turkish Criminal Code (TCC), previously Article 159, which criminalizes </w:t>
      </w:r>
      <w:r w:rsidR="00906A9A" w:rsidRPr="00055EB3">
        <w:rPr>
          <w:rFonts w:eastAsia="Times New Roman"/>
          <w:color w:val="000000"/>
          <w:lang w:val="en-GB" w:eastAsia="en-GB"/>
        </w:rPr>
        <w:t>“</w:t>
      </w:r>
      <w:r w:rsidRPr="00055EB3">
        <w:rPr>
          <w:rFonts w:eastAsia="Times New Roman"/>
          <w:color w:val="000000"/>
          <w:lang w:val="en-GB" w:eastAsia="en-GB"/>
        </w:rPr>
        <w:t>degrading the Turkish nation, the state, and its institutions.</w:t>
      </w:r>
      <w:r w:rsidR="00906A9A" w:rsidRPr="00055EB3">
        <w:rPr>
          <w:rFonts w:eastAsia="Times New Roman"/>
          <w:color w:val="000000"/>
          <w:lang w:val="en-GB" w:eastAsia="en-GB"/>
        </w:rPr>
        <w:t>”</w:t>
      </w:r>
      <w:r w:rsidRPr="00055EB3">
        <w:rPr>
          <w:rFonts w:eastAsia="Times New Roman"/>
          <w:color w:val="000000"/>
          <w:lang w:val="en-GB" w:eastAsia="en-GB"/>
        </w:rPr>
        <w:t xml:space="preserve"> This article gained attention when it was used against Hrant Dink, the Chief Editor of *Agos* Newspaper, shortly before his assassination in 2007. After his death, the article was revised in 2008, and prosecutions temporarily decreased. In the same year, the European Court of Human Rights (ECtHR) ruled that the mere existence of Article 301 violated freedom of expression, as it did not meet the legal standard of predictability</w:t>
      </w:r>
      <w:r w:rsidRPr="00055EB3">
        <w:rPr>
          <w:rStyle w:val="FootnoteReference"/>
          <w:lang w:val="en-GB"/>
        </w:rPr>
        <w:footnoteReference w:id="27"/>
      </w:r>
      <w:r w:rsidRPr="00055EB3">
        <w:rPr>
          <w:rFonts w:eastAsia="Times New Roman"/>
          <w:color w:val="000000"/>
          <w:lang w:val="en-GB" w:eastAsia="en-GB"/>
        </w:rPr>
        <w:t xml:space="preserve">. Following this, the Ministry of Justice began overseeing prosecutions under this article, and authorizations for such cases gradually decreased. By 2013, the number of people on trial dropped to 145, with only 10 convictions. However, from 2014 onwards, prosecutions surged, with investigations reaching nearly ten times the levels of 2009. Despite four amendments to Article 301 over the past two decades, these changes have had little effect on easing restrictions on media and journalists. Like Articles 125 and 216 of the TCC, BİA Media Monitoring Reports indicate that lawsuits filed under </w:t>
      </w:r>
      <w:r w:rsidRPr="00055EB3">
        <w:rPr>
          <w:rFonts w:eastAsia="Times New Roman"/>
          <w:color w:val="000000"/>
          <w:lang w:val="en-GB" w:eastAsia="en-GB"/>
        </w:rPr>
        <w:lastRenderedPageBreak/>
        <w:t>Article 301 continue and have become a more prominent tool for restricting freedom of expression.</w:t>
      </w:r>
    </w:p>
    <w:p w14:paraId="764A3A1B" w14:textId="77777777" w:rsidR="00F73174" w:rsidRPr="00055EB3" w:rsidRDefault="00F73174" w:rsidP="00F73174">
      <w:pPr>
        <w:rPr>
          <w:rFonts w:eastAsia="Times New Roman"/>
          <w:color w:val="000000"/>
          <w:lang w:val="en-GB" w:eastAsia="en-GB"/>
        </w:rPr>
      </w:pPr>
    </w:p>
    <w:p w14:paraId="2897CA6F" w14:textId="77777777" w:rsidR="00F73174" w:rsidRPr="00055EB3" w:rsidRDefault="00F73174" w:rsidP="00F73174">
      <w:pPr>
        <w:rPr>
          <w:rFonts w:eastAsia="Times New Roman"/>
          <w:color w:val="000000"/>
          <w:lang w:val="en-GB" w:eastAsia="en-GB"/>
        </w:rPr>
      </w:pPr>
    </w:p>
    <w:p w14:paraId="3192B874" w14:textId="16D93E89" w:rsidR="00F73174" w:rsidRPr="00055EB3" w:rsidRDefault="00F73174" w:rsidP="00F73174">
      <w:pPr>
        <w:rPr>
          <w:rFonts w:eastAsia="Times New Roman"/>
          <w:color w:val="000000"/>
          <w:lang w:val="en-GB" w:eastAsia="en-GB"/>
        </w:rPr>
      </w:pPr>
      <w:r w:rsidRPr="00055EB3">
        <w:rPr>
          <w:b/>
          <w:noProof/>
          <w:color w:val="000000" w:themeColor="text1"/>
        </w:rPr>
        <w:drawing>
          <wp:inline distT="0" distB="0" distL="0" distR="0" wp14:anchorId="2740D81A" wp14:editId="7DAF181C">
            <wp:extent cx="5486400" cy="3200400"/>
            <wp:effectExtent l="0" t="0" r="0" b="0"/>
            <wp:docPr id="1957698330"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A49C43" w14:textId="77777777" w:rsidR="00F73174" w:rsidRPr="00055EB3" w:rsidRDefault="00F73174" w:rsidP="00F73174">
      <w:pPr>
        <w:rPr>
          <w:rFonts w:eastAsia="Times New Roman"/>
          <w:color w:val="000000"/>
          <w:lang w:val="en-GB" w:eastAsia="en-GB"/>
        </w:rPr>
      </w:pPr>
    </w:p>
    <w:p w14:paraId="5DC8AB48" w14:textId="77777777" w:rsidR="00F73174" w:rsidRPr="00055EB3" w:rsidRDefault="00F73174" w:rsidP="00F73174">
      <w:pPr>
        <w:rPr>
          <w:rFonts w:eastAsia="Times New Roman"/>
          <w:color w:val="000000"/>
          <w:lang w:val="en-GB" w:eastAsia="en-GB"/>
        </w:rPr>
      </w:pPr>
    </w:p>
    <w:p w14:paraId="3F2ACC95" w14:textId="208104D5" w:rsidR="00FE4744" w:rsidRPr="00055EB3" w:rsidRDefault="007C48D8" w:rsidP="00047389">
      <w:pPr>
        <w:pStyle w:val="ListParagraph"/>
        <w:numPr>
          <w:ilvl w:val="0"/>
          <w:numId w:val="16"/>
        </w:numPr>
        <w:spacing w:line="276" w:lineRule="auto"/>
        <w:ind w:left="0" w:firstLine="0"/>
        <w:jc w:val="both"/>
        <w:rPr>
          <w:rFonts w:eastAsia="Times New Roman"/>
          <w:color w:val="000000"/>
          <w:lang w:val="en-GB" w:eastAsia="en-GB"/>
        </w:rPr>
      </w:pPr>
      <w:r w:rsidRPr="00055EB3">
        <w:rPr>
          <w:lang w:val="en-GB"/>
        </w:rPr>
        <w:t>Over the past eight years, the offence of insulting the President, outlined in Art. 299 of the TCC, has become the most frequently used regulation affecting f</w:t>
      </w:r>
      <w:r w:rsidR="008A62EC" w:rsidRPr="00055EB3">
        <w:rPr>
          <w:lang w:val="en-GB"/>
        </w:rPr>
        <w:t xml:space="preserve">reedom of expression. Although the Constitutional Court </w:t>
      </w:r>
      <w:r w:rsidRPr="00055EB3">
        <w:rPr>
          <w:lang w:val="en-GB"/>
        </w:rPr>
        <w:t>ruled this article to be in line with the Constitution,</w:t>
      </w:r>
      <w:r w:rsidRPr="00055EB3">
        <w:rPr>
          <w:rStyle w:val="FootnoteReference"/>
          <w:lang w:val="en-GB"/>
        </w:rPr>
        <w:footnoteReference w:id="28"/>
      </w:r>
      <w:r w:rsidR="008A62EC" w:rsidRPr="00055EB3">
        <w:rPr>
          <w:lang w:val="en-GB"/>
        </w:rPr>
        <w:t xml:space="preserve"> it remains one of the most </w:t>
      </w:r>
      <w:r w:rsidRPr="00055EB3">
        <w:rPr>
          <w:lang w:val="en-GB"/>
        </w:rPr>
        <w:t>severely criticised laws both in Türkiye and by the international community.</w:t>
      </w:r>
      <w:r w:rsidRPr="00055EB3">
        <w:rPr>
          <w:rStyle w:val="FootnoteReference"/>
          <w:lang w:val="en-GB"/>
        </w:rPr>
        <w:footnoteReference w:id="29"/>
      </w:r>
      <w:r w:rsidRPr="00055EB3">
        <w:rPr>
          <w:lang w:val="en-GB"/>
        </w:rPr>
        <w:t xml:space="preserve"> Recently, the ECtHR</w:t>
      </w:r>
      <w:r w:rsidRPr="00055EB3">
        <w:rPr>
          <w:rStyle w:val="FootnoteReference"/>
          <w:lang w:val="en-GB"/>
        </w:rPr>
        <w:footnoteReference w:id="30"/>
      </w:r>
      <w:r w:rsidRPr="00055EB3">
        <w:rPr>
          <w:lang w:val="en-GB"/>
        </w:rPr>
        <w:t xml:space="preserve"> and the Constitutional Court</w:t>
      </w:r>
      <w:r w:rsidRPr="00055EB3">
        <w:rPr>
          <w:rStyle w:val="FootnoteReference"/>
          <w:lang w:val="en-GB"/>
        </w:rPr>
        <w:footnoteReference w:id="31"/>
      </w:r>
      <w:r w:rsidRPr="00055EB3">
        <w:rPr>
          <w:lang w:val="en-GB"/>
        </w:rPr>
        <w:t xml:space="preserve"> have ruled that its application in cert</w:t>
      </w:r>
      <w:r w:rsidR="00F73174" w:rsidRPr="00055EB3">
        <w:rPr>
          <w:lang w:val="en-GB"/>
        </w:rPr>
        <w:t>ain cases</w:t>
      </w:r>
      <w:r w:rsidRPr="00055EB3">
        <w:rPr>
          <w:lang w:val="en-GB"/>
        </w:rPr>
        <w:t xml:space="preserve"> violated freedom of expression. </w:t>
      </w:r>
      <w:r w:rsidR="00F73174" w:rsidRPr="00055EB3">
        <w:rPr>
          <w:lang w:val="en-GB"/>
        </w:rPr>
        <w:t>Since 2014, the use of article 299 has significan</w:t>
      </w:r>
      <w:r w:rsidR="008A62EC" w:rsidRPr="00055EB3">
        <w:rPr>
          <w:lang w:val="en-GB"/>
        </w:rPr>
        <w:t>tly</w:t>
      </w:r>
      <w:r w:rsidR="00F73174" w:rsidRPr="00055EB3">
        <w:rPr>
          <w:lang w:val="en-GB"/>
        </w:rPr>
        <w:t xml:space="preserve">, making it one of the main barriers to free speech. </w:t>
      </w:r>
      <w:r w:rsidRPr="00055EB3">
        <w:rPr>
          <w:lang w:val="en-GB"/>
        </w:rPr>
        <w:t>In 2010, 455</w:t>
      </w:r>
      <w:r w:rsidR="00F73174" w:rsidRPr="00055EB3">
        <w:rPr>
          <w:lang w:val="en-GB"/>
        </w:rPr>
        <w:t xml:space="preserve"> people were investigated, and 29 were convicted under this article.</w:t>
      </w:r>
      <w:r w:rsidR="00F73174" w:rsidRPr="00055EB3">
        <w:rPr>
          <w:rFonts w:eastAsia="Times New Roman"/>
          <w:color w:val="000000"/>
          <w:lang w:val="en-GB" w:eastAsia="en-GB"/>
        </w:rPr>
        <w:t xml:space="preserve"> By 2019, these numbers had skyrocketed to 36,066 investigations and 3,831 convictions, and in 2020, there were 31,297 investigations and 3,325 convictions. </w:t>
      </w:r>
      <w:r w:rsidR="00F73174" w:rsidRPr="00055EB3">
        <w:rPr>
          <w:lang w:val="en-GB"/>
        </w:rPr>
        <w:t xml:space="preserve"> </w:t>
      </w:r>
      <w:r w:rsidRPr="00055EB3">
        <w:rPr>
          <w:lang w:val="en-GB"/>
        </w:rPr>
        <w:t xml:space="preserve"> With the sentences of Sedef Kabaş, Sabahattin Önkibar, and Mehmet Emin Kurnaz in 2022, the total number of journalists who have been sentenced to a prison sentence, a deferred prison sentence, or a monetary punishment for insulting the </w:t>
      </w:r>
      <w:r w:rsidR="00F87BA5" w:rsidRPr="00055EB3">
        <w:rPr>
          <w:lang w:val="en-GB"/>
        </w:rPr>
        <w:t>P</w:t>
      </w:r>
      <w:r w:rsidRPr="00055EB3">
        <w:rPr>
          <w:lang w:val="en-GB"/>
        </w:rPr>
        <w:t>resident since 2014 has reached 73.</w:t>
      </w:r>
      <w:r w:rsidRPr="00055EB3">
        <w:rPr>
          <w:rStyle w:val="FootnoteReference"/>
          <w:lang w:val="en-GB"/>
        </w:rPr>
        <w:footnoteReference w:id="32"/>
      </w:r>
      <w:r w:rsidRPr="00055EB3">
        <w:rPr>
          <w:lang w:val="en-GB"/>
        </w:rPr>
        <w:t xml:space="preserve"> </w:t>
      </w:r>
    </w:p>
    <w:p w14:paraId="7382CF43" w14:textId="79C7D3C4" w:rsidR="00531FDC" w:rsidRPr="00055EB3" w:rsidRDefault="00531FDC" w:rsidP="00AE6EBE">
      <w:pPr>
        <w:spacing w:line="276" w:lineRule="auto"/>
        <w:jc w:val="both"/>
        <w:rPr>
          <w:lang w:val="en-GB"/>
        </w:rPr>
      </w:pPr>
    </w:p>
    <w:p w14:paraId="1F0EBEDD" w14:textId="77777777" w:rsidR="00531FDC" w:rsidRPr="00055EB3" w:rsidRDefault="00531FDC" w:rsidP="00AE6EBE">
      <w:pPr>
        <w:spacing w:line="276" w:lineRule="auto"/>
        <w:jc w:val="both"/>
        <w:rPr>
          <w:lang w:val="en-GB"/>
        </w:rPr>
      </w:pPr>
    </w:p>
    <w:p w14:paraId="13BCE9F9" w14:textId="77777777" w:rsidR="00531FDC" w:rsidRPr="00055EB3" w:rsidRDefault="00531FDC" w:rsidP="00AE6EBE">
      <w:pPr>
        <w:spacing w:line="276" w:lineRule="auto"/>
        <w:jc w:val="both"/>
        <w:rPr>
          <w:lang w:val="en-GB"/>
        </w:rPr>
      </w:pPr>
      <w:r w:rsidRPr="00055EB3">
        <w:rPr>
          <w:b/>
          <w:noProof/>
          <w:color w:val="000000" w:themeColor="text1"/>
        </w:rPr>
        <w:lastRenderedPageBreak/>
        <w:drawing>
          <wp:inline distT="0" distB="0" distL="0" distR="0" wp14:anchorId="5C96EBAE" wp14:editId="386B31BD">
            <wp:extent cx="5577017" cy="3200400"/>
            <wp:effectExtent l="0" t="0" r="11430" b="1270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5C700A8" w14:textId="77777777" w:rsidR="00531FDC" w:rsidRPr="00055EB3" w:rsidRDefault="00531FDC" w:rsidP="00AE6EBE">
      <w:pPr>
        <w:spacing w:line="276" w:lineRule="auto"/>
        <w:jc w:val="both"/>
        <w:rPr>
          <w:lang w:val="en-GB"/>
        </w:rPr>
      </w:pPr>
    </w:p>
    <w:p w14:paraId="7B9E6DDD" w14:textId="0970D7DF" w:rsidR="00531FDC" w:rsidRPr="00055EB3" w:rsidRDefault="00531FDC" w:rsidP="00AE6EBE">
      <w:pPr>
        <w:pStyle w:val="Heading3"/>
        <w:spacing w:before="0" w:beforeAutospacing="0" w:after="0" w:afterAutospacing="0" w:line="276" w:lineRule="auto"/>
        <w:rPr>
          <w:lang w:val="en-GB"/>
        </w:rPr>
      </w:pPr>
      <w:bookmarkStart w:id="9" w:name="_Toc177388610"/>
      <w:r w:rsidRPr="00055EB3">
        <w:rPr>
          <w:lang w:val="en-GB"/>
        </w:rPr>
        <w:t>3.</w:t>
      </w:r>
      <w:r w:rsidR="008B12C7" w:rsidRPr="00055EB3">
        <w:rPr>
          <w:lang w:val="en-GB"/>
        </w:rPr>
        <w:t xml:space="preserve"> Inci</w:t>
      </w:r>
      <w:r w:rsidRPr="00055EB3">
        <w:rPr>
          <w:lang w:val="en-GB"/>
        </w:rPr>
        <w:t>tement to Hatred</w:t>
      </w:r>
      <w:bookmarkEnd w:id="9"/>
    </w:p>
    <w:p w14:paraId="7C117459" w14:textId="29E77CAB" w:rsidR="008A62EC" w:rsidRPr="00055EB3" w:rsidRDefault="00A66499" w:rsidP="008A62EC">
      <w:pPr>
        <w:pStyle w:val="ListParagraph"/>
        <w:numPr>
          <w:ilvl w:val="0"/>
          <w:numId w:val="16"/>
        </w:numPr>
        <w:spacing w:line="276" w:lineRule="auto"/>
        <w:ind w:left="0" w:firstLine="0"/>
        <w:jc w:val="both"/>
        <w:rPr>
          <w:rFonts w:eastAsia="Times New Roman"/>
          <w:color w:val="000000"/>
          <w:lang w:val="en-GB" w:eastAsia="en-GB"/>
        </w:rPr>
      </w:pPr>
      <w:r w:rsidRPr="00055EB3">
        <w:rPr>
          <w:lang w:val="en-GB"/>
        </w:rPr>
        <w:t xml:space="preserve">For decades, Art. 312 of the former TCC and Art. 216 of the current TCC, which </w:t>
      </w:r>
      <w:r w:rsidR="00F73174" w:rsidRPr="00055EB3">
        <w:rPr>
          <w:lang w:val="en-GB"/>
        </w:rPr>
        <w:t>criminalize inciting enmity and</w:t>
      </w:r>
      <w:r w:rsidRPr="00055EB3">
        <w:rPr>
          <w:lang w:val="en-GB"/>
        </w:rPr>
        <w:t xml:space="preserve"> hostility among the public, have been </w:t>
      </w:r>
      <w:r w:rsidR="00F73174" w:rsidRPr="00055EB3">
        <w:rPr>
          <w:lang w:val="en-GB"/>
        </w:rPr>
        <w:t xml:space="preserve">key </w:t>
      </w:r>
      <w:r w:rsidRPr="00055EB3">
        <w:rPr>
          <w:lang w:val="en-GB"/>
        </w:rPr>
        <w:t xml:space="preserve">regulations that restrict freedom of expression. </w:t>
      </w:r>
      <w:r w:rsidR="00F73174" w:rsidRPr="00055EB3">
        <w:rPr>
          <w:rFonts w:eastAsia="Times New Roman"/>
          <w:color w:val="000000"/>
          <w:lang w:val="en-GB" w:eastAsia="en-GB"/>
        </w:rPr>
        <w:t>Initially, these laws were widely used, but their application gradually decreased, with only six convictions for this offense in 2011. Despite two amendments to the article over the past 20 years, the number of investigations and convictions surged after 2015. By 2020, the number of investigations was nearly 26 times higher than in 2009, and the number of convictions was almost 53 times higher than in 2011. These amendments have had little to no impact on improving the situation, and enforcement has worsened. Article 216 remains a major obstacle to free expression, with lawsuits related to inciting public hatred and hostility continuing to be a common issue, as reported by the BİA Media Monitoring Reports.</w:t>
      </w:r>
    </w:p>
    <w:p w14:paraId="4F31A2A1" w14:textId="6E3DD2A7" w:rsidR="00DF5155" w:rsidRPr="00055EB3" w:rsidRDefault="0081036E" w:rsidP="0081036E">
      <w:pPr>
        <w:pStyle w:val="ListParagraph"/>
        <w:spacing w:line="276" w:lineRule="auto"/>
        <w:ind w:left="0"/>
        <w:jc w:val="both"/>
        <w:rPr>
          <w:lang w:val="en-GB"/>
        </w:rPr>
      </w:pPr>
      <w:r w:rsidRPr="00055EB3">
        <w:rPr>
          <w:b/>
          <w:noProof/>
          <w:color w:val="000000" w:themeColor="text1"/>
          <w:lang w:val="en-GB"/>
        </w:rPr>
        <w:t xml:space="preserve"> </w:t>
      </w:r>
      <w:r w:rsidR="00DF5155" w:rsidRPr="00055EB3">
        <w:rPr>
          <w:b/>
          <w:noProof/>
          <w:color w:val="000000" w:themeColor="text1"/>
        </w:rPr>
        <w:drawing>
          <wp:inline distT="0" distB="0" distL="0" distR="0" wp14:anchorId="27C5CEB4" wp14:editId="7FB5C9F3">
            <wp:extent cx="5486400" cy="2849014"/>
            <wp:effectExtent l="0" t="0" r="0" b="2159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B174DA2" w14:textId="77777777" w:rsidR="00D830F6" w:rsidRPr="00055EB3" w:rsidRDefault="00D830F6" w:rsidP="00AE6EBE">
      <w:pPr>
        <w:spacing w:line="276" w:lineRule="auto"/>
        <w:jc w:val="both"/>
        <w:rPr>
          <w:lang w:val="en-GB"/>
        </w:rPr>
      </w:pPr>
    </w:p>
    <w:p w14:paraId="1E5373B3" w14:textId="36522567" w:rsidR="00316CB6" w:rsidRPr="00055EB3" w:rsidRDefault="008B12C7" w:rsidP="00AE6EBE">
      <w:pPr>
        <w:pStyle w:val="Heading3"/>
        <w:spacing w:before="0" w:beforeAutospacing="0" w:after="0" w:afterAutospacing="0" w:line="276" w:lineRule="auto"/>
        <w:rPr>
          <w:lang w:val="en-GB"/>
        </w:rPr>
      </w:pPr>
      <w:bookmarkStart w:id="10" w:name="_Toc177388611"/>
      <w:r w:rsidRPr="00055EB3">
        <w:rPr>
          <w:lang w:val="en-GB"/>
        </w:rPr>
        <w:t xml:space="preserve">4. </w:t>
      </w:r>
      <w:r w:rsidR="00906A9A" w:rsidRPr="00055EB3">
        <w:rPr>
          <w:lang w:val="en-GB"/>
        </w:rPr>
        <w:t>“</w:t>
      </w:r>
      <w:r w:rsidR="00316CB6" w:rsidRPr="00055EB3">
        <w:rPr>
          <w:lang w:val="en-GB"/>
        </w:rPr>
        <w:t>Disinformation Law</w:t>
      </w:r>
      <w:r w:rsidR="00906A9A" w:rsidRPr="00055EB3">
        <w:rPr>
          <w:lang w:val="en-GB"/>
        </w:rPr>
        <w:t>”</w:t>
      </w:r>
      <w:bookmarkEnd w:id="10"/>
    </w:p>
    <w:p w14:paraId="207269ED" w14:textId="628D24A3" w:rsidR="003A5527" w:rsidRPr="00055EB3" w:rsidRDefault="00F73174" w:rsidP="00047389">
      <w:pPr>
        <w:pStyle w:val="ListParagraph"/>
        <w:numPr>
          <w:ilvl w:val="0"/>
          <w:numId w:val="16"/>
        </w:numPr>
        <w:spacing w:line="276" w:lineRule="auto"/>
        <w:ind w:left="0" w:firstLine="0"/>
        <w:jc w:val="both"/>
        <w:rPr>
          <w:lang w:val="en-GB"/>
        </w:rPr>
      </w:pPr>
      <w:r w:rsidRPr="00055EB3">
        <w:rPr>
          <w:lang w:val="en-GB"/>
        </w:rPr>
        <w:t xml:space="preserve">In 2022, Türkiye increased its control over online reporting by introducing stricter measures against </w:t>
      </w:r>
      <w:r w:rsidR="00906A9A" w:rsidRPr="00055EB3">
        <w:rPr>
          <w:lang w:val="en-GB"/>
        </w:rPr>
        <w:t>“</w:t>
      </w:r>
      <w:r w:rsidRPr="00055EB3">
        <w:rPr>
          <w:lang w:val="en-GB"/>
        </w:rPr>
        <w:t>disinformation.</w:t>
      </w:r>
      <w:r w:rsidR="00906A9A" w:rsidRPr="00055EB3">
        <w:rPr>
          <w:lang w:val="en-GB"/>
        </w:rPr>
        <w:t>”</w:t>
      </w:r>
      <w:r w:rsidR="00180CE0" w:rsidRPr="00055EB3">
        <w:rPr>
          <w:rStyle w:val="FootnoteReference"/>
          <w:lang w:val="en-GB"/>
        </w:rPr>
        <w:footnoteReference w:id="33"/>
      </w:r>
      <w:r w:rsidR="00284A34" w:rsidRPr="00055EB3">
        <w:rPr>
          <w:lang w:val="en-GB"/>
        </w:rPr>
        <w:t xml:space="preserve"> </w:t>
      </w:r>
      <w:r w:rsidRPr="00055EB3">
        <w:rPr>
          <w:lang w:val="en-GB"/>
        </w:rPr>
        <w:t xml:space="preserve">Under the </w:t>
      </w:r>
      <w:r w:rsidR="00906A9A" w:rsidRPr="00055EB3">
        <w:rPr>
          <w:lang w:val="en-GB"/>
        </w:rPr>
        <w:t>“</w:t>
      </w:r>
      <w:r w:rsidRPr="00055EB3">
        <w:rPr>
          <w:lang w:val="en-GB"/>
        </w:rPr>
        <w:t>Law on the Amendment of the Press Law and Some Laws,</w:t>
      </w:r>
      <w:r w:rsidR="00906A9A" w:rsidRPr="00055EB3">
        <w:rPr>
          <w:lang w:val="en-GB"/>
        </w:rPr>
        <w:t>”</w:t>
      </w:r>
      <w:r w:rsidRPr="00055EB3">
        <w:rPr>
          <w:lang w:val="en-GB"/>
        </w:rPr>
        <w:t xml:space="preserve"> enacted in October 2022</w:t>
      </w:r>
      <w:r w:rsidR="00284A34" w:rsidRPr="00055EB3">
        <w:rPr>
          <w:rStyle w:val="FootnoteReference"/>
          <w:lang w:val="en-GB"/>
        </w:rPr>
        <w:footnoteReference w:id="34"/>
      </w:r>
      <w:r w:rsidR="00284A34" w:rsidRPr="00055EB3">
        <w:rPr>
          <w:lang w:val="en-GB"/>
        </w:rPr>
        <w:t>,</w:t>
      </w:r>
      <w:r w:rsidR="00180CE0" w:rsidRPr="00055EB3">
        <w:rPr>
          <w:lang w:val="en-GB"/>
        </w:rPr>
        <w:t xml:space="preserve"> </w:t>
      </w:r>
      <w:r w:rsidRPr="00055EB3">
        <w:rPr>
          <w:lang w:val="en-GB"/>
        </w:rPr>
        <w:t xml:space="preserve"> individuals who </w:t>
      </w:r>
      <w:r w:rsidR="00906A9A" w:rsidRPr="00055EB3">
        <w:rPr>
          <w:lang w:val="en-GB"/>
        </w:rPr>
        <w:t>“</w:t>
      </w:r>
      <w:r w:rsidRPr="00055EB3">
        <w:rPr>
          <w:lang w:val="en-GB"/>
        </w:rPr>
        <w:t>spread disinformation</w:t>
      </w:r>
      <w:r w:rsidR="00906A9A" w:rsidRPr="00055EB3">
        <w:rPr>
          <w:lang w:val="en-GB"/>
        </w:rPr>
        <w:t>”</w:t>
      </w:r>
      <w:r w:rsidRPr="00055EB3">
        <w:rPr>
          <w:lang w:val="en-GB"/>
        </w:rPr>
        <w:t xml:space="preserve"> now face up to three years in prison. The law uses vague terms like </w:t>
      </w:r>
      <w:r w:rsidR="00906A9A" w:rsidRPr="00055EB3">
        <w:rPr>
          <w:lang w:val="en-GB"/>
        </w:rPr>
        <w:t>“</w:t>
      </w:r>
      <w:r w:rsidRPr="00055EB3">
        <w:rPr>
          <w:lang w:val="en-GB"/>
        </w:rPr>
        <w:t>public order,</w:t>
      </w:r>
      <w:r w:rsidR="00906A9A" w:rsidRPr="00055EB3">
        <w:rPr>
          <w:lang w:val="en-GB"/>
        </w:rPr>
        <w:t>”</w:t>
      </w:r>
      <w:r w:rsidRPr="00055EB3">
        <w:rPr>
          <w:lang w:val="en-GB"/>
        </w:rPr>
        <w:t xml:space="preserve"> </w:t>
      </w:r>
      <w:r w:rsidR="00906A9A" w:rsidRPr="00055EB3">
        <w:rPr>
          <w:lang w:val="en-GB"/>
        </w:rPr>
        <w:t>“</w:t>
      </w:r>
      <w:r w:rsidRPr="00055EB3">
        <w:rPr>
          <w:lang w:val="en-GB"/>
        </w:rPr>
        <w:t>security,</w:t>
      </w:r>
      <w:r w:rsidR="00906A9A" w:rsidRPr="00055EB3">
        <w:rPr>
          <w:lang w:val="en-GB"/>
        </w:rPr>
        <w:t>”</w:t>
      </w:r>
      <w:r w:rsidRPr="00055EB3">
        <w:rPr>
          <w:lang w:val="en-GB"/>
        </w:rPr>
        <w:t xml:space="preserve"> and </w:t>
      </w:r>
      <w:r w:rsidR="00906A9A" w:rsidRPr="00055EB3">
        <w:rPr>
          <w:lang w:val="en-GB"/>
        </w:rPr>
        <w:t>“</w:t>
      </w:r>
      <w:r w:rsidRPr="00055EB3">
        <w:rPr>
          <w:lang w:val="en-GB"/>
        </w:rPr>
        <w:t>public peace,</w:t>
      </w:r>
      <w:r w:rsidR="00906A9A" w:rsidRPr="00055EB3">
        <w:rPr>
          <w:lang w:val="en-GB"/>
        </w:rPr>
        <w:t>”</w:t>
      </w:r>
      <w:r w:rsidRPr="00055EB3">
        <w:rPr>
          <w:lang w:val="en-GB"/>
        </w:rPr>
        <w:t xml:space="preserve"> which have already been used to target journalists in legal cases. This adds a new crime for the judiciary to consider, making the law highly vulnerable to manipulation by a judiciary that is influenced by political pressures and lacks independence.</w:t>
      </w:r>
    </w:p>
    <w:p w14:paraId="2F71AB93" w14:textId="15218D85" w:rsidR="002E08E1" w:rsidRPr="00055EB3" w:rsidRDefault="002E08E1" w:rsidP="00047389">
      <w:pPr>
        <w:pStyle w:val="ListParagraph"/>
        <w:numPr>
          <w:ilvl w:val="0"/>
          <w:numId w:val="16"/>
        </w:numPr>
        <w:spacing w:line="276" w:lineRule="auto"/>
        <w:ind w:left="0" w:firstLine="0"/>
        <w:jc w:val="both"/>
        <w:rPr>
          <w:lang w:val="en-GB"/>
        </w:rPr>
      </w:pPr>
      <w:r w:rsidRPr="00055EB3">
        <w:rPr>
          <w:lang w:val="en-GB"/>
        </w:rPr>
        <w:t xml:space="preserve">In 2023, </w:t>
      </w:r>
      <w:r w:rsidR="00906A9A" w:rsidRPr="00055EB3">
        <w:rPr>
          <w:lang w:val="en-GB"/>
        </w:rPr>
        <w:t>“</w:t>
      </w:r>
      <w:r w:rsidRPr="00055EB3">
        <w:rPr>
          <w:lang w:val="en-GB"/>
        </w:rPr>
        <w:t>disinformation</w:t>
      </w:r>
      <w:r w:rsidR="00906A9A" w:rsidRPr="00055EB3">
        <w:rPr>
          <w:lang w:val="en-GB"/>
        </w:rPr>
        <w:t>”</w:t>
      </w:r>
      <w:r w:rsidRPr="00055EB3">
        <w:rPr>
          <w:lang w:val="en-GB"/>
        </w:rPr>
        <w:t xml:space="preserve"> was employed as a justification for investigations and prosecutions of at least 33 journalists. Detention, investigation, or arrest were the consequences of allegations of </w:t>
      </w:r>
      <w:r w:rsidR="00906A9A" w:rsidRPr="00055EB3">
        <w:rPr>
          <w:lang w:val="en-GB"/>
        </w:rPr>
        <w:t>“</w:t>
      </w:r>
      <w:r w:rsidRPr="00055EB3">
        <w:rPr>
          <w:lang w:val="en-GB"/>
        </w:rPr>
        <w:t>publicly disseminating misleading information</w:t>
      </w:r>
      <w:r w:rsidR="00906A9A" w:rsidRPr="00055EB3">
        <w:rPr>
          <w:lang w:val="en-GB"/>
        </w:rPr>
        <w:t>”</w:t>
      </w:r>
      <w:r w:rsidRPr="00055EB3">
        <w:rPr>
          <w:lang w:val="en-GB"/>
        </w:rPr>
        <w:t xml:space="preserve"> against 16 journalists.</w:t>
      </w:r>
      <w:r w:rsidRPr="00055EB3">
        <w:rPr>
          <w:rStyle w:val="FootnoteReference"/>
          <w:lang w:val="en-GB"/>
        </w:rPr>
        <w:footnoteReference w:id="35"/>
      </w:r>
      <w:r w:rsidRPr="00055EB3">
        <w:rPr>
          <w:lang w:val="en-GB"/>
        </w:rPr>
        <w:t xml:space="preserve"> A total of 46 investigations were initiated against 40 journalists for disinformation between October 2022, when the law was adopted, and April 2024, according to </w:t>
      </w:r>
      <w:r w:rsidR="008A62EC" w:rsidRPr="00055EB3">
        <w:rPr>
          <w:lang w:val="en-GB"/>
        </w:rPr>
        <w:t xml:space="preserve">a </w:t>
      </w:r>
      <w:r w:rsidRPr="00055EB3">
        <w:rPr>
          <w:lang w:val="en-GB"/>
        </w:rPr>
        <w:t>report</w:t>
      </w:r>
      <w:r w:rsidR="008A62EC" w:rsidRPr="00055EB3">
        <w:rPr>
          <w:lang w:val="en-GB"/>
        </w:rPr>
        <w:t xml:space="preserve"> of </w:t>
      </w:r>
      <w:r w:rsidR="008A62EC" w:rsidRPr="00055EB3">
        <w:rPr>
          <w:szCs w:val="20"/>
          <w:lang w:val="en-GB"/>
        </w:rPr>
        <w:t>Journalists’ Union of Türkiye (TGS).</w:t>
      </w:r>
      <w:r w:rsidRPr="00055EB3">
        <w:rPr>
          <w:lang w:val="en-GB"/>
        </w:rPr>
        <w:t xml:space="preserve"> The investigations resulted in the filing of 14 lawsuits. Five of the cases ended in acquittal, while one resulted in a 10-month penitentiary sentence. The trial is currently underway in eight instances. Fourteen investigations were declared non-prosecution by the authorities, while 18 investigations are still ongoing. The investigations resulted in the arrest of four additional journalists and the detention of ten others.</w:t>
      </w:r>
      <w:r w:rsidRPr="00055EB3">
        <w:rPr>
          <w:rStyle w:val="FootnoteReference"/>
          <w:lang w:val="en-GB"/>
        </w:rPr>
        <w:footnoteReference w:id="36"/>
      </w:r>
    </w:p>
    <w:p w14:paraId="053EFC92" w14:textId="77777777" w:rsidR="008B12C7" w:rsidRPr="00055EB3" w:rsidRDefault="008B12C7" w:rsidP="00AE6EBE">
      <w:pPr>
        <w:spacing w:line="276" w:lineRule="auto"/>
        <w:jc w:val="both"/>
        <w:rPr>
          <w:lang w:val="en-GB"/>
        </w:rPr>
      </w:pPr>
    </w:p>
    <w:p w14:paraId="68596C87" w14:textId="7D7876C1" w:rsidR="008B12C7" w:rsidRPr="00055EB3" w:rsidRDefault="008B12C7" w:rsidP="00AE6EBE">
      <w:pPr>
        <w:pStyle w:val="Heading2"/>
        <w:spacing w:before="0" w:line="276" w:lineRule="auto"/>
        <w:rPr>
          <w:rFonts w:ascii="Times New Roman" w:hAnsi="Times New Roman" w:cs="Times New Roman"/>
          <w:b/>
          <w:color w:val="000000" w:themeColor="text1"/>
          <w:sz w:val="24"/>
          <w:szCs w:val="24"/>
          <w:lang w:val="en-GB"/>
        </w:rPr>
      </w:pPr>
      <w:bookmarkStart w:id="11" w:name="_Toc177388612"/>
      <w:r w:rsidRPr="00055EB3">
        <w:rPr>
          <w:rFonts w:ascii="Times New Roman" w:hAnsi="Times New Roman" w:cs="Times New Roman"/>
          <w:b/>
          <w:color w:val="000000" w:themeColor="text1"/>
          <w:sz w:val="24"/>
          <w:szCs w:val="24"/>
          <w:lang w:val="en-GB"/>
        </w:rPr>
        <w:t>C- Interventions of Executive and Administrative Bodies</w:t>
      </w:r>
      <w:bookmarkEnd w:id="11"/>
    </w:p>
    <w:p w14:paraId="189C6C2E" w14:textId="77777777" w:rsidR="007803E7" w:rsidRPr="00055EB3" w:rsidRDefault="007803E7" w:rsidP="00AE6EBE">
      <w:pPr>
        <w:spacing w:line="276" w:lineRule="auto"/>
        <w:jc w:val="both"/>
        <w:rPr>
          <w:lang w:val="en-GB"/>
        </w:rPr>
      </w:pPr>
    </w:p>
    <w:p w14:paraId="3D99983D" w14:textId="0F8CCB73" w:rsidR="007803E7" w:rsidRPr="00055EB3" w:rsidRDefault="007803E7" w:rsidP="00AE6EBE">
      <w:pPr>
        <w:pStyle w:val="Heading3"/>
        <w:spacing w:before="0" w:beforeAutospacing="0" w:after="0" w:afterAutospacing="0" w:line="276" w:lineRule="auto"/>
        <w:rPr>
          <w:sz w:val="24"/>
          <w:szCs w:val="24"/>
          <w:lang w:val="en-GB"/>
        </w:rPr>
      </w:pPr>
      <w:bookmarkStart w:id="12" w:name="_Toc177388613"/>
      <w:r w:rsidRPr="00055EB3">
        <w:rPr>
          <w:sz w:val="24"/>
          <w:szCs w:val="24"/>
          <w:lang w:val="en-GB"/>
        </w:rPr>
        <w:t>1. Radio and Television Broadcasting</w:t>
      </w:r>
      <w:bookmarkEnd w:id="12"/>
    </w:p>
    <w:p w14:paraId="470C58AE" w14:textId="5FB53463" w:rsidR="000477A2" w:rsidRPr="00055EB3" w:rsidRDefault="00305775" w:rsidP="00047389">
      <w:pPr>
        <w:pStyle w:val="ListParagraph"/>
        <w:numPr>
          <w:ilvl w:val="0"/>
          <w:numId w:val="16"/>
        </w:numPr>
        <w:spacing w:line="276" w:lineRule="auto"/>
        <w:ind w:left="0" w:firstLine="0"/>
        <w:jc w:val="both"/>
        <w:rPr>
          <w:lang w:val="en-GB"/>
        </w:rPr>
      </w:pPr>
      <w:r w:rsidRPr="00055EB3">
        <w:rPr>
          <w:lang w:val="en-GB"/>
        </w:rPr>
        <w:t xml:space="preserve">The Radio and Television Supreme Council (RTÜK) established in 1994 </w:t>
      </w:r>
      <w:r w:rsidR="00180CE0" w:rsidRPr="00055EB3">
        <w:rPr>
          <w:lang w:val="en-GB"/>
        </w:rPr>
        <w:t xml:space="preserve">and governed by </w:t>
      </w:r>
      <w:r w:rsidRPr="00055EB3">
        <w:rPr>
          <w:lang w:val="en-GB"/>
        </w:rPr>
        <w:t>the Law on the Establishment of Radio and Television Enterprises and Their Media Services</w:t>
      </w:r>
      <w:r w:rsidR="00180CE0" w:rsidRPr="00055EB3">
        <w:rPr>
          <w:lang w:val="en-GB"/>
        </w:rPr>
        <w:t>,</w:t>
      </w:r>
      <w:r w:rsidRPr="00055EB3">
        <w:rPr>
          <w:lang w:val="en-GB"/>
        </w:rPr>
        <w:t xml:space="preserve"> is </w:t>
      </w:r>
      <w:r w:rsidR="00180CE0" w:rsidRPr="00055EB3">
        <w:rPr>
          <w:lang w:val="en-GB"/>
        </w:rPr>
        <w:t>a key source</w:t>
      </w:r>
      <w:r w:rsidRPr="00055EB3">
        <w:rPr>
          <w:lang w:val="en-GB"/>
        </w:rPr>
        <w:t xml:space="preserve"> of violations of freedom of expression in radio and television broadcasting. </w:t>
      </w:r>
      <w:r w:rsidR="00180CE0" w:rsidRPr="00055EB3">
        <w:rPr>
          <w:lang w:val="en-GB"/>
        </w:rPr>
        <w:t>Since</w:t>
      </w:r>
      <w:r w:rsidR="000477A2" w:rsidRPr="00055EB3">
        <w:rPr>
          <w:lang w:val="en-GB"/>
        </w:rPr>
        <w:t xml:space="preserve"> the Grand National Assembly of Türkiye elects RTÜK</w:t>
      </w:r>
      <w:r w:rsidR="00180CE0" w:rsidRPr="00055EB3">
        <w:rPr>
          <w:lang w:val="en-GB"/>
        </w:rPr>
        <w:t xml:space="preserve"> members based on the </w:t>
      </w:r>
      <w:r w:rsidR="000477A2" w:rsidRPr="00055EB3">
        <w:rPr>
          <w:lang w:val="en-GB"/>
        </w:rPr>
        <w:t xml:space="preserve">political party </w:t>
      </w:r>
      <w:r w:rsidR="00180CE0" w:rsidRPr="00055EB3">
        <w:rPr>
          <w:lang w:val="en-GB"/>
        </w:rPr>
        <w:t>representation in Parli</w:t>
      </w:r>
      <w:r w:rsidR="008A62EC" w:rsidRPr="00055EB3">
        <w:rPr>
          <w:lang w:val="en-GB"/>
        </w:rPr>
        <w:t>ament,</w:t>
      </w:r>
      <w:r w:rsidR="00180CE0" w:rsidRPr="00055EB3">
        <w:rPr>
          <w:lang w:val="en-GB"/>
        </w:rPr>
        <w:t xml:space="preserve"> </w:t>
      </w:r>
      <w:r w:rsidR="000477A2" w:rsidRPr="00055EB3">
        <w:rPr>
          <w:lang w:val="en-GB"/>
        </w:rPr>
        <w:t xml:space="preserve">the number of nominees </w:t>
      </w:r>
      <w:r w:rsidR="00180CE0" w:rsidRPr="00055EB3">
        <w:rPr>
          <w:lang w:val="en-GB"/>
        </w:rPr>
        <w:t>depends on each party</w:t>
      </w:r>
      <w:r w:rsidR="00906A9A" w:rsidRPr="00055EB3">
        <w:rPr>
          <w:lang w:val="en-GB"/>
        </w:rPr>
        <w:t>’</w:t>
      </w:r>
      <w:r w:rsidR="00180CE0" w:rsidRPr="00055EB3">
        <w:rPr>
          <w:lang w:val="en-GB"/>
        </w:rPr>
        <w:t>s seats.</w:t>
      </w:r>
      <w:r w:rsidR="000477A2" w:rsidRPr="00055EB3">
        <w:rPr>
          <w:lang w:val="en-GB"/>
        </w:rPr>
        <w:t xml:space="preserve"> </w:t>
      </w:r>
      <w:r w:rsidR="00180CE0" w:rsidRPr="00055EB3">
        <w:rPr>
          <w:lang w:val="en-GB"/>
        </w:rPr>
        <w:t>This election process compromises the independence of RTÜK, leading to biased regulation.</w:t>
      </w:r>
    </w:p>
    <w:p w14:paraId="48425F79" w14:textId="4BF493F1" w:rsidR="00305775" w:rsidRPr="00055EB3" w:rsidRDefault="00F63360" w:rsidP="00047389">
      <w:pPr>
        <w:pStyle w:val="ListParagraph"/>
        <w:numPr>
          <w:ilvl w:val="0"/>
          <w:numId w:val="16"/>
        </w:numPr>
        <w:spacing w:line="276" w:lineRule="auto"/>
        <w:ind w:left="0" w:firstLine="0"/>
        <w:jc w:val="both"/>
        <w:rPr>
          <w:lang w:val="en-GB"/>
        </w:rPr>
      </w:pPr>
      <w:r w:rsidRPr="00055EB3">
        <w:rPr>
          <w:lang w:val="en-GB"/>
        </w:rPr>
        <w:t xml:space="preserve">RTÜK </w:t>
      </w:r>
      <w:r w:rsidR="00180CE0" w:rsidRPr="00055EB3">
        <w:rPr>
          <w:lang w:val="en-GB"/>
        </w:rPr>
        <w:t>has the authority</w:t>
      </w:r>
      <w:r w:rsidRPr="00055EB3">
        <w:rPr>
          <w:lang w:val="en-GB"/>
        </w:rPr>
        <w:t xml:space="preserve"> to impose sanctions</w:t>
      </w:r>
      <w:r w:rsidR="00180CE0" w:rsidRPr="00055EB3">
        <w:rPr>
          <w:lang w:val="en-GB"/>
        </w:rPr>
        <w:t xml:space="preserve"> on radio and television channels</w:t>
      </w:r>
      <w:r w:rsidRPr="00055EB3">
        <w:rPr>
          <w:lang w:val="en-GB"/>
        </w:rPr>
        <w:t xml:space="preserve">, </w:t>
      </w:r>
      <w:r w:rsidR="00180CE0" w:rsidRPr="00055EB3">
        <w:rPr>
          <w:lang w:val="en-GB"/>
        </w:rPr>
        <w:t xml:space="preserve">such as issuing administrative fines, stopping programs, suspending broadcasts, requesting a </w:t>
      </w:r>
      <w:r w:rsidR="008A62EC" w:rsidRPr="00055EB3">
        <w:rPr>
          <w:lang w:val="en-GB"/>
        </w:rPr>
        <w:t>defence</w:t>
      </w:r>
      <w:r w:rsidR="00180CE0" w:rsidRPr="00055EB3">
        <w:rPr>
          <w:lang w:val="en-GB"/>
        </w:rPr>
        <w:t>, and issuing warnings, as per the law. While RTÜK reports do not provide comprehensive details on these sanctions, information on them can be found in BİA Media Monitoring Reports. Over the past two decades, a consistent pattern of RTÜK restricting freedom of expression has been observed.</w:t>
      </w:r>
    </w:p>
    <w:p w14:paraId="355582FE" w14:textId="77777777" w:rsidR="00305775" w:rsidRPr="00055EB3" w:rsidRDefault="00305775" w:rsidP="00AE6EBE">
      <w:pPr>
        <w:spacing w:line="276" w:lineRule="auto"/>
        <w:jc w:val="both"/>
        <w:rPr>
          <w:lang w:val="en-GB"/>
        </w:rPr>
      </w:pPr>
    </w:p>
    <w:p w14:paraId="2C8F228A" w14:textId="77777777" w:rsidR="00305775" w:rsidRPr="00055EB3" w:rsidRDefault="00305775" w:rsidP="00AE6EBE">
      <w:pPr>
        <w:spacing w:line="276" w:lineRule="auto"/>
        <w:jc w:val="both"/>
        <w:rPr>
          <w:lang w:val="en-GB"/>
        </w:rPr>
      </w:pPr>
      <w:r w:rsidRPr="00055EB3">
        <w:rPr>
          <w:b/>
          <w:noProof/>
          <w:color w:val="000000" w:themeColor="text1"/>
        </w:rPr>
        <w:drawing>
          <wp:inline distT="0" distB="0" distL="0" distR="0" wp14:anchorId="3C56379A" wp14:editId="51E9D1A0">
            <wp:extent cx="5486400" cy="2879090"/>
            <wp:effectExtent l="0" t="0" r="0" b="1651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A2CE0ED" w14:textId="77777777" w:rsidR="00305775" w:rsidRPr="00055EB3" w:rsidRDefault="00305775" w:rsidP="00AE6EBE">
      <w:pPr>
        <w:spacing w:line="276" w:lineRule="auto"/>
        <w:jc w:val="both"/>
        <w:rPr>
          <w:lang w:val="en-GB"/>
        </w:rPr>
      </w:pPr>
    </w:p>
    <w:p w14:paraId="267B3760" w14:textId="52A6AEA0" w:rsidR="00B91307" w:rsidRPr="00055EB3" w:rsidRDefault="00B91307" w:rsidP="00047389">
      <w:pPr>
        <w:pStyle w:val="ListParagraph"/>
        <w:numPr>
          <w:ilvl w:val="0"/>
          <w:numId w:val="16"/>
        </w:numPr>
        <w:spacing w:line="276" w:lineRule="auto"/>
        <w:ind w:left="0" w:firstLine="0"/>
        <w:jc w:val="both"/>
        <w:rPr>
          <w:lang w:val="en-GB"/>
        </w:rPr>
      </w:pPr>
      <w:r w:rsidRPr="00055EB3">
        <w:rPr>
          <w:lang w:val="en-GB"/>
        </w:rPr>
        <w:t>RTÜK is also responsible for inspecting the compliance of broadcasting bans imposed by various agencies and judicial bodies. According to the data gathered from RTÜK Annual Reports, 944 broadcasting bans were issued for a variety of reasons over the past 12 years.</w:t>
      </w:r>
      <w:r w:rsidRPr="00055EB3">
        <w:rPr>
          <w:rStyle w:val="FootnoteReference"/>
          <w:lang w:val="en-GB"/>
        </w:rPr>
        <w:footnoteReference w:id="37"/>
      </w:r>
      <w:r w:rsidRPr="00055EB3">
        <w:rPr>
          <w:lang w:val="en-GB"/>
        </w:rPr>
        <w:t xml:space="preserve"> It appears that the number of broadcasting bans began to increase, particularly from 2017, despite the absence of detailed information regarding the agencies that issued these bans and the context in which they were issued. This situation is a severe infringement on the freedom of expression of journalists and media outlets.</w:t>
      </w:r>
    </w:p>
    <w:p w14:paraId="63D403E8" w14:textId="77777777" w:rsidR="00305775" w:rsidRPr="00055EB3" w:rsidRDefault="00305775" w:rsidP="00AE6EBE">
      <w:pPr>
        <w:spacing w:line="276" w:lineRule="auto"/>
        <w:jc w:val="both"/>
        <w:rPr>
          <w:lang w:val="en-GB"/>
        </w:rPr>
      </w:pPr>
    </w:p>
    <w:p w14:paraId="57A6CAB3" w14:textId="77777777" w:rsidR="00305775" w:rsidRPr="00055EB3" w:rsidRDefault="00305775" w:rsidP="00AE6EBE">
      <w:pPr>
        <w:spacing w:line="276" w:lineRule="auto"/>
        <w:jc w:val="both"/>
        <w:rPr>
          <w:lang w:val="en-GB"/>
        </w:rPr>
      </w:pPr>
      <w:r w:rsidRPr="00055EB3">
        <w:rPr>
          <w:b/>
          <w:noProof/>
          <w:color w:val="000000" w:themeColor="text1"/>
        </w:rPr>
        <w:drawing>
          <wp:inline distT="0" distB="0" distL="0" distR="0" wp14:anchorId="5CD1ABC2" wp14:editId="3F6AD6B1">
            <wp:extent cx="5486400" cy="2307590"/>
            <wp:effectExtent l="0" t="0" r="0" b="381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3ECFE2F" w14:textId="7FE3DA58" w:rsidR="00DC255D" w:rsidRPr="00055EB3" w:rsidRDefault="00DC255D" w:rsidP="00047389">
      <w:pPr>
        <w:rPr>
          <w:rFonts w:eastAsia="Times New Roman"/>
          <w:color w:val="000000"/>
          <w:lang w:val="en-GB" w:eastAsia="en-GB"/>
        </w:rPr>
      </w:pPr>
    </w:p>
    <w:p w14:paraId="43A70AF1" w14:textId="7F85D2DA" w:rsidR="00D40757" w:rsidRPr="00055EB3" w:rsidRDefault="00DC255D" w:rsidP="008A62EC">
      <w:pPr>
        <w:pStyle w:val="ListParagraph"/>
        <w:numPr>
          <w:ilvl w:val="0"/>
          <w:numId w:val="16"/>
        </w:numPr>
        <w:ind w:left="0" w:firstLine="0"/>
        <w:jc w:val="both"/>
        <w:rPr>
          <w:rFonts w:eastAsia="Times New Roman"/>
          <w:color w:val="000000"/>
          <w:lang w:val="en-GB" w:eastAsia="en-GB"/>
        </w:rPr>
      </w:pPr>
      <w:r w:rsidRPr="00055EB3">
        <w:rPr>
          <w:rFonts w:eastAsia="Times New Roman"/>
          <w:color w:val="000000"/>
          <w:lang w:val="en-GB" w:eastAsia="en-GB"/>
        </w:rPr>
        <w:t xml:space="preserve">Since the adoption of Article 29/A, titled </w:t>
      </w:r>
      <w:r w:rsidR="00906A9A" w:rsidRPr="00055EB3">
        <w:rPr>
          <w:rFonts w:eastAsia="Times New Roman"/>
          <w:color w:val="000000"/>
          <w:lang w:val="en-GB" w:eastAsia="en-GB"/>
        </w:rPr>
        <w:t>“</w:t>
      </w:r>
      <w:r w:rsidRPr="00055EB3">
        <w:rPr>
          <w:rFonts w:eastAsia="Times New Roman"/>
          <w:color w:val="000000"/>
          <w:lang w:val="en-GB" w:eastAsia="en-GB"/>
        </w:rPr>
        <w:t>Presentation of Media Services via Internet</w:t>
      </w:r>
      <w:r w:rsidR="00906A9A" w:rsidRPr="00055EB3">
        <w:rPr>
          <w:rFonts w:eastAsia="Times New Roman"/>
          <w:color w:val="000000"/>
          <w:lang w:val="en-GB" w:eastAsia="en-GB"/>
        </w:rPr>
        <w:t>”</w:t>
      </w:r>
      <w:r w:rsidRPr="00055EB3">
        <w:rPr>
          <w:rFonts w:eastAsia="Times New Roman"/>
          <w:color w:val="000000"/>
          <w:lang w:val="en-GB" w:eastAsia="en-GB"/>
        </w:rPr>
        <w:t xml:space="preserve"> in Law No. 6112, RTÜK has been inspecting online broadcasting organizations. This regulation, which requires online platforms to obtain a broadcasting license from RTÜK, came </w:t>
      </w:r>
      <w:r w:rsidRPr="00055EB3">
        <w:rPr>
          <w:rFonts w:eastAsia="Times New Roman"/>
          <w:color w:val="000000"/>
          <w:lang w:val="en-GB" w:eastAsia="en-GB"/>
        </w:rPr>
        <w:lastRenderedPageBreak/>
        <w:t>into effect on September 1, 2019, after being published in the Official Gazette.</w:t>
      </w:r>
      <w:r w:rsidRPr="00055EB3">
        <w:rPr>
          <w:rStyle w:val="FootnoteReference"/>
          <w:lang w:val="en-GB"/>
        </w:rPr>
        <w:t xml:space="preserve"> </w:t>
      </w:r>
      <w:r w:rsidRPr="00055EB3">
        <w:rPr>
          <w:rStyle w:val="FootnoteReference"/>
          <w:lang w:val="en-GB"/>
        </w:rPr>
        <w:footnoteReference w:id="38"/>
      </w:r>
      <w:r w:rsidRPr="00055EB3">
        <w:rPr>
          <w:rFonts w:eastAsia="Times New Roman"/>
          <w:color w:val="000000"/>
          <w:lang w:val="en-GB" w:eastAsia="en-GB"/>
        </w:rPr>
        <w:t xml:space="preserve"> Under Law No. 5651, which regulates internet publications and combats online crimes, media service providers with temporary broadcast rights or licenses from RTÜK are permitted to offer their services online. RTÜK must approve platform operators who request to broadcast their services over the Internet.</w:t>
      </w:r>
    </w:p>
    <w:p w14:paraId="01EE8718" w14:textId="006370E7" w:rsidR="00322097" w:rsidRPr="00055EB3" w:rsidRDefault="00322097" w:rsidP="00047389">
      <w:pPr>
        <w:pStyle w:val="ListParagraph"/>
        <w:numPr>
          <w:ilvl w:val="0"/>
          <w:numId w:val="16"/>
        </w:numPr>
        <w:spacing w:line="276" w:lineRule="auto"/>
        <w:ind w:left="0" w:firstLine="0"/>
        <w:jc w:val="both"/>
        <w:rPr>
          <w:lang w:val="en-GB"/>
        </w:rPr>
      </w:pPr>
      <w:r w:rsidRPr="00055EB3">
        <w:rPr>
          <w:lang w:val="en-GB"/>
        </w:rPr>
        <w:t xml:space="preserve">RTÜK has served as the enabling and regulatory authority for internet broadcasting in </w:t>
      </w:r>
      <w:r w:rsidR="00165CE4" w:rsidRPr="00055EB3">
        <w:rPr>
          <w:lang w:val="en-GB"/>
        </w:rPr>
        <w:t>Türkiye</w:t>
      </w:r>
      <w:r w:rsidRPr="00055EB3">
        <w:rPr>
          <w:lang w:val="en-GB"/>
        </w:rPr>
        <w:t xml:space="preserve"> since the implementation of Art</w:t>
      </w:r>
      <w:r w:rsidR="00066658" w:rsidRPr="00055EB3">
        <w:rPr>
          <w:lang w:val="en-GB"/>
        </w:rPr>
        <w:t>.</w:t>
      </w:r>
      <w:r w:rsidRPr="00055EB3">
        <w:rPr>
          <w:lang w:val="en-GB"/>
        </w:rPr>
        <w:t xml:space="preserve"> 29/A. The Internet broadcasts are now subject to the </w:t>
      </w:r>
      <w:r w:rsidR="00906A9A" w:rsidRPr="00055EB3">
        <w:rPr>
          <w:lang w:val="en-GB"/>
        </w:rPr>
        <w:t>“</w:t>
      </w:r>
      <w:r w:rsidRPr="00055EB3">
        <w:rPr>
          <w:lang w:val="en-GB"/>
        </w:rPr>
        <w:t>monitoring</w:t>
      </w:r>
      <w:r w:rsidR="00906A9A" w:rsidRPr="00055EB3">
        <w:rPr>
          <w:lang w:val="en-GB"/>
        </w:rPr>
        <w:t>”</w:t>
      </w:r>
      <w:r w:rsidRPr="00055EB3">
        <w:rPr>
          <w:lang w:val="en-GB"/>
        </w:rPr>
        <w:t xml:space="preserve"> of the RTÜK, which is capable of </w:t>
      </w:r>
      <w:r w:rsidR="00906A9A" w:rsidRPr="00055EB3">
        <w:rPr>
          <w:lang w:val="en-GB"/>
        </w:rPr>
        <w:t>“</w:t>
      </w:r>
      <w:r w:rsidRPr="00055EB3">
        <w:rPr>
          <w:lang w:val="en-GB"/>
        </w:rPr>
        <w:t>effectively</w:t>
      </w:r>
      <w:r w:rsidR="00906A9A" w:rsidRPr="00055EB3">
        <w:rPr>
          <w:lang w:val="en-GB"/>
        </w:rPr>
        <w:t>”</w:t>
      </w:r>
      <w:r w:rsidRPr="00055EB3">
        <w:rPr>
          <w:lang w:val="en-GB"/>
        </w:rPr>
        <w:t xml:space="preserve"> removing content and/or barring access. By virtue of this regulation, broadcasters are prohibited from offering broadcasting services without obtaining a licence from the RTÜK. </w:t>
      </w:r>
      <w:r w:rsidR="00DC255D" w:rsidRPr="00055EB3">
        <w:rPr>
          <w:lang w:val="en-GB"/>
        </w:rPr>
        <w:t>The license fees are 10,000 TRY for internet audio broadcasts and 100,000 TRY for television and on-demand video services. Major digital platforms like Netflix, BluTV, and Puhutv have come under RTÜK</w:t>
      </w:r>
      <w:r w:rsidR="00906A9A" w:rsidRPr="00055EB3">
        <w:rPr>
          <w:lang w:val="en-GB"/>
        </w:rPr>
        <w:t>’</w:t>
      </w:r>
      <w:r w:rsidR="00DC255D" w:rsidRPr="00055EB3">
        <w:rPr>
          <w:lang w:val="en-GB"/>
        </w:rPr>
        <w:t xml:space="preserve">s control, and by November 2020, both Netflix and Amazon Prime Video were officially </w:t>
      </w:r>
      <w:r w:rsidRPr="00055EB3">
        <w:rPr>
          <w:lang w:val="en-GB"/>
        </w:rPr>
        <w:t>licensed.</w:t>
      </w:r>
      <w:r w:rsidRPr="00055EB3">
        <w:rPr>
          <w:rStyle w:val="FootnoteReference"/>
          <w:lang w:val="en-GB"/>
        </w:rPr>
        <w:footnoteReference w:id="39"/>
      </w:r>
      <w:r w:rsidRPr="00055EB3">
        <w:rPr>
          <w:lang w:val="en-GB"/>
        </w:rPr>
        <w:t xml:space="preserve"> </w:t>
      </w:r>
      <w:r w:rsidR="00DC255D" w:rsidRPr="00055EB3">
        <w:rPr>
          <w:lang w:val="en-GB"/>
        </w:rPr>
        <w:t xml:space="preserve">As a result, RTÜK now oversees internet-based </w:t>
      </w:r>
      <w:r w:rsidR="004756C7" w:rsidRPr="00055EB3">
        <w:rPr>
          <w:lang w:val="en-GB"/>
        </w:rPr>
        <w:t>audio-visual</w:t>
      </w:r>
      <w:r w:rsidR="00DC255D" w:rsidRPr="00055EB3">
        <w:rPr>
          <w:lang w:val="en-GB"/>
        </w:rPr>
        <w:t xml:space="preserve"> content, and censorship practices have started to emerge.</w:t>
      </w:r>
    </w:p>
    <w:p w14:paraId="7F02E95E" w14:textId="23B03663" w:rsidR="002264D5" w:rsidRPr="00055EB3" w:rsidRDefault="002264D5" w:rsidP="00047389">
      <w:pPr>
        <w:pStyle w:val="ListParagraph"/>
        <w:numPr>
          <w:ilvl w:val="0"/>
          <w:numId w:val="16"/>
        </w:numPr>
        <w:spacing w:line="276" w:lineRule="auto"/>
        <w:ind w:left="0" w:firstLine="0"/>
        <w:jc w:val="both"/>
        <w:rPr>
          <w:lang w:val="en-GB"/>
        </w:rPr>
      </w:pPr>
      <w:r w:rsidRPr="00055EB3">
        <w:rPr>
          <w:lang w:val="en-GB"/>
        </w:rPr>
        <w:t xml:space="preserve">RTÜK has </w:t>
      </w:r>
      <w:r w:rsidR="00DC255D" w:rsidRPr="00055EB3">
        <w:rPr>
          <w:lang w:val="en-GB"/>
        </w:rPr>
        <w:t xml:space="preserve">long </w:t>
      </w:r>
      <w:r w:rsidRPr="00055EB3">
        <w:rPr>
          <w:lang w:val="en-GB"/>
        </w:rPr>
        <w:t xml:space="preserve">been </w:t>
      </w:r>
      <w:r w:rsidR="00DC255D" w:rsidRPr="00055EB3">
        <w:rPr>
          <w:lang w:val="en-GB"/>
        </w:rPr>
        <w:t xml:space="preserve">seen </w:t>
      </w:r>
      <w:r w:rsidRPr="00055EB3">
        <w:rPr>
          <w:lang w:val="en-GB"/>
        </w:rPr>
        <w:t xml:space="preserve">as </w:t>
      </w:r>
      <w:r w:rsidR="00DC255D" w:rsidRPr="00055EB3">
        <w:rPr>
          <w:lang w:val="en-GB"/>
        </w:rPr>
        <w:t xml:space="preserve">a </w:t>
      </w:r>
      <w:r w:rsidRPr="00055EB3">
        <w:rPr>
          <w:lang w:val="en-GB"/>
        </w:rPr>
        <w:t xml:space="preserve">politicised </w:t>
      </w:r>
      <w:r w:rsidR="00DC255D" w:rsidRPr="00055EB3">
        <w:rPr>
          <w:lang w:val="en-GB"/>
        </w:rPr>
        <w:t xml:space="preserve">body, acting as a tool of the </w:t>
      </w:r>
      <w:r w:rsidRPr="00055EB3">
        <w:rPr>
          <w:lang w:val="en-GB"/>
        </w:rPr>
        <w:t xml:space="preserve">government </w:t>
      </w:r>
      <w:r w:rsidR="00BC598E" w:rsidRPr="00055EB3">
        <w:rPr>
          <w:lang w:val="en-GB"/>
        </w:rPr>
        <w:t xml:space="preserve">to intimidate and </w:t>
      </w:r>
      <w:r w:rsidRPr="00055EB3">
        <w:rPr>
          <w:lang w:val="en-GB"/>
        </w:rPr>
        <w:t>weaken media</w:t>
      </w:r>
      <w:r w:rsidR="00BC598E" w:rsidRPr="00055EB3">
        <w:rPr>
          <w:lang w:val="en-GB"/>
        </w:rPr>
        <w:t xml:space="preserve"> outlets </w:t>
      </w:r>
      <w:r w:rsidRPr="00055EB3">
        <w:rPr>
          <w:lang w:val="en-GB"/>
        </w:rPr>
        <w:t xml:space="preserve">that criticise </w:t>
      </w:r>
      <w:r w:rsidR="00BC598E" w:rsidRPr="00055EB3">
        <w:rPr>
          <w:lang w:val="en-GB"/>
        </w:rPr>
        <w:t>or</w:t>
      </w:r>
      <w:r w:rsidRPr="00055EB3">
        <w:rPr>
          <w:lang w:val="en-GB"/>
        </w:rPr>
        <w:t xml:space="preserve"> question government policies</w:t>
      </w:r>
      <w:r w:rsidR="00BC598E" w:rsidRPr="00055EB3">
        <w:rPr>
          <w:lang w:val="en-GB"/>
        </w:rPr>
        <w:t xml:space="preserve">. It does this by imposing heavy fines on TV and radio channels. An analysis of </w:t>
      </w:r>
      <w:r w:rsidRPr="00055EB3">
        <w:rPr>
          <w:lang w:val="en-GB"/>
        </w:rPr>
        <w:t>RTÜK</w:t>
      </w:r>
      <w:r w:rsidR="00906A9A" w:rsidRPr="00055EB3">
        <w:rPr>
          <w:lang w:val="en-GB"/>
        </w:rPr>
        <w:t>’</w:t>
      </w:r>
      <w:r w:rsidR="00BC598E" w:rsidRPr="00055EB3">
        <w:rPr>
          <w:lang w:val="en-GB"/>
        </w:rPr>
        <w:t>s sanctions</w:t>
      </w:r>
      <w:r w:rsidRPr="00055EB3">
        <w:rPr>
          <w:lang w:val="en-GB"/>
        </w:rPr>
        <w:t xml:space="preserve"> </w:t>
      </w:r>
      <w:r w:rsidR="00BC598E" w:rsidRPr="00055EB3">
        <w:rPr>
          <w:lang w:val="en-GB"/>
        </w:rPr>
        <w:t xml:space="preserve">shows </w:t>
      </w:r>
      <w:r w:rsidRPr="00055EB3">
        <w:rPr>
          <w:lang w:val="en-GB"/>
        </w:rPr>
        <w:t xml:space="preserve">that government-affiliated TV and radio channels, </w:t>
      </w:r>
      <w:r w:rsidR="00BC598E" w:rsidRPr="00055EB3">
        <w:rPr>
          <w:lang w:val="en-GB"/>
        </w:rPr>
        <w:t>event those broadcasting</w:t>
      </w:r>
      <w:r w:rsidRPr="00055EB3">
        <w:rPr>
          <w:lang w:val="en-GB"/>
        </w:rPr>
        <w:t xml:space="preserve"> critical content, </w:t>
      </w:r>
      <w:r w:rsidR="00BC598E" w:rsidRPr="00055EB3">
        <w:rPr>
          <w:lang w:val="en-GB"/>
        </w:rPr>
        <w:t>face minimal penalties</w:t>
      </w:r>
      <w:r w:rsidRPr="00055EB3">
        <w:rPr>
          <w:lang w:val="en-GB"/>
        </w:rPr>
        <w:t xml:space="preserve">, while oppositional channels </w:t>
      </w:r>
      <w:r w:rsidR="00DC255D" w:rsidRPr="00055EB3">
        <w:rPr>
          <w:lang w:val="en-GB"/>
        </w:rPr>
        <w:t>are subjected to much harsher sanctions.</w:t>
      </w:r>
      <w:r w:rsidR="008A62EC" w:rsidRPr="00055EB3">
        <w:rPr>
          <w:rStyle w:val="FootnoteReference"/>
          <w:lang w:val="en-GB"/>
        </w:rPr>
        <w:footnoteReference w:id="40"/>
      </w:r>
    </w:p>
    <w:p w14:paraId="1C000812" w14:textId="77777777" w:rsidR="00305775" w:rsidRPr="00055EB3" w:rsidRDefault="00305775" w:rsidP="002264D5">
      <w:pPr>
        <w:pStyle w:val="ListParagraph"/>
        <w:spacing w:line="276" w:lineRule="auto"/>
        <w:ind w:left="0"/>
        <w:jc w:val="both"/>
        <w:rPr>
          <w:lang w:val="en-GB"/>
        </w:rPr>
      </w:pPr>
    </w:p>
    <w:p w14:paraId="60041B69" w14:textId="5976FFF5" w:rsidR="007803E7" w:rsidRPr="00055EB3" w:rsidRDefault="007803E7" w:rsidP="00AE6EBE">
      <w:pPr>
        <w:pStyle w:val="Heading3"/>
        <w:spacing w:before="0" w:beforeAutospacing="0" w:after="0" w:afterAutospacing="0" w:line="276" w:lineRule="auto"/>
        <w:rPr>
          <w:sz w:val="24"/>
          <w:szCs w:val="24"/>
          <w:lang w:val="en-GB"/>
        </w:rPr>
      </w:pPr>
      <w:bookmarkStart w:id="13" w:name="_Toc177388614"/>
      <w:r w:rsidRPr="00055EB3">
        <w:rPr>
          <w:sz w:val="24"/>
          <w:szCs w:val="24"/>
          <w:lang w:val="en-GB"/>
        </w:rPr>
        <w:t>2. Internet Publis</w:t>
      </w:r>
      <w:r w:rsidR="00322097" w:rsidRPr="00055EB3">
        <w:rPr>
          <w:sz w:val="24"/>
          <w:szCs w:val="24"/>
          <w:lang w:val="en-GB"/>
        </w:rPr>
        <w:t>h</w:t>
      </w:r>
      <w:r w:rsidRPr="00055EB3">
        <w:rPr>
          <w:sz w:val="24"/>
          <w:szCs w:val="24"/>
          <w:lang w:val="en-GB"/>
        </w:rPr>
        <w:t>ing</w:t>
      </w:r>
      <w:bookmarkEnd w:id="13"/>
    </w:p>
    <w:p w14:paraId="22547AC2" w14:textId="5559DAEB" w:rsidR="00BC598E" w:rsidRPr="00055EB3" w:rsidRDefault="00BC598E" w:rsidP="00047389">
      <w:pPr>
        <w:pStyle w:val="ListParagraph"/>
        <w:numPr>
          <w:ilvl w:val="0"/>
          <w:numId w:val="16"/>
        </w:numPr>
        <w:spacing w:line="276" w:lineRule="auto"/>
        <w:ind w:left="0" w:firstLine="0"/>
        <w:jc w:val="both"/>
        <w:rPr>
          <w:lang w:val="en-GB"/>
        </w:rPr>
      </w:pPr>
      <w:r w:rsidRPr="00055EB3">
        <w:rPr>
          <w:lang w:val="en-GB"/>
        </w:rPr>
        <w:t>In the 2000s, internet publishing was rarely discussed, but it has now largely replaced traditional broadcasting and become the primary platform for addressing issues of freedom of expression. The practice of blocking access to online content in Türkiye began with the introduction of Law No. 5651 in 2007. One of the earliest examples was the block imposed on YouTube in 2007. This law has since become a key tool for current interventions against media outlets and journalists.</w:t>
      </w:r>
    </w:p>
    <w:p w14:paraId="07F6A31B" w14:textId="2890C7C8" w:rsidR="00BC598E" w:rsidRPr="00055EB3" w:rsidRDefault="00AB759B" w:rsidP="00047389">
      <w:pPr>
        <w:pStyle w:val="ListParagraph"/>
        <w:numPr>
          <w:ilvl w:val="0"/>
          <w:numId w:val="16"/>
        </w:numPr>
        <w:spacing w:line="276" w:lineRule="auto"/>
        <w:ind w:left="0" w:firstLine="0"/>
        <w:jc w:val="both"/>
        <w:rPr>
          <w:lang w:val="en-GB"/>
        </w:rPr>
      </w:pPr>
      <w:r w:rsidRPr="00055EB3">
        <w:rPr>
          <w:lang w:val="en-GB"/>
        </w:rPr>
        <w:t xml:space="preserve">The State Party report offers an inadequate explanation of the provisions of Law No. 5651, </w:t>
      </w:r>
      <w:r w:rsidR="00BC598E" w:rsidRPr="00055EB3">
        <w:rPr>
          <w:lang w:val="en-GB"/>
        </w:rPr>
        <w:t>making it difficult to fully understand the</w:t>
      </w:r>
      <w:r w:rsidRPr="00055EB3">
        <w:rPr>
          <w:lang w:val="en-GB"/>
        </w:rPr>
        <w:t xml:space="preserve"> current issue</w:t>
      </w:r>
      <w:r w:rsidR="00BC598E" w:rsidRPr="00055EB3">
        <w:rPr>
          <w:lang w:val="en-GB"/>
        </w:rPr>
        <w:t xml:space="preserve"> surrounding online freedom of expression</w:t>
      </w:r>
      <w:r w:rsidRPr="00055EB3">
        <w:rPr>
          <w:lang w:val="en-GB"/>
        </w:rPr>
        <w:t>.</w:t>
      </w:r>
      <w:r w:rsidRPr="00055EB3">
        <w:rPr>
          <w:vertAlign w:val="superscript"/>
          <w:lang w:val="en-GB"/>
        </w:rPr>
        <w:footnoteReference w:id="41"/>
      </w:r>
      <w:r w:rsidRPr="00055EB3">
        <w:rPr>
          <w:lang w:val="en-GB"/>
        </w:rPr>
        <w:t xml:space="preserve"> Furthermore, the Turkish government has not responded to allegations of systematic restrictions on online expression. </w:t>
      </w:r>
      <w:r w:rsidR="00BC598E" w:rsidRPr="00055EB3">
        <w:rPr>
          <w:lang w:val="en-GB"/>
        </w:rPr>
        <w:t xml:space="preserve">Since its introduction, Law No. 5651 has been amended 13 times, with Articles 8, 8/A, 9, and 9/A being the most problematic. Most amendments affect these articles and have weakened, rather than strengthened, freedom of expression. </w:t>
      </w:r>
      <w:r w:rsidRPr="00055EB3">
        <w:rPr>
          <w:lang w:val="en-GB"/>
        </w:rPr>
        <w:t>Despite the Constitutional Court</w:t>
      </w:r>
      <w:r w:rsidR="00906A9A" w:rsidRPr="00055EB3">
        <w:rPr>
          <w:lang w:val="en-GB"/>
        </w:rPr>
        <w:t>’</w:t>
      </w:r>
      <w:r w:rsidRPr="00055EB3">
        <w:rPr>
          <w:lang w:val="en-GB"/>
        </w:rPr>
        <w:t>s cancellation of certain amendments</w:t>
      </w:r>
      <w:r w:rsidR="00284A34" w:rsidRPr="00055EB3">
        <w:rPr>
          <w:rStyle w:val="FootnoteReference"/>
          <w:lang w:val="en-GB"/>
        </w:rPr>
        <w:footnoteReference w:id="42"/>
      </w:r>
      <w:r w:rsidRPr="00055EB3">
        <w:rPr>
          <w:lang w:val="en-GB"/>
        </w:rPr>
        <w:t xml:space="preserve"> the legal framework governing freedom of expression on the internet continues to be a significant issue. </w:t>
      </w:r>
      <w:r w:rsidR="00BC598E" w:rsidRPr="00055EB3">
        <w:rPr>
          <w:lang w:val="en-GB"/>
        </w:rPr>
        <w:lastRenderedPageBreak/>
        <w:t>Public authorities often go beyond the already problematic legal boundaries, ignore the Constitutional Court</w:t>
      </w:r>
      <w:r w:rsidR="00906A9A" w:rsidRPr="00055EB3">
        <w:rPr>
          <w:lang w:val="en-GB"/>
        </w:rPr>
        <w:t>’</w:t>
      </w:r>
      <w:r w:rsidR="00BC598E" w:rsidRPr="00055EB3">
        <w:rPr>
          <w:lang w:val="en-GB"/>
        </w:rPr>
        <w:t>s rulings, and apply the law in ways that infringe on free expression. Although the State Party report claims that amendments made in 2014 and 2015 aimed to align with international conventions and the Constitutio</w:t>
      </w:r>
      <w:r w:rsidR="00284A34" w:rsidRPr="00055EB3">
        <w:rPr>
          <w:lang w:val="en-GB"/>
        </w:rPr>
        <w:t>n</w:t>
      </w:r>
      <w:r w:rsidR="00BC598E" w:rsidRPr="00055EB3">
        <w:rPr>
          <w:lang w:val="en-GB"/>
        </w:rPr>
        <w:t>, the reality shows otherwise.</w:t>
      </w:r>
    </w:p>
    <w:p w14:paraId="7F1EE71F" w14:textId="6B615F5A" w:rsidR="00BC598E" w:rsidRPr="00055EB3" w:rsidRDefault="00BC598E" w:rsidP="00047389">
      <w:pPr>
        <w:pStyle w:val="ListParagraph"/>
        <w:numPr>
          <w:ilvl w:val="0"/>
          <w:numId w:val="16"/>
        </w:numPr>
        <w:spacing w:line="276" w:lineRule="auto"/>
        <w:ind w:left="0" w:firstLine="0"/>
        <w:jc w:val="both"/>
        <w:rPr>
          <w:lang w:val="en-GB"/>
        </w:rPr>
      </w:pPr>
      <w:r w:rsidRPr="00055EB3">
        <w:rPr>
          <w:lang w:val="en-GB"/>
        </w:rPr>
        <w:t>Currently, at least 24 bodies, agencies, and establishments, in addition to those under Law No. 5651, have the authority to block access to content based on various laws.</w:t>
      </w:r>
    </w:p>
    <w:p w14:paraId="21353B12" w14:textId="77777777" w:rsidR="00B82ADF" w:rsidRPr="00055EB3" w:rsidRDefault="00B82ADF" w:rsidP="00BC598E">
      <w:pPr>
        <w:pStyle w:val="ListParagraph"/>
        <w:numPr>
          <w:ilvl w:val="0"/>
          <w:numId w:val="3"/>
        </w:numPr>
        <w:ind w:left="284" w:firstLine="0"/>
        <w:jc w:val="both"/>
        <w:rPr>
          <w:sz w:val="22"/>
          <w:szCs w:val="22"/>
          <w:lang w:val="en-GB"/>
        </w:rPr>
      </w:pPr>
      <w:r w:rsidRPr="00055EB3">
        <w:rPr>
          <w:sz w:val="22"/>
          <w:szCs w:val="22"/>
          <w:lang w:val="en-GB"/>
        </w:rPr>
        <w:t xml:space="preserve">The Presidency and related ministries, </w:t>
      </w:r>
    </w:p>
    <w:p w14:paraId="1227E281"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The President of Information and Communication Technologies Authority (BTK), </w:t>
      </w:r>
    </w:p>
    <w:p w14:paraId="1F2934D9"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Access Providers Association, </w:t>
      </w:r>
    </w:p>
    <w:p w14:paraId="0ADD3556"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Ministry of Health - Turkish Medicines and Medical Devices Agency, </w:t>
      </w:r>
    </w:p>
    <w:p w14:paraId="6353E92D"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Capital Markets Board, </w:t>
      </w:r>
    </w:p>
    <w:p w14:paraId="25254162"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Ministry of Agriculture and Forestry,</w:t>
      </w:r>
    </w:p>
    <w:p w14:paraId="214A24DF"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Ministry of Agriculture and Forestry - Directorate of Tobacco and Alcohol, </w:t>
      </w:r>
    </w:p>
    <w:p w14:paraId="34753171"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National Lottery Administration - Department of Games of Chance, </w:t>
      </w:r>
    </w:p>
    <w:p w14:paraId="0EF678E5"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Turkish Jockey Club, </w:t>
      </w:r>
    </w:p>
    <w:p w14:paraId="2088AF8D"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Spor Toto Organization Presidency, </w:t>
      </w:r>
    </w:p>
    <w:p w14:paraId="36C37D34"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Directorate of Religious Affairs - Religious Affairs Supreme Council </w:t>
      </w:r>
    </w:p>
    <w:p w14:paraId="04A70A96" w14:textId="0646F2CB"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Directorate of Religious Affairs - Board of Inspection and Recitation of Qur</w:t>
      </w:r>
      <w:r w:rsidR="00906A9A" w:rsidRPr="00055EB3">
        <w:rPr>
          <w:sz w:val="22"/>
          <w:szCs w:val="22"/>
          <w:lang w:val="en-GB"/>
        </w:rPr>
        <w:t>’</w:t>
      </w:r>
      <w:r w:rsidRPr="00055EB3">
        <w:rPr>
          <w:sz w:val="22"/>
          <w:szCs w:val="22"/>
          <w:lang w:val="en-GB"/>
        </w:rPr>
        <w:t xml:space="preserve">an, </w:t>
      </w:r>
    </w:p>
    <w:p w14:paraId="174DD60A"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Radio and Television Supreme Council, </w:t>
      </w:r>
    </w:p>
    <w:p w14:paraId="2019044B"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Supreme Council of Election, </w:t>
      </w:r>
    </w:p>
    <w:p w14:paraId="7AC66FBC"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Ministry of Trade,</w:t>
      </w:r>
    </w:p>
    <w:p w14:paraId="29B96BDF"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Ministry of Trade - Directorate General of Consumer Protection and Market Surveillance, </w:t>
      </w:r>
    </w:p>
    <w:p w14:paraId="496C0521"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Ministry of Treasury and Finance, </w:t>
      </w:r>
    </w:p>
    <w:p w14:paraId="500DA8E4" w14:textId="1559B615"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 xml:space="preserve">All </w:t>
      </w:r>
      <w:r w:rsidR="00906A9A" w:rsidRPr="00055EB3">
        <w:rPr>
          <w:sz w:val="22"/>
          <w:szCs w:val="22"/>
          <w:lang w:val="en-GB"/>
        </w:rPr>
        <w:t>“</w:t>
      </w:r>
      <w:r w:rsidRPr="00055EB3">
        <w:rPr>
          <w:sz w:val="22"/>
          <w:szCs w:val="22"/>
          <w:lang w:val="en-GB"/>
        </w:rPr>
        <w:t>authorised institutions</w:t>
      </w:r>
      <w:r w:rsidR="00906A9A" w:rsidRPr="00055EB3">
        <w:rPr>
          <w:sz w:val="22"/>
          <w:szCs w:val="22"/>
          <w:lang w:val="en-GB"/>
        </w:rPr>
        <w:t>”</w:t>
      </w:r>
      <w:r w:rsidRPr="00055EB3">
        <w:rPr>
          <w:sz w:val="22"/>
          <w:szCs w:val="22"/>
          <w:lang w:val="en-GB"/>
        </w:rPr>
        <w:t xml:space="preserve"> within the Law on Product Safety and Technical Regulations,</w:t>
      </w:r>
    </w:p>
    <w:p w14:paraId="37150DDE"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Provincial directors of industry and technology under the Ministry of Industry and Technology,</w:t>
      </w:r>
    </w:p>
    <w:p w14:paraId="3DC1CBB9"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Governorates and Ministry of Internal Affairs,</w:t>
      </w:r>
    </w:p>
    <w:p w14:paraId="4EB15C63"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Banking Regulation and Supervision Agency (BDDK),</w:t>
      </w:r>
    </w:p>
    <w:p w14:paraId="05321630" w14:textId="7777777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Turkish Football Federation (TFF),</w:t>
      </w:r>
    </w:p>
    <w:p w14:paraId="222E9F5F" w14:textId="568B7129" w:rsidR="00B82ADF" w:rsidRPr="00055EB3" w:rsidRDefault="00906A9A" w:rsidP="00997E51">
      <w:pPr>
        <w:pStyle w:val="ListParagraph"/>
        <w:numPr>
          <w:ilvl w:val="0"/>
          <w:numId w:val="3"/>
        </w:numPr>
        <w:ind w:left="284" w:firstLine="0"/>
        <w:jc w:val="both"/>
        <w:rPr>
          <w:sz w:val="22"/>
          <w:szCs w:val="22"/>
          <w:lang w:val="en-GB"/>
        </w:rPr>
      </w:pPr>
      <w:r w:rsidRPr="00055EB3">
        <w:rPr>
          <w:sz w:val="22"/>
          <w:szCs w:val="22"/>
          <w:lang w:val="en-GB"/>
        </w:rPr>
        <w:t>‘</w:t>
      </w:r>
      <w:r w:rsidR="00B82ADF" w:rsidRPr="00055EB3">
        <w:rPr>
          <w:sz w:val="22"/>
          <w:szCs w:val="22"/>
          <w:lang w:val="en-GB"/>
        </w:rPr>
        <w:t>Relevant persons</w:t>
      </w:r>
      <w:r w:rsidRPr="00055EB3">
        <w:rPr>
          <w:sz w:val="22"/>
          <w:szCs w:val="22"/>
          <w:lang w:val="en-GB"/>
        </w:rPr>
        <w:t>’</w:t>
      </w:r>
      <w:r w:rsidR="00B82ADF" w:rsidRPr="00055EB3">
        <w:rPr>
          <w:sz w:val="22"/>
          <w:szCs w:val="22"/>
          <w:lang w:val="en-GB"/>
        </w:rPr>
        <w:t xml:space="preserve"> within the scope of the Child Protection Law,</w:t>
      </w:r>
    </w:p>
    <w:p w14:paraId="42C083F6" w14:textId="71A4BAC7" w:rsidR="00B82ADF" w:rsidRPr="00055EB3" w:rsidRDefault="00B82ADF" w:rsidP="00997E51">
      <w:pPr>
        <w:pStyle w:val="ListParagraph"/>
        <w:numPr>
          <w:ilvl w:val="0"/>
          <w:numId w:val="3"/>
        </w:numPr>
        <w:ind w:left="284" w:firstLine="0"/>
        <w:jc w:val="both"/>
        <w:rPr>
          <w:sz w:val="22"/>
          <w:szCs w:val="22"/>
          <w:lang w:val="en-GB"/>
        </w:rPr>
      </w:pPr>
      <w:r w:rsidRPr="00055EB3">
        <w:rPr>
          <w:sz w:val="22"/>
          <w:szCs w:val="22"/>
          <w:lang w:val="en-GB"/>
        </w:rPr>
        <w:t>Advertisement Board.</w:t>
      </w:r>
      <w:r w:rsidRPr="00055EB3">
        <w:rPr>
          <w:rStyle w:val="FootnoteReference"/>
          <w:sz w:val="22"/>
          <w:szCs w:val="22"/>
          <w:lang w:val="en-GB"/>
        </w:rPr>
        <w:footnoteReference w:id="43"/>
      </w:r>
    </w:p>
    <w:p w14:paraId="79950AB2" w14:textId="77777777" w:rsidR="001F643F" w:rsidRPr="00055EB3" w:rsidRDefault="001F643F" w:rsidP="001F643F">
      <w:pPr>
        <w:spacing w:line="276" w:lineRule="auto"/>
        <w:jc w:val="both"/>
        <w:rPr>
          <w:lang w:val="en-GB"/>
        </w:rPr>
      </w:pPr>
    </w:p>
    <w:p w14:paraId="4253CFBA" w14:textId="2454E7EA" w:rsidR="001F643F" w:rsidRPr="00055EB3" w:rsidRDefault="001F643F" w:rsidP="001F643F">
      <w:pPr>
        <w:spacing w:line="276" w:lineRule="auto"/>
        <w:jc w:val="center"/>
        <w:rPr>
          <w:lang w:val="en-GB"/>
        </w:rPr>
      </w:pPr>
      <w:r w:rsidRPr="00055EB3">
        <w:rPr>
          <w:b/>
          <w:noProof/>
          <w:color w:val="000000" w:themeColor="text1"/>
        </w:rPr>
        <w:lastRenderedPageBreak/>
        <w:drawing>
          <wp:inline distT="0" distB="0" distL="0" distR="0" wp14:anchorId="6851D193" wp14:editId="796B1802">
            <wp:extent cx="5486400" cy="3784831"/>
            <wp:effectExtent l="0" t="0" r="0" b="0"/>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1732EE9" w14:textId="77777777" w:rsidR="001F643F" w:rsidRPr="00055EB3" w:rsidRDefault="001F643F" w:rsidP="001F643F">
      <w:pPr>
        <w:spacing w:line="276" w:lineRule="auto"/>
        <w:jc w:val="both"/>
        <w:rPr>
          <w:lang w:val="en-GB"/>
        </w:rPr>
      </w:pPr>
    </w:p>
    <w:p w14:paraId="4C8EDB76" w14:textId="77727F8D" w:rsidR="001F643F" w:rsidRPr="00055EB3" w:rsidRDefault="001F643F" w:rsidP="00047389">
      <w:pPr>
        <w:pStyle w:val="ListParagraph"/>
        <w:numPr>
          <w:ilvl w:val="0"/>
          <w:numId w:val="16"/>
        </w:numPr>
        <w:spacing w:line="276" w:lineRule="auto"/>
        <w:ind w:left="0" w:firstLine="0"/>
        <w:jc w:val="both"/>
        <w:rPr>
          <w:rFonts w:eastAsia="Times New Roman"/>
          <w:lang w:val="en-GB"/>
        </w:rPr>
      </w:pPr>
      <w:r w:rsidRPr="00055EB3">
        <w:rPr>
          <w:rFonts w:eastAsia="Times New Roman"/>
          <w:lang w:val="en-GB"/>
        </w:rPr>
        <w:t xml:space="preserve">The number of websites that were issued an access block increased from four in 2006 to approximately 712,000 by the end of 2022, following the adoption of Law No. 5651. In the past 15 years, authorities have required the complete blocking of access to websites such as Wikipedia, YouTube, and Twitter (X). This practice has recently </w:t>
      </w:r>
      <w:r w:rsidR="00066658" w:rsidRPr="00055EB3">
        <w:rPr>
          <w:rFonts w:eastAsia="Times New Roman"/>
          <w:lang w:val="en-GB"/>
        </w:rPr>
        <w:t>re-emerged</w:t>
      </w:r>
      <w:r w:rsidRPr="00055EB3">
        <w:rPr>
          <w:rFonts w:eastAsia="Times New Roman"/>
          <w:lang w:val="en-GB"/>
        </w:rPr>
        <w:t>, and on August 2, 2024, the Information and Communication Technologies Authority (BTK) blocked access to Instagram in its totality. The BTK released a statement in which it cited the social media platform</w:t>
      </w:r>
      <w:r w:rsidR="00906A9A" w:rsidRPr="00055EB3">
        <w:rPr>
          <w:rFonts w:eastAsia="Times New Roman"/>
          <w:lang w:val="en-GB"/>
        </w:rPr>
        <w:t>’</w:t>
      </w:r>
      <w:r w:rsidRPr="00055EB3">
        <w:rPr>
          <w:rFonts w:eastAsia="Times New Roman"/>
          <w:lang w:val="en-GB"/>
        </w:rPr>
        <w:t xml:space="preserve">s </w:t>
      </w:r>
      <w:r w:rsidR="00906A9A" w:rsidRPr="00055EB3">
        <w:rPr>
          <w:rFonts w:eastAsia="Times New Roman"/>
          <w:lang w:val="en-GB"/>
        </w:rPr>
        <w:t>“</w:t>
      </w:r>
      <w:r w:rsidRPr="00055EB3">
        <w:rPr>
          <w:rFonts w:eastAsia="Times New Roman"/>
          <w:lang w:val="en-GB"/>
        </w:rPr>
        <w:t>non-compliance with catalogue crimes</w:t>
      </w:r>
      <w:r w:rsidR="00906A9A" w:rsidRPr="00055EB3">
        <w:rPr>
          <w:rFonts w:eastAsia="Times New Roman"/>
          <w:lang w:val="en-GB"/>
        </w:rPr>
        <w:t>”</w:t>
      </w:r>
      <w:r w:rsidRPr="00055EB3">
        <w:rPr>
          <w:rFonts w:eastAsia="Times New Roman"/>
          <w:lang w:val="en-GB"/>
        </w:rPr>
        <w:t xml:space="preserve"> as the cause for its blocking, but it did not provide a specific crime reference. Instagram was reopened to users by the BTK on August 10, 2024. Media entities and journalists who publish content on the internet frequently implement access-blocking decisions. Persistent and severe interference with freedom of expression was demonstrated by the multiple access restrictions that several news websites encountered.</w:t>
      </w:r>
    </w:p>
    <w:p w14:paraId="65C84EA4" w14:textId="77777777" w:rsidR="001F643F" w:rsidRPr="00055EB3" w:rsidRDefault="001F643F" w:rsidP="001F643F">
      <w:pPr>
        <w:pStyle w:val="ListParagraph"/>
        <w:spacing w:line="276" w:lineRule="auto"/>
        <w:ind w:left="0"/>
        <w:jc w:val="both"/>
        <w:rPr>
          <w:lang w:val="en-GB"/>
        </w:rPr>
      </w:pPr>
    </w:p>
    <w:p w14:paraId="034E2B37" w14:textId="198F0100" w:rsidR="001F643F" w:rsidRPr="00055EB3" w:rsidRDefault="001F643F" w:rsidP="001F643F">
      <w:pPr>
        <w:pStyle w:val="ListParagraph"/>
        <w:spacing w:line="276" w:lineRule="auto"/>
        <w:ind w:left="0"/>
        <w:jc w:val="center"/>
        <w:rPr>
          <w:lang w:val="en-GB"/>
        </w:rPr>
      </w:pPr>
      <w:r w:rsidRPr="00055EB3">
        <w:rPr>
          <w:b/>
          <w:noProof/>
          <w:color w:val="000000" w:themeColor="text1"/>
        </w:rPr>
        <w:drawing>
          <wp:inline distT="0" distB="0" distL="0" distR="0" wp14:anchorId="1E260B62" wp14:editId="70B03675">
            <wp:extent cx="5486400" cy="2307590"/>
            <wp:effectExtent l="0" t="0" r="0" b="381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0CCB9A9" w14:textId="77777777" w:rsidR="001F643F" w:rsidRPr="00055EB3" w:rsidRDefault="001F643F" w:rsidP="001F643F">
      <w:pPr>
        <w:pStyle w:val="ListParagraph"/>
        <w:spacing w:line="276" w:lineRule="auto"/>
        <w:ind w:left="0"/>
        <w:jc w:val="both"/>
        <w:rPr>
          <w:lang w:val="en-GB"/>
        </w:rPr>
      </w:pPr>
    </w:p>
    <w:p w14:paraId="4A54622A" w14:textId="4F863D1A" w:rsidR="006D4E4D" w:rsidRPr="00055EB3" w:rsidRDefault="001E0067" w:rsidP="004756C7">
      <w:pPr>
        <w:pStyle w:val="ListParagraph"/>
        <w:numPr>
          <w:ilvl w:val="0"/>
          <w:numId w:val="16"/>
        </w:numPr>
        <w:spacing w:line="276" w:lineRule="auto"/>
        <w:ind w:left="0" w:firstLine="0"/>
        <w:jc w:val="both"/>
        <w:rPr>
          <w:lang w:val="en-GB"/>
        </w:rPr>
      </w:pPr>
      <w:r w:rsidRPr="00055EB3">
        <w:rPr>
          <w:lang w:val="en-GB"/>
        </w:rPr>
        <w:t>On 27 July 2020, Additional Article 4 of Law No. 5651 was enacted and entered into force on 1 October 2020</w:t>
      </w:r>
      <w:r w:rsidR="00284A34" w:rsidRPr="00055EB3">
        <w:rPr>
          <w:rStyle w:val="FootnoteReference"/>
          <w:lang w:val="en-GB"/>
        </w:rPr>
        <w:footnoteReference w:id="44"/>
      </w:r>
      <w:r w:rsidR="00284A34" w:rsidRPr="00055EB3">
        <w:rPr>
          <w:lang w:val="en-GB"/>
        </w:rPr>
        <w:t xml:space="preserve">. </w:t>
      </w:r>
      <w:r w:rsidR="006D4E4D" w:rsidRPr="00055EB3">
        <w:rPr>
          <w:lang w:val="en-GB"/>
        </w:rPr>
        <w:t xml:space="preserve">This article requires </w:t>
      </w:r>
      <w:r w:rsidR="00906A9A" w:rsidRPr="00055EB3">
        <w:rPr>
          <w:lang w:val="en-GB"/>
        </w:rPr>
        <w:t>“</w:t>
      </w:r>
      <w:r w:rsidR="006D4E4D" w:rsidRPr="00055EB3">
        <w:rPr>
          <w:lang w:val="en-GB"/>
        </w:rPr>
        <w:t>social network providers</w:t>
      </w:r>
      <w:r w:rsidR="00906A9A" w:rsidRPr="00055EB3">
        <w:rPr>
          <w:lang w:val="en-GB"/>
        </w:rPr>
        <w:t>”</w:t>
      </w:r>
      <w:r w:rsidR="006D4E4D" w:rsidRPr="00055EB3">
        <w:rPr>
          <w:lang w:val="en-GB"/>
        </w:rPr>
        <w:t xml:space="preserve"> with over one million daily users, such as WhatsApp, Twitter, Instagram, and Facebook, to appoint a representative in Türkiye. The law imposes a series of escalating sanctions, including fines, advertising bans, and bandwidth restrictions. This regulation is widely seen as another attempt to suppress dissenting voices in Türkiye.</w:t>
      </w:r>
    </w:p>
    <w:p w14:paraId="6140661D" w14:textId="77777777" w:rsidR="003D7208" w:rsidRPr="00055EB3" w:rsidRDefault="003D7208" w:rsidP="00047389">
      <w:pPr>
        <w:pStyle w:val="ListParagraph"/>
        <w:spacing w:line="276" w:lineRule="auto"/>
        <w:jc w:val="both"/>
        <w:rPr>
          <w:lang w:val="en-GB"/>
        </w:rPr>
      </w:pPr>
    </w:p>
    <w:p w14:paraId="0FA4AC56" w14:textId="19DB124B" w:rsidR="00533E7E" w:rsidRPr="00055EB3" w:rsidRDefault="00305775" w:rsidP="00AE6EBE">
      <w:pPr>
        <w:pStyle w:val="Heading2"/>
        <w:spacing w:before="0" w:line="276" w:lineRule="auto"/>
        <w:rPr>
          <w:rFonts w:ascii="Times New Roman" w:hAnsi="Times New Roman" w:cs="Times New Roman"/>
          <w:b/>
          <w:color w:val="000000" w:themeColor="text1"/>
          <w:sz w:val="24"/>
          <w:szCs w:val="24"/>
          <w:lang w:val="en-GB"/>
        </w:rPr>
      </w:pPr>
      <w:bookmarkStart w:id="14" w:name="_Toc177388615"/>
      <w:r w:rsidRPr="00055EB3">
        <w:rPr>
          <w:rFonts w:ascii="Times New Roman" w:hAnsi="Times New Roman" w:cs="Times New Roman"/>
          <w:b/>
          <w:color w:val="000000" w:themeColor="text1"/>
          <w:sz w:val="24"/>
          <w:szCs w:val="24"/>
          <w:lang w:val="en-GB"/>
        </w:rPr>
        <w:t>D- Non-State A</w:t>
      </w:r>
      <w:r w:rsidR="00533E7E" w:rsidRPr="00055EB3">
        <w:rPr>
          <w:rFonts w:ascii="Times New Roman" w:hAnsi="Times New Roman" w:cs="Times New Roman"/>
          <w:b/>
          <w:color w:val="000000" w:themeColor="text1"/>
          <w:sz w:val="24"/>
          <w:szCs w:val="24"/>
          <w:lang w:val="en-GB"/>
        </w:rPr>
        <w:t>ctors</w:t>
      </w:r>
      <w:r w:rsidR="00906A9A" w:rsidRPr="00055EB3">
        <w:rPr>
          <w:rFonts w:ascii="Times New Roman" w:hAnsi="Times New Roman" w:cs="Times New Roman"/>
          <w:b/>
          <w:color w:val="000000" w:themeColor="text1"/>
          <w:sz w:val="24"/>
          <w:szCs w:val="24"/>
          <w:lang w:val="en-GB"/>
        </w:rPr>
        <w:t>’</w:t>
      </w:r>
      <w:r w:rsidRPr="00055EB3">
        <w:rPr>
          <w:rFonts w:ascii="Times New Roman" w:hAnsi="Times New Roman" w:cs="Times New Roman"/>
          <w:b/>
          <w:color w:val="000000" w:themeColor="text1"/>
          <w:sz w:val="24"/>
          <w:szCs w:val="24"/>
          <w:lang w:val="en-GB"/>
        </w:rPr>
        <w:t xml:space="preserve"> I</w:t>
      </w:r>
      <w:r w:rsidR="00533E7E" w:rsidRPr="00055EB3">
        <w:rPr>
          <w:rFonts w:ascii="Times New Roman" w:hAnsi="Times New Roman" w:cs="Times New Roman"/>
          <w:b/>
          <w:color w:val="000000" w:themeColor="text1"/>
          <w:sz w:val="24"/>
          <w:szCs w:val="24"/>
          <w:lang w:val="en-GB"/>
        </w:rPr>
        <w:t>nterventions</w:t>
      </w:r>
      <w:bookmarkEnd w:id="14"/>
    </w:p>
    <w:p w14:paraId="5B8D5315" w14:textId="54AFAEBA" w:rsidR="006D4E4D" w:rsidRPr="00055EB3" w:rsidRDefault="006D4E4D" w:rsidP="004756C7">
      <w:pPr>
        <w:rPr>
          <w:rFonts w:eastAsia="Times New Roman"/>
          <w:color w:val="000000"/>
          <w:lang w:val="en-GB" w:eastAsia="en-GB"/>
        </w:rPr>
      </w:pPr>
    </w:p>
    <w:p w14:paraId="22E66839" w14:textId="07B63E61" w:rsidR="006D4E4D" w:rsidRPr="00055EB3" w:rsidRDefault="006D4E4D" w:rsidP="004756C7">
      <w:pPr>
        <w:pStyle w:val="ListParagraph"/>
        <w:numPr>
          <w:ilvl w:val="0"/>
          <w:numId w:val="16"/>
        </w:numPr>
        <w:spacing w:line="276" w:lineRule="auto"/>
        <w:ind w:left="0" w:firstLine="0"/>
        <w:jc w:val="both"/>
        <w:rPr>
          <w:rFonts w:eastAsia="Times New Roman"/>
          <w:color w:val="000000"/>
          <w:lang w:val="en-GB" w:eastAsia="en-GB"/>
        </w:rPr>
      </w:pPr>
      <w:r w:rsidRPr="00055EB3">
        <w:rPr>
          <w:rFonts w:eastAsia="Times New Roman"/>
          <w:color w:val="000000"/>
          <w:lang w:val="en-GB" w:eastAsia="en-GB"/>
        </w:rPr>
        <w:t>In addition to state interventions, non-state actors also play a significant role in influencing freedom of expression. These actors include civil society organizations, individuals, communities, and media entities. For example, criminal cases can be initiated by prosecution offices based on complaints from others in cases that require a formal complaint, or natural and legal persons may file claims for damages against individuals exercising their freedom of expression.</w:t>
      </w:r>
    </w:p>
    <w:p w14:paraId="4873D26B" w14:textId="7C3B35A2" w:rsidR="006D4E4D" w:rsidRPr="00055EB3" w:rsidRDefault="006D4E4D" w:rsidP="004756C7">
      <w:pPr>
        <w:pStyle w:val="ListParagraph"/>
        <w:numPr>
          <w:ilvl w:val="0"/>
          <w:numId w:val="16"/>
        </w:numPr>
        <w:spacing w:line="276" w:lineRule="auto"/>
        <w:ind w:left="0" w:firstLine="0"/>
        <w:jc w:val="both"/>
        <w:rPr>
          <w:lang w:val="en-GB"/>
        </w:rPr>
      </w:pPr>
      <w:r w:rsidRPr="00055EB3">
        <w:rPr>
          <w:rFonts w:eastAsia="Times New Roman"/>
          <w:color w:val="000000"/>
          <w:lang w:val="en-GB" w:eastAsia="en-GB"/>
        </w:rPr>
        <w:t>One of the key obligations tied to freedom of expression is the protection of individuals who exercise this right from interventions by non-state actors. Over the past two decades, as highlighted by BİA Media Monitoring Reports, journalists and media outlets have frequently faced such interventions. Examples of non-state actor interventions include the following:</w:t>
      </w:r>
    </w:p>
    <w:p w14:paraId="0EF79872" w14:textId="77777777" w:rsidR="00BD08D8" w:rsidRPr="00055EB3" w:rsidRDefault="00BD08D8" w:rsidP="00055EB3">
      <w:pPr>
        <w:pStyle w:val="ListParagraph"/>
        <w:numPr>
          <w:ilvl w:val="0"/>
          <w:numId w:val="8"/>
        </w:numPr>
        <w:ind w:left="284" w:hanging="284"/>
        <w:jc w:val="both"/>
        <w:rPr>
          <w:lang w:val="en-GB"/>
        </w:rPr>
      </w:pPr>
      <w:r w:rsidRPr="00055EB3">
        <w:rPr>
          <w:lang w:val="en-GB"/>
        </w:rPr>
        <w:t>Physical interventions or violence to journalists;</w:t>
      </w:r>
    </w:p>
    <w:p w14:paraId="4BA006A9" w14:textId="77777777" w:rsidR="00BD08D8" w:rsidRPr="00055EB3" w:rsidRDefault="00BD08D8" w:rsidP="00055EB3">
      <w:pPr>
        <w:pStyle w:val="ListParagraph"/>
        <w:numPr>
          <w:ilvl w:val="0"/>
          <w:numId w:val="8"/>
        </w:numPr>
        <w:ind w:left="284" w:hanging="284"/>
        <w:jc w:val="both"/>
        <w:rPr>
          <w:lang w:val="en-GB"/>
        </w:rPr>
      </w:pPr>
      <w:r w:rsidRPr="00055EB3">
        <w:rPr>
          <w:lang w:val="en-GB"/>
        </w:rPr>
        <w:t>Threats against or harassment of journalists;</w:t>
      </w:r>
    </w:p>
    <w:p w14:paraId="552C528A" w14:textId="537916ED" w:rsidR="00BD08D8" w:rsidRPr="00055EB3" w:rsidRDefault="00BD08D8" w:rsidP="00055EB3">
      <w:pPr>
        <w:pStyle w:val="ListParagraph"/>
        <w:numPr>
          <w:ilvl w:val="0"/>
          <w:numId w:val="8"/>
        </w:numPr>
        <w:ind w:left="284" w:hanging="284"/>
        <w:jc w:val="both"/>
        <w:rPr>
          <w:lang w:val="en-GB"/>
        </w:rPr>
      </w:pPr>
      <w:r w:rsidRPr="00055EB3">
        <w:rPr>
          <w:lang w:val="en-GB"/>
        </w:rPr>
        <w:t>Interfering with the content of the journalists</w:t>
      </w:r>
      <w:r w:rsidR="00906A9A" w:rsidRPr="00055EB3">
        <w:rPr>
          <w:lang w:val="en-GB"/>
        </w:rPr>
        <w:t>’</w:t>
      </w:r>
      <w:r w:rsidRPr="00055EB3">
        <w:rPr>
          <w:lang w:val="en-GB"/>
        </w:rPr>
        <w:t xml:space="preserve"> news or comments, making changes to the content of the news or comments without consent, not permitting the publication of the news or comments;</w:t>
      </w:r>
    </w:p>
    <w:p w14:paraId="5198DD4B" w14:textId="20676D79" w:rsidR="00B82ADF" w:rsidRPr="00055EB3" w:rsidRDefault="00BD08D8" w:rsidP="00055EB3">
      <w:pPr>
        <w:pStyle w:val="ListParagraph"/>
        <w:numPr>
          <w:ilvl w:val="0"/>
          <w:numId w:val="8"/>
        </w:numPr>
        <w:ind w:left="284" w:hanging="284"/>
        <w:jc w:val="both"/>
        <w:rPr>
          <w:lang w:val="en-GB"/>
        </w:rPr>
      </w:pPr>
      <w:r w:rsidRPr="00055EB3">
        <w:rPr>
          <w:lang w:val="en-GB"/>
        </w:rPr>
        <w:t>Claims for damages filed by politicians or other people against journalists;</w:t>
      </w:r>
    </w:p>
    <w:p w14:paraId="1B8752E0" w14:textId="77777777" w:rsidR="00BD08D8" w:rsidRPr="00055EB3" w:rsidRDefault="00BD08D8" w:rsidP="00055EB3">
      <w:pPr>
        <w:pStyle w:val="ListParagraph"/>
        <w:numPr>
          <w:ilvl w:val="0"/>
          <w:numId w:val="8"/>
        </w:numPr>
        <w:ind w:left="284" w:hanging="284"/>
        <w:jc w:val="both"/>
        <w:rPr>
          <w:lang w:val="en-GB"/>
        </w:rPr>
      </w:pPr>
      <w:r w:rsidRPr="00055EB3">
        <w:rPr>
          <w:lang w:val="en-GB"/>
        </w:rPr>
        <w:t>Requests to restrict access to journalistic content have been made.</w:t>
      </w:r>
    </w:p>
    <w:p w14:paraId="2F20719B" w14:textId="318314EC" w:rsidR="00BD08D8" w:rsidRPr="00055EB3" w:rsidRDefault="00BD08D8" w:rsidP="00055EB3">
      <w:pPr>
        <w:pStyle w:val="ListParagraph"/>
        <w:numPr>
          <w:ilvl w:val="0"/>
          <w:numId w:val="8"/>
        </w:numPr>
        <w:ind w:left="284" w:hanging="284"/>
        <w:jc w:val="both"/>
        <w:rPr>
          <w:lang w:val="en-GB"/>
        </w:rPr>
      </w:pPr>
      <w:r w:rsidRPr="00055EB3">
        <w:rPr>
          <w:lang w:val="en-GB"/>
        </w:rPr>
        <w:t>Firing journalists.</w:t>
      </w:r>
    </w:p>
    <w:p w14:paraId="07260059" w14:textId="77777777" w:rsidR="00BD08D8" w:rsidRPr="00055EB3" w:rsidRDefault="00BD08D8" w:rsidP="00BD08D8">
      <w:pPr>
        <w:spacing w:line="276" w:lineRule="auto"/>
        <w:jc w:val="both"/>
        <w:rPr>
          <w:lang w:val="en-GB"/>
        </w:rPr>
      </w:pPr>
    </w:p>
    <w:p w14:paraId="4012213D" w14:textId="1542DB6E" w:rsidR="000C3005" w:rsidRPr="00055EB3" w:rsidRDefault="00015588" w:rsidP="00AE6EBE">
      <w:pPr>
        <w:spacing w:line="276" w:lineRule="auto"/>
        <w:jc w:val="both"/>
        <w:rPr>
          <w:lang w:val="en-GB"/>
        </w:rPr>
      </w:pPr>
      <w:r w:rsidRPr="00055EB3">
        <w:rPr>
          <w:b/>
          <w:noProof/>
          <w:color w:val="000000" w:themeColor="text1"/>
        </w:rPr>
        <w:drawing>
          <wp:inline distT="0" distB="0" distL="0" distR="0" wp14:anchorId="40E8C960" wp14:editId="7908F9B3">
            <wp:extent cx="5486400" cy="2193290"/>
            <wp:effectExtent l="0" t="0" r="0" b="1651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A10BFCD" w14:textId="26549582" w:rsidR="006D4E4D" w:rsidRPr="00055EB3" w:rsidRDefault="006D4E4D" w:rsidP="004756C7">
      <w:pPr>
        <w:pStyle w:val="ListParagraph"/>
        <w:numPr>
          <w:ilvl w:val="0"/>
          <w:numId w:val="16"/>
        </w:numPr>
        <w:spacing w:line="276" w:lineRule="auto"/>
        <w:ind w:left="0" w:firstLine="0"/>
        <w:jc w:val="both"/>
        <w:rPr>
          <w:rFonts w:eastAsia="Times New Roman"/>
          <w:color w:val="000000"/>
          <w:lang w:val="en-GB" w:eastAsia="en-GB"/>
        </w:rPr>
      </w:pPr>
      <w:r w:rsidRPr="00055EB3">
        <w:rPr>
          <w:rFonts w:eastAsia="Times New Roman"/>
          <w:color w:val="000000"/>
          <w:lang w:val="en-GB" w:eastAsia="en-GB"/>
        </w:rPr>
        <w:t xml:space="preserve">Murder is the most extreme form of interference against journalists. In the past decade, at least three journalists have been killed because of their work. One of the most notable cases was the assassination of Jamal Khashoggi, a Saudi journalist and columnist for *Middle East </w:t>
      </w:r>
      <w:r w:rsidRPr="00055EB3">
        <w:rPr>
          <w:rFonts w:eastAsia="Times New Roman"/>
          <w:color w:val="000000"/>
          <w:lang w:val="en-GB" w:eastAsia="en-GB"/>
        </w:rPr>
        <w:lastRenderedPageBreak/>
        <w:t xml:space="preserve">Eye* and *The Washington Post*, at the Saudi Consulate in Istanbul on October 2, 2018. Despite a trial in Saudi Arabia, many suspects were acquitted. A Turkish court later transferred the case to Saudi Arabia in 2022 under the guise of </w:t>
      </w:r>
      <w:r w:rsidR="00906A9A" w:rsidRPr="00055EB3">
        <w:rPr>
          <w:rFonts w:eastAsia="Times New Roman"/>
          <w:color w:val="000000"/>
          <w:lang w:val="en-GB" w:eastAsia="en-GB"/>
        </w:rPr>
        <w:t>“</w:t>
      </w:r>
      <w:r w:rsidRPr="00055EB3">
        <w:rPr>
          <w:rFonts w:eastAsia="Times New Roman"/>
          <w:color w:val="000000"/>
          <w:lang w:val="en-GB" w:eastAsia="en-GB"/>
        </w:rPr>
        <w:t>judicial cooperation</w:t>
      </w:r>
      <w:r w:rsidRPr="00055EB3">
        <w:rPr>
          <w:rStyle w:val="FootnoteReference"/>
          <w:lang w:val="en-GB"/>
        </w:rPr>
        <w:footnoteReference w:id="45"/>
      </w:r>
      <w:r w:rsidRPr="00055EB3">
        <w:rPr>
          <w:rFonts w:eastAsia="Times New Roman"/>
          <w:color w:val="000000"/>
          <w:lang w:val="en-GB" w:eastAsia="en-GB"/>
        </w:rPr>
        <w:t>.</w:t>
      </w:r>
      <w:r w:rsidR="00906A9A" w:rsidRPr="00055EB3">
        <w:rPr>
          <w:rFonts w:eastAsia="Times New Roman"/>
          <w:color w:val="000000"/>
          <w:lang w:val="en-GB" w:eastAsia="en-GB"/>
        </w:rPr>
        <w:t>”</w:t>
      </w:r>
      <w:r w:rsidRPr="00055EB3">
        <w:rPr>
          <w:rFonts w:eastAsia="Times New Roman"/>
          <w:color w:val="000000"/>
          <w:lang w:val="en-GB" w:eastAsia="en-GB"/>
        </w:rPr>
        <w:t xml:space="preserve"> In 2019, Saudi authorities closed the case after convicting eight individuals in a non-transparent trial, according to Amnesty International</w:t>
      </w:r>
      <w:r w:rsidRPr="00055EB3">
        <w:rPr>
          <w:rStyle w:val="FootnoteReference"/>
          <w:lang w:val="en-GB"/>
        </w:rPr>
        <w:footnoteReference w:id="46"/>
      </w:r>
      <w:r w:rsidRPr="00055EB3">
        <w:rPr>
          <w:rFonts w:eastAsia="Times New Roman"/>
          <w:color w:val="000000"/>
          <w:lang w:val="en-GB" w:eastAsia="en-GB"/>
        </w:rPr>
        <w:t>. In 2021, Hazım Özsu, a radio presenter at Rahmet FM in Bursa, was murdered by a listener who disagreed with his comments. In 2022, Güngör Arslan, the owner of the local newspaper *Kocaeli Ses*, was killed in his office after publishing reports on corruption in public tenders</w:t>
      </w:r>
      <w:r w:rsidRPr="00055EB3">
        <w:rPr>
          <w:rStyle w:val="FootnoteReference"/>
          <w:lang w:val="en-GB"/>
        </w:rPr>
        <w:footnoteReference w:id="47"/>
      </w:r>
      <w:r w:rsidRPr="00055EB3">
        <w:rPr>
          <w:rFonts w:eastAsia="Times New Roman"/>
          <w:color w:val="000000"/>
          <w:lang w:val="en-GB" w:eastAsia="en-GB"/>
        </w:rPr>
        <w:t>.</w:t>
      </w:r>
    </w:p>
    <w:p w14:paraId="332439E9" w14:textId="173871FC" w:rsidR="0056278B" w:rsidRPr="00055EB3" w:rsidRDefault="00823464" w:rsidP="004756C7">
      <w:pPr>
        <w:pStyle w:val="ListParagraph"/>
        <w:numPr>
          <w:ilvl w:val="0"/>
          <w:numId w:val="16"/>
        </w:numPr>
        <w:spacing w:line="276" w:lineRule="auto"/>
        <w:ind w:left="0" w:firstLine="0"/>
        <w:jc w:val="both"/>
        <w:rPr>
          <w:lang w:val="en-GB"/>
        </w:rPr>
      </w:pPr>
      <w:r w:rsidRPr="00055EB3">
        <w:rPr>
          <w:lang w:val="en-GB"/>
        </w:rPr>
        <w:t>The authorities are unable to effectively investigate and sanction those who commit acts against critical journalists, and physical attacks on journalists are a frequent occurrence. For instance, journalists Umut Yaygır and Özcan Saraç were physically assaulted in Konya by a group of 10-15 individuals. This incident served as a reminder of the escalation of violence that ensued following the 2019 local elections, which targeted journalists from national and local media outlets that were critical of the government.</w:t>
      </w:r>
      <w:r w:rsidR="0012623D" w:rsidRPr="00055EB3">
        <w:rPr>
          <w:rStyle w:val="FootnoteReference"/>
          <w:lang w:val="en-GB"/>
        </w:rPr>
        <w:footnoteReference w:id="48"/>
      </w:r>
      <w:r w:rsidR="0080347A" w:rsidRPr="00055EB3">
        <w:rPr>
          <w:lang w:val="en-GB"/>
        </w:rPr>
        <w:t xml:space="preserve"> </w:t>
      </w:r>
      <w:r w:rsidR="0056278B" w:rsidRPr="00055EB3">
        <w:rPr>
          <w:lang w:val="en-GB"/>
        </w:rPr>
        <w:t>In recent years, numerous journalists, including İbrahim Akkuş, Arif Kocabıyık, Deniz Önal, Mehmet Karakeçili, Erdoğan Adıyaman, Azim Deniz, Yasin İpek, and Sinan Aygül, have been subjected to attacks by third parties.</w:t>
      </w:r>
      <w:r w:rsidR="0056278B" w:rsidRPr="00055EB3">
        <w:rPr>
          <w:rStyle w:val="FootnoteReference"/>
          <w:lang w:val="en-GB"/>
        </w:rPr>
        <w:footnoteReference w:id="49"/>
      </w:r>
    </w:p>
    <w:p w14:paraId="42C41464" w14:textId="77777777" w:rsidR="00446159" w:rsidRPr="00055EB3" w:rsidRDefault="00446159" w:rsidP="00AE6EBE">
      <w:pPr>
        <w:spacing w:line="276" w:lineRule="auto"/>
        <w:jc w:val="both"/>
        <w:rPr>
          <w:color w:val="000000"/>
          <w:lang w:val="en-GB"/>
        </w:rPr>
      </w:pPr>
    </w:p>
    <w:p w14:paraId="59F13E9C" w14:textId="50922BC8" w:rsidR="008C7979" w:rsidRPr="00055EB3" w:rsidRDefault="00AE6EBE" w:rsidP="00AE6EBE">
      <w:pPr>
        <w:pStyle w:val="Heading1"/>
        <w:spacing w:before="0" w:line="276" w:lineRule="auto"/>
        <w:jc w:val="center"/>
        <w:rPr>
          <w:rFonts w:ascii="Times New Roman" w:eastAsia="Times New Roman" w:hAnsi="Times New Roman" w:cs="Times New Roman"/>
          <w:b/>
          <w:color w:val="000000" w:themeColor="text1"/>
          <w:sz w:val="28"/>
          <w:szCs w:val="28"/>
          <w:lang w:val="en-GB"/>
        </w:rPr>
      </w:pPr>
      <w:bookmarkStart w:id="15" w:name="_Toc177388616"/>
      <w:r w:rsidRPr="00055EB3">
        <w:rPr>
          <w:rFonts w:ascii="Times New Roman" w:eastAsia="Times New Roman" w:hAnsi="Times New Roman" w:cs="Times New Roman"/>
          <w:b/>
          <w:color w:val="000000" w:themeColor="text1"/>
          <w:sz w:val="28"/>
          <w:szCs w:val="28"/>
          <w:lang w:val="en-GB"/>
        </w:rPr>
        <w:t>II. Violence Against W</w:t>
      </w:r>
      <w:r w:rsidR="00D202BB" w:rsidRPr="00055EB3">
        <w:rPr>
          <w:rFonts w:ascii="Times New Roman" w:eastAsia="Times New Roman" w:hAnsi="Times New Roman" w:cs="Times New Roman"/>
          <w:b/>
          <w:color w:val="000000" w:themeColor="text1"/>
          <w:sz w:val="28"/>
          <w:szCs w:val="28"/>
          <w:lang w:val="en-GB"/>
        </w:rPr>
        <w:t>omen (A</w:t>
      </w:r>
      <w:r w:rsidR="008C7979" w:rsidRPr="00055EB3">
        <w:rPr>
          <w:rFonts w:ascii="Times New Roman" w:eastAsia="Times New Roman" w:hAnsi="Times New Roman" w:cs="Times New Roman"/>
          <w:b/>
          <w:color w:val="000000" w:themeColor="text1"/>
          <w:sz w:val="28"/>
          <w:szCs w:val="28"/>
          <w:lang w:val="en-GB"/>
        </w:rPr>
        <w:t>rts. 2, 3, 6, 7 and 26)</w:t>
      </w:r>
      <w:bookmarkEnd w:id="15"/>
    </w:p>
    <w:p w14:paraId="75D2F49F" w14:textId="77777777" w:rsidR="008C7979" w:rsidRPr="00055EB3" w:rsidRDefault="008C7979" w:rsidP="00AE6EBE">
      <w:pPr>
        <w:spacing w:line="276" w:lineRule="auto"/>
        <w:jc w:val="both"/>
        <w:outlineLvl w:val="2"/>
        <w:rPr>
          <w:rFonts w:eastAsia="Times New Roman"/>
          <w:b/>
          <w:bCs/>
          <w:color w:val="000000"/>
          <w:lang w:val="en-GB"/>
        </w:rPr>
      </w:pPr>
    </w:p>
    <w:p w14:paraId="22FABE8E" w14:textId="4B642701" w:rsidR="00D023C1" w:rsidRPr="00055EB3" w:rsidRDefault="00D023C1" w:rsidP="00D023C1">
      <w:pPr>
        <w:pStyle w:val="ListParagraph"/>
        <w:numPr>
          <w:ilvl w:val="0"/>
          <w:numId w:val="16"/>
        </w:numPr>
        <w:spacing w:line="276" w:lineRule="auto"/>
        <w:ind w:left="0" w:firstLine="0"/>
        <w:jc w:val="both"/>
        <w:outlineLvl w:val="2"/>
        <w:rPr>
          <w:rFonts w:eastAsia="Times New Roman"/>
          <w:bCs/>
          <w:color w:val="000000"/>
          <w:lang w:val="en-GB"/>
        </w:rPr>
      </w:pPr>
      <w:r w:rsidRPr="00055EB3">
        <w:rPr>
          <w:rFonts w:eastAsia="Times New Roman"/>
          <w:bCs/>
          <w:color w:val="000000"/>
          <w:lang w:val="en-GB"/>
        </w:rPr>
        <w:t xml:space="preserve">bianet compiles and reports cases of violence and abuse against women and children from local and national newspapers, news websites, and agencies on a regular basis under the title </w:t>
      </w:r>
      <w:r w:rsidR="00906A9A" w:rsidRPr="00055EB3">
        <w:rPr>
          <w:rFonts w:eastAsia="Times New Roman"/>
          <w:bCs/>
          <w:color w:val="000000"/>
          <w:lang w:val="en-GB"/>
        </w:rPr>
        <w:t>“</w:t>
      </w:r>
      <w:r w:rsidRPr="00055EB3">
        <w:rPr>
          <w:rFonts w:eastAsia="Times New Roman"/>
          <w:bCs/>
          <w:color w:val="000000"/>
          <w:lang w:val="en-GB"/>
        </w:rPr>
        <w:t>Male Violence Tally.</w:t>
      </w:r>
      <w:r w:rsidR="00906A9A" w:rsidRPr="00055EB3">
        <w:rPr>
          <w:rFonts w:eastAsia="Times New Roman"/>
          <w:bCs/>
          <w:color w:val="000000"/>
          <w:lang w:val="en-GB"/>
        </w:rPr>
        <w:t>”</w:t>
      </w:r>
      <w:r w:rsidRPr="00055EB3">
        <w:rPr>
          <w:rStyle w:val="FootnoteReference"/>
          <w:rFonts w:eastAsia="Times New Roman"/>
          <w:bCs/>
          <w:color w:val="000000"/>
          <w:lang w:val="en-GB"/>
        </w:rPr>
        <w:footnoteReference w:id="50"/>
      </w:r>
      <w:r w:rsidRPr="00055EB3">
        <w:rPr>
          <w:rFonts w:eastAsia="Times New Roman"/>
          <w:bCs/>
          <w:color w:val="000000"/>
          <w:lang w:val="en-GB"/>
        </w:rPr>
        <w:t xml:space="preserve"> Objections to the use of sexist language in newspapers to replicate violence, the justification of violence against women in these news reports, and the isolation of these incidents due to a lack of research and concrete data sparked the idea of maintaining a tally of male violence. It is important to acknowledge that the data in the reports are consistently presented as </w:t>
      </w:r>
      <w:r w:rsidR="00906A9A" w:rsidRPr="00055EB3">
        <w:rPr>
          <w:rFonts w:eastAsia="Times New Roman"/>
          <w:bCs/>
          <w:color w:val="000000"/>
          <w:lang w:val="en-GB"/>
        </w:rPr>
        <w:t>“</w:t>
      </w:r>
      <w:r w:rsidRPr="00055EB3">
        <w:rPr>
          <w:rFonts w:eastAsia="Times New Roman"/>
          <w:bCs/>
          <w:color w:val="000000"/>
          <w:lang w:val="en-GB"/>
        </w:rPr>
        <w:t>at least</w:t>
      </w:r>
      <w:r w:rsidR="00906A9A" w:rsidRPr="00055EB3">
        <w:rPr>
          <w:rFonts w:eastAsia="Times New Roman"/>
          <w:bCs/>
          <w:color w:val="000000"/>
          <w:lang w:val="en-GB"/>
        </w:rPr>
        <w:t>”</w:t>
      </w:r>
      <w:r w:rsidRPr="00055EB3">
        <w:rPr>
          <w:rFonts w:eastAsia="Times New Roman"/>
          <w:bCs/>
          <w:color w:val="000000"/>
          <w:lang w:val="en-GB"/>
        </w:rPr>
        <w:t xml:space="preserve"> and only represent a small portion of the overall picture.</w:t>
      </w:r>
      <w:r w:rsidRPr="00055EB3">
        <w:rPr>
          <w:rStyle w:val="FootnoteReference"/>
          <w:rFonts w:eastAsia="Times New Roman"/>
          <w:bCs/>
          <w:color w:val="000000"/>
          <w:lang w:val="en-GB"/>
        </w:rPr>
        <w:footnoteReference w:id="51"/>
      </w:r>
    </w:p>
    <w:p w14:paraId="1438D8E4" w14:textId="77777777" w:rsidR="00D023C1" w:rsidRPr="00055EB3" w:rsidRDefault="00D023C1" w:rsidP="00D023C1">
      <w:pPr>
        <w:pStyle w:val="ListParagraph"/>
        <w:numPr>
          <w:ilvl w:val="0"/>
          <w:numId w:val="16"/>
        </w:numPr>
        <w:spacing w:line="276" w:lineRule="auto"/>
        <w:ind w:left="0" w:firstLine="0"/>
        <w:jc w:val="both"/>
        <w:outlineLvl w:val="2"/>
        <w:rPr>
          <w:rFonts w:eastAsia="Times New Roman"/>
          <w:bCs/>
          <w:color w:val="000000"/>
          <w:lang w:val="en-GB"/>
        </w:rPr>
      </w:pPr>
      <w:r w:rsidRPr="00055EB3">
        <w:rPr>
          <w:lang w:val="en-GB"/>
        </w:rPr>
        <w:t xml:space="preserve">According to the Male Violence Tally, a significant number of the murdered women (e.g., 46 women in 2023) were slain in spite of the existence of a protection or restraining order or in response to such a request.  Men killed at least 233 women in their residences and 83 of </w:t>
      </w:r>
      <w:r w:rsidRPr="00055EB3">
        <w:rPr>
          <w:lang w:val="en-GB"/>
        </w:rPr>
        <w:lastRenderedPageBreak/>
        <w:t>them outside in 2023. This suggests that there are substantial issues with the current legal framework and its implementation.</w:t>
      </w:r>
    </w:p>
    <w:p w14:paraId="62FD0347" w14:textId="3890222D" w:rsidR="00D023C1" w:rsidRPr="00055EB3" w:rsidRDefault="00D023C1" w:rsidP="00D023C1">
      <w:pPr>
        <w:pStyle w:val="ListParagraph"/>
        <w:numPr>
          <w:ilvl w:val="0"/>
          <w:numId w:val="16"/>
        </w:numPr>
        <w:spacing w:line="276" w:lineRule="auto"/>
        <w:ind w:left="0" w:firstLine="0"/>
        <w:jc w:val="both"/>
        <w:outlineLvl w:val="2"/>
        <w:rPr>
          <w:rFonts w:eastAsia="Times New Roman"/>
          <w:bCs/>
          <w:color w:val="000000"/>
          <w:lang w:val="en-GB"/>
        </w:rPr>
      </w:pPr>
      <w:r w:rsidRPr="00055EB3">
        <w:rPr>
          <w:rFonts w:eastAsia="Times New Roman"/>
          <w:bCs/>
          <w:color w:val="000000"/>
          <w:lang w:val="en-GB"/>
        </w:rPr>
        <w:t>Despite being one of the first countries to sign and ratify the Istanbul Convention</w:t>
      </w:r>
      <w:r w:rsidRPr="00394A67">
        <w:rPr>
          <w:rFonts w:eastAsia="Times New Roman"/>
          <w:bCs/>
          <w:color w:val="000000"/>
          <w:vertAlign w:val="superscript"/>
          <w:lang w:val="en-GB"/>
        </w:rPr>
        <w:footnoteReference w:id="52"/>
      </w:r>
      <w:r w:rsidRPr="00055EB3">
        <w:rPr>
          <w:rFonts w:eastAsia="Times New Roman"/>
          <w:bCs/>
          <w:color w:val="000000"/>
          <w:lang w:val="en-GB"/>
        </w:rPr>
        <w:t xml:space="preserve">, Türkiye withdrew from it on July 1, 2021, amid increasing homophobic and anti-gender rhetoric in its politics. The Convention was originally signed in Istanbul and ratified unanimously by all political parties in the Turkish Parliament. However, the government justified its withdrawal by claiming the Convention had been </w:t>
      </w:r>
      <w:r w:rsidR="00906A9A" w:rsidRPr="00055EB3">
        <w:rPr>
          <w:rFonts w:eastAsia="Times New Roman"/>
          <w:bCs/>
          <w:color w:val="000000"/>
          <w:lang w:val="en-GB"/>
        </w:rPr>
        <w:t>“</w:t>
      </w:r>
      <w:r w:rsidRPr="00055EB3">
        <w:rPr>
          <w:rFonts w:eastAsia="Times New Roman"/>
          <w:bCs/>
          <w:color w:val="000000"/>
          <w:lang w:val="en-GB"/>
        </w:rPr>
        <w:t>hijacked by a group of people attempting to normalize homosexuality,</w:t>
      </w:r>
      <w:r w:rsidR="00906A9A" w:rsidRPr="00055EB3">
        <w:rPr>
          <w:rFonts w:eastAsia="Times New Roman"/>
          <w:bCs/>
          <w:color w:val="000000"/>
          <w:lang w:val="en-GB"/>
        </w:rPr>
        <w:t>”</w:t>
      </w:r>
      <w:r w:rsidRPr="00394A67">
        <w:rPr>
          <w:rStyle w:val="FootnoteTextChar1"/>
          <w:vertAlign w:val="superscript"/>
        </w:rPr>
        <w:footnoteReference w:id="53"/>
      </w:r>
      <w:r w:rsidRPr="00055EB3">
        <w:rPr>
          <w:rFonts w:eastAsia="Times New Roman"/>
          <w:bCs/>
          <w:color w:val="000000"/>
          <w:lang w:val="en-GB"/>
        </w:rPr>
        <w:t xml:space="preserve"> which they argued conflicted with Türkiye</w:t>
      </w:r>
      <w:r w:rsidR="00906A9A" w:rsidRPr="00055EB3">
        <w:rPr>
          <w:rFonts w:eastAsia="Times New Roman"/>
          <w:bCs/>
          <w:color w:val="000000"/>
          <w:lang w:val="en-GB"/>
        </w:rPr>
        <w:t>’</w:t>
      </w:r>
      <w:r w:rsidRPr="00055EB3">
        <w:rPr>
          <w:rFonts w:eastAsia="Times New Roman"/>
          <w:bCs/>
          <w:color w:val="000000"/>
          <w:lang w:val="en-GB"/>
        </w:rPr>
        <w:t>s social and familial values. This withdrawal has led to a significant rise in violence against women and contributed to the normalization of violence in Turkish society.</w:t>
      </w:r>
    </w:p>
    <w:p w14:paraId="3E6CAAF7" w14:textId="409E3FBF" w:rsidR="00D023C1" w:rsidRPr="00055EB3" w:rsidRDefault="00D023C1" w:rsidP="00D023C1">
      <w:pPr>
        <w:pStyle w:val="ListParagraph"/>
        <w:numPr>
          <w:ilvl w:val="0"/>
          <w:numId w:val="16"/>
        </w:numPr>
        <w:spacing w:line="276" w:lineRule="auto"/>
        <w:ind w:left="0" w:firstLine="0"/>
        <w:jc w:val="both"/>
        <w:outlineLvl w:val="2"/>
        <w:rPr>
          <w:rFonts w:eastAsia="Times New Roman"/>
          <w:bCs/>
          <w:color w:val="000000"/>
          <w:lang w:val="en-GB"/>
        </w:rPr>
      </w:pPr>
      <w:r w:rsidRPr="00055EB3">
        <w:rPr>
          <w:rFonts w:eastAsia="Times New Roman"/>
          <w:bCs/>
          <w:color w:val="000000"/>
          <w:lang w:val="en-GB"/>
        </w:rPr>
        <w:t>The Committee solicited information on three issues in its LoIPR published in 2021. Upon examining the State Party</w:t>
      </w:r>
      <w:r w:rsidR="00906A9A" w:rsidRPr="00055EB3">
        <w:rPr>
          <w:rFonts w:eastAsia="Times New Roman"/>
          <w:bCs/>
          <w:color w:val="000000"/>
          <w:lang w:val="en-GB"/>
        </w:rPr>
        <w:t>’</w:t>
      </w:r>
      <w:r w:rsidRPr="00055EB3">
        <w:rPr>
          <w:rFonts w:eastAsia="Times New Roman"/>
          <w:bCs/>
          <w:color w:val="000000"/>
          <w:lang w:val="en-GB"/>
        </w:rPr>
        <w:t>s report, it is evident that either the committee was not provided with any current information regarding the issues identified in LoIPR or the information that was provided was quite inadequate. As noted by the State Party, the TCC includes aggravating circumstances for offences against women.</w:t>
      </w:r>
      <w:r w:rsidRPr="00055EB3">
        <w:rPr>
          <w:rStyle w:val="FootnoteReference"/>
          <w:rFonts w:eastAsia="Times New Roman"/>
          <w:lang w:val="en-GB"/>
        </w:rPr>
        <w:footnoteReference w:id="54"/>
      </w:r>
      <w:r w:rsidRPr="00055EB3">
        <w:rPr>
          <w:rFonts w:eastAsia="Times New Roman"/>
          <w:bCs/>
          <w:color w:val="000000"/>
          <w:lang w:val="en-GB"/>
        </w:rPr>
        <w:t xml:space="preserve"> Nevertheless, this fails to adequately resolve the matter, rendering it impossible to ascertain the effective implementation of the pertinent provisions. The data presented below, which serves as illustrations, indicates that the number of violent incidents has not decreased and that the legal framework remains ineffective.</w:t>
      </w:r>
    </w:p>
    <w:p w14:paraId="7A7702AB" w14:textId="77777777" w:rsidR="00D023C1" w:rsidRPr="00055EB3" w:rsidRDefault="00D023C1" w:rsidP="00D023C1">
      <w:pPr>
        <w:pStyle w:val="ListParagraph"/>
        <w:spacing w:line="276" w:lineRule="auto"/>
        <w:ind w:left="0"/>
        <w:jc w:val="both"/>
        <w:outlineLvl w:val="2"/>
        <w:rPr>
          <w:rFonts w:eastAsia="Times New Roman"/>
          <w:bCs/>
          <w:color w:val="000000"/>
          <w:highlight w:val="yellow"/>
          <w:lang w:val="en-GB"/>
        </w:rPr>
      </w:pPr>
    </w:p>
    <w:p w14:paraId="59B72750" w14:textId="215625B0" w:rsidR="00723D32" w:rsidRPr="00055EB3" w:rsidRDefault="00723D32" w:rsidP="00D023C1">
      <w:pPr>
        <w:spacing w:line="276" w:lineRule="auto"/>
        <w:rPr>
          <w:lang w:val="en-GB"/>
        </w:rPr>
      </w:pPr>
      <w:r w:rsidRPr="00055EB3">
        <w:rPr>
          <w:noProof/>
        </w:rPr>
        <w:drawing>
          <wp:inline distT="0" distB="0" distL="0" distR="0" wp14:anchorId="00F08551" wp14:editId="0A2AD37F">
            <wp:extent cx="5486400" cy="3331308"/>
            <wp:effectExtent l="0" t="0" r="0" b="2159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32091A0" w14:textId="77777777" w:rsidR="004C742E" w:rsidRPr="00055EB3" w:rsidRDefault="004C742E" w:rsidP="004C742E">
      <w:pPr>
        <w:pStyle w:val="ListParagraph"/>
        <w:spacing w:line="276" w:lineRule="auto"/>
        <w:ind w:left="0"/>
        <w:jc w:val="both"/>
        <w:rPr>
          <w:lang w:val="en-GB"/>
        </w:rPr>
      </w:pPr>
    </w:p>
    <w:p w14:paraId="0E94EEA6" w14:textId="6BABEC6F" w:rsidR="00F40B5D" w:rsidRPr="00055EB3" w:rsidRDefault="00520D11" w:rsidP="004C742E">
      <w:pPr>
        <w:pStyle w:val="Heading1"/>
        <w:spacing w:before="0" w:line="276" w:lineRule="auto"/>
        <w:jc w:val="center"/>
        <w:rPr>
          <w:rFonts w:ascii="Times New Roman" w:hAnsi="Times New Roman" w:cs="Times New Roman"/>
          <w:b/>
          <w:sz w:val="28"/>
          <w:szCs w:val="28"/>
          <w:lang w:val="en-GB"/>
        </w:rPr>
      </w:pPr>
      <w:bookmarkStart w:id="16" w:name="_Toc177388617"/>
      <w:r w:rsidRPr="00055EB3">
        <w:rPr>
          <w:rFonts w:ascii="Times New Roman" w:hAnsi="Times New Roman" w:cs="Times New Roman"/>
          <w:b/>
          <w:color w:val="000000" w:themeColor="text1"/>
          <w:sz w:val="28"/>
          <w:szCs w:val="28"/>
          <w:lang w:val="en-GB"/>
        </w:rPr>
        <w:lastRenderedPageBreak/>
        <w:t xml:space="preserve">Suggested </w:t>
      </w:r>
      <w:r w:rsidR="00D202BB" w:rsidRPr="00055EB3">
        <w:rPr>
          <w:rFonts w:ascii="Times New Roman" w:hAnsi="Times New Roman" w:cs="Times New Roman"/>
          <w:b/>
          <w:color w:val="000000" w:themeColor="text1"/>
          <w:sz w:val="28"/>
          <w:szCs w:val="28"/>
          <w:lang w:val="en-GB"/>
        </w:rPr>
        <w:t>Recommendations</w:t>
      </w:r>
      <w:bookmarkEnd w:id="16"/>
    </w:p>
    <w:p w14:paraId="7639871A" w14:textId="77777777" w:rsidR="00261F69" w:rsidRPr="00055EB3" w:rsidRDefault="00261F69" w:rsidP="00905FC6">
      <w:pPr>
        <w:pStyle w:val="ListParagraph"/>
        <w:spacing w:line="276" w:lineRule="auto"/>
        <w:ind w:left="0"/>
        <w:jc w:val="both"/>
        <w:rPr>
          <w:rFonts w:eastAsia="Times New Roman"/>
          <w:lang w:val="en-GB"/>
        </w:rPr>
      </w:pPr>
    </w:p>
    <w:p w14:paraId="3AC960A1" w14:textId="1F648BA0" w:rsidR="00905FC6" w:rsidRPr="00055EB3" w:rsidRDefault="00047389" w:rsidP="00905FC6">
      <w:pPr>
        <w:pStyle w:val="ListParagraph"/>
        <w:spacing w:line="276" w:lineRule="auto"/>
        <w:ind w:left="0"/>
        <w:jc w:val="both"/>
        <w:rPr>
          <w:rFonts w:eastAsia="Times New Roman"/>
          <w:lang w:val="en-GB"/>
        </w:rPr>
      </w:pPr>
      <w:r w:rsidRPr="00055EB3">
        <w:rPr>
          <w:rFonts w:eastAsia="Times New Roman"/>
          <w:lang w:val="en-GB"/>
        </w:rPr>
        <w:t>bianet</w:t>
      </w:r>
      <w:r w:rsidR="00261F69" w:rsidRPr="00055EB3">
        <w:rPr>
          <w:rFonts w:eastAsia="Times New Roman"/>
          <w:lang w:val="en-GB"/>
        </w:rPr>
        <w:t xml:space="preserve"> draws the Committee</w:t>
      </w:r>
      <w:r w:rsidR="00906A9A" w:rsidRPr="00055EB3">
        <w:rPr>
          <w:rFonts w:eastAsia="Times New Roman"/>
          <w:lang w:val="en-GB"/>
        </w:rPr>
        <w:t>’</w:t>
      </w:r>
      <w:r w:rsidR="00261F69" w:rsidRPr="00055EB3">
        <w:rPr>
          <w:rFonts w:eastAsia="Times New Roman"/>
          <w:lang w:val="en-GB"/>
        </w:rPr>
        <w:t>s attention to the following recommendations in light of the aforementioned information and concerns:</w:t>
      </w:r>
    </w:p>
    <w:p w14:paraId="6366B4F8" w14:textId="77777777" w:rsidR="00261F69" w:rsidRPr="00055EB3" w:rsidRDefault="00261F69" w:rsidP="00905FC6">
      <w:pPr>
        <w:pStyle w:val="ListParagraph"/>
        <w:spacing w:line="276" w:lineRule="auto"/>
        <w:ind w:left="0"/>
        <w:jc w:val="both"/>
        <w:rPr>
          <w:lang w:val="en-GB"/>
        </w:rPr>
      </w:pPr>
    </w:p>
    <w:p w14:paraId="2C45D82A" w14:textId="4F18B952" w:rsidR="00327480" w:rsidRPr="00055EB3" w:rsidRDefault="00EB5C9B" w:rsidP="00055EB3">
      <w:pPr>
        <w:pStyle w:val="ListParagraph"/>
        <w:numPr>
          <w:ilvl w:val="0"/>
          <w:numId w:val="9"/>
        </w:numPr>
        <w:spacing w:line="276" w:lineRule="auto"/>
        <w:ind w:left="284" w:hanging="284"/>
        <w:jc w:val="both"/>
        <w:rPr>
          <w:lang w:val="en-GB"/>
        </w:rPr>
      </w:pPr>
      <w:r w:rsidRPr="00055EB3">
        <w:rPr>
          <w:lang w:val="en-GB"/>
        </w:rPr>
        <w:t xml:space="preserve">Türkiye should raise awareness </w:t>
      </w:r>
      <w:r w:rsidR="00520D11" w:rsidRPr="00055EB3">
        <w:rPr>
          <w:lang w:val="en-GB"/>
        </w:rPr>
        <w:t>about</w:t>
      </w:r>
      <w:r w:rsidRPr="00055EB3">
        <w:rPr>
          <w:lang w:val="en-GB"/>
        </w:rPr>
        <w:t xml:space="preserve"> the provisions </w:t>
      </w:r>
      <w:r w:rsidR="00520D11" w:rsidRPr="00055EB3">
        <w:rPr>
          <w:lang w:val="en-GB"/>
        </w:rPr>
        <w:t xml:space="preserve">enshrined in the International Covenant on Civil and Political Rights (ICCPR) and </w:t>
      </w:r>
      <w:r w:rsidRPr="00055EB3">
        <w:rPr>
          <w:lang w:val="en-GB"/>
        </w:rPr>
        <w:t>the recommendations made by the Committee in 20</w:t>
      </w:r>
      <w:r w:rsidR="004756C7" w:rsidRPr="00055EB3">
        <w:rPr>
          <w:lang w:val="en-GB"/>
        </w:rPr>
        <w:t>12</w:t>
      </w:r>
      <w:r w:rsidRPr="00055EB3">
        <w:rPr>
          <w:lang w:val="en-GB"/>
        </w:rPr>
        <w:t xml:space="preserve"> as the majority of society and the judiciary are unaware of it.</w:t>
      </w:r>
    </w:p>
    <w:p w14:paraId="653DBED4" w14:textId="3CFB2220" w:rsidR="00327480" w:rsidRPr="00055EB3" w:rsidRDefault="00327480" w:rsidP="00055EB3">
      <w:pPr>
        <w:pStyle w:val="ListParagraph"/>
        <w:numPr>
          <w:ilvl w:val="0"/>
          <w:numId w:val="9"/>
        </w:numPr>
        <w:spacing w:line="276" w:lineRule="auto"/>
        <w:ind w:left="284" w:hanging="284"/>
        <w:jc w:val="both"/>
        <w:rPr>
          <w:lang w:val="en-GB"/>
        </w:rPr>
      </w:pPr>
      <w:r w:rsidRPr="00055EB3">
        <w:rPr>
          <w:rFonts w:eastAsia="Times New Roman"/>
          <w:lang w:val="en-GB"/>
        </w:rPr>
        <w:t xml:space="preserve">To the greatest extent possible, </w:t>
      </w:r>
      <w:r w:rsidR="00066658" w:rsidRPr="00055EB3">
        <w:rPr>
          <w:rFonts w:eastAsia="Times New Roman"/>
          <w:lang w:val="en-GB"/>
        </w:rPr>
        <w:t>Türkiye</w:t>
      </w:r>
      <w:r w:rsidRPr="00055EB3">
        <w:rPr>
          <w:rFonts w:eastAsia="Times New Roman"/>
          <w:lang w:val="en-GB"/>
        </w:rPr>
        <w:t xml:space="preserve"> should prepare the third periodic report in consultation with civil society and not delay its submission to the Committee.</w:t>
      </w:r>
    </w:p>
    <w:p w14:paraId="55AD2E3D" w14:textId="6B1FB025" w:rsidR="00520D11" w:rsidRPr="00055EB3" w:rsidRDefault="00520D11" w:rsidP="00055EB3">
      <w:pPr>
        <w:pStyle w:val="ListParagraph"/>
        <w:numPr>
          <w:ilvl w:val="0"/>
          <w:numId w:val="9"/>
        </w:numPr>
        <w:spacing w:line="276" w:lineRule="auto"/>
        <w:ind w:left="284" w:hanging="284"/>
        <w:jc w:val="both"/>
        <w:rPr>
          <w:rFonts w:eastAsia="Times New Roman"/>
          <w:lang w:val="en-GB"/>
        </w:rPr>
      </w:pPr>
      <w:r w:rsidRPr="00055EB3">
        <w:rPr>
          <w:rFonts w:eastAsia="Times New Roman"/>
          <w:lang w:val="en-GB"/>
        </w:rPr>
        <w:t>Türkiye should intensify its efforts to implement the previous concluding observations, address the recommendations and criticisms, and engage in a more constructive dialogue with the Committee, given the lack of progress and inadequate information provided so far.</w:t>
      </w:r>
    </w:p>
    <w:p w14:paraId="5B66EBD5" w14:textId="114A9835" w:rsidR="00520D11" w:rsidRPr="00055EB3" w:rsidRDefault="00520D11" w:rsidP="00055EB3">
      <w:pPr>
        <w:pStyle w:val="ListParagraph"/>
        <w:numPr>
          <w:ilvl w:val="0"/>
          <w:numId w:val="9"/>
        </w:numPr>
        <w:spacing w:line="276" w:lineRule="auto"/>
        <w:ind w:left="284" w:hanging="284"/>
        <w:jc w:val="both"/>
        <w:rPr>
          <w:rFonts w:eastAsia="Times New Roman"/>
          <w:lang w:val="en-GB"/>
        </w:rPr>
      </w:pPr>
      <w:r w:rsidRPr="00055EB3">
        <w:rPr>
          <w:rFonts w:eastAsia="Times New Roman"/>
          <w:lang w:val="en-GB"/>
        </w:rPr>
        <w:t xml:space="preserve">The </w:t>
      </w:r>
      <w:r w:rsidR="006D468D">
        <w:rPr>
          <w:rFonts w:eastAsia="Times New Roman"/>
          <w:lang w:val="en-GB"/>
        </w:rPr>
        <w:t>State Party</w:t>
      </w:r>
      <w:r w:rsidRPr="00055EB3">
        <w:rPr>
          <w:rFonts w:eastAsia="Times New Roman"/>
          <w:lang w:val="en-GB"/>
        </w:rPr>
        <w:t xml:space="preserve"> should be requested to provide, within one year, relevant information on its implementation of the Committee</w:t>
      </w:r>
      <w:r w:rsidR="00906A9A" w:rsidRPr="00055EB3">
        <w:rPr>
          <w:rFonts w:eastAsia="Times New Roman"/>
          <w:lang w:val="en-GB"/>
        </w:rPr>
        <w:t>’</w:t>
      </w:r>
      <w:r w:rsidRPr="00055EB3">
        <w:rPr>
          <w:rFonts w:eastAsia="Times New Roman"/>
          <w:lang w:val="en-GB"/>
        </w:rPr>
        <w:t>s recommendations concerning freedom of expression and violence against women, in accordance with the Committee</w:t>
      </w:r>
      <w:r w:rsidR="00906A9A" w:rsidRPr="00055EB3">
        <w:rPr>
          <w:rFonts w:eastAsia="Times New Roman"/>
          <w:lang w:val="en-GB"/>
        </w:rPr>
        <w:t>’</w:t>
      </w:r>
      <w:r w:rsidRPr="00055EB3">
        <w:rPr>
          <w:rFonts w:eastAsia="Times New Roman"/>
          <w:lang w:val="en-GB"/>
        </w:rPr>
        <w:t>s rules of procedure.</w:t>
      </w:r>
    </w:p>
    <w:p w14:paraId="58088DAB" w14:textId="028A57F5" w:rsidR="00520D11" w:rsidRPr="00055EB3" w:rsidRDefault="00520D11" w:rsidP="00055EB3">
      <w:pPr>
        <w:pStyle w:val="ListParagraph"/>
        <w:numPr>
          <w:ilvl w:val="0"/>
          <w:numId w:val="9"/>
        </w:numPr>
        <w:spacing w:line="276" w:lineRule="auto"/>
        <w:ind w:left="284" w:hanging="284"/>
        <w:jc w:val="both"/>
        <w:rPr>
          <w:rFonts w:eastAsia="Times New Roman"/>
          <w:lang w:val="en-GB"/>
        </w:rPr>
      </w:pPr>
      <w:r w:rsidRPr="00055EB3">
        <w:rPr>
          <w:rFonts w:eastAsia="Times New Roman"/>
          <w:lang w:val="en-GB"/>
        </w:rPr>
        <w:t>Türkiye should undertake comprehensive legal reforms to address its violations of freedom of expression, ensuring that all forms of media—printed publications, internet publishing, radio, and television—are covered. The reforms should emphasize that freedom of expression is fundamental, with limitations being exceptional. A shift in mind</w:t>
      </w:r>
      <w:r w:rsidR="004756C7" w:rsidRPr="00055EB3">
        <w:rPr>
          <w:rFonts w:eastAsia="Times New Roman"/>
          <w:lang w:val="en-GB"/>
        </w:rPr>
        <w:t>-</w:t>
      </w:r>
      <w:r w:rsidRPr="00055EB3">
        <w:rPr>
          <w:rFonts w:eastAsia="Times New Roman"/>
          <w:lang w:val="en-GB"/>
        </w:rPr>
        <w:t>set and effective implementation of these reforms is essential.</w:t>
      </w:r>
    </w:p>
    <w:p w14:paraId="0C21A1E3" w14:textId="1615C117" w:rsidR="00520D11" w:rsidRPr="00055EB3" w:rsidRDefault="00520D11" w:rsidP="00055EB3">
      <w:pPr>
        <w:pStyle w:val="ListParagraph"/>
        <w:numPr>
          <w:ilvl w:val="0"/>
          <w:numId w:val="9"/>
        </w:numPr>
        <w:spacing w:line="276" w:lineRule="auto"/>
        <w:ind w:left="284" w:hanging="284"/>
        <w:jc w:val="both"/>
        <w:rPr>
          <w:lang w:val="en-GB"/>
        </w:rPr>
      </w:pPr>
      <w:r w:rsidRPr="00055EB3">
        <w:rPr>
          <w:rFonts w:eastAsia="Times New Roman"/>
          <w:color w:val="000000"/>
          <w:lang w:val="en-GB" w:eastAsia="en-GB"/>
        </w:rPr>
        <w:t>Crimes against journalists should be treated as aggravated offenses, and impunity in such cases should be eliminated.</w:t>
      </w:r>
      <w:r w:rsidRPr="00055EB3" w:rsidDel="00E44353">
        <w:rPr>
          <w:rFonts w:eastAsia="Times New Roman"/>
          <w:lang w:val="en-GB"/>
        </w:rPr>
        <w:t xml:space="preserve"> </w:t>
      </w:r>
    </w:p>
    <w:p w14:paraId="014C4820" w14:textId="77777777" w:rsidR="00520D11" w:rsidRPr="00055EB3" w:rsidRDefault="00520D11" w:rsidP="00055EB3">
      <w:pPr>
        <w:pStyle w:val="ListParagraph"/>
        <w:numPr>
          <w:ilvl w:val="0"/>
          <w:numId w:val="9"/>
        </w:numPr>
        <w:spacing w:line="276" w:lineRule="auto"/>
        <w:ind w:left="284" w:hanging="284"/>
        <w:jc w:val="both"/>
        <w:rPr>
          <w:rFonts w:eastAsia="Times New Roman"/>
          <w:lang w:val="en-GB"/>
        </w:rPr>
      </w:pPr>
      <w:r w:rsidRPr="00055EB3">
        <w:rPr>
          <w:rFonts w:eastAsia="Times New Roman"/>
          <w:lang w:val="en-GB"/>
        </w:rPr>
        <w:t>Legislative amendments should be made and implemented to ensure the independence and impartiality of institutions such as RTÜK, BİK, and BTK, and their authority to restrict freedom of expression should be limited.</w:t>
      </w:r>
    </w:p>
    <w:p w14:paraId="6677B21D" w14:textId="77777777" w:rsidR="00520D11" w:rsidRPr="00055EB3" w:rsidRDefault="00520D11" w:rsidP="00055EB3">
      <w:pPr>
        <w:pStyle w:val="ListParagraph"/>
        <w:numPr>
          <w:ilvl w:val="0"/>
          <w:numId w:val="9"/>
        </w:numPr>
        <w:spacing w:line="276" w:lineRule="auto"/>
        <w:ind w:left="284" w:hanging="284"/>
        <w:jc w:val="both"/>
        <w:rPr>
          <w:lang w:val="en-GB"/>
        </w:rPr>
      </w:pPr>
      <w:r w:rsidRPr="00055EB3">
        <w:rPr>
          <w:rFonts w:eastAsia="Times New Roman"/>
          <w:color w:val="000000"/>
          <w:lang w:val="en-GB" w:eastAsia="en-GB"/>
        </w:rPr>
        <w:t>The Ministry of Justice should collect and publish detailed data on offenses and sentences, ensuring full public access, and the same applies to institutions like RTÜK, BİK, and BTK.</w:t>
      </w:r>
    </w:p>
    <w:p w14:paraId="24C16124" w14:textId="77777777" w:rsidR="00520D11" w:rsidRPr="00055EB3" w:rsidRDefault="00520D11" w:rsidP="00055EB3">
      <w:pPr>
        <w:pStyle w:val="ListParagraph"/>
        <w:numPr>
          <w:ilvl w:val="0"/>
          <w:numId w:val="9"/>
        </w:numPr>
        <w:spacing w:line="276" w:lineRule="auto"/>
        <w:ind w:left="284" w:hanging="284"/>
        <w:jc w:val="both"/>
        <w:rPr>
          <w:lang w:val="en-GB"/>
        </w:rPr>
      </w:pPr>
      <w:r w:rsidRPr="00055EB3">
        <w:rPr>
          <w:rFonts w:eastAsia="Times New Roman"/>
          <w:color w:val="000000"/>
          <w:lang w:val="en-GB" w:eastAsia="en-GB"/>
        </w:rPr>
        <w:t xml:space="preserve">Legislation should impose clear and effective sanctions on judicial bodies that disregard Constitutional Court rulings, and procedural laws should ensure proper enforcement of ECtHR judgments. </w:t>
      </w:r>
    </w:p>
    <w:p w14:paraId="29B86704" w14:textId="77777777" w:rsidR="00520D11" w:rsidRPr="00055EB3" w:rsidRDefault="00520D11" w:rsidP="00055EB3">
      <w:pPr>
        <w:pStyle w:val="ListParagraph"/>
        <w:numPr>
          <w:ilvl w:val="0"/>
          <w:numId w:val="9"/>
        </w:numPr>
        <w:spacing w:line="276" w:lineRule="auto"/>
        <w:ind w:left="284" w:hanging="284"/>
        <w:jc w:val="both"/>
        <w:rPr>
          <w:rFonts w:eastAsia="Times New Roman"/>
          <w:color w:val="000000"/>
          <w:lang w:val="en-GB" w:eastAsia="en-GB"/>
        </w:rPr>
      </w:pPr>
      <w:r w:rsidRPr="00055EB3">
        <w:rPr>
          <w:rFonts w:eastAsia="Times New Roman"/>
          <w:color w:val="000000"/>
          <w:lang w:val="en-GB" w:eastAsia="en-GB"/>
        </w:rPr>
        <w:t>Comprehensive legal reform is urgently needed to address violence against women, involving public bodies and civil society organizations, and Türkiye should retract its withdrawal from the Istanbul Convention.</w:t>
      </w:r>
    </w:p>
    <w:p w14:paraId="592941FB" w14:textId="6466CB73" w:rsidR="00165CE4" w:rsidRPr="00055EB3" w:rsidRDefault="00165CE4" w:rsidP="001161E0">
      <w:pPr>
        <w:pStyle w:val="ListParagraph"/>
        <w:spacing w:line="276" w:lineRule="auto"/>
        <w:ind w:left="0"/>
        <w:jc w:val="both"/>
        <w:rPr>
          <w:lang w:val="en-GB"/>
        </w:rPr>
      </w:pPr>
    </w:p>
    <w:sectPr w:rsidR="00165CE4" w:rsidRPr="00055EB3" w:rsidSect="00282F3E">
      <w:headerReference w:type="default" r:id="rId24"/>
      <w:footerReference w:type="even" r:id="rId25"/>
      <w:footerReference w:type="default" r:id="rId2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2D736D" w14:textId="77777777" w:rsidR="00B0563C" w:rsidRDefault="00B0563C" w:rsidP="00AA68CB">
      <w:r>
        <w:separator/>
      </w:r>
    </w:p>
  </w:endnote>
  <w:endnote w:type="continuationSeparator" w:id="0">
    <w:p w14:paraId="1A8E3CD5" w14:textId="77777777" w:rsidR="00B0563C" w:rsidRDefault="00B0563C" w:rsidP="00AA6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84BB0" w14:textId="77777777" w:rsidR="00827DB8" w:rsidRDefault="00827DB8" w:rsidP="00CD6A5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FD03B86" w14:textId="77777777" w:rsidR="00827DB8" w:rsidRDefault="00827D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366F1" w14:textId="77777777" w:rsidR="00827DB8" w:rsidRDefault="00827DB8" w:rsidP="00CD6A5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4A67">
      <w:rPr>
        <w:rStyle w:val="PageNumber"/>
        <w:noProof/>
      </w:rPr>
      <w:t>1</w:t>
    </w:r>
    <w:r>
      <w:rPr>
        <w:rStyle w:val="PageNumber"/>
      </w:rPr>
      <w:fldChar w:fldCharType="end"/>
    </w:r>
  </w:p>
  <w:p w14:paraId="09B5B953" w14:textId="77777777" w:rsidR="00827DB8" w:rsidRDefault="00827D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8B32F2" w14:textId="77777777" w:rsidR="00B0563C" w:rsidRDefault="00B0563C" w:rsidP="00AA68CB">
      <w:r>
        <w:separator/>
      </w:r>
    </w:p>
  </w:footnote>
  <w:footnote w:type="continuationSeparator" w:id="0">
    <w:p w14:paraId="3A379B94" w14:textId="77777777" w:rsidR="00B0563C" w:rsidRDefault="00B0563C" w:rsidP="00AA68CB">
      <w:r>
        <w:continuationSeparator/>
      </w:r>
    </w:p>
  </w:footnote>
  <w:footnote w:id="1">
    <w:p w14:paraId="77AAF47A" w14:textId="77777777" w:rsidR="00827DB8" w:rsidRPr="00165CE4" w:rsidRDefault="00827DB8" w:rsidP="000D6ACC">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w:t>
      </w:r>
      <w:r w:rsidRPr="00165CE4">
        <w:rPr>
          <w:bCs/>
          <w:color w:val="000000" w:themeColor="text1"/>
          <w:szCs w:val="20"/>
          <w:lang w:val="en-GB"/>
        </w:rPr>
        <w:t>CCPR/C/TUR/CO/1, para. 25.</w:t>
      </w:r>
    </w:p>
  </w:footnote>
  <w:footnote w:id="2">
    <w:p w14:paraId="23AA3B85" w14:textId="77777777" w:rsidR="00827DB8" w:rsidRPr="00165CE4" w:rsidRDefault="00827DB8" w:rsidP="000D6ACC">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w:t>
      </w:r>
      <w:r w:rsidRPr="00165CE4">
        <w:rPr>
          <w:bCs/>
          <w:color w:val="000000" w:themeColor="text1"/>
          <w:szCs w:val="20"/>
          <w:lang w:val="en-GB"/>
        </w:rPr>
        <w:t>CCPR/C/TUR/CO/1, para. 27.</w:t>
      </w:r>
    </w:p>
  </w:footnote>
  <w:footnote w:id="3">
    <w:p w14:paraId="4A264CE9" w14:textId="77777777" w:rsidR="00827DB8" w:rsidRPr="00165CE4" w:rsidRDefault="00827DB8" w:rsidP="00762BCE">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ECtHR, Violations by Article and by State, 1959-2022, </w:t>
      </w:r>
      <w:hyperlink r:id="rId1" w:history="1">
        <w:r w:rsidRPr="00165CE4">
          <w:rPr>
            <w:rStyle w:val="Hyperlink"/>
            <w:szCs w:val="20"/>
            <w:lang w:val="en-GB"/>
          </w:rPr>
          <w:t>https://www.echr.coe.int/documents/d/echr/Stats_violation_1959_2022_ENG</w:t>
        </w:r>
      </w:hyperlink>
      <w:r w:rsidRPr="00165CE4">
        <w:rPr>
          <w:color w:val="000000" w:themeColor="text1"/>
          <w:szCs w:val="20"/>
          <w:lang w:val="en-GB"/>
        </w:rPr>
        <w:t xml:space="preserve">;  Violations by Article and by State 2023, </w:t>
      </w:r>
      <w:hyperlink r:id="rId2" w:history="1">
        <w:r w:rsidRPr="00165CE4">
          <w:rPr>
            <w:rStyle w:val="Hyperlink"/>
            <w:szCs w:val="20"/>
            <w:lang w:val="en-GB"/>
          </w:rPr>
          <w:t>https://www.echr.coe.int/documents/d/echr/stats-violation-2023-eng?download=true</w:t>
        </w:r>
      </w:hyperlink>
      <w:r w:rsidRPr="00165CE4">
        <w:rPr>
          <w:color w:val="000000" w:themeColor="text1"/>
          <w:szCs w:val="20"/>
          <w:lang w:val="en-GB"/>
        </w:rPr>
        <w:t xml:space="preserve"> (accessed: 10.09.2024).</w:t>
      </w:r>
    </w:p>
  </w:footnote>
  <w:footnote w:id="4">
    <w:p w14:paraId="271FFF6E" w14:textId="77777777" w:rsidR="00827DB8" w:rsidRPr="00165CE4" w:rsidRDefault="00827DB8" w:rsidP="00762BCE">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Constitutional Court of the Republic of Türkiye, Individual Application Statistics (23/9/2012 - 30/6/2024), </w:t>
      </w:r>
      <w:hyperlink r:id="rId3" w:history="1">
        <w:r w:rsidRPr="00165CE4">
          <w:rPr>
            <w:rStyle w:val="Hyperlink"/>
            <w:szCs w:val="20"/>
            <w:lang w:val="en-GB"/>
          </w:rPr>
          <w:t>https://www.anayasa.gov.tr/media/9362/bb_2024_2.pdf</w:t>
        </w:r>
      </w:hyperlink>
      <w:r w:rsidRPr="00165CE4">
        <w:rPr>
          <w:color w:val="000000" w:themeColor="text1"/>
          <w:szCs w:val="20"/>
          <w:lang w:val="en-GB"/>
        </w:rPr>
        <w:t xml:space="preserve"> (accessed: 10.09.2024).</w:t>
      </w:r>
    </w:p>
  </w:footnote>
  <w:footnote w:id="5">
    <w:p w14:paraId="4921E0AD" w14:textId="77777777" w:rsidR="00827DB8" w:rsidRPr="00165CE4" w:rsidRDefault="00827DB8" w:rsidP="005952E4">
      <w:pPr>
        <w:pStyle w:val="FootnoteText"/>
        <w:rPr>
          <w:b/>
          <w:bCs/>
          <w:szCs w:val="20"/>
          <w:lang w:val="en-GB"/>
        </w:rPr>
      </w:pPr>
      <w:r w:rsidRPr="00165CE4">
        <w:rPr>
          <w:rStyle w:val="FootnoteReference"/>
          <w:szCs w:val="20"/>
          <w:lang w:val="en-GB"/>
        </w:rPr>
        <w:footnoteRef/>
      </w:r>
      <w:r w:rsidRPr="00165CE4">
        <w:rPr>
          <w:szCs w:val="20"/>
          <w:lang w:val="en-GB"/>
        </w:rPr>
        <w:t xml:space="preserve"> RSF, </w:t>
      </w:r>
      <w:r w:rsidRPr="00165CE4">
        <w:rPr>
          <w:bCs/>
          <w:szCs w:val="20"/>
          <w:lang w:val="en-GB"/>
        </w:rPr>
        <w:t>the World Press Freedom Index,</w:t>
      </w:r>
      <w:r w:rsidRPr="00165CE4">
        <w:rPr>
          <w:szCs w:val="20"/>
          <w:lang w:val="en-GB"/>
        </w:rPr>
        <w:t xml:space="preserve"> </w:t>
      </w:r>
      <w:hyperlink r:id="rId4" w:history="1">
        <w:r w:rsidRPr="00165CE4">
          <w:rPr>
            <w:rStyle w:val="Hyperlink"/>
            <w:szCs w:val="20"/>
            <w:lang w:val="en-GB" w:eastAsia="en-US"/>
          </w:rPr>
          <w:t>https://rsf.org/en/world-press-freedom-index</w:t>
        </w:r>
      </w:hyperlink>
      <w:r w:rsidRPr="00165CE4">
        <w:rPr>
          <w:color w:val="000000"/>
          <w:szCs w:val="20"/>
          <w:lang w:val="en-GB" w:eastAsia="en-US"/>
        </w:rPr>
        <w:t xml:space="preserve"> </w:t>
      </w:r>
      <w:r w:rsidRPr="00165CE4">
        <w:rPr>
          <w:color w:val="000000" w:themeColor="text1"/>
          <w:szCs w:val="20"/>
          <w:lang w:val="en-GB"/>
        </w:rPr>
        <w:t>(accessed: 10.09.2024).</w:t>
      </w:r>
    </w:p>
  </w:footnote>
  <w:footnote w:id="6">
    <w:p w14:paraId="2A5C6447" w14:textId="77777777" w:rsidR="00827DB8" w:rsidRPr="00165CE4" w:rsidRDefault="00827DB8" w:rsidP="009039CA">
      <w:pPr>
        <w:pStyle w:val="FootnoteText"/>
        <w:rPr>
          <w:szCs w:val="20"/>
          <w:lang w:val="en-GB"/>
        </w:rPr>
      </w:pPr>
      <w:r w:rsidRPr="00165CE4">
        <w:rPr>
          <w:rStyle w:val="FootnoteReference"/>
          <w:szCs w:val="20"/>
          <w:lang w:val="en-GB"/>
        </w:rPr>
        <w:footnoteRef/>
      </w:r>
      <w:r w:rsidRPr="00165CE4">
        <w:rPr>
          <w:szCs w:val="20"/>
          <w:lang w:val="en-GB"/>
        </w:rPr>
        <w:t xml:space="preserve"> </w:t>
      </w:r>
      <w:r w:rsidRPr="00165CE4">
        <w:rPr>
          <w:bCs/>
          <w:color w:val="000000" w:themeColor="text1"/>
          <w:szCs w:val="20"/>
          <w:lang w:val="en-GB"/>
        </w:rPr>
        <w:t>CCPR/C/TUR/CO/1, 13 November 2012, para. 24.</w:t>
      </w:r>
    </w:p>
  </w:footnote>
  <w:footnote w:id="7">
    <w:p w14:paraId="55E24D96" w14:textId="38D0EC87" w:rsidR="00827DB8" w:rsidRPr="00165CE4" w:rsidRDefault="00827DB8" w:rsidP="009039CA">
      <w:pPr>
        <w:pStyle w:val="FootnoteText"/>
        <w:rPr>
          <w:szCs w:val="20"/>
          <w:lang w:val="en-GB"/>
        </w:rPr>
      </w:pPr>
      <w:r w:rsidRPr="00165CE4">
        <w:rPr>
          <w:rStyle w:val="FootnoteReference"/>
          <w:szCs w:val="20"/>
          <w:lang w:val="en-GB"/>
        </w:rPr>
        <w:footnoteRef/>
      </w:r>
      <w:r w:rsidRPr="00165CE4">
        <w:rPr>
          <w:szCs w:val="20"/>
          <w:lang w:val="en-GB"/>
        </w:rPr>
        <w:t xml:space="preserve"> Journalists</w:t>
      </w:r>
      <w:r>
        <w:rPr>
          <w:szCs w:val="20"/>
          <w:lang w:val="en-GB"/>
        </w:rPr>
        <w:t>’</w:t>
      </w:r>
      <w:r w:rsidRPr="00165CE4">
        <w:rPr>
          <w:szCs w:val="20"/>
          <w:lang w:val="en-GB"/>
        </w:rPr>
        <w:t xml:space="preserve"> Union of Türkiye (TGS), Media Freedom Report 2023-2024, </w:t>
      </w:r>
      <w:hyperlink r:id="rId5" w:history="1">
        <w:r w:rsidRPr="00165CE4">
          <w:rPr>
            <w:rStyle w:val="Hyperlink"/>
            <w:szCs w:val="20"/>
            <w:lang w:val="en-GB"/>
          </w:rPr>
          <w:t>https://tgs.org.tr/wp-content/uploads/2024/05/TGS-BASIN-OZGURLUGU-RAPORU-TAM-METIN.pdf</w:t>
        </w:r>
      </w:hyperlink>
      <w:r w:rsidRPr="00165CE4">
        <w:rPr>
          <w:szCs w:val="20"/>
          <w:lang w:val="en-GB"/>
        </w:rPr>
        <w:t xml:space="preserve"> </w:t>
      </w:r>
      <w:r w:rsidRPr="00165CE4">
        <w:rPr>
          <w:color w:val="000000" w:themeColor="text1"/>
          <w:szCs w:val="20"/>
          <w:lang w:val="en-GB"/>
        </w:rPr>
        <w:t>(accessed: 10.09.2024).</w:t>
      </w:r>
    </w:p>
  </w:footnote>
  <w:footnote w:id="8">
    <w:p w14:paraId="7E69A98A" w14:textId="4E8FB2D7" w:rsidR="00827DB8" w:rsidRPr="00165CE4" w:rsidRDefault="00827DB8" w:rsidP="009039CA">
      <w:pPr>
        <w:pStyle w:val="FootnoteText"/>
        <w:rPr>
          <w:szCs w:val="20"/>
          <w:lang w:val="en-GB"/>
        </w:rPr>
      </w:pPr>
      <w:r w:rsidRPr="00165CE4">
        <w:rPr>
          <w:rStyle w:val="FootnoteReference"/>
          <w:szCs w:val="20"/>
          <w:lang w:val="en-GB"/>
        </w:rPr>
        <w:footnoteRef/>
      </w:r>
      <w:r w:rsidRPr="00165CE4">
        <w:rPr>
          <w:szCs w:val="20"/>
          <w:lang w:val="en-GB"/>
        </w:rPr>
        <w:t xml:space="preserve"> Current number of journalist in prison is available at, Journalists</w:t>
      </w:r>
      <w:r>
        <w:rPr>
          <w:szCs w:val="20"/>
          <w:lang w:val="en-GB"/>
        </w:rPr>
        <w:t>’</w:t>
      </w:r>
      <w:r w:rsidRPr="00165CE4">
        <w:rPr>
          <w:szCs w:val="20"/>
          <w:lang w:val="en-GB"/>
        </w:rPr>
        <w:t xml:space="preserve"> Union of Türkiye (TGS),  </w:t>
      </w:r>
      <w:hyperlink r:id="rId6" w:history="1">
        <w:r w:rsidRPr="00165CE4">
          <w:rPr>
            <w:rStyle w:val="Hyperlink"/>
            <w:szCs w:val="20"/>
            <w:lang w:val="en-GB"/>
          </w:rPr>
          <w:t>https://tgs.org.tr/arrested-jailed-journalists-turkey/</w:t>
        </w:r>
      </w:hyperlink>
      <w:r w:rsidRPr="00165CE4">
        <w:rPr>
          <w:szCs w:val="20"/>
          <w:lang w:val="en-GB"/>
        </w:rPr>
        <w:t xml:space="preserve"> </w:t>
      </w:r>
      <w:r w:rsidRPr="00165CE4">
        <w:rPr>
          <w:color w:val="000000" w:themeColor="text1"/>
          <w:szCs w:val="20"/>
          <w:lang w:val="en-GB"/>
        </w:rPr>
        <w:t>(accessed: 10.09.2024).</w:t>
      </w:r>
    </w:p>
  </w:footnote>
  <w:footnote w:id="9">
    <w:p w14:paraId="36BBE278" w14:textId="3FBD344B" w:rsidR="00827DB8" w:rsidRPr="00165CE4" w:rsidRDefault="00827DB8" w:rsidP="00EF1420">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Exact information about the sanctions applied by RTÜK is not accessible. Only the information on administrative fines can be obtained. The total amount of fines is stated in RTÜK</w:t>
      </w:r>
      <w:r>
        <w:rPr>
          <w:color w:val="000000" w:themeColor="text1"/>
          <w:szCs w:val="20"/>
          <w:lang w:val="en-GB"/>
        </w:rPr>
        <w:t>’</w:t>
      </w:r>
      <w:r w:rsidRPr="00165CE4">
        <w:rPr>
          <w:color w:val="000000" w:themeColor="text1"/>
          <w:szCs w:val="20"/>
          <w:lang w:val="en-GB"/>
        </w:rPr>
        <w:t xml:space="preserve">s annual activity reports, which can be accessed at: </w:t>
      </w:r>
      <w:hyperlink r:id="rId7" w:history="1">
        <w:r w:rsidRPr="00165CE4">
          <w:rPr>
            <w:rStyle w:val="Hyperlink"/>
            <w:szCs w:val="20"/>
            <w:lang w:val="en-GB"/>
          </w:rPr>
          <w:t>https://www.rtuk.gov.tr/yillik-faaliyet-raporlari/3738</w:t>
        </w:r>
      </w:hyperlink>
      <w:r w:rsidRPr="00165CE4">
        <w:rPr>
          <w:color w:val="000000" w:themeColor="text1"/>
          <w:szCs w:val="20"/>
          <w:lang w:val="en-GB"/>
        </w:rPr>
        <w:t xml:space="preserve"> (accessed: 10.09.2024)</w:t>
      </w:r>
    </w:p>
  </w:footnote>
  <w:footnote w:id="10">
    <w:p w14:paraId="55734783" w14:textId="77777777" w:rsidR="00827DB8" w:rsidRPr="00165CE4" w:rsidRDefault="00827DB8" w:rsidP="00EF1420">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There is no published data on the annual sanctions of the Press Advertisement Institution.</w:t>
      </w:r>
    </w:p>
  </w:footnote>
  <w:footnote w:id="11">
    <w:p w14:paraId="3AE01AD6" w14:textId="0A0770E1" w:rsidR="00827DB8" w:rsidRPr="00165CE4" w:rsidRDefault="00827DB8" w:rsidP="00EF1420">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In 2018, a change in the bylaws resulted in the cancellation of some journalists</w:t>
      </w:r>
      <w:r>
        <w:rPr>
          <w:color w:val="000000" w:themeColor="text1"/>
          <w:szCs w:val="20"/>
          <w:lang w:val="en-GB"/>
        </w:rPr>
        <w:t>’</w:t>
      </w:r>
      <w:r w:rsidRPr="00165CE4">
        <w:rPr>
          <w:color w:val="000000" w:themeColor="text1"/>
          <w:szCs w:val="20"/>
          <w:lang w:val="en-GB"/>
        </w:rPr>
        <w:t xml:space="preserve"> press cards and the denial of new ones to others. It has not been possible to obtain reliable information on this.</w:t>
      </w:r>
    </w:p>
  </w:footnote>
  <w:footnote w:id="12">
    <w:p w14:paraId="18131111" w14:textId="77777777" w:rsidR="00827DB8" w:rsidRPr="00047389" w:rsidRDefault="00827DB8" w:rsidP="002E55C2">
      <w:pPr>
        <w:pStyle w:val="FootnoteText"/>
        <w:rPr>
          <w:szCs w:val="20"/>
          <w:lang w:val="it-CH"/>
        </w:rPr>
      </w:pPr>
      <w:r w:rsidRPr="00165CE4">
        <w:rPr>
          <w:rStyle w:val="FootnoteReference"/>
          <w:szCs w:val="20"/>
          <w:lang w:val="en-GB"/>
        </w:rPr>
        <w:footnoteRef/>
      </w:r>
      <w:r w:rsidRPr="00047389">
        <w:rPr>
          <w:szCs w:val="20"/>
          <w:lang w:val="it-CH"/>
        </w:rPr>
        <w:t xml:space="preserve"> Gazeteduvar, </w:t>
      </w:r>
      <w:r w:rsidRPr="00047389">
        <w:rPr>
          <w:bCs/>
          <w:szCs w:val="20"/>
          <w:lang w:val="it-CH"/>
        </w:rPr>
        <w:t>Tiraj tepetakla: Kağıt gazetede sorun ne?,</w:t>
      </w:r>
      <w:r w:rsidRPr="00047389">
        <w:rPr>
          <w:szCs w:val="20"/>
          <w:lang w:val="it-CH"/>
        </w:rPr>
        <w:t xml:space="preserve"> </w:t>
      </w:r>
      <w:hyperlink r:id="rId8" w:history="1">
        <w:r w:rsidRPr="00047389">
          <w:rPr>
            <w:rStyle w:val="Hyperlink"/>
            <w:szCs w:val="20"/>
            <w:lang w:val="it-CH"/>
          </w:rPr>
          <w:t>https://www.gazeteduvar.com.tr/gundem/2020/06/14/tiraj-tepetakla-kagit-gazetede-sorun-ne</w:t>
        </w:r>
      </w:hyperlink>
      <w:r w:rsidRPr="00047389">
        <w:rPr>
          <w:color w:val="000000" w:themeColor="text1"/>
          <w:szCs w:val="20"/>
          <w:lang w:val="it-CH"/>
        </w:rPr>
        <w:t xml:space="preserve"> (accessed: 10.09.2024)</w:t>
      </w:r>
    </w:p>
  </w:footnote>
  <w:footnote w:id="13">
    <w:p w14:paraId="74423E52" w14:textId="4CBC9A41" w:rsidR="00827DB8" w:rsidRPr="00047389" w:rsidRDefault="00827DB8" w:rsidP="002E55C2">
      <w:pPr>
        <w:pStyle w:val="FootnoteText"/>
        <w:rPr>
          <w:b/>
          <w:bCs/>
          <w:szCs w:val="20"/>
          <w:lang w:val="it-CH"/>
        </w:rPr>
      </w:pPr>
      <w:r w:rsidRPr="00165CE4">
        <w:rPr>
          <w:rStyle w:val="FootnoteReference"/>
          <w:szCs w:val="20"/>
          <w:lang w:val="en-GB"/>
        </w:rPr>
        <w:footnoteRef/>
      </w:r>
      <w:r w:rsidRPr="00047389">
        <w:rPr>
          <w:szCs w:val="20"/>
          <w:lang w:val="it-CH"/>
        </w:rPr>
        <w:t xml:space="preserve"> Deutsche Welle, </w:t>
      </w:r>
      <w:r w:rsidRPr="00047389">
        <w:rPr>
          <w:bCs/>
          <w:szCs w:val="20"/>
          <w:lang w:val="it-CH"/>
        </w:rPr>
        <w:t>Türkiye</w:t>
      </w:r>
      <w:r>
        <w:rPr>
          <w:bCs/>
          <w:szCs w:val="20"/>
          <w:lang w:val="it-CH"/>
        </w:rPr>
        <w:t>’</w:t>
      </w:r>
      <w:r w:rsidRPr="00047389">
        <w:rPr>
          <w:bCs/>
          <w:szCs w:val="20"/>
          <w:lang w:val="it-CH"/>
        </w:rPr>
        <w:t xml:space="preserve">de hükümete yakın medyaya para aktı, </w:t>
      </w:r>
      <w:hyperlink r:id="rId9" w:history="1">
        <w:r w:rsidRPr="00047389">
          <w:rPr>
            <w:rStyle w:val="Hyperlink"/>
            <w:bCs/>
            <w:szCs w:val="20"/>
            <w:lang w:val="it-CH"/>
          </w:rPr>
          <w:t>https://www.dw.com/tr/t%C3%BCrkiyede-h%C3%BCk%C3%BCmete-yak%C4%B1n-medyaya-para-akt%C4%B1/a-57699280</w:t>
        </w:r>
      </w:hyperlink>
      <w:r w:rsidRPr="00047389">
        <w:rPr>
          <w:bCs/>
          <w:szCs w:val="20"/>
          <w:lang w:val="it-CH"/>
        </w:rPr>
        <w:t xml:space="preserve"> </w:t>
      </w:r>
      <w:r w:rsidRPr="00047389">
        <w:rPr>
          <w:szCs w:val="20"/>
          <w:lang w:val="it-CH"/>
        </w:rPr>
        <w:t>(accessed: 10.09.2024)</w:t>
      </w:r>
    </w:p>
  </w:footnote>
  <w:footnote w:id="14">
    <w:p w14:paraId="2B0C0B74" w14:textId="777D431F" w:rsidR="00827DB8" w:rsidRPr="00165CE4" w:rsidRDefault="00827DB8" w:rsidP="002E55C2">
      <w:pPr>
        <w:pStyle w:val="FootnoteText"/>
        <w:rPr>
          <w:szCs w:val="20"/>
          <w:lang w:val="en-GB"/>
        </w:rPr>
      </w:pPr>
      <w:r w:rsidRPr="00165CE4">
        <w:rPr>
          <w:rStyle w:val="FootnoteReference"/>
          <w:szCs w:val="20"/>
          <w:lang w:val="en-GB"/>
        </w:rPr>
        <w:footnoteRef/>
      </w:r>
      <w:r w:rsidRPr="00165CE4">
        <w:rPr>
          <w:szCs w:val="20"/>
          <w:lang w:val="en-GB"/>
        </w:rPr>
        <w:t xml:space="preserve"> </w:t>
      </w:r>
      <w:r w:rsidR="004756C7">
        <w:rPr>
          <w:szCs w:val="20"/>
          <w:lang w:val="en-GB"/>
        </w:rPr>
        <w:t>bianet</w:t>
      </w:r>
      <w:r w:rsidRPr="00165CE4">
        <w:rPr>
          <w:szCs w:val="20"/>
          <w:lang w:val="en-GB"/>
        </w:rPr>
        <w:t xml:space="preserve">, Media Ownership Monitor-Türkiye, Print, </w:t>
      </w:r>
      <w:hyperlink r:id="rId10" w:history="1">
        <w:r w:rsidRPr="00165CE4">
          <w:rPr>
            <w:rStyle w:val="Hyperlink"/>
            <w:szCs w:val="20"/>
            <w:lang w:val="en-GB"/>
          </w:rPr>
          <w:t>https://turkey.mom-rsf.org/en/media/print/</w:t>
        </w:r>
      </w:hyperlink>
      <w:r w:rsidRPr="00165CE4">
        <w:rPr>
          <w:szCs w:val="20"/>
          <w:lang w:val="en-GB"/>
        </w:rPr>
        <w:t xml:space="preserve"> (accessed: 10.09.2024)</w:t>
      </w:r>
    </w:p>
  </w:footnote>
  <w:footnote w:id="15">
    <w:p w14:paraId="684DDAFD" w14:textId="7196F57C" w:rsidR="00827DB8" w:rsidRPr="00767149" w:rsidRDefault="00827DB8" w:rsidP="002E55C2">
      <w:pPr>
        <w:pStyle w:val="FootnoteText"/>
        <w:rPr>
          <w:b/>
          <w:bCs/>
          <w:color w:val="000000" w:themeColor="text1"/>
          <w:szCs w:val="20"/>
          <w:lang w:val="it-CH"/>
        </w:rPr>
      </w:pPr>
      <w:r w:rsidRPr="00165CE4">
        <w:rPr>
          <w:rStyle w:val="FootnoteReference"/>
          <w:color w:val="000000" w:themeColor="text1"/>
          <w:szCs w:val="20"/>
          <w:lang w:val="en-GB"/>
        </w:rPr>
        <w:footnoteRef/>
      </w:r>
      <w:r w:rsidRPr="00767149">
        <w:rPr>
          <w:color w:val="000000" w:themeColor="text1"/>
          <w:szCs w:val="20"/>
          <w:lang w:val="it-CH"/>
        </w:rPr>
        <w:t xml:space="preserve"> </w:t>
      </w:r>
      <w:r>
        <w:rPr>
          <w:color w:val="000000" w:themeColor="text1"/>
          <w:szCs w:val="20"/>
          <w:lang w:val="it-CH"/>
        </w:rPr>
        <w:t>bianet</w:t>
      </w:r>
      <w:r w:rsidRPr="00767149">
        <w:rPr>
          <w:color w:val="000000" w:themeColor="text1"/>
          <w:szCs w:val="20"/>
          <w:lang w:val="it-CH"/>
        </w:rPr>
        <w:t xml:space="preserve">, BİA Media Monitoring Report 2022, </w:t>
      </w:r>
      <w:hyperlink r:id="rId11" w:history="1">
        <w:r w:rsidRPr="00767149">
          <w:rPr>
            <w:rStyle w:val="Hyperlink"/>
            <w:szCs w:val="20"/>
            <w:lang w:val="it-CH"/>
          </w:rPr>
          <w:t>https://</w:t>
        </w:r>
        <w:r>
          <w:rPr>
            <w:rStyle w:val="Hyperlink"/>
            <w:szCs w:val="20"/>
            <w:lang w:val="it-CH"/>
          </w:rPr>
          <w:t>bianetbianet</w:t>
        </w:r>
        <w:r w:rsidRPr="00767149">
          <w:rPr>
            <w:rStyle w:val="Hyperlink"/>
            <w:szCs w:val="20"/>
            <w:lang w:val="it-CH"/>
          </w:rPr>
          <w:t>.org/haber/journalists-shackled-ahead-of-elections-274640</w:t>
        </w:r>
      </w:hyperlink>
      <w:r w:rsidRPr="00767149">
        <w:rPr>
          <w:color w:val="000000" w:themeColor="text1"/>
          <w:szCs w:val="20"/>
          <w:lang w:val="it-CH"/>
        </w:rPr>
        <w:t xml:space="preserve"> (accessed: 10.09.2024)</w:t>
      </w:r>
    </w:p>
  </w:footnote>
  <w:footnote w:id="16">
    <w:p w14:paraId="7264057B" w14:textId="0B575972" w:rsidR="00827DB8" w:rsidRPr="00165CE4" w:rsidRDefault="00827DB8" w:rsidP="009039CA">
      <w:pPr>
        <w:pStyle w:val="FootnoteText"/>
        <w:rPr>
          <w:szCs w:val="20"/>
          <w:lang w:val="en-GB"/>
        </w:rPr>
      </w:pPr>
      <w:r w:rsidRPr="00165CE4">
        <w:rPr>
          <w:rStyle w:val="FootnoteReference"/>
          <w:szCs w:val="20"/>
          <w:lang w:val="en-GB"/>
        </w:rPr>
        <w:footnoteRef/>
      </w:r>
      <w:r w:rsidRPr="00165CE4">
        <w:rPr>
          <w:szCs w:val="20"/>
          <w:lang w:val="en-GB"/>
        </w:rPr>
        <w:t xml:space="preserve"> The list of these media outlets are available at: </w:t>
      </w:r>
      <w:hyperlink r:id="rId12" w:history="1">
        <w:r w:rsidRPr="00165CE4">
          <w:rPr>
            <w:rStyle w:val="Hyperlink"/>
            <w:szCs w:val="20"/>
            <w:lang w:val="en-GB"/>
          </w:rPr>
          <w:t>https://turkey.mom-rsf.org/en/media/tv/</w:t>
        </w:r>
      </w:hyperlink>
      <w:r w:rsidRPr="00165CE4">
        <w:rPr>
          <w:szCs w:val="20"/>
          <w:lang w:val="en-GB"/>
        </w:rPr>
        <w:t xml:space="preserve">; </w:t>
      </w:r>
      <w:hyperlink r:id="rId13" w:history="1">
        <w:r w:rsidRPr="00165CE4">
          <w:rPr>
            <w:rStyle w:val="Hyperlink"/>
            <w:szCs w:val="20"/>
            <w:lang w:val="en-GB"/>
          </w:rPr>
          <w:t>https://turkey.mom-rsf.org/en/media/radio/</w:t>
        </w:r>
      </w:hyperlink>
      <w:r w:rsidRPr="00165CE4">
        <w:rPr>
          <w:szCs w:val="20"/>
          <w:lang w:val="en-GB"/>
        </w:rPr>
        <w:t xml:space="preserve"> and </w:t>
      </w:r>
      <w:hyperlink r:id="rId14" w:history="1">
        <w:r w:rsidRPr="00165CE4">
          <w:rPr>
            <w:rStyle w:val="Hyperlink"/>
            <w:szCs w:val="20"/>
            <w:lang w:val="en-GB"/>
          </w:rPr>
          <w:t>https://turkey.mom-rsf.org/en/media/print/</w:t>
        </w:r>
      </w:hyperlink>
      <w:r w:rsidRPr="00165CE4">
        <w:rPr>
          <w:szCs w:val="20"/>
          <w:lang w:val="en-GB"/>
        </w:rPr>
        <w:t xml:space="preserve"> (accessed: 10.09.2024)</w:t>
      </w:r>
    </w:p>
  </w:footnote>
  <w:footnote w:id="17">
    <w:p w14:paraId="458A327B" w14:textId="565AC40C" w:rsidR="00827DB8" w:rsidRPr="00165CE4" w:rsidRDefault="00827DB8" w:rsidP="009039CA">
      <w:pPr>
        <w:pStyle w:val="FootnoteText"/>
        <w:rPr>
          <w:szCs w:val="20"/>
          <w:lang w:val="en-GB"/>
        </w:rPr>
      </w:pPr>
      <w:r w:rsidRPr="00165CE4">
        <w:rPr>
          <w:rStyle w:val="FootnoteReference"/>
          <w:szCs w:val="20"/>
          <w:lang w:val="en-GB"/>
        </w:rPr>
        <w:footnoteRef/>
      </w:r>
      <w:r w:rsidRPr="00165CE4">
        <w:rPr>
          <w:szCs w:val="20"/>
          <w:lang w:val="en-GB"/>
        </w:rPr>
        <w:t xml:space="preserve"> </w:t>
      </w:r>
      <w:r w:rsidR="004756C7">
        <w:rPr>
          <w:szCs w:val="20"/>
          <w:lang w:val="en-GB"/>
        </w:rPr>
        <w:t>bianet</w:t>
      </w:r>
      <w:r w:rsidRPr="00165CE4">
        <w:rPr>
          <w:szCs w:val="20"/>
          <w:lang w:val="en-GB"/>
        </w:rPr>
        <w:t xml:space="preserve">, Media Ownership Monitor-Türkiye, Shutdown Media, </w:t>
      </w:r>
      <w:hyperlink r:id="rId15" w:history="1">
        <w:r w:rsidRPr="00165CE4">
          <w:rPr>
            <w:rStyle w:val="Hyperlink"/>
            <w:szCs w:val="20"/>
            <w:lang w:val="en-GB"/>
          </w:rPr>
          <w:t>https://turkey.mom-rsf.org/en/findings/shutdown-media/</w:t>
        </w:r>
      </w:hyperlink>
      <w:r w:rsidRPr="00165CE4">
        <w:rPr>
          <w:szCs w:val="20"/>
          <w:lang w:val="en-GB"/>
        </w:rPr>
        <w:t xml:space="preserve"> (accessed: 10.09.2024)</w:t>
      </w:r>
    </w:p>
  </w:footnote>
  <w:footnote w:id="18">
    <w:p w14:paraId="0869239E" w14:textId="77777777" w:rsidR="00827DB8" w:rsidRPr="00165CE4" w:rsidRDefault="00827DB8" w:rsidP="00811E5F">
      <w:pPr>
        <w:pStyle w:val="FootnoteText"/>
        <w:rPr>
          <w:szCs w:val="20"/>
          <w:lang w:val="en-GB"/>
        </w:rPr>
      </w:pPr>
      <w:r w:rsidRPr="00165CE4">
        <w:rPr>
          <w:rStyle w:val="FootnoteReference"/>
          <w:szCs w:val="20"/>
          <w:lang w:val="en-GB"/>
        </w:rPr>
        <w:footnoteRef/>
      </w:r>
      <w:r w:rsidRPr="00165CE4">
        <w:rPr>
          <w:szCs w:val="20"/>
          <w:lang w:val="en-GB"/>
        </w:rPr>
        <w:t xml:space="preserve"> TCC, </w:t>
      </w:r>
      <w:r w:rsidRPr="00165CE4">
        <w:rPr>
          <w:szCs w:val="20"/>
          <w:lang w:val="en-GB" w:eastAsia="en-US"/>
        </w:rPr>
        <w:t>E.</w:t>
      </w:r>
      <w:r w:rsidRPr="00165CE4">
        <w:rPr>
          <w:szCs w:val="20"/>
          <w:lang w:val="en-GB"/>
        </w:rPr>
        <w:t xml:space="preserve"> </w:t>
      </w:r>
      <w:r w:rsidRPr="00165CE4">
        <w:rPr>
          <w:szCs w:val="20"/>
          <w:lang w:val="en-GB" w:eastAsia="en-US"/>
        </w:rPr>
        <w:t>2017/21, K.</w:t>
      </w:r>
      <w:r w:rsidRPr="00165CE4">
        <w:rPr>
          <w:szCs w:val="20"/>
          <w:lang w:val="en-GB"/>
        </w:rPr>
        <w:t xml:space="preserve"> 2020/77, 24.12.</w:t>
      </w:r>
      <w:r w:rsidRPr="00165CE4">
        <w:rPr>
          <w:szCs w:val="20"/>
          <w:lang w:val="en-GB" w:eastAsia="en-US"/>
        </w:rPr>
        <w:t>2020</w:t>
      </w:r>
      <w:r w:rsidRPr="00165CE4">
        <w:rPr>
          <w:szCs w:val="20"/>
          <w:lang w:val="en-GB"/>
        </w:rPr>
        <w:t>.</w:t>
      </w:r>
    </w:p>
  </w:footnote>
  <w:footnote w:id="19">
    <w:p w14:paraId="2BBD9ECF" w14:textId="77777777" w:rsidR="00827DB8" w:rsidRPr="00467A12" w:rsidRDefault="00827DB8" w:rsidP="00030A53">
      <w:pPr>
        <w:pStyle w:val="FootnoteText"/>
        <w:rPr>
          <w:color w:val="000000" w:themeColor="text1"/>
          <w:szCs w:val="20"/>
          <w:lang w:val="it-CH"/>
        </w:rPr>
      </w:pPr>
      <w:r w:rsidRPr="00165CE4">
        <w:rPr>
          <w:rStyle w:val="FootnoteReference"/>
          <w:color w:val="000000" w:themeColor="text1"/>
          <w:szCs w:val="20"/>
          <w:lang w:val="en-GB"/>
        </w:rPr>
        <w:footnoteRef/>
      </w:r>
      <w:r w:rsidRPr="00467A12">
        <w:rPr>
          <w:color w:val="000000" w:themeColor="text1"/>
          <w:szCs w:val="20"/>
          <w:lang w:val="it-CH"/>
        </w:rPr>
        <w:t xml:space="preserve"> </w:t>
      </w:r>
      <w:r w:rsidRPr="00467A12">
        <w:rPr>
          <w:bCs/>
          <w:color w:val="000000" w:themeColor="text1"/>
          <w:szCs w:val="20"/>
          <w:lang w:val="it-CH"/>
        </w:rPr>
        <w:t>CCPR/C/TUR/CO/1, para. 16.</w:t>
      </w:r>
    </w:p>
  </w:footnote>
  <w:footnote w:id="20">
    <w:p w14:paraId="417A48E1" w14:textId="77777777" w:rsidR="00827DB8" w:rsidRPr="00165CE4" w:rsidRDefault="00827DB8" w:rsidP="00030A53">
      <w:pPr>
        <w:pStyle w:val="FootnoteText"/>
        <w:rPr>
          <w:color w:val="000000" w:themeColor="text1"/>
          <w:szCs w:val="20"/>
          <w:lang w:val="en-GB"/>
        </w:rPr>
      </w:pPr>
      <w:r w:rsidRPr="00165CE4">
        <w:rPr>
          <w:rStyle w:val="FootnoteReference"/>
          <w:color w:val="000000" w:themeColor="text1"/>
          <w:szCs w:val="20"/>
          <w:lang w:val="en-GB"/>
        </w:rPr>
        <w:footnoteRef/>
      </w:r>
      <w:r w:rsidRPr="00047389">
        <w:rPr>
          <w:color w:val="000000" w:themeColor="text1"/>
          <w:szCs w:val="20"/>
          <w:lang w:val="fr-CH"/>
        </w:rPr>
        <w:t xml:space="preserve"> </w:t>
      </w:r>
      <w:r w:rsidRPr="00047389">
        <w:rPr>
          <w:bCs/>
          <w:color w:val="000000" w:themeColor="text1"/>
          <w:szCs w:val="20"/>
          <w:lang w:val="fr-CH"/>
        </w:rPr>
        <w:t xml:space="preserve">CCPR/C/TUR/QPR/2, para. </w:t>
      </w:r>
      <w:r w:rsidRPr="00165CE4">
        <w:rPr>
          <w:bCs/>
          <w:color w:val="000000" w:themeColor="text1"/>
          <w:szCs w:val="20"/>
          <w:lang w:val="en-GB"/>
        </w:rPr>
        <w:t>6.</w:t>
      </w:r>
    </w:p>
  </w:footnote>
  <w:footnote w:id="21">
    <w:p w14:paraId="53FC6C96" w14:textId="153058B6" w:rsidR="00827DB8" w:rsidRPr="00165CE4" w:rsidRDefault="00827DB8" w:rsidP="009039CA">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See, Anti-Terrorism Law, Law No. 3713, </w:t>
      </w:r>
      <w:hyperlink r:id="rId16" w:history="1">
        <w:r w:rsidRPr="00165CE4">
          <w:rPr>
            <w:rStyle w:val="Hyperlink"/>
            <w:szCs w:val="20"/>
            <w:lang w:val="en-GB"/>
          </w:rPr>
          <w:t>https://www.mevzuat.gov.tr/mevzuat?MevzuatNo=3713&amp;MevzuatTur=1&amp;MevzuatTertip=5</w:t>
        </w:r>
      </w:hyperlink>
      <w:r w:rsidRPr="00165CE4">
        <w:rPr>
          <w:color w:val="000000" w:themeColor="text1"/>
          <w:szCs w:val="20"/>
          <w:lang w:val="en-GB"/>
        </w:rPr>
        <w:t xml:space="preserve"> (Accessed: 10.09.2024).</w:t>
      </w:r>
    </w:p>
  </w:footnote>
  <w:footnote w:id="22">
    <w:p w14:paraId="54D9D375" w14:textId="6F09B755" w:rsidR="00827DB8" w:rsidRPr="00165CE4" w:rsidRDefault="00827DB8" w:rsidP="009039CA">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HRC, </w:t>
      </w:r>
      <w:r w:rsidRPr="00165CE4">
        <w:rPr>
          <w:bCs/>
          <w:color w:val="000000" w:themeColor="text1"/>
          <w:szCs w:val="20"/>
          <w:lang w:val="en-GB"/>
        </w:rPr>
        <w:t>Second periodic report submitted by Türkiye under article 40 of the Covenant pursuant to the optional reporting procedure, due in 2022,</w:t>
      </w:r>
      <w:r w:rsidRPr="00165CE4">
        <w:rPr>
          <w:b/>
          <w:bCs/>
          <w:color w:val="000000" w:themeColor="text1"/>
          <w:szCs w:val="20"/>
          <w:lang w:val="en-GB"/>
        </w:rPr>
        <w:t xml:space="preserve"> </w:t>
      </w:r>
      <w:r w:rsidRPr="00165CE4">
        <w:rPr>
          <w:color w:val="000000" w:themeColor="text1"/>
          <w:szCs w:val="20"/>
          <w:lang w:val="en-GB"/>
        </w:rPr>
        <w:t>CCPR/C/TUR/2, 28.04.2023, para. 78.</w:t>
      </w:r>
    </w:p>
  </w:footnote>
  <w:footnote w:id="23">
    <w:p w14:paraId="6BC97BF2" w14:textId="77777777" w:rsidR="00827DB8" w:rsidRPr="00165CE4" w:rsidRDefault="00827DB8" w:rsidP="009039CA">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CCPR/C/TUR/2, para. 77.</w:t>
      </w:r>
    </w:p>
  </w:footnote>
  <w:footnote w:id="24">
    <w:p w14:paraId="436EA0FB" w14:textId="77777777" w:rsidR="00827DB8" w:rsidRPr="00165CE4" w:rsidRDefault="00827DB8" w:rsidP="009039CA">
      <w:pPr>
        <w:pStyle w:val="FootnoteText"/>
        <w:rPr>
          <w:szCs w:val="20"/>
          <w:lang w:val="en-GB"/>
        </w:rPr>
      </w:pPr>
      <w:r w:rsidRPr="00165CE4">
        <w:rPr>
          <w:rStyle w:val="FootnoteReference"/>
          <w:szCs w:val="20"/>
          <w:lang w:val="en-GB"/>
        </w:rPr>
        <w:footnoteRef/>
      </w:r>
      <w:r w:rsidRPr="00165CE4">
        <w:rPr>
          <w:szCs w:val="20"/>
          <w:lang w:val="en-GB"/>
        </w:rPr>
        <w:t xml:space="preserve"> </w:t>
      </w:r>
      <w:r w:rsidRPr="00165CE4">
        <w:rPr>
          <w:color w:val="000000" w:themeColor="text1"/>
          <w:szCs w:val="20"/>
          <w:lang w:val="en-GB"/>
        </w:rPr>
        <w:t>CCPR/C/TUR/2, para 241.</w:t>
      </w:r>
    </w:p>
  </w:footnote>
  <w:footnote w:id="25">
    <w:p w14:paraId="7865D740" w14:textId="77777777" w:rsidR="00827DB8" w:rsidRPr="00165CE4" w:rsidRDefault="00827DB8" w:rsidP="009039CA">
      <w:pPr>
        <w:pStyle w:val="FootnoteText"/>
        <w:rPr>
          <w:szCs w:val="20"/>
          <w:lang w:val="en-GB"/>
        </w:rPr>
      </w:pPr>
      <w:r w:rsidRPr="00165CE4">
        <w:rPr>
          <w:rStyle w:val="FootnoteReference"/>
          <w:szCs w:val="20"/>
          <w:lang w:val="en-GB"/>
        </w:rPr>
        <w:footnoteRef/>
      </w:r>
      <w:r w:rsidRPr="00165CE4">
        <w:rPr>
          <w:szCs w:val="20"/>
          <w:lang w:val="en-GB"/>
        </w:rPr>
        <w:t xml:space="preserve"> </w:t>
      </w:r>
      <w:r w:rsidRPr="00165CE4">
        <w:rPr>
          <w:color w:val="000000" w:themeColor="text1"/>
          <w:szCs w:val="20"/>
          <w:lang w:val="en-GB"/>
        </w:rPr>
        <w:t>CCPR/C/TUR/2, para 242.</w:t>
      </w:r>
    </w:p>
  </w:footnote>
  <w:footnote w:id="26">
    <w:p w14:paraId="0CB115DD" w14:textId="7E26C104" w:rsidR="00827DB8" w:rsidRPr="00165CE4" w:rsidRDefault="00827DB8" w:rsidP="009039CA">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Ministry of Justice, General Directorate of Criminal Records and Statistics, Justice Statistics, available at: </w:t>
      </w:r>
      <w:hyperlink r:id="rId17" w:history="1">
        <w:r w:rsidRPr="00165CE4">
          <w:rPr>
            <w:rStyle w:val="Hyperlink"/>
            <w:szCs w:val="20"/>
            <w:lang w:val="en-GB"/>
          </w:rPr>
          <w:t>https://adlisicil.adalet.gov.tr/Home/SayfaDetay/adalet-istatistikleri-yayin-arsivi</w:t>
        </w:r>
      </w:hyperlink>
      <w:r w:rsidRPr="00165CE4">
        <w:rPr>
          <w:color w:val="000000" w:themeColor="text1"/>
          <w:szCs w:val="20"/>
          <w:lang w:val="en-GB"/>
        </w:rPr>
        <w:t xml:space="preserve"> (accessed: 10.09.2024). </w:t>
      </w:r>
    </w:p>
  </w:footnote>
  <w:footnote w:id="27">
    <w:p w14:paraId="360404A0" w14:textId="77777777" w:rsidR="00827DB8" w:rsidRPr="00165CE4" w:rsidRDefault="00827DB8" w:rsidP="007C48D8">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ECtHR, </w:t>
      </w:r>
      <w:r w:rsidRPr="00165CE4">
        <w:rPr>
          <w:i/>
          <w:color w:val="000000" w:themeColor="text1"/>
          <w:szCs w:val="20"/>
          <w:lang w:val="en-GB"/>
        </w:rPr>
        <w:t>Altuğ Taner Akçam v. Turkey</w:t>
      </w:r>
      <w:r w:rsidRPr="00165CE4">
        <w:rPr>
          <w:color w:val="000000" w:themeColor="text1"/>
          <w:szCs w:val="20"/>
          <w:lang w:val="en-GB"/>
        </w:rPr>
        <w:t>, Appl. No. 27520/07, 25.10.2011.</w:t>
      </w:r>
    </w:p>
  </w:footnote>
  <w:footnote w:id="28">
    <w:p w14:paraId="20499B72" w14:textId="77777777" w:rsidR="00827DB8" w:rsidRPr="00165CE4" w:rsidRDefault="00827DB8" w:rsidP="007C48D8">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TCC, E. 2016/25, K. 2016/186, 14.12.2016.</w:t>
      </w:r>
    </w:p>
  </w:footnote>
  <w:footnote w:id="29">
    <w:p w14:paraId="42DD2514" w14:textId="77777777" w:rsidR="00827DB8" w:rsidRPr="00165CE4" w:rsidRDefault="00827DB8" w:rsidP="007C48D8">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Venice Commission, Opinion on Articles 216, 299, 301 and 314 of the Penal Code of Turkey, CDL-AD(2016)002-e, 15.03.2016,</w:t>
      </w:r>
    </w:p>
    <w:p w14:paraId="38E440BD" w14:textId="77777777" w:rsidR="00827DB8" w:rsidRPr="00165CE4" w:rsidRDefault="00B0563C" w:rsidP="007C48D8">
      <w:pPr>
        <w:pStyle w:val="FootnoteText"/>
        <w:rPr>
          <w:color w:val="000000" w:themeColor="text1"/>
          <w:szCs w:val="20"/>
          <w:lang w:val="en-GB"/>
        </w:rPr>
      </w:pPr>
      <w:hyperlink r:id="rId18" w:history="1">
        <w:r w:rsidR="00827DB8" w:rsidRPr="00165CE4">
          <w:rPr>
            <w:rStyle w:val="Hyperlink"/>
            <w:szCs w:val="20"/>
            <w:lang w:val="en-GB"/>
          </w:rPr>
          <w:t>https://www.venice.coe.int/webforms/documents/default.aspx?pdffile=CDL-AD(2016)002-e</w:t>
        </w:r>
      </w:hyperlink>
      <w:r w:rsidR="00827DB8" w:rsidRPr="00165CE4">
        <w:rPr>
          <w:color w:val="000000" w:themeColor="text1"/>
          <w:szCs w:val="20"/>
          <w:lang w:val="en-GB"/>
        </w:rPr>
        <w:t xml:space="preserve"> (accessed: 04.09.2024)</w:t>
      </w:r>
    </w:p>
  </w:footnote>
  <w:footnote w:id="30">
    <w:p w14:paraId="27946FA6" w14:textId="77777777" w:rsidR="00827DB8" w:rsidRPr="006C3BDF" w:rsidRDefault="00827DB8" w:rsidP="007C48D8">
      <w:pPr>
        <w:pStyle w:val="FootnoteText"/>
        <w:rPr>
          <w:color w:val="000000" w:themeColor="text1"/>
          <w:szCs w:val="20"/>
          <w:lang w:val="it-CH"/>
        </w:rPr>
      </w:pPr>
      <w:r w:rsidRPr="00165CE4">
        <w:rPr>
          <w:rStyle w:val="FootnoteReference"/>
          <w:color w:val="000000" w:themeColor="text1"/>
          <w:szCs w:val="20"/>
          <w:lang w:val="en-GB"/>
        </w:rPr>
        <w:footnoteRef/>
      </w:r>
      <w:r w:rsidRPr="006C3BDF">
        <w:rPr>
          <w:color w:val="000000" w:themeColor="text1"/>
          <w:szCs w:val="20"/>
          <w:lang w:val="it-CH"/>
        </w:rPr>
        <w:t xml:space="preserve"> ECtHR, </w:t>
      </w:r>
      <w:r w:rsidRPr="006C3BDF">
        <w:rPr>
          <w:i/>
          <w:color w:val="000000" w:themeColor="text1"/>
          <w:szCs w:val="20"/>
          <w:lang w:val="it-CH"/>
        </w:rPr>
        <w:t>Vedat Şorli v. Türkiye</w:t>
      </w:r>
      <w:r w:rsidRPr="006C3BDF">
        <w:rPr>
          <w:color w:val="000000" w:themeColor="text1"/>
          <w:szCs w:val="20"/>
          <w:lang w:val="it-CH"/>
        </w:rPr>
        <w:t>, Appl. No. 27520/07, 19.10.2021.</w:t>
      </w:r>
    </w:p>
  </w:footnote>
  <w:footnote w:id="31">
    <w:p w14:paraId="048BF6BE" w14:textId="77777777" w:rsidR="00827DB8" w:rsidRPr="006C3BDF" w:rsidRDefault="00827DB8" w:rsidP="007C48D8">
      <w:pPr>
        <w:pStyle w:val="FootnoteText"/>
        <w:rPr>
          <w:color w:val="000000" w:themeColor="text1"/>
          <w:szCs w:val="20"/>
          <w:lang w:val="it-CH"/>
        </w:rPr>
      </w:pPr>
      <w:r w:rsidRPr="00165CE4">
        <w:rPr>
          <w:rStyle w:val="FootnoteReference"/>
          <w:color w:val="000000" w:themeColor="text1"/>
          <w:szCs w:val="20"/>
          <w:lang w:val="en-GB"/>
        </w:rPr>
        <w:footnoteRef/>
      </w:r>
      <w:r w:rsidRPr="006C3BDF">
        <w:rPr>
          <w:color w:val="000000" w:themeColor="text1"/>
          <w:szCs w:val="20"/>
          <w:lang w:val="it-CH"/>
        </w:rPr>
        <w:t xml:space="preserve"> TCC, </w:t>
      </w:r>
      <w:r w:rsidRPr="006C3BDF">
        <w:rPr>
          <w:i/>
          <w:color w:val="000000" w:themeColor="text1"/>
          <w:szCs w:val="20"/>
          <w:lang w:val="it-CH"/>
        </w:rPr>
        <w:t>Yaşar Gökoğlu</w:t>
      </w:r>
      <w:r w:rsidRPr="006C3BDF">
        <w:rPr>
          <w:color w:val="000000" w:themeColor="text1"/>
          <w:szCs w:val="20"/>
          <w:lang w:val="it-CH"/>
        </w:rPr>
        <w:t xml:space="preserve">, B. No: 2017/6162, 08.06.2021; </w:t>
      </w:r>
      <w:r w:rsidRPr="006C3BDF">
        <w:rPr>
          <w:i/>
          <w:color w:val="000000" w:themeColor="text1"/>
          <w:szCs w:val="20"/>
          <w:lang w:val="it-CH"/>
        </w:rPr>
        <w:t>Diren Taşkıran</w:t>
      </w:r>
      <w:r w:rsidRPr="006C3BDF">
        <w:rPr>
          <w:color w:val="000000" w:themeColor="text1"/>
          <w:szCs w:val="20"/>
          <w:lang w:val="it-CH"/>
        </w:rPr>
        <w:t>, B. No: 2017/26466, 26.05.2021.</w:t>
      </w:r>
    </w:p>
  </w:footnote>
  <w:footnote w:id="32">
    <w:p w14:paraId="08859CC9" w14:textId="2A05310D" w:rsidR="00827DB8" w:rsidRPr="006C3BDF" w:rsidRDefault="00827DB8" w:rsidP="007C48D8">
      <w:pPr>
        <w:pStyle w:val="FootnoteText"/>
        <w:rPr>
          <w:b/>
          <w:bCs/>
          <w:color w:val="000000" w:themeColor="text1"/>
          <w:szCs w:val="20"/>
          <w:lang w:val="it-CH"/>
        </w:rPr>
      </w:pPr>
      <w:r w:rsidRPr="00165CE4">
        <w:rPr>
          <w:rStyle w:val="FootnoteReference"/>
          <w:color w:val="000000" w:themeColor="text1"/>
          <w:szCs w:val="20"/>
          <w:lang w:val="en-GB"/>
        </w:rPr>
        <w:footnoteRef/>
      </w:r>
      <w:r w:rsidRPr="006C3BDF">
        <w:rPr>
          <w:color w:val="000000" w:themeColor="text1"/>
          <w:szCs w:val="20"/>
          <w:lang w:val="it-CH"/>
        </w:rPr>
        <w:t xml:space="preserve"> </w:t>
      </w:r>
      <w:r w:rsidR="004756C7">
        <w:rPr>
          <w:color w:val="000000" w:themeColor="text1"/>
          <w:szCs w:val="20"/>
          <w:lang w:val="it-CH"/>
        </w:rPr>
        <w:t>bianet</w:t>
      </w:r>
      <w:r w:rsidRPr="006C3BDF">
        <w:rPr>
          <w:color w:val="000000" w:themeColor="text1"/>
          <w:szCs w:val="20"/>
          <w:lang w:val="it-CH"/>
        </w:rPr>
        <w:t xml:space="preserve">, BİA Media Monitoring Report 2022, </w:t>
      </w:r>
      <w:hyperlink r:id="rId19" w:history="1">
        <w:r w:rsidRPr="006C3BDF">
          <w:rPr>
            <w:rStyle w:val="Hyperlink"/>
            <w:szCs w:val="20"/>
            <w:lang w:val="it-CH"/>
          </w:rPr>
          <w:t>https://</w:t>
        </w:r>
        <w:r>
          <w:rPr>
            <w:rStyle w:val="Hyperlink"/>
            <w:szCs w:val="20"/>
            <w:lang w:val="it-CH"/>
          </w:rPr>
          <w:t>bianet</w:t>
        </w:r>
        <w:r w:rsidRPr="006C3BDF">
          <w:rPr>
            <w:rStyle w:val="Hyperlink"/>
            <w:szCs w:val="20"/>
            <w:lang w:val="it-CH"/>
          </w:rPr>
          <w:t>.org/haber/journalists-shackled-ahead-of-elections-274640</w:t>
        </w:r>
      </w:hyperlink>
      <w:r w:rsidRPr="006C3BDF">
        <w:rPr>
          <w:color w:val="000000" w:themeColor="text1"/>
          <w:szCs w:val="20"/>
          <w:lang w:val="it-CH"/>
        </w:rPr>
        <w:t xml:space="preserve"> (accessed: 10.09.2024)</w:t>
      </w:r>
    </w:p>
  </w:footnote>
  <w:footnote w:id="33">
    <w:p w14:paraId="24DD91F4" w14:textId="02AC4AC4" w:rsidR="00827DB8" w:rsidRPr="00047389" w:rsidRDefault="00827DB8">
      <w:pPr>
        <w:pStyle w:val="FootnoteText"/>
        <w:rPr>
          <w:lang w:val="it-CH"/>
        </w:rPr>
      </w:pPr>
      <w:r>
        <w:rPr>
          <w:rStyle w:val="FootnoteReference"/>
        </w:rPr>
        <w:footnoteRef/>
      </w:r>
      <w:r>
        <w:t xml:space="preserve"> </w:t>
      </w:r>
      <w:r w:rsidR="004756C7">
        <w:rPr>
          <w:color w:val="000000" w:themeColor="text1"/>
          <w:szCs w:val="20"/>
          <w:lang w:val="it-CH"/>
        </w:rPr>
        <w:t>bianet</w:t>
      </w:r>
      <w:r w:rsidRPr="006C3BDF">
        <w:rPr>
          <w:color w:val="000000" w:themeColor="text1"/>
          <w:szCs w:val="20"/>
          <w:lang w:val="it-CH"/>
        </w:rPr>
        <w:t xml:space="preserve">, BİA Media Monitoring Report 2022, </w:t>
      </w:r>
      <w:hyperlink r:id="rId20" w:history="1">
        <w:r w:rsidRPr="006C3BDF">
          <w:rPr>
            <w:rStyle w:val="Hyperlink"/>
            <w:szCs w:val="20"/>
            <w:lang w:val="it-CH"/>
          </w:rPr>
          <w:t>https://</w:t>
        </w:r>
        <w:r>
          <w:rPr>
            <w:rStyle w:val="Hyperlink"/>
            <w:szCs w:val="20"/>
            <w:lang w:val="it-CH"/>
          </w:rPr>
          <w:t>bianet</w:t>
        </w:r>
        <w:r w:rsidRPr="006C3BDF">
          <w:rPr>
            <w:rStyle w:val="Hyperlink"/>
            <w:szCs w:val="20"/>
            <w:lang w:val="it-CH"/>
          </w:rPr>
          <w:t>.org/haber/journalists-shackled-ahead-of-elections-274640</w:t>
        </w:r>
      </w:hyperlink>
      <w:r w:rsidRPr="006C3BDF">
        <w:rPr>
          <w:color w:val="000000" w:themeColor="text1"/>
          <w:szCs w:val="20"/>
          <w:lang w:val="it-CH"/>
        </w:rPr>
        <w:t xml:space="preserve"> (accessed: 10.09.2024)</w:t>
      </w:r>
    </w:p>
  </w:footnote>
  <w:footnote w:id="34">
    <w:p w14:paraId="623BE4A6" w14:textId="41120623" w:rsidR="00827DB8" w:rsidRPr="008A62EC" w:rsidRDefault="00827DB8">
      <w:pPr>
        <w:pStyle w:val="FootnoteText"/>
        <w:rPr>
          <w:szCs w:val="20"/>
          <w:lang w:val="en-GB"/>
        </w:rPr>
      </w:pPr>
      <w:r>
        <w:rPr>
          <w:rStyle w:val="FootnoteReference"/>
        </w:rPr>
        <w:footnoteRef/>
      </w:r>
      <w:r>
        <w:t xml:space="preserve"> </w:t>
      </w:r>
      <w:r w:rsidRPr="00165CE4">
        <w:rPr>
          <w:szCs w:val="20"/>
          <w:lang w:val="en-GB"/>
        </w:rPr>
        <w:t>Turkish Criminal Code, Article 217/A: (1) Anyone who spreads information about internal or external security of the country, public order and public health which is not true just in order to create concern, fear, or panic among people in a manner that domestic peace may be disrupted will be punished with imprisonment sentence of one to three years. (2) If the crime is committed by an offender concealing their identity or within the framework of organizational activity, the penalty will be increased half fold.</w:t>
      </w:r>
    </w:p>
  </w:footnote>
  <w:footnote w:id="35">
    <w:p w14:paraId="7E177DFF" w14:textId="3A8D82AE" w:rsidR="00827DB8" w:rsidRPr="00047389" w:rsidRDefault="00827DB8" w:rsidP="009039CA">
      <w:pPr>
        <w:pStyle w:val="FootnoteText"/>
        <w:rPr>
          <w:szCs w:val="20"/>
          <w:lang w:val="it-CH"/>
        </w:rPr>
      </w:pPr>
      <w:r w:rsidRPr="00165CE4">
        <w:rPr>
          <w:rStyle w:val="FootnoteReference"/>
          <w:szCs w:val="20"/>
          <w:lang w:val="en-GB"/>
        </w:rPr>
        <w:footnoteRef/>
      </w:r>
      <w:r w:rsidRPr="00047389">
        <w:rPr>
          <w:szCs w:val="20"/>
          <w:lang w:val="it-CH"/>
        </w:rPr>
        <w:t xml:space="preserve"> </w:t>
      </w:r>
      <w:r w:rsidR="004756C7">
        <w:rPr>
          <w:color w:val="000000" w:themeColor="text1"/>
          <w:szCs w:val="20"/>
          <w:lang w:val="it-CH"/>
        </w:rPr>
        <w:t>bianet</w:t>
      </w:r>
      <w:r w:rsidRPr="00047389">
        <w:rPr>
          <w:color w:val="000000" w:themeColor="text1"/>
          <w:szCs w:val="20"/>
          <w:lang w:val="it-CH"/>
        </w:rPr>
        <w:t xml:space="preserve">, BİA Media Monitoring Report 2023, </w:t>
      </w:r>
      <w:hyperlink r:id="rId21" w:history="1">
        <w:r w:rsidRPr="00047389">
          <w:rPr>
            <w:rStyle w:val="Hyperlink"/>
            <w:szCs w:val="20"/>
            <w:lang w:val="it-CH"/>
          </w:rPr>
          <w:t>https://static.</w:t>
        </w:r>
        <w:r>
          <w:rPr>
            <w:rStyle w:val="Hyperlink"/>
            <w:szCs w:val="20"/>
            <w:lang w:val="it-CH"/>
          </w:rPr>
          <w:t>bianet</w:t>
        </w:r>
        <w:r w:rsidRPr="00047389">
          <w:rPr>
            <w:rStyle w:val="Hyperlink"/>
            <w:szCs w:val="20"/>
            <w:lang w:val="it-CH"/>
          </w:rPr>
          <w:t>.org/belge/rapor/MGR_2023_TR_f01.pdf</w:t>
        </w:r>
      </w:hyperlink>
      <w:r w:rsidRPr="00047389">
        <w:rPr>
          <w:color w:val="000000" w:themeColor="text1"/>
          <w:szCs w:val="20"/>
          <w:lang w:val="it-CH"/>
        </w:rPr>
        <w:t xml:space="preserve">  (accessed: 10.09.2024)</w:t>
      </w:r>
    </w:p>
  </w:footnote>
  <w:footnote w:id="36">
    <w:p w14:paraId="188A4444" w14:textId="32726292" w:rsidR="00827DB8" w:rsidRPr="00165CE4" w:rsidRDefault="00827DB8" w:rsidP="009039CA">
      <w:pPr>
        <w:pStyle w:val="FootnoteText"/>
        <w:rPr>
          <w:szCs w:val="20"/>
          <w:lang w:val="en-GB"/>
        </w:rPr>
      </w:pPr>
      <w:r w:rsidRPr="00165CE4">
        <w:rPr>
          <w:rStyle w:val="FootnoteReference"/>
          <w:szCs w:val="20"/>
          <w:lang w:val="en-GB"/>
        </w:rPr>
        <w:footnoteRef/>
      </w:r>
      <w:r w:rsidRPr="00165CE4">
        <w:rPr>
          <w:szCs w:val="20"/>
          <w:lang w:val="en-GB"/>
        </w:rPr>
        <w:t xml:space="preserve"> Journalists</w:t>
      </w:r>
      <w:r>
        <w:rPr>
          <w:szCs w:val="20"/>
          <w:lang w:val="en-GB"/>
        </w:rPr>
        <w:t>’</w:t>
      </w:r>
      <w:r w:rsidRPr="00165CE4">
        <w:rPr>
          <w:szCs w:val="20"/>
          <w:lang w:val="en-GB"/>
        </w:rPr>
        <w:t xml:space="preserve"> Union of Türkiye (TGS), Media Freedom Report 2023-2024, p. 24, </w:t>
      </w:r>
      <w:hyperlink r:id="rId22" w:history="1">
        <w:r w:rsidRPr="00165CE4">
          <w:rPr>
            <w:rStyle w:val="Hyperlink"/>
            <w:szCs w:val="20"/>
            <w:lang w:val="en-GB"/>
          </w:rPr>
          <w:t>https://tgs.org.tr/wp-content/uploads/2024/05/TGS-BASIN-OZGURLUGU-RAPORU-TAM-METIN.pdf</w:t>
        </w:r>
      </w:hyperlink>
      <w:r w:rsidRPr="00165CE4">
        <w:rPr>
          <w:szCs w:val="20"/>
          <w:lang w:val="en-GB"/>
        </w:rPr>
        <w:t xml:space="preserve"> </w:t>
      </w:r>
      <w:r w:rsidRPr="00165CE4">
        <w:rPr>
          <w:color w:val="000000" w:themeColor="text1"/>
          <w:szCs w:val="20"/>
          <w:lang w:val="en-GB"/>
        </w:rPr>
        <w:t>(accessed: 10.09.2024).</w:t>
      </w:r>
    </w:p>
  </w:footnote>
  <w:footnote w:id="37">
    <w:p w14:paraId="15607979" w14:textId="56DC8831" w:rsidR="00827DB8" w:rsidRPr="00165CE4" w:rsidRDefault="00827DB8" w:rsidP="009039CA">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Radio and Television Supreme Council, Annual Activity Reports, </w:t>
      </w:r>
      <w:hyperlink r:id="rId23" w:history="1">
        <w:r w:rsidRPr="00165CE4">
          <w:rPr>
            <w:rStyle w:val="Hyperlink"/>
            <w:szCs w:val="20"/>
            <w:lang w:val="en-GB"/>
          </w:rPr>
          <w:t>https://www.rtuk.gov.tr/yillik-faaliyet-raporlari/3738</w:t>
        </w:r>
      </w:hyperlink>
      <w:r w:rsidRPr="00165CE4">
        <w:rPr>
          <w:color w:val="000000" w:themeColor="text1"/>
          <w:szCs w:val="20"/>
          <w:lang w:val="en-GB"/>
        </w:rPr>
        <w:t xml:space="preserve"> (accessed: 10.09.2024). The report for the year 2023 is not available to public.</w:t>
      </w:r>
    </w:p>
  </w:footnote>
  <w:footnote w:id="38">
    <w:p w14:paraId="697F01A9" w14:textId="77777777" w:rsidR="00827DB8" w:rsidRPr="00165CE4" w:rsidRDefault="00827DB8" w:rsidP="00DC255D">
      <w:pPr>
        <w:pStyle w:val="FootnoteText"/>
        <w:rPr>
          <w:szCs w:val="20"/>
          <w:lang w:val="en-GB"/>
        </w:rPr>
      </w:pPr>
      <w:r w:rsidRPr="00165CE4">
        <w:rPr>
          <w:rStyle w:val="FootnoteReference"/>
          <w:szCs w:val="20"/>
          <w:lang w:val="en-GB"/>
        </w:rPr>
        <w:footnoteRef/>
      </w:r>
      <w:r w:rsidRPr="00165CE4">
        <w:rPr>
          <w:szCs w:val="20"/>
          <w:lang w:val="en-GB"/>
        </w:rPr>
        <w:t xml:space="preserve"> </w:t>
      </w:r>
      <w:r w:rsidRPr="00165CE4">
        <w:rPr>
          <w:bCs/>
          <w:szCs w:val="20"/>
          <w:lang w:val="en-GB"/>
        </w:rPr>
        <w:t>Bylaw on the Presentation of Radio, Television and On-Demand Broadcasts on the Internet, Official Gazette no. 30849, 01.08.2019</w:t>
      </w:r>
    </w:p>
  </w:footnote>
  <w:footnote w:id="39">
    <w:p w14:paraId="4B177244" w14:textId="0341C265" w:rsidR="00827DB8" w:rsidRPr="00165CE4" w:rsidRDefault="00827DB8" w:rsidP="009039CA">
      <w:pPr>
        <w:pStyle w:val="FootnoteText"/>
        <w:rPr>
          <w:szCs w:val="20"/>
          <w:lang w:val="en-GB"/>
        </w:rPr>
      </w:pPr>
      <w:r w:rsidRPr="00165CE4">
        <w:rPr>
          <w:rStyle w:val="FootnoteReference"/>
          <w:szCs w:val="20"/>
          <w:lang w:val="en-GB"/>
        </w:rPr>
        <w:footnoteRef/>
      </w:r>
      <w:r w:rsidRPr="00165CE4">
        <w:rPr>
          <w:szCs w:val="20"/>
          <w:lang w:val="en-GB"/>
        </w:rPr>
        <w:t xml:space="preserve"> </w:t>
      </w:r>
      <w:r w:rsidR="008A62EC">
        <w:rPr>
          <w:szCs w:val="20"/>
          <w:lang w:val="en-GB"/>
        </w:rPr>
        <w:t>b</w:t>
      </w:r>
      <w:r>
        <w:rPr>
          <w:szCs w:val="20"/>
          <w:lang w:val="en-GB"/>
        </w:rPr>
        <w:t>ianet</w:t>
      </w:r>
      <w:r w:rsidRPr="00165CE4">
        <w:rPr>
          <w:szCs w:val="20"/>
          <w:lang w:val="en-GB"/>
        </w:rPr>
        <w:t xml:space="preserve">, Media Ownership Monitor-Türkiye, </w:t>
      </w:r>
      <w:r w:rsidRPr="00165CE4">
        <w:rPr>
          <w:bCs/>
          <w:szCs w:val="20"/>
          <w:lang w:val="en-GB"/>
        </w:rPr>
        <w:t>Online,</w:t>
      </w:r>
      <w:r w:rsidRPr="00165CE4">
        <w:rPr>
          <w:szCs w:val="20"/>
          <w:lang w:val="en-GB"/>
        </w:rPr>
        <w:t xml:space="preserve"> </w:t>
      </w:r>
      <w:hyperlink r:id="rId24" w:history="1">
        <w:r w:rsidRPr="00165CE4">
          <w:rPr>
            <w:rStyle w:val="Hyperlink"/>
            <w:szCs w:val="20"/>
            <w:lang w:val="en-GB"/>
          </w:rPr>
          <w:t>https://turkey.mom-rsf.org/en/media/online/</w:t>
        </w:r>
      </w:hyperlink>
      <w:r w:rsidRPr="00165CE4">
        <w:rPr>
          <w:szCs w:val="20"/>
          <w:lang w:val="en-GB"/>
        </w:rPr>
        <w:t xml:space="preserve"> (accessed: 10.09.2024)</w:t>
      </w:r>
    </w:p>
  </w:footnote>
  <w:footnote w:id="40">
    <w:p w14:paraId="3A23365A" w14:textId="56A12B79" w:rsidR="008A62EC" w:rsidRDefault="008A62EC">
      <w:pPr>
        <w:pStyle w:val="FootnoteText"/>
      </w:pPr>
      <w:r>
        <w:rPr>
          <w:rStyle w:val="FootnoteReference"/>
        </w:rPr>
        <w:footnoteRef/>
      </w:r>
      <w:r>
        <w:t xml:space="preserve"> </w:t>
      </w:r>
      <w:r w:rsidR="004756C7">
        <w:rPr>
          <w:color w:val="000000" w:themeColor="text1"/>
          <w:szCs w:val="20"/>
          <w:lang w:val="it-CH"/>
        </w:rPr>
        <w:t>bianet</w:t>
      </w:r>
      <w:r w:rsidR="004756C7" w:rsidRPr="00047389">
        <w:rPr>
          <w:color w:val="000000" w:themeColor="text1"/>
          <w:szCs w:val="20"/>
          <w:lang w:val="it-CH"/>
        </w:rPr>
        <w:t xml:space="preserve">, BİA Media Monitoring Report 2023, </w:t>
      </w:r>
      <w:hyperlink r:id="rId25" w:history="1">
        <w:r w:rsidR="004756C7" w:rsidRPr="00047389">
          <w:rPr>
            <w:rStyle w:val="Hyperlink"/>
            <w:szCs w:val="20"/>
            <w:lang w:val="it-CH"/>
          </w:rPr>
          <w:t>https://static.</w:t>
        </w:r>
        <w:r w:rsidR="004756C7">
          <w:rPr>
            <w:rStyle w:val="Hyperlink"/>
            <w:szCs w:val="20"/>
            <w:lang w:val="it-CH"/>
          </w:rPr>
          <w:t>bianet</w:t>
        </w:r>
        <w:r w:rsidR="004756C7" w:rsidRPr="00047389">
          <w:rPr>
            <w:rStyle w:val="Hyperlink"/>
            <w:szCs w:val="20"/>
            <w:lang w:val="it-CH"/>
          </w:rPr>
          <w:t>.org/belge/rapor/MGR_2023_TR_f01.pdf</w:t>
        </w:r>
      </w:hyperlink>
      <w:r w:rsidR="004756C7" w:rsidRPr="00047389">
        <w:rPr>
          <w:color w:val="000000" w:themeColor="text1"/>
          <w:szCs w:val="20"/>
          <w:lang w:val="it-CH"/>
        </w:rPr>
        <w:t xml:space="preserve">  (accessed: 10.09.2024)</w:t>
      </w:r>
    </w:p>
  </w:footnote>
  <w:footnote w:id="41">
    <w:p w14:paraId="58CC3741" w14:textId="77777777" w:rsidR="00827DB8" w:rsidRPr="00165CE4" w:rsidRDefault="00827DB8" w:rsidP="009039CA">
      <w:pPr>
        <w:pStyle w:val="FootnoteText"/>
        <w:rPr>
          <w:szCs w:val="20"/>
          <w:lang w:val="en-GB"/>
        </w:rPr>
      </w:pPr>
      <w:r w:rsidRPr="00165CE4">
        <w:rPr>
          <w:rStyle w:val="FootnoteReference"/>
          <w:szCs w:val="20"/>
          <w:lang w:val="en-GB"/>
        </w:rPr>
        <w:footnoteRef/>
      </w:r>
      <w:r w:rsidRPr="00165CE4">
        <w:rPr>
          <w:szCs w:val="20"/>
          <w:lang w:val="en-GB"/>
        </w:rPr>
        <w:t xml:space="preserve"> </w:t>
      </w:r>
      <w:r w:rsidRPr="00165CE4">
        <w:rPr>
          <w:color w:val="000000" w:themeColor="text1"/>
          <w:szCs w:val="20"/>
          <w:lang w:val="en-GB"/>
        </w:rPr>
        <w:t>CCPR/C/TUR/2, para 243.</w:t>
      </w:r>
    </w:p>
  </w:footnote>
  <w:footnote w:id="42">
    <w:p w14:paraId="7D8CD18B" w14:textId="77777777" w:rsidR="00827DB8" w:rsidRPr="00165CE4" w:rsidRDefault="00827DB8" w:rsidP="00284A34">
      <w:pPr>
        <w:pStyle w:val="FootnoteText"/>
        <w:rPr>
          <w:szCs w:val="20"/>
          <w:lang w:val="en-GB"/>
        </w:rPr>
      </w:pPr>
      <w:r>
        <w:rPr>
          <w:rStyle w:val="FootnoteReference"/>
        </w:rPr>
        <w:footnoteRef/>
      </w:r>
      <w:r>
        <w:t xml:space="preserve"> </w:t>
      </w:r>
      <w:r w:rsidRPr="00165CE4">
        <w:rPr>
          <w:szCs w:val="20"/>
          <w:lang w:val="en-GB"/>
        </w:rPr>
        <w:t>TCC, E. 2014/149, K. 2014/151, 02.10.2014; E. 2014/87, K. 2015/112, 08.12.2015; E. 2015/76, K. 2017/153, 15.11.2017; E. 2020/76, K. 2023/172, 11.10.2023.</w:t>
      </w:r>
    </w:p>
    <w:p w14:paraId="30C5E9EC" w14:textId="1E4FAA53" w:rsidR="00827DB8" w:rsidRPr="00047389" w:rsidRDefault="00827DB8">
      <w:pPr>
        <w:pStyle w:val="FootnoteText"/>
        <w:rPr>
          <w:lang w:val="en-US"/>
        </w:rPr>
      </w:pPr>
    </w:p>
  </w:footnote>
  <w:footnote w:id="43">
    <w:p w14:paraId="314F3791" w14:textId="1008FABB" w:rsidR="00827DB8" w:rsidRPr="00165CE4" w:rsidRDefault="00827DB8" w:rsidP="009039CA">
      <w:pPr>
        <w:pStyle w:val="FootnoteText"/>
        <w:rPr>
          <w:color w:val="000000" w:themeColor="text1"/>
          <w:szCs w:val="20"/>
          <w:lang w:val="en-GB"/>
        </w:rPr>
      </w:pPr>
      <w:r w:rsidRPr="00165CE4">
        <w:rPr>
          <w:rStyle w:val="FootnoteReference"/>
          <w:color w:val="000000" w:themeColor="text1"/>
          <w:szCs w:val="20"/>
          <w:lang w:val="en-GB"/>
        </w:rPr>
        <w:footnoteRef/>
      </w:r>
      <w:r w:rsidRPr="00165CE4">
        <w:rPr>
          <w:color w:val="000000" w:themeColor="text1"/>
          <w:szCs w:val="20"/>
          <w:lang w:val="en-GB"/>
        </w:rPr>
        <w:t xml:space="preserve"> Yaman Akdeniz; Ozan Güven, EngelliWeb 2022, Freedom of Expression Association, 2023, pp. 4-9, </w:t>
      </w:r>
      <w:hyperlink r:id="rId26" w:history="1">
        <w:r w:rsidRPr="00165CE4">
          <w:rPr>
            <w:rStyle w:val="Hyperlink"/>
            <w:szCs w:val="20"/>
            <w:lang w:val="en-GB"/>
          </w:rPr>
          <w:t>https://ifade.org.tr/reports/EngelliWeb_2022.pdf</w:t>
        </w:r>
      </w:hyperlink>
      <w:r w:rsidRPr="00165CE4">
        <w:rPr>
          <w:color w:val="000000" w:themeColor="text1"/>
          <w:szCs w:val="20"/>
          <w:lang w:val="en-GB"/>
        </w:rPr>
        <w:t xml:space="preserve"> (accessed: 10.09.2024)</w:t>
      </w:r>
    </w:p>
  </w:footnote>
  <w:footnote w:id="44">
    <w:p w14:paraId="6E75DED3" w14:textId="63FAA46C" w:rsidR="00827DB8" w:rsidRPr="00047389" w:rsidRDefault="00827DB8">
      <w:pPr>
        <w:pStyle w:val="FootnoteText"/>
        <w:rPr>
          <w:lang w:val="en-US"/>
        </w:rPr>
      </w:pPr>
      <w:r>
        <w:rPr>
          <w:rStyle w:val="FootnoteReference"/>
        </w:rPr>
        <w:footnoteRef/>
      </w:r>
      <w:r>
        <w:t xml:space="preserve"> </w:t>
      </w:r>
      <w:r w:rsidRPr="00165CE4">
        <w:rPr>
          <w:rStyle w:val="FootnoteReference"/>
          <w:szCs w:val="20"/>
          <w:lang w:val="en-GB"/>
        </w:rPr>
        <w:footnoteRef/>
      </w:r>
      <w:r w:rsidRPr="00165CE4">
        <w:rPr>
          <w:szCs w:val="20"/>
          <w:lang w:val="en-GB"/>
        </w:rPr>
        <w:t xml:space="preserve"> Law No. 7253, Official Gazette No. 31202, 31.07.2020.</w:t>
      </w:r>
    </w:p>
  </w:footnote>
  <w:footnote w:id="45">
    <w:p w14:paraId="73B65C96" w14:textId="60342CD5" w:rsidR="00827DB8" w:rsidRPr="006C3BDF" w:rsidRDefault="00827DB8" w:rsidP="006D4E4D">
      <w:pPr>
        <w:pStyle w:val="FootnoteText"/>
        <w:rPr>
          <w:color w:val="000000" w:themeColor="text1"/>
          <w:szCs w:val="20"/>
          <w:lang w:val="it-CH"/>
        </w:rPr>
      </w:pPr>
      <w:r w:rsidRPr="00165CE4">
        <w:rPr>
          <w:rStyle w:val="FootnoteReference"/>
          <w:color w:val="000000" w:themeColor="text1"/>
          <w:szCs w:val="20"/>
          <w:lang w:val="en-GB"/>
        </w:rPr>
        <w:footnoteRef/>
      </w:r>
      <w:r w:rsidRPr="006C3BDF">
        <w:rPr>
          <w:color w:val="000000" w:themeColor="text1"/>
          <w:szCs w:val="20"/>
          <w:lang w:val="it-CH"/>
        </w:rPr>
        <w:t xml:space="preserve"> </w:t>
      </w:r>
      <w:r w:rsidR="008A62EC">
        <w:rPr>
          <w:color w:val="000000" w:themeColor="text1"/>
          <w:szCs w:val="20"/>
          <w:lang w:val="it-CH"/>
        </w:rPr>
        <w:t>b</w:t>
      </w:r>
      <w:r>
        <w:rPr>
          <w:color w:val="000000" w:themeColor="text1"/>
          <w:szCs w:val="20"/>
          <w:lang w:val="it-CH"/>
        </w:rPr>
        <w:t>ianet</w:t>
      </w:r>
      <w:r w:rsidRPr="006C3BDF">
        <w:rPr>
          <w:color w:val="000000" w:themeColor="text1"/>
          <w:szCs w:val="20"/>
          <w:lang w:val="it-CH"/>
        </w:rPr>
        <w:t xml:space="preserve">, BİA Media Monitoring Report 2022, </w:t>
      </w:r>
      <w:hyperlink r:id="rId27" w:history="1">
        <w:r w:rsidRPr="006C3BDF">
          <w:rPr>
            <w:rStyle w:val="Hyperlink"/>
            <w:szCs w:val="20"/>
            <w:lang w:val="it-CH"/>
          </w:rPr>
          <w:t>https://</w:t>
        </w:r>
        <w:r>
          <w:rPr>
            <w:rStyle w:val="Hyperlink"/>
            <w:szCs w:val="20"/>
            <w:lang w:val="it-CH"/>
          </w:rPr>
          <w:t>bianet</w:t>
        </w:r>
        <w:r w:rsidRPr="006C3BDF">
          <w:rPr>
            <w:rStyle w:val="Hyperlink"/>
            <w:szCs w:val="20"/>
            <w:lang w:val="it-CH"/>
          </w:rPr>
          <w:t>.org/haber/journalists-shackled-ahead-of-elections-274640</w:t>
        </w:r>
      </w:hyperlink>
      <w:r w:rsidRPr="006C3BDF">
        <w:rPr>
          <w:color w:val="000000" w:themeColor="text1"/>
          <w:szCs w:val="20"/>
          <w:lang w:val="it-CH"/>
        </w:rPr>
        <w:t xml:space="preserve"> (accessed: 10.09.2024)</w:t>
      </w:r>
    </w:p>
  </w:footnote>
  <w:footnote w:id="46">
    <w:p w14:paraId="766E96D4" w14:textId="77777777" w:rsidR="00827DB8" w:rsidRPr="00165CE4" w:rsidRDefault="00827DB8" w:rsidP="006D4E4D">
      <w:pPr>
        <w:pStyle w:val="FootnoteText"/>
        <w:rPr>
          <w:szCs w:val="20"/>
          <w:lang w:val="en-GB"/>
        </w:rPr>
      </w:pPr>
      <w:r w:rsidRPr="00165CE4">
        <w:rPr>
          <w:rStyle w:val="FootnoteReference"/>
          <w:szCs w:val="20"/>
          <w:lang w:val="en-GB"/>
        </w:rPr>
        <w:footnoteRef/>
      </w:r>
      <w:r w:rsidRPr="00165CE4">
        <w:rPr>
          <w:szCs w:val="20"/>
          <w:lang w:val="en-GB"/>
        </w:rPr>
        <w:t xml:space="preserve"> Amnesty International, </w:t>
      </w:r>
      <w:r w:rsidRPr="00165CE4">
        <w:rPr>
          <w:bCs/>
          <w:szCs w:val="20"/>
          <w:lang w:val="en-GB"/>
        </w:rPr>
        <w:t xml:space="preserve">Saudi Arabia: Still no justice for state-sanctioned murder of Jamal Khashoggi five years on, </w:t>
      </w:r>
      <w:hyperlink r:id="rId28" w:history="1">
        <w:r w:rsidRPr="00165CE4">
          <w:rPr>
            <w:rStyle w:val="Hyperlink"/>
            <w:bCs/>
            <w:szCs w:val="20"/>
            <w:lang w:val="en-GB"/>
          </w:rPr>
          <w:t>https://www.amnesty.org/en/latest/news/2023/09/saudi-arabia-still-no-justice-for-state-sanctioned-murder-of-jamal-khashoggi-five-years-on/</w:t>
        </w:r>
      </w:hyperlink>
      <w:r w:rsidRPr="00165CE4">
        <w:rPr>
          <w:bCs/>
          <w:szCs w:val="20"/>
          <w:lang w:val="en-GB"/>
        </w:rPr>
        <w:t xml:space="preserve"> </w:t>
      </w:r>
      <w:r w:rsidRPr="00165CE4">
        <w:rPr>
          <w:color w:val="000000" w:themeColor="text1"/>
          <w:szCs w:val="20"/>
          <w:lang w:val="en-GB"/>
        </w:rPr>
        <w:t>(accessed: 10.09.2024)</w:t>
      </w:r>
    </w:p>
  </w:footnote>
  <w:footnote w:id="47">
    <w:p w14:paraId="047EC5C0" w14:textId="259C2E69" w:rsidR="00827DB8" w:rsidRPr="006C3BDF" w:rsidRDefault="00827DB8" w:rsidP="006D4E4D">
      <w:pPr>
        <w:pStyle w:val="FootnoteText"/>
        <w:rPr>
          <w:color w:val="000000" w:themeColor="text1"/>
          <w:szCs w:val="20"/>
          <w:lang w:val="it-CH"/>
        </w:rPr>
      </w:pPr>
      <w:r w:rsidRPr="00165CE4">
        <w:rPr>
          <w:rStyle w:val="FootnoteReference"/>
          <w:color w:val="000000" w:themeColor="text1"/>
          <w:szCs w:val="20"/>
          <w:lang w:val="en-GB"/>
        </w:rPr>
        <w:footnoteRef/>
      </w:r>
      <w:r w:rsidRPr="006C3BDF">
        <w:rPr>
          <w:color w:val="000000" w:themeColor="text1"/>
          <w:szCs w:val="20"/>
          <w:lang w:val="it-CH"/>
        </w:rPr>
        <w:t xml:space="preserve"> </w:t>
      </w:r>
      <w:r w:rsidR="004756C7">
        <w:rPr>
          <w:color w:val="000000" w:themeColor="text1"/>
          <w:szCs w:val="20"/>
          <w:lang w:val="it-CH"/>
        </w:rPr>
        <w:t>bianet</w:t>
      </w:r>
      <w:r w:rsidRPr="006C3BDF">
        <w:rPr>
          <w:color w:val="000000" w:themeColor="text1"/>
          <w:szCs w:val="20"/>
          <w:lang w:val="it-CH"/>
        </w:rPr>
        <w:t xml:space="preserve">, BİA Media Monitoring Report 2022, </w:t>
      </w:r>
      <w:hyperlink r:id="rId29" w:history="1">
        <w:r w:rsidRPr="006C3BDF">
          <w:rPr>
            <w:rStyle w:val="Hyperlink"/>
            <w:szCs w:val="20"/>
            <w:lang w:val="it-CH"/>
          </w:rPr>
          <w:t>https://</w:t>
        </w:r>
        <w:r>
          <w:rPr>
            <w:rStyle w:val="Hyperlink"/>
            <w:szCs w:val="20"/>
            <w:lang w:val="it-CH"/>
          </w:rPr>
          <w:t>bianet</w:t>
        </w:r>
        <w:r w:rsidRPr="006C3BDF">
          <w:rPr>
            <w:rStyle w:val="Hyperlink"/>
            <w:szCs w:val="20"/>
            <w:lang w:val="it-CH"/>
          </w:rPr>
          <w:t>.org/haber/journalists-shackled-ahead-of-elections-274640</w:t>
        </w:r>
      </w:hyperlink>
      <w:r w:rsidRPr="006C3BDF">
        <w:rPr>
          <w:color w:val="000000" w:themeColor="text1"/>
          <w:szCs w:val="20"/>
          <w:lang w:val="it-CH"/>
        </w:rPr>
        <w:t xml:space="preserve"> (accessed: 10.09.2024)</w:t>
      </w:r>
    </w:p>
  </w:footnote>
  <w:footnote w:id="48">
    <w:p w14:paraId="4300A49F" w14:textId="59828AC7" w:rsidR="00827DB8" w:rsidRPr="00047389" w:rsidRDefault="00827DB8" w:rsidP="009039CA">
      <w:pPr>
        <w:pStyle w:val="FootnoteText"/>
        <w:rPr>
          <w:color w:val="000000" w:themeColor="text1"/>
          <w:szCs w:val="20"/>
          <w:lang w:val="it-CH"/>
        </w:rPr>
      </w:pPr>
      <w:r w:rsidRPr="00165CE4">
        <w:rPr>
          <w:rStyle w:val="FootnoteReference"/>
          <w:color w:val="000000" w:themeColor="text1"/>
          <w:szCs w:val="20"/>
          <w:lang w:val="en-GB"/>
        </w:rPr>
        <w:footnoteRef/>
      </w:r>
      <w:r w:rsidRPr="00047389">
        <w:rPr>
          <w:color w:val="000000" w:themeColor="text1"/>
          <w:szCs w:val="20"/>
          <w:lang w:val="it-CH"/>
        </w:rPr>
        <w:t xml:space="preserve"> </w:t>
      </w:r>
      <w:r w:rsidR="004756C7">
        <w:rPr>
          <w:color w:val="000000" w:themeColor="text1"/>
          <w:szCs w:val="20"/>
          <w:lang w:val="it-CH"/>
        </w:rPr>
        <w:t>bianet</w:t>
      </w:r>
      <w:r w:rsidRPr="00047389">
        <w:rPr>
          <w:color w:val="000000" w:themeColor="text1"/>
          <w:szCs w:val="20"/>
          <w:lang w:val="it-CH"/>
        </w:rPr>
        <w:t xml:space="preserve">, BİA Media Monitoring Report 2022, </w:t>
      </w:r>
      <w:hyperlink r:id="rId30" w:history="1">
        <w:r w:rsidRPr="00047389">
          <w:rPr>
            <w:rStyle w:val="Hyperlink"/>
            <w:szCs w:val="20"/>
            <w:lang w:val="it-CH"/>
          </w:rPr>
          <w:t>https://</w:t>
        </w:r>
        <w:r>
          <w:rPr>
            <w:rStyle w:val="Hyperlink"/>
            <w:szCs w:val="20"/>
            <w:lang w:val="it-CH"/>
          </w:rPr>
          <w:t>bianet</w:t>
        </w:r>
        <w:r w:rsidRPr="00047389">
          <w:rPr>
            <w:rStyle w:val="Hyperlink"/>
            <w:szCs w:val="20"/>
            <w:lang w:val="it-CH"/>
          </w:rPr>
          <w:t>.org/haber/journalists-shackled-ahead-of-elections-274640</w:t>
        </w:r>
      </w:hyperlink>
      <w:r w:rsidRPr="00047389">
        <w:rPr>
          <w:color w:val="000000" w:themeColor="text1"/>
          <w:szCs w:val="20"/>
          <w:lang w:val="it-CH"/>
        </w:rPr>
        <w:t xml:space="preserve"> (accessed: 10.09.2024)</w:t>
      </w:r>
    </w:p>
  </w:footnote>
  <w:footnote w:id="49">
    <w:p w14:paraId="7DD1256B" w14:textId="6F212180" w:rsidR="00827DB8" w:rsidRPr="00047389" w:rsidRDefault="00827DB8" w:rsidP="009039CA">
      <w:pPr>
        <w:pStyle w:val="FootnoteText"/>
        <w:rPr>
          <w:szCs w:val="20"/>
          <w:lang w:val="it-CH"/>
        </w:rPr>
      </w:pPr>
      <w:r w:rsidRPr="00165CE4">
        <w:rPr>
          <w:rStyle w:val="FootnoteReference"/>
          <w:szCs w:val="20"/>
          <w:lang w:val="en-GB"/>
        </w:rPr>
        <w:footnoteRef/>
      </w:r>
      <w:r w:rsidRPr="00047389">
        <w:rPr>
          <w:szCs w:val="20"/>
          <w:lang w:val="it-CH"/>
        </w:rPr>
        <w:t xml:space="preserve"> </w:t>
      </w:r>
      <w:r w:rsidR="004756C7">
        <w:rPr>
          <w:szCs w:val="20"/>
          <w:lang w:val="it-CH"/>
        </w:rPr>
        <w:t>bianet</w:t>
      </w:r>
      <w:r w:rsidRPr="00047389">
        <w:rPr>
          <w:szCs w:val="20"/>
          <w:lang w:val="it-CH"/>
        </w:rPr>
        <w:t xml:space="preserve">, Media Monitoring Database, </w:t>
      </w:r>
      <w:hyperlink r:id="rId31" w:history="1">
        <w:r w:rsidRPr="00047389">
          <w:rPr>
            <w:rStyle w:val="Hyperlink"/>
            <w:szCs w:val="20"/>
            <w:lang w:val="it-CH"/>
          </w:rPr>
          <w:t>https://medyagozlemveritabani.org/?fwp_e=ucuncu-kisilerin-mudahaleleri&amp;fwp_e4=fiziksel-mudahale&amp;fwp_paged=2</w:t>
        </w:r>
      </w:hyperlink>
      <w:r w:rsidRPr="00047389">
        <w:rPr>
          <w:szCs w:val="20"/>
          <w:lang w:val="it-CH"/>
        </w:rPr>
        <w:t xml:space="preserve"> </w:t>
      </w:r>
      <w:r w:rsidRPr="00047389">
        <w:rPr>
          <w:color w:val="000000" w:themeColor="text1"/>
          <w:szCs w:val="20"/>
          <w:lang w:val="it-CH"/>
        </w:rPr>
        <w:t>(accessed: 10.09.2024)</w:t>
      </w:r>
    </w:p>
  </w:footnote>
  <w:footnote w:id="50">
    <w:p w14:paraId="4EEE0E87" w14:textId="77777777" w:rsidR="00827DB8" w:rsidRPr="00165CE4" w:rsidRDefault="00827DB8" w:rsidP="00D023C1">
      <w:pPr>
        <w:pStyle w:val="FootnoteText"/>
        <w:rPr>
          <w:szCs w:val="20"/>
          <w:lang w:val="en-GB"/>
        </w:rPr>
      </w:pPr>
      <w:r w:rsidRPr="00165CE4">
        <w:rPr>
          <w:rStyle w:val="FootnoteReference"/>
          <w:szCs w:val="20"/>
          <w:lang w:val="en-GB"/>
        </w:rPr>
        <w:footnoteRef/>
      </w:r>
      <w:r w:rsidRPr="00165CE4">
        <w:rPr>
          <w:szCs w:val="20"/>
          <w:lang w:val="en-GB"/>
        </w:rPr>
        <w:t xml:space="preserve"> See, </w:t>
      </w:r>
      <w:hyperlink r:id="rId32" w:history="1">
        <w:r w:rsidRPr="00165CE4">
          <w:rPr>
            <w:rStyle w:val="Hyperlink"/>
            <w:szCs w:val="20"/>
            <w:lang w:val="en-GB"/>
          </w:rPr>
          <w:t>https://</w:t>
        </w:r>
        <w:r>
          <w:rPr>
            <w:rStyle w:val="Hyperlink"/>
            <w:szCs w:val="20"/>
            <w:lang w:val="en-GB"/>
          </w:rPr>
          <w:t>bianet</w:t>
        </w:r>
        <w:r w:rsidRPr="00165CE4">
          <w:rPr>
            <w:rStyle w:val="Hyperlink"/>
            <w:szCs w:val="20"/>
            <w:lang w:val="en-GB"/>
          </w:rPr>
          <w:t>.org/etiket/erkek-siddeti-cetelesi-31718</w:t>
        </w:r>
      </w:hyperlink>
      <w:r w:rsidRPr="00165CE4">
        <w:rPr>
          <w:szCs w:val="20"/>
          <w:lang w:val="en-GB"/>
        </w:rPr>
        <w:t xml:space="preserve"> </w:t>
      </w:r>
      <w:r w:rsidRPr="00165CE4">
        <w:rPr>
          <w:color w:val="000000" w:themeColor="text1"/>
          <w:szCs w:val="20"/>
          <w:lang w:val="en-GB"/>
        </w:rPr>
        <w:t>(accessed: 10.09.2024).</w:t>
      </w:r>
    </w:p>
  </w:footnote>
  <w:footnote w:id="51">
    <w:p w14:paraId="1DB023EB" w14:textId="77777777" w:rsidR="00827DB8" w:rsidRPr="00165CE4" w:rsidRDefault="00827DB8" w:rsidP="00D023C1">
      <w:pPr>
        <w:pStyle w:val="FootnoteText"/>
        <w:rPr>
          <w:szCs w:val="20"/>
          <w:lang w:val="en-GB"/>
        </w:rPr>
      </w:pPr>
      <w:r w:rsidRPr="00165CE4">
        <w:rPr>
          <w:rStyle w:val="FootnoteReference"/>
          <w:szCs w:val="20"/>
          <w:lang w:val="en-GB"/>
        </w:rPr>
        <w:footnoteRef/>
      </w:r>
      <w:r w:rsidRPr="00165CE4">
        <w:rPr>
          <w:szCs w:val="20"/>
          <w:lang w:val="en-GB"/>
        </w:rPr>
        <w:t xml:space="preserve"> For detailed information on the cases compiled and reported since 2010 see, </w:t>
      </w:r>
      <w:hyperlink r:id="rId33" w:history="1">
        <w:r w:rsidRPr="00165CE4">
          <w:rPr>
            <w:rStyle w:val="Hyperlink"/>
            <w:szCs w:val="20"/>
            <w:lang w:val="en-GB"/>
          </w:rPr>
          <w:t>https://</w:t>
        </w:r>
        <w:r>
          <w:rPr>
            <w:rStyle w:val="Hyperlink"/>
            <w:szCs w:val="20"/>
            <w:lang w:val="en-GB"/>
          </w:rPr>
          <w:t>bianet</w:t>
        </w:r>
        <w:r w:rsidRPr="00165CE4">
          <w:rPr>
            <w:rStyle w:val="Hyperlink"/>
            <w:szCs w:val="20"/>
            <w:lang w:val="en-GB"/>
          </w:rPr>
          <w:t>.org/proje/erkek-siddeti-cetelesi-285345</w:t>
        </w:r>
      </w:hyperlink>
      <w:r w:rsidRPr="00165CE4">
        <w:rPr>
          <w:szCs w:val="20"/>
          <w:lang w:val="en-GB"/>
        </w:rPr>
        <w:t xml:space="preserve"> </w:t>
      </w:r>
      <w:r w:rsidRPr="00165CE4">
        <w:rPr>
          <w:color w:val="000000" w:themeColor="text1"/>
          <w:szCs w:val="20"/>
          <w:lang w:val="en-GB"/>
        </w:rPr>
        <w:t>(accessed: 10.09.2024).</w:t>
      </w:r>
    </w:p>
  </w:footnote>
  <w:footnote w:id="52">
    <w:p w14:paraId="0B2F9893" w14:textId="77777777" w:rsidR="00827DB8" w:rsidRPr="00165CE4" w:rsidRDefault="00827DB8" w:rsidP="00D023C1">
      <w:pPr>
        <w:pStyle w:val="FootnoteText"/>
        <w:rPr>
          <w:szCs w:val="20"/>
          <w:lang w:val="en-GB"/>
        </w:rPr>
      </w:pPr>
      <w:r w:rsidRPr="00165CE4">
        <w:rPr>
          <w:rStyle w:val="FootnoteReference"/>
          <w:szCs w:val="20"/>
          <w:lang w:val="en-GB"/>
        </w:rPr>
        <w:footnoteRef/>
      </w:r>
      <w:r w:rsidRPr="00165CE4">
        <w:rPr>
          <w:szCs w:val="20"/>
          <w:lang w:val="en-GB"/>
        </w:rPr>
        <w:t xml:space="preserve"> Presidency of the Republic of Türkiye, Presidential Decision No. 3718, 19 March 2021, available at </w:t>
      </w:r>
      <w:r w:rsidRPr="00165CE4">
        <w:rPr>
          <w:i/>
          <w:szCs w:val="20"/>
          <w:lang w:val="en-GB"/>
        </w:rPr>
        <w:t>Official Gazette</w:t>
      </w:r>
      <w:r w:rsidRPr="00165CE4">
        <w:rPr>
          <w:szCs w:val="20"/>
          <w:lang w:val="en-GB"/>
        </w:rPr>
        <w:t xml:space="preserve">, 20 March 2021 and Presidential Decision No. 3928, 29 April 2021, available at </w:t>
      </w:r>
      <w:r w:rsidRPr="00165CE4">
        <w:rPr>
          <w:i/>
          <w:szCs w:val="20"/>
          <w:lang w:val="en-GB"/>
        </w:rPr>
        <w:t>Official Gazette</w:t>
      </w:r>
      <w:r w:rsidRPr="00165CE4">
        <w:rPr>
          <w:szCs w:val="20"/>
          <w:lang w:val="en-GB"/>
        </w:rPr>
        <w:t>, 30 April 2021.</w:t>
      </w:r>
    </w:p>
  </w:footnote>
  <w:footnote w:id="53">
    <w:p w14:paraId="3BFCFBA5" w14:textId="47C82D7C" w:rsidR="00827DB8" w:rsidRPr="00165CE4" w:rsidRDefault="00827DB8" w:rsidP="00D023C1">
      <w:pPr>
        <w:pStyle w:val="FootnoteText"/>
        <w:rPr>
          <w:szCs w:val="20"/>
          <w:lang w:val="en-GB"/>
        </w:rPr>
      </w:pPr>
      <w:r w:rsidRPr="00165CE4">
        <w:rPr>
          <w:rStyle w:val="FootnoteReference"/>
          <w:szCs w:val="20"/>
          <w:lang w:val="en-GB"/>
        </w:rPr>
        <w:footnoteRef/>
      </w:r>
      <w:r w:rsidRPr="00165CE4">
        <w:rPr>
          <w:szCs w:val="20"/>
          <w:lang w:val="en-GB"/>
        </w:rPr>
        <w:t xml:space="preserve"> </w:t>
      </w:r>
      <w:r w:rsidRPr="00165CE4">
        <w:rPr>
          <w:bCs/>
          <w:szCs w:val="20"/>
          <w:lang w:val="en-GB"/>
        </w:rPr>
        <w:t xml:space="preserve">Directorate of Communications, </w:t>
      </w:r>
      <w:r w:rsidRPr="00165CE4">
        <w:rPr>
          <w:i/>
          <w:szCs w:val="20"/>
          <w:lang w:val="en-GB"/>
        </w:rPr>
        <w:t>Statement by the Directorate of Communications on Türkiye</w:t>
      </w:r>
      <w:r>
        <w:rPr>
          <w:i/>
          <w:szCs w:val="20"/>
          <w:lang w:val="en-GB"/>
        </w:rPr>
        <w:t>’</w:t>
      </w:r>
      <w:r w:rsidRPr="00165CE4">
        <w:rPr>
          <w:i/>
          <w:szCs w:val="20"/>
          <w:lang w:val="en-GB"/>
        </w:rPr>
        <w:t>s Withdrawal from the Istanbul Convention</w:t>
      </w:r>
      <w:r w:rsidRPr="00165CE4">
        <w:rPr>
          <w:bCs/>
          <w:szCs w:val="20"/>
          <w:lang w:val="en-GB"/>
        </w:rPr>
        <w:t xml:space="preserve">, 21 March 2021, available at </w:t>
      </w:r>
      <w:hyperlink r:id="rId34" w:history="1">
        <w:r w:rsidRPr="00165CE4">
          <w:rPr>
            <w:rStyle w:val="Hyperlink"/>
            <w:bCs/>
            <w:szCs w:val="20"/>
            <w:lang w:val="en-GB"/>
          </w:rPr>
          <w:t>https://www.iletisim.gov.tr/english/duyurular/detay/statement-by-the-directorate-of-communications-on-turkiyes-withdrawal-from-the-istanbul-convention</w:t>
        </w:r>
      </w:hyperlink>
      <w:r w:rsidRPr="00165CE4">
        <w:rPr>
          <w:bCs/>
          <w:szCs w:val="20"/>
          <w:lang w:val="en-GB"/>
        </w:rPr>
        <w:t xml:space="preserve">. </w:t>
      </w:r>
    </w:p>
  </w:footnote>
  <w:footnote w:id="54">
    <w:p w14:paraId="39676EDB" w14:textId="77777777" w:rsidR="00827DB8" w:rsidRPr="00047389" w:rsidRDefault="00827DB8" w:rsidP="00D023C1">
      <w:pPr>
        <w:pStyle w:val="FootnoteText"/>
        <w:rPr>
          <w:szCs w:val="20"/>
          <w:lang w:val="it-CH"/>
        </w:rPr>
      </w:pPr>
      <w:r w:rsidRPr="00165CE4">
        <w:rPr>
          <w:rStyle w:val="FootnoteReference"/>
          <w:szCs w:val="20"/>
          <w:lang w:val="en-GB"/>
        </w:rPr>
        <w:footnoteRef/>
      </w:r>
      <w:r w:rsidRPr="00047389">
        <w:rPr>
          <w:szCs w:val="20"/>
          <w:lang w:val="it-CH"/>
        </w:rPr>
        <w:t xml:space="preserve"> </w:t>
      </w:r>
      <w:r w:rsidRPr="00047389">
        <w:rPr>
          <w:color w:val="000000" w:themeColor="text1"/>
          <w:szCs w:val="20"/>
          <w:lang w:val="it-CH"/>
        </w:rPr>
        <w:t>CCPR/C/TUR/2, para 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51A34" w14:textId="7A65EBCD" w:rsidR="00827DB8" w:rsidRPr="004C742E" w:rsidRDefault="00827DB8" w:rsidP="00165CE4">
    <w:pPr>
      <w:pStyle w:val="Header"/>
      <w:jc w:val="center"/>
      <w:rPr>
        <w:sz w:val="44"/>
        <w:szCs w:val="4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F7606"/>
    <w:multiLevelType w:val="hybridMultilevel"/>
    <w:tmpl w:val="11B48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F13BD9"/>
    <w:multiLevelType w:val="hybridMultilevel"/>
    <w:tmpl w:val="79763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9D3699"/>
    <w:multiLevelType w:val="hybridMultilevel"/>
    <w:tmpl w:val="C3E8145E"/>
    <w:lvl w:ilvl="0" w:tplc="D818BB6C">
      <w:start w:val="1"/>
      <w:numFmt w:val="decimal"/>
      <w:lvlText w:val="%1."/>
      <w:lvlJc w:val="left"/>
      <w:pPr>
        <w:ind w:left="720" w:hanging="360"/>
      </w:pPr>
      <w:rPr>
        <w:rFonts w:eastAsiaTheme="minorHAnsi"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48962E8"/>
    <w:multiLevelType w:val="hybridMultilevel"/>
    <w:tmpl w:val="E28EFB0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59F6CFF"/>
    <w:multiLevelType w:val="multilevel"/>
    <w:tmpl w:val="8E94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BC228C"/>
    <w:multiLevelType w:val="hybridMultilevel"/>
    <w:tmpl w:val="392815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351B29"/>
    <w:multiLevelType w:val="hybridMultilevel"/>
    <w:tmpl w:val="6352A96E"/>
    <w:lvl w:ilvl="0" w:tplc="74740C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D34916"/>
    <w:multiLevelType w:val="multilevel"/>
    <w:tmpl w:val="4CEEA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DF2B31"/>
    <w:multiLevelType w:val="hybridMultilevel"/>
    <w:tmpl w:val="4DBC75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B40438D"/>
    <w:multiLevelType w:val="hybridMultilevel"/>
    <w:tmpl w:val="0C241276"/>
    <w:lvl w:ilvl="0" w:tplc="EF202182">
      <w:start w:val="1"/>
      <w:numFmt w:val="decimal"/>
      <w:lvlText w:val="%1."/>
      <w:lvlJc w:val="left"/>
      <w:pPr>
        <w:ind w:left="502" w:hanging="360"/>
      </w:pPr>
      <w:rPr>
        <w:rFonts w:eastAsiaTheme="minorHAnsi" w:hint="default"/>
        <w:b/>
        <w:i w:val="0"/>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0" w15:restartNumberingAfterBreak="0">
    <w:nsid w:val="3CD045BD"/>
    <w:multiLevelType w:val="multilevel"/>
    <w:tmpl w:val="395C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5162FF"/>
    <w:multiLevelType w:val="hybridMultilevel"/>
    <w:tmpl w:val="4594B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3F0335"/>
    <w:multiLevelType w:val="hybridMultilevel"/>
    <w:tmpl w:val="6F28DD9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1C253FD"/>
    <w:multiLevelType w:val="hybridMultilevel"/>
    <w:tmpl w:val="B638333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A8C6A71"/>
    <w:multiLevelType w:val="hybridMultilevel"/>
    <w:tmpl w:val="79AC3E0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5C8D52B0"/>
    <w:multiLevelType w:val="hybridMultilevel"/>
    <w:tmpl w:val="D7D46C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52E2CF4"/>
    <w:multiLevelType w:val="hybridMultilevel"/>
    <w:tmpl w:val="9C281D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7F73253E"/>
    <w:multiLevelType w:val="hybridMultilevel"/>
    <w:tmpl w:val="C4CEB604"/>
    <w:lvl w:ilvl="0" w:tplc="4D0C513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9"/>
  </w:num>
  <w:num w:numId="3">
    <w:abstractNumId w:val="16"/>
  </w:num>
  <w:num w:numId="4">
    <w:abstractNumId w:val="3"/>
  </w:num>
  <w:num w:numId="5">
    <w:abstractNumId w:val="10"/>
  </w:num>
  <w:num w:numId="6">
    <w:abstractNumId w:val="4"/>
  </w:num>
  <w:num w:numId="7">
    <w:abstractNumId w:val="12"/>
  </w:num>
  <w:num w:numId="8">
    <w:abstractNumId w:val="8"/>
  </w:num>
  <w:num w:numId="9">
    <w:abstractNumId w:val="14"/>
  </w:num>
  <w:num w:numId="10">
    <w:abstractNumId w:val="7"/>
  </w:num>
  <w:num w:numId="11">
    <w:abstractNumId w:val="1"/>
  </w:num>
  <w:num w:numId="12">
    <w:abstractNumId w:val="5"/>
  </w:num>
  <w:num w:numId="13">
    <w:abstractNumId w:val="15"/>
  </w:num>
  <w:num w:numId="14">
    <w:abstractNumId w:val="11"/>
  </w:num>
  <w:num w:numId="15">
    <w:abstractNumId w:val="0"/>
  </w:num>
  <w:num w:numId="16">
    <w:abstractNumId w:val="6"/>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76F"/>
    <w:rsid w:val="00004093"/>
    <w:rsid w:val="00011A88"/>
    <w:rsid w:val="00012597"/>
    <w:rsid w:val="00013983"/>
    <w:rsid w:val="00015588"/>
    <w:rsid w:val="000202EE"/>
    <w:rsid w:val="00020776"/>
    <w:rsid w:val="00030A53"/>
    <w:rsid w:val="00030B6B"/>
    <w:rsid w:val="00035EE7"/>
    <w:rsid w:val="0004171D"/>
    <w:rsid w:val="00041DC1"/>
    <w:rsid w:val="000446CA"/>
    <w:rsid w:val="00047389"/>
    <w:rsid w:val="000477A2"/>
    <w:rsid w:val="0005422F"/>
    <w:rsid w:val="00055EB3"/>
    <w:rsid w:val="00060602"/>
    <w:rsid w:val="00064B09"/>
    <w:rsid w:val="00065C3E"/>
    <w:rsid w:val="00066658"/>
    <w:rsid w:val="00067586"/>
    <w:rsid w:val="00071479"/>
    <w:rsid w:val="000717D0"/>
    <w:rsid w:val="0007729C"/>
    <w:rsid w:val="00082092"/>
    <w:rsid w:val="00085424"/>
    <w:rsid w:val="00085EBF"/>
    <w:rsid w:val="00087CED"/>
    <w:rsid w:val="00094E4A"/>
    <w:rsid w:val="000A5225"/>
    <w:rsid w:val="000B47EC"/>
    <w:rsid w:val="000B53AA"/>
    <w:rsid w:val="000B743F"/>
    <w:rsid w:val="000C3005"/>
    <w:rsid w:val="000D5E67"/>
    <w:rsid w:val="000D6132"/>
    <w:rsid w:val="000D6ACC"/>
    <w:rsid w:val="000E3453"/>
    <w:rsid w:val="000E3797"/>
    <w:rsid w:val="000E445A"/>
    <w:rsid w:val="000F75DD"/>
    <w:rsid w:val="0010740A"/>
    <w:rsid w:val="00113C57"/>
    <w:rsid w:val="0011405F"/>
    <w:rsid w:val="001161E0"/>
    <w:rsid w:val="001170EF"/>
    <w:rsid w:val="001174FE"/>
    <w:rsid w:val="00117CA0"/>
    <w:rsid w:val="00125CE7"/>
    <w:rsid w:val="0012623D"/>
    <w:rsid w:val="00135114"/>
    <w:rsid w:val="00165CE4"/>
    <w:rsid w:val="00172BAF"/>
    <w:rsid w:val="00177798"/>
    <w:rsid w:val="00180CE0"/>
    <w:rsid w:val="00181134"/>
    <w:rsid w:val="00181632"/>
    <w:rsid w:val="00183E1D"/>
    <w:rsid w:val="00183E45"/>
    <w:rsid w:val="0018673E"/>
    <w:rsid w:val="00193659"/>
    <w:rsid w:val="00197584"/>
    <w:rsid w:val="001B0DAF"/>
    <w:rsid w:val="001B0F7A"/>
    <w:rsid w:val="001B35AC"/>
    <w:rsid w:val="001C2A58"/>
    <w:rsid w:val="001C3E10"/>
    <w:rsid w:val="001C4D64"/>
    <w:rsid w:val="001C609A"/>
    <w:rsid w:val="001C7A24"/>
    <w:rsid w:val="001D5A75"/>
    <w:rsid w:val="001E0067"/>
    <w:rsid w:val="001E0116"/>
    <w:rsid w:val="001E3DCE"/>
    <w:rsid w:val="001E4108"/>
    <w:rsid w:val="001E4AC0"/>
    <w:rsid w:val="001E6C66"/>
    <w:rsid w:val="001F0D4E"/>
    <w:rsid w:val="001F1A22"/>
    <w:rsid w:val="001F643F"/>
    <w:rsid w:val="00206397"/>
    <w:rsid w:val="00211805"/>
    <w:rsid w:val="002121A0"/>
    <w:rsid w:val="00221CA8"/>
    <w:rsid w:val="0022639A"/>
    <w:rsid w:val="002264D5"/>
    <w:rsid w:val="00245C40"/>
    <w:rsid w:val="00246A9D"/>
    <w:rsid w:val="00246D71"/>
    <w:rsid w:val="00246FCB"/>
    <w:rsid w:val="00252E54"/>
    <w:rsid w:val="002546AA"/>
    <w:rsid w:val="0026166B"/>
    <w:rsid w:val="00261F69"/>
    <w:rsid w:val="00262BAA"/>
    <w:rsid w:val="00281CC4"/>
    <w:rsid w:val="00282A4B"/>
    <w:rsid w:val="00282F3E"/>
    <w:rsid w:val="00284A34"/>
    <w:rsid w:val="00291E22"/>
    <w:rsid w:val="002943DF"/>
    <w:rsid w:val="002A1024"/>
    <w:rsid w:val="002A7953"/>
    <w:rsid w:val="002C64E6"/>
    <w:rsid w:val="002D15B4"/>
    <w:rsid w:val="002D34B2"/>
    <w:rsid w:val="002D4B8B"/>
    <w:rsid w:val="002D5C29"/>
    <w:rsid w:val="002E08E1"/>
    <w:rsid w:val="002E0F76"/>
    <w:rsid w:val="002E3AA9"/>
    <w:rsid w:val="002E55C2"/>
    <w:rsid w:val="002F2832"/>
    <w:rsid w:val="002F2A9B"/>
    <w:rsid w:val="002F372C"/>
    <w:rsid w:val="002F6A73"/>
    <w:rsid w:val="00305775"/>
    <w:rsid w:val="003066D2"/>
    <w:rsid w:val="0031176F"/>
    <w:rsid w:val="00316CB6"/>
    <w:rsid w:val="00322097"/>
    <w:rsid w:val="003262D5"/>
    <w:rsid w:val="00327480"/>
    <w:rsid w:val="00335D57"/>
    <w:rsid w:val="0034107C"/>
    <w:rsid w:val="00341CC3"/>
    <w:rsid w:val="00350E46"/>
    <w:rsid w:val="00351BC0"/>
    <w:rsid w:val="0035715D"/>
    <w:rsid w:val="00364145"/>
    <w:rsid w:val="00366741"/>
    <w:rsid w:val="003719A0"/>
    <w:rsid w:val="003757C7"/>
    <w:rsid w:val="00376682"/>
    <w:rsid w:val="00376951"/>
    <w:rsid w:val="003801D7"/>
    <w:rsid w:val="00383481"/>
    <w:rsid w:val="00385045"/>
    <w:rsid w:val="003908C9"/>
    <w:rsid w:val="00393B73"/>
    <w:rsid w:val="00394A67"/>
    <w:rsid w:val="003A5527"/>
    <w:rsid w:val="003B13FE"/>
    <w:rsid w:val="003B61F5"/>
    <w:rsid w:val="003B62BC"/>
    <w:rsid w:val="003C313C"/>
    <w:rsid w:val="003C3227"/>
    <w:rsid w:val="003D2C50"/>
    <w:rsid w:val="003D6F53"/>
    <w:rsid w:val="003D7208"/>
    <w:rsid w:val="003E53A6"/>
    <w:rsid w:val="003F13A9"/>
    <w:rsid w:val="003F1DEE"/>
    <w:rsid w:val="003F49D7"/>
    <w:rsid w:val="003F6118"/>
    <w:rsid w:val="00400673"/>
    <w:rsid w:val="00404E0E"/>
    <w:rsid w:val="00420C44"/>
    <w:rsid w:val="004223B0"/>
    <w:rsid w:val="0042339E"/>
    <w:rsid w:val="00432B9B"/>
    <w:rsid w:val="00432ED1"/>
    <w:rsid w:val="0043437B"/>
    <w:rsid w:val="00436B40"/>
    <w:rsid w:val="0044239C"/>
    <w:rsid w:val="00446159"/>
    <w:rsid w:val="00446DCE"/>
    <w:rsid w:val="00453B18"/>
    <w:rsid w:val="004607B7"/>
    <w:rsid w:val="0046094E"/>
    <w:rsid w:val="00470D82"/>
    <w:rsid w:val="00471116"/>
    <w:rsid w:val="004734ED"/>
    <w:rsid w:val="00473757"/>
    <w:rsid w:val="004756C7"/>
    <w:rsid w:val="0047784A"/>
    <w:rsid w:val="0048081A"/>
    <w:rsid w:val="00482CDD"/>
    <w:rsid w:val="00486552"/>
    <w:rsid w:val="00491453"/>
    <w:rsid w:val="00491F9E"/>
    <w:rsid w:val="004929C9"/>
    <w:rsid w:val="004A1FB0"/>
    <w:rsid w:val="004A49F6"/>
    <w:rsid w:val="004A685F"/>
    <w:rsid w:val="004B1860"/>
    <w:rsid w:val="004B1DD2"/>
    <w:rsid w:val="004B4D15"/>
    <w:rsid w:val="004B4E42"/>
    <w:rsid w:val="004C742E"/>
    <w:rsid w:val="004D0601"/>
    <w:rsid w:val="004D7837"/>
    <w:rsid w:val="004E430D"/>
    <w:rsid w:val="004F1AFF"/>
    <w:rsid w:val="004F2479"/>
    <w:rsid w:val="004F41B9"/>
    <w:rsid w:val="004F5301"/>
    <w:rsid w:val="005046F1"/>
    <w:rsid w:val="0050792C"/>
    <w:rsid w:val="005157E5"/>
    <w:rsid w:val="00520D11"/>
    <w:rsid w:val="005242D9"/>
    <w:rsid w:val="005274C1"/>
    <w:rsid w:val="00530BF9"/>
    <w:rsid w:val="00531FDC"/>
    <w:rsid w:val="00533E7E"/>
    <w:rsid w:val="0054202D"/>
    <w:rsid w:val="005445B8"/>
    <w:rsid w:val="005456DC"/>
    <w:rsid w:val="005501D8"/>
    <w:rsid w:val="00552ECA"/>
    <w:rsid w:val="00555C55"/>
    <w:rsid w:val="00561B14"/>
    <w:rsid w:val="0056278B"/>
    <w:rsid w:val="00583826"/>
    <w:rsid w:val="00593A32"/>
    <w:rsid w:val="005950C3"/>
    <w:rsid w:val="005952E4"/>
    <w:rsid w:val="00597FC1"/>
    <w:rsid w:val="005A1D9F"/>
    <w:rsid w:val="005A4265"/>
    <w:rsid w:val="005A7B81"/>
    <w:rsid w:val="005B33A1"/>
    <w:rsid w:val="005C5E57"/>
    <w:rsid w:val="005C747F"/>
    <w:rsid w:val="005C7E4E"/>
    <w:rsid w:val="005D0F28"/>
    <w:rsid w:val="005D1580"/>
    <w:rsid w:val="005D4782"/>
    <w:rsid w:val="005E311E"/>
    <w:rsid w:val="005E50BB"/>
    <w:rsid w:val="005E77E3"/>
    <w:rsid w:val="005F64BA"/>
    <w:rsid w:val="00606184"/>
    <w:rsid w:val="0060619A"/>
    <w:rsid w:val="0061037C"/>
    <w:rsid w:val="00611E61"/>
    <w:rsid w:val="00612460"/>
    <w:rsid w:val="00614AD2"/>
    <w:rsid w:val="00634D1D"/>
    <w:rsid w:val="00650EDA"/>
    <w:rsid w:val="00652181"/>
    <w:rsid w:val="00674526"/>
    <w:rsid w:val="00674DE7"/>
    <w:rsid w:val="006755FA"/>
    <w:rsid w:val="006823F6"/>
    <w:rsid w:val="006961A9"/>
    <w:rsid w:val="006A06B6"/>
    <w:rsid w:val="006A164E"/>
    <w:rsid w:val="006A7B21"/>
    <w:rsid w:val="006B1EB7"/>
    <w:rsid w:val="006B48A1"/>
    <w:rsid w:val="006B5925"/>
    <w:rsid w:val="006C1977"/>
    <w:rsid w:val="006D315B"/>
    <w:rsid w:val="006D468D"/>
    <w:rsid w:val="006D4AB8"/>
    <w:rsid w:val="006D4E4D"/>
    <w:rsid w:val="006E1582"/>
    <w:rsid w:val="006F1E5F"/>
    <w:rsid w:val="006F2BB5"/>
    <w:rsid w:val="006F3E2D"/>
    <w:rsid w:val="006F6262"/>
    <w:rsid w:val="00707CB5"/>
    <w:rsid w:val="00712005"/>
    <w:rsid w:val="00715159"/>
    <w:rsid w:val="00720FB9"/>
    <w:rsid w:val="00723D32"/>
    <w:rsid w:val="007270B4"/>
    <w:rsid w:val="00727D11"/>
    <w:rsid w:val="007318A8"/>
    <w:rsid w:val="00733158"/>
    <w:rsid w:val="00745879"/>
    <w:rsid w:val="0075144D"/>
    <w:rsid w:val="0075322F"/>
    <w:rsid w:val="007548D2"/>
    <w:rsid w:val="00755D95"/>
    <w:rsid w:val="00762BCE"/>
    <w:rsid w:val="007803E7"/>
    <w:rsid w:val="00784740"/>
    <w:rsid w:val="00787AE1"/>
    <w:rsid w:val="00792424"/>
    <w:rsid w:val="00795D86"/>
    <w:rsid w:val="007A6349"/>
    <w:rsid w:val="007B0016"/>
    <w:rsid w:val="007B22EE"/>
    <w:rsid w:val="007B5F1D"/>
    <w:rsid w:val="007B5FB3"/>
    <w:rsid w:val="007B685A"/>
    <w:rsid w:val="007C48D8"/>
    <w:rsid w:val="007E2EED"/>
    <w:rsid w:val="007E55EE"/>
    <w:rsid w:val="007F2007"/>
    <w:rsid w:val="007F4324"/>
    <w:rsid w:val="0080095F"/>
    <w:rsid w:val="0080347A"/>
    <w:rsid w:val="0081036E"/>
    <w:rsid w:val="00811E5F"/>
    <w:rsid w:val="00814383"/>
    <w:rsid w:val="0082068A"/>
    <w:rsid w:val="00823464"/>
    <w:rsid w:val="00827DB8"/>
    <w:rsid w:val="0083395A"/>
    <w:rsid w:val="00833BA2"/>
    <w:rsid w:val="00833F77"/>
    <w:rsid w:val="0083494B"/>
    <w:rsid w:val="0084333A"/>
    <w:rsid w:val="00845C96"/>
    <w:rsid w:val="00857152"/>
    <w:rsid w:val="00863246"/>
    <w:rsid w:val="00863F63"/>
    <w:rsid w:val="00873834"/>
    <w:rsid w:val="00876D37"/>
    <w:rsid w:val="00891978"/>
    <w:rsid w:val="008A0767"/>
    <w:rsid w:val="008A62EC"/>
    <w:rsid w:val="008B0267"/>
    <w:rsid w:val="008B12C7"/>
    <w:rsid w:val="008C7979"/>
    <w:rsid w:val="008D08F6"/>
    <w:rsid w:val="008D16C4"/>
    <w:rsid w:val="008D380B"/>
    <w:rsid w:val="008E1A0E"/>
    <w:rsid w:val="008F20F5"/>
    <w:rsid w:val="008F7110"/>
    <w:rsid w:val="008F7950"/>
    <w:rsid w:val="008F7DC8"/>
    <w:rsid w:val="009000AC"/>
    <w:rsid w:val="009027F6"/>
    <w:rsid w:val="00903764"/>
    <w:rsid w:val="009039CA"/>
    <w:rsid w:val="00905FC6"/>
    <w:rsid w:val="00906A9A"/>
    <w:rsid w:val="0091223F"/>
    <w:rsid w:val="0091269F"/>
    <w:rsid w:val="0091702C"/>
    <w:rsid w:val="00917B9D"/>
    <w:rsid w:val="00920D10"/>
    <w:rsid w:val="009212B5"/>
    <w:rsid w:val="009233C4"/>
    <w:rsid w:val="0092381A"/>
    <w:rsid w:val="00932A38"/>
    <w:rsid w:val="00942C9F"/>
    <w:rsid w:val="00952871"/>
    <w:rsid w:val="00967F12"/>
    <w:rsid w:val="00975A31"/>
    <w:rsid w:val="00977F72"/>
    <w:rsid w:val="00980AA7"/>
    <w:rsid w:val="009824AA"/>
    <w:rsid w:val="009825BD"/>
    <w:rsid w:val="0099218D"/>
    <w:rsid w:val="00992A20"/>
    <w:rsid w:val="009968D0"/>
    <w:rsid w:val="00997E51"/>
    <w:rsid w:val="009A05D9"/>
    <w:rsid w:val="009B2AFC"/>
    <w:rsid w:val="009C243F"/>
    <w:rsid w:val="009D4BF8"/>
    <w:rsid w:val="009D781E"/>
    <w:rsid w:val="009E0D38"/>
    <w:rsid w:val="009E1E69"/>
    <w:rsid w:val="009E355C"/>
    <w:rsid w:val="009F061A"/>
    <w:rsid w:val="00A0213E"/>
    <w:rsid w:val="00A02343"/>
    <w:rsid w:val="00A07D04"/>
    <w:rsid w:val="00A11ED7"/>
    <w:rsid w:val="00A17608"/>
    <w:rsid w:val="00A21A20"/>
    <w:rsid w:val="00A235CA"/>
    <w:rsid w:val="00A23FF1"/>
    <w:rsid w:val="00A245E0"/>
    <w:rsid w:val="00A329E1"/>
    <w:rsid w:val="00A36780"/>
    <w:rsid w:val="00A4178D"/>
    <w:rsid w:val="00A50FE6"/>
    <w:rsid w:val="00A5146B"/>
    <w:rsid w:val="00A52196"/>
    <w:rsid w:val="00A6394C"/>
    <w:rsid w:val="00A64DBE"/>
    <w:rsid w:val="00A66499"/>
    <w:rsid w:val="00A77FC3"/>
    <w:rsid w:val="00A849FC"/>
    <w:rsid w:val="00A90395"/>
    <w:rsid w:val="00A925C6"/>
    <w:rsid w:val="00A960EB"/>
    <w:rsid w:val="00AA1A78"/>
    <w:rsid w:val="00AA68CB"/>
    <w:rsid w:val="00AB15AA"/>
    <w:rsid w:val="00AB3074"/>
    <w:rsid w:val="00AB759B"/>
    <w:rsid w:val="00AC0393"/>
    <w:rsid w:val="00AC1E2E"/>
    <w:rsid w:val="00AC7D38"/>
    <w:rsid w:val="00AD1053"/>
    <w:rsid w:val="00AD1178"/>
    <w:rsid w:val="00AD4A65"/>
    <w:rsid w:val="00AE6AC0"/>
    <w:rsid w:val="00AE6EBE"/>
    <w:rsid w:val="00AF1916"/>
    <w:rsid w:val="00AF4737"/>
    <w:rsid w:val="00AF5900"/>
    <w:rsid w:val="00AF7BB8"/>
    <w:rsid w:val="00B02B04"/>
    <w:rsid w:val="00B043C2"/>
    <w:rsid w:val="00B0563C"/>
    <w:rsid w:val="00B058D6"/>
    <w:rsid w:val="00B10171"/>
    <w:rsid w:val="00B12284"/>
    <w:rsid w:val="00B20A24"/>
    <w:rsid w:val="00B24154"/>
    <w:rsid w:val="00B3242B"/>
    <w:rsid w:val="00B3478F"/>
    <w:rsid w:val="00B37E19"/>
    <w:rsid w:val="00B40378"/>
    <w:rsid w:val="00B42E8F"/>
    <w:rsid w:val="00B45E46"/>
    <w:rsid w:val="00B46421"/>
    <w:rsid w:val="00B46AFF"/>
    <w:rsid w:val="00B5457E"/>
    <w:rsid w:val="00B546C3"/>
    <w:rsid w:val="00B5627C"/>
    <w:rsid w:val="00B73670"/>
    <w:rsid w:val="00B76763"/>
    <w:rsid w:val="00B7744A"/>
    <w:rsid w:val="00B82ADF"/>
    <w:rsid w:val="00B90731"/>
    <w:rsid w:val="00B91307"/>
    <w:rsid w:val="00BA65DC"/>
    <w:rsid w:val="00BB0DFB"/>
    <w:rsid w:val="00BB2691"/>
    <w:rsid w:val="00BB606F"/>
    <w:rsid w:val="00BB734C"/>
    <w:rsid w:val="00BB79AA"/>
    <w:rsid w:val="00BC598E"/>
    <w:rsid w:val="00BD08D8"/>
    <w:rsid w:val="00BD16C7"/>
    <w:rsid w:val="00BD7FDE"/>
    <w:rsid w:val="00BE0DBA"/>
    <w:rsid w:val="00BE159B"/>
    <w:rsid w:val="00BE1F79"/>
    <w:rsid w:val="00BE39FB"/>
    <w:rsid w:val="00BE4A07"/>
    <w:rsid w:val="00BE7DE3"/>
    <w:rsid w:val="00BF2442"/>
    <w:rsid w:val="00BF43F0"/>
    <w:rsid w:val="00C00191"/>
    <w:rsid w:val="00C024D8"/>
    <w:rsid w:val="00C04109"/>
    <w:rsid w:val="00C06652"/>
    <w:rsid w:val="00C07F2B"/>
    <w:rsid w:val="00C11958"/>
    <w:rsid w:val="00C12705"/>
    <w:rsid w:val="00C16398"/>
    <w:rsid w:val="00C16E70"/>
    <w:rsid w:val="00C21E4A"/>
    <w:rsid w:val="00C2257F"/>
    <w:rsid w:val="00C26E8D"/>
    <w:rsid w:val="00C306A2"/>
    <w:rsid w:val="00C34775"/>
    <w:rsid w:val="00C36F82"/>
    <w:rsid w:val="00C37413"/>
    <w:rsid w:val="00C401BE"/>
    <w:rsid w:val="00C45F89"/>
    <w:rsid w:val="00C56702"/>
    <w:rsid w:val="00C56762"/>
    <w:rsid w:val="00C6145E"/>
    <w:rsid w:val="00C61546"/>
    <w:rsid w:val="00C66637"/>
    <w:rsid w:val="00C67E5E"/>
    <w:rsid w:val="00C76271"/>
    <w:rsid w:val="00C81FAD"/>
    <w:rsid w:val="00C83BB9"/>
    <w:rsid w:val="00C8763B"/>
    <w:rsid w:val="00C87F16"/>
    <w:rsid w:val="00C95AC6"/>
    <w:rsid w:val="00CA0640"/>
    <w:rsid w:val="00CA38EA"/>
    <w:rsid w:val="00CA702D"/>
    <w:rsid w:val="00CA734D"/>
    <w:rsid w:val="00CB3E03"/>
    <w:rsid w:val="00CB6AEB"/>
    <w:rsid w:val="00CC1AF9"/>
    <w:rsid w:val="00CD6A51"/>
    <w:rsid w:val="00CE6D3E"/>
    <w:rsid w:val="00CF0229"/>
    <w:rsid w:val="00D02227"/>
    <w:rsid w:val="00D023C1"/>
    <w:rsid w:val="00D04172"/>
    <w:rsid w:val="00D06FE7"/>
    <w:rsid w:val="00D14845"/>
    <w:rsid w:val="00D14F3A"/>
    <w:rsid w:val="00D202BB"/>
    <w:rsid w:val="00D20EAB"/>
    <w:rsid w:val="00D21E6A"/>
    <w:rsid w:val="00D2231D"/>
    <w:rsid w:val="00D25AB5"/>
    <w:rsid w:val="00D300BC"/>
    <w:rsid w:val="00D32A41"/>
    <w:rsid w:val="00D40757"/>
    <w:rsid w:val="00D453CA"/>
    <w:rsid w:val="00D4784A"/>
    <w:rsid w:val="00D5030D"/>
    <w:rsid w:val="00D7491E"/>
    <w:rsid w:val="00D81D2C"/>
    <w:rsid w:val="00D82BBE"/>
    <w:rsid w:val="00D830F6"/>
    <w:rsid w:val="00D9286A"/>
    <w:rsid w:val="00DA2582"/>
    <w:rsid w:val="00DA40EC"/>
    <w:rsid w:val="00DB34F3"/>
    <w:rsid w:val="00DB71C3"/>
    <w:rsid w:val="00DC15CB"/>
    <w:rsid w:val="00DC255D"/>
    <w:rsid w:val="00DD0006"/>
    <w:rsid w:val="00DD1194"/>
    <w:rsid w:val="00DD221F"/>
    <w:rsid w:val="00DD2D67"/>
    <w:rsid w:val="00DD77D6"/>
    <w:rsid w:val="00DD7854"/>
    <w:rsid w:val="00DE7DD4"/>
    <w:rsid w:val="00DF24FD"/>
    <w:rsid w:val="00DF5155"/>
    <w:rsid w:val="00E039BA"/>
    <w:rsid w:val="00E06117"/>
    <w:rsid w:val="00E1066E"/>
    <w:rsid w:val="00E22FDD"/>
    <w:rsid w:val="00E24F8B"/>
    <w:rsid w:val="00E328E4"/>
    <w:rsid w:val="00E334F8"/>
    <w:rsid w:val="00E405BA"/>
    <w:rsid w:val="00E44353"/>
    <w:rsid w:val="00E460F2"/>
    <w:rsid w:val="00E50391"/>
    <w:rsid w:val="00E53EBB"/>
    <w:rsid w:val="00E56806"/>
    <w:rsid w:val="00E6382C"/>
    <w:rsid w:val="00E657A2"/>
    <w:rsid w:val="00E70DC1"/>
    <w:rsid w:val="00E74FC4"/>
    <w:rsid w:val="00E77248"/>
    <w:rsid w:val="00E77B8D"/>
    <w:rsid w:val="00E81325"/>
    <w:rsid w:val="00E867D4"/>
    <w:rsid w:val="00E877FB"/>
    <w:rsid w:val="00E90BA4"/>
    <w:rsid w:val="00E92027"/>
    <w:rsid w:val="00E923B8"/>
    <w:rsid w:val="00E92749"/>
    <w:rsid w:val="00E9430E"/>
    <w:rsid w:val="00EA2473"/>
    <w:rsid w:val="00EA3AEA"/>
    <w:rsid w:val="00EA448F"/>
    <w:rsid w:val="00EB0155"/>
    <w:rsid w:val="00EB5C9B"/>
    <w:rsid w:val="00EC0F7C"/>
    <w:rsid w:val="00EC5332"/>
    <w:rsid w:val="00ED0866"/>
    <w:rsid w:val="00ED0A1F"/>
    <w:rsid w:val="00ED533A"/>
    <w:rsid w:val="00ED6A63"/>
    <w:rsid w:val="00EE2C4B"/>
    <w:rsid w:val="00EE6504"/>
    <w:rsid w:val="00EE7A0E"/>
    <w:rsid w:val="00EF1420"/>
    <w:rsid w:val="00EF745A"/>
    <w:rsid w:val="00F01A42"/>
    <w:rsid w:val="00F04EF2"/>
    <w:rsid w:val="00F102FA"/>
    <w:rsid w:val="00F14443"/>
    <w:rsid w:val="00F352ED"/>
    <w:rsid w:val="00F35FB1"/>
    <w:rsid w:val="00F40B5D"/>
    <w:rsid w:val="00F43520"/>
    <w:rsid w:val="00F45A2F"/>
    <w:rsid w:val="00F62E37"/>
    <w:rsid w:val="00F63360"/>
    <w:rsid w:val="00F66700"/>
    <w:rsid w:val="00F73174"/>
    <w:rsid w:val="00F87BA5"/>
    <w:rsid w:val="00F97EDB"/>
    <w:rsid w:val="00FA1D76"/>
    <w:rsid w:val="00FA1EA9"/>
    <w:rsid w:val="00FA62E4"/>
    <w:rsid w:val="00FA7F9D"/>
    <w:rsid w:val="00FB028F"/>
    <w:rsid w:val="00FB1369"/>
    <w:rsid w:val="00FB53A9"/>
    <w:rsid w:val="00FC00C1"/>
    <w:rsid w:val="00FC2904"/>
    <w:rsid w:val="00FC64B3"/>
    <w:rsid w:val="00FD5464"/>
    <w:rsid w:val="00FD69F2"/>
    <w:rsid w:val="00FE0FAD"/>
    <w:rsid w:val="00FE1931"/>
    <w:rsid w:val="00FE3570"/>
    <w:rsid w:val="00FE4744"/>
    <w:rsid w:val="00FE5DCD"/>
    <w:rsid w:val="00FE63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20BC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61F69"/>
    <w:rPr>
      <w:rFonts w:ascii="Times New Roman" w:hAnsi="Times New Roman" w:cs="Times New Roman"/>
      <w:lang w:eastAsia="tr-TR"/>
    </w:rPr>
  </w:style>
  <w:style w:type="paragraph" w:styleId="Heading1">
    <w:name w:val="heading 1"/>
    <w:basedOn w:val="Normal"/>
    <w:next w:val="Normal"/>
    <w:link w:val="Heading1Char"/>
    <w:uiPriority w:val="9"/>
    <w:qFormat/>
    <w:rsid w:val="00C0019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039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37E19"/>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7803E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ußnotentext RAXEN,footnotes,Footnote Text Char,Footnote Text Char2 Char,Footnote Text Char Char1 Char,Footnote Text Char2 Char Char Char,Footnote Text Char1 Char Char Char Char,Footnotes,fn,footnote text,????? ?????? ????"/>
    <w:basedOn w:val="Normal"/>
    <w:link w:val="FootnoteTextChar1"/>
    <w:unhideWhenUsed/>
    <w:qFormat/>
    <w:rsid w:val="00AF4737"/>
    <w:rPr>
      <w:sz w:val="20"/>
    </w:rPr>
  </w:style>
  <w:style w:type="character" w:customStyle="1" w:styleId="FootnoteTextChar1">
    <w:name w:val="Footnote Text Char1"/>
    <w:aliases w:val="Fußnotentext RAXEN Char,footnotes Char,Footnote Text Char Char,Footnote Text Char2 Char Char,Footnote Text Char Char1 Char Char,Footnote Text Char2 Char Char Char Char,Footnote Text Char1 Char Char Char Char Char,Footnotes Char"/>
    <w:basedOn w:val="DefaultParagraphFont"/>
    <w:link w:val="FootnoteText"/>
    <w:rsid w:val="00AF4737"/>
    <w:rPr>
      <w:rFonts w:ascii="Times New Roman" w:hAnsi="Times New Roman"/>
      <w:sz w:val="20"/>
    </w:rPr>
  </w:style>
  <w:style w:type="paragraph" w:styleId="Header">
    <w:name w:val="header"/>
    <w:basedOn w:val="Normal"/>
    <w:link w:val="HeaderChar"/>
    <w:uiPriority w:val="99"/>
    <w:unhideWhenUsed/>
    <w:rsid w:val="00AA68CB"/>
    <w:pPr>
      <w:tabs>
        <w:tab w:val="center" w:pos="4536"/>
        <w:tab w:val="right" w:pos="9072"/>
      </w:tabs>
    </w:pPr>
  </w:style>
  <w:style w:type="character" w:customStyle="1" w:styleId="HeaderChar">
    <w:name w:val="Header Char"/>
    <w:basedOn w:val="DefaultParagraphFont"/>
    <w:link w:val="Header"/>
    <w:uiPriority w:val="99"/>
    <w:rsid w:val="00AA68CB"/>
  </w:style>
  <w:style w:type="paragraph" w:styleId="Footer">
    <w:name w:val="footer"/>
    <w:basedOn w:val="Normal"/>
    <w:link w:val="FooterChar"/>
    <w:uiPriority w:val="99"/>
    <w:unhideWhenUsed/>
    <w:rsid w:val="00AA68CB"/>
    <w:pPr>
      <w:tabs>
        <w:tab w:val="center" w:pos="4536"/>
        <w:tab w:val="right" w:pos="9072"/>
      </w:tabs>
    </w:pPr>
  </w:style>
  <w:style w:type="character" w:customStyle="1" w:styleId="FooterChar">
    <w:name w:val="Footer Char"/>
    <w:basedOn w:val="DefaultParagraphFont"/>
    <w:link w:val="Footer"/>
    <w:uiPriority w:val="99"/>
    <w:rsid w:val="00AA68CB"/>
  </w:style>
  <w:style w:type="character" w:styleId="PageNumber">
    <w:name w:val="page number"/>
    <w:basedOn w:val="DefaultParagraphFont"/>
    <w:uiPriority w:val="99"/>
    <w:semiHidden/>
    <w:unhideWhenUsed/>
    <w:rsid w:val="00CD6A51"/>
  </w:style>
  <w:style w:type="paragraph" w:styleId="BalloonText">
    <w:name w:val="Balloon Text"/>
    <w:basedOn w:val="Normal"/>
    <w:link w:val="BalloonTextChar"/>
    <w:uiPriority w:val="99"/>
    <w:semiHidden/>
    <w:unhideWhenUsed/>
    <w:rsid w:val="00CD6A51"/>
    <w:rPr>
      <w:sz w:val="18"/>
      <w:szCs w:val="18"/>
    </w:rPr>
  </w:style>
  <w:style w:type="character" w:customStyle="1" w:styleId="BalloonTextChar">
    <w:name w:val="Balloon Text Char"/>
    <w:basedOn w:val="DefaultParagraphFont"/>
    <w:link w:val="BalloonText"/>
    <w:uiPriority w:val="99"/>
    <w:semiHidden/>
    <w:rsid w:val="00CD6A51"/>
    <w:rPr>
      <w:rFonts w:ascii="Times New Roman" w:hAnsi="Times New Roman" w:cs="Times New Roman"/>
      <w:sz w:val="18"/>
      <w:szCs w:val="18"/>
    </w:rPr>
  </w:style>
  <w:style w:type="paragraph" w:styleId="ListParagraph">
    <w:name w:val="List Paragraph"/>
    <w:basedOn w:val="Normal"/>
    <w:uiPriority w:val="34"/>
    <w:qFormat/>
    <w:rsid w:val="00F40B5D"/>
    <w:pPr>
      <w:ind w:left="720"/>
      <w:contextualSpacing/>
    </w:pPr>
  </w:style>
  <w:style w:type="paragraph" w:customStyle="1" w:styleId="p1">
    <w:name w:val="p1"/>
    <w:basedOn w:val="Normal"/>
    <w:rsid w:val="007548D2"/>
    <w:rPr>
      <w:sz w:val="15"/>
      <w:szCs w:val="15"/>
    </w:rPr>
  </w:style>
  <w:style w:type="character" w:customStyle="1" w:styleId="apple-converted-space">
    <w:name w:val="apple-converted-space"/>
    <w:basedOn w:val="DefaultParagraphFont"/>
    <w:rsid w:val="007548D2"/>
  </w:style>
  <w:style w:type="character" w:styleId="FootnoteReference">
    <w:name w:val="footnote reference"/>
    <w:aliases w:val="Footnote Refernece,Footnote Reference Superscript"/>
    <w:basedOn w:val="DefaultParagraphFont"/>
    <w:unhideWhenUsed/>
    <w:rsid w:val="00C04109"/>
    <w:rPr>
      <w:vertAlign w:val="superscript"/>
    </w:rPr>
  </w:style>
  <w:style w:type="character" w:customStyle="1" w:styleId="Heading3Char">
    <w:name w:val="Heading 3 Char"/>
    <w:basedOn w:val="DefaultParagraphFont"/>
    <w:link w:val="Heading3"/>
    <w:uiPriority w:val="9"/>
    <w:rsid w:val="00B37E19"/>
    <w:rPr>
      <w:rFonts w:ascii="Times New Roman" w:hAnsi="Times New Roman" w:cs="Times New Roman"/>
      <w:b/>
      <w:bCs/>
      <w:sz w:val="27"/>
      <w:szCs w:val="27"/>
      <w:lang w:eastAsia="tr-TR"/>
    </w:rPr>
  </w:style>
  <w:style w:type="paragraph" w:styleId="NormalWeb">
    <w:name w:val="Normal (Web)"/>
    <w:basedOn w:val="Normal"/>
    <w:uiPriority w:val="99"/>
    <w:unhideWhenUsed/>
    <w:rsid w:val="00B37E19"/>
    <w:pPr>
      <w:spacing w:before="100" w:beforeAutospacing="1" w:after="100" w:afterAutospacing="1"/>
    </w:pPr>
  </w:style>
  <w:style w:type="character" w:customStyle="1" w:styleId="Heading1Char">
    <w:name w:val="Heading 1 Char"/>
    <w:basedOn w:val="DefaultParagraphFont"/>
    <w:link w:val="Heading1"/>
    <w:uiPriority w:val="9"/>
    <w:rsid w:val="00C00191"/>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055EB3"/>
    <w:pPr>
      <w:tabs>
        <w:tab w:val="right" w:leader="dot" w:pos="9056"/>
      </w:tabs>
    </w:pPr>
  </w:style>
  <w:style w:type="paragraph" w:styleId="TOC2">
    <w:name w:val="toc 2"/>
    <w:basedOn w:val="Normal"/>
    <w:next w:val="Normal"/>
    <w:autoRedefine/>
    <w:uiPriority w:val="39"/>
    <w:unhideWhenUsed/>
    <w:rsid w:val="00047389"/>
    <w:pPr>
      <w:tabs>
        <w:tab w:val="right" w:leader="dot" w:pos="9056"/>
      </w:tabs>
      <w:ind w:left="240"/>
    </w:pPr>
  </w:style>
  <w:style w:type="paragraph" w:styleId="TOC3">
    <w:name w:val="toc 3"/>
    <w:basedOn w:val="Normal"/>
    <w:next w:val="Normal"/>
    <w:autoRedefine/>
    <w:uiPriority w:val="39"/>
    <w:unhideWhenUsed/>
    <w:rsid w:val="00C00191"/>
    <w:pPr>
      <w:ind w:left="480"/>
    </w:pPr>
  </w:style>
  <w:style w:type="paragraph" w:styleId="TOC4">
    <w:name w:val="toc 4"/>
    <w:basedOn w:val="Normal"/>
    <w:next w:val="Normal"/>
    <w:autoRedefine/>
    <w:uiPriority w:val="39"/>
    <w:unhideWhenUsed/>
    <w:rsid w:val="00C00191"/>
    <w:pPr>
      <w:ind w:left="720"/>
    </w:pPr>
  </w:style>
  <w:style w:type="paragraph" w:styleId="TOC5">
    <w:name w:val="toc 5"/>
    <w:basedOn w:val="Normal"/>
    <w:next w:val="Normal"/>
    <w:autoRedefine/>
    <w:uiPriority w:val="39"/>
    <w:unhideWhenUsed/>
    <w:rsid w:val="00C00191"/>
    <w:pPr>
      <w:ind w:left="960"/>
    </w:pPr>
  </w:style>
  <w:style w:type="paragraph" w:styleId="TOC6">
    <w:name w:val="toc 6"/>
    <w:basedOn w:val="Normal"/>
    <w:next w:val="Normal"/>
    <w:autoRedefine/>
    <w:uiPriority w:val="39"/>
    <w:unhideWhenUsed/>
    <w:rsid w:val="00C00191"/>
    <w:pPr>
      <w:ind w:left="1200"/>
    </w:pPr>
  </w:style>
  <w:style w:type="paragraph" w:styleId="TOC7">
    <w:name w:val="toc 7"/>
    <w:basedOn w:val="Normal"/>
    <w:next w:val="Normal"/>
    <w:autoRedefine/>
    <w:uiPriority w:val="39"/>
    <w:unhideWhenUsed/>
    <w:rsid w:val="00C00191"/>
    <w:pPr>
      <w:ind w:left="1440"/>
    </w:pPr>
  </w:style>
  <w:style w:type="paragraph" w:styleId="TOC8">
    <w:name w:val="toc 8"/>
    <w:basedOn w:val="Normal"/>
    <w:next w:val="Normal"/>
    <w:autoRedefine/>
    <w:uiPriority w:val="39"/>
    <w:unhideWhenUsed/>
    <w:rsid w:val="00C00191"/>
    <w:pPr>
      <w:ind w:left="1680"/>
    </w:pPr>
  </w:style>
  <w:style w:type="paragraph" w:styleId="TOC9">
    <w:name w:val="toc 9"/>
    <w:basedOn w:val="Normal"/>
    <w:next w:val="Normal"/>
    <w:autoRedefine/>
    <w:uiPriority w:val="39"/>
    <w:unhideWhenUsed/>
    <w:rsid w:val="00C00191"/>
    <w:pPr>
      <w:ind w:left="1920"/>
    </w:pPr>
  </w:style>
  <w:style w:type="character" w:styleId="Hyperlink">
    <w:name w:val="Hyperlink"/>
    <w:basedOn w:val="DefaultParagraphFont"/>
    <w:uiPriority w:val="99"/>
    <w:unhideWhenUsed/>
    <w:rsid w:val="00C00191"/>
    <w:rPr>
      <w:color w:val="0563C1" w:themeColor="hyperlink"/>
      <w:u w:val="single"/>
    </w:rPr>
  </w:style>
  <w:style w:type="paragraph" w:styleId="DocumentMap">
    <w:name w:val="Document Map"/>
    <w:basedOn w:val="Normal"/>
    <w:link w:val="DocumentMapChar"/>
    <w:uiPriority w:val="99"/>
    <w:semiHidden/>
    <w:unhideWhenUsed/>
    <w:rsid w:val="008A0767"/>
  </w:style>
  <w:style w:type="character" w:customStyle="1" w:styleId="DocumentMapChar">
    <w:name w:val="Document Map Char"/>
    <w:basedOn w:val="DefaultParagraphFont"/>
    <w:link w:val="DocumentMap"/>
    <w:uiPriority w:val="99"/>
    <w:semiHidden/>
    <w:rsid w:val="008A0767"/>
    <w:rPr>
      <w:rFonts w:ascii="Times New Roman" w:hAnsi="Times New Roman" w:cs="Times New Roman"/>
    </w:rPr>
  </w:style>
  <w:style w:type="character" w:customStyle="1" w:styleId="Heading2Char">
    <w:name w:val="Heading 2 Char"/>
    <w:basedOn w:val="DefaultParagraphFont"/>
    <w:link w:val="Heading2"/>
    <w:uiPriority w:val="9"/>
    <w:rsid w:val="00E50391"/>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5046F1"/>
    <w:rPr>
      <w:color w:val="954F72" w:themeColor="followedHyperlink"/>
      <w:u w:val="single"/>
    </w:rPr>
  </w:style>
  <w:style w:type="character" w:customStyle="1" w:styleId="Heading4Char">
    <w:name w:val="Heading 4 Char"/>
    <w:basedOn w:val="DefaultParagraphFont"/>
    <w:link w:val="Heading4"/>
    <w:uiPriority w:val="9"/>
    <w:rsid w:val="007803E7"/>
    <w:rPr>
      <w:rFonts w:asciiTheme="majorHAnsi" w:eastAsiaTheme="majorEastAsia" w:hAnsiTheme="majorHAnsi" w:cstheme="majorBidi"/>
      <w:i/>
      <w:iCs/>
      <w:color w:val="2F5496" w:themeColor="accent1" w:themeShade="BF"/>
      <w:lang w:eastAsia="tr-TR"/>
    </w:rPr>
  </w:style>
  <w:style w:type="paragraph" w:styleId="Revision">
    <w:name w:val="Revision"/>
    <w:hidden/>
    <w:uiPriority w:val="99"/>
    <w:semiHidden/>
    <w:rsid w:val="009D781E"/>
    <w:rPr>
      <w:rFonts w:ascii="Times New Roman" w:hAnsi="Times New Roman" w:cs="Times New Roman"/>
      <w:lang w:eastAsia="tr-TR"/>
    </w:rPr>
  </w:style>
  <w:style w:type="character" w:styleId="CommentReference">
    <w:name w:val="annotation reference"/>
    <w:basedOn w:val="DefaultParagraphFont"/>
    <w:uiPriority w:val="99"/>
    <w:semiHidden/>
    <w:unhideWhenUsed/>
    <w:rsid w:val="009D781E"/>
    <w:rPr>
      <w:sz w:val="16"/>
      <w:szCs w:val="16"/>
    </w:rPr>
  </w:style>
  <w:style w:type="paragraph" w:styleId="CommentText">
    <w:name w:val="annotation text"/>
    <w:basedOn w:val="Normal"/>
    <w:link w:val="CommentTextChar"/>
    <w:uiPriority w:val="99"/>
    <w:semiHidden/>
    <w:unhideWhenUsed/>
    <w:rsid w:val="009D781E"/>
    <w:rPr>
      <w:sz w:val="20"/>
      <w:szCs w:val="20"/>
    </w:rPr>
  </w:style>
  <w:style w:type="character" w:customStyle="1" w:styleId="CommentTextChar">
    <w:name w:val="Comment Text Char"/>
    <w:basedOn w:val="DefaultParagraphFont"/>
    <w:link w:val="CommentText"/>
    <w:uiPriority w:val="99"/>
    <w:semiHidden/>
    <w:rsid w:val="009D781E"/>
    <w:rPr>
      <w:rFonts w:ascii="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9D781E"/>
    <w:rPr>
      <w:b/>
      <w:bCs/>
    </w:rPr>
  </w:style>
  <w:style w:type="character" w:customStyle="1" w:styleId="CommentSubjectChar">
    <w:name w:val="Comment Subject Char"/>
    <w:basedOn w:val="CommentTextChar"/>
    <w:link w:val="CommentSubject"/>
    <w:uiPriority w:val="99"/>
    <w:semiHidden/>
    <w:rsid w:val="009D781E"/>
    <w:rPr>
      <w:rFonts w:ascii="Times New Roman" w:hAnsi="Times New Roman" w:cs="Times New Roman"/>
      <w:b/>
      <w:bCs/>
      <w:sz w:val="20"/>
      <w:szCs w:val="20"/>
      <w:lang w:eastAsia="tr-TR"/>
    </w:rPr>
  </w:style>
  <w:style w:type="character" w:customStyle="1" w:styleId="overflow-hidden">
    <w:name w:val="overflow-hidden"/>
    <w:basedOn w:val="DefaultParagraphFont"/>
    <w:rsid w:val="006D4AB8"/>
  </w:style>
  <w:style w:type="character" w:customStyle="1" w:styleId="UnresolvedMention1">
    <w:name w:val="Unresolved Mention1"/>
    <w:basedOn w:val="DefaultParagraphFont"/>
    <w:uiPriority w:val="99"/>
    <w:rsid w:val="000473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82418">
      <w:bodyDiv w:val="1"/>
      <w:marLeft w:val="0"/>
      <w:marRight w:val="0"/>
      <w:marTop w:val="0"/>
      <w:marBottom w:val="0"/>
      <w:divBdr>
        <w:top w:val="none" w:sz="0" w:space="0" w:color="auto"/>
        <w:left w:val="none" w:sz="0" w:space="0" w:color="auto"/>
        <w:bottom w:val="none" w:sz="0" w:space="0" w:color="auto"/>
        <w:right w:val="none" w:sz="0" w:space="0" w:color="auto"/>
      </w:divBdr>
    </w:div>
    <w:div w:id="7611304">
      <w:bodyDiv w:val="1"/>
      <w:marLeft w:val="0"/>
      <w:marRight w:val="0"/>
      <w:marTop w:val="0"/>
      <w:marBottom w:val="0"/>
      <w:divBdr>
        <w:top w:val="none" w:sz="0" w:space="0" w:color="auto"/>
        <w:left w:val="none" w:sz="0" w:space="0" w:color="auto"/>
        <w:bottom w:val="none" w:sz="0" w:space="0" w:color="auto"/>
        <w:right w:val="none" w:sz="0" w:space="0" w:color="auto"/>
      </w:divBdr>
    </w:div>
    <w:div w:id="7830009">
      <w:bodyDiv w:val="1"/>
      <w:marLeft w:val="0"/>
      <w:marRight w:val="0"/>
      <w:marTop w:val="0"/>
      <w:marBottom w:val="0"/>
      <w:divBdr>
        <w:top w:val="none" w:sz="0" w:space="0" w:color="auto"/>
        <w:left w:val="none" w:sz="0" w:space="0" w:color="auto"/>
        <w:bottom w:val="none" w:sz="0" w:space="0" w:color="auto"/>
        <w:right w:val="none" w:sz="0" w:space="0" w:color="auto"/>
      </w:divBdr>
    </w:div>
    <w:div w:id="12806393">
      <w:bodyDiv w:val="1"/>
      <w:marLeft w:val="0"/>
      <w:marRight w:val="0"/>
      <w:marTop w:val="0"/>
      <w:marBottom w:val="0"/>
      <w:divBdr>
        <w:top w:val="none" w:sz="0" w:space="0" w:color="auto"/>
        <w:left w:val="none" w:sz="0" w:space="0" w:color="auto"/>
        <w:bottom w:val="none" w:sz="0" w:space="0" w:color="auto"/>
        <w:right w:val="none" w:sz="0" w:space="0" w:color="auto"/>
      </w:divBdr>
    </w:div>
    <w:div w:id="14307697">
      <w:bodyDiv w:val="1"/>
      <w:marLeft w:val="0"/>
      <w:marRight w:val="0"/>
      <w:marTop w:val="0"/>
      <w:marBottom w:val="0"/>
      <w:divBdr>
        <w:top w:val="none" w:sz="0" w:space="0" w:color="auto"/>
        <w:left w:val="none" w:sz="0" w:space="0" w:color="auto"/>
        <w:bottom w:val="none" w:sz="0" w:space="0" w:color="auto"/>
        <w:right w:val="none" w:sz="0" w:space="0" w:color="auto"/>
      </w:divBdr>
    </w:div>
    <w:div w:id="24407658">
      <w:bodyDiv w:val="1"/>
      <w:marLeft w:val="0"/>
      <w:marRight w:val="0"/>
      <w:marTop w:val="0"/>
      <w:marBottom w:val="0"/>
      <w:divBdr>
        <w:top w:val="none" w:sz="0" w:space="0" w:color="auto"/>
        <w:left w:val="none" w:sz="0" w:space="0" w:color="auto"/>
        <w:bottom w:val="none" w:sz="0" w:space="0" w:color="auto"/>
        <w:right w:val="none" w:sz="0" w:space="0" w:color="auto"/>
      </w:divBdr>
    </w:div>
    <w:div w:id="25907571">
      <w:bodyDiv w:val="1"/>
      <w:marLeft w:val="0"/>
      <w:marRight w:val="0"/>
      <w:marTop w:val="0"/>
      <w:marBottom w:val="0"/>
      <w:divBdr>
        <w:top w:val="none" w:sz="0" w:space="0" w:color="auto"/>
        <w:left w:val="none" w:sz="0" w:space="0" w:color="auto"/>
        <w:bottom w:val="none" w:sz="0" w:space="0" w:color="auto"/>
        <w:right w:val="none" w:sz="0" w:space="0" w:color="auto"/>
      </w:divBdr>
    </w:div>
    <w:div w:id="28343927">
      <w:bodyDiv w:val="1"/>
      <w:marLeft w:val="0"/>
      <w:marRight w:val="0"/>
      <w:marTop w:val="0"/>
      <w:marBottom w:val="0"/>
      <w:divBdr>
        <w:top w:val="none" w:sz="0" w:space="0" w:color="auto"/>
        <w:left w:val="none" w:sz="0" w:space="0" w:color="auto"/>
        <w:bottom w:val="none" w:sz="0" w:space="0" w:color="auto"/>
        <w:right w:val="none" w:sz="0" w:space="0" w:color="auto"/>
      </w:divBdr>
    </w:div>
    <w:div w:id="29035983">
      <w:bodyDiv w:val="1"/>
      <w:marLeft w:val="0"/>
      <w:marRight w:val="0"/>
      <w:marTop w:val="0"/>
      <w:marBottom w:val="0"/>
      <w:divBdr>
        <w:top w:val="none" w:sz="0" w:space="0" w:color="auto"/>
        <w:left w:val="none" w:sz="0" w:space="0" w:color="auto"/>
        <w:bottom w:val="none" w:sz="0" w:space="0" w:color="auto"/>
        <w:right w:val="none" w:sz="0" w:space="0" w:color="auto"/>
      </w:divBdr>
    </w:div>
    <w:div w:id="30686866">
      <w:bodyDiv w:val="1"/>
      <w:marLeft w:val="0"/>
      <w:marRight w:val="0"/>
      <w:marTop w:val="0"/>
      <w:marBottom w:val="0"/>
      <w:divBdr>
        <w:top w:val="none" w:sz="0" w:space="0" w:color="auto"/>
        <w:left w:val="none" w:sz="0" w:space="0" w:color="auto"/>
        <w:bottom w:val="none" w:sz="0" w:space="0" w:color="auto"/>
        <w:right w:val="none" w:sz="0" w:space="0" w:color="auto"/>
      </w:divBdr>
    </w:div>
    <w:div w:id="40255586">
      <w:bodyDiv w:val="1"/>
      <w:marLeft w:val="0"/>
      <w:marRight w:val="0"/>
      <w:marTop w:val="0"/>
      <w:marBottom w:val="0"/>
      <w:divBdr>
        <w:top w:val="none" w:sz="0" w:space="0" w:color="auto"/>
        <w:left w:val="none" w:sz="0" w:space="0" w:color="auto"/>
        <w:bottom w:val="none" w:sz="0" w:space="0" w:color="auto"/>
        <w:right w:val="none" w:sz="0" w:space="0" w:color="auto"/>
      </w:divBdr>
    </w:div>
    <w:div w:id="41681362">
      <w:bodyDiv w:val="1"/>
      <w:marLeft w:val="0"/>
      <w:marRight w:val="0"/>
      <w:marTop w:val="0"/>
      <w:marBottom w:val="0"/>
      <w:divBdr>
        <w:top w:val="none" w:sz="0" w:space="0" w:color="auto"/>
        <w:left w:val="none" w:sz="0" w:space="0" w:color="auto"/>
        <w:bottom w:val="none" w:sz="0" w:space="0" w:color="auto"/>
        <w:right w:val="none" w:sz="0" w:space="0" w:color="auto"/>
      </w:divBdr>
    </w:div>
    <w:div w:id="44762373">
      <w:bodyDiv w:val="1"/>
      <w:marLeft w:val="0"/>
      <w:marRight w:val="0"/>
      <w:marTop w:val="0"/>
      <w:marBottom w:val="0"/>
      <w:divBdr>
        <w:top w:val="none" w:sz="0" w:space="0" w:color="auto"/>
        <w:left w:val="none" w:sz="0" w:space="0" w:color="auto"/>
        <w:bottom w:val="none" w:sz="0" w:space="0" w:color="auto"/>
        <w:right w:val="none" w:sz="0" w:space="0" w:color="auto"/>
      </w:divBdr>
    </w:div>
    <w:div w:id="51933073">
      <w:bodyDiv w:val="1"/>
      <w:marLeft w:val="0"/>
      <w:marRight w:val="0"/>
      <w:marTop w:val="0"/>
      <w:marBottom w:val="0"/>
      <w:divBdr>
        <w:top w:val="none" w:sz="0" w:space="0" w:color="auto"/>
        <w:left w:val="none" w:sz="0" w:space="0" w:color="auto"/>
        <w:bottom w:val="none" w:sz="0" w:space="0" w:color="auto"/>
        <w:right w:val="none" w:sz="0" w:space="0" w:color="auto"/>
      </w:divBdr>
    </w:div>
    <w:div w:id="58872573">
      <w:bodyDiv w:val="1"/>
      <w:marLeft w:val="0"/>
      <w:marRight w:val="0"/>
      <w:marTop w:val="0"/>
      <w:marBottom w:val="0"/>
      <w:divBdr>
        <w:top w:val="none" w:sz="0" w:space="0" w:color="auto"/>
        <w:left w:val="none" w:sz="0" w:space="0" w:color="auto"/>
        <w:bottom w:val="none" w:sz="0" w:space="0" w:color="auto"/>
        <w:right w:val="none" w:sz="0" w:space="0" w:color="auto"/>
      </w:divBdr>
    </w:div>
    <w:div w:id="60293319">
      <w:bodyDiv w:val="1"/>
      <w:marLeft w:val="0"/>
      <w:marRight w:val="0"/>
      <w:marTop w:val="0"/>
      <w:marBottom w:val="0"/>
      <w:divBdr>
        <w:top w:val="none" w:sz="0" w:space="0" w:color="auto"/>
        <w:left w:val="none" w:sz="0" w:space="0" w:color="auto"/>
        <w:bottom w:val="none" w:sz="0" w:space="0" w:color="auto"/>
        <w:right w:val="none" w:sz="0" w:space="0" w:color="auto"/>
      </w:divBdr>
    </w:div>
    <w:div w:id="66193309">
      <w:bodyDiv w:val="1"/>
      <w:marLeft w:val="0"/>
      <w:marRight w:val="0"/>
      <w:marTop w:val="0"/>
      <w:marBottom w:val="0"/>
      <w:divBdr>
        <w:top w:val="none" w:sz="0" w:space="0" w:color="auto"/>
        <w:left w:val="none" w:sz="0" w:space="0" w:color="auto"/>
        <w:bottom w:val="none" w:sz="0" w:space="0" w:color="auto"/>
        <w:right w:val="none" w:sz="0" w:space="0" w:color="auto"/>
      </w:divBdr>
    </w:div>
    <w:div w:id="71850759">
      <w:bodyDiv w:val="1"/>
      <w:marLeft w:val="0"/>
      <w:marRight w:val="0"/>
      <w:marTop w:val="0"/>
      <w:marBottom w:val="0"/>
      <w:divBdr>
        <w:top w:val="none" w:sz="0" w:space="0" w:color="auto"/>
        <w:left w:val="none" w:sz="0" w:space="0" w:color="auto"/>
        <w:bottom w:val="none" w:sz="0" w:space="0" w:color="auto"/>
        <w:right w:val="none" w:sz="0" w:space="0" w:color="auto"/>
      </w:divBdr>
    </w:div>
    <w:div w:id="78064228">
      <w:bodyDiv w:val="1"/>
      <w:marLeft w:val="0"/>
      <w:marRight w:val="0"/>
      <w:marTop w:val="0"/>
      <w:marBottom w:val="0"/>
      <w:divBdr>
        <w:top w:val="none" w:sz="0" w:space="0" w:color="auto"/>
        <w:left w:val="none" w:sz="0" w:space="0" w:color="auto"/>
        <w:bottom w:val="none" w:sz="0" w:space="0" w:color="auto"/>
        <w:right w:val="none" w:sz="0" w:space="0" w:color="auto"/>
      </w:divBdr>
    </w:div>
    <w:div w:id="84571680">
      <w:bodyDiv w:val="1"/>
      <w:marLeft w:val="0"/>
      <w:marRight w:val="0"/>
      <w:marTop w:val="0"/>
      <w:marBottom w:val="0"/>
      <w:divBdr>
        <w:top w:val="none" w:sz="0" w:space="0" w:color="auto"/>
        <w:left w:val="none" w:sz="0" w:space="0" w:color="auto"/>
        <w:bottom w:val="none" w:sz="0" w:space="0" w:color="auto"/>
        <w:right w:val="none" w:sz="0" w:space="0" w:color="auto"/>
      </w:divBdr>
    </w:div>
    <w:div w:id="89544799">
      <w:bodyDiv w:val="1"/>
      <w:marLeft w:val="0"/>
      <w:marRight w:val="0"/>
      <w:marTop w:val="0"/>
      <w:marBottom w:val="0"/>
      <w:divBdr>
        <w:top w:val="none" w:sz="0" w:space="0" w:color="auto"/>
        <w:left w:val="none" w:sz="0" w:space="0" w:color="auto"/>
        <w:bottom w:val="none" w:sz="0" w:space="0" w:color="auto"/>
        <w:right w:val="none" w:sz="0" w:space="0" w:color="auto"/>
      </w:divBdr>
    </w:div>
    <w:div w:id="98841131">
      <w:bodyDiv w:val="1"/>
      <w:marLeft w:val="0"/>
      <w:marRight w:val="0"/>
      <w:marTop w:val="0"/>
      <w:marBottom w:val="0"/>
      <w:divBdr>
        <w:top w:val="none" w:sz="0" w:space="0" w:color="auto"/>
        <w:left w:val="none" w:sz="0" w:space="0" w:color="auto"/>
        <w:bottom w:val="none" w:sz="0" w:space="0" w:color="auto"/>
        <w:right w:val="none" w:sz="0" w:space="0" w:color="auto"/>
      </w:divBdr>
    </w:div>
    <w:div w:id="117384205">
      <w:bodyDiv w:val="1"/>
      <w:marLeft w:val="0"/>
      <w:marRight w:val="0"/>
      <w:marTop w:val="0"/>
      <w:marBottom w:val="0"/>
      <w:divBdr>
        <w:top w:val="none" w:sz="0" w:space="0" w:color="auto"/>
        <w:left w:val="none" w:sz="0" w:space="0" w:color="auto"/>
        <w:bottom w:val="none" w:sz="0" w:space="0" w:color="auto"/>
        <w:right w:val="none" w:sz="0" w:space="0" w:color="auto"/>
      </w:divBdr>
    </w:div>
    <w:div w:id="119151958">
      <w:bodyDiv w:val="1"/>
      <w:marLeft w:val="0"/>
      <w:marRight w:val="0"/>
      <w:marTop w:val="0"/>
      <w:marBottom w:val="0"/>
      <w:divBdr>
        <w:top w:val="none" w:sz="0" w:space="0" w:color="auto"/>
        <w:left w:val="none" w:sz="0" w:space="0" w:color="auto"/>
        <w:bottom w:val="none" w:sz="0" w:space="0" w:color="auto"/>
        <w:right w:val="none" w:sz="0" w:space="0" w:color="auto"/>
      </w:divBdr>
    </w:div>
    <w:div w:id="123089098">
      <w:bodyDiv w:val="1"/>
      <w:marLeft w:val="0"/>
      <w:marRight w:val="0"/>
      <w:marTop w:val="0"/>
      <w:marBottom w:val="0"/>
      <w:divBdr>
        <w:top w:val="none" w:sz="0" w:space="0" w:color="auto"/>
        <w:left w:val="none" w:sz="0" w:space="0" w:color="auto"/>
        <w:bottom w:val="none" w:sz="0" w:space="0" w:color="auto"/>
        <w:right w:val="none" w:sz="0" w:space="0" w:color="auto"/>
      </w:divBdr>
    </w:div>
    <w:div w:id="123349743">
      <w:bodyDiv w:val="1"/>
      <w:marLeft w:val="0"/>
      <w:marRight w:val="0"/>
      <w:marTop w:val="0"/>
      <w:marBottom w:val="0"/>
      <w:divBdr>
        <w:top w:val="none" w:sz="0" w:space="0" w:color="auto"/>
        <w:left w:val="none" w:sz="0" w:space="0" w:color="auto"/>
        <w:bottom w:val="none" w:sz="0" w:space="0" w:color="auto"/>
        <w:right w:val="none" w:sz="0" w:space="0" w:color="auto"/>
      </w:divBdr>
    </w:div>
    <w:div w:id="125516092">
      <w:bodyDiv w:val="1"/>
      <w:marLeft w:val="0"/>
      <w:marRight w:val="0"/>
      <w:marTop w:val="0"/>
      <w:marBottom w:val="0"/>
      <w:divBdr>
        <w:top w:val="none" w:sz="0" w:space="0" w:color="auto"/>
        <w:left w:val="none" w:sz="0" w:space="0" w:color="auto"/>
        <w:bottom w:val="none" w:sz="0" w:space="0" w:color="auto"/>
        <w:right w:val="none" w:sz="0" w:space="0" w:color="auto"/>
      </w:divBdr>
    </w:div>
    <w:div w:id="132448845">
      <w:bodyDiv w:val="1"/>
      <w:marLeft w:val="0"/>
      <w:marRight w:val="0"/>
      <w:marTop w:val="0"/>
      <w:marBottom w:val="0"/>
      <w:divBdr>
        <w:top w:val="none" w:sz="0" w:space="0" w:color="auto"/>
        <w:left w:val="none" w:sz="0" w:space="0" w:color="auto"/>
        <w:bottom w:val="none" w:sz="0" w:space="0" w:color="auto"/>
        <w:right w:val="none" w:sz="0" w:space="0" w:color="auto"/>
      </w:divBdr>
    </w:div>
    <w:div w:id="138960691">
      <w:bodyDiv w:val="1"/>
      <w:marLeft w:val="0"/>
      <w:marRight w:val="0"/>
      <w:marTop w:val="0"/>
      <w:marBottom w:val="0"/>
      <w:divBdr>
        <w:top w:val="none" w:sz="0" w:space="0" w:color="auto"/>
        <w:left w:val="none" w:sz="0" w:space="0" w:color="auto"/>
        <w:bottom w:val="none" w:sz="0" w:space="0" w:color="auto"/>
        <w:right w:val="none" w:sz="0" w:space="0" w:color="auto"/>
      </w:divBdr>
    </w:div>
    <w:div w:id="141390049">
      <w:bodyDiv w:val="1"/>
      <w:marLeft w:val="0"/>
      <w:marRight w:val="0"/>
      <w:marTop w:val="0"/>
      <w:marBottom w:val="0"/>
      <w:divBdr>
        <w:top w:val="none" w:sz="0" w:space="0" w:color="auto"/>
        <w:left w:val="none" w:sz="0" w:space="0" w:color="auto"/>
        <w:bottom w:val="none" w:sz="0" w:space="0" w:color="auto"/>
        <w:right w:val="none" w:sz="0" w:space="0" w:color="auto"/>
      </w:divBdr>
    </w:div>
    <w:div w:id="161745681">
      <w:bodyDiv w:val="1"/>
      <w:marLeft w:val="0"/>
      <w:marRight w:val="0"/>
      <w:marTop w:val="0"/>
      <w:marBottom w:val="0"/>
      <w:divBdr>
        <w:top w:val="none" w:sz="0" w:space="0" w:color="auto"/>
        <w:left w:val="none" w:sz="0" w:space="0" w:color="auto"/>
        <w:bottom w:val="none" w:sz="0" w:space="0" w:color="auto"/>
        <w:right w:val="none" w:sz="0" w:space="0" w:color="auto"/>
      </w:divBdr>
    </w:div>
    <w:div w:id="167986585">
      <w:bodyDiv w:val="1"/>
      <w:marLeft w:val="0"/>
      <w:marRight w:val="0"/>
      <w:marTop w:val="0"/>
      <w:marBottom w:val="0"/>
      <w:divBdr>
        <w:top w:val="none" w:sz="0" w:space="0" w:color="auto"/>
        <w:left w:val="none" w:sz="0" w:space="0" w:color="auto"/>
        <w:bottom w:val="none" w:sz="0" w:space="0" w:color="auto"/>
        <w:right w:val="none" w:sz="0" w:space="0" w:color="auto"/>
      </w:divBdr>
    </w:div>
    <w:div w:id="179976606">
      <w:bodyDiv w:val="1"/>
      <w:marLeft w:val="0"/>
      <w:marRight w:val="0"/>
      <w:marTop w:val="0"/>
      <w:marBottom w:val="0"/>
      <w:divBdr>
        <w:top w:val="none" w:sz="0" w:space="0" w:color="auto"/>
        <w:left w:val="none" w:sz="0" w:space="0" w:color="auto"/>
        <w:bottom w:val="none" w:sz="0" w:space="0" w:color="auto"/>
        <w:right w:val="none" w:sz="0" w:space="0" w:color="auto"/>
      </w:divBdr>
    </w:div>
    <w:div w:id="190921273">
      <w:bodyDiv w:val="1"/>
      <w:marLeft w:val="0"/>
      <w:marRight w:val="0"/>
      <w:marTop w:val="0"/>
      <w:marBottom w:val="0"/>
      <w:divBdr>
        <w:top w:val="none" w:sz="0" w:space="0" w:color="auto"/>
        <w:left w:val="none" w:sz="0" w:space="0" w:color="auto"/>
        <w:bottom w:val="none" w:sz="0" w:space="0" w:color="auto"/>
        <w:right w:val="none" w:sz="0" w:space="0" w:color="auto"/>
      </w:divBdr>
    </w:div>
    <w:div w:id="192503136">
      <w:bodyDiv w:val="1"/>
      <w:marLeft w:val="0"/>
      <w:marRight w:val="0"/>
      <w:marTop w:val="0"/>
      <w:marBottom w:val="0"/>
      <w:divBdr>
        <w:top w:val="none" w:sz="0" w:space="0" w:color="auto"/>
        <w:left w:val="none" w:sz="0" w:space="0" w:color="auto"/>
        <w:bottom w:val="none" w:sz="0" w:space="0" w:color="auto"/>
        <w:right w:val="none" w:sz="0" w:space="0" w:color="auto"/>
      </w:divBdr>
    </w:div>
    <w:div w:id="193006812">
      <w:bodyDiv w:val="1"/>
      <w:marLeft w:val="0"/>
      <w:marRight w:val="0"/>
      <w:marTop w:val="0"/>
      <w:marBottom w:val="0"/>
      <w:divBdr>
        <w:top w:val="none" w:sz="0" w:space="0" w:color="auto"/>
        <w:left w:val="none" w:sz="0" w:space="0" w:color="auto"/>
        <w:bottom w:val="none" w:sz="0" w:space="0" w:color="auto"/>
        <w:right w:val="none" w:sz="0" w:space="0" w:color="auto"/>
      </w:divBdr>
    </w:div>
    <w:div w:id="199443609">
      <w:bodyDiv w:val="1"/>
      <w:marLeft w:val="0"/>
      <w:marRight w:val="0"/>
      <w:marTop w:val="0"/>
      <w:marBottom w:val="0"/>
      <w:divBdr>
        <w:top w:val="none" w:sz="0" w:space="0" w:color="auto"/>
        <w:left w:val="none" w:sz="0" w:space="0" w:color="auto"/>
        <w:bottom w:val="none" w:sz="0" w:space="0" w:color="auto"/>
        <w:right w:val="none" w:sz="0" w:space="0" w:color="auto"/>
      </w:divBdr>
    </w:div>
    <w:div w:id="202061833">
      <w:bodyDiv w:val="1"/>
      <w:marLeft w:val="0"/>
      <w:marRight w:val="0"/>
      <w:marTop w:val="0"/>
      <w:marBottom w:val="0"/>
      <w:divBdr>
        <w:top w:val="none" w:sz="0" w:space="0" w:color="auto"/>
        <w:left w:val="none" w:sz="0" w:space="0" w:color="auto"/>
        <w:bottom w:val="none" w:sz="0" w:space="0" w:color="auto"/>
        <w:right w:val="none" w:sz="0" w:space="0" w:color="auto"/>
      </w:divBdr>
    </w:div>
    <w:div w:id="207225927">
      <w:bodyDiv w:val="1"/>
      <w:marLeft w:val="0"/>
      <w:marRight w:val="0"/>
      <w:marTop w:val="0"/>
      <w:marBottom w:val="0"/>
      <w:divBdr>
        <w:top w:val="none" w:sz="0" w:space="0" w:color="auto"/>
        <w:left w:val="none" w:sz="0" w:space="0" w:color="auto"/>
        <w:bottom w:val="none" w:sz="0" w:space="0" w:color="auto"/>
        <w:right w:val="none" w:sz="0" w:space="0" w:color="auto"/>
      </w:divBdr>
    </w:div>
    <w:div w:id="208225935">
      <w:bodyDiv w:val="1"/>
      <w:marLeft w:val="0"/>
      <w:marRight w:val="0"/>
      <w:marTop w:val="0"/>
      <w:marBottom w:val="0"/>
      <w:divBdr>
        <w:top w:val="none" w:sz="0" w:space="0" w:color="auto"/>
        <w:left w:val="none" w:sz="0" w:space="0" w:color="auto"/>
        <w:bottom w:val="none" w:sz="0" w:space="0" w:color="auto"/>
        <w:right w:val="none" w:sz="0" w:space="0" w:color="auto"/>
      </w:divBdr>
    </w:div>
    <w:div w:id="212812815">
      <w:bodyDiv w:val="1"/>
      <w:marLeft w:val="0"/>
      <w:marRight w:val="0"/>
      <w:marTop w:val="0"/>
      <w:marBottom w:val="0"/>
      <w:divBdr>
        <w:top w:val="none" w:sz="0" w:space="0" w:color="auto"/>
        <w:left w:val="none" w:sz="0" w:space="0" w:color="auto"/>
        <w:bottom w:val="none" w:sz="0" w:space="0" w:color="auto"/>
        <w:right w:val="none" w:sz="0" w:space="0" w:color="auto"/>
      </w:divBdr>
    </w:div>
    <w:div w:id="214706392">
      <w:bodyDiv w:val="1"/>
      <w:marLeft w:val="0"/>
      <w:marRight w:val="0"/>
      <w:marTop w:val="0"/>
      <w:marBottom w:val="0"/>
      <w:divBdr>
        <w:top w:val="none" w:sz="0" w:space="0" w:color="auto"/>
        <w:left w:val="none" w:sz="0" w:space="0" w:color="auto"/>
        <w:bottom w:val="none" w:sz="0" w:space="0" w:color="auto"/>
        <w:right w:val="none" w:sz="0" w:space="0" w:color="auto"/>
      </w:divBdr>
    </w:div>
    <w:div w:id="215244215">
      <w:bodyDiv w:val="1"/>
      <w:marLeft w:val="0"/>
      <w:marRight w:val="0"/>
      <w:marTop w:val="0"/>
      <w:marBottom w:val="0"/>
      <w:divBdr>
        <w:top w:val="none" w:sz="0" w:space="0" w:color="auto"/>
        <w:left w:val="none" w:sz="0" w:space="0" w:color="auto"/>
        <w:bottom w:val="none" w:sz="0" w:space="0" w:color="auto"/>
        <w:right w:val="none" w:sz="0" w:space="0" w:color="auto"/>
      </w:divBdr>
    </w:div>
    <w:div w:id="218327654">
      <w:bodyDiv w:val="1"/>
      <w:marLeft w:val="0"/>
      <w:marRight w:val="0"/>
      <w:marTop w:val="0"/>
      <w:marBottom w:val="0"/>
      <w:divBdr>
        <w:top w:val="none" w:sz="0" w:space="0" w:color="auto"/>
        <w:left w:val="none" w:sz="0" w:space="0" w:color="auto"/>
        <w:bottom w:val="none" w:sz="0" w:space="0" w:color="auto"/>
        <w:right w:val="none" w:sz="0" w:space="0" w:color="auto"/>
      </w:divBdr>
    </w:div>
    <w:div w:id="229079000">
      <w:bodyDiv w:val="1"/>
      <w:marLeft w:val="0"/>
      <w:marRight w:val="0"/>
      <w:marTop w:val="0"/>
      <w:marBottom w:val="0"/>
      <w:divBdr>
        <w:top w:val="none" w:sz="0" w:space="0" w:color="auto"/>
        <w:left w:val="none" w:sz="0" w:space="0" w:color="auto"/>
        <w:bottom w:val="none" w:sz="0" w:space="0" w:color="auto"/>
        <w:right w:val="none" w:sz="0" w:space="0" w:color="auto"/>
      </w:divBdr>
    </w:div>
    <w:div w:id="250479893">
      <w:bodyDiv w:val="1"/>
      <w:marLeft w:val="0"/>
      <w:marRight w:val="0"/>
      <w:marTop w:val="0"/>
      <w:marBottom w:val="0"/>
      <w:divBdr>
        <w:top w:val="none" w:sz="0" w:space="0" w:color="auto"/>
        <w:left w:val="none" w:sz="0" w:space="0" w:color="auto"/>
        <w:bottom w:val="none" w:sz="0" w:space="0" w:color="auto"/>
        <w:right w:val="none" w:sz="0" w:space="0" w:color="auto"/>
      </w:divBdr>
    </w:div>
    <w:div w:id="256839284">
      <w:bodyDiv w:val="1"/>
      <w:marLeft w:val="0"/>
      <w:marRight w:val="0"/>
      <w:marTop w:val="0"/>
      <w:marBottom w:val="0"/>
      <w:divBdr>
        <w:top w:val="none" w:sz="0" w:space="0" w:color="auto"/>
        <w:left w:val="none" w:sz="0" w:space="0" w:color="auto"/>
        <w:bottom w:val="none" w:sz="0" w:space="0" w:color="auto"/>
        <w:right w:val="none" w:sz="0" w:space="0" w:color="auto"/>
      </w:divBdr>
    </w:div>
    <w:div w:id="273487308">
      <w:bodyDiv w:val="1"/>
      <w:marLeft w:val="0"/>
      <w:marRight w:val="0"/>
      <w:marTop w:val="0"/>
      <w:marBottom w:val="0"/>
      <w:divBdr>
        <w:top w:val="none" w:sz="0" w:space="0" w:color="auto"/>
        <w:left w:val="none" w:sz="0" w:space="0" w:color="auto"/>
        <w:bottom w:val="none" w:sz="0" w:space="0" w:color="auto"/>
        <w:right w:val="none" w:sz="0" w:space="0" w:color="auto"/>
      </w:divBdr>
    </w:div>
    <w:div w:id="273876531">
      <w:bodyDiv w:val="1"/>
      <w:marLeft w:val="0"/>
      <w:marRight w:val="0"/>
      <w:marTop w:val="0"/>
      <w:marBottom w:val="0"/>
      <w:divBdr>
        <w:top w:val="none" w:sz="0" w:space="0" w:color="auto"/>
        <w:left w:val="none" w:sz="0" w:space="0" w:color="auto"/>
        <w:bottom w:val="none" w:sz="0" w:space="0" w:color="auto"/>
        <w:right w:val="none" w:sz="0" w:space="0" w:color="auto"/>
      </w:divBdr>
    </w:div>
    <w:div w:id="278415453">
      <w:bodyDiv w:val="1"/>
      <w:marLeft w:val="0"/>
      <w:marRight w:val="0"/>
      <w:marTop w:val="0"/>
      <w:marBottom w:val="0"/>
      <w:divBdr>
        <w:top w:val="none" w:sz="0" w:space="0" w:color="auto"/>
        <w:left w:val="none" w:sz="0" w:space="0" w:color="auto"/>
        <w:bottom w:val="none" w:sz="0" w:space="0" w:color="auto"/>
        <w:right w:val="none" w:sz="0" w:space="0" w:color="auto"/>
      </w:divBdr>
    </w:div>
    <w:div w:id="285813519">
      <w:bodyDiv w:val="1"/>
      <w:marLeft w:val="0"/>
      <w:marRight w:val="0"/>
      <w:marTop w:val="0"/>
      <w:marBottom w:val="0"/>
      <w:divBdr>
        <w:top w:val="none" w:sz="0" w:space="0" w:color="auto"/>
        <w:left w:val="none" w:sz="0" w:space="0" w:color="auto"/>
        <w:bottom w:val="none" w:sz="0" w:space="0" w:color="auto"/>
        <w:right w:val="none" w:sz="0" w:space="0" w:color="auto"/>
      </w:divBdr>
    </w:div>
    <w:div w:id="288365720">
      <w:bodyDiv w:val="1"/>
      <w:marLeft w:val="0"/>
      <w:marRight w:val="0"/>
      <w:marTop w:val="0"/>
      <w:marBottom w:val="0"/>
      <w:divBdr>
        <w:top w:val="none" w:sz="0" w:space="0" w:color="auto"/>
        <w:left w:val="none" w:sz="0" w:space="0" w:color="auto"/>
        <w:bottom w:val="none" w:sz="0" w:space="0" w:color="auto"/>
        <w:right w:val="none" w:sz="0" w:space="0" w:color="auto"/>
      </w:divBdr>
    </w:div>
    <w:div w:id="292836432">
      <w:bodyDiv w:val="1"/>
      <w:marLeft w:val="0"/>
      <w:marRight w:val="0"/>
      <w:marTop w:val="0"/>
      <w:marBottom w:val="0"/>
      <w:divBdr>
        <w:top w:val="none" w:sz="0" w:space="0" w:color="auto"/>
        <w:left w:val="none" w:sz="0" w:space="0" w:color="auto"/>
        <w:bottom w:val="none" w:sz="0" w:space="0" w:color="auto"/>
        <w:right w:val="none" w:sz="0" w:space="0" w:color="auto"/>
      </w:divBdr>
    </w:div>
    <w:div w:id="294995525">
      <w:bodyDiv w:val="1"/>
      <w:marLeft w:val="0"/>
      <w:marRight w:val="0"/>
      <w:marTop w:val="0"/>
      <w:marBottom w:val="0"/>
      <w:divBdr>
        <w:top w:val="none" w:sz="0" w:space="0" w:color="auto"/>
        <w:left w:val="none" w:sz="0" w:space="0" w:color="auto"/>
        <w:bottom w:val="none" w:sz="0" w:space="0" w:color="auto"/>
        <w:right w:val="none" w:sz="0" w:space="0" w:color="auto"/>
      </w:divBdr>
    </w:div>
    <w:div w:id="296956863">
      <w:bodyDiv w:val="1"/>
      <w:marLeft w:val="0"/>
      <w:marRight w:val="0"/>
      <w:marTop w:val="0"/>
      <w:marBottom w:val="0"/>
      <w:divBdr>
        <w:top w:val="none" w:sz="0" w:space="0" w:color="auto"/>
        <w:left w:val="none" w:sz="0" w:space="0" w:color="auto"/>
        <w:bottom w:val="none" w:sz="0" w:space="0" w:color="auto"/>
        <w:right w:val="none" w:sz="0" w:space="0" w:color="auto"/>
      </w:divBdr>
    </w:div>
    <w:div w:id="297414383">
      <w:bodyDiv w:val="1"/>
      <w:marLeft w:val="0"/>
      <w:marRight w:val="0"/>
      <w:marTop w:val="0"/>
      <w:marBottom w:val="0"/>
      <w:divBdr>
        <w:top w:val="none" w:sz="0" w:space="0" w:color="auto"/>
        <w:left w:val="none" w:sz="0" w:space="0" w:color="auto"/>
        <w:bottom w:val="none" w:sz="0" w:space="0" w:color="auto"/>
        <w:right w:val="none" w:sz="0" w:space="0" w:color="auto"/>
      </w:divBdr>
    </w:div>
    <w:div w:id="302733101">
      <w:bodyDiv w:val="1"/>
      <w:marLeft w:val="0"/>
      <w:marRight w:val="0"/>
      <w:marTop w:val="0"/>
      <w:marBottom w:val="0"/>
      <w:divBdr>
        <w:top w:val="none" w:sz="0" w:space="0" w:color="auto"/>
        <w:left w:val="none" w:sz="0" w:space="0" w:color="auto"/>
        <w:bottom w:val="none" w:sz="0" w:space="0" w:color="auto"/>
        <w:right w:val="none" w:sz="0" w:space="0" w:color="auto"/>
      </w:divBdr>
    </w:div>
    <w:div w:id="311715967">
      <w:bodyDiv w:val="1"/>
      <w:marLeft w:val="0"/>
      <w:marRight w:val="0"/>
      <w:marTop w:val="0"/>
      <w:marBottom w:val="0"/>
      <w:divBdr>
        <w:top w:val="none" w:sz="0" w:space="0" w:color="auto"/>
        <w:left w:val="none" w:sz="0" w:space="0" w:color="auto"/>
        <w:bottom w:val="none" w:sz="0" w:space="0" w:color="auto"/>
        <w:right w:val="none" w:sz="0" w:space="0" w:color="auto"/>
      </w:divBdr>
    </w:div>
    <w:div w:id="320013545">
      <w:bodyDiv w:val="1"/>
      <w:marLeft w:val="0"/>
      <w:marRight w:val="0"/>
      <w:marTop w:val="0"/>
      <w:marBottom w:val="0"/>
      <w:divBdr>
        <w:top w:val="none" w:sz="0" w:space="0" w:color="auto"/>
        <w:left w:val="none" w:sz="0" w:space="0" w:color="auto"/>
        <w:bottom w:val="none" w:sz="0" w:space="0" w:color="auto"/>
        <w:right w:val="none" w:sz="0" w:space="0" w:color="auto"/>
      </w:divBdr>
    </w:div>
    <w:div w:id="323431592">
      <w:bodyDiv w:val="1"/>
      <w:marLeft w:val="0"/>
      <w:marRight w:val="0"/>
      <w:marTop w:val="0"/>
      <w:marBottom w:val="0"/>
      <w:divBdr>
        <w:top w:val="none" w:sz="0" w:space="0" w:color="auto"/>
        <w:left w:val="none" w:sz="0" w:space="0" w:color="auto"/>
        <w:bottom w:val="none" w:sz="0" w:space="0" w:color="auto"/>
        <w:right w:val="none" w:sz="0" w:space="0" w:color="auto"/>
      </w:divBdr>
      <w:divsChild>
        <w:div w:id="789402323">
          <w:marLeft w:val="0"/>
          <w:marRight w:val="0"/>
          <w:marTop w:val="0"/>
          <w:marBottom w:val="0"/>
          <w:divBdr>
            <w:top w:val="none" w:sz="0" w:space="0" w:color="auto"/>
            <w:left w:val="none" w:sz="0" w:space="0" w:color="auto"/>
            <w:bottom w:val="none" w:sz="0" w:space="0" w:color="auto"/>
            <w:right w:val="none" w:sz="0" w:space="0" w:color="auto"/>
          </w:divBdr>
          <w:divsChild>
            <w:div w:id="913275690">
              <w:marLeft w:val="0"/>
              <w:marRight w:val="0"/>
              <w:marTop w:val="0"/>
              <w:marBottom w:val="0"/>
              <w:divBdr>
                <w:top w:val="none" w:sz="0" w:space="0" w:color="auto"/>
                <w:left w:val="none" w:sz="0" w:space="0" w:color="auto"/>
                <w:bottom w:val="none" w:sz="0" w:space="0" w:color="auto"/>
                <w:right w:val="none" w:sz="0" w:space="0" w:color="auto"/>
              </w:divBdr>
              <w:divsChild>
                <w:div w:id="21308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4069">
          <w:marLeft w:val="0"/>
          <w:marRight w:val="0"/>
          <w:marTop w:val="0"/>
          <w:marBottom w:val="0"/>
          <w:divBdr>
            <w:top w:val="none" w:sz="0" w:space="0" w:color="auto"/>
            <w:left w:val="none" w:sz="0" w:space="0" w:color="auto"/>
            <w:bottom w:val="none" w:sz="0" w:space="0" w:color="auto"/>
            <w:right w:val="none" w:sz="0" w:space="0" w:color="auto"/>
          </w:divBdr>
          <w:divsChild>
            <w:div w:id="341473862">
              <w:marLeft w:val="0"/>
              <w:marRight w:val="0"/>
              <w:marTop w:val="0"/>
              <w:marBottom w:val="0"/>
              <w:divBdr>
                <w:top w:val="none" w:sz="0" w:space="0" w:color="auto"/>
                <w:left w:val="none" w:sz="0" w:space="0" w:color="auto"/>
                <w:bottom w:val="none" w:sz="0" w:space="0" w:color="auto"/>
                <w:right w:val="none" w:sz="0" w:space="0" w:color="auto"/>
              </w:divBdr>
              <w:divsChild>
                <w:div w:id="154155049">
                  <w:marLeft w:val="0"/>
                  <w:marRight w:val="0"/>
                  <w:marTop w:val="0"/>
                  <w:marBottom w:val="0"/>
                  <w:divBdr>
                    <w:top w:val="none" w:sz="0" w:space="0" w:color="auto"/>
                    <w:left w:val="none" w:sz="0" w:space="0" w:color="auto"/>
                    <w:bottom w:val="none" w:sz="0" w:space="0" w:color="auto"/>
                    <w:right w:val="none" w:sz="0" w:space="0" w:color="auto"/>
                  </w:divBdr>
                  <w:divsChild>
                    <w:div w:id="200200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398120">
      <w:bodyDiv w:val="1"/>
      <w:marLeft w:val="0"/>
      <w:marRight w:val="0"/>
      <w:marTop w:val="0"/>
      <w:marBottom w:val="0"/>
      <w:divBdr>
        <w:top w:val="none" w:sz="0" w:space="0" w:color="auto"/>
        <w:left w:val="none" w:sz="0" w:space="0" w:color="auto"/>
        <w:bottom w:val="none" w:sz="0" w:space="0" w:color="auto"/>
        <w:right w:val="none" w:sz="0" w:space="0" w:color="auto"/>
      </w:divBdr>
    </w:div>
    <w:div w:id="327103096">
      <w:bodyDiv w:val="1"/>
      <w:marLeft w:val="0"/>
      <w:marRight w:val="0"/>
      <w:marTop w:val="0"/>
      <w:marBottom w:val="0"/>
      <w:divBdr>
        <w:top w:val="none" w:sz="0" w:space="0" w:color="auto"/>
        <w:left w:val="none" w:sz="0" w:space="0" w:color="auto"/>
        <w:bottom w:val="none" w:sz="0" w:space="0" w:color="auto"/>
        <w:right w:val="none" w:sz="0" w:space="0" w:color="auto"/>
      </w:divBdr>
    </w:div>
    <w:div w:id="330908379">
      <w:bodyDiv w:val="1"/>
      <w:marLeft w:val="0"/>
      <w:marRight w:val="0"/>
      <w:marTop w:val="0"/>
      <w:marBottom w:val="0"/>
      <w:divBdr>
        <w:top w:val="none" w:sz="0" w:space="0" w:color="auto"/>
        <w:left w:val="none" w:sz="0" w:space="0" w:color="auto"/>
        <w:bottom w:val="none" w:sz="0" w:space="0" w:color="auto"/>
        <w:right w:val="none" w:sz="0" w:space="0" w:color="auto"/>
      </w:divBdr>
    </w:div>
    <w:div w:id="339770602">
      <w:bodyDiv w:val="1"/>
      <w:marLeft w:val="0"/>
      <w:marRight w:val="0"/>
      <w:marTop w:val="0"/>
      <w:marBottom w:val="0"/>
      <w:divBdr>
        <w:top w:val="none" w:sz="0" w:space="0" w:color="auto"/>
        <w:left w:val="none" w:sz="0" w:space="0" w:color="auto"/>
        <w:bottom w:val="none" w:sz="0" w:space="0" w:color="auto"/>
        <w:right w:val="none" w:sz="0" w:space="0" w:color="auto"/>
      </w:divBdr>
    </w:div>
    <w:div w:id="346905700">
      <w:bodyDiv w:val="1"/>
      <w:marLeft w:val="0"/>
      <w:marRight w:val="0"/>
      <w:marTop w:val="0"/>
      <w:marBottom w:val="0"/>
      <w:divBdr>
        <w:top w:val="none" w:sz="0" w:space="0" w:color="auto"/>
        <w:left w:val="none" w:sz="0" w:space="0" w:color="auto"/>
        <w:bottom w:val="none" w:sz="0" w:space="0" w:color="auto"/>
        <w:right w:val="none" w:sz="0" w:space="0" w:color="auto"/>
      </w:divBdr>
    </w:div>
    <w:div w:id="355233513">
      <w:bodyDiv w:val="1"/>
      <w:marLeft w:val="0"/>
      <w:marRight w:val="0"/>
      <w:marTop w:val="0"/>
      <w:marBottom w:val="0"/>
      <w:divBdr>
        <w:top w:val="none" w:sz="0" w:space="0" w:color="auto"/>
        <w:left w:val="none" w:sz="0" w:space="0" w:color="auto"/>
        <w:bottom w:val="none" w:sz="0" w:space="0" w:color="auto"/>
        <w:right w:val="none" w:sz="0" w:space="0" w:color="auto"/>
      </w:divBdr>
    </w:div>
    <w:div w:id="364411756">
      <w:bodyDiv w:val="1"/>
      <w:marLeft w:val="0"/>
      <w:marRight w:val="0"/>
      <w:marTop w:val="0"/>
      <w:marBottom w:val="0"/>
      <w:divBdr>
        <w:top w:val="none" w:sz="0" w:space="0" w:color="auto"/>
        <w:left w:val="none" w:sz="0" w:space="0" w:color="auto"/>
        <w:bottom w:val="none" w:sz="0" w:space="0" w:color="auto"/>
        <w:right w:val="none" w:sz="0" w:space="0" w:color="auto"/>
      </w:divBdr>
    </w:div>
    <w:div w:id="377708735">
      <w:bodyDiv w:val="1"/>
      <w:marLeft w:val="0"/>
      <w:marRight w:val="0"/>
      <w:marTop w:val="0"/>
      <w:marBottom w:val="0"/>
      <w:divBdr>
        <w:top w:val="none" w:sz="0" w:space="0" w:color="auto"/>
        <w:left w:val="none" w:sz="0" w:space="0" w:color="auto"/>
        <w:bottom w:val="none" w:sz="0" w:space="0" w:color="auto"/>
        <w:right w:val="none" w:sz="0" w:space="0" w:color="auto"/>
      </w:divBdr>
    </w:div>
    <w:div w:id="379596016">
      <w:bodyDiv w:val="1"/>
      <w:marLeft w:val="0"/>
      <w:marRight w:val="0"/>
      <w:marTop w:val="0"/>
      <w:marBottom w:val="0"/>
      <w:divBdr>
        <w:top w:val="none" w:sz="0" w:space="0" w:color="auto"/>
        <w:left w:val="none" w:sz="0" w:space="0" w:color="auto"/>
        <w:bottom w:val="none" w:sz="0" w:space="0" w:color="auto"/>
        <w:right w:val="none" w:sz="0" w:space="0" w:color="auto"/>
      </w:divBdr>
    </w:div>
    <w:div w:id="384842903">
      <w:bodyDiv w:val="1"/>
      <w:marLeft w:val="0"/>
      <w:marRight w:val="0"/>
      <w:marTop w:val="0"/>
      <w:marBottom w:val="0"/>
      <w:divBdr>
        <w:top w:val="none" w:sz="0" w:space="0" w:color="auto"/>
        <w:left w:val="none" w:sz="0" w:space="0" w:color="auto"/>
        <w:bottom w:val="none" w:sz="0" w:space="0" w:color="auto"/>
        <w:right w:val="none" w:sz="0" w:space="0" w:color="auto"/>
      </w:divBdr>
      <w:divsChild>
        <w:div w:id="1396319996">
          <w:marLeft w:val="0"/>
          <w:marRight w:val="0"/>
          <w:marTop w:val="0"/>
          <w:marBottom w:val="0"/>
          <w:divBdr>
            <w:top w:val="none" w:sz="0" w:space="0" w:color="auto"/>
            <w:left w:val="none" w:sz="0" w:space="0" w:color="auto"/>
            <w:bottom w:val="none" w:sz="0" w:space="0" w:color="auto"/>
            <w:right w:val="none" w:sz="0" w:space="0" w:color="auto"/>
          </w:divBdr>
          <w:divsChild>
            <w:div w:id="931470787">
              <w:marLeft w:val="0"/>
              <w:marRight w:val="0"/>
              <w:marTop w:val="0"/>
              <w:marBottom w:val="0"/>
              <w:divBdr>
                <w:top w:val="none" w:sz="0" w:space="0" w:color="auto"/>
                <w:left w:val="none" w:sz="0" w:space="0" w:color="auto"/>
                <w:bottom w:val="none" w:sz="0" w:space="0" w:color="auto"/>
                <w:right w:val="none" w:sz="0" w:space="0" w:color="auto"/>
              </w:divBdr>
              <w:divsChild>
                <w:div w:id="15141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538789">
          <w:marLeft w:val="0"/>
          <w:marRight w:val="0"/>
          <w:marTop w:val="0"/>
          <w:marBottom w:val="0"/>
          <w:divBdr>
            <w:top w:val="none" w:sz="0" w:space="0" w:color="auto"/>
            <w:left w:val="none" w:sz="0" w:space="0" w:color="auto"/>
            <w:bottom w:val="none" w:sz="0" w:space="0" w:color="auto"/>
            <w:right w:val="none" w:sz="0" w:space="0" w:color="auto"/>
          </w:divBdr>
          <w:divsChild>
            <w:div w:id="739600932">
              <w:marLeft w:val="0"/>
              <w:marRight w:val="0"/>
              <w:marTop w:val="0"/>
              <w:marBottom w:val="0"/>
              <w:divBdr>
                <w:top w:val="none" w:sz="0" w:space="0" w:color="auto"/>
                <w:left w:val="none" w:sz="0" w:space="0" w:color="auto"/>
                <w:bottom w:val="none" w:sz="0" w:space="0" w:color="auto"/>
                <w:right w:val="none" w:sz="0" w:space="0" w:color="auto"/>
              </w:divBdr>
              <w:divsChild>
                <w:div w:id="1633093146">
                  <w:marLeft w:val="0"/>
                  <w:marRight w:val="0"/>
                  <w:marTop w:val="0"/>
                  <w:marBottom w:val="0"/>
                  <w:divBdr>
                    <w:top w:val="none" w:sz="0" w:space="0" w:color="auto"/>
                    <w:left w:val="none" w:sz="0" w:space="0" w:color="auto"/>
                    <w:bottom w:val="none" w:sz="0" w:space="0" w:color="auto"/>
                    <w:right w:val="none" w:sz="0" w:space="0" w:color="auto"/>
                  </w:divBdr>
                  <w:divsChild>
                    <w:div w:id="75906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922968">
      <w:bodyDiv w:val="1"/>
      <w:marLeft w:val="0"/>
      <w:marRight w:val="0"/>
      <w:marTop w:val="0"/>
      <w:marBottom w:val="0"/>
      <w:divBdr>
        <w:top w:val="none" w:sz="0" w:space="0" w:color="auto"/>
        <w:left w:val="none" w:sz="0" w:space="0" w:color="auto"/>
        <w:bottom w:val="none" w:sz="0" w:space="0" w:color="auto"/>
        <w:right w:val="none" w:sz="0" w:space="0" w:color="auto"/>
      </w:divBdr>
    </w:div>
    <w:div w:id="399864381">
      <w:bodyDiv w:val="1"/>
      <w:marLeft w:val="0"/>
      <w:marRight w:val="0"/>
      <w:marTop w:val="0"/>
      <w:marBottom w:val="0"/>
      <w:divBdr>
        <w:top w:val="none" w:sz="0" w:space="0" w:color="auto"/>
        <w:left w:val="none" w:sz="0" w:space="0" w:color="auto"/>
        <w:bottom w:val="none" w:sz="0" w:space="0" w:color="auto"/>
        <w:right w:val="none" w:sz="0" w:space="0" w:color="auto"/>
      </w:divBdr>
    </w:div>
    <w:div w:id="403067203">
      <w:bodyDiv w:val="1"/>
      <w:marLeft w:val="0"/>
      <w:marRight w:val="0"/>
      <w:marTop w:val="0"/>
      <w:marBottom w:val="0"/>
      <w:divBdr>
        <w:top w:val="none" w:sz="0" w:space="0" w:color="auto"/>
        <w:left w:val="none" w:sz="0" w:space="0" w:color="auto"/>
        <w:bottom w:val="none" w:sz="0" w:space="0" w:color="auto"/>
        <w:right w:val="none" w:sz="0" w:space="0" w:color="auto"/>
      </w:divBdr>
    </w:div>
    <w:div w:id="407314872">
      <w:bodyDiv w:val="1"/>
      <w:marLeft w:val="0"/>
      <w:marRight w:val="0"/>
      <w:marTop w:val="0"/>
      <w:marBottom w:val="0"/>
      <w:divBdr>
        <w:top w:val="none" w:sz="0" w:space="0" w:color="auto"/>
        <w:left w:val="none" w:sz="0" w:space="0" w:color="auto"/>
        <w:bottom w:val="none" w:sz="0" w:space="0" w:color="auto"/>
        <w:right w:val="none" w:sz="0" w:space="0" w:color="auto"/>
      </w:divBdr>
    </w:div>
    <w:div w:id="416174760">
      <w:bodyDiv w:val="1"/>
      <w:marLeft w:val="0"/>
      <w:marRight w:val="0"/>
      <w:marTop w:val="0"/>
      <w:marBottom w:val="0"/>
      <w:divBdr>
        <w:top w:val="none" w:sz="0" w:space="0" w:color="auto"/>
        <w:left w:val="none" w:sz="0" w:space="0" w:color="auto"/>
        <w:bottom w:val="none" w:sz="0" w:space="0" w:color="auto"/>
        <w:right w:val="none" w:sz="0" w:space="0" w:color="auto"/>
      </w:divBdr>
    </w:div>
    <w:div w:id="425270301">
      <w:bodyDiv w:val="1"/>
      <w:marLeft w:val="0"/>
      <w:marRight w:val="0"/>
      <w:marTop w:val="0"/>
      <w:marBottom w:val="0"/>
      <w:divBdr>
        <w:top w:val="none" w:sz="0" w:space="0" w:color="auto"/>
        <w:left w:val="none" w:sz="0" w:space="0" w:color="auto"/>
        <w:bottom w:val="none" w:sz="0" w:space="0" w:color="auto"/>
        <w:right w:val="none" w:sz="0" w:space="0" w:color="auto"/>
      </w:divBdr>
    </w:div>
    <w:div w:id="439491426">
      <w:bodyDiv w:val="1"/>
      <w:marLeft w:val="0"/>
      <w:marRight w:val="0"/>
      <w:marTop w:val="0"/>
      <w:marBottom w:val="0"/>
      <w:divBdr>
        <w:top w:val="none" w:sz="0" w:space="0" w:color="auto"/>
        <w:left w:val="none" w:sz="0" w:space="0" w:color="auto"/>
        <w:bottom w:val="none" w:sz="0" w:space="0" w:color="auto"/>
        <w:right w:val="none" w:sz="0" w:space="0" w:color="auto"/>
      </w:divBdr>
    </w:div>
    <w:div w:id="447510735">
      <w:bodyDiv w:val="1"/>
      <w:marLeft w:val="0"/>
      <w:marRight w:val="0"/>
      <w:marTop w:val="0"/>
      <w:marBottom w:val="0"/>
      <w:divBdr>
        <w:top w:val="none" w:sz="0" w:space="0" w:color="auto"/>
        <w:left w:val="none" w:sz="0" w:space="0" w:color="auto"/>
        <w:bottom w:val="none" w:sz="0" w:space="0" w:color="auto"/>
        <w:right w:val="none" w:sz="0" w:space="0" w:color="auto"/>
      </w:divBdr>
    </w:div>
    <w:div w:id="453716908">
      <w:bodyDiv w:val="1"/>
      <w:marLeft w:val="0"/>
      <w:marRight w:val="0"/>
      <w:marTop w:val="0"/>
      <w:marBottom w:val="0"/>
      <w:divBdr>
        <w:top w:val="none" w:sz="0" w:space="0" w:color="auto"/>
        <w:left w:val="none" w:sz="0" w:space="0" w:color="auto"/>
        <w:bottom w:val="none" w:sz="0" w:space="0" w:color="auto"/>
        <w:right w:val="none" w:sz="0" w:space="0" w:color="auto"/>
      </w:divBdr>
    </w:div>
    <w:div w:id="460921915">
      <w:bodyDiv w:val="1"/>
      <w:marLeft w:val="0"/>
      <w:marRight w:val="0"/>
      <w:marTop w:val="0"/>
      <w:marBottom w:val="0"/>
      <w:divBdr>
        <w:top w:val="none" w:sz="0" w:space="0" w:color="auto"/>
        <w:left w:val="none" w:sz="0" w:space="0" w:color="auto"/>
        <w:bottom w:val="none" w:sz="0" w:space="0" w:color="auto"/>
        <w:right w:val="none" w:sz="0" w:space="0" w:color="auto"/>
      </w:divBdr>
    </w:div>
    <w:div w:id="473447249">
      <w:bodyDiv w:val="1"/>
      <w:marLeft w:val="0"/>
      <w:marRight w:val="0"/>
      <w:marTop w:val="0"/>
      <w:marBottom w:val="0"/>
      <w:divBdr>
        <w:top w:val="none" w:sz="0" w:space="0" w:color="auto"/>
        <w:left w:val="none" w:sz="0" w:space="0" w:color="auto"/>
        <w:bottom w:val="none" w:sz="0" w:space="0" w:color="auto"/>
        <w:right w:val="none" w:sz="0" w:space="0" w:color="auto"/>
      </w:divBdr>
    </w:div>
    <w:div w:id="474837129">
      <w:bodyDiv w:val="1"/>
      <w:marLeft w:val="0"/>
      <w:marRight w:val="0"/>
      <w:marTop w:val="0"/>
      <w:marBottom w:val="0"/>
      <w:divBdr>
        <w:top w:val="none" w:sz="0" w:space="0" w:color="auto"/>
        <w:left w:val="none" w:sz="0" w:space="0" w:color="auto"/>
        <w:bottom w:val="none" w:sz="0" w:space="0" w:color="auto"/>
        <w:right w:val="none" w:sz="0" w:space="0" w:color="auto"/>
      </w:divBdr>
      <w:divsChild>
        <w:div w:id="1066731747">
          <w:marLeft w:val="0"/>
          <w:marRight w:val="0"/>
          <w:marTop w:val="0"/>
          <w:marBottom w:val="0"/>
          <w:divBdr>
            <w:top w:val="none" w:sz="0" w:space="0" w:color="auto"/>
            <w:left w:val="none" w:sz="0" w:space="0" w:color="auto"/>
            <w:bottom w:val="none" w:sz="0" w:space="0" w:color="auto"/>
            <w:right w:val="none" w:sz="0" w:space="0" w:color="auto"/>
          </w:divBdr>
          <w:divsChild>
            <w:div w:id="240262021">
              <w:marLeft w:val="0"/>
              <w:marRight w:val="0"/>
              <w:marTop w:val="0"/>
              <w:marBottom w:val="0"/>
              <w:divBdr>
                <w:top w:val="none" w:sz="0" w:space="0" w:color="auto"/>
                <w:left w:val="none" w:sz="0" w:space="0" w:color="auto"/>
                <w:bottom w:val="none" w:sz="0" w:space="0" w:color="auto"/>
                <w:right w:val="none" w:sz="0" w:space="0" w:color="auto"/>
              </w:divBdr>
            </w:div>
          </w:divsChild>
        </w:div>
        <w:div w:id="160628969">
          <w:marLeft w:val="0"/>
          <w:marRight w:val="0"/>
          <w:marTop w:val="0"/>
          <w:marBottom w:val="0"/>
          <w:divBdr>
            <w:top w:val="none" w:sz="0" w:space="0" w:color="auto"/>
            <w:left w:val="none" w:sz="0" w:space="0" w:color="auto"/>
            <w:bottom w:val="none" w:sz="0" w:space="0" w:color="auto"/>
            <w:right w:val="none" w:sz="0" w:space="0" w:color="auto"/>
          </w:divBdr>
        </w:div>
        <w:div w:id="1337537367">
          <w:marLeft w:val="0"/>
          <w:marRight w:val="0"/>
          <w:marTop w:val="0"/>
          <w:marBottom w:val="0"/>
          <w:divBdr>
            <w:top w:val="none" w:sz="0" w:space="0" w:color="auto"/>
            <w:left w:val="none" w:sz="0" w:space="0" w:color="auto"/>
            <w:bottom w:val="none" w:sz="0" w:space="0" w:color="auto"/>
            <w:right w:val="none" w:sz="0" w:space="0" w:color="auto"/>
          </w:divBdr>
        </w:div>
      </w:divsChild>
    </w:div>
    <w:div w:id="477039764">
      <w:bodyDiv w:val="1"/>
      <w:marLeft w:val="0"/>
      <w:marRight w:val="0"/>
      <w:marTop w:val="0"/>
      <w:marBottom w:val="0"/>
      <w:divBdr>
        <w:top w:val="none" w:sz="0" w:space="0" w:color="auto"/>
        <w:left w:val="none" w:sz="0" w:space="0" w:color="auto"/>
        <w:bottom w:val="none" w:sz="0" w:space="0" w:color="auto"/>
        <w:right w:val="none" w:sz="0" w:space="0" w:color="auto"/>
      </w:divBdr>
    </w:div>
    <w:div w:id="480853781">
      <w:bodyDiv w:val="1"/>
      <w:marLeft w:val="0"/>
      <w:marRight w:val="0"/>
      <w:marTop w:val="0"/>
      <w:marBottom w:val="0"/>
      <w:divBdr>
        <w:top w:val="none" w:sz="0" w:space="0" w:color="auto"/>
        <w:left w:val="none" w:sz="0" w:space="0" w:color="auto"/>
        <w:bottom w:val="none" w:sz="0" w:space="0" w:color="auto"/>
        <w:right w:val="none" w:sz="0" w:space="0" w:color="auto"/>
      </w:divBdr>
    </w:div>
    <w:div w:id="483814183">
      <w:bodyDiv w:val="1"/>
      <w:marLeft w:val="0"/>
      <w:marRight w:val="0"/>
      <w:marTop w:val="0"/>
      <w:marBottom w:val="0"/>
      <w:divBdr>
        <w:top w:val="none" w:sz="0" w:space="0" w:color="auto"/>
        <w:left w:val="none" w:sz="0" w:space="0" w:color="auto"/>
        <w:bottom w:val="none" w:sz="0" w:space="0" w:color="auto"/>
        <w:right w:val="none" w:sz="0" w:space="0" w:color="auto"/>
      </w:divBdr>
    </w:div>
    <w:div w:id="493030313">
      <w:bodyDiv w:val="1"/>
      <w:marLeft w:val="0"/>
      <w:marRight w:val="0"/>
      <w:marTop w:val="0"/>
      <w:marBottom w:val="0"/>
      <w:divBdr>
        <w:top w:val="none" w:sz="0" w:space="0" w:color="auto"/>
        <w:left w:val="none" w:sz="0" w:space="0" w:color="auto"/>
        <w:bottom w:val="none" w:sz="0" w:space="0" w:color="auto"/>
        <w:right w:val="none" w:sz="0" w:space="0" w:color="auto"/>
      </w:divBdr>
    </w:div>
    <w:div w:id="512065489">
      <w:bodyDiv w:val="1"/>
      <w:marLeft w:val="0"/>
      <w:marRight w:val="0"/>
      <w:marTop w:val="0"/>
      <w:marBottom w:val="0"/>
      <w:divBdr>
        <w:top w:val="none" w:sz="0" w:space="0" w:color="auto"/>
        <w:left w:val="none" w:sz="0" w:space="0" w:color="auto"/>
        <w:bottom w:val="none" w:sz="0" w:space="0" w:color="auto"/>
        <w:right w:val="none" w:sz="0" w:space="0" w:color="auto"/>
      </w:divBdr>
    </w:div>
    <w:div w:id="513613519">
      <w:bodyDiv w:val="1"/>
      <w:marLeft w:val="0"/>
      <w:marRight w:val="0"/>
      <w:marTop w:val="0"/>
      <w:marBottom w:val="0"/>
      <w:divBdr>
        <w:top w:val="none" w:sz="0" w:space="0" w:color="auto"/>
        <w:left w:val="none" w:sz="0" w:space="0" w:color="auto"/>
        <w:bottom w:val="none" w:sz="0" w:space="0" w:color="auto"/>
        <w:right w:val="none" w:sz="0" w:space="0" w:color="auto"/>
      </w:divBdr>
    </w:div>
    <w:div w:id="520552897">
      <w:bodyDiv w:val="1"/>
      <w:marLeft w:val="0"/>
      <w:marRight w:val="0"/>
      <w:marTop w:val="0"/>
      <w:marBottom w:val="0"/>
      <w:divBdr>
        <w:top w:val="none" w:sz="0" w:space="0" w:color="auto"/>
        <w:left w:val="none" w:sz="0" w:space="0" w:color="auto"/>
        <w:bottom w:val="none" w:sz="0" w:space="0" w:color="auto"/>
        <w:right w:val="none" w:sz="0" w:space="0" w:color="auto"/>
      </w:divBdr>
    </w:div>
    <w:div w:id="530923245">
      <w:bodyDiv w:val="1"/>
      <w:marLeft w:val="0"/>
      <w:marRight w:val="0"/>
      <w:marTop w:val="0"/>
      <w:marBottom w:val="0"/>
      <w:divBdr>
        <w:top w:val="none" w:sz="0" w:space="0" w:color="auto"/>
        <w:left w:val="none" w:sz="0" w:space="0" w:color="auto"/>
        <w:bottom w:val="none" w:sz="0" w:space="0" w:color="auto"/>
        <w:right w:val="none" w:sz="0" w:space="0" w:color="auto"/>
      </w:divBdr>
      <w:divsChild>
        <w:div w:id="141047814">
          <w:marLeft w:val="0"/>
          <w:marRight w:val="0"/>
          <w:marTop w:val="0"/>
          <w:marBottom w:val="0"/>
          <w:divBdr>
            <w:top w:val="none" w:sz="0" w:space="0" w:color="auto"/>
            <w:left w:val="none" w:sz="0" w:space="0" w:color="auto"/>
            <w:bottom w:val="none" w:sz="0" w:space="0" w:color="auto"/>
            <w:right w:val="none" w:sz="0" w:space="0" w:color="auto"/>
          </w:divBdr>
          <w:divsChild>
            <w:div w:id="1592465770">
              <w:marLeft w:val="0"/>
              <w:marRight w:val="0"/>
              <w:marTop w:val="0"/>
              <w:marBottom w:val="0"/>
              <w:divBdr>
                <w:top w:val="none" w:sz="0" w:space="0" w:color="auto"/>
                <w:left w:val="none" w:sz="0" w:space="0" w:color="auto"/>
                <w:bottom w:val="none" w:sz="0" w:space="0" w:color="auto"/>
                <w:right w:val="none" w:sz="0" w:space="0" w:color="auto"/>
              </w:divBdr>
              <w:divsChild>
                <w:div w:id="121958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02538">
          <w:marLeft w:val="0"/>
          <w:marRight w:val="0"/>
          <w:marTop w:val="0"/>
          <w:marBottom w:val="0"/>
          <w:divBdr>
            <w:top w:val="none" w:sz="0" w:space="0" w:color="auto"/>
            <w:left w:val="none" w:sz="0" w:space="0" w:color="auto"/>
            <w:bottom w:val="none" w:sz="0" w:space="0" w:color="auto"/>
            <w:right w:val="none" w:sz="0" w:space="0" w:color="auto"/>
          </w:divBdr>
          <w:divsChild>
            <w:div w:id="1327048214">
              <w:marLeft w:val="0"/>
              <w:marRight w:val="0"/>
              <w:marTop w:val="0"/>
              <w:marBottom w:val="0"/>
              <w:divBdr>
                <w:top w:val="none" w:sz="0" w:space="0" w:color="auto"/>
                <w:left w:val="none" w:sz="0" w:space="0" w:color="auto"/>
                <w:bottom w:val="none" w:sz="0" w:space="0" w:color="auto"/>
                <w:right w:val="none" w:sz="0" w:space="0" w:color="auto"/>
              </w:divBdr>
              <w:divsChild>
                <w:div w:id="485122894">
                  <w:marLeft w:val="0"/>
                  <w:marRight w:val="0"/>
                  <w:marTop w:val="0"/>
                  <w:marBottom w:val="0"/>
                  <w:divBdr>
                    <w:top w:val="none" w:sz="0" w:space="0" w:color="auto"/>
                    <w:left w:val="none" w:sz="0" w:space="0" w:color="auto"/>
                    <w:bottom w:val="none" w:sz="0" w:space="0" w:color="auto"/>
                    <w:right w:val="none" w:sz="0" w:space="0" w:color="auto"/>
                  </w:divBdr>
                  <w:divsChild>
                    <w:div w:id="162334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316360">
      <w:bodyDiv w:val="1"/>
      <w:marLeft w:val="0"/>
      <w:marRight w:val="0"/>
      <w:marTop w:val="0"/>
      <w:marBottom w:val="0"/>
      <w:divBdr>
        <w:top w:val="none" w:sz="0" w:space="0" w:color="auto"/>
        <w:left w:val="none" w:sz="0" w:space="0" w:color="auto"/>
        <w:bottom w:val="none" w:sz="0" w:space="0" w:color="auto"/>
        <w:right w:val="none" w:sz="0" w:space="0" w:color="auto"/>
      </w:divBdr>
    </w:div>
    <w:div w:id="556165048">
      <w:bodyDiv w:val="1"/>
      <w:marLeft w:val="0"/>
      <w:marRight w:val="0"/>
      <w:marTop w:val="0"/>
      <w:marBottom w:val="0"/>
      <w:divBdr>
        <w:top w:val="none" w:sz="0" w:space="0" w:color="auto"/>
        <w:left w:val="none" w:sz="0" w:space="0" w:color="auto"/>
        <w:bottom w:val="none" w:sz="0" w:space="0" w:color="auto"/>
        <w:right w:val="none" w:sz="0" w:space="0" w:color="auto"/>
      </w:divBdr>
    </w:div>
    <w:div w:id="558828372">
      <w:bodyDiv w:val="1"/>
      <w:marLeft w:val="0"/>
      <w:marRight w:val="0"/>
      <w:marTop w:val="0"/>
      <w:marBottom w:val="0"/>
      <w:divBdr>
        <w:top w:val="none" w:sz="0" w:space="0" w:color="auto"/>
        <w:left w:val="none" w:sz="0" w:space="0" w:color="auto"/>
        <w:bottom w:val="none" w:sz="0" w:space="0" w:color="auto"/>
        <w:right w:val="none" w:sz="0" w:space="0" w:color="auto"/>
      </w:divBdr>
      <w:divsChild>
        <w:div w:id="1126043991">
          <w:marLeft w:val="0"/>
          <w:marRight w:val="0"/>
          <w:marTop w:val="0"/>
          <w:marBottom w:val="0"/>
          <w:divBdr>
            <w:top w:val="none" w:sz="0" w:space="0" w:color="auto"/>
            <w:left w:val="none" w:sz="0" w:space="0" w:color="auto"/>
            <w:bottom w:val="none" w:sz="0" w:space="0" w:color="auto"/>
            <w:right w:val="none" w:sz="0" w:space="0" w:color="auto"/>
          </w:divBdr>
          <w:divsChild>
            <w:div w:id="972490057">
              <w:marLeft w:val="0"/>
              <w:marRight w:val="0"/>
              <w:marTop w:val="0"/>
              <w:marBottom w:val="0"/>
              <w:divBdr>
                <w:top w:val="none" w:sz="0" w:space="0" w:color="auto"/>
                <w:left w:val="none" w:sz="0" w:space="0" w:color="auto"/>
                <w:bottom w:val="none" w:sz="0" w:space="0" w:color="auto"/>
                <w:right w:val="none" w:sz="0" w:space="0" w:color="auto"/>
              </w:divBdr>
              <w:divsChild>
                <w:div w:id="136617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223804">
          <w:marLeft w:val="0"/>
          <w:marRight w:val="0"/>
          <w:marTop w:val="0"/>
          <w:marBottom w:val="0"/>
          <w:divBdr>
            <w:top w:val="none" w:sz="0" w:space="0" w:color="auto"/>
            <w:left w:val="none" w:sz="0" w:space="0" w:color="auto"/>
            <w:bottom w:val="none" w:sz="0" w:space="0" w:color="auto"/>
            <w:right w:val="none" w:sz="0" w:space="0" w:color="auto"/>
          </w:divBdr>
          <w:divsChild>
            <w:div w:id="1323779880">
              <w:marLeft w:val="0"/>
              <w:marRight w:val="0"/>
              <w:marTop w:val="0"/>
              <w:marBottom w:val="0"/>
              <w:divBdr>
                <w:top w:val="none" w:sz="0" w:space="0" w:color="auto"/>
                <w:left w:val="none" w:sz="0" w:space="0" w:color="auto"/>
                <w:bottom w:val="none" w:sz="0" w:space="0" w:color="auto"/>
                <w:right w:val="none" w:sz="0" w:space="0" w:color="auto"/>
              </w:divBdr>
              <w:divsChild>
                <w:div w:id="1594049846">
                  <w:marLeft w:val="0"/>
                  <w:marRight w:val="0"/>
                  <w:marTop w:val="0"/>
                  <w:marBottom w:val="0"/>
                  <w:divBdr>
                    <w:top w:val="none" w:sz="0" w:space="0" w:color="auto"/>
                    <w:left w:val="none" w:sz="0" w:space="0" w:color="auto"/>
                    <w:bottom w:val="none" w:sz="0" w:space="0" w:color="auto"/>
                    <w:right w:val="none" w:sz="0" w:space="0" w:color="auto"/>
                  </w:divBdr>
                  <w:divsChild>
                    <w:div w:id="104243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102257">
      <w:bodyDiv w:val="1"/>
      <w:marLeft w:val="0"/>
      <w:marRight w:val="0"/>
      <w:marTop w:val="0"/>
      <w:marBottom w:val="0"/>
      <w:divBdr>
        <w:top w:val="none" w:sz="0" w:space="0" w:color="auto"/>
        <w:left w:val="none" w:sz="0" w:space="0" w:color="auto"/>
        <w:bottom w:val="none" w:sz="0" w:space="0" w:color="auto"/>
        <w:right w:val="none" w:sz="0" w:space="0" w:color="auto"/>
      </w:divBdr>
    </w:div>
    <w:div w:id="564415067">
      <w:bodyDiv w:val="1"/>
      <w:marLeft w:val="0"/>
      <w:marRight w:val="0"/>
      <w:marTop w:val="0"/>
      <w:marBottom w:val="0"/>
      <w:divBdr>
        <w:top w:val="none" w:sz="0" w:space="0" w:color="auto"/>
        <w:left w:val="none" w:sz="0" w:space="0" w:color="auto"/>
        <w:bottom w:val="none" w:sz="0" w:space="0" w:color="auto"/>
        <w:right w:val="none" w:sz="0" w:space="0" w:color="auto"/>
      </w:divBdr>
    </w:div>
    <w:div w:id="569273217">
      <w:bodyDiv w:val="1"/>
      <w:marLeft w:val="0"/>
      <w:marRight w:val="0"/>
      <w:marTop w:val="0"/>
      <w:marBottom w:val="0"/>
      <w:divBdr>
        <w:top w:val="none" w:sz="0" w:space="0" w:color="auto"/>
        <w:left w:val="none" w:sz="0" w:space="0" w:color="auto"/>
        <w:bottom w:val="none" w:sz="0" w:space="0" w:color="auto"/>
        <w:right w:val="none" w:sz="0" w:space="0" w:color="auto"/>
      </w:divBdr>
    </w:div>
    <w:div w:id="573857891">
      <w:bodyDiv w:val="1"/>
      <w:marLeft w:val="0"/>
      <w:marRight w:val="0"/>
      <w:marTop w:val="0"/>
      <w:marBottom w:val="0"/>
      <w:divBdr>
        <w:top w:val="none" w:sz="0" w:space="0" w:color="auto"/>
        <w:left w:val="none" w:sz="0" w:space="0" w:color="auto"/>
        <w:bottom w:val="none" w:sz="0" w:space="0" w:color="auto"/>
        <w:right w:val="none" w:sz="0" w:space="0" w:color="auto"/>
      </w:divBdr>
    </w:div>
    <w:div w:id="581334767">
      <w:bodyDiv w:val="1"/>
      <w:marLeft w:val="0"/>
      <w:marRight w:val="0"/>
      <w:marTop w:val="0"/>
      <w:marBottom w:val="0"/>
      <w:divBdr>
        <w:top w:val="none" w:sz="0" w:space="0" w:color="auto"/>
        <w:left w:val="none" w:sz="0" w:space="0" w:color="auto"/>
        <w:bottom w:val="none" w:sz="0" w:space="0" w:color="auto"/>
        <w:right w:val="none" w:sz="0" w:space="0" w:color="auto"/>
      </w:divBdr>
    </w:div>
    <w:div w:id="592932426">
      <w:bodyDiv w:val="1"/>
      <w:marLeft w:val="0"/>
      <w:marRight w:val="0"/>
      <w:marTop w:val="0"/>
      <w:marBottom w:val="0"/>
      <w:divBdr>
        <w:top w:val="none" w:sz="0" w:space="0" w:color="auto"/>
        <w:left w:val="none" w:sz="0" w:space="0" w:color="auto"/>
        <w:bottom w:val="none" w:sz="0" w:space="0" w:color="auto"/>
        <w:right w:val="none" w:sz="0" w:space="0" w:color="auto"/>
      </w:divBdr>
      <w:divsChild>
        <w:div w:id="1203590061">
          <w:marLeft w:val="0"/>
          <w:marRight w:val="0"/>
          <w:marTop w:val="0"/>
          <w:marBottom w:val="0"/>
          <w:divBdr>
            <w:top w:val="none" w:sz="0" w:space="0" w:color="auto"/>
            <w:left w:val="none" w:sz="0" w:space="0" w:color="auto"/>
            <w:bottom w:val="none" w:sz="0" w:space="0" w:color="auto"/>
            <w:right w:val="none" w:sz="0" w:space="0" w:color="auto"/>
          </w:divBdr>
          <w:divsChild>
            <w:div w:id="794104395">
              <w:marLeft w:val="0"/>
              <w:marRight w:val="0"/>
              <w:marTop w:val="0"/>
              <w:marBottom w:val="0"/>
              <w:divBdr>
                <w:top w:val="none" w:sz="0" w:space="0" w:color="auto"/>
                <w:left w:val="none" w:sz="0" w:space="0" w:color="auto"/>
                <w:bottom w:val="none" w:sz="0" w:space="0" w:color="auto"/>
                <w:right w:val="none" w:sz="0" w:space="0" w:color="auto"/>
              </w:divBdr>
              <w:divsChild>
                <w:div w:id="99996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788753">
          <w:marLeft w:val="0"/>
          <w:marRight w:val="0"/>
          <w:marTop w:val="0"/>
          <w:marBottom w:val="0"/>
          <w:divBdr>
            <w:top w:val="none" w:sz="0" w:space="0" w:color="auto"/>
            <w:left w:val="none" w:sz="0" w:space="0" w:color="auto"/>
            <w:bottom w:val="none" w:sz="0" w:space="0" w:color="auto"/>
            <w:right w:val="none" w:sz="0" w:space="0" w:color="auto"/>
          </w:divBdr>
          <w:divsChild>
            <w:div w:id="1510366056">
              <w:marLeft w:val="0"/>
              <w:marRight w:val="0"/>
              <w:marTop w:val="0"/>
              <w:marBottom w:val="0"/>
              <w:divBdr>
                <w:top w:val="none" w:sz="0" w:space="0" w:color="auto"/>
                <w:left w:val="none" w:sz="0" w:space="0" w:color="auto"/>
                <w:bottom w:val="none" w:sz="0" w:space="0" w:color="auto"/>
                <w:right w:val="none" w:sz="0" w:space="0" w:color="auto"/>
              </w:divBdr>
              <w:divsChild>
                <w:div w:id="866797038">
                  <w:marLeft w:val="0"/>
                  <w:marRight w:val="0"/>
                  <w:marTop w:val="0"/>
                  <w:marBottom w:val="0"/>
                  <w:divBdr>
                    <w:top w:val="none" w:sz="0" w:space="0" w:color="auto"/>
                    <w:left w:val="none" w:sz="0" w:space="0" w:color="auto"/>
                    <w:bottom w:val="none" w:sz="0" w:space="0" w:color="auto"/>
                    <w:right w:val="none" w:sz="0" w:space="0" w:color="auto"/>
                  </w:divBdr>
                  <w:divsChild>
                    <w:div w:id="66894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287904">
      <w:bodyDiv w:val="1"/>
      <w:marLeft w:val="0"/>
      <w:marRight w:val="0"/>
      <w:marTop w:val="0"/>
      <w:marBottom w:val="0"/>
      <w:divBdr>
        <w:top w:val="none" w:sz="0" w:space="0" w:color="auto"/>
        <w:left w:val="none" w:sz="0" w:space="0" w:color="auto"/>
        <w:bottom w:val="none" w:sz="0" w:space="0" w:color="auto"/>
        <w:right w:val="none" w:sz="0" w:space="0" w:color="auto"/>
      </w:divBdr>
    </w:div>
    <w:div w:id="605819409">
      <w:bodyDiv w:val="1"/>
      <w:marLeft w:val="0"/>
      <w:marRight w:val="0"/>
      <w:marTop w:val="0"/>
      <w:marBottom w:val="0"/>
      <w:divBdr>
        <w:top w:val="none" w:sz="0" w:space="0" w:color="auto"/>
        <w:left w:val="none" w:sz="0" w:space="0" w:color="auto"/>
        <w:bottom w:val="none" w:sz="0" w:space="0" w:color="auto"/>
        <w:right w:val="none" w:sz="0" w:space="0" w:color="auto"/>
      </w:divBdr>
    </w:div>
    <w:div w:id="618993188">
      <w:bodyDiv w:val="1"/>
      <w:marLeft w:val="0"/>
      <w:marRight w:val="0"/>
      <w:marTop w:val="0"/>
      <w:marBottom w:val="0"/>
      <w:divBdr>
        <w:top w:val="none" w:sz="0" w:space="0" w:color="auto"/>
        <w:left w:val="none" w:sz="0" w:space="0" w:color="auto"/>
        <w:bottom w:val="none" w:sz="0" w:space="0" w:color="auto"/>
        <w:right w:val="none" w:sz="0" w:space="0" w:color="auto"/>
      </w:divBdr>
    </w:div>
    <w:div w:id="624236639">
      <w:bodyDiv w:val="1"/>
      <w:marLeft w:val="0"/>
      <w:marRight w:val="0"/>
      <w:marTop w:val="0"/>
      <w:marBottom w:val="0"/>
      <w:divBdr>
        <w:top w:val="none" w:sz="0" w:space="0" w:color="auto"/>
        <w:left w:val="none" w:sz="0" w:space="0" w:color="auto"/>
        <w:bottom w:val="none" w:sz="0" w:space="0" w:color="auto"/>
        <w:right w:val="none" w:sz="0" w:space="0" w:color="auto"/>
      </w:divBdr>
    </w:div>
    <w:div w:id="630325582">
      <w:bodyDiv w:val="1"/>
      <w:marLeft w:val="0"/>
      <w:marRight w:val="0"/>
      <w:marTop w:val="0"/>
      <w:marBottom w:val="0"/>
      <w:divBdr>
        <w:top w:val="none" w:sz="0" w:space="0" w:color="auto"/>
        <w:left w:val="none" w:sz="0" w:space="0" w:color="auto"/>
        <w:bottom w:val="none" w:sz="0" w:space="0" w:color="auto"/>
        <w:right w:val="none" w:sz="0" w:space="0" w:color="auto"/>
      </w:divBdr>
    </w:div>
    <w:div w:id="644896639">
      <w:bodyDiv w:val="1"/>
      <w:marLeft w:val="0"/>
      <w:marRight w:val="0"/>
      <w:marTop w:val="0"/>
      <w:marBottom w:val="0"/>
      <w:divBdr>
        <w:top w:val="none" w:sz="0" w:space="0" w:color="auto"/>
        <w:left w:val="none" w:sz="0" w:space="0" w:color="auto"/>
        <w:bottom w:val="none" w:sz="0" w:space="0" w:color="auto"/>
        <w:right w:val="none" w:sz="0" w:space="0" w:color="auto"/>
      </w:divBdr>
    </w:div>
    <w:div w:id="646515638">
      <w:bodyDiv w:val="1"/>
      <w:marLeft w:val="0"/>
      <w:marRight w:val="0"/>
      <w:marTop w:val="0"/>
      <w:marBottom w:val="0"/>
      <w:divBdr>
        <w:top w:val="none" w:sz="0" w:space="0" w:color="auto"/>
        <w:left w:val="none" w:sz="0" w:space="0" w:color="auto"/>
        <w:bottom w:val="none" w:sz="0" w:space="0" w:color="auto"/>
        <w:right w:val="none" w:sz="0" w:space="0" w:color="auto"/>
      </w:divBdr>
    </w:div>
    <w:div w:id="649679779">
      <w:bodyDiv w:val="1"/>
      <w:marLeft w:val="0"/>
      <w:marRight w:val="0"/>
      <w:marTop w:val="0"/>
      <w:marBottom w:val="0"/>
      <w:divBdr>
        <w:top w:val="none" w:sz="0" w:space="0" w:color="auto"/>
        <w:left w:val="none" w:sz="0" w:space="0" w:color="auto"/>
        <w:bottom w:val="none" w:sz="0" w:space="0" w:color="auto"/>
        <w:right w:val="none" w:sz="0" w:space="0" w:color="auto"/>
      </w:divBdr>
    </w:div>
    <w:div w:id="670832380">
      <w:bodyDiv w:val="1"/>
      <w:marLeft w:val="0"/>
      <w:marRight w:val="0"/>
      <w:marTop w:val="0"/>
      <w:marBottom w:val="0"/>
      <w:divBdr>
        <w:top w:val="none" w:sz="0" w:space="0" w:color="auto"/>
        <w:left w:val="none" w:sz="0" w:space="0" w:color="auto"/>
        <w:bottom w:val="none" w:sz="0" w:space="0" w:color="auto"/>
        <w:right w:val="none" w:sz="0" w:space="0" w:color="auto"/>
      </w:divBdr>
    </w:div>
    <w:div w:id="684944697">
      <w:bodyDiv w:val="1"/>
      <w:marLeft w:val="0"/>
      <w:marRight w:val="0"/>
      <w:marTop w:val="0"/>
      <w:marBottom w:val="0"/>
      <w:divBdr>
        <w:top w:val="none" w:sz="0" w:space="0" w:color="auto"/>
        <w:left w:val="none" w:sz="0" w:space="0" w:color="auto"/>
        <w:bottom w:val="none" w:sz="0" w:space="0" w:color="auto"/>
        <w:right w:val="none" w:sz="0" w:space="0" w:color="auto"/>
      </w:divBdr>
    </w:div>
    <w:div w:id="687873555">
      <w:bodyDiv w:val="1"/>
      <w:marLeft w:val="0"/>
      <w:marRight w:val="0"/>
      <w:marTop w:val="0"/>
      <w:marBottom w:val="0"/>
      <w:divBdr>
        <w:top w:val="none" w:sz="0" w:space="0" w:color="auto"/>
        <w:left w:val="none" w:sz="0" w:space="0" w:color="auto"/>
        <w:bottom w:val="none" w:sz="0" w:space="0" w:color="auto"/>
        <w:right w:val="none" w:sz="0" w:space="0" w:color="auto"/>
      </w:divBdr>
    </w:div>
    <w:div w:id="691342280">
      <w:bodyDiv w:val="1"/>
      <w:marLeft w:val="0"/>
      <w:marRight w:val="0"/>
      <w:marTop w:val="0"/>
      <w:marBottom w:val="0"/>
      <w:divBdr>
        <w:top w:val="none" w:sz="0" w:space="0" w:color="auto"/>
        <w:left w:val="none" w:sz="0" w:space="0" w:color="auto"/>
        <w:bottom w:val="none" w:sz="0" w:space="0" w:color="auto"/>
        <w:right w:val="none" w:sz="0" w:space="0" w:color="auto"/>
      </w:divBdr>
    </w:div>
    <w:div w:id="697005288">
      <w:bodyDiv w:val="1"/>
      <w:marLeft w:val="0"/>
      <w:marRight w:val="0"/>
      <w:marTop w:val="0"/>
      <w:marBottom w:val="0"/>
      <w:divBdr>
        <w:top w:val="none" w:sz="0" w:space="0" w:color="auto"/>
        <w:left w:val="none" w:sz="0" w:space="0" w:color="auto"/>
        <w:bottom w:val="none" w:sz="0" w:space="0" w:color="auto"/>
        <w:right w:val="none" w:sz="0" w:space="0" w:color="auto"/>
      </w:divBdr>
    </w:div>
    <w:div w:id="731195083">
      <w:bodyDiv w:val="1"/>
      <w:marLeft w:val="0"/>
      <w:marRight w:val="0"/>
      <w:marTop w:val="0"/>
      <w:marBottom w:val="0"/>
      <w:divBdr>
        <w:top w:val="none" w:sz="0" w:space="0" w:color="auto"/>
        <w:left w:val="none" w:sz="0" w:space="0" w:color="auto"/>
        <w:bottom w:val="none" w:sz="0" w:space="0" w:color="auto"/>
        <w:right w:val="none" w:sz="0" w:space="0" w:color="auto"/>
      </w:divBdr>
    </w:div>
    <w:div w:id="731272697">
      <w:bodyDiv w:val="1"/>
      <w:marLeft w:val="0"/>
      <w:marRight w:val="0"/>
      <w:marTop w:val="0"/>
      <w:marBottom w:val="0"/>
      <w:divBdr>
        <w:top w:val="none" w:sz="0" w:space="0" w:color="auto"/>
        <w:left w:val="none" w:sz="0" w:space="0" w:color="auto"/>
        <w:bottom w:val="none" w:sz="0" w:space="0" w:color="auto"/>
        <w:right w:val="none" w:sz="0" w:space="0" w:color="auto"/>
      </w:divBdr>
    </w:div>
    <w:div w:id="732628647">
      <w:bodyDiv w:val="1"/>
      <w:marLeft w:val="0"/>
      <w:marRight w:val="0"/>
      <w:marTop w:val="0"/>
      <w:marBottom w:val="0"/>
      <w:divBdr>
        <w:top w:val="none" w:sz="0" w:space="0" w:color="auto"/>
        <w:left w:val="none" w:sz="0" w:space="0" w:color="auto"/>
        <w:bottom w:val="none" w:sz="0" w:space="0" w:color="auto"/>
        <w:right w:val="none" w:sz="0" w:space="0" w:color="auto"/>
      </w:divBdr>
    </w:div>
    <w:div w:id="737169450">
      <w:bodyDiv w:val="1"/>
      <w:marLeft w:val="0"/>
      <w:marRight w:val="0"/>
      <w:marTop w:val="0"/>
      <w:marBottom w:val="0"/>
      <w:divBdr>
        <w:top w:val="none" w:sz="0" w:space="0" w:color="auto"/>
        <w:left w:val="none" w:sz="0" w:space="0" w:color="auto"/>
        <w:bottom w:val="none" w:sz="0" w:space="0" w:color="auto"/>
        <w:right w:val="none" w:sz="0" w:space="0" w:color="auto"/>
      </w:divBdr>
    </w:div>
    <w:div w:id="737749888">
      <w:bodyDiv w:val="1"/>
      <w:marLeft w:val="0"/>
      <w:marRight w:val="0"/>
      <w:marTop w:val="0"/>
      <w:marBottom w:val="0"/>
      <w:divBdr>
        <w:top w:val="none" w:sz="0" w:space="0" w:color="auto"/>
        <w:left w:val="none" w:sz="0" w:space="0" w:color="auto"/>
        <w:bottom w:val="none" w:sz="0" w:space="0" w:color="auto"/>
        <w:right w:val="none" w:sz="0" w:space="0" w:color="auto"/>
      </w:divBdr>
      <w:divsChild>
        <w:div w:id="55707796">
          <w:marLeft w:val="0"/>
          <w:marRight w:val="0"/>
          <w:marTop w:val="0"/>
          <w:marBottom w:val="0"/>
          <w:divBdr>
            <w:top w:val="none" w:sz="0" w:space="0" w:color="auto"/>
            <w:left w:val="none" w:sz="0" w:space="0" w:color="auto"/>
            <w:bottom w:val="none" w:sz="0" w:space="0" w:color="auto"/>
            <w:right w:val="none" w:sz="0" w:space="0" w:color="auto"/>
          </w:divBdr>
          <w:divsChild>
            <w:div w:id="1271618897">
              <w:marLeft w:val="0"/>
              <w:marRight w:val="0"/>
              <w:marTop w:val="0"/>
              <w:marBottom w:val="0"/>
              <w:divBdr>
                <w:top w:val="none" w:sz="0" w:space="0" w:color="auto"/>
                <w:left w:val="none" w:sz="0" w:space="0" w:color="auto"/>
                <w:bottom w:val="none" w:sz="0" w:space="0" w:color="auto"/>
                <w:right w:val="none" w:sz="0" w:space="0" w:color="auto"/>
              </w:divBdr>
              <w:divsChild>
                <w:div w:id="57639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401460">
      <w:bodyDiv w:val="1"/>
      <w:marLeft w:val="0"/>
      <w:marRight w:val="0"/>
      <w:marTop w:val="0"/>
      <w:marBottom w:val="0"/>
      <w:divBdr>
        <w:top w:val="none" w:sz="0" w:space="0" w:color="auto"/>
        <w:left w:val="none" w:sz="0" w:space="0" w:color="auto"/>
        <w:bottom w:val="none" w:sz="0" w:space="0" w:color="auto"/>
        <w:right w:val="none" w:sz="0" w:space="0" w:color="auto"/>
      </w:divBdr>
    </w:div>
    <w:div w:id="757100914">
      <w:bodyDiv w:val="1"/>
      <w:marLeft w:val="0"/>
      <w:marRight w:val="0"/>
      <w:marTop w:val="0"/>
      <w:marBottom w:val="0"/>
      <w:divBdr>
        <w:top w:val="none" w:sz="0" w:space="0" w:color="auto"/>
        <w:left w:val="none" w:sz="0" w:space="0" w:color="auto"/>
        <w:bottom w:val="none" w:sz="0" w:space="0" w:color="auto"/>
        <w:right w:val="none" w:sz="0" w:space="0" w:color="auto"/>
      </w:divBdr>
    </w:div>
    <w:div w:id="764808164">
      <w:bodyDiv w:val="1"/>
      <w:marLeft w:val="0"/>
      <w:marRight w:val="0"/>
      <w:marTop w:val="0"/>
      <w:marBottom w:val="0"/>
      <w:divBdr>
        <w:top w:val="none" w:sz="0" w:space="0" w:color="auto"/>
        <w:left w:val="none" w:sz="0" w:space="0" w:color="auto"/>
        <w:bottom w:val="none" w:sz="0" w:space="0" w:color="auto"/>
        <w:right w:val="none" w:sz="0" w:space="0" w:color="auto"/>
      </w:divBdr>
    </w:div>
    <w:div w:id="766731740">
      <w:bodyDiv w:val="1"/>
      <w:marLeft w:val="0"/>
      <w:marRight w:val="0"/>
      <w:marTop w:val="0"/>
      <w:marBottom w:val="0"/>
      <w:divBdr>
        <w:top w:val="none" w:sz="0" w:space="0" w:color="auto"/>
        <w:left w:val="none" w:sz="0" w:space="0" w:color="auto"/>
        <w:bottom w:val="none" w:sz="0" w:space="0" w:color="auto"/>
        <w:right w:val="none" w:sz="0" w:space="0" w:color="auto"/>
      </w:divBdr>
    </w:div>
    <w:div w:id="769010218">
      <w:bodyDiv w:val="1"/>
      <w:marLeft w:val="0"/>
      <w:marRight w:val="0"/>
      <w:marTop w:val="0"/>
      <w:marBottom w:val="0"/>
      <w:divBdr>
        <w:top w:val="none" w:sz="0" w:space="0" w:color="auto"/>
        <w:left w:val="none" w:sz="0" w:space="0" w:color="auto"/>
        <w:bottom w:val="none" w:sz="0" w:space="0" w:color="auto"/>
        <w:right w:val="none" w:sz="0" w:space="0" w:color="auto"/>
      </w:divBdr>
    </w:div>
    <w:div w:id="774714003">
      <w:bodyDiv w:val="1"/>
      <w:marLeft w:val="0"/>
      <w:marRight w:val="0"/>
      <w:marTop w:val="0"/>
      <w:marBottom w:val="0"/>
      <w:divBdr>
        <w:top w:val="none" w:sz="0" w:space="0" w:color="auto"/>
        <w:left w:val="none" w:sz="0" w:space="0" w:color="auto"/>
        <w:bottom w:val="none" w:sz="0" w:space="0" w:color="auto"/>
        <w:right w:val="none" w:sz="0" w:space="0" w:color="auto"/>
      </w:divBdr>
    </w:div>
    <w:div w:id="792332817">
      <w:bodyDiv w:val="1"/>
      <w:marLeft w:val="0"/>
      <w:marRight w:val="0"/>
      <w:marTop w:val="0"/>
      <w:marBottom w:val="0"/>
      <w:divBdr>
        <w:top w:val="none" w:sz="0" w:space="0" w:color="auto"/>
        <w:left w:val="none" w:sz="0" w:space="0" w:color="auto"/>
        <w:bottom w:val="none" w:sz="0" w:space="0" w:color="auto"/>
        <w:right w:val="none" w:sz="0" w:space="0" w:color="auto"/>
      </w:divBdr>
    </w:div>
    <w:div w:id="794637567">
      <w:bodyDiv w:val="1"/>
      <w:marLeft w:val="0"/>
      <w:marRight w:val="0"/>
      <w:marTop w:val="0"/>
      <w:marBottom w:val="0"/>
      <w:divBdr>
        <w:top w:val="none" w:sz="0" w:space="0" w:color="auto"/>
        <w:left w:val="none" w:sz="0" w:space="0" w:color="auto"/>
        <w:bottom w:val="none" w:sz="0" w:space="0" w:color="auto"/>
        <w:right w:val="none" w:sz="0" w:space="0" w:color="auto"/>
      </w:divBdr>
    </w:div>
    <w:div w:id="794760094">
      <w:bodyDiv w:val="1"/>
      <w:marLeft w:val="0"/>
      <w:marRight w:val="0"/>
      <w:marTop w:val="0"/>
      <w:marBottom w:val="0"/>
      <w:divBdr>
        <w:top w:val="none" w:sz="0" w:space="0" w:color="auto"/>
        <w:left w:val="none" w:sz="0" w:space="0" w:color="auto"/>
        <w:bottom w:val="none" w:sz="0" w:space="0" w:color="auto"/>
        <w:right w:val="none" w:sz="0" w:space="0" w:color="auto"/>
      </w:divBdr>
    </w:div>
    <w:div w:id="797800390">
      <w:bodyDiv w:val="1"/>
      <w:marLeft w:val="0"/>
      <w:marRight w:val="0"/>
      <w:marTop w:val="0"/>
      <w:marBottom w:val="0"/>
      <w:divBdr>
        <w:top w:val="none" w:sz="0" w:space="0" w:color="auto"/>
        <w:left w:val="none" w:sz="0" w:space="0" w:color="auto"/>
        <w:bottom w:val="none" w:sz="0" w:space="0" w:color="auto"/>
        <w:right w:val="none" w:sz="0" w:space="0" w:color="auto"/>
      </w:divBdr>
    </w:div>
    <w:div w:id="801658741">
      <w:bodyDiv w:val="1"/>
      <w:marLeft w:val="0"/>
      <w:marRight w:val="0"/>
      <w:marTop w:val="0"/>
      <w:marBottom w:val="0"/>
      <w:divBdr>
        <w:top w:val="none" w:sz="0" w:space="0" w:color="auto"/>
        <w:left w:val="none" w:sz="0" w:space="0" w:color="auto"/>
        <w:bottom w:val="none" w:sz="0" w:space="0" w:color="auto"/>
        <w:right w:val="none" w:sz="0" w:space="0" w:color="auto"/>
      </w:divBdr>
    </w:div>
    <w:div w:id="805784595">
      <w:bodyDiv w:val="1"/>
      <w:marLeft w:val="0"/>
      <w:marRight w:val="0"/>
      <w:marTop w:val="0"/>
      <w:marBottom w:val="0"/>
      <w:divBdr>
        <w:top w:val="none" w:sz="0" w:space="0" w:color="auto"/>
        <w:left w:val="none" w:sz="0" w:space="0" w:color="auto"/>
        <w:bottom w:val="none" w:sz="0" w:space="0" w:color="auto"/>
        <w:right w:val="none" w:sz="0" w:space="0" w:color="auto"/>
      </w:divBdr>
    </w:div>
    <w:div w:id="809396403">
      <w:bodyDiv w:val="1"/>
      <w:marLeft w:val="0"/>
      <w:marRight w:val="0"/>
      <w:marTop w:val="0"/>
      <w:marBottom w:val="0"/>
      <w:divBdr>
        <w:top w:val="none" w:sz="0" w:space="0" w:color="auto"/>
        <w:left w:val="none" w:sz="0" w:space="0" w:color="auto"/>
        <w:bottom w:val="none" w:sz="0" w:space="0" w:color="auto"/>
        <w:right w:val="none" w:sz="0" w:space="0" w:color="auto"/>
      </w:divBdr>
    </w:div>
    <w:div w:id="812332255">
      <w:bodyDiv w:val="1"/>
      <w:marLeft w:val="0"/>
      <w:marRight w:val="0"/>
      <w:marTop w:val="0"/>
      <w:marBottom w:val="0"/>
      <w:divBdr>
        <w:top w:val="none" w:sz="0" w:space="0" w:color="auto"/>
        <w:left w:val="none" w:sz="0" w:space="0" w:color="auto"/>
        <w:bottom w:val="none" w:sz="0" w:space="0" w:color="auto"/>
        <w:right w:val="none" w:sz="0" w:space="0" w:color="auto"/>
      </w:divBdr>
    </w:div>
    <w:div w:id="816606508">
      <w:bodyDiv w:val="1"/>
      <w:marLeft w:val="0"/>
      <w:marRight w:val="0"/>
      <w:marTop w:val="0"/>
      <w:marBottom w:val="0"/>
      <w:divBdr>
        <w:top w:val="none" w:sz="0" w:space="0" w:color="auto"/>
        <w:left w:val="none" w:sz="0" w:space="0" w:color="auto"/>
        <w:bottom w:val="none" w:sz="0" w:space="0" w:color="auto"/>
        <w:right w:val="none" w:sz="0" w:space="0" w:color="auto"/>
      </w:divBdr>
    </w:div>
    <w:div w:id="837616078">
      <w:bodyDiv w:val="1"/>
      <w:marLeft w:val="0"/>
      <w:marRight w:val="0"/>
      <w:marTop w:val="0"/>
      <w:marBottom w:val="0"/>
      <w:divBdr>
        <w:top w:val="none" w:sz="0" w:space="0" w:color="auto"/>
        <w:left w:val="none" w:sz="0" w:space="0" w:color="auto"/>
        <w:bottom w:val="none" w:sz="0" w:space="0" w:color="auto"/>
        <w:right w:val="none" w:sz="0" w:space="0" w:color="auto"/>
      </w:divBdr>
    </w:div>
    <w:div w:id="843134422">
      <w:bodyDiv w:val="1"/>
      <w:marLeft w:val="0"/>
      <w:marRight w:val="0"/>
      <w:marTop w:val="0"/>
      <w:marBottom w:val="0"/>
      <w:divBdr>
        <w:top w:val="none" w:sz="0" w:space="0" w:color="auto"/>
        <w:left w:val="none" w:sz="0" w:space="0" w:color="auto"/>
        <w:bottom w:val="none" w:sz="0" w:space="0" w:color="auto"/>
        <w:right w:val="none" w:sz="0" w:space="0" w:color="auto"/>
      </w:divBdr>
    </w:div>
    <w:div w:id="846211838">
      <w:bodyDiv w:val="1"/>
      <w:marLeft w:val="0"/>
      <w:marRight w:val="0"/>
      <w:marTop w:val="0"/>
      <w:marBottom w:val="0"/>
      <w:divBdr>
        <w:top w:val="none" w:sz="0" w:space="0" w:color="auto"/>
        <w:left w:val="none" w:sz="0" w:space="0" w:color="auto"/>
        <w:bottom w:val="none" w:sz="0" w:space="0" w:color="auto"/>
        <w:right w:val="none" w:sz="0" w:space="0" w:color="auto"/>
      </w:divBdr>
    </w:div>
    <w:div w:id="854685562">
      <w:bodyDiv w:val="1"/>
      <w:marLeft w:val="0"/>
      <w:marRight w:val="0"/>
      <w:marTop w:val="0"/>
      <w:marBottom w:val="0"/>
      <w:divBdr>
        <w:top w:val="none" w:sz="0" w:space="0" w:color="auto"/>
        <w:left w:val="none" w:sz="0" w:space="0" w:color="auto"/>
        <w:bottom w:val="none" w:sz="0" w:space="0" w:color="auto"/>
        <w:right w:val="none" w:sz="0" w:space="0" w:color="auto"/>
      </w:divBdr>
    </w:div>
    <w:div w:id="856768081">
      <w:bodyDiv w:val="1"/>
      <w:marLeft w:val="0"/>
      <w:marRight w:val="0"/>
      <w:marTop w:val="0"/>
      <w:marBottom w:val="0"/>
      <w:divBdr>
        <w:top w:val="none" w:sz="0" w:space="0" w:color="auto"/>
        <w:left w:val="none" w:sz="0" w:space="0" w:color="auto"/>
        <w:bottom w:val="none" w:sz="0" w:space="0" w:color="auto"/>
        <w:right w:val="none" w:sz="0" w:space="0" w:color="auto"/>
      </w:divBdr>
    </w:div>
    <w:div w:id="867378527">
      <w:bodyDiv w:val="1"/>
      <w:marLeft w:val="0"/>
      <w:marRight w:val="0"/>
      <w:marTop w:val="0"/>
      <w:marBottom w:val="0"/>
      <w:divBdr>
        <w:top w:val="none" w:sz="0" w:space="0" w:color="auto"/>
        <w:left w:val="none" w:sz="0" w:space="0" w:color="auto"/>
        <w:bottom w:val="none" w:sz="0" w:space="0" w:color="auto"/>
        <w:right w:val="none" w:sz="0" w:space="0" w:color="auto"/>
      </w:divBdr>
    </w:div>
    <w:div w:id="869338986">
      <w:bodyDiv w:val="1"/>
      <w:marLeft w:val="0"/>
      <w:marRight w:val="0"/>
      <w:marTop w:val="0"/>
      <w:marBottom w:val="0"/>
      <w:divBdr>
        <w:top w:val="none" w:sz="0" w:space="0" w:color="auto"/>
        <w:left w:val="none" w:sz="0" w:space="0" w:color="auto"/>
        <w:bottom w:val="none" w:sz="0" w:space="0" w:color="auto"/>
        <w:right w:val="none" w:sz="0" w:space="0" w:color="auto"/>
      </w:divBdr>
    </w:div>
    <w:div w:id="869995694">
      <w:bodyDiv w:val="1"/>
      <w:marLeft w:val="0"/>
      <w:marRight w:val="0"/>
      <w:marTop w:val="0"/>
      <w:marBottom w:val="0"/>
      <w:divBdr>
        <w:top w:val="none" w:sz="0" w:space="0" w:color="auto"/>
        <w:left w:val="none" w:sz="0" w:space="0" w:color="auto"/>
        <w:bottom w:val="none" w:sz="0" w:space="0" w:color="auto"/>
        <w:right w:val="none" w:sz="0" w:space="0" w:color="auto"/>
      </w:divBdr>
    </w:div>
    <w:div w:id="875508384">
      <w:bodyDiv w:val="1"/>
      <w:marLeft w:val="0"/>
      <w:marRight w:val="0"/>
      <w:marTop w:val="0"/>
      <w:marBottom w:val="0"/>
      <w:divBdr>
        <w:top w:val="none" w:sz="0" w:space="0" w:color="auto"/>
        <w:left w:val="none" w:sz="0" w:space="0" w:color="auto"/>
        <w:bottom w:val="none" w:sz="0" w:space="0" w:color="auto"/>
        <w:right w:val="none" w:sz="0" w:space="0" w:color="auto"/>
      </w:divBdr>
    </w:div>
    <w:div w:id="878322593">
      <w:bodyDiv w:val="1"/>
      <w:marLeft w:val="0"/>
      <w:marRight w:val="0"/>
      <w:marTop w:val="0"/>
      <w:marBottom w:val="0"/>
      <w:divBdr>
        <w:top w:val="none" w:sz="0" w:space="0" w:color="auto"/>
        <w:left w:val="none" w:sz="0" w:space="0" w:color="auto"/>
        <w:bottom w:val="none" w:sz="0" w:space="0" w:color="auto"/>
        <w:right w:val="none" w:sz="0" w:space="0" w:color="auto"/>
      </w:divBdr>
    </w:div>
    <w:div w:id="882519074">
      <w:bodyDiv w:val="1"/>
      <w:marLeft w:val="0"/>
      <w:marRight w:val="0"/>
      <w:marTop w:val="0"/>
      <w:marBottom w:val="0"/>
      <w:divBdr>
        <w:top w:val="none" w:sz="0" w:space="0" w:color="auto"/>
        <w:left w:val="none" w:sz="0" w:space="0" w:color="auto"/>
        <w:bottom w:val="none" w:sz="0" w:space="0" w:color="auto"/>
        <w:right w:val="none" w:sz="0" w:space="0" w:color="auto"/>
      </w:divBdr>
    </w:div>
    <w:div w:id="883175602">
      <w:bodyDiv w:val="1"/>
      <w:marLeft w:val="0"/>
      <w:marRight w:val="0"/>
      <w:marTop w:val="0"/>
      <w:marBottom w:val="0"/>
      <w:divBdr>
        <w:top w:val="none" w:sz="0" w:space="0" w:color="auto"/>
        <w:left w:val="none" w:sz="0" w:space="0" w:color="auto"/>
        <w:bottom w:val="none" w:sz="0" w:space="0" w:color="auto"/>
        <w:right w:val="none" w:sz="0" w:space="0" w:color="auto"/>
      </w:divBdr>
    </w:div>
    <w:div w:id="887256803">
      <w:bodyDiv w:val="1"/>
      <w:marLeft w:val="0"/>
      <w:marRight w:val="0"/>
      <w:marTop w:val="0"/>
      <w:marBottom w:val="0"/>
      <w:divBdr>
        <w:top w:val="none" w:sz="0" w:space="0" w:color="auto"/>
        <w:left w:val="none" w:sz="0" w:space="0" w:color="auto"/>
        <w:bottom w:val="none" w:sz="0" w:space="0" w:color="auto"/>
        <w:right w:val="none" w:sz="0" w:space="0" w:color="auto"/>
      </w:divBdr>
    </w:div>
    <w:div w:id="891305348">
      <w:bodyDiv w:val="1"/>
      <w:marLeft w:val="0"/>
      <w:marRight w:val="0"/>
      <w:marTop w:val="0"/>
      <w:marBottom w:val="0"/>
      <w:divBdr>
        <w:top w:val="none" w:sz="0" w:space="0" w:color="auto"/>
        <w:left w:val="none" w:sz="0" w:space="0" w:color="auto"/>
        <w:bottom w:val="none" w:sz="0" w:space="0" w:color="auto"/>
        <w:right w:val="none" w:sz="0" w:space="0" w:color="auto"/>
      </w:divBdr>
    </w:div>
    <w:div w:id="894664548">
      <w:bodyDiv w:val="1"/>
      <w:marLeft w:val="0"/>
      <w:marRight w:val="0"/>
      <w:marTop w:val="0"/>
      <w:marBottom w:val="0"/>
      <w:divBdr>
        <w:top w:val="none" w:sz="0" w:space="0" w:color="auto"/>
        <w:left w:val="none" w:sz="0" w:space="0" w:color="auto"/>
        <w:bottom w:val="none" w:sz="0" w:space="0" w:color="auto"/>
        <w:right w:val="none" w:sz="0" w:space="0" w:color="auto"/>
      </w:divBdr>
    </w:div>
    <w:div w:id="897083941">
      <w:bodyDiv w:val="1"/>
      <w:marLeft w:val="0"/>
      <w:marRight w:val="0"/>
      <w:marTop w:val="0"/>
      <w:marBottom w:val="0"/>
      <w:divBdr>
        <w:top w:val="none" w:sz="0" w:space="0" w:color="auto"/>
        <w:left w:val="none" w:sz="0" w:space="0" w:color="auto"/>
        <w:bottom w:val="none" w:sz="0" w:space="0" w:color="auto"/>
        <w:right w:val="none" w:sz="0" w:space="0" w:color="auto"/>
      </w:divBdr>
    </w:div>
    <w:div w:id="902329645">
      <w:bodyDiv w:val="1"/>
      <w:marLeft w:val="0"/>
      <w:marRight w:val="0"/>
      <w:marTop w:val="0"/>
      <w:marBottom w:val="0"/>
      <w:divBdr>
        <w:top w:val="none" w:sz="0" w:space="0" w:color="auto"/>
        <w:left w:val="none" w:sz="0" w:space="0" w:color="auto"/>
        <w:bottom w:val="none" w:sz="0" w:space="0" w:color="auto"/>
        <w:right w:val="none" w:sz="0" w:space="0" w:color="auto"/>
      </w:divBdr>
    </w:div>
    <w:div w:id="904535653">
      <w:bodyDiv w:val="1"/>
      <w:marLeft w:val="0"/>
      <w:marRight w:val="0"/>
      <w:marTop w:val="0"/>
      <w:marBottom w:val="0"/>
      <w:divBdr>
        <w:top w:val="none" w:sz="0" w:space="0" w:color="auto"/>
        <w:left w:val="none" w:sz="0" w:space="0" w:color="auto"/>
        <w:bottom w:val="none" w:sz="0" w:space="0" w:color="auto"/>
        <w:right w:val="none" w:sz="0" w:space="0" w:color="auto"/>
      </w:divBdr>
    </w:div>
    <w:div w:id="911888630">
      <w:bodyDiv w:val="1"/>
      <w:marLeft w:val="0"/>
      <w:marRight w:val="0"/>
      <w:marTop w:val="0"/>
      <w:marBottom w:val="0"/>
      <w:divBdr>
        <w:top w:val="none" w:sz="0" w:space="0" w:color="auto"/>
        <w:left w:val="none" w:sz="0" w:space="0" w:color="auto"/>
        <w:bottom w:val="none" w:sz="0" w:space="0" w:color="auto"/>
        <w:right w:val="none" w:sz="0" w:space="0" w:color="auto"/>
      </w:divBdr>
    </w:div>
    <w:div w:id="911891111">
      <w:bodyDiv w:val="1"/>
      <w:marLeft w:val="0"/>
      <w:marRight w:val="0"/>
      <w:marTop w:val="0"/>
      <w:marBottom w:val="0"/>
      <w:divBdr>
        <w:top w:val="none" w:sz="0" w:space="0" w:color="auto"/>
        <w:left w:val="none" w:sz="0" w:space="0" w:color="auto"/>
        <w:bottom w:val="none" w:sz="0" w:space="0" w:color="auto"/>
        <w:right w:val="none" w:sz="0" w:space="0" w:color="auto"/>
      </w:divBdr>
    </w:div>
    <w:div w:id="917441678">
      <w:bodyDiv w:val="1"/>
      <w:marLeft w:val="0"/>
      <w:marRight w:val="0"/>
      <w:marTop w:val="0"/>
      <w:marBottom w:val="0"/>
      <w:divBdr>
        <w:top w:val="none" w:sz="0" w:space="0" w:color="auto"/>
        <w:left w:val="none" w:sz="0" w:space="0" w:color="auto"/>
        <w:bottom w:val="none" w:sz="0" w:space="0" w:color="auto"/>
        <w:right w:val="none" w:sz="0" w:space="0" w:color="auto"/>
      </w:divBdr>
    </w:div>
    <w:div w:id="921640811">
      <w:bodyDiv w:val="1"/>
      <w:marLeft w:val="0"/>
      <w:marRight w:val="0"/>
      <w:marTop w:val="0"/>
      <w:marBottom w:val="0"/>
      <w:divBdr>
        <w:top w:val="none" w:sz="0" w:space="0" w:color="auto"/>
        <w:left w:val="none" w:sz="0" w:space="0" w:color="auto"/>
        <w:bottom w:val="none" w:sz="0" w:space="0" w:color="auto"/>
        <w:right w:val="none" w:sz="0" w:space="0" w:color="auto"/>
      </w:divBdr>
    </w:div>
    <w:div w:id="927230520">
      <w:bodyDiv w:val="1"/>
      <w:marLeft w:val="0"/>
      <w:marRight w:val="0"/>
      <w:marTop w:val="0"/>
      <w:marBottom w:val="0"/>
      <w:divBdr>
        <w:top w:val="none" w:sz="0" w:space="0" w:color="auto"/>
        <w:left w:val="none" w:sz="0" w:space="0" w:color="auto"/>
        <w:bottom w:val="none" w:sz="0" w:space="0" w:color="auto"/>
        <w:right w:val="none" w:sz="0" w:space="0" w:color="auto"/>
      </w:divBdr>
    </w:div>
    <w:div w:id="934483398">
      <w:bodyDiv w:val="1"/>
      <w:marLeft w:val="0"/>
      <w:marRight w:val="0"/>
      <w:marTop w:val="0"/>
      <w:marBottom w:val="0"/>
      <w:divBdr>
        <w:top w:val="none" w:sz="0" w:space="0" w:color="auto"/>
        <w:left w:val="none" w:sz="0" w:space="0" w:color="auto"/>
        <w:bottom w:val="none" w:sz="0" w:space="0" w:color="auto"/>
        <w:right w:val="none" w:sz="0" w:space="0" w:color="auto"/>
      </w:divBdr>
    </w:div>
    <w:div w:id="936328624">
      <w:bodyDiv w:val="1"/>
      <w:marLeft w:val="0"/>
      <w:marRight w:val="0"/>
      <w:marTop w:val="0"/>
      <w:marBottom w:val="0"/>
      <w:divBdr>
        <w:top w:val="none" w:sz="0" w:space="0" w:color="auto"/>
        <w:left w:val="none" w:sz="0" w:space="0" w:color="auto"/>
        <w:bottom w:val="none" w:sz="0" w:space="0" w:color="auto"/>
        <w:right w:val="none" w:sz="0" w:space="0" w:color="auto"/>
      </w:divBdr>
    </w:div>
    <w:div w:id="941305512">
      <w:bodyDiv w:val="1"/>
      <w:marLeft w:val="0"/>
      <w:marRight w:val="0"/>
      <w:marTop w:val="0"/>
      <w:marBottom w:val="0"/>
      <w:divBdr>
        <w:top w:val="none" w:sz="0" w:space="0" w:color="auto"/>
        <w:left w:val="none" w:sz="0" w:space="0" w:color="auto"/>
        <w:bottom w:val="none" w:sz="0" w:space="0" w:color="auto"/>
        <w:right w:val="none" w:sz="0" w:space="0" w:color="auto"/>
      </w:divBdr>
    </w:div>
    <w:div w:id="941493832">
      <w:bodyDiv w:val="1"/>
      <w:marLeft w:val="0"/>
      <w:marRight w:val="0"/>
      <w:marTop w:val="0"/>
      <w:marBottom w:val="0"/>
      <w:divBdr>
        <w:top w:val="none" w:sz="0" w:space="0" w:color="auto"/>
        <w:left w:val="none" w:sz="0" w:space="0" w:color="auto"/>
        <w:bottom w:val="none" w:sz="0" w:space="0" w:color="auto"/>
        <w:right w:val="none" w:sz="0" w:space="0" w:color="auto"/>
      </w:divBdr>
    </w:div>
    <w:div w:id="945041314">
      <w:bodyDiv w:val="1"/>
      <w:marLeft w:val="0"/>
      <w:marRight w:val="0"/>
      <w:marTop w:val="0"/>
      <w:marBottom w:val="0"/>
      <w:divBdr>
        <w:top w:val="none" w:sz="0" w:space="0" w:color="auto"/>
        <w:left w:val="none" w:sz="0" w:space="0" w:color="auto"/>
        <w:bottom w:val="none" w:sz="0" w:space="0" w:color="auto"/>
        <w:right w:val="none" w:sz="0" w:space="0" w:color="auto"/>
      </w:divBdr>
    </w:div>
    <w:div w:id="950092941">
      <w:bodyDiv w:val="1"/>
      <w:marLeft w:val="0"/>
      <w:marRight w:val="0"/>
      <w:marTop w:val="0"/>
      <w:marBottom w:val="0"/>
      <w:divBdr>
        <w:top w:val="none" w:sz="0" w:space="0" w:color="auto"/>
        <w:left w:val="none" w:sz="0" w:space="0" w:color="auto"/>
        <w:bottom w:val="none" w:sz="0" w:space="0" w:color="auto"/>
        <w:right w:val="none" w:sz="0" w:space="0" w:color="auto"/>
      </w:divBdr>
    </w:div>
    <w:div w:id="966004807">
      <w:bodyDiv w:val="1"/>
      <w:marLeft w:val="0"/>
      <w:marRight w:val="0"/>
      <w:marTop w:val="0"/>
      <w:marBottom w:val="0"/>
      <w:divBdr>
        <w:top w:val="none" w:sz="0" w:space="0" w:color="auto"/>
        <w:left w:val="none" w:sz="0" w:space="0" w:color="auto"/>
        <w:bottom w:val="none" w:sz="0" w:space="0" w:color="auto"/>
        <w:right w:val="none" w:sz="0" w:space="0" w:color="auto"/>
      </w:divBdr>
    </w:div>
    <w:div w:id="971516001">
      <w:bodyDiv w:val="1"/>
      <w:marLeft w:val="0"/>
      <w:marRight w:val="0"/>
      <w:marTop w:val="0"/>
      <w:marBottom w:val="0"/>
      <w:divBdr>
        <w:top w:val="none" w:sz="0" w:space="0" w:color="auto"/>
        <w:left w:val="none" w:sz="0" w:space="0" w:color="auto"/>
        <w:bottom w:val="none" w:sz="0" w:space="0" w:color="auto"/>
        <w:right w:val="none" w:sz="0" w:space="0" w:color="auto"/>
      </w:divBdr>
    </w:div>
    <w:div w:id="996958704">
      <w:bodyDiv w:val="1"/>
      <w:marLeft w:val="0"/>
      <w:marRight w:val="0"/>
      <w:marTop w:val="0"/>
      <w:marBottom w:val="0"/>
      <w:divBdr>
        <w:top w:val="none" w:sz="0" w:space="0" w:color="auto"/>
        <w:left w:val="none" w:sz="0" w:space="0" w:color="auto"/>
        <w:bottom w:val="none" w:sz="0" w:space="0" w:color="auto"/>
        <w:right w:val="none" w:sz="0" w:space="0" w:color="auto"/>
      </w:divBdr>
    </w:div>
    <w:div w:id="1002390169">
      <w:bodyDiv w:val="1"/>
      <w:marLeft w:val="0"/>
      <w:marRight w:val="0"/>
      <w:marTop w:val="0"/>
      <w:marBottom w:val="0"/>
      <w:divBdr>
        <w:top w:val="none" w:sz="0" w:space="0" w:color="auto"/>
        <w:left w:val="none" w:sz="0" w:space="0" w:color="auto"/>
        <w:bottom w:val="none" w:sz="0" w:space="0" w:color="auto"/>
        <w:right w:val="none" w:sz="0" w:space="0" w:color="auto"/>
      </w:divBdr>
    </w:div>
    <w:div w:id="1010838134">
      <w:bodyDiv w:val="1"/>
      <w:marLeft w:val="0"/>
      <w:marRight w:val="0"/>
      <w:marTop w:val="0"/>
      <w:marBottom w:val="0"/>
      <w:divBdr>
        <w:top w:val="none" w:sz="0" w:space="0" w:color="auto"/>
        <w:left w:val="none" w:sz="0" w:space="0" w:color="auto"/>
        <w:bottom w:val="none" w:sz="0" w:space="0" w:color="auto"/>
        <w:right w:val="none" w:sz="0" w:space="0" w:color="auto"/>
      </w:divBdr>
    </w:div>
    <w:div w:id="1026949143">
      <w:bodyDiv w:val="1"/>
      <w:marLeft w:val="0"/>
      <w:marRight w:val="0"/>
      <w:marTop w:val="0"/>
      <w:marBottom w:val="0"/>
      <w:divBdr>
        <w:top w:val="none" w:sz="0" w:space="0" w:color="auto"/>
        <w:left w:val="none" w:sz="0" w:space="0" w:color="auto"/>
        <w:bottom w:val="none" w:sz="0" w:space="0" w:color="auto"/>
        <w:right w:val="none" w:sz="0" w:space="0" w:color="auto"/>
      </w:divBdr>
    </w:div>
    <w:div w:id="1039936522">
      <w:bodyDiv w:val="1"/>
      <w:marLeft w:val="0"/>
      <w:marRight w:val="0"/>
      <w:marTop w:val="0"/>
      <w:marBottom w:val="0"/>
      <w:divBdr>
        <w:top w:val="none" w:sz="0" w:space="0" w:color="auto"/>
        <w:left w:val="none" w:sz="0" w:space="0" w:color="auto"/>
        <w:bottom w:val="none" w:sz="0" w:space="0" w:color="auto"/>
        <w:right w:val="none" w:sz="0" w:space="0" w:color="auto"/>
      </w:divBdr>
    </w:div>
    <w:div w:id="1045444202">
      <w:bodyDiv w:val="1"/>
      <w:marLeft w:val="0"/>
      <w:marRight w:val="0"/>
      <w:marTop w:val="0"/>
      <w:marBottom w:val="0"/>
      <w:divBdr>
        <w:top w:val="none" w:sz="0" w:space="0" w:color="auto"/>
        <w:left w:val="none" w:sz="0" w:space="0" w:color="auto"/>
        <w:bottom w:val="none" w:sz="0" w:space="0" w:color="auto"/>
        <w:right w:val="none" w:sz="0" w:space="0" w:color="auto"/>
      </w:divBdr>
    </w:div>
    <w:div w:id="1063025511">
      <w:bodyDiv w:val="1"/>
      <w:marLeft w:val="0"/>
      <w:marRight w:val="0"/>
      <w:marTop w:val="0"/>
      <w:marBottom w:val="0"/>
      <w:divBdr>
        <w:top w:val="none" w:sz="0" w:space="0" w:color="auto"/>
        <w:left w:val="none" w:sz="0" w:space="0" w:color="auto"/>
        <w:bottom w:val="none" w:sz="0" w:space="0" w:color="auto"/>
        <w:right w:val="none" w:sz="0" w:space="0" w:color="auto"/>
      </w:divBdr>
    </w:div>
    <w:div w:id="1071274735">
      <w:bodyDiv w:val="1"/>
      <w:marLeft w:val="0"/>
      <w:marRight w:val="0"/>
      <w:marTop w:val="0"/>
      <w:marBottom w:val="0"/>
      <w:divBdr>
        <w:top w:val="none" w:sz="0" w:space="0" w:color="auto"/>
        <w:left w:val="none" w:sz="0" w:space="0" w:color="auto"/>
        <w:bottom w:val="none" w:sz="0" w:space="0" w:color="auto"/>
        <w:right w:val="none" w:sz="0" w:space="0" w:color="auto"/>
      </w:divBdr>
    </w:div>
    <w:div w:id="1075933971">
      <w:bodyDiv w:val="1"/>
      <w:marLeft w:val="0"/>
      <w:marRight w:val="0"/>
      <w:marTop w:val="0"/>
      <w:marBottom w:val="0"/>
      <w:divBdr>
        <w:top w:val="none" w:sz="0" w:space="0" w:color="auto"/>
        <w:left w:val="none" w:sz="0" w:space="0" w:color="auto"/>
        <w:bottom w:val="none" w:sz="0" w:space="0" w:color="auto"/>
        <w:right w:val="none" w:sz="0" w:space="0" w:color="auto"/>
      </w:divBdr>
    </w:div>
    <w:div w:id="1077435910">
      <w:bodyDiv w:val="1"/>
      <w:marLeft w:val="0"/>
      <w:marRight w:val="0"/>
      <w:marTop w:val="0"/>
      <w:marBottom w:val="0"/>
      <w:divBdr>
        <w:top w:val="none" w:sz="0" w:space="0" w:color="auto"/>
        <w:left w:val="none" w:sz="0" w:space="0" w:color="auto"/>
        <w:bottom w:val="none" w:sz="0" w:space="0" w:color="auto"/>
        <w:right w:val="none" w:sz="0" w:space="0" w:color="auto"/>
      </w:divBdr>
    </w:div>
    <w:div w:id="1082944070">
      <w:bodyDiv w:val="1"/>
      <w:marLeft w:val="0"/>
      <w:marRight w:val="0"/>
      <w:marTop w:val="0"/>
      <w:marBottom w:val="0"/>
      <w:divBdr>
        <w:top w:val="none" w:sz="0" w:space="0" w:color="auto"/>
        <w:left w:val="none" w:sz="0" w:space="0" w:color="auto"/>
        <w:bottom w:val="none" w:sz="0" w:space="0" w:color="auto"/>
        <w:right w:val="none" w:sz="0" w:space="0" w:color="auto"/>
      </w:divBdr>
    </w:div>
    <w:div w:id="1099255209">
      <w:bodyDiv w:val="1"/>
      <w:marLeft w:val="0"/>
      <w:marRight w:val="0"/>
      <w:marTop w:val="0"/>
      <w:marBottom w:val="0"/>
      <w:divBdr>
        <w:top w:val="none" w:sz="0" w:space="0" w:color="auto"/>
        <w:left w:val="none" w:sz="0" w:space="0" w:color="auto"/>
        <w:bottom w:val="none" w:sz="0" w:space="0" w:color="auto"/>
        <w:right w:val="none" w:sz="0" w:space="0" w:color="auto"/>
      </w:divBdr>
    </w:div>
    <w:div w:id="1100613104">
      <w:bodyDiv w:val="1"/>
      <w:marLeft w:val="0"/>
      <w:marRight w:val="0"/>
      <w:marTop w:val="0"/>
      <w:marBottom w:val="0"/>
      <w:divBdr>
        <w:top w:val="none" w:sz="0" w:space="0" w:color="auto"/>
        <w:left w:val="none" w:sz="0" w:space="0" w:color="auto"/>
        <w:bottom w:val="none" w:sz="0" w:space="0" w:color="auto"/>
        <w:right w:val="none" w:sz="0" w:space="0" w:color="auto"/>
      </w:divBdr>
    </w:div>
    <w:div w:id="1106583108">
      <w:bodyDiv w:val="1"/>
      <w:marLeft w:val="0"/>
      <w:marRight w:val="0"/>
      <w:marTop w:val="0"/>
      <w:marBottom w:val="0"/>
      <w:divBdr>
        <w:top w:val="none" w:sz="0" w:space="0" w:color="auto"/>
        <w:left w:val="none" w:sz="0" w:space="0" w:color="auto"/>
        <w:bottom w:val="none" w:sz="0" w:space="0" w:color="auto"/>
        <w:right w:val="none" w:sz="0" w:space="0" w:color="auto"/>
      </w:divBdr>
    </w:div>
    <w:div w:id="1107625631">
      <w:bodyDiv w:val="1"/>
      <w:marLeft w:val="0"/>
      <w:marRight w:val="0"/>
      <w:marTop w:val="0"/>
      <w:marBottom w:val="0"/>
      <w:divBdr>
        <w:top w:val="none" w:sz="0" w:space="0" w:color="auto"/>
        <w:left w:val="none" w:sz="0" w:space="0" w:color="auto"/>
        <w:bottom w:val="none" w:sz="0" w:space="0" w:color="auto"/>
        <w:right w:val="none" w:sz="0" w:space="0" w:color="auto"/>
      </w:divBdr>
    </w:div>
    <w:div w:id="1129860624">
      <w:bodyDiv w:val="1"/>
      <w:marLeft w:val="0"/>
      <w:marRight w:val="0"/>
      <w:marTop w:val="0"/>
      <w:marBottom w:val="0"/>
      <w:divBdr>
        <w:top w:val="none" w:sz="0" w:space="0" w:color="auto"/>
        <w:left w:val="none" w:sz="0" w:space="0" w:color="auto"/>
        <w:bottom w:val="none" w:sz="0" w:space="0" w:color="auto"/>
        <w:right w:val="none" w:sz="0" w:space="0" w:color="auto"/>
      </w:divBdr>
    </w:div>
    <w:div w:id="1139298713">
      <w:bodyDiv w:val="1"/>
      <w:marLeft w:val="0"/>
      <w:marRight w:val="0"/>
      <w:marTop w:val="0"/>
      <w:marBottom w:val="0"/>
      <w:divBdr>
        <w:top w:val="none" w:sz="0" w:space="0" w:color="auto"/>
        <w:left w:val="none" w:sz="0" w:space="0" w:color="auto"/>
        <w:bottom w:val="none" w:sz="0" w:space="0" w:color="auto"/>
        <w:right w:val="none" w:sz="0" w:space="0" w:color="auto"/>
      </w:divBdr>
    </w:div>
    <w:div w:id="1141389257">
      <w:bodyDiv w:val="1"/>
      <w:marLeft w:val="0"/>
      <w:marRight w:val="0"/>
      <w:marTop w:val="0"/>
      <w:marBottom w:val="0"/>
      <w:divBdr>
        <w:top w:val="none" w:sz="0" w:space="0" w:color="auto"/>
        <w:left w:val="none" w:sz="0" w:space="0" w:color="auto"/>
        <w:bottom w:val="none" w:sz="0" w:space="0" w:color="auto"/>
        <w:right w:val="none" w:sz="0" w:space="0" w:color="auto"/>
      </w:divBdr>
    </w:div>
    <w:div w:id="1159928393">
      <w:bodyDiv w:val="1"/>
      <w:marLeft w:val="0"/>
      <w:marRight w:val="0"/>
      <w:marTop w:val="0"/>
      <w:marBottom w:val="0"/>
      <w:divBdr>
        <w:top w:val="none" w:sz="0" w:space="0" w:color="auto"/>
        <w:left w:val="none" w:sz="0" w:space="0" w:color="auto"/>
        <w:bottom w:val="none" w:sz="0" w:space="0" w:color="auto"/>
        <w:right w:val="none" w:sz="0" w:space="0" w:color="auto"/>
      </w:divBdr>
    </w:div>
    <w:div w:id="1162237765">
      <w:bodyDiv w:val="1"/>
      <w:marLeft w:val="0"/>
      <w:marRight w:val="0"/>
      <w:marTop w:val="0"/>
      <w:marBottom w:val="0"/>
      <w:divBdr>
        <w:top w:val="none" w:sz="0" w:space="0" w:color="auto"/>
        <w:left w:val="none" w:sz="0" w:space="0" w:color="auto"/>
        <w:bottom w:val="none" w:sz="0" w:space="0" w:color="auto"/>
        <w:right w:val="none" w:sz="0" w:space="0" w:color="auto"/>
      </w:divBdr>
    </w:div>
    <w:div w:id="1164934637">
      <w:bodyDiv w:val="1"/>
      <w:marLeft w:val="0"/>
      <w:marRight w:val="0"/>
      <w:marTop w:val="0"/>
      <w:marBottom w:val="0"/>
      <w:divBdr>
        <w:top w:val="none" w:sz="0" w:space="0" w:color="auto"/>
        <w:left w:val="none" w:sz="0" w:space="0" w:color="auto"/>
        <w:bottom w:val="none" w:sz="0" w:space="0" w:color="auto"/>
        <w:right w:val="none" w:sz="0" w:space="0" w:color="auto"/>
      </w:divBdr>
    </w:div>
    <w:div w:id="1170411042">
      <w:bodyDiv w:val="1"/>
      <w:marLeft w:val="0"/>
      <w:marRight w:val="0"/>
      <w:marTop w:val="0"/>
      <w:marBottom w:val="0"/>
      <w:divBdr>
        <w:top w:val="none" w:sz="0" w:space="0" w:color="auto"/>
        <w:left w:val="none" w:sz="0" w:space="0" w:color="auto"/>
        <w:bottom w:val="none" w:sz="0" w:space="0" w:color="auto"/>
        <w:right w:val="none" w:sz="0" w:space="0" w:color="auto"/>
      </w:divBdr>
    </w:div>
    <w:div w:id="1174222169">
      <w:bodyDiv w:val="1"/>
      <w:marLeft w:val="0"/>
      <w:marRight w:val="0"/>
      <w:marTop w:val="0"/>
      <w:marBottom w:val="0"/>
      <w:divBdr>
        <w:top w:val="none" w:sz="0" w:space="0" w:color="auto"/>
        <w:left w:val="none" w:sz="0" w:space="0" w:color="auto"/>
        <w:bottom w:val="none" w:sz="0" w:space="0" w:color="auto"/>
        <w:right w:val="none" w:sz="0" w:space="0" w:color="auto"/>
      </w:divBdr>
    </w:div>
    <w:div w:id="1177967395">
      <w:bodyDiv w:val="1"/>
      <w:marLeft w:val="0"/>
      <w:marRight w:val="0"/>
      <w:marTop w:val="0"/>
      <w:marBottom w:val="0"/>
      <w:divBdr>
        <w:top w:val="none" w:sz="0" w:space="0" w:color="auto"/>
        <w:left w:val="none" w:sz="0" w:space="0" w:color="auto"/>
        <w:bottom w:val="none" w:sz="0" w:space="0" w:color="auto"/>
        <w:right w:val="none" w:sz="0" w:space="0" w:color="auto"/>
      </w:divBdr>
      <w:divsChild>
        <w:div w:id="1418018078">
          <w:marLeft w:val="0"/>
          <w:marRight w:val="0"/>
          <w:marTop w:val="0"/>
          <w:marBottom w:val="0"/>
          <w:divBdr>
            <w:top w:val="none" w:sz="0" w:space="0" w:color="auto"/>
            <w:left w:val="none" w:sz="0" w:space="0" w:color="auto"/>
            <w:bottom w:val="none" w:sz="0" w:space="0" w:color="auto"/>
            <w:right w:val="none" w:sz="0" w:space="0" w:color="auto"/>
          </w:divBdr>
          <w:divsChild>
            <w:div w:id="25377815">
              <w:marLeft w:val="0"/>
              <w:marRight w:val="0"/>
              <w:marTop w:val="0"/>
              <w:marBottom w:val="0"/>
              <w:divBdr>
                <w:top w:val="none" w:sz="0" w:space="0" w:color="auto"/>
                <w:left w:val="none" w:sz="0" w:space="0" w:color="auto"/>
                <w:bottom w:val="none" w:sz="0" w:space="0" w:color="auto"/>
                <w:right w:val="none" w:sz="0" w:space="0" w:color="auto"/>
              </w:divBdr>
              <w:divsChild>
                <w:div w:id="180951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335611">
      <w:bodyDiv w:val="1"/>
      <w:marLeft w:val="0"/>
      <w:marRight w:val="0"/>
      <w:marTop w:val="0"/>
      <w:marBottom w:val="0"/>
      <w:divBdr>
        <w:top w:val="none" w:sz="0" w:space="0" w:color="auto"/>
        <w:left w:val="none" w:sz="0" w:space="0" w:color="auto"/>
        <w:bottom w:val="none" w:sz="0" w:space="0" w:color="auto"/>
        <w:right w:val="none" w:sz="0" w:space="0" w:color="auto"/>
      </w:divBdr>
    </w:div>
    <w:div w:id="1197694223">
      <w:bodyDiv w:val="1"/>
      <w:marLeft w:val="0"/>
      <w:marRight w:val="0"/>
      <w:marTop w:val="0"/>
      <w:marBottom w:val="0"/>
      <w:divBdr>
        <w:top w:val="none" w:sz="0" w:space="0" w:color="auto"/>
        <w:left w:val="none" w:sz="0" w:space="0" w:color="auto"/>
        <w:bottom w:val="none" w:sz="0" w:space="0" w:color="auto"/>
        <w:right w:val="none" w:sz="0" w:space="0" w:color="auto"/>
      </w:divBdr>
    </w:div>
    <w:div w:id="1206328449">
      <w:bodyDiv w:val="1"/>
      <w:marLeft w:val="0"/>
      <w:marRight w:val="0"/>
      <w:marTop w:val="0"/>
      <w:marBottom w:val="0"/>
      <w:divBdr>
        <w:top w:val="none" w:sz="0" w:space="0" w:color="auto"/>
        <w:left w:val="none" w:sz="0" w:space="0" w:color="auto"/>
        <w:bottom w:val="none" w:sz="0" w:space="0" w:color="auto"/>
        <w:right w:val="none" w:sz="0" w:space="0" w:color="auto"/>
      </w:divBdr>
    </w:div>
    <w:div w:id="1211268053">
      <w:bodyDiv w:val="1"/>
      <w:marLeft w:val="0"/>
      <w:marRight w:val="0"/>
      <w:marTop w:val="0"/>
      <w:marBottom w:val="0"/>
      <w:divBdr>
        <w:top w:val="none" w:sz="0" w:space="0" w:color="auto"/>
        <w:left w:val="none" w:sz="0" w:space="0" w:color="auto"/>
        <w:bottom w:val="none" w:sz="0" w:space="0" w:color="auto"/>
        <w:right w:val="none" w:sz="0" w:space="0" w:color="auto"/>
      </w:divBdr>
    </w:div>
    <w:div w:id="1220554344">
      <w:bodyDiv w:val="1"/>
      <w:marLeft w:val="0"/>
      <w:marRight w:val="0"/>
      <w:marTop w:val="0"/>
      <w:marBottom w:val="0"/>
      <w:divBdr>
        <w:top w:val="none" w:sz="0" w:space="0" w:color="auto"/>
        <w:left w:val="none" w:sz="0" w:space="0" w:color="auto"/>
        <w:bottom w:val="none" w:sz="0" w:space="0" w:color="auto"/>
        <w:right w:val="none" w:sz="0" w:space="0" w:color="auto"/>
      </w:divBdr>
    </w:div>
    <w:div w:id="1221476801">
      <w:bodyDiv w:val="1"/>
      <w:marLeft w:val="0"/>
      <w:marRight w:val="0"/>
      <w:marTop w:val="0"/>
      <w:marBottom w:val="0"/>
      <w:divBdr>
        <w:top w:val="none" w:sz="0" w:space="0" w:color="auto"/>
        <w:left w:val="none" w:sz="0" w:space="0" w:color="auto"/>
        <w:bottom w:val="none" w:sz="0" w:space="0" w:color="auto"/>
        <w:right w:val="none" w:sz="0" w:space="0" w:color="auto"/>
      </w:divBdr>
    </w:div>
    <w:div w:id="1223635349">
      <w:bodyDiv w:val="1"/>
      <w:marLeft w:val="0"/>
      <w:marRight w:val="0"/>
      <w:marTop w:val="0"/>
      <w:marBottom w:val="0"/>
      <w:divBdr>
        <w:top w:val="none" w:sz="0" w:space="0" w:color="auto"/>
        <w:left w:val="none" w:sz="0" w:space="0" w:color="auto"/>
        <w:bottom w:val="none" w:sz="0" w:space="0" w:color="auto"/>
        <w:right w:val="none" w:sz="0" w:space="0" w:color="auto"/>
      </w:divBdr>
    </w:div>
    <w:div w:id="1223952827">
      <w:bodyDiv w:val="1"/>
      <w:marLeft w:val="0"/>
      <w:marRight w:val="0"/>
      <w:marTop w:val="0"/>
      <w:marBottom w:val="0"/>
      <w:divBdr>
        <w:top w:val="none" w:sz="0" w:space="0" w:color="auto"/>
        <w:left w:val="none" w:sz="0" w:space="0" w:color="auto"/>
        <w:bottom w:val="none" w:sz="0" w:space="0" w:color="auto"/>
        <w:right w:val="none" w:sz="0" w:space="0" w:color="auto"/>
      </w:divBdr>
    </w:div>
    <w:div w:id="1228567649">
      <w:bodyDiv w:val="1"/>
      <w:marLeft w:val="0"/>
      <w:marRight w:val="0"/>
      <w:marTop w:val="0"/>
      <w:marBottom w:val="0"/>
      <w:divBdr>
        <w:top w:val="none" w:sz="0" w:space="0" w:color="auto"/>
        <w:left w:val="none" w:sz="0" w:space="0" w:color="auto"/>
        <w:bottom w:val="none" w:sz="0" w:space="0" w:color="auto"/>
        <w:right w:val="none" w:sz="0" w:space="0" w:color="auto"/>
      </w:divBdr>
    </w:div>
    <w:div w:id="1240406511">
      <w:bodyDiv w:val="1"/>
      <w:marLeft w:val="0"/>
      <w:marRight w:val="0"/>
      <w:marTop w:val="0"/>
      <w:marBottom w:val="0"/>
      <w:divBdr>
        <w:top w:val="none" w:sz="0" w:space="0" w:color="auto"/>
        <w:left w:val="none" w:sz="0" w:space="0" w:color="auto"/>
        <w:bottom w:val="none" w:sz="0" w:space="0" w:color="auto"/>
        <w:right w:val="none" w:sz="0" w:space="0" w:color="auto"/>
      </w:divBdr>
    </w:div>
    <w:div w:id="1241021996">
      <w:bodyDiv w:val="1"/>
      <w:marLeft w:val="0"/>
      <w:marRight w:val="0"/>
      <w:marTop w:val="0"/>
      <w:marBottom w:val="0"/>
      <w:divBdr>
        <w:top w:val="none" w:sz="0" w:space="0" w:color="auto"/>
        <w:left w:val="none" w:sz="0" w:space="0" w:color="auto"/>
        <w:bottom w:val="none" w:sz="0" w:space="0" w:color="auto"/>
        <w:right w:val="none" w:sz="0" w:space="0" w:color="auto"/>
      </w:divBdr>
    </w:div>
    <w:div w:id="1242638262">
      <w:bodyDiv w:val="1"/>
      <w:marLeft w:val="0"/>
      <w:marRight w:val="0"/>
      <w:marTop w:val="0"/>
      <w:marBottom w:val="0"/>
      <w:divBdr>
        <w:top w:val="none" w:sz="0" w:space="0" w:color="auto"/>
        <w:left w:val="none" w:sz="0" w:space="0" w:color="auto"/>
        <w:bottom w:val="none" w:sz="0" w:space="0" w:color="auto"/>
        <w:right w:val="none" w:sz="0" w:space="0" w:color="auto"/>
      </w:divBdr>
    </w:div>
    <w:div w:id="1243298472">
      <w:bodyDiv w:val="1"/>
      <w:marLeft w:val="0"/>
      <w:marRight w:val="0"/>
      <w:marTop w:val="0"/>
      <w:marBottom w:val="0"/>
      <w:divBdr>
        <w:top w:val="none" w:sz="0" w:space="0" w:color="auto"/>
        <w:left w:val="none" w:sz="0" w:space="0" w:color="auto"/>
        <w:bottom w:val="none" w:sz="0" w:space="0" w:color="auto"/>
        <w:right w:val="none" w:sz="0" w:space="0" w:color="auto"/>
      </w:divBdr>
    </w:div>
    <w:div w:id="1266885717">
      <w:bodyDiv w:val="1"/>
      <w:marLeft w:val="0"/>
      <w:marRight w:val="0"/>
      <w:marTop w:val="0"/>
      <w:marBottom w:val="0"/>
      <w:divBdr>
        <w:top w:val="none" w:sz="0" w:space="0" w:color="auto"/>
        <w:left w:val="none" w:sz="0" w:space="0" w:color="auto"/>
        <w:bottom w:val="none" w:sz="0" w:space="0" w:color="auto"/>
        <w:right w:val="none" w:sz="0" w:space="0" w:color="auto"/>
      </w:divBdr>
    </w:div>
    <w:div w:id="1270696340">
      <w:bodyDiv w:val="1"/>
      <w:marLeft w:val="0"/>
      <w:marRight w:val="0"/>
      <w:marTop w:val="0"/>
      <w:marBottom w:val="0"/>
      <w:divBdr>
        <w:top w:val="none" w:sz="0" w:space="0" w:color="auto"/>
        <w:left w:val="none" w:sz="0" w:space="0" w:color="auto"/>
        <w:bottom w:val="none" w:sz="0" w:space="0" w:color="auto"/>
        <w:right w:val="none" w:sz="0" w:space="0" w:color="auto"/>
      </w:divBdr>
    </w:div>
    <w:div w:id="1277519807">
      <w:bodyDiv w:val="1"/>
      <w:marLeft w:val="0"/>
      <w:marRight w:val="0"/>
      <w:marTop w:val="0"/>
      <w:marBottom w:val="0"/>
      <w:divBdr>
        <w:top w:val="none" w:sz="0" w:space="0" w:color="auto"/>
        <w:left w:val="none" w:sz="0" w:space="0" w:color="auto"/>
        <w:bottom w:val="none" w:sz="0" w:space="0" w:color="auto"/>
        <w:right w:val="none" w:sz="0" w:space="0" w:color="auto"/>
      </w:divBdr>
    </w:div>
    <w:div w:id="1283926897">
      <w:bodyDiv w:val="1"/>
      <w:marLeft w:val="0"/>
      <w:marRight w:val="0"/>
      <w:marTop w:val="0"/>
      <w:marBottom w:val="0"/>
      <w:divBdr>
        <w:top w:val="none" w:sz="0" w:space="0" w:color="auto"/>
        <w:left w:val="none" w:sz="0" w:space="0" w:color="auto"/>
        <w:bottom w:val="none" w:sz="0" w:space="0" w:color="auto"/>
        <w:right w:val="none" w:sz="0" w:space="0" w:color="auto"/>
      </w:divBdr>
    </w:div>
    <w:div w:id="1299334027">
      <w:bodyDiv w:val="1"/>
      <w:marLeft w:val="0"/>
      <w:marRight w:val="0"/>
      <w:marTop w:val="0"/>
      <w:marBottom w:val="0"/>
      <w:divBdr>
        <w:top w:val="none" w:sz="0" w:space="0" w:color="auto"/>
        <w:left w:val="none" w:sz="0" w:space="0" w:color="auto"/>
        <w:bottom w:val="none" w:sz="0" w:space="0" w:color="auto"/>
        <w:right w:val="none" w:sz="0" w:space="0" w:color="auto"/>
      </w:divBdr>
    </w:div>
    <w:div w:id="1303005523">
      <w:bodyDiv w:val="1"/>
      <w:marLeft w:val="0"/>
      <w:marRight w:val="0"/>
      <w:marTop w:val="0"/>
      <w:marBottom w:val="0"/>
      <w:divBdr>
        <w:top w:val="none" w:sz="0" w:space="0" w:color="auto"/>
        <w:left w:val="none" w:sz="0" w:space="0" w:color="auto"/>
        <w:bottom w:val="none" w:sz="0" w:space="0" w:color="auto"/>
        <w:right w:val="none" w:sz="0" w:space="0" w:color="auto"/>
      </w:divBdr>
    </w:div>
    <w:div w:id="1309438486">
      <w:bodyDiv w:val="1"/>
      <w:marLeft w:val="0"/>
      <w:marRight w:val="0"/>
      <w:marTop w:val="0"/>
      <w:marBottom w:val="0"/>
      <w:divBdr>
        <w:top w:val="none" w:sz="0" w:space="0" w:color="auto"/>
        <w:left w:val="none" w:sz="0" w:space="0" w:color="auto"/>
        <w:bottom w:val="none" w:sz="0" w:space="0" w:color="auto"/>
        <w:right w:val="none" w:sz="0" w:space="0" w:color="auto"/>
      </w:divBdr>
    </w:div>
    <w:div w:id="1311325917">
      <w:bodyDiv w:val="1"/>
      <w:marLeft w:val="0"/>
      <w:marRight w:val="0"/>
      <w:marTop w:val="0"/>
      <w:marBottom w:val="0"/>
      <w:divBdr>
        <w:top w:val="none" w:sz="0" w:space="0" w:color="auto"/>
        <w:left w:val="none" w:sz="0" w:space="0" w:color="auto"/>
        <w:bottom w:val="none" w:sz="0" w:space="0" w:color="auto"/>
        <w:right w:val="none" w:sz="0" w:space="0" w:color="auto"/>
      </w:divBdr>
      <w:divsChild>
        <w:div w:id="1716662607">
          <w:marLeft w:val="0"/>
          <w:marRight w:val="0"/>
          <w:marTop w:val="0"/>
          <w:marBottom w:val="0"/>
          <w:divBdr>
            <w:top w:val="none" w:sz="0" w:space="0" w:color="auto"/>
            <w:left w:val="none" w:sz="0" w:space="0" w:color="auto"/>
            <w:bottom w:val="none" w:sz="0" w:space="0" w:color="auto"/>
            <w:right w:val="none" w:sz="0" w:space="0" w:color="auto"/>
          </w:divBdr>
          <w:divsChild>
            <w:div w:id="1089961365">
              <w:marLeft w:val="0"/>
              <w:marRight w:val="0"/>
              <w:marTop w:val="0"/>
              <w:marBottom w:val="0"/>
              <w:divBdr>
                <w:top w:val="none" w:sz="0" w:space="0" w:color="auto"/>
                <w:left w:val="none" w:sz="0" w:space="0" w:color="auto"/>
                <w:bottom w:val="none" w:sz="0" w:space="0" w:color="auto"/>
                <w:right w:val="none" w:sz="0" w:space="0" w:color="auto"/>
              </w:divBdr>
            </w:div>
          </w:divsChild>
        </w:div>
        <w:div w:id="1773553340">
          <w:marLeft w:val="0"/>
          <w:marRight w:val="0"/>
          <w:marTop w:val="0"/>
          <w:marBottom w:val="0"/>
          <w:divBdr>
            <w:top w:val="none" w:sz="0" w:space="0" w:color="auto"/>
            <w:left w:val="none" w:sz="0" w:space="0" w:color="auto"/>
            <w:bottom w:val="none" w:sz="0" w:space="0" w:color="auto"/>
            <w:right w:val="none" w:sz="0" w:space="0" w:color="auto"/>
          </w:divBdr>
        </w:div>
        <w:div w:id="1608658148">
          <w:marLeft w:val="0"/>
          <w:marRight w:val="0"/>
          <w:marTop w:val="0"/>
          <w:marBottom w:val="0"/>
          <w:divBdr>
            <w:top w:val="none" w:sz="0" w:space="0" w:color="auto"/>
            <w:left w:val="none" w:sz="0" w:space="0" w:color="auto"/>
            <w:bottom w:val="none" w:sz="0" w:space="0" w:color="auto"/>
            <w:right w:val="none" w:sz="0" w:space="0" w:color="auto"/>
          </w:divBdr>
        </w:div>
      </w:divsChild>
    </w:div>
    <w:div w:id="1320577117">
      <w:bodyDiv w:val="1"/>
      <w:marLeft w:val="0"/>
      <w:marRight w:val="0"/>
      <w:marTop w:val="0"/>
      <w:marBottom w:val="0"/>
      <w:divBdr>
        <w:top w:val="none" w:sz="0" w:space="0" w:color="auto"/>
        <w:left w:val="none" w:sz="0" w:space="0" w:color="auto"/>
        <w:bottom w:val="none" w:sz="0" w:space="0" w:color="auto"/>
        <w:right w:val="none" w:sz="0" w:space="0" w:color="auto"/>
      </w:divBdr>
    </w:div>
    <w:div w:id="1327974343">
      <w:bodyDiv w:val="1"/>
      <w:marLeft w:val="0"/>
      <w:marRight w:val="0"/>
      <w:marTop w:val="0"/>
      <w:marBottom w:val="0"/>
      <w:divBdr>
        <w:top w:val="none" w:sz="0" w:space="0" w:color="auto"/>
        <w:left w:val="none" w:sz="0" w:space="0" w:color="auto"/>
        <w:bottom w:val="none" w:sz="0" w:space="0" w:color="auto"/>
        <w:right w:val="none" w:sz="0" w:space="0" w:color="auto"/>
      </w:divBdr>
    </w:div>
    <w:div w:id="1330795495">
      <w:bodyDiv w:val="1"/>
      <w:marLeft w:val="0"/>
      <w:marRight w:val="0"/>
      <w:marTop w:val="0"/>
      <w:marBottom w:val="0"/>
      <w:divBdr>
        <w:top w:val="none" w:sz="0" w:space="0" w:color="auto"/>
        <w:left w:val="none" w:sz="0" w:space="0" w:color="auto"/>
        <w:bottom w:val="none" w:sz="0" w:space="0" w:color="auto"/>
        <w:right w:val="none" w:sz="0" w:space="0" w:color="auto"/>
      </w:divBdr>
    </w:div>
    <w:div w:id="1344894809">
      <w:bodyDiv w:val="1"/>
      <w:marLeft w:val="0"/>
      <w:marRight w:val="0"/>
      <w:marTop w:val="0"/>
      <w:marBottom w:val="0"/>
      <w:divBdr>
        <w:top w:val="none" w:sz="0" w:space="0" w:color="auto"/>
        <w:left w:val="none" w:sz="0" w:space="0" w:color="auto"/>
        <w:bottom w:val="none" w:sz="0" w:space="0" w:color="auto"/>
        <w:right w:val="none" w:sz="0" w:space="0" w:color="auto"/>
      </w:divBdr>
    </w:div>
    <w:div w:id="1348629764">
      <w:bodyDiv w:val="1"/>
      <w:marLeft w:val="0"/>
      <w:marRight w:val="0"/>
      <w:marTop w:val="0"/>
      <w:marBottom w:val="0"/>
      <w:divBdr>
        <w:top w:val="none" w:sz="0" w:space="0" w:color="auto"/>
        <w:left w:val="none" w:sz="0" w:space="0" w:color="auto"/>
        <w:bottom w:val="none" w:sz="0" w:space="0" w:color="auto"/>
        <w:right w:val="none" w:sz="0" w:space="0" w:color="auto"/>
      </w:divBdr>
    </w:div>
    <w:div w:id="1349527742">
      <w:bodyDiv w:val="1"/>
      <w:marLeft w:val="0"/>
      <w:marRight w:val="0"/>
      <w:marTop w:val="0"/>
      <w:marBottom w:val="0"/>
      <w:divBdr>
        <w:top w:val="none" w:sz="0" w:space="0" w:color="auto"/>
        <w:left w:val="none" w:sz="0" w:space="0" w:color="auto"/>
        <w:bottom w:val="none" w:sz="0" w:space="0" w:color="auto"/>
        <w:right w:val="none" w:sz="0" w:space="0" w:color="auto"/>
      </w:divBdr>
    </w:div>
    <w:div w:id="1365712885">
      <w:bodyDiv w:val="1"/>
      <w:marLeft w:val="0"/>
      <w:marRight w:val="0"/>
      <w:marTop w:val="0"/>
      <w:marBottom w:val="0"/>
      <w:divBdr>
        <w:top w:val="none" w:sz="0" w:space="0" w:color="auto"/>
        <w:left w:val="none" w:sz="0" w:space="0" w:color="auto"/>
        <w:bottom w:val="none" w:sz="0" w:space="0" w:color="auto"/>
        <w:right w:val="none" w:sz="0" w:space="0" w:color="auto"/>
      </w:divBdr>
    </w:div>
    <w:div w:id="1372412993">
      <w:bodyDiv w:val="1"/>
      <w:marLeft w:val="0"/>
      <w:marRight w:val="0"/>
      <w:marTop w:val="0"/>
      <w:marBottom w:val="0"/>
      <w:divBdr>
        <w:top w:val="none" w:sz="0" w:space="0" w:color="auto"/>
        <w:left w:val="none" w:sz="0" w:space="0" w:color="auto"/>
        <w:bottom w:val="none" w:sz="0" w:space="0" w:color="auto"/>
        <w:right w:val="none" w:sz="0" w:space="0" w:color="auto"/>
      </w:divBdr>
    </w:div>
    <w:div w:id="1376084256">
      <w:bodyDiv w:val="1"/>
      <w:marLeft w:val="0"/>
      <w:marRight w:val="0"/>
      <w:marTop w:val="0"/>
      <w:marBottom w:val="0"/>
      <w:divBdr>
        <w:top w:val="none" w:sz="0" w:space="0" w:color="auto"/>
        <w:left w:val="none" w:sz="0" w:space="0" w:color="auto"/>
        <w:bottom w:val="none" w:sz="0" w:space="0" w:color="auto"/>
        <w:right w:val="none" w:sz="0" w:space="0" w:color="auto"/>
      </w:divBdr>
    </w:div>
    <w:div w:id="1385257351">
      <w:bodyDiv w:val="1"/>
      <w:marLeft w:val="0"/>
      <w:marRight w:val="0"/>
      <w:marTop w:val="0"/>
      <w:marBottom w:val="0"/>
      <w:divBdr>
        <w:top w:val="none" w:sz="0" w:space="0" w:color="auto"/>
        <w:left w:val="none" w:sz="0" w:space="0" w:color="auto"/>
        <w:bottom w:val="none" w:sz="0" w:space="0" w:color="auto"/>
        <w:right w:val="none" w:sz="0" w:space="0" w:color="auto"/>
      </w:divBdr>
    </w:div>
    <w:div w:id="1387945704">
      <w:bodyDiv w:val="1"/>
      <w:marLeft w:val="0"/>
      <w:marRight w:val="0"/>
      <w:marTop w:val="0"/>
      <w:marBottom w:val="0"/>
      <w:divBdr>
        <w:top w:val="none" w:sz="0" w:space="0" w:color="auto"/>
        <w:left w:val="none" w:sz="0" w:space="0" w:color="auto"/>
        <w:bottom w:val="none" w:sz="0" w:space="0" w:color="auto"/>
        <w:right w:val="none" w:sz="0" w:space="0" w:color="auto"/>
      </w:divBdr>
    </w:div>
    <w:div w:id="1395814877">
      <w:bodyDiv w:val="1"/>
      <w:marLeft w:val="0"/>
      <w:marRight w:val="0"/>
      <w:marTop w:val="0"/>
      <w:marBottom w:val="0"/>
      <w:divBdr>
        <w:top w:val="none" w:sz="0" w:space="0" w:color="auto"/>
        <w:left w:val="none" w:sz="0" w:space="0" w:color="auto"/>
        <w:bottom w:val="none" w:sz="0" w:space="0" w:color="auto"/>
        <w:right w:val="none" w:sz="0" w:space="0" w:color="auto"/>
      </w:divBdr>
    </w:div>
    <w:div w:id="1402364232">
      <w:bodyDiv w:val="1"/>
      <w:marLeft w:val="0"/>
      <w:marRight w:val="0"/>
      <w:marTop w:val="0"/>
      <w:marBottom w:val="0"/>
      <w:divBdr>
        <w:top w:val="none" w:sz="0" w:space="0" w:color="auto"/>
        <w:left w:val="none" w:sz="0" w:space="0" w:color="auto"/>
        <w:bottom w:val="none" w:sz="0" w:space="0" w:color="auto"/>
        <w:right w:val="none" w:sz="0" w:space="0" w:color="auto"/>
      </w:divBdr>
    </w:div>
    <w:div w:id="1409114031">
      <w:bodyDiv w:val="1"/>
      <w:marLeft w:val="0"/>
      <w:marRight w:val="0"/>
      <w:marTop w:val="0"/>
      <w:marBottom w:val="0"/>
      <w:divBdr>
        <w:top w:val="none" w:sz="0" w:space="0" w:color="auto"/>
        <w:left w:val="none" w:sz="0" w:space="0" w:color="auto"/>
        <w:bottom w:val="none" w:sz="0" w:space="0" w:color="auto"/>
        <w:right w:val="none" w:sz="0" w:space="0" w:color="auto"/>
      </w:divBdr>
    </w:div>
    <w:div w:id="1414661758">
      <w:bodyDiv w:val="1"/>
      <w:marLeft w:val="0"/>
      <w:marRight w:val="0"/>
      <w:marTop w:val="0"/>
      <w:marBottom w:val="0"/>
      <w:divBdr>
        <w:top w:val="none" w:sz="0" w:space="0" w:color="auto"/>
        <w:left w:val="none" w:sz="0" w:space="0" w:color="auto"/>
        <w:bottom w:val="none" w:sz="0" w:space="0" w:color="auto"/>
        <w:right w:val="none" w:sz="0" w:space="0" w:color="auto"/>
      </w:divBdr>
    </w:div>
    <w:div w:id="1421298093">
      <w:bodyDiv w:val="1"/>
      <w:marLeft w:val="0"/>
      <w:marRight w:val="0"/>
      <w:marTop w:val="0"/>
      <w:marBottom w:val="0"/>
      <w:divBdr>
        <w:top w:val="none" w:sz="0" w:space="0" w:color="auto"/>
        <w:left w:val="none" w:sz="0" w:space="0" w:color="auto"/>
        <w:bottom w:val="none" w:sz="0" w:space="0" w:color="auto"/>
        <w:right w:val="none" w:sz="0" w:space="0" w:color="auto"/>
      </w:divBdr>
    </w:div>
    <w:div w:id="1422950064">
      <w:bodyDiv w:val="1"/>
      <w:marLeft w:val="0"/>
      <w:marRight w:val="0"/>
      <w:marTop w:val="0"/>
      <w:marBottom w:val="0"/>
      <w:divBdr>
        <w:top w:val="none" w:sz="0" w:space="0" w:color="auto"/>
        <w:left w:val="none" w:sz="0" w:space="0" w:color="auto"/>
        <w:bottom w:val="none" w:sz="0" w:space="0" w:color="auto"/>
        <w:right w:val="none" w:sz="0" w:space="0" w:color="auto"/>
      </w:divBdr>
    </w:div>
    <w:div w:id="1425229592">
      <w:bodyDiv w:val="1"/>
      <w:marLeft w:val="0"/>
      <w:marRight w:val="0"/>
      <w:marTop w:val="0"/>
      <w:marBottom w:val="0"/>
      <w:divBdr>
        <w:top w:val="none" w:sz="0" w:space="0" w:color="auto"/>
        <w:left w:val="none" w:sz="0" w:space="0" w:color="auto"/>
        <w:bottom w:val="none" w:sz="0" w:space="0" w:color="auto"/>
        <w:right w:val="none" w:sz="0" w:space="0" w:color="auto"/>
      </w:divBdr>
    </w:div>
    <w:div w:id="1439712244">
      <w:bodyDiv w:val="1"/>
      <w:marLeft w:val="0"/>
      <w:marRight w:val="0"/>
      <w:marTop w:val="0"/>
      <w:marBottom w:val="0"/>
      <w:divBdr>
        <w:top w:val="none" w:sz="0" w:space="0" w:color="auto"/>
        <w:left w:val="none" w:sz="0" w:space="0" w:color="auto"/>
        <w:bottom w:val="none" w:sz="0" w:space="0" w:color="auto"/>
        <w:right w:val="none" w:sz="0" w:space="0" w:color="auto"/>
      </w:divBdr>
      <w:divsChild>
        <w:div w:id="1028916596">
          <w:marLeft w:val="0"/>
          <w:marRight w:val="0"/>
          <w:marTop w:val="0"/>
          <w:marBottom w:val="0"/>
          <w:divBdr>
            <w:top w:val="none" w:sz="0" w:space="0" w:color="auto"/>
            <w:left w:val="none" w:sz="0" w:space="0" w:color="auto"/>
            <w:bottom w:val="none" w:sz="0" w:space="0" w:color="auto"/>
            <w:right w:val="none" w:sz="0" w:space="0" w:color="auto"/>
          </w:divBdr>
          <w:divsChild>
            <w:div w:id="464466689">
              <w:marLeft w:val="0"/>
              <w:marRight w:val="0"/>
              <w:marTop w:val="0"/>
              <w:marBottom w:val="0"/>
              <w:divBdr>
                <w:top w:val="none" w:sz="0" w:space="0" w:color="auto"/>
                <w:left w:val="none" w:sz="0" w:space="0" w:color="auto"/>
                <w:bottom w:val="none" w:sz="0" w:space="0" w:color="auto"/>
                <w:right w:val="none" w:sz="0" w:space="0" w:color="auto"/>
              </w:divBdr>
              <w:divsChild>
                <w:div w:id="31996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828636">
          <w:marLeft w:val="0"/>
          <w:marRight w:val="0"/>
          <w:marTop w:val="0"/>
          <w:marBottom w:val="0"/>
          <w:divBdr>
            <w:top w:val="none" w:sz="0" w:space="0" w:color="auto"/>
            <w:left w:val="none" w:sz="0" w:space="0" w:color="auto"/>
            <w:bottom w:val="none" w:sz="0" w:space="0" w:color="auto"/>
            <w:right w:val="none" w:sz="0" w:space="0" w:color="auto"/>
          </w:divBdr>
          <w:divsChild>
            <w:div w:id="123499386">
              <w:marLeft w:val="0"/>
              <w:marRight w:val="0"/>
              <w:marTop w:val="0"/>
              <w:marBottom w:val="0"/>
              <w:divBdr>
                <w:top w:val="none" w:sz="0" w:space="0" w:color="auto"/>
                <w:left w:val="none" w:sz="0" w:space="0" w:color="auto"/>
                <w:bottom w:val="none" w:sz="0" w:space="0" w:color="auto"/>
                <w:right w:val="none" w:sz="0" w:space="0" w:color="auto"/>
              </w:divBdr>
              <w:divsChild>
                <w:div w:id="1307204181">
                  <w:marLeft w:val="0"/>
                  <w:marRight w:val="0"/>
                  <w:marTop w:val="0"/>
                  <w:marBottom w:val="0"/>
                  <w:divBdr>
                    <w:top w:val="none" w:sz="0" w:space="0" w:color="auto"/>
                    <w:left w:val="none" w:sz="0" w:space="0" w:color="auto"/>
                    <w:bottom w:val="none" w:sz="0" w:space="0" w:color="auto"/>
                    <w:right w:val="none" w:sz="0" w:space="0" w:color="auto"/>
                  </w:divBdr>
                  <w:divsChild>
                    <w:div w:id="12687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685321">
      <w:bodyDiv w:val="1"/>
      <w:marLeft w:val="0"/>
      <w:marRight w:val="0"/>
      <w:marTop w:val="0"/>
      <w:marBottom w:val="0"/>
      <w:divBdr>
        <w:top w:val="none" w:sz="0" w:space="0" w:color="auto"/>
        <w:left w:val="none" w:sz="0" w:space="0" w:color="auto"/>
        <w:bottom w:val="none" w:sz="0" w:space="0" w:color="auto"/>
        <w:right w:val="none" w:sz="0" w:space="0" w:color="auto"/>
      </w:divBdr>
    </w:div>
    <w:div w:id="1446345919">
      <w:bodyDiv w:val="1"/>
      <w:marLeft w:val="0"/>
      <w:marRight w:val="0"/>
      <w:marTop w:val="0"/>
      <w:marBottom w:val="0"/>
      <w:divBdr>
        <w:top w:val="none" w:sz="0" w:space="0" w:color="auto"/>
        <w:left w:val="none" w:sz="0" w:space="0" w:color="auto"/>
        <w:bottom w:val="none" w:sz="0" w:space="0" w:color="auto"/>
        <w:right w:val="none" w:sz="0" w:space="0" w:color="auto"/>
      </w:divBdr>
    </w:div>
    <w:div w:id="1448894145">
      <w:bodyDiv w:val="1"/>
      <w:marLeft w:val="0"/>
      <w:marRight w:val="0"/>
      <w:marTop w:val="0"/>
      <w:marBottom w:val="0"/>
      <w:divBdr>
        <w:top w:val="none" w:sz="0" w:space="0" w:color="auto"/>
        <w:left w:val="none" w:sz="0" w:space="0" w:color="auto"/>
        <w:bottom w:val="none" w:sz="0" w:space="0" w:color="auto"/>
        <w:right w:val="none" w:sz="0" w:space="0" w:color="auto"/>
      </w:divBdr>
    </w:div>
    <w:div w:id="1453863563">
      <w:bodyDiv w:val="1"/>
      <w:marLeft w:val="0"/>
      <w:marRight w:val="0"/>
      <w:marTop w:val="0"/>
      <w:marBottom w:val="0"/>
      <w:divBdr>
        <w:top w:val="none" w:sz="0" w:space="0" w:color="auto"/>
        <w:left w:val="none" w:sz="0" w:space="0" w:color="auto"/>
        <w:bottom w:val="none" w:sz="0" w:space="0" w:color="auto"/>
        <w:right w:val="none" w:sz="0" w:space="0" w:color="auto"/>
      </w:divBdr>
    </w:div>
    <w:div w:id="1458834419">
      <w:bodyDiv w:val="1"/>
      <w:marLeft w:val="0"/>
      <w:marRight w:val="0"/>
      <w:marTop w:val="0"/>
      <w:marBottom w:val="0"/>
      <w:divBdr>
        <w:top w:val="none" w:sz="0" w:space="0" w:color="auto"/>
        <w:left w:val="none" w:sz="0" w:space="0" w:color="auto"/>
        <w:bottom w:val="none" w:sz="0" w:space="0" w:color="auto"/>
        <w:right w:val="none" w:sz="0" w:space="0" w:color="auto"/>
      </w:divBdr>
    </w:div>
    <w:div w:id="1469932158">
      <w:bodyDiv w:val="1"/>
      <w:marLeft w:val="0"/>
      <w:marRight w:val="0"/>
      <w:marTop w:val="0"/>
      <w:marBottom w:val="0"/>
      <w:divBdr>
        <w:top w:val="none" w:sz="0" w:space="0" w:color="auto"/>
        <w:left w:val="none" w:sz="0" w:space="0" w:color="auto"/>
        <w:bottom w:val="none" w:sz="0" w:space="0" w:color="auto"/>
        <w:right w:val="none" w:sz="0" w:space="0" w:color="auto"/>
      </w:divBdr>
    </w:div>
    <w:div w:id="1470516610">
      <w:bodyDiv w:val="1"/>
      <w:marLeft w:val="0"/>
      <w:marRight w:val="0"/>
      <w:marTop w:val="0"/>
      <w:marBottom w:val="0"/>
      <w:divBdr>
        <w:top w:val="none" w:sz="0" w:space="0" w:color="auto"/>
        <w:left w:val="none" w:sz="0" w:space="0" w:color="auto"/>
        <w:bottom w:val="none" w:sz="0" w:space="0" w:color="auto"/>
        <w:right w:val="none" w:sz="0" w:space="0" w:color="auto"/>
      </w:divBdr>
    </w:div>
    <w:div w:id="1483809873">
      <w:bodyDiv w:val="1"/>
      <w:marLeft w:val="0"/>
      <w:marRight w:val="0"/>
      <w:marTop w:val="0"/>
      <w:marBottom w:val="0"/>
      <w:divBdr>
        <w:top w:val="none" w:sz="0" w:space="0" w:color="auto"/>
        <w:left w:val="none" w:sz="0" w:space="0" w:color="auto"/>
        <w:bottom w:val="none" w:sz="0" w:space="0" w:color="auto"/>
        <w:right w:val="none" w:sz="0" w:space="0" w:color="auto"/>
      </w:divBdr>
    </w:div>
    <w:div w:id="1484614809">
      <w:bodyDiv w:val="1"/>
      <w:marLeft w:val="0"/>
      <w:marRight w:val="0"/>
      <w:marTop w:val="0"/>
      <w:marBottom w:val="0"/>
      <w:divBdr>
        <w:top w:val="none" w:sz="0" w:space="0" w:color="auto"/>
        <w:left w:val="none" w:sz="0" w:space="0" w:color="auto"/>
        <w:bottom w:val="none" w:sz="0" w:space="0" w:color="auto"/>
        <w:right w:val="none" w:sz="0" w:space="0" w:color="auto"/>
      </w:divBdr>
    </w:div>
    <w:div w:id="1488283165">
      <w:bodyDiv w:val="1"/>
      <w:marLeft w:val="0"/>
      <w:marRight w:val="0"/>
      <w:marTop w:val="0"/>
      <w:marBottom w:val="0"/>
      <w:divBdr>
        <w:top w:val="none" w:sz="0" w:space="0" w:color="auto"/>
        <w:left w:val="none" w:sz="0" w:space="0" w:color="auto"/>
        <w:bottom w:val="none" w:sz="0" w:space="0" w:color="auto"/>
        <w:right w:val="none" w:sz="0" w:space="0" w:color="auto"/>
      </w:divBdr>
    </w:div>
    <w:div w:id="1513836697">
      <w:bodyDiv w:val="1"/>
      <w:marLeft w:val="0"/>
      <w:marRight w:val="0"/>
      <w:marTop w:val="0"/>
      <w:marBottom w:val="0"/>
      <w:divBdr>
        <w:top w:val="none" w:sz="0" w:space="0" w:color="auto"/>
        <w:left w:val="none" w:sz="0" w:space="0" w:color="auto"/>
        <w:bottom w:val="none" w:sz="0" w:space="0" w:color="auto"/>
        <w:right w:val="none" w:sz="0" w:space="0" w:color="auto"/>
      </w:divBdr>
    </w:div>
    <w:div w:id="1514878356">
      <w:bodyDiv w:val="1"/>
      <w:marLeft w:val="0"/>
      <w:marRight w:val="0"/>
      <w:marTop w:val="0"/>
      <w:marBottom w:val="0"/>
      <w:divBdr>
        <w:top w:val="none" w:sz="0" w:space="0" w:color="auto"/>
        <w:left w:val="none" w:sz="0" w:space="0" w:color="auto"/>
        <w:bottom w:val="none" w:sz="0" w:space="0" w:color="auto"/>
        <w:right w:val="none" w:sz="0" w:space="0" w:color="auto"/>
      </w:divBdr>
    </w:div>
    <w:div w:id="1525169741">
      <w:bodyDiv w:val="1"/>
      <w:marLeft w:val="0"/>
      <w:marRight w:val="0"/>
      <w:marTop w:val="0"/>
      <w:marBottom w:val="0"/>
      <w:divBdr>
        <w:top w:val="none" w:sz="0" w:space="0" w:color="auto"/>
        <w:left w:val="none" w:sz="0" w:space="0" w:color="auto"/>
        <w:bottom w:val="none" w:sz="0" w:space="0" w:color="auto"/>
        <w:right w:val="none" w:sz="0" w:space="0" w:color="auto"/>
      </w:divBdr>
    </w:div>
    <w:div w:id="1532913213">
      <w:bodyDiv w:val="1"/>
      <w:marLeft w:val="0"/>
      <w:marRight w:val="0"/>
      <w:marTop w:val="0"/>
      <w:marBottom w:val="0"/>
      <w:divBdr>
        <w:top w:val="none" w:sz="0" w:space="0" w:color="auto"/>
        <w:left w:val="none" w:sz="0" w:space="0" w:color="auto"/>
        <w:bottom w:val="none" w:sz="0" w:space="0" w:color="auto"/>
        <w:right w:val="none" w:sz="0" w:space="0" w:color="auto"/>
      </w:divBdr>
    </w:div>
    <w:div w:id="1550805538">
      <w:bodyDiv w:val="1"/>
      <w:marLeft w:val="0"/>
      <w:marRight w:val="0"/>
      <w:marTop w:val="0"/>
      <w:marBottom w:val="0"/>
      <w:divBdr>
        <w:top w:val="none" w:sz="0" w:space="0" w:color="auto"/>
        <w:left w:val="none" w:sz="0" w:space="0" w:color="auto"/>
        <w:bottom w:val="none" w:sz="0" w:space="0" w:color="auto"/>
        <w:right w:val="none" w:sz="0" w:space="0" w:color="auto"/>
      </w:divBdr>
    </w:div>
    <w:div w:id="1557429383">
      <w:bodyDiv w:val="1"/>
      <w:marLeft w:val="0"/>
      <w:marRight w:val="0"/>
      <w:marTop w:val="0"/>
      <w:marBottom w:val="0"/>
      <w:divBdr>
        <w:top w:val="none" w:sz="0" w:space="0" w:color="auto"/>
        <w:left w:val="none" w:sz="0" w:space="0" w:color="auto"/>
        <w:bottom w:val="none" w:sz="0" w:space="0" w:color="auto"/>
        <w:right w:val="none" w:sz="0" w:space="0" w:color="auto"/>
      </w:divBdr>
    </w:div>
    <w:div w:id="1567111869">
      <w:bodyDiv w:val="1"/>
      <w:marLeft w:val="0"/>
      <w:marRight w:val="0"/>
      <w:marTop w:val="0"/>
      <w:marBottom w:val="0"/>
      <w:divBdr>
        <w:top w:val="none" w:sz="0" w:space="0" w:color="auto"/>
        <w:left w:val="none" w:sz="0" w:space="0" w:color="auto"/>
        <w:bottom w:val="none" w:sz="0" w:space="0" w:color="auto"/>
        <w:right w:val="none" w:sz="0" w:space="0" w:color="auto"/>
      </w:divBdr>
    </w:div>
    <w:div w:id="1574659042">
      <w:bodyDiv w:val="1"/>
      <w:marLeft w:val="0"/>
      <w:marRight w:val="0"/>
      <w:marTop w:val="0"/>
      <w:marBottom w:val="0"/>
      <w:divBdr>
        <w:top w:val="none" w:sz="0" w:space="0" w:color="auto"/>
        <w:left w:val="none" w:sz="0" w:space="0" w:color="auto"/>
        <w:bottom w:val="none" w:sz="0" w:space="0" w:color="auto"/>
        <w:right w:val="none" w:sz="0" w:space="0" w:color="auto"/>
      </w:divBdr>
    </w:div>
    <w:div w:id="1597055008">
      <w:bodyDiv w:val="1"/>
      <w:marLeft w:val="0"/>
      <w:marRight w:val="0"/>
      <w:marTop w:val="0"/>
      <w:marBottom w:val="0"/>
      <w:divBdr>
        <w:top w:val="none" w:sz="0" w:space="0" w:color="auto"/>
        <w:left w:val="none" w:sz="0" w:space="0" w:color="auto"/>
        <w:bottom w:val="none" w:sz="0" w:space="0" w:color="auto"/>
        <w:right w:val="none" w:sz="0" w:space="0" w:color="auto"/>
      </w:divBdr>
    </w:div>
    <w:div w:id="1627464793">
      <w:bodyDiv w:val="1"/>
      <w:marLeft w:val="0"/>
      <w:marRight w:val="0"/>
      <w:marTop w:val="0"/>
      <w:marBottom w:val="0"/>
      <w:divBdr>
        <w:top w:val="none" w:sz="0" w:space="0" w:color="auto"/>
        <w:left w:val="none" w:sz="0" w:space="0" w:color="auto"/>
        <w:bottom w:val="none" w:sz="0" w:space="0" w:color="auto"/>
        <w:right w:val="none" w:sz="0" w:space="0" w:color="auto"/>
      </w:divBdr>
      <w:divsChild>
        <w:div w:id="1544176874">
          <w:marLeft w:val="0"/>
          <w:marRight w:val="0"/>
          <w:marTop w:val="0"/>
          <w:marBottom w:val="0"/>
          <w:divBdr>
            <w:top w:val="none" w:sz="0" w:space="0" w:color="auto"/>
            <w:left w:val="none" w:sz="0" w:space="0" w:color="auto"/>
            <w:bottom w:val="none" w:sz="0" w:space="0" w:color="auto"/>
            <w:right w:val="none" w:sz="0" w:space="0" w:color="auto"/>
          </w:divBdr>
          <w:divsChild>
            <w:div w:id="1244534554">
              <w:marLeft w:val="0"/>
              <w:marRight w:val="0"/>
              <w:marTop w:val="0"/>
              <w:marBottom w:val="0"/>
              <w:divBdr>
                <w:top w:val="none" w:sz="0" w:space="0" w:color="auto"/>
                <w:left w:val="none" w:sz="0" w:space="0" w:color="auto"/>
                <w:bottom w:val="none" w:sz="0" w:space="0" w:color="auto"/>
                <w:right w:val="none" w:sz="0" w:space="0" w:color="auto"/>
              </w:divBdr>
              <w:divsChild>
                <w:div w:id="51407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851657">
      <w:bodyDiv w:val="1"/>
      <w:marLeft w:val="0"/>
      <w:marRight w:val="0"/>
      <w:marTop w:val="0"/>
      <w:marBottom w:val="0"/>
      <w:divBdr>
        <w:top w:val="none" w:sz="0" w:space="0" w:color="auto"/>
        <w:left w:val="none" w:sz="0" w:space="0" w:color="auto"/>
        <w:bottom w:val="none" w:sz="0" w:space="0" w:color="auto"/>
        <w:right w:val="none" w:sz="0" w:space="0" w:color="auto"/>
      </w:divBdr>
    </w:div>
    <w:div w:id="1654407475">
      <w:bodyDiv w:val="1"/>
      <w:marLeft w:val="0"/>
      <w:marRight w:val="0"/>
      <w:marTop w:val="0"/>
      <w:marBottom w:val="0"/>
      <w:divBdr>
        <w:top w:val="none" w:sz="0" w:space="0" w:color="auto"/>
        <w:left w:val="none" w:sz="0" w:space="0" w:color="auto"/>
        <w:bottom w:val="none" w:sz="0" w:space="0" w:color="auto"/>
        <w:right w:val="none" w:sz="0" w:space="0" w:color="auto"/>
      </w:divBdr>
    </w:div>
    <w:div w:id="1666663362">
      <w:bodyDiv w:val="1"/>
      <w:marLeft w:val="0"/>
      <w:marRight w:val="0"/>
      <w:marTop w:val="0"/>
      <w:marBottom w:val="0"/>
      <w:divBdr>
        <w:top w:val="none" w:sz="0" w:space="0" w:color="auto"/>
        <w:left w:val="none" w:sz="0" w:space="0" w:color="auto"/>
        <w:bottom w:val="none" w:sz="0" w:space="0" w:color="auto"/>
        <w:right w:val="none" w:sz="0" w:space="0" w:color="auto"/>
      </w:divBdr>
    </w:div>
    <w:div w:id="1677879819">
      <w:bodyDiv w:val="1"/>
      <w:marLeft w:val="0"/>
      <w:marRight w:val="0"/>
      <w:marTop w:val="0"/>
      <w:marBottom w:val="0"/>
      <w:divBdr>
        <w:top w:val="none" w:sz="0" w:space="0" w:color="auto"/>
        <w:left w:val="none" w:sz="0" w:space="0" w:color="auto"/>
        <w:bottom w:val="none" w:sz="0" w:space="0" w:color="auto"/>
        <w:right w:val="none" w:sz="0" w:space="0" w:color="auto"/>
      </w:divBdr>
    </w:div>
    <w:div w:id="1682661596">
      <w:bodyDiv w:val="1"/>
      <w:marLeft w:val="0"/>
      <w:marRight w:val="0"/>
      <w:marTop w:val="0"/>
      <w:marBottom w:val="0"/>
      <w:divBdr>
        <w:top w:val="none" w:sz="0" w:space="0" w:color="auto"/>
        <w:left w:val="none" w:sz="0" w:space="0" w:color="auto"/>
        <w:bottom w:val="none" w:sz="0" w:space="0" w:color="auto"/>
        <w:right w:val="none" w:sz="0" w:space="0" w:color="auto"/>
      </w:divBdr>
    </w:div>
    <w:div w:id="1685355659">
      <w:bodyDiv w:val="1"/>
      <w:marLeft w:val="0"/>
      <w:marRight w:val="0"/>
      <w:marTop w:val="0"/>
      <w:marBottom w:val="0"/>
      <w:divBdr>
        <w:top w:val="none" w:sz="0" w:space="0" w:color="auto"/>
        <w:left w:val="none" w:sz="0" w:space="0" w:color="auto"/>
        <w:bottom w:val="none" w:sz="0" w:space="0" w:color="auto"/>
        <w:right w:val="none" w:sz="0" w:space="0" w:color="auto"/>
      </w:divBdr>
    </w:div>
    <w:div w:id="1696417619">
      <w:bodyDiv w:val="1"/>
      <w:marLeft w:val="0"/>
      <w:marRight w:val="0"/>
      <w:marTop w:val="0"/>
      <w:marBottom w:val="0"/>
      <w:divBdr>
        <w:top w:val="none" w:sz="0" w:space="0" w:color="auto"/>
        <w:left w:val="none" w:sz="0" w:space="0" w:color="auto"/>
        <w:bottom w:val="none" w:sz="0" w:space="0" w:color="auto"/>
        <w:right w:val="none" w:sz="0" w:space="0" w:color="auto"/>
      </w:divBdr>
    </w:div>
    <w:div w:id="1698501323">
      <w:bodyDiv w:val="1"/>
      <w:marLeft w:val="0"/>
      <w:marRight w:val="0"/>
      <w:marTop w:val="0"/>
      <w:marBottom w:val="0"/>
      <w:divBdr>
        <w:top w:val="none" w:sz="0" w:space="0" w:color="auto"/>
        <w:left w:val="none" w:sz="0" w:space="0" w:color="auto"/>
        <w:bottom w:val="none" w:sz="0" w:space="0" w:color="auto"/>
        <w:right w:val="none" w:sz="0" w:space="0" w:color="auto"/>
      </w:divBdr>
    </w:div>
    <w:div w:id="1699045834">
      <w:bodyDiv w:val="1"/>
      <w:marLeft w:val="0"/>
      <w:marRight w:val="0"/>
      <w:marTop w:val="0"/>
      <w:marBottom w:val="0"/>
      <w:divBdr>
        <w:top w:val="none" w:sz="0" w:space="0" w:color="auto"/>
        <w:left w:val="none" w:sz="0" w:space="0" w:color="auto"/>
        <w:bottom w:val="none" w:sz="0" w:space="0" w:color="auto"/>
        <w:right w:val="none" w:sz="0" w:space="0" w:color="auto"/>
      </w:divBdr>
    </w:div>
    <w:div w:id="1701465667">
      <w:bodyDiv w:val="1"/>
      <w:marLeft w:val="0"/>
      <w:marRight w:val="0"/>
      <w:marTop w:val="0"/>
      <w:marBottom w:val="0"/>
      <w:divBdr>
        <w:top w:val="none" w:sz="0" w:space="0" w:color="auto"/>
        <w:left w:val="none" w:sz="0" w:space="0" w:color="auto"/>
        <w:bottom w:val="none" w:sz="0" w:space="0" w:color="auto"/>
        <w:right w:val="none" w:sz="0" w:space="0" w:color="auto"/>
      </w:divBdr>
    </w:div>
    <w:div w:id="1707831124">
      <w:bodyDiv w:val="1"/>
      <w:marLeft w:val="0"/>
      <w:marRight w:val="0"/>
      <w:marTop w:val="0"/>
      <w:marBottom w:val="0"/>
      <w:divBdr>
        <w:top w:val="none" w:sz="0" w:space="0" w:color="auto"/>
        <w:left w:val="none" w:sz="0" w:space="0" w:color="auto"/>
        <w:bottom w:val="none" w:sz="0" w:space="0" w:color="auto"/>
        <w:right w:val="none" w:sz="0" w:space="0" w:color="auto"/>
      </w:divBdr>
    </w:div>
    <w:div w:id="1713923353">
      <w:bodyDiv w:val="1"/>
      <w:marLeft w:val="0"/>
      <w:marRight w:val="0"/>
      <w:marTop w:val="0"/>
      <w:marBottom w:val="0"/>
      <w:divBdr>
        <w:top w:val="none" w:sz="0" w:space="0" w:color="auto"/>
        <w:left w:val="none" w:sz="0" w:space="0" w:color="auto"/>
        <w:bottom w:val="none" w:sz="0" w:space="0" w:color="auto"/>
        <w:right w:val="none" w:sz="0" w:space="0" w:color="auto"/>
      </w:divBdr>
    </w:div>
    <w:div w:id="1714377934">
      <w:bodyDiv w:val="1"/>
      <w:marLeft w:val="0"/>
      <w:marRight w:val="0"/>
      <w:marTop w:val="0"/>
      <w:marBottom w:val="0"/>
      <w:divBdr>
        <w:top w:val="none" w:sz="0" w:space="0" w:color="auto"/>
        <w:left w:val="none" w:sz="0" w:space="0" w:color="auto"/>
        <w:bottom w:val="none" w:sz="0" w:space="0" w:color="auto"/>
        <w:right w:val="none" w:sz="0" w:space="0" w:color="auto"/>
      </w:divBdr>
    </w:div>
    <w:div w:id="1716587968">
      <w:bodyDiv w:val="1"/>
      <w:marLeft w:val="0"/>
      <w:marRight w:val="0"/>
      <w:marTop w:val="0"/>
      <w:marBottom w:val="0"/>
      <w:divBdr>
        <w:top w:val="none" w:sz="0" w:space="0" w:color="auto"/>
        <w:left w:val="none" w:sz="0" w:space="0" w:color="auto"/>
        <w:bottom w:val="none" w:sz="0" w:space="0" w:color="auto"/>
        <w:right w:val="none" w:sz="0" w:space="0" w:color="auto"/>
      </w:divBdr>
    </w:div>
    <w:div w:id="1722360358">
      <w:bodyDiv w:val="1"/>
      <w:marLeft w:val="0"/>
      <w:marRight w:val="0"/>
      <w:marTop w:val="0"/>
      <w:marBottom w:val="0"/>
      <w:divBdr>
        <w:top w:val="none" w:sz="0" w:space="0" w:color="auto"/>
        <w:left w:val="none" w:sz="0" w:space="0" w:color="auto"/>
        <w:bottom w:val="none" w:sz="0" w:space="0" w:color="auto"/>
        <w:right w:val="none" w:sz="0" w:space="0" w:color="auto"/>
      </w:divBdr>
    </w:div>
    <w:div w:id="1728336589">
      <w:bodyDiv w:val="1"/>
      <w:marLeft w:val="0"/>
      <w:marRight w:val="0"/>
      <w:marTop w:val="0"/>
      <w:marBottom w:val="0"/>
      <w:divBdr>
        <w:top w:val="none" w:sz="0" w:space="0" w:color="auto"/>
        <w:left w:val="none" w:sz="0" w:space="0" w:color="auto"/>
        <w:bottom w:val="none" w:sz="0" w:space="0" w:color="auto"/>
        <w:right w:val="none" w:sz="0" w:space="0" w:color="auto"/>
      </w:divBdr>
    </w:div>
    <w:div w:id="1732457544">
      <w:bodyDiv w:val="1"/>
      <w:marLeft w:val="0"/>
      <w:marRight w:val="0"/>
      <w:marTop w:val="0"/>
      <w:marBottom w:val="0"/>
      <w:divBdr>
        <w:top w:val="none" w:sz="0" w:space="0" w:color="auto"/>
        <w:left w:val="none" w:sz="0" w:space="0" w:color="auto"/>
        <w:bottom w:val="none" w:sz="0" w:space="0" w:color="auto"/>
        <w:right w:val="none" w:sz="0" w:space="0" w:color="auto"/>
      </w:divBdr>
    </w:div>
    <w:div w:id="1737704375">
      <w:bodyDiv w:val="1"/>
      <w:marLeft w:val="0"/>
      <w:marRight w:val="0"/>
      <w:marTop w:val="0"/>
      <w:marBottom w:val="0"/>
      <w:divBdr>
        <w:top w:val="none" w:sz="0" w:space="0" w:color="auto"/>
        <w:left w:val="none" w:sz="0" w:space="0" w:color="auto"/>
        <w:bottom w:val="none" w:sz="0" w:space="0" w:color="auto"/>
        <w:right w:val="none" w:sz="0" w:space="0" w:color="auto"/>
      </w:divBdr>
    </w:div>
    <w:div w:id="1747459429">
      <w:bodyDiv w:val="1"/>
      <w:marLeft w:val="0"/>
      <w:marRight w:val="0"/>
      <w:marTop w:val="0"/>
      <w:marBottom w:val="0"/>
      <w:divBdr>
        <w:top w:val="none" w:sz="0" w:space="0" w:color="auto"/>
        <w:left w:val="none" w:sz="0" w:space="0" w:color="auto"/>
        <w:bottom w:val="none" w:sz="0" w:space="0" w:color="auto"/>
        <w:right w:val="none" w:sz="0" w:space="0" w:color="auto"/>
      </w:divBdr>
    </w:div>
    <w:div w:id="1753891263">
      <w:bodyDiv w:val="1"/>
      <w:marLeft w:val="0"/>
      <w:marRight w:val="0"/>
      <w:marTop w:val="0"/>
      <w:marBottom w:val="0"/>
      <w:divBdr>
        <w:top w:val="none" w:sz="0" w:space="0" w:color="auto"/>
        <w:left w:val="none" w:sz="0" w:space="0" w:color="auto"/>
        <w:bottom w:val="none" w:sz="0" w:space="0" w:color="auto"/>
        <w:right w:val="none" w:sz="0" w:space="0" w:color="auto"/>
      </w:divBdr>
    </w:div>
    <w:div w:id="1757167755">
      <w:bodyDiv w:val="1"/>
      <w:marLeft w:val="0"/>
      <w:marRight w:val="0"/>
      <w:marTop w:val="0"/>
      <w:marBottom w:val="0"/>
      <w:divBdr>
        <w:top w:val="none" w:sz="0" w:space="0" w:color="auto"/>
        <w:left w:val="none" w:sz="0" w:space="0" w:color="auto"/>
        <w:bottom w:val="none" w:sz="0" w:space="0" w:color="auto"/>
        <w:right w:val="none" w:sz="0" w:space="0" w:color="auto"/>
      </w:divBdr>
    </w:div>
    <w:div w:id="1758360605">
      <w:bodyDiv w:val="1"/>
      <w:marLeft w:val="0"/>
      <w:marRight w:val="0"/>
      <w:marTop w:val="0"/>
      <w:marBottom w:val="0"/>
      <w:divBdr>
        <w:top w:val="none" w:sz="0" w:space="0" w:color="auto"/>
        <w:left w:val="none" w:sz="0" w:space="0" w:color="auto"/>
        <w:bottom w:val="none" w:sz="0" w:space="0" w:color="auto"/>
        <w:right w:val="none" w:sz="0" w:space="0" w:color="auto"/>
      </w:divBdr>
    </w:div>
    <w:div w:id="1764453137">
      <w:bodyDiv w:val="1"/>
      <w:marLeft w:val="0"/>
      <w:marRight w:val="0"/>
      <w:marTop w:val="0"/>
      <w:marBottom w:val="0"/>
      <w:divBdr>
        <w:top w:val="none" w:sz="0" w:space="0" w:color="auto"/>
        <w:left w:val="none" w:sz="0" w:space="0" w:color="auto"/>
        <w:bottom w:val="none" w:sz="0" w:space="0" w:color="auto"/>
        <w:right w:val="none" w:sz="0" w:space="0" w:color="auto"/>
      </w:divBdr>
    </w:div>
    <w:div w:id="1775131421">
      <w:bodyDiv w:val="1"/>
      <w:marLeft w:val="0"/>
      <w:marRight w:val="0"/>
      <w:marTop w:val="0"/>
      <w:marBottom w:val="0"/>
      <w:divBdr>
        <w:top w:val="none" w:sz="0" w:space="0" w:color="auto"/>
        <w:left w:val="none" w:sz="0" w:space="0" w:color="auto"/>
        <w:bottom w:val="none" w:sz="0" w:space="0" w:color="auto"/>
        <w:right w:val="none" w:sz="0" w:space="0" w:color="auto"/>
      </w:divBdr>
    </w:div>
    <w:div w:id="1775787698">
      <w:bodyDiv w:val="1"/>
      <w:marLeft w:val="0"/>
      <w:marRight w:val="0"/>
      <w:marTop w:val="0"/>
      <w:marBottom w:val="0"/>
      <w:divBdr>
        <w:top w:val="none" w:sz="0" w:space="0" w:color="auto"/>
        <w:left w:val="none" w:sz="0" w:space="0" w:color="auto"/>
        <w:bottom w:val="none" w:sz="0" w:space="0" w:color="auto"/>
        <w:right w:val="none" w:sz="0" w:space="0" w:color="auto"/>
      </w:divBdr>
    </w:div>
    <w:div w:id="1786193654">
      <w:bodyDiv w:val="1"/>
      <w:marLeft w:val="0"/>
      <w:marRight w:val="0"/>
      <w:marTop w:val="0"/>
      <w:marBottom w:val="0"/>
      <w:divBdr>
        <w:top w:val="none" w:sz="0" w:space="0" w:color="auto"/>
        <w:left w:val="none" w:sz="0" w:space="0" w:color="auto"/>
        <w:bottom w:val="none" w:sz="0" w:space="0" w:color="auto"/>
        <w:right w:val="none" w:sz="0" w:space="0" w:color="auto"/>
      </w:divBdr>
    </w:div>
    <w:div w:id="1787848204">
      <w:bodyDiv w:val="1"/>
      <w:marLeft w:val="0"/>
      <w:marRight w:val="0"/>
      <w:marTop w:val="0"/>
      <w:marBottom w:val="0"/>
      <w:divBdr>
        <w:top w:val="none" w:sz="0" w:space="0" w:color="auto"/>
        <w:left w:val="none" w:sz="0" w:space="0" w:color="auto"/>
        <w:bottom w:val="none" w:sz="0" w:space="0" w:color="auto"/>
        <w:right w:val="none" w:sz="0" w:space="0" w:color="auto"/>
      </w:divBdr>
    </w:div>
    <w:div w:id="1800032658">
      <w:bodyDiv w:val="1"/>
      <w:marLeft w:val="0"/>
      <w:marRight w:val="0"/>
      <w:marTop w:val="0"/>
      <w:marBottom w:val="0"/>
      <w:divBdr>
        <w:top w:val="none" w:sz="0" w:space="0" w:color="auto"/>
        <w:left w:val="none" w:sz="0" w:space="0" w:color="auto"/>
        <w:bottom w:val="none" w:sz="0" w:space="0" w:color="auto"/>
        <w:right w:val="none" w:sz="0" w:space="0" w:color="auto"/>
      </w:divBdr>
    </w:div>
    <w:div w:id="1803577114">
      <w:bodyDiv w:val="1"/>
      <w:marLeft w:val="0"/>
      <w:marRight w:val="0"/>
      <w:marTop w:val="0"/>
      <w:marBottom w:val="0"/>
      <w:divBdr>
        <w:top w:val="none" w:sz="0" w:space="0" w:color="auto"/>
        <w:left w:val="none" w:sz="0" w:space="0" w:color="auto"/>
        <w:bottom w:val="none" w:sz="0" w:space="0" w:color="auto"/>
        <w:right w:val="none" w:sz="0" w:space="0" w:color="auto"/>
      </w:divBdr>
    </w:div>
    <w:div w:id="1830779831">
      <w:bodyDiv w:val="1"/>
      <w:marLeft w:val="0"/>
      <w:marRight w:val="0"/>
      <w:marTop w:val="0"/>
      <w:marBottom w:val="0"/>
      <w:divBdr>
        <w:top w:val="none" w:sz="0" w:space="0" w:color="auto"/>
        <w:left w:val="none" w:sz="0" w:space="0" w:color="auto"/>
        <w:bottom w:val="none" w:sz="0" w:space="0" w:color="auto"/>
        <w:right w:val="none" w:sz="0" w:space="0" w:color="auto"/>
      </w:divBdr>
    </w:div>
    <w:div w:id="1832520032">
      <w:bodyDiv w:val="1"/>
      <w:marLeft w:val="0"/>
      <w:marRight w:val="0"/>
      <w:marTop w:val="0"/>
      <w:marBottom w:val="0"/>
      <w:divBdr>
        <w:top w:val="none" w:sz="0" w:space="0" w:color="auto"/>
        <w:left w:val="none" w:sz="0" w:space="0" w:color="auto"/>
        <w:bottom w:val="none" w:sz="0" w:space="0" w:color="auto"/>
        <w:right w:val="none" w:sz="0" w:space="0" w:color="auto"/>
      </w:divBdr>
    </w:div>
    <w:div w:id="1835143517">
      <w:bodyDiv w:val="1"/>
      <w:marLeft w:val="0"/>
      <w:marRight w:val="0"/>
      <w:marTop w:val="0"/>
      <w:marBottom w:val="0"/>
      <w:divBdr>
        <w:top w:val="none" w:sz="0" w:space="0" w:color="auto"/>
        <w:left w:val="none" w:sz="0" w:space="0" w:color="auto"/>
        <w:bottom w:val="none" w:sz="0" w:space="0" w:color="auto"/>
        <w:right w:val="none" w:sz="0" w:space="0" w:color="auto"/>
      </w:divBdr>
    </w:div>
    <w:div w:id="1838380775">
      <w:bodyDiv w:val="1"/>
      <w:marLeft w:val="0"/>
      <w:marRight w:val="0"/>
      <w:marTop w:val="0"/>
      <w:marBottom w:val="0"/>
      <w:divBdr>
        <w:top w:val="none" w:sz="0" w:space="0" w:color="auto"/>
        <w:left w:val="none" w:sz="0" w:space="0" w:color="auto"/>
        <w:bottom w:val="none" w:sz="0" w:space="0" w:color="auto"/>
        <w:right w:val="none" w:sz="0" w:space="0" w:color="auto"/>
      </w:divBdr>
    </w:div>
    <w:div w:id="1839734949">
      <w:bodyDiv w:val="1"/>
      <w:marLeft w:val="0"/>
      <w:marRight w:val="0"/>
      <w:marTop w:val="0"/>
      <w:marBottom w:val="0"/>
      <w:divBdr>
        <w:top w:val="none" w:sz="0" w:space="0" w:color="auto"/>
        <w:left w:val="none" w:sz="0" w:space="0" w:color="auto"/>
        <w:bottom w:val="none" w:sz="0" w:space="0" w:color="auto"/>
        <w:right w:val="none" w:sz="0" w:space="0" w:color="auto"/>
      </w:divBdr>
    </w:div>
    <w:div w:id="1840190377">
      <w:bodyDiv w:val="1"/>
      <w:marLeft w:val="0"/>
      <w:marRight w:val="0"/>
      <w:marTop w:val="0"/>
      <w:marBottom w:val="0"/>
      <w:divBdr>
        <w:top w:val="none" w:sz="0" w:space="0" w:color="auto"/>
        <w:left w:val="none" w:sz="0" w:space="0" w:color="auto"/>
        <w:bottom w:val="none" w:sz="0" w:space="0" w:color="auto"/>
        <w:right w:val="none" w:sz="0" w:space="0" w:color="auto"/>
      </w:divBdr>
    </w:div>
    <w:div w:id="1851024960">
      <w:bodyDiv w:val="1"/>
      <w:marLeft w:val="0"/>
      <w:marRight w:val="0"/>
      <w:marTop w:val="0"/>
      <w:marBottom w:val="0"/>
      <w:divBdr>
        <w:top w:val="none" w:sz="0" w:space="0" w:color="auto"/>
        <w:left w:val="none" w:sz="0" w:space="0" w:color="auto"/>
        <w:bottom w:val="none" w:sz="0" w:space="0" w:color="auto"/>
        <w:right w:val="none" w:sz="0" w:space="0" w:color="auto"/>
      </w:divBdr>
    </w:div>
    <w:div w:id="1857232163">
      <w:bodyDiv w:val="1"/>
      <w:marLeft w:val="0"/>
      <w:marRight w:val="0"/>
      <w:marTop w:val="0"/>
      <w:marBottom w:val="0"/>
      <w:divBdr>
        <w:top w:val="none" w:sz="0" w:space="0" w:color="auto"/>
        <w:left w:val="none" w:sz="0" w:space="0" w:color="auto"/>
        <w:bottom w:val="none" w:sz="0" w:space="0" w:color="auto"/>
        <w:right w:val="none" w:sz="0" w:space="0" w:color="auto"/>
      </w:divBdr>
    </w:div>
    <w:div w:id="1866021594">
      <w:bodyDiv w:val="1"/>
      <w:marLeft w:val="0"/>
      <w:marRight w:val="0"/>
      <w:marTop w:val="0"/>
      <w:marBottom w:val="0"/>
      <w:divBdr>
        <w:top w:val="none" w:sz="0" w:space="0" w:color="auto"/>
        <w:left w:val="none" w:sz="0" w:space="0" w:color="auto"/>
        <w:bottom w:val="none" w:sz="0" w:space="0" w:color="auto"/>
        <w:right w:val="none" w:sz="0" w:space="0" w:color="auto"/>
      </w:divBdr>
    </w:div>
    <w:div w:id="1873373427">
      <w:bodyDiv w:val="1"/>
      <w:marLeft w:val="0"/>
      <w:marRight w:val="0"/>
      <w:marTop w:val="0"/>
      <w:marBottom w:val="0"/>
      <w:divBdr>
        <w:top w:val="none" w:sz="0" w:space="0" w:color="auto"/>
        <w:left w:val="none" w:sz="0" w:space="0" w:color="auto"/>
        <w:bottom w:val="none" w:sz="0" w:space="0" w:color="auto"/>
        <w:right w:val="none" w:sz="0" w:space="0" w:color="auto"/>
      </w:divBdr>
    </w:div>
    <w:div w:id="1873686179">
      <w:bodyDiv w:val="1"/>
      <w:marLeft w:val="0"/>
      <w:marRight w:val="0"/>
      <w:marTop w:val="0"/>
      <w:marBottom w:val="0"/>
      <w:divBdr>
        <w:top w:val="none" w:sz="0" w:space="0" w:color="auto"/>
        <w:left w:val="none" w:sz="0" w:space="0" w:color="auto"/>
        <w:bottom w:val="none" w:sz="0" w:space="0" w:color="auto"/>
        <w:right w:val="none" w:sz="0" w:space="0" w:color="auto"/>
      </w:divBdr>
    </w:div>
    <w:div w:id="1886061600">
      <w:bodyDiv w:val="1"/>
      <w:marLeft w:val="0"/>
      <w:marRight w:val="0"/>
      <w:marTop w:val="0"/>
      <w:marBottom w:val="0"/>
      <w:divBdr>
        <w:top w:val="none" w:sz="0" w:space="0" w:color="auto"/>
        <w:left w:val="none" w:sz="0" w:space="0" w:color="auto"/>
        <w:bottom w:val="none" w:sz="0" w:space="0" w:color="auto"/>
        <w:right w:val="none" w:sz="0" w:space="0" w:color="auto"/>
      </w:divBdr>
    </w:div>
    <w:div w:id="1886136784">
      <w:bodyDiv w:val="1"/>
      <w:marLeft w:val="0"/>
      <w:marRight w:val="0"/>
      <w:marTop w:val="0"/>
      <w:marBottom w:val="0"/>
      <w:divBdr>
        <w:top w:val="none" w:sz="0" w:space="0" w:color="auto"/>
        <w:left w:val="none" w:sz="0" w:space="0" w:color="auto"/>
        <w:bottom w:val="none" w:sz="0" w:space="0" w:color="auto"/>
        <w:right w:val="none" w:sz="0" w:space="0" w:color="auto"/>
      </w:divBdr>
    </w:div>
    <w:div w:id="1892035306">
      <w:bodyDiv w:val="1"/>
      <w:marLeft w:val="0"/>
      <w:marRight w:val="0"/>
      <w:marTop w:val="0"/>
      <w:marBottom w:val="0"/>
      <w:divBdr>
        <w:top w:val="none" w:sz="0" w:space="0" w:color="auto"/>
        <w:left w:val="none" w:sz="0" w:space="0" w:color="auto"/>
        <w:bottom w:val="none" w:sz="0" w:space="0" w:color="auto"/>
        <w:right w:val="none" w:sz="0" w:space="0" w:color="auto"/>
      </w:divBdr>
    </w:div>
    <w:div w:id="1895196486">
      <w:bodyDiv w:val="1"/>
      <w:marLeft w:val="0"/>
      <w:marRight w:val="0"/>
      <w:marTop w:val="0"/>
      <w:marBottom w:val="0"/>
      <w:divBdr>
        <w:top w:val="none" w:sz="0" w:space="0" w:color="auto"/>
        <w:left w:val="none" w:sz="0" w:space="0" w:color="auto"/>
        <w:bottom w:val="none" w:sz="0" w:space="0" w:color="auto"/>
        <w:right w:val="none" w:sz="0" w:space="0" w:color="auto"/>
      </w:divBdr>
    </w:div>
    <w:div w:id="1900550197">
      <w:bodyDiv w:val="1"/>
      <w:marLeft w:val="0"/>
      <w:marRight w:val="0"/>
      <w:marTop w:val="0"/>
      <w:marBottom w:val="0"/>
      <w:divBdr>
        <w:top w:val="none" w:sz="0" w:space="0" w:color="auto"/>
        <w:left w:val="none" w:sz="0" w:space="0" w:color="auto"/>
        <w:bottom w:val="none" w:sz="0" w:space="0" w:color="auto"/>
        <w:right w:val="none" w:sz="0" w:space="0" w:color="auto"/>
      </w:divBdr>
    </w:div>
    <w:div w:id="1929920206">
      <w:bodyDiv w:val="1"/>
      <w:marLeft w:val="0"/>
      <w:marRight w:val="0"/>
      <w:marTop w:val="0"/>
      <w:marBottom w:val="0"/>
      <w:divBdr>
        <w:top w:val="none" w:sz="0" w:space="0" w:color="auto"/>
        <w:left w:val="none" w:sz="0" w:space="0" w:color="auto"/>
        <w:bottom w:val="none" w:sz="0" w:space="0" w:color="auto"/>
        <w:right w:val="none" w:sz="0" w:space="0" w:color="auto"/>
      </w:divBdr>
    </w:div>
    <w:div w:id="1931622657">
      <w:bodyDiv w:val="1"/>
      <w:marLeft w:val="0"/>
      <w:marRight w:val="0"/>
      <w:marTop w:val="0"/>
      <w:marBottom w:val="0"/>
      <w:divBdr>
        <w:top w:val="none" w:sz="0" w:space="0" w:color="auto"/>
        <w:left w:val="none" w:sz="0" w:space="0" w:color="auto"/>
        <w:bottom w:val="none" w:sz="0" w:space="0" w:color="auto"/>
        <w:right w:val="none" w:sz="0" w:space="0" w:color="auto"/>
      </w:divBdr>
    </w:div>
    <w:div w:id="1936743664">
      <w:bodyDiv w:val="1"/>
      <w:marLeft w:val="0"/>
      <w:marRight w:val="0"/>
      <w:marTop w:val="0"/>
      <w:marBottom w:val="0"/>
      <w:divBdr>
        <w:top w:val="none" w:sz="0" w:space="0" w:color="auto"/>
        <w:left w:val="none" w:sz="0" w:space="0" w:color="auto"/>
        <w:bottom w:val="none" w:sz="0" w:space="0" w:color="auto"/>
        <w:right w:val="none" w:sz="0" w:space="0" w:color="auto"/>
      </w:divBdr>
    </w:div>
    <w:div w:id="1937324915">
      <w:bodyDiv w:val="1"/>
      <w:marLeft w:val="0"/>
      <w:marRight w:val="0"/>
      <w:marTop w:val="0"/>
      <w:marBottom w:val="0"/>
      <w:divBdr>
        <w:top w:val="none" w:sz="0" w:space="0" w:color="auto"/>
        <w:left w:val="none" w:sz="0" w:space="0" w:color="auto"/>
        <w:bottom w:val="none" w:sz="0" w:space="0" w:color="auto"/>
        <w:right w:val="none" w:sz="0" w:space="0" w:color="auto"/>
      </w:divBdr>
      <w:divsChild>
        <w:div w:id="257061552">
          <w:marLeft w:val="0"/>
          <w:marRight w:val="0"/>
          <w:marTop w:val="0"/>
          <w:marBottom w:val="0"/>
          <w:divBdr>
            <w:top w:val="none" w:sz="0" w:space="0" w:color="auto"/>
            <w:left w:val="none" w:sz="0" w:space="0" w:color="auto"/>
            <w:bottom w:val="none" w:sz="0" w:space="0" w:color="auto"/>
            <w:right w:val="none" w:sz="0" w:space="0" w:color="auto"/>
          </w:divBdr>
          <w:divsChild>
            <w:div w:id="112485447">
              <w:marLeft w:val="0"/>
              <w:marRight w:val="0"/>
              <w:marTop w:val="0"/>
              <w:marBottom w:val="0"/>
              <w:divBdr>
                <w:top w:val="none" w:sz="0" w:space="0" w:color="auto"/>
                <w:left w:val="none" w:sz="0" w:space="0" w:color="auto"/>
                <w:bottom w:val="none" w:sz="0" w:space="0" w:color="auto"/>
                <w:right w:val="none" w:sz="0" w:space="0" w:color="auto"/>
              </w:divBdr>
              <w:divsChild>
                <w:div w:id="137785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479840">
      <w:bodyDiv w:val="1"/>
      <w:marLeft w:val="0"/>
      <w:marRight w:val="0"/>
      <w:marTop w:val="0"/>
      <w:marBottom w:val="0"/>
      <w:divBdr>
        <w:top w:val="none" w:sz="0" w:space="0" w:color="auto"/>
        <w:left w:val="none" w:sz="0" w:space="0" w:color="auto"/>
        <w:bottom w:val="none" w:sz="0" w:space="0" w:color="auto"/>
        <w:right w:val="none" w:sz="0" w:space="0" w:color="auto"/>
      </w:divBdr>
    </w:div>
    <w:div w:id="1955867465">
      <w:bodyDiv w:val="1"/>
      <w:marLeft w:val="0"/>
      <w:marRight w:val="0"/>
      <w:marTop w:val="0"/>
      <w:marBottom w:val="0"/>
      <w:divBdr>
        <w:top w:val="none" w:sz="0" w:space="0" w:color="auto"/>
        <w:left w:val="none" w:sz="0" w:space="0" w:color="auto"/>
        <w:bottom w:val="none" w:sz="0" w:space="0" w:color="auto"/>
        <w:right w:val="none" w:sz="0" w:space="0" w:color="auto"/>
      </w:divBdr>
    </w:div>
    <w:div w:id="1957983685">
      <w:bodyDiv w:val="1"/>
      <w:marLeft w:val="0"/>
      <w:marRight w:val="0"/>
      <w:marTop w:val="0"/>
      <w:marBottom w:val="0"/>
      <w:divBdr>
        <w:top w:val="none" w:sz="0" w:space="0" w:color="auto"/>
        <w:left w:val="none" w:sz="0" w:space="0" w:color="auto"/>
        <w:bottom w:val="none" w:sz="0" w:space="0" w:color="auto"/>
        <w:right w:val="none" w:sz="0" w:space="0" w:color="auto"/>
      </w:divBdr>
    </w:div>
    <w:div w:id="1968733128">
      <w:bodyDiv w:val="1"/>
      <w:marLeft w:val="0"/>
      <w:marRight w:val="0"/>
      <w:marTop w:val="0"/>
      <w:marBottom w:val="0"/>
      <w:divBdr>
        <w:top w:val="none" w:sz="0" w:space="0" w:color="auto"/>
        <w:left w:val="none" w:sz="0" w:space="0" w:color="auto"/>
        <w:bottom w:val="none" w:sz="0" w:space="0" w:color="auto"/>
        <w:right w:val="none" w:sz="0" w:space="0" w:color="auto"/>
      </w:divBdr>
    </w:div>
    <w:div w:id="1968967375">
      <w:bodyDiv w:val="1"/>
      <w:marLeft w:val="0"/>
      <w:marRight w:val="0"/>
      <w:marTop w:val="0"/>
      <w:marBottom w:val="0"/>
      <w:divBdr>
        <w:top w:val="none" w:sz="0" w:space="0" w:color="auto"/>
        <w:left w:val="none" w:sz="0" w:space="0" w:color="auto"/>
        <w:bottom w:val="none" w:sz="0" w:space="0" w:color="auto"/>
        <w:right w:val="none" w:sz="0" w:space="0" w:color="auto"/>
      </w:divBdr>
    </w:div>
    <w:div w:id="1970210550">
      <w:bodyDiv w:val="1"/>
      <w:marLeft w:val="0"/>
      <w:marRight w:val="0"/>
      <w:marTop w:val="0"/>
      <w:marBottom w:val="0"/>
      <w:divBdr>
        <w:top w:val="none" w:sz="0" w:space="0" w:color="auto"/>
        <w:left w:val="none" w:sz="0" w:space="0" w:color="auto"/>
        <w:bottom w:val="none" w:sz="0" w:space="0" w:color="auto"/>
        <w:right w:val="none" w:sz="0" w:space="0" w:color="auto"/>
      </w:divBdr>
      <w:divsChild>
        <w:div w:id="2016807466">
          <w:marLeft w:val="0"/>
          <w:marRight w:val="0"/>
          <w:marTop w:val="0"/>
          <w:marBottom w:val="0"/>
          <w:divBdr>
            <w:top w:val="none" w:sz="0" w:space="0" w:color="auto"/>
            <w:left w:val="none" w:sz="0" w:space="0" w:color="auto"/>
            <w:bottom w:val="none" w:sz="0" w:space="0" w:color="auto"/>
            <w:right w:val="none" w:sz="0" w:space="0" w:color="auto"/>
          </w:divBdr>
          <w:divsChild>
            <w:div w:id="639192656">
              <w:marLeft w:val="0"/>
              <w:marRight w:val="0"/>
              <w:marTop w:val="0"/>
              <w:marBottom w:val="0"/>
              <w:divBdr>
                <w:top w:val="none" w:sz="0" w:space="0" w:color="auto"/>
                <w:left w:val="none" w:sz="0" w:space="0" w:color="auto"/>
                <w:bottom w:val="none" w:sz="0" w:space="0" w:color="auto"/>
                <w:right w:val="none" w:sz="0" w:space="0" w:color="auto"/>
              </w:divBdr>
              <w:divsChild>
                <w:div w:id="98134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141145">
          <w:marLeft w:val="0"/>
          <w:marRight w:val="0"/>
          <w:marTop w:val="0"/>
          <w:marBottom w:val="0"/>
          <w:divBdr>
            <w:top w:val="none" w:sz="0" w:space="0" w:color="auto"/>
            <w:left w:val="none" w:sz="0" w:space="0" w:color="auto"/>
            <w:bottom w:val="none" w:sz="0" w:space="0" w:color="auto"/>
            <w:right w:val="none" w:sz="0" w:space="0" w:color="auto"/>
          </w:divBdr>
          <w:divsChild>
            <w:div w:id="7686038">
              <w:marLeft w:val="0"/>
              <w:marRight w:val="0"/>
              <w:marTop w:val="0"/>
              <w:marBottom w:val="0"/>
              <w:divBdr>
                <w:top w:val="none" w:sz="0" w:space="0" w:color="auto"/>
                <w:left w:val="none" w:sz="0" w:space="0" w:color="auto"/>
                <w:bottom w:val="none" w:sz="0" w:space="0" w:color="auto"/>
                <w:right w:val="none" w:sz="0" w:space="0" w:color="auto"/>
              </w:divBdr>
              <w:divsChild>
                <w:div w:id="2118211480">
                  <w:marLeft w:val="0"/>
                  <w:marRight w:val="0"/>
                  <w:marTop w:val="0"/>
                  <w:marBottom w:val="0"/>
                  <w:divBdr>
                    <w:top w:val="none" w:sz="0" w:space="0" w:color="auto"/>
                    <w:left w:val="none" w:sz="0" w:space="0" w:color="auto"/>
                    <w:bottom w:val="none" w:sz="0" w:space="0" w:color="auto"/>
                    <w:right w:val="none" w:sz="0" w:space="0" w:color="auto"/>
                  </w:divBdr>
                  <w:divsChild>
                    <w:div w:id="200254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128597">
      <w:bodyDiv w:val="1"/>
      <w:marLeft w:val="0"/>
      <w:marRight w:val="0"/>
      <w:marTop w:val="0"/>
      <w:marBottom w:val="0"/>
      <w:divBdr>
        <w:top w:val="none" w:sz="0" w:space="0" w:color="auto"/>
        <w:left w:val="none" w:sz="0" w:space="0" w:color="auto"/>
        <w:bottom w:val="none" w:sz="0" w:space="0" w:color="auto"/>
        <w:right w:val="none" w:sz="0" w:space="0" w:color="auto"/>
      </w:divBdr>
    </w:div>
    <w:div w:id="1991254495">
      <w:bodyDiv w:val="1"/>
      <w:marLeft w:val="0"/>
      <w:marRight w:val="0"/>
      <w:marTop w:val="0"/>
      <w:marBottom w:val="0"/>
      <w:divBdr>
        <w:top w:val="none" w:sz="0" w:space="0" w:color="auto"/>
        <w:left w:val="none" w:sz="0" w:space="0" w:color="auto"/>
        <w:bottom w:val="none" w:sz="0" w:space="0" w:color="auto"/>
        <w:right w:val="none" w:sz="0" w:space="0" w:color="auto"/>
      </w:divBdr>
    </w:div>
    <w:div w:id="1992296266">
      <w:bodyDiv w:val="1"/>
      <w:marLeft w:val="0"/>
      <w:marRight w:val="0"/>
      <w:marTop w:val="0"/>
      <w:marBottom w:val="0"/>
      <w:divBdr>
        <w:top w:val="none" w:sz="0" w:space="0" w:color="auto"/>
        <w:left w:val="none" w:sz="0" w:space="0" w:color="auto"/>
        <w:bottom w:val="none" w:sz="0" w:space="0" w:color="auto"/>
        <w:right w:val="none" w:sz="0" w:space="0" w:color="auto"/>
      </w:divBdr>
    </w:div>
    <w:div w:id="2012053107">
      <w:bodyDiv w:val="1"/>
      <w:marLeft w:val="0"/>
      <w:marRight w:val="0"/>
      <w:marTop w:val="0"/>
      <w:marBottom w:val="0"/>
      <w:divBdr>
        <w:top w:val="none" w:sz="0" w:space="0" w:color="auto"/>
        <w:left w:val="none" w:sz="0" w:space="0" w:color="auto"/>
        <w:bottom w:val="none" w:sz="0" w:space="0" w:color="auto"/>
        <w:right w:val="none" w:sz="0" w:space="0" w:color="auto"/>
      </w:divBdr>
    </w:div>
    <w:div w:id="2015910697">
      <w:bodyDiv w:val="1"/>
      <w:marLeft w:val="0"/>
      <w:marRight w:val="0"/>
      <w:marTop w:val="0"/>
      <w:marBottom w:val="0"/>
      <w:divBdr>
        <w:top w:val="none" w:sz="0" w:space="0" w:color="auto"/>
        <w:left w:val="none" w:sz="0" w:space="0" w:color="auto"/>
        <w:bottom w:val="none" w:sz="0" w:space="0" w:color="auto"/>
        <w:right w:val="none" w:sz="0" w:space="0" w:color="auto"/>
      </w:divBdr>
    </w:div>
    <w:div w:id="2016690652">
      <w:bodyDiv w:val="1"/>
      <w:marLeft w:val="0"/>
      <w:marRight w:val="0"/>
      <w:marTop w:val="0"/>
      <w:marBottom w:val="0"/>
      <w:divBdr>
        <w:top w:val="none" w:sz="0" w:space="0" w:color="auto"/>
        <w:left w:val="none" w:sz="0" w:space="0" w:color="auto"/>
        <w:bottom w:val="none" w:sz="0" w:space="0" w:color="auto"/>
        <w:right w:val="none" w:sz="0" w:space="0" w:color="auto"/>
      </w:divBdr>
    </w:div>
    <w:div w:id="2019500988">
      <w:bodyDiv w:val="1"/>
      <w:marLeft w:val="0"/>
      <w:marRight w:val="0"/>
      <w:marTop w:val="0"/>
      <w:marBottom w:val="0"/>
      <w:divBdr>
        <w:top w:val="none" w:sz="0" w:space="0" w:color="auto"/>
        <w:left w:val="none" w:sz="0" w:space="0" w:color="auto"/>
        <w:bottom w:val="none" w:sz="0" w:space="0" w:color="auto"/>
        <w:right w:val="none" w:sz="0" w:space="0" w:color="auto"/>
      </w:divBdr>
    </w:div>
    <w:div w:id="2019891300">
      <w:bodyDiv w:val="1"/>
      <w:marLeft w:val="0"/>
      <w:marRight w:val="0"/>
      <w:marTop w:val="0"/>
      <w:marBottom w:val="0"/>
      <w:divBdr>
        <w:top w:val="none" w:sz="0" w:space="0" w:color="auto"/>
        <w:left w:val="none" w:sz="0" w:space="0" w:color="auto"/>
        <w:bottom w:val="none" w:sz="0" w:space="0" w:color="auto"/>
        <w:right w:val="none" w:sz="0" w:space="0" w:color="auto"/>
      </w:divBdr>
    </w:div>
    <w:div w:id="2020229218">
      <w:bodyDiv w:val="1"/>
      <w:marLeft w:val="0"/>
      <w:marRight w:val="0"/>
      <w:marTop w:val="0"/>
      <w:marBottom w:val="0"/>
      <w:divBdr>
        <w:top w:val="none" w:sz="0" w:space="0" w:color="auto"/>
        <w:left w:val="none" w:sz="0" w:space="0" w:color="auto"/>
        <w:bottom w:val="none" w:sz="0" w:space="0" w:color="auto"/>
        <w:right w:val="none" w:sz="0" w:space="0" w:color="auto"/>
      </w:divBdr>
    </w:div>
    <w:div w:id="2025933409">
      <w:bodyDiv w:val="1"/>
      <w:marLeft w:val="0"/>
      <w:marRight w:val="0"/>
      <w:marTop w:val="0"/>
      <w:marBottom w:val="0"/>
      <w:divBdr>
        <w:top w:val="none" w:sz="0" w:space="0" w:color="auto"/>
        <w:left w:val="none" w:sz="0" w:space="0" w:color="auto"/>
        <w:bottom w:val="none" w:sz="0" w:space="0" w:color="auto"/>
        <w:right w:val="none" w:sz="0" w:space="0" w:color="auto"/>
      </w:divBdr>
    </w:div>
    <w:div w:id="2039502343">
      <w:bodyDiv w:val="1"/>
      <w:marLeft w:val="0"/>
      <w:marRight w:val="0"/>
      <w:marTop w:val="0"/>
      <w:marBottom w:val="0"/>
      <w:divBdr>
        <w:top w:val="none" w:sz="0" w:space="0" w:color="auto"/>
        <w:left w:val="none" w:sz="0" w:space="0" w:color="auto"/>
        <w:bottom w:val="none" w:sz="0" w:space="0" w:color="auto"/>
        <w:right w:val="none" w:sz="0" w:space="0" w:color="auto"/>
      </w:divBdr>
    </w:div>
    <w:div w:id="2041078396">
      <w:bodyDiv w:val="1"/>
      <w:marLeft w:val="0"/>
      <w:marRight w:val="0"/>
      <w:marTop w:val="0"/>
      <w:marBottom w:val="0"/>
      <w:divBdr>
        <w:top w:val="none" w:sz="0" w:space="0" w:color="auto"/>
        <w:left w:val="none" w:sz="0" w:space="0" w:color="auto"/>
        <w:bottom w:val="none" w:sz="0" w:space="0" w:color="auto"/>
        <w:right w:val="none" w:sz="0" w:space="0" w:color="auto"/>
      </w:divBdr>
    </w:div>
    <w:div w:id="2042123173">
      <w:bodyDiv w:val="1"/>
      <w:marLeft w:val="0"/>
      <w:marRight w:val="0"/>
      <w:marTop w:val="0"/>
      <w:marBottom w:val="0"/>
      <w:divBdr>
        <w:top w:val="none" w:sz="0" w:space="0" w:color="auto"/>
        <w:left w:val="none" w:sz="0" w:space="0" w:color="auto"/>
        <w:bottom w:val="none" w:sz="0" w:space="0" w:color="auto"/>
        <w:right w:val="none" w:sz="0" w:space="0" w:color="auto"/>
      </w:divBdr>
    </w:div>
    <w:div w:id="2045712306">
      <w:bodyDiv w:val="1"/>
      <w:marLeft w:val="0"/>
      <w:marRight w:val="0"/>
      <w:marTop w:val="0"/>
      <w:marBottom w:val="0"/>
      <w:divBdr>
        <w:top w:val="none" w:sz="0" w:space="0" w:color="auto"/>
        <w:left w:val="none" w:sz="0" w:space="0" w:color="auto"/>
        <w:bottom w:val="none" w:sz="0" w:space="0" w:color="auto"/>
        <w:right w:val="none" w:sz="0" w:space="0" w:color="auto"/>
      </w:divBdr>
    </w:div>
    <w:div w:id="2050228387">
      <w:bodyDiv w:val="1"/>
      <w:marLeft w:val="0"/>
      <w:marRight w:val="0"/>
      <w:marTop w:val="0"/>
      <w:marBottom w:val="0"/>
      <w:divBdr>
        <w:top w:val="none" w:sz="0" w:space="0" w:color="auto"/>
        <w:left w:val="none" w:sz="0" w:space="0" w:color="auto"/>
        <w:bottom w:val="none" w:sz="0" w:space="0" w:color="auto"/>
        <w:right w:val="none" w:sz="0" w:space="0" w:color="auto"/>
      </w:divBdr>
    </w:div>
    <w:div w:id="2050296371">
      <w:bodyDiv w:val="1"/>
      <w:marLeft w:val="0"/>
      <w:marRight w:val="0"/>
      <w:marTop w:val="0"/>
      <w:marBottom w:val="0"/>
      <w:divBdr>
        <w:top w:val="none" w:sz="0" w:space="0" w:color="auto"/>
        <w:left w:val="none" w:sz="0" w:space="0" w:color="auto"/>
        <w:bottom w:val="none" w:sz="0" w:space="0" w:color="auto"/>
        <w:right w:val="none" w:sz="0" w:space="0" w:color="auto"/>
      </w:divBdr>
    </w:div>
    <w:div w:id="2063015052">
      <w:bodyDiv w:val="1"/>
      <w:marLeft w:val="0"/>
      <w:marRight w:val="0"/>
      <w:marTop w:val="0"/>
      <w:marBottom w:val="0"/>
      <w:divBdr>
        <w:top w:val="none" w:sz="0" w:space="0" w:color="auto"/>
        <w:left w:val="none" w:sz="0" w:space="0" w:color="auto"/>
        <w:bottom w:val="none" w:sz="0" w:space="0" w:color="auto"/>
        <w:right w:val="none" w:sz="0" w:space="0" w:color="auto"/>
      </w:divBdr>
    </w:div>
    <w:div w:id="2067408370">
      <w:bodyDiv w:val="1"/>
      <w:marLeft w:val="0"/>
      <w:marRight w:val="0"/>
      <w:marTop w:val="0"/>
      <w:marBottom w:val="0"/>
      <w:divBdr>
        <w:top w:val="none" w:sz="0" w:space="0" w:color="auto"/>
        <w:left w:val="none" w:sz="0" w:space="0" w:color="auto"/>
        <w:bottom w:val="none" w:sz="0" w:space="0" w:color="auto"/>
        <w:right w:val="none" w:sz="0" w:space="0" w:color="auto"/>
      </w:divBdr>
    </w:div>
    <w:div w:id="2071730266">
      <w:bodyDiv w:val="1"/>
      <w:marLeft w:val="0"/>
      <w:marRight w:val="0"/>
      <w:marTop w:val="0"/>
      <w:marBottom w:val="0"/>
      <w:divBdr>
        <w:top w:val="none" w:sz="0" w:space="0" w:color="auto"/>
        <w:left w:val="none" w:sz="0" w:space="0" w:color="auto"/>
        <w:bottom w:val="none" w:sz="0" w:space="0" w:color="auto"/>
        <w:right w:val="none" w:sz="0" w:space="0" w:color="auto"/>
      </w:divBdr>
    </w:div>
    <w:div w:id="2074236970">
      <w:bodyDiv w:val="1"/>
      <w:marLeft w:val="0"/>
      <w:marRight w:val="0"/>
      <w:marTop w:val="0"/>
      <w:marBottom w:val="0"/>
      <w:divBdr>
        <w:top w:val="none" w:sz="0" w:space="0" w:color="auto"/>
        <w:left w:val="none" w:sz="0" w:space="0" w:color="auto"/>
        <w:bottom w:val="none" w:sz="0" w:space="0" w:color="auto"/>
        <w:right w:val="none" w:sz="0" w:space="0" w:color="auto"/>
      </w:divBdr>
    </w:div>
    <w:div w:id="2075002979">
      <w:bodyDiv w:val="1"/>
      <w:marLeft w:val="0"/>
      <w:marRight w:val="0"/>
      <w:marTop w:val="0"/>
      <w:marBottom w:val="0"/>
      <w:divBdr>
        <w:top w:val="none" w:sz="0" w:space="0" w:color="auto"/>
        <w:left w:val="none" w:sz="0" w:space="0" w:color="auto"/>
        <w:bottom w:val="none" w:sz="0" w:space="0" w:color="auto"/>
        <w:right w:val="none" w:sz="0" w:space="0" w:color="auto"/>
      </w:divBdr>
    </w:div>
    <w:div w:id="2081899928">
      <w:bodyDiv w:val="1"/>
      <w:marLeft w:val="0"/>
      <w:marRight w:val="0"/>
      <w:marTop w:val="0"/>
      <w:marBottom w:val="0"/>
      <w:divBdr>
        <w:top w:val="none" w:sz="0" w:space="0" w:color="auto"/>
        <w:left w:val="none" w:sz="0" w:space="0" w:color="auto"/>
        <w:bottom w:val="none" w:sz="0" w:space="0" w:color="auto"/>
        <w:right w:val="none" w:sz="0" w:space="0" w:color="auto"/>
      </w:divBdr>
    </w:div>
    <w:div w:id="2082868593">
      <w:bodyDiv w:val="1"/>
      <w:marLeft w:val="0"/>
      <w:marRight w:val="0"/>
      <w:marTop w:val="0"/>
      <w:marBottom w:val="0"/>
      <w:divBdr>
        <w:top w:val="none" w:sz="0" w:space="0" w:color="auto"/>
        <w:left w:val="none" w:sz="0" w:space="0" w:color="auto"/>
        <w:bottom w:val="none" w:sz="0" w:space="0" w:color="auto"/>
        <w:right w:val="none" w:sz="0" w:space="0" w:color="auto"/>
      </w:divBdr>
    </w:div>
    <w:div w:id="2085755612">
      <w:bodyDiv w:val="1"/>
      <w:marLeft w:val="0"/>
      <w:marRight w:val="0"/>
      <w:marTop w:val="0"/>
      <w:marBottom w:val="0"/>
      <w:divBdr>
        <w:top w:val="none" w:sz="0" w:space="0" w:color="auto"/>
        <w:left w:val="none" w:sz="0" w:space="0" w:color="auto"/>
        <w:bottom w:val="none" w:sz="0" w:space="0" w:color="auto"/>
        <w:right w:val="none" w:sz="0" w:space="0" w:color="auto"/>
      </w:divBdr>
    </w:div>
    <w:div w:id="2089880880">
      <w:bodyDiv w:val="1"/>
      <w:marLeft w:val="0"/>
      <w:marRight w:val="0"/>
      <w:marTop w:val="0"/>
      <w:marBottom w:val="0"/>
      <w:divBdr>
        <w:top w:val="none" w:sz="0" w:space="0" w:color="auto"/>
        <w:left w:val="none" w:sz="0" w:space="0" w:color="auto"/>
        <w:bottom w:val="none" w:sz="0" w:space="0" w:color="auto"/>
        <w:right w:val="none" w:sz="0" w:space="0" w:color="auto"/>
      </w:divBdr>
    </w:div>
    <w:div w:id="2094619426">
      <w:bodyDiv w:val="1"/>
      <w:marLeft w:val="0"/>
      <w:marRight w:val="0"/>
      <w:marTop w:val="0"/>
      <w:marBottom w:val="0"/>
      <w:divBdr>
        <w:top w:val="none" w:sz="0" w:space="0" w:color="auto"/>
        <w:left w:val="none" w:sz="0" w:space="0" w:color="auto"/>
        <w:bottom w:val="none" w:sz="0" w:space="0" w:color="auto"/>
        <w:right w:val="none" w:sz="0" w:space="0" w:color="auto"/>
      </w:divBdr>
    </w:div>
    <w:div w:id="2115052720">
      <w:bodyDiv w:val="1"/>
      <w:marLeft w:val="0"/>
      <w:marRight w:val="0"/>
      <w:marTop w:val="0"/>
      <w:marBottom w:val="0"/>
      <w:divBdr>
        <w:top w:val="none" w:sz="0" w:space="0" w:color="auto"/>
        <w:left w:val="none" w:sz="0" w:space="0" w:color="auto"/>
        <w:bottom w:val="none" w:sz="0" w:space="0" w:color="auto"/>
        <w:right w:val="none" w:sz="0" w:space="0" w:color="auto"/>
      </w:divBdr>
      <w:divsChild>
        <w:div w:id="24645657">
          <w:marLeft w:val="0"/>
          <w:marRight w:val="0"/>
          <w:marTop w:val="0"/>
          <w:marBottom w:val="0"/>
          <w:divBdr>
            <w:top w:val="none" w:sz="0" w:space="0" w:color="auto"/>
            <w:left w:val="none" w:sz="0" w:space="0" w:color="auto"/>
            <w:bottom w:val="none" w:sz="0" w:space="0" w:color="auto"/>
            <w:right w:val="none" w:sz="0" w:space="0" w:color="auto"/>
          </w:divBdr>
          <w:divsChild>
            <w:div w:id="951666706">
              <w:marLeft w:val="0"/>
              <w:marRight w:val="0"/>
              <w:marTop w:val="0"/>
              <w:marBottom w:val="0"/>
              <w:divBdr>
                <w:top w:val="none" w:sz="0" w:space="0" w:color="auto"/>
                <w:left w:val="none" w:sz="0" w:space="0" w:color="auto"/>
                <w:bottom w:val="none" w:sz="0" w:space="0" w:color="auto"/>
                <w:right w:val="none" w:sz="0" w:space="0" w:color="auto"/>
              </w:divBdr>
              <w:divsChild>
                <w:div w:id="173345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481014">
          <w:marLeft w:val="0"/>
          <w:marRight w:val="0"/>
          <w:marTop w:val="0"/>
          <w:marBottom w:val="0"/>
          <w:divBdr>
            <w:top w:val="none" w:sz="0" w:space="0" w:color="auto"/>
            <w:left w:val="none" w:sz="0" w:space="0" w:color="auto"/>
            <w:bottom w:val="none" w:sz="0" w:space="0" w:color="auto"/>
            <w:right w:val="none" w:sz="0" w:space="0" w:color="auto"/>
          </w:divBdr>
          <w:divsChild>
            <w:div w:id="1447577480">
              <w:marLeft w:val="0"/>
              <w:marRight w:val="0"/>
              <w:marTop w:val="0"/>
              <w:marBottom w:val="0"/>
              <w:divBdr>
                <w:top w:val="none" w:sz="0" w:space="0" w:color="auto"/>
                <w:left w:val="none" w:sz="0" w:space="0" w:color="auto"/>
                <w:bottom w:val="none" w:sz="0" w:space="0" w:color="auto"/>
                <w:right w:val="none" w:sz="0" w:space="0" w:color="auto"/>
              </w:divBdr>
              <w:divsChild>
                <w:div w:id="340813223">
                  <w:marLeft w:val="0"/>
                  <w:marRight w:val="0"/>
                  <w:marTop w:val="0"/>
                  <w:marBottom w:val="0"/>
                  <w:divBdr>
                    <w:top w:val="none" w:sz="0" w:space="0" w:color="auto"/>
                    <w:left w:val="none" w:sz="0" w:space="0" w:color="auto"/>
                    <w:bottom w:val="none" w:sz="0" w:space="0" w:color="auto"/>
                    <w:right w:val="none" w:sz="0" w:space="0" w:color="auto"/>
                  </w:divBdr>
                  <w:divsChild>
                    <w:div w:id="67850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711610">
      <w:bodyDiv w:val="1"/>
      <w:marLeft w:val="0"/>
      <w:marRight w:val="0"/>
      <w:marTop w:val="0"/>
      <w:marBottom w:val="0"/>
      <w:divBdr>
        <w:top w:val="none" w:sz="0" w:space="0" w:color="auto"/>
        <w:left w:val="none" w:sz="0" w:space="0" w:color="auto"/>
        <w:bottom w:val="none" w:sz="0" w:space="0" w:color="auto"/>
        <w:right w:val="none" w:sz="0" w:space="0" w:color="auto"/>
      </w:divBdr>
    </w:div>
    <w:div w:id="2122646065">
      <w:bodyDiv w:val="1"/>
      <w:marLeft w:val="0"/>
      <w:marRight w:val="0"/>
      <w:marTop w:val="0"/>
      <w:marBottom w:val="0"/>
      <w:divBdr>
        <w:top w:val="none" w:sz="0" w:space="0" w:color="auto"/>
        <w:left w:val="none" w:sz="0" w:space="0" w:color="auto"/>
        <w:bottom w:val="none" w:sz="0" w:space="0" w:color="auto"/>
        <w:right w:val="none" w:sz="0" w:space="0" w:color="auto"/>
      </w:divBdr>
    </w:div>
    <w:div w:id="2122844649">
      <w:bodyDiv w:val="1"/>
      <w:marLeft w:val="0"/>
      <w:marRight w:val="0"/>
      <w:marTop w:val="0"/>
      <w:marBottom w:val="0"/>
      <w:divBdr>
        <w:top w:val="none" w:sz="0" w:space="0" w:color="auto"/>
        <w:left w:val="none" w:sz="0" w:space="0" w:color="auto"/>
        <w:bottom w:val="none" w:sz="0" w:space="0" w:color="auto"/>
        <w:right w:val="none" w:sz="0" w:space="0" w:color="auto"/>
      </w:divBdr>
    </w:div>
    <w:div w:id="2127891914">
      <w:bodyDiv w:val="1"/>
      <w:marLeft w:val="0"/>
      <w:marRight w:val="0"/>
      <w:marTop w:val="0"/>
      <w:marBottom w:val="0"/>
      <w:divBdr>
        <w:top w:val="none" w:sz="0" w:space="0" w:color="auto"/>
        <w:left w:val="none" w:sz="0" w:space="0" w:color="auto"/>
        <w:bottom w:val="none" w:sz="0" w:space="0" w:color="auto"/>
        <w:right w:val="none" w:sz="0" w:space="0" w:color="auto"/>
      </w:divBdr>
    </w:div>
    <w:div w:id="2133012629">
      <w:bodyDiv w:val="1"/>
      <w:marLeft w:val="0"/>
      <w:marRight w:val="0"/>
      <w:marTop w:val="0"/>
      <w:marBottom w:val="0"/>
      <w:divBdr>
        <w:top w:val="none" w:sz="0" w:space="0" w:color="auto"/>
        <w:left w:val="none" w:sz="0" w:space="0" w:color="auto"/>
        <w:bottom w:val="none" w:sz="0" w:space="0" w:color="auto"/>
        <w:right w:val="none" w:sz="0" w:space="0" w:color="auto"/>
      </w:divBdr>
    </w:div>
    <w:div w:id="2137485791">
      <w:bodyDiv w:val="1"/>
      <w:marLeft w:val="0"/>
      <w:marRight w:val="0"/>
      <w:marTop w:val="0"/>
      <w:marBottom w:val="0"/>
      <w:divBdr>
        <w:top w:val="none" w:sz="0" w:space="0" w:color="auto"/>
        <w:left w:val="none" w:sz="0" w:space="0" w:color="auto"/>
        <w:bottom w:val="none" w:sz="0" w:space="0" w:color="auto"/>
        <w:right w:val="none" w:sz="0" w:space="0" w:color="auto"/>
      </w:divBdr>
    </w:div>
    <w:div w:id="2142724602">
      <w:bodyDiv w:val="1"/>
      <w:marLeft w:val="0"/>
      <w:marRight w:val="0"/>
      <w:marTop w:val="0"/>
      <w:marBottom w:val="0"/>
      <w:divBdr>
        <w:top w:val="none" w:sz="0" w:space="0" w:color="auto"/>
        <w:left w:val="none" w:sz="0" w:space="0" w:color="auto"/>
        <w:bottom w:val="none" w:sz="0" w:space="0" w:color="auto"/>
        <w:right w:val="none" w:sz="0" w:space="0" w:color="auto"/>
      </w:divBdr>
    </w:div>
    <w:div w:id="21465837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anet.org/about-u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theme" Target="theme/theme1.xml"/><Relationship Id="rId10" Type="http://schemas.openxmlformats.org/officeDocument/2006/relationships/hyperlink" Target="https://bianet.org/about-us" TargetMode="Externa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hyperlink" Target="mailto:bia@bianet.org" TargetMode="Externa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fontTable" Target="fontTable.xml"/><Relationship Id="rId30"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turkey.mom-rsf.org/en/media/radio/" TargetMode="External"/><Relationship Id="rId18" Type="http://schemas.openxmlformats.org/officeDocument/2006/relationships/hyperlink" Target="https://www.venice.coe.int/webforms/documents/default.aspx?pdffile=CDL-AD(2016)002-e" TargetMode="External"/><Relationship Id="rId26" Type="http://schemas.openxmlformats.org/officeDocument/2006/relationships/hyperlink" Target="https://ifade.org.tr/reports/EngelliWeb_2022.pdf" TargetMode="External"/><Relationship Id="rId3" Type="http://schemas.openxmlformats.org/officeDocument/2006/relationships/hyperlink" Target="https://www.anayasa.gov.tr/media/9362/bb_2024_2.pdf" TargetMode="External"/><Relationship Id="rId21" Type="http://schemas.openxmlformats.org/officeDocument/2006/relationships/hyperlink" Target="https://static.bianet.org/belge/rapor/MGR_2023_TR_f01.pdf" TargetMode="External"/><Relationship Id="rId34" Type="http://schemas.openxmlformats.org/officeDocument/2006/relationships/hyperlink" Target="https://www.iletisim.gov.tr/english/duyurular/detay/statement-by-the-directorate-of-communications-on-turkiyes-withdrawal-from-the-istanbul-convention" TargetMode="External"/><Relationship Id="rId7" Type="http://schemas.openxmlformats.org/officeDocument/2006/relationships/hyperlink" Target="https://www.rtuk.gov.tr/yillik-faaliyet-raporlari/3738" TargetMode="External"/><Relationship Id="rId12" Type="http://schemas.openxmlformats.org/officeDocument/2006/relationships/hyperlink" Target="https://turkey.mom-rsf.org/en/media/tv/" TargetMode="External"/><Relationship Id="rId17" Type="http://schemas.openxmlformats.org/officeDocument/2006/relationships/hyperlink" Target="https://adlisicil.adalet.gov.tr/Home/SayfaDetay/adalet-istatistikleri-yayin-arsivi" TargetMode="External"/><Relationship Id="rId25" Type="http://schemas.openxmlformats.org/officeDocument/2006/relationships/hyperlink" Target="https://static.bianet.org/belge/rapor/MGR_2023_TR_f01.pdf" TargetMode="External"/><Relationship Id="rId33" Type="http://schemas.openxmlformats.org/officeDocument/2006/relationships/hyperlink" Target="https://bianet.org/proje/erkek-siddeti-cetelesi-285345" TargetMode="External"/><Relationship Id="rId2" Type="http://schemas.openxmlformats.org/officeDocument/2006/relationships/hyperlink" Target="https://www.echr.coe.int/documents/d/echr/stats-violation-2023-eng?download=true" TargetMode="External"/><Relationship Id="rId16" Type="http://schemas.openxmlformats.org/officeDocument/2006/relationships/hyperlink" Target="https://www.mevzuat.gov.tr/mevzuat?MevzuatNo=3713&amp;MevzuatTur=1&amp;MevzuatTertip=5" TargetMode="External"/><Relationship Id="rId20" Type="http://schemas.openxmlformats.org/officeDocument/2006/relationships/hyperlink" Target="https://bianet.org/haber/journalists-shackled-ahead-of-elections-274640" TargetMode="External"/><Relationship Id="rId29" Type="http://schemas.openxmlformats.org/officeDocument/2006/relationships/hyperlink" Target="https://bianet.org/haber/journalists-shackled-ahead-of-elections-274640" TargetMode="External"/><Relationship Id="rId1" Type="http://schemas.openxmlformats.org/officeDocument/2006/relationships/hyperlink" Target="https://www.echr.coe.int/documents/d/echr/Stats_violation_1959_2022_ENG" TargetMode="External"/><Relationship Id="rId6" Type="http://schemas.openxmlformats.org/officeDocument/2006/relationships/hyperlink" Target="https://tgs.org.tr/arrested-jailed-journalists-turkey/" TargetMode="External"/><Relationship Id="rId11" Type="http://schemas.openxmlformats.org/officeDocument/2006/relationships/hyperlink" Target="https://bianet.org/haber/journalists-shackled-ahead-of-elections-274640" TargetMode="External"/><Relationship Id="rId24" Type="http://schemas.openxmlformats.org/officeDocument/2006/relationships/hyperlink" Target="https://turkey.mom-rsf.org/en/media/online/" TargetMode="External"/><Relationship Id="rId32" Type="http://schemas.openxmlformats.org/officeDocument/2006/relationships/hyperlink" Target="https://bianet.org/etiket/erkek-siddeti-cetelesi-31718" TargetMode="External"/><Relationship Id="rId5" Type="http://schemas.openxmlformats.org/officeDocument/2006/relationships/hyperlink" Target="https://tgs.org.tr/wp-content/uploads/2024/05/TGS-BASIN-OZGURLUGU-RAPORU-TAM-METIN.pdf" TargetMode="External"/><Relationship Id="rId15" Type="http://schemas.openxmlformats.org/officeDocument/2006/relationships/hyperlink" Target="https://turkey.mom-rsf.org/en/findings/shutdown-media/" TargetMode="External"/><Relationship Id="rId23" Type="http://schemas.openxmlformats.org/officeDocument/2006/relationships/hyperlink" Target="https://www.rtuk.gov.tr/yillik-faaliyet-raporlari/3738" TargetMode="External"/><Relationship Id="rId28" Type="http://schemas.openxmlformats.org/officeDocument/2006/relationships/hyperlink" Target="https://www.amnesty.org/en/latest/news/2023/09/saudi-arabia-still-no-justice-for-state-sanctioned-murder-of-jamal-khashoggi-five-years-on/" TargetMode="External"/><Relationship Id="rId10" Type="http://schemas.openxmlformats.org/officeDocument/2006/relationships/hyperlink" Target="https://turkey.mom-rsf.org/en/media/print/" TargetMode="External"/><Relationship Id="rId19" Type="http://schemas.openxmlformats.org/officeDocument/2006/relationships/hyperlink" Target="https://bianet.org/haber/journalists-shackled-ahead-of-elections-274640" TargetMode="External"/><Relationship Id="rId31" Type="http://schemas.openxmlformats.org/officeDocument/2006/relationships/hyperlink" Target="https://medyagozlemveritabani.org/?fwp_e=ucuncu-kisilerin-mudahaleleri&amp;fwp_e4=fiziksel-mudahale&amp;fwp_paged=2" TargetMode="External"/><Relationship Id="rId4" Type="http://schemas.openxmlformats.org/officeDocument/2006/relationships/hyperlink" Target="https://rsf.org/en/world-press-freedom-index" TargetMode="External"/><Relationship Id="rId9" Type="http://schemas.openxmlformats.org/officeDocument/2006/relationships/hyperlink" Target="https://www.dw.com/tr/t%C3%BCrkiyede-h%C3%BCk%C3%BCmete-yak%C4%B1n-medyaya-para-akt%C4%B1/a-57699280" TargetMode="External"/><Relationship Id="rId14" Type="http://schemas.openxmlformats.org/officeDocument/2006/relationships/hyperlink" Target="https://turkey.mom-rsf.org/en/media/print/" TargetMode="External"/><Relationship Id="rId22" Type="http://schemas.openxmlformats.org/officeDocument/2006/relationships/hyperlink" Target="https://tgs.org.tr/wp-content/uploads/2024/05/TGS-BASIN-OZGURLUGU-RAPORU-TAM-METIN.pdf" TargetMode="External"/><Relationship Id="rId27" Type="http://schemas.openxmlformats.org/officeDocument/2006/relationships/hyperlink" Target="https://bianet.org/haber/journalists-shackled-ahead-of-elections-274640" TargetMode="External"/><Relationship Id="rId30" Type="http://schemas.openxmlformats.org/officeDocument/2006/relationships/hyperlink" Target="https://bianet.org/haber/journalists-shackled-ahead-of-elections-274640" TargetMode="External"/><Relationship Id="rId8" Type="http://schemas.openxmlformats.org/officeDocument/2006/relationships/hyperlink" Target="https://www.gazeteduvar.com.tr/gundem/2020/06/14/tiraj-tepetakla-kagit-gazetede-sorun-ne"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solidFill>
                <a:latin typeface="Calibri" charset="0"/>
                <a:ea typeface="Calibri" charset="0"/>
                <a:cs typeface="Calibri" charset="0"/>
              </a:defRPr>
            </a:pPr>
            <a:r>
              <a:rPr lang="tr-TR" sz="1100" b="0" i="0" u="none" strike="noStrike" baseline="0"/>
              <a:t>The Reporters Without Borders (RSF) World Press Freedom Index Ranking of Turkey Over the Past 22 Years.</a:t>
            </a:r>
            <a:endParaRPr lang="tr-TR" sz="1100">
              <a:solidFill>
                <a:schemeClr val="tx1"/>
              </a:solidFill>
              <a:effectLst/>
              <a:latin typeface="Calibri" charset="0"/>
              <a:ea typeface="Calibri" charset="0"/>
              <a:cs typeface="Calibri"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solidFill>
              <a:latin typeface="Calibri" charset="0"/>
              <a:ea typeface="Calibri" charset="0"/>
              <a:cs typeface="Calibri" charset="0"/>
            </a:defRPr>
          </a:pPr>
          <a:endParaRPr lang="en-TR"/>
        </a:p>
      </c:txPr>
    </c:title>
    <c:autoTitleDeleted val="0"/>
    <c:plotArea>
      <c:layout/>
      <c:lineChart>
        <c:grouping val="stacked"/>
        <c:varyColors val="0"/>
        <c:ser>
          <c:idx val="0"/>
          <c:order val="0"/>
          <c:tx>
            <c:strRef>
              <c:f>Sayfa1!$B$1</c:f>
              <c:strCache>
                <c:ptCount val="1"/>
                <c:pt idx="0">
                  <c:v>Seri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en-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Sayfa1!$A$2:$A$22</c:f>
              <c:strCache>
                <c:ptCount val="21"/>
                <c:pt idx="0">
                  <c:v>2002</c:v>
                </c:pt>
                <c:pt idx="1">
                  <c:v>2003</c:v>
                </c:pt>
                <c:pt idx="2">
                  <c:v>2004</c:v>
                </c:pt>
                <c:pt idx="3">
                  <c:v>2005</c:v>
                </c:pt>
                <c:pt idx="4">
                  <c:v>2006</c:v>
                </c:pt>
                <c:pt idx="5">
                  <c:v>2007</c:v>
                </c:pt>
                <c:pt idx="6">
                  <c:v>2008</c:v>
                </c:pt>
                <c:pt idx="7">
                  <c:v>2009</c:v>
                </c:pt>
                <c:pt idx="8">
                  <c:v>2010</c:v>
                </c:pt>
                <c:pt idx="9">
                  <c:v>2011-2012</c:v>
                </c:pt>
                <c:pt idx="10">
                  <c:v>2013</c:v>
                </c:pt>
                <c:pt idx="11">
                  <c:v>2014</c:v>
                </c:pt>
                <c:pt idx="12">
                  <c:v>2015</c:v>
                </c:pt>
                <c:pt idx="13">
                  <c:v>2016</c:v>
                </c:pt>
                <c:pt idx="14">
                  <c:v>2017</c:v>
                </c:pt>
                <c:pt idx="15">
                  <c:v>2018</c:v>
                </c:pt>
                <c:pt idx="16">
                  <c:v>2019</c:v>
                </c:pt>
                <c:pt idx="17">
                  <c:v>2020</c:v>
                </c:pt>
                <c:pt idx="18">
                  <c:v>2021</c:v>
                </c:pt>
                <c:pt idx="19">
                  <c:v>2022</c:v>
                </c:pt>
                <c:pt idx="20">
                  <c:v>2023</c:v>
                </c:pt>
              </c:strCache>
            </c:strRef>
          </c:cat>
          <c:val>
            <c:numRef>
              <c:f>Sayfa1!$B$2:$B$22</c:f>
              <c:numCache>
                <c:formatCode>General</c:formatCode>
                <c:ptCount val="21"/>
                <c:pt idx="0">
                  <c:v>99</c:v>
                </c:pt>
                <c:pt idx="1">
                  <c:v>115</c:v>
                </c:pt>
                <c:pt idx="2">
                  <c:v>113</c:v>
                </c:pt>
                <c:pt idx="3">
                  <c:v>98</c:v>
                </c:pt>
                <c:pt idx="4">
                  <c:v>98</c:v>
                </c:pt>
                <c:pt idx="5">
                  <c:v>101</c:v>
                </c:pt>
                <c:pt idx="6">
                  <c:v>102</c:v>
                </c:pt>
                <c:pt idx="7">
                  <c:v>122</c:v>
                </c:pt>
                <c:pt idx="8">
                  <c:v>138</c:v>
                </c:pt>
                <c:pt idx="9">
                  <c:v>148</c:v>
                </c:pt>
                <c:pt idx="10">
                  <c:v>154</c:v>
                </c:pt>
                <c:pt idx="11">
                  <c:v>154</c:v>
                </c:pt>
                <c:pt idx="12">
                  <c:v>149</c:v>
                </c:pt>
                <c:pt idx="13">
                  <c:v>151</c:v>
                </c:pt>
                <c:pt idx="14">
                  <c:v>155</c:v>
                </c:pt>
                <c:pt idx="15">
                  <c:v>157</c:v>
                </c:pt>
                <c:pt idx="16">
                  <c:v>157</c:v>
                </c:pt>
                <c:pt idx="17">
                  <c:v>154</c:v>
                </c:pt>
                <c:pt idx="18">
                  <c:v>153</c:v>
                </c:pt>
                <c:pt idx="19">
                  <c:v>149</c:v>
                </c:pt>
                <c:pt idx="20">
                  <c:v>165</c:v>
                </c:pt>
              </c:numCache>
            </c:numRef>
          </c:val>
          <c:smooth val="0"/>
          <c:extLst>
            <c:ext xmlns:c16="http://schemas.microsoft.com/office/drawing/2014/chart" uri="{C3380CC4-5D6E-409C-BE32-E72D297353CC}">
              <c16:uniqueId val="{00000000-9B92-784A-A774-3F711BA20EF6}"/>
            </c:ext>
          </c:extLst>
        </c:ser>
        <c:dLbls>
          <c:dLblPos val="t"/>
          <c:showLegendKey val="0"/>
          <c:showVal val="1"/>
          <c:showCatName val="0"/>
          <c:showSerName val="0"/>
          <c:showPercent val="0"/>
          <c:showBubbleSize val="0"/>
        </c:dLbls>
        <c:marker val="1"/>
        <c:smooth val="0"/>
        <c:axId val="1842397568"/>
        <c:axId val="1456381920"/>
      </c:lineChart>
      <c:catAx>
        <c:axId val="18423975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Times New Roman" charset="0"/>
                    <a:ea typeface="Times New Roman" charset="0"/>
                    <a:cs typeface="Times New Roman" charset="0"/>
                  </a:defRPr>
                </a:pPr>
                <a:r>
                  <a:rPr lang="tr-TR" sz="900" b="0" i="0" u="none" strike="noStrike" kern="1200" baseline="0">
                    <a:solidFill>
                      <a:schemeClr val="tx1"/>
                    </a:solidFill>
                    <a:latin typeface="Calibri" charset="0"/>
                    <a:ea typeface="Calibri" charset="0"/>
                    <a:cs typeface="Calibri" charset="0"/>
                  </a:rPr>
                  <a:t>Compiled from ‘https://rsf.org/en/world-press-freedom-index’.</a:t>
                </a:r>
                <a:endParaRPr lang="tr-TR" sz="900">
                  <a:solidFill>
                    <a:schemeClr val="tx1"/>
                  </a:solidFill>
                  <a:latin typeface="Calibri" charset="0"/>
                  <a:ea typeface="Calibri" charset="0"/>
                  <a:cs typeface="Calibri"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charset="0"/>
                  <a:ea typeface="Times New Roman" charset="0"/>
                  <a:cs typeface="Times New Roman" charset="0"/>
                </a:defRPr>
              </a:pPr>
              <a:endParaRPr lang="en-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TR"/>
          </a:p>
        </c:txPr>
        <c:crossAx val="1456381920"/>
        <c:crosses val="autoZero"/>
        <c:auto val="1"/>
        <c:lblAlgn val="ctr"/>
        <c:lblOffset val="100"/>
        <c:noMultiLvlLbl val="0"/>
      </c:catAx>
      <c:valAx>
        <c:axId val="1456381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Calibri" charset="0"/>
                    <a:ea typeface="Calibri" charset="0"/>
                    <a:cs typeface="Calibri" charset="0"/>
                  </a:defRPr>
                </a:pPr>
                <a:r>
                  <a:rPr lang="tr-TR">
                    <a:solidFill>
                      <a:schemeClr val="tx1"/>
                    </a:solidFill>
                    <a:latin typeface="Calibri" charset="0"/>
                    <a:ea typeface="Calibri" charset="0"/>
                    <a:cs typeface="Calibri" charset="0"/>
                  </a:rPr>
                  <a:t>Sıralama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Calibri" charset="0"/>
                  <a:ea typeface="Calibri" charset="0"/>
                  <a:cs typeface="Calibri" charset="0"/>
                </a:defRPr>
              </a:pPr>
              <a:endParaRPr lang="en-TR"/>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TR"/>
          </a:p>
        </c:txPr>
        <c:crossAx val="1842397568"/>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solidFill>
      <a:round/>
    </a:ln>
    <a:effectLst/>
  </c:spPr>
  <c:txPr>
    <a:bodyPr/>
    <a:lstStyle/>
    <a:p>
      <a:pPr>
        <a:defRPr/>
      </a:pPr>
      <a:endParaRPr lang="en-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sz="1000" b="1"/>
              <a:t>Number of people prosecuted in criminal courts under the Anti-Terrorism Law</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TR"/>
        </a:p>
      </c:txPr>
    </c:title>
    <c:autoTitleDeleted val="0"/>
    <c:plotArea>
      <c:layout/>
      <c:barChart>
        <c:barDir val="col"/>
        <c:grouping val="clustered"/>
        <c:varyColors val="0"/>
        <c:ser>
          <c:idx val="0"/>
          <c:order val="0"/>
          <c:tx>
            <c:strRef>
              <c:f>Sayfa1!$B$1</c:f>
              <c:strCache>
                <c:ptCount val="1"/>
                <c:pt idx="0">
                  <c:v>Number of Accused</c:v>
                </c:pt>
              </c:strCache>
            </c:strRef>
          </c:tx>
          <c:spPr>
            <a:solidFill>
              <a:schemeClr val="accent1"/>
            </a:solidFill>
            <a:ln>
              <a:noFill/>
            </a:ln>
            <a:effectLst/>
          </c:spPr>
          <c:invertIfNegative val="0"/>
          <c:dLbls>
            <c:dLbl>
              <c:idx val="0"/>
              <c:layout>
                <c:manualLayout>
                  <c:x val="-4.6296296296296301E-2"/>
                  <c:y val="-5.95238095238094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6D3-974C-B417-4A7640AF7A3F}"/>
                </c:ext>
              </c:extLst>
            </c:dLbl>
            <c:dLbl>
              <c:idx val="1"/>
              <c:layout>
                <c:manualLayout>
                  <c:x val="-4.3981481481481503E-2"/>
                  <c:y val="-3.96825396825397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6D3-974C-B417-4A7640AF7A3F}"/>
                </c:ext>
              </c:extLst>
            </c:dLbl>
            <c:dLbl>
              <c:idx val="2"/>
              <c:layout>
                <c:manualLayout>
                  <c:x val="-3.9351851851851798E-2"/>
                  <c:y val="-5.55555555555554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6D3-974C-B417-4A7640AF7A3F}"/>
                </c:ext>
              </c:extLst>
            </c:dLbl>
            <c:dLbl>
              <c:idx val="3"/>
              <c:layout>
                <c:manualLayout>
                  <c:x val="-5.7870370370370398E-2"/>
                  <c:y val="-7.53968253968254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6D3-974C-B417-4A7640AF7A3F}"/>
                </c:ext>
              </c:extLst>
            </c:dLbl>
            <c:dLbl>
              <c:idx val="4"/>
              <c:layout>
                <c:manualLayout>
                  <c:x val="-5.5555555555555497E-2"/>
                  <c:y val="-3.96825396825397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6D3-974C-B417-4A7640AF7A3F}"/>
                </c:ext>
              </c:extLst>
            </c:dLbl>
            <c:dLbl>
              <c:idx val="5"/>
              <c:layout>
                <c:manualLayout>
                  <c:x val="-5.0925925925925902E-2"/>
                  <c:y val="-7.14285714285713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6D3-974C-B417-4A7640AF7A3F}"/>
                </c:ext>
              </c:extLst>
            </c:dLbl>
            <c:dLbl>
              <c:idx val="6"/>
              <c:layout>
                <c:manualLayout>
                  <c:x val="-4.8611111111111202E-2"/>
                  <c:y val="-5.55555555555554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6D3-974C-B417-4A7640AF7A3F}"/>
                </c:ext>
              </c:extLst>
            </c:dLbl>
            <c:dLbl>
              <c:idx val="7"/>
              <c:layout>
                <c:manualLayout>
                  <c:x val="-4.6296296296296398E-2"/>
                  <c:y val="-6.74603174603174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6D3-974C-B417-4A7640AF7A3F}"/>
                </c:ext>
              </c:extLst>
            </c:dLbl>
            <c:dLbl>
              <c:idx val="8"/>
              <c:layout>
                <c:manualLayout>
                  <c:x val="-4.1666666666666699E-2"/>
                  <c:y val="-5.55555555555556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6D3-974C-B417-4A7640AF7A3F}"/>
                </c:ext>
              </c:extLst>
            </c:dLbl>
            <c:dLbl>
              <c:idx val="9"/>
              <c:layout>
                <c:manualLayout>
                  <c:x val="-6.01851851851853E-2"/>
                  <c:y val="-5.55555555555556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6D3-974C-B417-4A7640AF7A3F}"/>
                </c:ext>
              </c:extLst>
            </c:dLbl>
            <c:dLbl>
              <c:idx val="10"/>
              <c:layout>
                <c:manualLayout>
                  <c:x val="-2.3148148148148098E-2"/>
                  <c:y val="-2.77777777777778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6D3-974C-B417-4A7640AF7A3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Sayfa1!$A$2:$A$12</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Sayfa1!$B$2:$B$12</c:f>
              <c:numCache>
                <c:formatCode>General</c:formatCode>
                <c:ptCount val="11"/>
                <c:pt idx="0">
                  <c:v>10764</c:v>
                </c:pt>
                <c:pt idx="1">
                  <c:v>16426</c:v>
                </c:pt>
                <c:pt idx="2">
                  <c:v>14070</c:v>
                </c:pt>
                <c:pt idx="3">
                  <c:v>18172</c:v>
                </c:pt>
                <c:pt idx="4">
                  <c:v>24585</c:v>
                </c:pt>
                <c:pt idx="5">
                  <c:v>19892</c:v>
                </c:pt>
                <c:pt idx="6">
                  <c:v>15786</c:v>
                </c:pt>
                <c:pt idx="7">
                  <c:v>8657</c:v>
                </c:pt>
                <c:pt idx="8">
                  <c:v>9251</c:v>
                </c:pt>
                <c:pt idx="9">
                  <c:v>19029</c:v>
                </c:pt>
                <c:pt idx="10">
                  <c:v>17098</c:v>
                </c:pt>
              </c:numCache>
            </c:numRef>
          </c:val>
          <c:extLst>
            <c:ext xmlns:c16="http://schemas.microsoft.com/office/drawing/2014/chart" uri="{C3380CC4-5D6E-409C-BE32-E72D297353CC}">
              <c16:uniqueId val="{0000000B-A6D3-974C-B417-4A7640AF7A3F}"/>
            </c:ext>
          </c:extLst>
        </c:ser>
        <c:dLbls>
          <c:showLegendKey val="0"/>
          <c:showVal val="0"/>
          <c:showCatName val="0"/>
          <c:showSerName val="0"/>
          <c:showPercent val="0"/>
          <c:showBubbleSize val="0"/>
        </c:dLbls>
        <c:gapWidth val="150"/>
        <c:axId val="1457178304"/>
        <c:axId val="1961904640"/>
      </c:barChart>
      <c:catAx>
        <c:axId val="1457178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crossAx val="1961904640"/>
        <c:crosses val="autoZero"/>
        <c:auto val="1"/>
        <c:lblAlgn val="ctr"/>
        <c:lblOffset val="100"/>
        <c:noMultiLvlLbl val="0"/>
      </c:catAx>
      <c:valAx>
        <c:axId val="1961904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crossAx val="1457178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r>
              <a:rPr lang="tr-TR" sz="1100" b="1">
                <a:solidFill>
                  <a:schemeClr val="tx1"/>
                </a:solidFill>
                <a:effectLst/>
              </a:rPr>
              <a:t>Statistics on TCC Art. 125 (Defamation)</a:t>
            </a:r>
            <a:endParaRPr lang="tr-TR" sz="1100">
              <a:solidFill>
                <a:schemeClr val="tx1"/>
              </a:solidFill>
              <a:effectLst/>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endParaRPr lang="en-TR"/>
        </a:p>
      </c:txPr>
    </c:title>
    <c:autoTitleDeleted val="0"/>
    <c:plotArea>
      <c:layout/>
      <c:barChart>
        <c:barDir val="col"/>
        <c:grouping val="clustered"/>
        <c:varyColors val="0"/>
        <c:ser>
          <c:idx val="0"/>
          <c:order val="0"/>
          <c:tx>
            <c:strRef>
              <c:f>Sayfa1!$B$1</c:f>
              <c:strCache>
                <c:ptCount val="1"/>
                <c:pt idx="0">
                  <c:v>Suspect</c:v>
                </c:pt>
              </c:strCache>
            </c:strRef>
          </c:tx>
          <c:spPr>
            <a:solidFill>
              <a:schemeClr val="accent1"/>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Sayfa1!$B$2:$B$14</c:f>
              <c:numCache>
                <c:formatCode>#,##0</c:formatCode>
                <c:ptCount val="13"/>
                <c:pt idx="0">
                  <c:v>424523</c:v>
                </c:pt>
                <c:pt idx="1">
                  <c:v>487891</c:v>
                </c:pt>
                <c:pt idx="2">
                  <c:v>549151</c:v>
                </c:pt>
                <c:pt idx="3">
                  <c:v>632270</c:v>
                </c:pt>
                <c:pt idx="4">
                  <c:v>695728</c:v>
                </c:pt>
                <c:pt idx="5">
                  <c:v>734451</c:v>
                </c:pt>
                <c:pt idx="6">
                  <c:v>798386</c:v>
                </c:pt>
                <c:pt idx="7">
                  <c:v>665538</c:v>
                </c:pt>
                <c:pt idx="8">
                  <c:v>682743</c:v>
                </c:pt>
                <c:pt idx="9">
                  <c:v>841918</c:v>
                </c:pt>
                <c:pt idx="10">
                  <c:v>989968</c:v>
                </c:pt>
                <c:pt idx="11">
                  <c:v>946522</c:v>
                </c:pt>
              </c:numCache>
            </c:numRef>
          </c:val>
          <c:extLst>
            <c:ext xmlns:c16="http://schemas.microsoft.com/office/drawing/2014/chart" uri="{C3380CC4-5D6E-409C-BE32-E72D297353CC}">
              <c16:uniqueId val="{00000000-EAD7-DC42-A1F2-B68C9DF37FAA}"/>
            </c:ext>
          </c:extLst>
        </c:ser>
        <c:ser>
          <c:idx val="1"/>
          <c:order val="1"/>
          <c:tx>
            <c:strRef>
              <c:f>Sayfa1!$C$1</c:f>
              <c:strCache>
                <c:ptCount val="1"/>
                <c:pt idx="0">
                  <c:v>Accused</c:v>
                </c:pt>
              </c:strCache>
            </c:strRef>
          </c:tx>
          <c:spPr>
            <a:solidFill>
              <a:schemeClr val="accent2"/>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Sayfa1!$C$2:$C$14</c:f>
              <c:numCache>
                <c:formatCode>#,##0</c:formatCode>
                <c:ptCount val="13"/>
                <c:pt idx="0">
                  <c:v>266341</c:v>
                </c:pt>
                <c:pt idx="1">
                  <c:v>309488</c:v>
                </c:pt>
                <c:pt idx="2">
                  <c:v>349041</c:v>
                </c:pt>
                <c:pt idx="3">
                  <c:v>398877</c:v>
                </c:pt>
                <c:pt idx="4">
                  <c:v>433778</c:v>
                </c:pt>
                <c:pt idx="5">
                  <c:v>437841</c:v>
                </c:pt>
                <c:pt idx="6">
                  <c:v>470773</c:v>
                </c:pt>
                <c:pt idx="7">
                  <c:v>365458</c:v>
                </c:pt>
                <c:pt idx="8">
                  <c:v>266937</c:v>
                </c:pt>
                <c:pt idx="9">
                  <c:v>327572</c:v>
                </c:pt>
                <c:pt idx="10">
                  <c:v>382758</c:v>
                </c:pt>
                <c:pt idx="11">
                  <c:v>348822</c:v>
                </c:pt>
                <c:pt idx="12">
                  <c:v>312068</c:v>
                </c:pt>
              </c:numCache>
            </c:numRef>
          </c:val>
          <c:extLst>
            <c:ext xmlns:c16="http://schemas.microsoft.com/office/drawing/2014/chart" uri="{C3380CC4-5D6E-409C-BE32-E72D297353CC}">
              <c16:uniqueId val="{00000001-EAD7-DC42-A1F2-B68C9DF37FAA}"/>
            </c:ext>
          </c:extLst>
        </c:ser>
        <c:ser>
          <c:idx val="2"/>
          <c:order val="2"/>
          <c:tx>
            <c:strRef>
              <c:f>Sayfa1!$D$1</c:f>
              <c:strCache>
                <c:ptCount val="1"/>
                <c:pt idx="0">
                  <c:v>Convictions</c:v>
                </c:pt>
              </c:strCache>
            </c:strRef>
          </c:tx>
          <c:spPr>
            <a:solidFill>
              <a:schemeClr val="accent3"/>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Sayfa1!$D$2:$D$14</c:f>
              <c:numCache>
                <c:formatCode>#,##0</c:formatCode>
                <c:ptCount val="13"/>
                <c:pt idx="0">
                  <c:v>29556</c:v>
                </c:pt>
                <c:pt idx="1">
                  <c:v>23655</c:v>
                </c:pt>
                <c:pt idx="2">
                  <c:v>26310</c:v>
                </c:pt>
                <c:pt idx="3">
                  <c:v>35438</c:v>
                </c:pt>
                <c:pt idx="4">
                  <c:v>49050</c:v>
                </c:pt>
                <c:pt idx="5">
                  <c:v>51364</c:v>
                </c:pt>
                <c:pt idx="6">
                  <c:v>63188</c:v>
                </c:pt>
                <c:pt idx="7">
                  <c:v>57542</c:v>
                </c:pt>
                <c:pt idx="8">
                  <c:v>49596</c:v>
                </c:pt>
                <c:pt idx="9">
                  <c:v>58859</c:v>
                </c:pt>
                <c:pt idx="10">
                  <c:v>64345</c:v>
                </c:pt>
                <c:pt idx="11">
                  <c:v>48911</c:v>
                </c:pt>
                <c:pt idx="12">
                  <c:v>96976</c:v>
                </c:pt>
              </c:numCache>
            </c:numRef>
          </c:val>
          <c:extLst>
            <c:ext xmlns:c16="http://schemas.microsoft.com/office/drawing/2014/chart" uri="{C3380CC4-5D6E-409C-BE32-E72D297353CC}">
              <c16:uniqueId val="{00000002-EAD7-DC42-A1F2-B68C9DF37FAA}"/>
            </c:ext>
          </c:extLst>
        </c:ser>
        <c:ser>
          <c:idx val="3"/>
          <c:order val="3"/>
          <c:tx>
            <c:strRef>
              <c:f>Sayfa1!$E$1</c:f>
              <c:strCache>
                <c:ptCount val="1"/>
                <c:pt idx="0">
                  <c:v>Deferral of the Announcement of the Judgement</c:v>
                </c:pt>
              </c:strCache>
            </c:strRef>
          </c:tx>
          <c:spPr>
            <a:solidFill>
              <a:schemeClr val="accent4"/>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Sayfa1!$E$2:$E$14</c:f>
              <c:numCache>
                <c:formatCode>General</c:formatCode>
                <c:ptCount val="13"/>
                <c:pt idx="6" formatCode="#,##0">
                  <c:v>61759</c:v>
                </c:pt>
                <c:pt idx="7" formatCode="#,##0">
                  <c:v>57569</c:v>
                </c:pt>
                <c:pt idx="8" formatCode="#,##0">
                  <c:v>43176</c:v>
                </c:pt>
                <c:pt idx="9" formatCode="#,##0">
                  <c:v>34430</c:v>
                </c:pt>
                <c:pt idx="10" formatCode="#,##0">
                  <c:v>37560</c:v>
                </c:pt>
                <c:pt idx="11" formatCode="#,##0">
                  <c:v>45556</c:v>
                </c:pt>
                <c:pt idx="12" formatCode="#,##0">
                  <c:v>78155</c:v>
                </c:pt>
              </c:numCache>
            </c:numRef>
          </c:val>
          <c:extLst>
            <c:ext xmlns:c16="http://schemas.microsoft.com/office/drawing/2014/chart" uri="{C3380CC4-5D6E-409C-BE32-E72D297353CC}">
              <c16:uniqueId val="{00000003-EAD7-DC42-A1F2-B68C9DF37FAA}"/>
            </c:ext>
          </c:extLst>
        </c:ser>
        <c:dLbls>
          <c:showLegendKey val="0"/>
          <c:showVal val="0"/>
          <c:showCatName val="0"/>
          <c:showSerName val="0"/>
          <c:showPercent val="0"/>
          <c:showBubbleSize val="0"/>
        </c:dLbls>
        <c:gapWidth val="219"/>
        <c:axId val="1547039952"/>
        <c:axId val="1547043712"/>
      </c:barChart>
      <c:catAx>
        <c:axId val="15470399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r>
                  <a:rPr lang="tr-TR" sz="900">
                    <a:solidFill>
                      <a:schemeClr val="tx1"/>
                    </a:solidFill>
                    <a:latin typeface="+mn-lt"/>
                  </a:rPr>
                  <a:t>Compiled from the Ministry of Justice General Directorate of Judicial Registry and Statistics</a:t>
                </a:r>
                <a:r>
                  <a:rPr lang="tr-TR" sz="900" b="0" i="0" u="none" strike="noStrike" kern="1200" baseline="0">
                    <a:solidFill>
                      <a:schemeClr val="tx1"/>
                    </a:solidFill>
                    <a:latin typeface="+mn-lt"/>
                    <a:ea typeface="+mn-ea"/>
                    <a:cs typeface="+mn-cs"/>
                  </a:rPr>
                  <a:t>’</a:t>
                </a:r>
                <a:r>
                  <a:rPr lang="tr-TR" sz="900">
                    <a:solidFill>
                      <a:schemeClr val="tx1"/>
                    </a:solidFill>
                    <a:latin typeface="+mn-lt"/>
                  </a:rPr>
                  <a:t> publications titled Justice Statistics. The total number of suspects in 2021 is not available.</a:t>
                </a:r>
              </a:p>
            </c:rich>
          </c:tx>
          <c:layout>
            <c:manualLayout>
              <c:xMode val="edge"/>
              <c:yMode val="edge"/>
              <c:x val="0.129555568550379"/>
              <c:y val="0.8838770153730779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rgbClr val="7030A0"/>
                </a:solidFill>
                <a:latin typeface="+mn-lt"/>
                <a:ea typeface="+mn-ea"/>
                <a:cs typeface="+mn-cs"/>
              </a:defRPr>
            </a:pPr>
            <a:endParaRPr lang="en-TR"/>
          </a:p>
        </c:txPr>
        <c:crossAx val="1547043712"/>
        <c:crosses val="autoZero"/>
        <c:auto val="1"/>
        <c:lblAlgn val="ctr"/>
        <c:lblOffset val="100"/>
        <c:noMultiLvlLbl val="0"/>
      </c:catAx>
      <c:valAx>
        <c:axId val="15470437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TR"/>
          </a:p>
        </c:txPr>
        <c:crossAx val="15470399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600" b="1" i="0" u="none" strike="noStrike" kern="1200" baseline="0">
                <a:solidFill>
                  <a:schemeClr val="tx1">
                    <a:lumMod val="65000"/>
                    <a:lumOff val="35000"/>
                  </a:schemeClr>
                </a:solidFill>
                <a:latin typeface="+mn-lt"/>
                <a:ea typeface="+mn-ea"/>
                <a:cs typeface="+mn-cs"/>
              </a:defRPr>
            </a:pPr>
            <a:endParaRPr lang="en-TR"/>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r>
              <a:rPr lang="tr-TR" sz="1100">
                <a:solidFill>
                  <a:schemeClr val="tx1"/>
                </a:solidFill>
              </a:rPr>
              <a:t>Statistics</a:t>
            </a:r>
            <a:r>
              <a:rPr lang="tr-TR" sz="1100" baseline="0">
                <a:solidFill>
                  <a:schemeClr val="tx1"/>
                </a:solidFill>
              </a:rPr>
              <a:t> on TCC Art.</a:t>
            </a:r>
            <a:r>
              <a:rPr lang="tr-TR" sz="1100">
                <a:solidFill>
                  <a:schemeClr val="tx1"/>
                </a:solidFill>
              </a:rPr>
              <a:t> 301 (</a:t>
            </a:r>
            <a:r>
              <a:rPr lang="tr-TR" sz="1100" b="1" i="0" u="none" strike="noStrike" baseline="0">
                <a:solidFill>
                  <a:sysClr val="windowText" lastClr="000000"/>
                </a:solidFill>
                <a:effectLst/>
              </a:rPr>
              <a:t>D</a:t>
            </a:r>
            <a:r>
              <a:rPr lang="tr-TR" sz="1100" b="1" i="0" u="none" strike="noStrike" baseline="0">
                <a:effectLst/>
              </a:rPr>
              <a:t>egrading the Turkish Nation, the State, State Organs and Institutions</a:t>
            </a:r>
            <a:r>
              <a:rPr lang="tr-TR" sz="1100">
                <a:solidFill>
                  <a:schemeClr val="tx1"/>
                </a:solidFill>
              </a:rPr>
              <a:t>)</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TR"/>
        </a:p>
      </c:txPr>
    </c:title>
    <c:autoTitleDeleted val="0"/>
    <c:plotArea>
      <c:layout/>
      <c:barChart>
        <c:barDir val="col"/>
        <c:grouping val="clustered"/>
        <c:varyColors val="0"/>
        <c:ser>
          <c:idx val="0"/>
          <c:order val="0"/>
          <c:tx>
            <c:strRef>
              <c:f>Sayfa1!$B$1</c:f>
              <c:strCache>
                <c:ptCount val="1"/>
                <c:pt idx="0">
                  <c:v>Suspect</c:v>
                </c:pt>
              </c:strCache>
            </c:strRef>
          </c:tx>
          <c:spPr>
            <a:solidFill>
              <a:schemeClr val="accent1"/>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Sayfa1!$B$2:$B$14</c:f>
              <c:numCache>
                <c:formatCode>#,##0</c:formatCode>
                <c:ptCount val="13"/>
                <c:pt idx="0">
                  <c:v>1345</c:v>
                </c:pt>
                <c:pt idx="1">
                  <c:v>1110</c:v>
                </c:pt>
                <c:pt idx="2" formatCode="General">
                  <c:v>714</c:v>
                </c:pt>
                <c:pt idx="3">
                  <c:v>1459</c:v>
                </c:pt>
                <c:pt idx="4">
                  <c:v>1256</c:v>
                </c:pt>
                <c:pt idx="5">
                  <c:v>1983</c:v>
                </c:pt>
                <c:pt idx="6">
                  <c:v>2210</c:v>
                </c:pt>
                <c:pt idx="7">
                  <c:v>7106</c:v>
                </c:pt>
                <c:pt idx="8">
                  <c:v>6126</c:v>
                </c:pt>
                <c:pt idx="9">
                  <c:v>9555</c:v>
                </c:pt>
                <c:pt idx="10">
                  <c:v>13574</c:v>
                </c:pt>
                <c:pt idx="11">
                  <c:v>12536</c:v>
                </c:pt>
              </c:numCache>
            </c:numRef>
          </c:val>
          <c:extLst>
            <c:ext xmlns:c16="http://schemas.microsoft.com/office/drawing/2014/chart" uri="{C3380CC4-5D6E-409C-BE32-E72D297353CC}">
              <c16:uniqueId val="{00000000-7E66-7946-9E78-C984A461976B}"/>
            </c:ext>
          </c:extLst>
        </c:ser>
        <c:ser>
          <c:idx val="1"/>
          <c:order val="1"/>
          <c:tx>
            <c:strRef>
              <c:f>Sayfa1!$C$1</c:f>
              <c:strCache>
                <c:ptCount val="1"/>
                <c:pt idx="0">
                  <c:v>Accused</c:v>
                </c:pt>
              </c:strCache>
            </c:strRef>
          </c:tx>
          <c:spPr>
            <a:solidFill>
              <a:schemeClr val="accent2"/>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Sayfa1!$C$2:$C$14</c:f>
              <c:numCache>
                <c:formatCode>General</c:formatCode>
                <c:ptCount val="13"/>
                <c:pt idx="0">
                  <c:v>325</c:v>
                </c:pt>
                <c:pt idx="1">
                  <c:v>226</c:v>
                </c:pt>
                <c:pt idx="2">
                  <c:v>155</c:v>
                </c:pt>
                <c:pt idx="3">
                  <c:v>191</c:v>
                </c:pt>
                <c:pt idx="4">
                  <c:v>145</c:v>
                </c:pt>
                <c:pt idx="5">
                  <c:v>163</c:v>
                </c:pt>
                <c:pt idx="6">
                  <c:v>188</c:v>
                </c:pt>
                <c:pt idx="7">
                  <c:v>483</c:v>
                </c:pt>
                <c:pt idx="8">
                  <c:v>754</c:v>
                </c:pt>
                <c:pt idx="9">
                  <c:v>777</c:v>
                </c:pt>
                <c:pt idx="10" formatCode="#,##0">
                  <c:v>1433</c:v>
                </c:pt>
                <c:pt idx="11">
                  <c:v>791</c:v>
                </c:pt>
                <c:pt idx="12">
                  <c:v>1093</c:v>
                </c:pt>
              </c:numCache>
            </c:numRef>
          </c:val>
          <c:extLst>
            <c:ext xmlns:c16="http://schemas.microsoft.com/office/drawing/2014/chart" uri="{C3380CC4-5D6E-409C-BE32-E72D297353CC}">
              <c16:uniqueId val="{00000001-7E66-7946-9E78-C984A461976B}"/>
            </c:ext>
          </c:extLst>
        </c:ser>
        <c:ser>
          <c:idx val="2"/>
          <c:order val="2"/>
          <c:tx>
            <c:strRef>
              <c:f>Sayfa1!$D$1</c:f>
              <c:strCache>
                <c:ptCount val="1"/>
                <c:pt idx="0">
                  <c:v>Convictions</c:v>
                </c:pt>
              </c:strCache>
            </c:strRef>
          </c:tx>
          <c:spPr>
            <a:solidFill>
              <a:schemeClr val="accent3"/>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Sayfa1!$D$2:$D$14</c:f>
              <c:numCache>
                <c:formatCode>General</c:formatCode>
                <c:ptCount val="13"/>
                <c:pt idx="0">
                  <c:v>47</c:v>
                </c:pt>
                <c:pt idx="1">
                  <c:v>26</c:v>
                </c:pt>
                <c:pt idx="2">
                  <c:v>14</c:v>
                </c:pt>
                <c:pt idx="3">
                  <c:v>15</c:v>
                </c:pt>
                <c:pt idx="4">
                  <c:v>10</c:v>
                </c:pt>
                <c:pt idx="5">
                  <c:v>16</c:v>
                </c:pt>
                <c:pt idx="6">
                  <c:v>28</c:v>
                </c:pt>
                <c:pt idx="7">
                  <c:v>91</c:v>
                </c:pt>
                <c:pt idx="8">
                  <c:v>166</c:v>
                </c:pt>
                <c:pt idx="9">
                  <c:v>216</c:v>
                </c:pt>
                <c:pt idx="10">
                  <c:v>342</c:v>
                </c:pt>
                <c:pt idx="11">
                  <c:v>268</c:v>
                </c:pt>
                <c:pt idx="12">
                  <c:v>363</c:v>
                </c:pt>
              </c:numCache>
            </c:numRef>
          </c:val>
          <c:extLst>
            <c:ext xmlns:c16="http://schemas.microsoft.com/office/drawing/2014/chart" uri="{C3380CC4-5D6E-409C-BE32-E72D297353CC}">
              <c16:uniqueId val="{00000002-7E66-7946-9E78-C984A461976B}"/>
            </c:ext>
          </c:extLst>
        </c:ser>
        <c:ser>
          <c:idx val="3"/>
          <c:order val="3"/>
          <c:tx>
            <c:strRef>
              <c:f>Sayfa1!$E$1</c:f>
              <c:strCache>
                <c:ptCount val="1"/>
                <c:pt idx="0">
                  <c:v>Deferral of the Announcement of the Judgement</c:v>
                </c:pt>
              </c:strCache>
            </c:strRef>
          </c:tx>
          <c:spPr>
            <a:solidFill>
              <a:schemeClr val="accent4"/>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Sayfa1!$E$2:$E$14</c:f>
              <c:numCache>
                <c:formatCode>General</c:formatCode>
                <c:ptCount val="13"/>
                <c:pt idx="6">
                  <c:v>22</c:v>
                </c:pt>
                <c:pt idx="7">
                  <c:v>32</c:v>
                </c:pt>
                <c:pt idx="8">
                  <c:v>73</c:v>
                </c:pt>
                <c:pt idx="9">
                  <c:v>139</c:v>
                </c:pt>
                <c:pt idx="10">
                  <c:v>256</c:v>
                </c:pt>
                <c:pt idx="11">
                  <c:v>370</c:v>
                </c:pt>
                <c:pt idx="12" formatCode="#,##0">
                  <c:v>293</c:v>
                </c:pt>
              </c:numCache>
            </c:numRef>
          </c:val>
          <c:extLst>
            <c:ext xmlns:c16="http://schemas.microsoft.com/office/drawing/2014/chart" uri="{C3380CC4-5D6E-409C-BE32-E72D297353CC}">
              <c16:uniqueId val="{00000003-7E66-7946-9E78-C984A461976B}"/>
            </c:ext>
          </c:extLst>
        </c:ser>
        <c:dLbls>
          <c:showLegendKey val="0"/>
          <c:showVal val="0"/>
          <c:showCatName val="0"/>
          <c:showSerName val="0"/>
          <c:showPercent val="0"/>
          <c:showBubbleSize val="0"/>
        </c:dLbls>
        <c:gapWidth val="219"/>
        <c:axId val="1547078208"/>
        <c:axId val="1547081968"/>
      </c:barChart>
      <c:catAx>
        <c:axId val="1547078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lumMod val="65000"/>
                        <a:lumOff val="35000"/>
                      </a:sysClr>
                    </a:solidFill>
                    <a:latin typeface="+mn-lt"/>
                    <a:ea typeface="+mn-ea"/>
                    <a:cs typeface="+mn-cs"/>
                  </a:defRPr>
                </a:pPr>
                <a:r>
                  <a:rPr lang="tr-TR" sz="800" b="0" i="0" baseline="0">
                    <a:effectLst/>
                  </a:rPr>
                  <a:t>Compiled from the Ministry of Justice General Directorate of Judicial Registry and Statistics</a:t>
                </a:r>
                <a:r>
                  <a:rPr lang="tr-TR" sz="800" b="0" i="0" u="none" strike="noStrike" kern="1200" baseline="0">
                    <a:solidFill>
                      <a:sysClr val="windowText" lastClr="000000">
                        <a:lumMod val="65000"/>
                        <a:lumOff val="35000"/>
                      </a:sysClr>
                    </a:solidFill>
                    <a:effectLst/>
                    <a:latin typeface="+mn-lt"/>
                    <a:ea typeface="+mn-ea"/>
                    <a:cs typeface="+mn-cs"/>
                  </a:rPr>
                  <a:t>’</a:t>
                </a:r>
                <a:r>
                  <a:rPr lang="tr-TR" sz="800" b="0" i="0" baseline="0">
                    <a:effectLst/>
                  </a:rPr>
                  <a:t> publications titled Justice Statistics. The total number of suspects in 2021 is not available.</a:t>
                </a:r>
                <a:endParaRPr lang="tr-TR" sz="800">
                  <a:effectLst/>
                </a:endParaRPr>
              </a:p>
            </c:rich>
          </c:tx>
          <c:layout>
            <c:manualLayout>
              <c:xMode val="edge"/>
              <c:yMode val="edge"/>
              <c:x val="0.117685185185185"/>
              <c:y val="0.89694444444444399"/>
            </c:manualLayout>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lumMod val="65000"/>
                      <a:lumOff val="35000"/>
                    </a:sysClr>
                  </a:solidFill>
                  <a:latin typeface="+mn-lt"/>
                  <a:ea typeface="+mn-ea"/>
                  <a:cs typeface="+mn-cs"/>
                </a:defRPr>
              </a:pPr>
              <a:endParaRPr lang="en-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TR"/>
          </a:p>
        </c:txPr>
        <c:crossAx val="1547081968"/>
        <c:crosses val="autoZero"/>
        <c:auto val="1"/>
        <c:lblAlgn val="ctr"/>
        <c:lblOffset val="100"/>
        <c:noMultiLvlLbl val="0"/>
      </c:catAx>
      <c:valAx>
        <c:axId val="1547081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TR"/>
          </a:p>
        </c:txPr>
        <c:crossAx val="154707820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700" b="1" i="0" u="none" strike="noStrike" kern="1200" baseline="0">
                <a:solidFill>
                  <a:schemeClr val="tx1">
                    <a:lumMod val="65000"/>
                    <a:lumOff val="35000"/>
                  </a:schemeClr>
                </a:solidFill>
                <a:latin typeface="+mn-lt"/>
                <a:ea typeface="+mn-ea"/>
                <a:cs typeface="+mn-cs"/>
              </a:defRPr>
            </a:pPr>
            <a:endParaRPr lang="en-TR"/>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T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tr-TR" sz="1100" b="1">
                <a:solidFill>
                  <a:schemeClr val="tx1"/>
                </a:solidFill>
                <a:effectLst/>
              </a:rPr>
              <a:t>Statistics</a:t>
            </a:r>
            <a:r>
              <a:rPr lang="tr-TR" sz="1100" b="1" baseline="0">
                <a:solidFill>
                  <a:schemeClr val="tx1"/>
                </a:solidFill>
                <a:effectLst/>
              </a:rPr>
              <a:t> on</a:t>
            </a:r>
            <a:r>
              <a:rPr lang="tr-TR" sz="1100" b="1">
                <a:solidFill>
                  <a:schemeClr val="tx1"/>
                </a:solidFill>
                <a:effectLst/>
              </a:rPr>
              <a:t> TCC Art. 299 (Insulting the President</a:t>
            </a:r>
            <a:r>
              <a:rPr lang="tr-TR" sz="1100" b="1" baseline="0">
                <a:solidFill>
                  <a:schemeClr val="tx1"/>
                </a:solidFill>
                <a:effectLst/>
              </a:rPr>
              <a:t>)</a:t>
            </a:r>
            <a:endParaRPr lang="tr-TR" sz="1100">
              <a:solidFill>
                <a:schemeClr val="tx1"/>
              </a:solidFill>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TR"/>
        </a:p>
      </c:txPr>
    </c:title>
    <c:autoTitleDeleted val="0"/>
    <c:plotArea>
      <c:layout/>
      <c:barChart>
        <c:barDir val="col"/>
        <c:grouping val="clustered"/>
        <c:varyColors val="0"/>
        <c:ser>
          <c:idx val="0"/>
          <c:order val="0"/>
          <c:tx>
            <c:strRef>
              <c:f>Sayfa1!$B$1</c:f>
              <c:strCache>
                <c:ptCount val="1"/>
                <c:pt idx="0">
                  <c:v>Suspect</c:v>
                </c:pt>
              </c:strCache>
            </c:strRef>
          </c:tx>
          <c:spPr>
            <a:solidFill>
              <a:schemeClr val="accent1"/>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Sayfa1!$B$2:$B$14</c:f>
              <c:numCache>
                <c:formatCode>General</c:formatCode>
                <c:ptCount val="13"/>
                <c:pt idx="0">
                  <c:v>478</c:v>
                </c:pt>
                <c:pt idx="1">
                  <c:v>455</c:v>
                </c:pt>
                <c:pt idx="2">
                  <c:v>489</c:v>
                </c:pt>
                <c:pt idx="3">
                  <c:v>572</c:v>
                </c:pt>
                <c:pt idx="4">
                  <c:v>617</c:v>
                </c:pt>
                <c:pt idx="5">
                  <c:v>682</c:v>
                </c:pt>
                <c:pt idx="6" formatCode="#,##0">
                  <c:v>7216</c:v>
                </c:pt>
                <c:pt idx="7" formatCode="#,##0">
                  <c:v>38254</c:v>
                </c:pt>
                <c:pt idx="8" formatCode="#,##0">
                  <c:v>20539</c:v>
                </c:pt>
                <c:pt idx="9" formatCode="#,##0">
                  <c:v>26115</c:v>
                </c:pt>
                <c:pt idx="10" formatCode="#,##0">
                  <c:v>36066</c:v>
                </c:pt>
                <c:pt idx="11" formatCode="#,##0">
                  <c:v>31297</c:v>
                </c:pt>
              </c:numCache>
            </c:numRef>
          </c:val>
          <c:extLst>
            <c:ext xmlns:c16="http://schemas.microsoft.com/office/drawing/2014/chart" uri="{C3380CC4-5D6E-409C-BE32-E72D297353CC}">
              <c16:uniqueId val="{00000000-6D75-864F-A9F1-FC84556E733C}"/>
            </c:ext>
          </c:extLst>
        </c:ser>
        <c:ser>
          <c:idx val="1"/>
          <c:order val="1"/>
          <c:tx>
            <c:strRef>
              <c:f>Sayfa1!$C$1</c:f>
              <c:strCache>
                <c:ptCount val="1"/>
                <c:pt idx="0">
                  <c:v>Accused</c:v>
                </c:pt>
              </c:strCache>
            </c:strRef>
          </c:tx>
          <c:spPr>
            <a:solidFill>
              <a:schemeClr val="accent2"/>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Sayfa1!$C$2:$C$14</c:f>
              <c:numCache>
                <c:formatCode>General</c:formatCode>
                <c:ptCount val="13"/>
                <c:pt idx="0">
                  <c:v>108</c:v>
                </c:pt>
                <c:pt idx="1">
                  <c:v>145</c:v>
                </c:pt>
                <c:pt idx="2">
                  <c:v>164</c:v>
                </c:pt>
                <c:pt idx="3">
                  <c:v>153</c:v>
                </c:pt>
                <c:pt idx="4">
                  <c:v>118</c:v>
                </c:pt>
                <c:pt idx="5">
                  <c:v>110</c:v>
                </c:pt>
                <c:pt idx="6" formatCode="#,##0">
                  <c:v>2076</c:v>
                </c:pt>
                <c:pt idx="7" formatCode="#,##0">
                  <c:v>3999</c:v>
                </c:pt>
                <c:pt idx="8" formatCode="#,##0">
                  <c:v>5281</c:v>
                </c:pt>
                <c:pt idx="9" formatCode="#,##0">
                  <c:v>4880</c:v>
                </c:pt>
                <c:pt idx="10" formatCode="#,##0">
                  <c:v>11371</c:v>
                </c:pt>
                <c:pt idx="11" formatCode="#,##0">
                  <c:v>7790</c:v>
                </c:pt>
                <c:pt idx="12" formatCode="#,##0">
                  <c:v>11211</c:v>
                </c:pt>
              </c:numCache>
            </c:numRef>
          </c:val>
          <c:extLst>
            <c:ext xmlns:c16="http://schemas.microsoft.com/office/drawing/2014/chart" uri="{C3380CC4-5D6E-409C-BE32-E72D297353CC}">
              <c16:uniqueId val="{00000001-6D75-864F-A9F1-FC84556E733C}"/>
            </c:ext>
          </c:extLst>
        </c:ser>
        <c:ser>
          <c:idx val="2"/>
          <c:order val="2"/>
          <c:tx>
            <c:strRef>
              <c:f>Sayfa1!$D$1</c:f>
              <c:strCache>
                <c:ptCount val="1"/>
                <c:pt idx="0">
                  <c:v>Convictions</c:v>
                </c:pt>
              </c:strCache>
            </c:strRef>
          </c:tx>
          <c:spPr>
            <a:solidFill>
              <a:schemeClr val="accent3"/>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Sayfa1!$D$2:$D$14</c:f>
              <c:numCache>
                <c:formatCode>General</c:formatCode>
                <c:ptCount val="13"/>
                <c:pt idx="0">
                  <c:v>28</c:v>
                </c:pt>
                <c:pt idx="1">
                  <c:v>29</c:v>
                </c:pt>
                <c:pt idx="2">
                  <c:v>42</c:v>
                </c:pt>
                <c:pt idx="3">
                  <c:v>40</c:v>
                </c:pt>
                <c:pt idx="4">
                  <c:v>44</c:v>
                </c:pt>
                <c:pt idx="5">
                  <c:v>40</c:v>
                </c:pt>
                <c:pt idx="6">
                  <c:v>238</c:v>
                </c:pt>
                <c:pt idx="7">
                  <c:v>886</c:v>
                </c:pt>
                <c:pt idx="8" formatCode="#,##0">
                  <c:v>2099</c:v>
                </c:pt>
                <c:pt idx="9" formatCode="#,##0">
                  <c:v>2462</c:v>
                </c:pt>
                <c:pt idx="10" formatCode="#,##0">
                  <c:v>3831</c:v>
                </c:pt>
                <c:pt idx="11" formatCode="#,##0">
                  <c:v>3325</c:v>
                </c:pt>
                <c:pt idx="12" formatCode="#,##0">
                  <c:v>4112</c:v>
                </c:pt>
              </c:numCache>
            </c:numRef>
          </c:val>
          <c:extLst>
            <c:ext xmlns:c16="http://schemas.microsoft.com/office/drawing/2014/chart" uri="{C3380CC4-5D6E-409C-BE32-E72D297353CC}">
              <c16:uniqueId val="{00000002-6D75-864F-A9F1-FC84556E733C}"/>
            </c:ext>
          </c:extLst>
        </c:ser>
        <c:ser>
          <c:idx val="3"/>
          <c:order val="3"/>
          <c:tx>
            <c:strRef>
              <c:f>Sayfa1!$E$1</c:f>
              <c:strCache>
                <c:ptCount val="1"/>
                <c:pt idx="0">
                  <c:v>Deferral of the Announcement of the Judgment</c:v>
                </c:pt>
              </c:strCache>
            </c:strRef>
          </c:tx>
          <c:spPr>
            <a:solidFill>
              <a:schemeClr val="accent4"/>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Sayfa1!$E$2:$E$14</c:f>
              <c:numCache>
                <c:formatCode>General</c:formatCode>
                <c:ptCount val="13"/>
                <c:pt idx="6">
                  <c:v>19</c:v>
                </c:pt>
                <c:pt idx="7">
                  <c:v>151</c:v>
                </c:pt>
                <c:pt idx="8">
                  <c:v>720</c:v>
                </c:pt>
                <c:pt idx="9" formatCode="#,##0">
                  <c:v>1660</c:v>
                </c:pt>
                <c:pt idx="10" formatCode="#,##0">
                  <c:v>2039</c:v>
                </c:pt>
                <c:pt idx="11" formatCode="#,##0">
                  <c:v>3939</c:v>
                </c:pt>
                <c:pt idx="12" formatCode="#,##0">
                  <c:v>4121</c:v>
                </c:pt>
              </c:numCache>
            </c:numRef>
          </c:val>
          <c:extLst>
            <c:ext xmlns:c16="http://schemas.microsoft.com/office/drawing/2014/chart" uri="{C3380CC4-5D6E-409C-BE32-E72D297353CC}">
              <c16:uniqueId val="{00000003-6D75-864F-A9F1-FC84556E733C}"/>
            </c:ext>
          </c:extLst>
        </c:ser>
        <c:dLbls>
          <c:showLegendKey val="0"/>
          <c:showVal val="0"/>
          <c:showCatName val="0"/>
          <c:showSerName val="0"/>
          <c:showPercent val="0"/>
          <c:showBubbleSize val="0"/>
        </c:dLbls>
        <c:gapWidth val="219"/>
        <c:axId val="1547118352"/>
        <c:axId val="1547122656"/>
      </c:barChart>
      <c:catAx>
        <c:axId val="15471183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tr-TR" sz="800" b="0" i="0" baseline="0">
                    <a:effectLst/>
                  </a:rPr>
                  <a:t>Compiled from the Ministry of Justice General Directorate of Judicial Registry and Statistics</a:t>
                </a:r>
                <a:r>
                  <a:rPr lang="tr-TR" sz="800" b="0" i="0" u="none" strike="noStrike" kern="1200" baseline="0">
                    <a:solidFill>
                      <a:sysClr val="windowText" lastClr="000000">
                        <a:lumMod val="65000"/>
                        <a:lumOff val="35000"/>
                      </a:sysClr>
                    </a:solidFill>
                    <a:effectLst/>
                    <a:latin typeface="+mn-lt"/>
                    <a:ea typeface="+mn-ea"/>
                    <a:cs typeface="+mn-cs"/>
                  </a:rPr>
                  <a:t>’</a:t>
                </a:r>
                <a:r>
                  <a:rPr lang="tr-TR" sz="800" b="0" i="0" baseline="0">
                    <a:effectLst/>
                  </a:rPr>
                  <a:t> publications titled Justice Statistics. The total number of suspects in 2021 is not available.</a:t>
                </a:r>
                <a:endParaRPr lang="tr-TR" sz="800">
                  <a:effectLst/>
                </a:endParaRPr>
              </a:p>
            </c:rich>
          </c:tx>
          <c:layout>
            <c:manualLayout>
              <c:xMode val="edge"/>
              <c:yMode val="edge"/>
              <c:x val="0.117685185185185"/>
              <c:y val="0.89694444444444399"/>
            </c:manualLayout>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rgbClr val="7030A0"/>
                </a:solidFill>
                <a:latin typeface="+mn-lt"/>
                <a:ea typeface="+mn-ea"/>
                <a:cs typeface="+mn-cs"/>
              </a:defRPr>
            </a:pPr>
            <a:endParaRPr lang="en-TR"/>
          </a:p>
        </c:txPr>
        <c:crossAx val="1547122656"/>
        <c:crosses val="autoZero"/>
        <c:auto val="1"/>
        <c:lblAlgn val="ctr"/>
        <c:lblOffset val="100"/>
        <c:noMultiLvlLbl val="0"/>
      </c:catAx>
      <c:valAx>
        <c:axId val="1547122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TR"/>
          </a:p>
        </c:txPr>
        <c:crossAx val="15471183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800" b="1" i="0" u="none" strike="noStrike" kern="1200" baseline="0">
                <a:solidFill>
                  <a:schemeClr val="tx1"/>
                </a:solidFill>
                <a:latin typeface="+mn-lt"/>
                <a:ea typeface="+mn-ea"/>
                <a:cs typeface="+mn-cs"/>
              </a:defRPr>
            </a:pPr>
            <a:endParaRPr lang="en-TR"/>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r>
              <a:rPr lang="tr-TR" sz="1100" b="1" i="0" baseline="0">
                <a:effectLst/>
              </a:rPr>
              <a:t>Statistics on TCC Art. 216 (Inciting the Public to Hatred and Hostility)</a:t>
            </a:r>
            <a:endParaRPr lang="tr-TR" sz="1100">
              <a:effectLst/>
            </a:endParaRP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TR"/>
        </a:p>
      </c:txPr>
    </c:title>
    <c:autoTitleDeleted val="0"/>
    <c:plotArea>
      <c:layout/>
      <c:barChart>
        <c:barDir val="col"/>
        <c:grouping val="clustered"/>
        <c:varyColors val="0"/>
        <c:ser>
          <c:idx val="0"/>
          <c:order val="0"/>
          <c:tx>
            <c:strRef>
              <c:f>Sayfa1!$B$1</c:f>
              <c:strCache>
                <c:ptCount val="1"/>
                <c:pt idx="0">
                  <c:v>Suspect</c:v>
                </c:pt>
              </c:strCache>
            </c:strRef>
          </c:tx>
          <c:spPr>
            <a:solidFill>
              <a:schemeClr val="accent1"/>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Sayfa1!$B$2:$B$14</c:f>
              <c:numCache>
                <c:formatCode>General</c:formatCode>
                <c:ptCount val="13"/>
                <c:pt idx="0">
                  <c:v>794</c:v>
                </c:pt>
                <c:pt idx="1">
                  <c:v>973</c:v>
                </c:pt>
                <c:pt idx="2" formatCode="#,##0">
                  <c:v>1030</c:v>
                </c:pt>
                <c:pt idx="3">
                  <c:v>921</c:v>
                </c:pt>
                <c:pt idx="4" formatCode="#,##0">
                  <c:v>2676</c:v>
                </c:pt>
                <c:pt idx="5" formatCode="#,##0">
                  <c:v>2298</c:v>
                </c:pt>
                <c:pt idx="6" formatCode="#,##0">
                  <c:v>3941</c:v>
                </c:pt>
                <c:pt idx="7" formatCode="#,##0">
                  <c:v>4460</c:v>
                </c:pt>
                <c:pt idx="8" formatCode="#,##0">
                  <c:v>7572</c:v>
                </c:pt>
                <c:pt idx="9" formatCode="#,##0">
                  <c:v>11742</c:v>
                </c:pt>
                <c:pt idx="10" formatCode="#,##0">
                  <c:v>15044</c:v>
                </c:pt>
                <c:pt idx="11" formatCode="#,##0">
                  <c:v>20710</c:v>
                </c:pt>
              </c:numCache>
            </c:numRef>
          </c:val>
          <c:extLst>
            <c:ext xmlns:c16="http://schemas.microsoft.com/office/drawing/2014/chart" uri="{C3380CC4-5D6E-409C-BE32-E72D297353CC}">
              <c16:uniqueId val="{00000000-1106-5E4A-BBEF-296336037EF4}"/>
            </c:ext>
          </c:extLst>
        </c:ser>
        <c:ser>
          <c:idx val="1"/>
          <c:order val="1"/>
          <c:tx>
            <c:strRef>
              <c:f>Sayfa1!$C$1</c:f>
              <c:strCache>
                <c:ptCount val="1"/>
                <c:pt idx="0">
                  <c:v>Accused</c:v>
                </c:pt>
              </c:strCache>
            </c:strRef>
          </c:tx>
          <c:spPr>
            <a:solidFill>
              <a:schemeClr val="accent2"/>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Sayfa1!$C$2:$C$14</c:f>
              <c:numCache>
                <c:formatCode>General</c:formatCode>
                <c:ptCount val="13"/>
                <c:pt idx="0">
                  <c:v>159</c:v>
                </c:pt>
                <c:pt idx="1">
                  <c:v>442</c:v>
                </c:pt>
                <c:pt idx="2">
                  <c:v>355</c:v>
                </c:pt>
                <c:pt idx="3">
                  <c:v>262</c:v>
                </c:pt>
                <c:pt idx="4">
                  <c:v>361</c:v>
                </c:pt>
                <c:pt idx="5">
                  <c:v>261</c:v>
                </c:pt>
                <c:pt idx="6">
                  <c:v>367</c:v>
                </c:pt>
                <c:pt idx="7">
                  <c:v>963</c:v>
                </c:pt>
                <c:pt idx="8" formatCode="#,##0">
                  <c:v>1400</c:v>
                </c:pt>
                <c:pt idx="9" formatCode="#,##0">
                  <c:v>1700</c:v>
                </c:pt>
                <c:pt idx="10" formatCode="#,##0">
                  <c:v>2222</c:v>
                </c:pt>
                <c:pt idx="11" formatCode="#,##0">
                  <c:v>2056</c:v>
                </c:pt>
                <c:pt idx="12" formatCode="#,##0">
                  <c:v>2089</c:v>
                </c:pt>
              </c:numCache>
            </c:numRef>
          </c:val>
          <c:extLst>
            <c:ext xmlns:c16="http://schemas.microsoft.com/office/drawing/2014/chart" uri="{C3380CC4-5D6E-409C-BE32-E72D297353CC}">
              <c16:uniqueId val="{00000001-1106-5E4A-BBEF-296336037EF4}"/>
            </c:ext>
          </c:extLst>
        </c:ser>
        <c:ser>
          <c:idx val="2"/>
          <c:order val="2"/>
          <c:tx>
            <c:strRef>
              <c:f>Sayfa1!$D$1</c:f>
              <c:strCache>
                <c:ptCount val="1"/>
                <c:pt idx="0">
                  <c:v>Convictions</c:v>
                </c:pt>
              </c:strCache>
            </c:strRef>
          </c:tx>
          <c:spPr>
            <a:solidFill>
              <a:schemeClr val="accent3"/>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Sayfa1!$D$2:$D$14</c:f>
              <c:numCache>
                <c:formatCode>General</c:formatCode>
                <c:ptCount val="13"/>
                <c:pt idx="0">
                  <c:v>46</c:v>
                </c:pt>
                <c:pt idx="1">
                  <c:v>34</c:v>
                </c:pt>
                <c:pt idx="2">
                  <c:v>6</c:v>
                </c:pt>
                <c:pt idx="3">
                  <c:v>22</c:v>
                </c:pt>
                <c:pt idx="4">
                  <c:v>24</c:v>
                </c:pt>
                <c:pt idx="5">
                  <c:v>20</c:v>
                </c:pt>
                <c:pt idx="6">
                  <c:v>68</c:v>
                </c:pt>
                <c:pt idx="7">
                  <c:v>111</c:v>
                </c:pt>
                <c:pt idx="8">
                  <c:v>183</c:v>
                </c:pt>
                <c:pt idx="9">
                  <c:v>222</c:v>
                </c:pt>
                <c:pt idx="10">
                  <c:v>256</c:v>
                </c:pt>
                <c:pt idx="11">
                  <c:v>317</c:v>
                </c:pt>
                <c:pt idx="12">
                  <c:v>474</c:v>
                </c:pt>
              </c:numCache>
            </c:numRef>
          </c:val>
          <c:extLst>
            <c:ext xmlns:c16="http://schemas.microsoft.com/office/drawing/2014/chart" uri="{C3380CC4-5D6E-409C-BE32-E72D297353CC}">
              <c16:uniqueId val="{00000002-1106-5E4A-BBEF-296336037EF4}"/>
            </c:ext>
          </c:extLst>
        </c:ser>
        <c:ser>
          <c:idx val="3"/>
          <c:order val="3"/>
          <c:tx>
            <c:strRef>
              <c:f>Sayfa1!$E$1</c:f>
              <c:strCache>
                <c:ptCount val="1"/>
                <c:pt idx="0">
                  <c:v>Deferral of the Announcement of the Judgement</c:v>
                </c:pt>
              </c:strCache>
            </c:strRef>
          </c:tx>
          <c:spPr>
            <a:solidFill>
              <a:schemeClr val="accent4"/>
            </a:solidFill>
            <a:ln>
              <a:noFill/>
            </a:ln>
            <a:effectLst/>
          </c:spPr>
          <c:invertIfNegative val="0"/>
          <c:cat>
            <c:numRef>
              <c:f>Sayfa1!$A$2:$A$14</c:f>
              <c:numCache>
                <c:formatCode>General</c:formatCode>
                <c:ptCount val="13"/>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numCache>
            </c:numRef>
          </c:cat>
          <c:val>
            <c:numRef>
              <c:f>Sayfa1!$E$2:$E$14</c:f>
              <c:numCache>
                <c:formatCode>General</c:formatCode>
                <c:ptCount val="13"/>
                <c:pt idx="6">
                  <c:v>30</c:v>
                </c:pt>
                <c:pt idx="7">
                  <c:v>53</c:v>
                </c:pt>
                <c:pt idx="8">
                  <c:v>52</c:v>
                </c:pt>
                <c:pt idx="9">
                  <c:v>200</c:v>
                </c:pt>
                <c:pt idx="10">
                  <c:v>270</c:v>
                </c:pt>
                <c:pt idx="11">
                  <c:v>392</c:v>
                </c:pt>
                <c:pt idx="12" formatCode="#,##0">
                  <c:v>484</c:v>
                </c:pt>
              </c:numCache>
            </c:numRef>
          </c:val>
          <c:extLst>
            <c:ext xmlns:c16="http://schemas.microsoft.com/office/drawing/2014/chart" uri="{C3380CC4-5D6E-409C-BE32-E72D297353CC}">
              <c16:uniqueId val="{00000003-1106-5E4A-BBEF-296336037EF4}"/>
            </c:ext>
          </c:extLst>
        </c:ser>
        <c:dLbls>
          <c:showLegendKey val="0"/>
          <c:showVal val="0"/>
          <c:showCatName val="0"/>
          <c:showSerName val="0"/>
          <c:showPercent val="0"/>
          <c:showBubbleSize val="0"/>
        </c:dLbls>
        <c:gapWidth val="219"/>
        <c:axId val="1547662288"/>
        <c:axId val="1547666320"/>
      </c:barChart>
      <c:catAx>
        <c:axId val="15476622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tr-TR" sz="800" b="0" i="0" baseline="0">
                    <a:effectLst/>
                  </a:rPr>
                  <a:t>Compiled from the Ministry of Justice General Directorate of Judicial Registry and Statistics</a:t>
                </a:r>
                <a:r>
                  <a:rPr lang="tr-TR" sz="800" b="0" i="0" u="none" strike="noStrike" kern="1200" baseline="0">
                    <a:solidFill>
                      <a:sysClr val="windowText" lastClr="000000">
                        <a:lumMod val="65000"/>
                        <a:lumOff val="35000"/>
                      </a:sysClr>
                    </a:solidFill>
                    <a:effectLst/>
                    <a:latin typeface="+mn-lt"/>
                    <a:ea typeface="+mn-ea"/>
                    <a:cs typeface="+mn-cs"/>
                  </a:rPr>
                  <a:t>’</a:t>
                </a:r>
                <a:r>
                  <a:rPr lang="tr-TR" sz="800" b="0" i="0" baseline="0">
                    <a:effectLst/>
                  </a:rPr>
                  <a:t> publications titled Justice Statistics. The total number of suspects in 2021 is not available.</a:t>
                </a:r>
                <a:endParaRPr lang="tr-TR" sz="800">
                  <a:effectLst/>
                </a:endParaRPr>
              </a:p>
            </c:rich>
          </c:tx>
          <c:layout>
            <c:manualLayout>
              <c:xMode val="edge"/>
              <c:yMode val="edge"/>
              <c:x val="0.118156167979003"/>
              <c:y val="0.93123756085389797"/>
            </c:manualLayout>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rgbClr val="7030A0"/>
                </a:solidFill>
                <a:latin typeface="+mn-lt"/>
                <a:ea typeface="+mn-ea"/>
                <a:cs typeface="+mn-cs"/>
              </a:defRPr>
            </a:pPr>
            <a:endParaRPr lang="en-TR"/>
          </a:p>
        </c:txPr>
        <c:crossAx val="1547666320"/>
        <c:crosses val="autoZero"/>
        <c:auto val="1"/>
        <c:lblAlgn val="ctr"/>
        <c:lblOffset val="100"/>
        <c:noMultiLvlLbl val="0"/>
      </c:catAx>
      <c:valAx>
        <c:axId val="1547666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TR"/>
          </a:p>
        </c:txPr>
        <c:crossAx val="15476622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700" b="1" i="0" u="none" strike="noStrike" kern="1200" baseline="0">
                <a:solidFill>
                  <a:schemeClr val="tx1"/>
                </a:solidFill>
                <a:latin typeface="+mn-lt"/>
                <a:ea typeface="+mn-ea"/>
                <a:cs typeface="+mn-cs"/>
              </a:defRPr>
            </a:pPr>
            <a:endParaRPr lang="en-TR"/>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tr-TR" sz="1100" b="1">
                <a:solidFill>
                  <a:schemeClr val="tx1"/>
                </a:solidFill>
                <a:effectLst/>
              </a:rPr>
              <a:t>Statistics on administrative fines provided in RTÜK</a:t>
            </a:r>
            <a:r>
              <a:rPr lang="tr-TR" sz="1100" b="1" i="0" u="none" strike="noStrike" kern="1200" spc="0" baseline="0">
                <a:solidFill>
                  <a:schemeClr val="tx1"/>
                </a:solidFill>
                <a:effectLst/>
                <a:latin typeface="+mn-lt"/>
                <a:ea typeface="+mn-ea"/>
                <a:cs typeface="+mn-cs"/>
              </a:rPr>
              <a:t>’</a:t>
            </a:r>
            <a:r>
              <a:rPr lang="tr-TR" sz="1100" b="1">
                <a:solidFill>
                  <a:schemeClr val="tx1"/>
                </a:solidFill>
                <a:effectLst/>
              </a:rPr>
              <a:t>s annual activity reports</a:t>
            </a:r>
            <a:endParaRPr lang="tr-TR" sz="1100">
              <a:solidFill>
                <a:schemeClr val="tx1"/>
              </a:solidFill>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TR"/>
        </a:p>
      </c:txPr>
    </c:title>
    <c:autoTitleDeleted val="0"/>
    <c:plotArea>
      <c:layout/>
      <c:barChart>
        <c:barDir val="col"/>
        <c:grouping val="clustered"/>
        <c:varyColors val="0"/>
        <c:ser>
          <c:idx val="0"/>
          <c:order val="0"/>
          <c:tx>
            <c:strRef>
              <c:f>Sayfa1!$B$1</c:f>
              <c:strCache>
                <c:ptCount val="1"/>
                <c:pt idx="0">
                  <c:v>İdari para cezası toplamı</c:v>
                </c:pt>
              </c:strCache>
            </c:strRef>
          </c:tx>
          <c:spPr>
            <a:solidFill>
              <a:schemeClr val="accent1"/>
            </a:solidFill>
            <a:ln>
              <a:noFill/>
            </a:ln>
            <a:effectLst/>
          </c:spPr>
          <c:invertIfNegative val="0"/>
          <c:dLbls>
            <c:dLbl>
              <c:idx val="2"/>
              <c:layout>
                <c:manualLayout>
                  <c:x val="2.31481481481477E-3"/>
                  <c:y val="-1.7644464049404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9C3-054D-B08E-F0BCB1E7E9CE}"/>
                </c:ext>
              </c:extLst>
            </c:dLbl>
            <c:dLbl>
              <c:idx val="4"/>
              <c:layout>
                <c:manualLayout>
                  <c:x val="-4.6296296296296302E-3"/>
                  <c:y val="-4.411116012351119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9C3-054D-B08E-F0BCB1E7E9CE}"/>
                </c:ext>
              </c:extLst>
            </c:dLbl>
            <c:dLbl>
              <c:idx val="5"/>
              <c:layout>
                <c:manualLayout>
                  <c:x val="0"/>
                  <c:y val="-1.323334803705339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9C3-054D-B08E-F0BCB1E7E9CE}"/>
                </c:ext>
              </c:extLst>
            </c:dLbl>
            <c:dLbl>
              <c:idx val="9"/>
              <c:layout>
                <c:manualLayout>
                  <c:x val="2.3148148148148099E-3"/>
                  <c:y val="1.7644464049404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9C3-054D-B08E-F0BCB1E7E9C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Sayfa1!$A$2:$A$12</c:f>
              <c:numCache>
                <c:formatCode>General</c:formatCode>
                <c:ptCount val="11"/>
                <c:pt idx="0">
                  <c:v>2012</c:v>
                </c:pt>
                <c:pt idx="1">
                  <c:v>2013</c:v>
                </c:pt>
                <c:pt idx="2">
                  <c:v>2014</c:v>
                </c:pt>
                <c:pt idx="3">
                  <c:v>2015</c:v>
                </c:pt>
                <c:pt idx="4">
                  <c:v>2016</c:v>
                </c:pt>
                <c:pt idx="5">
                  <c:v>2017</c:v>
                </c:pt>
                <c:pt idx="6">
                  <c:v>2018</c:v>
                </c:pt>
                <c:pt idx="7">
                  <c:v>2019</c:v>
                </c:pt>
                <c:pt idx="8">
                  <c:v>2020</c:v>
                </c:pt>
                <c:pt idx="9">
                  <c:v>2021</c:v>
                </c:pt>
                <c:pt idx="10">
                  <c:v>2022</c:v>
                </c:pt>
              </c:numCache>
            </c:numRef>
          </c:cat>
          <c:val>
            <c:numRef>
              <c:f>Sayfa1!$B$2:$B$12</c:f>
              <c:numCache>
                <c:formatCode>#,##0</c:formatCode>
                <c:ptCount val="11"/>
                <c:pt idx="0">
                  <c:v>12000000</c:v>
                </c:pt>
                <c:pt idx="1">
                  <c:v>50983100</c:v>
                </c:pt>
                <c:pt idx="2">
                  <c:v>28461280</c:v>
                </c:pt>
                <c:pt idx="3">
                  <c:v>25172119</c:v>
                </c:pt>
                <c:pt idx="4">
                  <c:v>41195077</c:v>
                </c:pt>
                <c:pt idx="5">
                  <c:v>45617800</c:v>
                </c:pt>
                <c:pt idx="6">
                  <c:v>37723105</c:v>
                </c:pt>
                <c:pt idx="7">
                  <c:v>27568951</c:v>
                </c:pt>
                <c:pt idx="8">
                  <c:v>59382126</c:v>
                </c:pt>
                <c:pt idx="9">
                  <c:v>55822365</c:v>
                </c:pt>
                <c:pt idx="10">
                  <c:v>71251796</c:v>
                </c:pt>
              </c:numCache>
            </c:numRef>
          </c:val>
          <c:extLst>
            <c:ext xmlns:c16="http://schemas.microsoft.com/office/drawing/2014/chart" uri="{C3380CC4-5D6E-409C-BE32-E72D297353CC}">
              <c16:uniqueId val="{00000004-29C3-054D-B08E-F0BCB1E7E9CE}"/>
            </c:ext>
          </c:extLst>
        </c:ser>
        <c:dLbls>
          <c:dLblPos val="outEnd"/>
          <c:showLegendKey val="0"/>
          <c:showVal val="1"/>
          <c:showCatName val="0"/>
          <c:showSerName val="0"/>
          <c:showPercent val="0"/>
          <c:showBubbleSize val="0"/>
        </c:dLbls>
        <c:gapWidth val="219"/>
        <c:axId val="1588604656"/>
        <c:axId val="1588608608"/>
      </c:barChart>
      <c:catAx>
        <c:axId val="15886046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900" b="0" i="0" baseline="0">
                    <a:solidFill>
                      <a:schemeClr val="tx1"/>
                    </a:solidFill>
                    <a:effectLst/>
                  </a:rPr>
                  <a:t>Compiled from the Annual Activity Reports of the Radio and Television Supreme Council. The report for the year 2023 is not available.</a:t>
                </a:r>
              </a:p>
            </c:rich>
          </c:tx>
          <c:layout>
            <c:manualLayout>
              <c:xMode val="edge"/>
              <c:yMode val="edge"/>
              <c:x val="0.117685185185185"/>
              <c:y val="0.8969444444444439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TR"/>
          </a:p>
        </c:txPr>
        <c:crossAx val="1588608608"/>
        <c:crosses val="autoZero"/>
        <c:auto val="1"/>
        <c:lblAlgn val="ctr"/>
        <c:lblOffset val="100"/>
        <c:noMultiLvlLbl val="0"/>
      </c:catAx>
      <c:valAx>
        <c:axId val="15886086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TR"/>
          </a:p>
        </c:txPr>
        <c:crossAx val="1588604656"/>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tr-TR" sz="1100" b="1">
                <a:solidFill>
                  <a:schemeClr val="tx1"/>
                </a:solidFill>
                <a:effectLst/>
              </a:rPr>
              <a:t>Number of broadcasting bans issued by RTÜK over the years</a:t>
            </a:r>
            <a:endParaRPr lang="tr-TR" sz="1100">
              <a:solidFill>
                <a:schemeClr val="tx1"/>
              </a:solidFill>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TR"/>
        </a:p>
      </c:txPr>
    </c:title>
    <c:autoTitleDeleted val="0"/>
    <c:plotArea>
      <c:layout/>
      <c:barChart>
        <c:barDir val="col"/>
        <c:grouping val="clustered"/>
        <c:varyColors val="0"/>
        <c:ser>
          <c:idx val="0"/>
          <c:order val="0"/>
          <c:tx>
            <c:strRef>
              <c:f>Sayfa1!$B$1</c:f>
              <c:strCache>
                <c:ptCount val="1"/>
                <c:pt idx="0">
                  <c:v>Broadcasting bans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Sayfa1!$A$2:$A$13</c:f>
              <c:numCache>
                <c:formatCode>General</c:formatCode>
                <c:ptCount val="12"/>
                <c:pt idx="0">
                  <c:v>2011</c:v>
                </c:pt>
                <c:pt idx="1">
                  <c:v>2012</c:v>
                </c:pt>
                <c:pt idx="2">
                  <c:v>2013</c:v>
                </c:pt>
                <c:pt idx="3">
                  <c:v>2014</c:v>
                </c:pt>
                <c:pt idx="4">
                  <c:v>2015</c:v>
                </c:pt>
                <c:pt idx="5">
                  <c:v>2016</c:v>
                </c:pt>
                <c:pt idx="6">
                  <c:v>2017</c:v>
                </c:pt>
                <c:pt idx="7">
                  <c:v>2018</c:v>
                </c:pt>
                <c:pt idx="8">
                  <c:v>2019</c:v>
                </c:pt>
                <c:pt idx="9">
                  <c:v>2020</c:v>
                </c:pt>
                <c:pt idx="10">
                  <c:v>2021</c:v>
                </c:pt>
                <c:pt idx="11">
                  <c:v>2022</c:v>
                </c:pt>
              </c:numCache>
            </c:numRef>
          </c:cat>
          <c:val>
            <c:numRef>
              <c:f>Sayfa1!$B$2:$B$13</c:f>
              <c:numCache>
                <c:formatCode>General</c:formatCode>
                <c:ptCount val="12"/>
                <c:pt idx="0">
                  <c:v>33</c:v>
                </c:pt>
                <c:pt idx="1">
                  <c:v>41</c:v>
                </c:pt>
                <c:pt idx="2">
                  <c:v>42</c:v>
                </c:pt>
                <c:pt idx="3">
                  <c:v>24</c:v>
                </c:pt>
                <c:pt idx="4" formatCode="#,##0">
                  <c:v>37</c:v>
                </c:pt>
                <c:pt idx="5" formatCode="#,##0">
                  <c:v>39</c:v>
                </c:pt>
                <c:pt idx="6" formatCode="#,##0">
                  <c:v>58</c:v>
                </c:pt>
                <c:pt idx="7" formatCode="#,##0">
                  <c:v>164</c:v>
                </c:pt>
                <c:pt idx="8" formatCode="#,##0">
                  <c:v>154</c:v>
                </c:pt>
                <c:pt idx="9" formatCode="#,##0">
                  <c:v>107</c:v>
                </c:pt>
                <c:pt idx="10" formatCode="#,##0">
                  <c:v>102</c:v>
                </c:pt>
                <c:pt idx="11" formatCode="#,##0">
                  <c:v>143</c:v>
                </c:pt>
              </c:numCache>
            </c:numRef>
          </c:val>
          <c:extLst>
            <c:ext xmlns:c16="http://schemas.microsoft.com/office/drawing/2014/chart" uri="{C3380CC4-5D6E-409C-BE32-E72D297353CC}">
              <c16:uniqueId val="{00000000-1495-F849-B9D4-A67E890C3769}"/>
            </c:ext>
          </c:extLst>
        </c:ser>
        <c:dLbls>
          <c:dLblPos val="outEnd"/>
          <c:showLegendKey val="0"/>
          <c:showVal val="1"/>
          <c:showCatName val="0"/>
          <c:showSerName val="0"/>
          <c:showPercent val="0"/>
          <c:showBubbleSize val="0"/>
        </c:dLbls>
        <c:gapWidth val="219"/>
        <c:axId val="1588632176"/>
        <c:axId val="1588636128"/>
      </c:barChart>
      <c:catAx>
        <c:axId val="15886321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tr-TR" sz="800" b="0" i="0" baseline="0">
                    <a:effectLst/>
                  </a:rPr>
                  <a:t>Compiled from the Annual Activity Reports of the Radio and Television Supreme Council. The report for the year 2023 is not available.</a:t>
                </a:r>
                <a:endParaRPr lang="tr-TR" sz="800">
                  <a:effectLst/>
                </a:endParaRPr>
              </a:p>
            </c:rich>
          </c:tx>
          <c:layout>
            <c:manualLayout>
              <c:xMode val="edge"/>
              <c:yMode val="edge"/>
              <c:x val="0.117685185185185"/>
              <c:y val="0.89694444444444399"/>
            </c:manualLayout>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TR"/>
          </a:p>
        </c:txPr>
        <c:crossAx val="1588636128"/>
        <c:crosses val="autoZero"/>
        <c:auto val="1"/>
        <c:lblAlgn val="ctr"/>
        <c:lblOffset val="100"/>
        <c:noMultiLvlLbl val="0"/>
      </c:catAx>
      <c:valAx>
        <c:axId val="1588636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TR"/>
          </a:p>
        </c:txPr>
        <c:crossAx val="1588632176"/>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tr-TR" sz="900"/>
              <a:t>Distribution of Blocked Websites According to Decision Making Institutions (2006-2022)</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TR"/>
        </a:p>
      </c:txPr>
    </c:title>
    <c:autoTitleDeleted val="0"/>
    <c:plotArea>
      <c:layout/>
      <c:barChart>
        <c:barDir val="col"/>
        <c:grouping val="clustered"/>
        <c:varyColors val="0"/>
        <c:ser>
          <c:idx val="0"/>
          <c:order val="0"/>
          <c:tx>
            <c:strRef>
              <c:f>Sayfa1!$B$1</c:f>
              <c:strCache>
                <c:ptCount val="1"/>
                <c:pt idx="0">
                  <c:v>Erişim engelleme sayısı</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CC7-C448-9735-F6B5487E7BB6}"/>
                </c:ext>
              </c:extLst>
            </c:dLbl>
            <c:dLbl>
              <c:idx val="1"/>
              <c:layout>
                <c:manualLayout>
                  <c:x val="0"/>
                  <c:y val="-1.87879823048149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CC7-C448-9735-F6B5487E7BB6}"/>
                </c:ext>
              </c:extLst>
            </c:dLbl>
            <c:dLbl>
              <c:idx val="2"/>
              <c:layout>
                <c:manualLayout>
                  <c:x val="9.2592592592592605E-3"/>
                  <c:y val="-5.03310526121832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CC7-C448-9735-F6B5487E7BB6}"/>
                </c:ext>
              </c:extLst>
            </c:dLbl>
            <c:dLbl>
              <c:idx val="3"/>
              <c:layout>
                <c:manualLayout>
                  <c:x val="4.6296296296296302E-3"/>
                  <c:y val="-3.8460328964339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CC7-C448-9735-F6B5487E7BB6}"/>
                </c:ext>
              </c:extLst>
            </c:dLbl>
            <c:dLbl>
              <c:idx val="4"/>
              <c:layout>
                <c:manualLayout>
                  <c:x val="0"/>
                  <c:y val="-2.100531895291559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CC7-C448-9735-F6B5487E7BB6}"/>
                </c:ext>
              </c:extLst>
            </c:dLbl>
            <c:dLbl>
              <c:idx val="5"/>
              <c:layout>
                <c:manualLayout>
                  <c:x val="-6.9444444444444397E-3"/>
                  <c:y val="2.620904836193449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CC7-C448-9735-F6B5487E7BB6}"/>
                </c:ext>
              </c:extLst>
            </c:dLbl>
            <c:dLbl>
              <c:idx val="6"/>
              <c:layout>
                <c:manualLayout>
                  <c:x val="6.9444444444443998E-3"/>
                  <c:y val="2.4445072291080598E-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CC7-C448-9735-F6B5487E7BB6}"/>
                </c:ext>
              </c:extLst>
            </c:dLbl>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rgbClr val="FF0000"/>
                    </a:solidFill>
                    <a:latin typeface="+mn-lt"/>
                    <a:ea typeface="+mn-ea"/>
                    <a:cs typeface="+mn-cs"/>
                  </a:defRPr>
                </a:pPr>
                <a:endParaRPr lang="en-T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Sayfa1!$A$2:$A$20</c:f>
              <c:strCache>
                <c:ptCount val="19"/>
                <c:pt idx="0">
                  <c:v>BTK</c:v>
                </c:pt>
                <c:pt idx="1">
                  <c:v>TİB</c:v>
                </c:pt>
                <c:pt idx="2">
                  <c:v>Judiciary</c:v>
                </c:pt>
                <c:pt idx="3">
                  <c:v>TFF</c:v>
                </c:pt>
                <c:pt idx="4">
                  <c:v>Ministry of Health</c:v>
                </c:pt>
                <c:pt idx="5">
                  <c:v>Capital Markets Board</c:v>
                </c:pt>
                <c:pt idx="6">
                  <c:v>Spor Toto</c:v>
                </c:pt>
                <c:pt idx="7">
                  <c:v>National Lottery</c:v>
                </c:pt>
                <c:pt idx="8">
                  <c:v>Directorate of Tobacco and Alcohol</c:v>
                </c:pt>
                <c:pt idx="9">
                  <c:v>Ministry of Agriculture and Forestry</c:v>
                </c:pt>
                <c:pt idx="10">
                  <c:v>Ministry of Customs and Trade</c:v>
                </c:pt>
                <c:pt idx="11">
                  <c:v>Directorate of Tobacco and Alcohol</c:v>
                </c:pt>
                <c:pt idx="12">
                  <c:v>Turkish Jockey Club</c:v>
                </c:pt>
                <c:pt idx="13">
                  <c:v>Execution Offices</c:v>
                </c:pt>
                <c:pt idx="14">
                  <c:v>Access Providers Association</c:v>
                </c:pt>
                <c:pt idx="15">
                  <c:v>BDDK</c:v>
                </c:pt>
                <c:pt idx="16">
                  <c:v>Supreme Council of Election</c:v>
                </c:pt>
                <c:pt idx="17">
                  <c:v>Ministry of Finance</c:v>
                </c:pt>
                <c:pt idx="18">
                  <c:v>Advertisement Board</c:v>
                </c:pt>
              </c:strCache>
            </c:strRef>
          </c:cat>
          <c:val>
            <c:numRef>
              <c:f>Sayfa1!$B$2:$B$20</c:f>
              <c:numCache>
                <c:formatCode>#,##0</c:formatCode>
                <c:ptCount val="19"/>
                <c:pt idx="0">
                  <c:v>496476</c:v>
                </c:pt>
                <c:pt idx="1">
                  <c:v>129164</c:v>
                </c:pt>
                <c:pt idx="2">
                  <c:v>43938</c:v>
                </c:pt>
                <c:pt idx="3">
                  <c:v>22585</c:v>
                </c:pt>
                <c:pt idx="4">
                  <c:v>10202</c:v>
                </c:pt>
                <c:pt idx="5">
                  <c:v>6159</c:v>
                </c:pt>
                <c:pt idx="6">
                  <c:v>1481</c:v>
                </c:pt>
                <c:pt idx="7">
                  <c:v>971</c:v>
                </c:pt>
                <c:pt idx="8">
                  <c:v>826</c:v>
                </c:pt>
                <c:pt idx="9">
                  <c:v>306</c:v>
                </c:pt>
                <c:pt idx="10">
                  <c:v>220</c:v>
                </c:pt>
                <c:pt idx="11">
                  <c:v>125</c:v>
                </c:pt>
                <c:pt idx="12">
                  <c:v>101</c:v>
                </c:pt>
                <c:pt idx="13">
                  <c:v>69</c:v>
                </c:pt>
                <c:pt idx="14">
                  <c:v>34</c:v>
                </c:pt>
                <c:pt idx="15">
                  <c:v>14</c:v>
                </c:pt>
                <c:pt idx="16">
                  <c:v>5</c:v>
                </c:pt>
                <c:pt idx="17">
                  <c:v>5</c:v>
                </c:pt>
                <c:pt idx="18">
                  <c:v>2</c:v>
                </c:pt>
              </c:numCache>
            </c:numRef>
          </c:val>
          <c:extLst>
            <c:ext xmlns:c16="http://schemas.microsoft.com/office/drawing/2014/chart" uri="{C3380CC4-5D6E-409C-BE32-E72D297353CC}">
              <c16:uniqueId val="{00000007-1CC7-C448-9735-F6B5487E7BB6}"/>
            </c:ext>
          </c:extLst>
        </c:ser>
        <c:dLbls>
          <c:dLblPos val="inEnd"/>
          <c:showLegendKey val="0"/>
          <c:showVal val="1"/>
          <c:showCatName val="0"/>
          <c:showSerName val="0"/>
          <c:showPercent val="0"/>
          <c:showBubbleSize val="0"/>
        </c:dLbls>
        <c:gapWidth val="100"/>
        <c:overlap val="-24"/>
        <c:axId val="1588666576"/>
        <c:axId val="1588669968"/>
      </c:barChart>
      <c:catAx>
        <c:axId val="1588666576"/>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tr-TR"/>
                  <a:t>Data are taken from the Freedom of Expression Association</a:t>
                </a:r>
                <a:r>
                  <a:rPr lang="tr-TR" sz="900" b="0" i="0" u="none" strike="noStrike" kern="1200" baseline="0">
                    <a:solidFill>
                      <a:sysClr val="windowText" lastClr="000000">
                        <a:lumMod val="65000"/>
                        <a:lumOff val="35000"/>
                      </a:sysClr>
                    </a:solidFill>
                    <a:latin typeface="+mn-lt"/>
                    <a:ea typeface="+mn-ea"/>
                    <a:cs typeface="+mn-cs"/>
                  </a:rPr>
                  <a:t>’</a:t>
                </a:r>
                <a:r>
                  <a:rPr lang="tr-TR"/>
                  <a:t>s Engelliweb 2022 report (p. 10).</a:t>
                </a:r>
              </a:p>
            </c:rich>
          </c:tx>
          <c:layout>
            <c:manualLayout>
              <c:xMode val="edge"/>
              <c:yMode val="edge"/>
              <c:x val="0.122314814814815"/>
              <c:y val="0.9438886090876710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crossAx val="1588669968"/>
        <c:crosses val="autoZero"/>
        <c:auto val="1"/>
        <c:lblAlgn val="ctr"/>
        <c:lblOffset val="100"/>
        <c:noMultiLvlLbl val="0"/>
      </c:catAx>
      <c:valAx>
        <c:axId val="1588669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TR"/>
          </a:p>
        </c:txPr>
        <c:crossAx val="1588666576"/>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solidFill>
                <a:latin typeface="+mn-lt"/>
                <a:ea typeface="+mn-ea"/>
                <a:cs typeface="+mn-cs"/>
              </a:defRPr>
            </a:pPr>
            <a:r>
              <a:rPr lang="tr-TR" sz="800" b="1">
                <a:solidFill>
                  <a:schemeClr val="tx1"/>
                </a:solidFill>
                <a:effectLst/>
              </a:rPr>
              <a:t>Access blocking orders issued over the years.</a:t>
            </a:r>
            <a:endParaRPr lang="tr-TR" sz="800">
              <a:solidFill>
                <a:schemeClr val="tx1"/>
              </a:solidFill>
              <a:effectLst/>
            </a:endParaRP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solidFill>
              <a:latin typeface="+mn-lt"/>
              <a:ea typeface="+mn-ea"/>
              <a:cs typeface="+mn-cs"/>
            </a:defRPr>
          </a:pPr>
          <a:endParaRPr lang="en-TR"/>
        </a:p>
      </c:txPr>
    </c:title>
    <c:autoTitleDeleted val="0"/>
    <c:plotArea>
      <c:layout/>
      <c:barChart>
        <c:barDir val="col"/>
        <c:grouping val="clustered"/>
        <c:varyColors val="0"/>
        <c:ser>
          <c:idx val="0"/>
          <c:order val="0"/>
          <c:tx>
            <c:strRef>
              <c:f>Sayfa1!$B$1</c:f>
              <c:strCache>
                <c:ptCount val="1"/>
                <c:pt idx="0">
                  <c:v>Blocking Access Orders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rgbClr val="FF0000"/>
                    </a:solidFill>
                    <a:latin typeface="+mn-lt"/>
                    <a:ea typeface="+mn-ea"/>
                    <a:cs typeface="+mn-cs"/>
                  </a:defRPr>
                </a:pPr>
                <a:endParaRPr lang="en-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Sayfa1!$A$2:$A$18</c:f>
              <c:numCache>
                <c:formatCode>General</c:formatCode>
                <c:ptCount val="17"/>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pt idx="15">
                  <c:v>2021</c:v>
                </c:pt>
                <c:pt idx="16">
                  <c:v>2022</c:v>
                </c:pt>
              </c:numCache>
            </c:numRef>
          </c:cat>
          <c:val>
            <c:numRef>
              <c:f>Sayfa1!$B$2:$B$18</c:f>
              <c:numCache>
                <c:formatCode>#,##0</c:formatCode>
                <c:ptCount val="17"/>
                <c:pt idx="0">
                  <c:v>4</c:v>
                </c:pt>
                <c:pt idx="1">
                  <c:v>40</c:v>
                </c:pt>
                <c:pt idx="2">
                  <c:v>1017</c:v>
                </c:pt>
                <c:pt idx="3">
                  <c:v>5150</c:v>
                </c:pt>
                <c:pt idx="4">
                  <c:v>1733</c:v>
                </c:pt>
                <c:pt idx="5">
                  <c:v>7493</c:v>
                </c:pt>
                <c:pt idx="6">
                  <c:v>8701</c:v>
                </c:pt>
                <c:pt idx="7">
                  <c:v>19732</c:v>
                </c:pt>
                <c:pt idx="8">
                  <c:v>38441</c:v>
                </c:pt>
                <c:pt idx="9">
                  <c:v>34944</c:v>
                </c:pt>
                <c:pt idx="10">
                  <c:v>44960</c:v>
                </c:pt>
                <c:pt idx="11">
                  <c:v>90056</c:v>
                </c:pt>
                <c:pt idx="12">
                  <c:v>94601</c:v>
                </c:pt>
                <c:pt idx="13">
                  <c:v>61383</c:v>
                </c:pt>
                <c:pt idx="14">
                  <c:v>58872</c:v>
                </c:pt>
                <c:pt idx="15">
                  <c:v>107714</c:v>
                </c:pt>
                <c:pt idx="16">
                  <c:v>137717</c:v>
                </c:pt>
              </c:numCache>
            </c:numRef>
          </c:val>
          <c:extLst>
            <c:ext xmlns:c16="http://schemas.microsoft.com/office/drawing/2014/chart" uri="{C3380CC4-5D6E-409C-BE32-E72D297353CC}">
              <c16:uniqueId val="{00000000-3279-B044-B5AB-8D57FD71A13E}"/>
            </c:ext>
          </c:extLst>
        </c:ser>
        <c:dLbls>
          <c:dLblPos val="outEnd"/>
          <c:showLegendKey val="0"/>
          <c:showVal val="1"/>
          <c:showCatName val="0"/>
          <c:showSerName val="0"/>
          <c:showPercent val="0"/>
          <c:showBubbleSize val="0"/>
        </c:dLbls>
        <c:gapWidth val="219"/>
        <c:axId val="1588694016"/>
        <c:axId val="1588698048"/>
      </c:barChart>
      <c:catAx>
        <c:axId val="15886940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900" b="0" i="0" baseline="0">
                    <a:solidFill>
                      <a:schemeClr val="tx1"/>
                    </a:solidFill>
                    <a:effectLst/>
                  </a:rPr>
                  <a:t>Data are taken from the Freedom of Expression Association</a:t>
                </a:r>
                <a:r>
                  <a:rPr lang="tr-TR" sz="900" b="0" i="0" u="none" strike="noStrike" kern="1200" baseline="0">
                    <a:solidFill>
                      <a:schemeClr val="tx1"/>
                    </a:solidFill>
                    <a:effectLst/>
                    <a:latin typeface="+mn-lt"/>
                    <a:ea typeface="+mn-ea"/>
                    <a:cs typeface="+mn-cs"/>
                  </a:rPr>
                  <a:t>’</a:t>
                </a:r>
                <a:r>
                  <a:rPr lang="tr-TR" sz="900" b="0" i="0" baseline="0">
                    <a:solidFill>
                      <a:schemeClr val="tx1"/>
                    </a:solidFill>
                    <a:effectLst/>
                  </a:rPr>
                  <a:t>s Engelliweb 2022 report (p. 3).</a:t>
                </a:r>
                <a:endParaRPr lang="tr-TR" sz="900">
                  <a:solidFill>
                    <a:schemeClr val="tx1"/>
                  </a:solidFill>
                  <a:effectLst/>
                </a:endParaRPr>
              </a:p>
            </c:rich>
          </c:tx>
          <c:layout>
            <c:manualLayout>
              <c:xMode val="edge"/>
              <c:yMode val="edge"/>
              <c:x val="0.117685185185185"/>
              <c:y val="0.8969444444444439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TR"/>
          </a:p>
        </c:txPr>
        <c:crossAx val="1588698048"/>
        <c:crosses val="autoZero"/>
        <c:auto val="1"/>
        <c:lblAlgn val="ctr"/>
        <c:lblOffset val="100"/>
        <c:noMultiLvlLbl val="0"/>
      </c:catAx>
      <c:valAx>
        <c:axId val="15886980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TR"/>
          </a:p>
        </c:txPr>
        <c:crossAx val="1588694016"/>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tr-TR" sz="1100">
                <a:solidFill>
                  <a:schemeClr val="tx1"/>
                </a:solidFill>
                <a:effectLst/>
              </a:rPr>
              <a:t>Number of journalists who lost their jobs by years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TR"/>
        </a:p>
      </c:txPr>
    </c:title>
    <c:autoTitleDeleted val="0"/>
    <c:plotArea>
      <c:layout/>
      <c:barChart>
        <c:barDir val="col"/>
        <c:grouping val="clustered"/>
        <c:varyColors val="0"/>
        <c:ser>
          <c:idx val="0"/>
          <c:order val="0"/>
          <c:tx>
            <c:strRef>
              <c:f>Sayfa1!$B$1</c:f>
              <c:strCache>
                <c:ptCount val="1"/>
                <c:pt idx="0">
                  <c:v>Dismissed Journalists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Sayfa1!$A$2:$A$12</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Sayfa1!$B$2:$B$12</c:f>
              <c:numCache>
                <c:formatCode>General</c:formatCode>
                <c:ptCount val="11"/>
                <c:pt idx="0">
                  <c:v>143</c:v>
                </c:pt>
                <c:pt idx="1">
                  <c:v>339</c:v>
                </c:pt>
                <c:pt idx="2" formatCode="#,##0">
                  <c:v>348</c:v>
                </c:pt>
                <c:pt idx="3" formatCode="#,##0">
                  <c:v>2708</c:v>
                </c:pt>
                <c:pt idx="4" formatCode="#,##0">
                  <c:v>166</c:v>
                </c:pt>
                <c:pt idx="5" formatCode="#,##0">
                  <c:v>157</c:v>
                </c:pt>
                <c:pt idx="6" formatCode="#,##0">
                  <c:v>190</c:v>
                </c:pt>
                <c:pt idx="7" formatCode="#,##0">
                  <c:v>215</c:v>
                </c:pt>
                <c:pt idx="8" formatCode="#,##0">
                  <c:v>79</c:v>
                </c:pt>
                <c:pt idx="9" formatCode="#,##0">
                  <c:v>88</c:v>
                </c:pt>
                <c:pt idx="10" formatCode="#,##0">
                  <c:v>81</c:v>
                </c:pt>
              </c:numCache>
            </c:numRef>
          </c:val>
          <c:extLst>
            <c:ext xmlns:c16="http://schemas.microsoft.com/office/drawing/2014/chart" uri="{C3380CC4-5D6E-409C-BE32-E72D297353CC}">
              <c16:uniqueId val="{00000000-FC1C-D848-8C2B-DD85AA5794E2}"/>
            </c:ext>
          </c:extLst>
        </c:ser>
        <c:dLbls>
          <c:dLblPos val="outEnd"/>
          <c:showLegendKey val="0"/>
          <c:showVal val="1"/>
          <c:showCatName val="0"/>
          <c:showSerName val="0"/>
          <c:showPercent val="0"/>
          <c:showBubbleSize val="0"/>
        </c:dLbls>
        <c:gapWidth val="219"/>
        <c:axId val="1588722192"/>
        <c:axId val="1588726224"/>
      </c:barChart>
      <c:catAx>
        <c:axId val="15887221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800" b="0" i="0" u="none" strike="noStrike" baseline="0">
                    <a:solidFill>
                      <a:schemeClr val="tx1"/>
                    </a:solidFill>
                    <a:effectLst/>
                  </a:rPr>
                  <a:t>Data are compiled from the</a:t>
                </a:r>
                <a:r>
                  <a:rPr lang="tr-TR" sz="800" b="0" i="0" u="none" strike="noStrike" baseline="0">
                    <a:solidFill>
                      <a:schemeClr val="tx1"/>
                    </a:solidFill>
                  </a:rPr>
                  <a:t> </a:t>
                </a:r>
                <a:r>
                  <a:rPr lang="tr-TR" sz="800" b="0" i="0" baseline="0">
                    <a:solidFill>
                      <a:schemeClr val="tx1"/>
                    </a:solidFill>
                    <a:effectLst/>
                  </a:rPr>
                  <a:t>Bia Media Monitoring Reports</a:t>
                </a:r>
                <a:endParaRPr lang="tr-TR" sz="800">
                  <a:solidFill>
                    <a:schemeClr val="tx1"/>
                  </a:solidFill>
                  <a:effectLst/>
                </a:endParaRPr>
              </a:p>
            </c:rich>
          </c:tx>
          <c:layout>
            <c:manualLayout>
              <c:xMode val="edge"/>
              <c:yMode val="edge"/>
              <c:x val="0.26120370370370399"/>
              <c:y val="0.8907932831499709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TR"/>
          </a:p>
        </c:txPr>
        <c:crossAx val="1588726224"/>
        <c:crosses val="autoZero"/>
        <c:auto val="1"/>
        <c:lblAlgn val="ctr"/>
        <c:lblOffset val="100"/>
        <c:noMultiLvlLbl val="0"/>
      </c:catAx>
      <c:valAx>
        <c:axId val="1588726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TR"/>
          </a:p>
        </c:txPr>
        <c:crossAx val="1588722192"/>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100" b="1" i="0" u="none" strike="noStrike" baseline="0">
                <a:effectLst/>
              </a:rPr>
              <a:t>Male Violence Tally</a:t>
            </a:r>
            <a:r>
              <a:rPr lang="tr-TR" sz="1100" b="1" i="0" u="none" strike="noStrike" baseline="0">
                <a:effectLst/>
              </a:rPr>
              <a:t>  2018-2023</a:t>
            </a:r>
            <a:endParaRPr lang="tr-TR" sz="1100"/>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TR"/>
        </a:p>
      </c:txPr>
    </c:title>
    <c:autoTitleDeleted val="0"/>
    <c:plotArea>
      <c:layout/>
      <c:barChart>
        <c:barDir val="col"/>
        <c:grouping val="clustered"/>
        <c:varyColors val="0"/>
        <c:ser>
          <c:idx val="0"/>
          <c:order val="0"/>
          <c:tx>
            <c:strRef>
              <c:f>Sayfa1!$B$1</c:f>
              <c:strCache>
                <c:ptCount val="1"/>
                <c:pt idx="0">
                  <c:v>2018</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rgbClr val="FF0000"/>
                    </a:solidFill>
                    <a:latin typeface="+mn-lt"/>
                    <a:ea typeface="+mn-ea"/>
                    <a:cs typeface="+mn-cs"/>
                  </a:defRPr>
                </a:pPr>
                <a:endParaRPr lang="en-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Sayfa1!$A$2:$A$5</c:f>
              <c:strCache>
                <c:ptCount val="4"/>
                <c:pt idx="0">
                  <c:v>Number of women murdered</c:v>
                </c:pt>
                <c:pt idx="1">
                  <c:v>Number of women subjected to violence</c:v>
                </c:pt>
                <c:pt idx="2">
                  <c:v>Number of women subjected to harassment</c:v>
                </c:pt>
                <c:pt idx="3">
                  <c:v>Number of women subjected to sexual assault</c:v>
                </c:pt>
              </c:strCache>
            </c:strRef>
          </c:cat>
          <c:val>
            <c:numRef>
              <c:f>Sayfa1!$B$2:$B$5</c:f>
              <c:numCache>
                <c:formatCode>General</c:formatCode>
                <c:ptCount val="4"/>
                <c:pt idx="0">
                  <c:v>255</c:v>
                </c:pt>
                <c:pt idx="1">
                  <c:v>380</c:v>
                </c:pt>
                <c:pt idx="2">
                  <c:v>188</c:v>
                </c:pt>
                <c:pt idx="3">
                  <c:v>61</c:v>
                </c:pt>
              </c:numCache>
            </c:numRef>
          </c:val>
          <c:extLst>
            <c:ext xmlns:c16="http://schemas.microsoft.com/office/drawing/2014/chart" uri="{C3380CC4-5D6E-409C-BE32-E72D297353CC}">
              <c16:uniqueId val="{00000000-AB63-1048-803D-74D2C0132B58}"/>
            </c:ext>
          </c:extLst>
        </c:ser>
        <c:ser>
          <c:idx val="1"/>
          <c:order val="1"/>
          <c:tx>
            <c:strRef>
              <c:f>Sayfa1!$C$1</c:f>
              <c:strCache>
                <c:ptCount val="1"/>
                <c:pt idx="0">
                  <c:v>2019</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rgbClr val="FF0000"/>
                    </a:solidFill>
                    <a:latin typeface="+mn-lt"/>
                    <a:ea typeface="+mn-ea"/>
                    <a:cs typeface="+mn-cs"/>
                  </a:defRPr>
                </a:pPr>
                <a:endParaRPr lang="en-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Sayfa1!$A$2:$A$5</c:f>
              <c:strCache>
                <c:ptCount val="4"/>
                <c:pt idx="0">
                  <c:v>Number of women murdered</c:v>
                </c:pt>
                <c:pt idx="1">
                  <c:v>Number of women subjected to violence</c:v>
                </c:pt>
                <c:pt idx="2">
                  <c:v>Number of women subjected to harassment</c:v>
                </c:pt>
                <c:pt idx="3">
                  <c:v>Number of women subjected to sexual assault</c:v>
                </c:pt>
              </c:strCache>
            </c:strRef>
          </c:cat>
          <c:val>
            <c:numRef>
              <c:f>Sayfa1!$C$2:$C$5</c:f>
              <c:numCache>
                <c:formatCode>General</c:formatCode>
                <c:ptCount val="4"/>
                <c:pt idx="0">
                  <c:v>328</c:v>
                </c:pt>
                <c:pt idx="1">
                  <c:v>630</c:v>
                </c:pt>
                <c:pt idx="2">
                  <c:v>232</c:v>
                </c:pt>
                <c:pt idx="3">
                  <c:v>51</c:v>
                </c:pt>
              </c:numCache>
            </c:numRef>
          </c:val>
          <c:extLst>
            <c:ext xmlns:c16="http://schemas.microsoft.com/office/drawing/2014/chart" uri="{C3380CC4-5D6E-409C-BE32-E72D297353CC}">
              <c16:uniqueId val="{00000001-AB63-1048-803D-74D2C0132B58}"/>
            </c:ext>
          </c:extLst>
        </c:ser>
        <c:ser>
          <c:idx val="2"/>
          <c:order val="2"/>
          <c:tx>
            <c:strRef>
              <c:f>Sayfa1!$D$1</c:f>
              <c:strCache>
                <c:ptCount val="1"/>
                <c:pt idx="0">
                  <c:v>2020</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rgbClr val="FF0000"/>
                    </a:solidFill>
                    <a:latin typeface="+mn-lt"/>
                    <a:ea typeface="+mn-ea"/>
                    <a:cs typeface="+mn-cs"/>
                  </a:defRPr>
                </a:pPr>
                <a:endParaRPr lang="en-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Sayfa1!$A$2:$A$5</c:f>
              <c:strCache>
                <c:ptCount val="4"/>
                <c:pt idx="0">
                  <c:v>Number of women murdered</c:v>
                </c:pt>
                <c:pt idx="1">
                  <c:v>Number of women subjected to violence</c:v>
                </c:pt>
                <c:pt idx="2">
                  <c:v>Number of women subjected to harassment</c:v>
                </c:pt>
                <c:pt idx="3">
                  <c:v>Number of women subjected to sexual assault</c:v>
                </c:pt>
              </c:strCache>
            </c:strRef>
          </c:cat>
          <c:val>
            <c:numRef>
              <c:f>Sayfa1!$D$2:$D$5</c:f>
              <c:numCache>
                <c:formatCode>General</c:formatCode>
                <c:ptCount val="4"/>
                <c:pt idx="0">
                  <c:v>284</c:v>
                </c:pt>
                <c:pt idx="1">
                  <c:v>792</c:v>
                </c:pt>
                <c:pt idx="2">
                  <c:v>147</c:v>
                </c:pt>
                <c:pt idx="3">
                  <c:v>96</c:v>
                </c:pt>
              </c:numCache>
            </c:numRef>
          </c:val>
          <c:extLst>
            <c:ext xmlns:c16="http://schemas.microsoft.com/office/drawing/2014/chart" uri="{C3380CC4-5D6E-409C-BE32-E72D297353CC}">
              <c16:uniqueId val="{00000002-AB63-1048-803D-74D2C0132B58}"/>
            </c:ext>
          </c:extLst>
        </c:ser>
        <c:ser>
          <c:idx val="3"/>
          <c:order val="3"/>
          <c:tx>
            <c:strRef>
              <c:f>Sayfa1!$E$1</c:f>
              <c:strCache>
                <c:ptCount val="1"/>
                <c:pt idx="0">
                  <c:v>2021</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rgbClr val="FF0000"/>
                    </a:solidFill>
                    <a:latin typeface="+mn-lt"/>
                    <a:ea typeface="+mn-ea"/>
                    <a:cs typeface="+mn-cs"/>
                  </a:defRPr>
                </a:pPr>
                <a:endParaRPr lang="en-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Sayfa1!$A$2:$A$5</c:f>
              <c:strCache>
                <c:ptCount val="4"/>
                <c:pt idx="0">
                  <c:v>Number of women murdered</c:v>
                </c:pt>
                <c:pt idx="1">
                  <c:v>Number of women subjected to violence</c:v>
                </c:pt>
                <c:pt idx="2">
                  <c:v>Number of women subjected to harassment</c:v>
                </c:pt>
                <c:pt idx="3">
                  <c:v>Number of women subjected to sexual assault</c:v>
                </c:pt>
              </c:strCache>
            </c:strRef>
          </c:cat>
          <c:val>
            <c:numRef>
              <c:f>Sayfa1!$E$2:$E$5</c:f>
              <c:numCache>
                <c:formatCode>General</c:formatCode>
                <c:ptCount val="4"/>
                <c:pt idx="0">
                  <c:v>324</c:v>
                </c:pt>
                <c:pt idx="1">
                  <c:v>793</c:v>
                </c:pt>
                <c:pt idx="2">
                  <c:v>424</c:v>
                </c:pt>
                <c:pt idx="3">
                  <c:v>96</c:v>
                </c:pt>
              </c:numCache>
            </c:numRef>
          </c:val>
          <c:extLst>
            <c:ext xmlns:c16="http://schemas.microsoft.com/office/drawing/2014/chart" uri="{C3380CC4-5D6E-409C-BE32-E72D297353CC}">
              <c16:uniqueId val="{00000003-AB63-1048-803D-74D2C0132B58}"/>
            </c:ext>
          </c:extLst>
        </c:ser>
        <c:ser>
          <c:idx val="4"/>
          <c:order val="4"/>
          <c:tx>
            <c:strRef>
              <c:f>Sayfa1!$F$1</c:f>
              <c:strCache>
                <c:ptCount val="1"/>
                <c:pt idx="0">
                  <c:v>2022</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rgbClr val="FF0000"/>
                    </a:solidFill>
                    <a:latin typeface="+mn-lt"/>
                    <a:ea typeface="+mn-ea"/>
                    <a:cs typeface="+mn-cs"/>
                  </a:defRPr>
                </a:pPr>
                <a:endParaRPr lang="en-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Sayfa1!$A$2:$A$5</c:f>
              <c:strCache>
                <c:ptCount val="4"/>
                <c:pt idx="0">
                  <c:v>Number of women murdered</c:v>
                </c:pt>
                <c:pt idx="1">
                  <c:v>Number of women subjected to violence</c:v>
                </c:pt>
                <c:pt idx="2">
                  <c:v>Number of women subjected to harassment</c:v>
                </c:pt>
                <c:pt idx="3">
                  <c:v>Number of women subjected to sexual assault</c:v>
                </c:pt>
              </c:strCache>
            </c:strRef>
          </c:cat>
          <c:val>
            <c:numRef>
              <c:f>Sayfa1!$F$2:$F$5</c:f>
              <c:numCache>
                <c:formatCode>General</c:formatCode>
                <c:ptCount val="4"/>
                <c:pt idx="0">
                  <c:v>327</c:v>
                </c:pt>
                <c:pt idx="1">
                  <c:v>793</c:v>
                </c:pt>
                <c:pt idx="2">
                  <c:v>156</c:v>
                </c:pt>
                <c:pt idx="3">
                  <c:v>32</c:v>
                </c:pt>
              </c:numCache>
            </c:numRef>
          </c:val>
          <c:extLst>
            <c:ext xmlns:c16="http://schemas.microsoft.com/office/drawing/2014/chart" uri="{C3380CC4-5D6E-409C-BE32-E72D297353CC}">
              <c16:uniqueId val="{00000004-AB63-1048-803D-74D2C0132B58}"/>
            </c:ext>
          </c:extLst>
        </c:ser>
        <c:ser>
          <c:idx val="5"/>
          <c:order val="5"/>
          <c:tx>
            <c:strRef>
              <c:f>Sayfa1!$G$1</c:f>
              <c:strCache>
                <c:ptCount val="1"/>
                <c:pt idx="0">
                  <c:v>2023</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rgbClr val="FF0000"/>
                    </a:solidFill>
                    <a:latin typeface="+mn-lt"/>
                    <a:ea typeface="+mn-ea"/>
                    <a:cs typeface="+mn-cs"/>
                  </a:defRPr>
                </a:pPr>
                <a:endParaRPr lang="en-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Sayfa1!$A$2:$A$5</c:f>
              <c:strCache>
                <c:ptCount val="4"/>
                <c:pt idx="0">
                  <c:v>Number of women murdered</c:v>
                </c:pt>
                <c:pt idx="1">
                  <c:v>Number of women subjected to violence</c:v>
                </c:pt>
                <c:pt idx="2">
                  <c:v>Number of women subjected to harassment</c:v>
                </c:pt>
                <c:pt idx="3">
                  <c:v>Number of women subjected to sexual assault</c:v>
                </c:pt>
              </c:strCache>
            </c:strRef>
          </c:cat>
          <c:val>
            <c:numRef>
              <c:f>Sayfa1!$G$2:$G$5</c:f>
              <c:numCache>
                <c:formatCode>General</c:formatCode>
                <c:ptCount val="4"/>
                <c:pt idx="0">
                  <c:v>333</c:v>
                </c:pt>
                <c:pt idx="1">
                  <c:v>745</c:v>
                </c:pt>
                <c:pt idx="2">
                  <c:v>355</c:v>
                </c:pt>
                <c:pt idx="3">
                  <c:v>18</c:v>
                </c:pt>
              </c:numCache>
            </c:numRef>
          </c:val>
          <c:extLst>
            <c:ext xmlns:c16="http://schemas.microsoft.com/office/drawing/2014/chart" uri="{C3380CC4-5D6E-409C-BE32-E72D297353CC}">
              <c16:uniqueId val="{00000005-AB63-1048-803D-74D2C0132B58}"/>
            </c:ext>
          </c:extLst>
        </c:ser>
        <c:dLbls>
          <c:dLblPos val="outEnd"/>
          <c:showLegendKey val="0"/>
          <c:showVal val="1"/>
          <c:showCatName val="0"/>
          <c:showSerName val="0"/>
          <c:showPercent val="0"/>
          <c:showBubbleSize val="0"/>
        </c:dLbls>
        <c:gapWidth val="100"/>
        <c:overlap val="-24"/>
        <c:axId val="1588776688"/>
        <c:axId val="1588779952"/>
      </c:barChart>
      <c:catAx>
        <c:axId val="158877668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TR"/>
          </a:p>
        </c:txPr>
        <c:crossAx val="1588779952"/>
        <c:crosses val="autoZero"/>
        <c:auto val="1"/>
        <c:lblAlgn val="ctr"/>
        <c:lblOffset val="100"/>
        <c:noMultiLvlLbl val="0"/>
      </c:catAx>
      <c:valAx>
        <c:axId val="158877995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TR"/>
          </a:p>
        </c:txPr>
        <c:crossAx val="1588776688"/>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TR"/>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845FAA-F832-FB4C-A95D-6E7EB6080E8E}">
  <ds:schemaRefs>
    <ds:schemaRef ds:uri="http://schemas.openxmlformats.org/officeDocument/2006/bibliography"/>
  </ds:schemaRefs>
</ds:datastoreItem>
</file>

<file path=customXml/itemProps2.xml><?xml version="1.0" encoding="utf-8"?>
<ds:datastoreItem xmlns:ds="http://schemas.openxmlformats.org/officeDocument/2006/customXml" ds:itemID="{1B53D7B1-D792-403E-A884-78071F16F2C5}"/>
</file>

<file path=customXml/itemProps3.xml><?xml version="1.0" encoding="utf-8"?>
<ds:datastoreItem xmlns:ds="http://schemas.openxmlformats.org/officeDocument/2006/customXml" ds:itemID="{6403F3A0-6A1A-4467-981E-AFF348E9881D}"/>
</file>

<file path=docProps/app.xml><?xml version="1.0" encoding="utf-8"?>
<Properties xmlns="http://schemas.openxmlformats.org/officeDocument/2006/extended-properties" xmlns:vt="http://schemas.openxmlformats.org/officeDocument/2006/docPropsVTypes">
  <Template>Normal.dotm</Template>
  <TotalTime>0</TotalTime>
  <Pages>23</Pages>
  <Words>7175</Words>
  <Characters>40899</Characters>
  <Application>Microsoft Office Word</Application>
  <DocSecurity>0</DocSecurity>
  <Lines>340</Lines>
  <Paragraphs>95</Paragraphs>
  <ScaleCrop>false</ScaleCrop>
  <HeadingPairs>
    <vt:vector size="2" baseType="variant">
      <vt:variant>
        <vt:lpstr>Başlık</vt:lpstr>
      </vt:variant>
      <vt:variant>
        <vt:i4>1</vt:i4>
      </vt:variant>
    </vt:vector>
  </HeadingPairs>
  <TitlesOfParts>
    <vt:vector size="1" baseType="lpstr">
      <vt:lpstr/>
    </vt:vector>
  </TitlesOfParts>
  <Company/>
  <LinksUpToDate>false</LinksUpToDate>
  <CharactersWithSpaces>47979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Ulas Karan</dc:creator>
  <cp:keywords/>
  <dc:description/>
  <cp:lastModifiedBy>Microsoft Office User</cp:lastModifiedBy>
  <cp:revision>2</cp:revision>
  <dcterms:created xsi:type="dcterms:W3CDTF">2024-09-16T11:49:00Z</dcterms:created>
  <dcterms:modified xsi:type="dcterms:W3CDTF">2024-09-16T11:49:00Z</dcterms:modified>
</cp:coreProperties>
</file>