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7002" w:rsidRDefault="009363D9">
      <w:pPr>
        <w:jc w:val="center"/>
      </w:pPr>
      <w:bookmarkStart w:id="0" w:name="_GoBack"/>
      <w:bookmarkEnd w:id="0"/>
      <w:r>
        <w:rPr>
          <w:rFonts w:ascii="Times New Roman" w:hAnsi="Times New Roman"/>
          <w:b/>
          <w:sz w:val="24"/>
          <w:szCs w:val="24"/>
        </w:rPr>
        <w:t>Propuestas de organizaciones de la sociedad civil para la Lista de cuestiones</w:t>
      </w:r>
    </w:p>
    <w:p w:rsidR="00FD7002" w:rsidRDefault="009363D9">
      <w:pPr>
        <w:jc w:val="center"/>
        <w:rPr>
          <w:rFonts w:ascii="Times New Roman" w:hAnsi="Times New Roman"/>
          <w:sz w:val="24"/>
          <w:szCs w:val="24"/>
        </w:rPr>
      </w:pPr>
      <w:r>
        <w:rPr>
          <w:rFonts w:ascii="Times New Roman" w:hAnsi="Times New Roman"/>
          <w:b/>
          <w:sz w:val="24"/>
          <w:szCs w:val="24"/>
        </w:rPr>
        <w:t>relativa al séptimo informe periódico de México ante el Comité de</w:t>
      </w:r>
    </w:p>
    <w:p w:rsidR="00FD7002" w:rsidRDefault="009363D9">
      <w:pPr>
        <w:jc w:val="center"/>
        <w:rPr>
          <w:rFonts w:ascii="Times New Roman" w:hAnsi="Times New Roman"/>
          <w:sz w:val="24"/>
          <w:szCs w:val="24"/>
        </w:rPr>
      </w:pPr>
      <w:r>
        <w:rPr>
          <w:rFonts w:ascii="Times New Roman" w:hAnsi="Times New Roman"/>
          <w:b/>
          <w:sz w:val="24"/>
          <w:szCs w:val="24"/>
        </w:rPr>
        <w:t>Derechos Económicos, Sociales y Culturales de la ONU</w:t>
      </w:r>
    </w:p>
    <w:p w:rsidR="00FD7002" w:rsidRDefault="00FD7002">
      <w:pPr>
        <w:rPr>
          <w:rFonts w:ascii="Times New Roman" w:hAnsi="Times New Roman"/>
          <w:sz w:val="24"/>
          <w:szCs w:val="24"/>
        </w:rPr>
      </w:pPr>
    </w:p>
    <w:p w:rsidR="00FD7002" w:rsidRDefault="009363D9">
      <w:pPr>
        <w:jc w:val="center"/>
        <w:rPr>
          <w:rFonts w:ascii="Times New Roman" w:hAnsi="Times New Roman"/>
          <w:sz w:val="24"/>
          <w:szCs w:val="24"/>
        </w:rPr>
      </w:pPr>
      <w:r>
        <w:rPr>
          <w:rFonts w:ascii="Times New Roman" w:hAnsi="Times New Roman"/>
          <w:sz w:val="24"/>
          <w:szCs w:val="24"/>
        </w:rPr>
        <w:t>Estado Parte:</w:t>
      </w:r>
      <w:r>
        <w:rPr>
          <w:rFonts w:ascii="Times New Roman" w:hAnsi="Times New Roman"/>
          <w:b/>
          <w:sz w:val="24"/>
          <w:szCs w:val="24"/>
        </w:rPr>
        <w:t xml:space="preserve"> MÉXICO </w:t>
      </w:r>
    </w:p>
    <w:p w:rsidR="00FD7002" w:rsidRDefault="00FD7002">
      <w:pPr>
        <w:jc w:val="center"/>
        <w:rPr>
          <w:rFonts w:ascii="Times New Roman" w:hAnsi="Times New Roman"/>
          <w:b/>
          <w:bCs/>
          <w:sz w:val="24"/>
          <w:szCs w:val="24"/>
        </w:rPr>
      </w:pPr>
    </w:p>
    <w:p w:rsidR="00FD7002" w:rsidRDefault="009363D9">
      <w:pPr>
        <w:jc w:val="center"/>
        <w:rPr>
          <w:rFonts w:ascii="Times New Roman" w:hAnsi="Times New Roman"/>
          <w:b/>
          <w:bCs/>
          <w:sz w:val="24"/>
          <w:szCs w:val="24"/>
        </w:rPr>
      </w:pPr>
      <w:r>
        <w:rPr>
          <w:rFonts w:ascii="Times New Roman" w:hAnsi="Times New Roman"/>
          <w:sz w:val="24"/>
          <w:szCs w:val="24"/>
        </w:rPr>
        <w:t>Organización:</w:t>
      </w:r>
      <w:r>
        <w:rPr>
          <w:rFonts w:ascii="Times New Roman" w:hAnsi="Times New Roman"/>
          <w:b/>
          <w:bCs/>
          <w:sz w:val="24"/>
          <w:szCs w:val="24"/>
        </w:rPr>
        <w:t xml:space="preserve"> </w:t>
      </w:r>
      <w:r>
        <w:rPr>
          <w:rFonts w:ascii="Times New Roman" w:hAnsi="Times New Roman"/>
          <w:b/>
          <w:bCs/>
          <w:sz w:val="24"/>
          <w:szCs w:val="24"/>
        </w:rPr>
        <w:t>Proyecto sobre Organización, Desarrollo, Educación e Investigación (PODER)</w:t>
      </w:r>
    </w:p>
    <w:p w:rsidR="00FD7002" w:rsidRDefault="00FD7002">
      <w:pPr>
        <w:jc w:val="center"/>
      </w:pPr>
    </w:p>
    <w:p w:rsidR="00FD7002" w:rsidRDefault="009363D9">
      <w:pPr>
        <w:jc w:val="right"/>
        <w:rPr>
          <w:b/>
          <w:bCs/>
        </w:rPr>
      </w:pPr>
      <w:r>
        <w:rPr>
          <w:rFonts w:ascii="Times New Roman" w:hAnsi="Times New Roman"/>
          <w:b/>
          <w:bCs/>
          <w:sz w:val="24"/>
          <w:szCs w:val="24"/>
        </w:rPr>
        <w:t>Enero, 2024.</w:t>
      </w:r>
    </w:p>
    <w:p w:rsidR="00FD7002" w:rsidRDefault="00FD7002">
      <w:pPr>
        <w:jc w:val="center"/>
        <w:rPr>
          <w:rFonts w:ascii="Times New Roman" w:hAnsi="Times New Roman"/>
          <w:b/>
          <w:sz w:val="24"/>
          <w:szCs w:val="24"/>
        </w:rPr>
      </w:pPr>
    </w:p>
    <w:p w:rsidR="00FD7002" w:rsidRDefault="009363D9">
      <w:pPr>
        <w:jc w:val="both"/>
        <w:rPr>
          <w:rFonts w:ascii="Times New Roman" w:hAnsi="Times New Roman"/>
          <w:sz w:val="24"/>
          <w:szCs w:val="24"/>
        </w:rPr>
      </w:pPr>
      <w:r>
        <w:rPr>
          <w:rFonts w:ascii="Times New Roman" w:hAnsi="Times New Roman"/>
          <w:sz w:val="24"/>
          <w:szCs w:val="24"/>
        </w:rPr>
        <w:t>Nuestra organización PODER tiene el agrado y el compromiso de presentar estas propuestas al Comité de Derechos Económicos, Sociales y Culturales de la ONU para ser to</w:t>
      </w:r>
      <w:r>
        <w:rPr>
          <w:rFonts w:ascii="Times New Roman" w:hAnsi="Times New Roman"/>
          <w:sz w:val="24"/>
          <w:szCs w:val="24"/>
        </w:rPr>
        <w:t xml:space="preserve">madas en cuenta en la Lista de cuestiones relativa al séptimo informe periódico de México. </w:t>
      </w:r>
    </w:p>
    <w:p w:rsidR="00FD7002" w:rsidRDefault="00FD7002">
      <w:pPr>
        <w:jc w:val="both"/>
      </w:pPr>
    </w:p>
    <w:p w:rsidR="00FD7002" w:rsidRDefault="009363D9">
      <w:pPr>
        <w:jc w:val="both"/>
        <w:rPr>
          <w:rFonts w:ascii="Times New Roman" w:hAnsi="Times New Roman"/>
          <w:sz w:val="24"/>
          <w:szCs w:val="24"/>
        </w:rPr>
      </w:pPr>
      <w:r>
        <w:rPr>
          <w:rFonts w:ascii="Times New Roman" w:hAnsi="Times New Roman"/>
          <w:sz w:val="24"/>
          <w:szCs w:val="24"/>
        </w:rPr>
        <w:t>La información aquí proporcionada es relativa a la implementación del Pacto Internacional de Derechos Económicos, Sociales y Culturales vinculado a las actividades</w:t>
      </w:r>
      <w:r>
        <w:rPr>
          <w:rFonts w:ascii="Times New Roman" w:hAnsi="Times New Roman"/>
          <w:sz w:val="24"/>
          <w:szCs w:val="24"/>
        </w:rPr>
        <w:t xml:space="preserve"> empresariales que se desarrollan en la jurisdicción del Estado mexicano. Hacemos sugerencias para tomar en cuenta en la Lista de Cuestiones, así como algunas recomendaciones que pueden contribuir a avanzar tanto con el cumplimiento del Pacto, como de los </w:t>
      </w:r>
      <w:r>
        <w:rPr>
          <w:rFonts w:ascii="Times New Roman" w:hAnsi="Times New Roman"/>
          <w:sz w:val="24"/>
          <w:szCs w:val="24"/>
        </w:rPr>
        <w:t>Derechos Económicos, Sociales y Culturales y vinculados a los Ambientales (DESCA).</w:t>
      </w:r>
    </w:p>
    <w:p w:rsidR="00FD7002" w:rsidRDefault="009363D9">
      <w:pPr>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Por favor refiérase a los datos de contacto dispuestos al final de este documento para resolver dudas o ampliar información.</w:t>
      </w:r>
    </w:p>
    <w:p w:rsidR="00FD7002" w:rsidRDefault="00FD7002">
      <w:pPr>
        <w:jc w:val="both"/>
      </w:pPr>
    </w:p>
    <w:p w:rsidR="00FD7002" w:rsidRDefault="009363D9">
      <w:pPr>
        <w:jc w:val="both"/>
        <w:rPr>
          <w:rFonts w:ascii="Times New Roman" w:hAnsi="Times New Roman"/>
          <w:b/>
          <w:sz w:val="24"/>
          <w:szCs w:val="24"/>
        </w:rPr>
      </w:pPr>
      <w:r>
        <w:rPr>
          <w:rFonts w:ascii="Times New Roman" w:hAnsi="Times New Roman"/>
          <w:b/>
          <w:sz w:val="24"/>
          <w:szCs w:val="24"/>
        </w:rPr>
        <w:t>Información de contexto sobre México</w:t>
      </w:r>
    </w:p>
    <w:p w:rsidR="00FD7002" w:rsidRDefault="00FD7002">
      <w:pPr>
        <w:pStyle w:val="Prrafodelista"/>
        <w:tabs>
          <w:tab w:val="left" w:pos="284"/>
        </w:tabs>
        <w:suppressAutoHyphens w:val="0"/>
        <w:ind w:left="0"/>
        <w:jc w:val="both"/>
        <w:rPr>
          <w:rFonts w:ascii="Times New Roman" w:hAnsi="Times New Roman"/>
          <w:sz w:val="24"/>
          <w:szCs w:val="24"/>
        </w:rPr>
      </w:pPr>
    </w:p>
    <w:p w:rsidR="00FD7002" w:rsidRDefault="009363D9">
      <w:pPr>
        <w:pStyle w:val="Prrafodelista"/>
        <w:tabs>
          <w:tab w:val="left" w:pos="284"/>
        </w:tabs>
        <w:suppressAutoHyphens w:val="0"/>
        <w:ind w:left="0"/>
        <w:jc w:val="both"/>
        <w:rPr>
          <w:rFonts w:ascii="Times New Roman" w:hAnsi="Times New Roman"/>
          <w:sz w:val="24"/>
          <w:szCs w:val="24"/>
        </w:rPr>
      </w:pPr>
      <w:r>
        <w:rPr>
          <w:rFonts w:ascii="Times New Roman" w:hAnsi="Times New Roman"/>
          <w:sz w:val="24"/>
          <w:szCs w:val="24"/>
        </w:rPr>
        <w:t>Las org</w:t>
      </w:r>
      <w:r>
        <w:rPr>
          <w:rFonts w:ascii="Times New Roman" w:hAnsi="Times New Roman"/>
          <w:sz w:val="24"/>
          <w:szCs w:val="24"/>
        </w:rPr>
        <w:t>anizaciones de la sociedad civil hemos reiterado que México vive una triple crisis de violencia, corrupción e impunidad, que afecta de manera particular a amplios sectores de la población que viven en situaciones de desigualdad estructural por razones econ</w:t>
      </w:r>
      <w:r>
        <w:rPr>
          <w:rFonts w:ascii="Times New Roman" w:hAnsi="Times New Roman"/>
          <w:sz w:val="24"/>
          <w:szCs w:val="24"/>
        </w:rPr>
        <w:t>ómicas o por algún o múltiples componentes de su identidad y pertenencia a grupos sociales históricamente discriminados y marginalizados.</w:t>
      </w:r>
      <w:r>
        <w:rPr>
          <w:rStyle w:val="FootnoteAnchor"/>
          <w:rFonts w:ascii="Times New Roman" w:hAnsi="Times New Roman"/>
          <w:sz w:val="24"/>
          <w:szCs w:val="24"/>
        </w:rPr>
        <w:footnoteReference w:id="1"/>
      </w:r>
    </w:p>
    <w:p w:rsidR="00FD7002" w:rsidRDefault="00FD7002">
      <w:pPr>
        <w:pStyle w:val="Prrafodelista"/>
        <w:tabs>
          <w:tab w:val="left" w:pos="284"/>
        </w:tabs>
        <w:suppressAutoHyphens w:val="0"/>
        <w:ind w:left="0"/>
        <w:jc w:val="both"/>
        <w:rPr>
          <w:rFonts w:ascii="Times New Roman" w:hAnsi="Times New Roman"/>
          <w:sz w:val="24"/>
          <w:szCs w:val="24"/>
        </w:rPr>
      </w:pPr>
    </w:p>
    <w:p w:rsidR="00FD7002" w:rsidRDefault="009363D9">
      <w:pPr>
        <w:tabs>
          <w:tab w:val="left" w:pos="284"/>
        </w:tabs>
        <w:jc w:val="both"/>
        <w:rPr>
          <w:rFonts w:ascii="Times New Roman" w:hAnsi="Times New Roman"/>
          <w:sz w:val="24"/>
          <w:szCs w:val="24"/>
        </w:rPr>
      </w:pPr>
      <w:r>
        <w:rPr>
          <w:rFonts w:ascii="Times New Roman" w:hAnsi="Times New Roman"/>
          <w:sz w:val="24"/>
          <w:szCs w:val="24"/>
        </w:rPr>
        <w:t>Hemos observado e investigado la persistencia de la impunidad corporativa ante los abusos y violaciones a los derech</w:t>
      </w:r>
      <w:r>
        <w:rPr>
          <w:rFonts w:ascii="Times New Roman" w:hAnsi="Times New Roman"/>
          <w:sz w:val="24"/>
          <w:szCs w:val="24"/>
        </w:rPr>
        <w:t>os humanos, los abusos y violaciones a derechos humanos, los daños medioambientales, la criminalización a personas defensoras de sus territorios, la ausencia de consentimiento en la construcción de megaproyectos en territorio indígena, campesinos, afromexi</w:t>
      </w:r>
      <w:r>
        <w:rPr>
          <w:rFonts w:ascii="Times New Roman" w:hAnsi="Times New Roman"/>
          <w:sz w:val="24"/>
          <w:szCs w:val="24"/>
        </w:rPr>
        <w:t>canos, ejidales y agrarios. El Estado mexicano carece de avances signficativos en la implementación de una agenda internacional de protección a los DESCA frente a la actividad empresarial pública, privada y mixta lo cual se toma para posicionarse como país</w:t>
      </w:r>
      <w:r>
        <w:rPr>
          <w:rFonts w:ascii="Times New Roman" w:hAnsi="Times New Roman"/>
          <w:sz w:val="24"/>
          <w:szCs w:val="24"/>
        </w:rPr>
        <w:t xml:space="preserve"> de acogida y </w:t>
      </w:r>
      <w:r>
        <w:rPr>
          <w:rFonts w:ascii="Times New Roman" w:hAnsi="Times New Roman"/>
          <w:sz w:val="24"/>
          <w:szCs w:val="24"/>
        </w:rPr>
        <w:lastRenderedPageBreak/>
        <w:t>oportunidad económica, pero con una visión insostenible en el desarrollo, económica, ambiental y climática.</w:t>
      </w:r>
    </w:p>
    <w:p w:rsidR="00FD7002" w:rsidRDefault="009363D9">
      <w:pPr>
        <w:tabs>
          <w:tab w:val="left" w:pos="284"/>
        </w:tabs>
        <w:jc w:val="both"/>
        <w:rPr>
          <w:rFonts w:ascii="Times New Roman" w:hAnsi="Times New Roman"/>
          <w:sz w:val="24"/>
          <w:szCs w:val="24"/>
        </w:rPr>
      </w:pPr>
      <w:r>
        <w:rPr>
          <w:rFonts w:ascii="Times New Roman" w:hAnsi="Times New Roman"/>
          <w:sz w:val="24"/>
          <w:szCs w:val="24"/>
        </w:rPr>
        <w:t>Asimismo, carece del marco jurídico vinculante para poner fin a la captura corporativa</w:t>
      </w:r>
      <w:r>
        <w:rPr>
          <w:rStyle w:val="FootnoteAnchor"/>
          <w:rFonts w:ascii="Times New Roman" w:hAnsi="Times New Roman"/>
          <w:sz w:val="24"/>
          <w:szCs w:val="24"/>
        </w:rPr>
        <w:footnoteReference w:id="2"/>
      </w:r>
      <w:r>
        <w:rPr>
          <w:rFonts w:ascii="Times New Roman" w:hAnsi="Times New Roman"/>
          <w:sz w:val="24"/>
          <w:szCs w:val="24"/>
        </w:rPr>
        <w:t xml:space="preserve"> de este e influencia indebida</w:t>
      </w:r>
      <w:r>
        <w:rPr>
          <w:rStyle w:val="FootnoteAnchor"/>
          <w:rFonts w:ascii="Times New Roman" w:hAnsi="Times New Roman"/>
          <w:sz w:val="24"/>
          <w:szCs w:val="24"/>
        </w:rPr>
        <w:footnoteReference w:id="3"/>
      </w:r>
      <w:r>
        <w:rPr>
          <w:rFonts w:ascii="Times New Roman" w:hAnsi="Times New Roman"/>
          <w:sz w:val="24"/>
          <w:szCs w:val="24"/>
        </w:rPr>
        <w:t xml:space="preserve">, acabar con la </w:t>
      </w:r>
      <w:r>
        <w:rPr>
          <w:rFonts w:ascii="Times New Roman" w:hAnsi="Times New Roman"/>
          <w:sz w:val="24"/>
          <w:szCs w:val="24"/>
        </w:rPr>
        <w:t>impunidad de las empresas que causaron daños o están vinculadas a estos y crear mecanismos eficaces para remediar y reparar integralmente a las comunidades y personas afectadas por las actividades de las empresas transnacionales, incluidas las que operan e</w:t>
      </w:r>
      <w:r>
        <w:rPr>
          <w:rFonts w:ascii="Times New Roman" w:hAnsi="Times New Roman"/>
          <w:sz w:val="24"/>
          <w:szCs w:val="24"/>
        </w:rPr>
        <w:t>n las industrias extractivas, financieras, alimentarias, sanitarias y tecnológicas, la atención integral a los impactos diferenciados y desproporcionados que experimentan las mujeres en toda su diversidad, las comunidades rurales, los pueblos indígenas y o</w:t>
      </w:r>
      <w:r>
        <w:rPr>
          <w:rFonts w:ascii="Times New Roman" w:hAnsi="Times New Roman"/>
          <w:sz w:val="24"/>
          <w:szCs w:val="24"/>
        </w:rPr>
        <w:t>tros grupos históricamente vulnerables.</w:t>
      </w:r>
    </w:p>
    <w:p w:rsidR="00FD7002" w:rsidRDefault="00FD7002">
      <w:pPr>
        <w:tabs>
          <w:tab w:val="left" w:pos="284"/>
        </w:tabs>
        <w:jc w:val="both"/>
        <w:rPr>
          <w:rFonts w:ascii="Times New Roman" w:hAnsi="Times New Roman"/>
          <w:sz w:val="24"/>
          <w:szCs w:val="24"/>
        </w:rPr>
      </w:pPr>
    </w:p>
    <w:p w:rsidR="00FD7002" w:rsidRDefault="009363D9">
      <w:pPr>
        <w:pStyle w:val="Prrafodelista"/>
        <w:tabs>
          <w:tab w:val="left" w:pos="284"/>
        </w:tabs>
        <w:ind w:left="0"/>
        <w:jc w:val="both"/>
        <w:rPr>
          <w:rFonts w:ascii="Times New Roman" w:hAnsi="Times New Roman"/>
          <w:sz w:val="24"/>
          <w:szCs w:val="24"/>
        </w:rPr>
      </w:pPr>
      <w:r>
        <w:rPr>
          <w:rFonts w:ascii="Times New Roman" w:hAnsi="Times New Roman"/>
          <w:sz w:val="24"/>
          <w:szCs w:val="24"/>
        </w:rPr>
        <w:t>En esa tesitura, en nuestro país quienes viven mayores afectaciones suelen ser personas, grupos y poblaciones marginalizadas, como  las comunidades campesinas, rurales, pueblos indígenas y afromexicanos, quienes deb</w:t>
      </w:r>
      <w:r>
        <w:rPr>
          <w:rFonts w:ascii="Times New Roman" w:hAnsi="Times New Roman"/>
          <w:sz w:val="24"/>
          <w:szCs w:val="24"/>
        </w:rPr>
        <w:t>en enfrentar el aparato judicial actual que les exige contar con el conocimiento técnico jurídico y recursos económicos para acceder a la justicia que en la mayoría de los casos los recursos jurídicos existentes no les garantiza una reparación integral a l</w:t>
      </w:r>
      <w:r>
        <w:rPr>
          <w:rFonts w:ascii="Times New Roman" w:hAnsi="Times New Roman"/>
          <w:sz w:val="24"/>
          <w:szCs w:val="24"/>
        </w:rPr>
        <w:t>os daños causados.</w:t>
      </w:r>
    </w:p>
    <w:p w:rsidR="00FD7002" w:rsidRDefault="00FD7002">
      <w:pPr>
        <w:pStyle w:val="Prrafodelista"/>
        <w:tabs>
          <w:tab w:val="left" w:pos="284"/>
        </w:tabs>
        <w:ind w:left="0"/>
        <w:jc w:val="both"/>
        <w:rPr>
          <w:rFonts w:ascii="Times New Roman" w:hAnsi="Times New Roman"/>
          <w:sz w:val="24"/>
          <w:szCs w:val="24"/>
        </w:rPr>
      </w:pPr>
    </w:p>
    <w:p w:rsidR="00FD7002" w:rsidRDefault="009363D9">
      <w:pPr>
        <w:pStyle w:val="Prrafodelista"/>
        <w:tabs>
          <w:tab w:val="left" w:pos="284"/>
        </w:tabs>
        <w:ind w:left="0"/>
        <w:jc w:val="both"/>
        <w:rPr>
          <w:rFonts w:ascii="Times New Roman" w:hAnsi="Times New Roman"/>
          <w:sz w:val="24"/>
          <w:szCs w:val="24"/>
        </w:rPr>
      </w:pPr>
      <w:r>
        <w:rPr>
          <w:rFonts w:ascii="Times New Roman" w:hAnsi="Times New Roman"/>
          <w:sz w:val="24"/>
          <w:szCs w:val="24"/>
        </w:rPr>
        <w:t>L</w:t>
      </w:r>
      <w:r>
        <w:rPr>
          <w:rFonts w:ascii="Times New Roman" w:hAnsi="Times New Roman"/>
          <w:sz w:val="24"/>
          <w:szCs w:val="24"/>
        </w:rPr>
        <w:t xml:space="preserve">os megaproyectos y grandes proyectos de desarrollo representan procesos de inversión de capital público y/o privado, nacional o internacional, para la supuesta creación o la mejora de la infraestructura física y que implica la transformación a largo plazo </w:t>
      </w:r>
      <w:r>
        <w:rPr>
          <w:rFonts w:ascii="Times New Roman" w:hAnsi="Times New Roman"/>
          <w:sz w:val="24"/>
          <w:szCs w:val="24"/>
        </w:rPr>
        <w:t>de las actividades productivas, cambios en el uso de la tierra y de los derechos de propiedad, pero a costa de la vida digna, ecocidio, y la libre determinación, expropiaciones de territorios, violaciones a la autonomía de las comunidades, riesgos a su for</w:t>
      </w:r>
      <w:r>
        <w:rPr>
          <w:rFonts w:ascii="Times New Roman" w:hAnsi="Times New Roman"/>
          <w:sz w:val="24"/>
          <w:szCs w:val="24"/>
        </w:rPr>
        <w:t>ma de vida, así como violencia que es ejercida por empresas privadas y estatales a cargo de su construcción y desarrollo y supervisadas por la Secretaría de la Defensa Nacional mayoritariamente, la Secretaría de Medio Ambiente y Recursos Naturales, Secreta</w:t>
      </w:r>
      <w:r>
        <w:rPr>
          <w:rFonts w:ascii="Times New Roman" w:hAnsi="Times New Roman"/>
          <w:sz w:val="24"/>
          <w:szCs w:val="24"/>
        </w:rPr>
        <w:t>ría de Desarrollo Agrario, Territorial y Urbano, Comisión Nacional del Agua, empresas concesionadas, entre otras.</w:t>
      </w:r>
      <w:r>
        <w:rPr>
          <w:rStyle w:val="FootnoteAnchor"/>
          <w:rFonts w:ascii="Times New Roman" w:hAnsi="Times New Roman"/>
          <w:sz w:val="24"/>
          <w:szCs w:val="24"/>
        </w:rPr>
        <w:footnoteReference w:id="4"/>
      </w:r>
    </w:p>
    <w:p w:rsidR="00FD7002" w:rsidRDefault="00FD7002">
      <w:pPr>
        <w:pStyle w:val="Prrafodelista"/>
        <w:tabs>
          <w:tab w:val="left" w:pos="284"/>
        </w:tabs>
        <w:ind w:left="0"/>
        <w:jc w:val="both"/>
        <w:rPr>
          <w:rFonts w:ascii="Times New Roman" w:hAnsi="Times New Roman"/>
          <w:sz w:val="24"/>
          <w:szCs w:val="24"/>
        </w:rPr>
      </w:pPr>
    </w:p>
    <w:p w:rsidR="00FD7002" w:rsidRDefault="009363D9">
      <w:pPr>
        <w:pStyle w:val="Prrafodelista"/>
        <w:tabs>
          <w:tab w:val="left" w:pos="284"/>
        </w:tabs>
        <w:ind w:left="0"/>
        <w:jc w:val="both"/>
        <w:rPr>
          <w:rFonts w:ascii="Times New Roman" w:hAnsi="Times New Roman"/>
          <w:sz w:val="24"/>
          <w:szCs w:val="24"/>
        </w:rPr>
      </w:pPr>
      <w:r>
        <w:rPr>
          <w:rFonts w:ascii="Times New Roman" w:hAnsi="Times New Roman"/>
          <w:sz w:val="24"/>
          <w:szCs w:val="24"/>
        </w:rPr>
        <w:t xml:space="preserve">Lo anterior nos lleva a la necesidad de que el Estado Mexicano realice mayores esfuerzos para poner en práctica real la Observación general </w:t>
      </w:r>
      <w:r>
        <w:rPr>
          <w:rFonts w:ascii="Times New Roman" w:hAnsi="Times New Roman"/>
          <w:sz w:val="24"/>
          <w:szCs w:val="24"/>
        </w:rPr>
        <w:t xml:space="preserve">núm. 24 (2017) sobre las obligaciones de los </w:t>
      </w:r>
      <w:r>
        <w:rPr>
          <w:rFonts w:ascii="Times New Roman" w:hAnsi="Times New Roman"/>
          <w:sz w:val="24"/>
          <w:szCs w:val="24"/>
        </w:rPr>
        <w:lastRenderedPageBreak/>
        <w:t>Estados en virtud del Pacto Internacional de Derechos Económicos, Sociales y Culturales en el contexto de las actividades empresariales.</w:t>
      </w:r>
    </w:p>
    <w:p w:rsidR="00FD7002" w:rsidRDefault="00FD7002">
      <w:pPr>
        <w:jc w:val="both"/>
      </w:pPr>
    </w:p>
    <w:p w:rsidR="00FD7002" w:rsidRDefault="009363D9">
      <w:pPr>
        <w:jc w:val="both"/>
        <w:rPr>
          <w:rFonts w:ascii="Times New Roman" w:hAnsi="Times New Roman"/>
          <w:sz w:val="24"/>
          <w:szCs w:val="24"/>
        </w:rPr>
      </w:pPr>
      <w:r>
        <w:rPr>
          <w:rFonts w:ascii="Times New Roman" w:hAnsi="Times New Roman"/>
          <w:b/>
          <w:sz w:val="24"/>
          <w:szCs w:val="24"/>
        </w:rPr>
        <w:t>Propuestas para la Lista de Cuestiones</w:t>
      </w:r>
    </w:p>
    <w:p w:rsidR="00FD7002" w:rsidRDefault="00FD7002">
      <w:pPr>
        <w:jc w:val="both"/>
        <w:rPr>
          <w:b/>
        </w:rPr>
      </w:pPr>
    </w:p>
    <w:p w:rsidR="00FD7002" w:rsidRDefault="009363D9">
      <w:pPr>
        <w:jc w:val="both"/>
        <w:rPr>
          <w:rFonts w:ascii="Times New Roman" w:hAnsi="Times New Roman"/>
          <w:sz w:val="24"/>
          <w:szCs w:val="24"/>
        </w:rPr>
      </w:pPr>
      <w:r>
        <w:rPr>
          <w:rFonts w:ascii="Times New Roman" w:hAnsi="Times New Roman"/>
          <w:b/>
          <w:sz w:val="24"/>
          <w:szCs w:val="24"/>
        </w:rPr>
        <w:t xml:space="preserve">Obligación de adoptar </w:t>
      </w:r>
      <w:r>
        <w:rPr>
          <w:rFonts w:ascii="Times New Roman" w:hAnsi="Times New Roman"/>
          <w:b/>
          <w:sz w:val="24"/>
          <w:szCs w:val="24"/>
        </w:rPr>
        <w:t>medidas, tanto por separado como mediante la asistencia y la</w:t>
      </w:r>
    </w:p>
    <w:p w:rsidR="00FD7002" w:rsidRDefault="009363D9">
      <w:pPr>
        <w:jc w:val="both"/>
        <w:rPr>
          <w:rFonts w:ascii="Times New Roman" w:hAnsi="Times New Roman"/>
          <w:sz w:val="24"/>
          <w:szCs w:val="24"/>
        </w:rPr>
      </w:pPr>
      <w:r>
        <w:rPr>
          <w:rFonts w:ascii="Times New Roman" w:hAnsi="Times New Roman"/>
          <w:b/>
          <w:sz w:val="24"/>
          <w:szCs w:val="24"/>
        </w:rPr>
        <w:t>cooperación internacional (Artículo 2, párr. 1)</w:t>
      </w:r>
    </w:p>
    <w:p w:rsidR="00FD7002" w:rsidRDefault="00FD7002">
      <w:pPr>
        <w:rPr>
          <w:rFonts w:ascii="Times New Roman" w:hAnsi="Times New Roman"/>
          <w:sz w:val="24"/>
          <w:szCs w:val="24"/>
        </w:rPr>
      </w:pPr>
    </w:p>
    <w:p w:rsidR="00FD7002" w:rsidRDefault="009363D9">
      <w:pPr>
        <w:numPr>
          <w:ilvl w:val="0"/>
          <w:numId w:val="2"/>
        </w:numPr>
        <w:ind w:left="0" w:firstLine="0"/>
        <w:jc w:val="both"/>
        <w:rPr>
          <w:rFonts w:ascii="Times New Roman" w:hAnsi="Times New Roman"/>
          <w:sz w:val="24"/>
          <w:szCs w:val="24"/>
        </w:rPr>
      </w:pPr>
      <w:r>
        <w:rPr>
          <w:rFonts w:ascii="Times New Roman" w:hAnsi="Times New Roman"/>
          <w:sz w:val="24"/>
          <w:szCs w:val="24"/>
        </w:rPr>
        <w:t>Sírvanse proporcionar información acerca de cómo, en el contexto actual de modernización de Tratados comerciales (TLC), de cooperación, e inversió</w:t>
      </w:r>
      <w:r>
        <w:rPr>
          <w:rFonts w:ascii="Times New Roman" w:hAnsi="Times New Roman"/>
          <w:sz w:val="24"/>
          <w:szCs w:val="24"/>
        </w:rPr>
        <w:t>n, así como de apertura a la inversión extranjera en diversas industrias, incluyendo la minería e hidrocarburos, el Estado mexicano protege y garantiza la plena efectividad de los derechos económicos, sociales, culturales y ambientales de la población, esp</w:t>
      </w:r>
      <w:r>
        <w:rPr>
          <w:rFonts w:ascii="Times New Roman" w:hAnsi="Times New Roman"/>
          <w:sz w:val="24"/>
          <w:szCs w:val="24"/>
        </w:rPr>
        <w:t>ecíficamente para la población de comunidades indígenas, campesinas y agrícolas, quienes enfrentan obstáculos judiciales para acceder a la justicia en casos de abusos y violaciones a sus DESCA causadas por las actividades empresariales privadas, del Estado</w:t>
      </w:r>
      <w:r>
        <w:rPr>
          <w:rFonts w:ascii="Times New Roman" w:hAnsi="Times New Roman"/>
          <w:sz w:val="24"/>
          <w:szCs w:val="24"/>
        </w:rPr>
        <w:t>, y/o mixtas; o bien porque la carga de la prueba de estas violaciones y abusos recae en las víctimas, o porque la espera de la sentencia judicial conlleva meses o años e impide tanto la reparación efectiva del daño en tiempo y forma, con perspectiva de gé</w:t>
      </w:r>
      <w:r>
        <w:rPr>
          <w:rFonts w:ascii="Times New Roman" w:hAnsi="Times New Roman"/>
          <w:sz w:val="24"/>
          <w:szCs w:val="24"/>
        </w:rPr>
        <w:t xml:space="preserve">nero e interseccional, así como la restitución del estado cuando es posible y no se ha causado un daño permanente y grave a la salud de una persona y/o comunidad o al medio ambiente. </w:t>
      </w:r>
    </w:p>
    <w:p w:rsidR="00FD7002" w:rsidRDefault="00FD7002">
      <w:pPr>
        <w:jc w:val="both"/>
        <w:rPr>
          <w:rFonts w:ascii="Times New Roman" w:hAnsi="Times New Roman"/>
          <w:sz w:val="24"/>
          <w:szCs w:val="24"/>
        </w:rPr>
      </w:pPr>
    </w:p>
    <w:p w:rsidR="00FD7002" w:rsidRDefault="009363D9">
      <w:pPr>
        <w:jc w:val="both"/>
      </w:pPr>
      <w:r>
        <w:rPr>
          <w:rFonts w:ascii="Times New Roman" w:hAnsi="Times New Roman"/>
          <w:sz w:val="24"/>
          <w:szCs w:val="24"/>
        </w:rPr>
        <w:t>Ejemplo de ello es el caso del peor desastre socioambiental causado por</w:t>
      </w:r>
      <w:r>
        <w:rPr>
          <w:rFonts w:ascii="Times New Roman" w:hAnsi="Times New Roman"/>
          <w:sz w:val="24"/>
          <w:szCs w:val="24"/>
        </w:rPr>
        <w:t xml:space="preserve"> el derrame de desechos tóxicos de la mina Buenavista del Cobre, subsidiaria de Grupo México en los ríos Sonora y Bacanuchi en el estado de Sonora, en México en agosto del año 2014, afectando a ocho comunidades y más de 22,000 personas. Más información </w:t>
      </w:r>
      <w:hyperlink r:id="rId8">
        <w:r>
          <w:rPr>
            <w:rStyle w:val="Hipervnculo"/>
            <w:rFonts w:ascii="Times New Roman" w:hAnsi="Times New Roman"/>
            <w:sz w:val="24"/>
            <w:szCs w:val="24"/>
          </w:rPr>
          <w:t>aquí</w:t>
        </w:r>
      </w:hyperlink>
      <w:r>
        <w:rPr>
          <w:rFonts w:ascii="Times New Roman" w:hAnsi="Times New Roman"/>
          <w:sz w:val="24"/>
          <w:szCs w:val="24"/>
        </w:rPr>
        <w:t xml:space="preserve">.  </w:t>
      </w:r>
    </w:p>
    <w:p w:rsidR="00FD7002" w:rsidRDefault="00FD7002">
      <w:pPr>
        <w:jc w:val="both"/>
        <w:rPr>
          <w:rFonts w:ascii="Times New Roman" w:hAnsi="Times New Roman"/>
          <w:sz w:val="24"/>
          <w:szCs w:val="24"/>
        </w:rPr>
      </w:pPr>
    </w:p>
    <w:p w:rsidR="00FD7002" w:rsidRDefault="009363D9">
      <w:pPr>
        <w:numPr>
          <w:ilvl w:val="0"/>
          <w:numId w:val="2"/>
        </w:numPr>
        <w:ind w:left="0" w:firstLine="0"/>
        <w:jc w:val="both"/>
        <w:rPr>
          <w:rFonts w:ascii="Times New Roman" w:hAnsi="Times New Roman"/>
          <w:sz w:val="24"/>
          <w:szCs w:val="24"/>
        </w:rPr>
      </w:pPr>
      <w:r>
        <w:rPr>
          <w:rFonts w:ascii="Times New Roman" w:hAnsi="Times New Roman"/>
          <w:sz w:val="24"/>
          <w:szCs w:val="24"/>
        </w:rPr>
        <w:t>Sírvase proporcionar información sobre cómo el Estado mexicano ha regulado y aborda la impunidad de las personas físicas (incluyendo funcionarios públicos y directivos de empresas) y mo</w:t>
      </w:r>
      <w:r>
        <w:rPr>
          <w:rFonts w:ascii="Times New Roman" w:hAnsi="Times New Roman"/>
          <w:sz w:val="24"/>
          <w:szCs w:val="24"/>
        </w:rPr>
        <w:t>rales (por ejemplo las empresas y otras personalidades jurídicas) responsables de causar daños, impactos negativos, abusos y violaciones a los DESCA.</w:t>
      </w:r>
    </w:p>
    <w:p w:rsidR="00FD7002" w:rsidRDefault="00FD7002">
      <w:pPr>
        <w:jc w:val="both"/>
        <w:rPr>
          <w:rFonts w:ascii="Times New Roman" w:hAnsi="Times New Roman"/>
          <w:sz w:val="24"/>
          <w:szCs w:val="24"/>
        </w:rPr>
      </w:pPr>
    </w:p>
    <w:p w:rsidR="00FD7002" w:rsidRDefault="009363D9">
      <w:pPr>
        <w:numPr>
          <w:ilvl w:val="0"/>
          <w:numId w:val="2"/>
        </w:numPr>
        <w:ind w:left="0" w:firstLine="0"/>
        <w:jc w:val="both"/>
        <w:rPr>
          <w:rFonts w:ascii="Times New Roman" w:hAnsi="Times New Roman"/>
          <w:sz w:val="24"/>
          <w:szCs w:val="24"/>
        </w:rPr>
      </w:pPr>
      <w:r>
        <w:rPr>
          <w:rFonts w:ascii="Times New Roman" w:hAnsi="Times New Roman"/>
          <w:sz w:val="24"/>
          <w:szCs w:val="24"/>
        </w:rPr>
        <w:t>Sírvanse informar sobre qué medidas claras y específicas ha adoptado el Estado mexicano para: 1) determin</w:t>
      </w:r>
      <w:r>
        <w:rPr>
          <w:rFonts w:ascii="Times New Roman" w:hAnsi="Times New Roman"/>
          <w:sz w:val="24"/>
          <w:szCs w:val="24"/>
        </w:rPr>
        <w:t>ar la responsabilidad cuando hay una violación a los derechos humanos por parte de una empresa o industria, o al llevar a cabo cualquier actividad empresarial, tomando en cuenta las obligaciones extraterritoriales de los Estados que invierten en México y d</w:t>
      </w:r>
      <w:r>
        <w:rPr>
          <w:rFonts w:ascii="Times New Roman" w:hAnsi="Times New Roman"/>
          <w:sz w:val="24"/>
          <w:szCs w:val="24"/>
        </w:rPr>
        <w:t>el propio Estado mexicano; y 2) proveer de acceso a mecanismos jurisdiccionales de reparación integral para las víctimas de violaciones a derechos humanos causadas por empresas de todo tipo, nacionales y extranjeras, o apoyadas por inversiones extranjeras,</w:t>
      </w:r>
      <w:r>
        <w:rPr>
          <w:rFonts w:ascii="Times New Roman" w:hAnsi="Times New Roman"/>
          <w:sz w:val="24"/>
          <w:szCs w:val="24"/>
        </w:rPr>
        <w:t xml:space="preserve"> banca de desarrollo nacional e internacional e instituciones financieras internacionales; todo ello para lograr la plena efectividad de los derechos reconocidos en el PIDESC.</w:t>
      </w:r>
    </w:p>
    <w:p w:rsidR="00FD7002" w:rsidRDefault="00FD7002">
      <w:pPr>
        <w:jc w:val="both"/>
        <w:rPr>
          <w:rFonts w:ascii="Times New Roman" w:hAnsi="Times New Roman"/>
          <w:sz w:val="24"/>
          <w:szCs w:val="24"/>
        </w:rPr>
      </w:pPr>
    </w:p>
    <w:p w:rsidR="00FD7002" w:rsidRDefault="009363D9">
      <w:pPr>
        <w:numPr>
          <w:ilvl w:val="0"/>
          <w:numId w:val="2"/>
        </w:numPr>
        <w:ind w:left="0" w:firstLine="0"/>
        <w:jc w:val="both"/>
        <w:rPr>
          <w:rFonts w:ascii="Times New Roman" w:hAnsi="Times New Roman"/>
          <w:sz w:val="24"/>
          <w:szCs w:val="24"/>
        </w:rPr>
      </w:pPr>
      <w:r>
        <w:rPr>
          <w:rFonts w:ascii="Times New Roman" w:hAnsi="Times New Roman"/>
          <w:sz w:val="24"/>
          <w:szCs w:val="24"/>
        </w:rPr>
        <w:lastRenderedPageBreak/>
        <w:t>Sírvase proporcionar información sobre cómo el Estado mexicano ha regulado al s</w:t>
      </w:r>
      <w:r>
        <w:rPr>
          <w:rFonts w:ascii="Times New Roman" w:hAnsi="Times New Roman"/>
          <w:sz w:val="24"/>
          <w:szCs w:val="24"/>
        </w:rPr>
        <w:t>istema financiero nacional para cumplir con su obligación de protección y realización de los DESCA.</w:t>
      </w:r>
    </w:p>
    <w:p w:rsidR="00FD7002" w:rsidRDefault="00FD7002">
      <w:pPr>
        <w:jc w:val="both"/>
      </w:pPr>
    </w:p>
    <w:p w:rsidR="00FD7002" w:rsidRDefault="009363D9">
      <w:pPr>
        <w:numPr>
          <w:ilvl w:val="0"/>
          <w:numId w:val="2"/>
        </w:numPr>
        <w:ind w:left="0" w:firstLine="0"/>
        <w:jc w:val="both"/>
        <w:rPr>
          <w:rFonts w:ascii="Times New Roman" w:hAnsi="Times New Roman"/>
          <w:sz w:val="24"/>
          <w:szCs w:val="24"/>
        </w:rPr>
      </w:pPr>
      <w:r>
        <w:rPr>
          <w:rFonts w:ascii="Times New Roman" w:hAnsi="Times New Roman"/>
          <w:sz w:val="24"/>
          <w:szCs w:val="24"/>
        </w:rPr>
        <w:t>Sírvase proporcionar información sobre cómo el Estado mexicano ha regulado el conflicto de interés en la toma de decisiones (legislativas, judiciales, ejec</w:t>
      </w:r>
      <w:r>
        <w:rPr>
          <w:rFonts w:ascii="Times New Roman" w:hAnsi="Times New Roman"/>
          <w:sz w:val="24"/>
          <w:szCs w:val="24"/>
        </w:rPr>
        <w:t>utivas, comerciales, financieras y de representación estatal) para proteger los DESCA.</w:t>
      </w:r>
    </w:p>
    <w:p w:rsidR="00FD7002" w:rsidRDefault="00FD7002">
      <w:pPr>
        <w:ind w:left="720"/>
        <w:jc w:val="both"/>
        <w:rPr>
          <w:rFonts w:ascii="Times New Roman" w:hAnsi="Times New Roman"/>
          <w:sz w:val="24"/>
          <w:szCs w:val="24"/>
        </w:rPr>
      </w:pPr>
    </w:p>
    <w:p w:rsidR="00FD7002" w:rsidRDefault="00FD7002">
      <w:pPr>
        <w:ind w:left="720"/>
        <w:jc w:val="both"/>
        <w:rPr>
          <w:rFonts w:ascii="Times New Roman" w:hAnsi="Times New Roman"/>
          <w:sz w:val="24"/>
          <w:szCs w:val="24"/>
        </w:rPr>
      </w:pPr>
    </w:p>
    <w:p w:rsidR="00FD7002" w:rsidRDefault="009363D9">
      <w:pPr>
        <w:jc w:val="both"/>
        <w:rPr>
          <w:rFonts w:ascii="Times New Roman" w:hAnsi="Times New Roman"/>
          <w:sz w:val="24"/>
          <w:szCs w:val="24"/>
        </w:rPr>
      </w:pPr>
      <w:r>
        <w:rPr>
          <w:rFonts w:ascii="Times New Roman" w:hAnsi="Times New Roman"/>
          <w:b/>
          <w:sz w:val="24"/>
          <w:szCs w:val="24"/>
        </w:rPr>
        <w:t>No discriminación (Artículo 2, párr. 2)</w:t>
      </w:r>
    </w:p>
    <w:p w:rsidR="00FD7002" w:rsidRDefault="00FD7002">
      <w:pPr>
        <w:ind w:left="720"/>
        <w:jc w:val="both"/>
        <w:rPr>
          <w:rFonts w:ascii="Times New Roman" w:hAnsi="Times New Roman"/>
          <w:sz w:val="24"/>
          <w:szCs w:val="24"/>
        </w:rPr>
      </w:pPr>
    </w:p>
    <w:p w:rsidR="00FD7002" w:rsidRDefault="009363D9">
      <w:pPr>
        <w:numPr>
          <w:ilvl w:val="0"/>
          <w:numId w:val="2"/>
        </w:numPr>
        <w:ind w:left="0" w:firstLine="0"/>
        <w:jc w:val="both"/>
      </w:pPr>
      <w:r>
        <w:rPr>
          <w:rFonts w:ascii="Times New Roman" w:hAnsi="Times New Roman"/>
          <w:sz w:val="24"/>
          <w:szCs w:val="24"/>
        </w:rPr>
        <w:t>Sírvase a informar sobre la participación efectiva con perspectiva de género e interseccional de poblaciones con alguna discapacidad, población LGBTTTIQ+, niñas, niños y adolescentes, adultos mayores, de comunidades indígenas, afromexicanas, ejidales, agra</w:t>
      </w:r>
      <w:r>
        <w:rPr>
          <w:rFonts w:ascii="Times New Roman" w:hAnsi="Times New Roman"/>
          <w:sz w:val="24"/>
          <w:szCs w:val="24"/>
        </w:rPr>
        <w:t xml:space="preserve">rias, campesinas y urbanas y, </w:t>
      </w:r>
      <w:r>
        <w:rPr>
          <w:rFonts w:ascii="Times New Roman" w:hAnsi="Times New Roman"/>
          <w:b/>
          <w:bCs/>
          <w:sz w:val="24"/>
          <w:szCs w:val="24"/>
        </w:rPr>
        <w:t>sobretodo de titulares de derechos y víctimas de violaciones a los DESCA</w:t>
      </w:r>
      <w:r>
        <w:rPr>
          <w:rFonts w:ascii="Times New Roman" w:hAnsi="Times New Roman"/>
          <w:sz w:val="24"/>
          <w:szCs w:val="24"/>
        </w:rPr>
        <w:t xml:space="preserve"> por las actividades empresariales, en el desarrollo e implementación de políticas públicas relacionadas con el respeto a los derechos humanos  en la acti</w:t>
      </w:r>
      <w:r>
        <w:rPr>
          <w:rFonts w:ascii="Times New Roman" w:hAnsi="Times New Roman"/>
          <w:sz w:val="24"/>
          <w:szCs w:val="24"/>
        </w:rPr>
        <w:t xml:space="preserve">vidad empresarial, sistemas de calificación y clasificación de actividades comerciales y de inversión sostenible y en la elaboración de posiciones para la participación del Estado en las negociaciones del </w:t>
      </w:r>
      <w:hyperlink r:id="rId9">
        <w:r>
          <w:rPr>
            <w:rStyle w:val="Hipervnculo"/>
            <w:rFonts w:ascii="Times New Roman" w:hAnsi="Times New Roman"/>
            <w:sz w:val="24"/>
            <w:szCs w:val="24"/>
          </w:rPr>
          <w:t>instrumento jurídicamente vinculante para regular las actividades de las empresas transnacionales  y otras empresas en el derecho internacional de los derechos humanos</w:t>
        </w:r>
      </w:hyperlink>
      <w:r>
        <w:rPr>
          <w:rFonts w:ascii="Times New Roman" w:hAnsi="Times New Roman"/>
          <w:sz w:val="24"/>
          <w:szCs w:val="24"/>
        </w:rPr>
        <w:t xml:space="preserve">. </w:t>
      </w:r>
    </w:p>
    <w:p w:rsidR="00FD7002" w:rsidRDefault="00FD7002">
      <w:pPr>
        <w:jc w:val="both"/>
        <w:rPr>
          <w:rFonts w:ascii="Times New Roman" w:hAnsi="Times New Roman"/>
          <w:sz w:val="24"/>
          <w:szCs w:val="24"/>
        </w:rPr>
      </w:pPr>
    </w:p>
    <w:p w:rsidR="00FD7002" w:rsidRDefault="009363D9">
      <w:pPr>
        <w:numPr>
          <w:ilvl w:val="0"/>
          <w:numId w:val="2"/>
        </w:numPr>
        <w:ind w:left="0" w:firstLine="0"/>
        <w:jc w:val="both"/>
        <w:rPr>
          <w:rFonts w:ascii="Times New Roman" w:hAnsi="Times New Roman"/>
          <w:sz w:val="24"/>
          <w:szCs w:val="24"/>
        </w:rPr>
      </w:pPr>
      <w:r>
        <w:rPr>
          <w:rFonts w:ascii="Times New Roman" w:hAnsi="Times New Roman"/>
          <w:sz w:val="24"/>
          <w:szCs w:val="24"/>
        </w:rPr>
        <w:t>Sírvase a informar cómo el Estado mexicano cumple co</w:t>
      </w:r>
      <w:r>
        <w:rPr>
          <w:rFonts w:ascii="Times New Roman" w:hAnsi="Times New Roman"/>
          <w:sz w:val="24"/>
          <w:szCs w:val="24"/>
        </w:rPr>
        <w:t>n su obligación de protección de los DESCA en un proceso de transición energética para que esta sea justa sin discriminación y con participación efectiva de pueblos y comunidades indígenas, campesinas, rurales y urbanas, con respeto a la libre determinació</w:t>
      </w:r>
      <w:r>
        <w:rPr>
          <w:rFonts w:ascii="Times New Roman" w:hAnsi="Times New Roman"/>
          <w:sz w:val="24"/>
          <w:szCs w:val="24"/>
        </w:rPr>
        <w:t>n y al medio ambiente limpio, sano y sostenible (incluye Artículos 1 y 12),</w:t>
      </w:r>
    </w:p>
    <w:p w:rsidR="00FD7002" w:rsidRDefault="00FD7002">
      <w:pPr>
        <w:jc w:val="both"/>
        <w:rPr>
          <w:rFonts w:ascii="Times New Roman" w:hAnsi="Times New Roman"/>
          <w:sz w:val="24"/>
          <w:szCs w:val="24"/>
        </w:rPr>
      </w:pPr>
    </w:p>
    <w:p w:rsidR="00FD7002" w:rsidRDefault="009363D9">
      <w:pPr>
        <w:jc w:val="both"/>
        <w:rPr>
          <w:rFonts w:ascii="Times New Roman" w:hAnsi="Times New Roman"/>
          <w:sz w:val="24"/>
          <w:szCs w:val="24"/>
        </w:rPr>
      </w:pPr>
      <w:r>
        <w:rPr>
          <w:rFonts w:ascii="Times New Roman" w:hAnsi="Times New Roman"/>
          <w:b/>
          <w:sz w:val="24"/>
          <w:szCs w:val="24"/>
        </w:rPr>
        <w:t>Derecho a la alimentación adecuada (Artículo 11, párr. 2)</w:t>
      </w:r>
    </w:p>
    <w:p w:rsidR="00FD7002" w:rsidRDefault="00FD7002">
      <w:pPr>
        <w:jc w:val="both"/>
        <w:rPr>
          <w:rFonts w:ascii="Times New Roman" w:hAnsi="Times New Roman"/>
          <w:sz w:val="24"/>
          <w:szCs w:val="24"/>
        </w:rPr>
      </w:pPr>
    </w:p>
    <w:p w:rsidR="00FD7002" w:rsidRDefault="009363D9">
      <w:pPr>
        <w:numPr>
          <w:ilvl w:val="0"/>
          <w:numId w:val="2"/>
        </w:numPr>
        <w:ind w:left="0" w:firstLine="0"/>
        <w:jc w:val="both"/>
      </w:pPr>
      <w:r>
        <w:rPr>
          <w:rFonts w:ascii="Times New Roman" w:hAnsi="Times New Roman"/>
          <w:sz w:val="24"/>
          <w:szCs w:val="24"/>
        </w:rPr>
        <w:t>Sírvanse indicar las medidas que ha adoptado el Estado mexicano para sancionar y reparar los daños al derecho a la alime</w:t>
      </w:r>
      <w:r>
        <w:rPr>
          <w:rFonts w:ascii="Times New Roman" w:hAnsi="Times New Roman"/>
          <w:sz w:val="24"/>
          <w:szCs w:val="24"/>
        </w:rPr>
        <w:t>ntación de las personas pertenecientes a comunidades indígenas y campesinas afectadas por el extractivismo, por grandes proyectos empresariales y de desarrollo (como de infraestructura, transporte, turismo, producción de alimentos, transición energética, e</w:t>
      </w:r>
      <w:r>
        <w:rPr>
          <w:rFonts w:ascii="Times New Roman" w:hAnsi="Times New Roman"/>
          <w:sz w:val="24"/>
          <w:szCs w:val="24"/>
        </w:rPr>
        <w:t xml:space="preserve">ntre otros), por la </w:t>
      </w:r>
      <w:hyperlink r:id="rId10">
        <w:r>
          <w:rPr>
            <w:rStyle w:val="Hipervnculo"/>
            <w:rFonts w:ascii="Times New Roman" w:hAnsi="Times New Roman"/>
            <w:sz w:val="24"/>
            <w:szCs w:val="24"/>
          </w:rPr>
          <w:t>producción del maíz transgénico</w:t>
        </w:r>
      </w:hyperlink>
      <w:r>
        <w:rPr>
          <w:rFonts w:ascii="Times New Roman" w:hAnsi="Times New Roman"/>
          <w:sz w:val="24"/>
          <w:szCs w:val="24"/>
        </w:rPr>
        <w:t xml:space="preserve"> y por la contaminación del agua, aire y suelos causada por las actividades industriales, incluyendo el  </w:t>
      </w:r>
      <w:hyperlink r:id="rId11" w:anchor=":~:text=El glifosato es un herbicida,(1) (2)." w:history="1">
        <w:r>
          <w:rPr>
            <w:rStyle w:val="Hipervnculo"/>
            <w:rFonts w:ascii="Times New Roman" w:hAnsi="Times New Roman"/>
            <w:sz w:val="24"/>
            <w:szCs w:val="24"/>
          </w:rPr>
          <w:t>uso del glifosfato</w:t>
        </w:r>
      </w:hyperlink>
      <w:r>
        <w:rPr>
          <w:rFonts w:ascii="Times New Roman" w:hAnsi="Times New Roman"/>
          <w:sz w:val="24"/>
          <w:szCs w:val="24"/>
        </w:rPr>
        <w:t xml:space="preserve"> y similares. Asimismo, sírvanse indicar qué instancias se han creado para la exigibilidad y justiciabilidad del derecho a la alimentación </w:t>
      </w:r>
      <w:r>
        <w:rPr>
          <w:rFonts w:ascii="Times New Roman" w:hAnsi="Times New Roman"/>
          <w:sz w:val="24"/>
          <w:szCs w:val="24"/>
        </w:rPr>
        <w:t xml:space="preserve">en México o ante cuáles instancias judiciales pueden apelar las personas y comunidades que hayan sido afectadas por decisiones de política económica o proyectos de gobierno o de terceros en su derecho humano a la alimentación.  </w:t>
      </w:r>
    </w:p>
    <w:p w:rsidR="00FD7002" w:rsidRDefault="00FD7002">
      <w:pPr>
        <w:ind w:left="720"/>
        <w:jc w:val="both"/>
        <w:rPr>
          <w:rFonts w:ascii="Times New Roman" w:hAnsi="Times New Roman"/>
          <w:sz w:val="24"/>
          <w:szCs w:val="24"/>
        </w:rPr>
      </w:pPr>
    </w:p>
    <w:p w:rsidR="00FD7002" w:rsidRDefault="009363D9">
      <w:pPr>
        <w:jc w:val="both"/>
        <w:rPr>
          <w:rFonts w:ascii="Times New Roman" w:hAnsi="Times New Roman"/>
          <w:sz w:val="24"/>
          <w:szCs w:val="24"/>
        </w:rPr>
      </w:pPr>
      <w:r>
        <w:rPr>
          <w:rFonts w:ascii="Times New Roman" w:hAnsi="Times New Roman"/>
          <w:b/>
          <w:sz w:val="24"/>
          <w:szCs w:val="24"/>
        </w:rPr>
        <w:t>Derecho al agua y al sanea</w:t>
      </w:r>
      <w:r>
        <w:rPr>
          <w:rFonts w:ascii="Times New Roman" w:hAnsi="Times New Roman"/>
          <w:b/>
          <w:sz w:val="24"/>
          <w:szCs w:val="24"/>
        </w:rPr>
        <w:t>miento (Artículo 11, párr 1 y art. 12)</w:t>
      </w:r>
    </w:p>
    <w:p w:rsidR="00FD7002" w:rsidRDefault="00FD7002">
      <w:pPr>
        <w:jc w:val="both"/>
        <w:rPr>
          <w:rFonts w:ascii="Times New Roman" w:hAnsi="Times New Roman"/>
          <w:sz w:val="24"/>
          <w:szCs w:val="24"/>
        </w:rPr>
      </w:pPr>
    </w:p>
    <w:p w:rsidR="00FD7002" w:rsidRDefault="009363D9">
      <w:pPr>
        <w:numPr>
          <w:ilvl w:val="0"/>
          <w:numId w:val="2"/>
        </w:numPr>
        <w:ind w:left="0" w:firstLine="0"/>
        <w:jc w:val="both"/>
        <w:rPr>
          <w:rFonts w:ascii="Times New Roman" w:hAnsi="Times New Roman"/>
          <w:sz w:val="24"/>
          <w:szCs w:val="24"/>
        </w:rPr>
      </w:pPr>
      <w:r>
        <w:rPr>
          <w:rFonts w:ascii="Times New Roman" w:hAnsi="Times New Roman"/>
          <w:sz w:val="24"/>
          <w:szCs w:val="24"/>
        </w:rPr>
        <w:lastRenderedPageBreak/>
        <w:t>Sírvanse proporcionar información sobre las medidas legales, de política pública y presupuestarias adoptadas para garantizar a todas las personas el acceso, disposici</w:t>
      </w:r>
      <w:r>
        <w:rPr>
          <w:rFonts w:ascii="Times New Roman" w:hAnsi="Times New Roman"/>
          <w:color w:val="000000"/>
          <w:sz w:val="24"/>
          <w:szCs w:val="24"/>
        </w:rPr>
        <w:t>ón y saneamiento de agua para</w:t>
      </w:r>
      <w:r>
        <w:rPr>
          <w:rFonts w:ascii="Times New Roman" w:hAnsi="Times New Roman"/>
          <w:sz w:val="24"/>
          <w:szCs w:val="24"/>
        </w:rPr>
        <w:t xml:space="preserve"> el uso personal y do</w:t>
      </w:r>
      <w:r>
        <w:rPr>
          <w:rFonts w:ascii="Times New Roman" w:hAnsi="Times New Roman"/>
          <w:sz w:val="24"/>
          <w:szCs w:val="24"/>
        </w:rPr>
        <w:t>méstico en forma suficiente, salubre, asequible y aceptable además de informar cuánta de esa población tiene cobertura en términos sólo de infraestructura o conexión a la red, cuánta población no recibe efectivamente un suministro de agua suficiente, conti</w:t>
      </w:r>
      <w:r>
        <w:rPr>
          <w:rFonts w:ascii="Times New Roman" w:hAnsi="Times New Roman"/>
          <w:sz w:val="24"/>
          <w:szCs w:val="24"/>
        </w:rPr>
        <w:t>nua y salubre, apta para uso personal y doméstico (para bañarse, cocinar y beber, asear hogar y lavar ropa) como corresponde al derecho humano al agua y cuánta población sí tiene ese acceso. Sírvanse también ofrecer información desagregada por regiones y z</w:t>
      </w:r>
      <w:r>
        <w:rPr>
          <w:rFonts w:ascii="Times New Roman" w:hAnsi="Times New Roman"/>
          <w:sz w:val="24"/>
          <w:szCs w:val="24"/>
        </w:rPr>
        <w:t>onas urbana y rural de la población sin cobertura, y cuáles son las medidas específicamente adoptadas para mejorar tal situación de inequidad en la distribución y acceso al vital líquido.</w:t>
      </w:r>
    </w:p>
    <w:p w:rsidR="00FD7002" w:rsidRDefault="00FD7002">
      <w:pPr>
        <w:jc w:val="both"/>
        <w:rPr>
          <w:rFonts w:ascii="Times New Roman" w:hAnsi="Times New Roman"/>
          <w:sz w:val="24"/>
          <w:szCs w:val="24"/>
        </w:rPr>
      </w:pPr>
    </w:p>
    <w:p w:rsidR="00FD7002" w:rsidRDefault="009363D9">
      <w:pPr>
        <w:numPr>
          <w:ilvl w:val="0"/>
          <w:numId w:val="2"/>
        </w:numPr>
        <w:ind w:left="0" w:firstLine="0"/>
        <w:jc w:val="both"/>
        <w:rPr>
          <w:rFonts w:ascii="Times New Roman" w:hAnsi="Times New Roman"/>
          <w:sz w:val="24"/>
          <w:szCs w:val="24"/>
        </w:rPr>
      </w:pPr>
      <w:r>
        <w:rPr>
          <w:rFonts w:ascii="Times New Roman" w:hAnsi="Times New Roman"/>
          <w:sz w:val="24"/>
          <w:szCs w:val="24"/>
        </w:rPr>
        <w:t>Sírvanse a informar sobre las acciones de coordinación entre las de</w:t>
      </w:r>
      <w:r>
        <w:rPr>
          <w:rFonts w:ascii="Times New Roman" w:hAnsi="Times New Roman"/>
          <w:sz w:val="24"/>
          <w:szCs w:val="24"/>
        </w:rPr>
        <w:t>pendencias federales del Estado y los tres niveles de gobierno cuando se está ante contaminación de las fuentes de agua como lo es un derrame tóxico de metales pesados, informe sobre las capacidades institucionales para la atención de la población afectada</w:t>
      </w:r>
      <w:r>
        <w:rPr>
          <w:rFonts w:ascii="Times New Roman" w:hAnsi="Times New Roman"/>
          <w:sz w:val="24"/>
          <w:szCs w:val="24"/>
        </w:rPr>
        <w:t xml:space="preserve"> y expuesta a esos químicos. </w:t>
      </w:r>
    </w:p>
    <w:p w:rsidR="00FD7002" w:rsidRDefault="00FD7002">
      <w:pPr>
        <w:jc w:val="both"/>
        <w:rPr>
          <w:rFonts w:ascii="Times New Roman" w:hAnsi="Times New Roman"/>
          <w:sz w:val="24"/>
          <w:szCs w:val="24"/>
        </w:rPr>
      </w:pPr>
    </w:p>
    <w:p w:rsidR="00FD7002" w:rsidRDefault="009363D9">
      <w:pPr>
        <w:jc w:val="both"/>
        <w:rPr>
          <w:rFonts w:ascii="Times New Roman" w:hAnsi="Times New Roman"/>
          <w:sz w:val="24"/>
          <w:szCs w:val="24"/>
        </w:rPr>
      </w:pPr>
      <w:r>
        <w:rPr>
          <w:rFonts w:ascii="Times New Roman" w:hAnsi="Times New Roman"/>
          <w:b/>
          <w:sz w:val="24"/>
          <w:szCs w:val="24"/>
        </w:rPr>
        <w:t>Derecho a un medio ambiente sano (Artículo 12, párr. 2, inciso b)</w:t>
      </w:r>
    </w:p>
    <w:p w:rsidR="00FD7002" w:rsidRDefault="00FD7002">
      <w:pPr>
        <w:jc w:val="both"/>
        <w:rPr>
          <w:rFonts w:ascii="Times New Roman" w:hAnsi="Times New Roman"/>
          <w:sz w:val="24"/>
          <w:szCs w:val="24"/>
        </w:rPr>
      </w:pPr>
    </w:p>
    <w:p w:rsidR="00FD7002" w:rsidRDefault="009363D9">
      <w:pPr>
        <w:numPr>
          <w:ilvl w:val="0"/>
          <w:numId w:val="2"/>
        </w:numPr>
        <w:ind w:left="0" w:firstLine="0"/>
        <w:jc w:val="both"/>
        <w:rPr>
          <w:rFonts w:ascii="Times New Roman" w:hAnsi="Times New Roman"/>
          <w:sz w:val="24"/>
          <w:szCs w:val="24"/>
        </w:rPr>
      </w:pPr>
      <w:r>
        <w:rPr>
          <w:rFonts w:ascii="Times New Roman" w:hAnsi="Times New Roman"/>
          <w:sz w:val="24"/>
          <w:szCs w:val="24"/>
        </w:rPr>
        <w:t>Comunidades y organizaciones de la sociedad civil han señalado las afectaciones que tienen y podrían tener los megaproyectos empresariales privados y del Esta</w:t>
      </w:r>
      <w:r>
        <w:rPr>
          <w:rFonts w:ascii="Times New Roman" w:hAnsi="Times New Roman"/>
          <w:sz w:val="24"/>
          <w:szCs w:val="24"/>
        </w:rPr>
        <w:t>do en el medio ambiente, y en los derechos de los pueblos y comunidades; por ello, sírvase a informar las acciones que ha realizado el Estado para garantizar el acceso a la información sobre dichos proyectos, sus beneficiarios finales, su empresa matriz, s</w:t>
      </w:r>
      <w:r>
        <w:rPr>
          <w:rFonts w:ascii="Times New Roman" w:hAnsi="Times New Roman"/>
          <w:sz w:val="24"/>
          <w:szCs w:val="24"/>
        </w:rPr>
        <w:t>us potenciales impactos positivos y negativos, las Manifestaciones de Impacto Ambiental y Evaluaciones de Impacto Social, aún sean otorgados, manejados, gestionados, operados por la Secretaría de la Defensa Nacional, asegurando que la información necesaria</w:t>
      </w:r>
      <w:r>
        <w:rPr>
          <w:rFonts w:ascii="Times New Roman" w:hAnsi="Times New Roman"/>
          <w:sz w:val="24"/>
          <w:szCs w:val="24"/>
        </w:rPr>
        <w:t xml:space="preserve"> no sea indebidamente clasificada como de seguridad nacional y, por otro lado, fortaleciendo al Instituto Nacional de Transparencia, Acceso a la Información y Protección de Datos Personales (INAI) y eliminando los obstáculos tanto para acceder a la informa</w:t>
      </w:r>
      <w:r>
        <w:rPr>
          <w:rFonts w:ascii="Times New Roman" w:hAnsi="Times New Roman"/>
          <w:sz w:val="24"/>
          <w:szCs w:val="24"/>
        </w:rPr>
        <w:t>ción en decisiones ambientales que pueden a afectar a las personas, pueblos y comunidades (implementación del Acuerdo Regional sobre el Acceso a la Información, la Participación Pública y el Acceso a la Justicia en Asuntos Ambientales en América Latina y e</w:t>
      </w:r>
      <w:r>
        <w:rPr>
          <w:rFonts w:ascii="Times New Roman" w:hAnsi="Times New Roman"/>
          <w:sz w:val="24"/>
          <w:szCs w:val="24"/>
        </w:rPr>
        <w:t xml:space="preserve">l Caribe, Acuerdo de Escazú), como al acceso a la justicia y reparación integral de los daños cuando los hubiere. </w:t>
      </w:r>
    </w:p>
    <w:p w:rsidR="00FD7002" w:rsidRDefault="00FD7002">
      <w:pPr>
        <w:jc w:val="both"/>
        <w:rPr>
          <w:rFonts w:ascii="Times New Roman" w:hAnsi="Times New Roman"/>
          <w:sz w:val="24"/>
          <w:szCs w:val="24"/>
        </w:rPr>
      </w:pPr>
    </w:p>
    <w:p w:rsidR="00FD7002" w:rsidRDefault="009363D9">
      <w:pPr>
        <w:jc w:val="both"/>
        <w:rPr>
          <w:rFonts w:ascii="Times New Roman" w:hAnsi="Times New Roman"/>
          <w:sz w:val="24"/>
          <w:szCs w:val="24"/>
        </w:rPr>
      </w:pPr>
      <w:r>
        <w:rPr>
          <w:rFonts w:ascii="Times New Roman" w:hAnsi="Times New Roman"/>
          <w:b/>
          <w:sz w:val="24"/>
          <w:szCs w:val="24"/>
        </w:rPr>
        <w:t>Derechos culturales (Artículo 15)</w:t>
      </w:r>
    </w:p>
    <w:p w:rsidR="00FD7002" w:rsidRDefault="00FD7002">
      <w:pPr>
        <w:ind w:left="720"/>
        <w:jc w:val="both"/>
        <w:rPr>
          <w:rFonts w:ascii="Times New Roman" w:hAnsi="Times New Roman"/>
          <w:sz w:val="24"/>
          <w:szCs w:val="24"/>
        </w:rPr>
      </w:pPr>
    </w:p>
    <w:p w:rsidR="00FD7002" w:rsidRDefault="009363D9">
      <w:pPr>
        <w:numPr>
          <w:ilvl w:val="0"/>
          <w:numId w:val="2"/>
        </w:numPr>
        <w:ind w:left="0" w:firstLine="0"/>
        <w:jc w:val="both"/>
        <w:rPr>
          <w:rFonts w:ascii="Times New Roman" w:hAnsi="Times New Roman"/>
          <w:sz w:val="24"/>
          <w:szCs w:val="24"/>
        </w:rPr>
      </w:pPr>
      <w:r>
        <w:rPr>
          <w:rFonts w:ascii="Times New Roman" w:hAnsi="Times New Roman"/>
          <w:sz w:val="24"/>
          <w:szCs w:val="24"/>
        </w:rPr>
        <w:t>Sírvase señalar de qué manera el Estado mexicano protege y garantiza los derechos culturales de los pueblos y comunidades indígenas y comunidades equiparables cuando aprueba la construcción de megaproyectos en los territorios que estos ocupan para sus prác</w:t>
      </w:r>
      <w:r>
        <w:rPr>
          <w:rFonts w:ascii="Times New Roman" w:hAnsi="Times New Roman"/>
          <w:sz w:val="24"/>
          <w:szCs w:val="24"/>
        </w:rPr>
        <w:t xml:space="preserve">ticas culturales. </w:t>
      </w:r>
    </w:p>
    <w:p w:rsidR="00FD7002" w:rsidRDefault="00FD7002">
      <w:pPr>
        <w:jc w:val="both"/>
        <w:rPr>
          <w:rFonts w:ascii="Times New Roman" w:hAnsi="Times New Roman"/>
          <w:sz w:val="24"/>
          <w:szCs w:val="24"/>
        </w:rPr>
      </w:pPr>
    </w:p>
    <w:p w:rsidR="00FD7002" w:rsidRDefault="009363D9">
      <w:pPr>
        <w:jc w:val="both"/>
        <w:rPr>
          <w:rFonts w:ascii="Times New Roman" w:hAnsi="Times New Roman"/>
          <w:b/>
          <w:bCs/>
          <w:sz w:val="24"/>
          <w:szCs w:val="24"/>
        </w:rPr>
      </w:pPr>
      <w:r>
        <w:rPr>
          <w:rFonts w:ascii="Times New Roman" w:hAnsi="Times New Roman"/>
          <w:b/>
          <w:bCs/>
          <w:sz w:val="24"/>
          <w:szCs w:val="24"/>
        </w:rPr>
        <w:t>Recomendaciones</w:t>
      </w:r>
    </w:p>
    <w:p w:rsidR="00FD7002" w:rsidRDefault="00FD7002">
      <w:pPr>
        <w:jc w:val="both"/>
        <w:rPr>
          <w:rFonts w:ascii="Times New Roman" w:hAnsi="Times New Roman"/>
          <w:sz w:val="24"/>
          <w:szCs w:val="24"/>
        </w:rPr>
      </w:pPr>
    </w:p>
    <w:p w:rsidR="00FD7002" w:rsidRDefault="009363D9">
      <w:pPr>
        <w:jc w:val="both"/>
        <w:rPr>
          <w:rFonts w:ascii="Times New Roman" w:hAnsi="Times New Roman"/>
          <w:sz w:val="24"/>
          <w:szCs w:val="24"/>
        </w:rPr>
      </w:pPr>
      <w:r>
        <w:rPr>
          <w:rFonts w:ascii="Times New Roman" w:hAnsi="Times New Roman"/>
          <w:sz w:val="24"/>
          <w:szCs w:val="24"/>
        </w:rPr>
        <w:lastRenderedPageBreak/>
        <w:t>Hacemos sugerencias a este honorable Comité sobre recomendaciones para ser tomadas en cuenta en el desarrollo de esta revisión al Estado Mexicano y para que este aborde las cuestiones que se han presentado anteriormente</w:t>
      </w:r>
      <w:r>
        <w:rPr>
          <w:rFonts w:ascii="Times New Roman" w:hAnsi="Times New Roman"/>
          <w:sz w:val="24"/>
          <w:szCs w:val="24"/>
        </w:rPr>
        <w:t>.</w:t>
      </w:r>
    </w:p>
    <w:p w:rsidR="00FD7002" w:rsidRDefault="00FD7002">
      <w:pPr>
        <w:jc w:val="both"/>
      </w:pPr>
    </w:p>
    <w:p w:rsidR="00FD7002" w:rsidRDefault="009363D9">
      <w:pPr>
        <w:numPr>
          <w:ilvl w:val="0"/>
          <w:numId w:val="1"/>
        </w:numPr>
        <w:jc w:val="both"/>
      </w:pPr>
      <w:r>
        <w:rPr>
          <w:rFonts w:ascii="Times New Roman" w:hAnsi="Times New Roman"/>
          <w:sz w:val="24"/>
          <w:szCs w:val="24"/>
        </w:rPr>
        <w:t>En un ámbito de democracia, paz, justicia, búsqueda de soluciones y abordaje de brechas existentes en cuanto a la protección de los DESCA y su justiciabilidad, en el marco de las actividades empresariales, el Estado mexicano deberá ratificar el Protocolo F</w:t>
      </w:r>
      <w:r>
        <w:rPr>
          <w:rFonts w:ascii="Times New Roman" w:hAnsi="Times New Roman"/>
          <w:sz w:val="24"/>
          <w:szCs w:val="24"/>
        </w:rPr>
        <w:t xml:space="preserve">acultativo del PIDESC para el intercambio, dar seguimiento a recomendaciones, investigaciones y comunicaciones de este honorable Comité. </w:t>
      </w:r>
    </w:p>
    <w:p w:rsidR="00FD7002" w:rsidRDefault="00FD7002">
      <w:pPr>
        <w:ind w:left="720"/>
        <w:jc w:val="both"/>
      </w:pPr>
    </w:p>
    <w:p w:rsidR="00FD7002" w:rsidRDefault="009363D9">
      <w:pPr>
        <w:numPr>
          <w:ilvl w:val="0"/>
          <w:numId w:val="1"/>
        </w:numPr>
        <w:jc w:val="both"/>
      </w:pPr>
      <w:r>
        <w:rPr>
          <w:rFonts w:ascii="Times New Roman" w:hAnsi="Times New Roman"/>
          <w:sz w:val="24"/>
          <w:szCs w:val="24"/>
        </w:rPr>
        <w:t>Al haber grandes brechas para el respeto a los DESCA en las actividades empresariales públicas, estatales, privadas y</w:t>
      </w:r>
      <w:r>
        <w:rPr>
          <w:rFonts w:ascii="Times New Roman" w:hAnsi="Times New Roman"/>
          <w:sz w:val="24"/>
          <w:szCs w:val="24"/>
        </w:rPr>
        <w:t xml:space="preserve"> mixtas, el Estado mexicano deberá desarrollar el marco regulatorio sobre la responsabilidad jurídica corporativa que deberá contar con: 1. los mecanismos efectivos para prevenir y  mitigar los abusos y violaciones a a los DESCA e impactos negativos al med</w:t>
      </w:r>
      <w:r>
        <w:rPr>
          <w:rFonts w:ascii="Times New Roman" w:hAnsi="Times New Roman"/>
          <w:sz w:val="24"/>
          <w:szCs w:val="24"/>
        </w:rPr>
        <w:t>io ambiente así como para remediar y reparar integralmente los daños causados; 2. la responsabilidad de las empresas nacionales y transnacionales, públicas, privadas y mixtas operando en México; 3. con sanciones efectivas y proporcionales al daño; y 4. ser</w:t>
      </w:r>
      <w:r>
        <w:rPr>
          <w:rFonts w:ascii="Times New Roman" w:hAnsi="Times New Roman"/>
          <w:sz w:val="24"/>
          <w:szCs w:val="24"/>
        </w:rPr>
        <w:t xml:space="preserve"> desarrollada y monitoreada en conjunto con las personas titulares de derechos, víctimas y la sociedad civil especializada. </w:t>
      </w:r>
    </w:p>
    <w:p w:rsidR="00FD7002" w:rsidRDefault="00FD7002">
      <w:pPr>
        <w:ind w:left="720"/>
        <w:jc w:val="both"/>
      </w:pPr>
    </w:p>
    <w:p w:rsidR="00FD7002" w:rsidRDefault="009363D9">
      <w:pPr>
        <w:numPr>
          <w:ilvl w:val="0"/>
          <w:numId w:val="1"/>
        </w:numPr>
        <w:jc w:val="both"/>
      </w:pPr>
      <w:r>
        <w:rPr>
          <w:rFonts w:ascii="Times New Roman" w:hAnsi="Times New Roman"/>
          <w:sz w:val="24"/>
          <w:szCs w:val="24"/>
        </w:rPr>
        <w:t>Crear e implementar un marco jurídico, administrativo y judicial para que obligue y en su caso sancione a las empresas estatales y</w:t>
      </w:r>
      <w:r>
        <w:rPr>
          <w:rFonts w:ascii="Times New Roman" w:hAnsi="Times New Roman"/>
          <w:sz w:val="24"/>
          <w:szCs w:val="24"/>
        </w:rPr>
        <w:t xml:space="preserve"> privadas, así como a mantener una transparencia activa que permita visualizar las acciones de prevención, mitigación y reparación las posibles violaciones a derechos humanos y su abordaje efectivo en caso de daños causados.</w:t>
      </w:r>
    </w:p>
    <w:p w:rsidR="00FD7002" w:rsidRDefault="00FD7002">
      <w:pPr>
        <w:ind w:left="720"/>
        <w:jc w:val="both"/>
      </w:pPr>
    </w:p>
    <w:p w:rsidR="00FD7002" w:rsidRDefault="009363D9">
      <w:pPr>
        <w:numPr>
          <w:ilvl w:val="0"/>
          <w:numId w:val="1"/>
        </w:numPr>
        <w:tabs>
          <w:tab w:val="left" w:pos="426"/>
        </w:tabs>
        <w:jc w:val="both"/>
      </w:pPr>
      <w:r>
        <w:rPr>
          <w:rFonts w:ascii="Times New Roman" w:hAnsi="Times New Roman"/>
          <w:sz w:val="24"/>
          <w:szCs w:val="24"/>
        </w:rPr>
        <w:t>El Estado mexicano deberá regu</w:t>
      </w:r>
      <w:r>
        <w:rPr>
          <w:rFonts w:ascii="Times New Roman" w:hAnsi="Times New Roman"/>
          <w:sz w:val="24"/>
          <w:szCs w:val="24"/>
        </w:rPr>
        <w:t>lar efectivamente el cabildeo corporativo hecho exclusivamente para beneficio de los capitales privados y que daña los DESCA, el medio ambiente y el clima, y perpetúa la opacidad.</w:t>
      </w:r>
    </w:p>
    <w:p w:rsidR="00FD7002" w:rsidRDefault="00FD7002">
      <w:pPr>
        <w:tabs>
          <w:tab w:val="left" w:pos="426"/>
        </w:tabs>
        <w:ind w:left="720"/>
        <w:jc w:val="both"/>
        <w:rPr>
          <w:rFonts w:ascii="Times New Roman" w:hAnsi="Times New Roman"/>
          <w:sz w:val="24"/>
          <w:szCs w:val="24"/>
        </w:rPr>
      </w:pPr>
    </w:p>
    <w:p w:rsidR="00FD7002" w:rsidRDefault="009363D9">
      <w:pPr>
        <w:numPr>
          <w:ilvl w:val="0"/>
          <w:numId w:val="1"/>
        </w:numPr>
        <w:tabs>
          <w:tab w:val="left" w:pos="426"/>
        </w:tabs>
        <w:jc w:val="both"/>
      </w:pPr>
      <w:r>
        <w:rPr>
          <w:rFonts w:ascii="Times New Roman" w:hAnsi="Times New Roman"/>
          <w:sz w:val="24"/>
          <w:szCs w:val="24"/>
        </w:rPr>
        <w:t>Desarrollar un marco regulatorio con mecanismos de implementación de sistem</w:t>
      </w:r>
      <w:r>
        <w:rPr>
          <w:rFonts w:ascii="Times New Roman" w:hAnsi="Times New Roman"/>
          <w:sz w:val="24"/>
          <w:szCs w:val="24"/>
        </w:rPr>
        <w:t>as de protección de los derechos humanos de manera transversal en el sistema financiero mexicano con participación efectiva de titulares de derechos y organizaciones de la sociedad civil especializada y reconocida en materia de derechos humanos y actividad</w:t>
      </w:r>
      <w:r>
        <w:rPr>
          <w:rFonts w:ascii="Times New Roman" w:hAnsi="Times New Roman"/>
          <w:sz w:val="24"/>
          <w:szCs w:val="24"/>
        </w:rPr>
        <w:t xml:space="preserve"> empresarial en el desarrollo, monitoreo y evaluación del mismo.</w:t>
      </w:r>
    </w:p>
    <w:p w:rsidR="00FD7002" w:rsidRDefault="00FD7002">
      <w:pPr>
        <w:tabs>
          <w:tab w:val="left" w:pos="426"/>
        </w:tabs>
        <w:ind w:left="720"/>
        <w:jc w:val="both"/>
        <w:rPr>
          <w:rFonts w:ascii="Times New Roman" w:hAnsi="Times New Roman"/>
          <w:sz w:val="24"/>
          <w:szCs w:val="24"/>
        </w:rPr>
      </w:pPr>
    </w:p>
    <w:p w:rsidR="00FD7002" w:rsidRDefault="009363D9">
      <w:pPr>
        <w:numPr>
          <w:ilvl w:val="0"/>
          <w:numId w:val="1"/>
        </w:numPr>
        <w:tabs>
          <w:tab w:val="left" w:pos="426"/>
        </w:tabs>
        <w:jc w:val="both"/>
        <w:rPr>
          <w:rFonts w:ascii="Times New Roman" w:hAnsi="Times New Roman"/>
          <w:sz w:val="24"/>
          <w:szCs w:val="24"/>
        </w:rPr>
      </w:pPr>
      <w:r>
        <w:rPr>
          <w:rFonts w:ascii="Times New Roman" w:hAnsi="Times New Roman"/>
          <w:sz w:val="24"/>
          <w:szCs w:val="24"/>
        </w:rPr>
        <w:t xml:space="preserve">El Estado mexicano deberá seguir participando activamente en las sesiones de desarrollo del texto del </w:t>
      </w:r>
      <w:r>
        <w:rPr>
          <w:rFonts w:ascii="Times New Roman" w:hAnsi="Times New Roman"/>
          <w:sz w:val="24"/>
          <w:szCs w:val="24"/>
          <w:highlight w:val="white"/>
        </w:rPr>
        <w:t>instrumento jurídicamente vinculante para regular las actividades de las empresas transn</w:t>
      </w:r>
      <w:r>
        <w:rPr>
          <w:rFonts w:ascii="Times New Roman" w:hAnsi="Times New Roman"/>
          <w:sz w:val="24"/>
          <w:szCs w:val="24"/>
          <w:highlight w:val="white"/>
        </w:rPr>
        <w:t>acionales y otras empresas en el derecho internacional de los derechos humanos</w:t>
      </w:r>
      <w:r>
        <w:rPr>
          <w:rFonts w:ascii="Times New Roman" w:hAnsi="Times New Roman"/>
          <w:sz w:val="24"/>
          <w:szCs w:val="24"/>
        </w:rPr>
        <w:t>, elaborando su posición en consulta con las personas titulares de derechos y afectadas por la actividad empresarial así como con las Organizaciones de la Sociedad civil especial</w:t>
      </w:r>
      <w:r>
        <w:rPr>
          <w:rFonts w:ascii="Times New Roman" w:hAnsi="Times New Roman"/>
          <w:sz w:val="24"/>
          <w:szCs w:val="24"/>
        </w:rPr>
        <w:t>izada.</w:t>
      </w:r>
    </w:p>
    <w:p w:rsidR="00FD7002" w:rsidRDefault="00FD7002">
      <w:pPr>
        <w:tabs>
          <w:tab w:val="left" w:pos="426"/>
        </w:tabs>
        <w:ind w:left="720"/>
        <w:jc w:val="both"/>
        <w:rPr>
          <w:rFonts w:ascii="Times New Roman" w:hAnsi="Times New Roman"/>
          <w:sz w:val="24"/>
          <w:szCs w:val="24"/>
        </w:rPr>
      </w:pPr>
    </w:p>
    <w:p w:rsidR="00FD7002" w:rsidRDefault="009363D9">
      <w:pPr>
        <w:numPr>
          <w:ilvl w:val="0"/>
          <w:numId w:val="1"/>
        </w:numPr>
        <w:tabs>
          <w:tab w:val="left" w:pos="426"/>
        </w:tabs>
        <w:jc w:val="both"/>
        <w:rPr>
          <w:rFonts w:ascii="Times New Roman" w:hAnsi="Times New Roman"/>
          <w:sz w:val="24"/>
          <w:szCs w:val="24"/>
        </w:rPr>
      </w:pPr>
      <w:r>
        <w:rPr>
          <w:rFonts w:ascii="Times New Roman" w:hAnsi="Times New Roman"/>
          <w:sz w:val="24"/>
          <w:szCs w:val="24"/>
        </w:rPr>
        <w:lastRenderedPageBreak/>
        <w:t xml:space="preserve">Proteger y garantizar los derechos humanos al agua, al medio ambiente sano y a la salud tomando todas las medidas necesarias de carácter precautorio, legal, económico y de política pública para evitar que las fuentes de agua sean sobreexplotadas y </w:t>
      </w:r>
      <w:r>
        <w:rPr>
          <w:rFonts w:ascii="Times New Roman" w:hAnsi="Times New Roman"/>
          <w:sz w:val="24"/>
          <w:szCs w:val="24"/>
        </w:rPr>
        <w:t>contaminadas por actividades industriales, extractivas y agroindustriales, y asegurando que los actores estatales y no estatales prevengan los daños ambientales severos e irreversibles que repercuten en otros derechos humanos y se responsabilicen de la rep</w:t>
      </w:r>
      <w:r>
        <w:rPr>
          <w:rFonts w:ascii="Times New Roman" w:hAnsi="Times New Roman"/>
          <w:sz w:val="24"/>
          <w:szCs w:val="24"/>
        </w:rPr>
        <w:t>aración integral del daño.</w:t>
      </w:r>
    </w:p>
    <w:p w:rsidR="00FD7002" w:rsidRDefault="00FD7002">
      <w:pPr>
        <w:tabs>
          <w:tab w:val="left" w:pos="426"/>
        </w:tabs>
        <w:jc w:val="both"/>
        <w:rPr>
          <w:rFonts w:ascii="Times New Roman" w:hAnsi="Times New Roman"/>
          <w:sz w:val="24"/>
          <w:szCs w:val="24"/>
        </w:rPr>
      </w:pPr>
    </w:p>
    <w:p w:rsidR="00FD7002" w:rsidRDefault="009363D9">
      <w:pPr>
        <w:tabs>
          <w:tab w:val="left" w:pos="426"/>
        </w:tabs>
        <w:jc w:val="center"/>
        <w:rPr>
          <w:rFonts w:ascii="Times New Roman" w:hAnsi="Times New Roman"/>
          <w:sz w:val="24"/>
          <w:szCs w:val="24"/>
        </w:rPr>
      </w:pPr>
      <w:r>
        <w:rPr>
          <w:rFonts w:ascii="Times New Roman" w:hAnsi="Times New Roman"/>
          <w:sz w:val="24"/>
          <w:szCs w:val="24"/>
        </w:rPr>
        <w:t>////</w:t>
      </w:r>
    </w:p>
    <w:p w:rsidR="00FD7002" w:rsidRDefault="00FD7002">
      <w:pPr>
        <w:pStyle w:val="LO-normal"/>
        <w:spacing w:before="280" w:after="280" w:line="276" w:lineRule="auto"/>
        <w:rPr>
          <w:rFonts w:ascii="Times New Roman" w:hAnsi="Times New Roman"/>
        </w:rPr>
      </w:pPr>
    </w:p>
    <w:p w:rsidR="00FD7002" w:rsidRDefault="009363D9">
      <w:pPr>
        <w:pStyle w:val="LO-normal"/>
        <w:spacing w:before="280" w:after="280" w:line="276" w:lineRule="auto"/>
        <w:rPr>
          <w:rFonts w:ascii="Times New Roman" w:hAnsi="Times New Roman"/>
        </w:rPr>
      </w:pPr>
      <w:r>
        <w:rPr>
          <w:rFonts w:ascii="Times New Roman" w:eastAsia="Arial" w:hAnsi="Times New Roman" w:cs="Arial"/>
          <w:b/>
          <w:color w:val="000007"/>
        </w:rPr>
        <w:t xml:space="preserve">Datos de Contacto: </w:t>
      </w:r>
    </w:p>
    <w:p w:rsidR="00FD7002" w:rsidRDefault="009363D9">
      <w:pPr>
        <w:pStyle w:val="LO-normal"/>
        <w:spacing w:line="276" w:lineRule="auto"/>
        <w:rPr>
          <w:rFonts w:ascii="Times New Roman" w:hAnsi="Times New Roman"/>
        </w:rPr>
      </w:pPr>
      <w:r>
        <w:rPr>
          <w:rFonts w:ascii="Times New Roman" w:eastAsia="Arial" w:hAnsi="Times New Roman" w:cs="Arial"/>
          <w:color w:val="000007"/>
        </w:rPr>
        <w:t>Ivette González</w:t>
      </w:r>
      <w:r>
        <w:rPr>
          <w:rFonts w:ascii="Times New Roman" w:eastAsia="Arial" w:hAnsi="Times New Roman" w:cs="Arial"/>
          <w:color w:val="000007"/>
        </w:rPr>
        <w:br/>
        <w:t>Directora de Vinculación Estratégica e Incidencia</w:t>
      </w:r>
      <w:r>
        <w:rPr>
          <w:rFonts w:ascii="Times New Roman" w:eastAsia="Arial" w:hAnsi="Times New Roman" w:cs="Arial"/>
          <w:color w:val="000007"/>
        </w:rPr>
        <w:br/>
        <w:t>Proyecto sobre Organización, Desarrollo, Educación e Investigación (PODER) igo@poderlatam.org</w:t>
      </w:r>
      <w:r>
        <w:rPr>
          <w:rFonts w:ascii="Times New Roman" w:eastAsia="Arial" w:hAnsi="Times New Roman" w:cs="Arial"/>
          <w:color w:val="000007"/>
        </w:rPr>
        <w:br/>
        <w:t xml:space="preserve">Tel. 5207-3392 </w:t>
      </w:r>
    </w:p>
    <w:p w:rsidR="00FD7002" w:rsidRDefault="009363D9">
      <w:pPr>
        <w:pStyle w:val="LO-normal"/>
        <w:spacing w:line="276" w:lineRule="auto"/>
      </w:pPr>
      <w:hyperlink r:id="rId12">
        <w:r>
          <w:rPr>
            <w:rStyle w:val="Hipervnculo"/>
            <w:rFonts w:ascii="Times New Roman" w:eastAsia="Arial" w:hAnsi="Times New Roman" w:cs="Arial"/>
            <w:color w:val="000007"/>
          </w:rPr>
          <w:t>https://poderlatam.org/</w:t>
        </w:r>
      </w:hyperlink>
    </w:p>
    <w:p w:rsidR="00FD7002" w:rsidRDefault="009363D9">
      <w:pPr>
        <w:pStyle w:val="LO-normal"/>
        <w:tabs>
          <w:tab w:val="left" w:pos="426"/>
        </w:tabs>
        <w:spacing w:before="280" w:after="280"/>
        <w:rPr>
          <w:rFonts w:ascii="Times New Roman" w:hAnsi="Times New Roman"/>
        </w:rPr>
      </w:pPr>
      <w:r>
        <w:rPr>
          <w:rFonts w:ascii="Times New Roman" w:eastAsia="Arial" w:hAnsi="Times New Roman" w:cs="Arial"/>
          <w:color w:val="000007"/>
        </w:rPr>
        <w:t>Zúe Valenzuela</w:t>
      </w:r>
      <w:r>
        <w:rPr>
          <w:rFonts w:ascii="Times New Roman" w:eastAsia="Arial" w:hAnsi="Times New Roman" w:cs="Arial"/>
          <w:color w:val="000007"/>
        </w:rPr>
        <w:br/>
        <w:t>Oficial de Vinculación Estratégica e Incidencia</w:t>
      </w:r>
      <w:r>
        <w:rPr>
          <w:rFonts w:ascii="Times New Roman" w:eastAsia="Arial" w:hAnsi="Times New Roman" w:cs="Arial"/>
          <w:color w:val="000007"/>
        </w:rPr>
        <w:br/>
        <w:t>Proyecto sobre Organización, Desarrollo, Educación e Investigación (PODER) zvc@poderlatam.org</w:t>
      </w:r>
      <w:r>
        <w:rPr>
          <w:rFonts w:ascii="Times New Roman" w:eastAsia="Arial" w:hAnsi="Times New Roman" w:cs="Arial"/>
          <w:color w:val="000007"/>
        </w:rPr>
        <w:br/>
        <w:t xml:space="preserve">Tel. 5207-3392 </w:t>
      </w:r>
    </w:p>
    <w:sectPr w:rsidR="00FD7002">
      <w:footerReference w:type="default" r:id="rId13"/>
      <w:pgSz w:w="11906" w:h="16838"/>
      <w:pgMar w:top="1440" w:right="1440" w:bottom="1590" w:left="1440" w:header="0" w:footer="1440" w:gutter="0"/>
      <w:pgNumType w:start="1"/>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63D9" w:rsidRDefault="009363D9">
      <w:pPr>
        <w:spacing w:line="240" w:lineRule="auto"/>
      </w:pPr>
      <w:r>
        <w:separator/>
      </w:r>
    </w:p>
  </w:endnote>
  <w:endnote w:type="continuationSeparator" w:id="0">
    <w:p w:rsidR="009363D9" w:rsidRDefault="009363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1"/>
    <w:family w:val="roman"/>
    <w:pitch w:val="variable"/>
    <w:sig w:usb0="E0002EFF" w:usb1="C000785B" w:usb2="00000009" w:usb3="00000000" w:csb0="000001FF" w:csb1="00000000"/>
  </w:font>
  <w:font w:name="Wingdings 2">
    <w:panose1 w:val="05020102010507070707"/>
    <w:charset w:val="02"/>
    <w:family w:val="decorative"/>
    <w:pitch w:val="variable"/>
    <w:sig w:usb0="00000000" w:usb1="10000000" w:usb2="00000000" w:usb3="00000000" w:csb0="80000000" w:csb1="00000000"/>
  </w:font>
  <w:font w:name="OpenSymbol">
    <w:altName w:val="Arial Unicode MS"/>
    <w:panose1 w:val="020B0604020202020204"/>
    <w:charset w:val="01"/>
    <w:family w:val="auto"/>
    <w:pitch w:val="variable"/>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iberation Sans">
    <w:altName w:val="Arial"/>
    <w:panose1 w:val="020B0604020202020204"/>
    <w:charset w:val="01"/>
    <w:family w:val="roman"/>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Liberation Serif">
    <w:altName w:val="Times New Roman"/>
    <w:panose1 w:val="020B0604020202020204"/>
    <w:charset w:val="01"/>
    <w:family w:val="roman"/>
    <w:pitch w:val="variable"/>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002" w:rsidRDefault="009363D9">
    <w:pPr>
      <w:pStyle w:val="Piedepgina"/>
      <w:jc w:val="right"/>
    </w:pPr>
    <w:r>
      <w:fldChar w:fldCharType="begin"/>
    </w:r>
    <w:r>
      <w:instrText xml:space="preserve"> PAGE </w:instrText>
    </w:r>
    <w:r>
      <w:fldChar w:fldCharType="separate"/>
    </w:r>
    <w: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63D9" w:rsidRDefault="009363D9">
      <w:pPr>
        <w:rPr>
          <w:sz w:val="12"/>
        </w:rPr>
      </w:pPr>
      <w:r>
        <w:separator/>
      </w:r>
    </w:p>
  </w:footnote>
  <w:footnote w:type="continuationSeparator" w:id="0">
    <w:p w:rsidR="009363D9" w:rsidRDefault="009363D9">
      <w:pPr>
        <w:rPr>
          <w:sz w:val="12"/>
        </w:rPr>
      </w:pPr>
      <w:r>
        <w:continuationSeparator/>
      </w:r>
    </w:p>
  </w:footnote>
  <w:footnote w:id="1">
    <w:p w:rsidR="00FD7002" w:rsidRDefault="009363D9">
      <w:pPr>
        <w:pStyle w:val="Textonotapie"/>
      </w:pPr>
      <w:r>
        <w:rPr>
          <w:rStyle w:val="FootnoteCharacters"/>
        </w:rPr>
        <w:footnoteRef/>
      </w:r>
      <w:r>
        <w:t xml:space="preserve"> </w:t>
      </w:r>
      <w:r>
        <w:rPr>
          <w:rFonts w:ascii="Times New Roman" w:hAnsi="Times New Roman"/>
          <w:sz w:val="16"/>
          <w:szCs w:val="16"/>
          <w:highlight w:val="white"/>
        </w:rPr>
        <w:t xml:space="preserve">Informe conjunto del Grupo sobre Empresas y Derechos Humanos para el EPU 2024 a México. Véase: </w:t>
      </w:r>
      <w:hyperlink r:id="rId1">
        <w:r>
          <w:rPr>
            <w:rStyle w:val="Hipervnculo"/>
            <w:rFonts w:ascii="Times New Roman" w:hAnsi="Times New Roman"/>
            <w:sz w:val="16"/>
            <w:szCs w:val="16"/>
          </w:rPr>
          <w:t>https://poderlatam.org/wp-content/uploads/2023/11/EPUmx_Empr</w:t>
        </w:r>
        <w:r>
          <w:rPr>
            <w:rStyle w:val="Hipervnculo"/>
            <w:rFonts w:ascii="Times New Roman" w:hAnsi="Times New Roman"/>
            <w:sz w:val="16"/>
            <w:szCs w:val="16"/>
          </w:rPr>
          <w:t>esasyDDHH_28Nov23.pdf</w:t>
        </w:r>
      </w:hyperlink>
    </w:p>
  </w:footnote>
  <w:footnote w:id="2">
    <w:p w:rsidR="00FD7002" w:rsidRDefault="009363D9">
      <w:pPr>
        <w:pStyle w:val="Textonotapie"/>
        <w:rPr>
          <w:rFonts w:ascii="Times New Roman" w:hAnsi="Times New Roman"/>
        </w:rPr>
      </w:pPr>
      <w:r>
        <w:rPr>
          <w:rStyle w:val="FootnoteCharacters"/>
        </w:rPr>
        <w:footnoteRef/>
      </w:r>
      <w:r>
        <w:rPr>
          <w:rFonts w:ascii="Times New Roman" w:hAnsi="Times New Roman"/>
        </w:rPr>
        <w:t xml:space="preserve"> </w:t>
      </w:r>
      <w:r>
        <w:rPr>
          <w:rFonts w:ascii="Times New Roman" w:hAnsi="Times New Roman"/>
          <w:sz w:val="24"/>
          <w:szCs w:val="24"/>
        </w:rPr>
        <w:t xml:space="preserve">Conceptualización de la Captura Corporativa del Estado y Evaluación de sus Impactos en Sector Extractivo de América Latina (Resumen Ejecutivo). Véase: 1. </w:t>
      </w:r>
      <w:hyperlink r:id="rId2">
        <w:r>
          <w:rPr>
            <w:rStyle w:val="Hipervnculo"/>
            <w:rFonts w:ascii="Times New Roman" w:hAnsi="Times New Roman"/>
            <w:sz w:val="24"/>
            <w:szCs w:val="24"/>
          </w:rPr>
          <w:t>https://www.escr-net.org/es/corporateaccountability/corporatecapture/caracteristicas-captura-corporativa</w:t>
        </w:r>
      </w:hyperlink>
      <w:r>
        <w:rPr>
          <w:rFonts w:ascii="Times New Roman" w:hAnsi="Times New Roman"/>
          <w:sz w:val="24"/>
          <w:szCs w:val="24"/>
        </w:rPr>
        <w:t xml:space="preserve">   2.</w:t>
      </w:r>
      <w:hyperlink r:id="rId3">
        <w:r>
          <w:rPr>
            <w:rStyle w:val="Hipervnculo"/>
            <w:rFonts w:ascii="Times New Roman" w:hAnsi="Times New Roman"/>
            <w:sz w:val="24"/>
            <w:szCs w:val="24"/>
          </w:rPr>
          <w:t>https://poderlatam.org/wp-content/uploads/2022/04/CapturaDelEstadoEnAmericaLatina_resumen.pdf</w:t>
        </w:r>
      </w:hyperlink>
    </w:p>
  </w:footnote>
  <w:footnote w:id="3">
    <w:p w:rsidR="00FD7002" w:rsidRDefault="009363D9">
      <w:pPr>
        <w:pStyle w:val="Textonotapie"/>
        <w:rPr>
          <w:rFonts w:ascii="Times New Roman" w:hAnsi="Times New Roman"/>
        </w:rPr>
      </w:pPr>
      <w:r>
        <w:rPr>
          <w:rStyle w:val="FootnoteCharacters"/>
        </w:rPr>
        <w:footnoteRef/>
      </w:r>
      <w:r>
        <w:rPr>
          <w:rFonts w:ascii="Times New Roman" w:hAnsi="Times New Roman"/>
          <w:sz w:val="24"/>
          <w:szCs w:val="24"/>
        </w:rPr>
        <w:t xml:space="preserve"> Influencia de las empresas en la esfera política y reglamentaria: cómo asegurarse de que las prácticas empresariales se ajusten a los Principios Rec</w:t>
      </w:r>
      <w:r>
        <w:rPr>
          <w:rFonts w:ascii="Times New Roman" w:hAnsi="Times New Roman"/>
          <w:sz w:val="24"/>
          <w:szCs w:val="24"/>
        </w:rPr>
        <w:t xml:space="preserve">tores sobre las Empresas y los Derechos Humanos. Véase </w:t>
      </w:r>
      <w:hyperlink r:id="rId4">
        <w:r>
          <w:rPr>
            <w:rStyle w:val="Hipervnculo"/>
            <w:rFonts w:ascii="Times New Roman" w:hAnsi="Times New Roman"/>
            <w:sz w:val="24"/>
            <w:szCs w:val="24"/>
          </w:rPr>
          <w:t>https://documents-dds-ny.un.org/doc/UNDOC/GEN/N22/432/86/PDF/N2243286.pdf?OpenElement</w:t>
        </w:r>
      </w:hyperlink>
    </w:p>
  </w:footnote>
  <w:footnote w:id="4">
    <w:p w:rsidR="00FD7002" w:rsidRDefault="009363D9">
      <w:pPr>
        <w:pStyle w:val="Textonotapie"/>
        <w:rPr>
          <w:rFonts w:ascii="Times New Roman" w:hAnsi="Times New Roman"/>
          <w:sz w:val="24"/>
          <w:szCs w:val="24"/>
        </w:rPr>
      </w:pPr>
      <w:r>
        <w:rPr>
          <w:rStyle w:val="FootnoteCharacters"/>
        </w:rPr>
        <w:footnoteRef/>
      </w:r>
      <w:r>
        <w:rPr>
          <w:rFonts w:ascii="Times New Roman" w:hAnsi="Times New Roman"/>
          <w:sz w:val="24"/>
          <w:szCs w:val="24"/>
        </w:rPr>
        <w:t xml:space="preserve"> Ejemplo,</w:t>
      </w:r>
      <w:r>
        <w:rPr>
          <w:rFonts w:ascii="Times New Roman" w:hAnsi="Times New Roman"/>
          <w:sz w:val="24"/>
          <w:szCs w:val="24"/>
        </w:rPr>
        <w:t xml:space="preserve"> </w:t>
      </w:r>
      <w:hyperlink r:id="rId5">
        <w:r>
          <w:rPr>
            <w:rStyle w:val="Hipervnculo"/>
            <w:rFonts w:ascii="Times New Roman" w:hAnsi="Times New Roman"/>
            <w:sz w:val="24"/>
            <w:szCs w:val="24"/>
          </w:rPr>
          <w:t>proyectos de gobierno</w:t>
        </w:r>
      </w:hyperlink>
      <w:r>
        <w:rPr>
          <w:rFonts w:ascii="Times New Roman" w:hAnsi="Times New Roman"/>
          <w:sz w:val="24"/>
          <w:szCs w:val="24"/>
        </w:rPr>
        <w:t xml:space="preserve"> como el </w:t>
      </w:r>
      <w:hyperlink r:id="rId6" w:anchor="/" w:history="1">
        <w:r>
          <w:rPr>
            <w:rStyle w:val="Hipervnculo"/>
            <w:rFonts w:ascii="Times New Roman" w:hAnsi="Times New Roman"/>
            <w:sz w:val="24"/>
            <w:szCs w:val="24"/>
          </w:rPr>
          <w:t>Tren M</w:t>
        </w:r>
        <w:r>
          <w:rPr>
            <w:rStyle w:val="Hipervnculo"/>
            <w:rFonts w:ascii="Times New Roman" w:hAnsi="Times New Roman"/>
            <w:sz w:val="24"/>
            <w:szCs w:val="24"/>
          </w:rPr>
          <w:t>aya</w:t>
        </w:r>
      </w:hyperlink>
      <w:r>
        <w:rPr>
          <w:rFonts w:ascii="Times New Roman" w:hAnsi="Times New Roman"/>
          <w:sz w:val="24"/>
          <w:szCs w:val="24"/>
        </w:rPr>
        <w:t xml:space="preserve"> y el </w:t>
      </w:r>
      <w:hyperlink r:id="rId7">
        <w:r>
          <w:rPr>
            <w:rStyle w:val="Hipervnculo"/>
            <w:rFonts w:ascii="Times New Roman" w:hAnsi="Times New Roman"/>
            <w:sz w:val="24"/>
            <w:szCs w:val="24"/>
          </w:rPr>
          <w:t>Corredor del Istmo de Tehuantepec</w:t>
        </w:r>
      </w:hyperlink>
      <w:r>
        <w:rPr>
          <w:rFonts w:ascii="Times New Roman" w:hAnsi="Times New Roman"/>
          <w:sz w:val="24"/>
          <w:szCs w:val="24"/>
        </w:rPr>
        <w:t xml:space="preserve"> como insignias del sexenio.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63185D"/>
    <w:multiLevelType w:val="multilevel"/>
    <w:tmpl w:val="AA8C6800"/>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 w15:restartNumberingAfterBreak="0">
    <w:nsid w:val="21D80FE6"/>
    <w:multiLevelType w:val="multilevel"/>
    <w:tmpl w:val="2A568AFC"/>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2" w15:restartNumberingAfterBreak="0">
    <w:nsid w:val="3FB82405"/>
    <w:multiLevelType w:val="multilevel"/>
    <w:tmpl w:val="0344947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2"/>
  <w:hideSpellingErrors/>
  <w:hideGrammaticalErrors/>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002"/>
    <w:rsid w:val="000B0A37"/>
    <w:rsid w:val="009363D9"/>
    <w:rsid w:val="00FD7002"/>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decimalSymbol w:val="."/>
  <w:listSeparator w:val=","/>
  <w15:docId w15:val="{452647C1-98C2-6243-AE89-B7B8E8340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s-ES" w:eastAsia="zh-CN" w:bidi="ar-SA"/>
      </w:rPr>
    </w:rPrDefault>
    <w:pPrDefault>
      <w:pPr>
        <w:suppressAutoHyphens/>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line="276" w:lineRule="auto"/>
    </w:pPr>
  </w:style>
  <w:style w:type="paragraph" w:styleId="Ttulo1">
    <w:name w:val="heading 1"/>
    <w:basedOn w:val="Normal"/>
    <w:qFormat/>
    <w:pPr>
      <w:keepNext/>
      <w:keepLines/>
      <w:spacing w:before="400" w:after="120"/>
      <w:outlineLvl w:val="0"/>
    </w:pPr>
    <w:rPr>
      <w:sz w:val="40"/>
      <w:szCs w:val="40"/>
    </w:rPr>
  </w:style>
  <w:style w:type="paragraph" w:styleId="Ttulo2">
    <w:name w:val="heading 2"/>
    <w:basedOn w:val="Normal"/>
    <w:qFormat/>
    <w:pPr>
      <w:keepNext/>
      <w:keepLines/>
      <w:spacing w:before="360" w:after="120"/>
      <w:outlineLvl w:val="1"/>
    </w:pPr>
    <w:rPr>
      <w:sz w:val="32"/>
      <w:szCs w:val="32"/>
    </w:rPr>
  </w:style>
  <w:style w:type="paragraph" w:styleId="Ttulo3">
    <w:name w:val="heading 3"/>
    <w:basedOn w:val="Normal"/>
    <w:qFormat/>
    <w:pPr>
      <w:keepNext/>
      <w:keepLines/>
      <w:spacing w:before="320" w:after="80"/>
      <w:outlineLvl w:val="2"/>
    </w:pPr>
    <w:rPr>
      <w:color w:val="434343"/>
      <w:sz w:val="28"/>
      <w:szCs w:val="28"/>
    </w:rPr>
  </w:style>
  <w:style w:type="paragraph" w:styleId="Ttulo4">
    <w:name w:val="heading 4"/>
    <w:basedOn w:val="Normal"/>
    <w:qFormat/>
    <w:pPr>
      <w:keepNext/>
      <w:keepLines/>
      <w:spacing w:before="280" w:after="80"/>
      <w:outlineLvl w:val="3"/>
    </w:pPr>
    <w:rPr>
      <w:color w:val="666666"/>
      <w:sz w:val="24"/>
      <w:szCs w:val="24"/>
    </w:rPr>
  </w:style>
  <w:style w:type="paragraph" w:styleId="Ttulo5">
    <w:name w:val="heading 5"/>
    <w:basedOn w:val="Normal"/>
    <w:qFormat/>
    <w:pPr>
      <w:keepNext/>
      <w:keepLines/>
      <w:spacing w:before="240" w:after="80"/>
      <w:outlineLvl w:val="4"/>
    </w:pPr>
    <w:rPr>
      <w:color w:val="666666"/>
    </w:rPr>
  </w:style>
  <w:style w:type="paragraph" w:styleId="Ttulo6">
    <w:name w:val="heading 6"/>
    <w:basedOn w:val="Normal"/>
    <w:qFormat/>
    <w:pPr>
      <w:keepNext/>
      <w:keepLines/>
      <w:spacing w:before="240" w:after="80"/>
      <w:outlineLvl w:val="5"/>
    </w:pPr>
    <w:rPr>
      <w:i/>
      <w:color w:val="666666"/>
    </w:rPr>
  </w:style>
  <w:style w:type="paragraph" w:styleId="Ttulo7">
    <w:name w:val="heading 7"/>
    <w:basedOn w:val="Normal"/>
    <w:uiPriority w:val="9"/>
    <w:unhideWhenUsed/>
    <w:qFormat/>
    <w:pPr>
      <w:keepNext/>
      <w:keepLines/>
      <w:spacing w:before="320" w:after="200"/>
      <w:outlineLvl w:val="6"/>
    </w:pPr>
    <w:rPr>
      <w:b/>
      <w:bCs/>
      <w:i/>
      <w:iCs/>
    </w:rPr>
  </w:style>
  <w:style w:type="paragraph" w:styleId="Ttulo8">
    <w:name w:val="heading 8"/>
    <w:basedOn w:val="Normal"/>
    <w:uiPriority w:val="9"/>
    <w:unhideWhenUsed/>
    <w:qFormat/>
    <w:pPr>
      <w:keepNext/>
      <w:keepLines/>
      <w:spacing w:before="320" w:after="200"/>
      <w:outlineLvl w:val="7"/>
    </w:pPr>
    <w:rPr>
      <w:i/>
      <w:iCs/>
    </w:rPr>
  </w:style>
  <w:style w:type="paragraph" w:styleId="Ttulo9">
    <w:name w:val="heading 9"/>
    <w:basedOn w:val="Normal"/>
    <w:uiPriority w:val="9"/>
    <w:unhideWhenUsed/>
    <w:qFormat/>
    <w:pPr>
      <w:keepNext/>
      <w:keepLines/>
      <w:spacing w:before="320" w:after="200"/>
      <w:outlineLvl w:val="8"/>
    </w:pPr>
    <w:rPr>
      <w:i/>
      <w:i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character" w:styleId="Hipervnculo">
    <w:name w:val="Hyperlink"/>
    <w:uiPriority w:val="99"/>
    <w:unhideWhenUsed/>
    <w:rPr>
      <w:color w:val="0000FF" w:themeColor="hyperlink"/>
      <w:u w:val="single"/>
    </w:rPr>
  </w:style>
  <w:style w:type="character" w:customStyle="1" w:styleId="FootnoteTextChar">
    <w:name w:val="Footnote Text Char"/>
    <w:uiPriority w:val="99"/>
    <w:qFormat/>
    <w:rPr>
      <w:sz w:val="18"/>
    </w:rPr>
  </w:style>
  <w:style w:type="character" w:customStyle="1" w:styleId="FootnoteCharacters">
    <w:name w:val="Footnote Characters"/>
    <w:basedOn w:val="Fuentedeprrafopredeter"/>
    <w:uiPriority w:val="99"/>
    <w:semiHidden/>
    <w:unhideWhenUsed/>
    <w:qFormat/>
    <w:rsid w:val="003C6426"/>
    <w:rPr>
      <w:vertAlign w:val="superscript"/>
    </w:rPr>
  </w:style>
  <w:style w:type="character" w:customStyle="1" w:styleId="FootnoteAnchor">
    <w:name w:val="Footnote Anchor"/>
    <w:rPr>
      <w:vertAlign w:val="superscript"/>
    </w:rPr>
  </w:style>
  <w:style w:type="character" w:customStyle="1" w:styleId="EndnoteTextChar">
    <w:name w:val="Endnote Text Char"/>
    <w:uiPriority w:val="99"/>
    <w:qFormat/>
    <w:rPr>
      <w:sz w:val="20"/>
    </w:rPr>
  </w:style>
  <w:style w:type="character" w:customStyle="1" w:styleId="EndnoteCharacters">
    <w:name w:val="Endnote Characters"/>
    <w:uiPriority w:val="99"/>
    <w:semiHidden/>
    <w:unhideWhenUsed/>
    <w:qFormat/>
    <w:rPr>
      <w:vertAlign w:val="superscript"/>
    </w:rPr>
  </w:style>
  <w:style w:type="character" w:customStyle="1" w:styleId="EndnoteAnchor">
    <w:name w:val="Endnote Anchor"/>
    <w:rPr>
      <w:vertAlign w:val="superscript"/>
    </w:rPr>
  </w:style>
  <w:style w:type="character" w:customStyle="1" w:styleId="LineNumbering">
    <w:name w:val="Line Numbering"/>
  </w:style>
  <w:style w:type="character" w:customStyle="1" w:styleId="Bullets">
    <w:name w:val="Bullets"/>
    <w:qFormat/>
    <w:rPr>
      <w:rFonts w:ascii="OpenSymbol" w:eastAsia="OpenSymbol" w:hAnsi="OpenSymbol" w:cs="OpenSymbol"/>
    </w:rPr>
  </w:style>
  <w:style w:type="character" w:customStyle="1" w:styleId="NumberingSymbols">
    <w:name w:val="Numbering Symbols"/>
    <w:qFormat/>
  </w:style>
  <w:style w:type="character" w:styleId="Mencinsinresolver">
    <w:name w:val="Unresolved Mention"/>
    <w:basedOn w:val="Fuentedeprrafopredeter"/>
    <w:uiPriority w:val="99"/>
    <w:semiHidden/>
    <w:unhideWhenUsed/>
    <w:qFormat/>
    <w:rsid w:val="003C6426"/>
    <w:rPr>
      <w:color w:val="605E5C"/>
      <w:shd w:val="clear" w:color="auto" w:fill="E1DFDD"/>
    </w:rPr>
  </w:style>
  <w:style w:type="paragraph" w:customStyle="1" w:styleId="Heading">
    <w:name w:val="Heading"/>
    <w:basedOn w:val="Normal"/>
    <w:next w:val="Textoindependiente"/>
    <w:qFormat/>
    <w:pPr>
      <w:keepNext/>
      <w:spacing w:before="240" w:after="120"/>
    </w:pPr>
    <w:rPr>
      <w:rFonts w:ascii="Liberation Sans" w:eastAsia="Noto Sans CJK SC" w:hAnsi="Liberation Sans" w:cs="Lohit Devanagari"/>
      <w:sz w:val="28"/>
      <w:szCs w:val="28"/>
    </w:rPr>
  </w:style>
  <w:style w:type="paragraph" w:styleId="Textoindependiente">
    <w:name w:val="Body Text"/>
    <w:basedOn w:val="Normal"/>
    <w:pPr>
      <w:spacing w:after="140"/>
    </w:pPr>
  </w:style>
  <w:style w:type="paragraph" w:styleId="Lista">
    <w:name w:val="List"/>
    <w:basedOn w:val="Textoindependiente"/>
    <w:rPr>
      <w:rFonts w:cs="Lohit Devanagari"/>
    </w:rPr>
  </w:style>
  <w:style w:type="paragraph" w:styleId="Descripcin">
    <w:name w:val="caption"/>
    <w:basedOn w:val="Normal"/>
    <w:uiPriority w:val="35"/>
    <w:semiHidden/>
    <w:unhideWhenUsed/>
    <w:qFormat/>
    <w:rPr>
      <w:b/>
      <w:bCs/>
      <w:color w:val="4F81BD" w:themeColor="accent1"/>
      <w:sz w:val="18"/>
      <w:szCs w:val="18"/>
    </w:rPr>
  </w:style>
  <w:style w:type="paragraph" w:customStyle="1" w:styleId="Index">
    <w:name w:val="Index"/>
    <w:basedOn w:val="Normal"/>
    <w:qFormat/>
    <w:pPr>
      <w:suppressLineNumbers/>
    </w:pPr>
    <w:rPr>
      <w:rFonts w:cs="Lohit Devanagari"/>
    </w:rPr>
  </w:style>
  <w:style w:type="paragraph" w:styleId="Prrafodelista">
    <w:name w:val="List Paragraph"/>
    <w:basedOn w:val="Normal"/>
    <w:uiPriority w:val="34"/>
    <w:qFormat/>
    <w:pPr>
      <w:ind w:left="720"/>
      <w:contextualSpacing/>
    </w:pPr>
  </w:style>
  <w:style w:type="paragraph" w:styleId="Sinespaciado">
    <w:name w:val="No Spacing"/>
    <w:uiPriority w:val="1"/>
    <w:qFormat/>
  </w:style>
  <w:style w:type="paragraph" w:styleId="Cita">
    <w:name w:val="Quote"/>
    <w:basedOn w:val="Normal"/>
    <w:uiPriority w:val="29"/>
    <w:qFormat/>
    <w:pPr>
      <w:ind w:left="720" w:right="720"/>
    </w:pPr>
    <w:rPr>
      <w:i/>
    </w:rPr>
  </w:style>
  <w:style w:type="paragraph" w:styleId="Citadestacada">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customStyle="1" w:styleId="HeaderandFooter">
    <w:name w:val="Header and Footer"/>
    <w:basedOn w:val="Normal"/>
    <w:qFormat/>
  </w:style>
  <w:style w:type="paragraph" w:styleId="Encabezado">
    <w:name w:val="header"/>
    <w:basedOn w:val="Normal"/>
    <w:uiPriority w:val="99"/>
    <w:unhideWhenUsed/>
    <w:pPr>
      <w:tabs>
        <w:tab w:val="center" w:pos="7143"/>
        <w:tab w:val="right" w:pos="14287"/>
      </w:tabs>
      <w:spacing w:line="240" w:lineRule="auto"/>
    </w:pPr>
  </w:style>
  <w:style w:type="paragraph" w:styleId="Piedepgina">
    <w:name w:val="footer"/>
    <w:basedOn w:val="Normal"/>
    <w:uiPriority w:val="99"/>
    <w:unhideWhenUsed/>
    <w:pPr>
      <w:tabs>
        <w:tab w:val="center" w:pos="7143"/>
        <w:tab w:val="right" w:pos="14287"/>
      </w:tabs>
      <w:spacing w:line="240" w:lineRule="auto"/>
    </w:pPr>
  </w:style>
  <w:style w:type="paragraph" w:styleId="Textonotapie">
    <w:name w:val="footnote text"/>
    <w:basedOn w:val="Normal"/>
    <w:uiPriority w:val="99"/>
    <w:semiHidden/>
    <w:unhideWhenUsed/>
    <w:pPr>
      <w:spacing w:after="40" w:line="240" w:lineRule="auto"/>
    </w:pPr>
    <w:rPr>
      <w:sz w:val="18"/>
    </w:rPr>
  </w:style>
  <w:style w:type="paragraph" w:styleId="Textonotaalfinal">
    <w:name w:val="endnote text"/>
    <w:basedOn w:val="Normal"/>
    <w:uiPriority w:val="99"/>
    <w:semiHidden/>
    <w:unhideWhenUsed/>
    <w:pPr>
      <w:spacing w:line="240" w:lineRule="auto"/>
    </w:pPr>
    <w:rPr>
      <w:sz w:val="20"/>
    </w:rPr>
  </w:style>
  <w:style w:type="paragraph" w:styleId="TDC1">
    <w:name w:val="toc 1"/>
    <w:basedOn w:val="Normal"/>
    <w:uiPriority w:val="39"/>
    <w:unhideWhenUsed/>
    <w:pPr>
      <w:spacing w:after="57"/>
    </w:pPr>
  </w:style>
  <w:style w:type="paragraph" w:styleId="TDC2">
    <w:name w:val="toc 2"/>
    <w:basedOn w:val="Normal"/>
    <w:uiPriority w:val="39"/>
    <w:unhideWhenUsed/>
    <w:pPr>
      <w:spacing w:after="57"/>
      <w:ind w:left="283"/>
    </w:pPr>
  </w:style>
  <w:style w:type="paragraph" w:styleId="TDC3">
    <w:name w:val="toc 3"/>
    <w:basedOn w:val="Normal"/>
    <w:uiPriority w:val="39"/>
    <w:unhideWhenUsed/>
    <w:pPr>
      <w:spacing w:after="57"/>
      <w:ind w:left="567"/>
    </w:pPr>
  </w:style>
  <w:style w:type="paragraph" w:styleId="TDC4">
    <w:name w:val="toc 4"/>
    <w:basedOn w:val="Normal"/>
    <w:uiPriority w:val="39"/>
    <w:unhideWhenUsed/>
    <w:pPr>
      <w:spacing w:after="57"/>
      <w:ind w:left="850"/>
    </w:pPr>
  </w:style>
  <w:style w:type="paragraph" w:styleId="TDC5">
    <w:name w:val="toc 5"/>
    <w:basedOn w:val="Normal"/>
    <w:uiPriority w:val="39"/>
    <w:unhideWhenUsed/>
    <w:pPr>
      <w:spacing w:after="57"/>
      <w:ind w:left="1134"/>
    </w:pPr>
  </w:style>
  <w:style w:type="paragraph" w:styleId="TDC6">
    <w:name w:val="toc 6"/>
    <w:basedOn w:val="Normal"/>
    <w:uiPriority w:val="39"/>
    <w:unhideWhenUsed/>
    <w:pPr>
      <w:spacing w:after="57"/>
      <w:ind w:left="1417"/>
    </w:pPr>
  </w:style>
  <w:style w:type="paragraph" w:styleId="TDC7">
    <w:name w:val="toc 7"/>
    <w:basedOn w:val="Normal"/>
    <w:uiPriority w:val="39"/>
    <w:unhideWhenUsed/>
    <w:pPr>
      <w:spacing w:after="57"/>
      <w:ind w:left="1701"/>
    </w:pPr>
  </w:style>
  <w:style w:type="paragraph" w:styleId="TDC8">
    <w:name w:val="toc 8"/>
    <w:basedOn w:val="Normal"/>
    <w:uiPriority w:val="39"/>
    <w:unhideWhenUsed/>
    <w:pPr>
      <w:spacing w:after="57"/>
      <w:ind w:left="1984"/>
    </w:pPr>
  </w:style>
  <w:style w:type="paragraph" w:styleId="TDC9">
    <w:name w:val="toc 9"/>
    <w:basedOn w:val="Normal"/>
    <w:uiPriority w:val="39"/>
    <w:unhideWhenUsed/>
    <w:pPr>
      <w:spacing w:after="57"/>
      <w:ind w:left="2268"/>
    </w:pPr>
  </w:style>
  <w:style w:type="paragraph" w:styleId="Ttulodendice">
    <w:name w:val="index heading"/>
    <w:basedOn w:val="Heading"/>
  </w:style>
  <w:style w:type="paragraph" w:styleId="TtuloTDC">
    <w:name w:val="TOC Heading"/>
    <w:uiPriority w:val="39"/>
    <w:unhideWhenUsed/>
    <w:pPr>
      <w:spacing w:line="276" w:lineRule="auto"/>
    </w:pPr>
  </w:style>
  <w:style w:type="paragraph" w:styleId="Tabladeilustraciones">
    <w:name w:val="table of figures"/>
    <w:basedOn w:val="Normal"/>
    <w:uiPriority w:val="99"/>
    <w:unhideWhenUsed/>
    <w:qFormat/>
  </w:style>
  <w:style w:type="paragraph" w:styleId="Ttulo">
    <w:name w:val="Title"/>
    <w:basedOn w:val="Normal"/>
    <w:qFormat/>
    <w:pPr>
      <w:keepNext/>
      <w:keepLines/>
      <w:spacing w:after="60"/>
    </w:pPr>
    <w:rPr>
      <w:sz w:val="52"/>
      <w:szCs w:val="52"/>
    </w:rPr>
  </w:style>
  <w:style w:type="paragraph" w:styleId="Subttulo">
    <w:name w:val="Subtitle"/>
    <w:basedOn w:val="Normal"/>
    <w:qFormat/>
    <w:pPr>
      <w:keepNext/>
      <w:keepLines/>
      <w:spacing w:after="320"/>
    </w:pPr>
    <w:rPr>
      <w:color w:val="666666"/>
      <w:sz w:val="30"/>
      <w:szCs w:val="30"/>
    </w:rPr>
  </w:style>
  <w:style w:type="paragraph" w:customStyle="1" w:styleId="LO-normal">
    <w:name w:val="LO-normal"/>
    <w:qFormat/>
    <w:rPr>
      <w:rFonts w:ascii="Liberation Serif" w:eastAsia="Liberation Serif" w:hAnsi="Liberation Serif" w:cs="Liberation Serif"/>
      <w:sz w:val="24"/>
      <w:szCs w:val="24"/>
      <w:lang w:val="es-MX"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comitescuencariosonora.wordpress.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derlatam.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eenpeace.org/mexico/blog/9205/glifosato-herbicida-agente-cancerigen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inmaiznohaypais.org/" TargetMode="External"/><Relationship Id="rId4" Type="http://schemas.openxmlformats.org/officeDocument/2006/relationships/settings" Target="settings.xml"/><Relationship Id="rId9" Type="http://schemas.openxmlformats.org/officeDocument/2006/relationships/hyperlink" Target="https://www.ohchr.org/es/hr-bodies/hrc/wg-trans-corp/igwg-on-tnc"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poderlatam.org/wp-content/uploads/2022/04/CapturaDelEstadoEnAmericaLatina_resumen.pdf" TargetMode="External"/><Relationship Id="rId7" Type="http://schemas.openxmlformats.org/officeDocument/2006/relationships/hyperlink" Target="https://poderlatam.org/project/corredor-del-istmo/" TargetMode="External"/><Relationship Id="rId2" Type="http://schemas.openxmlformats.org/officeDocument/2006/relationships/hyperlink" Target="https://www.escr-net.org/es/corporateaccountability/corporatecapture/caracteristicas-captura-corporativa" TargetMode="External"/><Relationship Id="rId1" Type="http://schemas.openxmlformats.org/officeDocument/2006/relationships/hyperlink" Target="https://poderlatam.org/wp-content/uploads/2023/11/EPUmx_EmpresasyDDHH_28Nov23.pdf" TargetMode="External"/><Relationship Id="rId6" Type="http://schemas.openxmlformats.org/officeDocument/2006/relationships/hyperlink" Target="https://trenmaya.poderlatam.org/" TargetMode="External"/><Relationship Id="rId5" Type="http://schemas.openxmlformats.org/officeDocument/2006/relationships/hyperlink" Target="https://www.gob.mx/presidencia/prensa/presidente-garantiza-apoyo-total-a-inversiones-en-corredor-interoceanico-del-istmo-de-tehuantepec?idiom=es-MX" TargetMode="External"/><Relationship Id="rId4" Type="http://schemas.openxmlformats.org/officeDocument/2006/relationships/hyperlink" Target="https://documents-dds-ny.un.org/doc/UNDOC/GEN/N22/432/86/PDF/N2243286.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DFE48-6180-8847-A146-94FC1E9E3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2676</Words>
  <Characters>14719</Characters>
  <Application>Microsoft Office Word</Application>
  <DocSecurity>0</DocSecurity>
  <Lines>122</Lines>
  <Paragraphs>34</Paragraphs>
  <ScaleCrop>false</ScaleCrop>
  <Company/>
  <LinksUpToDate>false</LinksUpToDate>
  <CharactersWithSpaces>17361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Zúe Valenzuela Contreras</dc:creator>
  <dc:description/>
  <cp:lastModifiedBy>Zúe Valenzuela Contreras</cp:lastModifiedBy>
  <cp:revision>2</cp:revision>
  <dcterms:created xsi:type="dcterms:W3CDTF">2024-01-09T14:30:00Z</dcterms:created>
  <dcterms:modified xsi:type="dcterms:W3CDTF">2024-01-09T14:30:00Z</dcterms:modified>
  <dc:language>es-MX</dc:language>
</cp:coreProperties>
</file>