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4457"/>
        <w:gridCol w:w="4465"/>
      </w:tblGrid>
      <w:tr w:rsidR="00FC521F" w:rsidRPr="004E19E1" w14:paraId="25EACC59" w14:textId="77777777" w:rsidTr="004E19E1">
        <w:tc>
          <w:tcPr>
            <w:tcW w:w="4569" w:type="dxa"/>
            <w:shd w:val="clear" w:color="auto" w:fill="auto"/>
          </w:tcPr>
          <w:p w14:paraId="7215AB61" w14:textId="77777777" w:rsidR="00FC521F" w:rsidRPr="001B799B" w:rsidRDefault="001B799B" w:rsidP="00CB0267">
            <w:pPr>
              <w:pStyle w:val="ElectedOfficialName"/>
              <w:rPr>
                <w:lang w:val="en-BE"/>
              </w:rPr>
            </w:pPr>
            <w:r>
              <w:rPr>
                <w:lang w:val="en-BE"/>
              </w:rPr>
              <w:t>Akiko Gono</w:t>
            </w:r>
          </w:p>
          <w:p w14:paraId="445C933C" w14:textId="77777777" w:rsidR="00FC521F" w:rsidRPr="00235B0C" w:rsidRDefault="00FC521F" w:rsidP="00CB0267">
            <w:pPr>
              <w:pStyle w:val="ElectedOfficialTitle"/>
              <w:rPr>
                <w:lang w:val="it-IT"/>
              </w:rPr>
            </w:pPr>
            <w:r w:rsidRPr="00235B0C">
              <w:rPr>
                <w:lang w:val="it-IT"/>
              </w:rPr>
              <w:t>President</w:t>
            </w:r>
          </w:p>
          <w:p w14:paraId="2E894D53" w14:textId="77777777" w:rsidR="00FC521F" w:rsidRPr="001B799B" w:rsidRDefault="00FC521F" w:rsidP="00CB0267">
            <w:pPr>
              <w:pStyle w:val="ElectedOfficialTitle"/>
              <w:rPr>
                <w:lang w:val="en-BE"/>
              </w:rPr>
            </w:pPr>
            <w:proofErr w:type="spellStart"/>
            <w:r w:rsidRPr="00235B0C">
              <w:rPr>
                <w:lang w:val="it-IT"/>
              </w:rPr>
              <w:t>Président</w:t>
            </w:r>
            <w:proofErr w:type="spellEnd"/>
            <w:r w:rsidR="001B799B">
              <w:rPr>
                <w:lang w:val="en-BE"/>
              </w:rPr>
              <w:t>e</w:t>
            </w:r>
          </w:p>
          <w:p w14:paraId="64682B89" w14:textId="77777777" w:rsidR="00FC521F" w:rsidRPr="001B799B" w:rsidRDefault="00FC521F" w:rsidP="00CB0267">
            <w:pPr>
              <w:pStyle w:val="ElectedOfficialTitle"/>
              <w:rPr>
                <w:lang w:val="en-BE"/>
              </w:rPr>
            </w:pPr>
            <w:proofErr w:type="spellStart"/>
            <w:r w:rsidRPr="00235B0C">
              <w:rPr>
                <w:lang w:val="it-IT"/>
              </w:rPr>
              <w:t>Präsident</w:t>
            </w:r>
            <w:proofErr w:type="spellEnd"/>
            <w:r w:rsidR="001B799B">
              <w:rPr>
                <w:lang w:val="en-BE"/>
              </w:rPr>
              <w:t>in</w:t>
            </w:r>
          </w:p>
          <w:p w14:paraId="0B5B246E" w14:textId="77777777" w:rsidR="00FC521F" w:rsidRPr="001B799B" w:rsidRDefault="00FC521F" w:rsidP="00CB0267">
            <w:pPr>
              <w:pStyle w:val="ElectedOfficialTitle"/>
              <w:rPr>
                <w:lang w:val="en-BE"/>
              </w:rPr>
            </w:pPr>
            <w:r w:rsidRPr="00235B0C">
              <w:rPr>
                <w:lang w:val="it-IT"/>
              </w:rPr>
              <w:t>President</w:t>
            </w:r>
            <w:r w:rsidR="001B799B">
              <w:rPr>
                <w:lang w:val="en-BE"/>
              </w:rPr>
              <w:t>a</w:t>
            </w:r>
          </w:p>
          <w:p w14:paraId="42913487" w14:textId="77777777" w:rsidR="007B5229" w:rsidRPr="00235B0C" w:rsidRDefault="007B5229" w:rsidP="007B5229">
            <w:pPr>
              <w:pStyle w:val="BasicParagraph"/>
              <w:tabs>
                <w:tab w:val="left" w:pos="4536"/>
              </w:tabs>
              <w:spacing w:line="220" w:lineRule="atLeast"/>
              <w:rPr>
                <w:rFonts w:ascii="Proxima Nova" w:hAnsi="Proxima Nova" w:cs="ProximaNova-Regular"/>
                <w:sz w:val="16"/>
                <w:szCs w:val="16"/>
                <w:lang w:val="it-IT"/>
              </w:rPr>
            </w:pPr>
          </w:p>
          <w:p w14:paraId="5798EB18" w14:textId="77777777" w:rsidR="007B5229" w:rsidRPr="00235B0C" w:rsidRDefault="007B5229" w:rsidP="007B5229">
            <w:pPr>
              <w:pStyle w:val="BasicParagraph"/>
              <w:tabs>
                <w:tab w:val="left" w:pos="4536"/>
              </w:tabs>
              <w:spacing w:line="220" w:lineRule="atLeast"/>
              <w:rPr>
                <w:rFonts w:ascii="Proxima Nova" w:hAnsi="Proxima Nova" w:cs="ProximaNova-Bold"/>
                <w:bCs/>
                <w:color w:val="auto"/>
                <w:sz w:val="16"/>
                <w:szCs w:val="16"/>
                <w:lang w:val="it-IT"/>
              </w:rPr>
            </w:pPr>
          </w:p>
          <w:p w14:paraId="207FDF92" w14:textId="77777777" w:rsidR="007B5229" w:rsidRPr="00235B0C" w:rsidRDefault="007B5229" w:rsidP="007B5229">
            <w:pPr>
              <w:pStyle w:val="ElectedOfficialName"/>
              <w:rPr>
                <w:lang w:val="fr-BE"/>
              </w:rPr>
            </w:pPr>
            <w:r w:rsidRPr="00235B0C">
              <w:rPr>
                <w:lang w:val="fr-BE"/>
              </w:rPr>
              <w:t>Luc Triangle</w:t>
            </w:r>
          </w:p>
          <w:p w14:paraId="64B0B46F" w14:textId="77777777" w:rsidR="007B5229" w:rsidRPr="00235B0C" w:rsidRDefault="007B5229" w:rsidP="007B5229">
            <w:pPr>
              <w:pStyle w:val="ElectedOfficialTitle"/>
              <w:rPr>
                <w:lang w:val="fr-BE"/>
              </w:rPr>
            </w:pPr>
            <w:r w:rsidRPr="00235B0C">
              <w:rPr>
                <w:lang w:val="fr-BE"/>
              </w:rPr>
              <w:t xml:space="preserve">General </w:t>
            </w:r>
            <w:proofErr w:type="spellStart"/>
            <w:r w:rsidRPr="00235B0C">
              <w:rPr>
                <w:lang w:val="fr-BE"/>
              </w:rPr>
              <w:t>Secretary</w:t>
            </w:r>
            <w:proofErr w:type="spellEnd"/>
          </w:p>
          <w:p w14:paraId="6A0702B4" w14:textId="77777777" w:rsidR="00F55FD4" w:rsidRPr="00235B0C" w:rsidRDefault="00F55FD4" w:rsidP="007B5229">
            <w:pPr>
              <w:pStyle w:val="ElectedOfficialTitle"/>
              <w:rPr>
                <w:lang w:val="fr-BE"/>
              </w:rPr>
            </w:pPr>
            <w:r w:rsidRPr="00235B0C">
              <w:rPr>
                <w:lang w:val="fr-BE"/>
              </w:rPr>
              <w:t>Secrétaire général</w:t>
            </w:r>
          </w:p>
          <w:p w14:paraId="29FFA150" w14:textId="77777777" w:rsidR="007B5229" w:rsidRDefault="007B5229" w:rsidP="007B5229">
            <w:pPr>
              <w:pStyle w:val="ElectedOfficialTitle"/>
              <w:rPr>
                <w:lang w:val="es-ES_tradnl"/>
              </w:rPr>
            </w:pPr>
            <w:proofErr w:type="spellStart"/>
            <w:r>
              <w:rPr>
                <w:lang w:val="es-ES_tradnl"/>
              </w:rPr>
              <w:t>Generalsekretär</w:t>
            </w:r>
            <w:proofErr w:type="spellEnd"/>
          </w:p>
          <w:p w14:paraId="4EDC3F72" w14:textId="77777777" w:rsidR="007B5229" w:rsidRDefault="007B5229" w:rsidP="007B5229">
            <w:pPr>
              <w:pStyle w:val="ElectedOfficialTitle"/>
              <w:rPr>
                <w:lang w:val="es-ES_tradnl"/>
              </w:rPr>
            </w:pPr>
            <w:r>
              <w:rPr>
                <w:lang w:val="es-ES_tradnl"/>
              </w:rPr>
              <w:t>Secretario General</w:t>
            </w:r>
          </w:p>
          <w:p w14:paraId="727AD9E5" w14:textId="77777777" w:rsidR="004A4E20" w:rsidRPr="004E19E1" w:rsidRDefault="004A4E20" w:rsidP="00E60D98">
            <w:pPr>
              <w:pStyle w:val="ElectedOfficialTitle"/>
              <w:rPr>
                <w:rFonts w:ascii="ProximaNova-Bold" w:hAnsi="ProximaNova-Bold" w:cs="ProximaNova-Bold"/>
                <w:b/>
                <w:bCs/>
                <w:color w:val="A50235"/>
                <w:sz w:val="18"/>
                <w:szCs w:val="18"/>
              </w:rPr>
            </w:pPr>
          </w:p>
        </w:tc>
        <w:tc>
          <w:tcPr>
            <w:tcW w:w="4569" w:type="dxa"/>
            <w:shd w:val="clear" w:color="auto" w:fill="auto"/>
          </w:tcPr>
          <w:p w14:paraId="6DED961D" w14:textId="77777777" w:rsidR="0031551F" w:rsidRPr="00CE67BE" w:rsidRDefault="0031551F" w:rsidP="0031551F">
            <w:pPr>
              <w:pStyle w:val="Letter-Address"/>
              <w:rPr>
                <w:rFonts w:cs="Times New Roman"/>
                <w:color w:val="000000" w:themeColor="text1"/>
                <w:sz w:val="22"/>
                <w:szCs w:val="22"/>
              </w:rPr>
            </w:pPr>
            <w:r w:rsidRPr="00CE67BE">
              <w:rPr>
                <w:rFonts w:cs="Times New Roman"/>
                <w:color w:val="000000" w:themeColor="text1"/>
                <w:sz w:val="22"/>
                <w:szCs w:val="22"/>
              </w:rPr>
              <w:t>CESCR</w:t>
            </w:r>
          </w:p>
          <w:p w14:paraId="4EA4DB28" w14:textId="77777777" w:rsidR="0031551F" w:rsidRPr="00CE67BE" w:rsidRDefault="0031551F" w:rsidP="0031551F">
            <w:pPr>
              <w:pStyle w:val="Letter-Address"/>
              <w:rPr>
                <w:rFonts w:cs="Times New Roman"/>
                <w:color w:val="000000" w:themeColor="text1"/>
                <w:sz w:val="22"/>
                <w:szCs w:val="22"/>
              </w:rPr>
            </w:pPr>
          </w:p>
          <w:p w14:paraId="25787ADB" w14:textId="77777777" w:rsidR="0031551F" w:rsidRPr="00CE67BE" w:rsidRDefault="0031551F" w:rsidP="0031551F">
            <w:pPr>
              <w:pStyle w:val="Letter-Address"/>
              <w:rPr>
                <w:rFonts w:cs="Times New Roman"/>
                <w:color w:val="000000" w:themeColor="text1"/>
                <w:sz w:val="22"/>
                <w:szCs w:val="22"/>
              </w:rPr>
            </w:pPr>
            <w:r w:rsidRPr="00CE67BE">
              <w:rPr>
                <w:rFonts w:cs="Times New Roman"/>
                <w:color w:val="000000" w:themeColor="text1"/>
                <w:sz w:val="22"/>
                <w:szCs w:val="22"/>
              </w:rPr>
              <w:t>Human Rights Treaties Branch</w:t>
            </w:r>
          </w:p>
          <w:p w14:paraId="1A0DD790" w14:textId="77777777" w:rsidR="0031551F" w:rsidRPr="00CE67BE" w:rsidRDefault="0031551F" w:rsidP="0031551F">
            <w:pPr>
              <w:spacing w:before="100" w:beforeAutospacing="1" w:after="100" w:afterAutospacing="1"/>
              <w:outlineLvl w:val="0"/>
              <w:rPr>
                <w:rFonts w:ascii="Proxima Nova" w:hAnsi="Proxima Nova"/>
                <w:b/>
                <w:bCs/>
                <w:color w:val="A50235"/>
              </w:rPr>
            </w:pPr>
            <w:r w:rsidRPr="00CE67BE">
              <w:rPr>
                <w:rFonts w:ascii="Proxima Nova" w:hAnsi="Proxima Nova"/>
                <w:color w:val="000000" w:themeColor="text1"/>
                <w:sz w:val="22"/>
                <w:szCs w:val="22"/>
              </w:rPr>
              <w:t>Office of the UN High Commissioner for Human Rights</w:t>
            </w:r>
          </w:p>
          <w:p w14:paraId="790ACFC1" w14:textId="77777777" w:rsidR="00CB0267" w:rsidRPr="0031551F" w:rsidRDefault="00CB0267" w:rsidP="004E19E1">
            <w:pPr>
              <w:pStyle w:val="BasicParagraph"/>
              <w:tabs>
                <w:tab w:val="left" w:pos="4536"/>
              </w:tabs>
              <w:spacing w:line="220" w:lineRule="atLeast"/>
              <w:rPr>
                <w:rFonts w:ascii="Proxima Nova" w:hAnsi="Proxima Nova" w:cs="ProximaNova-Bold"/>
                <w:b/>
                <w:bCs/>
                <w:sz w:val="18"/>
                <w:szCs w:val="18"/>
                <w:lang w:val="en-US"/>
              </w:rPr>
            </w:pPr>
          </w:p>
          <w:p w14:paraId="2ED113A1" w14:textId="77777777" w:rsidR="00FC521F" w:rsidRPr="004E19E1" w:rsidRDefault="00FC521F" w:rsidP="00CB0267">
            <w:pPr>
              <w:pStyle w:val="Letter-Address"/>
              <w:rPr>
                <w:rFonts w:ascii="ProximaNova-Bold" w:hAnsi="ProximaNova-Bold"/>
                <w:b w:val="0"/>
                <w:bCs w:val="0"/>
                <w:color w:val="A50235"/>
              </w:rPr>
            </w:pPr>
          </w:p>
        </w:tc>
      </w:tr>
    </w:tbl>
    <w:p w14:paraId="3BAE4966" w14:textId="77777777" w:rsidR="004E19E1" w:rsidRDefault="004E19E1" w:rsidP="003C0184">
      <w:pPr>
        <w:pStyle w:val="Letter-Closing"/>
      </w:pPr>
    </w:p>
    <w:p w14:paraId="2842AA71" w14:textId="2EAEE602" w:rsidR="004E19E1" w:rsidRPr="00856E24" w:rsidRDefault="004E19E1" w:rsidP="00DD0B16">
      <w:pPr>
        <w:pStyle w:val="Letter-Date"/>
        <w:tabs>
          <w:tab w:val="clear" w:pos="4536"/>
          <w:tab w:val="right" w:pos="8922"/>
        </w:tabs>
        <w:rPr>
          <w:b w:val="0"/>
          <w:noProof/>
          <w:sz w:val="22"/>
          <w:szCs w:val="22"/>
        </w:rPr>
      </w:pPr>
      <w:r w:rsidRPr="00856E24">
        <w:rPr>
          <w:b w:val="0"/>
          <w:noProof/>
          <w:sz w:val="22"/>
          <w:szCs w:val="22"/>
        </w:rPr>
        <w:t>CO</w:t>
      </w:r>
      <w:r w:rsidRPr="00856E24">
        <w:rPr>
          <w:b w:val="0"/>
          <w:noProof/>
          <w:sz w:val="22"/>
          <w:szCs w:val="22"/>
        </w:rPr>
        <w:tab/>
      </w:r>
      <w:r w:rsidR="0031551F">
        <w:rPr>
          <w:rFonts w:cs="Times New Roman"/>
          <w:b w:val="0"/>
          <w:sz w:val="22"/>
          <w:szCs w:val="22"/>
          <w:lang w:val="en-US"/>
        </w:rPr>
        <w:t>15 January 2024</w:t>
      </w:r>
    </w:p>
    <w:p w14:paraId="4C777C86" w14:textId="35E94A31" w:rsidR="0031551F" w:rsidRDefault="0031551F" w:rsidP="0031551F">
      <w:pPr>
        <w:rPr>
          <w:rFonts w:ascii="Proxima Nova" w:eastAsia="Times New Roman" w:hAnsi="Proxima Nova"/>
          <w:b/>
          <w:bCs/>
          <w:sz w:val="22"/>
          <w:szCs w:val="22"/>
          <w:lang w:val="en-BE" w:eastAsia="en-BE"/>
        </w:rPr>
      </w:pPr>
      <w:r w:rsidRPr="00535E51">
        <w:rPr>
          <w:rFonts w:ascii="Proxima Nova" w:hAnsi="Proxima Nova"/>
          <w:b/>
          <w:bCs/>
          <w:sz w:val="22"/>
          <w:szCs w:val="22"/>
        </w:rPr>
        <w:t xml:space="preserve">Written submission on the upcoming consideration of the </w:t>
      </w:r>
      <w:r>
        <w:rPr>
          <w:rFonts w:ascii="Proxima Nova" w:hAnsi="Proxima Nova"/>
          <w:b/>
          <w:bCs/>
          <w:sz w:val="22"/>
          <w:szCs w:val="22"/>
        </w:rPr>
        <w:t>2</w:t>
      </w:r>
      <w:r w:rsidRPr="0031551F">
        <w:rPr>
          <w:rFonts w:ascii="Proxima Nova" w:hAnsi="Proxima Nova"/>
          <w:b/>
          <w:bCs/>
          <w:sz w:val="22"/>
          <w:szCs w:val="22"/>
          <w:vertAlign w:val="superscript"/>
        </w:rPr>
        <w:t>nd</w:t>
      </w:r>
      <w:r>
        <w:rPr>
          <w:rFonts w:ascii="Proxima Nova" w:hAnsi="Proxima Nova"/>
          <w:b/>
          <w:bCs/>
          <w:sz w:val="22"/>
          <w:szCs w:val="22"/>
        </w:rPr>
        <w:t xml:space="preserve"> periodic</w:t>
      </w:r>
      <w:r w:rsidRPr="00535E51">
        <w:rPr>
          <w:rFonts w:ascii="Proxima Nova" w:hAnsi="Proxima Nova"/>
          <w:b/>
          <w:bCs/>
          <w:sz w:val="22"/>
          <w:szCs w:val="22"/>
        </w:rPr>
        <w:t xml:space="preserve"> report for </w:t>
      </w:r>
      <w:r>
        <w:rPr>
          <w:rFonts w:ascii="Proxima Nova" w:hAnsi="Proxima Nova"/>
          <w:b/>
          <w:bCs/>
          <w:sz w:val="22"/>
          <w:szCs w:val="22"/>
        </w:rPr>
        <w:t>Indonesia,</w:t>
      </w:r>
      <w:r w:rsidRPr="00535E51">
        <w:rPr>
          <w:rFonts w:ascii="Proxima Nova" w:hAnsi="Proxima Nova"/>
          <w:b/>
          <w:bCs/>
          <w:sz w:val="22"/>
          <w:szCs w:val="22"/>
        </w:rPr>
        <w:t xml:space="preserve"> at the CESCR’s 7</w:t>
      </w:r>
      <w:r>
        <w:rPr>
          <w:rFonts w:ascii="Proxima Nova" w:hAnsi="Proxima Nova"/>
          <w:b/>
          <w:bCs/>
          <w:sz w:val="22"/>
          <w:szCs w:val="22"/>
        </w:rPr>
        <w:t>5</w:t>
      </w:r>
      <w:r w:rsidRPr="00535E51">
        <w:rPr>
          <w:rFonts w:ascii="Proxima Nova" w:hAnsi="Proxima Nova"/>
          <w:b/>
          <w:bCs/>
          <w:sz w:val="22"/>
          <w:szCs w:val="22"/>
        </w:rPr>
        <w:t>th session (</w:t>
      </w:r>
      <w:r w:rsidRPr="00535E51">
        <w:rPr>
          <w:rFonts w:ascii="Proxima Nova" w:eastAsia="Times New Roman" w:hAnsi="Proxima Nova"/>
          <w:b/>
          <w:bCs/>
          <w:sz w:val="22"/>
          <w:szCs w:val="22"/>
          <w:lang w:val="en-BE" w:eastAsia="en-BE"/>
        </w:rPr>
        <w:t>1</w:t>
      </w:r>
      <w:r>
        <w:rPr>
          <w:rFonts w:ascii="Proxima Nova" w:eastAsia="Times New Roman" w:hAnsi="Proxima Nova"/>
          <w:b/>
          <w:bCs/>
          <w:sz w:val="22"/>
          <w:szCs w:val="22"/>
          <w:lang w:val="en-BE" w:eastAsia="en-BE"/>
        </w:rPr>
        <w:t xml:space="preserve">2 </w:t>
      </w:r>
      <w:r w:rsidRPr="00535E51">
        <w:rPr>
          <w:rFonts w:ascii="Proxima Nova" w:eastAsia="Times New Roman" w:hAnsi="Proxima Nova"/>
          <w:b/>
          <w:bCs/>
          <w:sz w:val="22"/>
          <w:szCs w:val="22"/>
          <w:lang w:val="en-BE" w:eastAsia="en-BE"/>
        </w:rPr>
        <w:t>Feb 202</w:t>
      </w:r>
      <w:r>
        <w:rPr>
          <w:rFonts w:ascii="Proxima Nova" w:eastAsia="Times New Roman" w:hAnsi="Proxima Nova"/>
          <w:b/>
          <w:bCs/>
          <w:sz w:val="22"/>
          <w:szCs w:val="22"/>
          <w:lang w:val="en-BE" w:eastAsia="en-BE"/>
        </w:rPr>
        <w:t>4</w:t>
      </w:r>
      <w:r w:rsidRPr="00535E51">
        <w:rPr>
          <w:rFonts w:ascii="Proxima Nova" w:eastAsia="Times New Roman" w:hAnsi="Proxima Nova"/>
          <w:b/>
          <w:bCs/>
          <w:sz w:val="22"/>
          <w:szCs w:val="22"/>
          <w:lang w:val="en-BE" w:eastAsia="en-BE"/>
        </w:rPr>
        <w:t xml:space="preserve"> - 0</w:t>
      </w:r>
      <w:r>
        <w:rPr>
          <w:rFonts w:ascii="Proxima Nova" w:eastAsia="Times New Roman" w:hAnsi="Proxima Nova"/>
          <w:b/>
          <w:bCs/>
          <w:sz w:val="22"/>
          <w:szCs w:val="22"/>
          <w:lang w:val="en-BE" w:eastAsia="en-BE"/>
        </w:rPr>
        <w:t>1</w:t>
      </w:r>
      <w:r w:rsidRPr="00535E51">
        <w:rPr>
          <w:rFonts w:ascii="Proxima Nova" w:eastAsia="Times New Roman" w:hAnsi="Proxima Nova"/>
          <w:b/>
          <w:bCs/>
          <w:sz w:val="22"/>
          <w:szCs w:val="22"/>
          <w:lang w:val="en-BE" w:eastAsia="en-BE"/>
        </w:rPr>
        <w:t xml:space="preserve"> Mar 202</w:t>
      </w:r>
      <w:r>
        <w:rPr>
          <w:rFonts w:ascii="Proxima Nova" w:eastAsia="Times New Roman" w:hAnsi="Proxima Nova"/>
          <w:b/>
          <w:bCs/>
          <w:sz w:val="22"/>
          <w:szCs w:val="22"/>
          <w:lang w:val="en-BE" w:eastAsia="en-BE"/>
        </w:rPr>
        <w:t>4</w:t>
      </w:r>
      <w:r w:rsidRPr="00535E51">
        <w:rPr>
          <w:rFonts w:ascii="Proxima Nova" w:eastAsia="Times New Roman" w:hAnsi="Proxima Nova"/>
          <w:b/>
          <w:bCs/>
          <w:sz w:val="22"/>
          <w:szCs w:val="22"/>
          <w:lang w:val="en-BE" w:eastAsia="en-BE"/>
        </w:rPr>
        <w:t xml:space="preserve">) </w:t>
      </w:r>
    </w:p>
    <w:p w14:paraId="1EF0ED8F" w14:textId="77777777" w:rsidR="0031551F" w:rsidRPr="00CE67BE" w:rsidRDefault="0031551F" w:rsidP="0031551F">
      <w:pPr>
        <w:pStyle w:val="Letter-Salutation"/>
        <w:spacing w:after="360"/>
        <w:rPr>
          <w:b/>
          <w:sz w:val="22"/>
          <w:szCs w:val="22"/>
          <w:lang w:val="en-US"/>
        </w:rPr>
      </w:pPr>
      <w:r w:rsidRPr="00CE67BE">
        <w:rPr>
          <w:b/>
          <w:sz w:val="22"/>
          <w:szCs w:val="22"/>
          <w:lang w:val="en-US"/>
        </w:rPr>
        <w:t>To the Office of the CESCR</w:t>
      </w:r>
    </w:p>
    <w:p w14:paraId="1BD6485D" w14:textId="11BB0C7A" w:rsidR="0031551F" w:rsidRPr="00C33157" w:rsidRDefault="0031551F" w:rsidP="0031551F">
      <w:pPr>
        <w:pStyle w:val="Letter-Date"/>
        <w:tabs>
          <w:tab w:val="clear" w:pos="4536"/>
          <w:tab w:val="right" w:pos="8922"/>
        </w:tabs>
        <w:jc w:val="both"/>
        <w:rPr>
          <w:b w:val="0"/>
          <w:sz w:val="22"/>
          <w:szCs w:val="22"/>
          <w:lang w:val="en-US"/>
        </w:rPr>
      </w:pPr>
      <w:r w:rsidRPr="00C33157">
        <w:rPr>
          <w:b w:val="0"/>
          <w:sz w:val="22"/>
          <w:szCs w:val="22"/>
          <w:lang w:val="en-US"/>
        </w:rPr>
        <w:t>The International Trade Union Confederation (ITUC) welcomes the opportunity to make a written contribution on the human rights situation in</w:t>
      </w:r>
      <w:r>
        <w:rPr>
          <w:b w:val="0"/>
          <w:sz w:val="22"/>
          <w:szCs w:val="22"/>
          <w:lang w:val="en-US"/>
        </w:rPr>
        <w:t xml:space="preserve"> </w:t>
      </w:r>
      <w:r w:rsidR="00DF5F23">
        <w:rPr>
          <w:b w:val="0"/>
          <w:sz w:val="22"/>
          <w:szCs w:val="22"/>
          <w:lang w:val="en-US"/>
        </w:rPr>
        <w:t>Indonesia</w:t>
      </w:r>
      <w:r>
        <w:rPr>
          <w:b w:val="0"/>
          <w:sz w:val="22"/>
          <w:szCs w:val="22"/>
          <w:lang w:val="en-US"/>
        </w:rPr>
        <w:t xml:space="preserve">, </w:t>
      </w:r>
      <w:r w:rsidRPr="00C33157">
        <w:rPr>
          <w:b w:val="0"/>
          <w:sz w:val="22"/>
          <w:szCs w:val="22"/>
          <w:lang w:val="en-US"/>
        </w:rPr>
        <w:t>to inform the works of the CESCR’s 7</w:t>
      </w:r>
      <w:r>
        <w:rPr>
          <w:b w:val="0"/>
          <w:sz w:val="22"/>
          <w:szCs w:val="22"/>
          <w:lang w:val="en-US"/>
        </w:rPr>
        <w:t>5</w:t>
      </w:r>
      <w:r w:rsidRPr="0031551F">
        <w:rPr>
          <w:b w:val="0"/>
          <w:sz w:val="22"/>
          <w:szCs w:val="22"/>
          <w:vertAlign w:val="superscript"/>
          <w:lang w:val="en-US"/>
        </w:rPr>
        <w:t>th</w:t>
      </w:r>
      <w:r>
        <w:rPr>
          <w:b w:val="0"/>
          <w:sz w:val="22"/>
          <w:szCs w:val="22"/>
          <w:lang w:val="en-US"/>
        </w:rPr>
        <w:t xml:space="preserve"> </w:t>
      </w:r>
      <w:r w:rsidRPr="00C33157">
        <w:rPr>
          <w:b w:val="0"/>
          <w:sz w:val="22"/>
          <w:szCs w:val="22"/>
          <w:lang w:val="en-US"/>
        </w:rPr>
        <w:t xml:space="preserve">session taking place between </w:t>
      </w:r>
      <w:r>
        <w:rPr>
          <w:b w:val="0"/>
          <w:sz w:val="22"/>
          <w:szCs w:val="22"/>
          <w:lang w:val="en-US"/>
        </w:rPr>
        <w:t>12 February and 1 March 2024</w:t>
      </w:r>
      <w:r w:rsidRPr="00C33157">
        <w:rPr>
          <w:b w:val="0"/>
          <w:sz w:val="22"/>
          <w:szCs w:val="22"/>
          <w:lang w:val="en-US"/>
        </w:rPr>
        <w:t xml:space="preserve">. </w:t>
      </w:r>
    </w:p>
    <w:p w14:paraId="06A2E138" w14:textId="4E5C01F5" w:rsidR="0031551F" w:rsidRDefault="0031551F" w:rsidP="0031551F">
      <w:pPr>
        <w:pStyle w:val="Letter-Date"/>
        <w:tabs>
          <w:tab w:val="clear" w:pos="4536"/>
          <w:tab w:val="right" w:pos="8922"/>
        </w:tabs>
        <w:jc w:val="both"/>
        <w:rPr>
          <w:b w:val="0"/>
          <w:bCs w:val="0"/>
          <w:sz w:val="22"/>
          <w:szCs w:val="22"/>
          <w:lang w:val="en-US"/>
        </w:rPr>
      </w:pPr>
      <w:r w:rsidRPr="00C33157">
        <w:rPr>
          <w:b w:val="0"/>
          <w:bCs w:val="0"/>
          <w:sz w:val="22"/>
          <w:szCs w:val="22"/>
          <w:lang w:val="en-US"/>
        </w:rPr>
        <w:t xml:space="preserve">We are providing the attached submission with the hope of supporting the development of your Concluding Observations in connection with the consideration of </w:t>
      </w:r>
      <w:r>
        <w:rPr>
          <w:b w:val="0"/>
          <w:bCs w:val="0"/>
          <w:sz w:val="22"/>
          <w:szCs w:val="22"/>
          <w:lang w:val="en-US"/>
        </w:rPr>
        <w:t>Indonesia’s 2</w:t>
      </w:r>
      <w:r w:rsidRPr="0031551F">
        <w:rPr>
          <w:b w:val="0"/>
          <w:bCs w:val="0"/>
          <w:sz w:val="22"/>
          <w:szCs w:val="22"/>
          <w:vertAlign w:val="superscript"/>
          <w:lang w:val="en-US"/>
        </w:rPr>
        <w:t>nd</w:t>
      </w:r>
      <w:r>
        <w:rPr>
          <w:b w:val="0"/>
          <w:bCs w:val="0"/>
          <w:sz w:val="22"/>
          <w:szCs w:val="22"/>
          <w:lang w:val="en-US"/>
        </w:rPr>
        <w:t xml:space="preserve"> </w:t>
      </w:r>
      <w:r w:rsidRPr="00C33157">
        <w:rPr>
          <w:b w:val="0"/>
          <w:bCs w:val="0"/>
          <w:sz w:val="22"/>
          <w:szCs w:val="22"/>
          <w:lang w:val="en-US"/>
        </w:rPr>
        <w:t>periodic report.</w:t>
      </w:r>
    </w:p>
    <w:p w14:paraId="50CC95A7" w14:textId="77777777" w:rsidR="00D71EE5" w:rsidRPr="00262805" w:rsidRDefault="00C96583" w:rsidP="00262805">
      <w:pPr>
        <w:pStyle w:val="Yourssincerely"/>
        <w:tabs>
          <w:tab w:val="clear" w:pos="6237"/>
          <w:tab w:val="center" w:pos="5529"/>
        </w:tabs>
        <w:spacing w:after="1200" w:line="260" w:lineRule="atLeast"/>
        <w:rPr>
          <w:rFonts w:ascii="Proxima Nova" w:hAnsi="Proxima Nova"/>
          <w:b/>
        </w:rPr>
      </w:pPr>
      <w:r w:rsidRPr="00493EC9">
        <w:rPr>
          <w:rFonts w:eastAsia="Calibri"/>
          <w:noProof/>
        </w:rPr>
        <w:drawing>
          <wp:anchor distT="0" distB="0" distL="114300" distR="114300" simplePos="0" relativeHeight="251659264" behindDoc="0" locked="0" layoutInCell="1" allowOverlap="1" wp14:anchorId="705CEA9A" wp14:editId="37A10C2F">
            <wp:simplePos x="0" y="0"/>
            <wp:positionH relativeFrom="margin">
              <wp:posOffset>2914650</wp:posOffset>
            </wp:positionH>
            <wp:positionV relativeFrom="paragraph">
              <wp:posOffset>266700</wp:posOffset>
            </wp:positionV>
            <wp:extent cx="1195200" cy="828000"/>
            <wp:effectExtent l="0" t="0" r="508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195200" cy="828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19E1" w:rsidRPr="00262805">
        <w:tab/>
      </w:r>
      <w:r w:rsidR="0082198C" w:rsidRPr="00262805">
        <w:rPr>
          <w:rFonts w:ascii="Proxima Nova" w:hAnsi="Proxima Nova"/>
        </w:rPr>
        <w:t>Yours sincerely,</w:t>
      </w:r>
      <w:r w:rsidRPr="00C96583">
        <w:rPr>
          <w:rFonts w:eastAsia="Calibri"/>
          <w:noProof/>
        </w:rPr>
        <w:t xml:space="preserve"> </w:t>
      </w:r>
    </w:p>
    <w:p w14:paraId="5395F871" w14:textId="77777777" w:rsidR="007B5229" w:rsidRDefault="004E19E1" w:rsidP="00262805">
      <w:pPr>
        <w:pStyle w:val="BasicParagraph"/>
        <w:tabs>
          <w:tab w:val="center" w:pos="5529"/>
        </w:tabs>
        <w:spacing w:line="220" w:lineRule="atLeast"/>
        <w:jc w:val="both"/>
        <w:rPr>
          <w:b/>
          <w:sz w:val="22"/>
          <w:szCs w:val="22"/>
        </w:rPr>
      </w:pPr>
      <w:r w:rsidRPr="00262805">
        <w:rPr>
          <w:b/>
          <w:sz w:val="22"/>
          <w:szCs w:val="22"/>
        </w:rPr>
        <w:tab/>
      </w:r>
    </w:p>
    <w:p w14:paraId="3B68D98C" w14:textId="77777777" w:rsidR="007B5229" w:rsidRPr="007B5229" w:rsidRDefault="007B5229" w:rsidP="00262805">
      <w:pPr>
        <w:pStyle w:val="BasicParagraph"/>
        <w:tabs>
          <w:tab w:val="center" w:pos="5529"/>
        </w:tabs>
        <w:spacing w:line="220" w:lineRule="atLeast"/>
        <w:jc w:val="both"/>
        <w:rPr>
          <w:rFonts w:ascii="Proxima Nova" w:hAnsi="Proxima Nova"/>
          <w:bCs/>
          <w:sz w:val="22"/>
          <w:szCs w:val="22"/>
        </w:rPr>
      </w:pPr>
      <w:r>
        <w:rPr>
          <w:b/>
          <w:sz w:val="22"/>
          <w:szCs w:val="22"/>
        </w:rPr>
        <w:tab/>
      </w:r>
      <w:r w:rsidRPr="007B5229">
        <w:rPr>
          <w:rFonts w:ascii="Proxima Nova" w:hAnsi="Proxima Nova"/>
          <w:bCs/>
          <w:sz w:val="22"/>
          <w:szCs w:val="22"/>
        </w:rPr>
        <w:t>Luc Triangle</w:t>
      </w:r>
    </w:p>
    <w:p w14:paraId="406EA92D" w14:textId="47016257" w:rsidR="0082198C" w:rsidRDefault="007B5229" w:rsidP="00262805">
      <w:pPr>
        <w:pStyle w:val="BasicParagraph"/>
        <w:tabs>
          <w:tab w:val="center" w:pos="5529"/>
        </w:tabs>
        <w:spacing w:line="220" w:lineRule="atLeast"/>
        <w:jc w:val="both"/>
        <w:rPr>
          <w:rFonts w:ascii="Proxima Nova" w:hAnsi="Proxima Nova"/>
          <w:sz w:val="22"/>
          <w:szCs w:val="22"/>
        </w:rPr>
      </w:pPr>
      <w:r>
        <w:rPr>
          <w:b/>
          <w:sz w:val="22"/>
          <w:szCs w:val="22"/>
        </w:rPr>
        <w:tab/>
      </w:r>
      <w:r w:rsidR="004A4E20">
        <w:rPr>
          <w:rFonts w:ascii="Proxima Nova" w:hAnsi="Proxima Nova"/>
          <w:sz w:val="22"/>
          <w:szCs w:val="22"/>
          <w:lang w:val="en-BE"/>
        </w:rPr>
        <w:t>G</w:t>
      </w:r>
      <w:proofErr w:type="spellStart"/>
      <w:r w:rsidR="00D71EE5" w:rsidRPr="00262805">
        <w:rPr>
          <w:rFonts w:ascii="Proxima Nova" w:hAnsi="Proxima Nova"/>
          <w:sz w:val="22"/>
          <w:szCs w:val="22"/>
        </w:rPr>
        <w:t>eneral</w:t>
      </w:r>
      <w:proofErr w:type="spellEnd"/>
      <w:r w:rsidR="00D71EE5" w:rsidRPr="00262805">
        <w:rPr>
          <w:rFonts w:ascii="Proxima Nova" w:hAnsi="Proxima Nova"/>
          <w:sz w:val="22"/>
          <w:szCs w:val="22"/>
        </w:rPr>
        <w:t xml:space="preserve"> Secretary</w:t>
      </w:r>
    </w:p>
    <w:p w14:paraId="2FDDC21F" w14:textId="77777777" w:rsidR="0031551F" w:rsidRDefault="0031551F" w:rsidP="00262805">
      <w:pPr>
        <w:pStyle w:val="BasicParagraph"/>
        <w:tabs>
          <w:tab w:val="center" w:pos="5529"/>
        </w:tabs>
        <w:spacing w:line="220" w:lineRule="atLeast"/>
        <w:jc w:val="both"/>
        <w:rPr>
          <w:rFonts w:ascii="Proxima Nova" w:hAnsi="Proxima Nova"/>
          <w:sz w:val="22"/>
          <w:szCs w:val="22"/>
        </w:rPr>
      </w:pPr>
    </w:p>
    <w:p w14:paraId="111694BB" w14:textId="77777777" w:rsidR="0031551F" w:rsidRDefault="0031551F" w:rsidP="00262805">
      <w:pPr>
        <w:pStyle w:val="BasicParagraph"/>
        <w:tabs>
          <w:tab w:val="center" w:pos="5529"/>
        </w:tabs>
        <w:spacing w:line="220" w:lineRule="atLeast"/>
        <w:jc w:val="both"/>
        <w:rPr>
          <w:rFonts w:ascii="Proxima Nova" w:hAnsi="Proxima Nova"/>
          <w:sz w:val="22"/>
          <w:szCs w:val="22"/>
        </w:rPr>
      </w:pPr>
    </w:p>
    <w:p w14:paraId="04BE0971" w14:textId="3AC3E00F" w:rsidR="0031551F" w:rsidRDefault="0031551F">
      <w:pPr>
        <w:spacing w:after="0"/>
        <w:rPr>
          <w:rFonts w:ascii="Proxima Nova" w:hAnsi="Proxima Nova" w:cs="MinionPro-Regular"/>
          <w:color w:val="000000"/>
          <w:sz w:val="22"/>
          <w:szCs w:val="22"/>
          <w:lang w:val="en-GB"/>
        </w:rPr>
      </w:pPr>
      <w:r>
        <w:rPr>
          <w:rFonts w:ascii="Proxima Nova" w:hAnsi="Proxima Nova"/>
          <w:sz w:val="22"/>
          <w:szCs w:val="22"/>
        </w:rPr>
        <w:br w:type="page"/>
      </w:r>
    </w:p>
    <w:p w14:paraId="32409918" w14:textId="77777777" w:rsidR="0031551F" w:rsidRDefault="0031551F" w:rsidP="00DF5F23">
      <w:pPr>
        <w:pStyle w:val="BasicParagraph"/>
        <w:tabs>
          <w:tab w:val="center" w:pos="5529"/>
        </w:tabs>
        <w:spacing w:line="220" w:lineRule="atLeast"/>
        <w:jc w:val="center"/>
        <w:rPr>
          <w:rFonts w:ascii="Proxima Nova" w:hAnsi="Proxima Nova"/>
          <w:sz w:val="22"/>
          <w:szCs w:val="22"/>
        </w:rPr>
      </w:pPr>
    </w:p>
    <w:p w14:paraId="26C16B08" w14:textId="19E4688E" w:rsidR="00DF5F23" w:rsidRPr="00DF5F23" w:rsidRDefault="00DF5F23" w:rsidP="00DF5F23">
      <w:pPr>
        <w:jc w:val="center"/>
        <w:rPr>
          <w:rFonts w:ascii="Proxima Nova" w:eastAsia="Times New Roman" w:hAnsi="Proxima Nova"/>
          <w:b/>
          <w:bCs/>
          <w:lang w:val="en-BE" w:eastAsia="en-BE"/>
        </w:rPr>
      </w:pPr>
      <w:r w:rsidRPr="00535E51">
        <w:rPr>
          <w:rFonts w:ascii="Proxima Nova" w:hAnsi="Proxima Nova"/>
          <w:b/>
          <w:bCs/>
          <w:sz w:val="22"/>
          <w:szCs w:val="22"/>
        </w:rPr>
        <w:t xml:space="preserve">Written submission on the upcoming consideration of the </w:t>
      </w:r>
      <w:r>
        <w:rPr>
          <w:rFonts w:ascii="Proxima Nova" w:hAnsi="Proxima Nova"/>
          <w:b/>
          <w:bCs/>
          <w:sz w:val="22"/>
          <w:szCs w:val="22"/>
        </w:rPr>
        <w:t>2</w:t>
      </w:r>
      <w:r w:rsidRPr="0031551F">
        <w:rPr>
          <w:rFonts w:ascii="Proxima Nova" w:hAnsi="Proxima Nova"/>
          <w:b/>
          <w:bCs/>
          <w:sz w:val="22"/>
          <w:szCs w:val="22"/>
          <w:vertAlign w:val="superscript"/>
        </w:rPr>
        <w:t>nd</w:t>
      </w:r>
      <w:r>
        <w:rPr>
          <w:rFonts w:ascii="Proxima Nova" w:hAnsi="Proxima Nova"/>
          <w:b/>
          <w:bCs/>
          <w:sz w:val="22"/>
          <w:szCs w:val="22"/>
        </w:rPr>
        <w:t xml:space="preserve"> periodic</w:t>
      </w:r>
      <w:r w:rsidRPr="00535E51">
        <w:rPr>
          <w:rFonts w:ascii="Proxima Nova" w:hAnsi="Proxima Nova"/>
          <w:b/>
          <w:bCs/>
          <w:sz w:val="22"/>
          <w:szCs w:val="22"/>
        </w:rPr>
        <w:t xml:space="preserve"> report for </w:t>
      </w:r>
      <w:r w:rsidRPr="00DF5F23">
        <w:rPr>
          <w:rFonts w:ascii="Proxima Nova" w:hAnsi="Proxima Nova"/>
          <w:b/>
          <w:bCs/>
        </w:rPr>
        <w:t>Indonesia, at the CESCR’s 75th session (</w:t>
      </w:r>
      <w:r w:rsidRPr="00DF5F23">
        <w:rPr>
          <w:rFonts w:ascii="Proxima Nova" w:eastAsia="Times New Roman" w:hAnsi="Proxima Nova"/>
          <w:b/>
          <w:bCs/>
          <w:lang w:val="en-BE" w:eastAsia="en-BE"/>
        </w:rPr>
        <w:t>12 Feb 2024 - 01 Mar 2024)</w:t>
      </w:r>
    </w:p>
    <w:p w14:paraId="7A48B6C5" w14:textId="6533D3C4" w:rsidR="0031551F" w:rsidRPr="00DF5F23" w:rsidRDefault="0031551F" w:rsidP="0031551F">
      <w:pPr>
        <w:jc w:val="center"/>
        <w:rPr>
          <w:rFonts w:ascii="Proxima Nova" w:eastAsia="Times New Roman" w:hAnsi="Proxima Nova"/>
          <w:b/>
          <w:bCs/>
          <w:lang w:eastAsia="en-BE"/>
        </w:rPr>
      </w:pPr>
      <w:r w:rsidRPr="00DF5F23">
        <w:rPr>
          <w:rFonts w:ascii="Proxima Nova" w:eastAsia="Times New Roman" w:hAnsi="Proxima Nova"/>
          <w:b/>
          <w:bCs/>
          <w:lang w:eastAsia="en-BE"/>
        </w:rPr>
        <w:t>ITUC</w:t>
      </w:r>
    </w:p>
    <w:p w14:paraId="52989262" w14:textId="77777777" w:rsidR="0031551F" w:rsidRPr="00DF5F23" w:rsidRDefault="0031551F" w:rsidP="0031551F">
      <w:pPr>
        <w:pStyle w:val="Letter-Closing"/>
        <w:spacing w:line="240" w:lineRule="auto"/>
        <w:rPr>
          <w:color w:val="auto"/>
          <w:sz w:val="24"/>
          <w:szCs w:val="24"/>
          <w:lang w:val="en-BE"/>
        </w:rPr>
      </w:pPr>
    </w:p>
    <w:p w14:paraId="4234AC51" w14:textId="77777777" w:rsidR="0031551F" w:rsidRPr="00DF5F23" w:rsidRDefault="0031551F" w:rsidP="0031551F">
      <w:pPr>
        <w:pStyle w:val="Letter-Closing"/>
        <w:spacing w:line="240" w:lineRule="auto"/>
        <w:rPr>
          <w:color w:val="auto"/>
          <w:sz w:val="24"/>
          <w:szCs w:val="24"/>
        </w:rPr>
      </w:pPr>
    </w:p>
    <w:p w14:paraId="79C37CC9" w14:textId="77777777" w:rsidR="0031551F" w:rsidRPr="00DF5F23" w:rsidRDefault="0031551F" w:rsidP="0031551F">
      <w:pPr>
        <w:jc w:val="both"/>
        <w:rPr>
          <w:rFonts w:ascii="Proxima Nova" w:hAnsi="Proxima Nova"/>
          <w:b/>
          <w:bCs/>
        </w:rPr>
      </w:pPr>
      <w:r w:rsidRPr="00DF5F23">
        <w:rPr>
          <w:rFonts w:ascii="Proxima Nova" w:hAnsi="Proxima Nova"/>
          <w:b/>
          <w:bCs/>
        </w:rPr>
        <w:t xml:space="preserve">Submitting </w:t>
      </w:r>
      <w:proofErr w:type="spellStart"/>
      <w:r w:rsidRPr="00DF5F23">
        <w:rPr>
          <w:rFonts w:ascii="Proxima Nova" w:hAnsi="Proxima Nova"/>
          <w:b/>
          <w:bCs/>
        </w:rPr>
        <w:t>organisation</w:t>
      </w:r>
      <w:proofErr w:type="spellEnd"/>
      <w:r w:rsidRPr="00DF5F23">
        <w:rPr>
          <w:rFonts w:ascii="Proxima Nova" w:hAnsi="Proxima Nova"/>
          <w:b/>
          <w:bCs/>
        </w:rPr>
        <w:t xml:space="preserve">: </w:t>
      </w:r>
    </w:p>
    <w:p w14:paraId="13AFC005" w14:textId="6FFC2BB7" w:rsidR="003948C1" w:rsidRPr="00DF5F23" w:rsidRDefault="0031551F" w:rsidP="00B95481">
      <w:pPr>
        <w:jc w:val="both"/>
        <w:rPr>
          <w:rFonts w:ascii="Proxima Nova" w:hAnsi="Proxima Nova"/>
        </w:rPr>
      </w:pPr>
      <w:r w:rsidRPr="00DF5F23">
        <w:rPr>
          <w:rFonts w:ascii="Proxima Nova" w:hAnsi="Proxima Nova"/>
        </w:rPr>
        <w:t xml:space="preserve">The International Trade Union Confederation (ITUC) represents 200 million workers in 163 countries and territories and has 332 national affiliates. The ITUC’s primary mission is the promotion and defense of workers’ rights and interests through international cooperation between trade unions, global campaigning, and advocacy within the major global institutions. Its main areas of activity include the following: human and </w:t>
      </w:r>
      <w:proofErr w:type="spellStart"/>
      <w:r w:rsidRPr="00DF5F23">
        <w:rPr>
          <w:rFonts w:ascii="Proxima Nova" w:hAnsi="Proxima Nova"/>
        </w:rPr>
        <w:t>labour</w:t>
      </w:r>
      <w:proofErr w:type="spellEnd"/>
      <w:r w:rsidRPr="00DF5F23">
        <w:rPr>
          <w:rFonts w:ascii="Proxima Nova" w:hAnsi="Proxima Nova"/>
        </w:rPr>
        <w:t xml:space="preserve"> rights; economic and social policy; equality and non-discrimination; and international solidarity. The ITUC enjoys General Consultation Status with the UN ECOSOC. </w:t>
      </w:r>
      <w:bookmarkStart w:id="0" w:name="_Hlk103183535"/>
      <w:bookmarkEnd w:id="0"/>
    </w:p>
    <w:p w14:paraId="7373DA06" w14:textId="765D26D4" w:rsidR="0031551F" w:rsidRPr="00DF5F23" w:rsidRDefault="0031551F" w:rsidP="0031551F">
      <w:pPr>
        <w:pStyle w:val="ListParagraph"/>
        <w:numPr>
          <w:ilvl w:val="0"/>
          <w:numId w:val="1"/>
        </w:numPr>
        <w:spacing w:before="100" w:beforeAutospacing="1" w:after="100" w:afterAutospacing="1"/>
        <w:rPr>
          <w:rFonts w:ascii="Proxima Nova" w:eastAsia="Times New Roman" w:hAnsi="Proxima Nova" w:cs="Times New Roman"/>
          <w:b/>
          <w:bCs/>
          <w:color w:val="000000" w:themeColor="text1"/>
          <w:kern w:val="0"/>
          <w:lang w:eastAsia="en-GB"/>
          <w14:ligatures w14:val="none"/>
        </w:rPr>
      </w:pPr>
      <w:r w:rsidRPr="00DF5F23">
        <w:rPr>
          <w:rFonts w:ascii="Proxima Nova" w:eastAsia="Times New Roman" w:hAnsi="Proxima Nova" w:cs="Times New Roman"/>
          <w:b/>
          <w:bCs/>
          <w:color w:val="000000" w:themeColor="text1"/>
          <w:kern w:val="0"/>
          <w:lang w:eastAsia="en-GB"/>
          <w14:ligatures w14:val="none"/>
        </w:rPr>
        <w:t xml:space="preserve">Summary </w:t>
      </w:r>
    </w:p>
    <w:p w14:paraId="3E80098C" w14:textId="2D53A954" w:rsidR="0031551F" w:rsidRPr="00DF5F23" w:rsidRDefault="0031551F" w:rsidP="0031551F">
      <w:pPr>
        <w:spacing w:after="120"/>
        <w:ind w:firstLine="360"/>
        <w:jc w:val="both"/>
        <w:rPr>
          <w:rFonts w:ascii="Proxima Nova" w:eastAsia="Times New Roman" w:hAnsi="Proxima Nova"/>
          <w:color w:val="000000" w:themeColor="text1"/>
          <w:lang w:eastAsia="en-GB"/>
        </w:rPr>
      </w:pPr>
      <w:r w:rsidRPr="00DF5F23">
        <w:rPr>
          <w:rFonts w:ascii="Proxima Nova" w:hAnsi="Proxima Nova"/>
          <w:bCs/>
          <w:color w:val="000000" w:themeColor="text1"/>
        </w:rPr>
        <w:t xml:space="preserve">This report looks at violations of trade union rights in Indonesia and provides recommendations of actions that Indonesia should take to remedy these violations. </w:t>
      </w:r>
      <w:r w:rsidRPr="00DF5F23">
        <w:rPr>
          <w:rFonts w:ascii="Proxima Nova" w:hAnsi="Proxima Nova"/>
          <w:color w:val="000000" w:themeColor="text1"/>
        </w:rPr>
        <w:t xml:space="preserve">Indonesia has ratified the International Covenant on Economic, Social and Cultural Rights (ICESCR), and has a duty to uphold its international obligations under the Covenant. We focus primarily on violations of workers’ rights in law. The Omnibus Law of 2020 which seriously affected workers’ rights, was </w:t>
      </w:r>
      <w:r w:rsidRPr="00DF5F23">
        <w:rPr>
          <w:rFonts w:ascii="Proxima Nova" w:eastAsia="Times New Roman" w:hAnsi="Proxima Nova"/>
          <w:color w:val="000000" w:themeColor="text1"/>
          <w:lang w:eastAsia="en-GB"/>
        </w:rPr>
        <w:t>replaced with the Government Regulation in Lieu of Law No. 2 of 2022 on Job Creation</w:t>
      </w:r>
      <w:r w:rsidR="00B45E1C">
        <w:rPr>
          <w:rFonts w:ascii="Proxima Nova" w:eastAsia="Times New Roman" w:hAnsi="Proxima Nova"/>
          <w:color w:val="000000" w:themeColor="text1"/>
          <w:lang w:eastAsia="en-GB"/>
        </w:rPr>
        <w:t xml:space="preserve"> (</w:t>
      </w:r>
      <w:proofErr w:type="spellStart"/>
      <w:r w:rsidR="00B45E1C">
        <w:rPr>
          <w:rFonts w:ascii="Proxima Nova" w:eastAsia="Times New Roman" w:hAnsi="Proxima Nova"/>
          <w:color w:val="000000" w:themeColor="text1"/>
          <w:lang w:eastAsia="en-GB"/>
        </w:rPr>
        <w:t>P</w:t>
      </w:r>
      <w:r w:rsidR="00A17DE9">
        <w:rPr>
          <w:rFonts w:ascii="Proxima Nova" w:eastAsia="Times New Roman" w:hAnsi="Proxima Nova"/>
          <w:color w:val="000000" w:themeColor="text1"/>
          <w:lang w:eastAsia="en-GB"/>
        </w:rPr>
        <w:t>er</w:t>
      </w:r>
      <w:r w:rsidR="00B45E1C">
        <w:rPr>
          <w:rFonts w:ascii="Proxima Nova" w:eastAsia="Times New Roman" w:hAnsi="Proxima Nova"/>
          <w:color w:val="000000" w:themeColor="text1"/>
          <w:lang w:eastAsia="en-GB"/>
        </w:rPr>
        <w:t>ppu</w:t>
      </w:r>
      <w:proofErr w:type="spellEnd"/>
      <w:r w:rsidR="00B45E1C">
        <w:rPr>
          <w:rFonts w:ascii="Proxima Nova" w:eastAsia="Times New Roman" w:hAnsi="Proxima Nova"/>
          <w:color w:val="000000" w:themeColor="text1"/>
          <w:lang w:eastAsia="en-GB"/>
        </w:rPr>
        <w:t xml:space="preserve"> </w:t>
      </w:r>
      <w:r w:rsidR="00A17DE9">
        <w:rPr>
          <w:rFonts w:ascii="Proxima Nova" w:eastAsia="Times New Roman" w:hAnsi="Proxima Nova"/>
          <w:color w:val="000000" w:themeColor="text1"/>
          <w:lang w:eastAsia="en-GB"/>
        </w:rPr>
        <w:t>2/2022</w:t>
      </w:r>
      <w:r w:rsidR="00B45E1C">
        <w:rPr>
          <w:rFonts w:ascii="Proxima Nova" w:eastAsia="Times New Roman" w:hAnsi="Proxima Nova"/>
          <w:color w:val="000000" w:themeColor="text1"/>
          <w:lang w:eastAsia="en-GB"/>
        </w:rPr>
        <w:t xml:space="preserve">) and </w:t>
      </w:r>
      <w:proofErr w:type="gramStart"/>
      <w:r w:rsidR="00B45E1C">
        <w:rPr>
          <w:rFonts w:ascii="Proxima Nova" w:eastAsia="Times New Roman" w:hAnsi="Proxima Nova"/>
          <w:color w:val="000000" w:themeColor="text1"/>
          <w:lang w:eastAsia="en-GB"/>
        </w:rPr>
        <w:t>later on</w:t>
      </w:r>
      <w:proofErr w:type="gramEnd"/>
      <w:r w:rsidR="00B45E1C">
        <w:rPr>
          <w:rFonts w:ascii="Proxima Nova" w:eastAsia="Times New Roman" w:hAnsi="Proxima Nova"/>
          <w:color w:val="000000" w:themeColor="text1"/>
          <w:lang w:eastAsia="en-GB"/>
        </w:rPr>
        <w:t xml:space="preserve"> </w:t>
      </w:r>
      <w:r w:rsidR="004A72B0">
        <w:rPr>
          <w:rFonts w:ascii="Proxima Nova" w:eastAsia="Times New Roman" w:hAnsi="Proxima Nova"/>
          <w:color w:val="000000" w:themeColor="text1"/>
          <w:lang w:eastAsia="en-GB"/>
        </w:rPr>
        <w:t>with the Law No. 6/2023</w:t>
      </w:r>
      <w:r w:rsidRPr="00DF5F23">
        <w:rPr>
          <w:rFonts w:ascii="Proxima Nova" w:eastAsia="Times New Roman" w:hAnsi="Proxima Nova"/>
          <w:color w:val="000000" w:themeColor="text1"/>
          <w:lang w:eastAsia="en-GB"/>
        </w:rPr>
        <w:t xml:space="preserve">. </w:t>
      </w:r>
      <w:r w:rsidRPr="00DF5F23">
        <w:rPr>
          <w:rFonts w:ascii="Proxima Nova" w:hAnsi="Proxima Nova"/>
          <w:color w:val="000000" w:themeColor="text1"/>
        </w:rPr>
        <w:t xml:space="preserve">But before being replaced it had eroded/undermined worker rights significantly. Unfortunately, this new law raises similar concerns that the Omnibus Law did and there is an urgent need to ensure its substantive review and amendment to guarantee compliance of its provisions with international human rights and </w:t>
      </w:r>
      <w:proofErr w:type="spellStart"/>
      <w:r w:rsidRPr="00DF5F23">
        <w:rPr>
          <w:rFonts w:ascii="Proxima Nova" w:hAnsi="Proxima Nova"/>
          <w:color w:val="000000" w:themeColor="text1"/>
        </w:rPr>
        <w:t>labour</w:t>
      </w:r>
      <w:proofErr w:type="spellEnd"/>
      <w:r w:rsidRPr="00DF5F23">
        <w:rPr>
          <w:rFonts w:ascii="Proxima Nova" w:hAnsi="Proxima Nova"/>
          <w:color w:val="000000" w:themeColor="text1"/>
        </w:rPr>
        <w:t xml:space="preserve"> standards. Other laws relevant to workers that need a similar intensive review and amendment include Law No. 5 regulating the right of civil servants to form and join trade unions of their choosing, as well as </w:t>
      </w:r>
      <w:r w:rsidRPr="00DF5F23">
        <w:rPr>
          <w:rFonts w:ascii="Proxima Nova" w:hAnsi="Proxima Nova"/>
          <w:shd w:val="clear" w:color="auto" w:fill="FFFFFF"/>
        </w:rPr>
        <w:t>Presidential Decree No.63/2004 on the security of national vital objects (NVOs) and the Ministry of Industry (MOI) Decree No. 466/2014, which have been used to suppress the exercise of freedom of association.</w:t>
      </w:r>
      <w:r w:rsidRPr="00DF5F23">
        <w:rPr>
          <w:rFonts w:ascii="Proxima Nova" w:hAnsi="Proxima Nova"/>
          <w:color w:val="000000" w:themeColor="text1"/>
        </w:rPr>
        <w:t xml:space="preserve">  This report also highlights </w:t>
      </w:r>
      <w:r w:rsidRPr="00DF5F23">
        <w:rPr>
          <w:rFonts w:ascii="Proxima Nova" w:hAnsi="Proxima Nova"/>
          <w:shd w:val="clear" w:color="auto" w:fill="FFFFFF"/>
        </w:rPr>
        <w:t>section 122 of the Manpower Act, which allows the presence of employers in voting procedures of trade unions, as one that urgently needs review and amendment. Under Indonesia’s obligations from the International Covenant on Economic, Social and Cultural Rights, t</w:t>
      </w:r>
      <w:r w:rsidRPr="00DF5F23">
        <w:rPr>
          <w:rFonts w:ascii="Proxima Nova" w:hAnsi="Proxima Nova"/>
          <w:color w:val="000000" w:themeColor="text1"/>
        </w:rPr>
        <w:t xml:space="preserve">hese laws need to be brought into compliance with international </w:t>
      </w:r>
      <w:proofErr w:type="spellStart"/>
      <w:r w:rsidRPr="00DF5F23">
        <w:rPr>
          <w:rFonts w:ascii="Proxima Nova" w:hAnsi="Proxima Nova"/>
          <w:color w:val="000000" w:themeColor="text1"/>
        </w:rPr>
        <w:t>labour</w:t>
      </w:r>
      <w:proofErr w:type="spellEnd"/>
      <w:r w:rsidRPr="00DF5F23">
        <w:rPr>
          <w:rFonts w:ascii="Proxima Nova" w:hAnsi="Proxima Nova"/>
          <w:color w:val="000000" w:themeColor="text1"/>
        </w:rPr>
        <w:t xml:space="preserve"> standards on freedom of association and collective bargaining. Several of these laws have been under scrutiny from the </w:t>
      </w:r>
      <w:r w:rsidRPr="00DF5F23">
        <w:rPr>
          <w:rFonts w:ascii="Proxima Nova" w:eastAsia="Times New Roman" w:hAnsi="Proxima Nova"/>
          <w:color w:val="000000" w:themeColor="text1"/>
          <w:lang w:eastAsia="en-GB"/>
        </w:rPr>
        <w:t xml:space="preserve">supervisory machinery of the ILO for the last roughly 20 years and this report highlights some of the most recent comments from the ILO supervisory bodies on these matters. </w:t>
      </w:r>
    </w:p>
    <w:p w14:paraId="4A4A189B" w14:textId="4A690A39" w:rsidR="0036210A" w:rsidRPr="00DF5F23" w:rsidRDefault="0036210A" w:rsidP="0036210A">
      <w:pPr>
        <w:spacing w:after="120"/>
        <w:jc w:val="both"/>
        <w:rPr>
          <w:rFonts w:ascii="Proxima Nova" w:eastAsia="Times New Roman" w:hAnsi="Proxima Nova"/>
          <w:color w:val="000000" w:themeColor="text1"/>
          <w:lang w:eastAsia="en-GB"/>
        </w:rPr>
      </w:pPr>
      <w:r w:rsidRPr="00DF5F23">
        <w:rPr>
          <w:rFonts w:ascii="Proxima Nova" w:eastAsia="Times New Roman" w:hAnsi="Proxima Nova"/>
          <w:color w:val="000000" w:themeColor="text1"/>
          <w:lang w:eastAsia="en-GB"/>
        </w:rPr>
        <w:t>This submission should be read jointly with the ITUC’s submission on the list of issues for the CESCR’s Pre-Sessional Working Group in connection with the consideration of the 2</w:t>
      </w:r>
      <w:r w:rsidRPr="00DF5F23">
        <w:rPr>
          <w:rFonts w:ascii="Proxima Nova" w:eastAsia="Times New Roman" w:hAnsi="Proxima Nova"/>
          <w:color w:val="000000" w:themeColor="text1"/>
          <w:vertAlign w:val="superscript"/>
          <w:lang w:eastAsia="en-GB"/>
        </w:rPr>
        <w:t>nd</w:t>
      </w:r>
      <w:r w:rsidRPr="00DF5F23">
        <w:rPr>
          <w:rFonts w:ascii="Proxima Nova" w:eastAsia="Times New Roman" w:hAnsi="Proxima Nova"/>
          <w:color w:val="000000" w:themeColor="text1"/>
          <w:lang w:eastAsia="en-GB"/>
        </w:rPr>
        <w:t xml:space="preserve"> report by Indonesia, submitted on 7.01.2022. </w:t>
      </w:r>
    </w:p>
    <w:p w14:paraId="2245D368" w14:textId="77777777" w:rsidR="0036210A" w:rsidRPr="00DF5F23" w:rsidRDefault="0036210A" w:rsidP="0036210A">
      <w:pPr>
        <w:spacing w:after="120"/>
        <w:jc w:val="both"/>
        <w:rPr>
          <w:rFonts w:ascii="Proxima Nova" w:eastAsia="Times New Roman" w:hAnsi="Proxima Nova"/>
          <w:color w:val="000000" w:themeColor="text1"/>
          <w:lang w:eastAsia="en-GB"/>
        </w:rPr>
      </w:pPr>
    </w:p>
    <w:p w14:paraId="50FB12F4" w14:textId="77777777" w:rsidR="0031551F" w:rsidRPr="00DF5F23" w:rsidRDefault="0031551F" w:rsidP="003948C1">
      <w:pPr>
        <w:pStyle w:val="ListParagraph"/>
        <w:numPr>
          <w:ilvl w:val="0"/>
          <w:numId w:val="1"/>
        </w:numPr>
        <w:spacing w:after="120"/>
        <w:jc w:val="both"/>
        <w:rPr>
          <w:rFonts w:ascii="Proxima Nova" w:eastAsia="Times New Roman" w:hAnsi="Proxima Nova" w:cs="Times New Roman"/>
          <w:color w:val="000000" w:themeColor="text1"/>
          <w:lang w:eastAsia="en-GB"/>
        </w:rPr>
      </w:pPr>
      <w:r w:rsidRPr="00DF5F23">
        <w:rPr>
          <w:rFonts w:ascii="Proxima Nova" w:hAnsi="Proxima Nova" w:cs="Times New Roman"/>
          <w:b/>
          <w:bCs/>
          <w:lang w:val="en-US"/>
        </w:rPr>
        <w:t xml:space="preserve">The Right to Join and Form a Trade Union of One’s Choice </w:t>
      </w:r>
    </w:p>
    <w:p w14:paraId="4B130557" w14:textId="0A004E64" w:rsidR="0031551F" w:rsidRPr="00DF5F23" w:rsidRDefault="0031551F" w:rsidP="0036210A">
      <w:pPr>
        <w:spacing w:after="160" w:line="259" w:lineRule="auto"/>
        <w:jc w:val="both"/>
        <w:rPr>
          <w:rFonts w:ascii="Proxima Nova" w:eastAsia="Times New Roman" w:hAnsi="Proxima Nova"/>
          <w:lang w:eastAsia="en-GB"/>
        </w:rPr>
      </w:pPr>
      <w:r w:rsidRPr="00DF5F23">
        <w:rPr>
          <w:rFonts w:ascii="Proxima Nova" w:hAnsi="Proxima Nova"/>
          <w:bCs/>
        </w:rPr>
        <w:t>The laws of Indonesia applicable to freedom of association and collective bargaining have been under the</w:t>
      </w:r>
      <w:r w:rsidRPr="00DF5F23">
        <w:rPr>
          <w:rFonts w:ascii="Proxima Nova" w:eastAsia="Times New Roman" w:hAnsi="Proxima Nova"/>
          <w:lang w:eastAsia="en-GB"/>
        </w:rPr>
        <w:t xml:space="preserve"> scrutiny of the supervisory machinery of the ILO since Indonesia ratified the relevant conventions in 1989 (ILO Convention No. 98) and 2001 (ILO Convention No. 87) respectively</w:t>
      </w:r>
      <w:r w:rsidR="0036210A" w:rsidRPr="00DF5F23">
        <w:rPr>
          <w:rFonts w:ascii="Proxima Nova" w:eastAsia="Times New Roman" w:hAnsi="Proxima Nova"/>
          <w:lang w:eastAsia="en-GB"/>
        </w:rPr>
        <w:t xml:space="preserve"> (see for details: ITUC submission on the LOI, 07.01.2022).</w:t>
      </w:r>
      <w:r w:rsidRPr="00DF5F23">
        <w:rPr>
          <w:rFonts w:ascii="Proxima Nova" w:eastAsia="Times New Roman" w:hAnsi="Proxima Nova"/>
          <w:lang w:eastAsia="en-GB"/>
        </w:rPr>
        <w:t xml:space="preserve"> However, Indonesian has created laws that are incompliant with these international human and </w:t>
      </w:r>
      <w:proofErr w:type="spellStart"/>
      <w:r w:rsidRPr="00DF5F23">
        <w:rPr>
          <w:rFonts w:ascii="Proxima Nova" w:eastAsia="Times New Roman" w:hAnsi="Proxima Nova"/>
          <w:lang w:eastAsia="en-GB"/>
        </w:rPr>
        <w:t>labour</w:t>
      </w:r>
      <w:proofErr w:type="spellEnd"/>
      <w:r w:rsidRPr="00DF5F23">
        <w:rPr>
          <w:rFonts w:ascii="Proxima Nova" w:eastAsia="Times New Roman" w:hAnsi="Proxima Nova"/>
          <w:lang w:eastAsia="en-GB"/>
        </w:rPr>
        <w:t xml:space="preserve"> standards. </w:t>
      </w:r>
    </w:p>
    <w:p w14:paraId="33C0A742" w14:textId="77777777" w:rsidR="0031551F" w:rsidRPr="00DF5F23" w:rsidRDefault="0031551F" w:rsidP="003948C1">
      <w:pPr>
        <w:pStyle w:val="ListParagraph"/>
        <w:numPr>
          <w:ilvl w:val="0"/>
          <w:numId w:val="4"/>
        </w:numPr>
        <w:spacing w:after="160" w:line="259" w:lineRule="auto"/>
        <w:jc w:val="both"/>
        <w:rPr>
          <w:rFonts w:ascii="Proxima Nova" w:hAnsi="Proxima Nova" w:cs="Times New Roman"/>
          <w:b/>
          <w:bCs/>
          <w:shd w:val="clear" w:color="auto" w:fill="FFFFFF"/>
          <w:lang w:val="en-US"/>
        </w:rPr>
      </w:pPr>
      <w:bookmarkStart w:id="1" w:name="_Hlk153580191"/>
      <w:r w:rsidRPr="00DF5F23">
        <w:rPr>
          <w:rFonts w:ascii="Proxima Nova" w:hAnsi="Proxima Nova" w:cs="Times New Roman"/>
          <w:b/>
          <w:bCs/>
          <w:shd w:val="clear" w:color="auto" w:fill="FFFFFF"/>
          <w:lang w:val="en-US"/>
        </w:rPr>
        <w:t xml:space="preserve">Inadequate protection against acts of interference. </w:t>
      </w:r>
    </w:p>
    <w:bookmarkEnd w:id="1"/>
    <w:p w14:paraId="00DD61DA" w14:textId="77777777" w:rsidR="0031551F" w:rsidRPr="00DF5F23" w:rsidRDefault="0031551F" w:rsidP="003948C1">
      <w:pPr>
        <w:spacing w:after="160" w:line="259" w:lineRule="auto"/>
        <w:ind w:firstLine="720"/>
        <w:jc w:val="both"/>
        <w:rPr>
          <w:rFonts w:ascii="Proxima Nova" w:hAnsi="Proxima Nova"/>
          <w:shd w:val="clear" w:color="auto" w:fill="FFFFFF"/>
        </w:rPr>
      </w:pPr>
      <w:r w:rsidRPr="00DF5F23">
        <w:rPr>
          <w:rFonts w:ascii="Proxima Nova" w:hAnsi="Proxima Nova"/>
          <w:shd w:val="clear" w:color="auto" w:fill="FFFFFF"/>
        </w:rPr>
        <w:t xml:space="preserve">Section 122 of the Manpower Act, allowing the presence of employers in voting processes of trade unions, is in </w:t>
      </w:r>
      <w:r w:rsidRPr="00DF5F23">
        <w:rPr>
          <w:rFonts w:ascii="Proxima Nova" w:hAnsi="Proxima Nova"/>
          <w:i/>
          <w:iCs/>
          <w:shd w:val="clear" w:color="auto" w:fill="FFFFFF"/>
        </w:rPr>
        <w:t>direct violation</w:t>
      </w:r>
      <w:r w:rsidRPr="00DF5F23">
        <w:rPr>
          <w:rFonts w:ascii="Proxima Nova" w:hAnsi="Proxima Nova"/>
          <w:shd w:val="clear" w:color="auto" w:fill="FFFFFF"/>
        </w:rPr>
        <w:t xml:space="preserve"> of Article 2 of Convention 98 which states that “workers' and employers' </w:t>
      </w:r>
      <w:proofErr w:type="spellStart"/>
      <w:r w:rsidRPr="00DF5F23">
        <w:rPr>
          <w:rFonts w:ascii="Proxima Nova" w:hAnsi="Proxima Nova"/>
          <w:shd w:val="clear" w:color="auto" w:fill="FFFFFF"/>
        </w:rPr>
        <w:t>organisations</w:t>
      </w:r>
      <w:proofErr w:type="spellEnd"/>
      <w:r w:rsidRPr="00DF5F23">
        <w:rPr>
          <w:rFonts w:ascii="Proxima Nova" w:hAnsi="Proxima Nova"/>
          <w:shd w:val="clear" w:color="auto" w:fill="FFFFFF"/>
        </w:rPr>
        <w:t xml:space="preserve"> shall enjoy adequate protection against any acts of interference by each other or each other's agents or members in their establishment, functioning or administration.”</w:t>
      </w:r>
      <w:r w:rsidRPr="00DF5F23">
        <w:rPr>
          <w:rFonts w:ascii="Proxima Nova" w:hAnsi="Proxima Nova"/>
          <w:shd w:val="clear" w:color="auto" w:fill="FFFFFF"/>
          <w:vertAlign w:val="superscript"/>
        </w:rPr>
        <w:endnoteReference w:id="1"/>
      </w:r>
      <w:r w:rsidRPr="00DF5F23">
        <w:rPr>
          <w:rFonts w:ascii="Proxima Nova" w:hAnsi="Proxima Nova"/>
          <w:shd w:val="clear" w:color="auto" w:fill="FFFFFF"/>
        </w:rPr>
        <w:t xml:space="preserve">Allowing employers to be present during voting procedures is clearly interference that can act as an intimidation tactic by employers. It is a well-known maneuver used to chill union activity. The ILO’s CEACR noted </w:t>
      </w:r>
      <w:r w:rsidRPr="00DF5F23">
        <w:rPr>
          <w:rFonts w:ascii="Proxima Nova" w:hAnsi="Proxima Nova"/>
          <w:i/>
          <w:iCs/>
          <w:shd w:val="clear" w:color="auto" w:fill="FFFFFF"/>
        </w:rPr>
        <w:t>with concern</w:t>
      </w:r>
      <w:r w:rsidRPr="00DF5F23">
        <w:rPr>
          <w:rFonts w:ascii="Proxima Nova" w:hAnsi="Proxima Nova"/>
          <w:shd w:val="clear" w:color="auto" w:fill="FFFFFF"/>
        </w:rPr>
        <w:t xml:space="preserve"> that the Government in 2022 did not deem it necessary to amend the law. Currently it appears the Government is not taking any public steps to amend this law. The Government must amend this law that is in direct violation of international conventions that it has ratified. </w:t>
      </w:r>
    </w:p>
    <w:p w14:paraId="47FF97A0" w14:textId="77777777" w:rsidR="0031551F" w:rsidRPr="00DF5F23" w:rsidRDefault="0031551F" w:rsidP="003948C1">
      <w:pPr>
        <w:pStyle w:val="ListParagraph"/>
        <w:numPr>
          <w:ilvl w:val="0"/>
          <w:numId w:val="4"/>
        </w:numPr>
        <w:spacing w:after="160" w:line="259" w:lineRule="auto"/>
        <w:jc w:val="both"/>
        <w:rPr>
          <w:rFonts w:ascii="Proxima Nova" w:hAnsi="Proxima Nova" w:cs="Times New Roman"/>
          <w:b/>
          <w:bCs/>
          <w:lang w:val="en-US"/>
        </w:rPr>
      </w:pPr>
      <w:r w:rsidRPr="00DF5F23">
        <w:rPr>
          <w:rFonts w:ascii="Proxima Nova" w:hAnsi="Proxima Nova" w:cs="Times New Roman"/>
          <w:b/>
          <w:bCs/>
          <w:lang w:val="en-US"/>
        </w:rPr>
        <w:t>Legal Restrictions on the Right of Workers Organizations and Their Activities.</w:t>
      </w:r>
    </w:p>
    <w:p w14:paraId="3368AE24" w14:textId="77777777" w:rsidR="0031551F" w:rsidRPr="00DF5F23" w:rsidRDefault="0031551F" w:rsidP="003948C1">
      <w:pPr>
        <w:spacing w:after="160" w:line="259" w:lineRule="auto"/>
        <w:ind w:firstLine="720"/>
        <w:jc w:val="both"/>
        <w:rPr>
          <w:rFonts w:ascii="Proxima Nova" w:hAnsi="Proxima Nova"/>
          <w:shd w:val="clear" w:color="auto" w:fill="FFFFFF"/>
        </w:rPr>
      </w:pPr>
      <w:bookmarkStart w:id="2" w:name="_Hlk156235678"/>
      <w:r w:rsidRPr="00DF5F23">
        <w:rPr>
          <w:rFonts w:ascii="Proxima Nova" w:hAnsi="Proxima Nova"/>
          <w:shd w:val="clear" w:color="auto" w:fill="FFFFFF"/>
        </w:rPr>
        <w:t>Presidential Decree No.63/2004 on the security of national vital objects (NVOs) and the Ministry of Industry (MOI) Decree No. 466/2014</w:t>
      </w:r>
      <w:bookmarkEnd w:id="2"/>
      <w:r w:rsidRPr="00DF5F23">
        <w:rPr>
          <w:rFonts w:ascii="Proxima Nova" w:hAnsi="Proxima Nova"/>
          <w:shd w:val="clear" w:color="auto" w:fill="FFFFFF"/>
        </w:rPr>
        <w:t>, have been used to suppress the exercise of freedom of association and raise serious concerns about the ability of workers to exercise their rights to freedom of association in Indonesia.</w:t>
      </w:r>
      <w:r w:rsidRPr="00DF5F23">
        <w:rPr>
          <w:rFonts w:ascii="Proxima Nova" w:hAnsi="Proxima Nova"/>
          <w:shd w:val="clear" w:color="auto" w:fill="FFFFFF"/>
          <w:vertAlign w:val="superscript"/>
        </w:rPr>
        <w:endnoteReference w:id="2"/>
      </w:r>
      <w:r w:rsidRPr="00DF5F23">
        <w:rPr>
          <w:rFonts w:ascii="Proxima Nova" w:hAnsi="Proxima Nova"/>
          <w:shd w:val="clear" w:color="auto" w:fill="FFFFFF"/>
        </w:rPr>
        <w:t xml:space="preserve"> These two decrees enable companies or industrial areas to request assistance from the police and military upon a “disruption” or “threat” to NVOs in their territory.</w:t>
      </w:r>
      <w:r w:rsidRPr="00DF5F23">
        <w:rPr>
          <w:rFonts w:ascii="Proxima Nova" w:hAnsi="Proxima Nova"/>
          <w:shd w:val="clear" w:color="auto" w:fill="FFFFFF"/>
          <w:vertAlign w:val="superscript"/>
        </w:rPr>
        <w:endnoteReference w:id="3"/>
      </w:r>
      <w:r w:rsidRPr="00DF5F23">
        <w:rPr>
          <w:rFonts w:ascii="Proxima Nova" w:hAnsi="Proxima Nova"/>
          <w:shd w:val="clear" w:color="auto" w:fill="FFFFFF"/>
        </w:rPr>
        <w:t xml:space="preserve"> The danger of this legislation is that NVOs are defined by the Ministry of Industry and the Presidential Decree extends the application of security measures against threats to NVOs to the public, including trade unions.</w:t>
      </w:r>
      <w:r w:rsidRPr="00DF5F23">
        <w:rPr>
          <w:rFonts w:ascii="Proxima Nova" w:hAnsi="Proxima Nova"/>
          <w:shd w:val="clear" w:color="auto" w:fill="FFFFFF"/>
          <w:vertAlign w:val="superscript"/>
        </w:rPr>
        <w:endnoteReference w:id="4"/>
      </w:r>
    </w:p>
    <w:p w14:paraId="51ED784A" w14:textId="77777777" w:rsidR="0031551F" w:rsidRPr="00DF5F23" w:rsidRDefault="0031551F" w:rsidP="003948C1">
      <w:pPr>
        <w:spacing w:after="160" w:line="259" w:lineRule="auto"/>
        <w:ind w:firstLine="720"/>
        <w:jc w:val="both"/>
        <w:rPr>
          <w:rFonts w:ascii="Proxima Nova" w:hAnsi="Proxima Nova"/>
          <w:shd w:val="clear" w:color="auto" w:fill="FFFFFF"/>
        </w:rPr>
      </w:pPr>
      <w:r w:rsidRPr="00DF5F23">
        <w:rPr>
          <w:rFonts w:ascii="Proxima Nova" w:hAnsi="Proxima Nova"/>
          <w:shd w:val="clear" w:color="auto" w:fill="FFFFFF"/>
        </w:rPr>
        <w:t>Section 1 of the Presidential Decree states that “the National Vital Object is the area/location, building/installation and/or effort that concerns the lives of many people, the interests of the country and/or the country's strategic sources of income” and defines threats as “any effort and activities with all forms of good form originating from domestic and foreign-assessed could potentially compromise the survival of the National Vital Object.”</w:t>
      </w:r>
      <w:r w:rsidRPr="00DF5F23">
        <w:rPr>
          <w:rFonts w:ascii="Proxima Nova" w:hAnsi="Proxima Nova"/>
          <w:shd w:val="clear" w:color="auto" w:fill="FFFFFF"/>
          <w:vertAlign w:val="superscript"/>
        </w:rPr>
        <w:endnoteReference w:id="5"/>
      </w:r>
      <w:r w:rsidRPr="00DF5F23">
        <w:rPr>
          <w:rFonts w:ascii="Proxima Nova" w:hAnsi="Proxima Nova"/>
          <w:shd w:val="clear" w:color="auto" w:fill="FFFFFF"/>
        </w:rPr>
        <w:t xml:space="preserve"> The definition here is so broad that the government is able to classify trade union activity as a threat and thus call on the police or military to suppress their activities which ultimately does nothing but suppress freedom of association. The definition of “disorders” as “actions that are already real and inflict loss of loss of life </w:t>
      </w:r>
      <w:r w:rsidRPr="00DF5F23">
        <w:rPr>
          <w:rFonts w:ascii="Proxima Nova" w:hAnsi="Proxima Nova"/>
          <w:shd w:val="clear" w:color="auto" w:fill="FFFFFF"/>
        </w:rPr>
        <w:lastRenderedPageBreak/>
        <w:t xml:space="preserve">and/or property as well as can result in psychological trauma to the National Vital Object employees/employees” makes room for the government to shut down union activity such as strike activity by arguing that an area that is of interest to the country is threatened by ‘disorder’ from the union. The law provides too much malleability in the determinations made by governmental authorities on what is an NVO, what is a threat, what is a disorder, and what level of protection force is appropriate in different situations. These arbitrary determinations will restrict union activity through police force, as has been done before but now through a different legal avenue.   </w:t>
      </w:r>
    </w:p>
    <w:p w14:paraId="1E2C873A" w14:textId="77777777" w:rsidR="0031551F" w:rsidRPr="00DF5F23" w:rsidRDefault="0031551F" w:rsidP="003948C1">
      <w:pPr>
        <w:spacing w:after="160" w:line="259" w:lineRule="auto"/>
        <w:ind w:firstLine="720"/>
        <w:jc w:val="both"/>
        <w:rPr>
          <w:rFonts w:ascii="Proxima Nova" w:hAnsi="Proxima Nova"/>
          <w:shd w:val="clear" w:color="auto" w:fill="FFFFFF"/>
        </w:rPr>
      </w:pPr>
      <w:r w:rsidRPr="00DF5F23">
        <w:rPr>
          <w:rFonts w:ascii="Proxima Nova" w:hAnsi="Proxima Nova"/>
          <w:shd w:val="clear" w:color="auto" w:fill="FFFFFF"/>
        </w:rPr>
        <w:t>Applying force against trade unions through these decrees to intimidate them from carrying on with activities fully in line with their rights to freely associate is a violation of their labor rights. Despite the freedom to associate and the right to strike being codified in Indonesian law, the application of Decrees Nos. 63 and 466 hinder those freedoms by granting the government more control to forcefully interfere with such activities when they arbitrarily deem union activities as a threat. The ILO has urged the government to take steps to discuss the application of the above-mentioned Decrees with social partners.</w:t>
      </w:r>
      <w:r w:rsidRPr="00DF5F23">
        <w:rPr>
          <w:rFonts w:ascii="Proxima Nova" w:hAnsi="Proxima Nova"/>
          <w:shd w:val="clear" w:color="auto" w:fill="FFFFFF"/>
          <w:vertAlign w:val="superscript"/>
        </w:rPr>
        <w:endnoteReference w:id="6"/>
      </w:r>
      <w:r w:rsidRPr="00DF5F23">
        <w:rPr>
          <w:rFonts w:ascii="Proxima Nova" w:hAnsi="Proxima Nova"/>
          <w:shd w:val="clear" w:color="auto" w:fill="FFFFFF"/>
        </w:rPr>
        <w:t xml:space="preserve"> The Government has yet to publicly take such </w:t>
      </w:r>
      <w:proofErr w:type="gramStart"/>
      <w:r w:rsidRPr="00DF5F23">
        <w:rPr>
          <w:rFonts w:ascii="Proxima Nova" w:hAnsi="Proxima Nova"/>
          <w:shd w:val="clear" w:color="auto" w:fill="FFFFFF"/>
        </w:rPr>
        <w:t>steps</w:t>
      </w:r>
      <w:proofErr w:type="gramEnd"/>
      <w:r w:rsidRPr="00DF5F23">
        <w:rPr>
          <w:rFonts w:ascii="Proxima Nova" w:hAnsi="Proxima Nova"/>
          <w:shd w:val="clear" w:color="auto" w:fill="FFFFFF"/>
        </w:rPr>
        <w:t xml:space="preserve"> but it should do so immediately.  </w:t>
      </w:r>
    </w:p>
    <w:p w14:paraId="2D4C7578" w14:textId="77777777" w:rsidR="0031551F" w:rsidRPr="00DF5F23" w:rsidRDefault="0031551F" w:rsidP="003948C1">
      <w:pPr>
        <w:pStyle w:val="ListParagraph"/>
        <w:numPr>
          <w:ilvl w:val="0"/>
          <w:numId w:val="4"/>
        </w:numPr>
        <w:spacing w:after="160" w:line="259" w:lineRule="auto"/>
        <w:jc w:val="both"/>
        <w:rPr>
          <w:rFonts w:ascii="Proxima Nova" w:hAnsi="Proxima Nova" w:cs="Times New Roman"/>
          <w:lang w:val="en-US"/>
        </w:rPr>
      </w:pPr>
      <w:r w:rsidRPr="00DF5F23">
        <w:rPr>
          <w:rFonts w:ascii="Proxima Nova" w:hAnsi="Proxima Nova" w:cs="Times New Roman"/>
          <w:b/>
          <w:bCs/>
          <w:lang w:val="en-US"/>
        </w:rPr>
        <w:t xml:space="preserve">Hindrance of the Right of Civil Servants to Form and Organize Trade Unions </w:t>
      </w:r>
    </w:p>
    <w:p w14:paraId="69433550" w14:textId="77777777" w:rsidR="0031551F" w:rsidRPr="00DF5F23" w:rsidRDefault="0031551F" w:rsidP="003948C1">
      <w:pPr>
        <w:spacing w:after="160" w:line="259" w:lineRule="auto"/>
        <w:ind w:firstLine="720"/>
        <w:jc w:val="both"/>
        <w:rPr>
          <w:rFonts w:ascii="Proxima Nova" w:hAnsi="Proxima Nova"/>
          <w:shd w:val="clear" w:color="auto" w:fill="FFFFFF"/>
        </w:rPr>
      </w:pPr>
      <w:r w:rsidRPr="00DF5F23">
        <w:rPr>
          <w:rFonts w:ascii="Proxima Nova" w:hAnsi="Proxima Nova"/>
          <w:shd w:val="clear" w:color="auto" w:fill="FFFFFF"/>
        </w:rPr>
        <w:t>Article 28 E of the Indonesian Constitution grants civil servants, in their capacity as citizens, the right to join any professional organization of their choosing.</w:t>
      </w:r>
      <w:r w:rsidRPr="00DF5F23">
        <w:rPr>
          <w:rFonts w:ascii="Proxima Nova" w:hAnsi="Proxima Nova"/>
          <w:shd w:val="clear" w:color="auto" w:fill="FFFFFF"/>
          <w:vertAlign w:val="superscript"/>
        </w:rPr>
        <w:endnoteReference w:id="7"/>
      </w:r>
      <w:r w:rsidRPr="00DF5F23">
        <w:rPr>
          <w:rFonts w:ascii="Proxima Nova" w:hAnsi="Proxima Nova"/>
          <w:shd w:val="clear" w:color="auto" w:fill="FFFFFF"/>
        </w:rPr>
        <w:t xml:space="preserve"> However, there is an obligation imposed on civil servants, depending on their status, to join the respective professional organizations of Functional Positions (JF) or KORPRI, a professional forum of which civil servants become members automatically upon their admission to service.</w:t>
      </w:r>
      <w:r w:rsidRPr="00DF5F23">
        <w:rPr>
          <w:rFonts w:ascii="Proxima Nova" w:hAnsi="Proxima Nova"/>
          <w:shd w:val="clear" w:color="auto" w:fill="FFFFFF"/>
          <w:vertAlign w:val="superscript"/>
        </w:rPr>
        <w:endnoteReference w:id="8"/>
      </w:r>
      <w:r w:rsidRPr="00DF5F23">
        <w:rPr>
          <w:rFonts w:ascii="Proxima Nova" w:hAnsi="Proxima Nova"/>
          <w:shd w:val="clear" w:color="auto" w:fill="FFFFFF"/>
        </w:rPr>
        <w:t xml:space="preserve"> While these organizations still exist, they lack the capacity to function as independent trade unions. </w:t>
      </w:r>
    </w:p>
    <w:p w14:paraId="52612B28" w14:textId="77777777" w:rsidR="0031551F" w:rsidRPr="00DF5F23" w:rsidRDefault="0031551F" w:rsidP="003948C1">
      <w:pPr>
        <w:pStyle w:val="ListParagraph"/>
        <w:numPr>
          <w:ilvl w:val="0"/>
          <w:numId w:val="7"/>
        </w:numPr>
        <w:spacing w:after="160" w:line="259" w:lineRule="auto"/>
        <w:jc w:val="both"/>
        <w:rPr>
          <w:rFonts w:ascii="Proxima Nova" w:hAnsi="Proxima Nova" w:cs="Times New Roman"/>
          <w:lang w:val="en-US"/>
        </w:rPr>
      </w:pPr>
      <w:r w:rsidRPr="00DF5F23">
        <w:rPr>
          <w:rFonts w:ascii="Proxima Nova" w:hAnsi="Proxima Nova" w:cs="Times New Roman"/>
          <w:b/>
          <w:bCs/>
          <w:shd w:val="clear" w:color="auto" w:fill="FFFFFF"/>
          <w:lang w:val="en-US"/>
        </w:rPr>
        <w:t xml:space="preserve">KORPRI Undermines Public Sector Freedom of Association </w:t>
      </w:r>
    </w:p>
    <w:p w14:paraId="74C1895A" w14:textId="77777777" w:rsidR="0031551F" w:rsidRPr="00DF5F23" w:rsidRDefault="0031551F" w:rsidP="003948C1">
      <w:pPr>
        <w:spacing w:after="160" w:line="259" w:lineRule="auto"/>
        <w:ind w:firstLine="720"/>
        <w:jc w:val="both"/>
        <w:rPr>
          <w:rFonts w:ascii="Proxima Nova" w:hAnsi="Proxima Nova"/>
          <w:shd w:val="clear" w:color="auto" w:fill="FFFFFF"/>
        </w:rPr>
      </w:pPr>
      <w:r w:rsidRPr="00DF5F23">
        <w:rPr>
          <w:rFonts w:ascii="Proxima Nova" w:hAnsi="Proxima Nova"/>
          <w:shd w:val="clear" w:color="auto" w:fill="FFFFFF"/>
        </w:rPr>
        <w:t>Article 44 of the Trade Union Act explicitly provides that civil servants have the right to freedom of association and the right to organize but that the implementation of these rights is to be regulated by a separate act.</w:t>
      </w:r>
      <w:r w:rsidRPr="00DF5F23">
        <w:rPr>
          <w:rFonts w:ascii="Proxima Nova" w:hAnsi="Proxima Nova"/>
          <w:shd w:val="clear" w:color="auto" w:fill="FFFFFF"/>
          <w:vertAlign w:val="superscript"/>
        </w:rPr>
        <w:endnoteReference w:id="9"/>
      </w:r>
      <w:r w:rsidRPr="00DF5F23">
        <w:rPr>
          <w:rFonts w:ascii="Proxima Nova" w:hAnsi="Proxima Nova"/>
          <w:shd w:val="clear" w:color="auto" w:fill="FFFFFF"/>
        </w:rPr>
        <w:t xml:space="preserve"> The Government indicated that Law No. 5 of 2014 (ASN Law) concerning Civil Servants is the act that regulates the implementation of these rights.</w:t>
      </w:r>
      <w:r w:rsidRPr="00DF5F23">
        <w:rPr>
          <w:rFonts w:ascii="Proxima Nova" w:hAnsi="Proxima Nova"/>
          <w:shd w:val="clear" w:color="auto" w:fill="FFFFFF"/>
          <w:vertAlign w:val="superscript"/>
        </w:rPr>
        <w:endnoteReference w:id="10"/>
      </w:r>
      <w:r w:rsidRPr="00DF5F23">
        <w:rPr>
          <w:rFonts w:ascii="Proxima Nova" w:hAnsi="Proxima Nova"/>
          <w:shd w:val="clear" w:color="auto" w:fill="FFFFFF"/>
        </w:rPr>
        <w:t xml:space="preserve"> But, there is no provision under Law No. 5 that grants civil servants the right to form and organize trade unions </w:t>
      </w:r>
      <w:r w:rsidRPr="00DF5F23">
        <w:rPr>
          <w:rFonts w:ascii="Proxima Nova" w:hAnsi="Proxima Nova"/>
          <w:i/>
          <w:iCs/>
          <w:shd w:val="clear" w:color="auto" w:fill="FFFFFF"/>
        </w:rPr>
        <w:t>of their choosing</w:t>
      </w:r>
      <w:r w:rsidRPr="00DF5F23">
        <w:rPr>
          <w:rFonts w:ascii="Proxima Nova" w:hAnsi="Proxima Nova"/>
          <w:shd w:val="clear" w:color="auto" w:fill="FFFFFF"/>
        </w:rPr>
        <w:t>.</w:t>
      </w:r>
      <w:r w:rsidRPr="00DF5F23">
        <w:rPr>
          <w:rFonts w:ascii="Proxima Nova" w:hAnsi="Proxima Nova"/>
          <w:shd w:val="clear" w:color="auto" w:fill="FFFFFF"/>
          <w:vertAlign w:val="superscript"/>
        </w:rPr>
        <w:endnoteReference w:id="11"/>
      </w:r>
      <w:r w:rsidRPr="00DF5F23">
        <w:rPr>
          <w:rFonts w:ascii="Proxima Nova" w:hAnsi="Proxima Nova"/>
          <w:shd w:val="clear" w:color="auto" w:fill="FFFFFF"/>
        </w:rPr>
        <w:t xml:space="preserve"> In the provisions of Article 126 Paragraph (1) of Law No. 5, it is stipulated that ASN employees organize through the ASN employee professional corps, or what is familiarly called KORPRI.</w:t>
      </w:r>
      <w:r w:rsidRPr="00DF5F23">
        <w:rPr>
          <w:rFonts w:ascii="Proxima Nova" w:hAnsi="Proxima Nova"/>
          <w:shd w:val="clear" w:color="auto" w:fill="FFFFFF"/>
          <w:vertAlign w:val="superscript"/>
        </w:rPr>
        <w:endnoteReference w:id="12"/>
      </w:r>
      <w:r w:rsidRPr="00DF5F23">
        <w:rPr>
          <w:rFonts w:ascii="Proxima Nova" w:hAnsi="Proxima Nova"/>
          <w:shd w:val="clear" w:color="auto" w:fill="FFFFFF"/>
        </w:rPr>
        <w:t xml:space="preserve"> But further regulations regarding the professional corps have not been made by the Government.</w:t>
      </w:r>
      <w:r w:rsidRPr="00DF5F23">
        <w:rPr>
          <w:rFonts w:ascii="Proxima Nova" w:hAnsi="Proxima Nova"/>
          <w:shd w:val="clear" w:color="auto" w:fill="FFFFFF"/>
          <w:vertAlign w:val="superscript"/>
        </w:rPr>
        <w:endnoteReference w:id="13"/>
      </w:r>
      <w:r w:rsidRPr="00DF5F23">
        <w:rPr>
          <w:rFonts w:ascii="Proxima Nova" w:hAnsi="Proxima Nova"/>
          <w:shd w:val="clear" w:color="auto" w:fill="FFFFFF"/>
        </w:rPr>
        <w:t xml:space="preserve"> This fact is often used as a basis for concluding that civil servants must be grouped together under KORPRI.</w:t>
      </w:r>
      <w:r w:rsidRPr="00DF5F23">
        <w:rPr>
          <w:rFonts w:ascii="Proxima Nova" w:hAnsi="Proxima Nova"/>
          <w:shd w:val="clear" w:color="auto" w:fill="FFFFFF"/>
          <w:vertAlign w:val="superscript"/>
        </w:rPr>
        <w:endnoteReference w:id="14"/>
      </w:r>
    </w:p>
    <w:p w14:paraId="3FBF2A25" w14:textId="77777777" w:rsidR="0031551F" w:rsidRPr="00DF5F23" w:rsidRDefault="0031551F" w:rsidP="003948C1">
      <w:pPr>
        <w:spacing w:after="160" w:line="259" w:lineRule="auto"/>
        <w:ind w:firstLine="720"/>
        <w:jc w:val="both"/>
        <w:rPr>
          <w:rFonts w:ascii="Proxima Nova" w:hAnsi="Proxima Nova"/>
        </w:rPr>
      </w:pPr>
      <w:r w:rsidRPr="00DF5F23">
        <w:rPr>
          <w:rFonts w:ascii="Proxima Nova" w:hAnsi="Proxima Nova"/>
          <w:shd w:val="clear" w:color="auto" w:fill="FFFFFF"/>
        </w:rPr>
        <w:t>Under Article 14 of the Trade Union Law, workers are not allowed to be part of more than one trade union at one enterprise.</w:t>
      </w:r>
      <w:r w:rsidRPr="00DF5F23">
        <w:rPr>
          <w:rFonts w:ascii="Proxima Nova" w:hAnsi="Proxima Nova"/>
          <w:shd w:val="clear" w:color="auto" w:fill="FFFFFF"/>
          <w:vertAlign w:val="superscript"/>
        </w:rPr>
        <w:endnoteReference w:id="15"/>
      </w:r>
      <w:r w:rsidRPr="00DF5F23">
        <w:rPr>
          <w:rFonts w:ascii="Proxima Nova" w:hAnsi="Proxima Nova"/>
          <w:shd w:val="clear" w:color="auto" w:fill="FFFFFF"/>
        </w:rPr>
        <w:t xml:space="preserve"> This article goes on to say that if a worker turns out to be registered as a member in more than one trade union, they </w:t>
      </w:r>
      <w:r w:rsidRPr="00DF5F23">
        <w:rPr>
          <w:rFonts w:ascii="Proxima Nova" w:hAnsi="Proxima Nova"/>
          <w:shd w:val="clear" w:color="auto" w:fill="FFFFFF"/>
        </w:rPr>
        <w:lastRenderedPageBreak/>
        <w:t>must make a written declaration stating the trade union in which they choose to retain their membership.</w:t>
      </w:r>
      <w:r w:rsidRPr="00DF5F23">
        <w:rPr>
          <w:rFonts w:ascii="Proxima Nova" w:hAnsi="Proxima Nova"/>
          <w:shd w:val="clear" w:color="auto" w:fill="FFFFFF"/>
          <w:vertAlign w:val="superscript"/>
        </w:rPr>
        <w:endnoteReference w:id="16"/>
      </w:r>
      <w:r w:rsidRPr="00DF5F23">
        <w:rPr>
          <w:rFonts w:ascii="Proxima Nova" w:hAnsi="Proxima Nova"/>
          <w:shd w:val="clear" w:color="auto" w:fill="FFFFFF"/>
        </w:rPr>
        <w:t xml:space="preserve"> The government has indicated that civil servants are automatically enrolled in KORPRI, and in 2003 it was confirmed that KORPRI was registered as a trade union, although its role and activities in relation to members and management had not changed since its functions prior to 1998 when it did not function as a trade union and was closely linked with the ruling GOLKAR party.</w:t>
      </w:r>
      <w:r w:rsidRPr="00DF5F23">
        <w:rPr>
          <w:rFonts w:ascii="Proxima Nova" w:hAnsi="Proxima Nova"/>
          <w:shd w:val="clear" w:color="auto" w:fill="FFFFFF"/>
          <w:vertAlign w:val="superscript"/>
        </w:rPr>
        <w:endnoteReference w:id="17"/>
      </w:r>
      <w:r w:rsidRPr="00DF5F23">
        <w:rPr>
          <w:rFonts w:ascii="Proxima Nova" w:hAnsi="Proxima Nova"/>
          <w:shd w:val="clear" w:color="auto" w:fill="FFFFFF"/>
        </w:rPr>
        <w:t xml:space="preserve"> Moreover, Presidential Decision 26/2000 states that all civil servants are members of KORPRI and have responsibility to pay financial contributions to KORPRI.</w:t>
      </w:r>
      <w:r w:rsidRPr="00DF5F23">
        <w:rPr>
          <w:rFonts w:ascii="Proxima Nova" w:hAnsi="Proxima Nova"/>
          <w:shd w:val="clear" w:color="auto" w:fill="FFFFFF"/>
          <w:vertAlign w:val="superscript"/>
        </w:rPr>
        <w:endnoteReference w:id="18"/>
      </w:r>
      <w:r w:rsidRPr="00DF5F23">
        <w:rPr>
          <w:rFonts w:ascii="Proxima Nova" w:hAnsi="Proxima Nova"/>
          <w:shd w:val="clear" w:color="auto" w:fill="FFFFFF"/>
        </w:rPr>
        <w:t xml:space="preserve"> The 2022 comments from the ILO’s CEACR to the Indonesian government still indicated that membership of KORPRI remains compulsory for workers in the civil service. </w:t>
      </w:r>
    </w:p>
    <w:p w14:paraId="23C0AF60" w14:textId="77777777" w:rsidR="0031551F" w:rsidRPr="00DF5F23" w:rsidRDefault="0031551F" w:rsidP="003948C1">
      <w:pPr>
        <w:spacing w:after="160" w:line="259" w:lineRule="auto"/>
        <w:ind w:firstLine="720"/>
        <w:jc w:val="both"/>
        <w:rPr>
          <w:rFonts w:ascii="Proxima Nova" w:hAnsi="Proxima Nova"/>
          <w:shd w:val="clear" w:color="auto" w:fill="FFFFFF"/>
        </w:rPr>
      </w:pPr>
      <w:r w:rsidRPr="00DF5F23">
        <w:rPr>
          <w:rFonts w:ascii="Proxima Nova" w:hAnsi="Proxima Nova"/>
          <w:shd w:val="clear" w:color="auto" w:fill="FFFFFF"/>
        </w:rPr>
        <w:t>Although KORPRI may be registered as a trade union, we have strong concerns about the capacity of KORPRI to negotiate on behalf of public sector unions and its independence from the government. Not only does it violate the principle of freely choosing to join an organization per Article 2 of ILO Convention No. 87, but the provisions of Law No. 5 set some of the terms and conditions of employment for civil servants in such a way that there is nothing for KORPRI to bargain for because it is mandated by the Government.</w:t>
      </w:r>
      <w:r w:rsidRPr="00DF5F23">
        <w:rPr>
          <w:rFonts w:ascii="Proxima Nova" w:hAnsi="Proxima Nova"/>
          <w:shd w:val="clear" w:color="auto" w:fill="FFFFFF"/>
          <w:vertAlign w:val="superscript"/>
        </w:rPr>
        <w:endnoteReference w:id="19"/>
      </w:r>
      <w:r w:rsidRPr="00DF5F23">
        <w:rPr>
          <w:rFonts w:ascii="Proxima Nova" w:hAnsi="Proxima Nova"/>
          <w:shd w:val="clear" w:color="auto" w:fill="FFFFFF"/>
        </w:rPr>
        <w:t xml:space="preserve"> It should not be classified as a union if it is in practice not a union. </w:t>
      </w:r>
    </w:p>
    <w:p w14:paraId="3214B8DD" w14:textId="77777777" w:rsidR="0031551F" w:rsidRPr="00DF5F23" w:rsidRDefault="0031551F" w:rsidP="003948C1">
      <w:pPr>
        <w:pStyle w:val="ListParagraph"/>
        <w:numPr>
          <w:ilvl w:val="0"/>
          <w:numId w:val="7"/>
        </w:numPr>
        <w:spacing w:after="160" w:line="259" w:lineRule="auto"/>
        <w:jc w:val="both"/>
        <w:rPr>
          <w:rFonts w:ascii="Proxima Nova" w:hAnsi="Proxima Nova" w:cs="Times New Roman"/>
          <w:shd w:val="clear" w:color="auto" w:fill="FFFFFF"/>
          <w:lang w:val="en-US"/>
        </w:rPr>
      </w:pPr>
      <w:r w:rsidRPr="00DF5F23">
        <w:rPr>
          <w:rFonts w:ascii="Proxima Nova" w:hAnsi="Proxima Nova" w:cs="Times New Roman"/>
          <w:b/>
          <w:bCs/>
          <w:shd w:val="clear" w:color="auto" w:fill="FFFFFF"/>
          <w:lang w:val="en-US"/>
        </w:rPr>
        <w:t xml:space="preserve">De Jure and De Facto Block of the Formation of Other Civil Servant Unions </w:t>
      </w:r>
    </w:p>
    <w:p w14:paraId="6004B898" w14:textId="77777777" w:rsidR="0031551F" w:rsidRPr="00DF5F23" w:rsidRDefault="0031551F" w:rsidP="003948C1">
      <w:pPr>
        <w:spacing w:after="160" w:line="259" w:lineRule="auto"/>
        <w:ind w:firstLine="720"/>
        <w:jc w:val="both"/>
        <w:rPr>
          <w:rFonts w:ascii="Proxima Nova" w:hAnsi="Proxima Nova"/>
          <w:shd w:val="clear" w:color="auto" w:fill="FFFFFF"/>
        </w:rPr>
      </w:pPr>
      <w:r w:rsidRPr="00DF5F23">
        <w:rPr>
          <w:rFonts w:ascii="Proxima Nova" w:hAnsi="Proxima Nova"/>
          <w:shd w:val="clear" w:color="auto" w:fill="FFFFFF"/>
        </w:rPr>
        <w:t>It is unclear in practice if a group of employees can opt not to be in KORPRI and create their own union. The Government must clarify if the 1999 changes in KORPRI’s constitution that ended its coverage in state-owned enterprises allows for unions outside of the KORPRI structure.</w:t>
      </w:r>
      <w:r w:rsidRPr="00DF5F23">
        <w:rPr>
          <w:rFonts w:ascii="Proxima Nova" w:hAnsi="Proxima Nova"/>
          <w:shd w:val="clear" w:color="auto" w:fill="FFFFFF"/>
          <w:vertAlign w:val="superscript"/>
        </w:rPr>
        <w:endnoteReference w:id="20"/>
      </w:r>
      <w:r w:rsidRPr="00DF5F23">
        <w:rPr>
          <w:rFonts w:ascii="Proxima Nova" w:hAnsi="Proxima Nova"/>
          <w:shd w:val="clear" w:color="auto" w:fill="FFFFFF"/>
        </w:rPr>
        <w:t xml:space="preserve"> After this change in 1999, many new unions emerged in state enterprises such as in the national electricity company (PLN), the postal service (POS Indonesia), and a large telecommunications company (</w:t>
      </w:r>
      <w:proofErr w:type="spellStart"/>
      <w:r w:rsidRPr="00DF5F23">
        <w:rPr>
          <w:rFonts w:ascii="Proxima Nova" w:hAnsi="Proxima Nova"/>
          <w:shd w:val="clear" w:color="auto" w:fill="FFFFFF"/>
        </w:rPr>
        <w:t>Indosat</w:t>
      </w:r>
      <w:proofErr w:type="spellEnd"/>
      <w:r w:rsidRPr="00DF5F23">
        <w:rPr>
          <w:rFonts w:ascii="Proxima Nova" w:hAnsi="Proxima Nova"/>
          <w:shd w:val="clear" w:color="auto" w:fill="FFFFFF"/>
        </w:rPr>
        <w:t>), all of which established new trade unions outside of the KORPRI structure.</w:t>
      </w:r>
      <w:r w:rsidRPr="00DF5F23">
        <w:rPr>
          <w:rFonts w:ascii="Proxima Nova" w:hAnsi="Proxima Nova"/>
          <w:shd w:val="clear" w:color="auto" w:fill="FFFFFF"/>
          <w:vertAlign w:val="superscript"/>
        </w:rPr>
        <w:endnoteReference w:id="21"/>
      </w:r>
      <w:r w:rsidRPr="00DF5F23">
        <w:rPr>
          <w:rFonts w:ascii="Proxima Nova" w:hAnsi="Proxima Nova"/>
          <w:shd w:val="clear" w:color="auto" w:fill="FFFFFF"/>
        </w:rPr>
        <w:t xml:space="preserve"> While these organizations still exist, they lack the capacity to function as independent trade unions. </w:t>
      </w:r>
    </w:p>
    <w:p w14:paraId="302A95E8" w14:textId="77777777" w:rsidR="0031551F" w:rsidRPr="00DF5F23" w:rsidRDefault="0031551F" w:rsidP="003948C1">
      <w:pPr>
        <w:spacing w:after="160" w:line="259" w:lineRule="auto"/>
        <w:ind w:firstLine="720"/>
        <w:jc w:val="both"/>
        <w:rPr>
          <w:rFonts w:ascii="Proxima Nova" w:hAnsi="Proxima Nova"/>
          <w:shd w:val="clear" w:color="auto" w:fill="FFFFFF"/>
        </w:rPr>
      </w:pPr>
      <w:r w:rsidRPr="00DF5F23">
        <w:rPr>
          <w:rFonts w:ascii="Proxima Nova" w:hAnsi="Proxima Nova"/>
          <w:shd w:val="clear" w:color="auto" w:fill="FFFFFF"/>
        </w:rPr>
        <w:t>PT. Pos Indonesia explicitly left KORPRI membership in 1999.</w:t>
      </w:r>
      <w:r w:rsidRPr="00DF5F23">
        <w:rPr>
          <w:rFonts w:ascii="Proxima Nova" w:hAnsi="Proxima Nova"/>
          <w:shd w:val="clear" w:color="auto" w:fill="FFFFFF"/>
          <w:vertAlign w:val="superscript"/>
        </w:rPr>
        <w:endnoteReference w:id="22"/>
      </w:r>
      <w:r w:rsidRPr="00DF5F23">
        <w:rPr>
          <w:rFonts w:ascii="Proxima Nova" w:hAnsi="Proxima Nova"/>
          <w:shd w:val="clear" w:color="auto" w:fill="FFFFFF"/>
        </w:rPr>
        <w:t xml:space="preserve"> With Presidential Decision 26/2000 also still in effect, it is unclear how POS Indonesia’s labor union can exist if new civil servants to POS Indonesia would automatically be enrolled in KORPRI despite POS having left KORPRI membership. Both organizations cannot be a union otherwise Article 14 of the Trade Union Law would be violated. </w:t>
      </w:r>
    </w:p>
    <w:p w14:paraId="6CC5B454" w14:textId="77777777" w:rsidR="0031551F" w:rsidRPr="00DF5F23" w:rsidRDefault="0031551F" w:rsidP="003948C1">
      <w:pPr>
        <w:spacing w:after="160" w:line="259" w:lineRule="auto"/>
        <w:ind w:firstLine="720"/>
        <w:jc w:val="both"/>
        <w:rPr>
          <w:rFonts w:ascii="Proxima Nova" w:hAnsi="Proxima Nova"/>
          <w:shd w:val="clear" w:color="auto" w:fill="FFFFFF"/>
        </w:rPr>
      </w:pPr>
      <w:r w:rsidRPr="00DF5F23">
        <w:rPr>
          <w:rFonts w:ascii="Proxima Nova" w:hAnsi="Proxima Nova"/>
          <w:shd w:val="clear" w:color="auto" w:fill="FFFFFF"/>
        </w:rPr>
        <w:t>Teachers are also classified as civil servants but have their own labor organization called PGRI.</w:t>
      </w:r>
      <w:r w:rsidRPr="00DF5F23">
        <w:rPr>
          <w:rFonts w:ascii="Proxima Nova" w:hAnsi="Proxima Nova"/>
          <w:shd w:val="clear" w:color="auto" w:fill="FFFFFF"/>
          <w:vertAlign w:val="superscript"/>
        </w:rPr>
        <w:endnoteReference w:id="23"/>
      </w:r>
      <w:r w:rsidRPr="00DF5F23">
        <w:rPr>
          <w:rFonts w:ascii="Proxima Nova" w:hAnsi="Proxima Nova"/>
          <w:shd w:val="clear" w:color="auto" w:fill="FFFFFF"/>
        </w:rPr>
        <w:t xml:space="preserve"> The problem is that this organization is not registered as a trade union despite calling themselves one. PGRI was formally registered as a professional association and has continuously claimed to operate de facto as a union.</w:t>
      </w:r>
      <w:r w:rsidRPr="00DF5F23">
        <w:rPr>
          <w:rFonts w:ascii="Proxima Nova" w:hAnsi="Proxima Nova"/>
          <w:shd w:val="clear" w:color="auto" w:fill="FFFFFF"/>
          <w:vertAlign w:val="superscript"/>
        </w:rPr>
        <w:endnoteReference w:id="24"/>
      </w:r>
      <w:r w:rsidRPr="00DF5F23">
        <w:rPr>
          <w:rFonts w:ascii="Proxima Nova" w:hAnsi="Proxima Nova"/>
          <w:shd w:val="clear" w:color="auto" w:fill="FFFFFF"/>
        </w:rPr>
        <w:t xml:space="preserve"> Despite the title of de facto union and strong labor advocacy, the PGRI is not a labor union. This would explain how the Presidential Decision mandating that civil servants be a part of KORPRI and so called “unions” could simultaneously exist without violating Article 14 of the Trade Union Law. </w:t>
      </w:r>
    </w:p>
    <w:p w14:paraId="77A3EC8E" w14:textId="77777777" w:rsidR="0031551F" w:rsidRPr="00DF5F23" w:rsidRDefault="0031551F" w:rsidP="003948C1">
      <w:pPr>
        <w:spacing w:after="160" w:line="259" w:lineRule="auto"/>
        <w:ind w:firstLine="720"/>
        <w:jc w:val="both"/>
        <w:rPr>
          <w:rFonts w:ascii="Proxima Nova" w:hAnsi="Proxima Nova"/>
          <w:shd w:val="clear" w:color="auto" w:fill="FFFFFF"/>
        </w:rPr>
      </w:pPr>
      <w:r w:rsidRPr="00DF5F23">
        <w:rPr>
          <w:rFonts w:ascii="Proxima Nova" w:hAnsi="Proxima Nova"/>
          <w:shd w:val="clear" w:color="auto" w:fill="FFFFFF"/>
        </w:rPr>
        <w:lastRenderedPageBreak/>
        <w:t xml:space="preserve">This situation is particularly troubling because the reality is that the Government has effectively blocked the formation of any civil servant trade unions other than the government mandated group KORPRI by labeling other civil servants’ groups as ‘associations’ or by inhibiting their abilities to register and function as a union. The existence of KORPRI undermines </w:t>
      </w:r>
      <w:proofErr w:type="gramStart"/>
      <w:r w:rsidRPr="00DF5F23">
        <w:rPr>
          <w:rFonts w:ascii="Proxima Nova" w:hAnsi="Proxima Nova"/>
          <w:shd w:val="clear" w:color="auto" w:fill="FFFFFF"/>
        </w:rPr>
        <w:t>a genuine</w:t>
      </w:r>
      <w:proofErr w:type="gramEnd"/>
      <w:r w:rsidRPr="00DF5F23">
        <w:rPr>
          <w:rFonts w:ascii="Proxima Nova" w:hAnsi="Proxima Nova"/>
          <w:shd w:val="clear" w:color="auto" w:fill="FFFFFF"/>
        </w:rPr>
        <w:t xml:space="preserve"> freedom of association. This is a violation of ILO Convention No. 87. Either the laws should be amended to clarify the rights of civil servants to form and join a union, or KORPRI, which does not function as a union, should be made into a professional organization. </w:t>
      </w:r>
    </w:p>
    <w:p w14:paraId="66B6EF1B" w14:textId="77777777" w:rsidR="0031551F" w:rsidRPr="00DF5F23" w:rsidRDefault="0031551F" w:rsidP="003948C1">
      <w:pPr>
        <w:pStyle w:val="ListParagraph"/>
        <w:numPr>
          <w:ilvl w:val="0"/>
          <w:numId w:val="1"/>
        </w:numPr>
        <w:spacing w:before="100" w:beforeAutospacing="1" w:after="100" w:afterAutospacing="1"/>
        <w:jc w:val="both"/>
        <w:rPr>
          <w:rFonts w:ascii="Proxima Nova" w:eastAsia="Times New Roman" w:hAnsi="Proxima Nova" w:cs="Times New Roman"/>
          <w:b/>
          <w:bCs/>
          <w:color w:val="000000" w:themeColor="text1"/>
          <w:kern w:val="0"/>
          <w:lang w:eastAsia="en-GB"/>
          <w14:ligatures w14:val="none"/>
        </w:rPr>
      </w:pPr>
      <w:r w:rsidRPr="00DF5F23">
        <w:rPr>
          <w:rFonts w:ascii="Proxima Nova" w:eastAsia="Times New Roman" w:hAnsi="Proxima Nova" w:cs="Times New Roman"/>
          <w:b/>
          <w:bCs/>
          <w:color w:val="000000" w:themeColor="text1"/>
          <w:kern w:val="0"/>
          <w:lang w:eastAsia="en-GB"/>
          <w14:ligatures w14:val="none"/>
        </w:rPr>
        <w:t>Job Creation Law No. 11 of 2020 (“Omnibus Law”) and its Successor Laws</w:t>
      </w:r>
    </w:p>
    <w:p w14:paraId="6A37DB42" w14:textId="3A79933E" w:rsidR="00683313" w:rsidRPr="00DF5F23" w:rsidRDefault="0031551F" w:rsidP="003948C1">
      <w:pPr>
        <w:spacing w:before="100" w:beforeAutospacing="1" w:after="100" w:afterAutospacing="1"/>
        <w:ind w:firstLine="720"/>
        <w:jc w:val="both"/>
        <w:rPr>
          <w:rFonts w:ascii="Proxima Nova" w:eastAsia="Times New Roman" w:hAnsi="Proxima Nova"/>
          <w:color w:val="000000" w:themeColor="text1"/>
          <w:lang w:eastAsia="en-GB"/>
        </w:rPr>
      </w:pPr>
      <w:r w:rsidRPr="00DF5F23">
        <w:rPr>
          <w:rFonts w:ascii="Proxima Nova" w:eastAsia="Times New Roman" w:hAnsi="Proxima Nova"/>
          <w:color w:val="000000" w:themeColor="text1"/>
          <w:lang w:eastAsia="en-GB"/>
        </w:rPr>
        <w:t>In 2020, the government of Indonesia enacted Law No. 11 of 2020, alternatively known as the Omnibus Law</w:t>
      </w:r>
      <w:r w:rsidR="00683313" w:rsidRPr="00DF5F23">
        <w:rPr>
          <w:rFonts w:ascii="Proxima Nova" w:eastAsia="Times New Roman" w:hAnsi="Proxima Nova"/>
          <w:color w:val="000000" w:themeColor="text1"/>
          <w:lang w:eastAsia="en-GB"/>
        </w:rPr>
        <w:t xml:space="preserve"> to replace Law No.11/2003 on Employment</w:t>
      </w:r>
      <w:r w:rsidRPr="00DF5F23">
        <w:rPr>
          <w:rFonts w:ascii="Proxima Nova" w:eastAsia="Times New Roman" w:hAnsi="Proxima Nova"/>
          <w:color w:val="000000" w:themeColor="text1"/>
          <w:lang w:eastAsia="en-GB"/>
        </w:rPr>
        <w:t>. The law went into effect in November 2020 with the stated aim of amending various regulations into a single legal instrument</w:t>
      </w:r>
      <w:r w:rsidR="00683313" w:rsidRPr="00DF5F23">
        <w:rPr>
          <w:rFonts w:ascii="Proxima Nova" w:eastAsia="Times New Roman" w:hAnsi="Proxima Nova"/>
          <w:color w:val="000000" w:themeColor="text1"/>
          <w:lang w:eastAsia="en-GB"/>
        </w:rPr>
        <w:t xml:space="preserve"> to ease the business environment</w:t>
      </w:r>
      <w:r w:rsidRPr="00DF5F23">
        <w:rPr>
          <w:rFonts w:ascii="Proxima Nova" w:eastAsia="Times New Roman" w:hAnsi="Proxima Nova"/>
          <w:color w:val="000000" w:themeColor="text1"/>
          <w:lang w:eastAsia="en-GB"/>
        </w:rPr>
        <w:t>.</w:t>
      </w:r>
      <w:r w:rsidRPr="00DF5F23">
        <w:rPr>
          <w:rStyle w:val="EndnoteReference"/>
          <w:rFonts w:ascii="Proxima Nova" w:hAnsi="Proxima Nova"/>
          <w:color w:val="000000" w:themeColor="text1"/>
          <w:lang w:eastAsia="en-GB"/>
        </w:rPr>
        <w:t xml:space="preserve"> </w:t>
      </w:r>
      <w:r w:rsidRPr="00DF5F23">
        <w:rPr>
          <w:rStyle w:val="EndnoteReference"/>
          <w:rFonts w:ascii="Proxima Nova" w:hAnsi="Proxima Nova"/>
          <w:color w:val="000000" w:themeColor="text1"/>
          <w:lang w:eastAsia="en-GB"/>
        </w:rPr>
        <w:endnoteReference w:id="25"/>
      </w:r>
      <w:r w:rsidRPr="00DF5F23">
        <w:rPr>
          <w:rFonts w:ascii="Proxima Nova" w:eastAsia="Times New Roman" w:hAnsi="Proxima Nova"/>
          <w:color w:val="000000" w:themeColor="text1"/>
          <w:lang w:eastAsia="en-GB"/>
        </w:rPr>
        <w:t xml:space="preserve"> </w:t>
      </w:r>
      <w:r w:rsidR="007F5A07" w:rsidRPr="00DF5F23">
        <w:rPr>
          <w:rFonts w:ascii="Proxima Nova" w:hAnsi="Proxima Nova"/>
          <w:color w:val="000000" w:themeColor="text1"/>
        </w:rPr>
        <w:t>Indonesian civil society and trade union organizations</w:t>
      </w:r>
      <w:r w:rsidR="007F5A07" w:rsidRPr="00DF5F23">
        <w:rPr>
          <w:rFonts w:ascii="Proxima Nova" w:hAnsi="Proxima Nova"/>
          <w:color w:val="000000" w:themeColor="text1"/>
          <w:shd w:val="clear" w:color="auto" w:fill="FFFFFF"/>
        </w:rPr>
        <w:t xml:space="preserve"> opposed immediately to the new legislation and challenged its constitutionality which</w:t>
      </w:r>
      <w:r w:rsidR="002B10D8" w:rsidRPr="00DF5F23">
        <w:rPr>
          <w:rFonts w:ascii="Proxima Nova" w:hAnsi="Proxima Nova"/>
          <w:color w:val="000000" w:themeColor="text1"/>
          <w:shd w:val="clear" w:color="auto" w:fill="FFFFFF"/>
        </w:rPr>
        <w:t xml:space="preserve"> has</w:t>
      </w:r>
      <w:r w:rsidR="007F5A07" w:rsidRPr="00DF5F23">
        <w:rPr>
          <w:rFonts w:ascii="Proxima Nova" w:hAnsi="Proxima Nova"/>
          <w:color w:val="000000" w:themeColor="text1"/>
          <w:shd w:val="clear" w:color="auto" w:fill="FFFFFF"/>
        </w:rPr>
        <w:t xml:space="preserve"> led to the Constitutional Court’s decision </w:t>
      </w:r>
      <w:r w:rsidR="00081F7A" w:rsidRPr="00DF5F23">
        <w:rPr>
          <w:rFonts w:ascii="Proxima Nova" w:hAnsi="Proxima Nova"/>
          <w:color w:val="000000" w:themeColor="text1"/>
          <w:shd w:val="clear" w:color="auto" w:fill="FFFFFF"/>
        </w:rPr>
        <w:t xml:space="preserve">in November 2021 </w:t>
      </w:r>
      <w:r w:rsidR="007F5A07" w:rsidRPr="00DF5F23">
        <w:rPr>
          <w:rFonts w:ascii="Proxima Nova" w:hAnsi="Proxima Nova"/>
          <w:color w:val="000000" w:themeColor="text1"/>
          <w:shd w:val="clear" w:color="auto" w:fill="FFFFFF"/>
        </w:rPr>
        <w:t xml:space="preserve">on a 2-year freeze of the law. Meanwhile, the government had adopted </w:t>
      </w:r>
      <w:proofErr w:type="gramStart"/>
      <w:r w:rsidR="007F5A07" w:rsidRPr="00DF5F23">
        <w:rPr>
          <w:rFonts w:ascii="Proxima Nova" w:hAnsi="Proxima Nova"/>
          <w:color w:val="000000" w:themeColor="text1"/>
          <w:shd w:val="clear" w:color="auto" w:fill="FFFFFF"/>
        </w:rPr>
        <w:t>a number of</w:t>
      </w:r>
      <w:proofErr w:type="gramEnd"/>
      <w:r w:rsidR="007F5A07" w:rsidRPr="00DF5F23">
        <w:rPr>
          <w:rFonts w:ascii="Proxima Nova" w:hAnsi="Proxima Nova"/>
          <w:color w:val="000000" w:themeColor="text1"/>
          <w:shd w:val="clear" w:color="auto" w:fill="FFFFFF"/>
        </w:rPr>
        <w:t xml:space="preserve"> Government Regulations based on the Omnibus Law </w:t>
      </w:r>
      <w:r w:rsidR="009B73B6" w:rsidRPr="00DF5F23">
        <w:rPr>
          <w:rFonts w:ascii="Proxima Nova" w:hAnsi="Proxima Nova"/>
          <w:color w:val="000000" w:themeColor="text1"/>
          <w:shd w:val="clear" w:color="auto" w:fill="FFFFFF"/>
        </w:rPr>
        <w:t>in 2021</w:t>
      </w:r>
      <w:r w:rsidR="00081F7A" w:rsidRPr="00DF5F23">
        <w:rPr>
          <w:rFonts w:ascii="Proxima Nova" w:hAnsi="Proxima Nova"/>
          <w:color w:val="000000" w:themeColor="text1"/>
          <w:shd w:val="clear" w:color="auto" w:fill="FFFFFF"/>
        </w:rPr>
        <w:t xml:space="preserve"> </w:t>
      </w:r>
      <w:r w:rsidR="007F5A07" w:rsidRPr="00DF5F23">
        <w:rPr>
          <w:rFonts w:ascii="Proxima Nova" w:hAnsi="Proxima Nova"/>
          <w:color w:val="000000" w:themeColor="text1"/>
          <w:shd w:val="clear" w:color="auto" w:fill="FFFFFF"/>
        </w:rPr>
        <w:t xml:space="preserve">to remove certain collective rights of workers </w:t>
      </w:r>
      <w:r w:rsidR="00D74115" w:rsidRPr="00DF5F23">
        <w:rPr>
          <w:rFonts w:ascii="Proxima Nova" w:hAnsi="Proxima Nova"/>
          <w:color w:val="000000" w:themeColor="text1"/>
          <w:shd w:val="clear" w:color="auto" w:fill="FFFFFF"/>
        </w:rPr>
        <w:t xml:space="preserve">concerning employment and wages. </w:t>
      </w:r>
    </w:p>
    <w:p w14:paraId="12FFD1D4" w14:textId="1E742EE5" w:rsidR="0031551F" w:rsidRPr="00DF5F23" w:rsidRDefault="0031551F" w:rsidP="003948C1">
      <w:pPr>
        <w:spacing w:before="100" w:beforeAutospacing="1" w:after="100" w:afterAutospacing="1"/>
        <w:ind w:firstLine="720"/>
        <w:jc w:val="both"/>
        <w:rPr>
          <w:rFonts w:ascii="Proxima Nova" w:eastAsia="Times New Roman" w:hAnsi="Proxima Nova"/>
          <w:color w:val="000000" w:themeColor="text1"/>
          <w:lang w:eastAsia="en-GB"/>
        </w:rPr>
      </w:pPr>
      <w:r w:rsidRPr="00DF5F23">
        <w:rPr>
          <w:rFonts w:ascii="Proxima Nova" w:eastAsia="Times New Roman" w:hAnsi="Proxima Nova"/>
          <w:color w:val="000000" w:themeColor="text1"/>
          <w:lang w:eastAsia="en-GB"/>
        </w:rPr>
        <w:t xml:space="preserve">In December 2022, the government of Indonesia replaced the Omnibus Law with the </w:t>
      </w:r>
      <w:r w:rsidRPr="00DF5F23">
        <w:rPr>
          <w:rFonts w:ascii="Proxima Nova" w:hAnsi="Proxima Nova"/>
          <w:color w:val="000000" w:themeColor="text1"/>
        </w:rPr>
        <w:t>Government Regulation in Lieu of Law No. 2 of 2022 on Job Creation (</w:t>
      </w:r>
      <w:proofErr w:type="spellStart"/>
      <w:r w:rsidRPr="00DF5F23">
        <w:rPr>
          <w:rFonts w:ascii="Proxima Nova" w:hAnsi="Proxima Nova"/>
          <w:color w:val="000000" w:themeColor="text1"/>
        </w:rPr>
        <w:t>Perppu</w:t>
      </w:r>
      <w:proofErr w:type="spellEnd"/>
      <w:r w:rsidRPr="00DF5F23">
        <w:rPr>
          <w:rFonts w:ascii="Proxima Nova" w:hAnsi="Proxima Nova"/>
          <w:color w:val="000000" w:themeColor="text1"/>
        </w:rPr>
        <w:t xml:space="preserve"> 2/2022).</w:t>
      </w:r>
      <w:r w:rsidRPr="00DF5F23">
        <w:rPr>
          <w:rStyle w:val="EndnoteReference"/>
          <w:rFonts w:ascii="Proxima Nova" w:hAnsi="Proxima Nova"/>
          <w:color w:val="000000" w:themeColor="text1"/>
        </w:rPr>
        <w:t xml:space="preserve"> </w:t>
      </w:r>
      <w:r w:rsidRPr="00DF5F23">
        <w:rPr>
          <w:rStyle w:val="EndnoteReference"/>
          <w:rFonts w:ascii="Proxima Nova" w:hAnsi="Proxima Nova"/>
          <w:color w:val="000000" w:themeColor="text1"/>
        </w:rPr>
        <w:endnoteReference w:id="26"/>
      </w:r>
      <w:r w:rsidRPr="00DF5F23">
        <w:rPr>
          <w:rFonts w:ascii="Proxima Nova" w:hAnsi="Proxima Nova"/>
          <w:color w:val="000000" w:themeColor="text1"/>
        </w:rPr>
        <w:t xml:space="preserve"> </w:t>
      </w:r>
      <w:r w:rsidRPr="00A97D8E">
        <w:rPr>
          <w:rFonts w:ascii="Proxima Nova" w:hAnsi="Proxima Nova"/>
          <w:color w:val="000000" w:themeColor="text1"/>
        </w:rPr>
        <w:t>This new law, which replicated the Omnibus law aside from minor changes, was made into permanent law in March 2023.</w:t>
      </w:r>
      <w:r w:rsidRPr="00A97D8E">
        <w:rPr>
          <w:rStyle w:val="EndnoteReference"/>
          <w:rFonts w:ascii="Proxima Nova" w:hAnsi="Proxima Nova"/>
          <w:color w:val="000000" w:themeColor="text1"/>
        </w:rPr>
        <w:endnoteReference w:id="27"/>
      </w:r>
      <w:r w:rsidRPr="00A97D8E">
        <w:rPr>
          <w:rFonts w:ascii="Proxima Nova" w:hAnsi="Proxima Nova"/>
          <w:color w:val="000000" w:themeColor="text1"/>
        </w:rPr>
        <w:t xml:space="preserve"> The</w:t>
      </w:r>
      <w:r w:rsidRPr="00DF5F23">
        <w:rPr>
          <w:rFonts w:ascii="Proxima Nova" w:hAnsi="Proxima Nova"/>
          <w:color w:val="000000" w:themeColor="text1"/>
        </w:rPr>
        <w:t xml:space="preserve"> President has the power to issue </w:t>
      </w:r>
      <w:proofErr w:type="spellStart"/>
      <w:r w:rsidRPr="00DF5F23">
        <w:rPr>
          <w:rFonts w:ascii="Proxima Nova" w:hAnsi="Proxima Nova"/>
          <w:color w:val="000000" w:themeColor="text1"/>
        </w:rPr>
        <w:t>Perppu</w:t>
      </w:r>
      <w:proofErr w:type="spellEnd"/>
      <w:r w:rsidRPr="00DF5F23">
        <w:rPr>
          <w:rFonts w:ascii="Proxima Nova" w:hAnsi="Proxima Nova"/>
          <w:color w:val="000000" w:themeColor="text1"/>
        </w:rPr>
        <w:t xml:space="preserve"> when the parliament is not in session if there is an emergency situation.</w:t>
      </w:r>
      <w:r w:rsidRPr="00DF5F23">
        <w:rPr>
          <w:rFonts w:ascii="Proxima Nova" w:hAnsi="Proxima Nova"/>
          <w:color w:val="000000" w:themeColor="text1"/>
          <w:shd w:val="clear" w:color="auto" w:fill="F9F9F9"/>
        </w:rPr>
        <w:t xml:space="preserve"> </w:t>
      </w:r>
      <w:r w:rsidRPr="00DF5F23">
        <w:rPr>
          <w:rFonts w:ascii="Proxima Nova" w:hAnsi="Proxima Nova"/>
          <w:color w:val="000000" w:themeColor="text1"/>
        </w:rPr>
        <w:t xml:space="preserve">The President justified this </w:t>
      </w:r>
      <w:proofErr w:type="gramStart"/>
      <w:r w:rsidRPr="00DF5F23">
        <w:rPr>
          <w:rFonts w:ascii="Proxima Nova" w:hAnsi="Proxima Nova"/>
          <w:color w:val="000000" w:themeColor="text1"/>
        </w:rPr>
        <w:t xml:space="preserve">particular </w:t>
      </w:r>
      <w:proofErr w:type="spellStart"/>
      <w:r w:rsidRPr="00DF5F23">
        <w:rPr>
          <w:rFonts w:ascii="Proxima Nova" w:hAnsi="Proxima Nova"/>
          <w:color w:val="000000" w:themeColor="text1"/>
        </w:rPr>
        <w:t>Perppu</w:t>
      </w:r>
      <w:proofErr w:type="spellEnd"/>
      <w:proofErr w:type="gramEnd"/>
      <w:r w:rsidRPr="00DF5F23">
        <w:rPr>
          <w:rFonts w:ascii="Proxima Nova" w:hAnsi="Proxima Nova"/>
          <w:color w:val="000000" w:themeColor="text1"/>
        </w:rPr>
        <w:t xml:space="preserve"> decree on the basis of an economic emergency arising from</w:t>
      </w:r>
      <w:r w:rsidRPr="00DF5F23">
        <w:rPr>
          <w:rFonts w:ascii="Proxima Nova" w:hAnsi="Proxima Nova"/>
          <w:color w:val="000000" w:themeColor="text1"/>
          <w:shd w:val="clear" w:color="auto" w:fill="F9F9F9"/>
        </w:rPr>
        <w:t xml:space="preserve"> </w:t>
      </w:r>
      <w:r w:rsidRPr="00DF5F23">
        <w:rPr>
          <w:rFonts w:ascii="Proxima Nova" w:hAnsi="Proxima Nova"/>
          <w:color w:val="000000" w:themeColor="text1"/>
        </w:rPr>
        <w:t xml:space="preserve">the pandemic and geopolitics. The </w:t>
      </w:r>
      <w:proofErr w:type="spellStart"/>
      <w:r w:rsidRPr="00DF5F23">
        <w:rPr>
          <w:rFonts w:ascii="Proxima Nova" w:hAnsi="Proxima Nova"/>
          <w:color w:val="000000" w:themeColor="text1"/>
        </w:rPr>
        <w:t>Perppu</w:t>
      </w:r>
      <w:proofErr w:type="spellEnd"/>
      <w:r w:rsidRPr="00DF5F23">
        <w:rPr>
          <w:rFonts w:ascii="Proxima Nova" w:hAnsi="Proxima Nova"/>
          <w:color w:val="000000" w:themeColor="text1"/>
        </w:rPr>
        <w:t xml:space="preserve"> thus replaced the Omnibus law without changing it substantively.</w:t>
      </w:r>
      <w:r w:rsidRPr="00DF5F23">
        <w:rPr>
          <w:rStyle w:val="EndnoteReference"/>
          <w:rFonts w:ascii="Proxima Nova" w:hAnsi="Proxima Nova"/>
          <w:color w:val="000000" w:themeColor="text1"/>
        </w:rPr>
        <w:endnoteReference w:id="28"/>
      </w:r>
      <w:r w:rsidRPr="00DF5F23">
        <w:rPr>
          <w:rFonts w:ascii="Proxima Nova" w:hAnsi="Proxima Nova"/>
          <w:color w:val="000000" w:themeColor="text1"/>
          <w:shd w:val="clear" w:color="auto" w:fill="F9F9F9"/>
        </w:rPr>
        <w:t xml:space="preserve"> </w:t>
      </w:r>
    </w:p>
    <w:p w14:paraId="4A341079" w14:textId="68366F15" w:rsidR="0031551F" w:rsidRPr="00DF5F23" w:rsidRDefault="0031551F" w:rsidP="003948C1">
      <w:pPr>
        <w:ind w:firstLine="720"/>
        <w:jc w:val="both"/>
        <w:rPr>
          <w:rFonts w:ascii="Proxima Nova" w:hAnsi="Proxima Nova"/>
          <w:color w:val="000000" w:themeColor="text1"/>
        </w:rPr>
      </w:pPr>
      <w:r w:rsidRPr="00DF5F23">
        <w:rPr>
          <w:rFonts w:ascii="Proxima Nova" w:hAnsi="Proxima Nova"/>
          <w:color w:val="000000" w:themeColor="text1"/>
        </w:rPr>
        <w:t>Indonesian trade union organizations</w:t>
      </w:r>
      <w:r w:rsidRPr="00DF5F23">
        <w:rPr>
          <w:rFonts w:ascii="Proxima Nova" w:hAnsi="Proxima Nova"/>
          <w:color w:val="000000" w:themeColor="text1"/>
          <w:shd w:val="clear" w:color="auto" w:fill="FFFFFF"/>
        </w:rPr>
        <w:t xml:space="preserve"> </w:t>
      </w:r>
      <w:r w:rsidR="007F5A07" w:rsidRPr="00DF5F23">
        <w:rPr>
          <w:rFonts w:ascii="Proxima Nova" w:hAnsi="Proxima Nova"/>
          <w:color w:val="000000" w:themeColor="text1"/>
          <w:shd w:val="clear" w:color="auto" w:fill="FFFFFF"/>
        </w:rPr>
        <w:t>mobilized massively to urge the</w:t>
      </w:r>
      <w:r w:rsidRPr="00DF5F23">
        <w:rPr>
          <w:rFonts w:ascii="Proxima Nova" w:hAnsi="Proxima Nova"/>
          <w:color w:val="000000" w:themeColor="text1"/>
          <w:shd w:val="clear" w:color="auto" w:fill="FFFFFF"/>
        </w:rPr>
        <w:t xml:space="preserve"> parliament to strike down the </w:t>
      </w:r>
      <w:proofErr w:type="spellStart"/>
      <w:r w:rsidRPr="00DF5F23">
        <w:rPr>
          <w:rFonts w:ascii="Proxima Nova" w:hAnsi="Proxima Nova"/>
          <w:color w:val="000000" w:themeColor="text1"/>
          <w:shd w:val="clear" w:color="auto" w:fill="FFFFFF"/>
        </w:rPr>
        <w:t>Perppu</w:t>
      </w:r>
      <w:proofErr w:type="spellEnd"/>
      <w:r w:rsidRPr="00DF5F23">
        <w:rPr>
          <w:rFonts w:ascii="Proxima Nova" w:hAnsi="Proxima Nova"/>
          <w:color w:val="000000" w:themeColor="text1"/>
          <w:shd w:val="clear" w:color="auto" w:fill="FFFFFF"/>
        </w:rPr>
        <w:t>.</w:t>
      </w:r>
      <w:r w:rsidRPr="00DF5F23">
        <w:rPr>
          <w:rStyle w:val="EndnoteReference"/>
          <w:rFonts w:ascii="Proxima Nova" w:hAnsi="Proxima Nova"/>
          <w:color w:val="000000" w:themeColor="text1"/>
          <w:shd w:val="clear" w:color="auto" w:fill="FFFFFF"/>
        </w:rPr>
        <w:endnoteReference w:id="29"/>
      </w:r>
      <w:r w:rsidRPr="00DF5F23">
        <w:rPr>
          <w:rFonts w:ascii="Proxima Nova" w:hAnsi="Proxima Nova"/>
          <w:color w:val="000000" w:themeColor="text1"/>
          <w:shd w:val="clear" w:color="auto" w:fill="FFFFFF"/>
        </w:rPr>
        <w:t xml:space="preserve"> </w:t>
      </w:r>
      <w:r w:rsidRPr="00DF5F23">
        <w:rPr>
          <w:rFonts w:ascii="Proxima Nova" w:hAnsi="Proxima Nova"/>
          <w:color w:val="000000" w:themeColor="text1"/>
        </w:rPr>
        <w:t xml:space="preserve">The </w:t>
      </w:r>
      <w:proofErr w:type="gramStart"/>
      <w:r w:rsidRPr="00DF5F23">
        <w:rPr>
          <w:rFonts w:ascii="Proxima Nova" w:hAnsi="Proxima Nova"/>
          <w:color w:val="000000" w:themeColor="text1"/>
        </w:rPr>
        <w:t>protests against</w:t>
      </w:r>
      <w:proofErr w:type="gramEnd"/>
      <w:r w:rsidRPr="00DF5F23">
        <w:rPr>
          <w:rFonts w:ascii="Proxima Nova" w:hAnsi="Proxima Nova"/>
          <w:color w:val="000000" w:themeColor="text1"/>
        </w:rPr>
        <w:t xml:space="preserve"> the new version of the Omnibus Law were widespread, with organizers claiming that 1 million people joined protests in October 2021.</w:t>
      </w:r>
      <w:r w:rsidRPr="00DF5F23">
        <w:rPr>
          <w:rStyle w:val="EndnoteReference"/>
          <w:rFonts w:ascii="Proxima Nova" w:hAnsi="Proxima Nova"/>
          <w:color w:val="000000" w:themeColor="text1"/>
        </w:rPr>
        <w:t xml:space="preserve"> </w:t>
      </w:r>
      <w:r w:rsidRPr="00DF5F23">
        <w:rPr>
          <w:rStyle w:val="EndnoteReference"/>
          <w:rFonts w:ascii="Proxima Nova" w:hAnsi="Proxima Nova"/>
          <w:color w:val="000000" w:themeColor="text1"/>
        </w:rPr>
        <w:endnoteReference w:id="30"/>
      </w:r>
      <w:r w:rsidRPr="00DF5F23">
        <w:rPr>
          <w:rFonts w:ascii="Proxima Nova" w:hAnsi="Proxima Nova"/>
          <w:color w:val="000000" w:themeColor="text1"/>
        </w:rPr>
        <w:t xml:space="preserve"> Yet the government responded by using tear gas, riot police, and arrests to break down the demonstrations.</w:t>
      </w:r>
      <w:r w:rsidRPr="00DF5F23">
        <w:rPr>
          <w:rStyle w:val="EndnoteReference"/>
          <w:rFonts w:ascii="Proxima Nova" w:hAnsi="Proxima Nova"/>
          <w:color w:val="000000" w:themeColor="text1"/>
        </w:rPr>
        <w:endnoteReference w:id="31"/>
      </w:r>
    </w:p>
    <w:p w14:paraId="4A68CB0C" w14:textId="0B50583E" w:rsidR="0031551F" w:rsidRPr="00DF5F23" w:rsidRDefault="0031551F" w:rsidP="003948C1">
      <w:pPr>
        <w:spacing w:before="100" w:beforeAutospacing="1" w:after="100" w:afterAutospacing="1"/>
        <w:ind w:firstLine="720"/>
        <w:jc w:val="both"/>
        <w:rPr>
          <w:rFonts w:ascii="Proxima Nova" w:eastAsia="Times New Roman" w:hAnsi="Proxima Nova"/>
          <w:color w:val="000000" w:themeColor="text1"/>
          <w:lang w:eastAsia="en-GB"/>
        </w:rPr>
      </w:pPr>
      <w:r w:rsidRPr="00DF5F23">
        <w:rPr>
          <w:rFonts w:ascii="Proxima Nova" w:hAnsi="Proxima Nova"/>
          <w:color w:val="000000" w:themeColor="text1"/>
        </w:rPr>
        <w:t xml:space="preserve">On January 9, 2023, GEBRAK issued a statement signed by twenty civil society organizations (including ten unions). They called for the repeal of the original Omnibus Law and the </w:t>
      </w:r>
      <w:proofErr w:type="spellStart"/>
      <w:r w:rsidRPr="00DF5F23">
        <w:rPr>
          <w:rFonts w:ascii="Proxima Nova" w:hAnsi="Proxima Nova"/>
          <w:color w:val="000000" w:themeColor="text1"/>
        </w:rPr>
        <w:t>Perppu</w:t>
      </w:r>
      <w:proofErr w:type="spellEnd"/>
      <w:r w:rsidRPr="00DF5F23">
        <w:rPr>
          <w:rFonts w:ascii="Proxima Nova" w:hAnsi="Proxima Nova"/>
          <w:color w:val="000000" w:themeColor="text1"/>
        </w:rPr>
        <w:t>. They protested the informalization of employment under the law and the removal of outsourcing restrictions.</w:t>
      </w:r>
      <w:r w:rsidRPr="00DF5F23">
        <w:rPr>
          <w:rStyle w:val="EndnoteReference"/>
          <w:rFonts w:ascii="Proxima Nova" w:hAnsi="Proxima Nova"/>
          <w:color w:val="000000" w:themeColor="text1"/>
        </w:rPr>
        <w:endnoteReference w:id="32"/>
      </w:r>
      <w:r w:rsidRPr="00DF5F23">
        <w:rPr>
          <w:rFonts w:ascii="Proxima Nova" w:eastAsia="Times New Roman" w:hAnsi="Proxima Nova"/>
          <w:color w:val="000000" w:themeColor="text1"/>
          <w:lang w:eastAsia="en-GB"/>
        </w:rPr>
        <w:t xml:space="preserve"> </w:t>
      </w:r>
      <w:r w:rsidRPr="00DF5F23">
        <w:rPr>
          <w:rFonts w:ascii="Proxima Nova" w:hAnsi="Proxima Nova"/>
          <w:color w:val="000000" w:themeColor="text1"/>
        </w:rPr>
        <w:t xml:space="preserve">On 20 March 2023, the Director-General of the ILO wrote a letter to the Government of Indonesia to put forward concerns by the three largest trade union confederations in the country (KSPI, KSBSI and KSPSI). </w:t>
      </w:r>
      <w:r w:rsidR="00D74115" w:rsidRPr="00DF5F23">
        <w:rPr>
          <w:rFonts w:ascii="Proxima Nova" w:hAnsi="Proxima Nova"/>
          <w:color w:val="000000" w:themeColor="text1"/>
        </w:rPr>
        <w:t xml:space="preserve">In May, </w:t>
      </w:r>
      <w:proofErr w:type="spellStart"/>
      <w:r w:rsidR="00D74115" w:rsidRPr="00DF5F23">
        <w:rPr>
          <w:rFonts w:ascii="Proxima Nova" w:hAnsi="Proxima Nova"/>
          <w:color w:val="000000" w:themeColor="text1"/>
        </w:rPr>
        <w:t>Perppu</w:t>
      </w:r>
      <w:proofErr w:type="spellEnd"/>
      <w:r w:rsidR="00D74115" w:rsidRPr="00DF5F23">
        <w:rPr>
          <w:rFonts w:ascii="Proxima Nova" w:hAnsi="Proxima Nova"/>
          <w:color w:val="000000" w:themeColor="text1"/>
        </w:rPr>
        <w:t xml:space="preserve"> 2/</w:t>
      </w:r>
      <w:proofErr w:type="gramStart"/>
      <w:r w:rsidR="00D74115" w:rsidRPr="00DF5F23">
        <w:rPr>
          <w:rFonts w:ascii="Proxima Nova" w:hAnsi="Proxima Nova"/>
          <w:color w:val="000000" w:themeColor="text1"/>
        </w:rPr>
        <w:t xml:space="preserve">2022 </w:t>
      </w:r>
      <w:r w:rsidRPr="00DF5F23">
        <w:rPr>
          <w:rFonts w:ascii="Proxima Nova" w:hAnsi="Proxima Nova"/>
          <w:color w:val="000000" w:themeColor="text1"/>
        </w:rPr>
        <w:t xml:space="preserve"> was</w:t>
      </w:r>
      <w:proofErr w:type="gramEnd"/>
      <w:r w:rsidRPr="00DF5F23">
        <w:rPr>
          <w:rFonts w:ascii="Proxima Nova" w:hAnsi="Proxima Nova"/>
          <w:color w:val="000000" w:themeColor="text1"/>
        </w:rPr>
        <w:t xml:space="preserve"> passed into permanent law by parliament and became Law No. 6/2023. However, </w:t>
      </w:r>
      <w:proofErr w:type="gramStart"/>
      <w:r w:rsidRPr="00DF5F23">
        <w:rPr>
          <w:rFonts w:ascii="Proxima Nova" w:hAnsi="Proxima Nova"/>
          <w:color w:val="000000" w:themeColor="text1"/>
        </w:rPr>
        <w:t>protests against</w:t>
      </w:r>
      <w:proofErr w:type="gramEnd"/>
      <w:r w:rsidRPr="00DF5F23">
        <w:rPr>
          <w:rFonts w:ascii="Proxima Nova" w:hAnsi="Proxima Nova"/>
          <w:color w:val="000000" w:themeColor="text1"/>
        </w:rPr>
        <w:t xml:space="preserve"> the law continue.</w:t>
      </w:r>
    </w:p>
    <w:p w14:paraId="47195A8E" w14:textId="77777777" w:rsidR="0031551F" w:rsidRPr="00DF5F23" w:rsidRDefault="0031551F" w:rsidP="003948C1">
      <w:pPr>
        <w:pStyle w:val="NormalWeb"/>
        <w:numPr>
          <w:ilvl w:val="0"/>
          <w:numId w:val="3"/>
        </w:numPr>
        <w:spacing w:before="0" w:beforeAutospacing="0" w:after="0" w:afterAutospacing="0"/>
        <w:jc w:val="both"/>
        <w:textAlignment w:val="baseline"/>
        <w:rPr>
          <w:rFonts w:ascii="Proxima Nova" w:hAnsi="Proxima Nova"/>
          <w:b/>
          <w:bCs/>
          <w:color w:val="000000" w:themeColor="text1"/>
          <w:shd w:val="clear" w:color="auto" w:fill="FFFFFF"/>
        </w:rPr>
      </w:pPr>
      <w:r w:rsidRPr="00DF5F23">
        <w:rPr>
          <w:rFonts w:ascii="Proxima Nova" w:hAnsi="Proxima Nova"/>
          <w:b/>
          <w:bCs/>
          <w:color w:val="000000" w:themeColor="text1"/>
          <w:shd w:val="clear" w:color="auto" w:fill="FFFFFF"/>
        </w:rPr>
        <w:t>Impact on Termination of Employment</w:t>
      </w:r>
    </w:p>
    <w:p w14:paraId="32B3D3CD" w14:textId="77777777" w:rsidR="0031551F" w:rsidRPr="00DF5F23" w:rsidRDefault="0031551F" w:rsidP="003948C1">
      <w:pPr>
        <w:pStyle w:val="NormalWeb"/>
        <w:spacing w:before="0" w:beforeAutospacing="0" w:after="0" w:afterAutospacing="0"/>
        <w:ind w:firstLine="720"/>
        <w:jc w:val="both"/>
        <w:textAlignment w:val="baseline"/>
        <w:rPr>
          <w:rFonts w:ascii="Proxima Nova" w:hAnsi="Proxima Nova"/>
          <w:b/>
          <w:bCs/>
          <w:color w:val="000000" w:themeColor="text1"/>
          <w:shd w:val="clear" w:color="auto" w:fill="FFFFFF"/>
        </w:rPr>
      </w:pPr>
    </w:p>
    <w:p w14:paraId="37D12DA0" w14:textId="47136A37" w:rsidR="0031551F" w:rsidRPr="00DF5F23" w:rsidRDefault="0031551F" w:rsidP="003948C1">
      <w:pPr>
        <w:pStyle w:val="NormalWeb"/>
        <w:spacing w:before="0" w:beforeAutospacing="0" w:after="0" w:afterAutospacing="0"/>
        <w:ind w:firstLine="720"/>
        <w:jc w:val="both"/>
        <w:textAlignment w:val="baseline"/>
        <w:rPr>
          <w:rFonts w:ascii="Proxima Nova" w:hAnsi="Proxima Nova"/>
          <w:b/>
          <w:bCs/>
          <w:color w:val="000000" w:themeColor="text1"/>
          <w:shd w:val="clear" w:color="auto" w:fill="FFFFFF"/>
        </w:rPr>
      </w:pPr>
      <w:r w:rsidRPr="00DF5F23">
        <w:rPr>
          <w:rFonts w:ascii="Proxima Nova" w:hAnsi="Proxima Nova"/>
          <w:color w:val="000000" w:themeColor="text1"/>
          <w:shd w:val="clear" w:color="auto" w:fill="FFFFFF"/>
        </w:rPr>
        <w:lastRenderedPageBreak/>
        <w:t xml:space="preserve">The </w:t>
      </w:r>
      <w:proofErr w:type="spellStart"/>
      <w:r w:rsidR="00683313" w:rsidRPr="00DF5F23">
        <w:rPr>
          <w:rFonts w:ascii="Proxima Nova" w:hAnsi="Proxima Nova"/>
          <w:color w:val="000000" w:themeColor="text1"/>
          <w:shd w:val="clear" w:color="auto" w:fill="FFFFFF"/>
        </w:rPr>
        <w:t>Perppu</w:t>
      </w:r>
      <w:proofErr w:type="spellEnd"/>
      <w:r w:rsidR="00683313" w:rsidRPr="00DF5F23">
        <w:rPr>
          <w:rFonts w:ascii="Proxima Nova" w:hAnsi="Proxima Nova"/>
          <w:color w:val="000000" w:themeColor="text1"/>
          <w:shd w:val="clear" w:color="auto" w:fill="FFFFFF"/>
        </w:rPr>
        <w:t xml:space="preserve"> 2/2022</w:t>
      </w:r>
      <w:r w:rsidRPr="00DF5F23">
        <w:rPr>
          <w:rFonts w:ascii="Proxima Nova" w:hAnsi="Proxima Nova"/>
          <w:color w:val="000000" w:themeColor="text1"/>
          <w:shd w:val="clear" w:color="auto" w:fill="FFFFFF"/>
        </w:rPr>
        <w:t xml:space="preserve"> and its </w:t>
      </w:r>
      <w:proofErr w:type="gramStart"/>
      <w:r w:rsidRPr="00DF5F23">
        <w:rPr>
          <w:rFonts w:ascii="Proxima Nova" w:hAnsi="Proxima Nova"/>
          <w:color w:val="000000" w:themeColor="text1"/>
          <w:shd w:val="clear" w:color="auto" w:fill="FFFFFF"/>
        </w:rPr>
        <w:t>nearly-identical</w:t>
      </w:r>
      <w:proofErr w:type="gramEnd"/>
      <w:r w:rsidRPr="00DF5F23">
        <w:rPr>
          <w:rFonts w:ascii="Proxima Nova" w:hAnsi="Proxima Nova"/>
          <w:color w:val="000000" w:themeColor="text1"/>
          <w:shd w:val="clear" w:color="auto" w:fill="FFFFFF"/>
        </w:rPr>
        <w:t xml:space="preserve"> replacement</w:t>
      </w:r>
      <w:r w:rsidR="00683313" w:rsidRPr="00DF5F23">
        <w:rPr>
          <w:rFonts w:ascii="Proxima Nova" w:hAnsi="Proxima Nova"/>
          <w:color w:val="000000" w:themeColor="text1"/>
          <w:shd w:val="clear" w:color="auto" w:fill="FFFFFF"/>
        </w:rPr>
        <w:t>, Law No.6/2023</w:t>
      </w:r>
      <w:r w:rsidRPr="00DF5F23">
        <w:rPr>
          <w:rFonts w:ascii="Proxima Nova" w:hAnsi="Proxima Nova"/>
          <w:color w:val="000000" w:themeColor="text1"/>
          <w:shd w:val="clear" w:color="auto" w:fill="FFFFFF"/>
        </w:rPr>
        <w:t xml:space="preserve"> adversely affected the rights of terminated employees. The </w:t>
      </w:r>
      <w:r w:rsidR="007A2A0E" w:rsidRPr="00DF5F23">
        <w:rPr>
          <w:rFonts w:ascii="Proxima Nova" w:hAnsi="Proxima Nova"/>
          <w:color w:val="000000" w:themeColor="text1"/>
          <w:shd w:val="clear" w:color="auto" w:fill="FFFFFF"/>
        </w:rPr>
        <w:t>L</w:t>
      </w:r>
      <w:r w:rsidRPr="00DF5F23">
        <w:rPr>
          <w:rFonts w:ascii="Proxima Nova" w:hAnsi="Proxima Nova"/>
          <w:color w:val="000000" w:themeColor="text1"/>
          <w:shd w:val="clear" w:color="auto" w:fill="FFFFFF"/>
        </w:rPr>
        <w:t>aw</w:t>
      </w:r>
      <w:r w:rsidR="00430CC6" w:rsidRPr="00DF5F23">
        <w:rPr>
          <w:rFonts w:ascii="Proxima Nova" w:hAnsi="Proxima Nova"/>
          <w:color w:val="000000" w:themeColor="text1"/>
          <w:shd w:val="clear" w:color="auto" w:fill="FFFFFF"/>
        </w:rPr>
        <w:t xml:space="preserve"> No. 6/</w:t>
      </w:r>
      <w:proofErr w:type="gramStart"/>
      <w:r w:rsidR="00430CC6" w:rsidRPr="00DF5F23">
        <w:rPr>
          <w:rFonts w:ascii="Proxima Nova" w:hAnsi="Proxima Nova"/>
          <w:color w:val="000000" w:themeColor="text1"/>
          <w:shd w:val="clear" w:color="auto" w:fill="FFFFFF"/>
        </w:rPr>
        <w:t>2023</w:t>
      </w:r>
      <w:r w:rsidRPr="00DF5F23">
        <w:rPr>
          <w:rFonts w:ascii="Proxima Nova" w:hAnsi="Proxima Nova"/>
          <w:color w:val="000000" w:themeColor="text1"/>
          <w:shd w:val="clear" w:color="auto" w:fill="FFFFFF"/>
        </w:rPr>
        <w:t xml:space="preserve"> </w:t>
      </w:r>
      <w:r w:rsidR="00EE04F6" w:rsidRPr="00DF5F23">
        <w:rPr>
          <w:rFonts w:ascii="Proxima Nova" w:hAnsi="Proxima Nova"/>
          <w:color w:val="000000" w:themeColor="text1"/>
        </w:rPr>
        <w:t xml:space="preserve"> </w:t>
      </w:r>
      <w:r w:rsidRPr="00DF5F23">
        <w:rPr>
          <w:rFonts w:ascii="Proxima Nova" w:hAnsi="Proxima Nova"/>
          <w:color w:val="000000" w:themeColor="text1"/>
          <w:shd w:val="clear" w:color="auto" w:fill="FFFFFF"/>
        </w:rPr>
        <w:t>reduces</w:t>
      </w:r>
      <w:proofErr w:type="gramEnd"/>
      <w:r w:rsidRPr="00DF5F23">
        <w:rPr>
          <w:rFonts w:ascii="Proxima Nova" w:hAnsi="Proxima Nova"/>
          <w:color w:val="000000" w:themeColor="text1"/>
          <w:shd w:val="clear" w:color="auto" w:fill="FFFFFF"/>
        </w:rPr>
        <w:t xml:space="preserve"> the compensation for dismissed workers with five years of work experience from 36-60 weeks of pay to a maximum 24 weeks of pay. It increases the limit for fixed-term contract work. Under Article 59 of the </w:t>
      </w:r>
      <w:r w:rsidR="00430CC6" w:rsidRPr="00DF5F23">
        <w:rPr>
          <w:rFonts w:ascii="Proxima Nova" w:hAnsi="Proxima Nova"/>
          <w:color w:val="000000" w:themeColor="text1"/>
          <w:shd w:val="clear" w:color="auto" w:fill="FFFFFF"/>
        </w:rPr>
        <w:t>L</w:t>
      </w:r>
      <w:r w:rsidRPr="00DF5F23">
        <w:rPr>
          <w:rFonts w:ascii="Proxima Nova" w:hAnsi="Proxima Nova"/>
          <w:color w:val="000000" w:themeColor="text1"/>
          <w:shd w:val="clear" w:color="auto" w:fill="FFFFFF"/>
        </w:rPr>
        <w:t>aw, fixed-term contracts were expanded to a maximum limit of 5 years.</w:t>
      </w:r>
      <w:r w:rsidRPr="00DF5F23">
        <w:rPr>
          <w:rStyle w:val="EndnoteReference"/>
          <w:rFonts w:ascii="Proxima Nova" w:hAnsi="Proxima Nova"/>
          <w:color w:val="000000" w:themeColor="text1"/>
          <w:shd w:val="clear" w:color="auto" w:fill="FFFFFF"/>
        </w:rPr>
        <w:endnoteReference w:id="33"/>
      </w:r>
      <w:r w:rsidRPr="00DF5F23">
        <w:rPr>
          <w:rFonts w:ascii="Proxima Nova" w:hAnsi="Proxima Nova"/>
          <w:color w:val="000000" w:themeColor="text1"/>
          <w:shd w:val="clear" w:color="auto" w:fill="FFFFFF"/>
        </w:rPr>
        <w:t xml:space="preserve"> </w:t>
      </w:r>
      <w:r w:rsidRPr="00DF5F23">
        <w:rPr>
          <w:rFonts w:ascii="Proxima Nova" w:hAnsi="Proxima Nova"/>
          <w:color w:val="000000" w:themeColor="text1"/>
        </w:rPr>
        <w:t>Article 56, paragraph (3) of the Law does not set a limit on the number of times these contracts can be extended.</w:t>
      </w:r>
      <w:r w:rsidRPr="00DF5F23">
        <w:rPr>
          <w:rStyle w:val="EndnoteReference"/>
          <w:rFonts w:ascii="Proxima Nova" w:hAnsi="Proxima Nova"/>
          <w:color w:val="000000" w:themeColor="text1"/>
        </w:rPr>
        <w:endnoteReference w:id="34"/>
      </w:r>
      <w:r w:rsidRPr="00DF5F23">
        <w:rPr>
          <w:rFonts w:ascii="Proxima Nova" w:hAnsi="Proxima Nova"/>
          <w:color w:val="000000" w:themeColor="text1"/>
          <w:shd w:val="clear" w:color="auto" w:fill="F5F5F5"/>
        </w:rPr>
        <w:t xml:space="preserve"> </w:t>
      </w:r>
      <w:r w:rsidRPr="00DF5F23">
        <w:rPr>
          <w:rFonts w:ascii="Proxima Nova" w:hAnsi="Proxima Nova"/>
          <w:color w:val="000000" w:themeColor="text1"/>
          <w:shd w:val="clear" w:color="auto" w:fill="FFFFFF"/>
        </w:rPr>
        <w:t xml:space="preserve">An employment insurance scheme introduced by the law aimed to sustain certain </w:t>
      </w:r>
      <w:proofErr w:type="spellStart"/>
      <w:r w:rsidRPr="00DF5F23">
        <w:rPr>
          <w:rFonts w:ascii="Proxima Nova" w:hAnsi="Proxima Nova"/>
          <w:color w:val="000000" w:themeColor="text1"/>
          <w:shd w:val="clear" w:color="auto" w:fill="FFFFFF"/>
        </w:rPr>
        <w:t>labor</w:t>
      </w:r>
      <w:proofErr w:type="spellEnd"/>
      <w:r w:rsidRPr="00DF5F23">
        <w:rPr>
          <w:rFonts w:ascii="Proxima Nova" w:hAnsi="Proxima Nova"/>
          <w:color w:val="000000" w:themeColor="text1"/>
          <w:shd w:val="clear" w:color="auto" w:fill="FFFFFF"/>
        </w:rPr>
        <w:t xml:space="preserve"> protections by providing cash compensation, job training, and job information to terminated employees. However, the cash compensation is equal to 8 weeks of pay, making up a total of 32 weeks of payment when added to the 24 weeks for experienced workers. This is still lower than the </w:t>
      </w:r>
      <w:proofErr w:type="gramStart"/>
      <w:r w:rsidRPr="00DF5F23">
        <w:rPr>
          <w:rFonts w:ascii="Proxima Nova" w:hAnsi="Proxima Nova"/>
          <w:color w:val="000000" w:themeColor="text1"/>
          <w:shd w:val="clear" w:color="auto" w:fill="FFFFFF"/>
        </w:rPr>
        <w:t>36-60 week</w:t>
      </w:r>
      <w:proofErr w:type="gramEnd"/>
      <w:r w:rsidRPr="00DF5F23">
        <w:rPr>
          <w:rFonts w:ascii="Proxima Nova" w:hAnsi="Proxima Nova"/>
          <w:color w:val="000000" w:themeColor="text1"/>
          <w:shd w:val="clear" w:color="auto" w:fill="FFFFFF"/>
        </w:rPr>
        <w:t xml:space="preserve"> salary compensation mandated by the previous law.</w:t>
      </w:r>
      <w:r w:rsidRPr="00DF5F23">
        <w:rPr>
          <w:rStyle w:val="EndnoteReference"/>
          <w:rFonts w:ascii="Proxima Nova" w:hAnsi="Proxima Nova"/>
          <w:color w:val="000000" w:themeColor="text1"/>
          <w:shd w:val="clear" w:color="auto" w:fill="FFFFFF"/>
        </w:rPr>
        <w:endnoteReference w:id="35"/>
      </w:r>
      <w:r w:rsidRPr="00DF5F23">
        <w:rPr>
          <w:rFonts w:ascii="Proxima Nova" w:hAnsi="Proxima Nova"/>
          <w:color w:val="000000" w:themeColor="text1"/>
          <w:shd w:val="clear" w:color="auto" w:fill="FFFFFF"/>
        </w:rPr>
        <w:t xml:space="preserve"> Hence, severance pay has been lowered by the law and temporary contracts have been lengthened.</w:t>
      </w:r>
      <w:r w:rsidRPr="00DF5F23">
        <w:rPr>
          <w:rStyle w:val="EndnoteReference"/>
          <w:rFonts w:ascii="Proxima Nova" w:hAnsi="Proxima Nova"/>
          <w:color w:val="000000" w:themeColor="text1"/>
          <w:shd w:val="clear" w:color="auto" w:fill="FFFFFF"/>
        </w:rPr>
        <w:endnoteReference w:id="36"/>
      </w:r>
    </w:p>
    <w:p w14:paraId="6ED017E8" w14:textId="4EDEAA14" w:rsidR="0031551F" w:rsidRPr="00DF5F23" w:rsidRDefault="0031551F" w:rsidP="003948C1">
      <w:pPr>
        <w:pStyle w:val="NormalWeb"/>
        <w:spacing w:before="0" w:beforeAutospacing="0" w:after="0" w:afterAutospacing="0"/>
        <w:ind w:firstLine="720"/>
        <w:jc w:val="both"/>
        <w:textAlignment w:val="baseline"/>
        <w:rPr>
          <w:rFonts w:ascii="Proxima Nova" w:hAnsi="Proxima Nova"/>
          <w:color w:val="000000" w:themeColor="text1"/>
          <w:shd w:val="clear" w:color="auto" w:fill="FFFFFF"/>
        </w:rPr>
      </w:pPr>
      <w:r w:rsidRPr="00DF5F23">
        <w:rPr>
          <w:rFonts w:ascii="Proxima Nova" w:hAnsi="Proxima Nova"/>
          <w:color w:val="000000" w:themeColor="text1"/>
          <w:shd w:val="clear" w:color="auto" w:fill="FFFFFF"/>
        </w:rPr>
        <w:t xml:space="preserve">Under </w:t>
      </w:r>
      <w:r w:rsidR="007A2A0E" w:rsidRPr="00DF5F23">
        <w:rPr>
          <w:rFonts w:ascii="Proxima Nova" w:hAnsi="Proxima Nova"/>
          <w:color w:val="000000" w:themeColor="text1"/>
        </w:rPr>
        <w:t>Law No.11/2003 on Employment</w:t>
      </w:r>
      <w:r w:rsidRPr="00DF5F23">
        <w:rPr>
          <w:rFonts w:ascii="Proxima Nova" w:hAnsi="Proxima Nova"/>
          <w:color w:val="000000" w:themeColor="text1"/>
          <w:shd w:val="clear" w:color="auto" w:fill="FFFFFF"/>
        </w:rPr>
        <w:t>, fixed-term contracts were only valid for certain kinds of work where the job could be completed within three years and the contract could be extended only once. However, employers are increasingly using fixed-term contracts now and the law formally enables this dangerous trend. This deteriorates the welfare of workers because they are deprived of job certainty and security.</w:t>
      </w:r>
      <w:r w:rsidRPr="00DF5F23">
        <w:rPr>
          <w:rStyle w:val="EndnoteReference"/>
          <w:rFonts w:ascii="Proxima Nova" w:hAnsi="Proxima Nova"/>
          <w:color w:val="000000" w:themeColor="text1"/>
          <w:shd w:val="clear" w:color="auto" w:fill="FFFFFF"/>
        </w:rPr>
        <w:endnoteReference w:id="37"/>
      </w:r>
      <w:r w:rsidRPr="00DF5F23">
        <w:rPr>
          <w:rFonts w:ascii="Proxima Nova" w:hAnsi="Proxima Nova"/>
          <w:color w:val="000000" w:themeColor="text1"/>
          <w:shd w:val="clear" w:color="auto" w:fill="FFFFFF"/>
        </w:rPr>
        <w:t xml:space="preserve"> They get no severance pay or retiree benefits after such contracts end.</w:t>
      </w:r>
      <w:r w:rsidRPr="00DF5F23">
        <w:rPr>
          <w:rStyle w:val="EndnoteReference"/>
          <w:rFonts w:ascii="Proxima Nova" w:hAnsi="Proxima Nova"/>
          <w:color w:val="000000" w:themeColor="text1"/>
          <w:shd w:val="clear" w:color="auto" w:fill="FFFFFF"/>
        </w:rPr>
        <w:endnoteReference w:id="38"/>
      </w:r>
      <w:r w:rsidRPr="00DF5F23">
        <w:rPr>
          <w:rFonts w:ascii="Proxima Nova" w:hAnsi="Proxima Nova"/>
          <w:color w:val="000000" w:themeColor="text1"/>
          <w:shd w:val="clear" w:color="auto" w:fill="FFFFFF"/>
        </w:rPr>
        <w:t xml:space="preserve"> </w:t>
      </w:r>
    </w:p>
    <w:p w14:paraId="403215BE" w14:textId="77777777" w:rsidR="0031551F" w:rsidRPr="00DF5F23" w:rsidRDefault="0031551F" w:rsidP="003948C1">
      <w:pPr>
        <w:pStyle w:val="NormalWeb"/>
        <w:spacing w:before="0" w:beforeAutospacing="0" w:after="0" w:afterAutospacing="0"/>
        <w:ind w:firstLine="720"/>
        <w:jc w:val="both"/>
        <w:textAlignment w:val="baseline"/>
        <w:rPr>
          <w:rFonts w:ascii="Proxima Nova" w:hAnsi="Proxima Nova"/>
          <w:color w:val="000000" w:themeColor="text1"/>
          <w:spacing w:val="-8"/>
          <w:shd w:val="clear" w:color="auto" w:fill="FFFFFF"/>
        </w:rPr>
      </w:pPr>
      <w:r w:rsidRPr="00DF5F23">
        <w:rPr>
          <w:rFonts w:ascii="Proxima Nova" w:hAnsi="Proxima Nova"/>
          <w:color w:val="000000" w:themeColor="text1"/>
          <w:spacing w:val="-8"/>
          <w:shd w:val="clear" w:color="auto" w:fill="FFFFFF"/>
        </w:rPr>
        <w:t>The law has also made it easier to terminate workers. Before the enactment of this law, layoffs had to be processed in an industrial relations court. Under the new law, workers can be terminated if they are simply given notice by the employer.</w:t>
      </w:r>
      <w:r w:rsidRPr="00DF5F23">
        <w:rPr>
          <w:rStyle w:val="EndnoteReference"/>
          <w:rFonts w:ascii="Proxima Nova" w:hAnsi="Proxima Nova"/>
          <w:color w:val="000000" w:themeColor="text1"/>
          <w:spacing w:val="-8"/>
          <w:shd w:val="clear" w:color="auto" w:fill="FFFFFF"/>
        </w:rPr>
        <w:t xml:space="preserve"> </w:t>
      </w:r>
      <w:r w:rsidRPr="00DF5F23">
        <w:rPr>
          <w:rStyle w:val="EndnoteReference"/>
          <w:rFonts w:ascii="Proxima Nova" w:hAnsi="Proxima Nova"/>
          <w:color w:val="000000" w:themeColor="text1"/>
          <w:spacing w:val="-8"/>
          <w:shd w:val="clear" w:color="auto" w:fill="FFFFFF"/>
        </w:rPr>
        <w:endnoteReference w:id="39"/>
      </w:r>
      <w:r w:rsidRPr="00DF5F23">
        <w:rPr>
          <w:rFonts w:ascii="Proxima Nova" w:hAnsi="Proxima Nova"/>
          <w:color w:val="000000" w:themeColor="text1"/>
          <w:spacing w:val="-8"/>
          <w:shd w:val="clear" w:color="auto" w:fill="FFFFFF"/>
        </w:rPr>
        <w:t xml:space="preserve"> If the worker does not agree to the termination, they may initiate a negotiation process that could lead to a settlement.</w:t>
      </w:r>
      <w:r w:rsidRPr="00DF5F23">
        <w:rPr>
          <w:rStyle w:val="EndnoteReference"/>
          <w:rFonts w:ascii="Proxima Nova" w:hAnsi="Proxima Nova"/>
          <w:color w:val="000000" w:themeColor="text1"/>
          <w:spacing w:val="-8"/>
          <w:shd w:val="clear" w:color="auto" w:fill="FFFFFF"/>
        </w:rPr>
        <w:t xml:space="preserve"> </w:t>
      </w:r>
      <w:r w:rsidRPr="00DF5F23">
        <w:rPr>
          <w:rStyle w:val="EndnoteReference"/>
          <w:rFonts w:ascii="Proxima Nova" w:hAnsi="Proxima Nova"/>
          <w:color w:val="000000" w:themeColor="text1"/>
          <w:spacing w:val="-8"/>
          <w:shd w:val="clear" w:color="auto" w:fill="FFFFFF"/>
        </w:rPr>
        <w:endnoteReference w:id="40"/>
      </w:r>
      <w:r w:rsidRPr="00DF5F23">
        <w:rPr>
          <w:rFonts w:ascii="Proxima Nova" w:hAnsi="Proxima Nova"/>
          <w:color w:val="000000" w:themeColor="text1"/>
          <w:spacing w:val="-8"/>
          <w:shd w:val="clear" w:color="auto" w:fill="FFFFFF"/>
        </w:rPr>
        <w:t xml:space="preserve"> However, given the minimal bargaining power of non-unionized workers, terminated workers are unlikely to use the negotiation provision.</w:t>
      </w:r>
      <w:r w:rsidRPr="00DF5F23">
        <w:rPr>
          <w:rStyle w:val="EndnoteReference"/>
          <w:rFonts w:ascii="Proxima Nova" w:hAnsi="Proxima Nova"/>
          <w:color w:val="000000" w:themeColor="text1"/>
          <w:spacing w:val="-8"/>
          <w:shd w:val="clear" w:color="auto" w:fill="FFFFFF"/>
        </w:rPr>
        <w:endnoteReference w:id="41"/>
      </w:r>
    </w:p>
    <w:p w14:paraId="5C78FA9B" w14:textId="4F2FA2E6" w:rsidR="0031551F" w:rsidRPr="00DF5F23" w:rsidRDefault="0031551F" w:rsidP="003948C1">
      <w:pPr>
        <w:pStyle w:val="NormalWeb"/>
        <w:spacing w:before="0" w:beforeAutospacing="0" w:after="0" w:afterAutospacing="0"/>
        <w:ind w:firstLine="720"/>
        <w:jc w:val="both"/>
        <w:textAlignment w:val="baseline"/>
        <w:rPr>
          <w:rFonts w:ascii="Proxima Nova" w:hAnsi="Proxima Nova"/>
          <w:color w:val="000000" w:themeColor="text1"/>
        </w:rPr>
      </w:pPr>
      <w:r w:rsidRPr="00DF5F23">
        <w:rPr>
          <w:rFonts w:ascii="Proxima Nova" w:hAnsi="Proxima Nova"/>
          <w:color w:val="000000" w:themeColor="text1"/>
          <w:spacing w:val="-8"/>
          <w:shd w:val="clear" w:color="auto" w:fill="FFFFFF"/>
        </w:rPr>
        <w:t xml:space="preserve">The impact of </w:t>
      </w:r>
      <w:r w:rsidR="007A2A0E" w:rsidRPr="00DF5F23">
        <w:rPr>
          <w:rFonts w:ascii="Proxima Nova" w:hAnsi="Proxima Nova"/>
          <w:color w:val="000000" w:themeColor="text1"/>
          <w:spacing w:val="-8"/>
          <w:shd w:val="clear" w:color="auto" w:fill="FFFFFF"/>
        </w:rPr>
        <w:t>Law No.6/2023</w:t>
      </w:r>
      <w:r w:rsidRPr="00DF5F23">
        <w:rPr>
          <w:rFonts w:ascii="Proxima Nova" w:hAnsi="Proxima Nova"/>
          <w:color w:val="000000" w:themeColor="text1"/>
          <w:spacing w:val="-8"/>
          <w:shd w:val="clear" w:color="auto" w:fill="FFFFFF"/>
        </w:rPr>
        <w:t xml:space="preserve"> has been widely condemned by trade unions in Indonesia and globally. </w:t>
      </w:r>
      <w:r w:rsidRPr="00DF5F23">
        <w:rPr>
          <w:rFonts w:ascii="Proxima Nova" w:hAnsi="Proxima Nova"/>
          <w:color w:val="000000" w:themeColor="text1"/>
        </w:rPr>
        <w:t>Dismissals will be much easier for employers without much recourse to negotiation and appeal.</w:t>
      </w:r>
      <w:r w:rsidRPr="00DF5F23">
        <w:rPr>
          <w:rStyle w:val="EndnoteReference"/>
          <w:rFonts w:ascii="Proxima Nova" w:hAnsi="Proxima Nova"/>
          <w:color w:val="000000" w:themeColor="text1"/>
        </w:rPr>
        <w:endnoteReference w:id="42"/>
      </w:r>
    </w:p>
    <w:p w14:paraId="2832EB52" w14:textId="77777777" w:rsidR="0031551F" w:rsidRPr="00DF5F23" w:rsidRDefault="0031551F" w:rsidP="003948C1">
      <w:pPr>
        <w:pStyle w:val="NormalWeb"/>
        <w:spacing w:before="0" w:beforeAutospacing="0" w:after="0" w:afterAutospacing="0"/>
        <w:jc w:val="both"/>
        <w:textAlignment w:val="baseline"/>
        <w:rPr>
          <w:rFonts w:ascii="Proxima Nova" w:hAnsi="Proxima Nova"/>
          <w:color w:val="000000" w:themeColor="text1"/>
          <w:shd w:val="clear" w:color="auto" w:fill="FFFFFF"/>
        </w:rPr>
      </w:pPr>
    </w:p>
    <w:p w14:paraId="447A688E" w14:textId="77777777" w:rsidR="0031551F" w:rsidRPr="00DF5F23" w:rsidRDefault="0031551F" w:rsidP="003948C1">
      <w:pPr>
        <w:pStyle w:val="NormalWeb"/>
        <w:numPr>
          <w:ilvl w:val="0"/>
          <w:numId w:val="3"/>
        </w:numPr>
        <w:spacing w:before="0" w:beforeAutospacing="0" w:after="0" w:afterAutospacing="0"/>
        <w:jc w:val="both"/>
        <w:textAlignment w:val="baseline"/>
        <w:rPr>
          <w:rFonts w:ascii="Proxima Nova" w:hAnsi="Proxima Nova"/>
          <w:b/>
          <w:bCs/>
          <w:color w:val="000000" w:themeColor="text1"/>
          <w:shd w:val="clear" w:color="auto" w:fill="FFFFFF"/>
        </w:rPr>
      </w:pPr>
      <w:r w:rsidRPr="00DF5F23">
        <w:rPr>
          <w:rFonts w:ascii="Proxima Nova" w:hAnsi="Proxima Nova"/>
          <w:b/>
          <w:bCs/>
          <w:color w:val="000000" w:themeColor="text1"/>
          <w:shd w:val="clear" w:color="auto" w:fill="FFFFFF"/>
        </w:rPr>
        <w:t xml:space="preserve">Impact on the Minimum Wage </w:t>
      </w:r>
    </w:p>
    <w:p w14:paraId="2709D92B" w14:textId="77777777" w:rsidR="0031551F" w:rsidRPr="00DF5F23" w:rsidRDefault="0031551F" w:rsidP="003948C1">
      <w:pPr>
        <w:pStyle w:val="NormalWeb"/>
        <w:spacing w:before="0" w:beforeAutospacing="0" w:after="0" w:afterAutospacing="0"/>
        <w:ind w:firstLine="360"/>
        <w:jc w:val="both"/>
        <w:textAlignment w:val="baseline"/>
        <w:rPr>
          <w:rFonts w:ascii="Proxima Nova" w:hAnsi="Proxima Nova"/>
          <w:b/>
          <w:bCs/>
          <w:color w:val="000000" w:themeColor="text1"/>
          <w:shd w:val="clear" w:color="auto" w:fill="FFFFFF"/>
        </w:rPr>
      </w:pPr>
    </w:p>
    <w:p w14:paraId="69B64985" w14:textId="347848B4" w:rsidR="00304BB9" w:rsidRPr="00DF5F23" w:rsidRDefault="0031551F" w:rsidP="007A2A0E">
      <w:pPr>
        <w:pStyle w:val="NormalWeb"/>
        <w:spacing w:before="0" w:beforeAutospacing="0" w:after="0" w:afterAutospacing="0"/>
        <w:ind w:firstLine="360"/>
        <w:jc w:val="both"/>
        <w:textAlignment w:val="baseline"/>
        <w:rPr>
          <w:rFonts w:ascii="Proxima Nova" w:hAnsi="Proxima Nova"/>
          <w:color w:val="000000" w:themeColor="text1"/>
          <w:shd w:val="clear" w:color="auto" w:fill="FFFFFF"/>
        </w:rPr>
      </w:pPr>
      <w:r w:rsidRPr="00DF5F23">
        <w:rPr>
          <w:rFonts w:ascii="Proxima Nova" w:hAnsi="Proxima Nova"/>
          <w:color w:val="000000" w:themeColor="text1"/>
          <w:shd w:val="clear" w:color="auto" w:fill="FFFFFF"/>
        </w:rPr>
        <w:t>The assurances provided by a minimum wage guarantee have been weakened under the new law</w:t>
      </w:r>
      <w:r w:rsidR="00304BB9" w:rsidRPr="00DF5F23">
        <w:rPr>
          <w:rFonts w:ascii="Proxima Nova" w:hAnsi="Proxima Nova"/>
          <w:color w:val="000000" w:themeColor="text1"/>
          <w:shd w:val="clear" w:color="auto" w:fill="FFFFFF"/>
        </w:rPr>
        <w:t xml:space="preserve"> and </w:t>
      </w:r>
      <w:r w:rsidR="00081F7A" w:rsidRPr="00DF5F23">
        <w:rPr>
          <w:rFonts w:ascii="Proxima Nova" w:hAnsi="Proxima Nova"/>
          <w:color w:val="000000" w:themeColor="text1"/>
          <w:shd w:val="clear" w:color="auto" w:fill="FFFFFF"/>
        </w:rPr>
        <w:t xml:space="preserve">the related </w:t>
      </w:r>
      <w:r w:rsidR="00304BB9" w:rsidRPr="00DF5F23">
        <w:rPr>
          <w:rFonts w:ascii="Proxima Nova" w:hAnsi="Proxima Nova"/>
          <w:color w:val="000000" w:themeColor="text1"/>
          <w:shd w:val="clear" w:color="auto" w:fill="FFFFFF"/>
        </w:rPr>
        <w:t>government regulations</w:t>
      </w:r>
      <w:r w:rsidRPr="00DF5F23">
        <w:rPr>
          <w:rFonts w:ascii="Proxima Nova" w:hAnsi="Proxima Nova"/>
          <w:color w:val="000000" w:themeColor="text1"/>
          <w:shd w:val="clear" w:color="auto" w:fill="FFFFFF"/>
        </w:rPr>
        <w:t>. Article 88</w:t>
      </w:r>
      <w:r w:rsidR="00081F7A" w:rsidRPr="00DF5F23">
        <w:rPr>
          <w:rFonts w:ascii="Proxima Nova" w:hAnsi="Proxima Nova"/>
          <w:color w:val="000000" w:themeColor="text1"/>
          <w:shd w:val="clear" w:color="auto" w:fill="FFFFFF"/>
        </w:rPr>
        <w:t xml:space="preserve"> of the Law</w:t>
      </w:r>
      <w:r w:rsidR="00430CC6" w:rsidRPr="00DF5F23">
        <w:rPr>
          <w:rFonts w:ascii="Proxima Nova" w:hAnsi="Proxima Nova"/>
          <w:color w:val="000000" w:themeColor="text1"/>
          <w:shd w:val="clear" w:color="auto" w:fill="FFFFFF"/>
        </w:rPr>
        <w:t xml:space="preserve"> No. 6/2023</w:t>
      </w:r>
      <w:r w:rsidRPr="00DF5F23">
        <w:rPr>
          <w:rFonts w:ascii="Proxima Nova" w:hAnsi="Proxima Nova"/>
          <w:color w:val="000000" w:themeColor="text1"/>
          <w:shd w:val="clear" w:color="auto" w:fill="FFFFFF"/>
        </w:rPr>
        <w:t xml:space="preserve"> eliminated the sectoral minimum wage laws in Indonesia and replaced them with hourly pay for part-time workers. This minimum wage only applies to workers with one year of service or less, after which the employee can choose to be paid under the scale of their company.</w:t>
      </w:r>
      <w:r w:rsidRPr="00DF5F23">
        <w:rPr>
          <w:rStyle w:val="EndnoteReference"/>
          <w:rFonts w:ascii="Proxima Nova" w:hAnsi="Proxima Nova"/>
          <w:color w:val="000000" w:themeColor="text1"/>
          <w:shd w:val="clear" w:color="auto" w:fill="FFFFFF"/>
        </w:rPr>
        <w:endnoteReference w:id="43"/>
      </w:r>
      <w:r w:rsidRPr="00DF5F23">
        <w:rPr>
          <w:rFonts w:ascii="Proxima Nova" w:hAnsi="Proxima Nova"/>
          <w:color w:val="000000" w:themeColor="text1"/>
          <w:shd w:val="clear" w:color="auto" w:fill="FFFFFF"/>
        </w:rPr>
        <w:t xml:space="preserve"> </w:t>
      </w:r>
    </w:p>
    <w:p w14:paraId="40185354" w14:textId="40051C2E" w:rsidR="00304BB9" w:rsidRPr="00DF5F23" w:rsidRDefault="00304BB9" w:rsidP="00304BB9">
      <w:pPr>
        <w:pStyle w:val="NormalWeb"/>
        <w:spacing w:before="0" w:beforeAutospacing="0" w:after="0" w:afterAutospacing="0"/>
        <w:ind w:firstLine="360"/>
        <w:jc w:val="both"/>
        <w:textAlignment w:val="baseline"/>
        <w:rPr>
          <w:rFonts w:ascii="Proxima Nova" w:hAnsi="Proxima Nova"/>
          <w:color w:val="333333"/>
          <w:shd w:val="clear" w:color="auto" w:fill="FFFFFF"/>
        </w:rPr>
      </w:pPr>
      <w:r w:rsidRPr="00DF5F23">
        <w:rPr>
          <w:rFonts w:ascii="Proxima Nova" w:hAnsi="Proxima Nova"/>
          <w:color w:val="000000" w:themeColor="text1"/>
        </w:rPr>
        <w:t xml:space="preserve">Moreover, Law </w:t>
      </w:r>
      <w:r w:rsidR="00430CC6" w:rsidRPr="00DF5F23">
        <w:rPr>
          <w:rFonts w:ascii="Proxima Nova" w:hAnsi="Proxima Nova"/>
          <w:color w:val="000000" w:themeColor="text1"/>
        </w:rPr>
        <w:t>No. 6/</w:t>
      </w:r>
      <w:proofErr w:type="gramStart"/>
      <w:r w:rsidR="00430CC6" w:rsidRPr="00DF5F23">
        <w:rPr>
          <w:rFonts w:ascii="Proxima Nova" w:hAnsi="Proxima Nova"/>
          <w:color w:val="000000" w:themeColor="text1"/>
        </w:rPr>
        <w:t xml:space="preserve">2023 </w:t>
      </w:r>
      <w:r w:rsidR="0031551F" w:rsidRPr="00DF5F23">
        <w:rPr>
          <w:rFonts w:ascii="Proxima Nova" w:hAnsi="Proxima Nova"/>
          <w:color w:val="000000" w:themeColor="text1"/>
        </w:rPr>
        <w:t xml:space="preserve"> </w:t>
      </w:r>
      <w:r w:rsidRPr="00DF5F23">
        <w:rPr>
          <w:rFonts w:ascii="Proxima Nova" w:hAnsi="Proxima Nova"/>
          <w:color w:val="000000" w:themeColor="text1"/>
        </w:rPr>
        <w:t>has</w:t>
      </w:r>
      <w:proofErr w:type="gramEnd"/>
      <w:r w:rsidRPr="00DF5F23">
        <w:rPr>
          <w:rFonts w:ascii="Proxima Nova" w:hAnsi="Proxima Nova"/>
          <w:color w:val="000000" w:themeColor="text1"/>
        </w:rPr>
        <w:t xml:space="preserve"> </w:t>
      </w:r>
      <w:r w:rsidR="0031551F" w:rsidRPr="00DF5F23">
        <w:rPr>
          <w:rFonts w:ascii="Proxima Nova" w:hAnsi="Proxima Nova"/>
          <w:color w:val="000000" w:themeColor="text1"/>
        </w:rPr>
        <w:t>stripped away adequate minimum wage protections for workers in Indonesia and undermines the role of trade unions nationally. First, it broke down the tripartite minimum wage regulations that were in place and undermined the ability of trade unions to participate in sectoral minimum wage decisions. In 2003, the government had established tripartite wage councils that determined the minimum wage. In 2014, this was replaced by a fixed wage increase formula determined by the government alone through statistical analysis.</w:t>
      </w:r>
      <w:r w:rsidR="0031551F" w:rsidRPr="00DF5F23">
        <w:rPr>
          <w:rStyle w:val="EndnoteReference"/>
          <w:rFonts w:ascii="Proxima Nova" w:hAnsi="Proxima Nova"/>
          <w:color w:val="000000" w:themeColor="text1"/>
        </w:rPr>
        <w:endnoteReference w:id="44"/>
      </w:r>
      <w:r w:rsidR="0031551F" w:rsidRPr="00DF5F23">
        <w:rPr>
          <w:rFonts w:ascii="Proxima Nova" w:hAnsi="Proxima Nova"/>
          <w:color w:val="000000" w:themeColor="text1"/>
        </w:rPr>
        <w:t xml:space="preserve"> </w:t>
      </w:r>
      <w:r w:rsidR="00081F7A" w:rsidRPr="00DF5F23">
        <w:rPr>
          <w:rFonts w:ascii="Proxima Nova" w:hAnsi="Proxima Nova"/>
          <w:color w:val="000000" w:themeColor="text1"/>
        </w:rPr>
        <w:t>Under the Omnibus Law, trade unions can no longer use commodity prices as a decision-making factor in minimum wage determinations.</w:t>
      </w:r>
      <w:r w:rsidR="00081F7A" w:rsidRPr="00DF5F23">
        <w:rPr>
          <w:rStyle w:val="EndnoteReference"/>
          <w:rFonts w:ascii="Proxima Nova" w:hAnsi="Proxima Nova"/>
          <w:color w:val="000000" w:themeColor="text1"/>
        </w:rPr>
        <w:endnoteReference w:id="45"/>
      </w:r>
      <w:r w:rsidR="00081F7A" w:rsidRPr="00DF5F23">
        <w:rPr>
          <w:rFonts w:ascii="Proxima Nova" w:hAnsi="Proxima Nova"/>
          <w:color w:val="000000" w:themeColor="text1"/>
        </w:rPr>
        <w:t xml:space="preserve"> </w:t>
      </w:r>
      <w:r w:rsidRPr="00DF5F23">
        <w:rPr>
          <w:rFonts w:ascii="Proxima Nova" w:hAnsi="Proxima Nova"/>
          <w:color w:val="000000" w:themeColor="text1"/>
          <w:shd w:val="clear" w:color="auto" w:fill="FFFFFF"/>
        </w:rPr>
        <w:t xml:space="preserve">The subsequent Manpower Minister </w:t>
      </w:r>
      <w:r w:rsidRPr="00DF5F23">
        <w:rPr>
          <w:rFonts w:ascii="Proxima Nova" w:hAnsi="Proxima Nova"/>
          <w:color w:val="000000" w:themeColor="text1"/>
          <w:shd w:val="clear" w:color="auto" w:fill="FFFFFF"/>
        </w:rPr>
        <w:lastRenderedPageBreak/>
        <w:t>Regulation (</w:t>
      </w:r>
      <w:proofErr w:type="spellStart"/>
      <w:r w:rsidRPr="00DF5F23">
        <w:rPr>
          <w:rFonts w:ascii="Proxima Nova" w:hAnsi="Proxima Nova"/>
          <w:color w:val="000000" w:themeColor="text1"/>
          <w:shd w:val="clear" w:color="auto" w:fill="FFFFFF"/>
        </w:rPr>
        <w:t>Permenaker</w:t>
      </w:r>
      <w:proofErr w:type="spellEnd"/>
      <w:r w:rsidRPr="00DF5F23">
        <w:rPr>
          <w:rFonts w:ascii="Proxima Nova" w:hAnsi="Proxima Nova"/>
          <w:color w:val="000000" w:themeColor="text1"/>
          <w:shd w:val="clear" w:color="auto" w:fill="FFFFFF"/>
        </w:rPr>
        <w:t xml:space="preserve">) No. 18/2022 decided upon a minimum wage formula that considers inflation and economic growth and it is </w:t>
      </w:r>
      <w:r w:rsidRPr="00DF5F23">
        <w:rPr>
          <w:rFonts w:ascii="Proxima Nova" w:hAnsi="Proxima Nova"/>
          <w:color w:val="000000" w:themeColor="text1"/>
        </w:rPr>
        <w:t>based on data provided by the National Agency of Statistics</w:t>
      </w:r>
      <w:r w:rsidRPr="00DF5F23">
        <w:rPr>
          <w:rFonts w:ascii="Proxima Nova" w:hAnsi="Proxima Nova"/>
          <w:color w:val="000000" w:themeColor="text1"/>
          <w:shd w:val="clear" w:color="auto" w:fill="FFFFFF"/>
        </w:rPr>
        <w:t>.</w:t>
      </w:r>
      <w:r w:rsidRPr="00DF5F23">
        <w:rPr>
          <w:rStyle w:val="EndnoteReference"/>
          <w:rFonts w:ascii="Proxima Nova" w:hAnsi="Proxima Nova"/>
          <w:color w:val="000000" w:themeColor="text1"/>
          <w:shd w:val="clear" w:color="auto" w:fill="FFFFFF"/>
        </w:rPr>
        <w:endnoteReference w:id="46"/>
      </w:r>
      <w:r w:rsidRPr="00DF5F23">
        <w:rPr>
          <w:rFonts w:ascii="Proxima Nova" w:hAnsi="Proxima Nova"/>
          <w:color w:val="000000" w:themeColor="text1"/>
        </w:rPr>
        <w:t xml:space="preserve"> </w:t>
      </w:r>
      <w:r w:rsidRPr="00DF5F23">
        <w:rPr>
          <w:rFonts w:ascii="Proxima Nova" w:hAnsi="Proxima Nova"/>
          <w:color w:val="000000" w:themeColor="text1"/>
          <w:shd w:val="clear" w:color="auto" w:fill="FFFFFF"/>
        </w:rPr>
        <w:t xml:space="preserve">Under this </w:t>
      </w:r>
      <w:r w:rsidR="004F4C93" w:rsidRPr="00DF5F23">
        <w:rPr>
          <w:rFonts w:ascii="Proxima Nova" w:hAnsi="Proxima Nova"/>
          <w:color w:val="000000" w:themeColor="text1"/>
          <w:shd w:val="clear" w:color="auto" w:fill="FFFFFF"/>
        </w:rPr>
        <w:t>formula</w:t>
      </w:r>
      <w:r w:rsidRPr="00DF5F23">
        <w:rPr>
          <w:rFonts w:ascii="Proxima Nova" w:hAnsi="Proxima Nova"/>
          <w:color w:val="000000" w:themeColor="text1"/>
          <w:shd w:val="clear" w:color="auto" w:fill="FFFFFF"/>
        </w:rPr>
        <w:t xml:space="preserve">, the </w:t>
      </w:r>
      <w:r w:rsidR="004F4C93" w:rsidRPr="00DF5F23">
        <w:rPr>
          <w:rFonts w:ascii="Proxima Nova" w:hAnsi="Proxima Nova"/>
          <w:color w:val="000000" w:themeColor="text1"/>
          <w:shd w:val="clear" w:color="auto" w:fill="FFFFFF"/>
        </w:rPr>
        <w:t>G</w:t>
      </w:r>
      <w:r w:rsidRPr="00DF5F23">
        <w:rPr>
          <w:rFonts w:ascii="Proxima Nova" w:hAnsi="Proxima Nova"/>
          <w:color w:val="000000" w:themeColor="text1"/>
          <w:shd w:val="clear" w:color="auto" w:fill="FFFFFF"/>
        </w:rPr>
        <w:t>overnment would determine a provincial minimum wage based on economic and employment conditions.</w:t>
      </w:r>
      <w:r w:rsidRPr="00DF5F23">
        <w:rPr>
          <w:rStyle w:val="EndnoteReference"/>
          <w:rFonts w:ascii="Proxima Nova" w:hAnsi="Proxima Nova"/>
          <w:color w:val="000000" w:themeColor="text1"/>
          <w:shd w:val="clear" w:color="auto" w:fill="FFFFFF"/>
        </w:rPr>
        <w:endnoteReference w:id="47"/>
      </w:r>
      <w:r w:rsidRPr="00DF5F23">
        <w:rPr>
          <w:rFonts w:ascii="Proxima Nova" w:hAnsi="Proxima Nova"/>
          <w:color w:val="000000" w:themeColor="text1"/>
          <w:shd w:val="clear" w:color="auto" w:fill="FFFFFF"/>
        </w:rPr>
        <w:t xml:space="preserve"> </w:t>
      </w:r>
      <w:r w:rsidRPr="00DF5F23">
        <w:rPr>
          <w:rFonts w:ascii="Proxima Nova" w:hAnsi="Proxima Nova"/>
          <w:color w:val="000000" w:themeColor="text1"/>
        </w:rPr>
        <w:t xml:space="preserve">The </w:t>
      </w:r>
      <w:r w:rsidR="004F4C93" w:rsidRPr="00DF5F23">
        <w:rPr>
          <w:rFonts w:ascii="Proxima Nova" w:hAnsi="Proxima Nova"/>
          <w:color w:val="000000" w:themeColor="text1"/>
        </w:rPr>
        <w:t>G</w:t>
      </w:r>
      <w:r w:rsidRPr="00DF5F23">
        <w:rPr>
          <w:rFonts w:ascii="Proxima Nova" w:hAnsi="Proxima Nova"/>
          <w:color w:val="000000" w:themeColor="text1"/>
        </w:rPr>
        <w:t>overnment also has the authority to create a different formula to determine the minimum wage in certain circumstances.</w:t>
      </w:r>
      <w:r w:rsidRPr="00DF5F23">
        <w:rPr>
          <w:rStyle w:val="EndnoteReference"/>
          <w:rFonts w:ascii="Proxima Nova" w:hAnsi="Proxima Nova"/>
          <w:color w:val="000000" w:themeColor="text1"/>
        </w:rPr>
        <w:endnoteReference w:id="48"/>
      </w:r>
      <w:r w:rsidRPr="00DF5F23">
        <w:rPr>
          <w:rFonts w:ascii="Proxima Nova" w:hAnsi="Proxima Nova"/>
          <w:color w:val="000000" w:themeColor="text1"/>
        </w:rPr>
        <w:t xml:space="preserve"> </w:t>
      </w:r>
    </w:p>
    <w:p w14:paraId="0041A37F" w14:textId="77777777" w:rsidR="00304BB9" w:rsidRPr="00DF5F23" w:rsidRDefault="00304BB9" w:rsidP="00304BB9">
      <w:pPr>
        <w:pStyle w:val="NormalWeb"/>
        <w:spacing w:before="0" w:beforeAutospacing="0" w:after="0" w:afterAutospacing="0"/>
        <w:ind w:firstLine="360"/>
        <w:jc w:val="both"/>
        <w:textAlignment w:val="baseline"/>
        <w:rPr>
          <w:rFonts w:ascii="Proxima Nova" w:hAnsi="Proxima Nova"/>
          <w:b/>
          <w:bCs/>
          <w:color w:val="000000" w:themeColor="text1"/>
          <w:shd w:val="clear" w:color="auto" w:fill="FFFFFF"/>
        </w:rPr>
      </w:pPr>
    </w:p>
    <w:p w14:paraId="0CE2F6BB" w14:textId="462682FA" w:rsidR="0031551F" w:rsidRPr="00DF5F23" w:rsidRDefault="0031551F" w:rsidP="003948C1">
      <w:pPr>
        <w:pStyle w:val="NormalWeb"/>
        <w:spacing w:before="0" w:beforeAutospacing="0" w:after="0" w:afterAutospacing="0"/>
        <w:ind w:firstLine="360"/>
        <w:jc w:val="both"/>
        <w:textAlignment w:val="baseline"/>
        <w:rPr>
          <w:rFonts w:ascii="Proxima Nova" w:hAnsi="Proxima Nova"/>
          <w:color w:val="000000" w:themeColor="text1"/>
        </w:rPr>
      </w:pPr>
      <w:proofErr w:type="spellStart"/>
      <w:proofErr w:type="gramStart"/>
      <w:r w:rsidRPr="00DF5F23">
        <w:rPr>
          <w:rFonts w:ascii="Proxima Nova" w:hAnsi="Proxima Nova"/>
          <w:color w:val="000000" w:themeColor="text1"/>
        </w:rPr>
        <w:t>Second,</w:t>
      </w:r>
      <w:r w:rsidR="004F4C93" w:rsidRPr="00DF5F23">
        <w:rPr>
          <w:rFonts w:ascii="Proxima Nova" w:hAnsi="Proxima Nova"/>
          <w:color w:val="000000" w:themeColor="text1"/>
        </w:rPr>
        <w:t>Law</w:t>
      </w:r>
      <w:proofErr w:type="spellEnd"/>
      <w:proofErr w:type="gramEnd"/>
      <w:r w:rsidR="004F4C93" w:rsidRPr="00DF5F23">
        <w:rPr>
          <w:rFonts w:ascii="Proxima Nova" w:hAnsi="Proxima Nova"/>
          <w:color w:val="000000" w:themeColor="text1"/>
        </w:rPr>
        <w:t xml:space="preserve"> No. 6/2023</w:t>
      </w:r>
      <w:r w:rsidRPr="00DF5F23">
        <w:rPr>
          <w:rFonts w:ascii="Proxima Nova" w:hAnsi="Proxima Nova"/>
          <w:color w:val="000000" w:themeColor="text1"/>
        </w:rPr>
        <w:t xml:space="preserve"> exempts </w:t>
      </w:r>
      <w:r w:rsidR="009B73B6" w:rsidRPr="00DF5F23">
        <w:rPr>
          <w:rFonts w:ascii="Proxima Nova" w:hAnsi="Proxima Nova"/>
          <w:color w:val="000000" w:themeColor="text1"/>
        </w:rPr>
        <w:t>micro</w:t>
      </w:r>
      <w:r w:rsidR="004F4C93" w:rsidRPr="00DF5F23">
        <w:rPr>
          <w:rFonts w:ascii="Proxima Nova" w:hAnsi="Proxima Nova"/>
          <w:color w:val="000000" w:themeColor="text1"/>
        </w:rPr>
        <w:t>,</w:t>
      </w:r>
      <w:r w:rsidR="009B73B6" w:rsidRPr="00DF5F23">
        <w:rPr>
          <w:rFonts w:ascii="Proxima Nova" w:hAnsi="Proxima Nova"/>
          <w:color w:val="000000" w:themeColor="text1"/>
        </w:rPr>
        <w:t xml:space="preserve"> </w:t>
      </w:r>
      <w:r w:rsidRPr="00DF5F23">
        <w:rPr>
          <w:rFonts w:ascii="Proxima Nova" w:hAnsi="Proxima Nova"/>
          <w:color w:val="000000" w:themeColor="text1"/>
        </w:rPr>
        <w:t>small and m</w:t>
      </w:r>
      <w:r w:rsidR="009B73B6" w:rsidRPr="00DF5F23">
        <w:rPr>
          <w:rFonts w:ascii="Proxima Nova" w:hAnsi="Proxima Nova"/>
          <w:color w:val="000000" w:themeColor="text1"/>
        </w:rPr>
        <w:t>edium enterprises</w:t>
      </w:r>
      <w:r w:rsidRPr="00DF5F23">
        <w:rPr>
          <w:rFonts w:ascii="Proxima Nova" w:hAnsi="Proxima Nova"/>
          <w:color w:val="000000" w:themeColor="text1"/>
        </w:rPr>
        <w:t xml:space="preserve"> </w:t>
      </w:r>
      <w:r w:rsidR="009B73B6" w:rsidRPr="00DF5F23">
        <w:rPr>
          <w:rFonts w:ascii="Proxima Nova" w:hAnsi="Proxima Nova"/>
          <w:color w:val="000000" w:themeColor="text1"/>
        </w:rPr>
        <w:t xml:space="preserve">(MSMEs) </w:t>
      </w:r>
      <w:r w:rsidRPr="00DF5F23">
        <w:rPr>
          <w:rFonts w:ascii="Proxima Nova" w:hAnsi="Proxima Nova"/>
          <w:color w:val="000000" w:themeColor="text1"/>
        </w:rPr>
        <w:t>from a minimum wage requirement</w:t>
      </w:r>
      <w:r w:rsidR="00F96577" w:rsidRPr="00DF5F23">
        <w:rPr>
          <w:rFonts w:ascii="Proxima Nova" w:hAnsi="Proxima Nova"/>
          <w:color w:val="000000" w:themeColor="text1"/>
        </w:rPr>
        <w:t xml:space="preserve">. The following </w:t>
      </w:r>
      <w:r w:rsidR="009B73B6" w:rsidRPr="00DF5F23">
        <w:rPr>
          <w:rFonts w:ascii="Proxima Nova" w:hAnsi="Proxima Nova"/>
          <w:color w:val="000000" w:themeColor="text1"/>
        </w:rPr>
        <w:t xml:space="preserve">implementing regulations, namely Government Regulations No.5/2021, No.7/2021 and No.36/2021 </w:t>
      </w:r>
      <w:r w:rsidR="00F96577" w:rsidRPr="00DF5F23">
        <w:rPr>
          <w:rFonts w:ascii="Proxima Nova" w:hAnsi="Proxima Nova"/>
          <w:color w:val="000000" w:themeColor="text1"/>
        </w:rPr>
        <w:t xml:space="preserve">only </w:t>
      </w:r>
      <w:r w:rsidR="009B73B6" w:rsidRPr="00DF5F23">
        <w:rPr>
          <w:rFonts w:ascii="Proxima Nova" w:hAnsi="Proxima Nova"/>
          <w:color w:val="000000" w:themeColor="text1"/>
        </w:rPr>
        <w:t xml:space="preserve">stipulate that MSME </w:t>
      </w:r>
      <w:r w:rsidR="009B73B6" w:rsidRPr="00DF5F23">
        <w:rPr>
          <w:rFonts w:ascii="Proxima Nova" w:hAnsi="Proxima Nova"/>
        </w:rPr>
        <w:t xml:space="preserve">wages must be at least 50% of the average public consumption at the provincial level, and at least 25% above the poverty </w:t>
      </w:r>
      <w:proofErr w:type="spellStart"/>
      <w:r w:rsidR="009B73B6" w:rsidRPr="00DF5F23">
        <w:rPr>
          <w:rFonts w:ascii="Proxima Nova" w:hAnsi="Proxima Nova"/>
        </w:rPr>
        <w:t>line</w:t>
      </w:r>
      <w:r w:rsidR="00F96577" w:rsidRPr="00DF5F23">
        <w:rPr>
          <w:rFonts w:ascii="Proxima Nova" w:hAnsi="Proxima Nova"/>
        </w:rPr>
        <w:t>at</w:t>
      </w:r>
      <w:proofErr w:type="spellEnd"/>
      <w:r w:rsidR="009B73B6" w:rsidRPr="00DF5F23">
        <w:rPr>
          <w:rFonts w:ascii="Proxima Nova" w:hAnsi="Proxima Nova"/>
        </w:rPr>
        <w:t xml:space="preserve"> the provincial level</w:t>
      </w:r>
      <w:r w:rsidR="009B73B6" w:rsidRPr="00DF5F23">
        <w:rPr>
          <w:rFonts w:ascii="Proxima Nova" w:hAnsi="Proxima Nova"/>
          <w:color w:val="000000" w:themeColor="text1"/>
        </w:rPr>
        <w:t>.</w:t>
      </w:r>
      <w:r w:rsidR="00F96577" w:rsidRPr="00DF5F23">
        <w:rPr>
          <w:rFonts w:ascii="Proxima Nova" w:hAnsi="Proxima Nova"/>
          <w:color w:val="000000" w:themeColor="text1"/>
        </w:rPr>
        <w:t xml:space="preserve"> </w:t>
      </w:r>
      <w:r w:rsidRPr="00DF5F23">
        <w:rPr>
          <w:rFonts w:ascii="Proxima Nova" w:hAnsi="Proxima Nova"/>
          <w:color w:val="000000" w:themeColor="text1"/>
        </w:rPr>
        <w:t>According to 2018 figure</w:t>
      </w:r>
      <w:r w:rsidR="00430CC6" w:rsidRPr="00DF5F23">
        <w:rPr>
          <w:rFonts w:ascii="Proxima Nova" w:hAnsi="Proxima Nova"/>
          <w:color w:val="000000" w:themeColor="text1"/>
        </w:rPr>
        <w:t>s</w:t>
      </w:r>
      <w:r w:rsidRPr="00DF5F23">
        <w:rPr>
          <w:rFonts w:ascii="Proxima Nova" w:hAnsi="Proxima Nova"/>
          <w:color w:val="000000" w:themeColor="text1"/>
        </w:rPr>
        <w:t xml:space="preserve"> from the Central Bureau of Statistics, almost all workers (96.92%) in Indonesia are employed in micro, small, or medium-size enterprises.</w:t>
      </w:r>
      <w:r w:rsidRPr="00DF5F23">
        <w:rPr>
          <w:rStyle w:val="EndnoteReference"/>
          <w:rFonts w:ascii="Proxima Nova" w:hAnsi="Proxima Nova"/>
          <w:color w:val="000000" w:themeColor="text1"/>
        </w:rPr>
        <w:endnoteReference w:id="49"/>
      </w:r>
      <w:r w:rsidRPr="00DF5F23">
        <w:rPr>
          <w:rFonts w:ascii="Proxima Nova" w:hAnsi="Proxima Nova"/>
          <w:color w:val="000000" w:themeColor="text1"/>
        </w:rPr>
        <w:t xml:space="preserve"> </w:t>
      </w:r>
    </w:p>
    <w:p w14:paraId="3BE1FF32" w14:textId="77777777" w:rsidR="006A5FB6" w:rsidRPr="00DF5F23" w:rsidRDefault="006A5FB6" w:rsidP="003948C1">
      <w:pPr>
        <w:pStyle w:val="NormalWeb"/>
        <w:spacing w:before="0" w:beforeAutospacing="0" w:after="0" w:afterAutospacing="0"/>
        <w:ind w:firstLine="360"/>
        <w:jc w:val="both"/>
        <w:textAlignment w:val="baseline"/>
        <w:rPr>
          <w:rFonts w:ascii="Proxima Nova" w:hAnsi="Proxima Nova"/>
          <w:color w:val="000000" w:themeColor="text1"/>
        </w:rPr>
      </w:pPr>
    </w:p>
    <w:p w14:paraId="7A202C9C" w14:textId="6D7A7A71" w:rsidR="0031551F" w:rsidRPr="00DF5F23" w:rsidRDefault="0031551F" w:rsidP="003948C1">
      <w:pPr>
        <w:pStyle w:val="NormalWeb"/>
        <w:spacing w:before="0" w:beforeAutospacing="0" w:after="0" w:afterAutospacing="0"/>
        <w:ind w:firstLine="360"/>
        <w:jc w:val="both"/>
        <w:textAlignment w:val="baseline"/>
        <w:rPr>
          <w:rFonts w:ascii="Proxima Nova" w:hAnsi="Proxima Nova"/>
          <w:color w:val="000000" w:themeColor="text1"/>
        </w:rPr>
      </w:pPr>
      <w:r w:rsidRPr="00DF5F23">
        <w:rPr>
          <w:rFonts w:ascii="Proxima Nova" w:hAnsi="Proxima Nova"/>
          <w:color w:val="000000" w:themeColor="text1"/>
        </w:rPr>
        <w:t xml:space="preserve">Outsourcing was previously limited to five fields of work, but the Omnibus law </w:t>
      </w:r>
      <w:r w:rsidR="0013405D" w:rsidRPr="00DF5F23">
        <w:rPr>
          <w:rFonts w:ascii="Proxima Nova" w:hAnsi="Proxima Nova"/>
          <w:color w:val="000000" w:themeColor="text1"/>
        </w:rPr>
        <w:t xml:space="preserve">and subsequently Law No.6/2023 have allowed </w:t>
      </w:r>
      <w:r w:rsidRPr="00DF5F23">
        <w:rPr>
          <w:rFonts w:ascii="Proxima Nova" w:hAnsi="Proxima Nova"/>
          <w:color w:val="000000" w:themeColor="text1"/>
        </w:rPr>
        <w:t>outsourcing for all kinds of work.</w:t>
      </w:r>
      <w:r w:rsidRPr="00DF5F23">
        <w:rPr>
          <w:rStyle w:val="EndnoteReference"/>
          <w:rFonts w:ascii="Proxima Nova" w:hAnsi="Proxima Nova"/>
          <w:color w:val="000000" w:themeColor="text1"/>
        </w:rPr>
        <w:endnoteReference w:id="50"/>
      </w:r>
      <w:r w:rsidRPr="00DF5F23">
        <w:rPr>
          <w:rFonts w:ascii="Proxima Nova" w:hAnsi="Proxima Nova"/>
          <w:color w:val="000000" w:themeColor="text1"/>
        </w:rPr>
        <w:t xml:space="preserve"> Outsourcing was limited in Indonesian law for primary production process work, and trade unions in Indonesia have consistently opposed outsourcing. Workers hired through outsourcing do not get holiday or sick leave the way other workers do. Enforcing minimum wage provisions for outsourced workers is untenable.</w:t>
      </w:r>
      <w:r w:rsidRPr="00DF5F23">
        <w:rPr>
          <w:rStyle w:val="EndnoteReference"/>
          <w:rFonts w:ascii="Proxima Nova" w:hAnsi="Proxima Nova"/>
          <w:color w:val="000000" w:themeColor="text1"/>
        </w:rPr>
        <w:endnoteReference w:id="51"/>
      </w:r>
      <w:r w:rsidRPr="00DF5F23">
        <w:rPr>
          <w:rFonts w:ascii="Proxima Nova" w:hAnsi="Proxima Nova"/>
          <w:color w:val="000000" w:themeColor="text1"/>
        </w:rPr>
        <w:t xml:space="preserve"> The new law is thus in violation of Article 7 of the ICESCR which guarantees fair and equal renumeration that allows a decent living for workers and their families. </w:t>
      </w:r>
    </w:p>
    <w:p w14:paraId="27A90211" w14:textId="77777777" w:rsidR="006A5FB6" w:rsidRPr="00DF5F23" w:rsidRDefault="006A5FB6" w:rsidP="003948C1">
      <w:pPr>
        <w:pStyle w:val="NormalWeb"/>
        <w:spacing w:before="0" w:beforeAutospacing="0" w:after="0" w:afterAutospacing="0"/>
        <w:ind w:firstLine="360"/>
        <w:jc w:val="both"/>
        <w:textAlignment w:val="baseline"/>
        <w:rPr>
          <w:rFonts w:ascii="Proxima Nova" w:hAnsi="Proxima Nova"/>
          <w:color w:val="222222"/>
          <w:shd w:val="clear" w:color="auto" w:fill="FFFFFF"/>
        </w:rPr>
      </w:pPr>
    </w:p>
    <w:p w14:paraId="3F5C6438" w14:textId="306B08C5" w:rsidR="0031551F" w:rsidRPr="00DF5F23" w:rsidRDefault="005D6934" w:rsidP="003948C1">
      <w:pPr>
        <w:pStyle w:val="NormalWeb"/>
        <w:spacing w:before="0" w:beforeAutospacing="0" w:after="0" w:afterAutospacing="0"/>
        <w:ind w:firstLine="360"/>
        <w:jc w:val="both"/>
        <w:textAlignment w:val="baseline"/>
        <w:rPr>
          <w:rFonts w:ascii="Proxima Nova" w:hAnsi="Proxima Nova"/>
          <w:color w:val="000000" w:themeColor="text1"/>
          <w:spacing w:val="-8"/>
          <w:shd w:val="clear" w:color="auto" w:fill="FFFFFF"/>
        </w:rPr>
      </w:pPr>
      <w:r w:rsidRPr="00DF5F23">
        <w:rPr>
          <w:rFonts w:ascii="Proxima Nova" w:hAnsi="Proxima Nova"/>
          <w:color w:val="222222"/>
          <w:shd w:val="clear" w:color="auto" w:fill="FFFFFF"/>
        </w:rPr>
        <w:t>The</w:t>
      </w:r>
      <w:r w:rsidR="0031551F" w:rsidRPr="00DF5F23">
        <w:rPr>
          <w:rFonts w:ascii="Proxima Nova" w:hAnsi="Proxima Nova"/>
          <w:color w:val="222222"/>
          <w:shd w:val="clear" w:color="auto" w:fill="FFFFFF"/>
        </w:rPr>
        <w:t xml:space="preserve"> </w:t>
      </w:r>
      <w:r w:rsidRPr="00DF5F23">
        <w:rPr>
          <w:rFonts w:ascii="Proxima Nova" w:hAnsi="Proxima Nova"/>
          <w:color w:val="222222"/>
          <w:shd w:val="clear" w:color="auto" w:fill="FFFFFF"/>
        </w:rPr>
        <w:t xml:space="preserve">labour law reform since 2021 has disproportionate impact </w:t>
      </w:r>
      <w:r w:rsidR="0031551F" w:rsidRPr="00DF5F23">
        <w:rPr>
          <w:rFonts w:ascii="Proxima Nova" w:hAnsi="Proxima Nova"/>
          <w:color w:val="222222"/>
          <w:shd w:val="clear" w:color="auto" w:fill="FFFFFF"/>
        </w:rPr>
        <w:t xml:space="preserve">on women workers, as both promote informalization (meaning basic </w:t>
      </w:r>
      <w:proofErr w:type="spellStart"/>
      <w:r w:rsidR="0031551F" w:rsidRPr="00DF5F23">
        <w:rPr>
          <w:rFonts w:ascii="Proxima Nova" w:hAnsi="Proxima Nova"/>
          <w:color w:val="222222"/>
          <w:shd w:val="clear" w:color="auto" w:fill="FFFFFF"/>
        </w:rPr>
        <w:t>labor</w:t>
      </w:r>
      <w:proofErr w:type="spellEnd"/>
      <w:r w:rsidR="0031551F" w:rsidRPr="00DF5F23">
        <w:rPr>
          <w:rFonts w:ascii="Proxima Nova" w:hAnsi="Proxima Nova"/>
          <w:color w:val="222222"/>
          <w:shd w:val="clear" w:color="auto" w:fill="FFFFFF"/>
        </w:rPr>
        <w:t xml:space="preserve"> rights are not recognized) and flexibility of </w:t>
      </w:r>
      <w:proofErr w:type="spellStart"/>
      <w:r w:rsidR="0031551F" w:rsidRPr="00DF5F23">
        <w:rPr>
          <w:rFonts w:ascii="Proxima Nova" w:hAnsi="Proxima Nova"/>
          <w:color w:val="222222"/>
          <w:shd w:val="clear" w:color="auto" w:fill="FFFFFF"/>
        </w:rPr>
        <w:t>labor</w:t>
      </w:r>
      <w:proofErr w:type="spellEnd"/>
      <w:r w:rsidR="0031551F" w:rsidRPr="00DF5F23">
        <w:rPr>
          <w:rFonts w:ascii="Proxima Nova" w:hAnsi="Proxima Nova"/>
          <w:color w:val="222222"/>
          <w:shd w:val="clear" w:color="auto" w:fill="FFFFFF"/>
        </w:rPr>
        <w:t>.</w:t>
      </w:r>
      <w:r w:rsidR="0031551F" w:rsidRPr="00DF5F23">
        <w:rPr>
          <w:rStyle w:val="EndnoteReference"/>
          <w:rFonts w:ascii="Proxima Nova" w:hAnsi="Proxima Nova"/>
          <w:color w:val="222222"/>
          <w:shd w:val="clear" w:color="auto" w:fill="FFFFFF"/>
        </w:rPr>
        <w:endnoteReference w:id="52"/>
      </w:r>
      <w:r w:rsidR="0031551F" w:rsidRPr="00DF5F23">
        <w:rPr>
          <w:rFonts w:ascii="Proxima Nova" w:hAnsi="Proxima Nova"/>
          <w:color w:val="222222"/>
          <w:shd w:val="clear" w:color="auto" w:fill="FFFFFF"/>
        </w:rPr>
        <w:t xml:space="preserve"> When the wage is based on target results and conditions, women workers are vulnerable to being paid below the minimum wage.</w:t>
      </w:r>
      <w:r w:rsidR="0031551F" w:rsidRPr="00DF5F23">
        <w:rPr>
          <w:rStyle w:val="EndnoteReference"/>
          <w:rFonts w:ascii="Proxima Nova" w:hAnsi="Proxima Nova"/>
          <w:color w:val="222222"/>
          <w:shd w:val="clear" w:color="auto" w:fill="FFFFFF"/>
        </w:rPr>
        <w:t xml:space="preserve"> </w:t>
      </w:r>
      <w:r w:rsidR="0031551F" w:rsidRPr="00DF5F23">
        <w:rPr>
          <w:rStyle w:val="EndnoteReference"/>
          <w:rFonts w:ascii="Proxima Nova" w:hAnsi="Proxima Nova"/>
          <w:color w:val="222222"/>
          <w:shd w:val="clear" w:color="auto" w:fill="FFFFFF"/>
        </w:rPr>
        <w:endnoteReference w:id="53"/>
      </w:r>
      <w:r w:rsidR="0031551F" w:rsidRPr="00DF5F23">
        <w:rPr>
          <w:rFonts w:ascii="Proxima Nova" w:hAnsi="Proxima Nova"/>
          <w:color w:val="222222"/>
          <w:shd w:val="clear" w:color="auto" w:fill="FFFFFF"/>
        </w:rPr>
        <w:t xml:space="preserve"> </w:t>
      </w:r>
      <w:r w:rsidR="0031551F" w:rsidRPr="00DF5F23">
        <w:rPr>
          <w:rFonts w:ascii="Proxima Nova" w:hAnsi="Proxima Nova"/>
          <w:color w:val="000000" w:themeColor="text1"/>
          <w:spacing w:val="-8"/>
          <w:shd w:val="clear" w:color="auto" w:fill="FFFFFF"/>
        </w:rPr>
        <w:t>Women workers have spoken out about the practice of ‘staycation’ where their employers ask them to spend a night with them if they want their fixed term contract renewed.</w:t>
      </w:r>
      <w:r w:rsidR="0031551F" w:rsidRPr="00DF5F23">
        <w:rPr>
          <w:rStyle w:val="EndnoteReference"/>
          <w:rFonts w:ascii="Proxima Nova" w:hAnsi="Proxima Nova"/>
          <w:color w:val="000000" w:themeColor="text1"/>
          <w:spacing w:val="-8"/>
          <w:shd w:val="clear" w:color="auto" w:fill="FFFFFF"/>
        </w:rPr>
        <w:endnoteReference w:id="54"/>
      </w:r>
      <w:r w:rsidR="0031551F" w:rsidRPr="00DF5F23">
        <w:rPr>
          <w:rFonts w:ascii="Proxima Nova" w:hAnsi="Proxima Nova"/>
          <w:color w:val="000000" w:themeColor="text1"/>
          <w:spacing w:val="-8"/>
          <w:shd w:val="clear" w:color="auto" w:fill="FFFFFF"/>
        </w:rPr>
        <w:t xml:space="preserve"> </w:t>
      </w:r>
      <w:r w:rsidR="0031551F" w:rsidRPr="00DF5F23">
        <w:rPr>
          <w:rFonts w:ascii="Proxima Nova" w:hAnsi="Proxima Nova"/>
          <w:color w:val="222222"/>
          <w:shd w:val="clear" w:color="auto" w:fill="FFFFFF"/>
        </w:rPr>
        <w:t>The law legitimates the exploitative practices that were widespread before the passage of the Omnibus law and its successor.</w:t>
      </w:r>
    </w:p>
    <w:p w14:paraId="567D8272" w14:textId="77777777" w:rsidR="0031551F" w:rsidRPr="00DF5F23" w:rsidRDefault="0031551F" w:rsidP="003948C1">
      <w:pPr>
        <w:pStyle w:val="NormalWeb"/>
        <w:spacing w:before="0" w:beforeAutospacing="0" w:after="0" w:afterAutospacing="0"/>
        <w:ind w:firstLine="720"/>
        <w:jc w:val="both"/>
        <w:textAlignment w:val="baseline"/>
        <w:rPr>
          <w:rFonts w:ascii="Proxima Nova" w:hAnsi="Proxima Nova"/>
          <w:color w:val="000000" w:themeColor="text1"/>
          <w:spacing w:val="-8"/>
          <w:shd w:val="clear" w:color="auto" w:fill="FFFFFF"/>
        </w:rPr>
      </w:pPr>
    </w:p>
    <w:p w14:paraId="280241E8" w14:textId="77777777" w:rsidR="0031551F" w:rsidRPr="00DF5F23" w:rsidRDefault="0031551F" w:rsidP="003948C1">
      <w:pPr>
        <w:pStyle w:val="NormalWeb"/>
        <w:numPr>
          <w:ilvl w:val="0"/>
          <w:numId w:val="3"/>
        </w:numPr>
        <w:spacing w:before="0" w:beforeAutospacing="0" w:after="0" w:afterAutospacing="0"/>
        <w:jc w:val="both"/>
        <w:textAlignment w:val="baseline"/>
        <w:rPr>
          <w:rFonts w:ascii="Proxima Nova" w:hAnsi="Proxima Nova"/>
          <w:color w:val="000000" w:themeColor="text1"/>
          <w:spacing w:val="-8"/>
          <w:shd w:val="clear" w:color="auto" w:fill="FFFFFF"/>
        </w:rPr>
      </w:pPr>
      <w:r w:rsidRPr="00DF5F23">
        <w:rPr>
          <w:rFonts w:ascii="Proxima Nova" w:hAnsi="Proxima Nova"/>
          <w:b/>
          <w:bCs/>
          <w:color w:val="000000" w:themeColor="text1"/>
        </w:rPr>
        <w:t xml:space="preserve">Impact on </w:t>
      </w:r>
      <w:r w:rsidRPr="00DF5F23">
        <w:rPr>
          <w:rFonts w:ascii="Proxima Nova" w:hAnsi="Proxima Nova"/>
          <w:b/>
          <w:bCs/>
          <w:color w:val="000000" w:themeColor="text1"/>
          <w:shd w:val="clear" w:color="auto" w:fill="FFFFFF"/>
        </w:rPr>
        <w:t>Trade Union Activities</w:t>
      </w:r>
    </w:p>
    <w:p w14:paraId="79A729BC" w14:textId="77777777" w:rsidR="0031551F" w:rsidRPr="00DF5F23" w:rsidRDefault="0031551F" w:rsidP="003948C1">
      <w:pPr>
        <w:pStyle w:val="NormalWeb"/>
        <w:spacing w:before="0" w:beforeAutospacing="0" w:after="0" w:afterAutospacing="0"/>
        <w:ind w:firstLine="360"/>
        <w:jc w:val="both"/>
        <w:textAlignment w:val="baseline"/>
        <w:rPr>
          <w:rFonts w:ascii="Proxima Nova" w:hAnsi="Proxima Nova"/>
          <w:color w:val="000000" w:themeColor="text1"/>
          <w:shd w:val="clear" w:color="auto" w:fill="FFFFFF"/>
        </w:rPr>
      </w:pPr>
    </w:p>
    <w:p w14:paraId="1CF903F1" w14:textId="6256895F" w:rsidR="0031551F" w:rsidRPr="00DF5F23" w:rsidRDefault="0031551F" w:rsidP="003948C1">
      <w:pPr>
        <w:pStyle w:val="NormalWeb"/>
        <w:spacing w:before="0" w:beforeAutospacing="0" w:after="0" w:afterAutospacing="0"/>
        <w:ind w:firstLine="360"/>
        <w:jc w:val="both"/>
        <w:textAlignment w:val="baseline"/>
        <w:rPr>
          <w:rFonts w:ascii="Proxima Nova" w:hAnsi="Proxima Nova"/>
          <w:color w:val="000000" w:themeColor="text1"/>
        </w:rPr>
      </w:pPr>
      <w:r w:rsidRPr="00DF5F23">
        <w:rPr>
          <w:rFonts w:ascii="Proxima Nova" w:hAnsi="Proxima Nova"/>
          <w:color w:val="000000" w:themeColor="text1"/>
        </w:rPr>
        <w:t>The Omnibus law and the new permanent law</w:t>
      </w:r>
      <w:r w:rsidR="00430CC6" w:rsidRPr="00DF5F23">
        <w:rPr>
          <w:rFonts w:ascii="Proxima Nova" w:hAnsi="Proxima Nova"/>
          <w:color w:val="000000" w:themeColor="text1"/>
        </w:rPr>
        <w:t xml:space="preserve"> (Law No. 6/2023)</w:t>
      </w:r>
      <w:r w:rsidRPr="00DF5F23">
        <w:rPr>
          <w:rFonts w:ascii="Proxima Nova" w:hAnsi="Proxima Nova"/>
          <w:color w:val="000000" w:themeColor="text1"/>
        </w:rPr>
        <w:t xml:space="preserve"> that replaced it threaten trade unions’ right to bargain collectively. Under the law, companies can adjust and reduce working hours and wages of workers up to 75 percent based on agreement with the individual workers.</w:t>
      </w:r>
      <w:r w:rsidRPr="00DF5F23">
        <w:rPr>
          <w:rStyle w:val="EndnoteReference"/>
          <w:rFonts w:ascii="Proxima Nova" w:hAnsi="Proxima Nova"/>
          <w:color w:val="000000" w:themeColor="text1"/>
        </w:rPr>
        <w:t xml:space="preserve"> </w:t>
      </w:r>
      <w:r w:rsidRPr="00DF5F23">
        <w:rPr>
          <w:rStyle w:val="EndnoteReference"/>
          <w:rFonts w:ascii="Proxima Nova" w:hAnsi="Proxima Nova"/>
          <w:color w:val="000000" w:themeColor="text1"/>
        </w:rPr>
        <w:endnoteReference w:id="55"/>
      </w:r>
      <w:r w:rsidRPr="00DF5F23">
        <w:rPr>
          <w:rFonts w:ascii="Proxima Nova" w:hAnsi="Proxima Nova"/>
          <w:color w:val="000000" w:themeColor="text1"/>
        </w:rPr>
        <w:t xml:space="preserve"> Trade unions remain concerned that union representatives cannot participate in these agreements at the company-level.</w:t>
      </w:r>
      <w:r w:rsidRPr="00DF5F23">
        <w:rPr>
          <w:rStyle w:val="EndnoteReference"/>
          <w:rFonts w:ascii="Proxima Nova" w:hAnsi="Proxima Nova"/>
          <w:color w:val="000000" w:themeColor="text1"/>
        </w:rPr>
        <w:t xml:space="preserve"> </w:t>
      </w:r>
      <w:r w:rsidRPr="00DF5F23">
        <w:rPr>
          <w:rStyle w:val="EndnoteReference"/>
          <w:rFonts w:ascii="Proxima Nova" w:hAnsi="Proxima Nova"/>
          <w:color w:val="000000" w:themeColor="text1"/>
        </w:rPr>
        <w:endnoteReference w:id="56"/>
      </w:r>
      <w:r w:rsidRPr="00DF5F23">
        <w:rPr>
          <w:rFonts w:ascii="Proxima Nova" w:hAnsi="Proxima Nova"/>
          <w:color w:val="000000" w:themeColor="text1"/>
        </w:rPr>
        <w:t xml:space="preserve"> This undermines the collective bargaining process to determine wages and terms and conditions of employment. Employers have no obligation to disclose specific data to trade unions about wage cuts and working hours.</w:t>
      </w:r>
      <w:r w:rsidRPr="00DF5F23">
        <w:rPr>
          <w:rStyle w:val="EndnoteReference"/>
          <w:rFonts w:ascii="Proxima Nova" w:hAnsi="Proxima Nova"/>
          <w:color w:val="000000" w:themeColor="text1"/>
        </w:rPr>
        <w:t xml:space="preserve"> </w:t>
      </w:r>
      <w:r w:rsidRPr="00DF5F23">
        <w:rPr>
          <w:rStyle w:val="EndnoteReference"/>
          <w:rFonts w:ascii="Proxima Nova" w:hAnsi="Proxima Nova"/>
          <w:color w:val="000000" w:themeColor="text1"/>
        </w:rPr>
        <w:endnoteReference w:id="57"/>
      </w:r>
      <w:r w:rsidRPr="00DF5F23">
        <w:rPr>
          <w:rFonts w:ascii="Proxima Nova" w:hAnsi="Proxima Nova"/>
          <w:color w:val="000000" w:themeColor="text1"/>
        </w:rPr>
        <w:t xml:space="preserve"> Now, data from workers at </w:t>
      </w:r>
      <w:proofErr w:type="gramStart"/>
      <w:r w:rsidRPr="00DF5F23">
        <w:rPr>
          <w:rFonts w:ascii="Proxima Nova" w:hAnsi="Proxima Nova"/>
          <w:color w:val="000000" w:themeColor="text1"/>
        </w:rPr>
        <w:t>a number of</w:t>
      </w:r>
      <w:proofErr w:type="gramEnd"/>
      <w:r w:rsidRPr="00DF5F23">
        <w:rPr>
          <w:rFonts w:ascii="Proxima Nova" w:hAnsi="Proxima Nova"/>
          <w:color w:val="000000" w:themeColor="text1"/>
        </w:rPr>
        <w:t xml:space="preserve"> companies exhibits that companies have been reducing wages and working hours without any interaction or dialogue with existing unions.</w:t>
      </w:r>
      <w:r w:rsidRPr="00DF5F23">
        <w:rPr>
          <w:rStyle w:val="EndnoteReference"/>
          <w:rFonts w:ascii="Proxima Nova" w:hAnsi="Proxima Nova"/>
          <w:color w:val="000000" w:themeColor="text1"/>
        </w:rPr>
        <w:endnoteReference w:id="58"/>
      </w:r>
    </w:p>
    <w:p w14:paraId="1818E4BC" w14:textId="77777777" w:rsidR="0031551F" w:rsidRPr="00DF5F23" w:rsidRDefault="0031551F" w:rsidP="003948C1">
      <w:pPr>
        <w:pStyle w:val="NormalWeb"/>
        <w:spacing w:before="0" w:beforeAutospacing="0" w:after="0" w:afterAutospacing="0"/>
        <w:ind w:firstLine="360"/>
        <w:jc w:val="both"/>
        <w:textAlignment w:val="baseline"/>
        <w:rPr>
          <w:rFonts w:ascii="Proxima Nova" w:hAnsi="Proxima Nova"/>
          <w:color w:val="000000" w:themeColor="text1"/>
          <w:shd w:val="clear" w:color="auto" w:fill="FFFFFF"/>
        </w:rPr>
      </w:pPr>
      <w:r w:rsidRPr="00DF5F23">
        <w:rPr>
          <w:rFonts w:ascii="Proxima Nova" w:hAnsi="Proxima Nova"/>
          <w:color w:val="000000" w:themeColor="text1"/>
          <w:shd w:val="clear" w:color="auto" w:fill="FFFFFF"/>
        </w:rPr>
        <w:t xml:space="preserve">By outsourcing </w:t>
      </w:r>
      <w:proofErr w:type="spellStart"/>
      <w:r w:rsidRPr="00DF5F23">
        <w:rPr>
          <w:rFonts w:ascii="Proxima Nova" w:hAnsi="Proxima Nova"/>
          <w:color w:val="000000" w:themeColor="text1"/>
          <w:shd w:val="clear" w:color="auto" w:fill="FFFFFF"/>
        </w:rPr>
        <w:t>labor</w:t>
      </w:r>
      <w:proofErr w:type="spellEnd"/>
      <w:r w:rsidRPr="00DF5F23">
        <w:rPr>
          <w:rFonts w:ascii="Proxima Nova" w:hAnsi="Proxima Nova"/>
          <w:color w:val="000000" w:themeColor="text1"/>
          <w:shd w:val="clear" w:color="auto" w:fill="FFFFFF"/>
        </w:rPr>
        <w:t xml:space="preserve">, an employer can replace directly hired trade union workers with non-union workers hired through a </w:t>
      </w:r>
      <w:proofErr w:type="spellStart"/>
      <w:r w:rsidRPr="00DF5F23">
        <w:rPr>
          <w:rFonts w:ascii="Proxima Nova" w:hAnsi="Proxima Nova"/>
          <w:color w:val="000000" w:themeColor="text1"/>
          <w:shd w:val="clear" w:color="auto" w:fill="FFFFFF"/>
        </w:rPr>
        <w:t>labor</w:t>
      </w:r>
      <w:proofErr w:type="spellEnd"/>
      <w:r w:rsidRPr="00DF5F23">
        <w:rPr>
          <w:rFonts w:ascii="Proxima Nova" w:hAnsi="Proxima Nova"/>
          <w:color w:val="000000" w:themeColor="text1"/>
          <w:shd w:val="clear" w:color="auto" w:fill="FFFFFF"/>
        </w:rPr>
        <w:t xml:space="preserve"> agency.</w:t>
      </w:r>
      <w:r w:rsidRPr="00DF5F23">
        <w:rPr>
          <w:rStyle w:val="EndnoteReference"/>
          <w:rFonts w:ascii="Proxima Nova" w:hAnsi="Proxima Nova"/>
          <w:color w:val="000000" w:themeColor="text1"/>
        </w:rPr>
        <w:t xml:space="preserve"> </w:t>
      </w:r>
      <w:r w:rsidRPr="00DF5F23">
        <w:rPr>
          <w:rStyle w:val="EndnoteReference"/>
          <w:rFonts w:ascii="Proxima Nova" w:hAnsi="Proxima Nova"/>
          <w:color w:val="000000" w:themeColor="text1"/>
        </w:rPr>
        <w:endnoteReference w:id="59"/>
      </w:r>
      <w:r w:rsidRPr="00DF5F23">
        <w:rPr>
          <w:rFonts w:ascii="Proxima Nova" w:hAnsi="Proxima Nova"/>
          <w:color w:val="000000" w:themeColor="text1"/>
          <w:shd w:val="clear" w:color="auto" w:fill="FFFFFF"/>
        </w:rPr>
        <w:t xml:space="preserve"> Fixed-term contract </w:t>
      </w:r>
      <w:r w:rsidRPr="00DF5F23">
        <w:rPr>
          <w:rFonts w:ascii="Proxima Nova" w:hAnsi="Proxima Nova"/>
          <w:color w:val="000000" w:themeColor="text1"/>
          <w:shd w:val="clear" w:color="auto" w:fill="FFFFFF"/>
        </w:rPr>
        <w:lastRenderedPageBreak/>
        <w:t xml:space="preserve">employees have fewer rights in general and would feel less secure joining trade unions. This thus serves to weaken trade union membership and power. </w:t>
      </w:r>
    </w:p>
    <w:p w14:paraId="0E0BABE9" w14:textId="77777777" w:rsidR="0031551F" w:rsidRPr="00DF5F23" w:rsidRDefault="0031551F" w:rsidP="003948C1">
      <w:pPr>
        <w:pStyle w:val="NormalWeb"/>
        <w:spacing w:before="0" w:beforeAutospacing="0" w:after="0" w:afterAutospacing="0"/>
        <w:ind w:firstLine="360"/>
        <w:jc w:val="both"/>
        <w:textAlignment w:val="baseline"/>
        <w:rPr>
          <w:rFonts w:ascii="Proxima Nova" w:hAnsi="Proxima Nova"/>
          <w:color w:val="000000" w:themeColor="text1"/>
          <w:shd w:val="clear" w:color="auto" w:fill="FFFFFF"/>
        </w:rPr>
      </w:pPr>
      <w:r w:rsidRPr="00DF5F23">
        <w:rPr>
          <w:rFonts w:ascii="Proxima Nova" w:hAnsi="Proxima Nova"/>
          <w:color w:val="000000" w:themeColor="text1"/>
          <w:shd w:val="clear" w:color="auto" w:fill="FFFFFF"/>
        </w:rPr>
        <w:t>This law violates the state’s duty to safeguard its fundamental political and economic freedoms. Article 87 of the International Labor Organization (ILO) Convention establishes the right of workers to join organizations of their choosing and for these organizations to function freely, while Article 98 guarantees protections against anti-union discrimination.</w:t>
      </w:r>
      <w:r w:rsidRPr="00DF5F23">
        <w:rPr>
          <w:rStyle w:val="EndnoteReference"/>
          <w:rFonts w:ascii="Proxima Nova" w:hAnsi="Proxima Nova"/>
          <w:color w:val="000000" w:themeColor="text1"/>
          <w:shd w:val="clear" w:color="auto" w:fill="FFFFFF"/>
        </w:rPr>
        <w:endnoteReference w:id="60"/>
      </w:r>
      <w:r w:rsidRPr="00DF5F23">
        <w:rPr>
          <w:rFonts w:ascii="Proxima Nova" w:hAnsi="Proxima Nova"/>
          <w:color w:val="000000" w:themeColor="text1"/>
          <w:shd w:val="clear" w:color="auto" w:fill="FFFFFF"/>
        </w:rPr>
        <w:t xml:space="preserve"> The Omnibus law and its successor law put these international conventions under risk </w:t>
      </w:r>
      <w:proofErr w:type="gramStart"/>
      <w:r w:rsidRPr="00DF5F23">
        <w:rPr>
          <w:rFonts w:ascii="Proxima Nova" w:hAnsi="Proxima Nova"/>
          <w:color w:val="000000" w:themeColor="text1"/>
          <w:shd w:val="clear" w:color="auto" w:fill="FFFFFF"/>
        </w:rPr>
        <w:t>with regard to</w:t>
      </w:r>
      <w:proofErr w:type="gramEnd"/>
      <w:r w:rsidRPr="00DF5F23">
        <w:rPr>
          <w:rFonts w:ascii="Proxima Nova" w:hAnsi="Proxima Nova"/>
          <w:color w:val="000000" w:themeColor="text1"/>
          <w:shd w:val="clear" w:color="auto" w:fill="FFFFFF"/>
        </w:rPr>
        <w:t xml:space="preserve"> trade union rights.</w:t>
      </w:r>
    </w:p>
    <w:p w14:paraId="70CEB22E" w14:textId="77777777" w:rsidR="0031551F" w:rsidRPr="00DF5F23" w:rsidRDefault="0031551F" w:rsidP="003948C1">
      <w:pPr>
        <w:jc w:val="both"/>
        <w:rPr>
          <w:rFonts w:ascii="Proxima Nova" w:eastAsia="Times New Roman" w:hAnsi="Proxima Nova"/>
          <w:color w:val="000000" w:themeColor="text1"/>
          <w:lang w:eastAsia="en-GB"/>
        </w:rPr>
      </w:pPr>
    </w:p>
    <w:p w14:paraId="449672D1" w14:textId="77777777" w:rsidR="0031551F" w:rsidRPr="00DF5F23" w:rsidRDefault="0031551F" w:rsidP="003948C1">
      <w:pPr>
        <w:pStyle w:val="ListParagraph"/>
        <w:numPr>
          <w:ilvl w:val="0"/>
          <w:numId w:val="1"/>
        </w:numPr>
        <w:spacing w:after="120"/>
        <w:ind w:right="-194"/>
        <w:jc w:val="both"/>
        <w:rPr>
          <w:rFonts w:ascii="Proxima Nova" w:eastAsia="Times New Roman" w:hAnsi="Proxima Nova" w:cs="Times New Roman"/>
          <w:b/>
          <w:bCs/>
          <w:color w:val="000000" w:themeColor="text1"/>
          <w:kern w:val="0"/>
          <w:shd w:val="clear" w:color="auto" w:fill="FFFFFF"/>
          <w:lang w:eastAsia="en-GB"/>
          <w14:ligatures w14:val="none"/>
        </w:rPr>
      </w:pPr>
      <w:r w:rsidRPr="00DF5F23">
        <w:rPr>
          <w:rFonts w:ascii="Proxima Nova" w:eastAsia="Times New Roman" w:hAnsi="Proxima Nova" w:cs="Times New Roman"/>
          <w:b/>
          <w:bCs/>
          <w:color w:val="000000" w:themeColor="text1"/>
          <w:kern w:val="0"/>
          <w:shd w:val="clear" w:color="auto" w:fill="FFFFFF"/>
          <w:lang w:eastAsia="en-GB"/>
          <w14:ligatures w14:val="none"/>
        </w:rPr>
        <w:t>The Right to Strike</w:t>
      </w:r>
    </w:p>
    <w:p w14:paraId="5ABF892D" w14:textId="77777777" w:rsidR="0031551F" w:rsidRPr="00DF5F23" w:rsidRDefault="0031551F" w:rsidP="003948C1">
      <w:pPr>
        <w:spacing w:after="120"/>
        <w:ind w:right="-194" w:firstLine="720"/>
        <w:jc w:val="both"/>
        <w:rPr>
          <w:rFonts w:ascii="Proxima Nova" w:eastAsia="Times New Roman" w:hAnsi="Proxima Nova"/>
          <w:color w:val="000000" w:themeColor="text1"/>
          <w:shd w:val="clear" w:color="auto" w:fill="FFFFFF"/>
          <w:lang w:eastAsia="en-GB"/>
        </w:rPr>
      </w:pPr>
      <w:r w:rsidRPr="00DF5F23">
        <w:rPr>
          <w:rFonts w:ascii="Proxima Nova" w:eastAsia="Times New Roman" w:hAnsi="Proxima Nova"/>
          <w:color w:val="000000" w:themeColor="text1"/>
          <w:shd w:val="clear" w:color="auto" w:fill="FFFFFF"/>
          <w:lang w:eastAsia="en-GB"/>
        </w:rPr>
        <w:t>Indonesian law enshrines the right to strike as a fundamental right. The right to strike is also widely recognized by various international instruments, such as United Nations human rights treaties and interpretations of the ILO Convention’s right to freedom of association.</w:t>
      </w:r>
      <w:r w:rsidRPr="00DF5F23">
        <w:rPr>
          <w:rStyle w:val="EndnoteReference"/>
          <w:rFonts w:ascii="Proxima Nova" w:hAnsi="Proxima Nova"/>
          <w:color w:val="000000" w:themeColor="text1"/>
          <w:shd w:val="clear" w:color="auto" w:fill="FFFFFF"/>
          <w:lang w:eastAsia="en-GB"/>
        </w:rPr>
        <w:endnoteReference w:id="61"/>
      </w:r>
      <w:r w:rsidRPr="00DF5F23">
        <w:rPr>
          <w:rFonts w:ascii="Proxima Nova" w:eastAsia="Times New Roman" w:hAnsi="Proxima Nova"/>
          <w:color w:val="000000" w:themeColor="text1"/>
          <w:shd w:val="clear" w:color="auto" w:fill="FFFFFF"/>
          <w:lang w:eastAsia="en-GB"/>
        </w:rPr>
        <w:t xml:space="preserve"> Under Article 8, Section 1(d) of the ICESCR, parties to the Covenant undertake to ensure the right to strike in conformity with the laws of the </w:t>
      </w:r>
      <w:proofErr w:type="gramStart"/>
      <w:r w:rsidRPr="00DF5F23">
        <w:rPr>
          <w:rFonts w:ascii="Proxima Nova" w:eastAsia="Times New Roman" w:hAnsi="Proxima Nova"/>
          <w:color w:val="000000" w:themeColor="text1"/>
          <w:shd w:val="clear" w:color="auto" w:fill="FFFFFF"/>
          <w:lang w:eastAsia="en-GB"/>
        </w:rPr>
        <w:t>particular country</w:t>
      </w:r>
      <w:proofErr w:type="gramEnd"/>
      <w:r w:rsidRPr="00DF5F23">
        <w:rPr>
          <w:rFonts w:ascii="Proxima Nova" w:eastAsia="Times New Roman" w:hAnsi="Proxima Nova"/>
          <w:color w:val="000000" w:themeColor="text1"/>
          <w:shd w:val="clear" w:color="auto" w:fill="FFFFFF"/>
          <w:lang w:eastAsia="en-GB"/>
        </w:rPr>
        <w:t>.</w:t>
      </w:r>
      <w:r w:rsidRPr="00DF5F23">
        <w:rPr>
          <w:rStyle w:val="EndnoteReference"/>
          <w:rFonts w:ascii="Proxima Nova" w:hAnsi="Proxima Nova"/>
          <w:color w:val="000000" w:themeColor="text1"/>
          <w:shd w:val="clear" w:color="auto" w:fill="FFFFFF"/>
          <w:lang w:eastAsia="en-GB"/>
        </w:rPr>
        <w:endnoteReference w:id="62"/>
      </w:r>
      <w:r w:rsidRPr="00DF5F23">
        <w:rPr>
          <w:rFonts w:ascii="Proxima Nova" w:eastAsia="Times New Roman" w:hAnsi="Proxima Nova"/>
          <w:color w:val="000000" w:themeColor="text1"/>
          <w:shd w:val="clear" w:color="auto" w:fill="FFFFFF"/>
          <w:lang w:eastAsia="en-GB"/>
        </w:rPr>
        <w:t xml:space="preserve"> Indonesia has ratified this Convention. However, the right to strike is under threat in Indonesia through a range of procedural and practical hurdles. </w:t>
      </w:r>
    </w:p>
    <w:p w14:paraId="00FE679B" w14:textId="77777777" w:rsidR="0031551F" w:rsidRPr="00DF5F23" w:rsidRDefault="0031551F" w:rsidP="003948C1">
      <w:pPr>
        <w:pStyle w:val="ListParagraph"/>
        <w:numPr>
          <w:ilvl w:val="0"/>
          <w:numId w:val="5"/>
        </w:numPr>
        <w:spacing w:after="120"/>
        <w:ind w:right="-194"/>
        <w:jc w:val="both"/>
        <w:rPr>
          <w:rFonts w:ascii="Proxima Nova" w:eastAsia="Times New Roman" w:hAnsi="Proxima Nova" w:cs="Times New Roman"/>
          <w:color w:val="000000" w:themeColor="text1"/>
          <w:kern w:val="0"/>
          <w:shd w:val="clear" w:color="auto" w:fill="FFFFFF"/>
          <w:lang w:eastAsia="en-GB"/>
          <w14:ligatures w14:val="none"/>
        </w:rPr>
      </w:pPr>
      <w:r w:rsidRPr="00DF5F23">
        <w:rPr>
          <w:rFonts w:ascii="Proxima Nova" w:eastAsia="Times New Roman" w:hAnsi="Proxima Nova" w:cs="Times New Roman"/>
          <w:b/>
          <w:bCs/>
          <w:color w:val="000000" w:themeColor="text1"/>
          <w:kern w:val="0"/>
          <w:shd w:val="clear" w:color="auto" w:fill="FFFFFF"/>
          <w:lang w:eastAsia="en-GB"/>
          <w14:ligatures w14:val="none"/>
        </w:rPr>
        <w:t>Excessive Procedural Requirements</w:t>
      </w:r>
    </w:p>
    <w:p w14:paraId="3AD95A22" w14:textId="77777777" w:rsidR="0031551F" w:rsidRPr="00DF5F23" w:rsidRDefault="0031551F" w:rsidP="003948C1">
      <w:pPr>
        <w:spacing w:after="120"/>
        <w:ind w:right="-194" w:firstLine="720"/>
        <w:jc w:val="both"/>
        <w:rPr>
          <w:rFonts w:ascii="Proxima Nova" w:hAnsi="Proxima Nova"/>
          <w:color w:val="000000" w:themeColor="text1"/>
        </w:rPr>
      </w:pPr>
      <w:r w:rsidRPr="00DF5F23">
        <w:rPr>
          <w:rFonts w:ascii="Proxima Nova" w:eastAsia="Times New Roman" w:hAnsi="Proxima Nova"/>
          <w:color w:val="000000" w:themeColor="text1"/>
          <w:shd w:val="clear" w:color="auto" w:fill="FFFFFF"/>
          <w:lang w:eastAsia="en-GB"/>
        </w:rPr>
        <w:t>The</w:t>
      </w:r>
      <w:r w:rsidRPr="00DF5F23">
        <w:rPr>
          <w:rFonts w:ascii="Proxima Nova" w:hAnsi="Proxima Nova"/>
          <w:color w:val="000000" w:themeColor="text1"/>
        </w:rPr>
        <w:t xml:space="preserve"> right to strike is restricted in Indonesia through severe and excessive procedural requirements. Through the law on strikes, the Minister of Manpower Decree No. 232 of 2003, the government issued requirements to give written notice of the strike more than seven days before the strike and to participate in mediation with the employer.</w:t>
      </w:r>
      <w:r w:rsidRPr="00DF5F23">
        <w:rPr>
          <w:rStyle w:val="EndnoteReference"/>
          <w:rFonts w:ascii="Proxima Nova" w:hAnsi="Proxima Nova"/>
          <w:color w:val="000000" w:themeColor="text1"/>
        </w:rPr>
        <w:endnoteReference w:id="63"/>
      </w:r>
      <w:r w:rsidRPr="00DF5F23">
        <w:rPr>
          <w:rFonts w:ascii="Proxima Nova" w:hAnsi="Proxima Nova"/>
          <w:color w:val="000000" w:themeColor="text1"/>
        </w:rPr>
        <w:t xml:space="preserve"> The written notice has to specify the start and end date of the strike, the venue, the specific reasons for striking, and it has to include signatures of the chairperson and secretary of the striking unions.</w:t>
      </w:r>
      <w:r w:rsidRPr="00DF5F23">
        <w:rPr>
          <w:rStyle w:val="EndnoteReference"/>
          <w:rFonts w:ascii="Proxima Nova" w:hAnsi="Proxima Nova"/>
          <w:color w:val="000000" w:themeColor="text1"/>
        </w:rPr>
        <w:endnoteReference w:id="64"/>
      </w:r>
      <w:r w:rsidRPr="00DF5F23">
        <w:rPr>
          <w:rFonts w:ascii="Proxima Nova" w:hAnsi="Proxima Nova"/>
          <w:color w:val="000000" w:themeColor="text1"/>
        </w:rPr>
        <w:t xml:space="preserve"> Before giving this notice to the employer, workers have to engage in mediation and then go on to a government mediator.</w:t>
      </w:r>
      <w:r w:rsidRPr="00DF5F23">
        <w:rPr>
          <w:rStyle w:val="EndnoteReference"/>
          <w:rFonts w:ascii="Proxima Nova" w:hAnsi="Proxima Nova"/>
          <w:color w:val="000000" w:themeColor="text1"/>
        </w:rPr>
        <w:t xml:space="preserve"> </w:t>
      </w:r>
      <w:r w:rsidRPr="00DF5F23">
        <w:rPr>
          <w:rStyle w:val="EndnoteReference"/>
          <w:rFonts w:ascii="Proxima Nova" w:hAnsi="Proxima Nova"/>
          <w:color w:val="000000" w:themeColor="text1"/>
        </w:rPr>
        <w:endnoteReference w:id="65"/>
      </w:r>
      <w:r w:rsidRPr="00DF5F23">
        <w:rPr>
          <w:rFonts w:ascii="Proxima Nova" w:hAnsi="Proxima Nova"/>
          <w:color w:val="000000" w:themeColor="text1"/>
        </w:rPr>
        <w:t xml:space="preserve"> The strike is only legal if negotiations with the employer fail and written notice was provided.</w:t>
      </w:r>
      <w:r w:rsidRPr="00DF5F23">
        <w:rPr>
          <w:rStyle w:val="EndnoteReference"/>
          <w:rFonts w:ascii="Proxima Nova" w:hAnsi="Proxima Nova"/>
          <w:color w:val="000000" w:themeColor="text1"/>
        </w:rPr>
        <w:endnoteReference w:id="66"/>
      </w:r>
      <w:r w:rsidRPr="00DF5F23">
        <w:rPr>
          <w:rFonts w:ascii="Proxima Nova" w:hAnsi="Proxima Nova"/>
          <w:color w:val="000000" w:themeColor="text1"/>
        </w:rPr>
        <w:t xml:space="preserve"> </w:t>
      </w:r>
    </w:p>
    <w:p w14:paraId="3F63A65D" w14:textId="77777777" w:rsidR="0031551F" w:rsidRPr="00DF5F23" w:rsidRDefault="0031551F" w:rsidP="003948C1">
      <w:pPr>
        <w:spacing w:after="120"/>
        <w:ind w:right="-194" w:firstLine="720"/>
        <w:jc w:val="both"/>
        <w:rPr>
          <w:rFonts w:ascii="Proxima Nova" w:hAnsi="Proxima Nova"/>
          <w:color w:val="000000" w:themeColor="text1"/>
        </w:rPr>
      </w:pPr>
      <w:r w:rsidRPr="00DF5F23">
        <w:rPr>
          <w:rFonts w:ascii="Proxima Nova" w:hAnsi="Proxima Nova"/>
          <w:color w:val="000000" w:themeColor="text1"/>
        </w:rPr>
        <w:t>There are also excessively restrictive rules for strike logistics: unions have to minimize loudspeaker volume, they cannot cause congestion or traffic jams, and the strike can be carried out only in three designated locations.</w:t>
      </w:r>
      <w:r w:rsidRPr="00DF5F23">
        <w:rPr>
          <w:rStyle w:val="EndnoteReference"/>
          <w:rFonts w:ascii="Proxima Nova" w:hAnsi="Proxima Nova"/>
          <w:color w:val="000000" w:themeColor="text1"/>
        </w:rPr>
        <w:endnoteReference w:id="67"/>
      </w:r>
      <w:r w:rsidRPr="00DF5F23">
        <w:rPr>
          <w:rFonts w:ascii="Proxima Nova" w:hAnsi="Proxima Nova"/>
          <w:color w:val="000000" w:themeColor="text1"/>
        </w:rPr>
        <w:t xml:space="preserve"> If a strike is found to be illegal, employers can make two requests for workers to return to work within seven days and if they do not return, the striking workers are considered to have resigned.</w:t>
      </w:r>
      <w:r w:rsidRPr="00DF5F23">
        <w:rPr>
          <w:rStyle w:val="EndnoteReference"/>
          <w:rFonts w:ascii="Proxima Nova" w:hAnsi="Proxima Nova"/>
          <w:color w:val="000000" w:themeColor="text1"/>
        </w:rPr>
        <w:endnoteReference w:id="68"/>
      </w:r>
    </w:p>
    <w:p w14:paraId="6CF2252F" w14:textId="77777777" w:rsidR="0031551F" w:rsidRPr="00DF5F23" w:rsidRDefault="0031551F" w:rsidP="003948C1">
      <w:pPr>
        <w:spacing w:after="120"/>
        <w:ind w:right="-194" w:firstLine="720"/>
        <w:jc w:val="both"/>
        <w:rPr>
          <w:rFonts w:ascii="Proxima Nova" w:hAnsi="Proxima Nova"/>
          <w:color w:val="000000" w:themeColor="text1"/>
        </w:rPr>
      </w:pPr>
      <w:r w:rsidRPr="00DF5F23">
        <w:rPr>
          <w:rFonts w:ascii="Proxima Nova" w:hAnsi="Proxima Nova"/>
          <w:color w:val="000000" w:themeColor="text1"/>
        </w:rPr>
        <w:t xml:space="preserve">These unduly burdensome procedural requirements delay strikes and could lead to imposition of mandatory arbitration or binding </w:t>
      </w:r>
      <w:proofErr w:type="spellStart"/>
      <w:r w:rsidRPr="00DF5F23">
        <w:rPr>
          <w:rFonts w:ascii="Proxima Nova" w:hAnsi="Proxima Nova"/>
          <w:color w:val="000000" w:themeColor="text1"/>
        </w:rPr>
        <w:t>labour</w:t>
      </w:r>
      <w:proofErr w:type="spellEnd"/>
      <w:r w:rsidRPr="00DF5F23">
        <w:rPr>
          <w:rFonts w:ascii="Proxima Nova" w:hAnsi="Proxima Nova"/>
          <w:color w:val="000000" w:themeColor="text1"/>
        </w:rPr>
        <w:t xml:space="preserve"> court rulings during the employer negotiation process.</w:t>
      </w:r>
      <w:r w:rsidRPr="00DF5F23">
        <w:rPr>
          <w:rStyle w:val="EndnoteReference"/>
          <w:rFonts w:ascii="Proxima Nova" w:hAnsi="Proxima Nova"/>
          <w:color w:val="000000" w:themeColor="text1"/>
        </w:rPr>
        <w:endnoteReference w:id="69"/>
      </w:r>
      <w:r w:rsidRPr="00DF5F23">
        <w:rPr>
          <w:rFonts w:ascii="Proxima Nova" w:hAnsi="Proxima Nova"/>
          <w:color w:val="000000" w:themeColor="text1"/>
        </w:rPr>
        <w:t xml:space="preserve"> They have a strong chilling effect on strike activity.</w:t>
      </w:r>
      <w:r w:rsidRPr="00DF5F23">
        <w:rPr>
          <w:rStyle w:val="EndnoteReference"/>
          <w:rFonts w:ascii="Proxima Nova" w:hAnsi="Proxima Nova"/>
          <w:color w:val="000000" w:themeColor="text1"/>
        </w:rPr>
        <w:t xml:space="preserve"> </w:t>
      </w:r>
      <w:r w:rsidRPr="00DF5F23">
        <w:rPr>
          <w:rStyle w:val="EndnoteReference"/>
          <w:rFonts w:ascii="Proxima Nova" w:hAnsi="Proxima Nova"/>
          <w:color w:val="000000" w:themeColor="text1"/>
        </w:rPr>
        <w:endnoteReference w:id="70"/>
      </w:r>
    </w:p>
    <w:p w14:paraId="20896F64" w14:textId="77777777" w:rsidR="0031551F" w:rsidRPr="00DF5F23" w:rsidRDefault="0031551F" w:rsidP="003948C1">
      <w:pPr>
        <w:pStyle w:val="ListParagraph"/>
        <w:numPr>
          <w:ilvl w:val="0"/>
          <w:numId w:val="5"/>
        </w:numPr>
        <w:spacing w:after="120"/>
        <w:ind w:right="-194"/>
        <w:jc w:val="both"/>
        <w:rPr>
          <w:rFonts w:ascii="Proxima Nova" w:hAnsi="Proxima Nova" w:cs="Times New Roman"/>
          <w:b/>
          <w:bCs/>
          <w:color w:val="000000" w:themeColor="text1"/>
        </w:rPr>
      </w:pPr>
      <w:r w:rsidRPr="00DF5F23">
        <w:rPr>
          <w:rFonts w:ascii="Proxima Nova" w:hAnsi="Proxima Nova" w:cs="Times New Roman"/>
          <w:b/>
          <w:bCs/>
          <w:color w:val="000000" w:themeColor="text1"/>
        </w:rPr>
        <w:t>Prohibitions on the Right to Strike</w:t>
      </w:r>
    </w:p>
    <w:p w14:paraId="538317C8" w14:textId="77777777" w:rsidR="0031551F" w:rsidRPr="00DF5F23" w:rsidRDefault="0031551F" w:rsidP="003948C1">
      <w:pPr>
        <w:spacing w:after="120"/>
        <w:ind w:right="-194" w:firstLine="720"/>
        <w:jc w:val="both"/>
        <w:rPr>
          <w:rFonts w:ascii="Proxima Nova" w:hAnsi="Proxima Nova"/>
          <w:color w:val="000000" w:themeColor="text1"/>
        </w:rPr>
      </w:pPr>
      <w:r w:rsidRPr="00DF5F23">
        <w:rPr>
          <w:rFonts w:ascii="Proxima Nova" w:hAnsi="Proxima Nova"/>
          <w:color w:val="000000" w:themeColor="text1"/>
        </w:rPr>
        <w:t>Strikes have been prohibited in essential services, public utility services, and public interest enterprises.</w:t>
      </w:r>
      <w:r w:rsidRPr="00DF5F23">
        <w:rPr>
          <w:rStyle w:val="EndnoteReference"/>
          <w:rFonts w:ascii="Proxima Nova" w:hAnsi="Proxima Nova"/>
          <w:color w:val="000000" w:themeColor="text1"/>
          <w:spacing w:val="-2"/>
        </w:rPr>
        <w:endnoteReference w:id="71"/>
      </w:r>
      <w:r w:rsidRPr="00DF5F23">
        <w:rPr>
          <w:rFonts w:ascii="Proxima Nova" w:hAnsi="Proxima Nova"/>
          <w:color w:val="000000" w:themeColor="text1"/>
        </w:rPr>
        <w:t xml:space="preserve"> It is unclear what the rights of public sector workers to strike are due to an absence of legislation on point. Article 137 of the Human Resources Law of 2003 prohibits and restricts strikes for a long list of essential workers, but the law does not explain what these restrictions are.</w:t>
      </w:r>
      <w:r w:rsidRPr="00DF5F23">
        <w:rPr>
          <w:rStyle w:val="EndnoteReference"/>
          <w:rFonts w:ascii="Proxima Nova" w:hAnsi="Proxima Nova"/>
          <w:color w:val="000000" w:themeColor="text1"/>
          <w:spacing w:val="-2"/>
          <w:shd w:val="clear" w:color="auto" w:fill="F2F2F2"/>
        </w:rPr>
        <w:t xml:space="preserve"> </w:t>
      </w:r>
      <w:r w:rsidRPr="00DF5F23">
        <w:rPr>
          <w:rStyle w:val="EndnoteReference"/>
          <w:rFonts w:ascii="Proxima Nova" w:hAnsi="Proxima Nova"/>
          <w:color w:val="000000" w:themeColor="text1"/>
          <w:spacing w:val="-2"/>
        </w:rPr>
        <w:endnoteReference w:id="72"/>
      </w:r>
      <w:r w:rsidRPr="00DF5F23">
        <w:rPr>
          <w:rFonts w:ascii="Proxima Nova" w:hAnsi="Proxima Nova"/>
          <w:color w:val="000000" w:themeColor="text1"/>
        </w:rPr>
        <w:t xml:space="preserve"> The law does not specify what categories of public utility service workers are restricted from striking either.</w:t>
      </w:r>
      <w:r w:rsidRPr="00DF5F23">
        <w:rPr>
          <w:rStyle w:val="EndnoteReference"/>
          <w:rFonts w:ascii="Proxima Nova" w:hAnsi="Proxima Nova"/>
          <w:color w:val="000000" w:themeColor="text1"/>
          <w:spacing w:val="-2"/>
        </w:rPr>
        <w:t xml:space="preserve"> </w:t>
      </w:r>
      <w:r w:rsidRPr="00DF5F23">
        <w:rPr>
          <w:rStyle w:val="EndnoteReference"/>
          <w:rFonts w:ascii="Proxima Nova" w:hAnsi="Proxima Nova"/>
          <w:color w:val="000000" w:themeColor="text1"/>
          <w:spacing w:val="-2"/>
        </w:rPr>
        <w:endnoteReference w:id="73"/>
      </w:r>
      <w:r w:rsidRPr="00DF5F23">
        <w:rPr>
          <w:rFonts w:ascii="Proxima Nova" w:hAnsi="Proxima Nova"/>
          <w:color w:val="000000" w:themeColor="text1"/>
        </w:rPr>
        <w:t xml:space="preserve"> Article 139 of the </w:t>
      </w:r>
      <w:r w:rsidRPr="00DF5F23">
        <w:rPr>
          <w:rFonts w:ascii="Proxima Nova" w:hAnsi="Proxima Nova"/>
          <w:color w:val="000000" w:themeColor="text1"/>
        </w:rPr>
        <w:lastRenderedPageBreak/>
        <w:t>Human Rights Law of 2003 states that certain minimum services must be provided during strikes and that must not undermine public interest or jeopardize safety. However, unions have no role in the determination of how many “minimum services” must be provided.</w:t>
      </w:r>
      <w:r w:rsidRPr="00DF5F23">
        <w:rPr>
          <w:rStyle w:val="EndnoteReference"/>
          <w:rFonts w:ascii="Proxima Nova" w:hAnsi="Proxima Nova"/>
          <w:color w:val="000000" w:themeColor="text1"/>
          <w:spacing w:val="-2"/>
        </w:rPr>
        <w:t xml:space="preserve"> </w:t>
      </w:r>
      <w:r w:rsidRPr="00DF5F23">
        <w:rPr>
          <w:rStyle w:val="EndnoteReference"/>
          <w:rFonts w:ascii="Proxima Nova" w:hAnsi="Proxima Nova"/>
          <w:color w:val="000000" w:themeColor="text1"/>
          <w:spacing w:val="-2"/>
        </w:rPr>
        <w:endnoteReference w:id="74"/>
      </w:r>
      <w:r w:rsidRPr="00DF5F23">
        <w:rPr>
          <w:rFonts w:ascii="Proxima Nova" w:hAnsi="Proxima Nova"/>
          <w:color w:val="000000" w:themeColor="text1"/>
          <w:spacing w:val="-2"/>
        </w:rPr>
        <w:t xml:space="preserve"> This leaves several determinations – like what services classify as public interest or essential – to the government’s discretion.</w:t>
      </w:r>
      <w:r w:rsidRPr="00DF5F23">
        <w:rPr>
          <w:rStyle w:val="EndnoteReference"/>
          <w:rFonts w:ascii="Proxima Nova" w:hAnsi="Proxima Nova"/>
          <w:color w:val="000000" w:themeColor="text1"/>
          <w:spacing w:val="-2"/>
        </w:rPr>
        <w:endnoteReference w:id="75"/>
      </w:r>
      <w:r w:rsidRPr="00DF5F23">
        <w:rPr>
          <w:rFonts w:ascii="Proxima Nova" w:hAnsi="Proxima Nova"/>
          <w:color w:val="000000" w:themeColor="text1"/>
          <w:spacing w:val="-2"/>
        </w:rPr>
        <w:t xml:space="preserve"> Indonesian law also prohibits the right to strike at vital national sites, including 49 factories and 14 industrial estates.</w:t>
      </w:r>
      <w:r w:rsidRPr="00DF5F23">
        <w:rPr>
          <w:rStyle w:val="EndnoteReference"/>
          <w:rFonts w:ascii="Proxima Nova" w:hAnsi="Proxima Nova"/>
          <w:color w:val="000000" w:themeColor="text1"/>
          <w:spacing w:val="-2"/>
        </w:rPr>
        <w:t xml:space="preserve"> </w:t>
      </w:r>
      <w:r w:rsidRPr="00DF5F23">
        <w:rPr>
          <w:rStyle w:val="EndnoteReference"/>
          <w:rFonts w:ascii="Proxima Nova" w:hAnsi="Proxima Nova"/>
          <w:color w:val="000000" w:themeColor="text1"/>
          <w:spacing w:val="-2"/>
        </w:rPr>
        <w:endnoteReference w:id="76"/>
      </w:r>
    </w:p>
    <w:p w14:paraId="6734464B" w14:textId="77777777" w:rsidR="0031551F" w:rsidRPr="00DF5F23" w:rsidRDefault="0031551F" w:rsidP="003948C1">
      <w:pPr>
        <w:spacing w:after="120"/>
        <w:ind w:right="-194" w:firstLine="720"/>
        <w:jc w:val="both"/>
        <w:rPr>
          <w:rFonts w:ascii="Proxima Nova" w:hAnsi="Proxima Nova"/>
          <w:color w:val="000000" w:themeColor="text1"/>
          <w:spacing w:val="-2"/>
          <w:shd w:val="clear" w:color="auto" w:fill="F2F2F2"/>
        </w:rPr>
      </w:pPr>
      <w:r w:rsidRPr="00DF5F23">
        <w:rPr>
          <w:rFonts w:ascii="Proxima Nova" w:hAnsi="Proxima Nova"/>
          <w:color w:val="000000" w:themeColor="text1"/>
        </w:rPr>
        <w:t>These prohibitions are in violation of the ILO Convention according to the Committee on Freedom of Association, which decrees that strikes can only be restricted in conditions with “clear and imminent threat to the life, personal safety or health of the whole or part of the population.”</w:t>
      </w:r>
      <w:r w:rsidRPr="00DF5F23">
        <w:rPr>
          <w:rStyle w:val="EndnoteReference"/>
          <w:rFonts w:ascii="Proxima Nova" w:hAnsi="Proxima Nova"/>
          <w:color w:val="000000" w:themeColor="text1"/>
        </w:rPr>
        <w:endnoteReference w:id="77"/>
      </w:r>
      <w:r w:rsidRPr="00DF5F23">
        <w:rPr>
          <w:rFonts w:ascii="Proxima Nova" w:hAnsi="Proxima Nova"/>
          <w:color w:val="000000" w:themeColor="text1"/>
        </w:rPr>
        <w:t xml:space="preserve"> The ILO also mandates compulsory guarantees for strike restrictions, such as alternative safeguards which are </w:t>
      </w:r>
      <w:r w:rsidRPr="00DF5F23">
        <w:rPr>
          <w:rFonts w:ascii="Proxima Nova" w:hAnsi="Proxima Nova"/>
          <w:color w:val="000000" w:themeColor="text1"/>
          <w:spacing w:val="-2"/>
        </w:rPr>
        <w:t>“adequate, fair and expeditious.” Yet Indonesian law does not specify any such safeguards in conciliation or arbitration for the workers who are denied the right to strike.</w:t>
      </w:r>
      <w:r w:rsidRPr="00DF5F23">
        <w:rPr>
          <w:rStyle w:val="EndnoteReference"/>
          <w:rFonts w:ascii="Proxima Nova" w:hAnsi="Proxima Nova"/>
          <w:color w:val="000000" w:themeColor="text1"/>
          <w:spacing w:val="-2"/>
        </w:rPr>
        <w:endnoteReference w:id="78"/>
      </w:r>
    </w:p>
    <w:p w14:paraId="5B79A800" w14:textId="77777777" w:rsidR="0031551F" w:rsidRPr="00DF5F23" w:rsidRDefault="0031551F" w:rsidP="003948C1">
      <w:pPr>
        <w:pStyle w:val="ListParagraph"/>
        <w:numPr>
          <w:ilvl w:val="0"/>
          <w:numId w:val="6"/>
        </w:numPr>
        <w:spacing w:after="120"/>
        <w:ind w:right="-194"/>
        <w:jc w:val="both"/>
        <w:rPr>
          <w:rFonts w:ascii="Proxima Nova" w:eastAsia="Times New Roman" w:hAnsi="Proxima Nova" w:cs="Times New Roman"/>
          <w:b/>
          <w:bCs/>
          <w:color w:val="000000" w:themeColor="text1"/>
          <w:kern w:val="0"/>
          <w:lang w:eastAsia="en-GB"/>
          <w14:ligatures w14:val="none"/>
        </w:rPr>
      </w:pPr>
      <w:r w:rsidRPr="00DF5F23">
        <w:rPr>
          <w:rFonts w:ascii="Proxima Nova" w:eastAsia="Times New Roman" w:hAnsi="Proxima Nova" w:cs="Times New Roman"/>
          <w:b/>
          <w:bCs/>
          <w:color w:val="000000" w:themeColor="text1"/>
          <w:kern w:val="0"/>
          <w:lang w:eastAsia="en-GB"/>
          <w14:ligatures w14:val="none"/>
        </w:rPr>
        <w:t xml:space="preserve">Provisions Undermining the Effectiveness of the Right to Strike </w:t>
      </w:r>
    </w:p>
    <w:p w14:paraId="652EF265" w14:textId="77777777" w:rsidR="0031551F" w:rsidRPr="00DF5F23" w:rsidRDefault="0031551F" w:rsidP="003948C1">
      <w:pPr>
        <w:spacing w:after="120"/>
        <w:ind w:right="-194" w:firstLine="720"/>
        <w:jc w:val="both"/>
        <w:rPr>
          <w:rFonts w:ascii="Proxima Nova" w:eastAsia="Times New Roman" w:hAnsi="Proxima Nova"/>
          <w:color w:val="000000" w:themeColor="text1"/>
          <w:lang w:eastAsia="en-GB"/>
        </w:rPr>
      </w:pPr>
      <w:r w:rsidRPr="00DF5F23">
        <w:rPr>
          <w:rFonts w:ascii="Proxima Nova" w:eastAsia="Times New Roman" w:hAnsi="Proxima Nova"/>
          <w:color w:val="000000" w:themeColor="text1"/>
          <w:lang w:eastAsia="en-GB"/>
        </w:rPr>
        <w:t>The right to strike is undermined through other legal provisions, such as excessive legal sanctions against striking workers. Under Article 8 of the General Law of 2020, the police possess the power and discretion to declare union activity (including strikes) as criminal acts.</w:t>
      </w:r>
      <w:r w:rsidRPr="00DF5F23">
        <w:rPr>
          <w:rStyle w:val="EndnoteReference"/>
          <w:rFonts w:ascii="Proxima Nova" w:hAnsi="Proxima Nova"/>
          <w:color w:val="000000" w:themeColor="text1"/>
          <w:lang w:eastAsia="en-GB"/>
        </w:rPr>
        <w:endnoteReference w:id="79"/>
      </w:r>
      <w:r w:rsidRPr="00DF5F23">
        <w:rPr>
          <w:rFonts w:ascii="Proxima Nova" w:eastAsia="Times New Roman" w:hAnsi="Proxima Nova"/>
          <w:color w:val="000000" w:themeColor="text1"/>
          <w:lang w:eastAsia="en-GB"/>
        </w:rPr>
        <w:t xml:space="preserve"> If they determine that a strike is illegal, workers can be imprisoned for up to four years and fined up to four hundred million rupees.</w:t>
      </w:r>
      <w:r w:rsidRPr="00DF5F23">
        <w:rPr>
          <w:rStyle w:val="EndnoteReference"/>
          <w:rFonts w:ascii="Proxima Nova" w:hAnsi="Proxima Nova"/>
          <w:color w:val="000000" w:themeColor="text1"/>
          <w:spacing w:val="-2"/>
        </w:rPr>
        <w:endnoteReference w:id="80"/>
      </w:r>
      <w:r w:rsidRPr="00DF5F23">
        <w:rPr>
          <w:rFonts w:ascii="Proxima Nova" w:hAnsi="Proxima Nova"/>
          <w:color w:val="000000" w:themeColor="text1"/>
          <w:spacing w:val="-2"/>
        </w:rPr>
        <w:t xml:space="preserve"> </w:t>
      </w:r>
      <w:r w:rsidRPr="00DF5F23">
        <w:rPr>
          <w:rFonts w:ascii="Proxima Nova" w:hAnsi="Proxima Nova"/>
        </w:rPr>
        <w:t>Companies and industrial areas can ask the police and the military for assistance in case of disruption or threats to “national vital objects” in industrial areas.</w:t>
      </w:r>
      <w:r w:rsidRPr="00DF5F23">
        <w:rPr>
          <w:rStyle w:val="EndnoteReference"/>
          <w:rFonts w:ascii="Proxima Nova" w:hAnsi="Proxima Nova"/>
        </w:rPr>
        <w:endnoteReference w:id="81"/>
      </w:r>
    </w:p>
    <w:p w14:paraId="55160A32" w14:textId="77777777" w:rsidR="0031551F" w:rsidRPr="00DF5F23" w:rsidRDefault="0031551F" w:rsidP="003948C1">
      <w:pPr>
        <w:spacing w:after="120"/>
        <w:ind w:right="-194"/>
        <w:jc w:val="both"/>
        <w:rPr>
          <w:rFonts w:ascii="Proxima Nova" w:hAnsi="Proxima Nova"/>
          <w:color w:val="000000" w:themeColor="text1"/>
          <w:spacing w:val="-2"/>
          <w:shd w:val="clear" w:color="auto" w:fill="F2F2F2"/>
          <w:vertAlign w:val="superscript"/>
        </w:rPr>
      </w:pPr>
      <w:r w:rsidRPr="00DF5F23">
        <w:rPr>
          <w:rFonts w:ascii="Proxima Nova" w:eastAsia="Times New Roman" w:hAnsi="Proxima Nova"/>
          <w:color w:val="000000" w:themeColor="text1"/>
          <w:lang w:eastAsia="en-GB"/>
        </w:rPr>
        <w:tab/>
        <w:t>Moreover, the ILO Committee of Experts found that language referring to “instigation” and “nuisance acts” in Indonesia’s penal code are vulnerable to being used as pretexts to prohibit strike activity.</w:t>
      </w:r>
      <w:r w:rsidRPr="00DF5F23">
        <w:rPr>
          <w:rStyle w:val="EndnoteReference"/>
          <w:rFonts w:ascii="Proxima Nova" w:hAnsi="Proxima Nova"/>
          <w:color w:val="000000" w:themeColor="text1"/>
          <w:spacing w:val="-2"/>
        </w:rPr>
        <w:t xml:space="preserve"> </w:t>
      </w:r>
      <w:r w:rsidRPr="00DF5F23">
        <w:rPr>
          <w:rStyle w:val="EndnoteReference"/>
          <w:rFonts w:ascii="Proxima Nova" w:hAnsi="Proxima Nova"/>
          <w:color w:val="000000" w:themeColor="text1"/>
          <w:spacing w:val="-2"/>
        </w:rPr>
        <w:endnoteReference w:id="82"/>
      </w:r>
      <w:r w:rsidRPr="00DF5F23">
        <w:rPr>
          <w:rFonts w:ascii="Proxima Nova" w:hAnsi="Proxima Nova"/>
          <w:color w:val="000000" w:themeColor="text1"/>
          <w:spacing w:val="-2"/>
        </w:rPr>
        <w:t xml:space="preserve"> The Army can officially involve themselves in worker demonstrations now due to a Memorandum of Understanding signed between the Indonesian National Army (TNI) and the Indonesian Police (POLRI) that enables cooperation for strikes and demonstrations.</w:t>
      </w:r>
      <w:r w:rsidRPr="00DF5F23">
        <w:rPr>
          <w:rStyle w:val="EndnoteReference"/>
          <w:rFonts w:ascii="Proxima Nova" w:hAnsi="Proxima Nova"/>
          <w:color w:val="000000" w:themeColor="text1"/>
          <w:spacing w:val="-2"/>
        </w:rPr>
        <w:endnoteReference w:id="83"/>
      </w:r>
      <w:r w:rsidRPr="00DF5F23">
        <w:rPr>
          <w:rFonts w:ascii="Proxima Nova" w:hAnsi="Proxima Nova"/>
          <w:color w:val="000000" w:themeColor="text1"/>
          <w:spacing w:val="-2"/>
        </w:rPr>
        <w:t xml:space="preserve"> The Confederation of Indonesian Trade Unions has demanded revocation of this MoU by pointing out that military involvement in strikes has repeatedly violated workers’ rights.</w:t>
      </w:r>
      <w:r w:rsidRPr="00DF5F23">
        <w:rPr>
          <w:rFonts w:ascii="Proxima Nova" w:hAnsi="Proxima Nova"/>
          <w:color w:val="000000" w:themeColor="text1"/>
          <w:spacing w:val="-2"/>
          <w:vertAlign w:val="superscript"/>
        </w:rPr>
        <w:t xml:space="preserve"> </w:t>
      </w:r>
      <w:r w:rsidRPr="00DF5F23">
        <w:rPr>
          <w:rFonts w:ascii="Proxima Nova" w:hAnsi="Proxima Nova"/>
          <w:color w:val="000000" w:themeColor="text1"/>
          <w:spacing w:val="-2"/>
          <w:vertAlign w:val="superscript"/>
        </w:rPr>
        <w:endnoteReference w:id="84"/>
      </w:r>
    </w:p>
    <w:p w14:paraId="49920385" w14:textId="77777777" w:rsidR="0031551F" w:rsidRPr="00DF5F23" w:rsidRDefault="0031551F" w:rsidP="003948C1">
      <w:pPr>
        <w:pStyle w:val="ListParagraph"/>
        <w:numPr>
          <w:ilvl w:val="0"/>
          <w:numId w:val="6"/>
        </w:numPr>
        <w:spacing w:after="120"/>
        <w:ind w:right="-194"/>
        <w:jc w:val="both"/>
        <w:rPr>
          <w:rFonts w:ascii="Proxima Nova" w:eastAsia="Times New Roman" w:hAnsi="Proxima Nova" w:cs="Times New Roman"/>
          <w:b/>
          <w:bCs/>
          <w:color w:val="000000" w:themeColor="text1"/>
          <w:kern w:val="0"/>
          <w:lang w:eastAsia="en-GB"/>
          <w14:ligatures w14:val="none"/>
        </w:rPr>
      </w:pPr>
      <w:r w:rsidRPr="00DF5F23">
        <w:rPr>
          <w:rFonts w:ascii="Proxima Nova" w:eastAsia="Times New Roman" w:hAnsi="Proxima Nova" w:cs="Times New Roman"/>
          <w:b/>
          <w:bCs/>
          <w:color w:val="000000" w:themeColor="text1"/>
          <w:kern w:val="0"/>
          <w:lang w:eastAsia="en-GB"/>
          <w14:ligatures w14:val="none"/>
        </w:rPr>
        <w:t xml:space="preserve">Incidents of Violence Against Striking Workers </w:t>
      </w:r>
    </w:p>
    <w:p w14:paraId="019DD99D" w14:textId="77777777" w:rsidR="0031551F" w:rsidRPr="00DF5F23" w:rsidRDefault="0031551F" w:rsidP="003948C1">
      <w:pPr>
        <w:spacing w:after="120"/>
        <w:ind w:left="-142" w:right="-194" w:firstLine="862"/>
        <w:jc w:val="both"/>
        <w:rPr>
          <w:rFonts w:ascii="Proxima Nova" w:eastAsia="Times New Roman" w:hAnsi="Proxima Nova"/>
          <w:color w:val="000000" w:themeColor="text1"/>
          <w:lang w:eastAsia="en-GB"/>
        </w:rPr>
      </w:pPr>
      <w:r w:rsidRPr="00DF5F23">
        <w:rPr>
          <w:rFonts w:ascii="Proxima Nova" w:eastAsia="Times New Roman" w:hAnsi="Proxima Nova"/>
          <w:color w:val="000000" w:themeColor="text1"/>
          <w:lang w:eastAsia="en-GB"/>
        </w:rPr>
        <w:t xml:space="preserve">A series of violent incidents show how striking workers are endangered in Indonesia despite a formal guarantee of the right to strike. First, striking workers have been attacked by security forces in the past few years. A union of workers from the company PT </w:t>
      </w:r>
      <w:proofErr w:type="spellStart"/>
      <w:r w:rsidRPr="00DF5F23">
        <w:rPr>
          <w:rFonts w:ascii="Proxima Nova" w:eastAsia="Times New Roman" w:hAnsi="Proxima Nova"/>
          <w:color w:val="000000" w:themeColor="text1"/>
          <w:lang w:eastAsia="en-GB"/>
        </w:rPr>
        <w:t>Indomarco</w:t>
      </w:r>
      <w:proofErr w:type="spellEnd"/>
      <w:r w:rsidRPr="00DF5F23">
        <w:rPr>
          <w:rFonts w:ascii="Proxima Nova" w:eastAsia="Times New Roman" w:hAnsi="Proxima Nova"/>
          <w:color w:val="000000" w:themeColor="text1"/>
          <w:lang w:eastAsia="en-GB"/>
        </w:rPr>
        <w:t xml:space="preserve"> went on strike to </w:t>
      </w:r>
      <w:proofErr w:type="gramStart"/>
      <w:r w:rsidRPr="00DF5F23">
        <w:rPr>
          <w:rFonts w:ascii="Proxima Nova" w:eastAsia="Times New Roman" w:hAnsi="Proxima Nova"/>
          <w:color w:val="000000" w:themeColor="text1"/>
          <w:lang w:eastAsia="en-GB"/>
        </w:rPr>
        <w:t>protest against</w:t>
      </w:r>
      <w:proofErr w:type="gramEnd"/>
      <w:r w:rsidRPr="00DF5F23">
        <w:rPr>
          <w:rFonts w:ascii="Proxima Nova" w:eastAsia="Times New Roman" w:hAnsi="Proxima Nova"/>
          <w:color w:val="000000" w:themeColor="text1"/>
          <w:lang w:eastAsia="en-GB"/>
        </w:rPr>
        <w:t xml:space="preserve"> the termination of fellow workers and union leaders.</w:t>
      </w:r>
      <w:r w:rsidRPr="00DF5F23">
        <w:rPr>
          <w:rStyle w:val="EndnoteReference"/>
          <w:rFonts w:ascii="Proxima Nova" w:hAnsi="Proxima Nova"/>
          <w:color w:val="000000" w:themeColor="text1"/>
          <w:lang w:eastAsia="en-GB"/>
        </w:rPr>
        <w:t xml:space="preserve"> </w:t>
      </w:r>
      <w:r w:rsidRPr="00DF5F23">
        <w:rPr>
          <w:rStyle w:val="EndnoteReference"/>
          <w:rFonts w:ascii="Proxima Nova" w:hAnsi="Proxima Nova"/>
          <w:color w:val="000000" w:themeColor="text1"/>
          <w:lang w:eastAsia="en-GB"/>
        </w:rPr>
        <w:endnoteReference w:id="85"/>
      </w:r>
      <w:r w:rsidRPr="00DF5F23">
        <w:rPr>
          <w:rFonts w:ascii="Proxima Nova" w:eastAsia="Times New Roman" w:hAnsi="Proxima Nova"/>
          <w:color w:val="000000" w:themeColor="text1"/>
          <w:lang w:eastAsia="en-GB"/>
        </w:rPr>
        <w:t xml:space="preserve"> The company used security forces to control the strike and three workers were injured. A police report was made by the </w:t>
      </w:r>
      <w:r w:rsidRPr="00DF5F23">
        <w:rPr>
          <w:rFonts w:ascii="Proxima Nova" w:hAnsi="Proxima Nova"/>
          <w:color w:val="000000" w:themeColor="text1"/>
          <w:spacing w:val="-2"/>
        </w:rPr>
        <w:t xml:space="preserve">Confederation of Indonesian Trade </w:t>
      </w:r>
      <w:proofErr w:type="gramStart"/>
      <w:r w:rsidRPr="00DF5F23">
        <w:rPr>
          <w:rFonts w:ascii="Proxima Nova" w:hAnsi="Proxima Nova"/>
          <w:color w:val="000000" w:themeColor="text1"/>
          <w:spacing w:val="-2"/>
        </w:rPr>
        <w:t>Unions</w:t>
      </w:r>
      <w:proofErr w:type="gramEnd"/>
      <w:r w:rsidRPr="00DF5F23">
        <w:rPr>
          <w:rFonts w:ascii="Proxima Nova" w:eastAsia="Times New Roman" w:hAnsi="Proxima Nova"/>
          <w:color w:val="000000" w:themeColor="text1"/>
          <w:lang w:eastAsia="en-GB"/>
        </w:rPr>
        <w:t xml:space="preserve"> but no investigation was ever carried out.</w:t>
      </w:r>
      <w:r w:rsidRPr="00DF5F23">
        <w:rPr>
          <w:rStyle w:val="EndnoteReference"/>
          <w:rFonts w:ascii="Proxima Nova" w:hAnsi="Proxima Nova"/>
          <w:color w:val="000000" w:themeColor="text1"/>
          <w:lang w:eastAsia="en-GB"/>
        </w:rPr>
        <w:endnoteReference w:id="86"/>
      </w:r>
      <w:r w:rsidRPr="00DF5F23">
        <w:rPr>
          <w:rFonts w:ascii="Proxima Nova" w:eastAsia="Times New Roman" w:hAnsi="Proxima Nova"/>
          <w:color w:val="000000" w:themeColor="text1"/>
          <w:lang w:eastAsia="en-GB"/>
        </w:rPr>
        <w:t xml:space="preserve"> Second, aside from the state’s security forces, hired thugs and youth paramilitary groups have also been used by factory managers to attack striking workers.</w:t>
      </w:r>
      <w:r w:rsidRPr="00DF5F23">
        <w:rPr>
          <w:rStyle w:val="EndnoteReference"/>
          <w:rFonts w:ascii="Proxima Nova" w:hAnsi="Proxima Nova"/>
          <w:color w:val="000000" w:themeColor="text1"/>
          <w:lang w:eastAsia="en-GB"/>
        </w:rPr>
        <w:endnoteReference w:id="87"/>
      </w:r>
    </w:p>
    <w:p w14:paraId="1FB21CC7" w14:textId="77777777" w:rsidR="0031551F" w:rsidRPr="00DF5F23" w:rsidRDefault="0031551F" w:rsidP="003948C1">
      <w:pPr>
        <w:spacing w:after="120"/>
        <w:ind w:left="-142" w:right="-194" w:firstLine="862"/>
        <w:jc w:val="both"/>
        <w:rPr>
          <w:rFonts w:ascii="Proxima Nova" w:eastAsia="Times New Roman" w:hAnsi="Proxima Nova"/>
          <w:color w:val="000000" w:themeColor="text1"/>
          <w:lang w:eastAsia="en-GB"/>
        </w:rPr>
      </w:pPr>
      <w:r w:rsidRPr="00DF5F23">
        <w:rPr>
          <w:rFonts w:ascii="Proxima Nova" w:eastAsia="Times New Roman" w:hAnsi="Proxima Nova"/>
          <w:color w:val="000000" w:themeColor="text1"/>
          <w:lang w:eastAsia="en-GB"/>
        </w:rPr>
        <w:t>Workers who went on strike against the Omnibus law faced violence and arrests. In October 2020, union members in Bekasi were injured by water cannons, and ten workers were arrested in Bekasi and Jakarta.</w:t>
      </w:r>
      <w:r w:rsidRPr="00DF5F23">
        <w:rPr>
          <w:rStyle w:val="EndnoteReference"/>
          <w:rFonts w:ascii="Proxima Nova" w:hAnsi="Proxima Nova"/>
          <w:color w:val="000000" w:themeColor="text1"/>
          <w:lang w:eastAsia="en-GB"/>
        </w:rPr>
        <w:t xml:space="preserve"> </w:t>
      </w:r>
      <w:r w:rsidRPr="00DF5F23">
        <w:rPr>
          <w:rStyle w:val="EndnoteReference"/>
          <w:rFonts w:ascii="Proxima Nova" w:hAnsi="Proxima Nova"/>
          <w:color w:val="000000" w:themeColor="text1"/>
          <w:lang w:eastAsia="en-GB"/>
        </w:rPr>
        <w:endnoteReference w:id="88"/>
      </w:r>
      <w:r w:rsidRPr="00DF5F23">
        <w:rPr>
          <w:rFonts w:ascii="Proxima Nova" w:eastAsia="Times New Roman" w:hAnsi="Proxima Nova"/>
          <w:color w:val="000000" w:themeColor="text1"/>
          <w:lang w:eastAsia="en-GB"/>
        </w:rPr>
        <w:t xml:space="preserve"> Union members were also detained while drinking coffee and others, for violating social distancing rules.</w:t>
      </w:r>
      <w:r w:rsidRPr="00DF5F23">
        <w:rPr>
          <w:rStyle w:val="EndnoteReference"/>
          <w:rFonts w:ascii="Proxima Nova" w:hAnsi="Proxima Nova"/>
          <w:color w:val="000000" w:themeColor="text1"/>
          <w:lang w:eastAsia="en-GB"/>
        </w:rPr>
        <w:endnoteReference w:id="89"/>
      </w:r>
      <w:r w:rsidRPr="00DF5F23">
        <w:rPr>
          <w:rFonts w:ascii="Proxima Nova" w:eastAsia="Times New Roman" w:hAnsi="Proxima Nova"/>
          <w:color w:val="000000" w:themeColor="text1"/>
          <w:lang w:eastAsia="en-GB"/>
        </w:rPr>
        <w:t xml:space="preserve"> In Jakarta, tear </w:t>
      </w:r>
      <w:r w:rsidRPr="00DF5F23">
        <w:rPr>
          <w:rFonts w:ascii="Proxima Nova" w:eastAsia="Times New Roman" w:hAnsi="Proxima Nova"/>
          <w:color w:val="000000" w:themeColor="text1"/>
          <w:lang w:eastAsia="en-GB"/>
        </w:rPr>
        <w:lastRenderedPageBreak/>
        <w:t>gas and water cannons were used to dispel crowds who were part of the national strike. More than 800 people were detained in Jakarta.</w:t>
      </w:r>
      <w:r w:rsidRPr="00DF5F23">
        <w:rPr>
          <w:rStyle w:val="EndnoteReference"/>
          <w:rFonts w:ascii="Proxima Nova" w:hAnsi="Proxima Nova"/>
          <w:color w:val="000000" w:themeColor="text1"/>
          <w:lang w:eastAsia="en-GB"/>
        </w:rPr>
        <w:endnoteReference w:id="90"/>
      </w:r>
      <w:r w:rsidRPr="00DF5F23">
        <w:rPr>
          <w:rFonts w:ascii="Proxima Nova" w:eastAsia="Times New Roman" w:hAnsi="Proxima Nova"/>
          <w:color w:val="000000" w:themeColor="text1"/>
          <w:lang w:eastAsia="en-GB"/>
        </w:rPr>
        <w:t xml:space="preserve"> The persistent threat of arrest, violence, and termination without legal recourse is a major barrier to the right to strike in the country and serve to spread fear among citizenry about striking and organizing.</w:t>
      </w:r>
      <w:r w:rsidRPr="00DF5F23">
        <w:rPr>
          <w:rStyle w:val="EndnoteReference"/>
          <w:rFonts w:ascii="Proxima Nova" w:hAnsi="Proxima Nova"/>
          <w:color w:val="000000" w:themeColor="text1"/>
          <w:lang w:eastAsia="en-GB"/>
        </w:rPr>
        <w:endnoteReference w:id="91"/>
      </w:r>
    </w:p>
    <w:p w14:paraId="0F06AF60" w14:textId="77777777" w:rsidR="0031551F" w:rsidRPr="00DF5F23" w:rsidRDefault="0031551F" w:rsidP="003948C1">
      <w:pPr>
        <w:pStyle w:val="ListParagraph"/>
        <w:numPr>
          <w:ilvl w:val="0"/>
          <w:numId w:val="1"/>
        </w:numPr>
        <w:spacing w:after="120"/>
        <w:ind w:right="-194"/>
        <w:jc w:val="both"/>
        <w:rPr>
          <w:rFonts w:ascii="Proxima Nova" w:eastAsia="Times New Roman" w:hAnsi="Proxima Nova" w:cs="Times New Roman"/>
          <w:color w:val="000000" w:themeColor="text1"/>
          <w:kern w:val="0"/>
          <w:lang w:eastAsia="en-GB"/>
          <w14:ligatures w14:val="none"/>
        </w:rPr>
      </w:pPr>
      <w:r w:rsidRPr="00DF5F23">
        <w:rPr>
          <w:rFonts w:ascii="Proxima Nova" w:eastAsia="Times New Roman" w:hAnsi="Proxima Nova" w:cs="Times New Roman"/>
          <w:b/>
          <w:bCs/>
          <w:color w:val="000000" w:themeColor="text1"/>
          <w:kern w:val="0"/>
          <w:lang w:eastAsia="en-GB"/>
          <w14:ligatures w14:val="none"/>
        </w:rPr>
        <w:t>Conclusion</w:t>
      </w:r>
    </w:p>
    <w:p w14:paraId="0E82B3E2" w14:textId="7DCCEA62" w:rsidR="0031551F" w:rsidRPr="00DF5F23" w:rsidRDefault="00C5189B" w:rsidP="00C5189B">
      <w:pPr>
        <w:shd w:val="clear" w:color="auto" w:fill="FFFFFF"/>
        <w:spacing w:after="120"/>
        <w:ind w:right="-194"/>
        <w:jc w:val="both"/>
        <w:rPr>
          <w:rFonts w:ascii="Proxima Nova" w:eastAsia="Times New Roman" w:hAnsi="Proxima Nova"/>
          <w:color w:val="000000" w:themeColor="text1"/>
          <w:lang w:eastAsia="en-GB"/>
        </w:rPr>
      </w:pPr>
      <w:r>
        <w:rPr>
          <w:rFonts w:ascii="Proxima Nova" w:eastAsia="Times New Roman" w:hAnsi="Proxima Nova"/>
          <w:color w:val="000000" w:themeColor="text1"/>
          <w:lang w:eastAsia="en-GB"/>
        </w:rPr>
        <w:t>V</w:t>
      </w:r>
      <w:r w:rsidR="0031551F" w:rsidRPr="00DF5F23">
        <w:rPr>
          <w:rFonts w:ascii="Proxima Nova" w:eastAsia="Times New Roman" w:hAnsi="Proxima Nova"/>
          <w:color w:val="000000" w:themeColor="text1"/>
          <w:lang w:eastAsia="en-GB"/>
        </w:rPr>
        <w:t xml:space="preserve">iolations of workers’ </w:t>
      </w:r>
      <w:proofErr w:type="spellStart"/>
      <w:r>
        <w:rPr>
          <w:rFonts w:ascii="Proxima Nova" w:eastAsia="Times New Roman" w:hAnsi="Proxima Nova"/>
          <w:color w:val="000000" w:themeColor="text1"/>
          <w:lang w:eastAsia="en-GB"/>
        </w:rPr>
        <w:t>labour</w:t>
      </w:r>
      <w:proofErr w:type="spellEnd"/>
      <w:r>
        <w:rPr>
          <w:rFonts w:ascii="Proxima Nova" w:eastAsia="Times New Roman" w:hAnsi="Proxima Nova"/>
          <w:color w:val="000000" w:themeColor="text1"/>
          <w:lang w:eastAsia="en-GB"/>
        </w:rPr>
        <w:t xml:space="preserve"> rights are</w:t>
      </w:r>
      <w:r w:rsidR="0031551F" w:rsidRPr="00DF5F23">
        <w:rPr>
          <w:rFonts w:ascii="Proxima Nova" w:eastAsia="Times New Roman" w:hAnsi="Proxima Nova"/>
          <w:color w:val="000000" w:themeColor="text1"/>
          <w:lang w:eastAsia="en-GB"/>
        </w:rPr>
        <w:t xml:space="preserve"> widespread in Indonesia, in both law and practice. International action must encourage Indonesia to bring its laws and local conditions in compliance with its human rights obligations</w:t>
      </w:r>
      <w:r w:rsidR="009409D3">
        <w:rPr>
          <w:rFonts w:ascii="Proxima Nova" w:eastAsia="Times New Roman" w:hAnsi="Proxima Nova"/>
          <w:color w:val="000000" w:themeColor="text1"/>
          <w:lang w:eastAsia="en-GB"/>
        </w:rPr>
        <w:t xml:space="preserve"> under ICE</w:t>
      </w:r>
      <w:r w:rsidR="00805979">
        <w:rPr>
          <w:rFonts w:ascii="Proxima Nova" w:eastAsia="Times New Roman" w:hAnsi="Proxima Nova"/>
          <w:color w:val="000000" w:themeColor="text1"/>
          <w:lang w:eastAsia="en-GB"/>
        </w:rPr>
        <w:t>SCR, including Articles 7 and 8.</w:t>
      </w:r>
    </w:p>
    <w:p w14:paraId="473B9132" w14:textId="77777777" w:rsidR="0031551F" w:rsidRPr="00DF5F23" w:rsidRDefault="0031551F" w:rsidP="003948C1">
      <w:pPr>
        <w:shd w:val="clear" w:color="auto" w:fill="FFFFFF"/>
        <w:spacing w:after="120"/>
        <w:ind w:right="-194" w:firstLine="360"/>
        <w:jc w:val="both"/>
        <w:rPr>
          <w:rFonts w:ascii="Proxima Nova" w:eastAsia="Times New Roman" w:hAnsi="Proxima Nova"/>
          <w:color w:val="000000" w:themeColor="text1"/>
          <w:lang w:eastAsia="en-GB"/>
        </w:rPr>
      </w:pPr>
    </w:p>
    <w:p w14:paraId="6886B476" w14:textId="77777777" w:rsidR="0031551F" w:rsidRPr="00DF5F23" w:rsidRDefault="0031551F" w:rsidP="003948C1">
      <w:pPr>
        <w:spacing w:after="120"/>
        <w:ind w:right="-194"/>
        <w:jc w:val="both"/>
        <w:rPr>
          <w:rFonts w:ascii="Proxima Nova" w:eastAsia="Times New Roman" w:hAnsi="Proxima Nova"/>
          <w:color w:val="000000" w:themeColor="text1"/>
          <w:lang w:eastAsia="en-GB"/>
        </w:rPr>
      </w:pPr>
    </w:p>
    <w:p w14:paraId="12C61193" w14:textId="77777777" w:rsidR="0031551F" w:rsidRPr="00DF5F23" w:rsidRDefault="0031551F" w:rsidP="003948C1">
      <w:pPr>
        <w:pStyle w:val="ListParagraph"/>
        <w:jc w:val="both"/>
        <w:rPr>
          <w:rFonts w:ascii="Proxima Nova" w:eastAsia="Times New Roman" w:hAnsi="Proxima Nova" w:cs="Times New Roman"/>
          <w:color w:val="000000" w:themeColor="text1"/>
          <w:kern w:val="0"/>
          <w:lang w:eastAsia="en-GB"/>
          <w14:ligatures w14:val="none"/>
        </w:rPr>
      </w:pPr>
    </w:p>
    <w:p w14:paraId="539CEDCC" w14:textId="77777777" w:rsidR="0031551F" w:rsidRPr="00DF5F23" w:rsidRDefault="0031551F" w:rsidP="003948C1">
      <w:pPr>
        <w:jc w:val="both"/>
        <w:rPr>
          <w:rFonts w:ascii="Proxima Nova" w:hAnsi="Proxima Nova"/>
        </w:rPr>
      </w:pPr>
    </w:p>
    <w:p w14:paraId="69A8A892" w14:textId="77777777" w:rsidR="0031551F" w:rsidRPr="00DF5F23" w:rsidRDefault="0031551F" w:rsidP="003948C1">
      <w:pPr>
        <w:pStyle w:val="BasicParagraph"/>
        <w:tabs>
          <w:tab w:val="center" w:pos="5529"/>
        </w:tabs>
        <w:spacing w:line="220" w:lineRule="atLeast"/>
        <w:jc w:val="both"/>
        <w:rPr>
          <w:rFonts w:ascii="Proxima Nova" w:hAnsi="Proxima Nova"/>
          <w:b/>
          <w:lang w:val="en-US"/>
        </w:rPr>
      </w:pPr>
    </w:p>
    <w:sectPr w:rsidR="0031551F" w:rsidRPr="00DF5F23" w:rsidSect="00A4074D">
      <w:headerReference w:type="default" r:id="rId12"/>
      <w:footerReference w:type="default" r:id="rId13"/>
      <w:headerReference w:type="first" r:id="rId14"/>
      <w:footerReference w:type="first" r:id="rId15"/>
      <w:pgSz w:w="11900" w:h="16840"/>
      <w:pgMar w:top="1418" w:right="1418" w:bottom="1418" w:left="1560" w:header="1134"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95657" w14:textId="77777777" w:rsidR="00A4074D" w:rsidRDefault="00A4074D">
      <w:pPr>
        <w:spacing w:after="0"/>
      </w:pPr>
      <w:r>
        <w:separator/>
      </w:r>
    </w:p>
  </w:endnote>
  <w:endnote w:type="continuationSeparator" w:id="0">
    <w:p w14:paraId="1F04EE71" w14:textId="77777777" w:rsidR="00A4074D" w:rsidRDefault="00A4074D">
      <w:pPr>
        <w:spacing w:after="0"/>
      </w:pPr>
      <w:r>
        <w:continuationSeparator/>
      </w:r>
    </w:p>
  </w:endnote>
  <w:endnote w:id="1">
    <w:p w14:paraId="465B8A31"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sidRPr="002C194F">
        <w:rPr>
          <w:rFonts w:ascii="Times New Roman" w:hAnsi="Times New Roman" w:cs="Times New Roman"/>
          <w:sz w:val="22"/>
          <w:szCs w:val="22"/>
        </w:rPr>
        <w:t xml:space="preserve"> </w:t>
      </w:r>
      <w:r w:rsidRPr="00411DCE">
        <w:rPr>
          <w:rFonts w:ascii="Times New Roman" w:hAnsi="Times New Roman" w:cs="Times New Roman"/>
          <w:sz w:val="22"/>
          <w:szCs w:val="22"/>
        </w:rPr>
        <w:t>C098</w:t>
      </w:r>
      <w:r>
        <w:rPr>
          <w:rFonts w:ascii="Times New Roman" w:hAnsi="Times New Roman" w:cs="Times New Roman"/>
          <w:sz w:val="22"/>
          <w:szCs w:val="22"/>
        </w:rPr>
        <w:t xml:space="preserve"> - </w:t>
      </w:r>
      <w:r w:rsidRPr="00411DCE">
        <w:rPr>
          <w:rFonts w:ascii="Times New Roman" w:hAnsi="Times New Roman" w:cs="Times New Roman"/>
          <w:sz w:val="22"/>
          <w:szCs w:val="22"/>
        </w:rPr>
        <w:t>Right to Organise and Collective Bargaining Convention, 1949 (No. 98)</w:t>
      </w:r>
      <w:r>
        <w:rPr>
          <w:rFonts w:ascii="Times New Roman" w:hAnsi="Times New Roman" w:cs="Times New Roman"/>
          <w:sz w:val="22"/>
          <w:szCs w:val="22"/>
        </w:rPr>
        <w:t xml:space="preserve">, </w:t>
      </w:r>
      <w:r w:rsidRPr="00411DCE">
        <w:rPr>
          <w:rFonts w:ascii="Times New Roman" w:hAnsi="Times New Roman" w:cs="Times New Roman"/>
          <w:i/>
          <w:iCs/>
          <w:sz w:val="22"/>
          <w:szCs w:val="22"/>
        </w:rPr>
        <w:t>available at</w:t>
      </w:r>
      <w:r>
        <w:rPr>
          <w:rFonts w:ascii="Times New Roman" w:hAnsi="Times New Roman" w:cs="Times New Roman"/>
          <w:i/>
          <w:iCs/>
          <w:sz w:val="22"/>
          <w:szCs w:val="22"/>
        </w:rPr>
        <w:t xml:space="preserve"> </w:t>
      </w:r>
      <w:hyperlink r:id="rId1" w:history="1">
        <w:r w:rsidRPr="00413194">
          <w:rPr>
            <w:rStyle w:val="Hyperlink"/>
            <w:rFonts w:ascii="Times New Roman" w:hAnsi="Times New Roman" w:cs="Times New Roman"/>
            <w:sz w:val="22"/>
            <w:szCs w:val="22"/>
          </w:rPr>
          <w:t>https://www.ilo.org/dyn/normlex/en/f?p=NORMLEXPUB:12100:0::NO::P12100_ILO_CODE:C098</w:t>
        </w:r>
      </w:hyperlink>
      <w:r>
        <w:rPr>
          <w:rFonts w:ascii="Times New Roman" w:hAnsi="Times New Roman" w:cs="Times New Roman"/>
          <w:sz w:val="22"/>
          <w:szCs w:val="22"/>
        </w:rPr>
        <w:t>.</w:t>
      </w:r>
      <w:r w:rsidRPr="002C194F">
        <w:rPr>
          <w:rFonts w:ascii="Times New Roman" w:hAnsi="Times New Roman" w:cs="Times New Roman"/>
          <w:sz w:val="22"/>
          <w:szCs w:val="22"/>
        </w:rPr>
        <w:t xml:space="preserve"> </w:t>
      </w:r>
    </w:p>
  </w:endnote>
  <w:endnote w:id="2">
    <w:p w14:paraId="40D166E6"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sidRPr="002C194F">
        <w:rPr>
          <w:rFonts w:ascii="Times New Roman" w:hAnsi="Times New Roman" w:cs="Times New Roman"/>
          <w:sz w:val="22"/>
          <w:szCs w:val="22"/>
        </w:rPr>
        <w:t xml:space="preserve"> </w:t>
      </w:r>
      <w:r w:rsidRPr="002C194F">
        <w:rPr>
          <w:rFonts w:ascii="Times New Roman" w:hAnsi="Times New Roman" w:cs="Times New Roman"/>
          <w:i/>
          <w:iCs/>
          <w:sz w:val="22"/>
          <w:szCs w:val="22"/>
        </w:rPr>
        <w:t>Observation (CEACR) - adopted 2022, published 111st ILC session (2023) Freedom of Association and Protection of the Right to Organise Convention, 1948 (No. 87) - Indonesia (Ratification: 1998)</w:t>
      </w:r>
      <w:r w:rsidRPr="002C194F">
        <w:rPr>
          <w:rFonts w:ascii="Times New Roman" w:hAnsi="Times New Roman" w:cs="Times New Roman"/>
          <w:sz w:val="22"/>
          <w:szCs w:val="22"/>
        </w:rPr>
        <w:t xml:space="preserve">, ILO NORMLEX, </w:t>
      </w:r>
      <w:hyperlink r:id="rId2" w:history="1">
        <w:r w:rsidRPr="002C194F">
          <w:rPr>
            <w:rStyle w:val="Hyperlink"/>
            <w:rFonts w:ascii="Times New Roman" w:hAnsi="Times New Roman" w:cs="Times New Roman"/>
            <w:sz w:val="22"/>
            <w:szCs w:val="22"/>
          </w:rPr>
          <w:t>https://www.ilo.org/dyn/normlex/en/f?p=1000:13100:0::NO:13100:P13100_COMMENT_ID,P13100_COUNTRY_ID:4323342,102938:NO</w:t>
        </w:r>
      </w:hyperlink>
      <w:r w:rsidRPr="002C194F">
        <w:rPr>
          <w:rFonts w:ascii="Times New Roman" w:hAnsi="Times New Roman" w:cs="Times New Roman"/>
          <w:sz w:val="22"/>
          <w:szCs w:val="22"/>
        </w:rPr>
        <w:t xml:space="preserve"> (last visited Dec. 1, 2023). </w:t>
      </w:r>
    </w:p>
  </w:endnote>
  <w:endnote w:id="3">
    <w:p w14:paraId="3C654B04"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sidRPr="002C194F">
        <w:rPr>
          <w:rFonts w:ascii="Times New Roman" w:hAnsi="Times New Roman" w:cs="Times New Roman"/>
          <w:sz w:val="22"/>
          <w:szCs w:val="22"/>
        </w:rPr>
        <w:t xml:space="preserve"> </w:t>
      </w:r>
      <w:r w:rsidRPr="005F76FE">
        <w:rPr>
          <w:rFonts w:ascii="Times New Roman" w:hAnsi="Times New Roman" w:cs="Times New Roman"/>
          <w:i/>
          <w:iCs/>
          <w:sz w:val="22"/>
          <w:szCs w:val="22"/>
        </w:rPr>
        <w:t>Id.</w:t>
      </w:r>
      <w:r w:rsidRPr="002C194F">
        <w:rPr>
          <w:rFonts w:ascii="Times New Roman" w:hAnsi="Times New Roman" w:cs="Times New Roman"/>
          <w:sz w:val="22"/>
          <w:szCs w:val="22"/>
        </w:rPr>
        <w:t xml:space="preserve"> </w:t>
      </w:r>
    </w:p>
  </w:endnote>
  <w:endnote w:id="4">
    <w:p w14:paraId="14FB9A8B"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sidRPr="002C194F">
        <w:rPr>
          <w:rFonts w:ascii="Times New Roman" w:hAnsi="Times New Roman" w:cs="Times New Roman"/>
          <w:sz w:val="22"/>
          <w:szCs w:val="22"/>
        </w:rPr>
        <w:t xml:space="preserve"> </w:t>
      </w:r>
      <w:r w:rsidRPr="005F76FE">
        <w:rPr>
          <w:rFonts w:ascii="Times New Roman" w:hAnsi="Times New Roman" w:cs="Times New Roman"/>
          <w:i/>
          <w:iCs/>
          <w:sz w:val="22"/>
          <w:szCs w:val="22"/>
        </w:rPr>
        <w:t>Id.</w:t>
      </w:r>
      <w:r w:rsidRPr="002C194F">
        <w:rPr>
          <w:rFonts w:ascii="Times New Roman" w:hAnsi="Times New Roman" w:cs="Times New Roman"/>
          <w:sz w:val="22"/>
          <w:szCs w:val="22"/>
        </w:rPr>
        <w:t xml:space="preserve"> </w:t>
      </w:r>
    </w:p>
  </w:endnote>
  <w:endnote w:id="5">
    <w:p w14:paraId="136481EB"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Pr>
          <w:rFonts w:ascii="Times New Roman" w:hAnsi="Times New Roman" w:cs="Times New Roman"/>
          <w:sz w:val="22"/>
          <w:szCs w:val="22"/>
        </w:rPr>
        <w:t xml:space="preserve"> </w:t>
      </w:r>
      <w:r w:rsidRPr="00467ABD">
        <w:rPr>
          <w:rFonts w:ascii="Times New Roman" w:hAnsi="Times New Roman" w:cs="Times New Roman"/>
          <w:sz w:val="22"/>
          <w:szCs w:val="22"/>
        </w:rPr>
        <w:t xml:space="preserve">Presidential Decree Number 63 </w:t>
      </w:r>
      <w:r>
        <w:rPr>
          <w:rFonts w:ascii="Times New Roman" w:hAnsi="Times New Roman" w:cs="Times New Roman"/>
          <w:sz w:val="22"/>
          <w:szCs w:val="22"/>
        </w:rPr>
        <w:t>(</w:t>
      </w:r>
      <w:r w:rsidRPr="00467ABD">
        <w:rPr>
          <w:rFonts w:ascii="Times New Roman" w:hAnsi="Times New Roman" w:cs="Times New Roman"/>
          <w:sz w:val="22"/>
          <w:szCs w:val="22"/>
        </w:rPr>
        <w:t>2004</w:t>
      </w:r>
      <w:r>
        <w:rPr>
          <w:rFonts w:ascii="Times New Roman" w:hAnsi="Times New Roman" w:cs="Times New Roman"/>
          <w:sz w:val="22"/>
          <w:szCs w:val="22"/>
        </w:rPr>
        <w:t xml:space="preserve">), Section 1, </w:t>
      </w:r>
      <w:r w:rsidRPr="00467ABD">
        <w:rPr>
          <w:rFonts w:ascii="Times New Roman" w:hAnsi="Times New Roman" w:cs="Times New Roman"/>
          <w:i/>
          <w:iCs/>
          <w:sz w:val="22"/>
          <w:szCs w:val="22"/>
        </w:rPr>
        <w:t>available at</w:t>
      </w:r>
      <w:r>
        <w:rPr>
          <w:rFonts w:ascii="Times New Roman" w:hAnsi="Times New Roman" w:cs="Times New Roman"/>
          <w:sz w:val="22"/>
          <w:szCs w:val="22"/>
        </w:rPr>
        <w:t xml:space="preserve"> </w:t>
      </w:r>
      <w:hyperlink r:id="rId3" w:anchor=":~:text=(1)%20The%20National%20Vital%20Objects,to%20the%20National%20Vital%20Object" w:history="1">
        <w:r w:rsidRPr="00413194">
          <w:rPr>
            <w:rStyle w:val="Hyperlink"/>
            <w:rFonts w:ascii="Times New Roman" w:hAnsi="Times New Roman" w:cs="Times New Roman"/>
            <w:sz w:val="22"/>
            <w:szCs w:val="22"/>
            <w:shd w:val="clear" w:color="auto" w:fill="FFFFFF"/>
          </w:rPr>
          <w:t>https://www.global-regulation.com/translation/indonesia/2970960/presidential-decree-number-63-in-2004.html#:~:text=(1)%20The%20National%20Vital%20Objects,to%20the%20National%20Vital%20Object</w:t>
        </w:r>
      </w:hyperlink>
      <w:r w:rsidRPr="002C194F">
        <w:rPr>
          <w:rFonts w:ascii="Times New Roman" w:hAnsi="Times New Roman" w:cs="Times New Roman"/>
          <w:color w:val="333333"/>
          <w:sz w:val="22"/>
          <w:szCs w:val="22"/>
          <w:shd w:val="clear" w:color="auto" w:fill="FFFFFF"/>
        </w:rPr>
        <w:t xml:space="preserve">. </w:t>
      </w:r>
      <w:r w:rsidRPr="002C194F">
        <w:rPr>
          <w:rFonts w:ascii="Times New Roman" w:hAnsi="Times New Roman" w:cs="Times New Roman"/>
          <w:sz w:val="22"/>
          <w:szCs w:val="22"/>
        </w:rPr>
        <w:t xml:space="preserve"> </w:t>
      </w:r>
    </w:p>
  </w:endnote>
  <w:endnote w:id="6">
    <w:p w14:paraId="11D8C96C"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sidRPr="002C194F">
        <w:rPr>
          <w:rFonts w:ascii="Times New Roman" w:hAnsi="Times New Roman" w:cs="Times New Roman"/>
          <w:sz w:val="22"/>
          <w:szCs w:val="22"/>
        </w:rPr>
        <w:t xml:space="preserve"> </w:t>
      </w:r>
      <w:r w:rsidRPr="002C194F">
        <w:rPr>
          <w:rFonts w:ascii="Times New Roman" w:hAnsi="Times New Roman" w:cs="Times New Roman"/>
          <w:i/>
          <w:iCs/>
          <w:sz w:val="22"/>
          <w:szCs w:val="22"/>
        </w:rPr>
        <w:t>Observation (CEACR) - adopted 2022, published 111st ILC session (2023) Freedom of Association and Protection of the Right to Organise Convention, 1948 (No. 87) - Indonesia (Ratification: 1998)</w:t>
      </w:r>
      <w:r w:rsidRPr="002C194F">
        <w:rPr>
          <w:rFonts w:ascii="Times New Roman" w:hAnsi="Times New Roman" w:cs="Times New Roman"/>
          <w:sz w:val="22"/>
          <w:szCs w:val="22"/>
        </w:rPr>
        <w:t xml:space="preserve">, ILO NORMLEX, </w:t>
      </w:r>
      <w:hyperlink r:id="rId4" w:history="1">
        <w:r w:rsidRPr="002C194F">
          <w:rPr>
            <w:rStyle w:val="Hyperlink"/>
            <w:rFonts w:ascii="Times New Roman" w:hAnsi="Times New Roman" w:cs="Times New Roman"/>
            <w:sz w:val="22"/>
            <w:szCs w:val="22"/>
          </w:rPr>
          <w:t>https://www.ilo.org/dyn/normlex/en/f?p=1000:13100:0::NO:13100:P13100_COMMENT_ID,P13100_COUNTRY_ID:4323342,102938:NO</w:t>
        </w:r>
      </w:hyperlink>
      <w:r w:rsidRPr="002C194F">
        <w:rPr>
          <w:rFonts w:ascii="Times New Roman" w:hAnsi="Times New Roman" w:cs="Times New Roman"/>
          <w:sz w:val="22"/>
          <w:szCs w:val="22"/>
        </w:rPr>
        <w:t xml:space="preserve"> (last visited Dec. 1, 2023). </w:t>
      </w:r>
    </w:p>
  </w:endnote>
  <w:endnote w:id="7">
    <w:p w14:paraId="44B3FECA" w14:textId="77777777" w:rsidR="0031551F" w:rsidRPr="002C194F" w:rsidRDefault="0031551F" w:rsidP="0031551F">
      <w:pPr>
        <w:pStyle w:val="EndnoteText"/>
        <w:tabs>
          <w:tab w:val="left" w:pos="945"/>
        </w:tabs>
        <w:rPr>
          <w:rFonts w:ascii="Times New Roman" w:hAnsi="Times New Roman" w:cs="Times New Roman"/>
          <w:sz w:val="22"/>
          <w:szCs w:val="22"/>
        </w:rPr>
      </w:pPr>
      <w:r w:rsidRPr="00F8653B">
        <w:rPr>
          <w:rStyle w:val="EndnoteReference"/>
          <w:rFonts w:ascii="Times New Roman" w:hAnsi="Times New Roman" w:cs="Times New Roman"/>
        </w:rPr>
        <w:endnoteRef/>
      </w:r>
      <w:r w:rsidRPr="00F8653B">
        <w:rPr>
          <w:rFonts w:ascii="Times New Roman" w:hAnsi="Times New Roman" w:cs="Times New Roman"/>
        </w:rPr>
        <w:t xml:space="preserve"> </w:t>
      </w:r>
      <w:r w:rsidRPr="002C194F">
        <w:rPr>
          <w:rFonts w:ascii="Times New Roman" w:hAnsi="Times New Roman" w:cs="Times New Roman"/>
          <w:i/>
          <w:iCs/>
          <w:sz w:val="22"/>
          <w:szCs w:val="22"/>
        </w:rPr>
        <w:t>Observation (CEACR) - adopted 2022, published 111st ILC session (2023) Freedom of Association and Protection of the Right to Organise Convention, 1948 (No. 87) - Indonesia (Ratification: 1998)</w:t>
      </w:r>
      <w:r w:rsidRPr="002C194F">
        <w:rPr>
          <w:rFonts w:ascii="Times New Roman" w:hAnsi="Times New Roman" w:cs="Times New Roman"/>
          <w:sz w:val="22"/>
          <w:szCs w:val="22"/>
        </w:rPr>
        <w:t xml:space="preserve">, ILO NORMLEX, </w:t>
      </w:r>
      <w:hyperlink r:id="rId5" w:history="1">
        <w:r w:rsidRPr="002C194F">
          <w:rPr>
            <w:rStyle w:val="Hyperlink"/>
            <w:rFonts w:ascii="Times New Roman" w:hAnsi="Times New Roman" w:cs="Times New Roman"/>
            <w:sz w:val="22"/>
            <w:szCs w:val="22"/>
          </w:rPr>
          <w:t>https://www.ilo.org/dyn/normlex/en/f?p=1000:13100:0::NO:13100:P13100_COMMENT_ID,P13100_COUNTRY_ID:4323342,102938:NO</w:t>
        </w:r>
      </w:hyperlink>
      <w:r w:rsidRPr="002C194F">
        <w:rPr>
          <w:rFonts w:ascii="Times New Roman" w:hAnsi="Times New Roman" w:cs="Times New Roman"/>
          <w:sz w:val="22"/>
          <w:szCs w:val="22"/>
        </w:rPr>
        <w:t xml:space="preserve"> (last visited Dec. 1, 2023). </w:t>
      </w:r>
    </w:p>
  </w:endnote>
  <w:endnote w:id="8">
    <w:p w14:paraId="48425AF5"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sidRPr="002C194F">
        <w:rPr>
          <w:rFonts w:ascii="Times New Roman" w:hAnsi="Times New Roman" w:cs="Times New Roman"/>
          <w:sz w:val="22"/>
          <w:szCs w:val="22"/>
        </w:rPr>
        <w:t xml:space="preserve"> </w:t>
      </w:r>
      <w:r w:rsidRPr="002C194F">
        <w:rPr>
          <w:rFonts w:ascii="Times New Roman" w:hAnsi="Times New Roman" w:cs="Times New Roman"/>
          <w:i/>
          <w:iCs/>
          <w:sz w:val="22"/>
          <w:szCs w:val="22"/>
        </w:rPr>
        <w:t>Id.</w:t>
      </w:r>
      <w:r w:rsidRPr="002C194F">
        <w:rPr>
          <w:rFonts w:ascii="Times New Roman" w:hAnsi="Times New Roman" w:cs="Times New Roman"/>
          <w:sz w:val="22"/>
          <w:szCs w:val="22"/>
        </w:rPr>
        <w:t xml:space="preserve"> </w:t>
      </w:r>
    </w:p>
  </w:endnote>
  <w:endnote w:id="9">
    <w:p w14:paraId="34A83F19"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sidRPr="002C194F">
        <w:rPr>
          <w:rFonts w:ascii="Times New Roman" w:hAnsi="Times New Roman" w:cs="Times New Roman"/>
          <w:sz w:val="22"/>
          <w:szCs w:val="22"/>
        </w:rPr>
        <w:t xml:space="preserve"> Act of The Republic of Indonesia Concerning Trade Union/Labor Union, 2000, (Act No. 21 of 2000), </w:t>
      </w:r>
      <w:r w:rsidRPr="002C194F">
        <w:rPr>
          <w:rFonts w:ascii="Times New Roman" w:hAnsi="Times New Roman" w:cs="Times New Roman"/>
          <w:i/>
          <w:iCs/>
          <w:sz w:val="22"/>
          <w:szCs w:val="22"/>
        </w:rPr>
        <w:t>available at</w:t>
      </w:r>
    </w:p>
    <w:p w14:paraId="3589709C" w14:textId="77777777" w:rsidR="0031551F" w:rsidRPr="002C194F" w:rsidRDefault="00C5189B" w:rsidP="0031551F">
      <w:pPr>
        <w:pStyle w:val="EndnoteText"/>
        <w:rPr>
          <w:rFonts w:ascii="Times New Roman" w:hAnsi="Times New Roman" w:cs="Times New Roman"/>
          <w:sz w:val="22"/>
          <w:szCs w:val="22"/>
        </w:rPr>
      </w:pPr>
      <w:hyperlink r:id="rId6" w:history="1">
        <w:r w:rsidR="0031551F" w:rsidRPr="002C194F">
          <w:rPr>
            <w:rStyle w:val="Hyperlink"/>
            <w:rFonts w:ascii="Times New Roman" w:hAnsi="Times New Roman" w:cs="Times New Roman"/>
            <w:sz w:val="22"/>
            <w:szCs w:val="22"/>
          </w:rPr>
          <w:t>https://www.ilo.org/dyn/natlex/docs/MONOGRAPH/57553/119982/F313591142/IDN57553%20Eng.pdf</w:t>
        </w:r>
      </w:hyperlink>
      <w:r w:rsidR="0031551F" w:rsidRPr="002C194F">
        <w:rPr>
          <w:rFonts w:ascii="Times New Roman" w:hAnsi="Times New Roman" w:cs="Times New Roman"/>
          <w:sz w:val="22"/>
          <w:szCs w:val="22"/>
        </w:rPr>
        <w:t xml:space="preserve"> </w:t>
      </w:r>
    </w:p>
  </w:endnote>
  <w:endnote w:id="10">
    <w:p w14:paraId="74B1D1EE"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sidRPr="002C194F">
        <w:rPr>
          <w:rFonts w:ascii="Times New Roman" w:hAnsi="Times New Roman" w:cs="Times New Roman"/>
          <w:sz w:val="22"/>
          <w:szCs w:val="22"/>
        </w:rPr>
        <w:t xml:space="preserve"> </w:t>
      </w:r>
      <w:r w:rsidRPr="002C194F">
        <w:rPr>
          <w:rFonts w:ascii="Times New Roman" w:hAnsi="Times New Roman" w:cs="Times New Roman"/>
          <w:i/>
          <w:iCs/>
          <w:sz w:val="22"/>
          <w:szCs w:val="22"/>
        </w:rPr>
        <w:t>Observation (CEACR) - adopted 2022, published 111st ILC session (2023) Freedom of Association and Protection of the Right to Organise Convention, 1948 (No. 87) - Indonesia (Ratification: 1998)</w:t>
      </w:r>
      <w:r w:rsidRPr="002C194F">
        <w:rPr>
          <w:rFonts w:ascii="Times New Roman" w:hAnsi="Times New Roman" w:cs="Times New Roman"/>
          <w:sz w:val="22"/>
          <w:szCs w:val="22"/>
        </w:rPr>
        <w:t xml:space="preserve">, ILO NORMLEX, </w:t>
      </w:r>
      <w:hyperlink r:id="rId7" w:history="1">
        <w:r w:rsidRPr="002C194F">
          <w:rPr>
            <w:rStyle w:val="Hyperlink"/>
            <w:rFonts w:ascii="Times New Roman" w:hAnsi="Times New Roman" w:cs="Times New Roman"/>
            <w:sz w:val="22"/>
            <w:szCs w:val="22"/>
          </w:rPr>
          <w:t>https://www.ilo.org/dyn/normlex/en/f?p=1000:13100:0::NO:13100:P13100_COMMENT_ID,P13100_COUNTRY_ID:4323342,102938:NO</w:t>
        </w:r>
      </w:hyperlink>
      <w:r w:rsidRPr="002C194F">
        <w:rPr>
          <w:rFonts w:ascii="Times New Roman" w:hAnsi="Times New Roman" w:cs="Times New Roman"/>
          <w:sz w:val="22"/>
          <w:szCs w:val="22"/>
        </w:rPr>
        <w:t xml:space="preserve"> (last visited Dec. 1, 2023). </w:t>
      </w:r>
    </w:p>
  </w:endnote>
  <w:endnote w:id="11">
    <w:p w14:paraId="64CF9FAE"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sidRPr="002C194F">
        <w:rPr>
          <w:rFonts w:ascii="Times New Roman" w:hAnsi="Times New Roman" w:cs="Times New Roman"/>
          <w:sz w:val="22"/>
          <w:szCs w:val="22"/>
        </w:rPr>
        <w:t xml:space="preserve"> Law of The Republic of Indonesia Number 5 (2014) About State Civil Apparatus, </w:t>
      </w:r>
      <w:r w:rsidRPr="002C194F">
        <w:rPr>
          <w:rFonts w:ascii="Times New Roman" w:hAnsi="Times New Roman" w:cs="Times New Roman"/>
          <w:i/>
          <w:iCs/>
          <w:sz w:val="22"/>
          <w:szCs w:val="22"/>
        </w:rPr>
        <w:t>available at</w:t>
      </w:r>
    </w:p>
    <w:p w14:paraId="0C2DB8BF" w14:textId="77777777" w:rsidR="0031551F" w:rsidRPr="002C194F" w:rsidRDefault="00C5189B" w:rsidP="0031551F">
      <w:pPr>
        <w:pStyle w:val="EndnoteText"/>
        <w:rPr>
          <w:rFonts w:ascii="Times New Roman" w:hAnsi="Times New Roman" w:cs="Times New Roman"/>
          <w:sz w:val="22"/>
          <w:szCs w:val="22"/>
        </w:rPr>
      </w:pPr>
      <w:hyperlink r:id="rId8" w:history="1">
        <w:r w:rsidR="0031551F" w:rsidRPr="002C194F">
          <w:rPr>
            <w:rStyle w:val="Hyperlink"/>
            <w:rFonts w:ascii="Times New Roman" w:hAnsi="Times New Roman" w:cs="Times New Roman"/>
            <w:sz w:val="22"/>
            <w:szCs w:val="22"/>
          </w:rPr>
          <w:t>https://wwwex.ilo.org/dyn/natlex2/natlex2/files/download/98591/IND98591%20Eng.pdf</w:t>
        </w:r>
      </w:hyperlink>
      <w:r w:rsidR="0031551F" w:rsidRPr="002C194F">
        <w:rPr>
          <w:rFonts w:ascii="Times New Roman" w:hAnsi="Times New Roman" w:cs="Times New Roman"/>
          <w:sz w:val="22"/>
          <w:szCs w:val="22"/>
        </w:rPr>
        <w:t xml:space="preserve"> </w:t>
      </w:r>
    </w:p>
  </w:endnote>
  <w:endnote w:id="12">
    <w:p w14:paraId="51152564"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sidRPr="002C194F">
        <w:rPr>
          <w:rFonts w:ascii="Times New Roman" w:hAnsi="Times New Roman" w:cs="Times New Roman"/>
          <w:sz w:val="22"/>
          <w:szCs w:val="22"/>
        </w:rPr>
        <w:t xml:space="preserve"> </w:t>
      </w:r>
      <w:proofErr w:type="spellStart"/>
      <w:r w:rsidRPr="002C194F">
        <w:rPr>
          <w:rFonts w:ascii="Times New Roman" w:hAnsi="Times New Roman" w:cs="Times New Roman"/>
          <w:sz w:val="22"/>
          <w:szCs w:val="22"/>
        </w:rPr>
        <w:t>Herdiansyah</w:t>
      </w:r>
      <w:proofErr w:type="spellEnd"/>
      <w:r w:rsidRPr="002C194F">
        <w:rPr>
          <w:rFonts w:ascii="Times New Roman" w:hAnsi="Times New Roman" w:cs="Times New Roman"/>
          <w:sz w:val="22"/>
          <w:szCs w:val="22"/>
        </w:rPr>
        <w:t xml:space="preserve"> Hamzah, </w:t>
      </w:r>
      <w:r w:rsidRPr="002C194F">
        <w:rPr>
          <w:rFonts w:ascii="Times New Roman" w:hAnsi="Times New Roman" w:cs="Times New Roman"/>
          <w:i/>
          <w:iCs/>
          <w:sz w:val="22"/>
          <w:szCs w:val="22"/>
        </w:rPr>
        <w:t xml:space="preserve">Civil Servants, </w:t>
      </w:r>
      <w:proofErr w:type="spellStart"/>
      <w:r w:rsidRPr="002C194F">
        <w:rPr>
          <w:rFonts w:ascii="Times New Roman" w:hAnsi="Times New Roman" w:cs="Times New Roman"/>
          <w:i/>
          <w:iCs/>
          <w:sz w:val="22"/>
          <w:szCs w:val="22"/>
        </w:rPr>
        <w:t>Korpri</w:t>
      </w:r>
      <w:proofErr w:type="spellEnd"/>
      <w:r w:rsidRPr="002C194F">
        <w:rPr>
          <w:rFonts w:ascii="Times New Roman" w:hAnsi="Times New Roman" w:cs="Times New Roman"/>
          <w:i/>
          <w:iCs/>
          <w:sz w:val="22"/>
          <w:szCs w:val="22"/>
        </w:rPr>
        <w:t>, and Freedom of Association</w:t>
      </w:r>
      <w:r w:rsidRPr="002C194F">
        <w:rPr>
          <w:rFonts w:ascii="Times New Roman" w:hAnsi="Times New Roman" w:cs="Times New Roman"/>
          <w:sz w:val="22"/>
          <w:szCs w:val="22"/>
        </w:rPr>
        <w:t xml:space="preserve">, Kompas.id (Oct. 28, 2023), </w:t>
      </w:r>
      <w:hyperlink r:id="rId9" w:history="1">
        <w:r w:rsidRPr="002C194F">
          <w:rPr>
            <w:rStyle w:val="Hyperlink"/>
            <w:rFonts w:ascii="Times New Roman" w:hAnsi="Times New Roman" w:cs="Times New Roman"/>
            <w:sz w:val="22"/>
            <w:szCs w:val="22"/>
          </w:rPr>
          <w:t>https://www.kompas.id/baca/english/2023/10/26/en-pns-korpri-dan-kebebasan-berserikat</w:t>
        </w:r>
      </w:hyperlink>
      <w:r w:rsidRPr="002C194F">
        <w:rPr>
          <w:rFonts w:ascii="Times New Roman" w:hAnsi="Times New Roman" w:cs="Times New Roman"/>
          <w:sz w:val="22"/>
          <w:szCs w:val="22"/>
        </w:rPr>
        <w:t xml:space="preserve">. </w:t>
      </w:r>
    </w:p>
  </w:endnote>
  <w:endnote w:id="13">
    <w:p w14:paraId="33485B66"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sidRPr="002C194F">
        <w:rPr>
          <w:rFonts w:ascii="Times New Roman" w:hAnsi="Times New Roman" w:cs="Times New Roman"/>
          <w:sz w:val="22"/>
          <w:szCs w:val="22"/>
        </w:rPr>
        <w:t xml:space="preserve"> </w:t>
      </w:r>
      <w:r w:rsidRPr="002C194F">
        <w:rPr>
          <w:rFonts w:ascii="Times New Roman" w:hAnsi="Times New Roman" w:cs="Times New Roman"/>
          <w:i/>
          <w:iCs/>
          <w:sz w:val="22"/>
          <w:szCs w:val="22"/>
        </w:rPr>
        <w:t>Id.</w:t>
      </w:r>
      <w:r w:rsidRPr="002C194F">
        <w:rPr>
          <w:rFonts w:ascii="Times New Roman" w:hAnsi="Times New Roman" w:cs="Times New Roman"/>
          <w:sz w:val="22"/>
          <w:szCs w:val="22"/>
        </w:rPr>
        <w:t xml:space="preserve"> </w:t>
      </w:r>
    </w:p>
  </w:endnote>
  <w:endnote w:id="14">
    <w:p w14:paraId="79E72B5F"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sidRPr="002C194F">
        <w:rPr>
          <w:rFonts w:ascii="Times New Roman" w:hAnsi="Times New Roman" w:cs="Times New Roman"/>
          <w:sz w:val="22"/>
          <w:szCs w:val="22"/>
        </w:rPr>
        <w:t xml:space="preserve"> </w:t>
      </w:r>
      <w:r w:rsidRPr="002C194F">
        <w:rPr>
          <w:rFonts w:ascii="Times New Roman" w:hAnsi="Times New Roman" w:cs="Times New Roman"/>
          <w:i/>
          <w:iCs/>
          <w:sz w:val="22"/>
          <w:szCs w:val="22"/>
        </w:rPr>
        <w:t>Id.</w:t>
      </w:r>
      <w:r w:rsidRPr="002C194F">
        <w:rPr>
          <w:rFonts w:ascii="Times New Roman" w:hAnsi="Times New Roman" w:cs="Times New Roman"/>
          <w:sz w:val="22"/>
          <w:szCs w:val="22"/>
        </w:rPr>
        <w:t xml:space="preserve"> </w:t>
      </w:r>
    </w:p>
  </w:endnote>
  <w:endnote w:id="15">
    <w:p w14:paraId="3477DB1E"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sidRPr="002C194F">
        <w:rPr>
          <w:rFonts w:ascii="Times New Roman" w:hAnsi="Times New Roman" w:cs="Times New Roman"/>
          <w:sz w:val="22"/>
          <w:szCs w:val="22"/>
        </w:rPr>
        <w:t xml:space="preserve"> Act of The Republic of Indonesia Concerning Trade Union/Labor Union, 2000, (Act No. 21 of 2000), </w:t>
      </w:r>
      <w:r w:rsidRPr="002C194F">
        <w:rPr>
          <w:rFonts w:ascii="Times New Roman" w:hAnsi="Times New Roman" w:cs="Times New Roman"/>
          <w:i/>
          <w:iCs/>
          <w:sz w:val="22"/>
          <w:szCs w:val="22"/>
        </w:rPr>
        <w:t>available at</w:t>
      </w:r>
    </w:p>
    <w:p w14:paraId="751DCE42" w14:textId="77777777" w:rsidR="0031551F" w:rsidRPr="002C194F" w:rsidRDefault="00C5189B" w:rsidP="0031551F">
      <w:pPr>
        <w:pStyle w:val="EndnoteText"/>
        <w:rPr>
          <w:rFonts w:ascii="Times New Roman" w:hAnsi="Times New Roman" w:cs="Times New Roman"/>
          <w:sz w:val="22"/>
          <w:szCs w:val="22"/>
        </w:rPr>
      </w:pPr>
      <w:hyperlink r:id="rId10" w:history="1">
        <w:r w:rsidR="0031551F" w:rsidRPr="002C194F">
          <w:rPr>
            <w:rStyle w:val="Hyperlink"/>
            <w:rFonts w:ascii="Times New Roman" w:hAnsi="Times New Roman" w:cs="Times New Roman"/>
            <w:sz w:val="22"/>
            <w:szCs w:val="22"/>
          </w:rPr>
          <w:t>https://www.ilo.org/dyn/natlex/docs/MONOGRAPH/57553/119982/F313591142/IDN57553%20Eng.pdf</w:t>
        </w:r>
      </w:hyperlink>
      <w:r w:rsidR="0031551F" w:rsidRPr="002C194F">
        <w:rPr>
          <w:rFonts w:ascii="Times New Roman" w:hAnsi="Times New Roman" w:cs="Times New Roman"/>
          <w:sz w:val="22"/>
          <w:szCs w:val="22"/>
        </w:rPr>
        <w:t xml:space="preserve"> </w:t>
      </w:r>
    </w:p>
  </w:endnote>
  <w:endnote w:id="16">
    <w:p w14:paraId="137EBB4E"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sidRPr="002C194F">
        <w:rPr>
          <w:rFonts w:ascii="Times New Roman" w:hAnsi="Times New Roman" w:cs="Times New Roman"/>
          <w:sz w:val="22"/>
          <w:szCs w:val="22"/>
        </w:rPr>
        <w:t xml:space="preserve"> </w:t>
      </w:r>
      <w:r w:rsidRPr="002C194F">
        <w:rPr>
          <w:rFonts w:ascii="Times New Roman" w:hAnsi="Times New Roman" w:cs="Times New Roman"/>
          <w:i/>
          <w:iCs/>
          <w:sz w:val="22"/>
          <w:szCs w:val="22"/>
        </w:rPr>
        <w:t>Id.</w:t>
      </w:r>
    </w:p>
  </w:endnote>
  <w:endnote w:id="17">
    <w:p w14:paraId="7FE46697"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sidRPr="002C194F">
        <w:rPr>
          <w:rFonts w:ascii="Times New Roman" w:hAnsi="Times New Roman" w:cs="Times New Roman"/>
          <w:sz w:val="22"/>
          <w:szCs w:val="22"/>
        </w:rPr>
        <w:t xml:space="preserve"> Patrick Quinn, Working Paper, </w:t>
      </w:r>
      <w:r w:rsidRPr="002C194F">
        <w:rPr>
          <w:rFonts w:ascii="Times New Roman" w:hAnsi="Times New Roman" w:cs="Times New Roman"/>
          <w:i/>
          <w:iCs/>
          <w:sz w:val="22"/>
          <w:szCs w:val="22"/>
        </w:rPr>
        <w:t>Freedom of Association and Collective Bargaining: A study of Indonesian experience 1998-2003</w:t>
      </w:r>
      <w:r w:rsidRPr="002C194F">
        <w:rPr>
          <w:rFonts w:ascii="Times New Roman" w:hAnsi="Times New Roman" w:cs="Times New Roman"/>
          <w:sz w:val="22"/>
          <w:szCs w:val="22"/>
        </w:rPr>
        <w:t xml:space="preserve"> (Sept. 2003), </w:t>
      </w:r>
      <w:r w:rsidRPr="002C194F">
        <w:rPr>
          <w:rFonts w:ascii="Times New Roman" w:hAnsi="Times New Roman" w:cs="Times New Roman"/>
          <w:i/>
          <w:iCs/>
          <w:sz w:val="22"/>
          <w:szCs w:val="22"/>
        </w:rPr>
        <w:t>available at</w:t>
      </w:r>
      <w:r w:rsidRPr="002C194F">
        <w:rPr>
          <w:rFonts w:ascii="Times New Roman" w:hAnsi="Times New Roman" w:cs="Times New Roman"/>
          <w:sz w:val="22"/>
          <w:szCs w:val="22"/>
        </w:rPr>
        <w:t xml:space="preserve"> </w:t>
      </w:r>
      <w:hyperlink r:id="rId11" w:history="1">
        <w:r w:rsidRPr="002C194F">
          <w:rPr>
            <w:rStyle w:val="Hyperlink"/>
            <w:rFonts w:ascii="Times New Roman" w:hAnsi="Times New Roman" w:cs="Times New Roman"/>
            <w:color w:val="1155CC"/>
            <w:sz w:val="22"/>
            <w:szCs w:val="22"/>
            <w:shd w:val="clear" w:color="auto" w:fill="FFFFFF"/>
          </w:rPr>
          <w:t>https://www.ilo.org/wcmsp5/groups/public/---</w:t>
        </w:r>
        <w:proofErr w:type="spellStart"/>
        <w:r w:rsidRPr="002C194F">
          <w:rPr>
            <w:rStyle w:val="Hyperlink"/>
            <w:rFonts w:ascii="Times New Roman" w:hAnsi="Times New Roman" w:cs="Times New Roman"/>
            <w:color w:val="1155CC"/>
            <w:sz w:val="22"/>
            <w:szCs w:val="22"/>
            <w:shd w:val="clear" w:color="auto" w:fill="FFFFFF"/>
          </w:rPr>
          <w:t>ed_norm</w:t>
        </w:r>
        <w:proofErr w:type="spellEnd"/>
        <w:r w:rsidRPr="002C194F">
          <w:rPr>
            <w:rStyle w:val="Hyperlink"/>
            <w:rFonts w:ascii="Times New Roman" w:hAnsi="Times New Roman" w:cs="Times New Roman"/>
            <w:color w:val="1155CC"/>
            <w:sz w:val="22"/>
            <w:szCs w:val="22"/>
            <w:shd w:val="clear" w:color="auto" w:fill="FFFFFF"/>
          </w:rPr>
          <w:t>/---declaration/documents/publication/wcms_decl_wp_17_en.pdf</w:t>
        </w:r>
      </w:hyperlink>
      <w:r w:rsidRPr="002C194F">
        <w:rPr>
          <w:rStyle w:val="Hyperlink"/>
          <w:rFonts w:ascii="Times New Roman" w:hAnsi="Times New Roman" w:cs="Times New Roman"/>
          <w:sz w:val="22"/>
          <w:szCs w:val="22"/>
          <w:shd w:val="clear" w:color="auto" w:fill="FFFFFF"/>
        </w:rPr>
        <w:t>.</w:t>
      </w:r>
    </w:p>
  </w:endnote>
  <w:endnote w:id="18">
    <w:p w14:paraId="7840A517"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sidRPr="002C194F">
        <w:rPr>
          <w:rFonts w:ascii="Times New Roman" w:hAnsi="Times New Roman" w:cs="Times New Roman"/>
          <w:sz w:val="22"/>
          <w:szCs w:val="22"/>
        </w:rPr>
        <w:t xml:space="preserve"> </w:t>
      </w:r>
      <w:r w:rsidRPr="002C194F">
        <w:rPr>
          <w:rFonts w:ascii="Times New Roman" w:hAnsi="Times New Roman" w:cs="Times New Roman"/>
          <w:i/>
          <w:iCs/>
          <w:sz w:val="22"/>
          <w:szCs w:val="22"/>
        </w:rPr>
        <w:t>Id.</w:t>
      </w:r>
      <w:r w:rsidRPr="002C194F">
        <w:rPr>
          <w:rFonts w:ascii="Times New Roman" w:hAnsi="Times New Roman" w:cs="Times New Roman"/>
          <w:sz w:val="22"/>
          <w:szCs w:val="22"/>
        </w:rPr>
        <w:t xml:space="preserve"> at 32. </w:t>
      </w:r>
    </w:p>
  </w:endnote>
  <w:endnote w:id="19">
    <w:p w14:paraId="630A5578"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sidRPr="002C194F">
        <w:rPr>
          <w:rFonts w:ascii="Times New Roman" w:hAnsi="Times New Roman" w:cs="Times New Roman"/>
          <w:sz w:val="22"/>
          <w:szCs w:val="22"/>
        </w:rPr>
        <w:t xml:space="preserve"> Sofian Effendi, </w:t>
      </w:r>
      <w:r w:rsidRPr="002C194F">
        <w:rPr>
          <w:rFonts w:ascii="Times New Roman" w:hAnsi="Times New Roman" w:cs="Times New Roman"/>
          <w:i/>
          <w:iCs/>
          <w:sz w:val="22"/>
          <w:szCs w:val="22"/>
        </w:rPr>
        <w:t xml:space="preserve">Finally, a new Civil Service Law, </w:t>
      </w:r>
      <w:r w:rsidRPr="002C194F">
        <w:rPr>
          <w:rFonts w:ascii="Times New Roman" w:hAnsi="Times New Roman" w:cs="Times New Roman"/>
          <w:sz w:val="22"/>
          <w:szCs w:val="22"/>
        </w:rPr>
        <w:t xml:space="preserve">The Jakarta Post (Feb. 3, 2014), </w:t>
      </w:r>
      <w:r w:rsidRPr="002C194F">
        <w:rPr>
          <w:rFonts w:ascii="Times New Roman" w:hAnsi="Times New Roman" w:cs="Times New Roman"/>
          <w:i/>
          <w:iCs/>
          <w:sz w:val="22"/>
          <w:szCs w:val="22"/>
        </w:rPr>
        <w:t xml:space="preserve"> </w:t>
      </w:r>
      <w:r w:rsidRPr="002C194F">
        <w:rPr>
          <w:rFonts w:ascii="Times New Roman" w:hAnsi="Times New Roman" w:cs="Times New Roman"/>
          <w:sz w:val="22"/>
          <w:szCs w:val="22"/>
        </w:rPr>
        <w:t xml:space="preserve"> </w:t>
      </w:r>
    </w:p>
    <w:p w14:paraId="1E7DCF03" w14:textId="77777777" w:rsidR="0031551F" w:rsidRPr="002C194F" w:rsidRDefault="00C5189B" w:rsidP="0031551F">
      <w:pPr>
        <w:pStyle w:val="EndnoteText"/>
        <w:rPr>
          <w:rFonts w:ascii="Times New Roman" w:hAnsi="Times New Roman" w:cs="Times New Roman"/>
          <w:sz w:val="22"/>
          <w:szCs w:val="22"/>
        </w:rPr>
      </w:pPr>
      <w:hyperlink r:id="rId12" w:history="1">
        <w:r w:rsidR="0031551F" w:rsidRPr="002C194F">
          <w:rPr>
            <w:rStyle w:val="Hyperlink"/>
            <w:rFonts w:ascii="Times New Roman" w:hAnsi="Times New Roman" w:cs="Times New Roman"/>
            <w:sz w:val="22"/>
            <w:szCs w:val="22"/>
          </w:rPr>
          <w:t>https://www.thejakartapost.com/news/2014/02/03/finally-a-new-civil-service-law.html</w:t>
        </w:r>
      </w:hyperlink>
      <w:r w:rsidR="0031551F" w:rsidRPr="002C194F">
        <w:rPr>
          <w:rStyle w:val="Hyperlink"/>
          <w:rFonts w:ascii="Times New Roman" w:hAnsi="Times New Roman" w:cs="Times New Roman"/>
          <w:sz w:val="22"/>
          <w:szCs w:val="22"/>
        </w:rPr>
        <w:t>.</w:t>
      </w:r>
      <w:r w:rsidR="0031551F" w:rsidRPr="002C194F">
        <w:rPr>
          <w:rFonts w:ascii="Times New Roman" w:hAnsi="Times New Roman" w:cs="Times New Roman"/>
          <w:color w:val="000000"/>
          <w:sz w:val="22"/>
          <w:szCs w:val="22"/>
        </w:rPr>
        <w:t xml:space="preserve"> </w:t>
      </w:r>
    </w:p>
  </w:endnote>
  <w:endnote w:id="20">
    <w:p w14:paraId="5B7B6793" w14:textId="77777777" w:rsidR="0031551F" w:rsidRPr="0031551F" w:rsidRDefault="0031551F" w:rsidP="0031551F">
      <w:pPr>
        <w:pStyle w:val="EndnoteText"/>
        <w:rPr>
          <w:rFonts w:ascii="Times New Roman" w:hAnsi="Times New Roman" w:cs="Times New Roman"/>
          <w:sz w:val="22"/>
          <w:szCs w:val="22"/>
          <w:lang w:val="en-US"/>
        </w:rPr>
      </w:pPr>
      <w:r w:rsidRPr="002C194F">
        <w:rPr>
          <w:rStyle w:val="EndnoteReference"/>
          <w:rFonts w:ascii="Times New Roman" w:hAnsi="Times New Roman" w:cs="Times New Roman"/>
        </w:rPr>
        <w:endnoteRef/>
      </w:r>
      <w:r w:rsidRPr="0031551F">
        <w:rPr>
          <w:rFonts w:ascii="Times New Roman" w:hAnsi="Times New Roman" w:cs="Times New Roman"/>
          <w:sz w:val="22"/>
          <w:szCs w:val="22"/>
          <w:lang w:val="en-US"/>
        </w:rPr>
        <w:t xml:space="preserve"> Quinn, </w:t>
      </w:r>
      <w:r w:rsidRPr="0031551F">
        <w:rPr>
          <w:rFonts w:ascii="Times New Roman" w:hAnsi="Times New Roman" w:cs="Times New Roman"/>
          <w:i/>
          <w:iCs/>
          <w:sz w:val="22"/>
          <w:szCs w:val="22"/>
          <w:lang w:val="en-US"/>
        </w:rPr>
        <w:t>supra</w:t>
      </w:r>
      <w:r w:rsidRPr="0031551F">
        <w:rPr>
          <w:rFonts w:ascii="Times New Roman" w:hAnsi="Times New Roman" w:cs="Times New Roman"/>
          <w:sz w:val="22"/>
          <w:szCs w:val="22"/>
          <w:lang w:val="en-US"/>
        </w:rPr>
        <w:t xml:space="preserve"> note xi. </w:t>
      </w:r>
    </w:p>
  </w:endnote>
  <w:endnote w:id="21">
    <w:p w14:paraId="2841692A" w14:textId="77777777" w:rsidR="0031551F" w:rsidRPr="0031551F" w:rsidRDefault="0031551F" w:rsidP="0031551F">
      <w:pPr>
        <w:pStyle w:val="EndnoteText"/>
        <w:rPr>
          <w:rFonts w:ascii="Times New Roman" w:hAnsi="Times New Roman" w:cs="Times New Roman"/>
          <w:sz w:val="22"/>
          <w:szCs w:val="22"/>
          <w:lang w:val="en-US"/>
        </w:rPr>
      </w:pPr>
      <w:r w:rsidRPr="002C194F">
        <w:rPr>
          <w:rStyle w:val="EndnoteReference"/>
          <w:rFonts w:ascii="Times New Roman" w:hAnsi="Times New Roman" w:cs="Times New Roman"/>
        </w:rPr>
        <w:endnoteRef/>
      </w:r>
      <w:r w:rsidRPr="0031551F">
        <w:rPr>
          <w:rFonts w:ascii="Times New Roman" w:hAnsi="Times New Roman" w:cs="Times New Roman"/>
          <w:sz w:val="22"/>
          <w:szCs w:val="22"/>
          <w:lang w:val="en-US"/>
        </w:rPr>
        <w:t xml:space="preserve"> </w:t>
      </w:r>
      <w:r w:rsidRPr="0031551F">
        <w:rPr>
          <w:rFonts w:ascii="Times New Roman" w:hAnsi="Times New Roman" w:cs="Times New Roman"/>
          <w:i/>
          <w:iCs/>
          <w:sz w:val="22"/>
          <w:szCs w:val="22"/>
          <w:lang w:val="en-US"/>
        </w:rPr>
        <w:t>Id.</w:t>
      </w:r>
      <w:r w:rsidRPr="0031551F">
        <w:rPr>
          <w:rFonts w:ascii="Times New Roman" w:hAnsi="Times New Roman" w:cs="Times New Roman"/>
          <w:sz w:val="22"/>
          <w:szCs w:val="22"/>
          <w:lang w:val="en-US"/>
        </w:rPr>
        <w:t xml:space="preserve"> </w:t>
      </w:r>
    </w:p>
  </w:endnote>
  <w:endnote w:id="22">
    <w:p w14:paraId="706C4646" w14:textId="77777777" w:rsidR="0031551F" w:rsidRPr="002C194F" w:rsidRDefault="0031551F" w:rsidP="0031551F">
      <w:pPr>
        <w:pStyle w:val="EndnoteText"/>
        <w:rPr>
          <w:rFonts w:ascii="Times New Roman" w:hAnsi="Times New Roman" w:cs="Times New Roman"/>
          <w:sz w:val="22"/>
          <w:szCs w:val="22"/>
        </w:rPr>
      </w:pPr>
      <w:r w:rsidRPr="002C194F">
        <w:rPr>
          <w:rStyle w:val="EndnoteReference"/>
          <w:rFonts w:ascii="Times New Roman" w:hAnsi="Times New Roman" w:cs="Times New Roman"/>
        </w:rPr>
        <w:endnoteRef/>
      </w:r>
      <w:r w:rsidRPr="002C194F">
        <w:rPr>
          <w:rFonts w:ascii="Times New Roman" w:hAnsi="Times New Roman" w:cs="Times New Roman"/>
          <w:sz w:val="22"/>
          <w:szCs w:val="22"/>
        </w:rPr>
        <w:t xml:space="preserve"> </w:t>
      </w:r>
      <w:r w:rsidRPr="00E91117">
        <w:rPr>
          <w:rFonts w:ascii="Times New Roman" w:hAnsi="Times New Roman" w:cs="Times New Roman"/>
          <w:i/>
          <w:iCs/>
          <w:sz w:val="22"/>
          <w:szCs w:val="22"/>
        </w:rPr>
        <w:t>Labor Union</w:t>
      </w:r>
      <w:r>
        <w:rPr>
          <w:rFonts w:ascii="Times New Roman" w:hAnsi="Times New Roman" w:cs="Times New Roman"/>
          <w:sz w:val="22"/>
          <w:szCs w:val="22"/>
        </w:rPr>
        <w:t xml:space="preserve">, POS Indonesia, </w:t>
      </w:r>
      <w:hyperlink r:id="rId13" w:history="1">
        <w:r w:rsidRPr="00413194">
          <w:rPr>
            <w:rStyle w:val="Hyperlink"/>
            <w:rFonts w:ascii="Times New Roman" w:hAnsi="Times New Roman" w:cs="Times New Roman"/>
            <w:sz w:val="22"/>
            <w:szCs w:val="22"/>
          </w:rPr>
          <w:t>https://www.posindonesia.co.id/en/content/serikat-pekerja</w:t>
        </w:r>
      </w:hyperlink>
      <w:r w:rsidRPr="002C194F">
        <w:rPr>
          <w:rFonts w:ascii="Times New Roman" w:hAnsi="Times New Roman" w:cs="Times New Roman"/>
          <w:sz w:val="22"/>
          <w:szCs w:val="22"/>
        </w:rPr>
        <w:t xml:space="preserve"> </w:t>
      </w:r>
      <w:r>
        <w:rPr>
          <w:rFonts w:ascii="Times New Roman" w:hAnsi="Times New Roman" w:cs="Times New Roman"/>
          <w:sz w:val="22"/>
          <w:szCs w:val="22"/>
        </w:rPr>
        <w:t xml:space="preserve">(last visited Dec. 1, 2023). </w:t>
      </w:r>
    </w:p>
  </w:endnote>
  <w:endnote w:id="23">
    <w:p w14:paraId="04D0D95A" w14:textId="77777777" w:rsidR="0031551F" w:rsidRPr="0031551F" w:rsidRDefault="0031551F" w:rsidP="0031551F">
      <w:pPr>
        <w:pStyle w:val="EndnoteText"/>
        <w:rPr>
          <w:rFonts w:ascii="Times New Roman" w:hAnsi="Times New Roman" w:cs="Times New Roman"/>
          <w:sz w:val="22"/>
          <w:szCs w:val="22"/>
          <w:lang w:val="en-US"/>
        </w:rPr>
      </w:pPr>
      <w:r w:rsidRPr="002C194F">
        <w:rPr>
          <w:rStyle w:val="EndnoteReference"/>
          <w:rFonts w:ascii="Times New Roman" w:hAnsi="Times New Roman" w:cs="Times New Roman"/>
        </w:rPr>
        <w:endnoteRef/>
      </w:r>
      <w:r w:rsidRPr="0031551F">
        <w:rPr>
          <w:rFonts w:ascii="Times New Roman" w:hAnsi="Times New Roman" w:cs="Times New Roman"/>
          <w:sz w:val="22"/>
          <w:szCs w:val="22"/>
          <w:lang w:val="en-US"/>
        </w:rPr>
        <w:t xml:space="preserve"> Quinn, </w:t>
      </w:r>
      <w:r w:rsidRPr="0031551F">
        <w:rPr>
          <w:rFonts w:ascii="Times New Roman" w:hAnsi="Times New Roman" w:cs="Times New Roman"/>
          <w:i/>
          <w:iCs/>
          <w:sz w:val="22"/>
          <w:szCs w:val="22"/>
          <w:lang w:val="en-US"/>
        </w:rPr>
        <w:t>supra</w:t>
      </w:r>
      <w:r w:rsidRPr="0031551F">
        <w:rPr>
          <w:rFonts w:ascii="Times New Roman" w:hAnsi="Times New Roman" w:cs="Times New Roman"/>
          <w:sz w:val="22"/>
          <w:szCs w:val="22"/>
          <w:lang w:val="en-US"/>
        </w:rPr>
        <w:t xml:space="preserve"> note xi. </w:t>
      </w:r>
    </w:p>
  </w:endnote>
  <w:endnote w:id="24">
    <w:p w14:paraId="5B2F1727" w14:textId="77777777" w:rsidR="0031551F" w:rsidRPr="0031551F" w:rsidRDefault="0031551F" w:rsidP="0031551F">
      <w:pPr>
        <w:pStyle w:val="EndnoteText"/>
        <w:rPr>
          <w:rFonts w:ascii="Times New Roman" w:hAnsi="Times New Roman" w:cs="Times New Roman"/>
          <w:sz w:val="22"/>
          <w:szCs w:val="22"/>
          <w:lang w:val="en-US"/>
        </w:rPr>
      </w:pPr>
      <w:r w:rsidRPr="002C194F">
        <w:rPr>
          <w:rStyle w:val="EndnoteReference"/>
          <w:rFonts w:ascii="Times New Roman" w:hAnsi="Times New Roman" w:cs="Times New Roman"/>
        </w:rPr>
        <w:endnoteRef/>
      </w:r>
      <w:r w:rsidRPr="0031551F">
        <w:rPr>
          <w:rFonts w:ascii="Times New Roman" w:hAnsi="Times New Roman" w:cs="Times New Roman"/>
          <w:sz w:val="22"/>
          <w:szCs w:val="22"/>
          <w:lang w:val="en-US"/>
        </w:rPr>
        <w:t xml:space="preserve"> </w:t>
      </w:r>
      <w:r w:rsidRPr="0031551F">
        <w:rPr>
          <w:rFonts w:ascii="Times New Roman" w:hAnsi="Times New Roman" w:cs="Times New Roman"/>
          <w:i/>
          <w:iCs/>
          <w:sz w:val="22"/>
          <w:szCs w:val="22"/>
          <w:lang w:val="en-US"/>
        </w:rPr>
        <w:t>Id.</w:t>
      </w:r>
      <w:r w:rsidRPr="0031551F">
        <w:rPr>
          <w:rFonts w:ascii="Times New Roman" w:hAnsi="Times New Roman" w:cs="Times New Roman"/>
          <w:sz w:val="22"/>
          <w:szCs w:val="22"/>
          <w:lang w:val="en-US"/>
        </w:rPr>
        <w:t xml:space="preserve"> </w:t>
      </w:r>
    </w:p>
  </w:endnote>
  <w:endnote w:id="25">
    <w:p w14:paraId="38981B9E" w14:textId="77777777" w:rsidR="0031551F" w:rsidRPr="002A6BFD" w:rsidRDefault="0031551F" w:rsidP="0031551F">
      <w:pPr>
        <w:pStyle w:val="EndnoteText"/>
        <w:rPr>
          <w:rFonts w:ascii="Times New Roman" w:hAnsi="Times New Roman" w:cs="Times New Roman"/>
          <w:sz w:val="22"/>
          <w:szCs w:val="22"/>
          <w:lang w:val="en-US"/>
        </w:rPr>
      </w:pPr>
      <w:r>
        <w:rPr>
          <w:rStyle w:val="EndnoteReference"/>
        </w:rPr>
        <w:endnoteRef/>
      </w:r>
      <w:r>
        <w:t xml:space="preserve"> </w:t>
      </w:r>
      <w:r w:rsidRPr="002A6BFD">
        <w:rPr>
          <w:rFonts w:ascii="Times New Roman" w:hAnsi="Times New Roman" w:cs="Times New Roman"/>
          <w:sz w:val="22"/>
          <w:szCs w:val="22"/>
        </w:rPr>
        <w:t xml:space="preserve">Roedl &amp; Partner, </w:t>
      </w:r>
      <w:r w:rsidRPr="002A6BFD">
        <w:rPr>
          <w:rFonts w:ascii="Times New Roman" w:hAnsi="Times New Roman" w:cs="Times New Roman"/>
          <w:i/>
          <w:iCs/>
          <w:sz w:val="22"/>
          <w:szCs w:val="22"/>
        </w:rPr>
        <w:t>Decision 91: Omnibus Law declared conditionally unconstitutional</w:t>
      </w:r>
      <w:r w:rsidRPr="002A6BFD">
        <w:rPr>
          <w:rFonts w:ascii="Times New Roman" w:hAnsi="Times New Roman" w:cs="Times New Roman"/>
          <w:sz w:val="22"/>
          <w:szCs w:val="22"/>
        </w:rPr>
        <w:t>, https://www.roedl.com/insights/newsflash-asean/2022-01/indonesia-judicial-review-omnibus-law.</w:t>
      </w:r>
    </w:p>
  </w:endnote>
  <w:endnote w:id="26">
    <w:p w14:paraId="3E685E2E" w14:textId="77777777" w:rsidR="0031551F" w:rsidRPr="002A6BFD" w:rsidRDefault="0031551F" w:rsidP="0031551F">
      <w:pPr>
        <w:pStyle w:val="EndnoteText"/>
        <w:rPr>
          <w:rFonts w:ascii="Times New Roman" w:hAnsi="Times New Roman" w:cs="Times New Roman"/>
          <w:sz w:val="22"/>
          <w:szCs w:val="22"/>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The Omnibus Law: The latest amendment and its impact</w:t>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rPr>
        <w:t>IR Global</w:t>
      </w:r>
      <w:r w:rsidRPr="002A6BFD">
        <w:rPr>
          <w:rFonts w:ascii="Times New Roman" w:hAnsi="Times New Roman" w:cs="Times New Roman"/>
          <w:sz w:val="22"/>
          <w:szCs w:val="22"/>
        </w:rPr>
        <w:t>, June 7, 2023, https://irglobal.com/article/the-omnibus-law-the-latest-amendment-and-its-impact/#:~:text=In%202020%2C%20the%20Indonesian%20Government,in%20a%20single%20legal%20instrument.</w:t>
      </w:r>
    </w:p>
  </w:endnote>
  <w:endnote w:id="27">
    <w:p w14:paraId="44F1E620" w14:textId="77777777" w:rsidR="0031551F" w:rsidRPr="002A6BFD" w:rsidRDefault="0031551F" w:rsidP="0031551F">
      <w:pPr>
        <w:pStyle w:val="EndnoteText"/>
        <w:rPr>
          <w:rFonts w:ascii="Times New Roman" w:hAnsi="Times New Roman" w:cs="Times New Roman"/>
          <w:sz w:val="22"/>
          <w:szCs w:val="22"/>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The Omnibus Law: The latest amendment and its impact</w:t>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rPr>
        <w:t>IR Global</w:t>
      </w:r>
      <w:r w:rsidRPr="002A6BFD">
        <w:rPr>
          <w:rFonts w:ascii="Times New Roman" w:hAnsi="Times New Roman" w:cs="Times New Roman"/>
          <w:sz w:val="22"/>
          <w:szCs w:val="22"/>
        </w:rPr>
        <w:t>, June 7, 2023, https://irglobal.com/article/the-omnibus-law-the-latest-amendment-and-its-impact/#:~:text=In%202020%2C%20the%20Indonesian%20Government,in%20a%20single%20legal%20instrument.</w:t>
      </w:r>
    </w:p>
  </w:endnote>
  <w:endnote w:id="28">
    <w:p w14:paraId="0F16242F"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lang w:val="en-US"/>
        </w:rPr>
        <w:t>Max Lane,</w:t>
      </w:r>
      <w:r w:rsidRPr="002A6BFD">
        <w:rPr>
          <w:rFonts w:ascii="Times New Roman" w:hAnsi="Times New Roman" w:cs="Times New Roman"/>
          <w:sz w:val="22"/>
          <w:szCs w:val="22"/>
          <w:lang w:val="en-US"/>
        </w:rPr>
        <w:t xml:space="preserve"> </w:t>
      </w:r>
      <w:r w:rsidRPr="002A6BFD">
        <w:rPr>
          <w:rFonts w:ascii="Times New Roman" w:hAnsi="Times New Roman" w:cs="Times New Roman"/>
          <w:i/>
          <w:iCs/>
          <w:sz w:val="22"/>
          <w:szCs w:val="22"/>
          <w:lang w:val="en-US"/>
        </w:rPr>
        <w:t>Indonesia’s Impotent Labor Movement</w:t>
      </w:r>
      <w:r w:rsidRPr="002A6BFD">
        <w:rPr>
          <w:rFonts w:ascii="Times New Roman" w:hAnsi="Times New Roman" w:cs="Times New Roman"/>
          <w:sz w:val="22"/>
          <w:szCs w:val="22"/>
          <w:lang w:val="en-US"/>
        </w:rPr>
        <w:t xml:space="preserve">, in </w:t>
      </w:r>
      <w:r w:rsidRPr="002A6BFD">
        <w:rPr>
          <w:rFonts w:ascii="Times New Roman" w:hAnsi="Times New Roman" w:cs="Times New Roman"/>
          <w:smallCaps/>
          <w:sz w:val="22"/>
          <w:szCs w:val="22"/>
          <w:lang w:val="en-US"/>
        </w:rPr>
        <w:t>Southeast Asian Affairs,</w:t>
      </w:r>
      <w:r w:rsidRPr="002A6BFD">
        <w:rPr>
          <w:rFonts w:ascii="Times New Roman" w:hAnsi="Times New Roman" w:cs="Times New Roman"/>
          <w:sz w:val="22"/>
          <w:szCs w:val="22"/>
          <w:lang w:val="en-US"/>
        </w:rPr>
        <w:t xml:space="preserve"> 124, 128 (2023).</w:t>
      </w:r>
    </w:p>
  </w:endnote>
  <w:endnote w:id="29">
    <w:p w14:paraId="5F76C848"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rPr>
        <w:t>Lane</w:t>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supra</w:t>
      </w:r>
      <w:r w:rsidRPr="002A6BFD">
        <w:rPr>
          <w:rFonts w:ascii="Times New Roman" w:hAnsi="Times New Roman" w:cs="Times New Roman"/>
          <w:sz w:val="22"/>
          <w:szCs w:val="22"/>
        </w:rPr>
        <w:t xml:space="preserve"> note iv at </w:t>
      </w:r>
      <w:r w:rsidRPr="002A6BFD">
        <w:rPr>
          <w:rFonts w:ascii="Times New Roman" w:hAnsi="Times New Roman" w:cs="Times New Roman"/>
          <w:sz w:val="22"/>
          <w:szCs w:val="22"/>
          <w:lang w:val="en-US"/>
        </w:rPr>
        <w:t>129-30.</w:t>
      </w:r>
    </w:p>
  </w:endnote>
  <w:endnote w:id="30">
    <w:p w14:paraId="6AEE6E9C" w14:textId="77777777" w:rsidR="0031551F" w:rsidRPr="002A6BFD" w:rsidRDefault="0031551F" w:rsidP="0031551F">
      <w:pPr>
        <w:pStyle w:val="EndnoteText"/>
        <w:rPr>
          <w:rFonts w:ascii="Times New Roman" w:hAnsi="Times New Roman" w:cs="Times New Roman"/>
          <w:b/>
          <w:bCs/>
          <w:sz w:val="22"/>
          <w:szCs w:val="22"/>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Joshua </w:t>
      </w:r>
      <w:proofErr w:type="spellStart"/>
      <w:r w:rsidRPr="002A6BFD">
        <w:rPr>
          <w:rFonts w:ascii="Times New Roman" w:hAnsi="Times New Roman" w:cs="Times New Roman"/>
          <w:sz w:val="22"/>
          <w:szCs w:val="22"/>
        </w:rPr>
        <w:t>Kurlantzick</w:t>
      </w:r>
      <w:proofErr w:type="spellEnd"/>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A Controversial Omnibus Law Could Spell Trouble for Indonesia's Democracy</w:t>
      </w:r>
      <w:r w:rsidRPr="002A6BFD">
        <w:rPr>
          <w:rFonts w:ascii="Times New Roman" w:hAnsi="Times New Roman" w:cs="Times New Roman"/>
          <w:sz w:val="22"/>
          <w:szCs w:val="22"/>
        </w:rPr>
        <w:t xml:space="preserve">, 19446284 </w:t>
      </w:r>
      <w:r w:rsidRPr="002A6BFD">
        <w:rPr>
          <w:rFonts w:ascii="Times New Roman" w:hAnsi="Times New Roman" w:cs="Times New Roman"/>
          <w:smallCaps/>
          <w:sz w:val="22"/>
          <w:szCs w:val="22"/>
        </w:rPr>
        <w:t>World Pol. R.</w:t>
      </w:r>
      <w:r w:rsidRPr="002A6BFD">
        <w:rPr>
          <w:rFonts w:ascii="Times New Roman" w:hAnsi="Times New Roman" w:cs="Times New Roman"/>
          <w:sz w:val="22"/>
          <w:szCs w:val="22"/>
        </w:rPr>
        <w:t xml:space="preserve"> (2020) (accessible at https://research.ebsco.com/c/u2yil2/viewer/html/27jsnoqrer).</w:t>
      </w:r>
    </w:p>
  </w:endnote>
  <w:endnote w:id="31">
    <w:p w14:paraId="58164B8F" w14:textId="77777777" w:rsidR="0031551F" w:rsidRPr="002A6BFD" w:rsidRDefault="0031551F" w:rsidP="0031551F">
      <w:pPr>
        <w:pStyle w:val="EndnoteText"/>
        <w:rPr>
          <w:rFonts w:ascii="Times New Roman" w:hAnsi="Times New Roman" w:cs="Times New Roman"/>
          <w:b/>
          <w:bCs/>
          <w:sz w:val="22"/>
          <w:szCs w:val="22"/>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A374E9">
        <w:rPr>
          <w:rFonts w:ascii="Times New Roman" w:hAnsi="Times New Roman" w:cs="Times New Roman"/>
          <w:i/>
          <w:iCs/>
          <w:sz w:val="22"/>
          <w:szCs w:val="22"/>
        </w:rPr>
        <w:t>Id.</w:t>
      </w:r>
    </w:p>
  </w:endnote>
  <w:endnote w:id="32">
    <w:p w14:paraId="6A5D9493"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rPr>
        <w:t>Lane</w:t>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supra</w:t>
      </w:r>
      <w:r w:rsidRPr="002A6BFD">
        <w:rPr>
          <w:rFonts w:ascii="Times New Roman" w:hAnsi="Times New Roman" w:cs="Times New Roman"/>
          <w:sz w:val="22"/>
          <w:szCs w:val="22"/>
        </w:rPr>
        <w:t xml:space="preserve"> note iv at</w:t>
      </w:r>
      <w:r w:rsidRPr="002A6BFD">
        <w:rPr>
          <w:rFonts w:ascii="Times New Roman" w:hAnsi="Times New Roman" w:cs="Times New Roman"/>
          <w:sz w:val="22"/>
          <w:szCs w:val="22"/>
          <w:lang w:val="en-US"/>
        </w:rPr>
        <w:t xml:space="preserve"> 131.</w:t>
      </w:r>
    </w:p>
  </w:endnote>
  <w:endnote w:id="33">
    <w:p w14:paraId="11990424"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Ahmad Assegaf Ega </w:t>
      </w:r>
      <w:proofErr w:type="spellStart"/>
      <w:r w:rsidRPr="002A6BFD">
        <w:rPr>
          <w:rFonts w:ascii="Times New Roman" w:hAnsi="Times New Roman" w:cs="Times New Roman"/>
          <w:sz w:val="22"/>
          <w:szCs w:val="22"/>
        </w:rPr>
        <w:t>Pratama</w:t>
      </w:r>
      <w:proofErr w:type="spellEnd"/>
      <w:r w:rsidRPr="002A6BFD">
        <w:rPr>
          <w:rFonts w:ascii="Times New Roman" w:hAnsi="Times New Roman" w:cs="Times New Roman"/>
          <w:i/>
          <w:iCs/>
          <w:sz w:val="22"/>
          <w:szCs w:val="22"/>
        </w:rPr>
        <w:t>, The Impact of the Labor Cluster Job Creation Law on the Welfare of Indonesian Workers</w:t>
      </w:r>
      <w:r w:rsidRPr="002A6BFD">
        <w:rPr>
          <w:rFonts w:ascii="Times New Roman" w:hAnsi="Times New Roman" w:cs="Times New Roman"/>
          <w:sz w:val="22"/>
          <w:szCs w:val="22"/>
        </w:rPr>
        <w:t xml:space="preserve">, 2 </w:t>
      </w:r>
      <w:r w:rsidRPr="002A6BFD">
        <w:rPr>
          <w:rFonts w:ascii="Times New Roman" w:hAnsi="Times New Roman" w:cs="Times New Roman"/>
          <w:smallCaps/>
          <w:sz w:val="22"/>
          <w:szCs w:val="22"/>
        </w:rPr>
        <w:t xml:space="preserve">J. </w:t>
      </w:r>
      <w:proofErr w:type="spellStart"/>
      <w:r w:rsidRPr="002A6BFD">
        <w:rPr>
          <w:rFonts w:ascii="Times New Roman" w:hAnsi="Times New Roman" w:cs="Times New Roman"/>
          <w:smallCaps/>
          <w:sz w:val="22"/>
          <w:szCs w:val="22"/>
        </w:rPr>
        <w:t>Edunity</w:t>
      </w:r>
      <w:proofErr w:type="spellEnd"/>
      <w:r w:rsidRPr="002A6BFD">
        <w:rPr>
          <w:rFonts w:ascii="Times New Roman" w:hAnsi="Times New Roman" w:cs="Times New Roman"/>
          <w:smallCaps/>
          <w:sz w:val="22"/>
          <w:szCs w:val="22"/>
        </w:rPr>
        <w:t>: Soc. Sci. Edu. St.</w:t>
      </w:r>
      <w:r w:rsidRPr="002A6BFD">
        <w:rPr>
          <w:rFonts w:ascii="Times New Roman" w:hAnsi="Times New Roman" w:cs="Times New Roman"/>
          <w:sz w:val="22"/>
          <w:szCs w:val="22"/>
        </w:rPr>
        <w:t xml:space="preserve"> 393, </w:t>
      </w:r>
      <w:r w:rsidRPr="002A6BFD">
        <w:rPr>
          <w:rFonts w:ascii="Times New Roman" w:hAnsi="Times New Roman" w:cs="Times New Roman"/>
          <w:sz w:val="22"/>
          <w:szCs w:val="22"/>
          <w:lang w:val="en-US"/>
        </w:rPr>
        <w:t xml:space="preserve">394 (Mar. 2023). </w:t>
      </w:r>
    </w:p>
  </w:endnote>
  <w:endnote w:id="34">
    <w:p w14:paraId="36408DAE" w14:textId="77777777" w:rsidR="0031551F" w:rsidRPr="002A6BFD" w:rsidRDefault="0031551F" w:rsidP="0031551F">
      <w:pPr>
        <w:pStyle w:val="EndnoteText"/>
        <w:rPr>
          <w:rFonts w:ascii="Times New Roman" w:hAnsi="Times New Roman" w:cs="Times New Roman"/>
          <w:sz w:val="22"/>
          <w:szCs w:val="22"/>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Temporary Employment Agreement in Job Creation Law Challenged</w:t>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rPr>
        <w:t>The Constitutional Court of the Republic of Indonesia</w:t>
      </w:r>
      <w:r w:rsidRPr="002A6BFD">
        <w:rPr>
          <w:rFonts w:ascii="Times New Roman" w:hAnsi="Times New Roman" w:cs="Times New Roman"/>
          <w:sz w:val="22"/>
          <w:szCs w:val="22"/>
        </w:rPr>
        <w:t>, June 20, 2023, https://en.mkri.id/news/details/2023-06-20/Temporary_Employment_Agreement_in_Job_Creation_Law_Challenged.</w:t>
      </w:r>
    </w:p>
  </w:endnote>
  <w:endnote w:id="35">
    <w:p w14:paraId="65881351" w14:textId="77777777" w:rsidR="0031551F" w:rsidRPr="002A6BFD" w:rsidRDefault="0031551F" w:rsidP="0031551F">
      <w:pPr>
        <w:pStyle w:val="EndnoteText"/>
        <w:rPr>
          <w:rFonts w:ascii="Times New Roman" w:hAnsi="Times New Roman" w:cs="Times New Roman"/>
          <w:b/>
          <w:bCs/>
          <w:sz w:val="22"/>
          <w:szCs w:val="22"/>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proofErr w:type="spellStart"/>
      <w:r w:rsidRPr="002A6BFD">
        <w:rPr>
          <w:rFonts w:ascii="Times New Roman" w:hAnsi="Times New Roman" w:cs="Times New Roman"/>
          <w:sz w:val="22"/>
          <w:szCs w:val="22"/>
        </w:rPr>
        <w:t>Sulistiyo</w:t>
      </w:r>
      <w:proofErr w:type="spellEnd"/>
      <w:r w:rsidRPr="002A6BFD">
        <w:rPr>
          <w:rFonts w:ascii="Times New Roman" w:hAnsi="Times New Roman" w:cs="Times New Roman"/>
          <w:sz w:val="22"/>
          <w:szCs w:val="22"/>
        </w:rPr>
        <w:t xml:space="preserve"> </w:t>
      </w:r>
      <w:proofErr w:type="spellStart"/>
      <w:r w:rsidRPr="002A6BFD">
        <w:rPr>
          <w:rFonts w:ascii="Times New Roman" w:hAnsi="Times New Roman" w:cs="Times New Roman"/>
          <w:sz w:val="22"/>
          <w:szCs w:val="22"/>
        </w:rPr>
        <w:t>Ardiyono</w:t>
      </w:r>
      <w:proofErr w:type="spellEnd"/>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Indonesia works through employment protection</w:t>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rPr>
        <w:t>East Asia Forum</w:t>
      </w:r>
      <w:r w:rsidRPr="002A6BFD">
        <w:rPr>
          <w:rFonts w:ascii="Times New Roman" w:hAnsi="Times New Roman" w:cs="Times New Roman"/>
          <w:sz w:val="22"/>
          <w:szCs w:val="22"/>
        </w:rPr>
        <w:t>, October 22, 2022, https://www.eastasiaforum.org/2022/10/22/indonesia-works-through-employment-protection/#:~:text=To%20revive%20domestic%20competitiveness%20and,it%20can%20also%20harm%20workers.</w:t>
      </w:r>
    </w:p>
  </w:endnote>
  <w:endnote w:id="36">
    <w:p w14:paraId="3059F2BA" w14:textId="77777777" w:rsidR="0031551F" w:rsidRPr="002A6BFD" w:rsidRDefault="0031551F" w:rsidP="0031551F">
      <w:pPr>
        <w:pStyle w:val="EndnoteText"/>
        <w:rPr>
          <w:rFonts w:ascii="Times New Roman" w:hAnsi="Times New Roman" w:cs="Times New Roman"/>
          <w:b/>
          <w:bCs/>
          <w:sz w:val="22"/>
          <w:szCs w:val="22"/>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proofErr w:type="spellStart"/>
      <w:r w:rsidRPr="002A6BFD">
        <w:rPr>
          <w:rFonts w:ascii="Times New Roman" w:hAnsi="Times New Roman" w:cs="Times New Roman"/>
          <w:sz w:val="22"/>
          <w:szCs w:val="22"/>
        </w:rPr>
        <w:t>Nabiyla</w:t>
      </w:r>
      <w:proofErr w:type="spellEnd"/>
      <w:r w:rsidRPr="002A6BFD">
        <w:rPr>
          <w:rFonts w:ascii="Times New Roman" w:hAnsi="Times New Roman" w:cs="Times New Roman"/>
          <w:sz w:val="22"/>
          <w:szCs w:val="22"/>
        </w:rPr>
        <w:t xml:space="preserve"> </w:t>
      </w:r>
      <w:proofErr w:type="spellStart"/>
      <w:r w:rsidRPr="002A6BFD">
        <w:rPr>
          <w:rFonts w:ascii="Times New Roman" w:hAnsi="Times New Roman" w:cs="Times New Roman"/>
          <w:sz w:val="22"/>
          <w:szCs w:val="22"/>
        </w:rPr>
        <w:t>Risfa</w:t>
      </w:r>
      <w:proofErr w:type="spellEnd"/>
      <w:r w:rsidRPr="002A6BFD">
        <w:rPr>
          <w:rFonts w:ascii="Times New Roman" w:hAnsi="Times New Roman" w:cs="Times New Roman"/>
          <w:sz w:val="22"/>
          <w:szCs w:val="22"/>
        </w:rPr>
        <w:t xml:space="preserve"> Izzati, </w:t>
      </w:r>
      <w:r w:rsidRPr="002A6BFD">
        <w:rPr>
          <w:rFonts w:ascii="Times New Roman" w:hAnsi="Times New Roman" w:cs="Times New Roman"/>
          <w:i/>
          <w:iCs/>
          <w:sz w:val="22"/>
          <w:szCs w:val="22"/>
        </w:rPr>
        <w:t xml:space="preserve">Indonesia’s emergency labour regulation changes spark worker </w:t>
      </w:r>
      <w:proofErr w:type="gramStart"/>
      <w:r w:rsidRPr="002A6BFD">
        <w:rPr>
          <w:rFonts w:ascii="Times New Roman" w:hAnsi="Times New Roman" w:cs="Times New Roman"/>
          <w:i/>
          <w:iCs/>
          <w:sz w:val="22"/>
          <w:szCs w:val="22"/>
        </w:rPr>
        <w:t>anger</w:t>
      </w:r>
      <w:proofErr w:type="gramEnd"/>
      <w:r w:rsidRPr="002A6BFD">
        <w:rPr>
          <w:rFonts w:ascii="Times New Roman" w:hAnsi="Times New Roman" w:cs="Times New Roman"/>
          <w:i/>
          <w:iCs/>
          <w:sz w:val="22"/>
          <w:szCs w:val="22"/>
        </w:rPr>
        <w:t xml:space="preserve"> a year out from election, but Jokowi’s government is unwavering</w:t>
      </w:r>
      <w:r w:rsidRPr="002A6BFD">
        <w:rPr>
          <w:rFonts w:ascii="Times New Roman" w:hAnsi="Times New Roman" w:cs="Times New Roman"/>
          <w:b/>
          <w:bCs/>
          <w:sz w:val="22"/>
          <w:szCs w:val="22"/>
        </w:rPr>
        <w:t xml:space="preserve">, </w:t>
      </w:r>
      <w:r w:rsidRPr="002A6BFD">
        <w:rPr>
          <w:rFonts w:ascii="Times New Roman" w:hAnsi="Times New Roman" w:cs="Times New Roman"/>
          <w:smallCaps/>
          <w:sz w:val="22"/>
          <w:szCs w:val="22"/>
        </w:rPr>
        <w:t>The Conversation</w:t>
      </w:r>
      <w:r w:rsidRPr="002A6BFD">
        <w:rPr>
          <w:rFonts w:ascii="Times New Roman" w:hAnsi="Times New Roman" w:cs="Times New Roman"/>
          <w:sz w:val="22"/>
          <w:szCs w:val="22"/>
        </w:rPr>
        <w:t>, January 13, 2023,</w:t>
      </w:r>
      <w:r w:rsidRPr="002A6BFD">
        <w:rPr>
          <w:rFonts w:ascii="Times New Roman" w:hAnsi="Times New Roman" w:cs="Times New Roman"/>
          <w:b/>
          <w:bCs/>
          <w:sz w:val="22"/>
          <w:szCs w:val="22"/>
        </w:rPr>
        <w:t xml:space="preserve"> </w:t>
      </w:r>
      <w:r w:rsidRPr="002A6BFD">
        <w:rPr>
          <w:rFonts w:ascii="Times New Roman" w:hAnsi="Times New Roman" w:cs="Times New Roman"/>
          <w:sz w:val="22"/>
          <w:szCs w:val="22"/>
        </w:rPr>
        <w:t>https://theconversation.com/indonesias-emergency-labour-regulation-changes-spark-worker-anger-a-year-out-from-election-but-jokowis-government-is-unwavering-197281</w:t>
      </w:r>
    </w:p>
  </w:endnote>
  <w:endnote w:id="37">
    <w:p w14:paraId="05C19D6B" w14:textId="77777777" w:rsidR="0031551F" w:rsidRPr="0031551F" w:rsidRDefault="0031551F" w:rsidP="0031551F">
      <w:pPr>
        <w:pStyle w:val="EndnoteText"/>
        <w:rPr>
          <w:rFonts w:ascii="Times New Roman" w:hAnsi="Times New Roman" w:cs="Times New Roman"/>
          <w:sz w:val="22"/>
          <w:szCs w:val="22"/>
          <w:lang w:val="it-IT"/>
        </w:rPr>
      </w:pPr>
      <w:r w:rsidRPr="002A6BFD">
        <w:rPr>
          <w:rStyle w:val="EndnoteReference"/>
          <w:rFonts w:ascii="Times New Roman" w:hAnsi="Times New Roman" w:cs="Times New Roman"/>
        </w:rPr>
        <w:endnoteRef/>
      </w:r>
      <w:r w:rsidRPr="0031551F">
        <w:rPr>
          <w:rFonts w:ascii="Times New Roman" w:hAnsi="Times New Roman" w:cs="Times New Roman"/>
          <w:sz w:val="22"/>
          <w:szCs w:val="22"/>
          <w:lang w:val="it-IT"/>
        </w:rPr>
        <w:t xml:space="preserve"> </w:t>
      </w:r>
      <w:proofErr w:type="spellStart"/>
      <w:r w:rsidRPr="0031551F">
        <w:rPr>
          <w:rFonts w:ascii="Times New Roman" w:hAnsi="Times New Roman" w:cs="Times New Roman"/>
          <w:sz w:val="22"/>
          <w:szCs w:val="22"/>
          <w:lang w:val="it-IT"/>
        </w:rPr>
        <w:t>Pratama</w:t>
      </w:r>
      <w:proofErr w:type="spellEnd"/>
      <w:r w:rsidRPr="0031551F">
        <w:rPr>
          <w:rFonts w:ascii="Times New Roman" w:hAnsi="Times New Roman" w:cs="Times New Roman"/>
          <w:sz w:val="22"/>
          <w:szCs w:val="22"/>
          <w:lang w:val="it-IT"/>
        </w:rPr>
        <w:t xml:space="preserve">, </w:t>
      </w:r>
      <w:proofErr w:type="spellStart"/>
      <w:r w:rsidRPr="0031551F">
        <w:rPr>
          <w:rFonts w:ascii="Times New Roman" w:hAnsi="Times New Roman" w:cs="Times New Roman"/>
          <w:i/>
          <w:iCs/>
          <w:sz w:val="22"/>
          <w:szCs w:val="22"/>
          <w:lang w:val="it-IT"/>
        </w:rPr>
        <w:t>supra</w:t>
      </w:r>
      <w:proofErr w:type="spellEnd"/>
      <w:r w:rsidRPr="0031551F">
        <w:rPr>
          <w:rFonts w:ascii="Times New Roman" w:hAnsi="Times New Roman" w:cs="Times New Roman"/>
          <w:sz w:val="22"/>
          <w:szCs w:val="22"/>
          <w:lang w:val="it-IT"/>
        </w:rPr>
        <w:t xml:space="preserve"> note xiv </w:t>
      </w:r>
      <w:proofErr w:type="spellStart"/>
      <w:r w:rsidRPr="0031551F">
        <w:rPr>
          <w:rFonts w:ascii="Times New Roman" w:hAnsi="Times New Roman" w:cs="Times New Roman"/>
          <w:sz w:val="22"/>
          <w:szCs w:val="22"/>
          <w:lang w:val="it-IT"/>
        </w:rPr>
        <w:t>at</w:t>
      </w:r>
      <w:proofErr w:type="spellEnd"/>
      <w:r w:rsidRPr="0031551F">
        <w:rPr>
          <w:rFonts w:ascii="Times New Roman" w:hAnsi="Times New Roman" w:cs="Times New Roman"/>
          <w:sz w:val="22"/>
          <w:szCs w:val="22"/>
          <w:lang w:val="it-IT"/>
        </w:rPr>
        <w:t xml:space="preserve"> 399.</w:t>
      </w:r>
    </w:p>
  </w:endnote>
  <w:endnote w:id="38">
    <w:p w14:paraId="6FC0CF29" w14:textId="77777777" w:rsidR="0031551F" w:rsidRPr="0031551F" w:rsidRDefault="0031551F" w:rsidP="0031551F">
      <w:pPr>
        <w:pStyle w:val="EndnoteText"/>
        <w:rPr>
          <w:rFonts w:ascii="Times New Roman" w:hAnsi="Times New Roman" w:cs="Times New Roman"/>
          <w:sz w:val="22"/>
          <w:szCs w:val="22"/>
          <w:lang w:val="it-IT"/>
        </w:rPr>
      </w:pPr>
      <w:r w:rsidRPr="002A6BFD">
        <w:rPr>
          <w:rStyle w:val="EndnoteReference"/>
          <w:rFonts w:ascii="Times New Roman" w:hAnsi="Times New Roman" w:cs="Times New Roman"/>
        </w:rPr>
        <w:endnoteRef/>
      </w:r>
      <w:r w:rsidRPr="0031551F">
        <w:rPr>
          <w:rFonts w:ascii="Times New Roman" w:hAnsi="Times New Roman" w:cs="Times New Roman"/>
          <w:sz w:val="22"/>
          <w:szCs w:val="22"/>
          <w:lang w:val="it-IT"/>
        </w:rPr>
        <w:t xml:space="preserve"> </w:t>
      </w:r>
      <w:r w:rsidRPr="0031551F">
        <w:rPr>
          <w:rFonts w:ascii="Times New Roman" w:hAnsi="Times New Roman" w:cs="Times New Roman"/>
          <w:i/>
          <w:iCs/>
          <w:sz w:val="22"/>
          <w:szCs w:val="22"/>
          <w:lang w:val="it-IT"/>
        </w:rPr>
        <w:t>Id.</w:t>
      </w:r>
    </w:p>
  </w:endnote>
  <w:endnote w:id="39">
    <w:p w14:paraId="52D84810" w14:textId="77777777" w:rsidR="0031551F" w:rsidRPr="0031551F" w:rsidRDefault="0031551F" w:rsidP="0031551F">
      <w:pPr>
        <w:pStyle w:val="EndnoteText"/>
        <w:rPr>
          <w:rFonts w:ascii="Times New Roman" w:hAnsi="Times New Roman" w:cs="Times New Roman"/>
          <w:b/>
          <w:bCs/>
          <w:sz w:val="22"/>
          <w:szCs w:val="22"/>
          <w:lang w:val="it-IT"/>
        </w:rPr>
      </w:pPr>
      <w:r w:rsidRPr="002A6BFD">
        <w:rPr>
          <w:rStyle w:val="EndnoteReference"/>
          <w:rFonts w:ascii="Times New Roman" w:hAnsi="Times New Roman" w:cs="Times New Roman"/>
        </w:rPr>
        <w:endnoteRef/>
      </w:r>
      <w:r w:rsidRPr="0031551F">
        <w:rPr>
          <w:rFonts w:ascii="Times New Roman" w:hAnsi="Times New Roman" w:cs="Times New Roman"/>
          <w:sz w:val="22"/>
          <w:szCs w:val="22"/>
          <w:lang w:val="it-IT"/>
        </w:rPr>
        <w:t xml:space="preserve"> Renata </w:t>
      </w:r>
      <w:proofErr w:type="spellStart"/>
      <w:r w:rsidRPr="0031551F">
        <w:rPr>
          <w:rFonts w:ascii="Times New Roman" w:hAnsi="Times New Roman" w:cs="Times New Roman"/>
          <w:sz w:val="22"/>
          <w:szCs w:val="22"/>
          <w:lang w:val="it-IT"/>
        </w:rPr>
        <w:t>Simatupang</w:t>
      </w:r>
      <w:proofErr w:type="spellEnd"/>
      <w:r w:rsidRPr="0031551F">
        <w:rPr>
          <w:rFonts w:ascii="Times New Roman" w:hAnsi="Times New Roman" w:cs="Times New Roman"/>
          <w:sz w:val="22"/>
          <w:szCs w:val="22"/>
          <w:lang w:val="it-IT"/>
        </w:rPr>
        <w:t xml:space="preserve">, Akbar </w:t>
      </w:r>
      <w:proofErr w:type="spellStart"/>
      <w:r w:rsidRPr="0031551F">
        <w:rPr>
          <w:rFonts w:ascii="Times New Roman" w:hAnsi="Times New Roman" w:cs="Times New Roman"/>
          <w:sz w:val="22"/>
          <w:szCs w:val="22"/>
          <w:lang w:val="it-IT"/>
        </w:rPr>
        <w:t>Dachlan</w:t>
      </w:r>
      <w:proofErr w:type="spellEnd"/>
      <w:r w:rsidRPr="0031551F">
        <w:rPr>
          <w:rFonts w:ascii="Times New Roman" w:hAnsi="Times New Roman" w:cs="Times New Roman"/>
          <w:sz w:val="22"/>
          <w:szCs w:val="22"/>
          <w:lang w:val="it-IT"/>
        </w:rPr>
        <w:t xml:space="preserve"> &amp; </w:t>
      </w:r>
      <w:proofErr w:type="spellStart"/>
      <w:r w:rsidRPr="0031551F">
        <w:rPr>
          <w:rFonts w:ascii="Times New Roman" w:hAnsi="Times New Roman" w:cs="Times New Roman"/>
          <w:sz w:val="22"/>
          <w:szCs w:val="22"/>
          <w:lang w:val="it-IT"/>
        </w:rPr>
        <w:t>Galuh</w:t>
      </w:r>
      <w:proofErr w:type="spellEnd"/>
      <w:r w:rsidRPr="0031551F">
        <w:rPr>
          <w:rFonts w:ascii="Times New Roman" w:hAnsi="Times New Roman" w:cs="Times New Roman"/>
          <w:sz w:val="22"/>
          <w:szCs w:val="22"/>
          <w:lang w:val="it-IT"/>
        </w:rPr>
        <w:t xml:space="preserve"> Maharani, </w:t>
      </w:r>
      <w:proofErr w:type="spellStart"/>
      <w:r w:rsidRPr="0031551F">
        <w:rPr>
          <w:rFonts w:ascii="Times New Roman" w:hAnsi="Times New Roman" w:cs="Times New Roman"/>
          <w:i/>
          <w:iCs/>
          <w:sz w:val="22"/>
          <w:szCs w:val="22"/>
          <w:lang w:val="it-IT"/>
        </w:rPr>
        <w:t>Indonesia’s</w:t>
      </w:r>
      <w:proofErr w:type="spellEnd"/>
      <w:r w:rsidRPr="0031551F">
        <w:rPr>
          <w:rFonts w:ascii="Times New Roman" w:hAnsi="Times New Roman" w:cs="Times New Roman"/>
          <w:i/>
          <w:iCs/>
          <w:sz w:val="22"/>
          <w:szCs w:val="22"/>
          <w:lang w:val="it-IT"/>
        </w:rPr>
        <w:t xml:space="preserve"> </w:t>
      </w:r>
      <w:proofErr w:type="spellStart"/>
      <w:r w:rsidRPr="0031551F">
        <w:rPr>
          <w:rFonts w:ascii="Times New Roman" w:hAnsi="Times New Roman" w:cs="Times New Roman"/>
          <w:i/>
          <w:iCs/>
          <w:sz w:val="22"/>
          <w:szCs w:val="22"/>
          <w:lang w:val="it-IT"/>
        </w:rPr>
        <w:t>Controversial</w:t>
      </w:r>
      <w:proofErr w:type="spellEnd"/>
      <w:r w:rsidRPr="0031551F">
        <w:rPr>
          <w:rFonts w:ascii="Times New Roman" w:hAnsi="Times New Roman" w:cs="Times New Roman"/>
          <w:i/>
          <w:iCs/>
          <w:sz w:val="22"/>
          <w:szCs w:val="22"/>
          <w:lang w:val="it-IT"/>
        </w:rPr>
        <w:t xml:space="preserve"> Omnibus Law on Job </w:t>
      </w:r>
      <w:proofErr w:type="spellStart"/>
      <w:r w:rsidRPr="0031551F">
        <w:rPr>
          <w:rFonts w:ascii="Times New Roman" w:hAnsi="Times New Roman" w:cs="Times New Roman"/>
          <w:i/>
          <w:iCs/>
          <w:sz w:val="22"/>
          <w:szCs w:val="22"/>
          <w:lang w:val="it-IT"/>
        </w:rPr>
        <w:t>Creation</w:t>
      </w:r>
      <w:proofErr w:type="spellEnd"/>
      <w:r w:rsidRPr="0031551F">
        <w:rPr>
          <w:rFonts w:ascii="Times New Roman" w:hAnsi="Times New Roman" w:cs="Times New Roman"/>
          <w:i/>
          <w:iCs/>
          <w:sz w:val="22"/>
          <w:szCs w:val="22"/>
          <w:lang w:val="it-IT"/>
        </w:rPr>
        <w:t>,</w:t>
      </w:r>
      <w:r w:rsidRPr="0031551F">
        <w:rPr>
          <w:rFonts w:ascii="Times New Roman" w:hAnsi="Times New Roman" w:cs="Times New Roman"/>
          <w:sz w:val="22"/>
          <w:szCs w:val="22"/>
          <w:lang w:val="it-IT"/>
        </w:rPr>
        <w:t xml:space="preserve"> </w:t>
      </w:r>
      <w:r w:rsidRPr="0031551F">
        <w:rPr>
          <w:rFonts w:ascii="Times New Roman" w:hAnsi="Times New Roman" w:cs="Times New Roman"/>
          <w:smallCaps/>
          <w:sz w:val="22"/>
          <w:szCs w:val="22"/>
          <w:lang w:val="it-IT"/>
        </w:rPr>
        <w:t>Dev Tech</w:t>
      </w:r>
      <w:r w:rsidRPr="0031551F">
        <w:rPr>
          <w:rFonts w:ascii="Times New Roman" w:hAnsi="Times New Roman" w:cs="Times New Roman"/>
          <w:sz w:val="22"/>
          <w:szCs w:val="22"/>
          <w:lang w:val="it-IT"/>
        </w:rPr>
        <w:t>, August 14, 2023,</w:t>
      </w:r>
      <w:r w:rsidRPr="0031551F">
        <w:rPr>
          <w:rFonts w:ascii="Times New Roman" w:hAnsi="Times New Roman" w:cs="Times New Roman"/>
          <w:b/>
          <w:bCs/>
          <w:sz w:val="22"/>
          <w:szCs w:val="22"/>
          <w:lang w:val="it-IT"/>
        </w:rPr>
        <w:t xml:space="preserve"> </w:t>
      </w:r>
      <w:r w:rsidRPr="0031551F">
        <w:rPr>
          <w:rFonts w:ascii="Times New Roman" w:hAnsi="Times New Roman" w:cs="Times New Roman"/>
          <w:sz w:val="22"/>
          <w:szCs w:val="22"/>
          <w:lang w:val="it-IT"/>
        </w:rPr>
        <w:t>https://devtechsys.com/insights/2023/08/14/indonesias-controversial-omnibus-law-on-job-creation/.</w:t>
      </w:r>
    </w:p>
  </w:endnote>
  <w:endnote w:id="40">
    <w:p w14:paraId="4E516481" w14:textId="77777777" w:rsidR="0031551F" w:rsidRPr="002A6BFD" w:rsidRDefault="0031551F" w:rsidP="0031551F">
      <w:pPr>
        <w:pStyle w:val="EndnoteText"/>
        <w:rPr>
          <w:rFonts w:ascii="Times New Roman" w:hAnsi="Times New Roman" w:cs="Times New Roman"/>
          <w:b/>
          <w:bCs/>
          <w:sz w:val="22"/>
          <w:szCs w:val="22"/>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Id.</w:t>
      </w:r>
    </w:p>
  </w:endnote>
  <w:endnote w:id="41">
    <w:p w14:paraId="238988C6" w14:textId="77777777" w:rsidR="0031551F" w:rsidRPr="002A6BFD" w:rsidRDefault="0031551F" w:rsidP="0031551F">
      <w:pPr>
        <w:pStyle w:val="EndnoteText"/>
        <w:rPr>
          <w:rFonts w:ascii="Times New Roman" w:hAnsi="Times New Roman" w:cs="Times New Roman"/>
          <w:b/>
          <w:bCs/>
          <w:i/>
          <w:iCs/>
          <w:sz w:val="22"/>
          <w:szCs w:val="22"/>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Id.</w:t>
      </w:r>
    </w:p>
  </w:endnote>
  <w:endnote w:id="42">
    <w:p w14:paraId="6E50DA96" w14:textId="77777777" w:rsidR="0031551F" w:rsidRPr="002A6BFD" w:rsidRDefault="0031551F" w:rsidP="0031551F">
      <w:pPr>
        <w:pStyle w:val="EndnoteText"/>
        <w:rPr>
          <w:lang w:val="en-US"/>
        </w:rPr>
      </w:pPr>
      <w:r>
        <w:rPr>
          <w:rStyle w:val="EndnoteReference"/>
        </w:rPr>
        <w:endnoteRef/>
      </w:r>
      <w:r>
        <w:t xml:space="preserve"> </w:t>
      </w:r>
      <w:r w:rsidRPr="002A6BFD">
        <w:rPr>
          <w:rFonts w:ascii="Times New Roman" w:hAnsi="Times New Roman" w:cs="Times New Roman"/>
          <w:sz w:val="22"/>
          <w:szCs w:val="22"/>
        </w:rPr>
        <w:t>Committee</w:t>
      </w:r>
      <w:r w:rsidRPr="002A6BFD">
        <w:rPr>
          <w:rFonts w:ascii="Times New Roman" w:hAnsi="Times New Roman" w:cs="Times New Roman"/>
          <w:sz w:val="22"/>
          <w:szCs w:val="22"/>
          <w:lang w:val="en-US"/>
        </w:rPr>
        <w:t xml:space="preserve">, </w:t>
      </w:r>
      <w:r w:rsidRPr="002A6BFD">
        <w:rPr>
          <w:rFonts w:ascii="Times New Roman" w:hAnsi="Times New Roman" w:cs="Times New Roman"/>
          <w:i/>
          <w:iCs/>
          <w:sz w:val="22"/>
          <w:szCs w:val="22"/>
          <w:lang w:val="en-US"/>
        </w:rPr>
        <w:t xml:space="preserve">Indonesia: </w:t>
      </w:r>
      <w:r w:rsidRPr="002A6BFD">
        <w:rPr>
          <w:rFonts w:ascii="Times New Roman" w:hAnsi="Times New Roman" w:cs="Times New Roman"/>
          <w:i/>
          <w:iCs/>
          <w:sz w:val="22"/>
          <w:szCs w:val="22"/>
        </w:rPr>
        <w:t>Right to Organise and Collective Bargaining</w:t>
      </w:r>
      <w:r w:rsidRPr="002A6BFD">
        <w:rPr>
          <w:rFonts w:ascii="Times New Roman" w:hAnsi="Times New Roman" w:cs="Times New Roman"/>
          <w:sz w:val="22"/>
          <w:szCs w:val="22"/>
          <w:lang w:val="en-US"/>
        </w:rPr>
        <w:t xml:space="preserve">, </w:t>
      </w:r>
      <w:r w:rsidRPr="002A6BFD">
        <w:rPr>
          <w:rFonts w:ascii="Times New Roman" w:hAnsi="Times New Roman" w:cs="Times New Roman"/>
          <w:i/>
          <w:iCs/>
          <w:sz w:val="22"/>
          <w:szCs w:val="22"/>
          <w:lang w:val="en-US"/>
        </w:rPr>
        <w:t>supra</w:t>
      </w:r>
      <w:r w:rsidRPr="002A6BFD">
        <w:rPr>
          <w:rFonts w:ascii="Times New Roman" w:hAnsi="Times New Roman" w:cs="Times New Roman"/>
          <w:sz w:val="22"/>
          <w:szCs w:val="22"/>
          <w:lang w:val="en-US"/>
        </w:rPr>
        <w:t xml:space="preserve"> note xxi</w:t>
      </w:r>
      <w:r>
        <w:rPr>
          <w:rFonts w:ascii="Times New Roman" w:hAnsi="Times New Roman" w:cs="Times New Roman"/>
          <w:sz w:val="22"/>
          <w:szCs w:val="22"/>
          <w:lang w:val="en-US"/>
        </w:rPr>
        <w:t>.</w:t>
      </w:r>
    </w:p>
  </w:endnote>
  <w:endnote w:id="43">
    <w:p w14:paraId="2EDE9159" w14:textId="77777777" w:rsidR="0031551F" w:rsidRPr="002A6BFD" w:rsidRDefault="0031551F" w:rsidP="0031551F">
      <w:pPr>
        <w:pStyle w:val="EndnoteText"/>
        <w:rPr>
          <w:rFonts w:ascii="Times New Roman" w:hAnsi="Times New Roman" w:cs="Times New Roman"/>
          <w:b/>
          <w:bCs/>
          <w:sz w:val="22"/>
          <w:szCs w:val="22"/>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Minimum Wage Regulation Caters to Workers, Employers' interests: Manpower Minister,</w:t>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rPr>
        <w:t>Tempo</w:t>
      </w:r>
      <w:r w:rsidRPr="002A6BFD">
        <w:rPr>
          <w:rFonts w:ascii="Times New Roman" w:hAnsi="Times New Roman" w:cs="Times New Roman"/>
          <w:sz w:val="22"/>
          <w:szCs w:val="22"/>
        </w:rPr>
        <w:t>, November 30, 2022, https://en.tempo.co/read/1662664/minimum-wage-regulation-caters-to-workers-employers-interests-manpower-minister.</w:t>
      </w:r>
    </w:p>
  </w:endnote>
  <w:endnote w:id="44">
    <w:p w14:paraId="2E2078BE"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rPr>
        <w:t>Lane</w:t>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supra</w:t>
      </w:r>
      <w:r w:rsidRPr="002A6BFD">
        <w:rPr>
          <w:rFonts w:ascii="Times New Roman" w:hAnsi="Times New Roman" w:cs="Times New Roman"/>
          <w:sz w:val="22"/>
          <w:szCs w:val="22"/>
        </w:rPr>
        <w:t xml:space="preserve"> note iv at</w:t>
      </w:r>
      <w:r w:rsidRPr="002A6BFD">
        <w:rPr>
          <w:rFonts w:ascii="Times New Roman" w:hAnsi="Times New Roman" w:cs="Times New Roman"/>
          <w:sz w:val="22"/>
          <w:szCs w:val="22"/>
          <w:lang w:val="en-US"/>
        </w:rPr>
        <w:t xml:space="preserve"> 126. </w:t>
      </w:r>
    </w:p>
  </w:endnote>
  <w:endnote w:id="45">
    <w:p w14:paraId="7733B258" w14:textId="77777777" w:rsidR="00081F7A" w:rsidRPr="002A6BFD" w:rsidRDefault="00081F7A" w:rsidP="00081F7A">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Committee</w:t>
      </w:r>
      <w:r w:rsidRPr="002A6BFD">
        <w:rPr>
          <w:rFonts w:ascii="Times New Roman" w:hAnsi="Times New Roman" w:cs="Times New Roman"/>
          <w:sz w:val="22"/>
          <w:szCs w:val="22"/>
          <w:lang w:val="en-US"/>
        </w:rPr>
        <w:t xml:space="preserve">, </w:t>
      </w:r>
      <w:r w:rsidRPr="002A6BFD">
        <w:rPr>
          <w:rFonts w:ascii="Times New Roman" w:hAnsi="Times New Roman" w:cs="Times New Roman"/>
          <w:i/>
          <w:iCs/>
          <w:sz w:val="22"/>
          <w:szCs w:val="22"/>
          <w:lang w:val="en-US"/>
        </w:rPr>
        <w:t xml:space="preserve">Indonesia: </w:t>
      </w:r>
      <w:r w:rsidRPr="002A6BFD">
        <w:rPr>
          <w:rFonts w:ascii="Times New Roman" w:hAnsi="Times New Roman" w:cs="Times New Roman"/>
          <w:i/>
          <w:iCs/>
          <w:sz w:val="22"/>
          <w:szCs w:val="22"/>
        </w:rPr>
        <w:t>Right to Organise and Collective Bargaining</w:t>
      </w:r>
      <w:r w:rsidRPr="002A6BFD">
        <w:rPr>
          <w:rFonts w:ascii="Times New Roman" w:hAnsi="Times New Roman" w:cs="Times New Roman"/>
          <w:sz w:val="22"/>
          <w:szCs w:val="22"/>
          <w:lang w:val="en-US"/>
        </w:rPr>
        <w:t xml:space="preserve">, </w:t>
      </w:r>
      <w:r w:rsidRPr="002A6BFD">
        <w:rPr>
          <w:rFonts w:ascii="Times New Roman" w:hAnsi="Times New Roman" w:cs="Times New Roman"/>
          <w:i/>
          <w:iCs/>
          <w:sz w:val="22"/>
          <w:szCs w:val="22"/>
          <w:lang w:val="en-US"/>
        </w:rPr>
        <w:t>supra</w:t>
      </w:r>
      <w:r w:rsidRPr="002A6BFD">
        <w:rPr>
          <w:rFonts w:ascii="Times New Roman" w:hAnsi="Times New Roman" w:cs="Times New Roman"/>
          <w:sz w:val="22"/>
          <w:szCs w:val="22"/>
          <w:lang w:val="en-US"/>
        </w:rPr>
        <w:t xml:space="preserve"> note xxi at 11.</w:t>
      </w:r>
    </w:p>
  </w:endnote>
  <w:endnote w:id="46">
    <w:p w14:paraId="7286949C" w14:textId="77777777" w:rsidR="00304BB9" w:rsidRPr="002A6BFD" w:rsidRDefault="00304BB9" w:rsidP="00304BB9">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Factoring election into minimum wage decision</w:t>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rPr>
        <w:t>The Jakarta Post</w:t>
      </w:r>
      <w:r w:rsidRPr="002A6BFD">
        <w:rPr>
          <w:rFonts w:ascii="Times New Roman" w:hAnsi="Times New Roman" w:cs="Times New Roman"/>
          <w:sz w:val="22"/>
          <w:szCs w:val="22"/>
        </w:rPr>
        <w:t>, October 16, 2023, https://www.thejakartapost.com/opinion/2023/10/16/factoring-election-into-minimum-wage-decision.html#google_vignette</w:t>
      </w:r>
    </w:p>
  </w:endnote>
  <w:endnote w:id="47">
    <w:p w14:paraId="300017B0" w14:textId="77777777" w:rsidR="00304BB9" w:rsidRPr="002A6BFD" w:rsidRDefault="00304BB9" w:rsidP="00304BB9">
      <w:pPr>
        <w:pStyle w:val="EndnoteText"/>
        <w:rPr>
          <w:rFonts w:ascii="Times New Roman" w:hAnsi="Times New Roman" w:cs="Times New Roman"/>
          <w:b/>
          <w:bCs/>
          <w:sz w:val="22"/>
          <w:szCs w:val="22"/>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Ayman Falak Medina, </w:t>
      </w:r>
      <w:r w:rsidRPr="002A6BFD">
        <w:rPr>
          <w:rFonts w:ascii="Times New Roman" w:hAnsi="Times New Roman" w:cs="Times New Roman"/>
          <w:i/>
          <w:iCs/>
          <w:sz w:val="22"/>
          <w:szCs w:val="22"/>
        </w:rPr>
        <w:t>Indonesia’s Omnibus Law: Provisions on Minimum Wage</w:t>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rPr>
        <w:t>ASEAN Briefing</w:t>
      </w:r>
      <w:r w:rsidRPr="002A6BFD">
        <w:rPr>
          <w:rFonts w:ascii="Times New Roman" w:hAnsi="Times New Roman" w:cs="Times New Roman"/>
          <w:sz w:val="22"/>
          <w:szCs w:val="22"/>
        </w:rPr>
        <w:t>, https://www.aseanbriefing.com/news/indonesias-omnibus-law-provisions-on-minimum-wage/</w:t>
      </w:r>
    </w:p>
  </w:endnote>
  <w:endnote w:id="48">
    <w:p w14:paraId="0E998DE3" w14:textId="77777777" w:rsidR="00304BB9" w:rsidRPr="002A6BFD" w:rsidRDefault="00304BB9" w:rsidP="00304BB9">
      <w:pPr>
        <w:pStyle w:val="EndnoteText"/>
        <w:rPr>
          <w:rFonts w:ascii="Times New Roman" w:hAnsi="Times New Roman" w:cs="Times New Roman"/>
          <w:sz w:val="22"/>
          <w:szCs w:val="22"/>
        </w:rPr>
      </w:pPr>
      <w:r w:rsidRPr="002A6BFD">
        <w:rPr>
          <w:rStyle w:val="EndnoteReference"/>
          <w:rFonts w:ascii="Times New Roman" w:hAnsi="Times New Roman" w:cs="Times New Roman"/>
          <w:i/>
          <w:iCs/>
        </w:rPr>
        <w:endnoteRef/>
      </w:r>
      <w:r w:rsidRPr="002A6BFD">
        <w:rPr>
          <w:rFonts w:ascii="Times New Roman" w:hAnsi="Times New Roman" w:cs="Times New Roman"/>
          <w:i/>
          <w:iCs/>
          <w:sz w:val="22"/>
          <w:szCs w:val="22"/>
        </w:rPr>
        <w:t xml:space="preserve"> Indonesia: The new Job Creation Government Regulation in lieu of Law</w:t>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rPr>
        <w:t>Baker McKenzie</w:t>
      </w:r>
      <w:r w:rsidRPr="002A6BFD">
        <w:rPr>
          <w:rFonts w:ascii="Times New Roman" w:hAnsi="Times New Roman" w:cs="Times New Roman"/>
          <w:sz w:val="22"/>
          <w:szCs w:val="22"/>
        </w:rPr>
        <w:t>, https://insightplus.bakermckenzie.com/bm/energy-mining-infrastructure_1/indonesia-the-new-job-creation-government-regulation-in-lieu-of-law_1</w:t>
      </w:r>
    </w:p>
  </w:endnote>
  <w:endnote w:id="49">
    <w:p w14:paraId="50931310"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A374E9">
        <w:rPr>
          <w:rFonts w:ascii="Times New Roman" w:hAnsi="Times New Roman" w:cs="Times New Roman"/>
          <w:i/>
          <w:iCs/>
          <w:sz w:val="22"/>
          <w:szCs w:val="22"/>
        </w:rPr>
        <w:t>Id.</w:t>
      </w:r>
      <w:r>
        <w:rPr>
          <w:rFonts w:ascii="Times New Roman" w:hAnsi="Times New Roman" w:cs="Times New Roman"/>
          <w:sz w:val="22"/>
          <w:szCs w:val="22"/>
        </w:rPr>
        <w:t xml:space="preserve"> </w:t>
      </w:r>
      <w:r w:rsidRPr="002A6BFD">
        <w:rPr>
          <w:rFonts w:ascii="Times New Roman" w:hAnsi="Times New Roman" w:cs="Times New Roman"/>
          <w:sz w:val="22"/>
          <w:szCs w:val="22"/>
          <w:lang w:val="en-US"/>
        </w:rPr>
        <w:t>at 7.</w:t>
      </w:r>
    </w:p>
  </w:endnote>
  <w:endnote w:id="50">
    <w:p w14:paraId="3B594602" w14:textId="77777777" w:rsidR="0031551F" w:rsidRPr="00A97D8E"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A97D8E">
        <w:rPr>
          <w:rFonts w:ascii="Times New Roman" w:hAnsi="Times New Roman" w:cs="Times New Roman"/>
          <w:sz w:val="22"/>
          <w:szCs w:val="22"/>
          <w:lang w:val="en-US"/>
        </w:rPr>
        <w:t xml:space="preserve"> </w:t>
      </w:r>
      <w:r w:rsidRPr="00A97D8E">
        <w:rPr>
          <w:rFonts w:ascii="Times New Roman" w:hAnsi="Times New Roman" w:cs="Times New Roman"/>
          <w:sz w:val="22"/>
          <w:szCs w:val="22"/>
          <w:lang w:val="en-US"/>
        </w:rPr>
        <w:t xml:space="preserve">Simatupang, Dachlan &amp; Maharani, </w:t>
      </w:r>
      <w:r w:rsidRPr="00A97D8E">
        <w:rPr>
          <w:rFonts w:ascii="Times New Roman" w:hAnsi="Times New Roman" w:cs="Times New Roman"/>
          <w:i/>
          <w:iCs/>
          <w:sz w:val="22"/>
          <w:szCs w:val="22"/>
          <w:lang w:val="en-US"/>
        </w:rPr>
        <w:t xml:space="preserve">supra </w:t>
      </w:r>
      <w:r w:rsidRPr="00A97D8E">
        <w:rPr>
          <w:rFonts w:ascii="Times New Roman" w:hAnsi="Times New Roman" w:cs="Times New Roman"/>
          <w:sz w:val="22"/>
          <w:szCs w:val="22"/>
          <w:lang w:val="en-US"/>
        </w:rPr>
        <w:t>note xx.</w:t>
      </w:r>
    </w:p>
  </w:endnote>
  <w:endnote w:id="51">
    <w:p w14:paraId="6ADF99A9" w14:textId="77777777" w:rsidR="0031551F" w:rsidRPr="00A97D8E"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A97D8E">
        <w:rPr>
          <w:rFonts w:ascii="Times New Roman" w:hAnsi="Times New Roman" w:cs="Times New Roman"/>
          <w:sz w:val="22"/>
          <w:szCs w:val="22"/>
          <w:lang w:val="en-US"/>
        </w:rPr>
        <w:t xml:space="preserve"> </w:t>
      </w:r>
      <w:r w:rsidRPr="00A97D8E">
        <w:rPr>
          <w:rFonts w:ascii="Times New Roman" w:hAnsi="Times New Roman" w:cs="Times New Roman"/>
          <w:smallCaps/>
          <w:sz w:val="22"/>
          <w:szCs w:val="22"/>
          <w:lang w:val="en-US"/>
        </w:rPr>
        <w:t>Lane</w:t>
      </w:r>
      <w:r w:rsidRPr="00A97D8E">
        <w:rPr>
          <w:rFonts w:ascii="Times New Roman" w:hAnsi="Times New Roman" w:cs="Times New Roman"/>
          <w:sz w:val="22"/>
          <w:szCs w:val="22"/>
          <w:lang w:val="en-US"/>
        </w:rPr>
        <w:t xml:space="preserve">, </w:t>
      </w:r>
      <w:r w:rsidRPr="00A97D8E">
        <w:rPr>
          <w:rFonts w:ascii="Times New Roman" w:hAnsi="Times New Roman" w:cs="Times New Roman"/>
          <w:i/>
          <w:iCs/>
          <w:sz w:val="22"/>
          <w:szCs w:val="22"/>
          <w:lang w:val="en-US"/>
        </w:rPr>
        <w:t>supra</w:t>
      </w:r>
      <w:r w:rsidRPr="00A97D8E">
        <w:rPr>
          <w:rFonts w:ascii="Times New Roman" w:hAnsi="Times New Roman" w:cs="Times New Roman"/>
          <w:sz w:val="22"/>
          <w:szCs w:val="22"/>
          <w:lang w:val="en-US"/>
        </w:rPr>
        <w:t xml:space="preserve"> note iv at 125.</w:t>
      </w:r>
    </w:p>
  </w:endnote>
  <w:endnote w:id="52">
    <w:p w14:paraId="1F16C78E" w14:textId="77777777" w:rsidR="0031551F" w:rsidRPr="00560D91" w:rsidRDefault="0031551F" w:rsidP="0031551F">
      <w:pPr>
        <w:pStyle w:val="EndnoteText"/>
        <w:rPr>
          <w:rFonts w:ascii="Times New Roman" w:hAnsi="Times New Roman" w:cs="Times New Roman"/>
          <w:sz w:val="22"/>
          <w:szCs w:val="22"/>
          <w:lang w:val="en-US"/>
        </w:rPr>
      </w:pPr>
      <w:r>
        <w:rPr>
          <w:rStyle w:val="EndnoteReference"/>
        </w:rPr>
        <w:endnoteRef/>
      </w:r>
      <w:r>
        <w:t xml:space="preserve"> </w:t>
      </w:r>
      <w:r w:rsidRPr="00560D91">
        <w:rPr>
          <w:rFonts w:ascii="Times New Roman" w:hAnsi="Times New Roman" w:cs="Times New Roman"/>
          <w:sz w:val="22"/>
          <w:szCs w:val="22"/>
          <w:lang w:val="en-US"/>
        </w:rPr>
        <w:t>Interview with Member of Civil Society Organization Representing Women Workers in Indonesia, Nov</w:t>
      </w:r>
      <w:r>
        <w:rPr>
          <w:rFonts w:ascii="Times New Roman" w:hAnsi="Times New Roman" w:cs="Times New Roman"/>
          <w:sz w:val="22"/>
          <w:szCs w:val="22"/>
          <w:lang w:val="en-US"/>
        </w:rPr>
        <w:t xml:space="preserve">. </w:t>
      </w:r>
      <w:r w:rsidRPr="00560D91">
        <w:rPr>
          <w:rFonts w:ascii="Times New Roman" w:hAnsi="Times New Roman" w:cs="Times New Roman"/>
          <w:sz w:val="22"/>
          <w:szCs w:val="22"/>
          <w:lang w:val="en-US"/>
        </w:rPr>
        <w:t>17, 2023.</w:t>
      </w:r>
    </w:p>
  </w:endnote>
  <w:endnote w:id="53">
    <w:p w14:paraId="47F26070" w14:textId="77777777" w:rsidR="0031551F" w:rsidRPr="00560D91" w:rsidRDefault="0031551F" w:rsidP="0031551F">
      <w:pPr>
        <w:pStyle w:val="EndnoteText"/>
        <w:rPr>
          <w:rFonts w:ascii="Times New Roman" w:hAnsi="Times New Roman" w:cs="Times New Roman"/>
          <w:sz w:val="22"/>
          <w:szCs w:val="22"/>
          <w:lang w:val="en-US"/>
        </w:rPr>
      </w:pPr>
      <w:r>
        <w:rPr>
          <w:rStyle w:val="EndnoteReference"/>
        </w:rPr>
        <w:endnoteRef/>
      </w:r>
      <w:r>
        <w:t xml:space="preserve"> </w:t>
      </w:r>
      <w:r w:rsidRPr="00A374E9">
        <w:rPr>
          <w:rFonts w:ascii="Times New Roman" w:hAnsi="Times New Roman" w:cs="Times New Roman"/>
          <w:i/>
          <w:iCs/>
          <w:sz w:val="22"/>
          <w:szCs w:val="22"/>
        </w:rPr>
        <w:t>Id.</w:t>
      </w:r>
    </w:p>
  </w:endnote>
  <w:endnote w:id="54">
    <w:p w14:paraId="386A77F6" w14:textId="77777777" w:rsidR="0031551F" w:rsidRPr="002A6BFD" w:rsidRDefault="0031551F" w:rsidP="0031551F">
      <w:pPr>
        <w:pStyle w:val="EndnoteText"/>
        <w:rPr>
          <w:rFonts w:ascii="Times New Roman" w:hAnsi="Times New Roman" w:cs="Times New Roman"/>
          <w:sz w:val="22"/>
          <w:szCs w:val="22"/>
        </w:rPr>
      </w:pPr>
      <w:r w:rsidRPr="002A6BFD">
        <w:rPr>
          <w:rStyle w:val="EndnoteReference"/>
          <w:rFonts w:ascii="Times New Roman" w:hAnsi="Times New Roman" w:cs="Times New Roman"/>
        </w:rPr>
        <w:endnoteRef/>
      </w:r>
      <w:r w:rsidRPr="002A6BFD">
        <w:rPr>
          <w:rFonts w:ascii="Times New Roman" w:hAnsi="Times New Roman" w:cs="Times New Roman"/>
          <w:sz w:val="22"/>
          <w:szCs w:val="22"/>
          <w:lang w:val="en-US"/>
        </w:rPr>
        <w:t xml:space="preserve"> Committee on the Application of Standards, </w:t>
      </w:r>
      <w:r w:rsidRPr="002A6BFD">
        <w:rPr>
          <w:rFonts w:ascii="Times New Roman" w:hAnsi="Times New Roman" w:cs="Times New Roman"/>
          <w:i/>
          <w:iCs/>
          <w:sz w:val="22"/>
          <w:szCs w:val="22"/>
          <w:lang w:val="en-US"/>
        </w:rPr>
        <w:t xml:space="preserve">Indonesia: </w:t>
      </w:r>
      <w:r w:rsidRPr="002A6BFD">
        <w:rPr>
          <w:rFonts w:ascii="Times New Roman" w:hAnsi="Times New Roman" w:cs="Times New Roman"/>
          <w:i/>
          <w:iCs/>
          <w:sz w:val="22"/>
          <w:szCs w:val="22"/>
        </w:rPr>
        <w:t>Right to Organise and Collective Bargaining Convention, 1949 (No. 98)</w:t>
      </w:r>
      <w:r w:rsidRPr="002A6BFD">
        <w:rPr>
          <w:rFonts w:ascii="Times New Roman" w:hAnsi="Times New Roman" w:cs="Times New Roman"/>
          <w:sz w:val="22"/>
          <w:szCs w:val="22"/>
        </w:rPr>
        <w:t xml:space="preserve">, </w:t>
      </w:r>
      <w:r w:rsidRPr="002A6BFD">
        <w:rPr>
          <w:rFonts w:ascii="Times New Roman" w:hAnsi="Times New Roman" w:cs="Times New Roman"/>
          <w:sz w:val="22"/>
          <w:szCs w:val="22"/>
          <w:lang w:val="en-US"/>
        </w:rPr>
        <w:t>International Labor Conference,</w:t>
      </w:r>
      <w:r w:rsidRPr="002A6BFD">
        <w:rPr>
          <w:rFonts w:ascii="Times New Roman" w:hAnsi="Times New Roman" w:cs="Times New Roman"/>
          <w:sz w:val="22"/>
          <w:szCs w:val="22"/>
        </w:rPr>
        <w:t xml:space="preserve"> </w:t>
      </w:r>
      <w:r w:rsidRPr="002A6BFD">
        <w:rPr>
          <w:rFonts w:ascii="Times New Roman" w:hAnsi="Times New Roman" w:cs="Times New Roman"/>
          <w:sz w:val="22"/>
          <w:szCs w:val="22"/>
          <w:lang w:val="en-US"/>
        </w:rPr>
        <w:t>111</w:t>
      </w:r>
      <w:r w:rsidRPr="002A6BFD">
        <w:rPr>
          <w:rFonts w:ascii="Times New Roman" w:hAnsi="Times New Roman" w:cs="Times New Roman"/>
          <w:sz w:val="22"/>
          <w:szCs w:val="22"/>
          <w:vertAlign w:val="superscript"/>
          <w:lang w:val="en-US"/>
        </w:rPr>
        <w:t>th</w:t>
      </w:r>
      <w:r w:rsidRPr="002A6BFD">
        <w:rPr>
          <w:rFonts w:ascii="Times New Roman" w:hAnsi="Times New Roman" w:cs="Times New Roman"/>
          <w:sz w:val="22"/>
          <w:szCs w:val="22"/>
          <w:lang w:val="en-US"/>
        </w:rPr>
        <w:t xml:space="preserve"> Session, Geneva, 2023, 1, 11.</w:t>
      </w:r>
    </w:p>
  </w:endnote>
  <w:endnote w:id="55">
    <w:p w14:paraId="6788F8F3"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Committee</w:t>
      </w:r>
      <w:r w:rsidRPr="002A6BFD">
        <w:rPr>
          <w:rFonts w:ascii="Times New Roman" w:hAnsi="Times New Roman" w:cs="Times New Roman"/>
          <w:sz w:val="22"/>
          <w:szCs w:val="22"/>
          <w:lang w:val="en-US"/>
        </w:rPr>
        <w:t xml:space="preserve">, </w:t>
      </w:r>
      <w:r w:rsidRPr="002A6BFD">
        <w:rPr>
          <w:rFonts w:ascii="Times New Roman" w:hAnsi="Times New Roman" w:cs="Times New Roman"/>
          <w:i/>
          <w:iCs/>
          <w:sz w:val="22"/>
          <w:szCs w:val="22"/>
          <w:lang w:val="en-US"/>
        </w:rPr>
        <w:t xml:space="preserve">Indonesia: </w:t>
      </w:r>
      <w:r w:rsidRPr="002A6BFD">
        <w:rPr>
          <w:rFonts w:ascii="Times New Roman" w:hAnsi="Times New Roman" w:cs="Times New Roman"/>
          <w:i/>
          <w:iCs/>
          <w:sz w:val="22"/>
          <w:szCs w:val="22"/>
        </w:rPr>
        <w:t>Right to Organise and Collective Bargaining</w:t>
      </w:r>
      <w:r w:rsidRPr="002A6BFD">
        <w:rPr>
          <w:rFonts w:ascii="Times New Roman" w:hAnsi="Times New Roman" w:cs="Times New Roman"/>
          <w:sz w:val="22"/>
          <w:szCs w:val="22"/>
          <w:lang w:val="en-US"/>
        </w:rPr>
        <w:t>, supra note xxi.</w:t>
      </w:r>
    </w:p>
  </w:endnote>
  <w:endnote w:id="56">
    <w:p w14:paraId="0CC3614A"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A374E9">
        <w:rPr>
          <w:rFonts w:ascii="Times New Roman" w:hAnsi="Times New Roman" w:cs="Times New Roman"/>
          <w:i/>
          <w:iCs/>
          <w:sz w:val="22"/>
          <w:szCs w:val="22"/>
        </w:rPr>
        <w:t>Id.</w:t>
      </w:r>
    </w:p>
  </w:endnote>
  <w:endnote w:id="57">
    <w:p w14:paraId="3E7813A6"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A374E9">
        <w:rPr>
          <w:rFonts w:ascii="Times New Roman" w:hAnsi="Times New Roman" w:cs="Times New Roman"/>
          <w:i/>
          <w:iCs/>
          <w:sz w:val="22"/>
          <w:szCs w:val="22"/>
        </w:rPr>
        <w:t>Id.</w:t>
      </w:r>
    </w:p>
  </w:endnote>
  <w:endnote w:id="58">
    <w:p w14:paraId="1F9690E3"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A374E9">
        <w:rPr>
          <w:rFonts w:ascii="Times New Roman" w:hAnsi="Times New Roman" w:cs="Times New Roman"/>
          <w:i/>
          <w:iCs/>
          <w:sz w:val="22"/>
          <w:szCs w:val="22"/>
        </w:rPr>
        <w:t>Id.</w:t>
      </w:r>
    </w:p>
  </w:endnote>
  <w:endnote w:id="59">
    <w:p w14:paraId="6E41162D"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rPr>
        <w:t>Lane</w:t>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supra</w:t>
      </w:r>
      <w:r w:rsidRPr="002A6BFD">
        <w:rPr>
          <w:rFonts w:ascii="Times New Roman" w:hAnsi="Times New Roman" w:cs="Times New Roman"/>
          <w:sz w:val="22"/>
          <w:szCs w:val="22"/>
        </w:rPr>
        <w:t xml:space="preserve"> note iv at </w:t>
      </w:r>
      <w:r w:rsidRPr="002A6BFD">
        <w:rPr>
          <w:rFonts w:ascii="Times New Roman" w:hAnsi="Times New Roman" w:cs="Times New Roman"/>
          <w:sz w:val="22"/>
          <w:szCs w:val="22"/>
          <w:lang w:val="en-US"/>
        </w:rPr>
        <w:t>125.</w:t>
      </w:r>
    </w:p>
  </w:endnote>
  <w:endnote w:id="60">
    <w:p w14:paraId="51FCA1A6"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FACT SHEET on the International Labour Organization</w:t>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rPr>
        <w:t>Amnesty International</w:t>
      </w:r>
      <w:r w:rsidRPr="002A6BFD">
        <w:rPr>
          <w:rFonts w:ascii="Times New Roman" w:hAnsi="Times New Roman" w:cs="Times New Roman"/>
          <w:sz w:val="22"/>
          <w:szCs w:val="22"/>
        </w:rPr>
        <w:t xml:space="preserve">, 4 (2002) </w:t>
      </w:r>
      <w:hyperlink r:id="rId14" w:history="1">
        <w:r w:rsidRPr="002A6BFD">
          <w:rPr>
            <w:rStyle w:val="Hyperlink"/>
            <w:rFonts w:ascii="Times New Roman" w:hAnsi="Times New Roman" w:cs="Times New Roman"/>
            <w:sz w:val="22"/>
            <w:szCs w:val="22"/>
          </w:rPr>
          <w:t>https://www.amnesty.org/es/wp-content/uploads/2021/06/ior420042002en.pdf</w:t>
        </w:r>
      </w:hyperlink>
      <w:r w:rsidRPr="002A6BFD">
        <w:rPr>
          <w:rFonts w:ascii="Times New Roman" w:hAnsi="Times New Roman" w:cs="Times New Roman"/>
          <w:sz w:val="22"/>
          <w:szCs w:val="22"/>
        </w:rPr>
        <w:t>.</w:t>
      </w:r>
    </w:p>
  </w:endnote>
  <w:endnote w:id="61">
    <w:p w14:paraId="63D24D52"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James J. </w:t>
      </w:r>
      <w:proofErr w:type="spellStart"/>
      <w:r w:rsidRPr="002A6BFD">
        <w:rPr>
          <w:rFonts w:ascii="Times New Roman" w:hAnsi="Times New Roman" w:cs="Times New Roman"/>
          <w:sz w:val="22"/>
          <w:szCs w:val="22"/>
        </w:rPr>
        <w:t>Brudney</w:t>
      </w:r>
      <w:proofErr w:type="spellEnd"/>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 xml:space="preserve">The Right to Strike as Customary International Law, </w:t>
      </w:r>
      <w:r w:rsidRPr="002A6BFD">
        <w:rPr>
          <w:rFonts w:ascii="Times New Roman" w:hAnsi="Times New Roman" w:cs="Times New Roman"/>
          <w:sz w:val="22"/>
          <w:szCs w:val="22"/>
        </w:rPr>
        <w:t xml:space="preserve">46 </w:t>
      </w:r>
      <w:r w:rsidRPr="002A6BFD">
        <w:rPr>
          <w:rFonts w:ascii="Times New Roman" w:hAnsi="Times New Roman" w:cs="Times New Roman"/>
          <w:smallCaps/>
          <w:sz w:val="22"/>
          <w:szCs w:val="22"/>
        </w:rPr>
        <w:t xml:space="preserve">Yale J. Intl. L. </w:t>
      </w:r>
      <w:r w:rsidRPr="002A6BFD">
        <w:rPr>
          <w:rFonts w:ascii="Times New Roman" w:hAnsi="Times New Roman" w:cs="Times New Roman"/>
          <w:sz w:val="22"/>
          <w:szCs w:val="22"/>
        </w:rPr>
        <w:t>1, 5 (2021).</w:t>
      </w:r>
    </w:p>
  </w:endnote>
  <w:endnote w:id="62">
    <w:p w14:paraId="15ED31D6" w14:textId="77777777" w:rsidR="0031551F" w:rsidRPr="00BB0326" w:rsidRDefault="0031551F" w:rsidP="0031551F">
      <w:pPr>
        <w:pStyle w:val="EndnoteText"/>
        <w:rPr>
          <w:lang w:val="en-US"/>
        </w:rPr>
      </w:pPr>
      <w:r>
        <w:rPr>
          <w:rStyle w:val="EndnoteReference"/>
        </w:rPr>
        <w:endnoteRef/>
      </w:r>
      <w:r>
        <w:t xml:space="preserve"> </w:t>
      </w:r>
      <w:r w:rsidRPr="00BB0326">
        <w:rPr>
          <w:rFonts w:ascii="Times New Roman" w:hAnsi="Times New Roman" w:cs="Times New Roman"/>
          <w:sz w:val="22"/>
          <w:szCs w:val="22"/>
          <w:lang w:val="en-US"/>
        </w:rPr>
        <w:t>Article 8, Section 1(d), International Covenant on Economic, Social, and Cultural Rights, December 16, 1966, https://www.ohchr.org/en/instruments-mechanisms/instruments/international-covenant-economic-social-and-cultural-rights.</w:t>
      </w:r>
    </w:p>
  </w:endnote>
  <w:endnote w:id="63">
    <w:p w14:paraId="479D9990"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Susannah Palmer, </w:t>
      </w:r>
      <w:r w:rsidRPr="002A6BFD">
        <w:rPr>
          <w:rFonts w:ascii="Times New Roman" w:hAnsi="Times New Roman" w:cs="Times New Roman"/>
          <w:i/>
          <w:iCs/>
          <w:sz w:val="22"/>
          <w:szCs w:val="22"/>
          <w:lang w:val="en-US"/>
        </w:rPr>
        <w:t>Freedom of Association and Collective Bargaining, Indonesian Experience 2003-2008</w:t>
      </w:r>
      <w:r w:rsidRPr="002A6BFD">
        <w:rPr>
          <w:rFonts w:ascii="Times New Roman" w:hAnsi="Times New Roman" w:cs="Times New Roman"/>
          <w:sz w:val="22"/>
          <w:szCs w:val="22"/>
          <w:lang w:val="en-US"/>
        </w:rPr>
        <w:t xml:space="preserve">, </w:t>
      </w:r>
      <w:r w:rsidRPr="002A6BFD">
        <w:rPr>
          <w:rFonts w:ascii="Times New Roman" w:hAnsi="Times New Roman" w:cs="Times New Roman"/>
          <w:smallCaps/>
          <w:sz w:val="22"/>
          <w:szCs w:val="22"/>
          <w:lang w:val="en-US"/>
        </w:rPr>
        <w:t>International Labor Organization</w:t>
      </w:r>
      <w:r w:rsidRPr="002A6BFD">
        <w:rPr>
          <w:rFonts w:ascii="Times New Roman" w:hAnsi="Times New Roman" w:cs="Times New Roman"/>
          <w:sz w:val="22"/>
          <w:szCs w:val="22"/>
          <w:lang w:val="en-US"/>
        </w:rPr>
        <w:t>, Working Paper, 1, 13.</w:t>
      </w:r>
    </w:p>
  </w:endnote>
  <w:endnote w:id="64">
    <w:p w14:paraId="0418F358" w14:textId="77777777" w:rsidR="0031551F" w:rsidRPr="002A6BFD" w:rsidRDefault="0031551F" w:rsidP="0031551F">
      <w:pPr>
        <w:pStyle w:val="EndnoteText"/>
        <w:rPr>
          <w:rFonts w:ascii="Times New Roman" w:hAnsi="Times New Roman" w:cs="Times New Roman"/>
          <w:sz w:val="22"/>
          <w:szCs w:val="22"/>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2020 Country Reports on Human Rights Practices: Indonesia</w:t>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rPr>
        <w:t>U.S. Department of State, Bureau of Democracy, Human Rights, and Labor</w:t>
      </w:r>
      <w:r w:rsidRPr="002A6BFD">
        <w:rPr>
          <w:rFonts w:ascii="Times New Roman" w:hAnsi="Times New Roman" w:cs="Times New Roman"/>
          <w:sz w:val="22"/>
          <w:szCs w:val="22"/>
        </w:rPr>
        <w:t>, https://www.state.gov/reports/2020-country-reports-on-human-rights-practices/indonesia/</w:t>
      </w:r>
    </w:p>
  </w:endnote>
  <w:endnote w:id="65">
    <w:p w14:paraId="4C3C3C21"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Id.</w:t>
      </w:r>
    </w:p>
  </w:endnote>
  <w:endnote w:id="66">
    <w:p w14:paraId="3DDB8A91"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Indonesia: Freedom of Association/Right to Organize</w:t>
      </w:r>
      <w:r w:rsidRPr="002A6BFD">
        <w:rPr>
          <w:rFonts w:ascii="Times New Roman" w:hAnsi="Times New Roman" w:cs="Times New Roman"/>
          <w:smallCaps/>
          <w:sz w:val="22"/>
          <w:szCs w:val="22"/>
        </w:rPr>
        <w:t>, ITUC Global Rights Index</w:t>
      </w:r>
      <w:r w:rsidRPr="002A6BFD">
        <w:rPr>
          <w:rFonts w:ascii="Times New Roman" w:hAnsi="Times New Roman" w:cs="Times New Roman"/>
          <w:sz w:val="22"/>
          <w:szCs w:val="22"/>
        </w:rPr>
        <w:t>, https://survey.ituc-csi.org/Indonesia.html?lang=es#tabs-2</w:t>
      </w:r>
    </w:p>
  </w:endnote>
  <w:endnote w:id="67">
    <w:p w14:paraId="2A5FA894"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Edlira Xhafa, </w:t>
      </w:r>
      <w:r w:rsidRPr="002A6BFD">
        <w:rPr>
          <w:rFonts w:ascii="Times New Roman" w:hAnsi="Times New Roman" w:cs="Times New Roman"/>
          <w:i/>
          <w:iCs/>
          <w:sz w:val="22"/>
          <w:szCs w:val="22"/>
        </w:rPr>
        <w:t>The Right to Strike Struck Down? An Analysis of Recent Trends</w:t>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rPr>
        <w:t>Friedrich-Ebert-Stiftung</w:t>
      </w:r>
      <w:r w:rsidRPr="002A6BFD">
        <w:rPr>
          <w:rFonts w:ascii="Times New Roman" w:hAnsi="Times New Roman" w:cs="Times New Roman"/>
          <w:sz w:val="22"/>
          <w:szCs w:val="22"/>
        </w:rPr>
        <w:t xml:space="preserve">, October 2016, 1, 8, </w:t>
      </w:r>
      <w:hyperlink r:id="rId15" w:history="1">
        <w:r w:rsidRPr="002A6BFD">
          <w:rPr>
            <w:rStyle w:val="Hyperlink"/>
            <w:rFonts w:ascii="Times New Roman" w:hAnsi="Times New Roman" w:cs="Times New Roman"/>
            <w:sz w:val="22"/>
            <w:szCs w:val="22"/>
          </w:rPr>
          <w:t>https://library.fes.de/pdf-files/iez/12827.pdf</w:t>
        </w:r>
      </w:hyperlink>
      <w:r w:rsidRPr="002A6BFD">
        <w:rPr>
          <w:rFonts w:ascii="Times New Roman" w:hAnsi="Times New Roman" w:cs="Times New Roman"/>
          <w:sz w:val="22"/>
          <w:szCs w:val="22"/>
        </w:rPr>
        <w:t>.</w:t>
      </w:r>
    </w:p>
  </w:endnote>
  <w:endnote w:id="68">
    <w:p w14:paraId="32D30FAE"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2020 Country Reports on Human Rights: Indonesia</w:t>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rPr>
        <w:t>U.S. Department of State</w:t>
      </w:r>
      <w:r w:rsidRPr="002A6BFD">
        <w:rPr>
          <w:rFonts w:ascii="Times New Roman" w:hAnsi="Times New Roman" w:cs="Times New Roman"/>
          <w:sz w:val="22"/>
          <w:szCs w:val="22"/>
        </w:rPr>
        <w:t>.</w:t>
      </w:r>
    </w:p>
  </w:endnote>
  <w:endnote w:id="69">
    <w:p w14:paraId="660D5ED9"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 xml:space="preserve">Indonesia, </w:t>
      </w:r>
      <w:r w:rsidRPr="002A6BFD">
        <w:rPr>
          <w:rFonts w:ascii="Times New Roman" w:hAnsi="Times New Roman" w:cs="Times New Roman"/>
          <w:smallCaps/>
          <w:sz w:val="22"/>
          <w:szCs w:val="22"/>
        </w:rPr>
        <w:t>ITUC Global Rights Index</w:t>
      </w:r>
      <w:r w:rsidRPr="002A6BFD">
        <w:rPr>
          <w:rFonts w:ascii="Times New Roman" w:hAnsi="Times New Roman" w:cs="Times New Roman"/>
          <w:sz w:val="22"/>
          <w:szCs w:val="22"/>
        </w:rPr>
        <w:t>.</w:t>
      </w:r>
    </w:p>
  </w:endnote>
  <w:endnote w:id="70">
    <w:p w14:paraId="29FCA677"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Xhafa, </w:t>
      </w:r>
      <w:r w:rsidRPr="002A6BFD">
        <w:rPr>
          <w:rFonts w:ascii="Times New Roman" w:hAnsi="Times New Roman" w:cs="Times New Roman"/>
          <w:i/>
          <w:iCs/>
          <w:sz w:val="22"/>
          <w:szCs w:val="22"/>
        </w:rPr>
        <w:t xml:space="preserve">The Right to Strike Struck Down? </w:t>
      </w:r>
      <w:r w:rsidRPr="002A6BFD">
        <w:rPr>
          <w:rFonts w:ascii="Times New Roman" w:hAnsi="Times New Roman" w:cs="Times New Roman"/>
          <w:sz w:val="22"/>
          <w:szCs w:val="22"/>
        </w:rPr>
        <w:t>at 8.</w:t>
      </w:r>
    </w:p>
  </w:endnote>
  <w:endnote w:id="71">
    <w:p w14:paraId="5C8AF1D4"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 xml:space="preserve">Indonesia, </w:t>
      </w:r>
      <w:r w:rsidRPr="002A6BFD">
        <w:rPr>
          <w:rFonts w:ascii="Times New Roman" w:hAnsi="Times New Roman" w:cs="Times New Roman"/>
          <w:smallCaps/>
          <w:sz w:val="22"/>
          <w:szCs w:val="22"/>
        </w:rPr>
        <w:t>ITUC Global Rights Index</w:t>
      </w:r>
      <w:r w:rsidRPr="002A6BFD">
        <w:rPr>
          <w:rFonts w:ascii="Times New Roman" w:hAnsi="Times New Roman" w:cs="Times New Roman"/>
          <w:sz w:val="22"/>
          <w:szCs w:val="22"/>
        </w:rPr>
        <w:t>.</w:t>
      </w:r>
    </w:p>
  </w:endnote>
  <w:endnote w:id="72">
    <w:p w14:paraId="596C409C"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lang w:val="en-US"/>
        </w:rPr>
        <w:t>Id.</w:t>
      </w:r>
    </w:p>
  </w:endnote>
  <w:endnote w:id="73">
    <w:p w14:paraId="28F77E69"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lang w:val="en-US"/>
        </w:rPr>
        <w:t>Id.</w:t>
      </w:r>
    </w:p>
  </w:endnote>
  <w:endnote w:id="74">
    <w:p w14:paraId="39B93E8A"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lang w:val="en-US"/>
        </w:rPr>
        <w:t>Id.</w:t>
      </w:r>
    </w:p>
  </w:endnote>
  <w:endnote w:id="75">
    <w:p w14:paraId="12A0F70C"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2020 Country Reports on Human Rights: Indonesia</w:t>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rPr>
        <w:t>U.S. Department of State</w:t>
      </w:r>
      <w:r w:rsidRPr="002A6BFD">
        <w:rPr>
          <w:rFonts w:ascii="Times New Roman" w:hAnsi="Times New Roman" w:cs="Times New Roman"/>
          <w:sz w:val="22"/>
          <w:szCs w:val="22"/>
        </w:rPr>
        <w:t>.</w:t>
      </w:r>
    </w:p>
  </w:endnote>
  <w:endnote w:id="76">
    <w:p w14:paraId="443242B4"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 xml:space="preserve">Indonesia, </w:t>
      </w:r>
      <w:r w:rsidRPr="002A6BFD">
        <w:rPr>
          <w:rFonts w:ascii="Times New Roman" w:hAnsi="Times New Roman" w:cs="Times New Roman"/>
          <w:smallCaps/>
          <w:sz w:val="22"/>
          <w:szCs w:val="22"/>
        </w:rPr>
        <w:t>ITUC Global Rights Index</w:t>
      </w:r>
      <w:r w:rsidRPr="002A6BFD">
        <w:rPr>
          <w:rFonts w:ascii="Times New Roman" w:hAnsi="Times New Roman" w:cs="Times New Roman"/>
          <w:sz w:val="22"/>
          <w:szCs w:val="22"/>
        </w:rPr>
        <w:t>.</w:t>
      </w:r>
    </w:p>
  </w:endnote>
  <w:endnote w:id="77">
    <w:p w14:paraId="5735C7D5"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Palmer, </w:t>
      </w:r>
      <w:r w:rsidRPr="002A6BFD">
        <w:rPr>
          <w:rFonts w:ascii="Times New Roman" w:hAnsi="Times New Roman" w:cs="Times New Roman"/>
          <w:i/>
          <w:iCs/>
          <w:sz w:val="22"/>
          <w:szCs w:val="22"/>
          <w:lang w:val="en-US"/>
        </w:rPr>
        <w:t>Freedom of Association and Collective Bargaining</w:t>
      </w:r>
      <w:r w:rsidRPr="002A6BFD">
        <w:rPr>
          <w:rFonts w:ascii="Times New Roman" w:hAnsi="Times New Roman" w:cs="Times New Roman"/>
          <w:sz w:val="22"/>
          <w:szCs w:val="22"/>
          <w:lang w:val="en-US"/>
        </w:rPr>
        <w:t xml:space="preserve"> at 13.</w:t>
      </w:r>
    </w:p>
  </w:endnote>
  <w:endnote w:id="78">
    <w:p w14:paraId="45402B6B"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 xml:space="preserve">Indonesia, </w:t>
      </w:r>
      <w:r w:rsidRPr="002A6BFD">
        <w:rPr>
          <w:rFonts w:ascii="Times New Roman" w:hAnsi="Times New Roman" w:cs="Times New Roman"/>
          <w:smallCaps/>
          <w:sz w:val="22"/>
          <w:szCs w:val="22"/>
        </w:rPr>
        <w:t>ITUC Global Rights Index</w:t>
      </w:r>
      <w:r w:rsidRPr="002A6BFD">
        <w:rPr>
          <w:rFonts w:ascii="Times New Roman" w:hAnsi="Times New Roman" w:cs="Times New Roman"/>
          <w:sz w:val="22"/>
          <w:szCs w:val="22"/>
        </w:rPr>
        <w:t>.</w:t>
      </w:r>
    </w:p>
  </w:endnote>
  <w:endnote w:id="79">
    <w:p w14:paraId="49CE7712" w14:textId="77777777" w:rsidR="0031551F" w:rsidRPr="0019498A" w:rsidRDefault="0031551F" w:rsidP="0031551F">
      <w:pPr>
        <w:pStyle w:val="EndnoteText"/>
        <w:rPr>
          <w:lang w:val="en-US"/>
        </w:rPr>
      </w:pPr>
      <w:r>
        <w:rPr>
          <w:rStyle w:val="EndnoteReference"/>
        </w:rPr>
        <w:endnoteRef/>
      </w:r>
      <w:r>
        <w:t xml:space="preserve"> </w:t>
      </w:r>
      <w:r w:rsidRPr="002A6BFD">
        <w:rPr>
          <w:rFonts w:ascii="Times New Roman" w:hAnsi="Times New Roman" w:cs="Times New Roman"/>
          <w:i/>
          <w:iCs/>
          <w:sz w:val="22"/>
          <w:szCs w:val="22"/>
          <w:lang w:val="en-US"/>
        </w:rPr>
        <w:t>Id.</w:t>
      </w:r>
    </w:p>
  </w:endnote>
  <w:endnote w:id="80">
    <w:p w14:paraId="10BAC728"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lang w:val="en-US"/>
        </w:rPr>
        <w:t>Id.</w:t>
      </w:r>
    </w:p>
  </w:endnote>
  <w:endnote w:id="81">
    <w:p w14:paraId="6877064C" w14:textId="77777777" w:rsidR="0031551F" w:rsidRPr="002A6BFD" w:rsidRDefault="0031551F" w:rsidP="0031551F">
      <w:pPr>
        <w:pStyle w:val="EndnoteText"/>
        <w:rPr>
          <w:rFonts w:ascii="Times New Roman" w:hAnsi="Times New Roman" w:cs="Times New Roman"/>
          <w:sz w:val="22"/>
          <w:szCs w:val="22"/>
          <w:lang w:val="en-US"/>
        </w:rPr>
      </w:pPr>
      <w:r>
        <w:rPr>
          <w:rStyle w:val="EndnoteReference"/>
        </w:rPr>
        <w:endnoteRef/>
      </w:r>
      <w:r>
        <w:t xml:space="preserve"> </w:t>
      </w:r>
      <w:r w:rsidRPr="002A6BFD">
        <w:rPr>
          <w:rFonts w:ascii="Times New Roman" w:hAnsi="Times New Roman" w:cs="Times New Roman"/>
          <w:i/>
          <w:iCs/>
          <w:sz w:val="22"/>
          <w:szCs w:val="22"/>
        </w:rPr>
        <w:t>2020 Country Reports on Human Rights: Indonesia</w:t>
      </w:r>
      <w:r w:rsidRPr="002A6BFD">
        <w:rPr>
          <w:rFonts w:ascii="Times New Roman" w:hAnsi="Times New Roman" w:cs="Times New Roman"/>
          <w:sz w:val="22"/>
          <w:szCs w:val="22"/>
        </w:rPr>
        <w:t xml:space="preserve">, </w:t>
      </w:r>
      <w:r w:rsidRPr="002A6BFD">
        <w:rPr>
          <w:rFonts w:ascii="Times New Roman" w:hAnsi="Times New Roman" w:cs="Times New Roman"/>
          <w:smallCaps/>
          <w:sz w:val="22"/>
          <w:szCs w:val="22"/>
        </w:rPr>
        <w:t>U.S. Department of State</w:t>
      </w:r>
      <w:r w:rsidRPr="002A6BFD">
        <w:rPr>
          <w:rFonts w:ascii="Times New Roman" w:hAnsi="Times New Roman" w:cs="Times New Roman"/>
          <w:sz w:val="22"/>
          <w:szCs w:val="22"/>
        </w:rPr>
        <w:t>.</w:t>
      </w:r>
    </w:p>
    <w:p w14:paraId="3939775D" w14:textId="77777777" w:rsidR="0031551F" w:rsidRPr="0019498A" w:rsidRDefault="0031551F" w:rsidP="0031551F">
      <w:pPr>
        <w:pStyle w:val="EndnoteText"/>
        <w:rPr>
          <w:lang w:val="en-US"/>
        </w:rPr>
      </w:pPr>
    </w:p>
  </w:endnote>
  <w:endnote w:id="82">
    <w:p w14:paraId="6CA4F7E2"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 xml:space="preserve">Indonesia, </w:t>
      </w:r>
      <w:r w:rsidRPr="002A6BFD">
        <w:rPr>
          <w:rFonts w:ascii="Times New Roman" w:hAnsi="Times New Roman" w:cs="Times New Roman"/>
          <w:smallCaps/>
          <w:sz w:val="22"/>
          <w:szCs w:val="22"/>
        </w:rPr>
        <w:t>ITUC Global Rights Index</w:t>
      </w:r>
      <w:r w:rsidRPr="002A6BFD">
        <w:rPr>
          <w:rFonts w:ascii="Times New Roman" w:hAnsi="Times New Roman" w:cs="Times New Roman"/>
          <w:sz w:val="22"/>
          <w:szCs w:val="22"/>
        </w:rPr>
        <w:t>.</w:t>
      </w:r>
    </w:p>
  </w:endnote>
  <w:endnote w:id="83">
    <w:p w14:paraId="0FC695C9"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Id.</w:t>
      </w:r>
    </w:p>
  </w:endnote>
  <w:endnote w:id="84">
    <w:p w14:paraId="506CFD16"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Id.</w:t>
      </w:r>
      <w:r w:rsidRPr="002A6BFD">
        <w:rPr>
          <w:rFonts w:ascii="Times New Roman" w:hAnsi="Times New Roman" w:cs="Times New Roman"/>
          <w:sz w:val="22"/>
          <w:szCs w:val="22"/>
        </w:rPr>
        <w:t xml:space="preserve"> at “In Practice” section.</w:t>
      </w:r>
    </w:p>
  </w:endnote>
  <w:endnote w:id="85">
    <w:p w14:paraId="00361042"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Id.</w:t>
      </w:r>
    </w:p>
  </w:endnote>
  <w:endnote w:id="86">
    <w:p w14:paraId="351A7098"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Id.</w:t>
      </w:r>
    </w:p>
  </w:endnote>
  <w:endnote w:id="87">
    <w:p w14:paraId="525E4F09"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Style w:val="EndnoteReference"/>
          <w:rFonts w:ascii="Times New Roman" w:hAnsi="Times New Roman" w:cs="Times New Roman"/>
          <w:color w:val="000000" w:themeColor="text1"/>
        </w:rPr>
        <w:endnoteRef/>
      </w:r>
      <w:r w:rsidRPr="002A6BFD">
        <w:rPr>
          <w:rFonts w:ascii="Times New Roman" w:hAnsi="Times New Roman" w:cs="Times New Roman"/>
          <w:sz w:val="22"/>
          <w:szCs w:val="22"/>
        </w:rPr>
        <w:t xml:space="preserve"> Xhafa, </w:t>
      </w:r>
      <w:r w:rsidRPr="002A6BFD">
        <w:rPr>
          <w:rFonts w:ascii="Times New Roman" w:hAnsi="Times New Roman" w:cs="Times New Roman"/>
          <w:i/>
          <w:iCs/>
          <w:sz w:val="22"/>
          <w:szCs w:val="22"/>
        </w:rPr>
        <w:t xml:space="preserve">The Right to Strike Struck Down? </w:t>
      </w:r>
      <w:r w:rsidRPr="002A6BFD">
        <w:rPr>
          <w:rFonts w:ascii="Times New Roman" w:hAnsi="Times New Roman" w:cs="Times New Roman"/>
          <w:sz w:val="22"/>
          <w:szCs w:val="22"/>
        </w:rPr>
        <w:t>at 10.</w:t>
      </w:r>
    </w:p>
  </w:endnote>
  <w:endnote w:id="88">
    <w:p w14:paraId="070AF001"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2A6BFD">
        <w:rPr>
          <w:rFonts w:ascii="Times New Roman" w:hAnsi="Times New Roman" w:cs="Times New Roman"/>
          <w:i/>
          <w:iCs/>
          <w:sz w:val="22"/>
          <w:szCs w:val="22"/>
        </w:rPr>
        <w:t>Indonesia: Violent responses to union strike</w:t>
      </w:r>
      <w:r w:rsidRPr="002A6BFD">
        <w:rPr>
          <w:rFonts w:ascii="Times New Roman" w:hAnsi="Times New Roman" w:cs="Times New Roman"/>
          <w:smallCaps/>
          <w:sz w:val="22"/>
          <w:szCs w:val="22"/>
        </w:rPr>
        <w:t>, IndustriALL</w:t>
      </w:r>
      <w:r w:rsidRPr="002A6BFD">
        <w:rPr>
          <w:rFonts w:ascii="Times New Roman" w:hAnsi="Times New Roman" w:cs="Times New Roman"/>
          <w:sz w:val="22"/>
          <w:szCs w:val="22"/>
        </w:rPr>
        <w:t>, October 19, 2020, https://www.industriall-union.org/indonesia-violent-response-to-union-strike.</w:t>
      </w:r>
    </w:p>
  </w:endnote>
  <w:endnote w:id="89">
    <w:p w14:paraId="49A600C6" w14:textId="77777777" w:rsidR="0031551F" w:rsidRPr="002A6BFD" w:rsidRDefault="0031551F" w:rsidP="0031551F">
      <w:pPr>
        <w:pStyle w:val="EndnoteText"/>
        <w:rPr>
          <w:rFonts w:ascii="Times New Roman" w:hAnsi="Times New Roman" w:cs="Times New Roman"/>
          <w:sz w:val="22"/>
          <w:szCs w:val="22"/>
          <w:lang w:val="en-U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w:t>
      </w:r>
      <w:r w:rsidRPr="00A374E9">
        <w:rPr>
          <w:rFonts w:ascii="Times New Roman" w:hAnsi="Times New Roman" w:cs="Times New Roman"/>
          <w:i/>
          <w:iCs/>
          <w:sz w:val="22"/>
          <w:szCs w:val="22"/>
        </w:rPr>
        <w:t>Id.</w:t>
      </w:r>
    </w:p>
  </w:endnote>
  <w:endnote w:id="90">
    <w:p w14:paraId="00787E6E" w14:textId="77777777" w:rsidR="0031551F" w:rsidRPr="002A6BFD" w:rsidRDefault="0031551F" w:rsidP="0031551F">
      <w:pPr>
        <w:pStyle w:val="EndnoteText"/>
        <w:rPr>
          <w:b/>
          <w:bCs/>
          <w:i/>
          <w:iCs/>
        </w:rPr>
      </w:pPr>
      <w:r w:rsidRPr="002A6BFD">
        <w:rPr>
          <w:rStyle w:val="EndnoteReference"/>
          <w:rFonts w:ascii="Times New Roman" w:hAnsi="Times New Roman" w:cs="Times New Roman"/>
        </w:rPr>
        <w:endnoteRef/>
      </w:r>
      <w:r w:rsidRPr="002A6BFD">
        <w:rPr>
          <w:rFonts w:ascii="Times New Roman" w:hAnsi="Times New Roman" w:cs="Times New Roman"/>
          <w:sz w:val="22"/>
          <w:szCs w:val="22"/>
        </w:rPr>
        <w:t xml:space="preserve"> Dera </w:t>
      </w:r>
      <w:proofErr w:type="spellStart"/>
      <w:r w:rsidRPr="002A6BFD">
        <w:rPr>
          <w:rFonts w:ascii="Times New Roman" w:hAnsi="Times New Roman" w:cs="Times New Roman"/>
          <w:sz w:val="22"/>
          <w:szCs w:val="22"/>
        </w:rPr>
        <w:t>Menra</w:t>
      </w:r>
      <w:proofErr w:type="spellEnd"/>
      <w:r w:rsidRPr="002A6BFD">
        <w:rPr>
          <w:rFonts w:ascii="Times New Roman" w:hAnsi="Times New Roman" w:cs="Times New Roman"/>
          <w:sz w:val="22"/>
          <w:szCs w:val="22"/>
        </w:rPr>
        <w:t xml:space="preserve"> </w:t>
      </w:r>
      <w:proofErr w:type="spellStart"/>
      <w:r w:rsidRPr="002A6BFD">
        <w:rPr>
          <w:rFonts w:ascii="Times New Roman" w:hAnsi="Times New Roman" w:cs="Times New Roman"/>
          <w:sz w:val="22"/>
          <w:szCs w:val="22"/>
        </w:rPr>
        <w:t>Sijabat</w:t>
      </w:r>
      <w:proofErr w:type="spellEnd"/>
      <w:r w:rsidRPr="002A6BFD">
        <w:rPr>
          <w:rFonts w:ascii="Times New Roman" w:hAnsi="Times New Roman" w:cs="Times New Roman"/>
          <w:sz w:val="22"/>
          <w:szCs w:val="22"/>
        </w:rPr>
        <w:t xml:space="preserve"> &amp; Richard C. Paddock, </w:t>
      </w:r>
      <w:r w:rsidRPr="002A6BFD">
        <w:rPr>
          <w:rFonts w:ascii="Times New Roman" w:hAnsi="Times New Roman" w:cs="Times New Roman"/>
          <w:i/>
          <w:iCs/>
          <w:sz w:val="22"/>
          <w:szCs w:val="22"/>
        </w:rPr>
        <w:t xml:space="preserve">Protests Spread Across Indonesia Over Jobs Law, </w:t>
      </w:r>
      <w:r w:rsidRPr="002A6BFD">
        <w:rPr>
          <w:rFonts w:ascii="Times New Roman" w:hAnsi="Times New Roman" w:cs="Times New Roman"/>
          <w:smallCaps/>
          <w:sz w:val="22"/>
          <w:szCs w:val="22"/>
        </w:rPr>
        <w:t>N.Y. Times</w:t>
      </w:r>
      <w:r w:rsidRPr="002A6BFD">
        <w:rPr>
          <w:rFonts w:ascii="Times New Roman" w:hAnsi="Times New Roman" w:cs="Times New Roman"/>
          <w:sz w:val="22"/>
          <w:szCs w:val="22"/>
        </w:rPr>
        <w:t>, Oct. 8, 2020,</w:t>
      </w:r>
      <w:r w:rsidRPr="002A6BFD">
        <w:rPr>
          <w:rFonts w:ascii="Times New Roman" w:hAnsi="Times New Roman" w:cs="Times New Roman"/>
          <w:b/>
          <w:bCs/>
          <w:i/>
          <w:iCs/>
          <w:sz w:val="22"/>
          <w:szCs w:val="22"/>
        </w:rPr>
        <w:t xml:space="preserve"> </w:t>
      </w:r>
      <w:r w:rsidRPr="002A6BFD">
        <w:rPr>
          <w:rFonts w:ascii="Times New Roman" w:hAnsi="Times New Roman" w:cs="Times New Roman"/>
          <w:sz w:val="22"/>
          <w:szCs w:val="22"/>
        </w:rPr>
        <w:t>https://www.nytimes.com/2020/10/08/world/asia/indonesia-protests-jobs.html</w:t>
      </w:r>
    </w:p>
  </w:endnote>
  <w:endnote w:id="91">
    <w:p w14:paraId="2996F4EA" w14:textId="77777777" w:rsidR="0031551F" w:rsidRPr="00560D91" w:rsidRDefault="0031551F" w:rsidP="0031551F">
      <w:pPr>
        <w:pStyle w:val="EndnoteText"/>
        <w:rPr>
          <w:lang w:val="en-US"/>
        </w:rPr>
      </w:pPr>
      <w:r>
        <w:rPr>
          <w:rStyle w:val="EndnoteReference"/>
        </w:rPr>
        <w:endnoteRef/>
      </w:r>
      <w:r>
        <w:t xml:space="preserve"> </w:t>
      </w:r>
      <w:r w:rsidRPr="00560D91">
        <w:rPr>
          <w:rFonts w:ascii="Times New Roman" w:hAnsi="Times New Roman" w:cs="Times New Roman"/>
          <w:sz w:val="22"/>
          <w:szCs w:val="22"/>
          <w:lang w:val="en-US"/>
        </w:rPr>
        <w:t>Interview with Member of Civil Society Organization Representing Women Workers in Indonesia, Nov</w:t>
      </w:r>
      <w:r>
        <w:rPr>
          <w:rFonts w:ascii="Times New Roman" w:hAnsi="Times New Roman" w:cs="Times New Roman"/>
          <w:sz w:val="22"/>
          <w:szCs w:val="22"/>
          <w:lang w:val="en-US"/>
        </w:rPr>
        <w:t xml:space="preserve">. </w:t>
      </w:r>
      <w:r w:rsidRPr="00560D91">
        <w:rPr>
          <w:rFonts w:ascii="Times New Roman" w:hAnsi="Times New Roman" w:cs="Times New Roman"/>
          <w:sz w:val="22"/>
          <w:szCs w:val="22"/>
          <w:lang w:val="en-US"/>
        </w:rPr>
        <w:t>17, 2023.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nionPro-Regular">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Proxima Nova">
    <w:panose1 w:val="020B0503030502060204"/>
    <w:charset w:val="00"/>
    <w:family w:val="swiss"/>
    <w:notTrueType/>
    <w:pitch w:val="variable"/>
    <w:sig w:usb0="20000287" w:usb1="00000001" w:usb2="00000000" w:usb3="00000000" w:csb0="0000019F" w:csb1="00000000"/>
  </w:font>
  <w:font w:name="ProximaNova-Bold">
    <w:altName w:val="Cambria"/>
    <w:panose1 w:val="020B0803030502000204"/>
    <w:charset w:val="00"/>
    <w:family w:val="auto"/>
    <w:pitch w:val="default"/>
  </w:font>
  <w:font w:name="ProximaNova-Regular">
    <w:altName w:val="Calibri"/>
    <w:panose1 w:val="020B0503030502060204"/>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96850" w14:textId="77777777" w:rsidR="00F07C71" w:rsidRPr="0031496D" w:rsidRDefault="004E19E1" w:rsidP="0031496D">
    <w:pPr>
      <w:pStyle w:val="Footer"/>
      <w:rPr>
        <w:lang w:val="nl-BE"/>
      </w:rPr>
    </w:pPr>
    <w:r>
      <w:rPr>
        <w:noProof/>
      </w:rPr>
      <w:drawing>
        <wp:anchor distT="0" distB="0" distL="114300" distR="114300" simplePos="0" relativeHeight="251661312" behindDoc="1" locked="1" layoutInCell="1" allowOverlap="1" wp14:anchorId="4C57E8FC" wp14:editId="6391E3BC">
          <wp:simplePos x="0" y="0"/>
          <wp:positionH relativeFrom="column">
            <wp:posOffset>-989965</wp:posOffset>
          </wp:positionH>
          <wp:positionV relativeFrom="paragraph">
            <wp:posOffset>-431800</wp:posOffset>
          </wp:positionV>
          <wp:extent cx="7559040" cy="1073150"/>
          <wp:effectExtent l="0" t="0" r="3810" b="0"/>
          <wp:wrapNone/>
          <wp:docPr id="5" name="Placeholder" descr=":ITUC-letterheadfoote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ITUC-letterheadfooter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731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3506A" w14:textId="77777777" w:rsidR="0048574B" w:rsidRDefault="004E19E1">
    <w:pPr>
      <w:pStyle w:val="Footer"/>
    </w:pPr>
    <w:r>
      <w:rPr>
        <w:noProof/>
      </w:rPr>
      <w:drawing>
        <wp:anchor distT="0" distB="0" distL="114300" distR="114300" simplePos="0" relativeHeight="251663360" behindDoc="1" locked="1" layoutInCell="1" allowOverlap="1" wp14:anchorId="71A8AF9A" wp14:editId="6F65ABB7">
          <wp:simplePos x="0" y="0"/>
          <wp:positionH relativeFrom="column">
            <wp:posOffset>-990600</wp:posOffset>
          </wp:positionH>
          <wp:positionV relativeFrom="paragraph">
            <wp:posOffset>-443230</wp:posOffset>
          </wp:positionV>
          <wp:extent cx="7559040" cy="1072515"/>
          <wp:effectExtent l="0" t="0" r="3810" b="0"/>
          <wp:wrapNone/>
          <wp:docPr id="1" name="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ceholde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040" cy="10725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4E728" w14:textId="77777777" w:rsidR="00A4074D" w:rsidRDefault="00A4074D">
      <w:pPr>
        <w:spacing w:after="0"/>
      </w:pPr>
      <w:r>
        <w:separator/>
      </w:r>
    </w:p>
  </w:footnote>
  <w:footnote w:type="continuationSeparator" w:id="0">
    <w:p w14:paraId="637B055E" w14:textId="77777777" w:rsidR="00A4074D" w:rsidRDefault="00A4074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5CD8E" w14:textId="77777777" w:rsidR="00F92F3A" w:rsidRPr="004E19E1" w:rsidRDefault="00F92F3A" w:rsidP="00F92F3A">
    <w:pPr>
      <w:pStyle w:val="Header"/>
      <w:jc w:val="right"/>
      <w:rPr>
        <w:rStyle w:val="PageNumber"/>
        <w:rFonts w:ascii="Proxima Nova" w:hAnsi="Proxima Nova"/>
        <w:color w:val="404040"/>
        <w:sz w:val="16"/>
      </w:rPr>
    </w:pPr>
    <w:r w:rsidRPr="004E19E1">
      <w:rPr>
        <w:rStyle w:val="PageNumber"/>
        <w:rFonts w:ascii="Proxima Nova" w:hAnsi="Proxima Nova"/>
        <w:color w:val="404040"/>
        <w:sz w:val="16"/>
      </w:rPr>
      <w:fldChar w:fldCharType="begin"/>
    </w:r>
    <w:r w:rsidRPr="004E19E1">
      <w:rPr>
        <w:rStyle w:val="PageNumber"/>
        <w:rFonts w:ascii="Proxima Nova" w:hAnsi="Proxima Nova"/>
        <w:color w:val="404040"/>
        <w:sz w:val="16"/>
      </w:rPr>
      <w:instrText xml:space="preserve"> PAGE </w:instrText>
    </w:r>
    <w:r w:rsidRPr="004E19E1">
      <w:rPr>
        <w:rStyle w:val="PageNumber"/>
        <w:rFonts w:ascii="Proxima Nova" w:hAnsi="Proxima Nova"/>
        <w:color w:val="404040"/>
        <w:sz w:val="16"/>
      </w:rPr>
      <w:fldChar w:fldCharType="separate"/>
    </w:r>
    <w:r w:rsidR="00EC0035">
      <w:rPr>
        <w:rStyle w:val="PageNumber"/>
        <w:rFonts w:ascii="Proxima Nova" w:hAnsi="Proxima Nova"/>
        <w:noProof/>
        <w:color w:val="404040"/>
        <w:sz w:val="16"/>
      </w:rPr>
      <w:t>2</w:t>
    </w:r>
    <w:r w:rsidRPr="004E19E1">
      <w:rPr>
        <w:rStyle w:val="PageNumber"/>
        <w:rFonts w:ascii="Proxima Nova" w:hAnsi="Proxima Nova"/>
        <w:color w:val="404040"/>
        <w:sz w:val="16"/>
      </w:rPr>
      <w:fldChar w:fldCharType="end"/>
    </w:r>
  </w:p>
  <w:p w14:paraId="06BBABAA" w14:textId="77777777" w:rsidR="00F92F3A" w:rsidRPr="004E19E1" w:rsidRDefault="00F92F3A" w:rsidP="00F92F3A">
    <w:pPr>
      <w:pStyle w:val="Header"/>
      <w:jc w:val="right"/>
      <w:rPr>
        <w:rFonts w:ascii="Proxima Nova" w:hAnsi="Proxima Nova"/>
        <w:color w:val="404040"/>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0BB8E" w14:textId="77777777" w:rsidR="0048574B" w:rsidRDefault="004E19E1">
    <w:pPr>
      <w:pStyle w:val="Header"/>
    </w:pPr>
    <w:r>
      <w:rPr>
        <w:noProof/>
      </w:rPr>
      <w:drawing>
        <wp:anchor distT="0" distB="0" distL="0" distR="0" simplePos="0" relativeHeight="251665408" behindDoc="0" locked="0" layoutInCell="1" allowOverlap="1" wp14:anchorId="6EDA9B7B" wp14:editId="538BA502">
          <wp:simplePos x="0" y="0"/>
          <wp:positionH relativeFrom="column">
            <wp:posOffset>-990600</wp:posOffset>
          </wp:positionH>
          <wp:positionV relativeFrom="paragraph">
            <wp:posOffset>-711835</wp:posOffset>
          </wp:positionV>
          <wp:extent cx="7559040" cy="1543050"/>
          <wp:effectExtent l="0" t="0" r="3810" b="0"/>
          <wp:wrapSquare wrapText="largest"/>
          <wp:docPr id="4" name="Picture 2" descr="serveur_data:Clients:ITUC:• Graphic Guideline:2015:• Déclinaisons:• Letterhead:ITUC-letterheadfooter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ur_data:Clients:ITUC:• Graphic Guideline:2015:• Déclinaisons:• Letterhead:ITUC-letterheadfooter 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935" distR="114935" simplePos="0" relativeHeight="251662336" behindDoc="0" locked="1" layoutInCell="1" allowOverlap="1" wp14:anchorId="2F462A26" wp14:editId="31CBC747">
          <wp:simplePos x="0" y="0"/>
          <wp:positionH relativeFrom="column">
            <wp:posOffset>-946150</wp:posOffset>
          </wp:positionH>
          <wp:positionV relativeFrom="paragraph">
            <wp:posOffset>-712470</wp:posOffset>
          </wp:positionV>
          <wp:extent cx="7559040" cy="1543050"/>
          <wp:effectExtent l="0" t="0" r="3810" b="0"/>
          <wp:wrapThrough wrapText="bothSides">
            <wp:wrapPolygon edited="0">
              <wp:start x="0" y="0"/>
              <wp:lineTo x="0" y="21333"/>
              <wp:lineTo x="21556" y="21333"/>
              <wp:lineTo x="21556" y="0"/>
              <wp:lineTo x="0" y="0"/>
            </wp:wrapPolygon>
          </wp:wrapThrough>
          <wp:docPr id="3" name="Placeholder" descr=":ITUC-letterheadfooter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ITUC-letterheadfooter 3.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543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F2795"/>
    <w:multiLevelType w:val="hybridMultilevel"/>
    <w:tmpl w:val="F0745320"/>
    <w:lvl w:ilvl="0" w:tplc="0409001B">
      <w:start w:val="1"/>
      <w:numFmt w:val="lowerRoman"/>
      <w:lvlText w:val="%1."/>
      <w:lvlJc w:val="righ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7220D8"/>
    <w:multiLevelType w:val="hybridMultilevel"/>
    <w:tmpl w:val="C50840D2"/>
    <w:lvl w:ilvl="0" w:tplc="04090015">
      <w:start w:val="1"/>
      <w:numFmt w:val="upperLetter"/>
      <w:lvlText w:val="%1."/>
      <w:lvlJc w:val="left"/>
      <w:pPr>
        <w:ind w:left="1080" w:hanging="360"/>
      </w:pPr>
      <w:rPr>
        <w:rFonts w:hint="default"/>
        <w:b/>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DA3869"/>
    <w:multiLevelType w:val="hybridMultilevel"/>
    <w:tmpl w:val="C62290A0"/>
    <w:lvl w:ilvl="0" w:tplc="C116EE20">
      <w:start w:val="1"/>
      <w:numFmt w:val="upperRoman"/>
      <w:lvlText w:val="%1."/>
      <w:lvlJc w:val="right"/>
      <w:pPr>
        <w:ind w:left="1080" w:hanging="720"/>
      </w:pPr>
      <w:rPr>
        <w:rFonts w:hint="default"/>
        <w:b/>
        <w:bCs/>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6146FC"/>
    <w:multiLevelType w:val="hybridMultilevel"/>
    <w:tmpl w:val="D1D67EDA"/>
    <w:lvl w:ilvl="0" w:tplc="026C40A4">
      <w:start w:val="1"/>
      <w:numFmt w:val="upperLetter"/>
      <w:lvlText w:val="%1."/>
      <w:lvlJc w:val="left"/>
      <w:pPr>
        <w:ind w:left="1080" w:hanging="360"/>
      </w:pPr>
      <w:rPr>
        <w:rFonts w:hint="default"/>
        <w:b/>
        <w:bCs/>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D631228"/>
    <w:multiLevelType w:val="hybridMultilevel"/>
    <w:tmpl w:val="88E43526"/>
    <w:lvl w:ilvl="0" w:tplc="0409001B">
      <w:start w:val="1"/>
      <w:numFmt w:val="lowerRoman"/>
      <w:lvlText w:val="%1."/>
      <w:lvlJc w:val="righ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F6126E5"/>
    <w:multiLevelType w:val="hybridMultilevel"/>
    <w:tmpl w:val="B44C5DFE"/>
    <w:lvl w:ilvl="0" w:tplc="2036061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FB65CC1"/>
    <w:multiLevelType w:val="hybridMultilevel"/>
    <w:tmpl w:val="CB88A3C0"/>
    <w:lvl w:ilvl="0" w:tplc="04090015">
      <w:start w:val="1"/>
      <w:numFmt w:val="upperLetter"/>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AED3861"/>
    <w:multiLevelType w:val="hybridMultilevel"/>
    <w:tmpl w:val="54780BC4"/>
    <w:lvl w:ilvl="0" w:tplc="4E964004">
      <w:start w:val="3"/>
      <w:numFmt w:val="bullet"/>
      <w:lvlText w:val="-"/>
      <w:lvlJc w:val="left"/>
      <w:pPr>
        <w:ind w:left="720" w:hanging="360"/>
      </w:pPr>
      <w:rPr>
        <w:rFonts w:ascii="Times New Roman" w:eastAsiaTheme="minorHAnsi" w:hAnsi="Times New Roman" w:cs="Times New Roman" w:hint="default"/>
        <w:sz w:val="22"/>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60186358">
    <w:abstractNumId w:val="2"/>
  </w:num>
  <w:num w:numId="2" w16cid:durableId="2124306965">
    <w:abstractNumId w:val="5"/>
  </w:num>
  <w:num w:numId="3" w16cid:durableId="864902308">
    <w:abstractNumId w:val="3"/>
  </w:num>
  <w:num w:numId="4" w16cid:durableId="2035107891">
    <w:abstractNumId w:val="6"/>
  </w:num>
  <w:num w:numId="5" w16cid:durableId="432408355">
    <w:abstractNumId w:val="1"/>
  </w:num>
  <w:num w:numId="6" w16cid:durableId="217596253">
    <w:abstractNumId w:val="4"/>
  </w:num>
  <w:num w:numId="7" w16cid:durableId="573588506">
    <w:abstractNumId w:val="0"/>
  </w:num>
  <w:num w:numId="8" w16cid:durableId="12758691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SystemFonts/>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09"/>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51F"/>
    <w:rsid w:val="00020D6A"/>
    <w:rsid w:val="0002106D"/>
    <w:rsid w:val="000317BF"/>
    <w:rsid w:val="000375F6"/>
    <w:rsid w:val="0004020E"/>
    <w:rsid w:val="00081F7A"/>
    <w:rsid w:val="001004E1"/>
    <w:rsid w:val="00130D48"/>
    <w:rsid w:val="0013405D"/>
    <w:rsid w:val="00175A5F"/>
    <w:rsid w:val="0019251A"/>
    <w:rsid w:val="001B0CB9"/>
    <w:rsid w:val="001B1A44"/>
    <w:rsid w:val="001B799B"/>
    <w:rsid w:val="001C3881"/>
    <w:rsid w:val="001E1053"/>
    <w:rsid w:val="001F4C30"/>
    <w:rsid w:val="00227090"/>
    <w:rsid w:val="00235B0C"/>
    <w:rsid w:val="00262805"/>
    <w:rsid w:val="00297545"/>
    <w:rsid w:val="002B10D8"/>
    <w:rsid w:val="00304BB9"/>
    <w:rsid w:val="0031496D"/>
    <w:rsid w:val="0031551F"/>
    <w:rsid w:val="0036210A"/>
    <w:rsid w:val="003644D0"/>
    <w:rsid w:val="003948C1"/>
    <w:rsid w:val="003A6A90"/>
    <w:rsid w:val="003B77F9"/>
    <w:rsid w:val="003C0184"/>
    <w:rsid w:val="003D6F4A"/>
    <w:rsid w:val="00410913"/>
    <w:rsid w:val="00413AEF"/>
    <w:rsid w:val="00415C9E"/>
    <w:rsid w:val="00430CC6"/>
    <w:rsid w:val="0048574B"/>
    <w:rsid w:val="004A4E20"/>
    <w:rsid w:val="004A72B0"/>
    <w:rsid w:val="004D7176"/>
    <w:rsid w:val="004E19E1"/>
    <w:rsid w:val="004F4C93"/>
    <w:rsid w:val="00504070"/>
    <w:rsid w:val="005120E0"/>
    <w:rsid w:val="00525EA5"/>
    <w:rsid w:val="00541798"/>
    <w:rsid w:val="005468AF"/>
    <w:rsid w:val="005C7FF4"/>
    <w:rsid w:val="005D6934"/>
    <w:rsid w:val="006111FA"/>
    <w:rsid w:val="00613BFA"/>
    <w:rsid w:val="006374DC"/>
    <w:rsid w:val="006419CE"/>
    <w:rsid w:val="006533AD"/>
    <w:rsid w:val="00671D30"/>
    <w:rsid w:val="00683313"/>
    <w:rsid w:val="0069489A"/>
    <w:rsid w:val="006A5FB6"/>
    <w:rsid w:val="00706908"/>
    <w:rsid w:val="007300EB"/>
    <w:rsid w:val="00733E9D"/>
    <w:rsid w:val="007717D5"/>
    <w:rsid w:val="007A2A0E"/>
    <w:rsid w:val="007B5229"/>
    <w:rsid w:val="007E1EFD"/>
    <w:rsid w:val="007F5A07"/>
    <w:rsid w:val="00805979"/>
    <w:rsid w:val="00810803"/>
    <w:rsid w:val="0082198C"/>
    <w:rsid w:val="00856E24"/>
    <w:rsid w:val="0088773E"/>
    <w:rsid w:val="008B5B3A"/>
    <w:rsid w:val="008C5913"/>
    <w:rsid w:val="008E27CA"/>
    <w:rsid w:val="00902864"/>
    <w:rsid w:val="0091429A"/>
    <w:rsid w:val="009409D3"/>
    <w:rsid w:val="009714BF"/>
    <w:rsid w:val="00974C55"/>
    <w:rsid w:val="009824AA"/>
    <w:rsid w:val="009B73B6"/>
    <w:rsid w:val="009E5FDE"/>
    <w:rsid w:val="00A06704"/>
    <w:rsid w:val="00A17DE9"/>
    <w:rsid w:val="00A4074D"/>
    <w:rsid w:val="00A51303"/>
    <w:rsid w:val="00A5491D"/>
    <w:rsid w:val="00A97D8E"/>
    <w:rsid w:val="00AA2F6F"/>
    <w:rsid w:val="00AA354D"/>
    <w:rsid w:val="00AB72D2"/>
    <w:rsid w:val="00AC3EA4"/>
    <w:rsid w:val="00AF097F"/>
    <w:rsid w:val="00B00179"/>
    <w:rsid w:val="00B44B99"/>
    <w:rsid w:val="00B45E1C"/>
    <w:rsid w:val="00B95481"/>
    <w:rsid w:val="00BB5DC8"/>
    <w:rsid w:val="00C5189B"/>
    <w:rsid w:val="00C52C95"/>
    <w:rsid w:val="00C56F51"/>
    <w:rsid w:val="00C8276D"/>
    <w:rsid w:val="00C96583"/>
    <w:rsid w:val="00CB0267"/>
    <w:rsid w:val="00CD6FB3"/>
    <w:rsid w:val="00D044C0"/>
    <w:rsid w:val="00D05A44"/>
    <w:rsid w:val="00D0725B"/>
    <w:rsid w:val="00D43454"/>
    <w:rsid w:val="00D71EE5"/>
    <w:rsid w:val="00D74115"/>
    <w:rsid w:val="00DD0B16"/>
    <w:rsid w:val="00DE4DDF"/>
    <w:rsid w:val="00DF5F23"/>
    <w:rsid w:val="00E256AF"/>
    <w:rsid w:val="00E54849"/>
    <w:rsid w:val="00E60D98"/>
    <w:rsid w:val="00E6170B"/>
    <w:rsid w:val="00E700BC"/>
    <w:rsid w:val="00E77FAE"/>
    <w:rsid w:val="00EC0035"/>
    <w:rsid w:val="00EE04F6"/>
    <w:rsid w:val="00F07C71"/>
    <w:rsid w:val="00F144F7"/>
    <w:rsid w:val="00F17552"/>
    <w:rsid w:val="00F4457D"/>
    <w:rsid w:val="00F55FD4"/>
    <w:rsid w:val="00F6317B"/>
    <w:rsid w:val="00F92F3A"/>
    <w:rsid w:val="00F96577"/>
    <w:rsid w:val="00FC521F"/>
    <w:rsid w:val="00FC7AA1"/>
  </w:rsids>
  <m:mathPr>
    <m:mathFont m:val="Cambria Math"/>
    <m:brkBin m:val="before"/>
    <m:brkBinSub m:val="--"/>
    <m:smallFrac m:val="0"/>
    <m:dispDef m:val="0"/>
    <m:lMargin m:val="0"/>
    <m:rMargin m:val="0"/>
    <m:defJc m:val="centerGroup"/>
    <m:wrapRight/>
    <m:intLim m:val="subSup"/>
    <m:naryLim m:val="subSup"/>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D131E"/>
  <w15:docId w15:val="{EC232F84-1D07-4EA1-BCA4-B58AA45B7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n-GB" w:eastAsia="en-GB"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0267"/>
    <w:pPr>
      <w:spacing w:after="200"/>
    </w:pPr>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2D2"/>
    <w:pPr>
      <w:tabs>
        <w:tab w:val="center" w:pos="4536"/>
        <w:tab w:val="right" w:pos="9072"/>
      </w:tabs>
      <w:spacing w:after="0"/>
    </w:pPr>
  </w:style>
  <w:style w:type="character" w:customStyle="1" w:styleId="HeaderChar">
    <w:name w:val="Header Char"/>
    <w:basedOn w:val="DefaultParagraphFont"/>
    <w:link w:val="Header"/>
    <w:uiPriority w:val="99"/>
    <w:rsid w:val="00AB72D2"/>
  </w:style>
  <w:style w:type="paragraph" w:styleId="Footer">
    <w:name w:val="footer"/>
    <w:basedOn w:val="Normal"/>
    <w:link w:val="FooterChar"/>
    <w:uiPriority w:val="99"/>
    <w:unhideWhenUsed/>
    <w:rsid w:val="00AB72D2"/>
    <w:pPr>
      <w:tabs>
        <w:tab w:val="center" w:pos="4536"/>
        <w:tab w:val="right" w:pos="9072"/>
      </w:tabs>
      <w:spacing w:after="0"/>
    </w:pPr>
  </w:style>
  <w:style w:type="character" w:customStyle="1" w:styleId="FooterChar">
    <w:name w:val="Footer Char"/>
    <w:basedOn w:val="DefaultParagraphFont"/>
    <w:link w:val="Footer"/>
    <w:uiPriority w:val="99"/>
    <w:rsid w:val="00AB72D2"/>
  </w:style>
  <w:style w:type="table" w:styleId="LightShading-Accent1">
    <w:name w:val="Light Shading Accent 1"/>
    <w:basedOn w:val="TableNormal"/>
    <w:uiPriority w:val="60"/>
    <w:rsid w:val="00AB72D2"/>
    <w:rPr>
      <w:rFonts w:eastAsia="Times New Roman"/>
      <w:color w:val="365F91"/>
      <w:sz w:val="22"/>
      <w:szCs w:val="22"/>
      <w:lang w:eastAsia="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BasicParagraph">
    <w:name w:val="[Basic Paragraph]"/>
    <w:basedOn w:val="Normal"/>
    <w:uiPriority w:val="99"/>
    <w:rsid w:val="0082198C"/>
    <w:pPr>
      <w:widowControl w:val="0"/>
      <w:autoSpaceDE w:val="0"/>
      <w:autoSpaceDN w:val="0"/>
      <w:adjustRightInd w:val="0"/>
      <w:spacing w:after="0" w:line="288" w:lineRule="auto"/>
      <w:textAlignment w:val="center"/>
    </w:pPr>
    <w:rPr>
      <w:rFonts w:ascii="MinionPro-Regular" w:hAnsi="MinionPro-Regular" w:cs="MinionPro-Regular"/>
      <w:color w:val="000000"/>
      <w:lang w:val="en-GB"/>
    </w:rPr>
  </w:style>
  <w:style w:type="paragraph" w:styleId="NoSpacing">
    <w:name w:val="No Spacing"/>
    <w:link w:val="NoSpacingChar"/>
    <w:uiPriority w:val="1"/>
    <w:qFormat/>
    <w:rsid w:val="004D7176"/>
    <w:pPr>
      <w:spacing w:line="360" w:lineRule="auto"/>
    </w:pPr>
    <w:rPr>
      <w:rFonts w:eastAsia="Times New Roman"/>
      <w:sz w:val="22"/>
      <w:szCs w:val="22"/>
      <w:lang w:val="en-US" w:eastAsia="fr-FR"/>
    </w:rPr>
  </w:style>
  <w:style w:type="character" w:customStyle="1" w:styleId="NoSpacingChar">
    <w:name w:val="No Spacing Char"/>
    <w:link w:val="NoSpacing"/>
    <w:uiPriority w:val="1"/>
    <w:rsid w:val="004D7176"/>
    <w:rPr>
      <w:rFonts w:eastAsia="Times New Roman"/>
      <w:sz w:val="22"/>
      <w:szCs w:val="22"/>
      <w:lang w:eastAsia="fr-FR"/>
    </w:rPr>
  </w:style>
  <w:style w:type="character" w:styleId="PageNumber">
    <w:name w:val="page number"/>
    <w:basedOn w:val="DefaultParagraphFont"/>
    <w:rsid w:val="00F92F3A"/>
  </w:style>
  <w:style w:type="paragraph" w:styleId="BalloonText">
    <w:name w:val="Balloon Text"/>
    <w:basedOn w:val="Normal"/>
    <w:link w:val="BalloonTextChar"/>
    <w:rsid w:val="00AA2F6F"/>
    <w:pPr>
      <w:spacing w:after="0"/>
    </w:pPr>
    <w:rPr>
      <w:rFonts w:ascii="Tahoma" w:hAnsi="Tahoma" w:cs="Tahoma"/>
      <w:sz w:val="16"/>
      <w:szCs w:val="16"/>
    </w:rPr>
  </w:style>
  <w:style w:type="character" w:customStyle="1" w:styleId="BalloonTextChar">
    <w:name w:val="Balloon Text Char"/>
    <w:link w:val="BalloonText"/>
    <w:rsid w:val="00AA2F6F"/>
    <w:rPr>
      <w:rFonts w:ascii="Tahoma" w:hAnsi="Tahoma" w:cs="Tahoma"/>
      <w:sz w:val="16"/>
      <w:szCs w:val="16"/>
    </w:rPr>
  </w:style>
  <w:style w:type="table" w:styleId="TableGrid">
    <w:name w:val="Table Grid"/>
    <w:basedOn w:val="TableNormal"/>
    <w:rsid w:val="00FC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ter-Address">
    <w:name w:val="Letter - Address"/>
    <w:basedOn w:val="BasicParagraph"/>
    <w:qFormat/>
    <w:rsid w:val="00CB0267"/>
    <w:pPr>
      <w:tabs>
        <w:tab w:val="left" w:pos="4536"/>
      </w:tabs>
      <w:spacing w:line="220" w:lineRule="atLeast"/>
    </w:pPr>
    <w:rPr>
      <w:rFonts w:ascii="Proxima Nova" w:hAnsi="Proxima Nova" w:cs="ProximaNova-Bold"/>
      <w:b/>
      <w:bCs/>
      <w:sz w:val="18"/>
      <w:szCs w:val="18"/>
    </w:rPr>
  </w:style>
  <w:style w:type="paragraph" w:customStyle="1" w:styleId="ElectedOfficialName">
    <w:name w:val="Elected Official Name"/>
    <w:basedOn w:val="BasicParagraph"/>
    <w:rsid w:val="00CB0267"/>
    <w:pPr>
      <w:tabs>
        <w:tab w:val="left" w:pos="4536"/>
      </w:tabs>
      <w:spacing w:line="220" w:lineRule="atLeast"/>
    </w:pPr>
    <w:rPr>
      <w:rFonts w:ascii="Proxima Nova" w:hAnsi="Proxima Nova" w:cs="ProximaNova-Bold"/>
      <w:b/>
      <w:bCs/>
      <w:color w:val="A50235"/>
      <w:sz w:val="18"/>
      <w:szCs w:val="18"/>
    </w:rPr>
  </w:style>
  <w:style w:type="paragraph" w:customStyle="1" w:styleId="ElectedOfficialTitle">
    <w:name w:val="Elected Official Title"/>
    <w:basedOn w:val="BasicParagraph"/>
    <w:rsid w:val="00CB0267"/>
    <w:pPr>
      <w:tabs>
        <w:tab w:val="left" w:pos="4536"/>
      </w:tabs>
      <w:spacing w:line="220" w:lineRule="atLeast"/>
    </w:pPr>
    <w:rPr>
      <w:rFonts w:ascii="Proxima Nova" w:hAnsi="Proxima Nova" w:cs="ProximaNova-Regular"/>
      <w:sz w:val="16"/>
      <w:szCs w:val="16"/>
    </w:rPr>
  </w:style>
  <w:style w:type="paragraph" w:customStyle="1" w:styleId="Letter-Reference">
    <w:name w:val="Letter - Reference"/>
    <w:basedOn w:val="BasicParagraph"/>
    <w:qFormat/>
    <w:rsid w:val="0004020E"/>
    <w:pPr>
      <w:tabs>
        <w:tab w:val="left" w:pos="4536"/>
      </w:tabs>
      <w:spacing w:before="360" w:after="360" w:line="220" w:lineRule="atLeast"/>
    </w:pPr>
    <w:rPr>
      <w:rFonts w:ascii="Proxima Nova" w:hAnsi="Proxima Nova" w:cs="ProximaNova-Bold"/>
      <w:b/>
      <w:bCs/>
      <w:color w:val="auto"/>
      <w:sz w:val="18"/>
      <w:szCs w:val="20"/>
    </w:rPr>
  </w:style>
  <w:style w:type="paragraph" w:customStyle="1" w:styleId="Letter-Date">
    <w:name w:val="Letter - Date"/>
    <w:basedOn w:val="Letter-Reference"/>
    <w:qFormat/>
    <w:rsid w:val="00CB0267"/>
  </w:style>
  <w:style w:type="paragraph" w:customStyle="1" w:styleId="Letter-Subject">
    <w:name w:val="Letter - Subject"/>
    <w:basedOn w:val="BasicParagraph"/>
    <w:qFormat/>
    <w:rsid w:val="003C0184"/>
    <w:pPr>
      <w:spacing w:after="360" w:line="220" w:lineRule="atLeast"/>
    </w:pPr>
    <w:rPr>
      <w:rFonts w:ascii="Proxima Nova" w:hAnsi="Proxima Nova" w:cs="ProximaNova-Bold"/>
      <w:b/>
      <w:bCs/>
      <w:sz w:val="20"/>
      <w:szCs w:val="20"/>
    </w:rPr>
  </w:style>
  <w:style w:type="paragraph" w:customStyle="1" w:styleId="Letter-Salutation">
    <w:name w:val="Letter - Salutation"/>
    <w:basedOn w:val="BasicParagraph"/>
    <w:qFormat/>
    <w:rsid w:val="003C0184"/>
    <w:pPr>
      <w:spacing w:after="240" w:line="220" w:lineRule="atLeast"/>
      <w:jc w:val="both"/>
    </w:pPr>
    <w:rPr>
      <w:rFonts w:ascii="Proxima Nova" w:hAnsi="Proxima Nova" w:cs="ProximaNova-Regular"/>
      <w:sz w:val="20"/>
      <w:szCs w:val="20"/>
    </w:rPr>
  </w:style>
  <w:style w:type="character" w:styleId="PlaceholderText">
    <w:name w:val="Placeholder Text"/>
    <w:rsid w:val="003C0184"/>
    <w:rPr>
      <w:color w:val="808080"/>
    </w:rPr>
  </w:style>
  <w:style w:type="paragraph" w:customStyle="1" w:styleId="Letter-Paragraph">
    <w:name w:val="Letter - Paragraph"/>
    <w:basedOn w:val="BasicParagraph"/>
    <w:qFormat/>
    <w:rsid w:val="003C0184"/>
    <w:pPr>
      <w:tabs>
        <w:tab w:val="left" w:pos="4536"/>
      </w:tabs>
      <w:spacing w:after="120" w:line="220" w:lineRule="atLeast"/>
      <w:jc w:val="both"/>
    </w:pPr>
    <w:rPr>
      <w:rFonts w:ascii="Proxima Nova" w:hAnsi="Proxima Nova" w:cs="ProximaNova-Regular"/>
      <w:sz w:val="20"/>
      <w:szCs w:val="20"/>
    </w:rPr>
  </w:style>
  <w:style w:type="paragraph" w:customStyle="1" w:styleId="Letter-Closing">
    <w:name w:val="Letter - Closing"/>
    <w:basedOn w:val="BasicParagraph"/>
    <w:qFormat/>
    <w:rsid w:val="003C0184"/>
    <w:pPr>
      <w:tabs>
        <w:tab w:val="left" w:pos="4536"/>
      </w:tabs>
      <w:spacing w:line="220" w:lineRule="atLeast"/>
      <w:jc w:val="both"/>
    </w:pPr>
    <w:rPr>
      <w:rFonts w:ascii="Proxima Nova" w:hAnsi="Proxima Nova" w:cs="ProximaNova-Bold"/>
      <w:b/>
      <w:bCs/>
      <w:sz w:val="20"/>
      <w:szCs w:val="20"/>
    </w:rPr>
  </w:style>
  <w:style w:type="paragraph" w:customStyle="1" w:styleId="Letter-Signature">
    <w:name w:val="Letter - Signature"/>
    <w:basedOn w:val="BasicParagraph"/>
    <w:qFormat/>
    <w:rsid w:val="003C0184"/>
    <w:pPr>
      <w:tabs>
        <w:tab w:val="left" w:pos="4536"/>
      </w:tabs>
      <w:spacing w:line="220" w:lineRule="atLeast"/>
      <w:jc w:val="both"/>
    </w:pPr>
    <w:rPr>
      <w:rFonts w:ascii="Proxima Nova" w:hAnsi="Proxima Nova" w:cs="ProximaNova-Bold"/>
      <w:b/>
      <w:bCs/>
      <w:sz w:val="20"/>
      <w:szCs w:val="20"/>
    </w:rPr>
  </w:style>
  <w:style w:type="paragraph" w:customStyle="1" w:styleId="Yourssincerely">
    <w:name w:val="Yours sincerely"/>
    <w:basedOn w:val="Textwithnoindent"/>
    <w:next w:val="Normal"/>
    <w:link w:val="YourssincerelyChar"/>
    <w:rsid w:val="004E19E1"/>
    <w:pPr>
      <w:tabs>
        <w:tab w:val="center" w:pos="6237"/>
      </w:tabs>
      <w:spacing w:before="60"/>
    </w:pPr>
  </w:style>
  <w:style w:type="paragraph" w:customStyle="1" w:styleId="Text">
    <w:name w:val="Text"/>
    <w:basedOn w:val="Textwithnoindent"/>
    <w:rsid w:val="004E19E1"/>
    <w:pPr>
      <w:ind w:firstLine="737"/>
    </w:pPr>
  </w:style>
  <w:style w:type="paragraph" w:customStyle="1" w:styleId="Reference">
    <w:name w:val="Reference"/>
    <w:basedOn w:val="Textwithnoindent"/>
    <w:next w:val="Textwithnoindent"/>
    <w:rsid w:val="004E19E1"/>
    <w:pPr>
      <w:tabs>
        <w:tab w:val="right" w:pos="8902"/>
      </w:tabs>
      <w:spacing w:before="960" w:after="600"/>
      <w:jc w:val="left"/>
    </w:pPr>
    <w:rPr>
      <w:sz w:val="20"/>
      <w:szCs w:val="20"/>
    </w:rPr>
  </w:style>
  <w:style w:type="paragraph" w:customStyle="1" w:styleId="Textwithnoindent">
    <w:name w:val="Text with no indent"/>
    <w:basedOn w:val="Normal"/>
    <w:rsid w:val="004E19E1"/>
    <w:pPr>
      <w:spacing w:after="240" w:line="260" w:lineRule="exact"/>
      <w:jc w:val="both"/>
    </w:pPr>
    <w:rPr>
      <w:rFonts w:ascii="Arial" w:eastAsia="Times New Roman" w:hAnsi="Arial" w:cs="Arial"/>
      <w:sz w:val="22"/>
      <w:szCs w:val="22"/>
      <w:lang w:val="en-GB"/>
    </w:rPr>
  </w:style>
  <w:style w:type="character" w:customStyle="1" w:styleId="YourssincerelyChar">
    <w:name w:val="Yours sincerely Char"/>
    <w:link w:val="Yourssincerely"/>
    <w:locked/>
    <w:rsid w:val="004E19E1"/>
    <w:rPr>
      <w:rFonts w:ascii="Arial" w:eastAsia="Times New Roman" w:hAnsi="Arial" w:cs="Arial"/>
      <w:sz w:val="22"/>
      <w:szCs w:val="22"/>
      <w:lang w:eastAsia="en-US"/>
    </w:rPr>
  </w:style>
  <w:style w:type="paragraph" w:styleId="NormalWeb">
    <w:name w:val="Normal (Web)"/>
    <w:basedOn w:val="Normal"/>
    <w:uiPriority w:val="99"/>
    <w:unhideWhenUsed/>
    <w:rsid w:val="0031551F"/>
    <w:pPr>
      <w:spacing w:before="100" w:beforeAutospacing="1" w:after="100" w:afterAutospacing="1"/>
    </w:pPr>
    <w:rPr>
      <w:rFonts w:ascii="Times New Roman" w:eastAsia="Times New Roman" w:hAnsi="Times New Roman"/>
      <w:lang w:val="en-IN" w:eastAsia="en-GB"/>
    </w:rPr>
  </w:style>
  <w:style w:type="paragraph" w:styleId="ListParagraph">
    <w:name w:val="List Paragraph"/>
    <w:basedOn w:val="Normal"/>
    <w:uiPriority w:val="34"/>
    <w:qFormat/>
    <w:rsid w:val="0031551F"/>
    <w:pPr>
      <w:spacing w:after="0"/>
      <w:ind w:left="720"/>
      <w:contextualSpacing/>
    </w:pPr>
    <w:rPr>
      <w:rFonts w:asciiTheme="minorHAnsi" w:eastAsiaTheme="minorHAnsi" w:hAnsiTheme="minorHAnsi" w:cstheme="minorBidi"/>
      <w:kern w:val="2"/>
      <w:lang w:val="en-IN"/>
      <w14:ligatures w14:val="standardContextual"/>
    </w:rPr>
  </w:style>
  <w:style w:type="paragraph" w:styleId="EndnoteText">
    <w:name w:val="endnote text"/>
    <w:basedOn w:val="Normal"/>
    <w:link w:val="EndnoteTextChar"/>
    <w:uiPriority w:val="99"/>
    <w:unhideWhenUsed/>
    <w:rsid w:val="0031551F"/>
    <w:pPr>
      <w:spacing w:after="0"/>
    </w:pPr>
    <w:rPr>
      <w:rFonts w:asciiTheme="minorHAnsi" w:eastAsiaTheme="minorHAnsi" w:hAnsiTheme="minorHAnsi" w:cstheme="minorBidi"/>
      <w:kern w:val="2"/>
      <w:sz w:val="20"/>
      <w:szCs w:val="20"/>
      <w:lang w:val="en-IN"/>
      <w14:ligatures w14:val="standardContextual"/>
    </w:rPr>
  </w:style>
  <w:style w:type="character" w:customStyle="1" w:styleId="EndnoteTextChar">
    <w:name w:val="Endnote Text Char"/>
    <w:basedOn w:val="DefaultParagraphFont"/>
    <w:link w:val="EndnoteText"/>
    <w:uiPriority w:val="99"/>
    <w:rsid w:val="0031551F"/>
    <w:rPr>
      <w:rFonts w:asciiTheme="minorHAnsi" w:eastAsiaTheme="minorHAnsi" w:hAnsiTheme="minorHAnsi" w:cstheme="minorBidi"/>
      <w:kern w:val="2"/>
      <w:lang w:val="en-IN" w:eastAsia="en-US"/>
      <w14:ligatures w14:val="standardContextual"/>
    </w:rPr>
  </w:style>
  <w:style w:type="character" w:styleId="EndnoteReference">
    <w:name w:val="endnote reference"/>
    <w:basedOn w:val="DefaultParagraphFont"/>
    <w:uiPriority w:val="99"/>
    <w:semiHidden/>
    <w:unhideWhenUsed/>
    <w:rsid w:val="0031551F"/>
    <w:rPr>
      <w:vertAlign w:val="superscript"/>
    </w:rPr>
  </w:style>
  <w:style w:type="character" w:styleId="Hyperlink">
    <w:name w:val="Hyperlink"/>
    <w:basedOn w:val="DefaultParagraphFont"/>
    <w:uiPriority w:val="99"/>
    <w:unhideWhenUsed/>
    <w:rsid w:val="0031551F"/>
    <w:rPr>
      <w:color w:val="0000FF" w:themeColor="hyperlink"/>
      <w:u w:val="single"/>
    </w:rPr>
  </w:style>
  <w:style w:type="character" w:customStyle="1" w:styleId="sessionsubtitle">
    <w:name w:val="sessionsubtitle"/>
    <w:basedOn w:val="DefaultParagraphFont"/>
    <w:rsid w:val="0031551F"/>
  </w:style>
  <w:style w:type="character" w:customStyle="1" w:styleId="normaltextrun">
    <w:name w:val="normaltextrun"/>
    <w:basedOn w:val="DefaultParagraphFont"/>
    <w:rsid w:val="003948C1"/>
  </w:style>
  <w:style w:type="character" w:customStyle="1" w:styleId="comment">
    <w:name w:val="comment"/>
    <w:basedOn w:val="DefaultParagraphFont"/>
    <w:rsid w:val="003948C1"/>
  </w:style>
  <w:style w:type="paragraph" w:styleId="Revision">
    <w:name w:val="Revision"/>
    <w:hidden/>
    <w:semiHidden/>
    <w:rsid w:val="00EE04F6"/>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8" Type="http://schemas.openxmlformats.org/officeDocument/2006/relationships/hyperlink" Target="https://wwwex.ilo.org/dyn/natlex2/natlex2/files/download/98591/IND98591%20Eng.pdf" TargetMode="External"/><Relationship Id="rId13" Type="http://schemas.openxmlformats.org/officeDocument/2006/relationships/hyperlink" Target="https://www.posindonesia.co.id/en/content/serikat-pekerja" TargetMode="External"/><Relationship Id="rId3" Type="http://schemas.openxmlformats.org/officeDocument/2006/relationships/hyperlink" Target="https://www.global-regulation.com/translation/indonesia/2970960/presidential-decree-number-63-in-2004.html" TargetMode="External"/><Relationship Id="rId7" Type="http://schemas.openxmlformats.org/officeDocument/2006/relationships/hyperlink" Target="https://www.ilo.org/dyn/normlex/en/f?p=1000:13100:0::NO:13100:P13100_COMMENT_ID,P13100_COUNTRY_ID:4323342,102938:NO" TargetMode="External"/><Relationship Id="rId12" Type="http://schemas.openxmlformats.org/officeDocument/2006/relationships/hyperlink" Target="https://www.thejakartapost.com/news/2014/02/03/finally-a-new-civil-service-law.html" TargetMode="External"/><Relationship Id="rId2" Type="http://schemas.openxmlformats.org/officeDocument/2006/relationships/hyperlink" Target="https://www.ilo.org/dyn/normlex/en/f?p=1000:13100:0::NO:13100:P13100_COMMENT_ID,P13100_COUNTRY_ID:4323342,102938:NO" TargetMode="External"/><Relationship Id="rId1" Type="http://schemas.openxmlformats.org/officeDocument/2006/relationships/hyperlink" Target="https://www.ilo.org/dyn/normlex/en/f?p=NORMLEXPUB:12100:0::NO::P12100_ILO_CODE:C098" TargetMode="External"/><Relationship Id="rId6" Type="http://schemas.openxmlformats.org/officeDocument/2006/relationships/hyperlink" Target="https://www.ilo.org/dyn/natlex/docs/MONOGRAPH/57553/119982/F313591142/IDN57553%20Eng.pdf" TargetMode="External"/><Relationship Id="rId11" Type="http://schemas.openxmlformats.org/officeDocument/2006/relationships/hyperlink" Target="https://www.ilo.org/wcmsp5/groups/public/---ed_norm/---declaration/documents/publication/wcms_decl_wp_17_en.pdf" TargetMode="External"/><Relationship Id="rId5" Type="http://schemas.openxmlformats.org/officeDocument/2006/relationships/hyperlink" Target="https://www.ilo.org/dyn/normlex/en/f?p=1000:13100:0::NO:13100:P13100_COMMENT_ID,P13100_COUNTRY_ID:4323342,102938:NO" TargetMode="External"/><Relationship Id="rId15" Type="http://schemas.openxmlformats.org/officeDocument/2006/relationships/hyperlink" Target="https://library.fes.de/pdf-files/iez/12827.pdf" TargetMode="External"/><Relationship Id="rId10" Type="http://schemas.openxmlformats.org/officeDocument/2006/relationships/hyperlink" Target="https://www.ilo.org/dyn/natlex/docs/MONOGRAPH/57553/119982/F313591142/IDN57553%20Eng.pdf" TargetMode="External"/><Relationship Id="rId4" Type="http://schemas.openxmlformats.org/officeDocument/2006/relationships/hyperlink" Target="https://www.ilo.org/dyn/normlex/en/f?p=1000:13100:0::NO:13100:P13100_COMMENT_ID,P13100_COUNTRY_ID:4323342,102938:NO" TargetMode="External"/><Relationship Id="rId9" Type="http://schemas.openxmlformats.org/officeDocument/2006/relationships/hyperlink" Target="https://www.kompas.id/baca/english/2023/10/26/en-pns-korpri-dan-kebebasan-berserikat" TargetMode="External"/><Relationship Id="rId14" Type="http://schemas.openxmlformats.org/officeDocument/2006/relationships/hyperlink" Target="https://www.amnesty.org/es/wp-content/uploads/2021/06/ior420042002en.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2F1803719E9F409186BE0FF1125799" ma:contentTypeVersion="5" ma:contentTypeDescription="Create a new document." ma:contentTypeScope="" ma:versionID="4ea112d93114971b1649826ba04587f6">
  <xsd:schema xmlns:xsd="http://www.w3.org/2001/XMLSchema" xmlns:xs="http://www.w3.org/2001/XMLSchema" xmlns:p="http://schemas.microsoft.com/office/2006/metadata/properties" xmlns:ns2="0d5641ea-a77c-4022-8322-a805d59eb027" xmlns:ns3="41a8316e-d8c5-42bc-907d-d9ea6bba0d98" targetNamespace="http://schemas.microsoft.com/office/2006/metadata/properties" ma:root="true" ma:fieldsID="fb4feba7043419f3cc8243ab3422fcd3" ns2:_="" ns3:_="">
    <xsd:import namespace="0d5641ea-a77c-4022-8322-a805d59eb027"/>
    <xsd:import namespace="41a8316e-d8c5-42bc-907d-d9ea6bba0d9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5641ea-a77c-4022-8322-a805d59eb0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a8316e-d8c5-42bc-907d-d9ea6bba0d9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0A3328-CA1D-41CA-BE04-0350345016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5641ea-a77c-4022-8322-a805d59eb027"/>
    <ds:schemaRef ds:uri="41a8316e-d8c5-42bc-907d-d9ea6bba0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F1EFB9-2DFB-4944-8E21-64F43A153C0F}">
  <ds:schemaRefs>
    <ds:schemaRef ds:uri="http://schemas.microsoft.com/sharepoint/v3/contenttype/forms"/>
  </ds:schemaRefs>
</ds:datastoreItem>
</file>

<file path=customXml/itemProps3.xml><?xml version="1.0" encoding="utf-8"?>
<ds:datastoreItem xmlns:ds="http://schemas.openxmlformats.org/officeDocument/2006/customXml" ds:itemID="{A0A9FEB9-19EB-4EDA-B865-704DE0B29FE0}">
  <ds:schemaRefs>
    <ds:schemaRef ds:uri="http://schemas.openxmlformats.org/officeDocument/2006/bibliography"/>
  </ds:schemaRefs>
</ds:datastoreItem>
</file>

<file path=customXml/itemProps4.xml><?xml version="1.0" encoding="utf-8"?>
<ds:datastoreItem xmlns:ds="http://schemas.openxmlformats.org/officeDocument/2006/customXml" ds:itemID="{F5072F16-961C-482D-9674-7CB2A0ECD0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4555</Words>
  <Characters>25968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150915 document</vt:lpstr>
    </vt:vector>
  </TitlesOfParts>
  <Company>Satisfaction</Company>
  <LinksUpToDate>false</LinksUpToDate>
  <CharactersWithSpaces>30463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150915 document</dc:title>
  <dc:creator>Muskat-Gorska, Zuzanna</dc:creator>
  <cp:lastModifiedBy>Muskat-Gorska, Zuzanna</cp:lastModifiedBy>
  <cp:revision>6</cp:revision>
  <cp:lastPrinted>2015-08-26T14:33:00Z</cp:lastPrinted>
  <dcterms:created xsi:type="dcterms:W3CDTF">2024-01-15T18:19:00Z</dcterms:created>
  <dcterms:modified xsi:type="dcterms:W3CDTF">2024-01-15T18:25:00Z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0x010100782F1803719E9F409186BE0FF1125799</vt:lpwstr>
  </property>
  <property fmtid="{D5CDD505-2E9C-101B-9397-08002B2CF9AE}" pid="3" name="Order">
    <vt:r8>200</vt:r8>
  </property>
  <property fmtid="{D5CDD505-2E9C-101B-9397-08002B2CF9AE}" pid="4" name="TemplateUrl">
    <vt:lpwstr/>
  </property>
  <property fmtid="{D5CDD505-2E9C-101B-9397-08002B2CF9AE}" pid="5" name="ComplianceAssetId">
    <vt:lpwstr/>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ies>
</file>