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58EF53" w14:textId="77777777" w:rsidR="00CF1E1A" w:rsidRDefault="00CF1E1A" w:rsidP="00CF1E1A">
      <w:pPr>
        <w:spacing w:line="240" w:lineRule="auto"/>
        <w:jc w:val="both"/>
        <w:rPr>
          <w:rFonts w:ascii="Times New Roman" w:hAnsi="Times New Roman" w:cs="Times New Roman"/>
          <w:b/>
          <w:bCs/>
          <w:color w:val="FF0000"/>
          <w:sz w:val="24"/>
          <w:szCs w:val="24"/>
        </w:rPr>
      </w:pPr>
      <w:bookmarkStart w:id="0" w:name="_Hlk120648172"/>
      <w:bookmarkStart w:id="1" w:name="_GoBack"/>
      <w:bookmarkEnd w:id="1"/>
    </w:p>
    <w:p w14:paraId="4CC386AF" w14:textId="77777777" w:rsidR="00CF1E1A" w:rsidRPr="002679E8" w:rsidRDefault="00CF1E1A" w:rsidP="00CF1E1A">
      <w:pPr>
        <w:spacing w:line="240" w:lineRule="auto"/>
        <w:jc w:val="both"/>
        <w:rPr>
          <w:rFonts w:ascii="Times New Roman" w:hAnsi="Times New Roman" w:cs="Times New Roman"/>
          <w:sz w:val="24"/>
          <w:szCs w:val="24"/>
        </w:rPr>
      </w:pPr>
      <w:r w:rsidRPr="002679E8">
        <w:rPr>
          <w:rFonts w:ascii="Times New Roman" w:hAnsi="Times New Roman" w:cs="Times New Roman"/>
          <w:noProof/>
          <w:sz w:val="24"/>
          <w:szCs w:val="24"/>
          <w:lang w:eastAsia="en-GB"/>
        </w:rPr>
        <w:drawing>
          <wp:inline distT="0" distB="0" distL="0" distR="0" wp14:anchorId="688EF214" wp14:editId="4EE9D935">
            <wp:extent cx="2114550" cy="1800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4550" cy="1800225"/>
                    </a:xfrm>
                    <a:prstGeom prst="rect">
                      <a:avLst/>
                    </a:prstGeom>
                    <a:noFill/>
                    <a:ln>
                      <a:noFill/>
                    </a:ln>
                  </pic:spPr>
                </pic:pic>
              </a:graphicData>
            </a:graphic>
          </wp:inline>
        </w:drawing>
      </w:r>
      <w:r>
        <w:rPr>
          <w:noProof/>
        </w:rPr>
        <w:t xml:space="preserve">                                                                   </w:t>
      </w:r>
      <w:r>
        <w:rPr>
          <w:noProof/>
          <w:lang w:eastAsia="en-GB"/>
        </w:rPr>
        <w:drawing>
          <wp:inline distT="0" distB="0" distL="0" distR="0" wp14:anchorId="7C3EAE53" wp14:editId="0BB2B1D2">
            <wp:extent cx="1989346" cy="1856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6316" cy="1871939"/>
                    </a:xfrm>
                    <a:prstGeom prst="rect">
                      <a:avLst/>
                    </a:prstGeom>
                    <a:noFill/>
                    <a:ln>
                      <a:noFill/>
                    </a:ln>
                  </pic:spPr>
                </pic:pic>
              </a:graphicData>
            </a:graphic>
          </wp:inline>
        </w:drawing>
      </w:r>
    </w:p>
    <w:p w14:paraId="0412BD4C" w14:textId="77777777" w:rsidR="00CF1E1A" w:rsidRPr="002679E8" w:rsidRDefault="00CF1E1A" w:rsidP="00CF1E1A">
      <w:pPr>
        <w:spacing w:line="240" w:lineRule="auto"/>
        <w:jc w:val="both"/>
        <w:rPr>
          <w:rFonts w:ascii="Times New Roman" w:hAnsi="Times New Roman" w:cs="Times New Roman"/>
          <w:sz w:val="24"/>
          <w:szCs w:val="24"/>
        </w:rPr>
      </w:pPr>
    </w:p>
    <w:p w14:paraId="5DF4B84B" w14:textId="77777777" w:rsidR="00CF1E1A" w:rsidRDefault="00CF1E1A" w:rsidP="00CF1E1A">
      <w:pPr>
        <w:spacing w:line="240" w:lineRule="auto"/>
        <w:jc w:val="both"/>
        <w:rPr>
          <w:rFonts w:ascii="Times New Roman" w:hAnsi="Times New Roman" w:cs="Times New Roman"/>
          <w:sz w:val="24"/>
          <w:szCs w:val="24"/>
        </w:rPr>
      </w:pPr>
    </w:p>
    <w:p w14:paraId="104EEB1E" w14:textId="7ED592EB" w:rsidR="00CF1E1A" w:rsidRDefault="00CF1E1A" w:rsidP="00CF1E1A">
      <w:pPr>
        <w:spacing w:line="240" w:lineRule="auto"/>
        <w:jc w:val="center"/>
        <w:rPr>
          <w:rFonts w:ascii="Times New Roman" w:hAnsi="Times New Roman" w:cs="Times New Roman"/>
          <w:b/>
          <w:bCs/>
          <w:sz w:val="56"/>
          <w:szCs w:val="56"/>
        </w:rPr>
      </w:pPr>
      <w:r>
        <w:rPr>
          <w:rFonts w:ascii="Times New Roman" w:hAnsi="Times New Roman" w:cs="Times New Roman"/>
          <w:b/>
          <w:bCs/>
          <w:sz w:val="56"/>
          <w:szCs w:val="56"/>
        </w:rPr>
        <w:t>Annex Document</w:t>
      </w:r>
    </w:p>
    <w:p w14:paraId="3E9E9785" w14:textId="77777777" w:rsidR="00CF1E1A" w:rsidRDefault="00CF1E1A" w:rsidP="00CF1E1A">
      <w:pPr>
        <w:spacing w:line="240" w:lineRule="auto"/>
        <w:jc w:val="center"/>
        <w:rPr>
          <w:rFonts w:ascii="Times New Roman" w:hAnsi="Times New Roman" w:cs="Times New Roman"/>
          <w:b/>
          <w:bCs/>
          <w:sz w:val="56"/>
          <w:szCs w:val="56"/>
        </w:rPr>
      </w:pPr>
    </w:p>
    <w:p w14:paraId="652796F1" w14:textId="77777777" w:rsidR="00CF1E1A" w:rsidRPr="002679E8" w:rsidRDefault="00CF1E1A" w:rsidP="00CF1E1A">
      <w:pPr>
        <w:spacing w:line="240" w:lineRule="auto"/>
        <w:jc w:val="center"/>
        <w:rPr>
          <w:rFonts w:ascii="Times New Roman" w:hAnsi="Times New Roman" w:cs="Times New Roman"/>
          <w:b/>
          <w:bCs/>
          <w:sz w:val="56"/>
          <w:szCs w:val="56"/>
        </w:rPr>
      </w:pPr>
      <w:bookmarkStart w:id="2" w:name="_Hlk120770788"/>
      <w:r w:rsidRPr="002679E8">
        <w:rPr>
          <w:rFonts w:ascii="Times New Roman" w:hAnsi="Times New Roman" w:cs="Times New Roman"/>
          <w:b/>
          <w:bCs/>
          <w:sz w:val="56"/>
          <w:szCs w:val="56"/>
        </w:rPr>
        <w:t xml:space="preserve">The </w:t>
      </w:r>
      <w:r w:rsidRPr="002679E8">
        <w:rPr>
          <w:rFonts w:ascii="Times New Roman" w:hAnsi="Times New Roman" w:cs="Times New Roman"/>
          <w:b/>
          <w:bCs/>
          <w:i/>
          <w:iCs/>
          <w:sz w:val="56"/>
          <w:szCs w:val="56"/>
        </w:rPr>
        <w:t>UNCRC</w:t>
      </w:r>
      <w:r w:rsidRPr="002679E8">
        <w:rPr>
          <w:rFonts w:ascii="Times New Roman" w:hAnsi="Times New Roman" w:cs="Times New Roman"/>
          <w:b/>
          <w:bCs/>
          <w:sz w:val="56"/>
          <w:szCs w:val="56"/>
        </w:rPr>
        <w:t xml:space="preserve"> in Scotland: </w:t>
      </w:r>
    </w:p>
    <w:p w14:paraId="3AD67C49" w14:textId="77777777" w:rsidR="00CF1E1A" w:rsidRPr="002679E8" w:rsidRDefault="00CF1E1A" w:rsidP="00CF1E1A">
      <w:pPr>
        <w:spacing w:line="240" w:lineRule="auto"/>
        <w:jc w:val="center"/>
        <w:rPr>
          <w:rFonts w:ascii="Times New Roman" w:hAnsi="Times New Roman" w:cs="Times New Roman"/>
          <w:b/>
          <w:bCs/>
          <w:sz w:val="56"/>
          <w:szCs w:val="56"/>
        </w:rPr>
      </w:pPr>
      <w:r w:rsidRPr="002679E8">
        <w:rPr>
          <w:rFonts w:ascii="Times New Roman" w:hAnsi="Times New Roman" w:cs="Times New Roman"/>
          <w:b/>
          <w:bCs/>
          <w:sz w:val="56"/>
          <w:szCs w:val="56"/>
        </w:rPr>
        <w:t>Young Peoples’ Voices Revisited</w:t>
      </w:r>
    </w:p>
    <w:bookmarkEnd w:id="2"/>
    <w:p w14:paraId="516AC31A" w14:textId="77777777" w:rsidR="00CF1E1A" w:rsidRPr="002679E8" w:rsidRDefault="00CF1E1A" w:rsidP="00CF1E1A">
      <w:pPr>
        <w:spacing w:line="240" w:lineRule="auto"/>
        <w:jc w:val="center"/>
        <w:rPr>
          <w:rFonts w:ascii="Times New Roman" w:hAnsi="Times New Roman" w:cs="Times New Roman"/>
          <w:b/>
          <w:bCs/>
          <w:sz w:val="56"/>
          <w:szCs w:val="56"/>
        </w:rPr>
      </w:pPr>
      <w:r w:rsidRPr="002679E8">
        <w:rPr>
          <w:rFonts w:ascii="Times New Roman" w:hAnsi="Times New Roman" w:cs="Times New Roman"/>
          <w:b/>
          <w:bCs/>
          <w:sz w:val="56"/>
          <w:szCs w:val="56"/>
        </w:rPr>
        <w:t>2022</w:t>
      </w:r>
    </w:p>
    <w:p w14:paraId="07CB9A56" w14:textId="77777777" w:rsidR="00CF1E1A" w:rsidRDefault="00CF1E1A" w:rsidP="00CF1E1A">
      <w:pPr>
        <w:spacing w:line="240" w:lineRule="auto"/>
        <w:jc w:val="both"/>
        <w:rPr>
          <w:rFonts w:ascii="Times New Roman" w:hAnsi="Times New Roman" w:cs="Times New Roman"/>
          <w:sz w:val="24"/>
          <w:szCs w:val="24"/>
        </w:rPr>
      </w:pPr>
    </w:p>
    <w:p w14:paraId="28EC7936" w14:textId="77777777" w:rsidR="00CF1E1A" w:rsidRDefault="00CF1E1A" w:rsidP="00CF1E1A">
      <w:pPr>
        <w:spacing w:line="240" w:lineRule="auto"/>
        <w:jc w:val="both"/>
        <w:rPr>
          <w:rFonts w:ascii="Times New Roman" w:hAnsi="Times New Roman" w:cs="Times New Roman"/>
          <w:sz w:val="24"/>
          <w:szCs w:val="24"/>
        </w:rPr>
      </w:pPr>
    </w:p>
    <w:p w14:paraId="12F2C74A" w14:textId="77777777" w:rsidR="00CF1E1A" w:rsidRDefault="00CF1E1A" w:rsidP="00CF1E1A">
      <w:pPr>
        <w:spacing w:line="240" w:lineRule="auto"/>
        <w:jc w:val="both"/>
        <w:rPr>
          <w:rFonts w:ascii="Times New Roman" w:hAnsi="Times New Roman" w:cs="Times New Roman"/>
          <w:sz w:val="24"/>
          <w:szCs w:val="24"/>
        </w:rPr>
      </w:pPr>
    </w:p>
    <w:p w14:paraId="128ECD39" w14:textId="77777777" w:rsidR="00CF1E1A" w:rsidRDefault="00CF1E1A" w:rsidP="00CF1E1A">
      <w:pPr>
        <w:spacing w:line="240" w:lineRule="auto"/>
        <w:jc w:val="both"/>
        <w:rPr>
          <w:rFonts w:ascii="Times New Roman" w:hAnsi="Times New Roman" w:cs="Times New Roman"/>
          <w:sz w:val="24"/>
          <w:szCs w:val="24"/>
        </w:rPr>
      </w:pPr>
    </w:p>
    <w:p w14:paraId="0B63CF8A" w14:textId="77777777" w:rsidR="00CF1E1A" w:rsidRDefault="00CF1E1A" w:rsidP="00CF1E1A">
      <w:pPr>
        <w:spacing w:line="240" w:lineRule="auto"/>
        <w:jc w:val="both"/>
        <w:rPr>
          <w:rFonts w:ascii="Times New Roman" w:hAnsi="Times New Roman" w:cs="Times New Roman"/>
          <w:sz w:val="24"/>
          <w:szCs w:val="24"/>
        </w:rPr>
      </w:pPr>
    </w:p>
    <w:p w14:paraId="0F1D8DB8" w14:textId="77777777" w:rsidR="00CF1E1A" w:rsidRDefault="00CF1E1A" w:rsidP="00CF1E1A">
      <w:pPr>
        <w:spacing w:line="240" w:lineRule="auto"/>
        <w:jc w:val="both"/>
        <w:rPr>
          <w:rFonts w:ascii="Times New Roman" w:hAnsi="Times New Roman" w:cs="Times New Roman"/>
          <w:sz w:val="24"/>
          <w:szCs w:val="24"/>
        </w:rPr>
      </w:pPr>
    </w:p>
    <w:p w14:paraId="7BD2823D" w14:textId="77777777" w:rsidR="00CF1E1A" w:rsidRDefault="00CF1E1A" w:rsidP="00CF1E1A">
      <w:pPr>
        <w:spacing w:line="240" w:lineRule="auto"/>
        <w:jc w:val="both"/>
        <w:rPr>
          <w:rFonts w:ascii="Times New Roman" w:hAnsi="Times New Roman" w:cs="Times New Roman"/>
          <w:sz w:val="24"/>
          <w:szCs w:val="24"/>
        </w:rPr>
      </w:pPr>
    </w:p>
    <w:p w14:paraId="55DB596B" w14:textId="77777777" w:rsidR="00CF1E1A" w:rsidRDefault="00CF1E1A" w:rsidP="00CF1E1A">
      <w:pPr>
        <w:spacing w:line="240" w:lineRule="auto"/>
        <w:jc w:val="both"/>
        <w:rPr>
          <w:rFonts w:ascii="Times New Roman" w:hAnsi="Times New Roman" w:cs="Times New Roman"/>
          <w:sz w:val="24"/>
          <w:szCs w:val="24"/>
        </w:rPr>
      </w:pPr>
    </w:p>
    <w:p w14:paraId="5B023011" w14:textId="77777777" w:rsidR="00CF1E1A" w:rsidRDefault="00CF1E1A" w:rsidP="00CF1E1A">
      <w:pPr>
        <w:spacing w:line="240" w:lineRule="auto"/>
        <w:jc w:val="both"/>
        <w:rPr>
          <w:rFonts w:ascii="Times New Roman" w:hAnsi="Times New Roman" w:cs="Times New Roman"/>
          <w:sz w:val="24"/>
          <w:szCs w:val="24"/>
        </w:rPr>
      </w:pPr>
    </w:p>
    <w:p w14:paraId="7DFADFFA" w14:textId="77777777" w:rsidR="00CF1E1A" w:rsidRDefault="00CF1E1A" w:rsidP="00CF1E1A">
      <w:pPr>
        <w:spacing w:line="240" w:lineRule="auto"/>
        <w:jc w:val="both"/>
        <w:rPr>
          <w:rFonts w:ascii="Times New Roman" w:hAnsi="Times New Roman" w:cs="Times New Roman"/>
          <w:sz w:val="24"/>
          <w:szCs w:val="24"/>
        </w:rPr>
      </w:pPr>
    </w:p>
    <w:p w14:paraId="1C6F77ED" w14:textId="77777777" w:rsidR="00CF1E1A" w:rsidRPr="002679E8" w:rsidRDefault="00CF1E1A" w:rsidP="00CF1E1A">
      <w:pPr>
        <w:spacing w:line="240" w:lineRule="auto"/>
        <w:jc w:val="center"/>
        <w:rPr>
          <w:rFonts w:ascii="Times New Roman" w:hAnsi="Times New Roman" w:cs="Times New Roman"/>
          <w:b/>
          <w:bCs/>
          <w:sz w:val="24"/>
          <w:szCs w:val="24"/>
        </w:rPr>
      </w:pPr>
      <w:r w:rsidRPr="002679E8">
        <w:rPr>
          <w:rFonts w:ascii="Times New Roman" w:hAnsi="Times New Roman" w:cs="Times New Roman"/>
          <w:b/>
          <w:bCs/>
          <w:sz w:val="24"/>
          <w:szCs w:val="24"/>
        </w:rPr>
        <w:t xml:space="preserve">© </w:t>
      </w:r>
      <w:r w:rsidRPr="005D7F76">
        <w:rPr>
          <w:rFonts w:ascii="Times New Roman" w:hAnsi="Times New Roman" w:cs="Times New Roman"/>
          <w:b/>
          <w:bCs/>
          <w:i/>
          <w:iCs/>
          <w:sz w:val="24"/>
          <w:szCs w:val="24"/>
        </w:rPr>
        <w:t>Article 12 in Scotland</w:t>
      </w:r>
      <w:r w:rsidRPr="002679E8">
        <w:rPr>
          <w:rFonts w:ascii="Times New Roman" w:hAnsi="Times New Roman" w:cs="Times New Roman"/>
          <w:b/>
          <w:bCs/>
          <w:sz w:val="24"/>
          <w:szCs w:val="24"/>
        </w:rPr>
        <w:t xml:space="preserve"> 2022</w:t>
      </w:r>
    </w:p>
    <w:p w14:paraId="7B588D8B" w14:textId="77777777" w:rsidR="00CF1E1A" w:rsidRPr="002679E8" w:rsidRDefault="00704C95" w:rsidP="00CF1E1A">
      <w:pPr>
        <w:spacing w:line="240" w:lineRule="auto"/>
        <w:jc w:val="center"/>
        <w:rPr>
          <w:rFonts w:ascii="Times New Roman" w:hAnsi="Times New Roman" w:cs="Times New Roman"/>
          <w:b/>
          <w:bCs/>
          <w:sz w:val="24"/>
          <w:szCs w:val="24"/>
        </w:rPr>
      </w:pPr>
      <w:hyperlink r:id="rId10" w:history="1">
        <w:r w:rsidR="00CF1E1A" w:rsidRPr="002679E8">
          <w:rPr>
            <w:rStyle w:val="Hyperlink"/>
            <w:rFonts w:ascii="Times New Roman" w:hAnsi="Times New Roman" w:cs="Times New Roman"/>
            <w:b/>
            <w:bCs/>
            <w:sz w:val="24"/>
            <w:szCs w:val="24"/>
          </w:rPr>
          <w:t>www.article12.org</w:t>
        </w:r>
      </w:hyperlink>
    </w:p>
    <w:p w14:paraId="0F3B1485" w14:textId="77777777" w:rsidR="00CF1E1A" w:rsidRDefault="00CF1E1A" w:rsidP="00CF1E1A">
      <w:pPr>
        <w:spacing w:line="240" w:lineRule="auto"/>
        <w:jc w:val="center"/>
        <w:rPr>
          <w:rFonts w:ascii="Times New Roman" w:hAnsi="Times New Roman" w:cs="Times New Roman"/>
          <w:b/>
          <w:bCs/>
          <w:sz w:val="24"/>
          <w:szCs w:val="24"/>
        </w:rPr>
      </w:pPr>
      <w:r w:rsidRPr="002679E8">
        <w:rPr>
          <w:rFonts w:ascii="Times New Roman" w:hAnsi="Times New Roman" w:cs="Times New Roman"/>
          <w:b/>
          <w:bCs/>
          <w:sz w:val="24"/>
          <w:szCs w:val="24"/>
        </w:rPr>
        <w:t>Scottish Charity Number: SC027711</w:t>
      </w:r>
    </w:p>
    <w:p w14:paraId="67DAB2C9" w14:textId="38F41111" w:rsidR="00CF1E1A" w:rsidRDefault="00CF1E1A" w:rsidP="00CF1E1A">
      <w:pPr>
        <w:spacing w:line="240" w:lineRule="auto"/>
        <w:jc w:val="center"/>
        <w:rPr>
          <w:rFonts w:ascii="Times New Roman" w:hAnsi="Times New Roman" w:cs="Times New Roman"/>
          <w:b/>
          <w:bCs/>
          <w:color w:val="FF0000"/>
          <w:sz w:val="24"/>
          <w:szCs w:val="24"/>
        </w:rPr>
      </w:pPr>
      <w:r>
        <w:rPr>
          <w:rFonts w:ascii="Times New Roman" w:hAnsi="Times New Roman" w:cs="Times New Roman"/>
          <w:b/>
          <w:bCs/>
          <w:color w:val="FF0000"/>
          <w:sz w:val="24"/>
          <w:szCs w:val="24"/>
        </w:rPr>
        <w:lastRenderedPageBreak/>
        <w:t>Table of Contents</w:t>
      </w:r>
    </w:p>
    <w:p w14:paraId="2B320725" w14:textId="77777777" w:rsidR="00CF1E1A" w:rsidRDefault="00CF1E1A" w:rsidP="00CF1E1A">
      <w:pPr>
        <w:spacing w:line="240" w:lineRule="auto"/>
        <w:jc w:val="both"/>
        <w:rPr>
          <w:rFonts w:ascii="Times New Roman" w:hAnsi="Times New Roman" w:cs="Times New Roman"/>
          <w:b/>
          <w:bCs/>
          <w:color w:val="FF0000"/>
          <w:sz w:val="24"/>
          <w:szCs w:val="24"/>
        </w:rPr>
      </w:pPr>
    </w:p>
    <w:p w14:paraId="3A823682" w14:textId="77777777" w:rsidR="00CF1E1A" w:rsidRDefault="00CF1E1A" w:rsidP="00CF1E1A">
      <w:pPr>
        <w:spacing w:line="240" w:lineRule="auto"/>
        <w:jc w:val="both"/>
        <w:rPr>
          <w:rFonts w:ascii="Times New Roman" w:hAnsi="Times New Roman" w:cs="Times New Roman"/>
          <w:b/>
          <w:bCs/>
          <w:color w:val="FF0000"/>
          <w:sz w:val="24"/>
          <w:szCs w:val="24"/>
        </w:rPr>
      </w:pPr>
    </w:p>
    <w:p w14:paraId="68DE1178" w14:textId="202602D6" w:rsidR="00CF1E1A" w:rsidRDefault="00CF1E1A" w:rsidP="00CF1E1A">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Appendix 1: Young Gypsy/Travellers: The Digital Divide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A5112FF" w14:textId="6D479492" w:rsidR="00CF1E1A" w:rsidRPr="001319C2" w:rsidRDefault="00CF1E1A" w:rsidP="00CF1E1A">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Appendix 2: The media and the Gypsy/Traveller Community: A case study </w:t>
      </w:r>
      <w:r>
        <w:rPr>
          <w:rFonts w:ascii="Times New Roman" w:hAnsi="Times New Roman" w:cs="Times New Roman"/>
          <w:sz w:val="24"/>
          <w:szCs w:val="24"/>
        </w:rPr>
        <w:tab/>
        <w:t>5</w:t>
      </w:r>
      <w:r>
        <w:rPr>
          <w:rFonts w:ascii="Times New Roman" w:hAnsi="Times New Roman" w:cs="Times New Roman"/>
          <w:sz w:val="24"/>
          <w:szCs w:val="24"/>
        </w:rPr>
        <w:tab/>
      </w:r>
      <w:r>
        <w:rPr>
          <w:rFonts w:ascii="Times New Roman" w:hAnsi="Times New Roman" w:cs="Times New Roman"/>
          <w:sz w:val="24"/>
          <w:szCs w:val="24"/>
        </w:rPr>
        <w:tab/>
      </w:r>
    </w:p>
    <w:p w14:paraId="0352886C" w14:textId="7B16A16D" w:rsidR="00CF1E1A" w:rsidRPr="001319C2" w:rsidRDefault="00CF1E1A" w:rsidP="00CF1E1A">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Appendix 3: Article 12 of the </w:t>
      </w:r>
      <w:r w:rsidRPr="001319C2">
        <w:rPr>
          <w:rFonts w:ascii="Times New Roman" w:hAnsi="Times New Roman" w:cs="Times New Roman"/>
          <w:i/>
          <w:iCs/>
          <w:sz w:val="24"/>
          <w:szCs w:val="24"/>
        </w:rPr>
        <w:t>UNCRC</w:t>
      </w:r>
      <w:r w:rsidRPr="001319C2">
        <w:rPr>
          <w:rFonts w:ascii="Times New Roman" w:hAnsi="Times New Roman" w:cs="Times New Roman"/>
          <w:sz w:val="24"/>
          <w:szCs w:val="24"/>
        </w:rPr>
        <w:t xml:space="preserve"> within working practice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10484B2A" w14:textId="6F11CF15" w:rsidR="00CF1E1A" w:rsidRPr="001319C2" w:rsidRDefault="00CF1E1A" w:rsidP="00CF1E1A">
      <w:pPr>
        <w:spacing w:line="240" w:lineRule="auto"/>
        <w:jc w:val="both"/>
        <w:rPr>
          <w:rFonts w:ascii="Times New Roman" w:hAnsi="Times New Roman" w:cs="Times New Roman"/>
          <w:sz w:val="24"/>
          <w:szCs w:val="24"/>
        </w:rPr>
      </w:pPr>
      <w:r w:rsidRPr="001319C2">
        <w:rPr>
          <w:rFonts w:ascii="Times New Roman" w:hAnsi="Times New Roman" w:cs="Times New Roman"/>
          <w:sz w:val="24"/>
          <w:szCs w:val="24"/>
        </w:rPr>
        <w:t xml:space="preserve">Appendix 4: </w:t>
      </w:r>
      <w:r w:rsidRPr="001319C2">
        <w:rPr>
          <w:rFonts w:ascii="Times New Roman" w:hAnsi="Times New Roman" w:cs="Times New Roman"/>
          <w:i/>
          <w:iCs/>
          <w:sz w:val="24"/>
          <w:szCs w:val="24"/>
        </w:rPr>
        <w:t>United Nations Convention on the Rights of the Child</w:t>
      </w:r>
      <w:r w:rsidRPr="001319C2">
        <w:rPr>
          <w:rFonts w:ascii="Times New Roman" w:hAnsi="Times New Roman" w:cs="Times New Roman"/>
          <w:sz w:val="24"/>
          <w:szCs w:val="24"/>
        </w:rPr>
        <w:t xml:space="preserve"> [</w:t>
      </w:r>
      <w:r w:rsidRPr="001319C2">
        <w:rPr>
          <w:rFonts w:ascii="Times New Roman" w:hAnsi="Times New Roman" w:cs="Times New Roman"/>
          <w:i/>
          <w:iCs/>
          <w:sz w:val="24"/>
          <w:szCs w:val="24"/>
        </w:rPr>
        <w:t>UNCRC</w:t>
      </w:r>
      <w:r w:rsidRPr="001319C2">
        <w:rPr>
          <w:rFonts w:ascii="Times New Roman" w:hAnsi="Times New Roman" w:cs="Times New Roman"/>
          <w:sz w:val="24"/>
          <w:szCs w:val="24"/>
        </w:rPr>
        <w:t xml:space="preserve">] </w:t>
      </w:r>
      <w:r>
        <w:rPr>
          <w:rFonts w:ascii="Times New Roman" w:hAnsi="Times New Roman" w:cs="Times New Roman"/>
          <w:sz w:val="24"/>
          <w:szCs w:val="24"/>
        </w:rPr>
        <w:tab/>
        <w:t>10</w:t>
      </w:r>
      <w:r>
        <w:rPr>
          <w:rFonts w:ascii="Times New Roman" w:hAnsi="Times New Roman" w:cs="Times New Roman"/>
          <w:sz w:val="24"/>
          <w:szCs w:val="24"/>
        </w:rPr>
        <w:tab/>
      </w:r>
    </w:p>
    <w:p w14:paraId="1B4ACA19" w14:textId="77777777" w:rsidR="00CF1E1A" w:rsidRDefault="00CF1E1A" w:rsidP="00CF1E1A">
      <w:pPr>
        <w:spacing w:line="240" w:lineRule="auto"/>
        <w:jc w:val="both"/>
        <w:rPr>
          <w:rFonts w:ascii="Times New Roman" w:hAnsi="Times New Roman" w:cs="Times New Roman"/>
          <w:b/>
          <w:bCs/>
          <w:color w:val="FF0000"/>
          <w:sz w:val="24"/>
          <w:szCs w:val="24"/>
        </w:rPr>
      </w:pPr>
    </w:p>
    <w:p w14:paraId="3B750889" w14:textId="77777777" w:rsidR="00CF1E1A" w:rsidRDefault="00CF1E1A" w:rsidP="00CF1E1A">
      <w:pPr>
        <w:spacing w:line="240" w:lineRule="auto"/>
        <w:jc w:val="both"/>
        <w:rPr>
          <w:rFonts w:ascii="Times New Roman" w:hAnsi="Times New Roman" w:cs="Times New Roman"/>
          <w:b/>
          <w:bCs/>
          <w:color w:val="FF0000"/>
          <w:sz w:val="24"/>
          <w:szCs w:val="24"/>
        </w:rPr>
      </w:pPr>
    </w:p>
    <w:p w14:paraId="78DD32AF" w14:textId="77777777" w:rsidR="00CF1E1A" w:rsidRDefault="00CF1E1A" w:rsidP="00CF1E1A">
      <w:pPr>
        <w:spacing w:line="240" w:lineRule="auto"/>
        <w:jc w:val="both"/>
        <w:rPr>
          <w:rFonts w:ascii="Times New Roman" w:hAnsi="Times New Roman" w:cs="Times New Roman"/>
          <w:b/>
          <w:bCs/>
          <w:color w:val="FF0000"/>
          <w:sz w:val="24"/>
          <w:szCs w:val="24"/>
        </w:rPr>
      </w:pPr>
    </w:p>
    <w:p w14:paraId="4D28D305" w14:textId="77777777" w:rsidR="00CF1E1A" w:rsidRDefault="00CF1E1A" w:rsidP="00CF1E1A">
      <w:pPr>
        <w:spacing w:line="240" w:lineRule="auto"/>
        <w:jc w:val="both"/>
        <w:rPr>
          <w:rFonts w:ascii="Times New Roman" w:hAnsi="Times New Roman" w:cs="Times New Roman"/>
          <w:b/>
          <w:bCs/>
          <w:color w:val="FF0000"/>
          <w:sz w:val="24"/>
          <w:szCs w:val="24"/>
        </w:rPr>
      </w:pPr>
    </w:p>
    <w:p w14:paraId="1C8F7CF4" w14:textId="77777777" w:rsidR="00CF1E1A" w:rsidRDefault="00CF1E1A" w:rsidP="00CF1E1A">
      <w:pPr>
        <w:spacing w:line="240" w:lineRule="auto"/>
        <w:jc w:val="both"/>
        <w:rPr>
          <w:rFonts w:ascii="Times New Roman" w:hAnsi="Times New Roman" w:cs="Times New Roman"/>
          <w:b/>
          <w:bCs/>
          <w:color w:val="FF0000"/>
          <w:sz w:val="24"/>
          <w:szCs w:val="24"/>
        </w:rPr>
      </w:pPr>
    </w:p>
    <w:p w14:paraId="2AFB83CE" w14:textId="77777777" w:rsidR="00CF1E1A" w:rsidRDefault="00CF1E1A" w:rsidP="00CF1E1A">
      <w:pPr>
        <w:spacing w:line="240" w:lineRule="auto"/>
        <w:jc w:val="both"/>
        <w:rPr>
          <w:rFonts w:ascii="Times New Roman" w:hAnsi="Times New Roman" w:cs="Times New Roman"/>
          <w:b/>
          <w:bCs/>
          <w:color w:val="FF0000"/>
          <w:sz w:val="24"/>
          <w:szCs w:val="24"/>
        </w:rPr>
      </w:pPr>
    </w:p>
    <w:p w14:paraId="21A9671E" w14:textId="77777777" w:rsidR="00CF1E1A" w:rsidRDefault="00CF1E1A" w:rsidP="00CF1E1A">
      <w:pPr>
        <w:spacing w:line="240" w:lineRule="auto"/>
        <w:jc w:val="both"/>
        <w:rPr>
          <w:rFonts w:ascii="Times New Roman" w:hAnsi="Times New Roman" w:cs="Times New Roman"/>
          <w:b/>
          <w:bCs/>
          <w:color w:val="FF0000"/>
          <w:sz w:val="24"/>
          <w:szCs w:val="24"/>
        </w:rPr>
      </w:pPr>
    </w:p>
    <w:p w14:paraId="5B28A01E" w14:textId="77777777" w:rsidR="00CF1E1A" w:rsidRDefault="00CF1E1A" w:rsidP="00CF1E1A">
      <w:pPr>
        <w:spacing w:line="240" w:lineRule="auto"/>
        <w:jc w:val="both"/>
        <w:rPr>
          <w:rFonts w:ascii="Times New Roman" w:hAnsi="Times New Roman" w:cs="Times New Roman"/>
          <w:b/>
          <w:bCs/>
          <w:color w:val="FF0000"/>
          <w:sz w:val="24"/>
          <w:szCs w:val="24"/>
        </w:rPr>
      </w:pPr>
    </w:p>
    <w:p w14:paraId="7457FEA8" w14:textId="77777777" w:rsidR="00CF1E1A" w:rsidRDefault="00CF1E1A" w:rsidP="00CF1E1A">
      <w:pPr>
        <w:spacing w:line="240" w:lineRule="auto"/>
        <w:jc w:val="both"/>
        <w:rPr>
          <w:rFonts w:ascii="Times New Roman" w:hAnsi="Times New Roman" w:cs="Times New Roman"/>
          <w:b/>
          <w:bCs/>
          <w:color w:val="FF0000"/>
          <w:sz w:val="24"/>
          <w:szCs w:val="24"/>
        </w:rPr>
      </w:pPr>
    </w:p>
    <w:p w14:paraId="73CB9BB7" w14:textId="77777777" w:rsidR="00CF1E1A" w:rsidRDefault="00CF1E1A" w:rsidP="00CF1E1A">
      <w:pPr>
        <w:spacing w:line="240" w:lineRule="auto"/>
        <w:jc w:val="both"/>
        <w:rPr>
          <w:rFonts w:ascii="Times New Roman" w:hAnsi="Times New Roman" w:cs="Times New Roman"/>
          <w:b/>
          <w:bCs/>
          <w:color w:val="FF0000"/>
          <w:sz w:val="24"/>
          <w:szCs w:val="24"/>
        </w:rPr>
      </w:pPr>
    </w:p>
    <w:p w14:paraId="571C1D7F" w14:textId="77777777" w:rsidR="00CF1E1A" w:rsidRDefault="00CF1E1A" w:rsidP="00CF1E1A">
      <w:pPr>
        <w:spacing w:line="240" w:lineRule="auto"/>
        <w:jc w:val="both"/>
        <w:rPr>
          <w:rFonts w:ascii="Times New Roman" w:hAnsi="Times New Roman" w:cs="Times New Roman"/>
          <w:b/>
          <w:bCs/>
          <w:color w:val="FF0000"/>
          <w:sz w:val="24"/>
          <w:szCs w:val="24"/>
        </w:rPr>
      </w:pPr>
    </w:p>
    <w:p w14:paraId="7CE4D0C1" w14:textId="77777777" w:rsidR="00CF1E1A" w:rsidRDefault="00CF1E1A" w:rsidP="00CF1E1A">
      <w:pPr>
        <w:spacing w:line="240" w:lineRule="auto"/>
        <w:jc w:val="both"/>
        <w:rPr>
          <w:rFonts w:ascii="Times New Roman" w:hAnsi="Times New Roman" w:cs="Times New Roman"/>
          <w:b/>
          <w:bCs/>
          <w:color w:val="FF0000"/>
          <w:sz w:val="24"/>
          <w:szCs w:val="24"/>
        </w:rPr>
      </w:pPr>
    </w:p>
    <w:p w14:paraId="5D59DAC7" w14:textId="77777777" w:rsidR="00CF1E1A" w:rsidRDefault="00CF1E1A" w:rsidP="00CF1E1A">
      <w:pPr>
        <w:spacing w:line="240" w:lineRule="auto"/>
        <w:jc w:val="both"/>
        <w:rPr>
          <w:rFonts w:ascii="Times New Roman" w:hAnsi="Times New Roman" w:cs="Times New Roman"/>
          <w:b/>
          <w:bCs/>
          <w:color w:val="FF0000"/>
          <w:sz w:val="24"/>
          <w:szCs w:val="24"/>
        </w:rPr>
      </w:pPr>
    </w:p>
    <w:p w14:paraId="192232CC" w14:textId="77777777" w:rsidR="00CF1E1A" w:rsidRDefault="00CF1E1A" w:rsidP="00CF1E1A">
      <w:pPr>
        <w:spacing w:line="240" w:lineRule="auto"/>
        <w:jc w:val="both"/>
        <w:rPr>
          <w:rFonts w:ascii="Times New Roman" w:hAnsi="Times New Roman" w:cs="Times New Roman"/>
          <w:b/>
          <w:bCs/>
          <w:color w:val="FF0000"/>
          <w:sz w:val="24"/>
          <w:szCs w:val="24"/>
        </w:rPr>
      </w:pPr>
    </w:p>
    <w:p w14:paraId="32F2F017" w14:textId="77777777" w:rsidR="00CF1E1A" w:rsidRDefault="00CF1E1A" w:rsidP="00CF1E1A">
      <w:pPr>
        <w:spacing w:line="240" w:lineRule="auto"/>
        <w:jc w:val="both"/>
        <w:rPr>
          <w:rFonts w:ascii="Times New Roman" w:hAnsi="Times New Roman" w:cs="Times New Roman"/>
          <w:b/>
          <w:bCs/>
          <w:color w:val="FF0000"/>
          <w:sz w:val="24"/>
          <w:szCs w:val="24"/>
        </w:rPr>
      </w:pPr>
    </w:p>
    <w:p w14:paraId="468FA356" w14:textId="77777777" w:rsidR="00CF1E1A" w:rsidRDefault="00CF1E1A" w:rsidP="00CF1E1A">
      <w:pPr>
        <w:spacing w:line="240" w:lineRule="auto"/>
        <w:jc w:val="both"/>
        <w:rPr>
          <w:rFonts w:ascii="Times New Roman" w:hAnsi="Times New Roman" w:cs="Times New Roman"/>
          <w:b/>
          <w:bCs/>
          <w:color w:val="FF0000"/>
          <w:sz w:val="24"/>
          <w:szCs w:val="24"/>
        </w:rPr>
      </w:pPr>
    </w:p>
    <w:p w14:paraId="55D78CD1" w14:textId="77777777" w:rsidR="00CF1E1A" w:rsidRDefault="00CF1E1A" w:rsidP="00CF1E1A">
      <w:pPr>
        <w:spacing w:line="240" w:lineRule="auto"/>
        <w:jc w:val="both"/>
        <w:rPr>
          <w:rFonts w:ascii="Times New Roman" w:hAnsi="Times New Roman" w:cs="Times New Roman"/>
          <w:b/>
          <w:bCs/>
          <w:color w:val="FF0000"/>
          <w:sz w:val="24"/>
          <w:szCs w:val="24"/>
        </w:rPr>
      </w:pPr>
    </w:p>
    <w:p w14:paraId="04F17EB9" w14:textId="77777777" w:rsidR="00CF1E1A" w:rsidRDefault="00CF1E1A" w:rsidP="00CF1E1A">
      <w:pPr>
        <w:spacing w:line="240" w:lineRule="auto"/>
        <w:jc w:val="both"/>
        <w:rPr>
          <w:rFonts w:ascii="Times New Roman" w:hAnsi="Times New Roman" w:cs="Times New Roman"/>
          <w:b/>
          <w:bCs/>
          <w:color w:val="FF0000"/>
          <w:sz w:val="24"/>
          <w:szCs w:val="24"/>
        </w:rPr>
      </w:pPr>
    </w:p>
    <w:p w14:paraId="28859DF8" w14:textId="77777777" w:rsidR="00CF1E1A" w:rsidRDefault="00CF1E1A" w:rsidP="00CF1E1A">
      <w:pPr>
        <w:spacing w:line="240" w:lineRule="auto"/>
        <w:jc w:val="both"/>
        <w:rPr>
          <w:rFonts w:ascii="Times New Roman" w:hAnsi="Times New Roman" w:cs="Times New Roman"/>
          <w:b/>
          <w:bCs/>
          <w:color w:val="FF0000"/>
          <w:sz w:val="24"/>
          <w:szCs w:val="24"/>
        </w:rPr>
      </w:pPr>
    </w:p>
    <w:p w14:paraId="7F9F5583" w14:textId="77777777" w:rsidR="00CF1E1A" w:rsidRDefault="00CF1E1A" w:rsidP="00CF1E1A">
      <w:pPr>
        <w:spacing w:line="240" w:lineRule="auto"/>
        <w:jc w:val="both"/>
        <w:rPr>
          <w:rFonts w:ascii="Times New Roman" w:hAnsi="Times New Roman" w:cs="Times New Roman"/>
          <w:b/>
          <w:bCs/>
          <w:color w:val="FF0000"/>
          <w:sz w:val="24"/>
          <w:szCs w:val="24"/>
        </w:rPr>
      </w:pPr>
    </w:p>
    <w:p w14:paraId="0F677041" w14:textId="77777777" w:rsidR="00CF1E1A" w:rsidRDefault="00CF1E1A" w:rsidP="00CF1E1A">
      <w:pPr>
        <w:spacing w:line="240" w:lineRule="auto"/>
        <w:jc w:val="both"/>
        <w:rPr>
          <w:rFonts w:ascii="Times New Roman" w:hAnsi="Times New Roman" w:cs="Times New Roman"/>
          <w:b/>
          <w:bCs/>
          <w:color w:val="FF0000"/>
          <w:sz w:val="24"/>
          <w:szCs w:val="24"/>
        </w:rPr>
      </w:pPr>
    </w:p>
    <w:p w14:paraId="4DC756CF" w14:textId="77777777" w:rsidR="00CF1E1A" w:rsidRDefault="00CF1E1A" w:rsidP="00CF1E1A">
      <w:pPr>
        <w:spacing w:line="240" w:lineRule="auto"/>
        <w:jc w:val="both"/>
        <w:rPr>
          <w:rFonts w:ascii="Times New Roman" w:hAnsi="Times New Roman" w:cs="Times New Roman"/>
          <w:b/>
          <w:bCs/>
          <w:color w:val="FF0000"/>
          <w:sz w:val="24"/>
          <w:szCs w:val="24"/>
        </w:rPr>
      </w:pPr>
    </w:p>
    <w:p w14:paraId="65FB9911" w14:textId="77777777" w:rsidR="00CF1E1A" w:rsidRDefault="00CF1E1A" w:rsidP="00CF1E1A">
      <w:pPr>
        <w:spacing w:line="240" w:lineRule="auto"/>
        <w:jc w:val="both"/>
        <w:rPr>
          <w:rFonts w:ascii="Times New Roman" w:hAnsi="Times New Roman" w:cs="Times New Roman"/>
          <w:b/>
          <w:bCs/>
          <w:color w:val="FF0000"/>
          <w:sz w:val="24"/>
          <w:szCs w:val="24"/>
        </w:rPr>
      </w:pPr>
    </w:p>
    <w:p w14:paraId="63E386D9" w14:textId="09125A95" w:rsidR="00CF1E1A" w:rsidRPr="004D13FB" w:rsidRDefault="00CF1E1A" w:rsidP="00CF1E1A">
      <w:pPr>
        <w:spacing w:line="240" w:lineRule="auto"/>
        <w:jc w:val="both"/>
        <w:rPr>
          <w:rFonts w:ascii="Times New Roman" w:hAnsi="Times New Roman" w:cs="Times New Roman"/>
          <w:b/>
          <w:bCs/>
          <w:color w:val="FF0000"/>
          <w:sz w:val="24"/>
          <w:szCs w:val="24"/>
        </w:rPr>
      </w:pPr>
      <w:r w:rsidRPr="004D13FB">
        <w:rPr>
          <w:rFonts w:ascii="Times New Roman" w:hAnsi="Times New Roman" w:cs="Times New Roman"/>
          <w:b/>
          <w:bCs/>
          <w:color w:val="FF0000"/>
          <w:sz w:val="24"/>
          <w:szCs w:val="24"/>
        </w:rPr>
        <w:lastRenderedPageBreak/>
        <w:t>Appendix 1: Young Gypsy/Travellers: The Digital Divide</w:t>
      </w:r>
    </w:p>
    <w:bookmarkEnd w:id="0"/>
    <w:p w14:paraId="2AB91F8E"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Research undertaken at the height of the COVID 19 pandemic</w:t>
      </w:r>
      <w:r>
        <w:rPr>
          <w:rStyle w:val="FootnoteReference"/>
          <w:rFonts w:ascii="Times New Roman" w:hAnsi="Times New Roman" w:cs="Times New Roman"/>
          <w:sz w:val="24"/>
          <w:szCs w:val="24"/>
        </w:rPr>
        <w:footnoteReference w:id="1"/>
      </w:r>
      <w:r w:rsidRPr="000E326A">
        <w:rPr>
          <w:rFonts w:ascii="Times New Roman" w:hAnsi="Times New Roman" w:cs="Times New Roman"/>
          <w:sz w:val="24"/>
          <w:szCs w:val="24"/>
        </w:rPr>
        <w:t xml:space="preserve"> has served to further highlight how the now chasmic digital divide has impacted on young Gypsy/Travellers’ ability to access their education rights.  Analysis of testimony from practitioners and parents and young people demonstrated an appalling lack of access to digital devices and data - of 70 families supported by third sector organisations to engage with education during the pandemic only 8% had internet connection or a data package and just 10% had access to a working device. </w:t>
      </w:r>
    </w:p>
    <w:p w14:paraId="1AFC5392" w14:textId="77777777" w:rsidR="00CF1E1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Digital inequality [for the Gypsy/Traveller community] is very real and when the Covid pandemic hit, the impact of that inequality was felt more acutely than ever. </w:t>
      </w:r>
      <w:r>
        <w:rPr>
          <w:rFonts w:ascii="Times New Roman" w:hAnsi="Times New Roman" w:cs="Times New Roman"/>
          <w:sz w:val="24"/>
          <w:szCs w:val="24"/>
        </w:rPr>
        <w:t xml:space="preserve">                                          </w:t>
      </w:r>
    </w:p>
    <w:p w14:paraId="5D1EB85E" w14:textId="77777777" w:rsidR="00CF1E1A" w:rsidRPr="000E326A" w:rsidRDefault="00CF1E1A" w:rsidP="00CF1E1A">
      <w:pPr>
        <w:spacing w:line="240" w:lineRule="auto"/>
        <w:ind w:left="567" w:right="567"/>
        <w:jc w:val="both"/>
        <w:rPr>
          <w:rFonts w:ascii="Times New Roman" w:hAnsi="Times New Roman" w:cs="Times New Roman"/>
          <w:sz w:val="24"/>
          <w:szCs w:val="24"/>
        </w:rPr>
      </w:pPr>
      <w:r w:rsidRPr="000E326A">
        <w:rPr>
          <w:rFonts w:ascii="Times New Roman" w:hAnsi="Times New Roman" w:cs="Times New Roman"/>
          <w:sz w:val="24"/>
          <w:szCs w:val="24"/>
        </w:rPr>
        <w:t xml:space="preserve">The young people we work with would not have had the opportunity to continue to engage with their education if </w:t>
      </w:r>
      <w:r w:rsidRPr="00A009FA">
        <w:rPr>
          <w:rFonts w:ascii="Times New Roman" w:hAnsi="Times New Roman" w:cs="Times New Roman"/>
          <w:i/>
          <w:iCs/>
          <w:sz w:val="24"/>
          <w:szCs w:val="24"/>
        </w:rPr>
        <w:t>Article 12 in Scotland</w:t>
      </w:r>
      <w:r w:rsidRPr="000E326A">
        <w:rPr>
          <w:rFonts w:ascii="Times New Roman" w:hAnsi="Times New Roman" w:cs="Times New Roman"/>
          <w:sz w:val="24"/>
          <w:szCs w:val="24"/>
        </w:rPr>
        <w:t xml:space="preserve"> had stood by and not acted […] These children deserve the exact same opportunities and support as their peers in the settled community and while we were in the throes of lockdown, the only way forward was via digital solutions (Learning and Development Worker 1).</w:t>
      </w:r>
    </w:p>
    <w:p w14:paraId="7E93CE0E" w14:textId="77777777" w:rsidR="00CF1E1A" w:rsidRPr="000E326A" w:rsidRDefault="00CF1E1A" w:rsidP="00CF1E1A">
      <w:pPr>
        <w:spacing w:line="240" w:lineRule="auto"/>
        <w:ind w:left="567" w:right="567"/>
        <w:jc w:val="both"/>
        <w:rPr>
          <w:rFonts w:ascii="Times New Roman" w:hAnsi="Times New Roman" w:cs="Times New Roman"/>
          <w:sz w:val="24"/>
          <w:szCs w:val="24"/>
        </w:rPr>
      </w:pPr>
      <w:r w:rsidRPr="000E326A">
        <w:rPr>
          <w:rFonts w:ascii="Times New Roman" w:hAnsi="Times New Roman" w:cs="Times New Roman"/>
          <w:sz w:val="24"/>
          <w:szCs w:val="24"/>
        </w:rPr>
        <w:t xml:space="preserve">[I’ve] Been trying for years to get help for my bairns and now here it is.  M is so happy to have passed the course and the diploma is going straight into a frame and on the living room wall.  So pleased as she's not been in school for years and she is feeling great. […] She really feels she has achieved something (Parent 2). </w:t>
      </w:r>
    </w:p>
    <w:p w14:paraId="0754DC1C"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Additionally, the lack of necessary support from educators and ‘keepers of the resources’ at the local level during the pandemic has laid bare the stark reality of discretionary decision making driven by at best a lack of awareness that Gypsy/Traveller children and young people have entitlements under the Scottish legislative framework of additional support for learning or at worst no interest in ensuring that young Gypsy/Travellers could access the same learning and development opportunities as their peers from the settled community.</w:t>
      </w:r>
    </w:p>
    <w:p w14:paraId="5D8CDCBC" w14:textId="77777777" w:rsidR="00CF1E1A" w:rsidRPr="000E326A" w:rsidRDefault="00CF1E1A" w:rsidP="00CF1E1A">
      <w:pPr>
        <w:spacing w:line="240" w:lineRule="auto"/>
        <w:ind w:left="567" w:right="567"/>
        <w:jc w:val="both"/>
        <w:rPr>
          <w:rFonts w:ascii="Times New Roman" w:hAnsi="Times New Roman" w:cs="Times New Roman"/>
          <w:sz w:val="24"/>
          <w:szCs w:val="24"/>
        </w:rPr>
      </w:pPr>
      <w:r w:rsidRPr="000E326A">
        <w:rPr>
          <w:rFonts w:ascii="Times New Roman" w:hAnsi="Times New Roman" w:cs="Times New Roman"/>
          <w:sz w:val="24"/>
          <w:szCs w:val="24"/>
        </w:rPr>
        <w:t>The budget that I hold […] is for the provision of IT for children with additional support needs who are enrolled in a Council school or whom the Council are responsible for elsewhere. […] I understand that the circumstances we find ourselves in are different, however having no regard for these conditions sets a new precedent.  The risk is that providing this funding, outside of the usual conditions, will create an inequitable situation across the authority.  There will be many children for whom access to IT will not be available and without a mechanism to provide for them all, I feel that we cannot be selective (Anon, personal communication, 7 April 2020).</w:t>
      </w:r>
    </w:p>
    <w:p w14:paraId="7FFD0BD5"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Pre the pandemic, and already acutely cognisant of the digital divide (and indeed other major inequalities experienced by the Gypsy/Traveller community), the </w:t>
      </w:r>
      <w:r w:rsidRPr="00E82BF2">
        <w:rPr>
          <w:rFonts w:ascii="Times New Roman" w:hAnsi="Times New Roman" w:cs="Times New Roman"/>
          <w:i/>
          <w:iCs/>
          <w:sz w:val="24"/>
          <w:szCs w:val="24"/>
        </w:rPr>
        <w:t>Scottish Government</w:t>
      </w:r>
      <w:r w:rsidRPr="000E326A">
        <w:rPr>
          <w:rFonts w:ascii="Times New Roman" w:hAnsi="Times New Roman" w:cs="Times New Roman"/>
          <w:sz w:val="24"/>
          <w:szCs w:val="24"/>
        </w:rPr>
        <w:t xml:space="preserve"> launched a short to medium term action plan aimed at Improving the Lives of Scotland’s Gypsy/Travellers.  In terms of addressing the lack of access to devices and data and increase levels of skills and confidence the plan included the following medium term commitments:</w:t>
      </w:r>
    </w:p>
    <w:p w14:paraId="29BBEE08"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Improve educational outcomes for Gypsy/Travellers by supporting them to take advantage of their right to education.</w:t>
      </w:r>
    </w:p>
    <w:p w14:paraId="29A761EE"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lastRenderedPageBreak/>
        <w:t>[Provide] professional learning resources and support networks for education staff across all stages of learning so that they have the knowledge and skills to support the educational needs of Gypsy/Traveller pupils and their families (</w:t>
      </w:r>
      <w:r w:rsidRPr="000800F1">
        <w:rPr>
          <w:rFonts w:ascii="Times New Roman" w:hAnsi="Times New Roman" w:cs="Times New Roman"/>
          <w:i/>
          <w:iCs/>
          <w:sz w:val="24"/>
          <w:szCs w:val="24"/>
        </w:rPr>
        <w:t>Scottish Government</w:t>
      </w:r>
      <w:r w:rsidRPr="000E326A">
        <w:rPr>
          <w:rFonts w:ascii="Times New Roman" w:hAnsi="Times New Roman" w:cs="Times New Roman"/>
          <w:sz w:val="24"/>
          <w:szCs w:val="24"/>
        </w:rPr>
        <w:t xml:space="preserve">, 2019). </w:t>
      </w:r>
    </w:p>
    <w:p w14:paraId="1564A3B5"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Due, in part, to the pandemic little progress has been made on these commitments.  That said, it is important to note the quick action of the </w:t>
      </w:r>
      <w:r w:rsidRPr="000800F1">
        <w:rPr>
          <w:rFonts w:ascii="Times New Roman" w:hAnsi="Times New Roman" w:cs="Times New Roman"/>
          <w:i/>
          <w:iCs/>
          <w:sz w:val="24"/>
          <w:szCs w:val="24"/>
        </w:rPr>
        <w:t>Scottish Government</w:t>
      </w:r>
      <w:r w:rsidRPr="000E326A">
        <w:rPr>
          <w:rFonts w:ascii="Times New Roman" w:hAnsi="Times New Roman" w:cs="Times New Roman"/>
          <w:sz w:val="24"/>
          <w:szCs w:val="24"/>
        </w:rPr>
        <w:t xml:space="preserve"> in providing additional (limited) funding to provide additional learning and development support to community members.  </w:t>
      </w:r>
    </w:p>
    <w:p w14:paraId="50E90BBA"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However, as alluded to earlier, directives from on high are meaningless if they are not realised at the local level.  The challenge is the assumption that policy is decided at central government level then simply implemented at the local level.  In reality, methods of delivery and equality of service are at the discretion of the person at the front line. Time constraints, paucity of resources, workload or indeed favouritism or stereotyping, based on negative social representations, all impact on the level of access and service that Gypsy/Traveller children and young people receive. </w:t>
      </w:r>
    </w:p>
    <w:p w14:paraId="1773C886" w14:textId="77777777" w:rsidR="00CF1E1A" w:rsidRPr="000E326A" w:rsidRDefault="00CF1E1A" w:rsidP="00CF1E1A">
      <w:pPr>
        <w:spacing w:line="240" w:lineRule="auto"/>
        <w:jc w:val="both"/>
        <w:rPr>
          <w:rFonts w:ascii="Times New Roman" w:hAnsi="Times New Roman" w:cs="Times New Roman"/>
          <w:iCs/>
          <w:sz w:val="24"/>
          <w:szCs w:val="24"/>
        </w:rPr>
      </w:pPr>
      <w:r w:rsidRPr="000E326A">
        <w:rPr>
          <w:rFonts w:ascii="Times New Roman" w:hAnsi="Times New Roman" w:cs="Times New Roman"/>
          <w:sz w:val="24"/>
          <w:szCs w:val="24"/>
        </w:rPr>
        <w:t>To conclude, gains (although limited) have been made but the digital divide that denies Gypsy/Traveller children and young people the opportunity to access and enjoy their education rights remains an issue for many families in the community.   So that these gains are not lost and to ensure that all Gypsy/Traveller children and young people can operate in the digital learning world, a safe, supportive and flexible environment driven by a clear understanding of Gypsy/Traveller culture and reflective of the directly expressed learning needs and nomadic practices of the Gypsy/Traveller community, is crucial.</w:t>
      </w:r>
    </w:p>
    <w:p w14:paraId="4FE06A03"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Crucial to the above will be robust monitoring and evaluation processes to ensure that guidance and directives from central government are being delivered on a basis of equality at the local level.  Outcomes must not be permitted to be measured at, or by, the ‘street level’ in terms of cost benefit and any negation of obligations to provide all children and young people with the resources they need to develop and thrive must be challenged.  Failing this, discretionary decision making powers, often underpinned by prejudice and driven by false social representations will continue to be enacted and the ‘forever thus, business as usual’ worldview of Gypsy/Travellers will endure.</w:t>
      </w:r>
    </w:p>
    <w:p w14:paraId="6F4FCACE" w14:textId="77777777" w:rsidR="00CF1E1A" w:rsidRDefault="00CF1E1A" w:rsidP="00CF1E1A">
      <w:pPr>
        <w:spacing w:line="240" w:lineRule="auto"/>
        <w:jc w:val="both"/>
        <w:rPr>
          <w:rFonts w:ascii="Times New Roman" w:hAnsi="Times New Roman" w:cs="Times New Roman"/>
          <w:sz w:val="24"/>
          <w:szCs w:val="24"/>
        </w:rPr>
      </w:pPr>
    </w:p>
    <w:p w14:paraId="6324393E" w14:textId="77777777" w:rsidR="00CF1E1A" w:rsidRDefault="00CF1E1A" w:rsidP="00CF1E1A">
      <w:pPr>
        <w:spacing w:line="240" w:lineRule="auto"/>
        <w:jc w:val="both"/>
        <w:rPr>
          <w:rFonts w:ascii="Times New Roman" w:hAnsi="Times New Roman" w:cs="Times New Roman"/>
          <w:sz w:val="24"/>
          <w:szCs w:val="24"/>
        </w:rPr>
      </w:pPr>
    </w:p>
    <w:p w14:paraId="7FB4FBD3" w14:textId="77777777" w:rsidR="00CF1E1A" w:rsidRDefault="00CF1E1A" w:rsidP="00CF1E1A">
      <w:pPr>
        <w:spacing w:line="240" w:lineRule="auto"/>
        <w:jc w:val="both"/>
        <w:rPr>
          <w:rFonts w:ascii="Times New Roman" w:hAnsi="Times New Roman" w:cs="Times New Roman"/>
          <w:sz w:val="24"/>
          <w:szCs w:val="24"/>
        </w:rPr>
      </w:pPr>
    </w:p>
    <w:p w14:paraId="5D2DDAF7" w14:textId="77777777" w:rsidR="00CF1E1A" w:rsidRDefault="00CF1E1A" w:rsidP="00CF1E1A">
      <w:pPr>
        <w:spacing w:line="240" w:lineRule="auto"/>
        <w:jc w:val="both"/>
        <w:rPr>
          <w:rFonts w:ascii="Times New Roman" w:hAnsi="Times New Roman" w:cs="Times New Roman"/>
          <w:sz w:val="24"/>
          <w:szCs w:val="24"/>
        </w:rPr>
      </w:pPr>
    </w:p>
    <w:p w14:paraId="433625C0" w14:textId="77777777" w:rsidR="00CF1E1A" w:rsidRDefault="00CF1E1A" w:rsidP="00CF1E1A">
      <w:pPr>
        <w:spacing w:line="240" w:lineRule="auto"/>
        <w:jc w:val="both"/>
        <w:rPr>
          <w:rFonts w:ascii="Times New Roman" w:hAnsi="Times New Roman" w:cs="Times New Roman"/>
          <w:sz w:val="24"/>
          <w:szCs w:val="24"/>
        </w:rPr>
      </w:pPr>
    </w:p>
    <w:p w14:paraId="0F52FF6F" w14:textId="77777777" w:rsidR="00CF1E1A" w:rsidRDefault="00CF1E1A" w:rsidP="00CF1E1A">
      <w:pPr>
        <w:spacing w:line="240" w:lineRule="auto"/>
        <w:jc w:val="both"/>
        <w:rPr>
          <w:rFonts w:ascii="Times New Roman" w:hAnsi="Times New Roman" w:cs="Times New Roman"/>
          <w:sz w:val="24"/>
          <w:szCs w:val="24"/>
        </w:rPr>
      </w:pPr>
    </w:p>
    <w:p w14:paraId="7E1E0024" w14:textId="77777777" w:rsidR="00CF1E1A" w:rsidRDefault="00CF1E1A" w:rsidP="00CF1E1A">
      <w:pPr>
        <w:spacing w:line="240" w:lineRule="auto"/>
        <w:jc w:val="both"/>
        <w:rPr>
          <w:rFonts w:ascii="Times New Roman" w:hAnsi="Times New Roman" w:cs="Times New Roman"/>
          <w:sz w:val="24"/>
          <w:szCs w:val="24"/>
        </w:rPr>
      </w:pPr>
    </w:p>
    <w:p w14:paraId="5FF85578" w14:textId="77777777" w:rsidR="00CF1E1A" w:rsidRDefault="00CF1E1A" w:rsidP="00CF1E1A">
      <w:pPr>
        <w:spacing w:line="240" w:lineRule="auto"/>
        <w:jc w:val="both"/>
        <w:rPr>
          <w:rFonts w:ascii="Times New Roman" w:hAnsi="Times New Roman" w:cs="Times New Roman"/>
          <w:sz w:val="24"/>
          <w:szCs w:val="24"/>
        </w:rPr>
      </w:pPr>
    </w:p>
    <w:p w14:paraId="54F3C81D" w14:textId="77777777" w:rsidR="00CF1E1A" w:rsidRDefault="00CF1E1A" w:rsidP="00CF1E1A">
      <w:pPr>
        <w:spacing w:line="240" w:lineRule="auto"/>
        <w:jc w:val="both"/>
        <w:rPr>
          <w:rFonts w:ascii="Times New Roman" w:hAnsi="Times New Roman" w:cs="Times New Roman"/>
          <w:sz w:val="24"/>
          <w:szCs w:val="24"/>
        </w:rPr>
      </w:pPr>
    </w:p>
    <w:p w14:paraId="2750F37A" w14:textId="77777777" w:rsidR="00CF1E1A" w:rsidRDefault="00CF1E1A" w:rsidP="00CF1E1A">
      <w:pPr>
        <w:spacing w:line="240" w:lineRule="auto"/>
        <w:jc w:val="both"/>
        <w:rPr>
          <w:rFonts w:ascii="Times New Roman" w:hAnsi="Times New Roman" w:cs="Times New Roman"/>
          <w:sz w:val="24"/>
          <w:szCs w:val="24"/>
        </w:rPr>
      </w:pPr>
    </w:p>
    <w:p w14:paraId="67995B38" w14:textId="77777777" w:rsidR="00CF1E1A" w:rsidRDefault="00CF1E1A" w:rsidP="00CF1E1A">
      <w:pPr>
        <w:spacing w:line="240" w:lineRule="auto"/>
        <w:jc w:val="both"/>
        <w:rPr>
          <w:rFonts w:ascii="Times New Roman" w:hAnsi="Times New Roman" w:cs="Times New Roman"/>
          <w:sz w:val="24"/>
          <w:szCs w:val="24"/>
        </w:rPr>
      </w:pPr>
    </w:p>
    <w:p w14:paraId="014D73A0" w14:textId="77777777" w:rsidR="00CF1E1A" w:rsidRDefault="00CF1E1A" w:rsidP="00CF1E1A">
      <w:pPr>
        <w:spacing w:line="240" w:lineRule="auto"/>
        <w:jc w:val="both"/>
        <w:rPr>
          <w:rFonts w:ascii="Times New Roman" w:hAnsi="Times New Roman" w:cs="Times New Roman"/>
          <w:b/>
          <w:bCs/>
          <w:color w:val="FF0000"/>
          <w:sz w:val="24"/>
          <w:szCs w:val="24"/>
        </w:rPr>
      </w:pPr>
    </w:p>
    <w:p w14:paraId="13597368" w14:textId="77777777" w:rsidR="00CF1E1A" w:rsidRPr="000E326A" w:rsidRDefault="00CF1E1A" w:rsidP="00CF1E1A">
      <w:pPr>
        <w:spacing w:line="240" w:lineRule="auto"/>
        <w:jc w:val="both"/>
        <w:rPr>
          <w:rFonts w:ascii="Times New Roman" w:hAnsi="Times New Roman" w:cs="Times New Roman"/>
          <w:b/>
          <w:bCs/>
          <w:color w:val="FF0000"/>
          <w:sz w:val="24"/>
          <w:szCs w:val="24"/>
        </w:rPr>
      </w:pPr>
      <w:r w:rsidRPr="004D13FB">
        <w:rPr>
          <w:rFonts w:ascii="Times New Roman" w:hAnsi="Times New Roman" w:cs="Times New Roman"/>
          <w:b/>
          <w:bCs/>
          <w:color w:val="FF0000"/>
          <w:sz w:val="24"/>
          <w:szCs w:val="24"/>
        </w:rPr>
        <w:lastRenderedPageBreak/>
        <w:t xml:space="preserve">Appendix 2: </w:t>
      </w:r>
      <w:r w:rsidRPr="000E326A">
        <w:rPr>
          <w:rFonts w:ascii="Times New Roman" w:hAnsi="Times New Roman" w:cs="Times New Roman"/>
          <w:b/>
          <w:bCs/>
          <w:color w:val="FF0000"/>
          <w:sz w:val="24"/>
          <w:szCs w:val="24"/>
        </w:rPr>
        <w:t>The media</w:t>
      </w:r>
      <w:r w:rsidRPr="004D13FB">
        <w:rPr>
          <w:rFonts w:ascii="Times New Roman" w:hAnsi="Times New Roman" w:cs="Times New Roman"/>
          <w:b/>
          <w:bCs/>
          <w:color w:val="FF0000"/>
          <w:sz w:val="24"/>
          <w:szCs w:val="24"/>
        </w:rPr>
        <w:t xml:space="preserve"> and the Gypsy/Traveller Community</w:t>
      </w:r>
      <w:r w:rsidRPr="000E326A">
        <w:rPr>
          <w:rFonts w:ascii="Times New Roman" w:hAnsi="Times New Roman" w:cs="Times New Roman"/>
          <w:b/>
          <w:bCs/>
          <w:color w:val="FF0000"/>
          <w:sz w:val="24"/>
          <w:szCs w:val="24"/>
        </w:rPr>
        <w:t>: A case study</w:t>
      </w:r>
    </w:p>
    <w:p w14:paraId="69AD0BAF"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Despite the outcomes of the </w:t>
      </w:r>
      <w:r w:rsidRPr="000E326A">
        <w:rPr>
          <w:rFonts w:ascii="Times New Roman" w:hAnsi="Times New Roman" w:cs="Times New Roman"/>
          <w:i/>
          <w:sz w:val="24"/>
          <w:szCs w:val="24"/>
        </w:rPr>
        <w:t xml:space="preserve">Leveson Inquiry </w:t>
      </w:r>
      <w:r w:rsidRPr="000E326A">
        <w:rPr>
          <w:rFonts w:ascii="Times New Roman" w:hAnsi="Times New Roman" w:cs="Times New Roman"/>
          <w:sz w:val="24"/>
          <w:szCs w:val="24"/>
        </w:rPr>
        <w:t xml:space="preserve">(2012) </w:t>
      </w:r>
      <w:r w:rsidRPr="000E326A">
        <w:rPr>
          <w:rFonts w:ascii="Times New Roman" w:hAnsi="Times New Roman" w:cs="Times New Roman"/>
          <w:sz w:val="24"/>
          <w:szCs w:val="24"/>
          <w:vertAlign w:val="superscript"/>
        </w:rPr>
        <w:footnoteReference w:id="2"/>
      </w:r>
      <w:r w:rsidRPr="000E326A">
        <w:rPr>
          <w:rFonts w:ascii="Times New Roman" w:hAnsi="Times New Roman" w:cs="Times New Roman"/>
          <w:sz w:val="24"/>
          <w:szCs w:val="24"/>
        </w:rPr>
        <w:t xml:space="preserve"> into the culture, practice and ethics of the UK press which, </w:t>
      </w:r>
      <w:r w:rsidRPr="000E326A">
        <w:rPr>
          <w:rFonts w:ascii="Times New Roman" w:hAnsi="Times New Roman" w:cs="Times New Roman"/>
          <w:i/>
          <w:sz w:val="24"/>
          <w:szCs w:val="24"/>
        </w:rPr>
        <w:t>inter alia</w:t>
      </w:r>
      <w:r w:rsidRPr="000E326A">
        <w:rPr>
          <w:rFonts w:ascii="Times New Roman" w:hAnsi="Times New Roman" w:cs="Times New Roman"/>
          <w:sz w:val="24"/>
          <w:szCs w:val="24"/>
        </w:rPr>
        <w:t xml:space="preserve">, recommend a new ‘standards code’ which must take into account; (a) conduct, especially in relation to the treatment of other people in the process of obtaining material; (b) appropriate respect for privacy where there is no sufficient public interest justification for breach and (c) accuracy, and the need to avoid misrepresentation; Cadger’s (2017) </w:t>
      </w:r>
      <w:r w:rsidRPr="000E326A">
        <w:rPr>
          <w:rFonts w:ascii="Times New Roman" w:hAnsi="Times New Roman" w:cs="Times New Roman"/>
          <w:sz w:val="24"/>
          <w:szCs w:val="24"/>
          <w:vertAlign w:val="superscript"/>
        </w:rPr>
        <w:footnoteReference w:id="3"/>
      </w:r>
      <w:r w:rsidRPr="000E326A">
        <w:rPr>
          <w:rFonts w:ascii="Times New Roman" w:hAnsi="Times New Roman" w:cs="Times New Roman"/>
          <w:sz w:val="24"/>
          <w:szCs w:val="24"/>
        </w:rPr>
        <w:t xml:space="preserve"> longitudinal study on discrimination in online publications and social media sites demonstrates that these recommendations would appear to have fallen on deaf ears when it comes to reporting on the Gypsy/Traveller community.  With the primary focus of relevant articles continuing to centre on sites, the community and crime; with many articles containing negative stereotyping and the use of leading words – illegal, invasion, rubbish, battle, anger, eviction and so on - and less than one percent reporting from the perspective of a Gypsy/Traveller or on the success of a member of the community, little would seem to have changed.</w:t>
      </w:r>
    </w:p>
    <w:p w14:paraId="2EA6390A"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Consider the following sample of the myriad media articles on the development of a Gypsy/Traveller site in the North east of Scotland – an area where there was, at the time, no permanent provision for the community.  From the outset, the development, named by the community as North Esk Park, attracted negative and inflammatory commentary from the media and in the ensuing years local daily publications kept appetites sated with regular updates on ‘the battle’ with unsubstantiated claims of damage to protected ground and adding to the damage caused by major storms.</w:t>
      </w:r>
    </w:p>
    <w:p w14:paraId="39E70B8D"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b/>
          <w:bCs/>
          <w:sz w:val="24"/>
          <w:szCs w:val="24"/>
        </w:rPr>
        <w:t>Angry</w:t>
      </w:r>
      <w:r w:rsidRPr="000E326A">
        <w:rPr>
          <w:rFonts w:ascii="Times New Roman" w:hAnsi="Times New Roman" w:cs="Times New Roman"/>
          <w:sz w:val="24"/>
          <w:szCs w:val="24"/>
        </w:rPr>
        <w:t xml:space="preserve"> St Cyrus residents turned out in force last night to register their objections to a Travellers’ caravan site that has sprung up near a nature reserve (DC Thomson Publishing, 2013. Courier, Online 10th October).</w:t>
      </w:r>
    </w:p>
    <w:p w14:paraId="6FB2EEAC"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The </w:t>
      </w:r>
      <w:r w:rsidRPr="000E326A">
        <w:rPr>
          <w:rFonts w:ascii="Times New Roman" w:hAnsi="Times New Roman" w:cs="Times New Roman"/>
          <w:b/>
          <w:bCs/>
          <w:sz w:val="24"/>
          <w:szCs w:val="24"/>
        </w:rPr>
        <w:t>battle lines</w:t>
      </w:r>
      <w:r w:rsidRPr="000E326A">
        <w:rPr>
          <w:rFonts w:ascii="Times New Roman" w:hAnsi="Times New Roman" w:cs="Times New Roman"/>
          <w:sz w:val="24"/>
          <w:szCs w:val="24"/>
        </w:rPr>
        <w:t xml:space="preserve"> have been drawn in a </w:t>
      </w:r>
      <w:r w:rsidRPr="000E326A">
        <w:rPr>
          <w:rFonts w:ascii="Times New Roman" w:hAnsi="Times New Roman" w:cs="Times New Roman"/>
          <w:b/>
          <w:bCs/>
          <w:sz w:val="24"/>
          <w:szCs w:val="24"/>
        </w:rPr>
        <w:t>fiery dispute</w:t>
      </w:r>
      <w:r w:rsidRPr="000E326A">
        <w:rPr>
          <w:rFonts w:ascii="Times New Roman" w:hAnsi="Times New Roman" w:cs="Times New Roman"/>
          <w:sz w:val="24"/>
          <w:szCs w:val="24"/>
        </w:rPr>
        <w:t xml:space="preserve"> between Mearns residents and the occupants of a Travellers’ site (DC Thomson Publishing, 2013. Courier, Online 29th  October).</w:t>
      </w:r>
    </w:p>
    <w:p w14:paraId="3E7B1D24"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St Cyrus Travellers deny </w:t>
      </w:r>
      <w:r w:rsidRPr="000E326A">
        <w:rPr>
          <w:rFonts w:ascii="Times New Roman" w:hAnsi="Times New Roman" w:cs="Times New Roman"/>
          <w:b/>
          <w:bCs/>
          <w:sz w:val="24"/>
          <w:szCs w:val="24"/>
        </w:rPr>
        <w:t>making flooding worse</w:t>
      </w:r>
      <w:r w:rsidRPr="000E326A">
        <w:rPr>
          <w:rFonts w:ascii="Times New Roman" w:hAnsi="Times New Roman" w:cs="Times New Roman"/>
          <w:sz w:val="24"/>
          <w:szCs w:val="24"/>
        </w:rPr>
        <w:t xml:space="preserve"> (DC Thomson Publishing, 2014. Courier, Online 1st February).</w:t>
      </w:r>
    </w:p>
    <w:p w14:paraId="1419D435"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A Site of Special Scientific Interest (SSSI) has been damaged following work at an </w:t>
      </w:r>
      <w:r w:rsidRPr="000E326A">
        <w:rPr>
          <w:rFonts w:ascii="Times New Roman" w:hAnsi="Times New Roman" w:cs="Times New Roman"/>
          <w:b/>
          <w:bCs/>
          <w:sz w:val="24"/>
          <w:szCs w:val="24"/>
        </w:rPr>
        <w:t xml:space="preserve">illegal </w:t>
      </w:r>
      <w:r w:rsidRPr="000E326A">
        <w:rPr>
          <w:rFonts w:ascii="Times New Roman" w:hAnsi="Times New Roman" w:cs="Times New Roman"/>
          <w:sz w:val="24"/>
          <w:szCs w:val="24"/>
        </w:rPr>
        <w:t>Travellers’ site on the Mearns/Angus border, a report has claimed (DC Thomson Publishing, 2014. Courier, Online 6th February).</w:t>
      </w:r>
    </w:p>
    <w:p w14:paraId="3DEEBED5"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Aberdeenshire Council is still embroiled in an </w:t>
      </w:r>
      <w:r w:rsidRPr="000E326A">
        <w:rPr>
          <w:rFonts w:ascii="Times New Roman" w:hAnsi="Times New Roman" w:cs="Times New Roman"/>
          <w:b/>
          <w:bCs/>
          <w:sz w:val="24"/>
          <w:szCs w:val="24"/>
        </w:rPr>
        <w:t>enforcement battle</w:t>
      </w:r>
      <w:r w:rsidRPr="000E326A">
        <w:rPr>
          <w:rFonts w:ascii="Times New Roman" w:hAnsi="Times New Roman" w:cs="Times New Roman"/>
          <w:sz w:val="24"/>
          <w:szCs w:val="24"/>
        </w:rPr>
        <w:t xml:space="preserve"> over the North Esk Park Travellers’ site which was built without permission on land near St Cyrus in September 2013 (DC Thomson Publishing, 2015. Courier, Online 27th November).</w:t>
      </w:r>
    </w:p>
    <w:p w14:paraId="0B1BD975"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Council </w:t>
      </w:r>
      <w:r w:rsidRPr="000E326A">
        <w:rPr>
          <w:rFonts w:ascii="Times New Roman" w:hAnsi="Times New Roman" w:cs="Times New Roman"/>
          <w:b/>
          <w:bCs/>
          <w:sz w:val="24"/>
          <w:szCs w:val="24"/>
        </w:rPr>
        <w:t>under fire</w:t>
      </w:r>
      <w:r w:rsidRPr="000E326A">
        <w:rPr>
          <w:rFonts w:ascii="Times New Roman" w:hAnsi="Times New Roman" w:cs="Times New Roman"/>
          <w:sz w:val="24"/>
          <w:szCs w:val="24"/>
        </w:rPr>
        <w:t xml:space="preserve"> in St Cyrus Travellers row (DC Thomson Publishing, 2016. Courier, Online 18th March).</w:t>
      </w:r>
    </w:p>
    <w:p w14:paraId="46721C72"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Residents have </w:t>
      </w:r>
      <w:r w:rsidRPr="000E326A">
        <w:rPr>
          <w:rFonts w:ascii="Times New Roman" w:hAnsi="Times New Roman" w:cs="Times New Roman"/>
          <w:b/>
          <w:bCs/>
          <w:sz w:val="24"/>
          <w:szCs w:val="24"/>
        </w:rPr>
        <w:t>reacted with fury</w:t>
      </w:r>
      <w:r w:rsidRPr="000E326A">
        <w:rPr>
          <w:rFonts w:ascii="Times New Roman" w:hAnsi="Times New Roman" w:cs="Times New Roman"/>
          <w:sz w:val="24"/>
          <w:szCs w:val="24"/>
        </w:rPr>
        <w:t xml:space="preserve"> after St Cyrus Travellers were given “renewed hope” they won’t be kicked out of their homes (DC Thomson Publishing, 2018. Evening Express, Online 8th February).</w:t>
      </w:r>
    </w:p>
    <w:p w14:paraId="22BA0B12"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lastRenderedPageBreak/>
        <w:t xml:space="preserve">St Cyrus encampment granted six-month </w:t>
      </w:r>
      <w:r w:rsidRPr="000E326A">
        <w:rPr>
          <w:rFonts w:ascii="Times New Roman" w:hAnsi="Times New Roman" w:cs="Times New Roman"/>
          <w:b/>
          <w:bCs/>
          <w:sz w:val="24"/>
          <w:szCs w:val="24"/>
        </w:rPr>
        <w:t>stay of execution</w:t>
      </w:r>
      <w:r w:rsidRPr="000E326A">
        <w:rPr>
          <w:rFonts w:ascii="Times New Roman" w:hAnsi="Times New Roman" w:cs="Times New Roman"/>
          <w:sz w:val="24"/>
          <w:szCs w:val="24"/>
        </w:rPr>
        <w:t xml:space="preserve"> to allow for more talks (DC Thomson Publishing, 2018. Press and Journal, Online 29th June).</w:t>
      </w:r>
    </w:p>
    <w:p w14:paraId="56477A38"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Scottish Government slammed as planning </w:t>
      </w:r>
      <w:r w:rsidRPr="000E326A">
        <w:rPr>
          <w:rFonts w:ascii="Times New Roman" w:hAnsi="Times New Roman" w:cs="Times New Roman"/>
          <w:b/>
          <w:bCs/>
          <w:sz w:val="24"/>
          <w:szCs w:val="24"/>
        </w:rPr>
        <w:t>battle</w:t>
      </w:r>
      <w:r w:rsidRPr="000E326A">
        <w:rPr>
          <w:rFonts w:ascii="Times New Roman" w:hAnsi="Times New Roman" w:cs="Times New Roman"/>
          <w:sz w:val="24"/>
          <w:szCs w:val="24"/>
        </w:rPr>
        <w:t xml:space="preserve"> at St Cyrus looks set for further twist with new application looming </w:t>
      </w:r>
      <w:bookmarkStart w:id="3" w:name="_Hlk116892665"/>
      <w:r w:rsidRPr="000E326A">
        <w:rPr>
          <w:rFonts w:ascii="Times New Roman" w:hAnsi="Times New Roman" w:cs="Times New Roman"/>
          <w:sz w:val="24"/>
          <w:szCs w:val="24"/>
        </w:rPr>
        <w:t xml:space="preserve">(DC Thomson Publishing, 2018. Courier, Online </w:t>
      </w:r>
      <w:bookmarkEnd w:id="3"/>
      <w:r w:rsidRPr="000E326A">
        <w:rPr>
          <w:rFonts w:ascii="Times New Roman" w:hAnsi="Times New Roman" w:cs="Times New Roman"/>
          <w:sz w:val="24"/>
          <w:szCs w:val="24"/>
        </w:rPr>
        <w:t>22nd November).</w:t>
      </w:r>
    </w:p>
    <w:p w14:paraId="0F289787"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St Cyrus </w:t>
      </w:r>
      <w:r w:rsidRPr="000E326A">
        <w:rPr>
          <w:rFonts w:ascii="Times New Roman" w:hAnsi="Times New Roman" w:cs="Times New Roman"/>
          <w:b/>
          <w:bCs/>
          <w:sz w:val="24"/>
          <w:szCs w:val="24"/>
        </w:rPr>
        <w:t>eviction</w:t>
      </w:r>
      <w:r w:rsidRPr="000E326A">
        <w:rPr>
          <w:rFonts w:ascii="Times New Roman" w:hAnsi="Times New Roman" w:cs="Times New Roman"/>
          <w:sz w:val="24"/>
          <w:szCs w:val="24"/>
        </w:rPr>
        <w:t xml:space="preserve"> process “effectively put on hold” despite life and limb risk (</w:t>
      </w:r>
      <w:bookmarkStart w:id="4" w:name="_Hlk116892846"/>
      <w:r w:rsidRPr="000E326A">
        <w:rPr>
          <w:rFonts w:ascii="Times New Roman" w:hAnsi="Times New Roman" w:cs="Times New Roman"/>
          <w:sz w:val="24"/>
          <w:szCs w:val="24"/>
        </w:rPr>
        <w:t>DC Thomson Publishing, 2019. Courier, Online</w:t>
      </w:r>
      <w:bookmarkEnd w:id="4"/>
      <w:r w:rsidRPr="000E326A">
        <w:rPr>
          <w:rFonts w:ascii="Times New Roman" w:hAnsi="Times New Roman" w:cs="Times New Roman"/>
          <w:sz w:val="24"/>
          <w:szCs w:val="24"/>
        </w:rPr>
        <w:t xml:space="preserve"> 12th January).</w:t>
      </w:r>
    </w:p>
    <w:p w14:paraId="2349E013"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No end in sight for seven-year St Cyrus Travellers’ </w:t>
      </w:r>
      <w:r w:rsidRPr="000E326A">
        <w:rPr>
          <w:rFonts w:ascii="Times New Roman" w:hAnsi="Times New Roman" w:cs="Times New Roman"/>
          <w:b/>
          <w:bCs/>
          <w:sz w:val="24"/>
          <w:szCs w:val="24"/>
        </w:rPr>
        <w:t>saga</w:t>
      </w:r>
      <w:r w:rsidRPr="000E326A">
        <w:rPr>
          <w:rFonts w:ascii="Times New Roman" w:hAnsi="Times New Roman" w:cs="Times New Roman"/>
          <w:sz w:val="24"/>
          <w:szCs w:val="24"/>
        </w:rPr>
        <w:t xml:space="preserve"> after postponement of hearing to decide its </w:t>
      </w:r>
      <w:r w:rsidRPr="000E326A">
        <w:rPr>
          <w:rFonts w:ascii="Times New Roman" w:hAnsi="Times New Roman" w:cs="Times New Roman"/>
          <w:b/>
          <w:bCs/>
          <w:sz w:val="24"/>
          <w:szCs w:val="24"/>
        </w:rPr>
        <w:t>fate</w:t>
      </w:r>
      <w:r w:rsidRPr="000E326A">
        <w:rPr>
          <w:rFonts w:ascii="Times New Roman" w:hAnsi="Times New Roman" w:cs="Times New Roman"/>
          <w:sz w:val="24"/>
          <w:szCs w:val="24"/>
        </w:rPr>
        <w:t xml:space="preserve"> </w:t>
      </w:r>
      <w:bookmarkStart w:id="5" w:name="_Hlk116893015"/>
      <w:r w:rsidRPr="000E326A">
        <w:rPr>
          <w:rFonts w:ascii="Times New Roman" w:hAnsi="Times New Roman" w:cs="Times New Roman"/>
          <w:sz w:val="24"/>
          <w:szCs w:val="24"/>
        </w:rPr>
        <w:t xml:space="preserve">(DC Thomson Publishing, 2020. Courier, Online </w:t>
      </w:r>
      <w:bookmarkEnd w:id="5"/>
      <w:r w:rsidRPr="000E326A">
        <w:rPr>
          <w:rFonts w:ascii="Times New Roman" w:hAnsi="Times New Roman" w:cs="Times New Roman"/>
          <w:sz w:val="24"/>
          <w:szCs w:val="24"/>
        </w:rPr>
        <w:t>2nd April).</w:t>
      </w:r>
    </w:p>
    <w:p w14:paraId="6425FE0F"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b/>
          <w:bCs/>
          <w:sz w:val="24"/>
          <w:szCs w:val="24"/>
        </w:rPr>
        <w:t>Controversial</w:t>
      </w:r>
      <w:r w:rsidRPr="000E326A">
        <w:rPr>
          <w:rFonts w:ascii="Times New Roman" w:hAnsi="Times New Roman" w:cs="Times New Roman"/>
          <w:sz w:val="24"/>
          <w:szCs w:val="24"/>
        </w:rPr>
        <w:t xml:space="preserve"> St Cyrus Travellers’ site finally wins 10-year permission after lengthy planning </w:t>
      </w:r>
      <w:r w:rsidRPr="000E326A">
        <w:rPr>
          <w:rFonts w:ascii="Times New Roman" w:hAnsi="Times New Roman" w:cs="Times New Roman"/>
          <w:b/>
          <w:bCs/>
          <w:sz w:val="24"/>
          <w:szCs w:val="24"/>
        </w:rPr>
        <w:t xml:space="preserve">fight </w:t>
      </w:r>
      <w:r w:rsidRPr="000E326A">
        <w:rPr>
          <w:rFonts w:ascii="Times New Roman" w:hAnsi="Times New Roman" w:cs="Times New Roman"/>
          <w:sz w:val="24"/>
          <w:szCs w:val="24"/>
        </w:rPr>
        <w:t>(DC Thomson Publishing, 2021. Courier, Online 30th March).</w:t>
      </w:r>
    </w:p>
    <w:p w14:paraId="20907864"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Practitioners working directly with community members are in agreement vis a vis the dangers of the use of trigger words and inflammatory commentary.  Speaking of the impact of such selective reporting, in the North East of Scotland, a Gypsy/Traveller Liaison Officer connected an assault on two Gypsy/Traveller children in the local authority to the myths and stereotypes propagated by certain publications:</w:t>
      </w:r>
    </w:p>
    <w:p w14:paraId="6167603B" w14:textId="77777777" w:rsidR="00CF1E1A" w:rsidRPr="000E326A" w:rsidRDefault="00CF1E1A" w:rsidP="00CF1E1A">
      <w:pPr>
        <w:spacing w:line="240" w:lineRule="auto"/>
        <w:ind w:left="567" w:right="567"/>
        <w:jc w:val="both"/>
        <w:rPr>
          <w:rFonts w:ascii="Times New Roman" w:hAnsi="Times New Roman" w:cs="Times New Roman"/>
          <w:sz w:val="24"/>
          <w:szCs w:val="24"/>
        </w:rPr>
      </w:pPr>
      <w:r w:rsidRPr="000E326A">
        <w:rPr>
          <w:rFonts w:ascii="Times New Roman" w:hAnsi="Times New Roman" w:cs="Times New Roman"/>
          <w:sz w:val="24"/>
          <w:szCs w:val="24"/>
        </w:rPr>
        <w:t xml:space="preserve">People identify Gypsy/Travellers as an inconvenience, they don’t class them as human beings, look at the incident with the wee girls who were assaulted by an adult because they went to the public swimming pool and were told ‘your dad doesn’t pay tax, so you can’t use the swimming pool,’ it took the police a few hours to come out to that, it then went to court and it was thrown out, would that have been accepted anywhere else, would it have been in the paper also, yes it would have been, but it’s the fact that there was never any publicity about that, it was never ever mentioned about it, it was all played right down. </w:t>
      </w:r>
      <w:r w:rsidRPr="000E326A">
        <w:rPr>
          <w:rFonts w:ascii="Times New Roman" w:hAnsi="Times New Roman" w:cs="Times New Roman"/>
          <w:sz w:val="24"/>
          <w:szCs w:val="24"/>
          <w:vertAlign w:val="superscript"/>
        </w:rPr>
        <w:footnoteReference w:id="4"/>
      </w:r>
    </w:p>
    <w:p w14:paraId="55E39159"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A Planning Consultant representing Gypsy/Travellers in the local authority area and elsewhere in Scotland raised similar concerns.</w:t>
      </w:r>
    </w:p>
    <w:p w14:paraId="164BDBFA" w14:textId="77777777" w:rsidR="00CF1E1A" w:rsidRPr="000E326A" w:rsidRDefault="00CF1E1A" w:rsidP="00CF1E1A">
      <w:pPr>
        <w:spacing w:line="240" w:lineRule="auto"/>
        <w:ind w:left="567" w:right="567"/>
        <w:jc w:val="both"/>
        <w:rPr>
          <w:rFonts w:ascii="Times New Roman" w:hAnsi="Times New Roman" w:cs="Times New Roman"/>
          <w:sz w:val="24"/>
          <w:szCs w:val="24"/>
        </w:rPr>
      </w:pPr>
      <w:r w:rsidRPr="000E326A">
        <w:rPr>
          <w:rFonts w:ascii="Times New Roman" w:hAnsi="Times New Roman" w:cs="Times New Roman"/>
          <w:sz w:val="24"/>
          <w:szCs w:val="24"/>
        </w:rPr>
        <w:t xml:space="preserve">There’s no doubt about it […]When I first got involved with the Gypsy/Traveller community, I had the same myths in my head, and the same perceptions about what [the media] told you, there’s not enough education on the Gypsy/Travelling community, it’s the lowest common denominator; it’s the ones that make the mess, the ones who are violent and whose dogs bite your legs […] I’ve never been bitten by a dog on a Gypsy/Traveller encampment, all these myths and perceptions have got to go […] and  then we could actually start to integrate people, start to make that change. </w:t>
      </w:r>
      <w:r w:rsidRPr="000E326A">
        <w:rPr>
          <w:rFonts w:ascii="Times New Roman" w:hAnsi="Times New Roman" w:cs="Times New Roman"/>
          <w:sz w:val="24"/>
          <w:szCs w:val="24"/>
          <w:vertAlign w:val="superscript"/>
        </w:rPr>
        <w:footnoteReference w:id="5"/>
      </w:r>
    </w:p>
    <w:p w14:paraId="7742B4B9"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 xml:space="preserve">There can then be little doubt that certain sections of the mainstream media are </w:t>
      </w:r>
      <w:r w:rsidRPr="000E326A">
        <w:rPr>
          <w:rFonts w:ascii="Times New Roman" w:hAnsi="Times New Roman" w:cs="Times New Roman"/>
          <w:i/>
          <w:iCs/>
          <w:sz w:val="24"/>
          <w:szCs w:val="24"/>
        </w:rPr>
        <w:t>the</w:t>
      </w:r>
      <w:r w:rsidRPr="000E326A">
        <w:rPr>
          <w:rFonts w:ascii="Times New Roman" w:hAnsi="Times New Roman" w:cs="Times New Roman"/>
          <w:sz w:val="24"/>
          <w:szCs w:val="24"/>
        </w:rPr>
        <w:t xml:space="preserve"> key drivers of grotesque misrepresentations of Gypsy/Travellers, a practise which has served to further marginalise and dehumanise the community and through the reinforcement of messages and representations that, to some extent, are embodied in the policymaking and legislation processes have contributed to the situating of Gypsy/Travellers on the peripheries of society. </w:t>
      </w:r>
    </w:p>
    <w:p w14:paraId="551C122B" w14:textId="77777777" w:rsidR="00CF1E1A" w:rsidRPr="000E326A" w:rsidRDefault="00CF1E1A" w:rsidP="00CF1E1A">
      <w:pPr>
        <w:spacing w:line="240" w:lineRule="auto"/>
        <w:jc w:val="both"/>
        <w:rPr>
          <w:rFonts w:ascii="Times New Roman" w:hAnsi="Times New Roman" w:cs="Times New Roman"/>
          <w:sz w:val="24"/>
          <w:szCs w:val="24"/>
        </w:rPr>
      </w:pPr>
      <w:r w:rsidRPr="000E326A">
        <w:rPr>
          <w:rFonts w:ascii="Times New Roman" w:hAnsi="Times New Roman" w:cs="Times New Roman"/>
          <w:sz w:val="24"/>
          <w:szCs w:val="24"/>
        </w:rPr>
        <w:t>To conclude, the media have a duty to report ethically and in an unbiased fashion, on all</w:t>
      </w:r>
      <w:r w:rsidRPr="000E326A">
        <w:rPr>
          <w:rFonts w:ascii="Times New Roman" w:hAnsi="Times New Roman" w:cs="Times New Roman"/>
          <w:b/>
          <w:bCs/>
          <w:sz w:val="24"/>
          <w:szCs w:val="24"/>
        </w:rPr>
        <w:t xml:space="preserve"> </w:t>
      </w:r>
      <w:r w:rsidRPr="000E326A">
        <w:rPr>
          <w:rFonts w:ascii="Times New Roman" w:hAnsi="Times New Roman" w:cs="Times New Roman"/>
          <w:sz w:val="24"/>
          <w:szCs w:val="24"/>
        </w:rPr>
        <w:t xml:space="preserve">articles published.  This is not the case where reporting on our nomadic communities is concerned.  The media have a powerful voice and with willing they could be instrumental in changing, rather than fuelling, negative social representations of our Gypsy, Roma and Traveller communities. That said, it would be naive to suggest that ‘a word in the ear’ of editors and television producers would bring about a sea change in how Gypsy/Travellers are portrayed in some sections of the media so, in the absence of willing, we urge Governments to look to including a Prejudice Principle in national and international Press Codes of Conduct similar to that of the Press Council of Ireland’s which, </w:t>
      </w:r>
      <w:r w:rsidRPr="000E326A">
        <w:rPr>
          <w:rFonts w:ascii="Times New Roman" w:hAnsi="Times New Roman" w:cs="Times New Roman"/>
          <w:i/>
          <w:iCs/>
          <w:sz w:val="24"/>
          <w:szCs w:val="24"/>
        </w:rPr>
        <w:t>inter alia</w:t>
      </w:r>
      <w:r w:rsidRPr="000E326A">
        <w:rPr>
          <w:rFonts w:ascii="Times New Roman" w:hAnsi="Times New Roman" w:cs="Times New Roman"/>
          <w:sz w:val="24"/>
          <w:szCs w:val="24"/>
        </w:rPr>
        <w:t>, states that:</w:t>
      </w:r>
    </w:p>
    <w:p w14:paraId="30F1EA4B" w14:textId="77777777" w:rsidR="00CF1E1A" w:rsidRPr="000E326A" w:rsidRDefault="00CF1E1A" w:rsidP="00CF1E1A">
      <w:pPr>
        <w:spacing w:line="240" w:lineRule="auto"/>
        <w:ind w:left="567" w:right="567"/>
        <w:jc w:val="both"/>
        <w:rPr>
          <w:rFonts w:ascii="Times New Roman" w:hAnsi="Times New Roman" w:cs="Times New Roman"/>
          <w:sz w:val="24"/>
          <w:szCs w:val="24"/>
        </w:rPr>
      </w:pPr>
      <w:r w:rsidRPr="000E326A">
        <w:rPr>
          <w:rFonts w:ascii="Times New Roman" w:hAnsi="Times New Roman" w:cs="Times New Roman"/>
          <w:sz w:val="24"/>
          <w:szCs w:val="24"/>
        </w:rPr>
        <w:t xml:space="preserve">The press shall not publish material intended or likely to cause grave offence or stir up hatred against an individual or group on the basis of their race, religion, nationality, colour, ethnic origin, membership of the travelling community, gender, sexual orientation, marital status, disability, illness or age. </w:t>
      </w:r>
      <w:r w:rsidRPr="000E326A">
        <w:rPr>
          <w:rFonts w:ascii="Times New Roman" w:hAnsi="Times New Roman" w:cs="Times New Roman"/>
          <w:sz w:val="24"/>
          <w:szCs w:val="24"/>
          <w:vertAlign w:val="superscript"/>
        </w:rPr>
        <w:footnoteReference w:id="6"/>
      </w:r>
    </w:p>
    <w:p w14:paraId="4BB5FD96" w14:textId="77777777" w:rsidR="00CF1E1A" w:rsidRPr="000E326A" w:rsidRDefault="00CF1E1A" w:rsidP="00CF1E1A">
      <w:pPr>
        <w:spacing w:line="240" w:lineRule="auto"/>
        <w:jc w:val="both"/>
        <w:rPr>
          <w:rFonts w:ascii="Times New Roman" w:hAnsi="Times New Roman" w:cs="Times New Roman"/>
          <w:sz w:val="24"/>
          <w:szCs w:val="24"/>
        </w:rPr>
      </w:pPr>
    </w:p>
    <w:p w14:paraId="1FCE4221" w14:textId="77777777" w:rsidR="00CF1E1A" w:rsidRDefault="00CF1E1A" w:rsidP="00CF1E1A">
      <w:pPr>
        <w:spacing w:line="240" w:lineRule="auto"/>
        <w:jc w:val="both"/>
        <w:rPr>
          <w:rFonts w:ascii="Times New Roman" w:hAnsi="Times New Roman" w:cs="Times New Roman"/>
          <w:sz w:val="24"/>
          <w:szCs w:val="24"/>
        </w:rPr>
      </w:pPr>
    </w:p>
    <w:p w14:paraId="46CBAF46" w14:textId="77777777" w:rsidR="00CF1E1A" w:rsidRDefault="00CF1E1A" w:rsidP="00CF1E1A">
      <w:pPr>
        <w:spacing w:line="240" w:lineRule="auto"/>
        <w:jc w:val="both"/>
        <w:rPr>
          <w:rFonts w:ascii="Times New Roman" w:hAnsi="Times New Roman" w:cs="Times New Roman"/>
          <w:sz w:val="24"/>
          <w:szCs w:val="24"/>
        </w:rPr>
      </w:pPr>
    </w:p>
    <w:p w14:paraId="0F0FEE9E" w14:textId="77777777" w:rsidR="00CF1E1A" w:rsidRDefault="00CF1E1A" w:rsidP="00CF1E1A">
      <w:pPr>
        <w:spacing w:line="240" w:lineRule="auto"/>
        <w:jc w:val="both"/>
        <w:rPr>
          <w:rFonts w:ascii="Times New Roman" w:hAnsi="Times New Roman" w:cs="Times New Roman"/>
          <w:sz w:val="24"/>
          <w:szCs w:val="24"/>
        </w:rPr>
      </w:pPr>
    </w:p>
    <w:p w14:paraId="7141E33C" w14:textId="77777777" w:rsidR="00CF1E1A" w:rsidRDefault="00CF1E1A" w:rsidP="00CF1E1A">
      <w:pPr>
        <w:spacing w:line="240" w:lineRule="auto"/>
        <w:jc w:val="both"/>
        <w:rPr>
          <w:rFonts w:ascii="Times New Roman" w:hAnsi="Times New Roman" w:cs="Times New Roman"/>
          <w:sz w:val="24"/>
          <w:szCs w:val="24"/>
        </w:rPr>
      </w:pPr>
    </w:p>
    <w:p w14:paraId="07B76BB6" w14:textId="77777777" w:rsidR="00CF1E1A" w:rsidRDefault="00CF1E1A" w:rsidP="00CF1E1A">
      <w:pPr>
        <w:spacing w:line="240" w:lineRule="auto"/>
        <w:jc w:val="both"/>
        <w:rPr>
          <w:rFonts w:ascii="Times New Roman" w:hAnsi="Times New Roman" w:cs="Times New Roman"/>
          <w:sz w:val="24"/>
          <w:szCs w:val="24"/>
        </w:rPr>
      </w:pPr>
    </w:p>
    <w:p w14:paraId="22ABE2C9" w14:textId="77777777" w:rsidR="00CF1E1A" w:rsidRDefault="00CF1E1A" w:rsidP="00CF1E1A">
      <w:pPr>
        <w:spacing w:line="240" w:lineRule="auto"/>
        <w:jc w:val="both"/>
        <w:rPr>
          <w:rFonts w:ascii="Times New Roman" w:hAnsi="Times New Roman" w:cs="Times New Roman"/>
          <w:sz w:val="24"/>
          <w:szCs w:val="24"/>
        </w:rPr>
      </w:pPr>
    </w:p>
    <w:p w14:paraId="3727FF4E" w14:textId="77777777" w:rsidR="00CF1E1A" w:rsidRDefault="00CF1E1A" w:rsidP="00CF1E1A">
      <w:pPr>
        <w:spacing w:line="240" w:lineRule="auto"/>
        <w:jc w:val="both"/>
        <w:rPr>
          <w:rFonts w:ascii="Times New Roman" w:hAnsi="Times New Roman" w:cs="Times New Roman"/>
          <w:sz w:val="24"/>
          <w:szCs w:val="24"/>
        </w:rPr>
      </w:pPr>
    </w:p>
    <w:p w14:paraId="147A155A" w14:textId="77777777" w:rsidR="00CF1E1A" w:rsidRDefault="00CF1E1A" w:rsidP="00CF1E1A">
      <w:pPr>
        <w:spacing w:line="240" w:lineRule="auto"/>
        <w:jc w:val="both"/>
        <w:rPr>
          <w:rFonts w:ascii="Times New Roman" w:hAnsi="Times New Roman" w:cs="Times New Roman"/>
          <w:sz w:val="24"/>
          <w:szCs w:val="24"/>
        </w:rPr>
      </w:pPr>
    </w:p>
    <w:p w14:paraId="2A91D226" w14:textId="77777777" w:rsidR="00CF1E1A" w:rsidRDefault="00CF1E1A" w:rsidP="00CF1E1A">
      <w:pPr>
        <w:spacing w:line="240" w:lineRule="auto"/>
        <w:jc w:val="both"/>
        <w:rPr>
          <w:rFonts w:ascii="Times New Roman" w:hAnsi="Times New Roman" w:cs="Times New Roman"/>
          <w:sz w:val="24"/>
          <w:szCs w:val="24"/>
        </w:rPr>
      </w:pPr>
    </w:p>
    <w:p w14:paraId="3737B4FA" w14:textId="77777777" w:rsidR="00CF1E1A" w:rsidRDefault="00CF1E1A" w:rsidP="00CF1E1A">
      <w:pPr>
        <w:spacing w:line="240" w:lineRule="auto"/>
        <w:jc w:val="both"/>
        <w:rPr>
          <w:rFonts w:ascii="Times New Roman" w:hAnsi="Times New Roman" w:cs="Times New Roman"/>
          <w:sz w:val="24"/>
          <w:szCs w:val="24"/>
        </w:rPr>
      </w:pPr>
    </w:p>
    <w:p w14:paraId="6F26A4FF" w14:textId="77777777" w:rsidR="00CF1E1A" w:rsidRDefault="00CF1E1A" w:rsidP="00CF1E1A">
      <w:pPr>
        <w:spacing w:line="240" w:lineRule="auto"/>
        <w:jc w:val="both"/>
        <w:rPr>
          <w:rFonts w:ascii="Times New Roman" w:hAnsi="Times New Roman" w:cs="Times New Roman"/>
          <w:sz w:val="24"/>
          <w:szCs w:val="24"/>
        </w:rPr>
      </w:pPr>
    </w:p>
    <w:p w14:paraId="3894C419" w14:textId="77777777" w:rsidR="00CF1E1A" w:rsidRDefault="00CF1E1A" w:rsidP="00CF1E1A">
      <w:pPr>
        <w:spacing w:line="240" w:lineRule="auto"/>
        <w:jc w:val="both"/>
        <w:rPr>
          <w:rFonts w:ascii="Times New Roman" w:hAnsi="Times New Roman" w:cs="Times New Roman"/>
          <w:sz w:val="24"/>
          <w:szCs w:val="24"/>
        </w:rPr>
      </w:pPr>
    </w:p>
    <w:p w14:paraId="3E33B77E" w14:textId="77777777" w:rsidR="00CF1E1A" w:rsidRDefault="00CF1E1A" w:rsidP="00CF1E1A">
      <w:pPr>
        <w:spacing w:line="240" w:lineRule="auto"/>
        <w:jc w:val="both"/>
        <w:rPr>
          <w:rFonts w:ascii="Times New Roman" w:hAnsi="Times New Roman" w:cs="Times New Roman"/>
          <w:sz w:val="24"/>
          <w:szCs w:val="24"/>
        </w:rPr>
      </w:pPr>
    </w:p>
    <w:p w14:paraId="61133064" w14:textId="77777777" w:rsidR="00CF1E1A" w:rsidRDefault="00CF1E1A" w:rsidP="00CF1E1A">
      <w:pPr>
        <w:spacing w:line="240" w:lineRule="auto"/>
        <w:jc w:val="both"/>
        <w:rPr>
          <w:rFonts w:ascii="Times New Roman" w:hAnsi="Times New Roman" w:cs="Times New Roman"/>
          <w:sz w:val="24"/>
          <w:szCs w:val="24"/>
        </w:rPr>
      </w:pPr>
    </w:p>
    <w:p w14:paraId="38346171" w14:textId="77777777" w:rsidR="00CF1E1A" w:rsidRDefault="00CF1E1A" w:rsidP="00CF1E1A">
      <w:pPr>
        <w:spacing w:line="240" w:lineRule="auto"/>
        <w:jc w:val="both"/>
        <w:rPr>
          <w:rFonts w:ascii="Times New Roman" w:hAnsi="Times New Roman" w:cs="Times New Roman"/>
          <w:sz w:val="24"/>
          <w:szCs w:val="24"/>
        </w:rPr>
      </w:pPr>
    </w:p>
    <w:p w14:paraId="4C8B0238" w14:textId="77777777" w:rsidR="00CF1E1A" w:rsidRDefault="00CF1E1A" w:rsidP="00CF1E1A">
      <w:pPr>
        <w:spacing w:line="240" w:lineRule="auto"/>
        <w:jc w:val="both"/>
        <w:rPr>
          <w:rFonts w:ascii="Times New Roman" w:hAnsi="Times New Roman" w:cs="Times New Roman"/>
          <w:sz w:val="24"/>
          <w:szCs w:val="24"/>
        </w:rPr>
      </w:pPr>
    </w:p>
    <w:p w14:paraId="0BE0F3D7" w14:textId="77777777" w:rsidR="00CF1E1A" w:rsidRDefault="00CF1E1A" w:rsidP="00CF1E1A">
      <w:pPr>
        <w:spacing w:line="240" w:lineRule="auto"/>
        <w:jc w:val="both"/>
        <w:rPr>
          <w:rFonts w:ascii="Times New Roman" w:hAnsi="Times New Roman" w:cs="Times New Roman"/>
          <w:sz w:val="24"/>
          <w:szCs w:val="24"/>
        </w:rPr>
      </w:pPr>
    </w:p>
    <w:p w14:paraId="4FF73C3F" w14:textId="77777777" w:rsidR="00CF1E1A" w:rsidRDefault="00CF1E1A" w:rsidP="00CF1E1A">
      <w:pPr>
        <w:spacing w:line="240" w:lineRule="auto"/>
        <w:jc w:val="both"/>
        <w:rPr>
          <w:rFonts w:ascii="Times New Roman" w:hAnsi="Times New Roman" w:cs="Times New Roman"/>
          <w:sz w:val="24"/>
          <w:szCs w:val="24"/>
        </w:rPr>
      </w:pPr>
    </w:p>
    <w:p w14:paraId="5ACF1F1E" w14:textId="77777777" w:rsidR="00CF1E1A" w:rsidRDefault="00CF1E1A" w:rsidP="00CF1E1A">
      <w:pPr>
        <w:spacing w:line="240" w:lineRule="auto"/>
        <w:jc w:val="both"/>
        <w:rPr>
          <w:rFonts w:ascii="Times New Roman" w:hAnsi="Times New Roman" w:cs="Times New Roman"/>
          <w:b/>
          <w:bCs/>
          <w:color w:val="FF0000"/>
          <w:sz w:val="24"/>
          <w:szCs w:val="24"/>
        </w:rPr>
      </w:pPr>
      <w:bookmarkStart w:id="6" w:name="_Hlk120709470"/>
    </w:p>
    <w:p w14:paraId="56E9A0C2" w14:textId="77777777" w:rsidR="00CF1E1A" w:rsidRDefault="00CF1E1A" w:rsidP="00CF1E1A">
      <w:pPr>
        <w:spacing w:line="240" w:lineRule="auto"/>
        <w:jc w:val="both"/>
        <w:rPr>
          <w:rFonts w:ascii="Times New Roman" w:hAnsi="Times New Roman" w:cs="Times New Roman"/>
          <w:b/>
          <w:bCs/>
          <w:color w:val="FF0000"/>
          <w:sz w:val="24"/>
          <w:szCs w:val="24"/>
        </w:rPr>
      </w:pPr>
    </w:p>
    <w:p w14:paraId="5BC90AAA" w14:textId="77777777" w:rsidR="00CF1E1A" w:rsidRDefault="00CF1E1A" w:rsidP="00CF1E1A">
      <w:pPr>
        <w:spacing w:line="240" w:lineRule="auto"/>
        <w:jc w:val="both"/>
        <w:rPr>
          <w:rFonts w:ascii="Times New Roman" w:hAnsi="Times New Roman" w:cs="Times New Roman"/>
          <w:b/>
          <w:bCs/>
          <w:color w:val="FF0000"/>
          <w:sz w:val="24"/>
          <w:szCs w:val="24"/>
        </w:rPr>
      </w:pPr>
    </w:p>
    <w:p w14:paraId="4AAB13F1" w14:textId="77777777" w:rsidR="00CF1E1A" w:rsidRDefault="00CF1E1A" w:rsidP="00CF1E1A">
      <w:pPr>
        <w:spacing w:line="240" w:lineRule="auto"/>
        <w:jc w:val="both"/>
        <w:rPr>
          <w:rFonts w:ascii="Times New Roman" w:hAnsi="Times New Roman" w:cs="Times New Roman"/>
          <w:b/>
          <w:bCs/>
          <w:color w:val="FF0000"/>
          <w:sz w:val="24"/>
          <w:szCs w:val="24"/>
        </w:rPr>
      </w:pPr>
    </w:p>
    <w:p w14:paraId="2028EBE1" w14:textId="77777777" w:rsidR="00CF1E1A" w:rsidRPr="004D13FB" w:rsidRDefault="00CF1E1A" w:rsidP="00CF1E1A">
      <w:pPr>
        <w:spacing w:line="240" w:lineRule="auto"/>
        <w:jc w:val="both"/>
        <w:rPr>
          <w:rFonts w:ascii="Times New Roman" w:hAnsi="Times New Roman" w:cs="Times New Roman"/>
          <w:b/>
          <w:bCs/>
          <w:color w:val="FF0000"/>
          <w:sz w:val="24"/>
          <w:szCs w:val="24"/>
        </w:rPr>
      </w:pPr>
      <w:r w:rsidRPr="004D13FB">
        <w:rPr>
          <w:rFonts w:ascii="Times New Roman" w:hAnsi="Times New Roman" w:cs="Times New Roman"/>
          <w:b/>
          <w:bCs/>
          <w:color w:val="FF0000"/>
          <w:sz w:val="24"/>
          <w:szCs w:val="24"/>
        </w:rPr>
        <w:t xml:space="preserve">Appendix 3: Article 12 of the </w:t>
      </w:r>
      <w:r w:rsidRPr="004D13FB">
        <w:rPr>
          <w:rFonts w:ascii="Times New Roman" w:hAnsi="Times New Roman" w:cs="Times New Roman"/>
          <w:b/>
          <w:bCs/>
          <w:i/>
          <w:iCs/>
          <w:color w:val="FF0000"/>
          <w:sz w:val="24"/>
          <w:szCs w:val="24"/>
        </w:rPr>
        <w:t>UNCRC</w:t>
      </w:r>
      <w:r w:rsidRPr="004D13FB">
        <w:rPr>
          <w:rFonts w:ascii="Times New Roman" w:hAnsi="Times New Roman" w:cs="Times New Roman"/>
          <w:b/>
          <w:bCs/>
          <w:color w:val="FF0000"/>
          <w:sz w:val="24"/>
          <w:szCs w:val="24"/>
        </w:rPr>
        <w:t xml:space="preserve"> within working practice</w:t>
      </w:r>
    </w:p>
    <w:bookmarkEnd w:id="6"/>
    <w:p w14:paraId="5CEDDCB8" w14:textId="77777777" w:rsidR="00CF1E1A" w:rsidRDefault="00CF1E1A" w:rsidP="00CF1E1A">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What is the </w:t>
      </w:r>
      <w:r w:rsidRPr="00764386">
        <w:rPr>
          <w:rFonts w:ascii="Times New Roman" w:hAnsi="Times New Roman" w:cs="Times New Roman"/>
          <w:i/>
          <w:iCs/>
          <w:sz w:val="24"/>
          <w:szCs w:val="24"/>
        </w:rPr>
        <w:t>United Nations Convention on the Rights of the Child</w:t>
      </w:r>
      <w:r w:rsidRPr="00764386">
        <w:rPr>
          <w:rFonts w:ascii="Times New Roman" w:hAnsi="Times New Roman" w:cs="Times New Roman"/>
          <w:sz w:val="24"/>
          <w:szCs w:val="24"/>
        </w:rPr>
        <w:t xml:space="preserve"> [</w:t>
      </w:r>
      <w:r w:rsidRPr="00764386">
        <w:rPr>
          <w:rFonts w:ascii="Times New Roman" w:hAnsi="Times New Roman" w:cs="Times New Roman"/>
          <w:i/>
          <w:iCs/>
          <w:sz w:val="24"/>
          <w:szCs w:val="24"/>
        </w:rPr>
        <w:t>UNCRC</w:t>
      </w:r>
      <w:r w:rsidRPr="00764386">
        <w:rPr>
          <w:rFonts w:ascii="Times New Roman" w:hAnsi="Times New Roman" w:cs="Times New Roman"/>
          <w:sz w:val="24"/>
          <w:szCs w:val="24"/>
        </w:rPr>
        <w:t xml:space="preserve">]? </w:t>
      </w:r>
    </w:p>
    <w:p w14:paraId="2C3971B6" w14:textId="77777777" w:rsidR="00CF1E1A" w:rsidRDefault="00CF1E1A" w:rsidP="00CF1E1A">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The </w:t>
      </w:r>
      <w:r w:rsidRPr="00764386">
        <w:rPr>
          <w:rFonts w:ascii="Times New Roman" w:hAnsi="Times New Roman" w:cs="Times New Roman"/>
          <w:i/>
          <w:iCs/>
          <w:sz w:val="24"/>
          <w:szCs w:val="24"/>
        </w:rPr>
        <w:t>UNCRC</w:t>
      </w:r>
      <w:r w:rsidRPr="00764386">
        <w:rPr>
          <w:rFonts w:ascii="Times New Roman" w:hAnsi="Times New Roman" w:cs="Times New Roman"/>
          <w:sz w:val="24"/>
          <w:szCs w:val="24"/>
        </w:rPr>
        <w:t xml:space="preserve"> is an International Human Rights Treaty which grants all children and young people – up to the age of 18 – their fundamental rights. The </w:t>
      </w:r>
      <w:r w:rsidRPr="00764386">
        <w:rPr>
          <w:rFonts w:ascii="Times New Roman" w:hAnsi="Times New Roman" w:cs="Times New Roman"/>
          <w:i/>
          <w:iCs/>
          <w:sz w:val="24"/>
          <w:szCs w:val="24"/>
        </w:rPr>
        <w:t>UNCRC</w:t>
      </w:r>
      <w:r w:rsidRPr="00764386">
        <w:rPr>
          <w:rFonts w:ascii="Times New Roman" w:hAnsi="Times New Roman" w:cs="Times New Roman"/>
          <w:sz w:val="24"/>
          <w:szCs w:val="24"/>
        </w:rPr>
        <w:t xml:space="preserve"> has 54 Articles which cover all aspects of a child’s life, including: the definition of a child, the civil, political, economic, social and cultural rights that every child and young person is entitled to, and the responsibilities of adults and governments to ensure these rights are met. These rights are all interconnected, of equal importance and cannot be taken away – regardless of status, to do so is discrimination. </w:t>
      </w:r>
    </w:p>
    <w:p w14:paraId="32CC180D" w14:textId="77777777" w:rsidR="00CF1E1A" w:rsidRPr="00764386" w:rsidRDefault="00CF1E1A" w:rsidP="00CF1E1A">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u w:val="single"/>
        </w:rPr>
        <w:t xml:space="preserve">The underpinning principles of Article 12 of the </w:t>
      </w:r>
      <w:r w:rsidRPr="00764386">
        <w:rPr>
          <w:rFonts w:ascii="Times New Roman" w:hAnsi="Times New Roman" w:cs="Times New Roman"/>
          <w:i/>
          <w:iCs/>
          <w:sz w:val="24"/>
          <w:szCs w:val="24"/>
          <w:u w:val="single"/>
        </w:rPr>
        <w:t>UNCRC</w:t>
      </w:r>
      <w:r>
        <w:rPr>
          <w:rFonts w:ascii="Times New Roman" w:hAnsi="Times New Roman" w:cs="Times New Roman"/>
          <w:sz w:val="24"/>
          <w:szCs w:val="24"/>
        </w:rPr>
        <w:t>:</w:t>
      </w:r>
    </w:p>
    <w:p w14:paraId="5AC388C2" w14:textId="77777777" w:rsidR="00CF1E1A" w:rsidRDefault="00CF1E1A" w:rsidP="00CF1E1A">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Article 12 [respect for the views of the child]: </w:t>
      </w:r>
      <w:r w:rsidRPr="00764386">
        <w:rPr>
          <w:rFonts w:ascii="Times New Roman" w:hAnsi="Times New Roman" w:cs="Times New Roman"/>
          <w:i/>
          <w:iCs/>
          <w:sz w:val="24"/>
          <w:szCs w:val="24"/>
        </w:rPr>
        <w:t>every child has the right to express their views, feelings and wishes in all matters affecting them, and to have their views considered and taken seriously. This right applies at all times, for example during immigration proceedings, housing decisions or the child’s day-to-day home life</w:t>
      </w:r>
      <w:r w:rsidRPr="00764386">
        <w:rPr>
          <w:rFonts w:ascii="Times New Roman" w:hAnsi="Times New Roman" w:cs="Times New Roman"/>
          <w:sz w:val="24"/>
          <w:szCs w:val="24"/>
        </w:rPr>
        <w:t>.</w:t>
      </w:r>
      <w:r>
        <w:rPr>
          <w:rStyle w:val="FootnoteReference"/>
          <w:rFonts w:ascii="Times New Roman" w:hAnsi="Times New Roman" w:cs="Times New Roman"/>
          <w:sz w:val="24"/>
          <w:szCs w:val="24"/>
        </w:rPr>
        <w:footnoteReference w:id="7"/>
      </w:r>
    </w:p>
    <w:p w14:paraId="1A6252BF" w14:textId="77777777" w:rsidR="00CF1E1A" w:rsidRDefault="00CF1E1A" w:rsidP="00CF1E1A">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The underpinning principle of Article 12 of the </w:t>
      </w:r>
      <w:r w:rsidRPr="00764386">
        <w:rPr>
          <w:rFonts w:ascii="Times New Roman" w:hAnsi="Times New Roman" w:cs="Times New Roman"/>
          <w:i/>
          <w:iCs/>
          <w:sz w:val="24"/>
          <w:szCs w:val="24"/>
        </w:rPr>
        <w:t>UNCRC</w:t>
      </w:r>
      <w:r w:rsidRPr="00764386">
        <w:rPr>
          <w:rFonts w:ascii="Times New Roman" w:hAnsi="Times New Roman" w:cs="Times New Roman"/>
          <w:sz w:val="24"/>
          <w:szCs w:val="24"/>
        </w:rPr>
        <w:t xml:space="preserve"> is a young person’s right to voice an opinion, reflective of their own realities, on matters that affect them and to have that opinion taken into account in decision making processes that impact on their lives. Or, in other words, an environment that actively encourages the participation of young people by giving space and place to their freely expressed views and opinions. </w:t>
      </w:r>
    </w:p>
    <w:p w14:paraId="490D1BD0" w14:textId="77777777" w:rsidR="00CF1E1A" w:rsidRPr="00764386" w:rsidRDefault="00CF1E1A" w:rsidP="00CF1E1A">
      <w:pPr>
        <w:spacing w:line="240" w:lineRule="auto"/>
        <w:jc w:val="both"/>
        <w:rPr>
          <w:rFonts w:ascii="Times New Roman" w:hAnsi="Times New Roman" w:cs="Times New Roman"/>
          <w:sz w:val="24"/>
          <w:szCs w:val="24"/>
          <w:u w:val="single"/>
        </w:rPr>
      </w:pPr>
      <w:r w:rsidRPr="00764386">
        <w:rPr>
          <w:rFonts w:ascii="Times New Roman" w:hAnsi="Times New Roman" w:cs="Times New Roman"/>
          <w:sz w:val="24"/>
          <w:szCs w:val="24"/>
          <w:u w:val="single"/>
        </w:rPr>
        <w:t>Participation</w:t>
      </w:r>
    </w:p>
    <w:p w14:paraId="16F0DDC5" w14:textId="77777777" w:rsidR="00CF1E1A" w:rsidRDefault="00CF1E1A" w:rsidP="00CF1E1A">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Despite its common usage no single definition of participation has been widely agreed or accepted. Perhaps this lack of a common definition is reflective of an understanding that participation, and in particular the participation of young people, has different meaning to different people and is therefore difficult to define in generic terms. </w:t>
      </w:r>
    </w:p>
    <w:p w14:paraId="317894ED" w14:textId="77777777" w:rsidR="00CF1E1A" w:rsidRDefault="00CF1E1A" w:rsidP="00CF1E1A">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Some use the term consultation to describe participation, but given that consultation generally means asking, or being asked, for information or opinion the effect is an imbalance of power in that the individual seeking the information has control of both the agenda and the process. Therefore, whilst consultation can facilitate an individual's right to influence matters that affect them it cannot facilitate an individual's right to control their present or indeed future.</w:t>
      </w:r>
    </w:p>
    <w:p w14:paraId="79F61113" w14:textId="77777777" w:rsidR="00CF1E1A" w:rsidRDefault="00CF1E1A" w:rsidP="00CF1E1A">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Intergenerational power sharing is key to young people's participation. Power is shared through inclusion, capacity building and opportunities for young people to participate at all levels of society. Thus, participation is built on the principle of power sharing: </w:t>
      </w:r>
    </w:p>
    <w:p w14:paraId="6FFA02F4" w14:textId="77777777" w:rsidR="00CF1E1A" w:rsidRPr="00764386" w:rsidRDefault="00CF1E1A" w:rsidP="00CF1E1A">
      <w:pPr>
        <w:pStyle w:val="ListParagraph"/>
        <w:numPr>
          <w:ilvl w:val="0"/>
          <w:numId w:val="1"/>
        </w:num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Power with: Equality and respect for the hopes and aspirations of each and every individual; </w:t>
      </w:r>
    </w:p>
    <w:p w14:paraId="655050FC" w14:textId="77777777" w:rsidR="00CF1E1A" w:rsidRPr="00764386" w:rsidRDefault="00CF1E1A" w:rsidP="00CF1E1A">
      <w:pPr>
        <w:pStyle w:val="ListParagraph"/>
        <w:numPr>
          <w:ilvl w:val="0"/>
          <w:numId w:val="1"/>
        </w:num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Power to: Individuals have the opportunity to equip themselves with the skills and knowledge necessary to make informed life choices and to find, and assert, their position and role within family, community and society;</w:t>
      </w:r>
    </w:p>
    <w:p w14:paraId="553FC79C" w14:textId="77777777" w:rsidR="00CF1E1A" w:rsidRPr="00764386" w:rsidRDefault="00CF1E1A" w:rsidP="00CF1E1A">
      <w:pPr>
        <w:pStyle w:val="ListParagraph"/>
        <w:numPr>
          <w:ilvl w:val="0"/>
          <w:numId w:val="1"/>
        </w:num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Power within: Individuals build and mobilise their own capacities, are social actors, rather than passive subjects, and participate in decision making processes that affect their lives. </w:t>
      </w:r>
    </w:p>
    <w:p w14:paraId="0AD99360" w14:textId="77777777" w:rsidR="00CF1E1A" w:rsidRPr="00764386" w:rsidRDefault="00CF1E1A" w:rsidP="00CF1E1A">
      <w:pPr>
        <w:spacing w:line="240" w:lineRule="auto"/>
        <w:jc w:val="both"/>
        <w:rPr>
          <w:rFonts w:ascii="Times New Roman" w:hAnsi="Times New Roman" w:cs="Times New Roman"/>
          <w:sz w:val="24"/>
          <w:szCs w:val="24"/>
          <w:u w:val="single"/>
        </w:rPr>
      </w:pPr>
      <w:r w:rsidRPr="00764386">
        <w:rPr>
          <w:rFonts w:ascii="Times New Roman" w:hAnsi="Times New Roman" w:cs="Times New Roman"/>
          <w:sz w:val="24"/>
          <w:szCs w:val="24"/>
          <w:u w:val="single"/>
        </w:rPr>
        <w:t xml:space="preserve">The reflexive practitioner </w:t>
      </w:r>
    </w:p>
    <w:p w14:paraId="57F78C56" w14:textId="77777777" w:rsidR="00CF1E1A" w:rsidRDefault="00CF1E1A" w:rsidP="00CF1E1A">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The concept of the reflexive practitioner is central to the effective participation of young people. A reflexive practitioner is one who is aware of how their worldview and position can/does influence how people respond to them and their questioning and how that worldview or position shapes their approaches and practice and indeed their biases. Attending to our biases involves taking an objective look at our worldview and positioning and considering how this might impact on our ability to gain the trust and respect necessary to facilitate the free and meaningful participation of the young people we work for and with. </w:t>
      </w:r>
    </w:p>
    <w:p w14:paraId="4ECF9D80" w14:textId="77777777" w:rsidR="00CF1E1A" w:rsidRPr="00764386" w:rsidRDefault="00CF1E1A" w:rsidP="00CF1E1A">
      <w:pPr>
        <w:spacing w:line="240" w:lineRule="auto"/>
        <w:jc w:val="both"/>
        <w:rPr>
          <w:rFonts w:ascii="Times New Roman" w:hAnsi="Times New Roman" w:cs="Times New Roman"/>
          <w:i/>
          <w:iCs/>
          <w:sz w:val="24"/>
          <w:szCs w:val="24"/>
        </w:rPr>
      </w:pPr>
      <w:r w:rsidRPr="00764386">
        <w:rPr>
          <w:rFonts w:ascii="Times New Roman" w:hAnsi="Times New Roman" w:cs="Times New Roman"/>
          <w:i/>
          <w:iCs/>
          <w:sz w:val="24"/>
          <w:szCs w:val="24"/>
        </w:rPr>
        <w:t xml:space="preserve">"What I feel is fundamental and which I always apply to my work with young people, is to focus on their participation - I feel this is important and creates an open space for participants. I like to plan out sessions with young people, rather than planning sessions for them; they feel they have increased control around what they do, they are more comfortable, and they are participating throughout the whole process." </w:t>
      </w:r>
    </w:p>
    <w:p w14:paraId="0DDA24AD" w14:textId="77777777" w:rsidR="00CF1E1A" w:rsidRDefault="00CF1E1A" w:rsidP="00CF1E1A">
      <w:pPr>
        <w:spacing w:line="240" w:lineRule="auto"/>
        <w:jc w:val="both"/>
        <w:rPr>
          <w:rFonts w:ascii="Times New Roman" w:hAnsi="Times New Roman" w:cs="Times New Roman"/>
          <w:sz w:val="24"/>
          <w:szCs w:val="24"/>
        </w:rPr>
      </w:pPr>
      <w:r w:rsidRPr="00764386">
        <w:rPr>
          <w:rFonts w:ascii="Times New Roman" w:hAnsi="Times New Roman" w:cs="Times New Roman"/>
          <w:sz w:val="24"/>
          <w:szCs w:val="24"/>
        </w:rPr>
        <w:t xml:space="preserve">Bernadette Williamson, Development Worker: </w:t>
      </w:r>
      <w:r w:rsidRPr="00764386">
        <w:rPr>
          <w:rFonts w:ascii="Times New Roman" w:hAnsi="Times New Roman" w:cs="Times New Roman"/>
          <w:i/>
          <w:iCs/>
          <w:sz w:val="24"/>
          <w:szCs w:val="24"/>
        </w:rPr>
        <w:t>Article 12 in Scotland</w:t>
      </w:r>
      <w:r w:rsidRPr="00764386">
        <w:rPr>
          <w:rFonts w:ascii="Times New Roman" w:hAnsi="Times New Roman" w:cs="Times New Roman"/>
          <w:sz w:val="24"/>
          <w:szCs w:val="24"/>
        </w:rPr>
        <w:t>.</w:t>
      </w:r>
    </w:p>
    <w:p w14:paraId="04BDA6EA" w14:textId="77777777" w:rsidR="00CF1E1A" w:rsidRDefault="00CF1E1A" w:rsidP="00CF1E1A">
      <w:pPr>
        <w:spacing w:line="240" w:lineRule="auto"/>
        <w:jc w:val="both"/>
        <w:rPr>
          <w:rFonts w:ascii="Times New Roman" w:hAnsi="Times New Roman" w:cs="Times New Roman"/>
          <w:sz w:val="24"/>
          <w:szCs w:val="24"/>
        </w:rPr>
      </w:pPr>
    </w:p>
    <w:p w14:paraId="7AB91CF8" w14:textId="77777777" w:rsidR="00CF1E1A" w:rsidRDefault="00CF1E1A" w:rsidP="00CF1E1A">
      <w:pPr>
        <w:spacing w:line="240" w:lineRule="auto"/>
        <w:jc w:val="both"/>
        <w:rPr>
          <w:rFonts w:ascii="Times New Roman" w:hAnsi="Times New Roman" w:cs="Times New Roman"/>
          <w:sz w:val="24"/>
          <w:szCs w:val="24"/>
        </w:rPr>
      </w:pPr>
    </w:p>
    <w:p w14:paraId="2A995E9D" w14:textId="77777777" w:rsidR="00CF1E1A" w:rsidRDefault="00CF1E1A" w:rsidP="00CF1E1A">
      <w:pPr>
        <w:spacing w:line="240" w:lineRule="auto"/>
        <w:jc w:val="both"/>
        <w:rPr>
          <w:rFonts w:ascii="Times New Roman" w:hAnsi="Times New Roman" w:cs="Times New Roman"/>
          <w:sz w:val="24"/>
          <w:szCs w:val="24"/>
        </w:rPr>
      </w:pPr>
    </w:p>
    <w:p w14:paraId="58CF8513" w14:textId="77777777" w:rsidR="00CF1E1A" w:rsidRDefault="00CF1E1A" w:rsidP="00CF1E1A">
      <w:pPr>
        <w:spacing w:line="240" w:lineRule="auto"/>
        <w:jc w:val="both"/>
        <w:rPr>
          <w:rFonts w:ascii="Times New Roman" w:hAnsi="Times New Roman" w:cs="Times New Roman"/>
          <w:sz w:val="24"/>
          <w:szCs w:val="24"/>
        </w:rPr>
      </w:pPr>
    </w:p>
    <w:p w14:paraId="2C311427" w14:textId="77777777" w:rsidR="00CF1E1A" w:rsidRDefault="00CF1E1A" w:rsidP="00CF1E1A">
      <w:pPr>
        <w:spacing w:line="240" w:lineRule="auto"/>
        <w:jc w:val="both"/>
        <w:rPr>
          <w:rFonts w:ascii="Times New Roman" w:hAnsi="Times New Roman" w:cs="Times New Roman"/>
          <w:sz w:val="24"/>
          <w:szCs w:val="24"/>
        </w:rPr>
      </w:pPr>
    </w:p>
    <w:p w14:paraId="71DEE55F" w14:textId="77777777" w:rsidR="00CF1E1A" w:rsidRDefault="00CF1E1A" w:rsidP="00CF1E1A">
      <w:pPr>
        <w:spacing w:line="240" w:lineRule="auto"/>
        <w:jc w:val="both"/>
        <w:rPr>
          <w:rFonts w:ascii="Times New Roman" w:hAnsi="Times New Roman" w:cs="Times New Roman"/>
          <w:sz w:val="24"/>
          <w:szCs w:val="24"/>
        </w:rPr>
      </w:pPr>
    </w:p>
    <w:p w14:paraId="0F12591D" w14:textId="77777777" w:rsidR="00CF1E1A" w:rsidRDefault="00CF1E1A" w:rsidP="00CF1E1A">
      <w:pPr>
        <w:spacing w:line="240" w:lineRule="auto"/>
        <w:jc w:val="both"/>
        <w:rPr>
          <w:rFonts w:ascii="Times New Roman" w:hAnsi="Times New Roman" w:cs="Times New Roman"/>
          <w:sz w:val="24"/>
          <w:szCs w:val="24"/>
        </w:rPr>
      </w:pPr>
    </w:p>
    <w:p w14:paraId="4DF15AB7" w14:textId="77777777" w:rsidR="00CF1E1A" w:rsidRDefault="00CF1E1A" w:rsidP="00CF1E1A">
      <w:pPr>
        <w:spacing w:line="240" w:lineRule="auto"/>
        <w:jc w:val="both"/>
        <w:rPr>
          <w:rFonts w:ascii="Times New Roman" w:hAnsi="Times New Roman" w:cs="Times New Roman"/>
          <w:sz w:val="24"/>
          <w:szCs w:val="24"/>
        </w:rPr>
      </w:pPr>
    </w:p>
    <w:p w14:paraId="3F320CA0" w14:textId="77777777" w:rsidR="00CF1E1A" w:rsidRDefault="00CF1E1A" w:rsidP="00CF1E1A">
      <w:pPr>
        <w:spacing w:line="240" w:lineRule="auto"/>
        <w:jc w:val="both"/>
        <w:rPr>
          <w:rFonts w:ascii="Times New Roman" w:hAnsi="Times New Roman" w:cs="Times New Roman"/>
          <w:sz w:val="24"/>
          <w:szCs w:val="24"/>
        </w:rPr>
      </w:pPr>
    </w:p>
    <w:p w14:paraId="7E1B3069" w14:textId="77777777" w:rsidR="00CF1E1A" w:rsidRDefault="00CF1E1A" w:rsidP="00CF1E1A">
      <w:pPr>
        <w:spacing w:line="240" w:lineRule="auto"/>
        <w:jc w:val="both"/>
        <w:rPr>
          <w:rFonts w:ascii="Times New Roman" w:hAnsi="Times New Roman" w:cs="Times New Roman"/>
          <w:sz w:val="24"/>
          <w:szCs w:val="24"/>
        </w:rPr>
      </w:pPr>
    </w:p>
    <w:p w14:paraId="741D27A0" w14:textId="77777777" w:rsidR="00CF1E1A" w:rsidRDefault="00CF1E1A" w:rsidP="00CF1E1A">
      <w:pPr>
        <w:spacing w:line="240" w:lineRule="auto"/>
        <w:jc w:val="both"/>
        <w:rPr>
          <w:rFonts w:ascii="Times New Roman" w:hAnsi="Times New Roman" w:cs="Times New Roman"/>
          <w:sz w:val="24"/>
          <w:szCs w:val="24"/>
        </w:rPr>
      </w:pPr>
    </w:p>
    <w:p w14:paraId="1D860C27" w14:textId="77777777" w:rsidR="00CF1E1A" w:rsidRDefault="00CF1E1A" w:rsidP="00CF1E1A">
      <w:pPr>
        <w:spacing w:line="240" w:lineRule="auto"/>
        <w:jc w:val="both"/>
        <w:rPr>
          <w:rFonts w:ascii="Times New Roman" w:hAnsi="Times New Roman" w:cs="Times New Roman"/>
          <w:sz w:val="24"/>
          <w:szCs w:val="24"/>
        </w:rPr>
      </w:pPr>
    </w:p>
    <w:p w14:paraId="3A8D04B7" w14:textId="77777777" w:rsidR="00CF1E1A" w:rsidRDefault="00CF1E1A" w:rsidP="00CF1E1A">
      <w:pPr>
        <w:spacing w:line="240" w:lineRule="auto"/>
        <w:jc w:val="both"/>
        <w:rPr>
          <w:rFonts w:ascii="Times New Roman" w:hAnsi="Times New Roman" w:cs="Times New Roman"/>
          <w:sz w:val="24"/>
          <w:szCs w:val="24"/>
        </w:rPr>
      </w:pPr>
    </w:p>
    <w:p w14:paraId="4EFAC46F" w14:textId="77777777" w:rsidR="00CF1E1A" w:rsidRDefault="00CF1E1A" w:rsidP="00CF1E1A">
      <w:pPr>
        <w:spacing w:line="240" w:lineRule="auto"/>
        <w:jc w:val="both"/>
        <w:rPr>
          <w:rFonts w:ascii="Times New Roman" w:hAnsi="Times New Roman" w:cs="Times New Roman"/>
          <w:sz w:val="24"/>
          <w:szCs w:val="24"/>
        </w:rPr>
      </w:pPr>
    </w:p>
    <w:p w14:paraId="054EBC01" w14:textId="77777777" w:rsidR="00CF1E1A" w:rsidRDefault="00CF1E1A" w:rsidP="00CF1E1A">
      <w:pPr>
        <w:spacing w:line="240" w:lineRule="auto"/>
        <w:jc w:val="both"/>
        <w:rPr>
          <w:rFonts w:ascii="Times New Roman" w:hAnsi="Times New Roman" w:cs="Times New Roman"/>
          <w:sz w:val="24"/>
          <w:szCs w:val="24"/>
        </w:rPr>
      </w:pPr>
    </w:p>
    <w:p w14:paraId="388F387F" w14:textId="77777777" w:rsidR="00CF1E1A" w:rsidRDefault="00CF1E1A" w:rsidP="00CF1E1A">
      <w:pPr>
        <w:spacing w:line="240" w:lineRule="auto"/>
        <w:jc w:val="both"/>
        <w:rPr>
          <w:rFonts w:ascii="Times New Roman" w:hAnsi="Times New Roman" w:cs="Times New Roman"/>
          <w:sz w:val="24"/>
          <w:szCs w:val="24"/>
        </w:rPr>
      </w:pPr>
    </w:p>
    <w:p w14:paraId="69773A93" w14:textId="77777777" w:rsidR="00CF1E1A" w:rsidRDefault="00CF1E1A" w:rsidP="00CF1E1A">
      <w:pPr>
        <w:spacing w:line="240" w:lineRule="auto"/>
        <w:jc w:val="both"/>
        <w:rPr>
          <w:rFonts w:ascii="Times New Roman" w:hAnsi="Times New Roman" w:cs="Times New Roman"/>
          <w:sz w:val="24"/>
          <w:szCs w:val="24"/>
        </w:rPr>
      </w:pPr>
    </w:p>
    <w:p w14:paraId="1E0EFC76" w14:textId="77777777" w:rsidR="00CF1E1A" w:rsidRDefault="00CF1E1A" w:rsidP="00CF1E1A">
      <w:pPr>
        <w:spacing w:line="240" w:lineRule="auto"/>
        <w:jc w:val="both"/>
        <w:rPr>
          <w:rFonts w:ascii="Times New Roman" w:hAnsi="Times New Roman" w:cs="Times New Roman"/>
          <w:b/>
          <w:bCs/>
          <w:sz w:val="24"/>
          <w:szCs w:val="24"/>
        </w:rPr>
      </w:pPr>
    </w:p>
    <w:p w14:paraId="3FF7F34A" w14:textId="77777777" w:rsidR="00CF1E1A" w:rsidRDefault="00CF1E1A" w:rsidP="00CF1E1A">
      <w:pPr>
        <w:spacing w:line="240" w:lineRule="auto"/>
        <w:jc w:val="both"/>
        <w:rPr>
          <w:rFonts w:ascii="Times New Roman" w:hAnsi="Times New Roman" w:cs="Times New Roman"/>
          <w:b/>
          <w:bCs/>
          <w:sz w:val="24"/>
          <w:szCs w:val="24"/>
        </w:rPr>
      </w:pPr>
    </w:p>
    <w:p w14:paraId="263D2F1B" w14:textId="77777777" w:rsidR="00CF1E1A" w:rsidRDefault="00CF1E1A" w:rsidP="00CF1E1A">
      <w:pPr>
        <w:spacing w:line="240" w:lineRule="auto"/>
        <w:jc w:val="both"/>
        <w:rPr>
          <w:rFonts w:ascii="Times New Roman" w:hAnsi="Times New Roman" w:cs="Times New Roman"/>
          <w:b/>
          <w:bCs/>
          <w:sz w:val="24"/>
          <w:szCs w:val="24"/>
        </w:rPr>
      </w:pPr>
    </w:p>
    <w:p w14:paraId="1444F4C1" w14:textId="77777777" w:rsidR="00CF1E1A" w:rsidRDefault="00CF1E1A" w:rsidP="00CF1E1A">
      <w:pPr>
        <w:spacing w:line="240" w:lineRule="auto"/>
        <w:jc w:val="both"/>
        <w:rPr>
          <w:rFonts w:ascii="Times New Roman" w:hAnsi="Times New Roman" w:cs="Times New Roman"/>
          <w:b/>
          <w:bCs/>
          <w:sz w:val="24"/>
          <w:szCs w:val="24"/>
        </w:rPr>
      </w:pPr>
    </w:p>
    <w:p w14:paraId="346E50B4" w14:textId="77777777" w:rsidR="00CF1E1A" w:rsidRDefault="00CF1E1A" w:rsidP="00CF1E1A">
      <w:pPr>
        <w:spacing w:line="240" w:lineRule="auto"/>
        <w:jc w:val="both"/>
        <w:rPr>
          <w:rFonts w:ascii="Times New Roman" w:hAnsi="Times New Roman" w:cs="Times New Roman"/>
          <w:b/>
          <w:bCs/>
          <w:sz w:val="24"/>
          <w:szCs w:val="24"/>
        </w:rPr>
      </w:pPr>
    </w:p>
    <w:p w14:paraId="071AD2E6" w14:textId="77777777" w:rsidR="00CF1E1A" w:rsidRPr="004D13FB" w:rsidRDefault="00CF1E1A" w:rsidP="00CF1E1A">
      <w:pPr>
        <w:spacing w:line="240" w:lineRule="auto"/>
        <w:jc w:val="both"/>
        <w:rPr>
          <w:rFonts w:ascii="Times New Roman" w:hAnsi="Times New Roman" w:cs="Times New Roman"/>
          <w:b/>
          <w:bCs/>
          <w:color w:val="FF0000"/>
          <w:sz w:val="24"/>
          <w:szCs w:val="24"/>
        </w:rPr>
      </w:pPr>
      <w:r w:rsidRPr="004D13FB">
        <w:rPr>
          <w:rFonts w:ascii="Times New Roman" w:hAnsi="Times New Roman" w:cs="Times New Roman"/>
          <w:b/>
          <w:bCs/>
          <w:color w:val="FF0000"/>
          <w:sz w:val="24"/>
          <w:szCs w:val="24"/>
        </w:rPr>
        <w:t xml:space="preserve">Appendix 4: </w:t>
      </w:r>
      <w:r w:rsidRPr="004D13FB">
        <w:rPr>
          <w:rFonts w:ascii="Times New Roman" w:hAnsi="Times New Roman" w:cs="Times New Roman"/>
          <w:b/>
          <w:bCs/>
          <w:i/>
          <w:iCs/>
          <w:color w:val="FF0000"/>
          <w:sz w:val="24"/>
          <w:szCs w:val="24"/>
        </w:rPr>
        <w:t>United Nations Convention on the Rights of the Child</w:t>
      </w:r>
      <w:r w:rsidRPr="004D13FB">
        <w:rPr>
          <w:rFonts w:ascii="Times New Roman" w:hAnsi="Times New Roman" w:cs="Times New Roman"/>
          <w:b/>
          <w:bCs/>
          <w:color w:val="FF0000"/>
          <w:sz w:val="24"/>
          <w:szCs w:val="24"/>
        </w:rPr>
        <w:t xml:space="preserve"> [</w:t>
      </w:r>
      <w:r w:rsidRPr="004D13FB">
        <w:rPr>
          <w:rFonts w:ascii="Times New Roman" w:hAnsi="Times New Roman" w:cs="Times New Roman"/>
          <w:b/>
          <w:bCs/>
          <w:i/>
          <w:iCs/>
          <w:color w:val="FF0000"/>
          <w:sz w:val="24"/>
          <w:szCs w:val="24"/>
        </w:rPr>
        <w:t>UNCRC</w:t>
      </w:r>
      <w:r w:rsidRPr="004D13FB">
        <w:rPr>
          <w:rFonts w:ascii="Times New Roman" w:hAnsi="Times New Roman" w:cs="Times New Roman"/>
          <w:b/>
          <w:bCs/>
          <w:color w:val="FF0000"/>
          <w:sz w:val="24"/>
          <w:szCs w:val="24"/>
        </w:rPr>
        <w:t xml:space="preserve">] </w:t>
      </w:r>
    </w:p>
    <w:p w14:paraId="2B197C4D"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The following outlines the 54 Articles of the United Nations Convention on the Rights of the Child [UNCRC]. Articles 1 – 40 describe the rights that Governments must make sure young people have; Articles 41 – 54 describe the things that adults and Governments must do to make sure all young people realise all their rights. </w:t>
      </w:r>
    </w:p>
    <w:p w14:paraId="0BC25909"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1: Every young person under 18 years of age has all the rights in this Convention. </w:t>
      </w:r>
    </w:p>
    <w:p w14:paraId="39DE778D"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 The Convention applies to all young people under 18 years of age whatever their race, religion, abilities, whatever they think or say, whatever family they come from. </w:t>
      </w:r>
    </w:p>
    <w:p w14:paraId="269D286D"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 All organisations that work with or for young people should work towards what is best for each child or young person. </w:t>
      </w:r>
    </w:p>
    <w:p w14:paraId="7624AD05"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 Governments should work to make these rights available to all young people. </w:t>
      </w:r>
    </w:p>
    <w:p w14:paraId="780E8755"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5: Governments should respect the rights and responsibilities of families to direct and guide their children so that, as they grow, they learn to use their rights properly. </w:t>
      </w:r>
    </w:p>
    <w:p w14:paraId="606AC515"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6: All young people have the right to life. Governments should insure that young people survive and develop healthily. </w:t>
      </w:r>
    </w:p>
    <w:p w14:paraId="7B17A48C"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7: All young people have the right to a legally registered name, the right to a nationality and the right to know and, as far as possible, be cared for by their parents. </w:t>
      </w:r>
    </w:p>
    <w:p w14:paraId="55107A9B"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8: Governments should respect young people's rights to a name, a nationality and family ties. </w:t>
      </w:r>
    </w:p>
    <w:p w14:paraId="743C6DF0"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9: Young people should not be separated from their parents unless it is for their own good, for example: if a parent is mistreating or neglecting a young person. Young people whose parents have separated have the right to stay in contact with both parents, unless they may harm the young person. </w:t>
      </w:r>
    </w:p>
    <w:p w14:paraId="4D528407"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10: Families who live in different countries should be allowed to move between those countries so that parents and young people can stay in contact or get back together as a family. </w:t>
      </w:r>
    </w:p>
    <w:p w14:paraId="719FD37C"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11: Governments should take steps to stop young people being taken out of their own country illegally. </w:t>
      </w:r>
    </w:p>
    <w:p w14:paraId="1B813F2D"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12: Young people have the right to say what they think should happen when adults are making decisions that affect them, and to have their opinions taken into account. </w:t>
      </w:r>
    </w:p>
    <w:p w14:paraId="48615007"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13: Young people have the right to get and share information as long as the information is not damaging to them or others. </w:t>
      </w:r>
    </w:p>
    <w:p w14:paraId="5847FC9A"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14: Young people have the right to think and believe what they want and to practice their religion, as long as they are not stopping other people from enjoying their rights. Adults should guide young people on these matters. </w:t>
      </w:r>
    </w:p>
    <w:p w14:paraId="5CB2748A"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15: Young people have the right to meet together and to join organisations, as long as this does not stop other people from enjoying their rights. </w:t>
      </w:r>
    </w:p>
    <w:p w14:paraId="452DAEBF"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16: Young people have the right to privacy. The law should protect them from attacks against their way of life, their good name, their families and their homes. </w:t>
      </w:r>
    </w:p>
    <w:p w14:paraId="04959C59"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ARTICLE 17: Young people have the right to reliable information from the mass media. Television, radio and newspapers should provide information that young people can understand and should not promote materials that could harm young people.</w:t>
      </w:r>
    </w:p>
    <w:p w14:paraId="7A9BB654"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18: Both parents share responsibility for raising their children and should always consider what is best for their children. </w:t>
      </w:r>
    </w:p>
    <w:p w14:paraId="42AEB6F7"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19: Governments should ensure that young people are properly cared for and protect them from violence, abuse and neglect by their parents or anyone else who looks after them. </w:t>
      </w:r>
    </w:p>
    <w:p w14:paraId="43AE04B6"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20: Young people who cannot be looked after by their own families must be looked after properly by people who respect their religion, culture and language. </w:t>
      </w:r>
    </w:p>
    <w:p w14:paraId="05F791F0"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21: When young people are adopted the first concern must be what is best for them. The same rules should apply whether the young people are adopted in the country where they were born or taken to live in another country. </w:t>
      </w:r>
    </w:p>
    <w:p w14:paraId="05A6532C"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22: Young people who come into a country as refugees or asylum seekers should have the same rights as young people born in the country. </w:t>
      </w:r>
    </w:p>
    <w:p w14:paraId="58D16E30"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23: Young people who have any kind of disability should have special care and support so they can live full and independent lives. </w:t>
      </w:r>
    </w:p>
    <w:p w14:paraId="757D11E8"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24: Young people have the right to good quality health care and to clean water, nutritious food and a clean environment so that they will stay healthy. Rich countries should help poorer countries to achieve this. </w:t>
      </w:r>
    </w:p>
    <w:p w14:paraId="5A24F5C1"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25: Young people who are looked after by their local authority rather than their parents should have their situation reviewed regularly. </w:t>
      </w:r>
    </w:p>
    <w:p w14:paraId="56F4CC59"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26: The Government should provide extra money for young people from families in need. </w:t>
      </w:r>
    </w:p>
    <w:p w14:paraId="08504701"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27: Young people have a right to a standard of living that is good enough to meet their physical and mental needs. Governments should help families who cannot afford to provide this. </w:t>
      </w:r>
    </w:p>
    <w:p w14:paraId="0AC0AE95"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28: Young people have a right to an education. Discipline in schools should respect a young person's dignity. Primary education should be free. Wealthy countries should help poorer countries achieve this. </w:t>
      </w:r>
    </w:p>
    <w:p w14:paraId="1CF64CF8"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29: Education should develop each young person's personality and talents to the full. It should encourage young people to respect their parents, their own and other cultures. </w:t>
      </w:r>
    </w:p>
    <w:p w14:paraId="2FF37A78"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30: Young people have a right to learn and use the language and customs of their families, whether or not these are shared by the majority of the people in the country in which they live. </w:t>
      </w:r>
    </w:p>
    <w:p w14:paraId="2AAE2629"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31: All young people have a right to relax and play, and to join in a wide range of activities. </w:t>
      </w:r>
    </w:p>
    <w:p w14:paraId="75FAC131"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32: The Government should protect young people from work that is dangerous or might harm their health or their education. </w:t>
      </w:r>
    </w:p>
    <w:p w14:paraId="2FD26DE3"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33: The Government should provide ways of protecting young people from dangerous drugs. </w:t>
      </w:r>
    </w:p>
    <w:p w14:paraId="36CE6552"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34: The Government should protect young people from sexual abuse. </w:t>
      </w:r>
    </w:p>
    <w:p w14:paraId="2711DC0C"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35: The Government should make sure that young people are not abducted or sold. </w:t>
      </w:r>
    </w:p>
    <w:p w14:paraId="7333895B"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36: Young people should be protected from any activities that could harm their development. </w:t>
      </w:r>
    </w:p>
    <w:p w14:paraId="1B294F76"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37: Young people who break the law should not be treated cruelly. They should not be put in prison with adults and should be able to keep in contact with their families. </w:t>
      </w:r>
    </w:p>
    <w:p w14:paraId="1ADA2ED2"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38: Governments should not allow young people under the age of 15 to join the armed forces. Young people in war zones should receive special protection. </w:t>
      </w:r>
    </w:p>
    <w:p w14:paraId="3F42F6AC"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39: Young people who have been neglected or abused should receive special help to restore their self-respect. </w:t>
      </w:r>
    </w:p>
    <w:p w14:paraId="06FDE9CC"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40: Young people who are accused of breaking the law should receive legal help. Prison sentences for young people should only be used for the most serious offences. </w:t>
      </w:r>
    </w:p>
    <w:p w14:paraId="55FEEB42"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41: If the laws of a particular country protect young people better than the Convention then those laws should stay. </w:t>
      </w:r>
    </w:p>
    <w:p w14:paraId="2F942D00"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42: The Government should tell all adults and young people about the Convention. </w:t>
      </w:r>
    </w:p>
    <w:p w14:paraId="628F33A9"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43: A group of ten experts from all over the world [The Committee on the Rights of the Child] has been set up to make sure that Governments are doing all they can to give young people their rights. This group usually meet at the United Nations Headquarters in Geneva. </w:t>
      </w:r>
    </w:p>
    <w:p w14:paraId="2ABDD25B"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44: Governments have to submit their first report to The Committee on the Rights of the Child within two years of signing up to the Convention and on a five yearly basis after that. Government reports have to explain how they are making sure that all young people get the rights, and if they are not, why they are not. </w:t>
      </w:r>
    </w:p>
    <w:p w14:paraId="4F3BBF7B"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45: The Committee on the Rights of the Child can ask non-governmental organisations [NGOs], with an interest in or working with young people, their views and opinions on the state of children and young people's rights. Based on information received from Governments and NGOs The Committee on the Rights of the Child can make suggestions and recommendations as to how those Governments should improve the situation for children and young people. </w:t>
      </w:r>
    </w:p>
    <w:p w14:paraId="422DA408"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46: The Convention is open to all countries to sign up to. Signing up means that your Government agrees that the Convention is a good idea. </w:t>
      </w:r>
    </w:p>
    <w:p w14:paraId="6BFA9248"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47: The Convention is subject to ratification. Ratification means that your Government formally approves the Convention, meaning it agrees to put the articles of the Convention in to action in your country. Governments have to inform the United Nations of their decision to ratify. </w:t>
      </w:r>
    </w:p>
    <w:p w14:paraId="06CACA06"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48: The Convention is open for accession by any country. Accession means the formal acceptance of the Convention by your Government. Governments have to inform the United Nations of their decision. </w:t>
      </w:r>
    </w:p>
    <w:p w14:paraId="2CB4F104"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49: The Convention enters into force thirty days after a Government has informed the United Nations of its ratification or accession. This means that after thirty days the Government has a duty to ensure that all children and young people get their rights and to report back regularly to The Committee on the Rights of the Child. </w:t>
      </w:r>
    </w:p>
    <w:p w14:paraId="348F0012"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50: Any country can propose an amendment to the Convention. Any proposed amendment has to be considered and voted on by all countries who have signed up to the Convention. Agreed amendments only have to be adhered to by those countries that have voted for them. Those countries who did not vote in favour remain bound only by the original articles or any other amendments that they have voted for. </w:t>
      </w:r>
    </w:p>
    <w:p w14:paraId="6D026F4E"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51: Governments have the right to make certain reservations to their obligations as set out in the Convention. For example, a Government may reserve the right not to afford young people who come into a country as refugees or asylum seekers the same rights as young people born in the country [ARTICLE 22]. </w:t>
      </w:r>
    </w:p>
    <w:p w14:paraId="1174E917"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52: Governments can withdraw their agreement to apply the Convention. They have to inform the Secretary-General of the United Nations of their decision. Their withdrawal enters into force one year after their notification to the United Nations. </w:t>
      </w:r>
    </w:p>
    <w:p w14:paraId="4D1EE49B" w14:textId="77777777" w:rsidR="00CF1E1A"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 xml:space="preserve">ARTICLE 53: The Secretary-General of the United Nations is the person responsible for the Convention. </w:t>
      </w:r>
    </w:p>
    <w:p w14:paraId="3534F290" w14:textId="77777777" w:rsidR="00CF1E1A" w:rsidRPr="003155D9" w:rsidRDefault="00CF1E1A" w:rsidP="00CF1E1A">
      <w:pPr>
        <w:spacing w:line="240" w:lineRule="auto"/>
        <w:jc w:val="both"/>
        <w:rPr>
          <w:rFonts w:ascii="Times New Roman" w:hAnsi="Times New Roman" w:cs="Times New Roman"/>
          <w:sz w:val="24"/>
          <w:szCs w:val="24"/>
        </w:rPr>
      </w:pPr>
      <w:r w:rsidRPr="009537C8">
        <w:rPr>
          <w:rFonts w:ascii="Times New Roman" w:hAnsi="Times New Roman" w:cs="Times New Roman"/>
          <w:sz w:val="24"/>
          <w:szCs w:val="24"/>
        </w:rPr>
        <w:t>ARTICLE 54: The originals of the Convention, in English, Arabic, Chinese, French, Russian and Spanish languages, are held by the Secretary</w:t>
      </w:r>
      <w:r>
        <w:rPr>
          <w:rFonts w:ascii="Times New Roman" w:hAnsi="Times New Roman" w:cs="Times New Roman"/>
          <w:sz w:val="24"/>
          <w:szCs w:val="24"/>
        </w:rPr>
        <w:t>-</w:t>
      </w:r>
      <w:r w:rsidRPr="009537C8">
        <w:rPr>
          <w:rFonts w:ascii="Times New Roman" w:hAnsi="Times New Roman" w:cs="Times New Roman"/>
          <w:sz w:val="24"/>
          <w:szCs w:val="24"/>
        </w:rPr>
        <w:t>General of the United Nations.</w:t>
      </w:r>
    </w:p>
    <w:p w14:paraId="098936BF" w14:textId="77777777" w:rsidR="00787D10" w:rsidRDefault="00787D10"/>
    <w:sectPr w:rsidR="00787D10" w:rsidSect="00403D4C">
      <w:footerReference w:type="default" r:id="rId11"/>
      <w:footerReference w:type="firs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66D16" w14:textId="77777777" w:rsidR="00CF1E1A" w:rsidRDefault="00CF1E1A" w:rsidP="00CF1E1A">
      <w:pPr>
        <w:spacing w:after="0" w:line="240" w:lineRule="auto"/>
      </w:pPr>
      <w:r>
        <w:separator/>
      </w:r>
    </w:p>
  </w:endnote>
  <w:endnote w:type="continuationSeparator" w:id="0">
    <w:p w14:paraId="2C1599AB" w14:textId="77777777" w:rsidR="00CF1E1A" w:rsidRDefault="00CF1E1A" w:rsidP="00CF1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5464459"/>
      <w:docPartObj>
        <w:docPartGallery w:val="Page Numbers (Bottom of Page)"/>
        <w:docPartUnique/>
      </w:docPartObj>
    </w:sdtPr>
    <w:sdtEndPr>
      <w:rPr>
        <w:noProof/>
      </w:rPr>
    </w:sdtEndPr>
    <w:sdtContent>
      <w:p w14:paraId="3485B2ED" w14:textId="7D393799" w:rsidR="00CA7267" w:rsidRDefault="00704C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2DFECD" w14:textId="77777777" w:rsidR="00CA7267" w:rsidRDefault="00704C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338252"/>
      <w:docPartObj>
        <w:docPartGallery w:val="Page Numbers (Bottom of Page)"/>
        <w:docPartUnique/>
      </w:docPartObj>
    </w:sdtPr>
    <w:sdtEndPr>
      <w:rPr>
        <w:noProof/>
      </w:rPr>
    </w:sdtEndPr>
    <w:sdtContent>
      <w:p w14:paraId="4C5681A6" w14:textId="30F6A39E" w:rsidR="007C2143" w:rsidRDefault="00704C9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DB8AA8D" w14:textId="77777777" w:rsidR="007C2143" w:rsidRDefault="00704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449989" w14:textId="77777777" w:rsidR="00CF1E1A" w:rsidRDefault="00CF1E1A" w:rsidP="00CF1E1A">
      <w:pPr>
        <w:spacing w:after="0" w:line="240" w:lineRule="auto"/>
      </w:pPr>
      <w:r>
        <w:separator/>
      </w:r>
    </w:p>
  </w:footnote>
  <w:footnote w:type="continuationSeparator" w:id="0">
    <w:p w14:paraId="32D1AF8F" w14:textId="77777777" w:rsidR="00CF1E1A" w:rsidRDefault="00CF1E1A" w:rsidP="00CF1E1A">
      <w:pPr>
        <w:spacing w:after="0" w:line="240" w:lineRule="auto"/>
      </w:pPr>
      <w:r>
        <w:continuationSeparator/>
      </w:r>
    </w:p>
  </w:footnote>
  <w:footnote w:id="1">
    <w:p w14:paraId="4B4A5980" w14:textId="77777777" w:rsidR="00CF1E1A" w:rsidRDefault="00CF1E1A" w:rsidP="00CF1E1A">
      <w:pPr>
        <w:pStyle w:val="FootnoteText"/>
      </w:pPr>
      <w:r>
        <w:rPr>
          <w:rStyle w:val="FootnoteReference"/>
        </w:rPr>
        <w:footnoteRef/>
      </w:r>
      <w:r>
        <w:t xml:space="preserve"> Tammi, Lynne: </w:t>
      </w:r>
      <w:r w:rsidRPr="000800F1">
        <w:rPr>
          <w:i/>
          <w:iCs/>
        </w:rPr>
        <w:t>Across the great divide: The impact of digital inequality on Scotland’s Gypsy/Traveller children and young people during the COVID-19 emergency</w:t>
      </w:r>
      <w:r>
        <w:t xml:space="preserve">: </w:t>
      </w:r>
      <w:hyperlink r:id="rId1" w:history="1">
        <w:r w:rsidRPr="000E326A">
          <w:rPr>
            <w:rStyle w:val="Hyperlink"/>
          </w:rPr>
          <w:t>View of Across the great divide:The impact of digital inequality on Scotland’s Gypsy/Traveller children and young people during the COVID-19 emergency (hipatiapress.com)</w:t>
        </w:r>
      </w:hyperlink>
    </w:p>
  </w:footnote>
  <w:footnote w:id="2">
    <w:p w14:paraId="7E585F82" w14:textId="77777777" w:rsidR="00CF1E1A" w:rsidRPr="002415E6" w:rsidRDefault="00CF1E1A" w:rsidP="00CF1E1A">
      <w:pPr>
        <w:spacing w:after="0"/>
        <w:jc w:val="both"/>
        <w:rPr>
          <w:sz w:val="20"/>
          <w:szCs w:val="20"/>
        </w:rPr>
      </w:pPr>
      <w:r w:rsidRPr="002415E6">
        <w:rPr>
          <w:rStyle w:val="FootnoteReference"/>
          <w:sz w:val="20"/>
          <w:szCs w:val="20"/>
        </w:rPr>
        <w:footnoteRef/>
      </w:r>
      <w:r w:rsidRPr="002415E6">
        <w:rPr>
          <w:sz w:val="20"/>
          <w:szCs w:val="20"/>
        </w:rPr>
        <w:t xml:space="preserve"> Leveson Inquiry (2012) </w:t>
      </w:r>
      <w:r w:rsidRPr="002415E6">
        <w:rPr>
          <w:i/>
          <w:sz w:val="20"/>
          <w:szCs w:val="20"/>
        </w:rPr>
        <w:t>culture, practice and ethics of the press</w:t>
      </w:r>
      <w:r w:rsidRPr="002415E6">
        <w:rPr>
          <w:sz w:val="20"/>
          <w:szCs w:val="20"/>
        </w:rPr>
        <w:t>, the National Archives. Online at:</w:t>
      </w:r>
    </w:p>
    <w:p w14:paraId="1F550087" w14:textId="77777777" w:rsidR="00CF1E1A" w:rsidRPr="002415E6" w:rsidRDefault="00704C95" w:rsidP="00CF1E1A">
      <w:pPr>
        <w:spacing w:after="120"/>
        <w:jc w:val="both"/>
        <w:rPr>
          <w:color w:val="0000FF"/>
          <w:sz w:val="20"/>
          <w:szCs w:val="20"/>
          <w:u w:val="single"/>
        </w:rPr>
      </w:pPr>
      <w:hyperlink r:id="rId2" w:history="1">
        <w:r w:rsidR="00CF1E1A" w:rsidRPr="002415E6">
          <w:rPr>
            <w:rStyle w:val="Hyperlink"/>
            <w:sz w:val="20"/>
            <w:szCs w:val="20"/>
          </w:rPr>
          <w:t>http://webarchive.nationalarchives.gov.uk/20140122144906/http://www.levesoninquiry.org.uk/</w:t>
        </w:r>
      </w:hyperlink>
    </w:p>
  </w:footnote>
  <w:footnote w:id="3">
    <w:p w14:paraId="1B021017" w14:textId="77777777" w:rsidR="00CF1E1A" w:rsidRPr="002415E6" w:rsidRDefault="00CF1E1A" w:rsidP="00CF1E1A">
      <w:pPr>
        <w:spacing w:after="120"/>
        <w:jc w:val="both"/>
        <w:rPr>
          <w:sz w:val="20"/>
          <w:szCs w:val="20"/>
        </w:rPr>
      </w:pPr>
      <w:r w:rsidRPr="002415E6">
        <w:rPr>
          <w:rStyle w:val="FootnoteReference"/>
          <w:sz w:val="20"/>
          <w:szCs w:val="20"/>
        </w:rPr>
        <w:footnoteRef/>
      </w:r>
      <w:r w:rsidRPr="002415E6">
        <w:rPr>
          <w:sz w:val="20"/>
          <w:szCs w:val="20"/>
        </w:rPr>
        <w:t xml:space="preserve"> Cadger, B. (2017) </w:t>
      </w:r>
      <w:r w:rsidRPr="002415E6">
        <w:rPr>
          <w:i/>
          <w:sz w:val="20"/>
          <w:szCs w:val="20"/>
        </w:rPr>
        <w:t>Gypsy/Travellers and the Online Media</w:t>
      </w:r>
      <w:r w:rsidRPr="002415E6">
        <w:rPr>
          <w:sz w:val="20"/>
          <w:szCs w:val="20"/>
        </w:rPr>
        <w:t xml:space="preserve">.– </w:t>
      </w:r>
      <w:r w:rsidRPr="00295D8B">
        <w:rPr>
          <w:i/>
          <w:iCs/>
          <w:sz w:val="20"/>
          <w:szCs w:val="20"/>
        </w:rPr>
        <w:t>Consolidated Report</w:t>
      </w:r>
      <w:r w:rsidRPr="002415E6">
        <w:rPr>
          <w:sz w:val="20"/>
          <w:szCs w:val="20"/>
        </w:rPr>
        <w:t>, Article 12 in Scotland.</w:t>
      </w:r>
    </w:p>
    <w:p w14:paraId="392FFC0D" w14:textId="77777777" w:rsidR="00CF1E1A" w:rsidRDefault="00CF1E1A" w:rsidP="00CF1E1A">
      <w:pPr>
        <w:pStyle w:val="FootnoteText"/>
      </w:pPr>
    </w:p>
  </w:footnote>
  <w:footnote w:id="4">
    <w:p w14:paraId="00E55352" w14:textId="77777777" w:rsidR="00CF1E1A" w:rsidRPr="002415E6" w:rsidRDefault="00CF1E1A" w:rsidP="00CF1E1A">
      <w:pPr>
        <w:pStyle w:val="FootnoteText"/>
        <w:spacing w:after="120"/>
        <w:jc w:val="both"/>
      </w:pPr>
      <w:r w:rsidRPr="002415E6">
        <w:rPr>
          <w:rStyle w:val="FootnoteReference"/>
        </w:rPr>
        <w:footnoteRef/>
      </w:r>
      <w:r w:rsidRPr="002415E6">
        <w:t xml:space="preserve"> Tammi, </w:t>
      </w:r>
      <w:r>
        <w:t>L. (</w:t>
      </w:r>
      <w:r w:rsidRPr="002415E6">
        <w:t>2019</w:t>
      </w:r>
      <w:r>
        <w:t xml:space="preserve">) </w:t>
      </w:r>
      <w:r w:rsidRPr="00295D8B">
        <w:rPr>
          <w:i/>
          <w:iCs/>
        </w:rPr>
        <w:t>The Eternal Wanderers: Social Representations of Gypsy/Travellers</w:t>
      </w:r>
      <w:r>
        <w:t>, University of Dundee.</w:t>
      </w:r>
    </w:p>
  </w:footnote>
  <w:footnote w:id="5">
    <w:p w14:paraId="78BA2709" w14:textId="77777777" w:rsidR="00CF1E1A" w:rsidRDefault="00CF1E1A" w:rsidP="00CF1E1A">
      <w:pPr>
        <w:pStyle w:val="FootnoteText"/>
        <w:spacing w:after="120"/>
        <w:jc w:val="both"/>
      </w:pPr>
      <w:r w:rsidRPr="002415E6">
        <w:rPr>
          <w:rStyle w:val="FootnoteReference"/>
        </w:rPr>
        <w:footnoteRef/>
      </w:r>
      <w:r w:rsidRPr="002415E6">
        <w:t xml:space="preserve"> Ibid</w:t>
      </w:r>
    </w:p>
  </w:footnote>
  <w:footnote w:id="6">
    <w:p w14:paraId="18787198" w14:textId="77777777" w:rsidR="00CF1E1A" w:rsidRPr="002415E6" w:rsidRDefault="00CF1E1A" w:rsidP="00CF1E1A">
      <w:pPr>
        <w:pStyle w:val="FootnoteText"/>
        <w:jc w:val="both"/>
      </w:pPr>
      <w:r w:rsidRPr="002415E6">
        <w:rPr>
          <w:rStyle w:val="FootnoteReference"/>
        </w:rPr>
        <w:footnoteRef/>
      </w:r>
      <w:r w:rsidRPr="002415E6">
        <w:t xml:space="preserve"> The Press Council of Ireland. Online at: </w:t>
      </w:r>
      <w:hyperlink r:id="rId3" w:history="1">
        <w:r w:rsidRPr="002415E6">
          <w:rPr>
            <w:rStyle w:val="Hyperlink"/>
          </w:rPr>
          <w:t>https://www.presscouncil.ie/press-council-of-ireland/code-of-practice</w:t>
        </w:r>
      </w:hyperlink>
    </w:p>
    <w:p w14:paraId="5FAA93D5" w14:textId="77777777" w:rsidR="00CF1E1A" w:rsidRDefault="00CF1E1A" w:rsidP="00CF1E1A">
      <w:pPr>
        <w:pStyle w:val="FootnoteText"/>
      </w:pPr>
    </w:p>
  </w:footnote>
  <w:footnote w:id="7">
    <w:p w14:paraId="2DF63463" w14:textId="77777777" w:rsidR="00CF1E1A" w:rsidRDefault="00CF1E1A" w:rsidP="00CF1E1A">
      <w:pPr>
        <w:pStyle w:val="FootnoteText"/>
      </w:pPr>
      <w:r>
        <w:rPr>
          <w:rStyle w:val="FootnoteReference"/>
        </w:rPr>
        <w:footnoteRef/>
      </w:r>
      <w:r>
        <w:t xml:space="preserve"> </w:t>
      </w:r>
      <w:r w:rsidRPr="00A009FA">
        <w:rPr>
          <w:i/>
          <w:iCs/>
        </w:rPr>
        <w:t>UNICEF</w:t>
      </w:r>
      <w:r w:rsidRPr="00764386">
        <w:t xml:space="preserve">: A summary of the </w:t>
      </w:r>
      <w:r w:rsidRPr="00A009FA">
        <w:rPr>
          <w:i/>
          <w:iCs/>
        </w:rPr>
        <w:t>UN Convention on the Rights of the Child</w:t>
      </w:r>
      <w:r w:rsidRPr="00764386">
        <w:t xml:space="preserve">: </w:t>
      </w:r>
      <w:hyperlink r:id="rId4" w:history="1">
        <w:r w:rsidRPr="00A06053">
          <w:rPr>
            <w:rStyle w:val="Hyperlink"/>
          </w:rPr>
          <w:t>https://downloads.unicef.org.uk/wpcontent/uploads/2010/05/UNCRC_summary.pdf</w:t>
        </w:r>
      </w:hyperlink>
    </w:p>
    <w:p w14:paraId="594483EB" w14:textId="77777777" w:rsidR="00CF1E1A" w:rsidRDefault="00CF1E1A" w:rsidP="00CF1E1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A3C2C"/>
    <w:multiLevelType w:val="hybridMultilevel"/>
    <w:tmpl w:val="5C64F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E1A"/>
    <w:rsid w:val="00503116"/>
    <w:rsid w:val="00704C95"/>
    <w:rsid w:val="00787D10"/>
    <w:rsid w:val="00CF1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61FF5"/>
  <w15:chartTrackingRefBased/>
  <w15:docId w15:val="{F30688DE-AC09-451C-A238-DC563747E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1E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1E1A"/>
    <w:rPr>
      <w:color w:val="0563C1" w:themeColor="hyperlink"/>
      <w:u w:val="single"/>
    </w:rPr>
  </w:style>
  <w:style w:type="paragraph" w:styleId="FootnoteText">
    <w:name w:val="footnote text"/>
    <w:basedOn w:val="Normal"/>
    <w:link w:val="FootnoteTextChar"/>
    <w:uiPriority w:val="99"/>
    <w:semiHidden/>
    <w:unhideWhenUsed/>
    <w:rsid w:val="00CF1E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1E1A"/>
    <w:rPr>
      <w:sz w:val="20"/>
      <w:szCs w:val="20"/>
    </w:rPr>
  </w:style>
  <w:style w:type="character" w:styleId="FootnoteReference">
    <w:name w:val="footnote reference"/>
    <w:basedOn w:val="DefaultParagraphFont"/>
    <w:uiPriority w:val="99"/>
    <w:semiHidden/>
    <w:unhideWhenUsed/>
    <w:rsid w:val="00CF1E1A"/>
    <w:rPr>
      <w:vertAlign w:val="superscript"/>
    </w:rPr>
  </w:style>
  <w:style w:type="paragraph" w:styleId="ListParagraph">
    <w:name w:val="List Paragraph"/>
    <w:basedOn w:val="Normal"/>
    <w:uiPriority w:val="34"/>
    <w:qFormat/>
    <w:rsid w:val="00CF1E1A"/>
    <w:pPr>
      <w:ind w:left="720"/>
      <w:contextualSpacing/>
    </w:pPr>
  </w:style>
  <w:style w:type="paragraph" w:styleId="Footer">
    <w:name w:val="footer"/>
    <w:basedOn w:val="Normal"/>
    <w:link w:val="FooterChar"/>
    <w:uiPriority w:val="99"/>
    <w:unhideWhenUsed/>
    <w:rsid w:val="00CF1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rticle12.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presscouncil.ie/press-council-of-ireland/code-of-practice" TargetMode="External"/><Relationship Id="rId2" Type="http://schemas.openxmlformats.org/officeDocument/2006/relationships/hyperlink" Target="http://webarchive.nationalarchives.gov.uk/20140122144906/http://www.levesoninquiry.org.uk/" TargetMode="External"/><Relationship Id="rId1" Type="http://schemas.openxmlformats.org/officeDocument/2006/relationships/hyperlink" Target="https://hipatiapress.com/hpjournals/index.php/ijrs/article/view/6301/3183" TargetMode="External"/><Relationship Id="rId4" Type="http://schemas.openxmlformats.org/officeDocument/2006/relationships/hyperlink" Target="https://downloads.unicef.org.uk/wpcontent/uploads/2010/05/UNCRC_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69650-F628-4B83-BE8F-7FCDF2C1B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4496</Words>
  <Characters>23518</Characters>
  <Application>Microsoft Office Word</Application>
  <DocSecurity>0</DocSecurity>
  <Lines>322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A12</dc:creator>
  <cp:keywords/>
  <dc:description/>
  <cp:lastModifiedBy>BOIT James</cp:lastModifiedBy>
  <cp:revision>2</cp:revision>
  <dcterms:created xsi:type="dcterms:W3CDTF">2023-04-25T13:16:00Z</dcterms:created>
  <dcterms:modified xsi:type="dcterms:W3CDTF">2023-04-25T13:16:00Z</dcterms:modified>
</cp:coreProperties>
</file>