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457A4" w14:textId="704EA325" w:rsidR="00837152" w:rsidRPr="00674CFD" w:rsidRDefault="00837152" w:rsidP="00D83763">
      <w:pPr>
        <w:pStyle w:val="HMG"/>
        <w:pBdr>
          <w:top w:val="single" w:sz="4" w:space="1" w:color="auto"/>
        </w:pBdr>
        <w:spacing w:line="240" w:lineRule="auto"/>
        <w:ind w:left="0" w:right="1133" w:firstLine="0"/>
        <w:rPr>
          <w:sz w:val="48"/>
          <w:szCs w:val="48"/>
        </w:rPr>
      </w:pPr>
      <w:r w:rsidRPr="00674CFD">
        <w:rPr>
          <w:noProof/>
          <w:lang w:val="en-US"/>
        </w:rPr>
        <w:drawing>
          <wp:inline distT="0" distB="0" distL="0" distR="0" wp14:anchorId="403077CE" wp14:editId="4A52D5CC">
            <wp:extent cx="2054831" cy="1209402"/>
            <wp:effectExtent l="0" t="0" r="3175" b="0"/>
            <wp:docPr id="1411142518" name="Picture 1411142518"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940495" name="Picture 1" descr="A blue and black text&#10;&#10;Description automatically generated"/>
                    <pic:cNvPicPr/>
                  </pic:nvPicPr>
                  <pic:blipFill rotWithShape="1">
                    <a:blip r:embed="rId11"/>
                    <a:srcRect l="8713" t="26121" r="8194" b="24973"/>
                    <a:stretch/>
                  </pic:blipFill>
                  <pic:spPr bwMode="auto">
                    <a:xfrm>
                      <a:off x="0" y="0"/>
                      <a:ext cx="2062974" cy="1214194"/>
                    </a:xfrm>
                    <a:prstGeom prst="rect">
                      <a:avLst/>
                    </a:prstGeom>
                    <a:ln>
                      <a:noFill/>
                    </a:ln>
                    <a:extLst>
                      <a:ext uri="{53640926-AAD7-44D8-BBD7-CCE9431645EC}">
                        <a14:shadowObscured xmlns:a14="http://schemas.microsoft.com/office/drawing/2010/main"/>
                      </a:ext>
                    </a:extLst>
                  </pic:spPr>
                </pic:pic>
              </a:graphicData>
            </a:graphic>
          </wp:inline>
        </w:drawing>
      </w:r>
    </w:p>
    <w:p w14:paraId="06B28341" w14:textId="0AA59A2B" w:rsidR="00837152" w:rsidRPr="00674CFD" w:rsidRDefault="00837152" w:rsidP="00D83763">
      <w:pPr>
        <w:pStyle w:val="HMG"/>
        <w:pBdr>
          <w:top w:val="single" w:sz="4" w:space="1" w:color="auto"/>
        </w:pBdr>
        <w:spacing w:before="0" w:line="240" w:lineRule="auto"/>
        <w:ind w:left="0" w:right="1133" w:firstLine="0"/>
        <w:rPr>
          <w:sz w:val="36"/>
          <w:szCs w:val="36"/>
        </w:rPr>
      </w:pPr>
      <w:r w:rsidRPr="00674CFD">
        <w:rPr>
          <w:sz w:val="36"/>
          <w:szCs w:val="36"/>
        </w:rPr>
        <w:t xml:space="preserve">Shadow Report on the Information Received by the CEDAW Committee from </w:t>
      </w:r>
      <w:r w:rsidR="002D05D9" w:rsidRPr="00674CFD">
        <w:rPr>
          <w:sz w:val="36"/>
          <w:szCs w:val="36"/>
        </w:rPr>
        <w:t xml:space="preserve">the </w:t>
      </w:r>
      <w:r w:rsidRPr="00674CFD">
        <w:rPr>
          <w:sz w:val="36"/>
          <w:szCs w:val="36"/>
        </w:rPr>
        <w:t>Maldives</w:t>
      </w:r>
      <w:r w:rsidR="002D05D9" w:rsidRPr="00674CFD">
        <w:rPr>
          <w:sz w:val="36"/>
          <w:szCs w:val="36"/>
        </w:rPr>
        <w:t xml:space="preserve"> Government</w:t>
      </w:r>
      <w:r w:rsidRPr="00674CFD">
        <w:rPr>
          <w:sz w:val="36"/>
          <w:szCs w:val="36"/>
        </w:rPr>
        <w:t xml:space="preserve"> on </w:t>
      </w:r>
      <w:r w:rsidR="002D05D9" w:rsidRPr="00674CFD">
        <w:rPr>
          <w:sz w:val="36"/>
          <w:szCs w:val="36"/>
        </w:rPr>
        <w:t>F</w:t>
      </w:r>
      <w:r w:rsidRPr="00674CFD">
        <w:rPr>
          <w:sz w:val="36"/>
          <w:szCs w:val="36"/>
        </w:rPr>
        <w:t>ollow-</w:t>
      </w:r>
      <w:r w:rsidR="002D05D9" w:rsidRPr="00674CFD">
        <w:rPr>
          <w:sz w:val="36"/>
          <w:szCs w:val="36"/>
        </w:rPr>
        <w:t>U</w:t>
      </w:r>
      <w:r w:rsidRPr="00674CFD">
        <w:rPr>
          <w:sz w:val="36"/>
          <w:szCs w:val="36"/>
        </w:rPr>
        <w:t>p to the Concluding Observations on its Sixth Periodic Report</w:t>
      </w:r>
    </w:p>
    <w:p w14:paraId="6DEA595A" w14:textId="58B26511" w:rsidR="00671AB5" w:rsidRPr="00674CFD" w:rsidRDefault="00837152" w:rsidP="00D83763">
      <w:pPr>
        <w:suppressAutoHyphens w:val="0"/>
        <w:spacing w:line="276" w:lineRule="auto"/>
        <w:rPr>
          <w:bCs/>
          <w:sz w:val="22"/>
          <w:szCs w:val="22"/>
        </w:rPr>
      </w:pPr>
      <w:r w:rsidRPr="00674CFD">
        <w:rPr>
          <w:bCs/>
          <w:sz w:val="22"/>
          <w:szCs w:val="22"/>
        </w:rPr>
        <w:t xml:space="preserve">Date of Submission: </w:t>
      </w:r>
      <w:r w:rsidR="00744134">
        <w:rPr>
          <w:bCs/>
          <w:sz w:val="22"/>
          <w:szCs w:val="22"/>
        </w:rPr>
        <w:t>8</w:t>
      </w:r>
      <w:r w:rsidRPr="00674CFD">
        <w:rPr>
          <w:bCs/>
          <w:sz w:val="22"/>
          <w:szCs w:val="22"/>
        </w:rPr>
        <w:t xml:space="preserve"> January 2024</w:t>
      </w:r>
      <w:r w:rsidRPr="00674CFD">
        <w:rPr>
          <w:bCs/>
          <w:sz w:val="22"/>
          <w:szCs w:val="22"/>
        </w:rPr>
        <w:tab/>
      </w:r>
      <w:r w:rsidRPr="00674CFD">
        <w:rPr>
          <w:bCs/>
          <w:sz w:val="22"/>
          <w:szCs w:val="22"/>
        </w:rPr>
        <w:tab/>
      </w:r>
      <w:r w:rsidR="00F11F47" w:rsidRPr="00674CFD">
        <w:rPr>
          <w:bCs/>
          <w:sz w:val="22"/>
          <w:szCs w:val="22"/>
        </w:rPr>
        <w:tab/>
      </w:r>
      <w:r w:rsidR="00F11F47" w:rsidRPr="00674CFD">
        <w:rPr>
          <w:bCs/>
          <w:sz w:val="22"/>
          <w:szCs w:val="22"/>
        </w:rPr>
        <w:tab/>
      </w:r>
      <w:r w:rsidR="00F11F47" w:rsidRPr="00674CFD">
        <w:rPr>
          <w:bCs/>
          <w:sz w:val="22"/>
          <w:szCs w:val="22"/>
        </w:rPr>
        <w:tab/>
      </w:r>
      <w:proofErr w:type="gramStart"/>
      <w:r w:rsidR="00F11F47" w:rsidRPr="00674CFD">
        <w:rPr>
          <w:bCs/>
          <w:sz w:val="22"/>
          <w:szCs w:val="22"/>
        </w:rPr>
        <w:tab/>
        <w:t xml:space="preserve">  Word</w:t>
      </w:r>
      <w:proofErr w:type="gramEnd"/>
      <w:r w:rsidR="00F11F47" w:rsidRPr="00674CFD">
        <w:rPr>
          <w:bCs/>
          <w:sz w:val="22"/>
          <w:szCs w:val="22"/>
        </w:rPr>
        <w:t xml:space="preserve"> count: 3</w:t>
      </w:r>
      <w:r w:rsidR="00744134">
        <w:rPr>
          <w:bCs/>
          <w:sz w:val="22"/>
          <w:szCs w:val="22"/>
        </w:rPr>
        <w:t>380</w:t>
      </w:r>
      <w:r w:rsidR="00F11F47" w:rsidRPr="00674CFD">
        <w:rPr>
          <w:bCs/>
          <w:sz w:val="22"/>
          <w:szCs w:val="22"/>
        </w:rPr>
        <w:t xml:space="preserve"> words</w:t>
      </w:r>
    </w:p>
    <w:p w14:paraId="23E30E8D" w14:textId="77777777" w:rsidR="00837152" w:rsidRPr="00674CFD" w:rsidRDefault="00837152" w:rsidP="00D83763">
      <w:pPr>
        <w:pBdr>
          <w:top w:val="single" w:sz="4" w:space="1" w:color="auto"/>
        </w:pBdr>
        <w:suppressAutoHyphens w:val="0"/>
        <w:spacing w:line="240" w:lineRule="auto"/>
        <w:ind w:right="1133"/>
        <w:rPr>
          <w:b/>
          <w:sz w:val="22"/>
          <w:szCs w:val="22"/>
        </w:rPr>
      </w:pPr>
    </w:p>
    <w:p w14:paraId="522688F8" w14:textId="77777777" w:rsidR="00837152" w:rsidRPr="00674CFD" w:rsidRDefault="00837152" w:rsidP="00D83763">
      <w:pPr>
        <w:pStyle w:val="H1G"/>
        <w:spacing w:line="240" w:lineRule="auto"/>
        <w:rPr>
          <w:sz w:val="22"/>
          <w:szCs w:val="22"/>
        </w:rPr>
      </w:pPr>
      <w:bookmarkStart w:id="0" w:name="_Toc10640669"/>
      <w:r w:rsidRPr="00674CFD">
        <w:rPr>
          <w:sz w:val="22"/>
          <w:szCs w:val="22"/>
        </w:rPr>
        <w:t>Introduction</w:t>
      </w:r>
    </w:p>
    <w:p w14:paraId="7D678197" w14:textId="69488D44" w:rsidR="00E80843" w:rsidRPr="00674CFD" w:rsidRDefault="00837152" w:rsidP="00D83763">
      <w:pPr>
        <w:pStyle w:val="H1G"/>
        <w:spacing w:line="240" w:lineRule="auto"/>
        <w:jc w:val="both"/>
        <w:rPr>
          <w:b w:val="0"/>
          <w:bCs/>
          <w:sz w:val="22"/>
          <w:szCs w:val="22"/>
        </w:rPr>
      </w:pPr>
      <w:r w:rsidRPr="00674CFD">
        <w:rPr>
          <w:b w:val="0"/>
          <w:bCs/>
          <w:sz w:val="22"/>
          <w:szCs w:val="22"/>
        </w:rPr>
        <w:tab/>
      </w:r>
      <w:r w:rsidRPr="00674CFD">
        <w:rPr>
          <w:b w:val="0"/>
          <w:bCs/>
          <w:sz w:val="22"/>
          <w:szCs w:val="22"/>
        </w:rPr>
        <w:tab/>
        <w:t>Maldives has been party to the Convention on the Elimination of All Forms of Discrimination Against Women (CEDAW)</w:t>
      </w:r>
      <w:r w:rsidRPr="00674CFD">
        <w:rPr>
          <w:sz w:val="22"/>
          <w:szCs w:val="22"/>
        </w:rPr>
        <w:t xml:space="preserve"> </w:t>
      </w:r>
      <w:r w:rsidRPr="00674CFD">
        <w:rPr>
          <w:b w:val="0"/>
          <w:bCs/>
          <w:sz w:val="22"/>
          <w:szCs w:val="22"/>
        </w:rPr>
        <w:t>since 1993 and is currently under review for the 6</w:t>
      </w:r>
      <w:r w:rsidRPr="00674CFD">
        <w:rPr>
          <w:b w:val="0"/>
          <w:bCs/>
          <w:sz w:val="22"/>
          <w:szCs w:val="22"/>
          <w:vertAlign w:val="superscript"/>
        </w:rPr>
        <w:t>th</w:t>
      </w:r>
      <w:r w:rsidRPr="00674CFD">
        <w:rPr>
          <w:b w:val="0"/>
          <w:bCs/>
          <w:sz w:val="22"/>
          <w:szCs w:val="22"/>
        </w:rPr>
        <w:t xml:space="preserve"> Periodic Report submitted by the State in April 2019. </w:t>
      </w:r>
      <w:r w:rsidR="002338F2" w:rsidRPr="00674CFD">
        <w:rPr>
          <w:b w:val="0"/>
          <w:bCs/>
          <w:sz w:val="22"/>
          <w:szCs w:val="22"/>
        </w:rPr>
        <w:t>This is</w:t>
      </w:r>
      <w:r w:rsidRPr="00674CFD">
        <w:rPr>
          <w:b w:val="0"/>
          <w:bCs/>
          <w:sz w:val="22"/>
          <w:szCs w:val="22"/>
        </w:rPr>
        <w:t xml:space="preserve"> a shadow report </w:t>
      </w:r>
      <w:r w:rsidR="002338F2" w:rsidRPr="00674CFD">
        <w:rPr>
          <w:b w:val="0"/>
          <w:bCs/>
          <w:sz w:val="22"/>
          <w:szCs w:val="22"/>
        </w:rPr>
        <w:t>on the</w:t>
      </w:r>
      <w:r w:rsidRPr="00674CFD">
        <w:rPr>
          <w:b w:val="0"/>
          <w:bCs/>
          <w:sz w:val="22"/>
          <w:szCs w:val="22"/>
        </w:rPr>
        <w:t xml:space="preserve"> “</w:t>
      </w:r>
      <w:r w:rsidRPr="00674CFD">
        <w:rPr>
          <w:b w:val="0"/>
          <w:bCs/>
          <w:i/>
          <w:iCs/>
          <w:sz w:val="22"/>
          <w:szCs w:val="22"/>
        </w:rPr>
        <w:t>Information received from Maldives on follow-up to the concluding observations on its sixth periodic report</w:t>
      </w:r>
      <w:r w:rsidR="002338F2" w:rsidRPr="00674CFD">
        <w:rPr>
          <w:b w:val="0"/>
          <w:bCs/>
          <w:i/>
          <w:iCs/>
          <w:sz w:val="22"/>
          <w:szCs w:val="22"/>
        </w:rPr>
        <w:t xml:space="preserve"> (Dated: 24 November 2023)</w:t>
      </w:r>
      <w:r w:rsidRPr="00674CFD">
        <w:rPr>
          <w:b w:val="0"/>
          <w:bCs/>
          <w:sz w:val="22"/>
          <w:szCs w:val="22"/>
        </w:rPr>
        <w:t xml:space="preserve">” and provides </w:t>
      </w:r>
      <w:r w:rsidR="000145D2">
        <w:rPr>
          <w:b w:val="0"/>
          <w:bCs/>
          <w:sz w:val="22"/>
          <w:szCs w:val="22"/>
        </w:rPr>
        <w:t>our</w:t>
      </w:r>
      <w:r w:rsidRPr="00674CFD">
        <w:rPr>
          <w:b w:val="0"/>
          <w:bCs/>
          <w:sz w:val="22"/>
          <w:szCs w:val="22"/>
        </w:rPr>
        <w:t xml:space="preserve"> commentary on the State Party’s interim replies to the recommendations contained in paragraph 28 (a), (b), (</w:t>
      </w:r>
      <w:proofErr w:type="spellStart"/>
      <w:r w:rsidRPr="00674CFD">
        <w:rPr>
          <w:b w:val="0"/>
          <w:bCs/>
          <w:sz w:val="22"/>
          <w:szCs w:val="22"/>
        </w:rPr>
        <w:t>i</w:t>
      </w:r>
      <w:proofErr w:type="spellEnd"/>
      <w:r w:rsidRPr="00674CFD">
        <w:rPr>
          <w:b w:val="0"/>
          <w:bCs/>
          <w:sz w:val="22"/>
          <w:szCs w:val="22"/>
        </w:rPr>
        <w:t>) and 54 (e) of the concluding observations (CEDAW/C/</w:t>
      </w:r>
      <w:r w:rsidR="00B8305F">
        <w:rPr>
          <w:b w:val="0"/>
          <w:bCs/>
          <w:sz w:val="22"/>
          <w:szCs w:val="22"/>
        </w:rPr>
        <w:t>MDV/</w:t>
      </w:r>
      <w:r w:rsidRPr="00674CFD">
        <w:rPr>
          <w:b w:val="0"/>
          <w:bCs/>
          <w:sz w:val="22"/>
          <w:szCs w:val="22"/>
        </w:rPr>
        <w:t xml:space="preserve">CO/6).  </w:t>
      </w:r>
    </w:p>
    <w:p w14:paraId="55620D3D" w14:textId="0D2C73EA" w:rsidR="00E80843" w:rsidRPr="00674CFD" w:rsidRDefault="00E80843" w:rsidP="00D83763">
      <w:pPr>
        <w:pStyle w:val="H1G"/>
        <w:spacing w:line="240" w:lineRule="auto"/>
        <w:jc w:val="both"/>
        <w:rPr>
          <w:sz w:val="22"/>
          <w:szCs w:val="22"/>
        </w:rPr>
      </w:pPr>
      <w:r w:rsidRPr="00674CFD">
        <w:rPr>
          <w:sz w:val="22"/>
          <w:szCs w:val="22"/>
        </w:rPr>
        <w:t>About Equal Rights Initiative (ERI)</w:t>
      </w:r>
    </w:p>
    <w:p w14:paraId="7E9317ED" w14:textId="2BC72AA7" w:rsidR="00E80843" w:rsidRPr="00674CFD" w:rsidRDefault="00E80843" w:rsidP="00D83763">
      <w:pPr>
        <w:pStyle w:val="H1G"/>
        <w:spacing w:line="240" w:lineRule="auto"/>
        <w:jc w:val="both"/>
        <w:rPr>
          <w:b w:val="0"/>
          <w:bCs/>
          <w:sz w:val="22"/>
          <w:szCs w:val="22"/>
        </w:rPr>
      </w:pPr>
      <w:r w:rsidRPr="00674CFD">
        <w:rPr>
          <w:sz w:val="22"/>
          <w:szCs w:val="22"/>
        </w:rPr>
        <w:tab/>
      </w:r>
      <w:r w:rsidRPr="00674CFD">
        <w:rPr>
          <w:sz w:val="22"/>
          <w:szCs w:val="22"/>
        </w:rPr>
        <w:tab/>
      </w:r>
      <w:r w:rsidRPr="00674CFD">
        <w:rPr>
          <w:b w:val="0"/>
          <w:bCs/>
          <w:sz w:val="22"/>
          <w:szCs w:val="22"/>
        </w:rPr>
        <w:t xml:space="preserve">This Report is prepared by the Equal Rights Initiative (ERI), a registered non-governmental organisation (NGO) in the Maldives, working towards the achievement of international human rights standards, with a key focus on women's equality, security, and empowerment. In the past </w:t>
      </w:r>
      <w:r w:rsidR="00A649BC" w:rsidRPr="00674CFD">
        <w:rPr>
          <w:b w:val="0"/>
          <w:bCs/>
          <w:sz w:val="22"/>
          <w:szCs w:val="22"/>
        </w:rPr>
        <w:t xml:space="preserve">five </w:t>
      </w:r>
      <w:r w:rsidRPr="00674CFD">
        <w:rPr>
          <w:b w:val="0"/>
          <w:bCs/>
          <w:sz w:val="22"/>
          <w:szCs w:val="22"/>
        </w:rPr>
        <w:t>years, ERI has conducted multiple programmes o</w:t>
      </w:r>
      <w:r w:rsidR="009C0ACB">
        <w:rPr>
          <w:b w:val="0"/>
          <w:bCs/>
          <w:sz w:val="22"/>
          <w:szCs w:val="22"/>
        </w:rPr>
        <w:t>n</w:t>
      </w:r>
      <w:r w:rsidRPr="00674CFD">
        <w:rPr>
          <w:b w:val="0"/>
          <w:bCs/>
          <w:sz w:val="22"/>
          <w:szCs w:val="22"/>
        </w:rPr>
        <w:t xml:space="preserve"> women’s empowerment, legal</w:t>
      </w:r>
      <w:r w:rsidR="009C0ACB">
        <w:rPr>
          <w:b w:val="0"/>
          <w:bCs/>
          <w:sz w:val="22"/>
          <w:szCs w:val="22"/>
        </w:rPr>
        <w:t xml:space="preserve">, access to justice, </w:t>
      </w:r>
      <w:r w:rsidRPr="00674CFD">
        <w:rPr>
          <w:b w:val="0"/>
          <w:bCs/>
          <w:sz w:val="22"/>
          <w:szCs w:val="22"/>
        </w:rPr>
        <w:t>human rights awareness, and justice education, through</w:t>
      </w:r>
      <w:r w:rsidR="00D83763">
        <w:rPr>
          <w:b w:val="0"/>
          <w:bCs/>
          <w:sz w:val="22"/>
          <w:szCs w:val="22"/>
        </w:rPr>
        <w:t xml:space="preserve"> various</w:t>
      </w:r>
      <w:r w:rsidRPr="00674CFD">
        <w:rPr>
          <w:b w:val="0"/>
          <w:bCs/>
          <w:sz w:val="22"/>
          <w:szCs w:val="22"/>
        </w:rPr>
        <w:t xml:space="preserve"> outreach, research, </w:t>
      </w:r>
      <w:r w:rsidR="009C0ACB">
        <w:rPr>
          <w:b w:val="0"/>
          <w:bCs/>
          <w:sz w:val="22"/>
          <w:szCs w:val="22"/>
        </w:rPr>
        <w:t xml:space="preserve">and </w:t>
      </w:r>
      <w:r w:rsidRPr="00674CFD">
        <w:rPr>
          <w:b w:val="0"/>
          <w:bCs/>
          <w:sz w:val="22"/>
          <w:szCs w:val="22"/>
        </w:rPr>
        <w:t>advocacy</w:t>
      </w:r>
      <w:r w:rsidR="009C0ACB">
        <w:rPr>
          <w:b w:val="0"/>
          <w:bCs/>
          <w:sz w:val="22"/>
          <w:szCs w:val="22"/>
        </w:rPr>
        <w:t xml:space="preserve"> programs.</w:t>
      </w:r>
    </w:p>
    <w:p w14:paraId="4D543E23" w14:textId="5DA57BD4" w:rsidR="00E80843" w:rsidRPr="00674CFD" w:rsidRDefault="00E80843" w:rsidP="00D83763">
      <w:pPr>
        <w:pStyle w:val="H1G"/>
        <w:spacing w:line="240" w:lineRule="auto"/>
        <w:ind w:left="0" w:firstLine="0"/>
        <w:rPr>
          <w:sz w:val="22"/>
          <w:szCs w:val="22"/>
        </w:rPr>
      </w:pPr>
      <w:r w:rsidRPr="00674CFD">
        <w:rPr>
          <w:sz w:val="22"/>
          <w:szCs w:val="22"/>
        </w:rPr>
        <w:t xml:space="preserve">ERI </w:t>
      </w:r>
      <w:r w:rsidR="001B3865">
        <w:rPr>
          <w:sz w:val="22"/>
          <w:szCs w:val="22"/>
        </w:rPr>
        <w:t>Commentary on</w:t>
      </w:r>
      <w:r w:rsidR="008A1FC9" w:rsidRPr="00674CFD">
        <w:rPr>
          <w:sz w:val="22"/>
          <w:szCs w:val="22"/>
        </w:rPr>
        <w:t xml:space="preserve"> the </w:t>
      </w:r>
      <w:r w:rsidRPr="00674CFD">
        <w:rPr>
          <w:sz w:val="22"/>
          <w:szCs w:val="22"/>
        </w:rPr>
        <w:t>Interim Replies</w:t>
      </w:r>
      <w:r w:rsidR="008A1FC9" w:rsidRPr="00674CFD">
        <w:rPr>
          <w:sz w:val="22"/>
          <w:szCs w:val="22"/>
        </w:rPr>
        <w:t xml:space="preserve"> </w:t>
      </w:r>
      <w:r w:rsidRPr="00674CFD">
        <w:rPr>
          <w:sz w:val="22"/>
          <w:szCs w:val="22"/>
        </w:rPr>
        <w:t xml:space="preserve">from the Government of the Maldives on follow-up to </w:t>
      </w:r>
      <w:r w:rsidR="00BE4783" w:rsidRPr="00674CFD">
        <w:rPr>
          <w:sz w:val="22"/>
          <w:szCs w:val="22"/>
        </w:rPr>
        <w:t>Specific</w:t>
      </w:r>
      <w:r w:rsidRPr="00674CFD">
        <w:rPr>
          <w:sz w:val="22"/>
          <w:szCs w:val="22"/>
        </w:rPr>
        <w:t xml:space="preserve"> Concluding Observations on the Sixth Periodic Report</w:t>
      </w:r>
    </w:p>
    <w:p w14:paraId="77F5A0B3" w14:textId="580ED2BA" w:rsidR="00671AB5" w:rsidRPr="00674CFD" w:rsidRDefault="00C169AB" w:rsidP="00D83763">
      <w:pPr>
        <w:pStyle w:val="H1G"/>
        <w:spacing w:line="276" w:lineRule="auto"/>
        <w:rPr>
          <w:sz w:val="22"/>
          <w:szCs w:val="22"/>
        </w:rPr>
      </w:pPr>
      <w:r w:rsidRPr="00674CFD">
        <w:rPr>
          <w:sz w:val="22"/>
          <w:szCs w:val="22"/>
        </w:rPr>
        <w:tab/>
      </w:r>
      <w:r w:rsidR="00671AB5" w:rsidRPr="00674CFD">
        <w:rPr>
          <w:sz w:val="22"/>
          <w:szCs w:val="22"/>
        </w:rPr>
        <w:t>A.</w:t>
      </w:r>
      <w:r w:rsidR="00671AB5" w:rsidRPr="00674CFD">
        <w:rPr>
          <w:sz w:val="22"/>
          <w:szCs w:val="22"/>
        </w:rPr>
        <w:tab/>
      </w:r>
      <w:r w:rsidR="00837152" w:rsidRPr="00674CFD">
        <w:rPr>
          <w:sz w:val="22"/>
          <w:szCs w:val="22"/>
        </w:rPr>
        <w:tab/>
      </w:r>
      <w:r w:rsidR="00671AB5" w:rsidRPr="00674CFD">
        <w:rPr>
          <w:sz w:val="22"/>
          <w:szCs w:val="22"/>
        </w:rPr>
        <w:t xml:space="preserve">Interim </w:t>
      </w:r>
      <w:r w:rsidR="00FB00FB" w:rsidRPr="00674CFD">
        <w:rPr>
          <w:sz w:val="22"/>
          <w:szCs w:val="22"/>
        </w:rPr>
        <w:t>r</w:t>
      </w:r>
      <w:r w:rsidR="00671AB5" w:rsidRPr="00674CFD">
        <w:rPr>
          <w:sz w:val="22"/>
          <w:szCs w:val="22"/>
        </w:rPr>
        <w:t>eplies to the recommendations contained in paragraph 28 (a) of the concluding observations</w:t>
      </w:r>
      <w:bookmarkEnd w:id="0"/>
      <w:r w:rsidR="00671AB5" w:rsidRPr="00674CFD">
        <w:rPr>
          <w:sz w:val="22"/>
          <w:szCs w:val="22"/>
        </w:rPr>
        <w:t xml:space="preserve"> (CEDAW/C/MDV/CO/6)</w:t>
      </w:r>
    </w:p>
    <w:p w14:paraId="1DDD733C" w14:textId="0B9AB74C" w:rsidR="005F2903" w:rsidRDefault="00FE63A3" w:rsidP="00D83763">
      <w:pPr>
        <w:pStyle w:val="SingleTxtG"/>
        <w:numPr>
          <w:ilvl w:val="0"/>
          <w:numId w:val="22"/>
        </w:numPr>
        <w:spacing w:line="276" w:lineRule="auto"/>
        <w:ind w:left="1134" w:firstLine="0"/>
        <w:rPr>
          <w:sz w:val="22"/>
          <w:szCs w:val="22"/>
        </w:rPr>
      </w:pPr>
      <w:r w:rsidRPr="00674CFD">
        <w:rPr>
          <w:sz w:val="22"/>
          <w:szCs w:val="22"/>
        </w:rPr>
        <w:t>In t</w:t>
      </w:r>
      <w:r w:rsidR="00E73E4B" w:rsidRPr="00674CFD">
        <w:rPr>
          <w:sz w:val="22"/>
          <w:szCs w:val="22"/>
        </w:rPr>
        <w:t>he Interim Reply to the CO urging the State Party to “</w:t>
      </w:r>
      <w:r w:rsidR="00E73E4B" w:rsidRPr="00674CFD">
        <w:rPr>
          <w:b/>
          <w:bCs/>
          <w:sz w:val="22"/>
          <w:szCs w:val="22"/>
        </w:rPr>
        <w:t>Amend section 52 of the Sexual Offences Act and section 47 of the Special Provisions Act to Deal with Child Sex Abuse Offenders to remove excessive evidence requirements for victims to prove sexual violence</w:t>
      </w:r>
      <w:r w:rsidR="00E73E4B" w:rsidRPr="00674CFD">
        <w:rPr>
          <w:sz w:val="22"/>
          <w:szCs w:val="22"/>
        </w:rPr>
        <w:t>”, the State</w:t>
      </w:r>
      <w:r w:rsidRPr="00674CFD">
        <w:rPr>
          <w:sz w:val="22"/>
          <w:szCs w:val="22"/>
        </w:rPr>
        <w:t xml:space="preserve"> Party</w:t>
      </w:r>
      <w:r w:rsidR="00E73E4B" w:rsidRPr="00674CFD">
        <w:rPr>
          <w:sz w:val="22"/>
          <w:szCs w:val="22"/>
        </w:rPr>
        <w:t xml:space="preserve"> noted that “the evidentiary </w:t>
      </w:r>
      <w:r w:rsidR="005F2903" w:rsidRPr="005F2903">
        <w:rPr>
          <w:sz w:val="22"/>
          <w:szCs w:val="22"/>
        </w:rPr>
        <w:t xml:space="preserve">requirements under Section 52(a) of Act No: 17/2014 </w:t>
      </w:r>
      <w:r w:rsidR="005F2903" w:rsidRPr="005F2903">
        <w:rPr>
          <w:sz w:val="22"/>
          <w:szCs w:val="22"/>
        </w:rPr>
        <w:lastRenderedPageBreak/>
        <w:t>Sexual Offences Act) and Section 47 of Act No: 12/2009 (Special Provisions Act to Deal with Child Sex Abuse Offenders Act), the law recognises at least 5 (five) types of evidence stipulated in the respective sections as sufficient to establish definitive culpability for offences mentioned in the Acts, and that it is not mandatory for the prosecution to admit all the different types of evidence stated in the law in order to establish guilt.</w:t>
      </w:r>
    </w:p>
    <w:p w14:paraId="726BA232" w14:textId="77777777" w:rsidR="0058368A" w:rsidRPr="00674CFD" w:rsidRDefault="0058368A" w:rsidP="0058368A">
      <w:pPr>
        <w:pStyle w:val="SingleTxtG"/>
        <w:numPr>
          <w:ilvl w:val="0"/>
          <w:numId w:val="22"/>
        </w:numPr>
        <w:spacing w:line="276" w:lineRule="auto"/>
        <w:ind w:left="1134" w:firstLine="0"/>
        <w:rPr>
          <w:sz w:val="22"/>
          <w:szCs w:val="22"/>
        </w:rPr>
      </w:pPr>
      <w:r w:rsidRPr="00674CFD">
        <w:rPr>
          <w:sz w:val="22"/>
          <w:szCs w:val="22"/>
        </w:rPr>
        <w:t xml:space="preserve">It further noted that the Supreme Court of the Maldives had </w:t>
      </w:r>
      <w:r>
        <w:rPr>
          <w:sz w:val="22"/>
          <w:szCs w:val="22"/>
        </w:rPr>
        <w:t xml:space="preserve">previously </w:t>
      </w:r>
      <w:r w:rsidRPr="00674CFD">
        <w:rPr>
          <w:sz w:val="22"/>
          <w:szCs w:val="22"/>
        </w:rPr>
        <w:t xml:space="preserve">decided that Section 47 of the </w:t>
      </w:r>
      <w:r w:rsidRPr="005F2903">
        <w:rPr>
          <w:i/>
          <w:iCs/>
          <w:sz w:val="22"/>
          <w:szCs w:val="22"/>
        </w:rPr>
        <w:t>Special Provisions Act to Deal with Child Sex Abuse Offenders Act</w:t>
      </w:r>
      <w:r w:rsidRPr="00674CFD">
        <w:rPr>
          <w:sz w:val="22"/>
          <w:szCs w:val="22"/>
        </w:rPr>
        <w:t>, in providing a range of admissible evidence, purports to offer flexibility in overcoming the threshold to establish culpability, and that the evidence requirements stated in subsections (f), (g) and (l) are intended as avenues for the judge to corroborate the statement of the victim.</w:t>
      </w:r>
      <w:r>
        <w:rPr>
          <w:rStyle w:val="FootnoteReference"/>
          <w:szCs w:val="22"/>
        </w:rPr>
        <w:footnoteReference w:id="2"/>
      </w:r>
      <w:r>
        <w:rPr>
          <w:sz w:val="22"/>
          <w:szCs w:val="22"/>
        </w:rPr>
        <w:t xml:space="preserve"> And that the </w:t>
      </w:r>
      <w:r w:rsidRPr="00674CFD">
        <w:rPr>
          <w:sz w:val="22"/>
          <w:szCs w:val="22"/>
        </w:rPr>
        <w:t>Supreme Court reiterated that the statement of the victim is the primary evidence and that admitting evidence corroborating such a statement is sufficient to satisfy the burden of proof for conviction,</w:t>
      </w:r>
      <w:r>
        <w:rPr>
          <w:rStyle w:val="FootnoteReference"/>
          <w:szCs w:val="22"/>
        </w:rPr>
        <w:footnoteReference w:id="3"/>
      </w:r>
      <w:r w:rsidRPr="00674CFD">
        <w:rPr>
          <w:sz w:val="22"/>
          <w:szCs w:val="22"/>
        </w:rPr>
        <w:t xml:space="preserve">  and</w:t>
      </w:r>
      <w:r w:rsidRPr="00674CFD">
        <w:rPr>
          <w:sz w:val="22"/>
          <w:szCs w:val="22"/>
          <w:lang w:val="en-US"/>
        </w:rPr>
        <w:t xml:space="preserve"> that the </w:t>
      </w:r>
      <w:r w:rsidRPr="00674CFD">
        <w:rPr>
          <w:sz w:val="22"/>
          <w:szCs w:val="22"/>
        </w:rPr>
        <w:t>mere absence of five types of evidence would not hinder a conviction under Article 51(h) of the Constitution, provided there is substantial supporting evidence.</w:t>
      </w:r>
      <w:r>
        <w:rPr>
          <w:rStyle w:val="FootnoteReference"/>
          <w:szCs w:val="22"/>
        </w:rPr>
        <w:footnoteReference w:id="4"/>
      </w:r>
      <w:r w:rsidRPr="00F42B83">
        <w:rPr>
          <w:sz w:val="22"/>
          <w:szCs w:val="22"/>
          <w:lang w:val="en-US"/>
        </w:rPr>
        <w:t xml:space="preserve"> </w:t>
      </w:r>
      <w:r w:rsidRPr="00674CFD">
        <w:rPr>
          <w:sz w:val="22"/>
          <w:szCs w:val="22"/>
          <w:lang w:val="en-US"/>
        </w:rPr>
        <w:t>Having referred to the two Supreme Court decisions, the Interim Reply notes that these two provisions in the Sexual Offences Act and the Special Provisions Act to Deal with Child Sex Abuse Offenders are misinterpreted sometimes, as some of the judges are unfamiliar that a conviction can be still achieved based on support</w:t>
      </w:r>
      <w:r>
        <w:rPr>
          <w:sz w:val="22"/>
          <w:szCs w:val="22"/>
          <w:lang w:val="en-US"/>
        </w:rPr>
        <w:t>ing</w:t>
      </w:r>
      <w:r w:rsidRPr="00674CFD">
        <w:rPr>
          <w:sz w:val="22"/>
          <w:szCs w:val="22"/>
          <w:lang w:val="en-US"/>
        </w:rPr>
        <w:t xml:space="preserve"> evidence even when five types of evidence are not available, and that the State Party is fully committed to conducting training sessions for the judges in order to avoid the </w:t>
      </w:r>
      <w:r w:rsidRPr="00674CFD">
        <w:rPr>
          <w:sz w:val="22"/>
          <w:szCs w:val="22"/>
        </w:rPr>
        <w:t>misinterpretation</w:t>
      </w:r>
      <w:r w:rsidRPr="00674CFD">
        <w:rPr>
          <w:sz w:val="22"/>
          <w:szCs w:val="22"/>
          <w:lang w:val="en-US"/>
        </w:rPr>
        <w:t xml:space="preserve"> of these provisions.  </w:t>
      </w:r>
    </w:p>
    <w:p w14:paraId="11A5E22B" w14:textId="38E9FE97" w:rsidR="00E73E4B" w:rsidRPr="00674CFD" w:rsidRDefault="00F95EA8" w:rsidP="00D83763">
      <w:pPr>
        <w:pStyle w:val="SingleTxtG"/>
        <w:numPr>
          <w:ilvl w:val="0"/>
          <w:numId w:val="22"/>
        </w:numPr>
        <w:spacing w:line="276" w:lineRule="auto"/>
        <w:ind w:left="1134" w:firstLine="0"/>
        <w:rPr>
          <w:sz w:val="22"/>
          <w:szCs w:val="22"/>
        </w:rPr>
      </w:pPr>
      <w:r w:rsidRPr="00674CFD">
        <w:rPr>
          <w:sz w:val="22"/>
          <w:szCs w:val="22"/>
        </w:rPr>
        <w:t>ERI commends the effort made by the High Court</w:t>
      </w:r>
      <w:r w:rsidR="0058368A">
        <w:rPr>
          <w:rStyle w:val="FootnoteReference"/>
          <w:szCs w:val="22"/>
        </w:rPr>
        <w:footnoteReference w:id="5"/>
      </w:r>
      <w:r w:rsidRPr="00674CFD">
        <w:rPr>
          <w:sz w:val="22"/>
          <w:szCs w:val="22"/>
        </w:rPr>
        <w:t xml:space="preserve"> and the Supreme Court,</w:t>
      </w:r>
      <w:r w:rsidR="0058368A">
        <w:rPr>
          <w:rStyle w:val="FootnoteReference"/>
          <w:szCs w:val="22"/>
        </w:rPr>
        <w:footnoteReference w:id="6"/>
      </w:r>
      <w:r w:rsidRPr="00674CFD">
        <w:rPr>
          <w:sz w:val="22"/>
          <w:szCs w:val="22"/>
        </w:rPr>
        <w:t xml:space="preserve"> where the justices have give</w:t>
      </w:r>
      <w:r w:rsidR="00F42B83">
        <w:rPr>
          <w:sz w:val="22"/>
          <w:szCs w:val="22"/>
        </w:rPr>
        <w:t xml:space="preserve">n </w:t>
      </w:r>
      <w:r w:rsidRPr="00674CFD">
        <w:rPr>
          <w:sz w:val="22"/>
          <w:szCs w:val="22"/>
        </w:rPr>
        <w:t>positive interpretation to the evidentiary standards required</w:t>
      </w:r>
      <w:r w:rsidR="00F42B83">
        <w:rPr>
          <w:sz w:val="22"/>
          <w:szCs w:val="22"/>
        </w:rPr>
        <w:t xml:space="preserve"> in the law</w:t>
      </w:r>
      <w:r w:rsidRPr="00674CFD">
        <w:rPr>
          <w:sz w:val="22"/>
          <w:szCs w:val="22"/>
        </w:rPr>
        <w:t>. However, we</w:t>
      </w:r>
      <w:r w:rsidR="00E73E4B" w:rsidRPr="00674CFD">
        <w:rPr>
          <w:sz w:val="22"/>
          <w:szCs w:val="22"/>
        </w:rPr>
        <w:t xml:space="preserve"> disagree with the State’s suggestion that the current text of the legislation is “misinterpreted sometimes while considering evidentiary requirements for cases of sexual violence”, because the Act very clearly notes that a minimum of 5 pieces of evidence are required by legislation, and therefore, must be, and can be argued by the </w:t>
      </w:r>
      <w:r w:rsidRPr="00674CFD">
        <w:rPr>
          <w:sz w:val="22"/>
          <w:szCs w:val="22"/>
        </w:rPr>
        <w:t>defence if</w:t>
      </w:r>
      <w:r w:rsidR="00E73E4B" w:rsidRPr="00674CFD">
        <w:rPr>
          <w:sz w:val="22"/>
          <w:szCs w:val="22"/>
        </w:rPr>
        <w:t xml:space="preserve"> the requirement is unfulfilled by the Prosecution. </w:t>
      </w:r>
    </w:p>
    <w:p w14:paraId="23E25521" w14:textId="32ECAABA" w:rsidR="00E73E4B" w:rsidRPr="00674CFD" w:rsidRDefault="00F42B83" w:rsidP="00D83763">
      <w:pPr>
        <w:pStyle w:val="SingleTxtG"/>
        <w:numPr>
          <w:ilvl w:val="0"/>
          <w:numId w:val="22"/>
        </w:numPr>
        <w:tabs>
          <w:tab w:val="clear" w:pos="2268"/>
        </w:tabs>
        <w:spacing w:line="276" w:lineRule="auto"/>
        <w:ind w:left="1134" w:firstLine="0"/>
        <w:rPr>
          <w:sz w:val="22"/>
          <w:szCs w:val="22"/>
        </w:rPr>
      </w:pPr>
      <w:r>
        <w:rPr>
          <w:sz w:val="22"/>
          <w:szCs w:val="22"/>
        </w:rPr>
        <w:t>The</w:t>
      </w:r>
      <w:r w:rsidR="00F95EA8" w:rsidRPr="00674CFD">
        <w:rPr>
          <w:sz w:val="22"/>
          <w:szCs w:val="22"/>
        </w:rPr>
        <w:t xml:space="preserve"> </w:t>
      </w:r>
      <w:r w:rsidR="00E73E4B" w:rsidRPr="00674CFD">
        <w:rPr>
          <w:sz w:val="22"/>
          <w:szCs w:val="22"/>
        </w:rPr>
        <w:t>Supreme Court decision</w:t>
      </w:r>
      <w:r>
        <w:rPr>
          <w:sz w:val="22"/>
          <w:szCs w:val="22"/>
        </w:rPr>
        <w:t>s</w:t>
      </w:r>
      <w:r w:rsidR="00E73E4B" w:rsidRPr="00674CFD">
        <w:rPr>
          <w:sz w:val="22"/>
          <w:szCs w:val="22"/>
        </w:rPr>
        <w:t xml:space="preserve"> cannot be </w:t>
      </w:r>
      <w:r w:rsidR="00FF4240" w:rsidRPr="00674CFD">
        <w:rPr>
          <w:sz w:val="22"/>
          <w:szCs w:val="22"/>
        </w:rPr>
        <w:t xml:space="preserve">taken as </w:t>
      </w:r>
      <w:r w:rsidR="0013456A" w:rsidRPr="00674CFD">
        <w:rPr>
          <w:sz w:val="22"/>
          <w:szCs w:val="22"/>
        </w:rPr>
        <w:t>‘</w:t>
      </w:r>
      <w:r w:rsidR="00FF4240" w:rsidRPr="00674CFD">
        <w:rPr>
          <w:sz w:val="22"/>
          <w:szCs w:val="22"/>
        </w:rPr>
        <w:t>the law’</w:t>
      </w:r>
      <w:r w:rsidR="00E73E4B" w:rsidRPr="00674CFD">
        <w:rPr>
          <w:sz w:val="22"/>
          <w:szCs w:val="22"/>
        </w:rPr>
        <w:t xml:space="preserve"> </w:t>
      </w:r>
      <w:r>
        <w:rPr>
          <w:sz w:val="22"/>
          <w:szCs w:val="22"/>
        </w:rPr>
        <w:t xml:space="preserve">on the matter </w:t>
      </w:r>
      <w:r w:rsidR="00E73E4B" w:rsidRPr="00674CFD">
        <w:rPr>
          <w:sz w:val="22"/>
          <w:szCs w:val="22"/>
        </w:rPr>
        <w:t xml:space="preserve">because, the </w:t>
      </w:r>
      <w:r>
        <w:rPr>
          <w:sz w:val="22"/>
          <w:szCs w:val="22"/>
        </w:rPr>
        <w:t xml:space="preserve">courts do </w:t>
      </w:r>
      <w:r w:rsidR="00E73E4B" w:rsidRPr="00674CFD">
        <w:rPr>
          <w:sz w:val="22"/>
          <w:szCs w:val="22"/>
        </w:rPr>
        <w:t>not have law making power in the Maldives</w:t>
      </w:r>
      <w:r w:rsidR="00FF4240" w:rsidRPr="00674CFD">
        <w:rPr>
          <w:sz w:val="22"/>
          <w:szCs w:val="22"/>
        </w:rPr>
        <w:t>,</w:t>
      </w:r>
      <w:r w:rsidR="0058368A">
        <w:rPr>
          <w:rStyle w:val="FootnoteReference"/>
          <w:szCs w:val="22"/>
        </w:rPr>
        <w:footnoteReference w:id="7"/>
      </w:r>
      <w:r w:rsidR="00E73E4B" w:rsidRPr="00674CFD">
        <w:rPr>
          <w:sz w:val="22"/>
          <w:szCs w:val="22"/>
        </w:rPr>
        <w:t xml:space="preserve"> and </w:t>
      </w:r>
      <w:r w:rsidR="00FF4240" w:rsidRPr="00674CFD">
        <w:rPr>
          <w:sz w:val="22"/>
          <w:szCs w:val="22"/>
        </w:rPr>
        <w:t xml:space="preserve">although they have interpretation roles, it </w:t>
      </w:r>
      <w:r w:rsidR="00455AF4">
        <w:rPr>
          <w:sz w:val="22"/>
          <w:szCs w:val="22"/>
        </w:rPr>
        <w:t>does not extend to</w:t>
      </w:r>
      <w:r w:rsidR="00E73E4B" w:rsidRPr="00674CFD">
        <w:rPr>
          <w:sz w:val="22"/>
          <w:szCs w:val="22"/>
        </w:rPr>
        <w:t xml:space="preserve"> interpret</w:t>
      </w:r>
      <w:r w:rsidR="00455AF4">
        <w:rPr>
          <w:sz w:val="22"/>
          <w:szCs w:val="22"/>
        </w:rPr>
        <w:t>ing</w:t>
      </w:r>
      <w:r w:rsidR="00E73E4B" w:rsidRPr="00674CFD">
        <w:rPr>
          <w:sz w:val="22"/>
          <w:szCs w:val="22"/>
        </w:rPr>
        <w:t xml:space="preserve"> legislation in contravention to</w:t>
      </w:r>
      <w:r w:rsidR="00223763" w:rsidRPr="00674CFD">
        <w:rPr>
          <w:sz w:val="22"/>
          <w:szCs w:val="22"/>
        </w:rPr>
        <w:t xml:space="preserve"> </w:t>
      </w:r>
      <w:r w:rsidR="00455AF4">
        <w:rPr>
          <w:sz w:val="22"/>
          <w:szCs w:val="22"/>
        </w:rPr>
        <w:t>what is written in the law</w:t>
      </w:r>
      <w:r w:rsidR="00E73E4B" w:rsidRPr="00674CFD">
        <w:rPr>
          <w:sz w:val="22"/>
          <w:szCs w:val="22"/>
        </w:rPr>
        <w:t xml:space="preserve">. Thus, it is questionable if these </w:t>
      </w:r>
      <w:r w:rsidR="00223763" w:rsidRPr="00674CFD">
        <w:rPr>
          <w:sz w:val="22"/>
          <w:szCs w:val="22"/>
        </w:rPr>
        <w:t xml:space="preserve">Supreme Court </w:t>
      </w:r>
      <w:r w:rsidR="00E73E4B" w:rsidRPr="00674CFD">
        <w:rPr>
          <w:sz w:val="22"/>
          <w:szCs w:val="22"/>
        </w:rPr>
        <w:t>decisions can be followed as judicial precedent</w:t>
      </w:r>
      <w:r w:rsidR="00223763" w:rsidRPr="00674CFD">
        <w:rPr>
          <w:sz w:val="22"/>
          <w:szCs w:val="22"/>
        </w:rPr>
        <w:t xml:space="preserve"> in the Maldives</w:t>
      </w:r>
      <w:r w:rsidR="00DC32F1">
        <w:rPr>
          <w:sz w:val="22"/>
          <w:szCs w:val="22"/>
        </w:rPr>
        <w:t>.</w:t>
      </w:r>
      <w:r w:rsidR="00E73E4B" w:rsidRPr="00674CFD">
        <w:rPr>
          <w:sz w:val="22"/>
          <w:szCs w:val="22"/>
        </w:rPr>
        <w:t xml:space="preserve"> </w:t>
      </w:r>
      <w:r w:rsidR="00DC32F1" w:rsidRPr="00DC32F1">
        <w:rPr>
          <w:sz w:val="22"/>
          <w:szCs w:val="22"/>
        </w:rPr>
        <w:t xml:space="preserve">Furthermore, while it is acknowledged that there are caselaw that aims to explain the purpose of these sections of the </w:t>
      </w:r>
      <w:r w:rsidR="00DC32F1" w:rsidRPr="00DC32F1">
        <w:rPr>
          <w:sz w:val="22"/>
          <w:szCs w:val="22"/>
        </w:rPr>
        <w:t>Act, however</w:t>
      </w:r>
      <w:r w:rsidR="00DC32F1" w:rsidRPr="00DC32F1">
        <w:rPr>
          <w:sz w:val="22"/>
          <w:szCs w:val="22"/>
        </w:rPr>
        <w:t>, this is very much dependant on the presiding judges, and this should not be left to the discretion of the judges if the purpose can be better achieved by amending the law.</w:t>
      </w:r>
    </w:p>
    <w:p w14:paraId="6F403912" w14:textId="607BE027" w:rsidR="00E465E4" w:rsidRPr="00674CFD" w:rsidRDefault="00E465E4" w:rsidP="00D83763">
      <w:pPr>
        <w:pStyle w:val="SingleTxtG"/>
        <w:numPr>
          <w:ilvl w:val="0"/>
          <w:numId w:val="22"/>
        </w:numPr>
        <w:tabs>
          <w:tab w:val="clear" w:pos="2268"/>
        </w:tabs>
        <w:spacing w:line="276" w:lineRule="auto"/>
        <w:ind w:left="1134" w:firstLine="0"/>
        <w:rPr>
          <w:sz w:val="22"/>
          <w:szCs w:val="22"/>
        </w:rPr>
      </w:pPr>
      <w:r w:rsidRPr="00674CFD">
        <w:rPr>
          <w:sz w:val="22"/>
          <w:szCs w:val="22"/>
        </w:rPr>
        <w:lastRenderedPageBreak/>
        <w:t xml:space="preserve">In the current context, ERI believes that an amendment to section 52 of the Sexual Offences Act and section 47 of the Special Provisions Act to Deal with Child Sex Abuse Offenders to remove excessive evidence requirements for victims to prove sexual violence is necessary and essential. And that extensive training must be provided to Judges and Justices on </w:t>
      </w:r>
      <w:r w:rsidR="00DC32F1">
        <w:rPr>
          <w:sz w:val="22"/>
          <w:szCs w:val="22"/>
        </w:rPr>
        <w:t>law,</w:t>
      </w:r>
      <w:r w:rsidRPr="00674CFD">
        <w:rPr>
          <w:sz w:val="22"/>
          <w:szCs w:val="22"/>
        </w:rPr>
        <w:t xml:space="preserve"> human rights, and access to justice. </w:t>
      </w:r>
    </w:p>
    <w:p w14:paraId="3AB82FE9" w14:textId="2731182E" w:rsidR="00671AB5" w:rsidRPr="00674CFD" w:rsidRDefault="00FB00FB" w:rsidP="00D83763">
      <w:pPr>
        <w:pStyle w:val="H1G"/>
        <w:spacing w:line="276" w:lineRule="auto"/>
        <w:rPr>
          <w:sz w:val="22"/>
          <w:szCs w:val="22"/>
        </w:rPr>
      </w:pPr>
      <w:r w:rsidRPr="00674CFD">
        <w:rPr>
          <w:sz w:val="22"/>
          <w:szCs w:val="22"/>
        </w:rPr>
        <w:tab/>
        <w:t>B.</w:t>
      </w:r>
      <w:r w:rsidRPr="00674CFD">
        <w:rPr>
          <w:sz w:val="22"/>
          <w:szCs w:val="22"/>
        </w:rPr>
        <w:tab/>
      </w:r>
      <w:r w:rsidR="00671AB5" w:rsidRPr="00674CFD">
        <w:rPr>
          <w:sz w:val="22"/>
          <w:szCs w:val="22"/>
        </w:rPr>
        <w:t xml:space="preserve">Interim </w:t>
      </w:r>
      <w:r w:rsidRPr="00674CFD">
        <w:rPr>
          <w:sz w:val="22"/>
          <w:szCs w:val="22"/>
        </w:rPr>
        <w:t>r</w:t>
      </w:r>
      <w:r w:rsidR="00671AB5" w:rsidRPr="00674CFD">
        <w:rPr>
          <w:sz w:val="22"/>
          <w:szCs w:val="22"/>
        </w:rPr>
        <w:t>eplies to the recommendations contained in paragraph 28 (b) of the concluding observations (CEDAW/</w:t>
      </w:r>
      <w:r w:rsidRPr="00674CFD">
        <w:rPr>
          <w:sz w:val="22"/>
          <w:szCs w:val="22"/>
        </w:rPr>
        <w:t>C</w:t>
      </w:r>
      <w:r w:rsidR="00671AB5" w:rsidRPr="00674CFD">
        <w:rPr>
          <w:sz w:val="22"/>
          <w:szCs w:val="22"/>
        </w:rPr>
        <w:t>/MDV/CO/6)</w:t>
      </w:r>
    </w:p>
    <w:p w14:paraId="05D093ED" w14:textId="794439CD" w:rsidR="00FE63A3" w:rsidRPr="00674CFD" w:rsidRDefault="00FE63A3" w:rsidP="00D83763">
      <w:pPr>
        <w:pStyle w:val="SingleTxtG"/>
        <w:numPr>
          <w:ilvl w:val="0"/>
          <w:numId w:val="22"/>
        </w:numPr>
        <w:spacing w:line="276" w:lineRule="auto"/>
        <w:ind w:left="1134" w:firstLine="0"/>
        <w:rPr>
          <w:sz w:val="22"/>
          <w:szCs w:val="22"/>
          <w:lang w:val="en-US"/>
        </w:rPr>
      </w:pPr>
      <w:r w:rsidRPr="00674CFD">
        <w:rPr>
          <w:sz w:val="22"/>
          <w:szCs w:val="22"/>
        </w:rPr>
        <w:t xml:space="preserve">In the Interim Reply to the CO urging the State Party to </w:t>
      </w:r>
      <w:r w:rsidRPr="00674CFD">
        <w:rPr>
          <w:b/>
          <w:bCs/>
          <w:sz w:val="22"/>
          <w:szCs w:val="22"/>
        </w:rPr>
        <w:t>Amend section 53 of the Sexual Offences Act to ensure that discriminatory gender stereotypes relating to delayed reporting, false accusations and women’s “dignity and discipline” are removed from the adjudication of sexual violence cases and discontinue practices that contribute to secondary victimization of women, such as examining a victim’s prior sexual behaviour</w:t>
      </w:r>
      <w:r w:rsidRPr="00674CFD">
        <w:rPr>
          <w:sz w:val="22"/>
          <w:szCs w:val="22"/>
        </w:rPr>
        <w:t>, the State Party noted that the section</w:t>
      </w:r>
      <w:r w:rsidR="00671AB5" w:rsidRPr="00674CFD">
        <w:rPr>
          <w:sz w:val="22"/>
          <w:szCs w:val="22"/>
          <w:lang w:val="en-US"/>
        </w:rPr>
        <w:t xml:space="preserve"> has been amended through Act No: 25/21 (First Amendment to Act No: 17/2014 Sexual Offences Act) enacted on 6 December 2021</w:t>
      </w:r>
      <w:r w:rsidRPr="00674CFD">
        <w:rPr>
          <w:sz w:val="22"/>
          <w:szCs w:val="22"/>
          <w:lang w:val="en-US"/>
        </w:rPr>
        <w:t>, and that this</w:t>
      </w:r>
      <w:r w:rsidR="00671AB5" w:rsidRPr="00674CFD">
        <w:rPr>
          <w:sz w:val="22"/>
          <w:szCs w:val="22"/>
          <w:lang w:val="en-US"/>
        </w:rPr>
        <w:t xml:space="preserve"> </w:t>
      </w:r>
      <w:r w:rsidRPr="00674CFD">
        <w:rPr>
          <w:sz w:val="22"/>
          <w:szCs w:val="22"/>
          <w:lang w:val="en-US"/>
        </w:rPr>
        <w:t>A</w:t>
      </w:r>
      <w:r w:rsidR="00671AB5" w:rsidRPr="00674CFD">
        <w:rPr>
          <w:sz w:val="22"/>
          <w:szCs w:val="22"/>
          <w:lang w:val="en-US"/>
        </w:rPr>
        <w:t xml:space="preserve">mendment effectively repeals subsections (a), (b), (c), (d) and (e) of Section 53 which covered certain circumstances that can be invoked against the victim to negate the accusations of sexual violence. </w:t>
      </w:r>
    </w:p>
    <w:p w14:paraId="7DCE7FFA" w14:textId="64591734" w:rsidR="00FE63A3" w:rsidRPr="00674CFD" w:rsidRDefault="00FE63A3" w:rsidP="00D83763">
      <w:pPr>
        <w:pStyle w:val="SingleTxtG"/>
        <w:numPr>
          <w:ilvl w:val="0"/>
          <w:numId w:val="22"/>
        </w:numPr>
        <w:spacing w:line="276" w:lineRule="auto"/>
        <w:ind w:left="1134" w:firstLine="0"/>
        <w:rPr>
          <w:sz w:val="22"/>
          <w:szCs w:val="22"/>
          <w:lang w:val="en-US"/>
        </w:rPr>
      </w:pPr>
      <w:r w:rsidRPr="00674CFD">
        <w:rPr>
          <w:sz w:val="22"/>
          <w:szCs w:val="22"/>
          <w:lang w:val="en-US"/>
        </w:rPr>
        <w:t>ERI welcomes the amendment to the Act No: 17/2014, Sexual Offences Act, enacted on 6 December 2021 (Act No: 25/21). As the State Response notes, the Amendment repealed subsections (a), (b), (c), (d) and (e) of Section 53 which covered certain circumstances that can be invoked against the victim to negate the accusations of sexual violence. By removal of these subsections, the legislation now refrains from providing suggestions on potential evidence, circumstantial or otherwise, that can be invoked against the victim to negate the accusations of sexual violence.</w:t>
      </w:r>
    </w:p>
    <w:p w14:paraId="363EE464" w14:textId="325194CE" w:rsidR="00FE63A3" w:rsidRPr="00674CFD" w:rsidRDefault="001D1B92" w:rsidP="00D83763">
      <w:pPr>
        <w:pStyle w:val="SingleTxtG"/>
        <w:numPr>
          <w:ilvl w:val="0"/>
          <w:numId w:val="22"/>
        </w:numPr>
        <w:spacing w:line="276" w:lineRule="auto"/>
        <w:ind w:left="1134" w:firstLine="0"/>
        <w:rPr>
          <w:sz w:val="22"/>
          <w:szCs w:val="22"/>
          <w:lang w:val="en-US"/>
        </w:rPr>
      </w:pPr>
      <w:r w:rsidRPr="00674CFD">
        <w:rPr>
          <w:sz w:val="22"/>
          <w:szCs w:val="22"/>
          <w:lang w:val="en-US"/>
        </w:rPr>
        <w:t>T</w:t>
      </w:r>
      <w:r w:rsidR="00FE63A3" w:rsidRPr="00674CFD">
        <w:rPr>
          <w:sz w:val="22"/>
          <w:szCs w:val="22"/>
          <w:lang w:val="en-US"/>
        </w:rPr>
        <w:t xml:space="preserve">he opening paragraph of </w:t>
      </w:r>
      <w:r w:rsidRPr="00674CFD">
        <w:rPr>
          <w:sz w:val="22"/>
          <w:szCs w:val="22"/>
          <w:lang w:val="en-US"/>
        </w:rPr>
        <w:t>Section</w:t>
      </w:r>
      <w:r w:rsidR="00FE63A3" w:rsidRPr="00674CFD">
        <w:rPr>
          <w:sz w:val="22"/>
          <w:szCs w:val="22"/>
          <w:lang w:val="en-US"/>
        </w:rPr>
        <w:t xml:space="preserve"> 53 has also been amended, to include that it is for the defendant to prove that the victim’s statement is inconsistent in itself or that the facts are unsupported in witness accounts. </w:t>
      </w:r>
      <w:r w:rsidRPr="00674CFD">
        <w:rPr>
          <w:sz w:val="22"/>
          <w:szCs w:val="22"/>
          <w:lang w:val="en-US"/>
        </w:rPr>
        <w:t xml:space="preserve">However, </w:t>
      </w:r>
      <w:r w:rsidR="00FE63A3" w:rsidRPr="00674CFD">
        <w:rPr>
          <w:sz w:val="22"/>
          <w:szCs w:val="22"/>
          <w:lang w:val="en-US"/>
        </w:rPr>
        <w:t xml:space="preserve">with the current change in the phrasing of the text, there is no material difference between the original text and the amended section 53, in terms of implementation of the law.  </w:t>
      </w:r>
    </w:p>
    <w:p w14:paraId="38039997" w14:textId="6AB41984" w:rsidR="00E465E4" w:rsidRPr="00674CFD" w:rsidRDefault="00E465E4" w:rsidP="00D83763">
      <w:pPr>
        <w:pStyle w:val="SingleTxtG"/>
        <w:numPr>
          <w:ilvl w:val="0"/>
          <w:numId w:val="22"/>
        </w:numPr>
        <w:tabs>
          <w:tab w:val="clear" w:pos="2268"/>
        </w:tabs>
        <w:spacing w:line="276" w:lineRule="auto"/>
        <w:ind w:left="1134" w:firstLine="0"/>
        <w:rPr>
          <w:sz w:val="22"/>
          <w:szCs w:val="22"/>
        </w:rPr>
      </w:pPr>
      <w:r w:rsidRPr="00674CFD">
        <w:rPr>
          <w:sz w:val="22"/>
          <w:szCs w:val="22"/>
        </w:rPr>
        <w:t>Thus, we believe that section 53 of the Sexual Offences Act must be amended in a way to ensure discriminatory gender stereotypes relating to women’s “dignity and discipline” are removed from the adjudication of sexual violence cases and discontinue practices that contribute to secondary victimization of women.</w:t>
      </w:r>
    </w:p>
    <w:p w14:paraId="7F1CDFCE" w14:textId="6C16711F" w:rsidR="00671AB5" w:rsidRPr="00674CFD" w:rsidRDefault="00FB00FB" w:rsidP="00D83763">
      <w:pPr>
        <w:pStyle w:val="H1G"/>
        <w:spacing w:line="276" w:lineRule="auto"/>
        <w:rPr>
          <w:sz w:val="22"/>
          <w:szCs w:val="22"/>
        </w:rPr>
      </w:pPr>
      <w:r w:rsidRPr="00674CFD">
        <w:rPr>
          <w:sz w:val="22"/>
          <w:szCs w:val="22"/>
        </w:rPr>
        <w:tab/>
        <w:t>C.</w:t>
      </w:r>
      <w:r w:rsidRPr="00674CFD">
        <w:rPr>
          <w:sz w:val="22"/>
          <w:szCs w:val="22"/>
        </w:rPr>
        <w:tab/>
      </w:r>
      <w:r w:rsidR="00671AB5" w:rsidRPr="00674CFD">
        <w:rPr>
          <w:sz w:val="22"/>
          <w:szCs w:val="22"/>
        </w:rPr>
        <w:t xml:space="preserve">Interim </w:t>
      </w:r>
      <w:r w:rsidRPr="00674CFD">
        <w:rPr>
          <w:sz w:val="22"/>
          <w:szCs w:val="22"/>
        </w:rPr>
        <w:t>r</w:t>
      </w:r>
      <w:r w:rsidR="00671AB5" w:rsidRPr="00674CFD">
        <w:rPr>
          <w:sz w:val="22"/>
          <w:szCs w:val="22"/>
        </w:rPr>
        <w:t>eplies to the recommendations contained in paragraph 28 (</w:t>
      </w:r>
      <w:proofErr w:type="spellStart"/>
      <w:r w:rsidR="00671AB5" w:rsidRPr="00674CFD">
        <w:rPr>
          <w:sz w:val="22"/>
          <w:szCs w:val="22"/>
        </w:rPr>
        <w:t>i</w:t>
      </w:r>
      <w:proofErr w:type="spellEnd"/>
      <w:r w:rsidR="00671AB5" w:rsidRPr="00674CFD">
        <w:rPr>
          <w:sz w:val="22"/>
          <w:szCs w:val="22"/>
        </w:rPr>
        <w:t>) of the concluding observations (CEDAW/</w:t>
      </w:r>
      <w:r w:rsidRPr="00674CFD">
        <w:rPr>
          <w:sz w:val="22"/>
          <w:szCs w:val="22"/>
        </w:rPr>
        <w:t>C</w:t>
      </w:r>
      <w:r w:rsidR="00671AB5" w:rsidRPr="00674CFD">
        <w:rPr>
          <w:sz w:val="22"/>
          <w:szCs w:val="22"/>
        </w:rPr>
        <w:t>/MDV/CO/6)</w:t>
      </w:r>
    </w:p>
    <w:p w14:paraId="2B885F3E" w14:textId="52021C5C" w:rsidR="002D7319" w:rsidRPr="00F20A78" w:rsidRDefault="002D7319" w:rsidP="00D83763">
      <w:pPr>
        <w:pStyle w:val="SingleTxtG"/>
        <w:numPr>
          <w:ilvl w:val="0"/>
          <w:numId w:val="22"/>
        </w:numPr>
        <w:spacing w:line="276" w:lineRule="auto"/>
        <w:ind w:left="1134" w:firstLine="0"/>
        <w:rPr>
          <w:sz w:val="22"/>
          <w:szCs w:val="22"/>
          <w:lang w:val="en-US"/>
        </w:rPr>
      </w:pPr>
      <w:r w:rsidRPr="00674CFD">
        <w:rPr>
          <w:sz w:val="22"/>
          <w:szCs w:val="22"/>
        </w:rPr>
        <w:t xml:space="preserve">In the Interim Reply to the CO urging the State Party to </w:t>
      </w:r>
      <w:r w:rsidRPr="00674CFD">
        <w:rPr>
          <w:b/>
          <w:bCs/>
          <w:sz w:val="22"/>
          <w:szCs w:val="22"/>
        </w:rPr>
        <w:t xml:space="preserve">review its current legislation, including the Penal Code and the law on domestic violence, to ensure that domestic violence is specifically criminalized, can be prosecuted ex officio and is sanctioned with appropriate penalties commensurate with the gravity of the abuse, </w:t>
      </w:r>
      <w:r w:rsidRPr="00674CFD">
        <w:rPr>
          <w:sz w:val="22"/>
          <w:szCs w:val="22"/>
        </w:rPr>
        <w:t xml:space="preserve">the State Party noted that, </w:t>
      </w:r>
      <w:r w:rsidRPr="00674CFD">
        <w:rPr>
          <w:sz w:val="22"/>
          <w:szCs w:val="22"/>
          <w:lang w:val="en-US"/>
        </w:rPr>
        <w:t xml:space="preserve">Section 6 of the Act No: 3/2012 </w:t>
      </w:r>
      <w:r w:rsidR="00D77CCE" w:rsidRPr="00674CFD">
        <w:rPr>
          <w:sz w:val="22"/>
          <w:szCs w:val="22"/>
          <w:lang w:val="en-US"/>
        </w:rPr>
        <w:t>[</w:t>
      </w:r>
      <w:r w:rsidRPr="00674CFD">
        <w:rPr>
          <w:sz w:val="22"/>
          <w:szCs w:val="22"/>
          <w:lang w:val="en-US"/>
        </w:rPr>
        <w:t>Domestic Violence Prevention Act</w:t>
      </w:r>
      <w:r w:rsidR="00D77CCE" w:rsidRPr="00674CFD">
        <w:rPr>
          <w:sz w:val="22"/>
          <w:szCs w:val="22"/>
          <w:lang w:val="en-US"/>
        </w:rPr>
        <w:t xml:space="preserve"> (DVPA)]</w:t>
      </w:r>
      <w:r w:rsidRPr="00674CFD">
        <w:rPr>
          <w:sz w:val="22"/>
          <w:szCs w:val="22"/>
          <w:lang w:val="en-US"/>
        </w:rPr>
        <w:t xml:space="preserve"> adequately addresses the nature of the offence of </w:t>
      </w:r>
      <w:r w:rsidRPr="00674CFD">
        <w:rPr>
          <w:sz w:val="22"/>
          <w:szCs w:val="22"/>
          <w:lang w:val="en-US"/>
        </w:rPr>
        <w:lastRenderedPageBreak/>
        <w:t xml:space="preserve">domestic violence in relation to both civil and criminal liability. In that regard, Section 6 states that any act prescribed as an act of domestic </w:t>
      </w:r>
      <w:r w:rsidRPr="00674CFD">
        <w:rPr>
          <w:sz w:val="22"/>
          <w:szCs w:val="22"/>
        </w:rPr>
        <w:t>violence</w:t>
      </w:r>
      <w:r w:rsidRPr="00674CFD">
        <w:rPr>
          <w:sz w:val="22"/>
          <w:szCs w:val="22"/>
          <w:lang w:val="en-US"/>
        </w:rPr>
        <w:t xml:space="preserve"> under the Act shall carry both civil liability and be a criminal offence liable for criminal prosecution. Further, Section 7 of the Act reinforces this dual culpability by stating that criminal liability and conviction under another Act for acts of domestic violence under the Act shall not bar implementation of other (civil) measures prescribed in the Act. Section 7 subsection (b) also </w:t>
      </w:r>
      <w:proofErr w:type="spellStart"/>
      <w:r w:rsidRPr="00674CFD">
        <w:rPr>
          <w:sz w:val="22"/>
          <w:szCs w:val="22"/>
          <w:lang w:val="en-US"/>
        </w:rPr>
        <w:t>emphasises</w:t>
      </w:r>
      <w:proofErr w:type="spellEnd"/>
      <w:r w:rsidRPr="00674CFD">
        <w:rPr>
          <w:sz w:val="22"/>
          <w:szCs w:val="22"/>
          <w:lang w:val="en-US"/>
        </w:rPr>
        <w:t xml:space="preserve"> that the provisions of the Act shall apply regardless of the perpetrator being subjected to criminal conviction under a different legislation, </w:t>
      </w:r>
      <w:r w:rsidR="001D0BD6">
        <w:rPr>
          <w:sz w:val="22"/>
          <w:szCs w:val="22"/>
          <w:lang w:val="en-US"/>
        </w:rPr>
        <w:t>where</w:t>
      </w:r>
      <w:r w:rsidRPr="00674CFD">
        <w:rPr>
          <w:sz w:val="22"/>
          <w:szCs w:val="22"/>
          <w:lang w:val="en-US"/>
        </w:rPr>
        <w:t xml:space="preserve"> the victim and the perpetrator are bound by a domestic relationship as stipulated in the Act. In other words, the relief orders for protection and civil liability of the perpetrator stipulated in the Act can be sought even though criminal charges have been raised under other laws. </w:t>
      </w:r>
      <w:r w:rsidR="0027545E" w:rsidRPr="00674CFD">
        <w:rPr>
          <w:sz w:val="22"/>
          <w:szCs w:val="22"/>
          <w:lang w:val="en-US"/>
        </w:rPr>
        <w:t xml:space="preserve">The </w:t>
      </w:r>
      <w:r w:rsidR="0030052D" w:rsidRPr="00674CFD">
        <w:rPr>
          <w:sz w:val="22"/>
          <w:szCs w:val="22"/>
          <w:lang w:val="en-US"/>
        </w:rPr>
        <w:t>State Party</w:t>
      </w:r>
      <w:r w:rsidR="0027545E" w:rsidRPr="00674CFD">
        <w:rPr>
          <w:sz w:val="22"/>
          <w:szCs w:val="22"/>
          <w:lang w:val="en-US"/>
        </w:rPr>
        <w:t xml:space="preserve"> further states that</w:t>
      </w:r>
      <w:r w:rsidR="002E7982" w:rsidRPr="00674CFD">
        <w:rPr>
          <w:sz w:val="22"/>
          <w:szCs w:val="22"/>
          <w:lang w:val="en-US"/>
        </w:rPr>
        <w:t xml:space="preserve"> all forms of </w:t>
      </w:r>
      <w:r w:rsidR="002E7982" w:rsidRPr="00F20A78">
        <w:rPr>
          <w:sz w:val="22"/>
          <w:szCs w:val="22"/>
          <w:lang w:val="en-US"/>
        </w:rPr>
        <w:t xml:space="preserve">violence and intimidation remain punishable under </w:t>
      </w:r>
      <w:r w:rsidR="00541E1D" w:rsidRPr="00F20A78">
        <w:rPr>
          <w:sz w:val="22"/>
          <w:szCs w:val="22"/>
          <w:lang w:val="en-US"/>
        </w:rPr>
        <w:t xml:space="preserve">various </w:t>
      </w:r>
      <w:r w:rsidR="002E7982" w:rsidRPr="00F20A78">
        <w:rPr>
          <w:sz w:val="22"/>
          <w:szCs w:val="22"/>
          <w:lang w:val="en-US"/>
        </w:rPr>
        <w:t>legislation</w:t>
      </w:r>
      <w:r w:rsidR="00541E1D" w:rsidRPr="00F20A78">
        <w:rPr>
          <w:sz w:val="22"/>
          <w:szCs w:val="22"/>
          <w:lang w:val="en-US"/>
        </w:rPr>
        <w:t>s,</w:t>
      </w:r>
      <w:r w:rsidR="00541E1D" w:rsidRPr="00F20A78">
        <w:rPr>
          <w:rStyle w:val="FootnoteReference"/>
          <w:szCs w:val="22"/>
        </w:rPr>
        <w:footnoteReference w:id="8"/>
      </w:r>
      <w:r w:rsidR="00541E1D" w:rsidRPr="00F20A78">
        <w:rPr>
          <w:sz w:val="22"/>
          <w:szCs w:val="22"/>
          <w:lang w:val="en-US"/>
        </w:rPr>
        <w:t xml:space="preserve"> a</w:t>
      </w:r>
      <w:r w:rsidR="002E7982" w:rsidRPr="00F20A78">
        <w:rPr>
          <w:sz w:val="22"/>
          <w:szCs w:val="22"/>
          <w:lang w:val="en-US"/>
        </w:rPr>
        <w:t>nd because of this, offences with criminal liability pertaining to acts of domestic violence are adequately covered in legislation prescribing criminal offences in the Maldives.</w:t>
      </w:r>
      <w:r w:rsidR="0027545E" w:rsidRPr="00F20A78">
        <w:rPr>
          <w:sz w:val="22"/>
          <w:szCs w:val="22"/>
          <w:lang w:val="en-US"/>
        </w:rPr>
        <w:t xml:space="preserve"> </w:t>
      </w:r>
      <w:r w:rsidR="0027545E" w:rsidRPr="00F20A78">
        <w:rPr>
          <w:b/>
          <w:bCs/>
          <w:sz w:val="22"/>
          <w:szCs w:val="22"/>
          <w:lang w:val="en-US"/>
        </w:rPr>
        <w:t xml:space="preserve">ERI strongly disagrees with the suggestion that domestic violence </w:t>
      </w:r>
      <w:r w:rsidR="00D34528" w:rsidRPr="00F20A78">
        <w:rPr>
          <w:b/>
          <w:bCs/>
          <w:sz w:val="22"/>
          <w:szCs w:val="22"/>
          <w:lang w:val="en-US"/>
        </w:rPr>
        <w:t>has been</w:t>
      </w:r>
      <w:r w:rsidR="0027545E" w:rsidRPr="00F20A78">
        <w:rPr>
          <w:b/>
          <w:bCs/>
          <w:sz w:val="22"/>
          <w:szCs w:val="22"/>
          <w:lang w:val="en-US"/>
        </w:rPr>
        <w:t xml:space="preserve"> effectively criminalized.  </w:t>
      </w:r>
    </w:p>
    <w:p w14:paraId="7B1F2C6A" w14:textId="4206D835" w:rsidR="001F7AE4" w:rsidRPr="00F20A78" w:rsidRDefault="00141276" w:rsidP="00D83763">
      <w:pPr>
        <w:pStyle w:val="SingleTxtG"/>
        <w:numPr>
          <w:ilvl w:val="0"/>
          <w:numId w:val="22"/>
        </w:numPr>
        <w:tabs>
          <w:tab w:val="left" w:pos="1170"/>
        </w:tabs>
        <w:spacing w:line="276" w:lineRule="auto"/>
        <w:ind w:left="1170" w:firstLine="0"/>
        <w:rPr>
          <w:sz w:val="22"/>
          <w:szCs w:val="22"/>
          <w:lang w:val="en-US"/>
        </w:rPr>
      </w:pPr>
      <w:r w:rsidRPr="00F20A78">
        <w:rPr>
          <w:sz w:val="22"/>
          <w:szCs w:val="22"/>
          <w:lang w:val="en-US"/>
        </w:rPr>
        <w:t>The landmark case on the issue is Prosecutor General v. Ibrahim Shah (2019),</w:t>
      </w:r>
      <w:r w:rsidRPr="00F20A78">
        <w:rPr>
          <w:rStyle w:val="FootnoteReference"/>
          <w:sz w:val="22"/>
          <w:szCs w:val="22"/>
        </w:rPr>
        <w:footnoteReference w:id="9"/>
      </w:r>
      <w:r w:rsidRPr="00F20A78">
        <w:rPr>
          <w:sz w:val="22"/>
          <w:szCs w:val="22"/>
          <w:lang w:val="en-US"/>
        </w:rPr>
        <w:t xml:space="preserve"> </w:t>
      </w:r>
      <w:r w:rsidR="00E41777" w:rsidRPr="00F20A78">
        <w:rPr>
          <w:rFonts w:cs="MV Boli"/>
          <w:sz w:val="22"/>
          <w:szCs w:val="22"/>
          <w:lang w:val="en-US" w:bidi="dv-MV"/>
        </w:rPr>
        <w:t xml:space="preserve">and is a case through which we can gauge the effectiveness of the existing laws on domestic violence. </w:t>
      </w:r>
      <w:r w:rsidR="009C304E" w:rsidRPr="00F20A78">
        <w:rPr>
          <w:rFonts w:cs="MV Boli"/>
          <w:sz w:val="22"/>
          <w:szCs w:val="22"/>
          <w:lang w:val="en-US" w:bidi="dv-MV"/>
        </w:rPr>
        <w:t>On 3 December 2015, a</w:t>
      </w:r>
      <w:r w:rsidR="00D84197" w:rsidRPr="00F20A78">
        <w:rPr>
          <w:rFonts w:cs="MV Boli"/>
          <w:sz w:val="22"/>
          <w:szCs w:val="22"/>
          <w:lang w:val="en-US" w:bidi="dv-MV"/>
        </w:rPr>
        <w:t xml:space="preserve"> </w:t>
      </w:r>
      <w:r w:rsidRPr="00F20A78">
        <w:rPr>
          <w:sz w:val="22"/>
          <w:szCs w:val="22"/>
          <w:lang w:val="en-US"/>
        </w:rPr>
        <w:t xml:space="preserve">married woman, </w:t>
      </w:r>
      <w:proofErr w:type="spellStart"/>
      <w:r w:rsidRPr="00F20A78">
        <w:rPr>
          <w:i/>
          <w:iCs/>
          <w:sz w:val="22"/>
          <w:szCs w:val="22"/>
          <w:lang w:val="en-US"/>
        </w:rPr>
        <w:t>Ziyadha</w:t>
      </w:r>
      <w:proofErr w:type="spellEnd"/>
      <w:r w:rsidRPr="00F20A78">
        <w:rPr>
          <w:i/>
          <w:iCs/>
          <w:sz w:val="22"/>
          <w:szCs w:val="22"/>
          <w:lang w:val="en-US"/>
        </w:rPr>
        <w:t xml:space="preserve"> Naeem</w:t>
      </w:r>
      <w:r w:rsidRPr="00F20A78">
        <w:rPr>
          <w:sz w:val="22"/>
          <w:szCs w:val="22"/>
          <w:lang w:val="en-US"/>
        </w:rPr>
        <w:t>, was</w:t>
      </w:r>
      <w:r w:rsidR="009C304E" w:rsidRPr="00F20A78">
        <w:rPr>
          <w:sz w:val="22"/>
          <w:szCs w:val="22"/>
          <w:lang w:val="en-US"/>
        </w:rPr>
        <w:t xml:space="preserve"> raped </w:t>
      </w:r>
      <w:r w:rsidR="004270EA" w:rsidRPr="00F20A78">
        <w:rPr>
          <w:sz w:val="22"/>
          <w:szCs w:val="22"/>
          <w:lang w:val="en-US"/>
        </w:rPr>
        <w:t xml:space="preserve">by her husband </w:t>
      </w:r>
      <w:r w:rsidR="009C304E" w:rsidRPr="00F20A78">
        <w:rPr>
          <w:sz w:val="22"/>
          <w:szCs w:val="22"/>
          <w:lang w:val="en-US"/>
        </w:rPr>
        <w:t>while</w:t>
      </w:r>
      <w:r w:rsidRPr="00F20A78">
        <w:rPr>
          <w:sz w:val="22"/>
          <w:szCs w:val="22"/>
          <w:lang w:val="en-US"/>
        </w:rPr>
        <w:t xml:space="preserve"> living separately</w:t>
      </w:r>
      <w:r w:rsidR="00E41777" w:rsidRPr="00F20A78">
        <w:rPr>
          <w:sz w:val="22"/>
          <w:szCs w:val="22"/>
          <w:lang w:val="en-US"/>
        </w:rPr>
        <w:t>. She</w:t>
      </w:r>
      <w:r w:rsidRPr="00F20A78">
        <w:rPr>
          <w:sz w:val="22"/>
          <w:szCs w:val="22"/>
          <w:lang w:val="en-US"/>
        </w:rPr>
        <w:t xml:space="preserve"> </w:t>
      </w:r>
      <w:r w:rsidR="003F23A2" w:rsidRPr="00F20A78">
        <w:rPr>
          <w:sz w:val="22"/>
          <w:szCs w:val="22"/>
          <w:lang w:val="en-US"/>
        </w:rPr>
        <w:t xml:space="preserve">had confided in a few people </w:t>
      </w:r>
      <w:r w:rsidR="00E41777" w:rsidRPr="00F20A78">
        <w:rPr>
          <w:sz w:val="22"/>
          <w:szCs w:val="22"/>
          <w:lang w:val="en-US"/>
        </w:rPr>
        <w:t>about th</w:t>
      </w:r>
      <w:r w:rsidR="00D84197" w:rsidRPr="00F20A78">
        <w:rPr>
          <w:sz w:val="22"/>
          <w:szCs w:val="22"/>
          <w:lang w:val="en-US"/>
        </w:rPr>
        <w:t>e</w:t>
      </w:r>
      <w:r w:rsidR="00E41777" w:rsidRPr="00F20A78">
        <w:rPr>
          <w:sz w:val="22"/>
          <w:szCs w:val="22"/>
          <w:lang w:val="en-US"/>
        </w:rPr>
        <w:t xml:space="preserve"> </w:t>
      </w:r>
      <w:r w:rsidR="0098094E" w:rsidRPr="00F20A78">
        <w:rPr>
          <w:sz w:val="22"/>
          <w:szCs w:val="22"/>
          <w:lang w:val="en-US"/>
        </w:rPr>
        <w:t>incident</w:t>
      </w:r>
      <w:r w:rsidR="00E41777" w:rsidRPr="00F20A78">
        <w:rPr>
          <w:sz w:val="22"/>
          <w:szCs w:val="22"/>
          <w:lang w:val="en-US"/>
        </w:rPr>
        <w:t xml:space="preserve">, </w:t>
      </w:r>
      <w:r w:rsidR="003F23A2" w:rsidRPr="00F20A78">
        <w:rPr>
          <w:sz w:val="22"/>
          <w:szCs w:val="22"/>
          <w:lang w:val="en-US"/>
        </w:rPr>
        <w:t>before</w:t>
      </w:r>
      <w:r w:rsidR="00E41777" w:rsidRPr="00F20A78">
        <w:rPr>
          <w:sz w:val="22"/>
          <w:szCs w:val="22"/>
          <w:lang w:val="en-US"/>
        </w:rPr>
        <w:t xml:space="preserve"> and after</w:t>
      </w:r>
      <w:r w:rsidR="003F23A2" w:rsidRPr="00F20A78">
        <w:rPr>
          <w:sz w:val="22"/>
          <w:szCs w:val="22"/>
          <w:lang w:val="en-US"/>
        </w:rPr>
        <w:t xml:space="preserve"> she fell seriously ill</w:t>
      </w:r>
      <w:r w:rsidR="00E41777" w:rsidRPr="00F20A78">
        <w:rPr>
          <w:sz w:val="22"/>
          <w:szCs w:val="22"/>
          <w:lang w:val="en-US"/>
        </w:rPr>
        <w:t xml:space="preserve">. </w:t>
      </w:r>
      <w:r w:rsidR="001F7AE4" w:rsidRPr="00F20A78">
        <w:rPr>
          <w:sz w:val="22"/>
          <w:szCs w:val="22"/>
          <w:lang w:val="en-US"/>
        </w:rPr>
        <w:t xml:space="preserve">On </w:t>
      </w:r>
      <w:r w:rsidR="002D2334" w:rsidRPr="00F20A78">
        <w:rPr>
          <w:sz w:val="22"/>
          <w:szCs w:val="22"/>
          <w:lang w:val="en-US"/>
        </w:rPr>
        <w:t>28 December</w:t>
      </w:r>
      <w:r w:rsidR="001F7AE4" w:rsidRPr="00F20A78">
        <w:rPr>
          <w:sz w:val="22"/>
          <w:szCs w:val="22"/>
          <w:lang w:val="en-US"/>
        </w:rPr>
        <w:t>, she</w:t>
      </w:r>
      <w:r w:rsidR="003F23A2" w:rsidRPr="00F20A78">
        <w:rPr>
          <w:sz w:val="22"/>
          <w:szCs w:val="22"/>
          <w:lang w:val="en-US"/>
        </w:rPr>
        <w:t xml:space="preserve"> </w:t>
      </w:r>
      <w:r w:rsidRPr="00F20A78">
        <w:rPr>
          <w:sz w:val="22"/>
          <w:szCs w:val="22"/>
          <w:lang w:val="en-US"/>
        </w:rPr>
        <w:t>died from</w:t>
      </w:r>
      <w:r w:rsidR="009C304E" w:rsidRPr="00F20A78">
        <w:rPr>
          <w:sz w:val="22"/>
          <w:szCs w:val="22"/>
          <w:lang w:val="en-US"/>
        </w:rPr>
        <w:t xml:space="preserve"> complications associated with the</w:t>
      </w:r>
      <w:r w:rsidRPr="00F20A78">
        <w:rPr>
          <w:sz w:val="22"/>
          <w:szCs w:val="22"/>
          <w:lang w:val="en-US"/>
        </w:rPr>
        <w:t xml:space="preserve"> </w:t>
      </w:r>
      <w:r w:rsidR="00E35F3C" w:rsidRPr="00F20A78">
        <w:rPr>
          <w:sz w:val="22"/>
          <w:szCs w:val="22"/>
          <w:lang w:val="en-US"/>
        </w:rPr>
        <w:t xml:space="preserve">physical </w:t>
      </w:r>
      <w:r w:rsidRPr="00F20A78">
        <w:rPr>
          <w:sz w:val="22"/>
          <w:szCs w:val="22"/>
          <w:lang w:val="en-US"/>
        </w:rPr>
        <w:t xml:space="preserve">injuries. </w:t>
      </w:r>
      <w:r w:rsidR="003F23A2" w:rsidRPr="00F20A78">
        <w:rPr>
          <w:sz w:val="22"/>
          <w:szCs w:val="22"/>
          <w:lang w:val="en-US"/>
        </w:rPr>
        <w:t xml:space="preserve">During </w:t>
      </w:r>
      <w:r w:rsidR="00425FD7" w:rsidRPr="00F20A78">
        <w:rPr>
          <w:sz w:val="22"/>
          <w:szCs w:val="22"/>
          <w:lang w:val="en-US"/>
        </w:rPr>
        <w:t xml:space="preserve">the </w:t>
      </w:r>
      <w:r w:rsidR="003F23A2" w:rsidRPr="00F20A78">
        <w:rPr>
          <w:sz w:val="22"/>
          <w:szCs w:val="22"/>
          <w:lang w:val="en-US"/>
        </w:rPr>
        <w:t xml:space="preserve">investigation, the police had concluded that </w:t>
      </w:r>
      <w:proofErr w:type="spellStart"/>
      <w:r w:rsidR="00425FD7" w:rsidRPr="00F20A78">
        <w:rPr>
          <w:i/>
          <w:iCs/>
          <w:sz w:val="22"/>
          <w:szCs w:val="22"/>
          <w:lang w:val="en-US"/>
        </w:rPr>
        <w:t>Ziyadha</w:t>
      </w:r>
      <w:proofErr w:type="spellEnd"/>
      <w:r w:rsidR="00425FD7" w:rsidRPr="00F20A78">
        <w:rPr>
          <w:sz w:val="22"/>
          <w:szCs w:val="22"/>
          <w:lang w:val="en-US"/>
        </w:rPr>
        <w:t xml:space="preserve"> </w:t>
      </w:r>
      <w:r w:rsidR="003F23A2" w:rsidRPr="00F20A78">
        <w:rPr>
          <w:sz w:val="22"/>
          <w:szCs w:val="22"/>
          <w:lang w:val="en-US"/>
        </w:rPr>
        <w:t xml:space="preserve">was both physically and sexually abused by her husband. The postmortem report </w:t>
      </w:r>
      <w:r w:rsidR="00827981" w:rsidRPr="00F20A78">
        <w:rPr>
          <w:sz w:val="22"/>
          <w:szCs w:val="22"/>
          <w:lang w:val="en-US"/>
        </w:rPr>
        <w:t>showed</w:t>
      </w:r>
      <w:r w:rsidR="003F23A2" w:rsidRPr="00F20A78">
        <w:rPr>
          <w:sz w:val="22"/>
          <w:szCs w:val="22"/>
          <w:lang w:val="en-US"/>
        </w:rPr>
        <w:t xml:space="preserve"> several injuries to different organs of her body.</w:t>
      </w:r>
      <w:r w:rsidR="00C87976" w:rsidRPr="00F20A78">
        <w:rPr>
          <w:sz w:val="22"/>
          <w:szCs w:val="22"/>
          <w:lang w:val="en-US"/>
        </w:rPr>
        <w:t xml:space="preserve"> The </w:t>
      </w:r>
      <w:r w:rsidR="00E41777" w:rsidRPr="00F20A78">
        <w:rPr>
          <w:sz w:val="22"/>
          <w:szCs w:val="22"/>
          <w:lang w:val="en-US"/>
        </w:rPr>
        <w:t xml:space="preserve">prosecution charged the </w:t>
      </w:r>
      <w:r w:rsidR="00C87976" w:rsidRPr="00F20A78">
        <w:rPr>
          <w:sz w:val="22"/>
          <w:szCs w:val="22"/>
          <w:lang w:val="en-US"/>
        </w:rPr>
        <w:t xml:space="preserve">husband with four offenses, including marital rape, a reckless act </w:t>
      </w:r>
      <w:r w:rsidR="00E35F3C" w:rsidRPr="00F20A78">
        <w:rPr>
          <w:sz w:val="22"/>
          <w:szCs w:val="22"/>
          <w:lang w:val="en-US"/>
        </w:rPr>
        <w:t xml:space="preserve">and negligence </w:t>
      </w:r>
      <w:r w:rsidR="00C87976" w:rsidRPr="00F20A78">
        <w:rPr>
          <w:sz w:val="22"/>
          <w:szCs w:val="22"/>
          <w:lang w:val="en-US"/>
        </w:rPr>
        <w:t>leading to the death of a person, and the possession of pornographic material.</w:t>
      </w:r>
      <w:r w:rsidR="003F23A2" w:rsidRPr="00F20A78">
        <w:rPr>
          <w:sz w:val="22"/>
          <w:szCs w:val="22"/>
          <w:lang w:val="en-US"/>
        </w:rPr>
        <w:t xml:space="preserve"> </w:t>
      </w:r>
      <w:r w:rsidR="00C87976" w:rsidRPr="00F20A78">
        <w:rPr>
          <w:sz w:val="22"/>
          <w:szCs w:val="22"/>
          <w:lang w:val="en-US"/>
        </w:rPr>
        <w:t>The</w:t>
      </w:r>
      <w:r w:rsidRPr="00F20A78">
        <w:rPr>
          <w:sz w:val="22"/>
          <w:szCs w:val="22"/>
          <w:lang w:val="en-US"/>
        </w:rPr>
        <w:t xml:space="preserve"> </w:t>
      </w:r>
      <w:r w:rsidR="00827981" w:rsidRPr="00F20A78">
        <w:rPr>
          <w:sz w:val="22"/>
          <w:szCs w:val="22"/>
          <w:lang w:val="en-US"/>
        </w:rPr>
        <w:t xml:space="preserve">Criminal Court </w:t>
      </w:r>
      <w:r w:rsidRPr="00F20A78">
        <w:rPr>
          <w:sz w:val="22"/>
          <w:szCs w:val="22"/>
          <w:lang w:val="en-US"/>
        </w:rPr>
        <w:t xml:space="preserve">decided that there was insufficient evidence to establish the charges against the Defendant and stated that the testimonies provided by the witnesses did not indicate that the Defendant had raped </w:t>
      </w:r>
      <w:proofErr w:type="spellStart"/>
      <w:r w:rsidR="002D2334" w:rsidRPr="00F20A78">
        <w:rPr>
          <w:i/>
          <w:iCs/>
          <w:sz w:val="22"/>
          <w:szCs w:val="22"/>
          <w:lang w:val="en-US"/>
        </w:rPr>
        <w:t>Ziyadha</w:t>
      </w:r>
      <w:proofErr w:type="spellEnd"/>
      <w:r w:rsidR="002D2334" w:rsidRPr="00F20A78">
        <w:rPr>
          <w:i/>
          <w:iCs/>
          <w:sz w:val="22"/>
          <w:szCs w:val="22"/>
          <w:lang w:val="en-US"/>
        </w:rPr>
        <w:t xml:space="preserve"> </w:t>
      </w:r>
      <w:r w:rsidRPr="00F20A78">
        <w:rPr>
          <w:sz w:val="22"/>
          <w:szCs w:val="22"/>
          <w:lang w:val="en-US"/>
        </w:rPr>
        <w:t>and that the postmortem report did not indicate any injuries to the vagina or anus.</w:t>
      </w:r>
      <w:r w:rsidRPr="00F20A78">
        <w:rPr>
          <w:rStyle w:val="FootnoteReference"/>
          <w:sz w:val="22"/>
          <w:szCs w:val="22"/>
        </w:rPr>
        <w:footnoteReference w:id="10"/>
      </w:r>
      <w:r w:rsidRPr="00F20A78">
        <w:rPr>
          <w:sz w:val="22"/>
          <w:szCs w:val="22"/>
          <w:lang w:val="en-US"/>
        </w:rPr>
        <w:t xml:space="preserve"> </w:t>
      </w:r>
      <w:r w:rsidR="001F7AE4" w:rsidRPr="00F20A78">
        <w:rPr>
          <w:sz w:val="22"/>
          <w:szCs w:val="22"/>
          <w:lang w:val="en-US"/>
        </w:rPr>
        <w:t xml:space="preserve">On appeal, the High Court </w:t>
      </w:r>
      <w:r w:rsidR="006A7416" w:rsidRPr="00F20A78">
        <w:rPr>
          <w:sz w:val="22"/>
          <w:szCs w:val="22"/>
          <w:lang w:val="en-US"/>
        </w:rPr>
        <w:t>decided</w:t>
      </w:r>
      <w:r w:rsidR="001F7AE4" w:rsidRPr="00F20A78">
        <w:rPr>
          <w:sz w:val="22"/>
          <w:szCs w:val="22"/>
          <w:lang w:val="en-US"/>
        </w:rPr>
        <w:t xml:space="preserve"> that there was sufficient evidence to prove forceful penetration and lack of consent, and therefore, found the Defendant guilty of martial rape, </w:t>
      </w:r>
      <w:r w:rsidR="00C87976" w:rsidRPr="00F20A78">
        <w:rPr>
          <w:sz w:val="22"/>
          <w:szCs w:val="22"/>
          <w:lang w:val="en-US"/>
        </w:rPr>
        <w:t xml:space="preserve">and </w:t>
      </w:r>
      <w:r w:rsidR="001F7AE4" w:rsidRPr="00F20A78">
        <w:rPr>
          <w:sz w:val="22"/>
          <w:szCs w:val="22"/>
          <w:lang w:val="en-US"/>
        </w:rPr>
        <w:t>sentenc</w:t>
      </w:r>
      <w:r w:rsidR="00C87976" w:rsidRPr="00F20A78">
        <w:rPr>
          <w:sz w:val="22"/>
          <w:szCs w:val="22"/>
          <w:lang w:val="en-US"/>
        </w:rPr>
        <w:t>ed</w:t>
      </w:r>
      <w:r w:rsidR="001F7AE4" w:rsidRPr="00F20A78">
        <w:rPr>
          <w:sz w:val="22"/>
          <w:szCs w:val="22"/>
          <w:lang w:val="en-US"/>
        </w:rPr>
        <w:t xml:space="preserve"> him to </w:t>
      </w:r>
      <w:r w:rsidR="00C87976" w:rsidRPr="00F20A78">
        <w:rPr>
          <w:sz w:val="22"/>
          <w:szCs w:val="22"/>
          <w:lang w:val="en-US"/>
        </w:rPr>
        <w:t>three</w:t>
      </w:r>
      <w:r w:rsidR="001F7AE4" w:rsidRPr="00F20A78">
        <w:rPr>
          <w:sz w:val="22"/>
          <w:szCs w:val="22"/>
          <w:lang w:val="en-US"/>
        </w:rPr>
        <w:t xml:space="preserve"> years in prison.</w:t>
      </w:r>
      <w:r w:rsidR="001F7AE4" w:rsidRPr="00F20A78">
        <w:rPr>
          <w:rStyle w:val="FootnoteReference"/>
          <w:sz w:val="22"/>
          <w:szCs w:val="22"/>
        </w:rPr>
        <w:footnoteReference w:id="11"/>
      </w:r>
      <w:r w:rsidR="003A1D79" w:rsidRPr="00F20A78">
        <w:rPr>
          <w:sz w:val="22"/>
          <w:szCs w:val="22"/>
          <w:lang w:val="en-US"/>
        </w:rPr>
        <w:t xml:space="preserve"> </w:t>
      </w:r>
      <w:r w:rsidR="003A1D79" w:rsidRPr="00F20A78">
        <w:rPr>
          <w:b/>
          <w:bCs/>
          <w:sz w:val="22"/>
          <w:szCs w:val="22"/>
          <w:lang w:val="en-US"/>
        </w:rPr>
        <w:t>No charges of domestic violence was raised, nor argued in any court.</w:t>
      </w:r>
      <w:r w:rsidR="003A1D79" w:rsidRPr="00F20A78">
        <w:rPr>
          <w:sz w:val="22"/>
          <w:szCs w:val="22"/>
          <w:lang w:val="en-US"/>
        </w:rPr>
        <w:t xml:space="preserve"> </w:t>
      </w:r>
    </w:p>
    <w:p w14:paraId="3E536A54" w14:textId="3B5F2517" w:rsidR="00F04CEA" w:rsidRPr="00F04CEA" w:rsidRDefault="002D7319" w:rsidP="00D83763">
      <w:pPr>
        <w:pStyle w:val="SingleTxtG"/>
        <w:numPr>
          <w:ilvl w:val="0"/>
          <w:numId w:val="22"/>
        </w:numPr>
        <w:spacing w:line="276" w:lineRule="auto"/>
        <w:ind w:left="1134" w:firstLine="0"/>
        <w:rPr>
          <w:sz w:val="22"/>
          <w:szCs w:val="22"/>
        </w:rPr>
      </w:pPr>
      <w:r w:rsidRPr="00F20A78">
        <w:rPr>
          <w:sz w:val="22"/>
          <w:szCs w:val="22"/>
          <w:lang w:val="en-US"/>
        </w:rPr>
        <w:t>ERI notes</w:t>
      </w:r>
      <w:r w:rsidR="00141276" w:rsidRPr="00F20A78">
        <w:rPr>
          <w:sz w:val="22"/>
          <w:szCs w:val="22"/>
          <w:lang w:val="en-US"/>
        </w:rPr>
        <w:t xml:space="preserve"> that the </w:t>
      </w:r>
      <w:r w:rsidR="00E41777" w:rsidRPr="00F20A78">
        <w:rPr>
          <w:rFonts w:asciiTheme="majorBidi" w:hAnsiTheme="majorBidi" w:cstheme="majorBidi"/>
          <w:sz w:val="22"/>
          <w:szCs w:val="22"/>
        </w:rPr>
        <w:t xml:space="preserve">current </w:t>
      </w:r>
      <w:r w:rsidR="002E7982" w:rsidRPr="00F20A78">
        <w:rPr>
          <w:rFonts w:asciiTheme="majorBidi" w:hAnsiTheme="majorBidi" w:cstheme="majorBidi"/>
          <w:sz w:val="22"/>
          <w:szCs w:val="22"/>
        </w:rPr>
        <w:t>DVPA</w:t>
      </w:r>
      <w:r w:rsidR="00E41777" w:rsidRPr="00F20A78">
        <w:rPr>
          <w:rFonts w:asciiTheme="majorBidi" w:hAnsiTheme="majorBidi" w:cstheme="majorBidi"/>
          <w:sz w:val="22"/>
          <w:szCs w:val="22"/>
        </w:rPr>
        <w:t xml:space="preserve"> defines 17 acts of domestic violence or abuse</w:t>
      </w:r>
      <w:r w:rsidR="006A7416" w:rsidRPr="00F20A78">
        <w:rPr>
          <w:rFonts w:asciiTheme="majorBidi" w:hAnsiTheme="majorBidi" w:cstheme="majorBidi"/>
          <w:sz w:val="22"/>
          <w:szCs w:val="22"/>
        </w:rPr>
        <w:t xml:space="preserve">, but it does not </w:t>
      </w:r>
      <w:r w:rsidR="00E41777" w:rsidRPr="00F20A78">
        <w:rPr>
          <w:rFonts w:asciiTheme="majorBidi" w:hAnsiTheme="majorBidi" w:cstheme="majorBidi"/>
          <w:sz w:val="22"/>
          <w:szCs w:val="22"/>
        </w:rPr>
        <w:t xml:space="preserve">specify any criminal offenses. </w:t>
      </w:r>
      <w:r w:rsidR="00E41777" w:rsidRPr="00F20A78">
        <w:rPr>
          <w:sz w:val="22"/>
          <w:szCs w:val="22"/>
        </w:rPr>
        <w:t>In the past, concerns were raised as to how this would negatively impact victims of domestic violence since it suggests that the perpetrators are not accountable for their actions.</w:t>
      </w:r>
      <w:r w:rsidR="00E41777" w:rsidRPr="00F20A78">
        <w:rPr>
          <w:rFonts w:asciiTheme="majorBidi" w:hAnsiTheme="majorBidi" w:cstheme="majorBidi"/>
          <w:sz w:val="22"/>
          <w:szCs w:val="22"/>
        </w:rPr>
        <w:t xml:space="preserve"> </w:t>
      </w:r>
      <w:r w:rsidR="00F20A78" w:rsidRPr="00F20A78">
        <w:rPr>
          <w:rFonts w:asciiTheme="majorBidi" w:hAnsiTheme="majorBidi" w:cstheme="majorBidi"/>
          <w:sz w:val="22"/>
          <w:szCs w:val="22"/>
        </w:rPr>
        <w:t xml:space="preserve">This understanding is supported by the information provided to the </w:t>
      </w:r>
      <w:r w:rsidR="00F20A78" w:rsidRPr="00F20A78">
        <w:rPr>
          <w:rFonts w:asciiTheme="majorBidi" w:hAnsiTheme="majorBidi" w:cstheme="majorBidi"/>
          <w:i/>
          <w:iCs/>
          <w:sz w:val="22"/>
          <w:szCs w:val="22"/>
        </w:rPr>
        <w:t xml:space="preserve">2022 Human Rights Report </w:t>
      </w:r>
      <w:r w:rsidR="00F20A78" w:rsidRPr="00F20A78">
        <w:rPr>
          <w:rFonts w:asciiTheme="majorBidi" w:hAnsiTheme="majorBidi" w:cstheme="majorBidi"/>
          <w:sz w:val="22"/>
          <w:szCs w:val="22"/>
        </w:rPr>
        <w:t>by the Prosecutor General’s Office, where they note</w:t>
      </w:r>
      <w:r w:rsidR="00F20A78" w:rsidRPr="00F20A78">
        <w:rPr>
          <w:rFonts w:asciiTheme="majorBidi" w:hAnsiTheme="majorBidi" w:cstheme="majorBidi"/>
          <w:sz w:val="22"/>
          <w:szCs w:val="22"/>
        </w:rPr>
        <w:t>d</w:t>
      </w:r>
      <w:r w:rsidR="00F20A78" w:rsidRPr="00F20A78">
        <w:rPr>
          <w:rFonts w:asciiTheme="majorBidi" w:hAnsiTheme="majorBidi" w:cstheme="majorBidi"/>
          <w:sz w:val="22"/>
          <w:szCs w:val="22"/>
        </w:rPr>
        <w:t xml:space="preserve"> that domestic violence cannot be </w:t>
      </w:r>
      <w:r w:rsidR="00F20A78" w:rsidRPr="00F20A78">
        <w:rPr>
          <w:rFonts w:asciiTheme="majorBidi" w:hAnsiTheme="majorBidi" w:cstheme="majorBidi"/>
          <w:sz w:val="22"/>
          <w:szCs w:val="22"/>
        </w:rPr>
        <w:lastRenderedPageBreak/>
        <w:t>charged as a criminal offense because it has not been recognised as a criminal offense in any legislation</w:t>
      </w:r>
      <w:r w:rsidR="00F20A78" w:rsidRPr="00F20A78">
        <w:rPr>
          <w:rFonts w:asciiTheme="majorBidi" w:hAnsiTheme="majorBidi" w:cstheme="majorBidi"/>
          <w:sz w:val="22"/>
          <w:szCs w:val="22"/>
        </w:rPr>
        <w:t xml:space="preserve"> in the Maldives</w:t>
      </w:r>
      <w:r w:rsidR="00F20A78" w:rsidRPr="00F20A78">
        <w:rPr>
          <w:rFonts w:asciiTheme="majorBidi" w:hAnsiTheme="majorBidi" w:cstheme="majorBidi"/>
          <w:sz w:val="22"/>
          <w:szCs w:val="22"/>
        </w:rPr>
        <w:t>. And because charges are filed under general assault and battery, domestic violence perpetrators get away after receiving a lesser punishment.</w:t>
      </w:r>
      <w:r w:rsidR="00F20A78" w:rsidRPr="00F20A78">
        <w:rPr>
          <w:rStyle w:val="FootnoteReference"/>
          <w:rFonts w:cstheme="majorBidi"/>
          <w:sz w:val="22"/>
          <w:szCs w:val="22"/>
        </w:rPr>
        <w:footnoteReference w:id="12"/>
      </w:r>
      <w:r w:rsidR="00F20A78" w:rsidRPr="00F20A78">
        <w:rPr>
          <w:rFonts w:asciiTheme="majorBidi" w:hAnsiTheme="majorBidi" w:cstheme="majorBidi"/>
          <w:sz w:val="22"/>
          <w:szCs w:val="22"/>
        </w:rPr>
        <w:t xml:space="preserve"> </w:t>
      </w:r>
      <w:r w:rsidR="00F04CEA" w:rsidRPr="00F20A78">
        <w:rPr>
          <w:rFonts w:asciiTheme="majorBidi" w:hAnsiTheme="majorBidi" w:cstheme="majorBidi"/>
          <w:sz w:val="22"/>
          <w:szCs w:val="22"/>
        </w:rPr>
        <w:t>V</w:t>
      </w:r>
      <w:r w:rsidR="00E41777" w:rsidRPr="00F20A78">
        <w:rPr>
          <w:rFonts w:asciiTheme="majorBidi" w:hAnsiTheme="majorBidi" w:cstheme="majorBidi"/>
          <w:sz w:val="22"/>
          <w:szCs w:val="22"/>
        </w:rPr>
        <w:t>ariations</w:t>
      </w:r>
      <w:r w:rsidR="00F04CEA" w:rsidRPr="00F20A78">
        <w:rPr>
          <w:rFonts w:asciiTheme="majorBidi" w:hAnsiTheme="majorBidi" w:cstheme="majorBidi"/>
          <w:sz w:val="22"/>
          <w:szCs w:val="22"/>
        </w:rPr>
        <w:t xml:space="preserve"> also</w:t>
      </w:r>
      <w:r w:rsidR="00E41777" w:rsidRPr="00F20A78">
        <w:rPr>
          <w:rFonts w:asciiTheme="majorBidi" w:hAnsiTheme="majorBidi" w:cstheme="majorBidi"/>
          <w:sz w:val="22"/>
          <w:szCs w:val="22"/>
        </w:rPr>
        <w:t xml:space="preserve"> exist among</w:t>
      </w:r>
      <w:r w:rsidR="00E41777" w:rsidRPr="00674CFD">
        <w:rPr>
          <w:rFonts w:asciiTheme="majorBidi" w:hAnsiTheme="majorBidi" w:cstheme="majorBidi"/>
          <w:sz w:val="22"/>
          <w:szCs w:val="22"/>
        </w:rPr>
        <w:t xml:space="preserve"> the institutions in interpreting and codifying the existing </w:t>
      </w:r>
      <w:r w:rsidR="000540BD" w:rsidRPr="00674CFD">
        <w:rPr>
          <w:rFonts w:asciiTheme="majorBidi" w:hAnsiTheme="majorBidi" w:cstheme="majorBidi"/>
          <w:sz w:val="22"/>
          <w:szCs w:val="22"/>
        </w:rPr>
        <w:t>DVPA</w:t>
      </w:r>
      <w:r w:rsidR="00E41777" w:rsidRPr="00674CFD">
        <w:rPr>
          <w:rFonts w:asciiTheme="majorBidi" w:hAnsiTheme="majorBidi" w:cstheme="majorBidi"/>
          <w:sz w:val="22"/>
          <w:szCs w:val="22"/>
        </w:rPr>
        <w:t>.</w:t>
      </w:r>
      <w:r w:rsidR="00F04CEA">
        <w:rPr>
          <w:rStyle w:val="FootnoteReference"/>
          <w:rFonts w:cstheme="majorBidi"/>
          <w:szCs w:val="22"/>
        </w:rPr>
        <w:footnoteReference w:id="13"/>
      </w:r>
      <w:r w:rsidR="00E41777" w:rsidRPr="00674CFD">
        <w:rPr>
          <w:rFonts w:asciiTheme="majorBidi" w:hAnsiTheme="majorBidi" w:cstheme="majorBidi"/>
          <w:sz w:val="22"/>
          <w:szCs w:val="22"/>
        </w:rPr>
        <w:t xml:space="preserve"> </w:t>
      </w:r>
    </w:p>
    <w:p w14:paraId="7C451389" w14:textId="507036A5" w:rsidR="00D132C2" w:rsidRPr="00674CFD" w:rsidRDefault="006A7416" w:rsidP="00D83763">
      <w:pPr>
        <w:pStyle w:val="SingleTxtG"/>
        <w:numPr>
          <w:ilvl w:val="0"/>
          <w:numId w:val="22"/>
        </w:numPr>
        <w:spacing w:line="276" w:lineRule="auto"/>
        <w:ind w:left="1134" w:firstLine="0"/>
        <w:rPr>
          <w:sz w:val="22"/>
          <w:szCs w:val="22"/>
        </w:rPr>
      </w:pPr>
      <w:r>
        <w:rPr>
          <w:rFonts w:asciiTheme="majorBidi" w:hAnsiTheme="majorBidi" w:cstheme="majorBidi"/>
          <w:sz w:val="22"/>
          <w:szCs w:val="22"/>
        </w:rPr>
        <w:t>O</w:t>
      </w:r>
      <w:r w:rsidR="00E41777" w:rsidRPr="00674CFD">
        <w:rPr>
          <w:rFonts w:asciiTheme="majorBidi" w:hAnsiTheme="majorBidi" w:cstheme="majorBidi"/>
          <w:sz w:val="22"/>
          <w:szCs w:val="22"/>
        </w:rPr>
        <w:t xml:space="preserve">nly two out of every five women seek protection in cases of domestic violence, and </w:t>
      </w:r>
      <w:r>
        <w:rPr>
          <w:rFonts w:asciiTheme="majorBidi" w:hAnsiTheme="majorBidi" w:cstheme="majorBidi"/>
          <w:sz w:val="22"/>
          <w:szCs w:val="22"/>
        </w:rPr>
        <w:t>the lack of</w:t>
      </w:r>
      <w:r w:rsidR="00E41777" w:rsidRPr="00674CFD">
        <w:rPr>
          <w:rFonts w:asciiTheme="majorBidi" w:hAnsiTheme="majorBidi" w:cstheme="majorBidi"/>
          <w:sz w:val="22"/>
          <w:szCs w:val="22"/>
        </w:rPr>
        <w:t xml:space="preserve"> reporting </w:t>
      </w:r>
      <w:r>
        <w:rPr>
          <w:rFonts w:asciiTheme="majorBidi" w:hAnsiTheme="majorBidi" w:cstheme="majorBidi"/>
          <w:sz w:val="22"/>
          <w:szCs w:val="22"/>
        </w:rPr>
        <w:t>can be associated with</w:t>
      </w:r>
      <w:r w:rsidR="00E41777" w:rsidRPr="00674CFD">
        <w:rPr>
          <w:rFonts w:asciiTheme="majorBidi" w:hAnsiTheme="majorBidi" w:cstheme="majorBidi"/>
          <w:sz w:val="22"/>
          <w:szCs w:val="22"/>
        </w:rPr>
        <w:t xml:space="preserve"> a lack of confidence in the legal system, an inability to maintain confidentiality</w:t>
      </w:r>
      <w:r>
        <w:rPr>
          <w:rFonts w:asciiTheme="majorBidi" w:hAnsiTheme="majorBidi" w:cstheme="majorBidi"/>
          <w:sz w:val="22"/>
          <w:szCs w:val="22"/>
        </w:rPr>
        <w:t xml:space="preserve"> (service providers)</w:t>
      </w:r>
      <w:r w:rsidR="00E41777" w:rsidRPr="00674CFD">
        <w:rPr>
          <w:rFonts w:asciiTheme="majorBidi" w:hAnsiTheme="majorBidi" w:cstheme="majorBidi"/>
          <w:sz w:val="22"/>
          <w:szCs w:val="22"/>
        </w:rPr>
        <w:t>, a lack of protection for the reporting party, and the fact that there is no simple process in place for cases of gender-based violence</w:t>
      </w:r>
      <w:r w:rsidR="002E7982" w:rsidRPr="00674CFD">
        <w:rPr>
          <w:rFonts w:asciiTheme="majorBidi" w:hAnsiTheme="majorBidi" w:cstheme="majorBidi"/>
          <w:sz w:val="22"/>
          <w:szCs w:val="22"/>
        </w:rPr>
        <w:t>.</w:t>
      </w:r>
      <w:r w:rsidR="00E41777" w:rsidRPr="00674CFD">
        <w:rPr>
          <w:rStyle w:val="FootnoteReference"/>
          <w:rFonts w:asciiTheme="majorBidi" w:hAnsiTheme="majorBidi" w:cstheme="majorBidi"/>
          <w:sz w:val="22"/>
          <w:szCs w:val="22"/>
        </w:rPr>
        <w:footnoteReference w:id="14"/>
      </w:r>
      <w:r w:rsidR="00E41777" w:rsidRPr="00674CFD">
        <w:rPr>
          <w:rFonts w:asciiTheme="majorBidi" w:hAnsiTheme="majorBidi" w:cstheme="majorBidi"/>
          <w:sz w:val="22"/>
          <w:szCs w:val="22"/>
        </w:rPr>
        <w:t xml:space="preserve"> The Family Protection Authority</w:t>
      </w:r>
      <w:r w:rsidR="000540BD" w:rsidRPr="00674CFD">
        <w:rPr>
          <w:rFonts w:asciiTheme="majorBidi" w:hAnsiTheme="majorBidi" w:cstheme="majorBidi"/>
          <w:sz w:val="22"/>
          <w:szCs w:val="22"/>
        </w:rPr>
        <w:t xml:space="preserve"> (FPA)</w:t>
      </w:r>
      <w:r w:rsidR="00E41777" w:rsidRPr="00674CFD">
        <w:rPr>
          <w:rFonts w:asciiTheme="majorBidi" w:hAnsiTheme="majorBidi" w:cstheme="majorBidi"/>
          <w:sz w:val="22"/>
          <w:szCs w:val="22"/>
        </w:rPr>
        <w:t xml:space="preserve"> website provide guidelines on how to report cases; however, individuals with limited resources may encounter difficulties in </w:t>
      </w:r>
      <w:r>
        <w:rPr>
          <w:rFonts w:asciiTheme="majorBidi" w:hAnsiTheme="majorBidi" w:cstheme="majorBidi"/>
          <w:sz w:val="22"/>
          <w:szCs w:val="22"/>
        </w:rPr>
        <w:t>engaging with</w:t>
      </w:r>
      <w:r w:rsidR="00E41777" w:rsidRPr="00674CFD">
        <w:rPr>
          <w:rFonts w:asciiTheme="majorBidi" w:hAnsiTheme="majorBidi" w:cstheme="majorBidi"/>
          <w:sz w:val="22"/>
          <w:szCs w:val="22"/>
        </w:rPr>
        <w:t xml:space="preserve"> the appropriate authorities.</w:t>
      </w:r>
      <w:r w:rsidR="00E41777" w:rsidRPr="00674CFD">
        <w:rPr>
          <w:rStyle w:val="FootnoteReference"/>
          <w:rFonts w:asciiTheme="majorBidi" w:hAnsiTheme="majorBidi" w:cstheme="majorBidi"/>
          <w:sz w:val="22"/>
          <w:szCs w:val="22"/>
        </w:rPr>
        <w:footnoteReference w:id="15"/>
      </w:r>
      <w:r w:rsidR="00E41777" w:rsidRPr="00674CFD">
        <w:rPr>
          <w:rFonts w:asciiTheme="majorBidi" w:hAnsiTheme="majorBidi" w:cstheme="majorBidi"/>
          <w:sz w:val="22"/>
          <w:szCs w:val="22"/>
        </w:rPr>
        <w:t xml:space="preserve"> Therefore, we </w:t>
      </w:r>
      <w:r>
        <w:rPr>
          <w:rFonts w:asciiTheme="majorBidi" w:hAnsiTheme="majorBidi" w:cstheme="majorBidi"/>
          <w:sz w:val="22"/>
          <w:szCs w:val="22"/>
        </w:rPr>
        <w:t>are</w:t>
      </w:r>
      <w:r w:rsidR="00E41777" w:rsidRPr="00674CFD">
        <w:rPr>
          <w:rFonts w:asciiTheme="majorBidi" w:hAnsiTheme="majorBidi" w:cstheme="majorBidi"/>
          <w:sz w:val="22"/>
          <w:szCs w:val="22"/>
        </w:rPr>
        <w:t xml:space="preserve"> doubtful that a victim of domestic abuse w</w:t>
      </w:r>
      <w:r>
        <w:rPr>
          <w:rFonts w:asciiTheme="majorBidi" w:hAnsiTheme="majorBidi" w:cstheme="majorBidi"/>
          <w:sz w:val="22"/>
          <w:szCs w:val="22"/>
        </w:rPr>
        <w:t>ill</w:t>
      </w:r>
      <w:r w:rsidR="00E41777" w:rsidRPr="00674CFD">
        <w:rPr>
          <w:rFonts w:asciiTheme="majorBidi" w:hAnsiTheme="majorBidi" w:cstheme="majorBidi"/>
          <w:sz w:val="22"/>
          <w:szCs w:val="22"/>
        </w:rPr>
        <w:t xml:space="preserve"> be able to receive the kind of protection the state envisions under the </w:t>
      </w:r>
      <w:r w:rsidR="000540BD" w:rsidRPr="00674CFD">
        <w:rPr>
          <w:rFonts w:asciiTheme="majorBidi" w:hAnsiTheme="majorBidi" w:cstheme="majorBidi"/>
          <w:sz w:val="22"/>
          <w:szCs w:val="22"/>
        </w:rPr>
        <w:t>DVPA</w:t>
      </w:r>
      <w:r w:rsidR="00E41777" w:rsidRPr="00674CFD">
        <w:rPr>
          <w:rFonts w:asciiTheme="majorBidi" w:hAnsiTheme="majorBidi" w:cstheme="majorBidi"/>
          <w:sz w:val="22"/>
          <w:szCs w:val="22"/>
        </w:rPr>
        <w:t>.</w:t>
      </w:r>
      <w:r w:rsidR="00760576" w:rsidRPr="00674CFD">
        <w:rPr>
          <w:rFonts w:asciiTheme="majorBidi" w:hAnsiTheme="majorBidi" w:cstheme="majorBidi"/>
          <w:sz w:val="22"/>
          <w:szCs w:val="22"/>
        </w:rPr>
        <w:t xml:space="preserve"> </w:t>
      </w:r>
    </w:p>
    <w:p w14:paraId="28CAFD72" w14:textId="68078724" w:rsidR="00D132C2" w:rsidRPr="00674CFD" w:rsidRDefault="00C04609" w:rsidP="00D83763">
      <w:pPr>
        <w:pStyle w:val="SingleTxtG"/>
        <w:numPr>
          <w:ilvl w:val="0"/>
          <w:numId w:val="22"/>
        </w:numPr>
        <w:spacing w:line="276" w:lineRule="auto"/>
        <w:ind w:left="1134" w:firstLine="0"/>
        <w:rPr>
          <w:sz w:val="22"/>
          <w:szCs w:val="22"/>
        </w:rPr>
      </w:pPr>
      <w:r>
        <w:rPr>
          <w:rFonts w:asciiTheme="majorBidi" w:hAnsiTheme="majorBidi" w:cstheme="majorBidi"/>
          <w:sz w:val="22"/>
          <w:szCs w:val="22"/>
        </w:rPr>
        <w:t xml:space="preserve">The </w:t>
      </w:r>
      <w:r w:rsidR="003A5A3B" w:rsidRPr="00674CFD">
        <w:rPr>
          <w:rFonts w:asciiTheme="majorBidi" w:hAnsiTheme="majorBidi" w:cstheme="majorBidi"/>
          <w:sz w:val="22"/>
          <w:szCs w:val="22"/>
        </w:rPr>
        <w:t>DVPA</w:t>
      </w:r>
      <w:r>
        <w:rPr>
          <w:rFonts w:asciiTheme="majorBidi" w:hAnsiTheme="majorBidi" w:cstheme="majorBidi"/>
          <w:sz w:val="22"/>
          <w:szCs w:val="22"/>
        </w:rPr>
        <w:t xml:space="preserve"> requires imposing criminal and civil liabilities on domestic violence perpetrators</w:t>
      </w:r>
      <w:r w:rsidR="00E41777" w:rsidRPr="00674CFD">
        <w:rPr>
          <w:rFonts w:asciiTheme="majorBidi" w:hAnsiTheme="majorBidi" w:cstheme="majorBidi"/>
          <w:sz w:val="22"/>
          <w:szCs w:val="22"/>
        </w:rPr>
        <w:t>.</w:t>
      </w:r>
      <w:r>
        <w:rPr>
          <w:rStyle w:val="FootnoteReference"/>
          <w:rFonts w:cstheme="majorBidi"/>
          <w:szCs w:val="22"/>
        </w:rPr>
        <w:footnoteReference w:id="16"/>
      </w:r>
      <w:r w:rsidR="00E41777" w:rsidRPr="00674CFD">
        <w:rPr>
          <w:rFonts w:asciiTheme="majorBidi" w:hAnsiTheme="majorBidi" w:cstheme="majorBidi"/>
          <w:sz w:val="22"/>
          <w:szCs w:val="22"/>
        </w:rPr>
        <w:t xml:space="preserve"> </w:t>
      </w:r>
      <w:r w:rsidR="00A91DD4" w:rsidRPr="00674CFD">
        <w:rPr>
          <w:rFonts w:asciiTheme="majorBidi" w:hAnsiTheme="majorBidi" w:cstheme="majorBidi"/>
          <w:sz w:val="22"/>
          <w:szCs w:val="22"/>
        </w:rPr>
        <w:t xml:space="preserve">It </w:t>
      </w:r>
      <w:r w:rsidR="00A91DD4">
        <w:rPr>
          <w:rFonts w:asciiTheme="majorBidi" w:hAnsiTheme="majorBidi" w:cstheme="majorBidi"/>
          <w:sz w:val="22"/>
          <w:szCs w:val="22"/>
        </w:rPr>
        <w:t>states that</w:t>
      </w:r>
      <w:r w:rsidR="00A91DD4" w:rsidRPr="00674CFD">
        <w:rPr>
          <w:rFonts w:asciiTheme="majorBidi" w:hAnsiTheme="majorBidi" w:cstheme="majorBidi"/>
          <w:sz w:val="22"/>
          <w:szCs w:val="22"/>
        </w:rPr>
        <w:t xml:space="preserve"> domestic violence acts will be dealt with in accordance with the provisions of </w:t>
      </w:r>
      <w:r w:rsidR="00A91DD4">
        <w:rPr>
          <w:rFonts w:asciiTheme="majorBidi" w:hAnsiTheme="majorBidi" w:cstheme="majorBidi"/>
          <w:sz w:val="22"/>
          <w:szCs w:val="22"/>
        </w:rPr>
        <w:t>the Act</w:t>
      </w:r>
      <w:r w:rsidR="00A91DD4" w:rsidRPr="00674CFD">
        <w:rPr>
          <w:rFonts w:asciiTheme="majorBidi" w:hAnsiTheme="majorBidi" w:cstheme="majorBidi"/>
          <w:sz w:val="22"/>
          <w:szCs w:val="22"/>
        </w:rPr>
        <w:t>,</w:t>
      </w:r>
      <w:r w:rsidR="00A91DD4">
        <w:rPr>
          <w:rFonts w:asciiTheme="majorBidi" w:hAnsiTheme="majorBidi" w:cstheme="majorBidi"/>
          <w:sz w:val="22"/>
          <w:szCs w:val="22"/>
        </w:rPr>
        <w:t xml:space="preserve"> and</w:t>
      </w:r>
      <w:r w:rsidR="00A91DD4" w:rsidRPr="00674CFD">
        <w:rPr>
          <w:rFonts w:asciiTheme="majorBidi" w:hAnsiTheme="majorBidi" w:cstheme="majorBidi"/>
          <w:sz w:val="22"/>
          <w:szCs w:val="22"/>
        </w:rPr>
        <w:t xml:space="preserve"> if a crime is committed, the offender will be prosecuted and may also be subject to civil liability wh</w:t>
      </w:r>
      <w:r w:rsidR="00A91DD4">
        <w:rPr>
          <w:rFonts w:asciiTheme="majorBidi" w:hAnsiTheme="majorBidi" w:cstheme="majorBidi"/>
          <w:sz w:val="22"/>
          <w:szCs w:val="22"/>
        </w:rPr>
        <w:t>ere</w:t>
      </w:r>
      <w:r w:rsidR="00A91DD4" w:rsidRPr="00674CFD">
        <w:rPr>
          <w:rFonts w:asciiTheme="majorBidi" w:hAnsiTheme="majorBidi" w:cstheme="majorBidi"/>
          <w:sz w:val="22"/>
          <w:szCs w:val="22"/>
        </w:rPr>
        <w:t xml:space="preserve"> necessary. It should be emphasized that the DVPA does not specify </w:t>
      </w:r>
      <w:r w:rsidR="00812B6A">
        <w:rPr>
          <w:rFonts w:asciiTheme="majorBidi" w:hAnsiTheme="majorBidi" w:cstheme="majorBidi"/>
          <w:sz w:val="22"/>
          <w:szCs w:val="22"/>
        </w:rPr>
        <w:t>the</w:t>
      </w:r>
      <w:r w:rsidR="00A91DD4" w:rsidRPr="00674CFD">
        <w:rPr>
          <w:rFonts w:asciiTheme="majorBidi" w:hAnsiTheme="majorBidi" w:cstheme="majorBidi"/>
          <w:sz w:val="22"/>
          <w:szCs w:val="22"/>
        </w:rPr>
        <w:t xml:space="preserve"> precise actions </w:t>
      </w:r>
      <w:r w:rsidR="00812B6A">
        <w:rPr>
          <w:rFonts w:asciiTheme="majorBidi" w:hAnsiTheme="majorBidi" w:cstheme="majorBidi"/>
          <w:sz w:val="22"/>
          <w:szCs w:val="22"/>
        </w:rPr>
        <w:t>to</w:t>
      </w:r>
      <w:r w:rsidR="00A91DD4" w:rsidRPr="00674CFD">
        <w:rPr>
          <w:rFonts w:asciiTheme="majorBidi" w:hAnsiTheme="majorBidi" w:cstheme="majorBidi"/>
          <w:sz w:val="22"/>
          <w:szCs w:val="22"/>
        </w:rPr>
        <w:t xml:space="preserve"> be taken against the offenders in the absence of a criminal offense; </w:t>
      </w:r>
      <w:r w:rsidR="00A91DD4">
        <w:rPr>
          <w:rFonts w:asciiTheme="majorBidi" w:hAnsiTheme="majorBidi" w:cstheme="majorBidi"/>
          <w:sz w:val="22"/>
          <w:szCs w:val="22"/>
        </w:rPr>
        <w:t>and a</w:t>
      </w:r>
      <w:r w:rsidR="00A91DD4" w:rsidRPr="00674CFD">
        <w:rPr>
          <w:rFonts w:asciiTheme="majorBidi" w:hAnsiTheme="majorBidi" w:cstheme="majorBidi"/>
          <w:sz w:val="22"/>
          <w:szCs w:val="22"/>
        </w:rPr>
        <w:t xml:space="preserve"> law on civil liability has not yet been </w:t>
      </w:r>
      <w:r w:rsidR="00A91DD4">
        <w:rPr>
          <w:rFonts w:asciiTheme="majorBidi" w:hAnsiTheme="majorBidi" w:cstheme="majorBidi"/>
          <w:sz w:val="22"/>
          <w:szCs w:val="22"/>
        </w:rPr>
        <w:t>introduced</w:t>
      </w:r>
      <w:r w:rsidR="00A91DD4" w:rsidRPr="00674CFD">
        <w:rPr>
          <w:rFonts w:asciiTheme="majorBidi" w:hAnsiTheme="majorBidi" w:cstheme="majorBidi"/>
          <w:sz w:val="22"/>
          <w:szCs w:val="22"/>
        </w:rPr>
        <w:t xml:space="preserve">. </w:t>
      </w:r>
      <w:r w:rsidR="00E41777" w:rsidRPr="00674CFD">
        <w:rPr>
          <w:rFonts w:asciiTheme="majorBidi" w:hAnsiTheme="majorBidi" w:cstheme="majorBidi"/>
          <w:sz w:val="22"/>
          <w:szCs w:val="22"/>
        </w:rPr>
        <w:t xml:space="preserve">In the absence of </w:t>
      </w:r>
      <w:r w:rsidR="00A91DD4">
        <w:rPr>
          <w:rFonts w:asciiTheme="majorBidi" w:hAnsiTheme="majorBidi" w:cstheme="majorBidi"/>
          <w:sz w:val="22"/>
          <w:szCs w:val="22"/>
        </w:rPr>
        <w:t>any rules governing this</w:t>
      </w:r>
      <w:r w:rsidR="00E41777" w:rsidRPr="00674CFD">
        <w:rPr>
          <w:rFonts w:asciiTheme="majorBidi" w:hAnsiTheme="majorBidi" w:cstheme="majorBidi"/>
          <w:sz w:val="22"/>
          <w:szCs w:val="22"/>
        </w:rPr>
        <w:t xml:space="preserve"> </w:t>
      </w:r>
      <w:r w:rsidR="00A91DD4" w:rsidRPr="00A91DD4">
        <w:rPr>
          <w:rFonts w:asciiTheme="majorBidi" w:hAnsiTheme="majorBidi" w:cstheme="majorBidi"/>
          <w:sz w:val="22"/>
          <w:szCs w:val="22"/>
        </w:rPr>
        <w:t>c</w:t>
      </w:r>
      <w:r w:rsidR="00E41777" w:rsidRPr="00A91DD4">
        <w:rPr>
          <w:rFonts w:asciiTheme="majorBidi" w:hAnsiTheme="majorBidi" w:cstheme="majorBidi"/>
          <w:sz w:val="22"/>
          <w:szCs w:val="22"/>
        </w:rPr>
        <w:t xml:space="preserve">ivil </w:t>
      </w:r>
      <w:r w:rsidR="00A91DD4" w:rsidRPr="00A91DD4">
        <w:rPr>
          <w:rFonts w:asciiTheme="majorBidi" w:hAnsiTheme="majorBidi" w:cstheme="majorBidi"/>
          <w:sz w:val="22"/>
          <w:szCs w:val="22"/>
        </w:rPr>
        <w:t>l</w:t>
      </w:r>
      <w:r w:rsidR="00E41777" w:rsidRPr="00A91DD4">
        <w:rPr>
          <w:rFonts w:asciiTheme="majorBidi" w:hAnsiTheme="majorBidi" w:cstheme="majorBidi"/>
          <w:sz w:val="22"/>
          <w:szCs w:val="22"/>
        </w:rPr>
        <w:t>iability,</w:t>
      </w:r>
      <w:r w:rsidR="00E41777" w:rsidRPr="00674CFD">
        <w:rPr>
          <w:rFonts w:asciiTheme="majorBidi" w:hAnsiTheme="majorBidi" w:cstheme="majorBidi"/>
          <w:sz w:val="22"/>
          <w:szCs w:val="22"/>
        </w:rPr>
        <w:t xml:space="preserve"> victims of domestic violence currently lack a defined legal procedure </w:t>
      </w:r>
      <w:r>
        <w:rPr>
          <w:rFonts w:asciiTheme="majorBidi" w:hAnsiTheme="majorBidi" w:cstheme="majorBidi"/>
          <w:sz w:val="22"/>
          <w:szCs w:val="22"/>
        </w:rPr>
        <w:t xml:space="preserve">to seek </w:t>
      </w:r>
      <w:r w:rsidR="0062798C">
        <w:rPr>
          <w:rFonts w:asciiTheme="majorBidi" w:hAnsiTheme="majorBidi" w:cstheme="majorBidi"/>
          <w:sz w:val="22"/>
          <w:szCs w:val="22"/>
        </w:rPr>
        <w:t xml:space="preserve">any form of </w:t>
      </w:r>
      <w:r>
        <w:rPr>
          <w:rFonts w:asciiTheme="majorBidi" w:hAnsiTheme="majorBidi" w:cstheme="majorBidi"/>
          <w:sz w:val="22"/>
          <w:szCs w:val="22"/>
        </w:rPr>
        <w:t>compensation</w:t>
      </w:r>
      <w:r w:rsidR="00400514">
        <w:rPr>
          <w:rFonts w:asciiTheme="majorBidi" w:hAnsiTheme="majorBidi" w:cstheme="majorBidi"/>
          <w:sz w:val="22"/>
          <w:szCs w:val="22"/>
        </w:rPr>
        <w:t>.</w:t>
      </w:r>
      <w:r>
        <w:rPr>
          <w:rFonts w:asciiTheme="majorBidi" w:hAnsiTheme="majorBidi" w:cstheme="majorBidi"/>
          <w:sz w:val="22"/>
          <w:szCs w:val="22"/>
        </w:rPr>
        <w:t xml:space="preserve"> </w:t>
      </w:r>
    </w:p>
    <w:p w14:paraId="59FDA5B3" w14:textId="7FC92CDB" w:rsidR="005D5FDB" w:rsidRPr="00674CFD" w:rsidRDefault="00760576" w:rsidP="005D5FDB">
      <w:pPr>
        <w:pStyle w:val="SingleTxtG"/>
        <w:numPr>
          <w:ilvl w:val="0"/>
          <w:numId w:val="22"/>
        </w:numPr>
        <w:spacing w:line="276" w:lineRule="auto"/>
        <w:ind w:left="1134" w:firstLine="0"/>
        <w:rPr>
          <w:sz w:val="22"/>
          <w:szCs w:val="22"/>
        </w:rPr>
      </w:pPr>
      <w:r w:rsidRPr="00674CFD">
        <w:rPr>
          <w:sz w:val="22"/>
          <w:szCs w:val="22"/>
        </w:rPr>
        <w:t xml:space="preserve">The </w:t>
      </w:r>
      <w:r w:rsidR="009D2AA0" w:rsidRPr="00674CFD">
        <w:rPr>
          <w:rFonts w:asciiTheme="majorBidi" w:hAnsiTheme="majorBidi" w:cstheme="majorBidi"/>
          <w:sz w:val="22"/>
          <w:szCs w:val="22"/>
        </w:rPr>
        <w:t>DVPA</w:t>
      </w:r>
      <w:r w:rsidR="009D2AA0" w:rsidRPr="00674CFD">
        <w:rPr>
          <w:sz w:val="22"/>
          <w:szCs w:val="22"/>
        </w:rPr>
        <w:t xml:space="preserve"> </w:t>
      </w:r>
      <w:r w:rsidRPr="00674CFD">
        <w:rPr>
          <w:sz w:val="22"/>
          <w:szCs w:val="22"/>
        </w:rPr>
        <w:t>does not intend to punish perpetrators unless the perpetrator commits a specified crime</w:t>
      </w:r>
      <w:r w:rsidR="00CE44C0">
        <w:rPr>
          <w:sz w:val="22"/>
          <w:szCs w:val="22"/>
        </w:rPr>
        <w:t xml:space="preserve"> in the DVPA</w:t>
      </w:r>
      <w:r w:rsidR="00D017FC">
        <w:rPr>
          <w:sz w:val="22"/>
          <w:szCs w:val="22"/>
        </w:rPr>
        <w:t>, and it</w:t>
      </w:r>
      <w:r w:rsidRPr="00674CFD">
        <w:rPr>
          <w:sz w:val="22"/>
          <w:szCs w:val="22"/>
        </w:rPr>
        <w:t xml:space="preserve"> does not offer rules for dealing with </w:t>
      </w:r>
      <w:r w:rsidR="00CE44C0">
        <w:rPr>
          <w:sz w:val="22"/>
          <w:szCs w:val="22"/>
        </w:rPr>
        <w:t xml:space="preserve">domestic violence </w:t>
      </w:r>
      <w:r w:rsidRPr="00674CFD">
        <w:rPr>
          <w:sz w:val="22"/>
          <w:szCs w:val="22"/>
        </w:rPr>
        <w:t>perpetrators whose actions do not satisfy any criminal offens</w:t>
      </w:r>
      <w:r w:rsidR="00CB2B4A" w:rsidRPr="00674CFD">
        <w:rPr>
          <w:sz w:val="22"/>
          <w:szCs w:val="22"/>
        </w:rPr>
        <w:t xml:space="preserve">e. </w:t>
      </w:r>
      <w:r w:rsidR="00D017FC">
        <w:rPr>
          <w:rFonts w:asciiTheme="majorBidi" w:hAnsiTheme="majorBidi" w:cstheme="majorBidi"/>
          <w:sz w:val="22"/>
          <w:szCs w:val="22"/>
        </w:rPr>
        <w:t>However, i</w:t>
      </w:r>
      <w:r w:rsidR="005D5FDB">
        <w:rPr>
          <w:rFonts w:asciiTheme="majorBidi" w:hAnsiTheme="majorBidi" w:cstheme="majorBidi"/>
          <w:sz w:val="22"/>
          <w:szCs w:val="22"/>
        </w:rPr>
        <w:t>f</w:t>
      </w:r>
      <w:r w:rsidR="005D5FDB" w:rsidRPr="00674CFD">
        <w:rPr>
          <w:rFonts w:asciiTheme="majorBidi" w:hAnsiTheme="majorBidi" w:cstheme="majorBidi"/>
          <w:sz w:val="22"/>
          <w:szCs w:val="22"/>
        </w:rPr>
        <w:t xml:space="preserve"> all the conditions of a criminal offense are met, the offender will</w:t>
      </w:r>
      <w:r w:rsidR="005D5FDB">
        <w:rPr>
          <w:rFonts w:asciiTheme="majorBidi" w:hAnsiTheme="majorBidi" w:cstheme="majorBidi"/>
          <w:sz w:val="22"/>
          <w:szCs w:val="22"/>
        </w:rPr>
        <w:t xml:space="preserve"> </w:t>
      </w:r>
      <w:r w:rsidR="005D5FDB" w:rsidRPr="00674CFD">
        <w:rPr>
          <w:rFonts w:asciiTheme="majorBidi" w:hAnsiTheme="majorBidi" w:cstheme="majorBidi"/>
          <w:sz w:val="22"/>
          <w:szCs w:val="22"/>
        </w:rPr>
        <w:t xml:space="preserve">face criminal prosecution. Furthermore, depending on the seriousness of the criminal offense, the offender may be required to stay in police custody until the case is concluded or may be released under bail or specific conditions. </w:t>
      </w:r>
      <w:r w:rsidR="005D5FDB" w:rsidRPr="00674CFD">
        <w:rPr>
          <w:sz w:val="22"/>
          <w:szCs w:val="22"/>
        </w:rPr>
        <w:t>There are no further actions available under the legislation to take against the offender if their conduct does not constitute an offense. For this reason, prosecution in domestic violence cases is extremely low. According to PGO, only 14% of cases reported as domestic violence cases investigated by the Police, were sent for prosecution. And while 60 cases of violence against women were prosecuted only 10 cases were able to secure a conviction.</w:t>
      </w:r>
      <w:r w:rsidR="005D5FDB" w:rsidRPr="00674CFD">
        <w:rPr>
          <w:rStyle w:val="FootnoteReference"/>
          <w:sz w:val="22"/>
          <w:szCs w:val="22"/>
        </w:rPr>
        <w:footnoteReference w:id="17"/>
      </w:r>
      <w:r w:rsidR="005D5FDB" w:rsidRPr="00674CFD">
        <w:rPr>
          <w:sz w:val="22"/>
          <w:szCs w:val="22"/>
        </w:rPr>
        <w:t xml:space="preserve"> According to the FPA, although the DVPA identifies the key institutions and their responsibilities, the lack of clarity on the roles </w:t>
      </w:r>
      <w:r w:rsidR="0049399C">
        <w:rPr>
          <w:sz w:val="22"/>
          <w:szCs w:val="22"/>
        </w:rPr>
        <w:t>for the</w:t>
      </w:r>
      <w:r w:rsidR="005D5FDB" w:rsidRPr="00674CFD">
        <w:rPr>
          <w:sz w:val="22"/>
          <w:szCs w:val="22"/>
        </w:rPr>
        <w:t xml:space="preserve"> various institutions investigating cases of domestic violence in this legislation or in another, </w:t>
      </w:r>
      <w:r w:rsidR="005D5FDB" w:rsidRPr="00674CFD">
        <w:rPr>
          <w:sz w:val="22"/>
          <w:szCs w:val="22"/>
        </w:rPr>
        <w:lastRenderedPageBreak/>
        <w:t>and the absence of a minimum standard for implementing institution, has also affected the effectiveness of the process.</w:t>
      </w:r>
      <w:r w:rsidR="005D5FDB" w:rsidRPr="00674CFD">
        <w:rPr>
          <w:rStyle w:val="FootnoteReference"/>
          <w:sz w:val="22"/>
          <w:szCs w:val="22"/>
        </w:rPr>
        <w:footnoteReference w:id="18"/>
      </w:r>
      <w:r w:rsidR="005D5FDB" w:rsidRPr="00674CFD">
        <w:rPr>
          <w:sz w:val="22"/>
          <w:szCs w:val="22"/>
        </w:rPr>
        <w:t xml:space="preserve"> </w:t>
      </w:r>
    </w:p>
    <w:p w14:paraId="0EA392B0" w14:textId="3A64125A" w:rsidR="00D132C2" w:rsidRPr="00674CFD" w:rsidRDefault="00E41777" w:rsidP="00D83763">
      <w:pPr>
        <w:pStyle w:val="SingleTxtG"/>
        <w:numPr>
          <w:ilvl w:val="0"/>
          <w:numId w:val="22"/>
        </w:numPr>
        <w:spacing w:line="276" w:lineRule="auto"/>
        <w:ind w:left="1134" w:firstLine="0"/>
        <w:rPr>
          <w:sz w:val="22"/>
          <w:szCs w:val="22"/>
        </w:rPr>
      </w:pPr>
      <w:r w:rsidRPr="00674CFD">
        <w:rPr>
          <w:sz w:val="22"/>
          <w:szCs w:val="22"/>
        </w:rPr>
        <w:t>The main protective measures available to victims against offenders include the protection order outlined in Part 7 and the emergency protection order outlined in Part 8 of the Act</w:t>
      </w:r>
      <w:r w:rsidRPr="00674CFD">
        <w:rPr>
          <w:rFonts w:asciiTheme="majorBidi" w:hAnsiTheme="majorBidi" w:cstheme="majorBidi"/>
          <w:sz w:val="22"/>
          <w:szCs w:val="22"/>
        </w:rPr>
        <w:t xml:space="preserve">. </w:t>
      </w:r>
      <w:r w:rsidRPr="00674CFD">
        <w:rPr>
          <w:sz w:val="22"/>
          <w:szCs w:val="22"/>
        </w:rPr>
        <w:t xml:space="preserve">Nonetheless, according to </w:t>
      </w:r>
      <w:r w:rsidR="009F078C" w:rsidRPr="00674CFD">
        <w:rPr>
          <w:sz w:val="22"/>
          <w:szCs w:val="22"/>
        </w:rPr>
        <w:t>FPA</w:t>
      </w:r>
      <w:r w:rsidRPr="00674CFD">
        <w:rPr>
          <w:sz w:val="22"/>
          <w:szCs w:val="22"/>
        </w:rPr>
        <w:t xml:space="preserve"> statistics, of the 529 domestic abuse cases in 2023, 80 victims received emergency protection orders, and 8 victims received protection orders from the courts</w:t>
      </w:r>
      <w:r w:rsidRPr="00674CFD">
        <w:rPr>
          <w:rFonts w:asciiTheme="majorBidi" w:hAnsiTheme="majorBidi" w:cstheme="majorBidi"/>
          <w:sz w:val="22"/>
          <w:szCs w:val="22"/>
        </w:rPr>
        <w:t>.</w:t>
      </w:r>
      <w:r w:rsidRPr="00674CFD">
        <w:rPr>
          <w:rStyle w:val="FootnoteReference"/>
          <w:rFonts w:asciiTheme="majorBidi" w:hAnsiTheme="majorBidi" w:cstheme="majorBidi"/>
          <w:sz w:val="22"/>
          <w:szCs w:val="22"/>
        </w:rPr>
        <w:footnoteReference w:id="19"/>
      </w:r>
      <w:r w:rsidRPr="00674CFD">
        <w:rPr>
          <w:rFonts w:asciiTheme="majorBidi" w:hAnsiTheme="majorBidi" w:cstheme="majorBidi"/>
          <w:sz w:val="22"/>
          <w:szCs w:val="22"/>
        </w:rPr>
        <w:t xml:space="preserve"> </w:t>
      </w:r>
      <w:r w:rsidR="00402405" w:rsidRPr="00674CFD">
        <w:rPr>
          <w:rFonts w:asciiTheme="majorBidi" w:hAnsiTheme="majorBidi" w:cstheme="majorBidi"/>
          <w:sz w:val="22"/>
          <w:szCs w:val="22"/>
        </w:rPr>
        <w:t xml:space="preserve">Data from </w:t>
      </w:r>
      <w:r w:rsidRPr="00674CFD">
        <w:rPr>
          <w:rFonts w:asciiTheme="majorBidi" w:hAnsiTheme="majorBidi" w:cstheme="majorBidi"/>
          <w:sz w:val="22"/>
          <w:szCs w:val="22"/>
        </w:rPr>
        <w:t xml:space="preserve">2022 and 2023 </w:t>
      </w:r>
      <w:r w:rsidR="00402405" w:rsidRPr="00674CFD">
        <w:rPr>
          <w:rFonts w:asciiTheme="majorBidi" w:hAnsiTheme="majorBidi" w:cstheme="majorBidi"/>
          <w:sz w:val="22"/>
          <w:szCs w:val="22"/>
        </w:rPr>
        <w:t xml:space="preserve">also </w:t>
      </w:r>
      <w:r w:rsidRPr="00674CFD">
        <w:rPr>
          <w:rFonts w:asciiTheme="majorBidi" w:hAnsiTheme="majorBidi" w:cstheme="majorBidi"/>
          <w:sz w:val="22"/>
          <w:szCs w:val="22"/>
        </w:rPr>
        <w:t xml:space="preserve">demonstrate significant number of serious abuses, including physical, psychological, emotional, and verbal abuses, that have been reported in addition to the various forms of domestic violence incidents. Thus, </w:t>
      </w:r>
      <w:r w:rsidR="000E6A6A" w:rsidRPr="00674CFD">
        <w:rPr>
          <w:rFonts w:asciiTheme="majorBidi" w:hAnsiTheme="majorBidi" w:cstheme="majorBidi"/>
          <w:sz w:val="22"/>
          <w:szCs w:val="22"/>
        </w:rPr>
        <w:t>while it can be assumed that</w:t>
      </w:r>
      <w:r w:rsidRPr="00674CFD">
        <w:rPr>
          <w:rFonts w:asciiTheme="majorBidi" w:hAnsiTheme="majorBidi" w:cstheme="majorBidi"/>
          <w:sz w:val="22"/>
          <w:szCs w:val="22"/>
        </w:rPr>
        <w:t xml:space="preserve"> victims would require interim relief or immediate protection from the offenders</w:t>
      </w:r>
      <w:r w:rsidR="000E6A6A" w:rsidRPr="00674CFD">
        <w:rPr>
          <w:rFonts w:asciiTheme="majorBidi" w:hAnsiTheme="majorBidi" w:cstheme="majorBidi"/>
          <w:sz w:val="22"/>
          <w:szCs w:val="22"/>
        </w:rPr>
        <w:t xml:space="preserve">, </w:t>
      </w:r>
      <w:r w:rsidRPr="00674CFD">
        <w:rPr>
          <w:rFonts w:asciiTheme="majorBidi" w:hAnsiTheme="majorBidi" w:cstheme="majorBidi"/>
          <w:sz w:val="22"/>
          <w:szCs w:val="22"/>
        </w:rPr>
        <w:t>the courts have granted comparatively few protection orders.</w:t>
      </w:r>
    </w:p>
    <w:p w14:paraId="78134EB0" w14:textId="7DCDC9E7" w:rsidR="0049399C" w:rsidRPr="0049399C" w:rsidRDefault="0049399C" w:rsidP="00D83763">
      <w:pPr>
        <w:pStyle w:val="SingleTxtG"/>
        <w:numPr>
          <w:ilvl w:val="0"/>
          <w:numId w:val="22"/>
        </w:numPr>
        <w:spacing w:line="276" w:lineRule="auto"/>
        <w:ind w:left="1080" w:firstLine="0"/>
        <w:rPr>
          <w:sz w:val="22"/>
          <w:szCs w:val="22"/>
        </w:rPr>
      </w:pPr>
      <w:r w:rsidRPr="0049399C">
        <w:rPr>
          <w:sz w:val="22"/>
          <w:szCs w:val="22"/>
        </w:rPr>
        <w:t>Domestic violence victims generally have the same legal rights as any other person and can file a civil case</w:t>
      </w:r>
      <w:r>
        <w:rPr>
          <w:sz w:val="22"/>
          <w:szCs w:val="22"/>
        </w:rPr>
        <w:t>, however, this also comes with various complications related to not having sufficient legal and financial support for the victims.</w:t>
      </w:r>
    </w:p>
    <w:p w14:paraId="53D63F49" w14:textId="16222A63" w:rsidR="00305E79" w:rsidRPr="00674CFD" w:rsidRDefault="00AD0671" w:rsidP="00D83763">
      <w:pPr>
        <w:pStyle w:val="SingleTxtG"/>
        <w:numPr>
          <w:ilvl w:val="0"/>
          <w:numId w:val="22"/>
        </w:numPr>
        <w:spacing w:line="276" w:lineRule="auto"/>
        <w:ind w:left="1080" w:firstLine="0"/>
        <w:rPr>
          <w:sz w:val="22"/>
          <w:szCs w:val="22"/>
        </w:rPr>
      </w:pPr>
      <w:r w:rsidRPr="00674CFD">
        <w:rPr>
          <w:sz w:val="22"/>
          <w:szCs w:val="22"/>
        </w:rPr>
        <w:t xml:space="preserve">Given the above, </w:t>
      </w:r>
      <w:r w:rsidR="000A7BDE" w:rsidRPr="00674CFD">
        <w:rPr>
          <w:sz w:val="22"/>
          <w:szCs w:val="22"/>
        </w:rPr>
        <w:t xml:space="preserve">we </w:t>
      </w:r>
      <w:r w:rsidR="00305E79" w:rsidRPr="00674CFD">
        <w:rPr>
          <w:sz w:val="22"/>
          <w:szCs w:val="22"/>
        </w:rPr>
        <w:t>note that the</w:t>
      </w:r>
      <w:r w:rsidRPr="00674CFD">
        <w:rPr>
          <w:sz w:val="22"/>
          <w:szCs w:val="22"/>
        </w:rPr>
        <w:t xml:space="preserve"> </w:t>
      </w:r>
      <w:r w:rsidR="00305E79" w:rsidRPr="00674CFD">
        <w:rPr>
          <w:sz w:val="22"/>
          <w:szCs w:val="22"/>
        </w:rPr>
        <w:t xml:space="preserve">purpose of the DVPA cannot be achieved unless domestic violence acts are punishable, and therefore, </w:t>
      </w:r>
      <w:r w:rsidR="00851B9A">
        <w:rPr>
          <w:sz w:val="22"/>
          <w:szCs w:val="22"/>
        </w:rPr>
        <w:t>the law must be</w:t>
      </w:r>
      <w:r w:rsidR="00305E79" w:rsidRPr="00674CFD">
        <w:rPr>
          <w:sz w:val="22"/>
          <w:szCs w:val="22"/>
        </w:rPr>
        <w:t xml:space="preserve"> amend</w:t>
      </w:r>
      <w:r w:rsidR="00851B9A">
        <w:rPr>
          <w:sz w:val="22"/>
          <w:szCs w:val="22"/>
        </w:rPr>
        <w:t>ed</w:t>
      </w:r>
      <w:r w:rsidR="00305E79" w:rsidRPr="00674CFD">
        <w:rPr>
          <w:sz w:val="22"/>
          <w:szCs w:val="22"/>
        </w:rPr>
        <w:t xml:space="preserve"> to introduce measures to be taken against the perpetrator and introduce civil liabilities. We also call on the State Party to establish an administrative mechanism to issue protection orders, and establish adequate therapeutic, rehabilitation, and other facilities for victims of domestic violence. </w:t>
      </w:r>
    </w:p>
    <w:p w14:paraId="67EE223F" w14:textId="50600AE1" w:rsidR="00671AB5" w:rsidRPr="00674CFD" w:rsidRDefault="00FB00FB" w:rsidP="00D83763">
      <w:pPr>
        <w:pStyle w:val="H1G"/>
        <w:spacing w:line="276" w:lineRule="auto"/>
        <w:rPr>
          <w:sz w:val="22"/>
          <w:szCs w:val="22"/>
        </w:rPr>
      </w:pPr>
      <w:r w:rsidRPr="00674CFD">
        <w:rPr>
          <w:sz w:val="22"/>
          <w:szCs w:val="22"/>
        </w:rPr>
        <w:tab/>
        <w:t>D.</w:t>
      </w:r>
      <w:r w:rsidRPr="00674CFD">
        <w:rPr>
          <w:sz w:val="22"/>
          <w:szCs w:val="22"/>
        </w:rPr>
        <w:tab/>
      </w:r>
      <w:r w:rsidR="00671AB5" w:rsidRPr="00674CFD">
        <w:rPr>
          <w:sz w:val="22"/>
          <w:szCs w:val="22"/>
        </w:rPr>
        <w:t xml:space="preserve">Interim </w:t>
      </w:r>
      <w:r w:rsidRPr="00674CFD">
        <w:rPr>
          <w:sz w:val="22"/>
          <w:szCs w:val="22"/>
        </w:rPr>
        <w:t>r</w:t>
      </w:r>
      <w:r w:rsidR="00671AB5" w:rsidRPr="00674CFD">
        <w:rPr>
          <w:sz w:val="22"/>
          <w:szCs w:val="22"/>
        </w:rPr>
        <w:t>eplies to the recommendations contained in paragraph 54 (e) of the concluding observations (CEDAW/</w:t>
      </w:r>
      <w:r w:rsidRPr="00674CFD">
        <w:rPr>
          <w:sz w:val="22"/>
          <w:szCs w:val="22"/>
        </w:rPr>
        <w:t>C</w:t>
      </w:r>
      <w:r w:rsidR="00671AB5" w:rsidRPr="00674CFD">
        <w:rPr>
          <w:sz w:val="22"/>
          <w:szCs w:val="22"/>
        </w:rPr>
        <w:t>/MDV/CO/6)</w:t>
      </w:r>
    </w:p>
    <w:p w14:paraId="67B80E50" w14:textId="4FE95FBD" w:rsidR="002D7319" w:rsidRPr="00674CFD" w:rsidRDefault="002D7319" w:rsidP="00D83763">
      <w:pPr>
        <w:pStyle w:val="SingleTxtG"/>
        <w:numPr>
          <w:ilvl w:val="0"/>
          <w:numId w:val="22"/>
        </w:numPr>
        <w:spacing w:line="276" w:lineRule="auto"/>
        <w:ind w:left="1134" w:firstLine="0"/>
        <w:rPr>
          <w:sz w:val="22"/>
          <w:szCs w:val="22"/>
          <w:lang w:val="en-US"/>
        </w:rPr>
      </w:pPr>
      <w:r w:rsidRPr="00674CFD">
        <w:rPr>
          <w:sz w:val="22"/>
          <w:szCs w:val="22"/>
        </w:rPr>
        <w:t xml:space="preserve">In the Interim Reply to the CO urging the State Party to </w:t>
      </w:r>
      <w:r w:rsidRPr="00674CFD">
        <w:rPr>
          <w:b/>
          <w:bCs/>
          <w:sz w:val="22"/>
          <w:szCs w:val="22"/>
        </w:rPr>
        <w:t xml:space="preserve">Adopt legislation to ensure that men and women have equal rights in divorce, including equal grounds and procedures for obtaining a divorce, as well as equal distribution of marital property upon divorce, including land, in line with the Committee’s general recommendation No. 29 (2013) on the economic consequences of marriage, family relations and their dissolution, </w:t>
      </w:r>
      <w:r w:rsidRPr="00674CFD">
        <w:rPr>
          <w:sz w:val="22"/>
          <w:szCs w:val="22"/>
        </w:rPr>
        <w:t xml:space="preserve">the </w:t>
      </w:r>
      <w:r w:rsidR="0030052D" w:rsidRPr="00674CFD">
        <w:rPr>
          <w:sz w:val="22"/>
          <w:szCs w:val="22"/>
          <w:lang w:val="en-US"/>
        </w:rPr>
        <w:t>State Party</w:t>
      </w:r>
      <w:r w:rsidR="00701E08" w:rsidRPr="00674CFD">
        <w:rPr>
          <w:sz w:val="22"/>
          <w:szCs w:val="22"/>
        </w:rPr>
        <w:t xml:space="preserve"> notes</w:t>
      </w:r>
      <w:r w:rsidRPr="00674CFD">
        <w:rPr>
          <w:sz w:val="22"/>
          <w:szCs w:val="22"/>
        </w:rPr>
        <w:t xml:space="preserve"> that </w:t>
      </w:r>
      <w:r w:rsidR="00701E08" w:rsidRPr="00674CFD">
        <w:rPr>
          <w:sz w:val="22"/>
          <w:szCs w:val="22"/>
        </w:rPr>
        <w:t>it</w:t>
      </w:r>
      <w:r w:rsidR="00671AB5" w:rsidRPr="00674CFD">
        <w:rPr>
          <w:sz w:val="22"/>
          <w:szCs w:val="22"/>
          <w:lang w:val="en-US"/>
        </w:rPr>
        <w:t xml:space="preserve"> is committed to removing the barriers faced by women in matters of family law. In </w:t>
      </w:r>
      <w:r w:rsidR="00701E08" w:rsidRPr="00674CFD">
        <w:rPr>
          <w:sz w:val="22"/>
          <w:szCs w:val="22"/>
          <w:lang w:val="en-US"/>
        </w:rPr>
        <w:t>informs that</w:t>
      </w:r>
      <w:r w:rsidR="00916306" w:rsidRPr="00674CFD">
        <w:rPr>
          <w:sz w:val="22"/>
          <w:szCs w:val="22"/>
          <w:lang w:val="en-US"/>
        </w:rPr>
        <w:t xml:space="preserve"> with a view to provide</w:t>
      </w:r>
      <w:r w:rsidR="00701E08" w:rsidRPr="00674CFD">
        <w:rPr>
          <w:sz w:val="22"/>
          <w:szCs w:val="22"/>
          <w:lang w:val="en-US"/>
        </w:rPr>
        <w:t xml:space="preserve"> </w:t>
      </w:r>
      <w:r w:rsidR="00916306" w:rsidRPr="00674CFD">
        <w:rPr>
          <w:sz w:val="22"/>
          <w:szCs w:val="22"/>
          <w:lang w:val="en-US"/>
        </w:rPr>
        <w:t xml:space="preserve">better safeguards for women and children, </w:t>
      </w:r>
      <w:proofErr w:type="spellStart"/>
      <w:r w:rsidR="00916306" w:rsidRPr="00674CFD">
        <w:rPr>
          <w:sz w:val="22"/>
          <w:szCs w:val="22"/>
          <w:lang w:val="en-US"/>
        </w:rPr>
        <w:t>modernise</w:t>
      </w:r>
      <w:proofErr w:type="spellEnd"/>
      <w:r w:rsidR="00916306" w:rsidRPr="00674CFD">
        <w:rPr>
          <w:sz w:val="22"/>
          <w:szCs w:val="22"/>
          <w:lang w:val="en-US"/>
        </w:rPr>
        <w:t xml:space="preserve"> and simplify court proceedings, and introduce modern dispute settlement mechanisms, </w:t>
      </w:r>
      <w:r w:rsidR="00671AB5" w:rsidRPr="00674CFD">
        <w:rPr>
          <w:sz w:val="22"/>
          <w:szCs w:val="22"/>
          <w:lang w:val="en-US"/>
        </w:rPr>
        <w:t>the Attorney General’s Office</w:t>
      </w:r>
      <w:r w:rsidR="00701E08" w:rsidRPr="00674CFD">
        <w:rPr>
          <w:sz w:val="22"/>
          <w:szCs w:val="22"/>
          <w:lang w:val="en-US"/>
        </w:rPr>
        <w:t xml:space="preserve"> </w:t>
      </w:r>
      <w:r w:rsidR="00916306" w:rsidRPr="00674CFD">
        <w:rPr>
          <w:sz w:val="22"/>
          <w:szCs w:val="22"/>
          <w:lang w:val="en-US"/>
        </w:rPr>
        <w:t xml:space="preserve">has </w:t>
      </w:r>
      <w:r w:rsidR="00671AB5" w:rsidRPr="00674CFD">
        <w:rPr>
          <w:sz w:val="22"/>
          <w:szCs w:val="22"/>
          <w:lang w:val="en-US"/>
        </w:rPr>
        <w:t xml:space="preserve">launched </w:t>
      </w:r>
      <w:r w:rsidR="00701E08" w:rsidRPr="00674CFD">
        <w:rPr>
          <w:sz w:val="22"/>
          <w:szCs w:val="22"/>
          <w:lang w:val="en-US"/>
        </w:rPr>
        <w:t>a</w:t>
      </w:r>
      <w:r w:rsidR="00671AB5" w:rsidRPr="00674CFD">
        <w:rPr>
          <w:sz w:val="22"/>
          <w:szCs w:val="22"/>
          <w:lang w:val="en-US"/>
        </w:rPr>
        <w:t xml:space="preserve"> Family Law reform initiative</w:t>
      </w:r>
      <w:r w:rsidR="00701E08" w:rsidRPr="00674CFD">
        <w:rPr>
          <w:sz w:val="22"/>
          <w:szCs w:val="22"/>
          <w:lang w:val="en-US"/>
        </w:rPr>
        <w:t xml:space="preserve"> in 2020</w:t>
      </w:r>
      <w:r w:rsidR="00916306" w:rsidRPr="00674CFD">
        <w:rPr>
          <w:sz w:val="22"/>
          <w:szCs w:val="22"/>
          <w:lang w:val="en-US"/>
        </w:rPr>
        <w:t xml:space="preserve">. </w:t>
      </w:r>
      <w:r w:rsidR="007E65AC">
        <w:rPr>
          <w:sz w:val="22"/>
          <w:szCs w:val="22"/>
          <w:lang w:val="en-US"/>
        </w:rPr>
        <w:t>And t</w:t>
      </w:r>
      <w:r w:rsidR="00916306" w:rsidRPr="00674CFD">
        <w:rPr>
          <w:sz w:val="22"/>
          <w:szCs w:val="22"/>
          <w:lang w:val="en-US"/>
        </w:rPr>
        <w:t xml:space="preserve">hat this initiative will review the DVPA, Act No: 4/2000 (Family Act), Act No: 20/2019 (Child Rights </w:t>
      </w:r>
      <w:r w:rsidR="00916306" w:rsidRPr="00674CFD">
        <w:rPr>
          <w:sz w:val="22"/>
          <w:szCs w:val="22"/>
        </w:rPr>
        <w:t>Protection</w:t>
      </w:r>
      <w:r w:rsidR="00916306" w:rsidRPr="00674CFD">
        <w:rPr>
          <w:sz w:val="22"/>
          <w:szCs w:val="22"/>
          <w:lang w:val="en-US"/>
        </w:rPr>
        <w:t xml:space="preserve"> Act), and respective regulations, to identify legislative gaps, discrepancies, workability, and its adherence to Maldives’ obligations under international law. </w:t>
      </w:r>
      <w:r w:rsidRPr="00674CFD">
        <w:rPr>
          <w:sz w:val="22"/>
          <w:szCs w:val="22"/>
          <w:lang w:val="en-US"/>
        </w:rPr>
        <w:t xml:space="preserve">The </w:t>
      </w:r>
      <w:r w:rsidR="0030052D" w:rsidRPr="00674CFD">
        <w:rPr>
          <w:sz w:val="22"/>
          <w:szCs w:val="22"/>
          <w:lang w:val="en-US"/>
        </w:rPr>
        <w:t>State Party</w:t>
      </w:r>
      <w:r w:rsidRPr="00674CFD">
        <w:rPr>
          <w:sz w:val="22"/>
          <w:szCs w:val="22"/>
          <w:lang w:val="en-US"/>
        </w:rPr>
        <w:t xml:space="preserve"> </w:t>
      </w:r>
      <w:r w:rsidR="009C5815" w:rsidRPr="00674CFD">
        <w:rPr>
          <w:sz w:val="22"/>
          <w:szCs w:val="22"/>
          <w:lang w:val="en-US"/>
        </w:rPr>
        <w:t>then provides an assurance to</w:t>
      </w:r>
      <w:r w:rsidRPr="00674CFD">
        <w:rPr>
          <w:sz w:val="22"/>
          <w:szCs w:val="22"/>
          <w:lang w:val="en-US"/>
        </w:rPr>
        <w:t xml:space="preserve"> the Committee that every effort is being made to ensure that the law reform initiative reaches fruition in a timely manner</w:t>
      </w:r>
      <w:r w:rsidR="009C5815" w:rsidRPr="00674CFD">
        <w:rPr>
          <w:sz w:val="22"/>
          <w:szCs w:val="22"/>
          <w:lang w:val="en-US"/>
        </w:rPr>
        <w:t xml:space="preserve">, and once </w:t>
      </w:r>
      <w:r w:rsidRPr="00674CFD">
        <w:rPr>
          <w:sz w:val="22"/>
          <w:szCs w:val="22"/>
          <w:lang w:val="en-US"/>
        </w:rPr>
        <w:t xml:space="preserve">completed, </w:t>
      </w:r>
      <w:r w:rsidR="009C5815" w:rsidRPr="00674CFD">
        <w:rPr>
          <w:sz w:val="22"/>
          <w:szCs w:val="22"/>
          <w:lang w:val="en-US"/>
        </w:rPr>
        <w:t>that it</w:t>
      </w:r>
      <w:r w:rsidRPr="00674CFD">
        <w:rPr>
          <w:sz w:val="22"/>
          <w:szCs w:val="22"/>
          <w:lang w:val="en-US"/>
        </w:rPr>
        <w:t xml:space="preserve"> will </w:t>
      </w:r>
      <w:r w:rsidRPr="00674CFD">
        <w:rPr>
          <w:sz w:val="22"/>
          <w:szCs w:val="22"/>
          <w:lang w:val="en-US"/>
        </w:rPr>
        <w:lastRenderedPageBreak/>
        <w:t xml:space="preserve">be in a better position to provide the Committee with specific updates on the legislative changes. </w:t>
      </w:r>
    </w:p>
    <w:p w14:paraId="51E9DDA8" w14:textId="07323BA3" w:rsidR="00BE4C17" w:rsidRPr="00674CFD" w:rsidRDefault="00E27140" w:rsidP="00D83763">
      <w:pPr>
        <w:pStyle w:val="SingleTxtG"/>
        <w:numPr>
          <w:ilvl w:val="0"/>
          <w:numId w:val="22"/>
        </w:numPr>
        <w:spacing w:line="276" w:lineRule="auto"/>
        <w:ind w:left="1134" w:firstLine="0"/>
        <w:rPr>
          <w:sz w:val="22"/>
          <w:szCs w:val="22"/>
          <w:lang w:val="en-US"/>
        </w:rPr>
      </w:pPr>
      <w:r w:rsidRPr="00674CFD">
        <w:rPr>
          <w:sz w:val="22"/>
          <w:szCs w:val="22"/>
          <w:lang w:val="en-US"/>
        </w:rPr>
        <w:t xml:space="preserve">We are disheartened to see further commitments and </w:t>
      </w:r>
      <w:r w:rsidR="0021526A">
        <w:rPr>
          <w:sz w:val="22"/>
          <w:szCs w:val="22"/>
          <w:lang w:val="en-US"/>
        </w:rPr>
        <w:t>lack of</w:t>
      </w:r>
      <w:r w:rsidRPr="00674CFD">
        <w:rPr>
          <w:sz w:val="22"/>
          <w:szCs w:val="22"/>
          <w:lang w:val="en-US"/>
        </w:rPr>
        <w:t xml:space="preserve"> active measures.</w:t>
      </w:r>
      <w:r w:rsidR="00E96622" w:rsidRPr="00674CFD">
        <w:rPr>
          <w:sz w:val="22"/>
          <w:szCs w:val="22"/>
          <w:lang w:val="en-US"/>
        </w:rPr>
        <w:t xml:space="preserve"> </w:t>
      </w:r>
      <w:r w:rsidRPr="00674CFD">
        <w:rPr>
          <w:sz w:val="22"/>
          <w:szCs w:val="22"/>
          <w:lang w:val="en-US"/>
        </w:rPr>
        <w:t xml:space="preserve">We </w:t>
      </w:r>
      <w:r w:rsidR="00E96622" w:rsidRPr="00674CFD">
        <w:rPr>
          <w:sz w:val="22"/>
          <w:szCs w:val="22"/>
          <w:lang w:val="en-US"/>
        </w:rPr>
        <w:t xml:space="preserve">note that despite </w:t>
      </w:r>
      <w:r w:rsidR="009E449E" w:rsidRPr="00674CFD">
        <w:rPr>
          <w:sz w:val="22"/>
          <w:szCs w:val="22"/>
          <w:lang w:val="en-US"/>
        </w:rPr>
        <w:t xml:space="preserve">court statistics and </w:t>
      </w:r>
      <w:r w:rsidR="00E96622" w:rsidRPr="00674CFD">
        <w:rPr>
          <w:sz w:val="22"/>
          <w:szCs w:val="22"/>
          <w:lang w:val="en-US"/>
        </w:rPr>
        <w:t xml:space="preserve">various </w:t>
      </w:r>
      <w:r w:rsidR="009E449E" w:rsidRPr="00674CFD">
        <w:rPr>
          <w:sz w:val="22"/>
          <w:szCs w:val="22"/>
          <w:lang w:val="en-US"/>
        </w:rPr>
        <w:t xml:space="preserve">independent </w:t>
      </w:r>
      <w:r w:rsidR="00E96622" w:rsidRPr="00674CFD">
        <w:rPr>
          <w:sz w:val="22"/>
          <w:szCs w:val="22"/>
          <w:lang w:val="en-US"/>
        </w:rPr>
        <w:t>research in the Maldives showing the disadvantaged situation of women</w:t>
      </w:r>
      <w:r w:rsidR="009E449E" w:rsidRPr="00674CFD">
        <w:rPr>
          <w:sz w:val="22"/>
          <w:szCs w:val="22"/>
          <w:lang w:val="en-US"/>
        </w:rPr>
        <w:t xml:space="preserve">, much of which </w:t>
      </w:r>
      <w:r w:rsidR="00EF4BF8">
        <w:rPr>
          <w:sz w:val="22"/>
          <w:szCs w:val="22"/>
          <w:lang w:val="en-US"/>
        </w:rPr>
        <w:t xml:space="preserve">were </w:t>
      </w:r>
      <w:r w:rsidR="009E449E" w:rsidRPr="00674CFD">
        <w:rPr>
          <w:sz w:val="22"/>
          <w:szCs w:val="22"/>
          <w:lang w:val="en-US"/>
        </w:rPr>
        <w:t xml:space="preserve">also </w:t>
      </w:r>
      <w:r w:rsidR="00EF4BF8">
        <w:rPr>
          <w:sz w:val="22"/>
          <w:szCs w:val="22"/>
          <w:lang w:val="en-US"/>
        </w:rPr>
        <w:t>reported to the</w:t>
      </w:r>
      <w:r w:rsidR="009E449E" w:rsidRPr="00674CFD">
        <w:rPr>
          <w:sz w:val="22"/>
          <w:szCs w:val="22"/>
          <w:lang w:val="en-US"/>
        </w:rPr>
        <w:t xml:space="preserve"> UN treaty bodies by the Maldives, </w:t>
      </w:r>
      <w:r w:rsidR="00EF4BF8">
        <w:rPr>
          <w:sz w:val="22"/>
          <w:szCs w:val="22"/>
          <w:lang w:val="en-US"/>
        </w:rPr>
        <w:t xml:space="preserve">only two small amendments were made to </w:t>
      </w:r>
      <w:r w:rsidR="009E449E" w:rsidRPr="00674CFD">
        <w:rPr>
          <w:sz w:val="22"/>
          <w:szCs w:val="22"/>
          <w:lang w:val="en-US"/>
        </w:rPr>
        <w:t>the Family Ac</w:t>
      </w:r>
      <w:r w:rsidR="00EF4BF8">
        <w:rPr>
          <w:sz w:val="22"/>
          <w:szCs w:val="22"/>
          <w:lang w:val="en-US"/>
        </w:rPr>
        <w:t>t</w:t>
      </w:r>
      <w:r w:rsidR="0021526A">
        <w:rPr>
          <w:sz w:val="22"/>
          <w:szCs w:val="22"/>
          <w:lang w:val="en-US"/>
        </w:rPr>
        <w:t xml:space="preserve"> </w:t>
      </w:r>
      <w:r w:rsidR="00F91ADB">
        <w:rPr>
          <w:sz w:val="22"/>
          <w:szCs w:val="22"/>
          <w:lang w:val="en-US"/>
        </w:rPr>
        <w:t>in the past 23 years</w:t>
      </w:r>
      <w:r w:rsidR="0021526A">
        <w:rPr>
          <w:sz w:val="22"/>
          <w:szCs w:val="22"/>
          <w:lang w:val="en-US"/>
        </w:rPr>
        <w:t>.</w:t>
      </w:r>
    </w:p>
    <w:p w14:paraId="40032443" w14:textId="7FBF680D" w:rsidR="00E96622" w:rsidRPr="00674CFD" w:rsidRDefault="00E96622" w:rsidP="00D83763">
      <w:pPr>
        <w:pStyle w:val="SingleTxtG"/>
        <w:numPr>
          <w:ilvl w:val="0"/>
          <w:numId w:val="22"/>
        </w:numPr>
        <w:spacing w:line="276" w:lineRule="auto"/>
        <w:ind w:left="1134" w:firstLine="0"/>
        <w:rPr>
          <w:sz w:val="22"/>
          <w:szCs w:val="22"/>
          <w:lang w:val="en-US"/>
        </w:rPr>
      </w:pPr>
      <w:r w:rsidRPr="00674CFD">
        <w:rPr>
          <w:sz w:val="22"/>
          <w:szCs w:val="22"/>
          <w:lang w:val="en-US"/>
        </w:rPr>
        <w:t xml:space="preserve">A </w:t>
      </w:r>
      <w:r w:rsidR="00A911E4" w:rsidRPr="00674CFD">
        <w:rPr>
          <w:sz w:val="22"/>
          <w:szCs w:val="22"/>
          <w:lang w:val="en-US"/>
        </w:rPr>
        <w:t>much-desired</w:t>
      </w:r>
      <w:r w:rsidRPr="00674CFD">
        <w:rPr>
          <w:sz w:val="22"/>
          <w:szCs w:val="22"/>
          <w:lang w:val="en-US"/>
        </w:rPr>
        <w:t xml:space="preserve"> </w:t>
      </w:r>
      <w:r w:rsidR="00A911E4" w:rsidRPr="00674CFD">
        <w:rPr>
          <w:sz w:val="22"/>
          <w:szCs w:val="22"/>
          <w:lang w:val="en-US"/>
        </w:rPr>
        <w:t>a</w:t>
      </w:r>
      <w:r w:rsidRPr="00674CFD">
        <w:rPr>
          <w:sz w:val="22"/>
          <w:szCs w:val="22"/>
          <w:lang w:val="en-US"/>
        </w:rPr>
        <w:t xml:space="preserve">mendment to the Family Act in 2016 introduced the concept of distribution of property after </w:t>
      </w:r>
      <w:r w:rsidR="00A911E4" w:rsidRPr="00674CFD">
        <w:rPr>
          <w:sz w:val="22"/>
          <w:szCs w:val="22"/>
          <w:lang w:val="en-US"/>
        </w:rPr>
        <w:t>a</w:t>
      </w:r>
      <w:r w:rsidRPr="00674CFD">
        <w:rPr>
          <w:sz w:val="22"/>
          <w:szCs w:val="22"/>
          <w:lang w:val="en-US"/>
        </w:rPr>
        <w:t xml:space="preserve"> divorce, however, this only applie</w:t>
      </w:r>
      <w:r w:rsidR="005A12E0">
        <w:rPr>
          <w:sz w:val="22"/>
          <w:szCs w:val="22"/>
          <w:lang w:val="en-US"/>
        </w:rPr>
        <w:t>s</w:t>
      </w:r>
      <w:r w:rsidRPr="00674CFD">
        <w:rPr>
          <w:sz w:val="22"/>
          <w:szCs w:val="22"/>
          <w:lang w:val="en-US"/>
        </w:rPr>
        <w:t xml:space="preserve"> if the parties ha</w:t>
      </w:r>
      <w:r w:rsidR="005A12E0">
        <w:rPr>
          <w:sz w:val="22"/>
          <w:szCs w:val="22"/>
          <w:lang w:val="en-US"/>
        </w:rPr>
        <w:t>ve</w:t>
      </w:r>
      <w:r w:rsidRPr="00674CFD">
        <w:rPr>
          <w:sz w:val="22"/>
          <w:szCs w:val="22"/>
          <w:lang w:val="en-US"/>
        </w:rPr>
        <w:t xml:space="preserve"> a prenuptial agreement stating how </w:t>
      </w:r>
      <w:r w:rsidRPr="00265473">
        <w:rPr>
          <w:sz w:val="22"/>
          <w:szCs w:val="22"/>
          <w:lang w:val="en-US"/>
        </w:rPr>
        <w:t>property will be divided upon a divorce.</w:t>
      </w:r>
      <w:r w:rsidR="00417D3C" w:rsidRPr="00265473">
        <w:rPr>
          <w:rStyle w:val="FootnoteReference"/>
          <w:szCs w:val="22"/>
        </w:rPr>
        <w:footnoteReference w:id="20"/>
      </w:r>
      <w:r w:rsidRPr="00265473">
        <w:rPr>
          <w:sz w:val="22"/>
          <w:szCs w:val="22"/>
          <w:lang w:val="en-US"/>
        </w:rPr>
        <w:t xml:space="preserve"> </w:t>
      </w:r>
      <w:r w:rsidR="00A911E4" w:rsidRPr="00265473">
        <w:rPr>
          <w:sz w:val="22"/>
          <w:szCs w:val="22"/>
          <w:lang w:val="en-US"/>
        </w:rPr>
        <w:t>Th</w:t>
      </w:r>
      <w:r w:rsidR="004B5AD0" w:rsidRPr="00265473">
        <w:rPr>
          <w:sz w:val="22"/>
          <w:szCs w:val="22"/>
          <w:lang w:val="en-US"/>
        </w:rPr>
        <w:t xml:space="preserve">e </w:t>
      </w:r>
      <w:r w:rsidR="005A12E0" w:rsidRPr="00265473">
        <w:rPr>
          <w:sz w:val="22"/>
          <w:szCs w:val="22"/>
          <w:lang w:val="en-US"/>
        </w:rPr>
        <w:t>seven</w:t>
      </w:r>
      <w:r w:rsidR="00A911E4" w:rsidRPr="00265473">
        <w:rPr>
          <w:sz w:val="22"/>
          <w:szCs w:val="22"/>
          <w:lang w:val="en-US"/>
        </w:rPr>
        <w:t xml:space="preserve"> separate </w:t>
      </w:r>
      <w:r w:rsidR="005A12E0" w:rsidRPr="00265473">
        <w:rPr>
          <w:sz w:val="22"/>
          <w:szCs w:val="22"/>
          <w:lang w:val="en-US"/>
        </w:rPr>
        <w:t>g</w:t>
      </w:r>
      <w:r w:rsidR="00A911E4" w:rsidRPr="00265473">
        <w:rPr>
          <w:sz w:val="22"/>
          <w:szCs w:val="22"/>
          <w:lang w:val="en-US"/>
        </w:rPr>
        <w:t>uidelines to implement the Amendment</w:t>
      </w:r>
      <w:r w:rsidR="004B5AD0" w:rsidRPr="00265473">
        <w:rPr>
          <w:sz w:val="22"/>
          <w:szCs w:val="22"/>
          <w:lang w:val="en-US"/>
        </w:rPr>
        <w:t xml:space="preserve"> </w:t>
      </w:r>
      <w:r w:rsidR="00265473" w:rsidRPr="00265473">
        <w:rPr>
          <w:sz w:val="22"/>
          <w:szCs w:val="22"/>
          <w:lang w:val="en-US"/>
        </w:rPr>
        <w:t>are</w:t>
      </w:r>
      <w:r w:rsidR="00A911E4" w:rsidRPr="00265473">
        <w:rPr>
          <w:sz w:val="22"/>
          <w:szCs w:val="22"/>
          <w:lang w:val="en-US"/>
        </w:rPr>
        <w:t xml:space="preserve"> </w:t>
      </w:r>
      <w:r w:rsidR="004B5AD0" w:rsidRPr="00265473">
        <w:rPr>
          <w:sz w:val="22"/>
          <w:szCs w:val="22"/>
          <w:lang w:val="en-US"/>
        </w:rPr>
        <w:t xml:space="preserve">yet </w:t>
      </w:r>
      <w:r w:rsidR="005A12E0" w:rsidRPr="00265473">
        <w:rPr>
          <w:sz w:val="22"/>
          <w:szCs w:val="22"/>
          <w:lang w:val="en-US"/>
        </w:rPr>
        <w:t>to be published</w:t>
      </w:r>
      <w:r w:rsidR="00BE4C17" w:rsidRPr="00265473">
        <w:rPr>
          <w:sz w:val="22"/>
          <w:szCs w:val="22"/>
          <w:lang w:val="en-US"/>
        </w:rPr>
        <w:t>. Furthermore, c</w:t>
      </w:r>
      <w:r w:rsidR="00A911E4" w:rsidRPr="00265473">
        <w:rPr>
          <w:sz w:val="22"/>
          <w:szCs w:val="22"/>
          <w:lang w:val="en-US"/>
        </w:rPr>
        <w:t xml:space="preserve">ouples </w:t>
      </w:r>
      <w:r w:rsidR="00BE4C17" w:rsidRPr="00265473">
        <w:rPr>
          <w:sz w:val="22"/>
          <w:szCs w:val="22"/>
          <w:lang w:val="en-US"/>
        </w:rPr>
        <w:t>entering</w:t>
      </w:r>
      <w:r w:rsidR="00A911E4" w:rsidRPr="00265473">
        <w:rPr>
          <w:sz w:val="22"/>
          <w:szCs w:val="22"/>
          <w:lang w:val="en-US"/>
        </w:rPr>
        <w:t xml:space="preserve"> marital relationships are not aware of the </w:t>
      </w:r>
      <w:r w:rsidR="00BE4C17" w:rsidRPr="00265473">
        <w:rPr>
          <w:sz w:val="22"/>
          <w:szCs w:val="22"/>
          <w:lang w:val="en-US"/>
        </w:rPr>
        <w:t xml:space="preserve">protection afforded by a </w:t>
      </w:r>
      <w:r w:rsidR="00A911E4" w:rsidRPr="00265473">
        <w:rPr>
          <w:sz w:val="22"/>
          <w:szCs w:val="22"/>
          <w:lang w:val="en-US"/>
        </w:rPr>
        <w:t xml:space="preserve">prenuptial agreement and discussing distribution of marital property </w:t>
      </w:r>
      <w:r w:rsidR="00BE4C17" w:rsidRPr="00265473">
        <w:rPr>
          <w:sz w:val="22"/>
          <w:szCs w:val="22"/>
          <w:lang w:val="en-US"/>
        </w:rPr>
        <w:t>prior to</w:t>
      </w:r>
      <w:r w:rsidR="00A911E4" w:rsidRPr="00265473">
        <w:rPr>
          <w:sz w:val="22"/>
          <w:szCs w:val="22"/>
          <w:lang w:val="en-US"/>
        </w:rPr>
        <w:t xml:space="preserve"> </w:t>
      </w:r>
      <w:r w:rsidR="00BE4C17" w:rsidRPr="00265473">
        <w:rPr>
          <w:sz w:val="22"/>
          <w:szCs w:val="22"/>
          <w:lang w:val="en-US"/>
        </w:rPr>
        <w:t>entering</w:t>
      </w:r>
      <w:r w:rsidR="00A911E4" w:rsidRPr="00265473">
        <w:rPr>
          <w:sz w:val="22"/>
          <w:szCs w:val="22"/>
          <w:lang w:val="en-US"/>
        </w:rPr>
        <w:t xml:space="preserve"> a marriage</w:t>
      </w:r>
      <w:r w:rsidR="00265473" w:rsidRPr="00265473">
        <w:rPr>
          <w:sz w:val="22"/>
          <w:szCs w:val="22"/>
          <w:lang w:val="en-US"/>
        </w:rPr>
        <w:t xml:space="preserve"> </w:t>
      </w:r>
      <w:r w:rsidR="00265473" w:rsidRPr="00265473">
        <w:rPr>
          <w:sz w:val="22"/>
          <w:szCs w:val="22"/>
          <w:lang w:val="en-US"/>
        </w:rPr>
        <w:t xml:space="preserve">makes couples and families </w:t>
      </w:r>
      <w:r w:rsidR="00265473" w:rsidRPr="00265473">
        <w:rPr>
          <w:sz w:val="22"/>
          <w:szCs w:val="22"/>
          <w:lang w:val="en-US"/>
        </w:rPr>
        <w:t>uncomfortable</w:t>
      </w:r>
      <w:r w:rsidR="00A911E4" w:rsidRPr="00265473">
        <w:rPr>
          <w:sz w:val="22"/>
          <w:szCs w:val="22"/>
          <w:lang w:val="en-US"/>
        </w:rPr>
        <w:t>. This has led to a situation where there have been no marital property distribution cases in the Maldives</w:t>
      </w:r>
      <w:r w:rsidR="00265473" w:rsidRPr="00265473">
        <w:rPr>
          <w:sz w:val="22"/>
          <w:szCs w:val="22"/>
          <w:lang w:val="en-US"/>
        </w:rPr>
        <w:t>, and t</w:t>
      </w:r>
      <w:r w:rsidR="00953B13" w:rsidRPr="00265473">
        <w:rPr>
          <w:sz w:val="22"/>
          <w:szCs w:val="22"/>
          <w:lang w:val="en-US"/>
        </w:rPr>
        <w:t>hus, no positive impact of the amendment.</w:t>
      </w:r>
      <w:r w:rsidR="00953B13" w:rsidRPr="00674CFD">
        <w:rPr>
          <w:sz w:val="22"/>
          <w:szCs w:val="22"/>
          <w:lang w:val="en-US"/>
        </w:rPr>
        <w:t xml:space="preserve"> </w:t>
      </w:r>
    </w:p>
    <w:p w14:paraId="426B815D" w14:textId="3990AAF8" w:rsidR="00A911E4" w:rsidRPr="00674CFD" w:rsidRDefault="00953B13" w:rsidP="00D83763">
      <w:pPr>
        <w:pStyle w:val="SingleTxtG"/>
        <w:numPr>
          <w:ilvl w:val="0"/>
          <w:numId w:val="22"/>
        </w:numPr>
        <w:spacing w:line="276" w:lineRule="auto"/>
        <w:ind w:left="1134" w:firstLine="0"/>
        <w:rPr>
          <w:sz w:val="22"/>
          <w:szCs w:val="22"/>
          <w:lang w:val="en-US"/>
        </w:rPr>
      </w:pPr>
      <w:r w:rsidRPr="00674CFD">
        <w:rPr>
          <w:sz w:val="22"/>
          <w:szCs w:val="22"/>
          <w:lang w:val="en-US"/>
        </w:rPr>
        <w:t>The p</w:t>
      </w:r>
      <w:r w:rsidR="00A911E4" w:rsidRPr="00674CFD">
        <w:rPr>
          <w:sz w:val="22"/>
          <w:szCs w:val="22"/>
          <w:lang w:val="en-US"/>
        </w:rPr>
        <w:t xml:space="preserve">re-marital </w:t>
      </w:r>
      <w:r w:rsidRPr="00674CFD">
        <w:rPr>
          <w:sz w:val="22"/>
          <w:szCs w:val="22"/>
          <w:lang w:val="en-US"/>
        </w:rPr>
        <w:t xml:space="preserve">awareness program </w:t>
      </w:r>
      <w:r w:rsidR="00A911E4" w:rsidRPr="00674CFD">
        <w:rPr>
          <w:sz w:val="22"/>
          <w:szCs w:val="22"/>
          <w:lang w:val="en-US"/>
        </w:rPr>
        <w:t xml:space="preserve">conducted by the court is significantly basic and focuses more </w:t>
      </w:r>
      <w:r w:rsidRPr="00674CFD">
        <w:rPr>
          <w:sz w:val="22"/>
          <w:szCs w:val="22"/>
          <w:lang w:val="en-US"/>
        </w:rPr>
        <w:t>on the position of marriages and roles for men and women in marriage</w:t>
      </w:r>
      <w:r w:rsidR="002B5140" w:rsidRPr="00674CFD">
        <w:rPr>
          <w:sz w:val="22"/>
          <w:szCs w:val="22"/>
          <w:lang w:val="en-US"/>
        </w:rPr>
        <w:t xml:space="preserve"> in Islam</w:t>
      </w:r>
      <w:r w:rsidRPr="00674CFD">
        <w:rPr>
          <w:sz w:val="22"/>
          <w:szCs w:val="22"/>
          <w:lang w:val="en-US"/>
        </w:rPr>
        <w:t>, as opposed to the</w:t>
      </w:r>
      <w:r w:rsidR="00A911E4" w:rsidRPr="00674CFD">
        <w:rPr>
          <w:sz w:val="22"/>
          <w:szCs w:val="22"/>
          <w:lang w:val="en-US"/>
        </w:rPr>
        <w:t xml:space="preserve"> rights of the individual parties in a marital relationship/ marriage contract. </w:t>
      </w:r>
      <w:r w:rsidR="009C163B" w:rsidRPr="00674CFD">
        <w:rPr>
          <w:sz w:val="22"/>
          <w:szCs w:val="22"/>
          <w:lang w:val="en-US"/>
        </w:rPr>
        <w:t xml:space="preserve">The current program </w:t>
      </w:r>
      <w:r w:rsidR="00A911E4" w:rsidRPr="00674CFD">
        <w:rPr>
          <w:sz w:val="22"/>
          <w:szCs w:val="22"/>
          <w:lang w:val="en-US"/>
        </w:rPr>
        <w:t xml:space="preserve">published on the Family Court website, </w:t>
      </w:r>
      <w:r w:rsidR="00F454A7" w:rsidRPr="00674CFD">
        <w:rPr>
          <w:sz w:val="22"/>
          <w:szCs w:val="22"/>
          <w:lang w:val="en-US"/>
        </w:rPr>
        <w:t>focuses on 4 topics;</w:t>
      </w:r>
      <w:r w:rsidR="00A911E4" w:rsidRPr="00674CFD">
        <w:rPr>
          <w:sz w:val="22"/>
          <w:szCs w:val="22"/>
          <w:lang w:val="en-US"/>
        </w:rPr>
        <w:t xml:space="preserve"> on the marriage process, rights and responsibilities set under the Family Act</w:t>
      </w:r>
      <w:r w:rsidR="00F454A7" w:rsidRPr="00674CFD">
        <w:rPr>
          <w:sz w:val="22"/>
          <w:szCs w:val="22"/>
          <w:lang w:val="en-US"/>
        </w:rPr>
        <w:t>,</w:t>
      </w:r>
      <w:r w:rsidR="00A911E4" w:rsidRPr="00674CFD">
        <w:rPr>
          <w:sz w:val="22"/>
          <w:szCs w:val="22"/>
          <w:lang w:val="en-US"/>
        </w:rPr>
        <w:t xml:space="preserve"> health and wellness, social and economic issues in relation to marital relationships</w:t>
      </w:r>
      <w:r w:rsidR="00F454A7" w:rsidRPr="00674CFD">
        <w:rPr>
          <w:sz w:val="22"/>
          <w:szCs w:val="22"/>
          <w:lang w:val="en-US"/>
        </w:rPr>
        <w:t xml:space="preserve">, and </w:t>
      </w:r>
      <w:r w:rsidR="00A911E4" w:rsidRPr="00674CFD">
        <w:rPr>
          <w:sz w:val="22"/>
          <w:szCs w:val="22"/>
          <w:lang w:val="en-US"/>
        </w:rPr>
        <w:t xml:space="preserve">a component on marriage in Islam </w:t>
      </w:r>
      <w:r w:rsidR="002B5140" w:rsidRPr="00674CFD">
        <w:rPr>
          <w:sz w:val="22"/>
          <w:szCs w:val="22"/>
          <w:lang w:val="en-US"/>
        </w:rPr>
        <w:t xml:space="preserve">that </w:t>
      </w:r>
      <w:r w:rsidR="00A911E4" w:rsidRPr="00674CFD">
        <w:rPr>
          <w:sz w:val="22"/>
          <w:szCs w:val="22"/>
          <w:lang w:val="en-US"/>
        </w:rPr>
        <w:t xml:space="preserve">will disseminate information on </w:t>
      </w:r>
      <w:r w:rsidR="00A911E4" w:rsidRPr="00674CFD">
        <w:rPr>
          <w:i/>
          <w:iCs/>
          <w:sz w:val="22"/>
          <w:szCs w:val="22"/>
          <w:lang w:val="en-US"/>
        </w:rPr>
        <w:t>Shariah</w:t>
      </w:r>
      <w:r w:rsidR="00A911E4" w:rsidRPr="00674CFD">
        <w:rPr>
          <w:sz w:val="22"/>
          <w:szCs w:val="22"/>
          <w:lang w:val="en-US"/>
        </w:rPr>
        <w:t xml:space="preserve"> specific rules pertaining to husbands and wives.</w:t>
      </w:r>
      <w:r w:rsidR="00A911E4" w:rsidRPr="00674CFD">
        <w:rPr>
          <w:rStyle w:val="FootnoteReference"/>
          <w:sz w:val="22"/>
          <w:szCs w:val="22"/>
        </w:rPr>
        <w:footnoteReference w:id="21"/>
      </w:r>
      <w:r w:rsidR="00A911E4" w:rsidRPr="00674CFD">
        <w:rPr>
          <w:sz w:val="22"/>
          <w:szCs w:val="22"/>
          <w:lang w:val="en-US"/>
        </w:rPr>
        <w:t xml:space="preserve"> </w:t>
      </w:r>
    </w:p>
    <w:p w14:paraId="07DA47D7" w14:textId="30B2F979" w:rsidR="00E465E4" w:rsidRPr="00674CFD" w:rsidRDefault="002D7319" w:rsidP="00D83763">
      <w:pPr>
        <w:pStyle w:val="SingleTxtG"/>
        <w:numPr>
          <w:ilvl w:val="0"/>
          <w:numId w:val="22"/>
        </w:numPr>
        <w:spacing w:line="276" w:lineRule="auto"/>
        <w:ind w:left="1134" w:firstLine="0"/>
        <w:rPr>
          <w:sz w:val="22"/>
          <w:szCs w:val="22"/>
          <w:lang w:val="en-US"/>
        </w:rPr>
      </w:pPr>
      <w:r w:rsidRPr="00674CFD">
        <w:rPr>
          <w:sz w:val="22"/>
          <w:szCs w:val="22"/>
          <w:lang w:val="en-US"/>
        </w:rPr>
        <w:t>ERI notes that the State Party’s commitment to ensure equal rights in family</w:t>
      </w:r>
      <w:r w:rsidR="00A556F2">
        <w:rPr>
          <w:sz w:val="22"/>
          <w:szCs w:val="22"/>
          <w:lang w:val="en-US"/>
        </w:rPr>
        <w:t xml:space="preserve"> law</w:t>
      </w:r>
      <w:r w:rsidRPr="00674CFD">
        <w:rPr>
          <w:sz w:val="22"/>
          <w:szCs w:val="22"/>
          <w:lang w:val="en-US"/>
        </w:rPr>
        <w:t xml:space="preserve"> is questionable given the situation of women’s </w:t>
      </w:r>
      <w:r w:rsidR="00A556F2">
        <w:rPr>
          <w:sz w:val="22"/>
          <w:szCs w:val="22"/>
          <w:lang w:val="en-US"/>
        </w:rPr>
        <w:t xml:space="preserve">family related </w:t>
      </w:r>
      <w:r w:rsidRPr="00674CFD">
        <w:rPr>
          <w:sz w:val="22"/>
          <w:szCs w:val="22"/>
          <w:lang w:val="en-US"/>
        </w:rPr>
        <w:t xml:space="preserve">rights in the Maldives, high percentage of divorces </w:t>
      </w:r>
      <w:r w:rsidR="00EB543C" w:rsidRPr="00674CFD">
        <w:rPr>
          <w:sz w:val="22"/>
          <w:szCs w:val="22"/>
          <w:lang w:val="en-US"/>
        </w:rPr>
        <w:t xml:space="preserve">and </w:t>
      </w:r>
      <w:r w:rsidRPr="00674CFD">
        <w:rPr>
          <w:sz w:val="22"/>
          <w:szCs w:val="22"/>
          <w:lang w:val="en-US"/>
        </w:rPr>
        <w:t xml:space="preserve">women led households, </w:t>
      </w:r>
      <w:r w:rsidR="00A556F2">
        <w:rPr>
          <w:sz w:val="22"/>
          <w:szCs w:val="22"/>
          <w:lang w:val="en-US"/>
        </w:rPr>
        <w:t xml:space="preserve">and the </w:t>
      </w:r>
      <w:r w:rsidR="00EB543C" w:rsidRPr="00674CFD">
        <w:rPr>
          <w:sz w:val="22"/>
          <w:szCs w:val="22"/>
          <w:lang w:val="en-US"/>
        </w:rPr>
        <w:t xml:space="preserve">lack of </w:t>
      </w:r>
      <w:r w:rsidRPr="00674CFD">
        <w:rPr>
          <w:sz w:val="22"/>
          <w:szCs w:val="22"/>
          <w:lang w:val="en-US"/>
        </w:rPr>
        <w:t>women</w:t>
      </w:r>
      <w:r w:rsidR="00EB543C" w:rsidRPr="00674CFD">
        <w:rPr>
          <w:sz w:val="22"/>
          <w:szCs w:val="22"/>
          <w:lang w:val="en-US"/>
        </w:rPr>
        <w:t>’s ownership in terms of</w:t>
      </w:r>
      <w:r w:rsidRPr="00674CFD">
        <w:rPr>
          <w:sz w:val="22"/>
          <w:szCs w:val="22"/>
          <w:lang w:val="en-US"/>
        </w:rPr>
        <w:t xml:space="preserve"> land</w:t>
      </w:r>
      <w:r w:rsidR="00EB543C" w:rsidRPr="00674CFD">
        <w:rPr>
          <w:sz w:val="22"/>
          <w:szCs w:val="22"/>
          <w:lang w:val="en-US"/>
        </w:rPr>
        <w:t xml:space="preserve"> and other </w:t>
      </w:r>
      <w:r w:rsidRPr="00674CFD">
        <w:rPr>
          <w:sz w:val="22"/>
          <w:szCs w:val="22"/>
          <w:lang w:val="en-US"/>
        </w:rPr>
        <w:t xml:space="preserve">property, </w:t>
      </w:r>
      <w:r w:rsidR="00A556F2">
        <w:rPr>
          <w:sz w:val="22"/>
          <w:szCs w:val="22"/>
          <w:lang w:val="en-US"/>
        </w:rPr>
        <w:t>which has placed</w:t>
      </w:r>
      <w:r w:rsidRPr="00674CFD">
        <w:rPr>
          <w:sz w:val="22"/>
          <w:szCs w:val="22"/>
          <w:lang w:val="en-US"/>
        </w:rPr>
        <w:t xml:space="preserve"> women in a serious</w:t>
      </w:r>
      <w:r w:rsidR="00A556F2">
        <w:rPr>
          <w:sz w:val="22"/>
          <w:szCs w:val="22"/>
          <w:lang w:val="en-US"/>
        </w:rPr>
        <w:t>ly disadvantaged position</w:t>
      </w:r>
      <w:r w:rsidRPr="00674CFD">
        <w:rPr>
          <w:sz w:val="22"/>
          <w:szCs w:val="22"/>
          <w:lang w:val="en-US"/>
        </w:rPr>
        <w:t xml:space="preserve"> to face economic consequences </w:t>
      </w:r>
      <w:r w:rsidR="00A556F2">
        <w:rPr>
          <w:sz w:val="22"/>
          <w:szCs w:val="22"/>
          <w:lang w:val="en-US"/>
        </w:rPr>
        <w:t>of</w:t>
      </w:r>
      <w:r w:rsidRPr="00674CFD">
        <w:rPr>
          <w:sz w:val="22"/>
          <w:szCs w:val="22"/>
          <w:lang w:val="en-US"/>
        </w:rPr>
        <w:t xml:space="preserve"> a divorce. </w:t>
      </w:r>
      <w:r w:rsidR="00A556F2" w:rsidRPr="00A556F2">
        <w:rPr>
          <w:sz w:val="22"/>
          <w:szCs w:val="22"/>
          <w:lang w:val="en-US"/>
        </w:rPr>
        <w:t xml:space="preserve">ERI notes that sincere and urgent measures are needed to ensure </w:t>
      </w:r>
      <w:r w:rsidR="00A556F2">
        <w:rPr>
          <w:sz w:val="22"/>
          <w:szCs w:val="22"/>
          <w:lang w:val="en-US"/>
        </w:rPr>
        <w:t>proper</w:t>
      </w:r>
      <w:r w:rsidR="00A556F2" w:rsidRPr="00A556F2">
        <w:rPr>
          <w:sz w:val="22"/>
          <w:szCs w:val="22"/>
          <w:lang w:val="en-US"/>
        </w:rPr>
        <w:t xml:space="preserve"> amendments to the Family Law, and its implementation in the Maldivian context given that the judiciary is not seen to be welcoming of women’s rights in the larger context</w:t>
      </w:r>
      <w:r w:rsidR="00A556F2">
        <w:rPr>
          <w:sz w:val="22"/>
          <w:szCs w:val="22"/>
          <w:lang w:val="en-US"/>
        </w:rPr>
        <w:t>,</w:t>
      </w:r>
      <w:r w:rsidR="00A556F2" w:rsidRPr="00A556F2">
        <w:rPr>
          <w:sz w:val="22"/>
          <w:szCs w:val="22"/>
          <w:lang w:val="en-US"/>
        </w:rPr>
        <w:t xml:space="preserve"> which includes courts in the central region and in the outer atolls.</w:t>
      </w:r>
    </w:p>
    <w:p w14:paraId="0D3E92B9" w14:textId="6F0B7458" w:rsidR="00671AB5" w:rsidRPr="00674CFD" w:rsidRDefault="00671AB5" w:rsidP="00D83763">
      <w:pPr>
        <w:pStyle w:val="SingleTxtG"/>
        <w:spacing w:line="276" w:lineRule="auto"/>
        <w:rPr>
          <w:b/>
          <w:bCs/>
          <w:sz w:val="22"/>
          <w:szCs w:val="22"/>
          <w:lang w:val="en-US"/>
        </w:rPr>
      </w:pPr>
    </w:p>
    <w:p w14:paraId="3E9A3298" w14:textId="6FAE15E0" w:rsidR="009048D3" w:rsidRPr="00674CFD" w:rsidRDefault="009048D3" w:rsidP="00D83763">
      <w:pPr>
        <w:pStyle w:val="SingleTxtG"/>
        <w:spacing w:line="276" w:lineRule="auto"/>
        <w:ind w:left="0"/>
        <w:rPr>
          <w:b/>
          <w:bCs/>
          <w:sz w:val="22"/>
          <w:szCs w:val="22"/>
          <w:lang w:val="en-US"/>
        </w:rPr>
      </w:pPr>
      <w:r w:rsidRPr="00674CFD">
        <w:rPr>
          <w:b/>
          <w:bCs/>
          <w:sz w:val="22"/>
          <w:szCs w:val="22"/>
          <w:lang w:val="en-US"/>
        </w:rPr>
        <w:t>Conclusion</w:t>
      </w:r>
    </w:p>
    <w:p w14:paraId="1D352698" w14:textId="5CC413B2" w:rsidR="004679A5" w:rsidRPr="00674CFD" w:rsidRDefault="009048D3" w:rsidP="00D83763">
      <w:pPr>
        <w:pStyle w:val="SingleTxtG"/>
        <w:numPr>
          <w:ilvl w:val="0"/>
          <w:numId w:val="22"/>
        </w:numPr>
        <w:spacing w:line="276" w:lineRule="auto"/>
        <w:ind w:left="1080" w:firstLine="0"/>
        <w:rPr>
          <w:sz w:val="22"/>
          <w:szCs w:val="22"/>
          <w:lang w:val="en-US"/>
        </w:rPr>
      </w:pPr>
      <w:r w:rsidRPr="00674CFD">
        <w:rPr>
          <w:sz w:val="22"/>
          <w:szCs w:val="22"/>
          <w:lang w:val="en-US"/>
        </w:rPr>
        <w:t xml:space="preserve">With </w:t>
      </w:r>
      <w:r w:rsidR="00E450CC">
        <w:rPr>
          <w:sz w:val="22"/>
          <w:szCs w:val="22"/>
          <w:lang w:val="en-US"/>
        </w:rPr>
        <w:t>limitations</w:t>
      </w:r>
      <w:r w:rsidRPr="00674CFD">
        <w:rPr>
          <w:sz w:val="22"/>
          <w:szCs w:val="22"/>
          <w:lang w:val="en-US"/>
        </w:rPr>
        <w:t xml:space="preserve"> for civil society to openly engage in a dialogue with the State Party, conversations such as </w:t>
      </w:r>
      <w:r w:rsidR="004679A5" w:rsidRPr="00674CFD">
        <w:rPr>
          <w:sz w:val="22"/>
          <w:szCs w:val="22"/>
          <w:lang w:val="en-US"/>
        </w:rPr>
        <w:t xml:space="preserve">violence against women, </w:t>
      </w:r>
      <w:r w:rsidRPr="00674CFD">
        <w:rPr>
          <w:sz w:val="22"/>
          <w:szCs w:val="22"/>
          <w:lang w:val="en-US"/>
        </w:rPr>
        <w:t xml:space="preserve">women’s </w:t>
      </w:r>
      <w:r w:rsidR="004679A5" w:rsidRPr="00674CFD">
        <w:rPr>
          <w:sz w:val="22"/>
          <w:szCs w:val="22"/>
          <w:lang w:val="en-US"/>
        </w:rPr>
        <w:t xml:space="preserve">human </w:t>
      </w:r>
      <w:r w:rsidRPr="00674CFD">
        <w:rPr>
          <w:sz w:val="22"/>
          <w:szCs w:val="22"/>
          <w:lang w:val="en-US"/>
        </w:rPr>
        <w:t xml:space="preserve">rights and equality, particularly those that </w:t>
      </w:r>
      <w:r w:rsidR="00E450CC">
        <w:rPr>
          <w:sz w:val="22"/>
          <w:szCs w:val="22"/>
          <w:lang w:val="en-US"/>
        </w:rPr>
        <w:t>have connections to</w:t>
      </w:r>
      <w:r w:rsidRPr="00674CFD">
        <w:rPr>
          <w:sz w:val="22"/>
          <w:szCs w:val="22"/>
          <w:lang w:val="en-US"/>
        </w:rPr>
        <w:t xml:space="preserve"> Shariah, have been challenging.</w:t>
      </w:r>
      <w:r w:rsidR="004679A5" w:rsidRPr="00674CFD">
        <w:rPr>
          <w:sz w:val="22"/>
          <w:szCs w:val="22"/>
          <w:lang w:val="en-US"/>
        </w:rPr>
        <w:t xml:space="preserve"> In recent </w:t>
      </w:r>
      <w:r w:rsidR="00744134">
        <w:rPr>
          <w:sz w:val="22"/>
          <w:szCs w:val="22"/>
          <w:lang w:val="en-US"/>
        </w:rPr>
        <w:t>history</w:t>
      </w:r>
      <w:r w:rsidR="004679A5" w:rsidRPr="00674CFD">
        <w:rPr>
          <w:sz w:val="22"/>
          <w:szCs w:val="22"/>
          <w:lang w:val="en-US"/>
        </w:rPr>
        <w:t xml:space="preserve">, </w:t>
      </w:r>
      <w:r w:rsidR="00744134">
        <w:rPr>
          <w:sz w:val="22"/>
          <w:szCs w:val="22"/>
          <w:lang w:val="en-US"/>
        </w:rPr>
        <w:t>we have</w:t>
      </w:r>
      <w:r w:rsidR="004679A5" w:rsidRPr="00674CFD">
        <w:rPr>
          <w:sz w:val="22"/>
          <w:szCs w:val="22"/>
          <w:lang w:val="en-US"/>
        </w:rPr>
        <w:t xml:space="preserve"> </w:t>
      </w:r>
      <w:r w:rsidR="00744134">
        <w:rPr>
          <w:sz w:val="22"/>
          <w:szCs w:val="22"/>
          <w:lang w:val="en-US"/>
        </w:rPr>
        <w:t xml:space="preserve">also </w:t>
      </w:r>
      <w:r w:rsidR="004679A5" w:rsidRPr="00674CFD">
        <w:rPr>
          <w:sz w:val="22"/>
          <w:szCs w:val="22"/>
          <w:lang w:val="en-US"/>
        </w:rPr>
        <w:t>observed that local communities are becoming more conservative</w:t>
      </w:r>
      <w:r w:rsidR="00744134">
        <w:rPr>
          <w:sz w:val="22"/>
          <w:szCs w:val="22"/>
          <w:lang w:val="en-US"/>
        </w:rPr>
        <w:t xml:space="preserve"> on these particular issues</w:t>
      </w:r>
      <w:r w:rsidR="004679A5" w:rsidRPr="00674CFD">
        <w:rPr>
          <w:sz w:val="22"/>
          <w:szCs w:val="22"/>
          <w:lang w:val="en-US"/>
        </w:rPr>
        <w:t xml:space="preserve">, and it has been difficult to have these conversations even in women’s groups </w:t>
      </w:r>
      <w:r w:rsidR="00744134">
        <w:rPr>
          <w:sz w:val="22"/>
          <w:szCs w:val="22"/>
          <w:lang w:val="en-US"/>
        </w:rPr>
        <w:t>in</w:t>
      </w:r>
      <w:r w:rsidR="004679A5" w:rsidRPr="00674CFD">
        <w:rPr>
          <w:sz w:val="22"/>
          <w:szCs w:val="22"/>
          <w:lang w:val="en-US"/>
        </w:rPr>
        <w:t xml:space="preserve"> rural parts of the Maldives.</w:t>
      </w:r>
      <w:r w:rsidRPr="00674CFD">
        <w:rPr>
          <w:sz w:val="22"/>
          <w:szCs w:val="22"/>
          <w:lang w:val="en-US"/>
        </w:rPr>
        <w:t xml:space="preserve"> </w:t>
      </w:r>
      <w:r w:rsidR="00744134">
        <w:rPr>
          <w:sz w:val="22"/>
          <w:szCs w:val="22"/>
          <w:lang w:val="en-US"/>
        </w:rPr>
        <w:t xml:space="preserve">Based on the </w:t>
      </w:r>
      <w:r w:rsidR="00744134">
        <w:rPr>
          <w:sz w:val="22"/>
          <w:szCs w:val="22"/>
          <w:lang w:val="en-US"/>
        </w:rPr>
        <w:lastRenderedPageBreak/>
        <w:t>current context and issues surrounding law making and the implementation of laws in the Maldives, we have</w:t>
      </w:r>
      <w:r w:rsidR="00744134" w:rsidRPr="00744134">
        <w:rPr>
          <w:sz w:val="22"/>
          <w:szCs w:val="22"/>
          <w:lang w:val="en-US"/>
        </w:rPr>
        <w:t xml:space="preserve"> little hope that the legislation surrounding the issues in discussion in the above four recommendations from the Committee, nor policy making can have positive outcomes in the immediate future. The State Party is aware of the issues and has chosen not to take appropriate action to investigate or remedy the situations. As a result, women’s rights continue to be compromised. An independent inquiry into Family Law and Violence against Women maybe an alternative approach to ensuring timely review and amendment of the laws, to ensure the implementation of the Committee recommendations.  </w:t>
      </w:r>
    </w:p>
    <w:p w14:paraId="73B46428" w14:textId="77777777" w:rsidR="0013456A" w:rsidRPr="00674CFD" w:rsidRDefault="0013456A" w:rsidP="00D83763">
      <w:pPr>
        <w:pStyle w:val="SingleTxtG"/>
        <w:spacing w:line="276" w:lineRule="auto"/>
        <w:ind w:left="1080"/>
        <w:rPr>
          <w:sz w:val="22"/>
          <w:szCs w:val="22"/>
          <w:lang w:val="en-US"/>
        </w:rPr>
      </w:pPr>
    </w:p>
    <w:p w14:paraId="056BE953" w14:textId="370C1B63" w:rsidR="00436A8F" w:rsidRPr="00674CFD" w:rsidRDefault="00436A8F" w:rsidP="00D83763">
      <w:pPr>
        <w:pStyle w:val="SingleTxtG"/>
        <w:spacing w:line="276" w:lineRule="auto"/>
        <w:jc w:val="center"/>
        <w:rPr>
          <w:sz w:val="22"/>
          <w:szCs w:val="22"/>
          <w:u w:val="single"/>
          <w:lang w:val="en-US"/>
        </w:rPr>
      </w:pPr>
      <w:r w:rsidRPr="00674CFD">
        <w:rPr>
          <w:sz w:val="22"/>
          <w:szCs w:val="22"/>
          <w:u w:val="single"/>
          <w:lang w:val="en-US"/>
        </w:rPr>
        <w:tab/>
      </w:r>
      <w:r w:rsidRPr="00674CFD">
        <w:rPr>
          <w:sz w:val="22"/>
          <w:szCs w:val="22"/>
          <w:u w:val="single"/>
          <w:lang w:val="en-US"/>
        </w:rPr>
        <w:tab/>
      </w:r>
      <w:r w:rsidRPr="00674CFD">
        <w:rPr>
          <w:sz w:val="22"/>
          <w:szCs w:val="22"/>
          <w:u w:val="single"/>
          <w:lang w:val="en-US"/>
        </w:rPr>
        <w:tab/>
      </w:r>
    </w:p>
    <w:sectPr w:rsidR="00436A8F" w:rsidRPr="00674CFD" w:rsidSect="00A911E4">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375"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74ADE" w14:textId="77777777" w:rsidR="00495839" w:rsidRDefault="00495839">
      <w:pPr>
        <w:spacing w:line="240" w:lineRule="auto"/>
      </w:pPr>
    </w:p>
  </w:endnote>
  <w:endnote w:type="continuationSeparator" w:id="0">
    <w:p w14:paraId="2EEF2BA9" w14:textId="77777777" w:rsidR="00495839" w:rsidRDefault="00495839">
      <w:pPr>
        <w:pStyle w:val="Footer"/>
      </w:pPr>
    </w:p>
  </w:endnote>
  <w:endnote w:type="continuationNotice" w:id="1">
    <w:p w14:paraId="230D5846" w14:textId="77777777" w:rsidR="00495839" w:rsidRDefault="004958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V Boli">
    <w:panose1 w:val="02000500030200090000"/>
    <w:charset w:val="00"/>
    <w:family w:val="auto"/>
    <w:notTrueType/>
    <w:pitch w:val="variable"/>
    <w:sig w:usb0="00000003" w:usb1="00000000" w:usb2="000001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F17E7" w14:textId="77777777" w:rsidR="00023A38" w:rsidRDefault="0085318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928FA"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F717F" w14:textId="7335704B" w:rsidR="00023A38" w:rsidRDefault="00853186">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3BAFC998" wp14:editId="61D5A14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D114FC">
      <w:rPr>
        <w:sz w:val="20"/>
      </w:rPr>
      <w:t>Equal Rights Initiative (ERI)</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5206E9" w14:paraId="4CD14385" w14:textId="77777777">
      <w:tc>
        <w:tcPr>
          <w:tcW w:w="1848" w:type="dxa"/>
          <w:vAlign w:val="bottom"/>
        </w:tcPr>
        <w:p w14:paraId="70B213D6" w14:textId="4DEE6788" w:rsidR="00023A38" w:rsidRDefault="00023A38">
          <w:pPr>
            <w:kinsoku w:val="0"/>
            <w:overflowPunct w:val="0"/>
            <w:autoSpaceDE w:val="0"/>
            <w:autoSpaceDN w:val="0"/>
            <w:adjustRightInd w:val="0"/>
            <w:snapToGrid w:val="0"/>
            <w:spacing w:before="120" w:after="120" w:line="240" w:lineRule="auto"/>
            <w:jc w:val="right"/>
            <w:rPr>
              <w:rFonts w:eastAsiaTheme="minorHAnsi"/>
              <w:sz w:val="16"/>
              <w:lang w:val="fr-CH"/>
            </w:rPr>
          </w:pPr>
        </w:p>
      </w:tc>
      <w:tc>
        <w:tcPr>
          <w:tcW w:w="1274" w:type="dxa"/>
        </w:tcPr>
        <w:p w14:paraId="7AAFFEDC"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13181A10"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0B9E9" w14:textId="77777777" w:rsidR="00495839" w:rsidRDefault="00495839">
      <w:pPr>
        <w:pStyle w:val="Footer"/>
        <w:tabs>
          <w:tab w:val="right" w:pos="2155"/>
        </w:tabs>
        <w:spacing w:after="80" w:line="240" w:lineRule="atLeast"/>
        <w:ind w:left="680"/>
        <w:rPr>
          <w:u w:val="single"/>
        </w:rPr>
      </w:pPr>
      <w:r>
        <w:rPr>
          <w:u w:val="single"/>
        </w:rPr>
        <w:tab/>
      </w:r>
    </w:p>
  </w:footnote>
  <w:footnote w:type="continuationSeparator" w:id="0">
    <w:p w14:paraId="18102450" w14:textId="77777777" w:rsidR="00495839" w:rsidRDefault="00495839">
      <w:pPr>
        <w:pStyle w:val="Footer"/>
        <w:tabs>
          <w:tab w:val="right" w:pos="2155"/>
        </w:tabs>
        <w:spacing w:after="80" w:line="240" w:lineRule="atLeast"/>
        <w:ind w:left="680"/>
        <w:rPr>
          <w:u w:val="single"/>
        </w:rPr>
      </w:pPr>
      <w:r>
        <w:rPr>
          <w:u w:val="single"/>
        </w:rPr>
        <w:tab/>
      </w:r>
    </w:p>
  </w:footnote>
  <w:footnote w:type="continuationNotice" w:id="1">
    <w:p w14:paraId="4B9BAFB9" w14:textId="77777777" w:rsidR="00495839" w:rsidRDefault="00495839">
      <w:pPr>
        <w:spacing w:line="240" w:lineRule="auto"/>
        <w:rPr>
          <w:sz w:val="2"/>
          <w:szCs w:val="2"/>
        </w:rPr>
      </w:pPr>
    </w:p>
  </w:footnote>
  <w:footnote w:id="2">
    <w:p w14:paraId="263A4842" w14:textId="77777777" w:rsidR="0058368A" w:rsidRPr="0058368A" w:rsidRDefault="0058368A" w:rsidP="0058368A">
      <w:pPr>
        <w:pStyle w:val="FootnoteText"/>
        <w:rPr>
          <w:szCs w:val="18"/>
          <w:lang w:val="en-US"/>
        </w:rPr>
      </w:pPr>
      <w:r w:rsidRPr="0058368A">
        <w:rPr>
          <w:rStyle w:val="FootnoteReference"/>
          <w:szCs w:val="18"/>
        </w:rPr>
        <w:footnoteRef/>
      </w:r>
      <w:r w:rsidRPr="0058368A">
        <w:rPr>
          <w:szCs w:val="18"/>
        </w:rPr>
        <w:t xml:space="preserve"> </w:t>
      </w:r>
      <w:r w:rsidRPr="0058368A">
        <w:rPr>
          <w:rFonts w:asciiTheme="majorBidi" w:hAnsiTheme="majorBidi" w:cstheme="majorBidi"/>
          <w:szCs w:val="18"/>
        </w:rPr>
        <w:t>State v. Ali Shah 2017/SC-A/16, paras 14-15.</w:t>
      </w:r>
    </w:p>
  </w:footnote>
  <w:footnote w:id="3">
    <w:p w14:paraId="24F2DBA1" w14:textId="77777777" w:rsidR="0058368A" w:rsidRPr="0058368A" w:rsidRDefault="0058368A" w:rsidP="0058368A">
      <w:pPr>
        <w:pStyle w:val="FootnoteText"/>
        <w:rPr>
          <w:szCs w:val="18"/>
          <w:lang w:val="en-US"/>
        </w:rPr>
      </w:pPr>
      <w:r w:rsidRPr="0058368A">
        <w:rPr>
          <w:rStyle w:val="FootnoteReference"/>
          <w:szCs w:val="18"/>
        </w:rPr>
        <w:footnoteRef/>
      </w:r>
      <w:r w:rsidRPr="0058368A">
        <w:rPr>
          <w:szCs w:val="18"/>
        </w:rPr>
        <w:t xml:space="preserve"> </w:t>
      </w:r>
      <w:r w:rsidRPr="0058368A">
        <w:rPr>
          <w:rFonts w:asciiTheme="majorBidi" w:hAnsiTheme="majorBidi" w:cstheme="majorBidi"/>
          <w:szCs w:val="18"/>
        </w:rPr>
        <w:t>Mohamed Muneer v Prosecutor General’s Office [2021] SC 02, paras 15-16.</w:t>
      </w:r>
    </w:p>
  </w:footnote>
  <w:footnote w:id="4">
    <w:p w14:paraId="13E06630" w14:textId="77777777" w:rsidR="0058368A" w:rsidRPr="0058368A" w:rsidRDefault="0058368A" w:rsidP="0058368A">
      <w:pPr>
        <w:pStyle w:val="FootnoteText"/>
        <w:rPr>
          <w:szCs w:val="18"/>
          <w:lang w:val="en-US"/>
        </w:rPr>
      </w:pPr>
      <w:r w:rsidRPr="0058368A">
        <w:rPr>
          <w:rStyle w:val="FootnoteReference"/>
          <w:szCs w:val="18"/>
        </w:rPr>
        <w:footnoteRef/>
      </w:r>
      <w:r w:rsidRPr="0058368A">
        <w:rPr>
          <w:szCs w:val="18"/>
        </w:rPr>
        <w:t xml:space="preserve"> </w:t>
      </w:r>
      <w:r w:rsidRPr="0058368A">
        <w:rPr>
          <w:rFonts w:asciiTheme="majorBidi" w:hAnsiTheme="majorBidi" w:cstheme="majorBidi"/>
          <w:szCs w:val="18"/>
        </w:rPr>
        <w:t>Mohamed Muneer v Prosecutor General’s Office [2021] SC 02, para 56.</w:t>
      </w:r>
    </w:p>
  </w:footnote>
  <w:footnote w:id="5">
    <w:p w14:paraId="484087D4" w14:textId="6F3EA9E1" w:rsidR="0058368A" w:rsidRPr="0058368A" w:rsidRDefault="0058368A">
      <w:pPr>
        <w:pStyle w:val="FootnoteText"/>
        <w:rPr>
          <w:szCs w:val="18"/>
          <w:lang w:val="en-US"/>
        </w:rPr>
      </w:pPr>
      <w:r w:rsidRPr="0058368A">
        <w:rPr>
          <w:rStyle w:val="FootnoteReference"/>
          <w:szCs w:val="18"/>
        </w:rPr>
        <w:footnoteRef/>
      </w:r>
      <w:r w:rsidRPr="0058368A">
        <w:rPr>
          <w:szCs w:val="18"/>
        </w:rPr>
        <w:t xml:space="preserve"> </w:t>
      </w:r>
      <w:r w:rsidRPr="0058368A">
        <w:rPr>
          <w:szCs w:val="18"/>
          <w:lang w:val="en-US"/>
        </w:rPr>
        <w:t>See Case No.: 2012/HC-A/129, at 73 and Case No.: 2012/HC-A/14, at 78, and 2014/HC-DM/01.</w:t>
      </w:r>
    </w:p>
  </w:footnote>
  <w:footnote w:id="6">
    <w:p w14:paraId="137C3D20" w14:textId="13D54A61" w:rsidR="0058368A" w:rsidRPr="0058368A" w:rsidRDefault="0058368A">
      <w:pPr>
        <w:pStyle w:val="FootnoteText"/>
        <w:rPr>
          <w:szCs w:val="18"/>
          <w:lang w:val="en-US"/>
        </w:rPr>
      </w:pPr>
      <w:r w:rsidRPr="0058368A">
        <w:rPr>
          <w:rStyle w:val="FootnoteReference"/>
          <w:szCs w:val="18"/>
        </w:rPr>
        <w:footnoteRef/>
      </w:r>
      <w:r w:rsidRPr="0058368A">
        <w:rPr>
          <w:szCs w:val="18"/>
        </w:rPr>
        <w:t xml:space="preserve"> </w:t>
      </w:r>
      <w:r w:rsidRPr="0058368A">
        <w:rPr>
          <w:szCs w:val="18"/>
          <w:lang w:val="en-US"/>
        </w:rPr>
        <w:t xml:space="preserve">Cases also referred to in the State </w:t>
      </w:r>
      <w:r w:rsidR="00F3402B">
        <w:rPr>
          <w:szCs w:val="18"/>
          <w:lang w:val="en-US"/>
        </w:rPr>
        <w:t xml:space="preserve">Party </w:t>
      </w:r>
      <w:r w:rsidRPr="0058368A">
        <w:rPr>
          <w:szCs w:val="18"/>
          <w:lang w:val="en-US"/>
        </w:rPr>
        <w:t>Replies.</w:t>
      </w:r>
    </w:p>
  </w:footnote>
  <w:footnote w:id="7">
    <w:p w14:paraId="2B265834" w14:textId="74D25AE2" w:rsidR="0058368A" w:rsidRPr="0058368A" w:rsidRDefault="0058368A">
      <w:pPr>
        <w:pStyle w:val="FootnoteText"/>
        <w:rPr>
          <w:szCs w:val="18"/>
          <w:lang w:val="en-US"/>
        </w:rPr>
      </w:pPr>
      <w:r w:rsidRPr="0058368A">
        <w:rPr>
          <w:rStyle w:val="FootnoteReference"/>
          <w:szCs w:val="18"/>
        </w:rPr>
        <w:footnoteRef/>
      </w:r>
      <w:r w:rsidRPr="0058368A">
        <w:rPr>
          <w:szCs w:val="18"/>
        </w:rPr>
        <w:t xml:space="preserve"> </w:t>
      </w:r>
      <w:r w:rsidRPr="0058368A">
        <w:rPr>
          <w:szCs w:val="18"/>
        </w:rPr>
        <w:t xml:space="preserve">Article 142, Constitution of the Republic of the Maldives states that “… </w:t>
      </w:r>
      <w:r w:rsidRPr="0058368A">
        <w:rPr>
          <w:i/>
          <w:iCs/>
          <w:szCs w:val="18"/>
        </w:rPr>
        <w:t xml:space="preserve">when deciding matters on which the Constitution or the law is silent, Judges must consider Islamic </w:t>
      </w:r>
      <w:proofErr w:type="spellStart"/>
      <w:r w:rsidRPr="0058368A">
        <w:rPr>
          <w:i/>
          <w:iCs/>
          <w:szCs w:val="18"/>
        </w:rPr>
        <w:t>Shari'ah</w:t>
      </w:r>
      <w:proofErr w:type="spellEnd"/>
      <w:r w:rsidRPr="0058368A">
        <w:rPr>
          <w:i/>
          <w:iCs/>
          <w:szCs w:val="18"/>
        </w:rPr>
        <w:t>. In the performance of their judicial functions, Judges must apply the Constitution and the law</w:t>
      </w:r>
      <w:r w:rsidRPr="0058368A">
        <w:rPr>
          <w:szCs w:val="18"/>
        </w:rPr>
        <w:t xml:space="preserve"> …”.</w:t>
      </w:r>
    </w:p>
  </w:footnote>
  <w:footnote w:id="8">
    <w:p w14:paraId="4E11C9B7" w14:textId="35EEFCE5" w:rsidR="00541E1D" w:rsidRPr="0058368A" w:rsidRDefault="00541E1D">
      <w:pPr>
        <w:pStyle w:val="FootnoteText"/>
        <w:rPr>
          <w:szCs w:val="18"/>
          <w:lang w:val="en-US"/>
        </w:rPr>
      </w:pPr>
      <w:r w:rsidRPr="0058368A">
        <w:rPr>
          <w:rStyle w:val="FootnoteReference"/>
          <w:szCs w:val="18"/>
        </w:rPr>
        <w:footnoteRef/>
      </w:r>
      <w:r w:rsidRPr="0058368A">
        <w:rPr>
          <w:szCs w:val="18"/>
        </w:rPr>
        <w:t xml:space="preserve"> Act No: 9/2014 (Penal Code of the Maldives), the Sexual Offences Act and Act No: 17/2010 (Act on Prohibition of Threats and Use of Dangerous Weapons).</w:t>
      </w:r>
    </w:p>
  </w:footnote>
  <w:footnote w:id="9">
    <w:p w14:paraId="56D6DFDD" w14:textId="58D2A4CC" w:rsidR="00141276" w:rsidRPr="0058368A" w:rsidRDefault="00141276">
      <w:pPr>
        <w:pStyle w:val="FootnoteText"/>
        <w:rPr>
          <w:szCs w:val="18"/>
          <w:lang w:val="en-US"/>
        </w:rPr>
      </w:pPr>
      <w:r w:rsidRPr="0058368A">
        <w:rPr>
          <w:rStyle w:val="FootnoteReference"/>
          <w:szCs w:val="18"/>
        </w:rPr>
        <w:footnoteRef/>
      </w:r>
      <w:r w:rsidRPr="0058368A">
        <w:rPr>
          <w:szCs w:val="18"/>
        </w:rPr>
        <w:t xml:space="preserve"> </w:t>
      </w:r>
      <w:r w:rsidR="00F04CEA" w:rsidRPr="0058368A">
        <w:rPr>
          <w:szCs w:val="18"/>
        </w:rPr>
        <w:t xml:space="preserve">Case no.: </w:t>
      </w:r>
      <w:r w:rsidRPr="0058368A">
        <w:rPr>
          <w:szCs w:val="18"/>
        </w:rPr>
        <w:t>2019/HC-A/325</w:t>
      </w:r>
      <w:r w:rsidR="00F3402B">
        <w:rPr>
          <w:szCs w:val="18"/>
        </w:rPr>
        <w:t>.</w:t>
      </w:r>
    </w:p>
  </w:footnote>
  <w:footnote w:id="10">
    <w:p w14:paraId="0DBD8DF3" w14:textId="0B88F061" w:rsidR="00141276" w:rsidRPr="0058368A" w:rsidRDefault="00141276">
      <w:pPr>
        <w:pStyle w:val="FootnoteText"/>
        <w:rPr>
          <w:szCs w:val="18"/>
          <w:lang w:val="en-US"/>
        </w:rPr>
      </w:pPr>
      <w:r w:rsidRPr="0058368A">
        <w:rPr>
          <w:rStyle w:val="FootnoteReference"/>
          <w:szCs w:val="18"/>
        </w:rPr>
        <w:footnoteRef/>
      </w:r>
      <w:r w:rsidRPr="0058368A">
        <w:rPr>
          <w:szCs w:val="18"/>
        </w:rPr>
        <w:t xml:space="preserve"> </w:t>
      </w:r>
      <w:r w:rsidR="001F7AE4" w:rsidRPr="0058368A">
        <w:rPr>
          <w:color w:val="000000" w:themeColor="text1"/>
          <w:szCs w:val="18"/>
          <w:lang w:val="en-US"/>
        </w:rPr>
        <w:t xml:space="preserve">Case No.: 752/Cr-C/2016; </w:t>
      </w:r>
      <w:r w:rsidRPr="0058368A">
        <w:rPr>
          <w:szCs w:val="18"/>
          <w:lang w:val="en-US"/>
        </w:rPr>
        <w:t xml:space="preserve">Case Summary </w:t>
      </w:r>
      <w:r w:rsidR="00F3402B">
        <w:rPr>
          <w:szCs w:val="18"/>
          <w:lang w:val="en-US"/>
        </w:rPr>
        <w:t>(</w:t>
      </w:r>
      <w:r w:rsidRPr="0058368A">
        <w:rPr>
          <w:szCs w:val="18"/>
          <w:lang w:val="en-US"/>
        </w:rPr>
        <w:t>available at https://maldivesmootcourtsociety.org/prosecutor-generals-office-v-ibrahim-shah-2019-hc-a-325/</w:t>
      </w:r>
      <w:r w:rsidR="00F3402B">
        <w:rPr>
          <w:szCs w:val="18"/>
          <w:lang w:val="en-US"/>
        </w:rPr>
        <w:t>)</w:t>
      </w:r>
    </w:p>
  </w:footnote>
  <w:footnote w:id="11">
    <w:p w14:paraId="1629780C" w14:textId="70752328" w:rsidR="001F7AE4" w:rsidRPr="0058368A" w:rsidRDefault="001F7AE4">
      <w:pPr>
        <w:pStyle w:val="FootnoteText"/>
        <w:rPr>
          <w:szCs w:val="18"/>
          <w:lang w:val="en-US"/>
        </w:rPr>
      </w:pPr>
      <w:r w:rsidRPr="0058368A">
        <w:rPr>
          <w:rStyle w:val="FootnoteReference"/>
          <w:szCs w:val="18"/>
        </w:rPr>
        <w:footnoteRef/>
      </w:r>
      <w:r w:rsidRPr="0058368A">
        <w:rPr>
          <w:szCs w:val="18"/>
        </w:rPr>
        <w:t xml:space="preserve"> Case no.: 2019/HC-A/325</w:t>
      </w:r>
      <w:r w:rsidR="00F3402B">
        <w:rPr>
          <w:szCs w:val="18"/>
        </w:rPr>
        <w:t>.</w:t>
      </w:r>
    </w:p>
  </w:footnote>
  <w:footnote w:id="12">
    <w:p w14:paraId="292FE0F7" w14:textId="7550E0DE" w:rsidR="00F20A78" w:rsidRPr="0058368A" w:rsidRDefault="00F20A78" w:rsidP="00F20A78">
      <w:pPr>
        <w:pStyle w:val="FootnoteText"/>
        <w:rPr>
          <w:szCs w:val="18"/>
          <w:lang w:val="en-US"/>
        </w:rPr>
      </w:pPr>
      <w:r w:rsidRPr="0058368A">
        <w:rPr>
          <w:rStyle w:val="FootnoteReference"/>
          <w:szCs w:val="18"/>
        </w:rPr>
        <w:footnoteRef/>
      </w:r>
      <w:r w:rsidRPr="0058368A">
        <w:rPr>
          <w:szCs w:val="18"/>
        </w:rPr>
        <w:t xml:space="preserve"> </w:t>
      </w:r>
      <w:r w:rsidRPr="0058368A">
        <w:rPr>
          <w:szCs w:val="18"/>
          <w:lang w:val="en-US"/>
        </w:rPr>
        <w:t xml:space="preserve">Human Rights Report 2022, </w:t>
      </w:r>
      <w:r w:rsidR="00F3402B" w:rsidRPr="0058368A">
        <w:rPr>
          <w:szCs w:val="18"/>
        </w:rPr>
        <w:t xml:space="preserve">Para 70, </w:t>
      </w:r>
      <w:r w:rsidRPr="0058368A">
        <w:rPr>
          <w:szCs w:val="18"/>
          <w:lang w:val="en-US"/>
        </w:rPr>
        <w:t>Human Rights Commission of the Maldives (</w:t>
      </w:r>
      <w:r w:rsidR="00F3402B">
        <w:rPr>
          <w:szCs w:val="18"/>
          <w:lang w:val="en-US"/>
        </w:rPr>
        <w:t>a</w:t>
      </w:r>
      <w:r w:rsidRPr="0058368A">
        <w:rPr>
          <w:szCs w:val="18"/>
          <w:lang w:val="en-US"/>
        </w:rPr>
        <w:t>vailable at: https://hrcm.org.mv/storage/uploads/24YE4Jwe/rthaxdaa.pdf)</w:t>
      </w:r>
    </w:p>
  </w:footnote>
  <w:footnote w:id="13">
    <w:p w14:paraId="7C0E6752" w14:textId="0EDD89BB" w:rsidR="00F04CEA" w:rsidRPr="00F04CEA" w:rsidRDefault="00F04CEA" w:rsidP="00F04CEA">
      <w:pPr>
        <w:pStyle w:val="FootnoteText"/>
        <w:rPr>
          <w:szCs w:val="18"/>
        </w:rPr>
      </w:pPr>
      <w:r>
        <w:rPr>
          <w:rStyle w:val="FootnoteReference"/>
        </w:rPr>
        <w:footnoteRef/>
      </w:r>
      <w:r>
        <w:t xml:space="preserve"> </w:t>
      </w:r>
      <w:r>
        <w:rPr>
          <w:szCs w:val="18"/>
        </w:rPr>
        <w:t xml:space="preserve">Human Rights Report 2021, </w:t>
      </w:r>
      <w:r w:rsidR="00F3402B">
        <w:rPr>
          <w:szCs w:val="18"/>
        </w:rPr>
        <w:t xml:space="preserve">Para 42, </w:t>
      </w:r>
      <w:r>
        <w:rPr>
          <w:szCs w:val="18"/>
        </w:rPr>
        <w:t>Human Rights Commission of the Maldives (</w:t>
      </w:r>
      <w:r w:rsidR="00F3402B">
        <w:rPr>
          <w:szCs w:val="18"/>
        </w:rPr>
        <w:t>a</w:t>
      </w:r>
      <w:r w:rsidRPr="0058368A">
        <w:rPr>
          <w:szCs w:val="18"/>
        </w:rPr>
        <w:t>vailable at https://hrcm.org.mv/storage/uploads/9kob0GY8/04vsynsh.pdf</w:t>
      </w:r>
    </w:p>
  </w:footnote>
  <w:footnote w:id="14">
    <w:p w14:paraId="5A13E630" w14:textId="22A3CCDA" w:rsidR="00E41777" w:rsidRPr="0058368A" w:rsidRDefault="00E41777" w:rsidP="00E41777">
      <w:pPr>
        <w:pStyle w:val="FootnoteText"/>
        <w:rPr>
          <w:szCs w:val="18"/>
        </w:rPr>
      </w:pPr>
      <w:r w:rsidRPr="0058368A">
        <w:rPr>
          <w:rStyle w:val="FootnoteReference"/>
          <w:szCs w:val="18"/>
        </w:rPr>
        <w:footnoteRef/>
      </w:r>
      <w:r w:rsidRPr="0058368A">
        <w:rPr>
          <w:szCs w:val="18"/>
        </w:rPr>
        <w:t xml:space="preserve"> </w:t>
      </w:r>
      <w:r w:rsidR="006A7416">
        <w:rPr>
          <w:szCs w:val="18"/>
        </w:rPr>
        <w:t xml:space="preserve">Human Rights Report 2021, </w:t>
      </w:r>
      <w:r w:rsidR="00F3402B">
        <w:rPr>
          <w:szCs w:val="18"/>
        </w:rPr>
        <w:t xml:space="preserve">Para 39, </w:t>
      </w:r>
      <w:r w:rsidR="006A7416">
        <w:rPr>
          <w:szCs w:val="18"/>
        </w:rPr>
        <w:t>Human Rights Commission of the Maldives (</w:t>
      </w:r>
      <w:r w:rsidR="00F3402B">
        <w:rPr>
          <w:szCs w:val="18"/>
        </w:rPr>
        <w:t>a</w:t>
      </w:r>
      <w:r w:rsidR="002E7982" w:rsidRPr="0058368A">
        <w:rPr>
          <w:szCs w:val="18"/>
        </w:rPr>
        <w:t xml:space="preserve">vailable at </w:t>
      </w:r>
      <w:r w:rsidRPr="0058368A">
        <w:rPr>
          <w:szCs w:val="18"/>
        </w:rPr>
        <w:t>https://hrcm.org.mv/storage/uploads/9kob0GY8/04vsynsh.pdf</w:t>
      </w:r>
    </w:p>
  </w:footnote>
  <w:footnote w:id="15">
    <w:p w14:paraId="4872B753" w14:textId="53D05E0D" w:rsidR="00E41777" w:rsidRPr="0058368A" w:rsidRDefault="00E41777" w:rsidP="00E41777">
      <w:pPr>
        <w:pStyle w:val="FootnoteText"/>
        <w:rPr>
          <w:szCs w:val="18"/>
        </w:rPr>
      </w:pPr>
      <w:r w:rsidRPr="0058368A">
        <w:rPr>
          <w:rStyle w:val="FootnoteReference"/>
          <w:szCs w:val="18"/>
        </w:rPr>
        <w:footnoteRef/>
      </w:r>
      <w:r w:rsidRPr="0058368A">
        <w:rPr>
          <w:szCs w:val="18"/>
        </w:rPr>
        <w:t xml:space="preserve"> </w:t>
      </w:r>
      <w:r w:rsidR="00F3402B">
        <w:rPr>
          <w:szCs w:val="18"/>
        </w:rPr>
        <w:t>Family Protection Authority Website (</w:t>
      </w:r>
      <w:r w:rsidRPr="0058368A">
        <w:rPr>
          <w:szCs w:val="18"/>
        </w:rPr>
        <w:t>https://fpa.gov.mv/</w:t>
      </w:r>
      <w:r w:rsidR="00F3402B">
        <w:rPr>
          <w:szCs w:val="18"/>
        </w:rPr>
        <w:t>)</w:t>
      </w:r>
    </w:p>
  </w:footnote>
  <w:footnote w:id="16">
    <w:p w14:paraId="16F97C45" w14:textId="1B5412A4" w:rsidR="00C04609" w:rsidRPr="00C04609" w:rsidRDefault="00C04609">
      <w:pPr>
        <w:pStyle w:val="FootnoteText"/>
        <w:rPr>
          <w:lang w:val="en-US"/>
        </w:rPr>
      </w:pPr>
      <w:r>
        <w:rPr>
          <w:rStyle w:val="FootnoteReference"/>
        </w:rPr>
        <w:footnoteRef/>
      </w:r>
      <w:r>
        <w:t xml:space="preserve"> </w:t>
      </w:r>
      <w:r>
        <w:rPr>
          <w:lang w:val="en-US"/>
        </w:rPr>
        <w:t>DVPA 2012</w:t>
      </w:r>
      <w:r w:rsidR="00F3402B">
        <w:rPr>
          <w:lang w:val="en-US"/>
        </w:rPr>
        <w:t>,</w:t>
      </w:r>
      <w:r>
        <w:rPr>
          <w:lang w:val="en-US"/>
        </w:rPr>
        <w:t xml:space="preserve"> </w:t>
      </w:r>
      <w:r w:rsidR="00F3402B">
        <w:rPr>
          <w:lang w:val="en-US"/>
        </w:rPr>
        <w:t>Sec. 2(</w:t>
      </w:r>
      <w:proofErr w:type="spellStart"/>
      <w:r w:rsidR="00F3402B">
        <w:rPr>
          <w:lang w:val="en-US"/>
        </w:rPr>
        <w:t>i</w:t>
      </w:r>
      <w:proofErr w:type="spellEnd"/>
      <w:r w:rsidR="00F3402B">
        <w:rPr>
          <w:lang w:val="en-US"/>
        </w:rPr>
        <w:t>), Sec. 6</w:t>
      </w:r>
      <w:r w:rsidR="00F3402B">
        <w:rPr>
          <w:lang w:val="en-US"/>
        </w:rPr>
        <w:t xml:space="preserve">. </w:t>
      </w:r>
    </w:p>
  </w:footnote>
  <w:footnote w:id="17">
    <w:p w14:paraId="64AC4193" w14:textId="2C457879" w:rsidR="005D5FDB" w:rsidRPr="0058368A" w:rsidRDefault="005D5FDB" w:rsidP="005D5FDB">
      <w:pPr>
        <w:pStyle w:val="FootnoteText"/>
        <w:rPr>
          <w:szCs w:val="18"/>
          <w:lang w:val="en-US"/>
        </w:rPr>
      </w:pPr>
      <w:r w:rsidRPr="0058368A">
        <w:rPr>
          <w:rStyle w:val="FootnoteReference"/>
          <w:szCs w:val="18"/>
        </w:rPr>
        <w:footnoteRef/>
      </w:r>
      <w:r w:rsidRPr="0058368A">
        <w:rPr>
          <w:szCs w:val="18"/>
        </w:rPr>
        <w:t xml:space="preserve"> </w:t>
      </w:r>
      <w:r w:rsidRPr="0058368A">
        <w:rPr>
          <w:szCs w:val="18"/>
          <w:lang w:val="en-US"/>
        </w:rPr>
        <w:t xml:space="preserve">Human Rights Report 2021, </w:t>
      </w:r>
      <w:r w:rsidR="00F3402B" w:rsidRPr="0058368A">
        <w:rPr>
          <w:szCs w:val="18"/>
          <w:lang w:val="en-US"/>
        </w:rPr>
        <w:t xml:space="preserve">Para 44, </w:t>
      </w:r>
      <w:r w:rsidRPr="0058368A">
        <w:rPr>
          <w:szCs w:val="18"/>
          <w:lang w:val="en-US"/>
        </w:rPr>
        <w:t>Human Rights Commission of the Maldives (</w:t>
      </w:r>
      <w:r w:rsidR="00F3402B">
        <w:rPr>
          <w:szCs w:val="18"/>
          <w:lang w:val="en-US"/>
        </w:rPr>
        <w:t>a</w:t>
      </w:r>
      <w:r w:rsidRPr="0058368A">
        <w:rPr>
          <w:szCs w:val="18"/>
          <w:lang w:val="en-US"/>
        </w:rPr>
        <w:t>vailable at:</w:t>
      </w:r>
      <w:r w:rsidRPr="0058368A">
        <w:rPr>
          <w:szCs w:val="18"/>
        </w:rPr>
        <w:t xml:space="preserve"> </w:t>
      </w:r>
      <w:r w:rsidRPr="0058368A">
        <w:rPr>
          <w:szCs w:val="18"/>
          <w:lang w:val="en-US"/>
        </w:rPr>
        <w:t>https://hrcm.org.mv/storage/uploads/9kob0GY8/04vsynsh.pdf)</w:t>
      </w:r>
    </w:p>
  </w:footnote>
  <w:footnote w:id="18">
    <w:p w14:paraId="3F5C8908" w14:textId="76C4A90D" w:rsidR="005D5FDB" w:rsidRPr="0058368A" w:rsidRDefault="005D5FDB" w:rsidP="005D5FDB">
      <w:pPr>
        <w:pStyle w:val="FootnoteText"/>
        <w:rPr>
          <w:szCs w:val="18"/>
          <w:lang w:val="en-US"/>
        </w:rPr>
      </w:pPr>
      <w:r w:rsidRPr="0058368A">
        <w:rPr>
          <w:rStyle w:val="FootnoteReference"/>
          <w:szCs w:val="18"/>
        </w:rPr>
        <w:footnoteRef/>
      </w:r>
      <w:r w:rsidRPr="0058368A">
        <w:rPr>
          <w:szCs w:val="18"/>
        </w:rPr>
        <w:t xml:space="preserve"> </w:t>
      </w:r>
      <w:r w:rsidRPr="0058368A">
        <w:rPr>
          <w:szCs w:val="18"/>
          <w:lang w:val="en-US"/>
        </w:rPr>
        <w:t xml:space="preserve">Human Rights Report 2022, </w:t>
      </w:r>
      <w:r w:rsidR="00F3402B" w:rsidRPr="0058368A">
        <w:rPr>
          <w:szCs w:val="18"/>
          <w:lang w:val="en-US"/>
        </w:rPr>
        <w:t xml:space="preserve">Para 69, </w:t>
      </w:r>
      <w:r w:rsidRPr="0058368A">
        <w:rPr>
          <w:szCs w:val="18"/>
          <w:lang w:val="en-US"/>
        </w:rPr>
        <w:t>Human Rights Commission of the Maldives (</w:t>
      </w:r>
      <w:r w:rsidR="00F3402B">
        <w:rPr>
          <w:szCs w:val="18"/>
          <w:lang w:val="en-US"/>
        </w:rPr>
        <w:t>a</w:t>
      </w:r>
      <w:r w:rsidRPr="0058368A">
        <w:rPr>
          <w:szCs w:val="18"/>
          <w:lang w:val="en-US"/>
        </w:rPr>
        <w:t>vailable at: https://hrcm.org.mv/storage/uploads/24YE4Jwe/rthaxdaa.pdf)</w:t>
      </w:r>
    </w:p>
  </w:footnote>
  <w:footnote w:id="19">
    <w:p w14:paraId="73EFB69A" w14:textId="6BDDCA9A" w:rsidR="00E41777" w:rsidRPr="0058368A" w:rsidRDefault="00E41777" w:rsidP="00E41777">
      <w:pPr>
        <w:pStyle w:val="FootnoteText"/>
        <w:rPr>
          <w:szCs w:val="18"/>
        </w:rPr>
      </w:pPr>
      <w:r w:rsidRPr="0058368A">
        <w:rPr>
          <w:rStyle w:val="FootnoteReference"/>
          <w:szCs w:val="18"/>
        </w:rPr>
        <w:footnoteRef/>
      </w:r>
      <w:r w:rsidRPr="0058368A">
        <w:rPr>
          <w:szCs w:val="18"/>
        </w:rPr>
        <w:t xml:space="preserve"> </w:t>
      </w:r>
      <w:r w:rsidR="00760576" w:rsidRPr="0058368A">
        <w:rPr>
          <w:szCs w:val="18"/>
        </w:rPr>
        <w:t>Family Protection Authority</w:t>
      </w:r>
      <w:r w:rsidR="00F3402B">
        <w:rPr>
          <w:szCs w:val="18"/>
        </w:rPr>
        <w:t>,</w:t>
      </w:r>
      <w:r w:rsidR="00760576" w:rsidRPr="0058368A">
        <w:rPr>
          <w:szCs w:val="18"/>
        </w:rPr>
        <w:t xml:space="preserve"> Statistics for 2023 (Quarter 1, 2 and 3)</w:t>
      </w:r>
      <w:r w:rsidR="00F3402B">
        <w:rPr>
          <w:szCs w:val="18"/>
        </w:rPr>
        <w:t>,</w:t>
      </w:r>
      <w:r w:rsidR="00760576" w:rsidRPr="0058368A">
        <w:rPr>
          <w:szCs w:val="18"/>
        </w:rPr>
        <w:t xml:space="preserve"> </w:t>
      </w:r>
      <w:r w:rsidR="00F3402B">
        <w:rPr>
          <w:szCs w:val="18"/>
        </w:rPr>
        <w:t>(a</w:t>
      </w:r>
      <w:r w:rsidR="00760576" w:rsidRPr="0058368A">
        <w:rPr>
          <w:szCs w:val="18"/>
        </w:rPr>
        <w:t>vailable at http://fpa.gov.mv/dv</w:t>
      </w:r>
      <w:r w:rsidR="00F3402B">
        <w:rPr>
          <w:szCs w:val="18"/>
        </w:rPr>
        <w:t>)</w:t>
      </w:r>
    </w:p>
  </w:footnote>
  <w:footnote w:id="20">
    <w:p w14:paraId="0468BF37" w14:textId="4EFD2B30" w:rsidR="00417D3C" w:rsidRPr="00417D3C" w:rsidRDefault="00417D3C">
      <w:pPr>
        <w:pStyle w:val="FootnoteText"/>
        <w:rPr>
          <w:lang w:val="en-US"/>
        </w:rPr>
      </w:pPr>
      <w:r>
        <w:rPr>
          <w:rStyle w:val="FootnoteReference"/>
        </w:rPr>
        <w:footnoteRef/>
      </w:r>
      <w:r>
        <w:t xml:space="preserve"> Act No. 9/2016 (2</w:t>
      </w:r>
      <w:r w:rsidRPr="00417D3C">
        <w:rPr>
          <w:vertAlign w:val="superscript"/>
        </w:rPr>
        <w:t>nd</w:t>
      </w:r>
      <w:r>
        <w:t xml:space="preserve"> Amendment to Act No. 4/2000, Family Act</w:t>
      </w:r>
      <w:r w:rsidR="00F3402B">
        <w:t xml:space="preserve"> (a</w:t>
      </w:r>
      <w:r>
        <w:t xml:space="preserve">vailable at </w:t>
      </w:r>
      <w:r w:rsidRPr="00417D3C">
        <w:t>https://old.mvlaw.gov.mv/pdf/ganoon/chapterII/9-2016.pdf</w:t>
      </w:r>
      <w:r w:rsidR="00F3402B">
        <w:t>)</w:t>
      </w:r>
    </w:p>
  </w:footnote>
  <w:footnote w:id="21">
    <w:p w14:paraId="18E53565" w14:textId="72978330" w:rsidR="00A911E4" w:rsidRPr="0058368A" w:rsidRDefault="00A911E4">
      <w:pPr>
        <w:pStyle w:val="FootnoteText"/>
        <w:rPr>
          <w:szCs w:val="18"/>
          <w:lang w:val="en-US"/>
        </w:rPr>
      </w:pPr>
      <w:r w:rsidRPr="0058368A">
        <w:rPr>
          <w:rStyle w:val="FootnoteReference"/>
          <w:szCs w:val="18"/>
        </w:rPr>
        <w:footnoteRef/>
      </w:r>
      <w:r w:rsidRPr="0058368A">
        <w:rPr>
          <w:szCs w:val="18"/>
        </w:rPr>
        <w:t xml:space="preserve"> </w:t>
      </w:r>
      <w:r w:rsidR="009C163B">
        <w:rPr>
          <w:szCs w:val="18"/>
          <w:lang w:val="en-US"/>
        </w:rPr>
        <w:t>Marriage</w:t>
      </w:r>
      <w:r w:rsidRPr="0058368A">
        <w:rPr>
          <w:szCs w:val="18"/>
          <w:lang w:val="en-US"/>
        </w:rPr>
        <w:t xml:space="preserve"> Awareness Program Sessions</w:t>
      </w:r>
      <w:r w:rsidR="009C163B">
        <w:rPr>
          <w:szCs w:val="18"/>
          <w:lang w:val="en-US"/>
        </w:rPr>
        <w:t>,</w:t>
      </w:r>
      <w:r w:rsidRPr="0058368A">
        <w:rPr>
          <w:szCs w:val="18"/>
          <w:lang w:val="en-US"/>
        </w:rPr>
        <w:t xml:space="preserve"> </w:t>
      </w:r>
      <w:r w:rsidR="009C163B" w:rsidRPr="0058368A">
        <w:rPr>
          <w:szCs w:val="18"/>
          <w:lang w:val="en-US"/>
        </w:rPr>
        <w:t xml:space="preserve">Family Court Website </w:t>
      </w:r>
      <w:r w:rsidRPr="0058368A">
        <w:rPr>
          <w:szCs w:val="18"/>
          <w:lang w:val="en-US"/>
        </w:rPr>
        <w:t xml:space="preserve">(available in the local language, at </w:t>
      </w:r>
      <w:r w:rsidRPr="0058368A">
        <w:rPr>
          <w:szCs w:val="18"/>
        </w:rPr>
        <w:t>https://familycourt.gov.mv/awareness-program/)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D2E4C" w14:textId="77777777" w:rsidR="00F27EE4" w:rsidRDefault="00F27EE4" w:rsidP="00F27EE4">
    <w:pPr>
      <w:pStyle w:val="Header"/>
      <w:pBdr>
        <w:bottom w:val="none" w:sz="0" w:space="0" w:color="auto"/>
      </w:pBdr>
      <w:jc w:val="right"/>
      <w:rPr>
        <w:b w:val="0"/>
        <w:bCs/>
        <w:lang w:val="en-US"/>
      </w:rPr>
    </w:pPr>
    <w:r w:rsidRPr="00E80843">
      <w:rPr>
        <w:b w:val="0"/>
        <w:bCs/>
        <w:lang w:val="en-US"/>
      </w:rPr>
      <w:t>ERI – CEDAW Interim Replies Shadow Report</w:t>
    </w:r>
  </w:p>
  <w:p w14:paraId="7595CB95" w14:textId="77777777" w:rsidR="00F27EE4" w:rsidRPr="00E80843" w:rsidRDefault="00F27EE4" w:rsidP="00F27EE4">
    <w:pPr>
      <w:pStyle w:val="Header"/>
      <w:pBdr>
        <w:bottom w:val="none" w:sz="0" w:space="0" w:color="auto"/>
      </w:pBdr>
      <w:jc w:val="right"/>
      <w:rPr>
        <w:b w:val="0"/>
        <w:bCs/>
        <w:lang w:val="en-US"/>
      </w:rPr>
    </w:pPr>
    <w:r w:rsidRPr="00E80843">
      <w:rPr>
        <w:b w:val="0"/>
        <w:bCs/>
        <w:lang w:val="en-US"/>
      </w:rPr>
      <w:t>[</w:t>
    </w:r>
    <w:r>
      <w:rPr>
        <w:b w:val="0"/>
        <w:bCs/>
        <w:lang w:val="en-US"/>
      </w:rPr>
      <w:t xml:space="preserve">Date of Submission: </w:t>
    </w:r>
    <w:r w:rsidRPr="00E80843">
      <w:rPr>
        <w:b w:val="0"/>
        <w:bCs/>
        <w:lang w:val="en-US"/>
      </w:rPr>
      <w:t>8 January 2024]</w:t>
    </w:r>
  </w:p>
  <w:p w14:paraId="40C8622A" w14:textId="77777777" w:rsidR="00E73E4B" w:rsidRDefault="00E73E4B">
    <w:pPr>
      <w:pStyle w:val="Header"/>
      <w:rPr>
        <w:b w:val="0"/>
        <w:bCs/>
      </w:rPr>
    </w:pPr>
  </w:p>
  <w:p w14:paraId="6E3FA277" w14:textId="77777777" w:rsidR="00E73E4B" w:rsidRDefault="00E73E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CA3BF" w14:textId="77777777" w:rsidR="00BB2C08" w:rsidRDefault="00BB2C08" w:rsidP="00BB2C08">
    <w:pPr>
      <w:pStyle w:val="Header"/>
      <w:pBdr>
        <w:bottom w:val="none" w:sz="0" w:space="0" w:color="auto"/>
      </w:pBdr>
      <w:jc w:val="right"/>
      <w:rPr>
        <w:b w:val="0"/>
        <w:bCs/>
        <w:lang w:val="en-US"/>
      </w:rPr>
    </w:pPr>
    <w:r w:rsidRPr="00E80843">
      <w:rPr>
        <w:b w:val="0"/>
        <w:bCs/>
        <w:lang w:val="en-US"/>
      </w:rPr>
      <w:t>ERI – CEDAW Interim Replies Shadow Report</w:t>
    </w:r>
  </w:p>
  <w:p w14:paraId="70427F5F" w14:textId="77777777" w:rsidR="00BB2C08" w:rsidRPr="00E80843" w:rsidRDefault="00BB2C08" w:rsidP="00BB2C08">
    <w:pPr>
      <w:pStyle w:val="Header"/>
      <w:pBdr>
        <w:bottom w:val="none" w:sz="0" w:space="0" w:color="auto"/>
      </w:pBdr>
      <w:jc w:val="right"/>
      <w:rPr>
        <w:b w:val="0"/>
        <w:bCs/>
        <w:lang w:val="en-US"/>
      </w:rPr>
    </w:pPr>
    <w:r w:rsidRPr="00E80843">
      <w:rPr>
        <w:b w:val="0"/>
        <w:bCs/>
        <w:lang w:val="en-US"/>
      </w:rPr>
      <w:t>[</w:t>
    </w:r>
    <w:r>
      <w:rPr>
        <w:b w:val="0"/>
        <w:bCs/>
        <w:lang w:val="en-US"/>
      </w:rPr>
      <w:t xml:space="preserve">Date of Submission: </w:t>
    </w:r>
    <w:r w:rsidRPr="00E80843">
      <w:rPr>
        <w:b w:val="0"/>
        <w:bCs/>
        <w:lang w:val="en-US"/>
      </w:rPr>
      <w:t>8 January 2024]</w:t>
    </w:r>
  </w:p>
  <w:p w14:paraId="12D0EB60" w14:textId="66DB7822" w:rsidR="00023A38" w:rsidRPr="00BB2C08" w:rsidRDefault="00023A38" w:rsidP="00BB2C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F2BE2" w14:textId="77777777" w:rsidR="00F27EE4" w:rsidRDefault="00E80843" w:rsidP="00E80843">
    <w:pPr>
      <w:pStyle w:val="Header"/>
      <w:pBdr>
        <w:bottom w:val="none" w:sz="0" w:space="0" w:color="auto"/>
      </w:pBdr>
      <w:jc w:val="right"/>
      <w:rPr>
        <w:b w:val="0"/>
        <w:bCs/>
        <w:lang w:val="en-US"/>
      </w:rPr>
    </w:pPr>
    <w:r w:rsidRPr="00E80843">
      <w:rPr>
        <w:b w:val="0"/>
        <w:bCs/>
        <w:lang w:val="en-US"/>
      </w:rPr>
      <w:t>ERI – CEDAW Interim Replies Shadow Report</w:t>
    </w:r>
  </w:p>
  <w:p w14:paraId="6A3F01B4" w14:textId="6C7351FE" w:rsidR="00E80843" w:rsidRPr="00E80843" w:rsidRDefault="00E80843" w:rsidP="00E80843">
    <w:pPr>
      <w:pStyle w:val="Header"/>
      <w:pBdr>
        <w:bottom w:val="none" w:sz="0" w:space="0" w:color="auto"/>
      </w:pBdr>
      <w:jc w:val="right"/>
      <w:rPr>
        <w:b w:val="0"/>
        <w:bCs/>
        <w:lang w:val="en-US"/>
      </w:rPr>
    </w:pPr>
    <w:r w:rsidRPr="00E80843">
      <w:rPr>
        <w:b w:val="0"/>
        <w:bCs/>
        <w:lang w:val="en-US"/>
      </w:rPr>
      <w:t>[</w:t>
    </w:r>
    <w:r w:rsidR="00F27EE4">
      <w:rPr>
        <w:b w:val="0"/>
        <w:bCs/>
        <w:lang w:val="en-US"/>
      </w:rPr>
      <w:t xml:space="preserve">Date of Submission: </w:t>
    </w:r>
    <w:r w:rsidRPr="00E80843">
      <w:rPr>
        <w:b w:val="0"/>
        <w:bCs/>
        <w:lang w:val="en-US"/>
      </w:rPr>
      <w:t>8 January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E3472"/>
    <w:multiLevelType w:val="hybridMultilevel"/>
    <w:tmpl w:val="25FCB8E4"/>
    <w:lvl w:ilvl="0" w:tplc="F55C93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954887"/>
    <w:multiLevelType w:val="hybridMultilevel"/>
    <w:tmpl w:val="2B362816"/>
    <w:lvl w:ilvl="0" w:tplc="083A04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8702646" w:tentative="1">
      <w:start w:val="1"/>
      <w:numFmt w:val="lowerLetter"/>
      <w:lvlText w:val="%2."/>
      <w:lvlJc w:val="left"/>
      <w:pPr>
        <w:tabs>
          <w:tab w:val="num" w:pos="1440"/>
        </w:tabs>
        <w:ind w:left="1440" w:hanging="360"/>
      </w:pPr>
    </w:lvl>
    <w:lvl w:ilvl="2" w:tplc="B6149E78" w:tentative="1">
      <w:start w:val="1"/>
      <w:numFmt w:val="lowerRoman"/>
      <w:lvlText w:val="%3."/>
      <w:lvlJc w:val="right"/>
      <w:pPr>
        <w:tabs>
          <w:tab w:val="num" w:pos="2160"/>
        </w:tabs>
        <w:ind w:left="2160" w:hanging="180"/>
      </w:pPr>
    </w:lvl>
    <w:lvl w:ilvl="3" w:tplc="017AF770" w:tentative="1">
      <w:start w:val="1"/>
      <w:numFmt w:val="decimal"/>
      <w:lvlText w:val="%4."/>
      <w:lvlJc w:val="left"/>
      <w:pPr>
        <w:tabs>
          <w:tab w:val="num" w:pos="2880"/>
        </w:tabs>
        <w:ind w:left="2880" w:hanging="360"/>
      </w:pPr>
    </w:lvl>
    <w:lvl w:ilvl="4" w:tplc="1A245250" w:tentative="1">
      <w:start w:val="1"/>
      <w:numFmt w:val="lowerLetter"/>
      <w:lvlText w:val="%5."/>
      <w:lvlJc w:val="left"/>
      <w:pPr>
        <w:tabs>
          <w:tab w:val="num" w:pos="3600"/>
        </w:tabs>
        <w:ind w:left="3600" w:hanging="360"/>
      </w:pPr>
    </w:lvl>
    <w:lvl w:ilvl="5" w:tplc="1C1007FC" w:tentative="1">
      <w:start w:val="1"/>
      <w:numFmt w:val="lowerRoman"/>
      <w:lvlText w:val="%6."/>
      <w:lvlJc w:val="right"/>
      <w:pPr>
        <w:tabs>
          <w:tab w:val="num" w:pos="4320"/>
        </w:tabs>
        <w:ind w:left="4320" w:hanging="180"/>
      </w:pPr>
    </w:lvl>
    <w:lvl w:ilvl="6" w:tplc="BD0881C4" w:tentative="1">
      <w:start w:val="1"/>
      <w:numFmt w:val="decimal"/>
      <w:lvlText w:val="%7."/>
      <w:lvlJc w:val="left"/>
      <w:pPr>
        <w:tabs>
          <w:tab w:val="num" w:pos="5040"/>
        </w:tabs>
        <w:ind w:left="5040" w:hanging="360"/>
      </w:pPr>
    </w:lvl>
    <w:lvl w:ilvl="7" w:tplc="CF8EF5E2" w:tentative="1">
      <w:start w:val="1"/>
      <w:numFmt w:val="lowerLetter"/>
      <w:lvlText w:val="%8."/>
      <w:lvlJc w:val="left"/>
      <w:pPr>
        <w:tabs>
          <w:tab w:val="num" w:pos="5760"/>
        </w:tabs>
        <w:ind w:left="5760" w:hanging="360"/>
      </w:pPr>
    </w:lvl>
    <w:lvl w:ilvl="8" w:tplc="AAE004A2" w:tentative="1">
      <w:start w:val="1"/>
      <w:numFmt w:val="lowerRoman"/>
      <w:lvlText w:val="%9."/>
      <w:lvlJc w:val="right"/>
      <w:pPr>
        <w:tabs>
          <w:tab w:val="num" w:pos="6480"/>
        </w:tabs>
        <w:ind w:left="6480" w:hanging="180"/>
      </w:pPr>
    </w:lvl>
  </w:abstractNum>
  <w:abstractNum w:abstractNumId="12" w15:restartNumberingAfterBreak="0">
    <w:nsid w:val="1B9E34C6"/>
    <w:multiLevelType w:val="hybridMultilevel"/>
    <w:tmpl w:val="48741FD4"/>
    <w:lvl w:ilvl="0" w:tplc="C7828382">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F16F11"/>
    <w:multiLevelType w:val="hybridMultilevel"/>
    <w:tmpl w:val="1974B66E"/>
    <w:lvl w:ilvl="0" w:tplc="04090001">
      <w:start w:val="1"/>
      <w:numFmt w:val="bullet"/>
      <w:lvlText w:val=""/>
      <w:lvlJc w:val="left"/>
      <w:pPr>
        <w:ind w:left="720" w:hanging="360"/>
      </w:pPr>
      <w:rPr>
        <w:rFonts w:ascii="Symbol" w:hAnsi="Symbol"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CF4EB2"/>
    <w:multiLevelType w:val="hybridMultilevel"/>
    <w:tmpl w:val="CB6C816A"/>
    <w:lvl w:ilvl="0" w:tplc="C480F552">
      <w:start w:val="1"/>
      <w:numFmt w:val="bullet"/>
      <w:pStyle w:val="Bullet2G"/>
      <w:lvlText w:val="•"/>
      <w:lvlJc w:val="left"/>
      <w:pPr>
        <w:tabs>
          <w:tab w:val="num" w:pos="2268"/>
        </w:tabs>
        <w:ind w:left="2268" w:hanging="170"/>
      </w:pPr>
      <w:rPr>
        <w:rFonts w:ascii="Times New Roman" w:hAnsi="Times New Roman" w:cs="Times New Roman" w:hint="default"/>
      </w:rPr>
    </w:lvl>
    <w:lvl w:ilvl="1" w:tplc="E92823DC" w:tentative="1">
      <w:start w:val="1"/>
      <w:numFmt w:val="bullet"/>
      <w:lvlText w:val="o"/>
      <w:lvlJc w:val="left"/>
      <w:pPr>
        <w:tabs>
          <w:tab w:val="num" w:pos="3708"/>
        </w:tabs>
        <w:ind w:left="3708" w:hanging="360"/>
      </w:pPr>
      <w:rPr>
        <w:rFonts w:ascii="Courier New" w:hAnsi="Courier New" w:hint="default"/>
      </w:rPr>
    </w:lvl>
    <w:lvl w:ilvl="2" w:tplc="06682E1A" w:tentative="1">
      <w:start w:val="1"/>
      <w:numFmt w:val="bullet"/>
      <w:lvlText w:val=""/>
      <w:lvlJc w:val="left"/>
      <w:pPr>
        <w:tabs>
          <w:tab w:val="num" w:pos="4428"/>
        </w:tabs>
        <w:ind w:left="4428" w:hanging="360"/>
      </w:pPr>
      <w:rPr>
        <w:rFonts w:ascii="Wingdings" w:hAnsi="Wingdings" w:hint="default"/>
      </w:rPr>
    </w:lvl>
    <w:lvl w:ilvl="3" w:tplc="E580F470" w:tentative="1">
      <w:start w:val="1"/>
      <w:numFmt w:val="bullet"/>
      <w:lvlText w:val=""/>
      <w:lvlJc w:val="left"/>
      <w:pPr>
        <w:tabs>
          <w:tab w:val="num" w:pos="5148"/>
        </w:tabs>
        <w:ind w:left="5148" w:hanging="360"/>
      </w:pPr>
      <w:rPr>
        <w:rFonts w:ascii="Symbol" w:hAnsi="Symbol" w:hint="default"/>
      </w:rPr>
    </w:lvl>
    <w:lvl w:ilvl="4" w:tplc="F94219FE" w:tentative="1">
      <w:start w:val="1"/>
      <w:numFmt w:val="bullet"/>
      <w:lvlText w:val="o"/>
      <w:lvlJc w:val="left"/>
      <w:pPr>
        <w:tabs>
          <w:tab w:val="num" w:pos="5868"/>
        </w:tabs>
        <w:ind w:left="5868" w:hanging="360"/>
      </w:pPr>
      <w:rPr>
        <w:rFonts w:ascii="Courier New" w:hAnsi="Courier New" w:hint="default"/>
      </w:rPr>
    </w:lvl>
    <w:lvl w:ilvl="5" w:tplc="8EEC9F44" w:tentative="1">
      <w:start w:val="1"/>
      <w:numFmt w:val="bullet"/>
      <w:lvlText w:val=""/>
      <w:lvlJc w:val="left"/>
      <w:pPr>
        <w:tabs>
          <w:tab w:val="num" w:pos="6588"/>
        </w:tabs>
        <w:ind w:left="6588" w:hanging="360"/>
      </w:pPr>
      <w:rPr>
        <w:rFonts w:ascii="Wingdings" w:hAnsi="Wingdings" w:hint="default"/>
      </w:rPr>
    </w:lvl>
    <w:lvl w:ilvl="6" w:tplc="91AE4062" w:tentative="1">
      <w:start w:val="1"/>
      <w:numFmt w:val="bullet"/>
      <w:lvlText w:val=""/>
      <w:lvlJc w:val="left"/>
      <w:pPr>
        <w:tabs>
          <w:tab w:val="num" w:pos="7308"/>
        </w:tabs>
        <w:ind w:left="7308" w:hanging="360"/>
      </w:pPr>
      <w:rPr>
        <w:rFonts w:ascii="Symbol" w:hAnsi="Symbol" w:hint="default"/>
      </w:rPr>
    </w:lvl>
    <w:lvl w:ilvl="7" w:tplc="418AB6EE" w:tentative="1">
      <w:start w:val="1"/>
      <w:numFmt w:val="bullet"/>
      <w:lvlText w:val="o"/>
      <w:lvlJc w:val="left"/>
      <w:pPr>
        <w:tabs>
          <w:tab w:val="num" w:pos="8028"/>
        </w:tabs>
        <w:ind w:left="8028" w:hanging="360"/>
      </w:pPr>
      <w:rPr>
        <w:rFonts w:ascii="Courier New" w:hAnsi="Courier New" w:hint="default"/>
      </w:rPr>
    </w:lvl>
    <w:lvl w:ilvl="8" w:tplc="7FB8176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D993E76"/>
    <w:multiLevelType w:val="hybridMultilevel"/>
    <w:tmpl w:val="D7349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0D31D7"/>
    <w:multiLevelType w:val="hybridMultilevel"/>
    <w:tmpl w:val="61C2BF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A120D302">
      <w:start w:val="1"/>
      <w:numFmt w:val="bullet"/>
      <w:pStyle w:val="Bullet1G"/>
      <w:lvlText w:val="•"/>
      <w:lvlJc w:val="left"/>
      <w:pPr>
        <w:tabs>
          <w:tab w:val="num" w:pos="1701"/>
        </w:tabs>
        <w:ind w:left="1701" w:hanging="170"/>
      </w:pPr>
      <w:rPr>
        <w:rFonts w:ascii="Times New Roman" w:hAnsi="Times New Roman" w:cs="Times New Roman" w:hint="default"/>
      </w:rPr>
    </w:lvl>
    <w:lvl w:ilvl="1" w:tplc="8D546298" w:tentative="1">
      <w:start w:val="1"/>
      <w:numFmt w:val="bullet"/>
      <w:lvlText w:val="o"/>
      <w:lvlJc w:val="left"/>
      <w:pPr>
        <w:tabs>
          <w:tab w:val="num" w:pos="3141"/>
        </w:tabs>
        <w:ind w:left="3141" w:hanging="360"/>
      </w:pPr>
      <w:rPr>
        <w:rFonts w:ascii="Courier New" w:hAnsi="Courier New" w:hint="default"/>
      </w:rPr>
    </w:lvl>
    <w:lvl w:ilvl="2" w:tplc="F6D25A94" w:tentative="1">
      <w:start w:val="1"/>
      <w:numFmt w:val="bullet"/>
      <w:lvlText w:val=""/>
      <w:lvlJc w:val="left"/>
      <w:pPr>
        <w:tabs>
          <w:tab w:val="num" w:pos="3861"/>
        </w:tabs>
        <w:ind w:left="3861" w:hanging="360"/>
      </w:pPr>
      <w:rPr>
        <w:rFonts w:ascii="Wingdings" w:hAnsi="Wingdings" w:hint="default"/>
      </w:rPr>
    </w:lvl>
    <w:lvl w:ilvl="3" w:tplc="6570D14A" w:tentative="1">
      <w:start w:val="1"/>
      <w:numFmt w:val="bullet"/>
      <w:lvlText w:val=""/>
      <w:lvlJc w:val="left"/>
      <w:pPr>
        <w:tabs>
          <w:tab w:val="num" w:pos="4581"/>
        </w:tabs>
        <w:ind w:left="4581" w:hanging="360"/>
      </w:pPr>
      <w:rPr>
        <w:rFonts w:ascii="Symbol" w:hAnsi="Symbol" w:hint="default"/>
      </w:rPr>
    </w:lvl>
    <w:lvl w:ilvl="4" w:tplc="8E22200E" w:tentative="1">
      <w:start w:val="1"/>
      <w:numFmt w:val="bullet"/>
      <w:lvlText w:val="o"/>
      <w:lvlJc w:val="left"/>
      <w:pPr>
        <w:tabs>
          <w:tab w:val="num" w:pos="5301"/>
        </w:tabs>
        <w:ind w:left="5301" w:hanging="360"/>
      </w:pPr>
      <w:rPr>
        <w:rFonts w:ascii="Courier New" w:hAnsi="Courier New" w:hint="default"/>
      </w:rPr>
    </w:lvl>
    <w:lvl w:ilvl="5" w:tplc="2E98D550" w:tentative="1">
      <w:start w:val="1"/>
      <w:numFmt w:val="bullet"/>
      <w:lvlText w:val=""/>
      <w:lvlJc w:val="left"/>
      <w:pPr>
        <w:tabs>
          <w:tab w:val="num" w:pos="6021"/>
        </w:tabs>
        <w:ind w:left="6021" w:hanging="360"/>
      </w:pPr>
      <w:rPr>
        <w:rFonts w:ascii="Wingdings" w:hAnsi="Wingdings" w:hint="default"/>
      </w:rPr>
    </w:lvl>
    <w:lvl w:ilvl="6" w:tplc="144ABB2C" w:tentative="1">
      <w:start w:val="1"/>
      <w:numFmt w:val="bullet"/>
      <w:lvlText w:val=""/>
      <w:lvlJc w:val="left"/>
      <w:pPr>
        <w:tabs>
          <w:tab w:val="num" w:pos="6741"/>
        </w:tabs>
        <w:ind w:left="6741" w:hanging="360"/>
      </w:pPr>
      <w:rPr>
        <w:rFonts w:ascii="Symbol" w:hAnsi="Symbol" w:hint="default"/>
      </w:rPr>
    </w:lvl>
    <w:lvl w:ilvl="7" w:tplc="10C003F0" w:tentative="1">
      <w:start w:val="1"/>
      <w:numFmt w:val="bullet"/>
      <w:lvlText w:val="o"/>
      <w:lvlJc w:val="left"/>
      <w:pPr>
        <w:tabs>
          <w:tab w:val="num" w:pos="7461"/>
        </w:tabs>
        <w:ind w:left="7461" w:hanging="360"/>
      </w:pPr>
      <w:rPr>
        <w:rFonts w:ascii="Courier New" w:hAnsi="Courier New" w:hint="default"/>
      </w:rPr>
    </w:lvl>
    <w:lvl w:ilvl="8" w:tplc="51209748"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C2770DF"/>
    <w:multiLevelType w:val="hybridMultilevel"/>
    <w:tmpl w:val="B4E41E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F76294E"/>
    <w:multiLevelType w:val="hybridMultilevel"/>
    <w:tmpl w:val="B8D0B41E"/>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num w:numId="1" w16cid:durableId="525756756">
    <w:abstractNumId w:val="20"/>
  </w:num>
  <w:num w:numId="2" w16cid:durableId="517306957">
    <w:abstractNumId w:val="14"/>
  </w:num>
  <w:num w:numId="3" w16cid:durableId="2012364362">
    <w:abstractNumId w:val="11"/>
  </w:num>
  <w:num w:numId="4" w16cid:durableId="1816868527">
    <w:abstractNumId w:val="8"/>
  </w:num>
  <w:num w:numId="5" w16cid:durableId="1917127983">
    <w:abstractNumId w:val="3"/>
  </w:num>
  <w:num w:numId="6" w16cid:durableId="1035813683">
    <w:abstractNumId w:val="2"/>
  </w:num>
  <w:num w:numId="7" w16cid:durableId="987899324">
    <w:abstractNumId w:val="1"/>
  </w:num>
  <w:num w:numId="8" w16cid:durableId="2086493599">
    <w:abstractNumId w:val="0"/>
  </w:num>
  <w:num w:numId="9" w16cid:durableId="474219931">
    <w:abstractNumId w:val="9"/>
  </w:num>
  <w:num w:numId="10" w16cid:durableId="756445786">
    <w:abstractNumId w:val="7"/>
  </w:num>
  <w:num w:numId="11" w16cid:durableId="789204444">
    <w:abstractNumId w:val="6"/>
  </w:num>
  <w:num w:numId="12" w16cid:durableId="522323599">
    <w:abstractNumId w:val="5"/>
  </w:num>
  <w:num w:numId="13" w16cid:durableId="1483892998">
    <w:abstractNumId w:val="4"/>
  </w:num>
  <w:num w:numId="14" w16cid:durableId="2094736765">
    <w:abstractNumId w:val="20"/>
  </w:num>
  <w:num w:numId="15" w16cid:durableId="1123381489">
    <w:abstractNumId w:val="14"/>
  </w:num>
  <w:num w:numId="16" w16cid:durableId="1096484820">
    <w:abstractNumId w:val="11"/>
  </w:num>
  <w:num w:numId="17" w16cid:durableId="50201697">
    <w:abstractNumId w:val="15"/>
  </w:num>
  <w:num w:numId="18" w16cid:durableId="1330670793">
    <w:abstractNumId w:val="19"/>
  </w:num>
  <w:num w:numId="19" w16cid:durableId="386925511">
    <w:abstractNumId w:val="18"/>
  </w:num>
  <w:num w:numId="20" w16cid:durableId="754980781">
    <w:abstractNumId w:val="22"/>
  </w:num>
  <w:num w:numId="21" w16cid:durableId="1984265344">
    <w:abstractNumId w:val="21"/>
  </w:num>
  <w:num w:numId="22" w16cid:durableId="43139764">
    <w:abstractNumId w:val="12"/>
  </w:num>
  <w:num w:numId="23" w16cid:durableId="62992815">
    <w:abstractNumId w:val="16"/>
  </w:num>
  <w:num w:numId="24" w16cid:durableId="207960496">
    <w:abstractNumId w:val="17"/>
  </w:num>
  <w:num w:numId="25" w16cid:durableId="1035354662">
    <w:abstractNumId w:val="10"/>
  </w:num>
  <w:num w:numId="26" w16cid:durableId="709886125">
    <w:abstractNumId w:val="13"/>
  </w:num>
  <w:num w:numId="27" w16cid:durableId="10585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displayBackgroundShap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145D2"/>
    <w:rsid w:val="00023A38"/>
    <w:rsid w:val="000540BD"/>
    <w:rsid w:val="00065C61"/>
    <w:rsid w:val="00090B61"/>
    <w:rsid w:val="000A7BDE"/>
    <w:rsid w:val="000A7DBB"/>
    <w:rsid w:val="000B084E"/>
    <w:rsid w:val="000B135D"/>
    <w:rsid w:val="000B42E7"/>
    <w:rsid w:val="000E6A6A"/>
    <w:rsid w:val="0012375A"/>
    <w:rsid w:val="0013456A"/>
    <w:rsid w:val="00137DBC"/>
    <w:rsid w:val="00141276"/>
    <w:rsid w:val="00172898"/>
    <w:rsid w:val="00186777"/>
    <w:rsid w:val="001B3865"/>
    <w:rsid w:val="001C3B82"/>
    <w:rsid w:val="001D05F1"/>
    <w:rsid w:val="001D0BD6"/>
    <w:rsid w:val="001D1B92"/>
    <w:rsid w:val="001F15FC"/>
    <w:rsid w:val="001F4300"/>
    <w:rsid w:val="001F7AE4"/>
    <w:rsid w:val="0021526A"/>
    <w:rsid w:val="00223763"/>
    <w:rsid w:val="002338F2"/>
    <w:rsid w:val="002471EA"/>
    <w:rsid w:val="00261AB7"/>
    <w:rsid w:val="00265473"/>
    <w:rsid w:val="0027545E"/>
    <w:rsid w:val="002B0C17"/>
    <w:rsid w:val="002B5140"/>
    <w:rsid w:val="002D05D9"/>
    <w:rsid w:val="002D2334"/>
    <w:rsid w:val="002D7319"/>
    <w:rsid w:val="002E7982"/>
    <w:rsid w:val="0030052D"/>
    <w:rsid w:val="00305E79"/>
    <w:rsid w:val="00326B53"/>
    <w:rsid w:val="00343D07"/>
    <w:rsid w:val="00346008"/>
    <w:rsid w:val="00394C19"/>
    <w:rsid w:val="003A1D79"/>
    <w:rsid w:val="003A5A3B"/>
    <w:rsid w:val="003A66D6"/>
    <w:rsid w:val="003B4B82"/>
    <w:rsid w:val="003D6145"/>
    <w:rsid w:val="003F23A2"/>
    <w:rsid w:val="00400514"/>
    <w:rsid w:val="00402405"/>
    <w:rsid w:val="00417D3C"/>
    <w:rsid w:val="00425FD7"/>
    <w:rsid w:val="004270EA"/>
    <w:rsid w:val="004330CD"/>
    <w:rsid w:val="00434A44"/>
    <w:rsid w:val="00436572"/>
    <w:rsid w:val="00436A8F"/>
    <w:rsid w:val="0045212D"/>
    <w:rsid w:val="00455AF4"/>
    <w:rsid w:val="004679A5"/>
    <w:rsid w:val="0049399C"/>
    <w:rsid w:val="00495839"/>
    <w:rsid w:val="004A43A3"/>
    <w:rsid w:val="004B5AD0"/>
    <w:rsid w:val="00516005"/>
    <w:rsid w:val="005206E9"/>
    <w:rsid w:val="0053139D"/>
    <w:rsid w:val="00541E1D"/>
    <w:rsid w:val="005463F6"/>
    <w:rsid w:val="00554B12"/>
    <w:rsid w:val="0058368A"/>
    <w:rsid w:val="005942E2"/>
    <w:rsid w:val="00594B84"/>
    <w:rsid w:val="005A12E0"/>
    <w:rsid w:val="005C293B"/>
    <w:rsid w:val="005D5FDB"/>
    <w:rsid w:val="005F103E"/>
    <w:rsid w:val="005F2903"/>
    <w:rsid w:val="005F2E19"/>
    <w:rsid w:val="005F7A44"/>
    <w:rsid w:val="0062798C"/>
    <w:rsid w:val="006321C2"/>
    <w:rsid w:val="00642C3B"/>
    <w:rsid w:val="0065027E"/>
    <w:rsid w:val="00671AB5"/>
    <w:rsid w:val="00674CFD"/>
    <w:rsid w:val="006A3D8E"/>
    <w:rsid w:val="006A4CE4"/>
    <w:rsid w:val="006A7416"/>
    <w:rsid w:val="006B254A"/>
    <w:rsid w:val="00701E08"/>
    <w:rsid w:val="007241EE"/>
    <w:rsid w:val="00737760"/>
    <w:rsid w:val="00744134"/>
    <w:rsid w:val="0074597A"/>
    <w:rsid w:val="00753754"/>
    <w:rsid w:val="00760576"/>
    <w:rsid w:val="0076317D"/>
    <w:rsid w:val="0076792C"/>
    <w:rsid w:val="007703CC"/>
    <w:rsid w:val="00780FDF"/>
    <w:rsid w:val="00793551"/>
    <w:rsid w:val="007C6769"/>
    <w:rsid w:val="007E65AC"/>
    <w:rsid w:val="007F4501"/>
    <w:rsid w:val="00812B6A"/>
    <w:rsid w:val="00827981"/>
    <w:rsid w:val="00837152"/>
    <w:rsid w:val="00851B9A"/>
    <w:rsid w:val="00853186"/>
    <w:rsid w:val="008559B2"/>
    <w:rsid w:val="008641CF"/>
    <w:rsid w:val="00880B97"/>
    <w:rsid w:val="00887862"/>
    <w:rsid w:val="008A1FC9"/>
    <w:rsid w:val="008B7510"/>
    <w:rsid w:val="008C3EA5"/>
    <w:rsid w:val="008D40A2"/>
    <w:rsid w:val="009048D3"/>
    <w:rsid w:val="00916306"/>
    <w:rsid w:val="00944D99"/>
    <w:rsid w:val="00953B13"/>
    <w:rsid w:val="0098094E"/>
    <w:rsid w:val="009A6578"/>
    <w:rsid w:val="009B39A5"/>
    <w:rsid w:val="009C0ACB"/>
    <w:rsid w:val="009C163B"/>
    <w:rsid w:val="009C304E"/>
    <w:rsid w:val="009C4A37"/>
    <w:rsid w:val="009C5815"/>
    <w:rsid w:val="009D2AA0"/>
    <w:rsid w:val="009E449E"/>
    <w:rsid w:val="009F078C"/>
    <w:rsid w:val="00A24C9E"/>
    <w:rsid w:val="00A37858"/>
    <w:rsid w:val="00A44539"/>
    <w:rsid w:val="00A556F2"/>
    <w:rsid w:val="00A649BC"/>
    <w:rsid w:val="00A911E4"/>
    <w:rsid w:val="00A91DD4"/>
    <w:rsid w:val="00AA2739"/>
    <w:rsid w:val="00AD0671"/>
    <w:rsid w:val="00B23068"/>
    <w:rsid w:val="00B3611A"/>
    <w:rsid w:val="00B5118D"/>
    <w:rsid w:val="00B61E1C"/>
    <w:rsid w:val="00B71DA5"/>
    <w:rsid w:val="00B8305F"/>
    <w:rsid w:val="00BB2C08"/>
    <w:rsid w:val="00BE4783"/>
    <w:rsid w:val="00BE4C17"/>
    <w:rsid w:val="00BF6922"/>
    <w:rsid w:val="00C04609"/>
    <w:rsid w:val="00C13529"/>
    <w:rsid w:val="00C169AB"/>
    <w:rsid w:val="00C512BA"/>
    <w:rsid w:val="00C87976"/>
    <w:rsid w:val="00CB2B4A"/>
    <w:rsid w:val="00CE44C0"/>
    <w:rsid w:val="00D017FC"/>
    <w:rsid w:val="00D114FC"/>
    <w:rsid w:val="00D132C2"/>
    <w:rsid w:val="00D25CFD"/>
    <w:rsid w:val="00D34528"/>
    <w:rsid w:val="00D35D6A"/>
    <w:rsid w:val="00D56540"/>
    <w:rsid w:val="00D6789D"/>
    <w:rsid w:val="00D75244"/>
    <w:rsid w:val="00D77CCE"/>
    <w:rsid w:val="00D83763"/>
    <w:rsid w:val="00D84197"/>
    <w:rsid w:val="00DC32F1"/>
    <w:rsid w:val="00E22F3C"/>
    <w:rsid w:val="00E27140"/>
    <w:rsid w:val="00E35F3C"/>
    <w:rsid w:val="00E41777"/>
    <w:rsid w:val="00E450CC"/>
    <w:rsid w:val="00E45956"/>
    <w:rsid w:val="00E465E4"/>
    <w:rsid w:val="00E73E4B"/>
    <w:rsid w:val="00E80843"/>
    <w:rsid w:val="00E96622"/>
    <w:rsid w:val="00EA7D1A"/>
    <w:rsid w:val="00EB543C"/>
    <w:rsid w:val="00EF4BF8"/>
    <w:rsid w:val="00F04CEA"/>
    <w:rsid w:val="00F11F47"/>
    <w:rsid w:val="00F12456"/>
    <w:rsid w:val="00F20A78"/>
    <w:rsid w:val="00F27EE4"/>
    <w:rsid w:val="00F3402B"/>
    <w:rsid w:val="00F42B83"/>
    <w:rsid w:val="00F454A7"/>
    <w:rsid w:val="00F50E3F"/>
    <w:rsid w:val="00F90636"/>
    <w:rsid w:val="00F91ADB"/>
    <w:rsid w:val="00F95EA8"/>
    <w:rsid w:val="00FB00FB"/>
    <w:rsid w:val="00FD0E92"/>
    <w:rsid w:val="00FE63A3"/>
    <w:rsid w:val="00FF42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F321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D114FC"/>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D114FC"/>
    <w:rPr>
      <w:sz w:val="16"/>
      <w:szCs w:val="16"/>
    </w:rPr>
  </w:style>
  <w:style w:type="paragraph" w:styleId="CommentText">
    <w:name w:val="annotation text"/>
    <w:basedOn w:val="Normal"/>
    <w:link w:val="CommentTextChar"/>
    <w:uiPriority w:val="99"/>
    <w:semiHidden/>
    <w:unhideWhenUsed/>
    <w:rsid w:val="00D114FC"/>
    <w:pPr>
      <w:spacing w:line="240" w:lineRule="auto"/>
    </w:pPr>
  </w:style>
  <w:style w:type="character" w:customStyle="1" w:styleId="CommentTextChar">
    <w:name w:val="Comment Text Char"/>
    <w:basedOn w:val="DefaultParagraphFont"/>
    <w:link w:val="CommentText"/>
    <w:uiPriority w:val="99"/>
    <w:semiHidden/>
    <w:rsid w:val="00D114F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114FC"/>
    <w:rPr>
      <w:b/>
      <w:bCs/>
    </w:rPr>
  </w:style>
  <w:style w:type="character" w:customStyle="1" w:styleId="CommentSubjectChar">
    <w:name w:val="Comment Subject Char"/>
    <w:basedOn w:val="CommentTextChar"/>
    <w:link w:val="CommentSubject"/>
    <w:uiPriority w:val="99"/>
    <w:semiHidden/>
    <w:rsid w:val="00D114FC"/>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6B254A"/>
    <w:pPr>
      <w:ind w:left="720"/>
      <w:contextualSpacing/>
    </w:pPr>
  </w:style>
  <w:style w:type="paragraph" w:styleId="NormalWeb">
    <w:name w:val="Normal (Web)"/>
    <w:basedOn w:val="Normal"/>
    <w:uiPriority w:val="99"/>
    <w:unhideWhenUsed/>
    <w:rsid w:val="00E41777"/>
    <w:pPr>
      <w:suppressAutoHyphens w:val="0"/>
      <w:spacing w:before="100" w:beforeAutospacing="1" w:after="100" w:afterAutospacing="1"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4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02783de-6e4b-4166-bc0b-58a1453c7eae">
      <Terms xmlns="http://schemas.microsoft.com/office/infopath/2007/PartnerControls"/>
    </lcf76f155ced4ddcb4097134ff3c332f>
    <TaxCatchAll xmlns="3e54df08-b28a-4694-8493-b53a752321b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96C6BB8BAC8FC4F9C1AD402F67BAFEE" ma:contentTypeVersion="14" ma:contentTypeDescription="Create a new document." ma:contentTypeScope="" ma:versionID="ce1992ccc45f20ff161a1f74cd062567">
  <xsd:schema xmlns:xsd="http://www.w3.org/2001/XMLSchema" xmlns:xs="http://www.w3.org/2001/XMLSchema" xmlns:p="http://schemas.microsoft.com/office/2006/metadata/properties" xmlns:ns2="c02783de-6e4b-4166-bc0b-58a1453c7eae" xmlns:ns3="3e54df08-b28a-4694-8493-b53a752321bd" targetNamespace="http://schemas.microsoft.com/office/2006/metadata/properties" ma:root="true" ma:fieldsID="dcf95eea7717638e2fe02469f9109c3f" ns2:_="" ns3:_="">
    <xsd:import namespace="c02783de-6e4b-4166-bc0b-58a1453c7eae"/>
    <xsd:import namespace="3e54df08-b28a-4694-8493-b53a752321b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2783de-6e4b-4166-bc0b-58a1453c7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54df08-b28a-4694-8493-b53a752321b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59a6723e-e0b1-4981-843e-51dd33349a2c}" ma:internalName="TaxCatchAll" ma:showField="CatchAllData" ma:web="3e54df08-b28a-4694-8493-b53a752321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214F17-1925-4EC9-93DB-47053758CF10}">
  <ds:schemaRefs>
    <ds:schemaRef ds:uri="http://schemas.openxmlformats.org/officeDocument/2006/bibliography"/>
  </ds:schemaRefs>
</ds:datastoreItem>
</file>

<file path=customXml/itemProps2.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3.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c02783de-6e4b-4166-bc0b-58a1453c7eae"/>
    <ds:schemaRef ds:uri="3e54df08-b28a-4694-8493-b53a752321bd"/>
  </ds:schemaRefs>
</ds:datastoreItem>
</file>

<file path=customXml/itemProps4.xml><?xml version="1.0" encoding="utf-8"?>
<ds:datastoreItem xmlns:ds="http://schemas.openxmlformats.org/officeDocument/2006/customXml" ds:itemID="{DAEDD80E-1F11-4F4D-A71B-3FDAB9D12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2783de-6e4b-4166-bc0b-58a1453c7eae"/>
    <ds:schemaRef ds:uri="3e54df08-b28a-4694-8493-b53a752321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2459</Words>
  <Characters>18936</Characters>
  <Application>Microsoft Office Word</Application>
  <DocSecurity>0</DocSecurity>
  <Lines>610</Lines>
  <Paragraphs>465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CEDAW/C/MDV/FCO/6</vt:lpstr>
      <vt:lpstr/>
      <vt:lpstr/>
    </vt:vector>
  </TitlesOfParts>
  <Company>DCM</Company>
  <LinksUpToDate>false</LinksUpToDate>
  <CharactersWithSpaces>20930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CEDAW/C/MDV/FCO/6</dc:title>
  <dc:creator>Gloria</dc:creator>
  <cp:lastModifiedBy>Marium Jabyn</cp:lastModifiedBy>
  <cp:revision>5</cp:revision>
  <cp:lastPrinted>2024-01-09T04:10:00Z</cp:lastPrinted>
  <dcterms:created xsi:type="dcterms:W3CDTF">2024-01-09T04:10:00Z</dcterms:created>
  <dcterms:modified xsi:type="dcterms:W3CDTF">2024-01-09T04:20:00Z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0x010100A96C6BB8BAC8FC4F9C1AD402F67BAFEE</vt:lpwstr>
  </property>
  <property fmtid="{D5CDD505-2E9C-101B-9397-08002B2CF9AE}" pid="8" name="count">
    <vt:lpwstr>Maldives</vt:lpwstr>
  </property>
  <property fmtid="{D5CDD505-2E9C-101B-9397-08002B2CF9AE}" pid="9" name="countw">
    <vt:lpwstr>Maldives</vt:lpwstr>
  </property>
  <property fmtid="{D5CDD505-2E9C-101B-9397-08002B2CF9AE}" pid="10" name="countwd">
    <vt:lpwstr>Maldives</vt:lpwstr>
  </property>
  <property fmtid="{D5CDD505-2E9C-101B-9397-08002B2CF9AE}" pid="11" name="date">
    <vt:lpwstr>24 November 2023</vt:lpwstr>
  </property>
  <property fmtid="{D5CDD505-2E9C-101B-9397-08002B2CF9AE}" pid="12" name="Date-Generated">
    <vt:filetime>2023-11-23T16:08:11Z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160000</vt:r8>
  </property>
  <property fmtid="{D5CDD505-2E9C-101B-9397-08002B2CF9AE}" pid="22" name="Org">
    <vt:lpwstr>OHCHR</vt:lpwstr>
  </property>
  <property fmtid="{D5CDD505-2E9C-101B-9397-08002B2CF9AE}" pid="23" name="prep">
    <vt:lpwstr>sixth periodic report of Maldives</vt:lpwstr>
  </property>
  <property fmtid="{D5CDD505-2E9C-101B-9397-08002B2CF9AE}" pid="24" name="preps">
    <vt:lpwstr>sixth periodic report of Maldives</vt:lpwstr>
  </property>
  <property fmtid="{D5CDD505-2E9C-101B-9397-08002B2CF9AE}" pid="25" name="prepw">
    <vt:lpwstr>sixth periodic report</vt:lpwstr>
  </property>
  <property fmtid="{D5CDD505-2E9C-101B-9397-08002B2CF9AE}" pid="26" name="prepwc">
    <vt:lpwstr>Sixth periodic report </vt:lpwstr>
  </property>
  <property fmtid="{D5CDD505-2E9C-101B-9397-08002B2CF9AE}" pid="27" name="prepws">
    <vt:lpwstr>sixth periodic report</vt:lpwstr>
  </property>
  <property fmtid="{D5CDD505-2E9C-101B-9397-08002B2CF9AE}" pid="28" name="sdate">
    <vt:lpwstr>[Start-End Dates]</vt:lpwstr>
  </property>
  <property fmtid="{D5CDD505-2E9C-101B-9397-08002B2CF9AE}" pid="29" name="snum">
    <vt:lpwstr>Eighty-seventh</vt:lpwstr>
  </property>
  <property fmtid="{D5CDD505-2E9C-101B-9397-08002B2CF9AE}" pid="30" name="stitle">
    <vt:lpwstr>[Title]</vt:lpwstr>
  </property>
  <property fmtid="{D5CDD505-2E9C-101B-9397-08002B2CF9AE}" pid="31" name="sym1">
    <vt:lpwstr>C/MDV/FCO/6</vt:lpwstr>
  </property>
  <property fmtid="{D5CDD505-2E9C-101B-9397-08002B2CF9AE}" pid="32" name="symh">
    <vt:lpwstr>CEDAW/C/MDV/FCO/6</vt:lpwstr>
  </property>
  <property fmtid="{D5CDD505-2E9C-101B-9397-08002B2CF9AE}" pid="33" name="Title">
    <vt:lpwstr>CEDAW/C/MDV/FCO/6</vt:lpwstr>
  </property>
  <property fmtid="{D5CDD505-2E9C-101B-9397-08002B2CF9AE}" pid="34" name="tlang">
    <vt:lpwstr/>
  </property>
  <property fmtid="{D5CDD505-2E9C-101B-9397-08002B2CF9AE}" pid="35" name="virs">
    <vt:lpwstr>English, French and Spanish only</vt:lpwstr>
  </property>
</Properties>
</file>