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B8929C" w14:textId="77777777" w:rsidR="00936B2A" w:rsidRPr="003B388F" w:rsidRDefault="00936B2A" w:rsidP="00936B2A">
      <w:pPr>
        <w:pStyle w:val="NormalWeb"/>
        <w:spacing w:before="0" w:beforeAutospacing="0" w:after="0" w:afterAutospacing="0"/>
        <w:rPr>
          <w:rFonts w:ascii="Times New Roman,Bold" w:hAnsi="Times New Roman,Bold"/>
          <w:b/>
          <w:bCs/>
          <w:color w:val="000000" w:themeColor="text1"/>
        </w:rPr>
      </w:pPr>
    </w:p>
    <w:p w14:paraId="05727A9B" w14:textId="77777777" w:rsidR="00143F6F" w:rsidRDefault="00143F6F" w:rsidP="00143F6F">
      <w:pPr>
        <w:spacing w:line="276" w:lineRule="auto"/>
        <w:jc w:val="both"/>
        <w:rPr>
          <w:rFonts w:ascii="Arial" w:hAnsi="Arial" w:cs="Arial"/>
          <w:sz w:val="20"/>
          <w:szCs w:val="20"/>
        </w:rPr>
      </w:pPr>
    </w:p>
    <w:p w14:paraId="13D63419" w14:textId="77777777" w:rsidR="00143F6F" w:rsidRDefault="00143F6F" w:rsidP="00143F6F">
      <w:pPr>
        <w:spacing w:line="276" w:lineRule="auto"/>
        <w:jc w:val="both"/>
        <w:rPr>
          <w:rFonts w:ascii="Arial" w:hAnsi="Arial" w:cs="Arial"/>
          <w:sz w:val="20"/>
          <w:szCs w:val="20"/>
        </w:rPr>
      </w:pPr>
    </w:p>
    <w:p w14:paraId="1B9967DE" w14:textId="77777777" w:rsidR="00143F6F" w:rsidRDefault="00143F6F" w:rsidP="00143F6F">
      <w:pPr>
        <w:spacing w:line="276" w:lineRule="auto"/>
        <w:jc w:val="both"/>
        <w:rPr>
          <w:rFonts w:ascii="Arial" w:hAnsi="Arial" w:cs="Arial"/>
          <w:sz w:val="20"/>
          <w:szCs w:val="20"/>
        </w:rPr>
      </w:pPr>
    </w:p>
    <w:p w14:paraId="67327FBF" w14:textId="77777777" w:rsidR="00143F6F" w:rsidRDefault="00143F6F" w:rsidP="00143F6F">
      <w:pPr>
        <w:spacing w:line="276" w:lineRule="auto"/>
        <w:jc w:val="both"/>
        <w:rPr>
          <w:rFonts w:ascii="Arial" w:hAnsi="Arial" w:cs="Arial"/>
          <w:sz w:val="20"/>
          <w:szCs w:val="20"/>
        </w:rPr>
      </w:pPr>
    </w:p>
    <w:p w14:paraId="175BA2E6" w14:textId="77777777" w:rsidR="00143F6F" w:rsidRDefault="00143F6F" w:rsidP="00143F6F">
      <w:pPr>
        <w:spacing w:line="276" w:lineRule="auto"/>
        <w:jc w:val="both"/>
        <w:rPr>
          <w:rFonts w:ascii="Arial" w:hAnsi="Arial" w:cs="Arial"/>
          <w:sz w:val="20"/>
          <w:szCs w:val="20"/>
        </w:rPr>
      </w:pPr>
    </w:p>
    <w:p w14:paraId="3185033C" w14:textId="77777777" w:rsidR="00143F6F" w:rsidRDefault="00143F6F" w:rsidP="00143F6F">
      <w:pPr>
        <w:spacing w:line="276" w:lineRule="auto"/>
        <w:jc w:val="both"/>
        <w:rPr>
          <w:rFonts w:ascii="Arial" w:hAnsi="Arial" w:cs="Arial"/>
          <w:sz w:val="20"/>
          <w:szCs w:val="20"/>
        </w:rPr>
      </w:pPr>
    </w:p>
    <w:p w14:paraId="56D9D8AE" w14:textId="77777777" w:rsidR="00143F6F" w:rsidRDefault="00143F6F" w:rsidP="00143F6F">
      <w:pPr>
        <w:spacing w:line="276" w:lineRule="auto"/>
        <w:jc w:val="both"/>
        <w:rPr>
          <w:rFonts w:ascii="Arial" w:hAnsi="Arial" w:cs="Arial"/>
          <w:sz w:val="20"/>
          <w:szCs w:val="20"/>
        </w:rPr>
      </w:pPr>
    </w:p>
    <w:p w14:paraId="7E5A7AC7" w14:textId="77777777" w:rsidR="00143F6F" w:rsidRDefault="00143F6F" w:rsidP="00143F6F">
      <w:pPr>
        <w:spacing w:line="276" w:lineRule="auto"/>
        <w:jc w:val="both"/>
        <w:rPr>
          <w:rFonts w:ascii="Arial" w:hAnsi="Arial" w:cs="Arial"/>
          <w:sz w:val="20"/>
          <w:szCs w:val="20"/>
        </w:rPr>
      </w:pPr>
    </w:p>
    <w:p w14:paraId="70250FE3" w14:textId="77777777" w:rsidR="00143F6F" w:rsidRDefault="00143F6F" w:rsidP="00143F6F">
      <w:pPr>
        <w:spacing w:line="276" w:lineRule="auto"/>
        <w:jc w:val="both"/>
        <w:rPr>
          <w:rFonts w:ascii="Arial" w:hAnsi="Arial" w:cs="Arial"/>
          <w:sz w:val="20"/>
          <w:szCs w:val="20"/>
        </w:rPr>
      </w:pPr>
    </w:p>
    <w:p w14:paraId="58DF715F" w14:textId="77777777" w:rsidR="00143F6F" w:rsidRDefault="00143F6F" w:rsidP="00143F6F">
      <w:pPr>
        <w:spacing w:line="276" w:lineRule="auto"/>
        <w:jc w:val="center"/>
        <w:rPr>
          <w:rFonts w:ascii="Arial Rounded MT Bold" w:hAnsi="Arial Rounded MT Bold" w:cs="Arial"/>
          <w:sz w:val="36"/>
          <w:szCs w:val="36"/>
        </w:rPr>
      </w:pPr>
      <w:r>
        <w:rPr>
          <w:rFonts w:ascii="Arial Rounded MT Bold" w:hAnsi="Arial Rounded MT Bold" w:cs="Arial"/>
          <w:sz w:val="36"/>
          <w:szCs w:val="36"/>
        </w:rPr>
        <w:t>COMITÉ</w:t>
      </w:r>
      <w:r w:rsidRPr="00E86D8B">
        <w:rPr>
          <w:rFonts w:ascii="Arial Rounded MT Bold" w:hAnsi="Arial Rounded MT Bold" w:cs="Arial"/>
          <w:sz w:val="36"/>
          <w:szCs w:val="36"/>
        </w:rPr>
        <w:t xml:space="preserve"> SUR L’</w:t>
      </w:r>
      <w:r>
        <w:rPr>
          <w:rFonts w:ascii="Arial Rounded MT Bold" w:hAnsi="Arial Rounded MT Bold" w:cs="Arial"/>
          <w:sz w:val="36"/>
          <w:szCs w:val="36"/>
        </w:rPr>
        <w:t>É</w:t>
      </w:r>
      <w:r w:rsidRPr="00E86D8B">
        <w:rPr>
          <w:rFonts w:ascii="Arial Rounded MT Bold" w:hAnsi="Arial Rounded MT Bold" w:cs="Arial"/>
          <w:sz w:val="36"/>
          <w:szCs w:val="36"/>
        </w:rPr>
        <w:t>LIMINATION DE TOUTES LES FORMES DE DISCRIMINATION A L’</w:t>
      </w:r>
      <w:r>
        <w:rPr>
          <w:rFonts w:ascii="Arial Rounded MT Bold" w:hAnsi="Arial Rounded MT Bold" w:cs="Arial"/>
          <w:sz w:val="36"/>
          <w:szCs w:val="36"/>
        </w:rPr>
        <w:t>É</w:t>
      </w:r>
      <w:r w:rsidRPr="00E86D8B">
        <w:rPr>
          <w:rFonts w:ascii="Arial Rounded MT Bold" w:hAnsi="Arial Rounded MT Bold" w:cs="Arial"/>
          <w:sz w:val="36"/>
          <w:szCs w:val="36"/>
        </w:rPr>
        <w:t>GARD DES FEMMES (CEDAW/CEDEF)</w:t>
      </w:r>
    </w:p>
    <w:p w14:paraId="0F0D37BC" w14:textId="75EF0B35" w:rsidR="00143F6F" w:rsidRDefault="00143F6F" w:rsidP="00143F6F">
      <w:pPr>
        <w:spacing w:line="276" w:lineRule="auto"/>
        <w:jc w:val="center"/>
        <w:rPr>
          <w:rFonts w:ascii="Arial Rounded MT Bold" w:hAnsi="Arial Rounded MT Bold" w:cs="Arial"/>
          <w:sz w:val="36"/>
          <w:szCs w:val="36"/>
        </w:rPr>
      </w:pPr>
      <w:r>
        <w:rPr>
          <w:rFonts w:ascii="Arial Rounded MT Bold" w:hAnsi="Arial Rounded MT Bold" w:cs="Arial"/>
          <w:sz w:val="36"/>
          <w:szCs w:val="36"/>
        </w:rPr>
        <w:t>86</w:t>
      </w:r>
      <w:r w:rsidRPr="00D019CC">
        <w:rPr>
          <w:rFonts w:ascii="Arial Rounded MT Bold" w:hAnsi="Arial Rounded MT Bold" w:cs="Arial"/>
          <w:sz w:val="36"/>
          <w:szCs w:val="36"/>
          <w:vertAlign w:val="superscript"/>
        </w:rPr>
        <w:t>ème</w:t>
      </w:r>
      <w:r>
        <w:rPr>
          <w:rFonts w:ascii="Arial Rounded MT Bold" w:hAnsi="Arial Rounded MT Bold" w:cs="Arial"/>
          <w:sz w:val="36"/>
          <w:szCs w:val="36"/>
        </w:rPr>
        <w:t xml:space="preserve"> session - 9-27 octobre 2023</w:t>
      </w:r>
    </w:p>
    <w:p w14:paraId="091FE232" w14:textId="77777777" w:rsidR="00143F6F" w:rsidRDefault="00143F6F" w:rsidP="00143F6F">
      <w:pPr>
        <w:spacing w:line="276" w:lineRule="auto"/>
        <w:jc w:val="center"/>
        <w:rPr>
          <w:rFonts w:ascii="Arial Rounded MT Bold" w:hAnsi="Arial Rounded MT Bold" w:cs="Arial"/>
          <w:sz w:val="36"/>
          <w:szCs w:val="36"/>
        </w:rPr>
      </w:pPr>
    </w:p>
    <w:p w14:paraId="273542CD" w14:textId="77777777" w:rsidR="00143F6F" w:rsidRDefault="00143F6F" w:rsidP="00143F6F">
      <w:pPr>
        <w:spacing w:line="276" w:lineRule="auto"/>
        <w:jc w:val="center"/>
        <w:rPr>
          <w:rFonts w:ascii="Arial Rounded MT Bold" w:hAnsi="Arial Rounded MT Bold" w:cs="Arial"/>
          <w:sz w:val="36"/>
          <w:szCs w:val="36"/>
        </w:rPr>
      </w:pPr>
    </w:p>
    <w:p w14:paraId="41507383" w14:textId="77777777" w:rsidR="00143F6F" w:rsidRDefault="00143F6F" w:rsidP="00143F6F">
      <w:pPr>
        <w:spacing w:line="276" w:lineRule="auto"/>
        <w:jc w:val="center"/>
        <w:rPr>
          <w:rFonts w:ascii="Arial Rounded MT Bold" w:hAnsi="Arial Rounded MT Bold" w:cs="Arial"/>
          <w:sz w:val="36"/>
          <w:szCs w:val="36"/>
        </w:rPr>
      </w:pPr>
    </w:p>
    <w:p w14:paraId="466C358B" w14:textId="3677ADA7" w:rsidR="00143F6F" w:rsidRDefault="00143F6F" w:rsidP="00143F6F">
      <w:pPr>
        <w:spacing w:line="276" w:lineRule="auto"/>
        <w:jc w:val="center"/>
        <w:rPr>
          <w:rFonts w:ascii="Arial Rounded MT Bold" w:hAnsi="Arial Rounded MT Bold" w:cs="Arial"/>
          <w:sz w:val="36"/>
          <w:szCs w:val="36"/>
        </w:rPr>
      </w:pPr>
      <w:r>
        <w:rPr>
          <w:rFonts w:ascii="Arial Rounded MT Bold" w:hAnsi="Arial Rounded MT Bold" w:cs="Arial"/>
          <w:sz w:val="36"/>
          <w:szCs w:val="36"/>
        </w:rPr>
        <w:t>Rapport complémentaire au rapport de la France</w:t>
      </w:r>
    </w:p>
    <w:p w14:paraId="284E1333" w14:textId="77777777" w:rsidR="003B388F" w:rsidRDefault="003B388F" w:rsidP="003B388F">
      <w:pPr>
        <w:rPr>
          <w:color w:val="000000" w:themeColor="text1"/>
        </w:rPr>
      </w:pPr>
    </w:p>
    <w:p w14:paraId="08278086" w14:textId="77777777" w:rsidR="00143F6F" w:rsidRDefault="00143F6F" w:rsidP="003B388F">
      <w:pPr>
        <w:rPr>
          <w:color w:val="000000" w:themeColor="text1"/>
        </w:rPr>
      </w:pPr>
    </w:p>
    <w:p w14:paraId="62886B36" w14:textId="77777777" w:rsidR="00143F6F" w:rsidRDefault="00143F6F" w:rsidP="003B388F">
      <w:pPr>
        <w:rPr>
          <w:color w:val="000000" w:themeColor="text1"/>
        </w:rPr>
      </w:pPr>
    </w:p>
    <w:p w14:paraId="7B18B671" w14:textId="77777777" w:rsidR="00143F6F" w:rsidRDefault="00143F6F" w:rsidP="003B388F">
      <w:pPr>
        <w:rPr>
          <w:color w:val="000000" w:themeColor="text1"/>
        </w:rPr>
      </w:pPr>
    </w:p>
    <w:p w14:paraId="15520712" w14:textId="77777777" w:rsidR="00143F6F" w:rsidRDefault="00143F6F" w:rsidP="003B388F">
      <w:pPr>
        <w:rPr>
          <w:color w:val="000000" w:themeColor="text1"/>
        </w:rPr>
      </w:pPr>
    </w:p>
    <w:p w14:paraId="3EEBB1A9" w14:textId="77777777" w:rsidR="00143F6F" w:rsidRDefault="00143F6F" w:rsidP="003B388F">
      <w:pPr>
        <w:rPr>
          <w:color w:val="000000" w:themeColor="text1"/>
        </w:rPr>
      </w:pPr>
    </w:p>
    <w:p w14:paraId="1829BAD2" w14:textId="77777777" w:rsidR="00143F6F" w:rsidRDefault="00143F6F" w:rsidP="003B388F">
      <w:pPr>
        <w:rPr>
          <w:color w:val="000000" w:themeColor="text1"/>
        </w:rPr>
      </w:pPr>
    </w:p>
    <w:p w14:paraId="79C92D23" w14:textId="77777777" w:rsidR="00143F6F" w:rsidRPr="006E05BC" w:rsidRDefault="00143F6F" w:rsidP="00143F6F">
      <w:pPr>
        <w:spacing w:line="276" w:lineRule="auto"/>
        <w:jc w:val="center"/>
        <w:rPr>
          <w:rFonts w:ascii="Arial Rounded MT Bold" w:hAnsi="Arial Rounded MT Bold" w:cs="Arial"/>
          <w:i/>
          <w:sz w:val="32"/>
          <w:szCs w:val="32"/>
        </w:rPr>
      </w:pPr>
      <w:r w:rsidRPr="006E05BC">
        <w:rPr>
          <w:rFonts w:ascii="Arial Rounded MT Bold" w:hAnsi="Arial Rounded MT Bold" w:cs="Arial"/>
          <w:i/>
          <w:sz w:val="32"/>
          <w:szCs w:val="32"/>
        </w:rPr>
        <w:t>Regards de Femmes</w:t>
      </w:r>
    </w:p>
    <w:p w14:paraId="15F1D6C6" w14:textId="77777777" w:rsidR="00143F6F" w:rsidRDefault="00143F6F" w:rsidP="003B388F">
      <w:pPr>
        <w:rPr>
          <w:color w:val="000000" w:themeColor="text1"/>
        </w:rPr>
      </w:pPr>
    </w:p>
    <w:p w14:paraId="2FBAA408" w14:textId="77777777" w:rsidR="00143F6F" w:rsidRDefault="00143F6F" w:rsidP="003B388F">
      <w:pPr>
        <w:rPr>
          <w:color w:val="000000" w:themeColor="text1"/>
        </w:rPr>
      </w:pPr>
    </w:p>
    <w:p w14:paraId="21664234" w14:textId="77777777" w:rsidR="00143F6F" w:rsidRDefault="00143F6F" w:rsidP="003B388F">
      <w:pPr>
        <w:rPr>
          <w:color w:val="000000" w:themeColor="text1"/>
        </w:rPr>
      </w:pPr>
    </w:p>
    <w:p w14:paraId="76EA8A47" w14:textId="77777777" w:rsidR="00143F6F" w:rsidRDefault="00143F6F" w:rsidP="003B388F">
      <w:pPr>
        <w:rPr>
          <w:color w:val="000000" w:themeColor="text1"/>
        </w:rPr>
      </w:pPr>
    </w:p>
    <w:p w14:paraId="6E3AB974" w14:textId="77777777" w:rsidR="00143F6F" w:rsidRDefault="00143F6F" w:rsidP="003B388F">
      <w:pPr>
        <w:rPr>
          <w:color w:val="000000" w:themeColor="text1"/>
        </w:rPr>
      </w:pPr>
    </w:p>
    <w:p w14:paraId="64490955" w14:textId="77777777" w:rsidR="00143F6F" w:rsidRDefault="00143F6F" w:rsidP="003B388F">
      <w:pPr>
        <w:rPr>
          <w:color w:val="000000" w:themeColor="text1"/>
        </w:rPr>
      </w:pPr>
    </w:p>
    <w:p w14:paraId="2424606F" w14:textId="77777777" w:rsidR="00143F6F" w:rsidRDefault="00143F6F" w:rsidP="003B388F">
      <w:pPr>
        <w:rPr>
          <w:color w:val="000000" w:themeColor="text1"/>
        </w:rPr>
      </w:pPr>
    </w:p>
    <w:p w14:paraId="2E14064A" w14:textId="77777777" w:rsidR="00143F6F" w:rsidRDefault="00143F6F" w:rsidP="003B388F">
      <w:pPr>
        <w:rPr>
          <w:color w:val="000000" w:themeColor="text1"/>
        </w:rPr>
      </w:pPr>
    </w:p>
    <w:p w14:paraId="6D06BA64" w14:textId="77777777" w:rsidR="00143F6F" w:rsidRDefault="00143F6F" w:rsidP="003B388F">
      <w:pPr>
        <w:rPr>
          <w:color w:val="000000" w:themeColor="text1"/>
        </w:rPr>
      </w:pPr>
    </w:p>
    <w:p w14:paraId="7042CC1F" w14:textId="77777777" w:rsidR="00143F6F" w:rsidRDefault="00143F6F" w:rsidP="003B388F">
      <w:pPr>
        <w:rPr>
          <w:color w:val="000000" w:themeColor="text1"/>
        </w:rPr>
      </w:pPr>
    </w:p>
    <w:p w14:paraId="615C2679" w14:textId="77777777" w:rsidR="00143F6F" w:rsidRDefault="00143F6F" w:rsidP="00143F6F">
      <w:pPr>
        <w:spacing w:line="276" w:lineRule="auto"/>
        <w:jc w:val="both"/>
        <w:rPr>
          <w:color w:val="000000" w:themeColor="text1"/>
        </w:rPr>
      </w:pPr>
      <w:r w:rsidRPr="00D73777">
        <w:rPr>
          <w:color w:val="000000" w:themeColor="text1"/>
        </w:rPr>
        <w:lastRenderedPageBreak/>
        <w:t>L’ONG Regards de Femmes agit, en France et dans le monde, en partenariat avec de très nombreuses associations de droits des femmes</w:t>
      </w:r>
      <w:r w:rsidRPr="00D73777">
        <w:rPr>
          <w:b/>
          <w:color w:val="000000" w:themeColor="text1"/>
        </w:rPr>
        <w:t xml:space="preserve"> </w:t>
      </w:r>
      <w:r w:rsidRPr="00D73777">
        <w:rPr>
          <w:color w:val="000000" w:themeColor="text1"/>
        </w:rPr>
        <w:t>pour que tout espace, public ou privé, assure aux femmes et aux filles sécurité, égalité, reconnaissance et respect de leur dignité. Ces espaces d'autonomie et de liberté permettent d’étudier, d’être soignées, d’être jugées, de travailler, de s’épanouir, ensemble avec des hommes, ensemble avec d’autres femmes.</w:t>
      </w:r>
    </w:p>
    <w:p w14:paraId="6ABD0512" w14:textId="77777777" w:rsidR="00143F6F" w:rsidRPr="00D73777" w:rsidRDefault="00143F6F" w:rsidP="00143F6F">
      <w:pPr>
        <w:spacing w:line="276" w:lineRule="auto"/>
        <w:jc w:val="both"/>
        <w:rPr>
          <w:color w:val="000000" w:themeColor="text1"/>
        </w:rPr>
      </w:pPr>
    </w:p>
    <w:p w14:paraId="273CC90C" w14:textId="77777777" w:rsidR="00143F6F" w:rsidRPr="00D73777" w:rsidRDefault="00143F6F" w:rsidP="00143F6F">
      <w:pPr>
        <w:spacing w:line="276" w:lineRule="auto"/>
        <w:jc w:val="both"/>
        <w:rPr>
          <w:color w:val="000000" w:themeColor="text1"/>
        </w:rPr>
      </w:pPr>
      <w:r w:rsidRPr="00D73777">
        <w:rPr>
          <w:color w:val="000000" w:themeColor="text1"/>
        </w:rPr>
        <w:t>Pour ce faire, Regards de Femmes s’appuie sur :</w:t>
      </w:r>
    </w:p>
    <w:p w14:paraId="61F9AA13" w14:textId="77777777" w:rsidR="00143F6F" w:rsidRPr="00D73777" w:rsidRDefault="00143F6F" w:rsidP="00143F6F">
      <w:pPr>
        <w:spacing w:line="276" w:lineRule="auto"/>
        <w:jc w:val="both"/>
        <w:rPr>
          <w:color w:val="000000" w:themeColor="text1"/>
        </w:rPr>
      </w:pPr>
      <w:r w:rsidRPr="00D73777">
        <w:rPr>
          <w:color w:val="000000" w:themeColor="text1"/>
        </w:rPr>
        <w:t xml:space="preserve">- La Convention sur l’élimination de toutes les formes de discrimination à l’égard des femmes. L’Article 5 exige des États parties qu’ils </w:t>
      </w:r>
      <w:r w:rsidRPr="00D73777">
        <w:rPr>
          <w:i/>
          <w:color w:val="000000" w:themeColor="text1"/>
        </w:rPr>
        <w:t>« prennent les mesures appropriées pour 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14:paraId="41FE7724" w14:textId="77777777" w:rsidR="00143F6F" w:rsidRDefault="00143F6F" w:rsidP="00143F6F">
      <w:pPr>
        <w:spacing w:line="276" w:lineRule="auto"/>
        <w:jc w:val="both"/>
        <w:rPr>
          <w:color w:val="000000" w:themeColor="text1"/>
        </w:rPr>
      </w:pPr>
      <w:r w:rsidRPr="00D73777">
        <w:rPr>
          <w:color w:val="000000" w:themeColor="text1"/>
        </w:rPr>
        <w:t>- La Constitution de la République Française qui affirme les principes d’égalité entre les femmes et les hommes et de laïcité, c’est-à-dire de distinction entre les pouvoirs et institutions politiques qui concernent toutes les personnes vivant sur le territoire de la République et les croyances et règles qui ne concernent que les adeptes d’une religion ou d’une idéologie.</w:t>
      </w:r>
    </w:p>
    <w:p w14:paraId="56D0CAD2" w14:textId="77777777" w:rsidR="00143F6F" w:rsidRPr="00D73777" w:rsidRDefault="00143F6F" w:rsidP="00143F6F">
      <w:pPr>
        <w:spacing w:line="276" w:lineRule="auto"/>
        <w:jc w:val="both"/>
        <w:rPr>
          <w:color w:val="000000" w:themeColor="text1"/>
        </w:rPr>
      </w:pPr>
    </w:p>
    <w:p w14:paraId="1B5DB88F" w14:textId="1742D23B" w:rsidR="00143F6F" w:rsidRDefault="00143F6F" w:rsidP="00143F6F">
      <w:pPr>
        <w:spacing w:line="276" w:lineRule="auto"/>
        <w:jc w:val="both"/>
        <w:rPr>
          <w:color w:val="000000" w:themeColor="text1"/>
        </w:rPr>
      </w:pPr>
      <w:r w:rsidRPr="00D73777">
        <w:rPr>
          <w:color w:val="000000" w:themeColor="text1"/>
        </w:rPr>
        <w:t>Certes, dans aucun pays, l’égalité en droits, devoirs et dignité des femmes et des hommes n’est complètement réalisé, malgré la signature de différentes Conventions internationales et les normes qui devraient en découler. Il est temps aujourd’hui pour les États de passer à l’acte et de rendre effectif chaque droit, pour chaque femme, à chaque minute. La France, dans ce domaine des droits universels, possède une tradition solide.</w:t>
      </w:r>
    </w:p>
    <w:p w14:paraId="6AEE8117" w14:textId="77777777" w:rsidR="00143F6F" w:rsidRPr="00D73777" w:rsidRDefault="00143F6F" w:rsidP="00143F6F">
      <w:pPr>
        <w:spacing w:line="276" w:lineRule="auto"/>
        <w:jc w:val="both"/>
        <w:rPr>
          <w:color w:val="000000" w:themeColor="text1"/>
        </w:rPr>
      </w:pPr>
    </w:p>
    <w:p w14:paraId="61D17944" w14:textId="3C261DD0" w:rsidR="00143F6F" w:rsidRDefault="00143F6F" w:rsidP="00143F6F">
      <w:pPr>
        <w:pBdr>
          <w:left w:val="single" w:sz="12" w:space="4" w:color="auto"/>
        </w:pBdr>
        <w:spacing w:line="276" w:lineRule="auto"/>
        <w:jc w:val="both"/>
        <w:rPr>
          <w:b/>
          <w:bCs/>
          <w:color w:val="000000" w:themeColor="text1"/>
        </w:rPr>
      </w:pPr>
      <w:r w:rsidRPr="00D73777">
        <w:rPr>
          <w:b/>
          <w:bCs/>
          <w:color w:val="000000" w:themeColor="text1"/>
        </w:rPr>
        <w:t xml:space="preserve">Nous demandons à la France d’approfondir la réalisation de ses engagements internationaux et l’application de ses principes constitutionnels concernant l’égalité en droits, devoirs et dignité des femmes et des hommes. </w:t>
      </w:r>
      <w:r>
        <w:rPr>
          <w:b/>
          <w:bCs/>
          <w:color w:val="000000" w:themeColor="text1"/>
        </w:rPr>
        <w:t xml:space="preserve"> </w:t>
      </w:r>
    </w:p>
    <w:p w14:paraId="0427EBD8" w14:textId="77777777" w:rsidR="00143F6F" w:rsidRPr="00D73777" w:rsidRDefault="00143F6F" w:rsidP="00143F6F">
      <w:pPr>
        <w:pBdr>
          <w:left w:val="single" w:sz="12" w:space="4" w:color="auto"/>
        </w:pBdr>
        <w:spacing w:line="276" w:lineRule="auto"/>
        <w:jc w:val="both"/>
        <w:rPr>
          <w:b/>
          <w:bCs/>
          <w:color w:val="000000" w:themeColor="text1"/>
        </w:rPr>
      </w:pPr>
    </w:p>
    <w:p w14:paraId="7795EDFB" w14:textId="48066B15" w:rsidR="00143F6F" w:rsidRPr="00D73777" w:rsidRDefault="00143F6F" w:rsidP="00143F6F">
      <w:pPr>
        <w:jc w:val="both"/>
        <w:rPr>
          <w:color w:val="000000" w:themeColor="text1"/>
        </w:rPr>
      </w:pPr>
      <w:r w:rsidRPr="00D73777">
        <w:rPr>
          <w:color w:val="000000" w:themeColor="text1"/>
        </w:rPr>
        <w:t>Les demandes formulées dans notre rapport complémentaire pour la 64</w:t>
      </w:r>
      <w:r w:rsidRPr="00D73777">
        <w:rPr>
          <w:color w:val="000000" w:themeColor="text1"/>
          <w:vertAlign w:val="superscript"/>
        </w:rPr>
        <w:t>ème</w:t>
      </w:r>
      <w:r w:rsidRPr="00D73777">
        <w:rPr>
          <w:color w:val="000000" w:themeColor="text1"/>
        </w:rPr>
        <w:t xml:space="preserve"> session ont été prises en compte par la France.</w:t>
      </w:r>
      <w:r>
        <w:rPr>
          <w:color w:val="000000" w:themeColor="text1"/>
        </w:rPr>
        <w:t xml:space="preserve"> </w:t>
      </w:r>
      <w:r w:rsidRPr="00D73777">
        <w:rPr>
          <w:color w:val="000000" w:themeColor="text1"/>
        </w:rPr>
        <w:t>Face à la menace de discrimination des femmes et des filles par des groupes intégristes religieux nos demandes portaient sur :</w:t>
      </w:r>
    </w:p>
    <w:p w14:paraId="4DD7B3B0" w14:textId="77777777" w:rsidR="00143F6F" w:rsidRPr="00D73777" w:rsidRDefault="00143F6F" w:rsidP="00143F6F">
      <w:pPr>
        <w:pStyle w:val="ListParagraph"/>
        <w:numPr>
          <w:ilvl w:val="0"/>
          <w:numId w:val="7"/>
        </w:numPr>
        <w:spacing w:after="200" w:line="276" w:lineRule="auto"/>
        <w:jc w:val="both"/>
        <w:rPr>
          <w:rFonts w:ascii="Times New Roman" w:hAnsi="Times New Roman"/>
          <w:color w:val="000000" w:themeColor="text1"/>
        </w:rPr>
      </w:pPr>
      <w:r w:rsidRPr="00D73777">
        <w:rPr>
          <w:rFonts w:ascii="Times New Roman" w:hAnsi="Times New Roman"/>
          <w:color w:val="000000" w:themeColor="text1"/>
        </w:rPr>
        <w:t>La pleine application du cadre législatif pour les filles et les femmes de filiation ou de confession musulmane et leur protection par la loi commune.</w:t>
      </w:r>
    </w:p>
    <w:p w14:paraId="67154A5E" w14:textId="77777777" w:rsidR="00143F6F" w:rsidRPr="00D73777" w:rsidRDefault="00143F6F" w:rsidP="00143F6F">
      <w:pPr>
        <w:pStyle w:val="ListParagraph"/>
        <w:numPr>
          <w:ilvl w:val="0"/>
          <w:numId w:val="7"/>
        </w:numPr>
        <w:spacing w:after="200" w:line="276" w:lineRule="auto"/>
        <w:jc w:val="both"/>
        <w:rPr>
          <w:rFonts w:ascii="Times New Roman" w:hAnsi="Times New Roman"/>
          <w:color w:val="000000" w:themeColor="text1"/>
        </w:rPr>
      </w:pPr>
      <w:r w:rsidRPr="00D73777">
        <w:rPr>
          <w:rFonts w:ascii="Times New Roman" w:hAnsi="Times New Roman"/>
          <w:color w:val="000000" w:themeColor="text1"/>
        </w:rPr>
        <w:t>La protection des femmes et des filles face à l’endoctrinement de groupes intégristes refusant l’égalité des sexes.</w:t>
      </w:r>
    </w:p>
    <w:p w14:paraId="36D2D369" w14:textId="77777777" w:rsidR="00143F6F" w:rsidRPr="00D73777" w:rsidRDefault="00143F6F" w:rsidP="00143F6F">
      <w:pPr>
        <w:pStyle w:val="ListParagraph"/>
        <w:numPr>
          <w:ilvl w:val="0"/>
          <w:numId w:val="7"/>
        </w:numPr>
        <w:spacing w:after="200" w:line="276" w:lineRule="auto"/>
        <w:jc w:val="both"/>
        <w:rPr>
          <w:rStyle w:val="apple-converted-space"/>
          <w:rFonts w:ascii="Times New Roman" w:hAnsi="Times New Roman"/>
          <w:color w:val="000000" w:themeColor="text1"/>
        </w:rPr>
      </w:pPr>
      <w:r w:rsidRPr="00D73777">
        <w:rPr>
          <w:rStyle w:val="apple-converted-space"/>
          <w:rFonts w:ascii="Times New Roman" w:hAnsi="Times New Roman"/>
          <w:bCs/>
          <w:color w:val="000000" w:themeColor="text1"/>
          <w:shd w:val="clear" w:color="auto" w:fill="FFFFFF"/>
        </w:rPr>
        <w:t>Le soutien de la hiérarchie aux enseignant.es qui alertent sur les refus de la mixité à l’école ou de pratique sportive pour les filles.</w:t>
      </w:r>
    </w:p>
    <w:p w14:paraId="51054620" w14:textId="77777777" w:rsidR="00143F6F" w:rsidRPr="00D73777" w:rsidRDefault="00143F6F" w:rsidP="00143F6F">
      <w:pPr>
        <w:pStyle w:val="ListParagraph"/>
        <w:numPr>
          <w:ilvl w:val="0"/>
          <w:numId w:val="7"/>
        </w:numPr>
        <w:spacing w:after="200" w:line="276" w:lineRule="auto"/>
        <w:jc w:val="both"/>
        <w:rPr>
          <w:rFonts w:ascii="Times New Roman" w:hAnsi="Times New Roman"/>
          <w:color w:val="000000" w:themeColor="text1"/>
        </w:rPr>
      </w:pPr>
      <w:r w:rsidRPr="00D73777">
        <w:rPr>
          <w:rFonts w:ascii="Times New Roman" w:hAnsi="Times New Roman"/>
          <w:color w:val="000000" w:themeColor="text1"/>
        </w:rPr>
        <w:t>La protection contre les mariages forcés, l’héritage inégalitaire entre les sexes, les mutilations sexuelles féminines ainsi que la subordination au respect des principes de la république, notamment au regard de l’égalité des sexes, de toute aide et subvention publique.</w:t>
      </w:r>
    </w:p>
    <w:p w14:paraId="52601171" w14:textId="77777777" w:rsidR="00143F6F" w:rsidRPr="00D73777" w:rsidRDefault="00143F6F" w:rsidP="00143F6F">
      <w:pPr>
        <w:jc w:val="both"/>
        <w:rPr>
          <w:color w:val="000000" w:themeColor="text1"/>
        </w:rPr>
      </w:pPr>
      <w:r w:rsidRPr="00D73777">
        <w:rPr>
          <w:color w:val="000000" w:themeColor="text1"/>
        </w:rPr>
        <w:t>La loi du 24 aout 2021 confortant le respect des Principes de la République répond à la plupart de ces demandes.</w:t>
      </w:r>
    </w:p>
    <w:p w14:paraId="4A89F165" w14:textId="767F8D9C" w:rsidR="00143F6F" w:rsidRPr="00143F6F" w:rsidRDefault="00143F6F" w:rsidP="00143F6F">
      <w:pPr>
        <w:jc w:val="both"/>
        <w:rPr>
          <w:b/>
          <w:bCs/>
          <w:color w:val="000000" w:themeColor="text1"/>
        </w:rPr>
      </w:pPr>
      <w:r w:rsidRPr="00143F6F">
        <w:rPr>
          <w:b/>
          <w:bCs/>
          <w:color w:val="000000" w:themeColor="text1"/>
        </w:rPr>
        <w:lastRenderedPageBreak/>
        <w:t xml:space="preserve">Aujourd’hui, la menace </w:t>
      </w:r>
      <w:r>
        <w:rPr>
          <w:b/>
          <w:bCs/>
          <w:color w:val="000000" w:themeColor="text1"/>
        </w:rPr>
        <w:t xml:space="preserve">principale </w:t>
      </w:r>
      <w:r w:rsidRPr="00143F6F">
        <w:rPr>
          <w:b/>
          <w:bCs/>
          <w:color w:val="000000" w:themeColor="text1"/>
        </w:rPr>
        <w:t xml:space="preserve">envers les droits des femmes provient des atteintes fondamentales à la Convention CEDAW de la part d’idéologues transactivistes </w:t>
      </w:r>
      <w:r>
        <w:rPr>
          <w:b/>
          <w:bCs/>
          <w:color w:val="000000" w:themeColor="text1"/>
        </w:rPr>
        <w:t xml:space="preserve">et </w:t>
      </w:r>
      <w:r w:rsidRPr="00143F6F">
        <w:rPr>
          <w:b/>
          <w:bCs/>
          <w:color w:val="000000" w:themeColor="text1"/>
        </w:rPr>
        <w:t xml:space="preserve">prennent une dimension inouïe dans la plupart des pays de la zone UNECE, y compris en France. </w:t>
      </w:r>
    </w:p>
    <w:p w14:paraId="39DEBD41" w14:textId="77777777" w:rsidR="00143F6F" w:rsidRPr="00D73777" w:rsidRDefault="00143F6F" w:rsidP="00143F6F">
      <w:pPr>
        <w:jc w:val="both"/>
        <w:rPr>
          <w:color w:val="000000" w:themeColor="text1"/>
        </w:rPr>
      </w:pPr>
    </w:p>
    <w:p w14:paraId="2BCE12D5" w14:textId="3F1812DB" w:rsidR="00143F6F" w:rsidRDefault="00143F6F" w:rsidP="00143F6F">
      <w:pPr>
        <w:jc w:val="both"/>
        <w:rPr>
          <w:color w:val="000000" w:themeColor="text1"/>
          <w:lang w:eastAsia="fr-FR"/>
        </w:rPr>
      </w:pPr>
      <w:r w:rsidRPr="00D73777">
        <w:rPr>
          <w:color w:val="000000" w:themeColor="text1"/>
        </w:rPr>
        <w:t>Un grand nombre de ces pays sont dans une surenchère d’effacement des femmes,  dans une course effrénée à une prétendue modernité, définie par un groupe de masculinistes transactivistes niant la réalité biologique.</w:t>
      </w:r>
      <w:r w:rsidRPr="00143F6F">
        <w:rPr>
          <w:color w:val="000000" w:themeColor="text1"/>
        </w:rPr>
        <w:t xml:space="preserve"> </w:t>
      </w:r>
      <w:r w:rsidRPr="00D73777">
        <w:rPr>
          <w:color w:val="000000" w:themeColor="text1"/>
        </w:rPr>
        <w:t>L’essence même du mouvement activiste transsexuel est d’utiliser le langage des droits des femmes, s’emparer des avancées des droits des femmes.</w:t>
      </w:r>
    </w:p>
    <w:p w14:paraId="2F202B39" w14:textId="77777777" w:rsidR="00143F6F" w:rsidRPr="00D73777" w:rsidRDefault="00143F6F" w:rsidP="00143F6F">
      <w:pPr>
        <w:jc w:val="both"/>
        <w:rPr>
          <w:color w:val="000000" w:themeColor="text1"/>
        </w:rPr>
      </w:pPr>
    </w:p>
    <w:p w14:paraId="0E5A90B8" w14:textId="14A8D3B2" w:rsidR="00143F6F" w:rsidRDefault="00143F6F" w:rsidP="00143F6F">
      <w:pPr>
        <w:jc w:val="both"/>
        <w:rPr>
          <w:color w:val="000000" w:themeColor="text1"/>
          <w:lang w:eastAsia="fr-FR"/>
        </w:rPr>
      </w:pPr>
      <w:r w:rsidRPr="00D73777">
        <w:rPr>
          <w:color w:val="000000" w:themeColor="text1"/>
        </w:rPr>
        <w:t>S’il est évident que l</w:t>
      </w:r>
      <w:r w:rsidRPr="00D73777">
        <w:rPr>
          <w:color w:val="000000" w:themeColor="text1"/>
          <w:lang w:eastAsia="fr-FR"/>
        </w:rPr>
        <w:t>es adultes transsexuels ont des droits en tant que personne, ceux-ci ne doivent ni se substituer aux droits des femmes et des filles, ni les amoindrir.</w:t>
      </w:r>
      <w:r>
        <w:rPr>
          <w:color w:val="000000" w:themeColor="text1"/>
          <w:lang w:eastAsia="fr-FR"/>
        </w:rPr>
        <w:t xml:space="preserve"> </w:t>
      </w:r>
    </w:p>
    <w:p w14:paraId="00C3AA88" w14:textId="77777777" w:rsidR="00143F6F" w:rsidRPr="00D73777" w:rsidRDefault="00143F6F" w:rsidP="00143F6F">
      <w:pPr>
        <w:jc w:val="both"/>
        <w:rPr>
          <w:color w:val="000000" w:themeColor="text1"/>
        </w:rPr>
      </w:pPr>
    </w:p>
    <w:p w14:paraId="7DB24FB2" w14:textId="77777777" w:rsidR="00143F6F" w:rsidRDefault="00143F6F" w:rsidP="00143F6F">
      <w:pPr>
        <w:jc w:val="both"/>
        <w:rPr>
          <w:color w:val="000000" w:themeColor="text1"/>
        </w:rPr>
      </w:pPr>
      <w:r w:rsidRPr="00D73777">
        <w:rPr>
          <w:color w:val="000000" w:themeColor="text1"/>
          <w:lang w:eastAsia="fr-FR"/>
        </w:rPr>
        <w:t xml:space="preserve">La </w:t>
      </w:r>
      <w:r w:rsidRPr="00D73777">
        <w:rPr>
          <w:color w:val="000000" w:themeColor="text1"/>
        </w:rPr>
        <w:t>volonté d’effacer les femmes commence par effacer le mot « femme ». Remplacer systématiquement le mot « sexe » par le mot « genre » ou utiliser les expressions « égalité de genre », « violences basés sur le genre » au lieu de « égalité femmes-hommes » ou « violences contre les femmes et les filles » n’est pas neutre.</w:t>
      </w:r>
    </w:p>
    <w:p w14:paraId="05CE6ADA" w14:textId="77777777" w:rsidR="00143F6F" w:rsidRPr="00D73777" w:rsidRDefault="00143F6F" w:rsidP="00143F6F">
      <w:pPr>
        <w:jc w:val="both"/>
        <w:rPr>
          <w:color w:val="000000" w:themeColor="text1"/>
        </w:rPr>
      </w:pPr>
    </w:p>
    <w:p w14:paraId="3CA85AB2" w14:textId="286B8B03" w:rsidR="00143F6F" w:rsidRPr="00D73777" w:rsidRDefault="00143F6F" w:rsidP="00143F6F">
      <w:pPr>
        <w:jc w:val="both"/>
        <w:rPr>
          <w:color w:val="000000" w:themeColor="text1"/>
        </w:rPr>
      </w:pPr>
      <w:r w:rsidRPr="00D73777">
        <w:rPr>
          <w:color w:val="000000" w:themeColor="text1"/>
        </w:rPr>
        <w:t>Considérer les mots « genre » et « sexe » comme interchangeables, alors que le premier concerne une construction sociale du second, aboutit à considérer le sexe comme une donnée sociologique et non un fait biologique. Cette confusion volontaire a pour objectif de faire disparaitre la notion de sexe à l’état civil, si importante pour la construction de rapports sociaux de sexe harmonieux, construits sur le respect de l’Autre et dépourvus de discrimination</w:t>
      </w:r>
      <w:r>
        <w:rPr>
          <w:color w:val="000000" w:themeColor="text1"/>
        </w:rPr>
        <w:t>s</w:t>
      </w:r>
      <w:r w:rsidRPr="00D73777">
        <w:rPr>
          <w:color w:val="000000" w:themeColor="text1"/>
        </w:rPr>
        <w:t xml:space="preserve"> ou violence</w:t>
      </w:r>
      <w:r>
        <w:rPr>
          <w:color w:val="000000" w:themeColor="text1"/>
        </w:rPr>
        <w:t>s</w:t>
      </w:r>
      <w:r w:rsidRPr="00D73777">
        <w:rPr>
          <w:color w:val="000000" w:themeColor="text1"/>
        </w:rPr>
        <w:t>.</w:t>
      </w:r>
    </w:p>
    <w:p w14:paraId="21AC4265" w14:textId="77777777" w:rsidR="00143F6F" w:rsidRPr="00D73777" w:rsidRDefault="00143F6F" w:rsidP="00143F6F">
      <w:pPr>
        <w:spacing w:before="240" w:after="240" w:line="276" w:lineRule="auto"/>
        <w:ind w:left="567" w:right="561"/>
        <w:jc w:val="both"/>
        <w:rPr>
          <w:color w:val="000000" w:themeColor="text1"/>
          <w:shd w:val="clear" w:color="auto" w:fill="FFFFFF"/>
          <w:lang w:eastAsia="fr-FR"/>
        </w:rPr>
      </w:pPr>
      <w:r w:rsidRPr="00D73777">
        <w:rPr>
          <w:color w:val="000000" w:themeColor="text1"/>
          <w:shd w:val="clear" w:color="auto" w:fill="FFFFFF"/>
          <w:lang w:eastAsia="fr-FR"/>
        </w:rPr>
        <w:t>REEM ALSALEM, Rapporteuse spéciale de l’ONU sur les violences envers les femmes et les filles, est : « </w:t>
      </w:r>
      <w:r w:rsidRPr="00D73777">
        <w:rPr>
          <w:i/>
          <w:iCs/>
          <w:color w:val="000000" w:themeColor="text1"/>
          <w:shd w:val="clear" w:color="auto" w:fill="FFFFFF"/>
          <w:lang w:eastAsia="fr-FR"/>
        </w:rPr>
        <w:t>profondément</w:t>
      </w:r>
      <w:r w:rsidRPr="00D73777">
        <w:rPr>
          <w:i/>
          <w:iCs/>
          <w:color w:val="000000" w:themeColor="text1"/>
          <w:lang w:eastAsia="fr-FR"/>
        </w:rPr>
        <w:t xml:space="preserve"> préoccupée par l’escalade actuelle de formes d’intimidation et de menaces à l’encontre de femmes et de jeunes filles pour avoir exprimé leurs opinions et leurs convictions concernant leurs besoins et leurs droits en raison de leur sexe ou de leur orientation sexuelle. Le désaccord avec les opinions des femmes/filles, y compris celles de politiciennes, d’universitaires et de défenseures des droits des femmes, ne devrait jamais servir de motif pour justifier de la violence ou de l’intimidation.»</w:t>
      </w:r>
      <w:r w:rsidRPr="00D73777">
        <w:rPr>
          <w:color w:val="000000" w:themeColor="text1"/>
          <w:shd w:val="clear" w:color="auto" w:fill="FFFFFF"/>
          <w:lang w:eastAsia="fr-FR"/>
        </w:rPr>
        <w:t xml:space="preserve"> (22 mai 2023, sur le site des droits humains de l'ONU).</w:t>
      </w:r>
    </w:p>
    <w:p w14:paraId="687BED76" w14:textId="77777777" w:rsidR="00143F6F" w:rsidRPr="00143F6F" w:rsidRDefault="00143F6F" w:rsidP="00143F6F">
      <w:pPr>
        <w:spacing w:before="240" w:after="240" w:line="276" w:lineRule="auto"/>
        <w:ind w:right="561"/>
        <w:jc w:val="both"/>
        <w:rPr>
          <w:b/>
          <w:bCs/>
          <w:color w:val="000000" w:themeColor="text1"/>
          <w:shd w:val="clear" w:color="auto" w:fill="FFFFFF"/>
          <w:lang w:eastAsia="fr-FR"/>
        </w:rPr>
      </w:pPr>
      <w:r w:rsidRPr="00143F6F">
        <w:rPr>
          <w:b/>
          <w:bCs/>
          <w:color w:val="000000" w:themeColor="text1"/>
        </w:rPr>
        <w:t>La Convention Cedaw deviendrait inutile et désuète puisque les personnes pourraient se déclarer alternativement femme, homme ou sans appartenance sexuée.</w:t>
      </w:r>
    </w:p>
    <w:p w14:paraId="7551C0B9" w14:textId="77777777" w:rsidR="00143F6F" w:rsidRDefault="00143F6F" w:rsidP="00143F6F">
      <w:pPr>
        <w:jc w:val="both"/>
        <w:rPr>
          <w:color w:val="000000" w:themeColor="text1"/>
        </w:rPr>
      </w:pPr>
      <w:r w:rsidRPr="00D73777">
        <w:rPr>
          <w:color w:val="000000" w:themeColor="text1"/>
        </w:rPr>
        <w:t>Des pays, en majorité scandinave, ont pris la mesure du danger sanitaire et social pour les filles et les femmes et demandent de surseoir à tout traitement hormonal ou chirurgical pour les mineures.</w:t>
      </w:r>
    </w:p>
    <w:p w14:paraId="3F0BA21D" w14:textId="77777777" w:rsidR="00143F6F" w:rsidRPr="00D73777" w:rsidRDefault="00143F6F" w:rsidP="00143F6F">
      <w:pPr>
        <w:jc w:val="both"/>
        <w:rPr>
          <w:color w:val="000000" w:themeColor="text1"/>
        </w:rPr>
      </w:pPr>
    </w:p>
    <w:p w14:paraId="5C5B78E2" w14:textId="77777777" w:rsidR="00143F6F" w:rsidRDefault="00143F6F" w:rsidP="00143F6F">
      <w:pPr>
        <w:pBdr>
          <w:left w:val="single" w:sz="24" w:space="4" w:color="auto"/>
        </w:pBdr>
        <w:jc w:val="both"/>
        <w:rPr>
          <w:b/>
          <w:bCs/>
          <w:color w:val="000000" w:themeColor="text1"/>
        </w:rPr>
      </w:pPr>
      <w:r w:rsidRPr="00D73777">
        <w:rPr>
          <w:b/>
          <w:bCs/>
          <w:color w:val="000000" w:themeColor="text1"/>
        </w:rPr>
        <w:t>Nous demandons à la France de protéger les femmes et les filles, notamment mineures, de ces maltraitances et mutilations médicamenteuses et chirurgicales.</w:t>
      </w:r>
    </w:p>
    <w:p w14:paraId="498154E1" w14:textId="77777777" w:rsidR="00143F6F" w:rsidRDefault="00143F6F" w:rsidP="00143F6F">
      <w:pPr>
        <w:pBdr>
          <w:left w:val="single" w:sz="24" w:space="4" w:color="auto"/>
        </w:pBdr>
        <w:jc w:val="both"/>
        <w:rPr>
          <w:b/>
          <w:bCs/>
          <w:color w:val="000000" w:themeColor="text1"/>
        </w:rPr>
      </w:pPr>
    </w:p>
    <w:p w14:paraId="058C97C0" w14:textId="77777777" w:rsidR="00143F6F" w:rsidRDefault="00143F6F" w:rsidP="00143F6F">
      <w:pPr>
        <w:jc w:val="both"/>
        <w:rPr>
          <w:b/>
          <w:bCs/>
          <w:color w:val="000000" w:themeColor="text1"/>
          <w:shd w:val="clear" w:color="auto" w:fill="FFFFFF"/>
        </w:rPr>
      </w:pPr>
      <w:r>
        <w:rPr>
          <w:b/>
          <w:bCs/>
          <w:color w:val="000000" w:themeColor="text1"/>
          <w:shd w:val="clear" w:color="auto" w:fill="FFFFFF"/>
        </w:rPr>
        <w:t xml:space="preserve">Pourquoi la vente libre de « binder » comprimant les seins des filles </w:t>
      </w:r>
      <w:proofErr w:type="spellStart"/>
      <w:r>
        <w:rPr>
          <w:b/>
          <w:bCs/>
          <w:color w:val="000000" w:themeColor="text1"/>
          <w:shd w:val="clear" w:color="auto" w:fill="FFFFFF"/>
        </w:rPr>
        <w:t>pré-pubères</w:t>
      </w:r>
      <w:proofErr w:type="spellEnd"/>
      <w:r>
        <w:rPr>
          <w:b/>
          <w:bCs/>
          <w:color w:val="000000" w:themeColor="text1"/>
          <w:shd w:val="clear" w:color="auto" w:fill="FFFFFF"/>
        </w:rPr>
        <w:t xml:space="preserve"> pour empêcher leur développement est-elle autorisée ? </w:t>
      </w:r>
      <w:r w:rsidRPr="000A68AD">
        <w:rPr>
          <w:color w:val="000000" w:themeColor="text1"/>
          <w:shd w:val="clear" w:color="auto" w:fill="FFFFFF"/>
        </w:rPr>
        <w:t>Comment ne pas penser au repassage des seins dans certaines ethnies africaines ou au bandage des pieds des Chinoises, de triste mémoire.</w:t>
      </w:r>
    </w:p>
    <w:p w14:paraId="7DA66049" w14:textId="77777777" w:rsidR="00143F6F" w:rsidRDefault="00143F6F" w:rsidP="00143F6F">
      <w:pPr>
        <w:jc w:val="both"/>
        <w:rPr>
          <w:b/>
          <w:bCs/>
          <w:color w:val="000000" w:themeColor="text1"/>
          <w:shd w:val="clear" w:color="auto" w:fill="FFFFFF"/>
        </w:rPr>
      </w:pPr>
    </w:p>
    <w:p w14:paraId="7400DF58" w14:textId="73098152" w:rsidR="00143F6F" w:rsidRDefault="00143F6F" w:rsidP="00143F6F">
      <w:pPr>
        <w:jc w:val="both"/>
        <w:rPr>
          <w:b/>
          <w:bCs/>
          <w:color w:val="000000" w:themeColor="text1"/>
          <w:shd w:val="clear" w:color="auto" w:fill="FFFFFF"/>
        </w:rPr>
      </w:pPr>
      <w:r>
        <w:rPr>
          <w:b/>
          <w:bCs/>
          <w:color w:val="000000" w:themeColor="text1"/>
          <w:shd w:val="clear" w:color="auto" w:fill="FFFFFF"/>
        </w:rPr>
        <w:t>Pourquoi la mastectomie de poitrine parfaitement saine d’adolescentes est-elle autorisée et remboursée par la Sécurité Sociale ?</w:t>
      </w:r>
      <w:r w:rsidRPr="00D73777">
        <w:rPr>
          <w:b/>
          <w:bCs/>
          <w:color w:val="000000" w:themeColor="text1"/>
          <w:shd w:val="clear" w:color="auto" w:fill="FFFFFF"/>
        </w:rPr>
        <w:t xml:space="preserve"> </w:t>
      </w:r>
    </w:p>
    <w:p w14:paraId="4402AAD7" w14:textId="77777777" w:rsidR="00143F6F" w:rsidRPr="00143F6F" w:rsidRDefault="00143F6F" w:rsidP="00143F6F">
      <w:pPr>
        <w:jc w:val="both"/>
        <w:rPr>
          <w:b/>
          <w:bCs/>
          <w:color w:val="000000" w:themeColor="text1"/>
          <w:shd w:val="clear" w:color="auto" w:fill="FFFFFF"/>
        </w:rPr>
      </w:pPr>
    </w:p>
    <w:p w14:paraId="3C3963B9" w14:textId="77777777" w:rsidR="00143F6F" w:rsidRPr="00143F6F" w:rsidRDefault="00143F6F" w:rsidP="00143F6F">
      <w:pPr>
        <w:pStyle w:val="NoSpacing"/>
        <w:jc w:val="both"/>
        <w:rPr>
          <w:rFonts w:ascii="Times New Roman" w:hAnsi="Times New Roman"/>
          <w:b/>
          <w:bCs/>
          <w:color w:val="000000" w:themeColor="text1"/>
          <w:sz w:val="24"/>
          <w:szCs w:val="24"/>
          <w:shd w:val="clear" w:color="auto" w:fill="FFFFFF"/>
        </w:rPr>
      </w:pPr>
      <w:r w:rsidRPr="00143F6F">
        <w:rPr>
          <w:rFonts w:ascii="Times New Roman" w:hAnsi="Times New Roman"/>
          <w:color w:val="000000" w:themeColor="text1"/>
          <w:sz w:val="24"/>
          <w:szCs w:val="24"/>
        </w:rPr>
        <w:t xml:space="preserve">En France la reconnaissance juridique du changement de sexe, pour les adultes, par déclaration, sans avoir subi </w:t>
      </w:r>
      <w:r w:rsidRPr="00143F6F">
        <w:rPr>
          <w:rFonts w:ascii="Times New Roman" w:hAnsi="Times New Roman"/>
          <w:b/>
          <w:bCs/>
          <w:color w:val="000000" w:themeColor="text1"/>
          <w:sz w:val="24"/>
          <w:szCs w:val="24"/>
        </w:rPr>
        <w:t>« </w:t>
      </w:r>
      <w:r w:rsidRPr="00143F6F">
        <w:rPr>
          <w:rStyle w:val="Strong"/>
          <w:rFonts w:ascii="Times New Roman" w:hAnsi="Times New Roman"/>
          <w:b w:val="0"/>
          <w:bCs w:val="0"/>
          <w:color w:val="000000" w:themeColor="text1"/>
          <w:sz w:val="24"/>
          <w:szCs w:val="24"/>
        </w:rPr>
        <w:t xml:space="preserve">traitements médicaux, opération chirurgicale ou une stérilisation » (loi de 2016) a été obtenue par les adultes transsexuels pour éviter des traitements très lourds ou des chirurgies </w:t>
      </w:r>
      <w:r w:rsidRPr="00143F6F">
        <w:rPr>
          <w:rStyle w:val="Strong"/>
          <w:rFonts w:ascii="Times New Roman" w:hAnsi="Times New Roman"/>
          <w:b w:val="0"/>
          <w:bCs w:val="0"/>
          <w:color w:val="000000" w:themeColor="text1"/>
          <w:sz w:val="24"/>
          <w:szCs w:val="24"/>
        </w:rPr>
        <w:lastRenderedPageBreak/>
        <w:t>mutilantes. Aujourd’hui, ces mêmes groupes masculinistes translobbyistes préconisent ces traitements qui sont pratiqués sur des mineurs , dont le consentement serait prétendument éclairé</w:t>
      </w:r>
      <w:r w:rsidRPr="00143F6F">
        <w:rPr>
          <w:rFonts w:ascii="Times New Roman" w:hAnsi="Times New Roman"/>
          <w:b/>
          <w:bCs/>
          <w:color w:val="000000" w:themeColor="text1"/>
          <w:sz w:val="24"/>
          <w:szCs w:val="24"/>
          <w:shd w:val="clear" w:color="auto" w:fill="FFFFFF"/>
        </w:rPr>
        <w:t> !</w:t>
      </w:r>
    </w:p>
    <w:p w14:paraId="00B38016" w14:textId="77777777" w:rsidR="00143F6F" w:rsidRPr="00143F6F" w:rsidRDefault="00143F6F" w:rsidP="00143F6F">
      <w:pPr>
        <w:pStyle w:val="NoSpacing"/>
        <w:jc w:val="both"/>
        <w:rPr>
          <w:rFonts w:ascii="Times New Roman" w:hAnsi="Times New Roman"/>
          <w:b/>
          <w:bCs/>
          <w:color w:val="000000" w:themeColor="text1"/>
          <w:sz w:val="24"/>
          <w:szCs w:val="24"/>
          <w:shd w:val="clear" w:color="auto" w:fill="FFFFFF"/>
        </w:rPr>
      </w:pPr>
    </w:p>
    <w:p w14:paraId="0145713C" w14:textId="77777777" w:rsidR="00143F6F" w:rsidRPr="00143F6F" w:rsidRDefault="00143F6F" w:rsidP="00143F6F">
      <w:pPr>
        <w:pStyle w:val="NoSpacing"/>
        <w:jc w:val="both"/>
        <w:rPr>
          <w:rStyle w:val="Strong"/>
          <w:rFonts w:ascii="Times New Roman" w:hAnsi="Times New Roman"/>
          <w:b w:val="0"/>
          <w:bCs w:val="0"/>
          <w:color w:val="000000" w:themeColor="text1"/>
          <w:sz w:val="24"/>
          <w:szCs w:val="24"/>
        </w:rPr>
      </w:pPr>
      <w:r w:rsidRPr="00143F6F">
        <w:rPr>
          <w:rFonts w:ascii="Times New Roman" w:hAnsi="Times New Roman"/>
          <w:color w:val="000000" w:themeColor="text1"/>
          <w:sz w:val="24"/>
          <w:szCs w:val="24"/>
          <w:shd w:val="clear" w:color="auto" w:fill="FFFFFF"/>
        </w:rPr>
        <w:t>La loi </w:t>
      </w:r>
      <w:r w:rsidRPr="00143F6F">
        <w:rPr>
          <w:rFonts w:ascii="Times New Roman" w:hAnsi="Times New Roman"/>
          <w:color w:val="000000" w:themeColor="text1"/>
          <w:sz w:val="24"/>
          <w:szCs w:val="24"/>
          <w:lang w:eastAsia="fr-FR"/>
        </w:rPr>
        <w:t xml:space="preserve">du 31 janvier 2022, </w:t>
      </w:r>
      <w:r w:rsidRPr="00143F6F">
        <w:rPr>
          <w:rFonts w:ascii="Times New Roman" w:hAnsi="Times New Roman"/>
          <w:color w:val="000000" w:themeColor="text1"/>
          <w:sz w:val="24"/>
          <w:szCs w:val="24"/>
          <w:shd w:val="clear" w:color="auto" w:fill="FFFFFF"/>
        </w:rPr>
        <w:t xml:space="preserve">contre les thérapies de conversion n’interdit pas les thérapies affirmatives de transition. Même si elles concernent </w:t>
      </w:r>
      <w:r w:rsidRPr="00143F6F">
        <w:rPr>
          <w:rFonts w:ascii="Times New Roman" w:hAnsi="Times New Roman"/>
          <w:b/>
          <w:bCs/>
          <w:color w:val="000000" w:themeColor="text1"/>
          <w:sz w:val="24"/>
          <w:szCs w:val="24"/>
          <w:shd w:val="clear" w:color="auto" w:fill="FFFFFF"/>
        </w:rPr>
        <w:t xml:space="preserve">les </w:t>
      </w:r>
      <w:r w:rsidRPr="00143F6F">
        <w:rPr>
          <w:rStyle w:val="Strong"/>
          <w:rFonts w:ascii="Times New Roman" w:hAnsi="Times New Roman"/>
          <w:b w:val="0"/>
          <w:bCs w:val="0"/>
          <w:color w:val="000000" w:themeColor="text1"/>
          <w:sz w:val="24"/>
          <w:szCs w:val="24"/>
        </w:rPr>
        <w:t>mineurs, filles et garçons.</w:t>
      </w:r>
    </w:p>
    <w:p w14:paraId="6015C8D6" w14:textId="77777777" w:rsidR="00143F6F" w:rsidRPr="00D73777" w:rsidRDefault="00143F6F" w:rsidP="00143F6F">
      <w:pPr>
        <w:pStyle w:val="NoSpacing"/>
        <w:jc w:val="both"/>
        <w:rPr>
          <w:rStyle w:val="Strong"/>
          <w:rFonts w:ascii="Times New Roman" w:hAnsi="Times New Roman"/>
          <w:color w:val="000000" w:themeColor="text1"/>
        </w:rPr>
      </w:pPr>
    </w:p>
    <w:p w14:paraId="3EC6AE5E" w14:textId="77777777" w:rsidR="00143F6F" w:rsidRPr="00D73777" w:rsidRDefault="00143F6F" w:rsidP="00143F6F">
      <w:pPr>
        <w:pStyle w:val="NoSpacing"/>
        <w:jc w:val="both"/>
        <w:rPr>
          <w:rFonts w:ascii="Times New Roman" w:hAnsi="Times New Roman"/>
          <w:color w:val="000000" w:themeColor="text1"/>
          <w:shd w:val="clear" w:color="auto" w:fill="FFFFFF"/>
        </w:rPr>
      </w:pPr>
      <w:r w:rsidRPr="00D73777">
        <w:rPr>
          <w:rFonts w:ascii="Times New Roman" w:hAnsi="Times New Roman"/>
          <w:color w:val="000000" w:themeColor="text1"/>
          <w:shd w:val="clear" w:color="auto" w:fill="FFFFFF"/>
        </w:rPr>
        <w:t xml:space="preserve">Les thérapies affirmatives de transition sont ainsi expérimentées sur de jeunes enfants, à qui l’on fait croire qu’ils seraient nés dans le « mauvais sexe » (sic). Elles et ils subissent des traitements hormonaux bloqueurs de puberté ou des ablations et mutilations chirurgicales sur des bases idéologiques. </w:t>
      </w:r>
    </w:p>
    <w:p w14:paraId="671C1799" w14:textId="77777777" w:rsidR="00143F6F" w:rsidRPr="00D73777" w:rsidRDefault="00143F6F" w:rsidP="00143F6F">
      <w:pPr>
        <w:jc w:val="both"/>
        <w:rPr>
          <w:color w:val="000000" w:themeColor="text1"/>
        </w:rPr>
      </w:pPr>
    </w:p>
    <w:p w14:paraId="3BC2456A" w14:textId="77777777" w:rsidR="00143F6F" w:rsidRDefault="00143F6F" w:rsidP="00143F6F">
      <w:pPr>
        <w:jc w:val="both"/>
        <w:rPr>
          <w:color w:val="000000" w:themeColor="text1"/>
        </w:rPr>
      </w:pPr>
      <w:r w:rsidRPr="00D73777">
        <w:rPr>
          <w:color w:val="000000" w:themeColor="text1"/>
        </w:rPr>
        <w:t xml:space="preserve">Alors que la prise en charge des filles présentant une dysphorie pubertaire à un moment de leur évolution doit être assumée dans un cadre légal et institutionnel propre à l’enfance par des professionnels spécialistes neutres, aptes à entendre la parole spécifique de la mineure sans </w:t>
      </w:r>
      <w:proofErr w:type="gramStart"/>
      <w:r w:rsidRPr="00D73777">
        <w:rPr>
          <w:color w:val="000000" w:themeColor="text1"/>
        </w:rPr>
        <w:t>la déformer ni</w:t>
      </w:r>
      <w:proofErr w:type="gramEnd"/>
      <w:r w:rsidRPr="00D73777">
        <w:rPr>
          <w:color w:val="000000" w:themeColor="text1"/>
        </w:rPr>
        <w:t xml:space="preserve"> l’instrumentaliser. </w:t>
      </w:r>
    </w:p>
    <w:p w14:paraId="2EB6A0EB" w14:textId="77777777" w:rsidR="00143F6F" w:rsidRPr="00D73777" w:rsidRDefault="00143F6F" w:rsidP="00143F6F">
      <w:pPr>
        <w:jc w:val="both"/>
        <w:rPr>
          <w:rStyle w:val="Strong"/>
          <w:b w:val="0"/>
          <w:bCs w:val="0"/>
          <w:color w:val="000000" w:themeColor="text1"/>
        </w:rPr>
      </w:pPr>
    </w:p>
    <w:p w14:paraId="26EDBE83" w14:textId="77777777" w:rsidR="00143F6F" w:rsidRDefault="00143F6F" w:rsidP="00143F6F">
      <w:pPr>
        <w:pBdr>
          <w:left w:val="single" w:sz="24" w:space="4" w:color="auto"/>
        </w:pBdr>
        <w:jc w:val="both"/>
        <w:rPr>
          <w:b/>
          <w:bCs/>
          <w:color w:val="000000" w:themeColor="text1"/>
        </w:rPr>
      </w:pPr>
      <w:r w:rsidRPr="00D73777">
        <w:rPr>
          <w:rStyle w:val="Strong"/>
          <w:color w:val="000000" w:themeColor="text1"/>
        </w:rPr>
        <w:t xml:space="preserve">Nous demandons à la France de surseoir à tout traitement hormonal ou chirurgical sur des mineurs transidentifiés et de soutenir contre toute </w:t>
      </w:r>
      <w:r w:rsidRPr="00D73777">
        <w:rPr>
          <w:b/>
          <w:bCs/>
          <w:color w:val="000000" w:themeColor="text1"/>
        </w:rPr>
        <w:t xml:space="preserve">diffamation, insulte ou menace </w:t>
      </w:r>
      <w:r w:rsidRPr="00D73777">
        <w:rPr>
          <w:rStyle w:val="Strong"/>
          <w:color w:val="000000" w:themeColor="text1"/>
        </w:rPr>
        <w:t>les pédopsychiatres qui alertent sur les risques médicaux</w:t>
      </w:r>
      <w:r w:rsidRPr="00D73777">
        <w:rPr>
          <w:b/>
          <w:bCs/>
          <w:color w:val="000000" w:themeColor="text1"/>
        </w:rPr>
        <w:t>.</w:t>
      </w:r>
    </w:p>
    <w:p w14:paraId="7DC8CAFA" w14:textId="77777777" w:rsidR="00143F6F" w:rsidRPr="00D73777" w:rsidRDefault="00143F6F" w:rsidP="00143F6F">
      <w:pPr>
        <w:pBdr>
          <w:left w:val="single" w:sz="24" w:space="4" w:color="auto"/>
        </w:pBdr>
        <w:jc w:val="both"/>
        <w:rPr>
          <w:b/>
          <w:bCs/>
          <w:color w:val="000000" w:themeColor="text1"/>
        </w:rPr>
      </w:pPr>
    </w:p>
    <w:p w14:paraId="09B27A9D" w14:textId="77777777" w:rsidR="00143F6F" w:rsidRPr="00D73777" w:rsidRDefault="00143F6F" w:rsidP="00143F6F">
      <w:pPr>
        <w:jc w:val="both"/>
        <w:rPr>
          <w:color w:val="000000" w:themeColor="text1"/>
        </w:rPr>
      </w:pPr>
      <w:r w:rsidRPr="00143F6F">
        <w:rPr>
          <w:rStyle w:val="Strong"/>
          <w:b w:val="0"/>
          <w:bCs w:val="0"/>
          <w:color w:val="000000" w:themeColor="text1"/>
        </w:rPr>
        <w:t>En mars 2021</w:t>
      </w:r>
      <w:r w:rsidRPr="00D73777">
        <w:rPr>
          <w:color w:val="000000" w:themeColor="text1"/>
          <w:shd w:val="clear" w:color="auto" w:fill="FFFFFF"/>
        </w:rPr>
        <w:t>, dans la loi « </w:t>
      </w:r>
      <w:r w:rsidRPr="00D73777">
        <w:rPr>
          <w:rStyle w:val="Strong"/>
          <w:color w:val="000000" w:themeColor="text1"/>
        </w:rPr>
        <w:t>Démocratiser le sport en France »,</w:t>
      </w:r>
      <w:r w:rsidRPr="00D73777">
        <w:rPr>
          <w:color w:val="000000" w:themeColor="text1"/>
          <w:shd w:val="clear" w:color="auto" w:fill="FFFFFF"/>
        </w:rPr>
        <w:t> un amendement dans l’article 100-1 du code du sport pour substituer aux mots « le genre » les mots « identité de genre » permet aux sportifs s’auto-déclarant « femmes » de gagner les épreuves, au détriment des femmes et des filles.</w:t>
      </w:r>
    </w:p>
    <w:p w14:paraId="1F169667" w14:textId="77777777" w:rsidR="00143F6F" w:rsidRPr="00D73777" w:rsidRDefault="00143F6F" w:rsidP="00143F6F">
      <w:pPr>
        <w:pBdr>
          <w:left w:val="single" w:sz="24" w:space="4" w:color="auto"/>
        </w:pBdr>
        <w:jc w:val="both"/>
        <w:rPr>
          <w:b/>
          <w:bCs/>
          <w:color w:val="000000" w:themeColor="text1"/>
          <w:shd w:val="clear" w:color="auto" w:fill="FFFFFF"/>
        </w:rPr>
      </w:pPr>
      <w:r w:rsidRPr="00D73777">
        <w:rPr>
          <w:b/>
          <w:bCs/>
          <w:color w:val="000000" w:themeColor="text1"/>
          <w:shd w:val="clear" w:color="auto" w:fill="FFFFFF"/>
        </w:rPr>
        <w:t>Nous demandons à la France de ne pas autoriser la présence de sportifs, nés hommes, dans les compétitions sportives féminines.</w:t>
      </w:r>
    </w:p>
    <w:p w14:paraId="30D8414A" w14:textId="77777777" w:rsidR="00143F6F" w:rsidRDefault="00143F6F" w:rsidP="00143F6F">
      <w:pPr>
        <w:pStyle w:val="NoSpacing"/>
        <w:jc w:val="both"/>
        <w:rPr>
          <w:rFonts w:ascii="Times New Roman" w:hAnsi="Times New Roman"/>
          <w:color w:val="000000" w:themeColor="text1"/>
          <w:shd w:val="clear" w:color="auto" w:fill="FFFFFF"/>
        </w:rPr>
      </w:pPr>
    </w:p>
    <w:p w14:paraId="4094BE31" w14:textId="5D7AC35C" w:rsidR="00143F6F" w:rsidRPr="00D73777" w:rsidRDefault="00143F6F" w:rsidP="00143F6F">
      <w:pPr>
        <w:pStyle w:val="NoSpacing"/>
        <w:jc w:val="both"/>
        <w:rPr>
          <w:rFonts w:ascii="Times New Roman" w:hAnsi="Times New Roman"/>
          <w:color w:val="000000" w:themeColor="text1"/>
          <w:shd w:val="clear" w:color="auto" w:fill="FFFFFF"/>
        </w:rPr>
      </w:pPr>
      <w:r w:rsidRPr="00D73777">
        <w:rPr>
          <w:rFonts w:ascii="Times New Roman" w:hAnsi="Times New Roman"/>
          <w:color w:val="000000" w:themeColor="text1"/>
          <w:shd w:val="clear" w:color="auto" w:fill="FFFFFF"/>
        </w:rPr>
        <w:t>En mai 2021, dans la loi sur « La </w:t>
      </w:r>
      <w:r w:rsidRPr="00D73777">
        <w:rPr>
          <w:rStyle w:val="Strong"/>
          <w:rFonts w:ascii="Times New Roman" w:hAnsi="Times New Roman"/>
          <w:color w:val="000000" w:themeColor="text1"/>
        </w:rPr>
        <w:t>confiance dans l’institution judiciaire, »</w:t>
      </w:r>
      <w:r>
        <w:rPr>
          <w:rStyle w:val="Strong"/>
          <w:rFonts w:ascii="Times New Roman" w:hAnsi="Times New Roman"/>
          <w:color w:val="000000" w:themeColor="text1"/>
        </w:rPr>
        <w:t xml:space="preserve">, </w:t>
      </w:r>
      <w:r w:rsidRPr="00D73777">
        <w:rPr>
          <w:rFonts w:ascii="Times New Roman" w:hAnsi="Times New Roman"/>
          <w:color w:val="000000" w:themeColor="text1"/>
          <w:shd w:val="clear" w:color="auto" w:fill="FFFFFF"/>
        </w:rPr>
        <w:t>deux amendements sur l’égalité de « genre » permettent aux transgenres « en transition », c’est-à-dire ayant leurs organes sexuels mâles, d’accéder aux prisons de femmes</w:t>
      </w:r>
      <w:r>
        <w:rPr>
          <w:rFonts w:ascii="Times New Roman" w:hAnsi="Times New Roman"/>
          <w:color w:val="000000" w:themeColor="text1"/>
          <w:shd w:val="clear" w:color="auto" w:fill="FFFFFF"/>
        </w:rPr>
        <w:t>.</w:t>
      </w:r>
      <w:r w:rsidRPr="00D73777">
        <w:rPr>
          <w:rFonts w:ascii="Times New Roman" w:hAnsi="Times New Roman"/>
          <w:color w:val="000000" w:themeColor="text1"/>
          <w:shd w:val="clear" w:color="auto" w:fill="FFFFFF"/>
        </w:rPr>
        <w:t>  </w:t>
      </w:r>
    </w:p>
    <w:p w14:paraId="2551304C" w14:textId="77777777" w:rsidR="00143F6F" w:rsidRPr="00D73777" w:rsidRDefault="00143F6F" w:rsidP="00143F6F">
      <w:pPr>
        <w:pStyle w:val="NoSpacing"/>
        <w:jc w:val="both"/>
        <w:rPr>
          <w:rFonts w:ascii="Times New Roman" w:hAnsi="Times New Roman"/>
          <w:color w:val="000000" w:themeColor="text1"/>
          <w:shd w:val="clear" w:color="auto" w:fill="FFFFFF"/>
        </w:rPr>
      </w:pPr>
    </w:p>
    <w:p w14:paraId="36B6ACED" w14:textId="77777777" w:rsidR="00143F6F" w:rsidRPr="00D73777" w:rsidRDefault="00143F6F" w:rsidP="00143F6F">
      <w:pPr>
        <w:pBdr>
          <w:left w:val="single" w:sz="24" w:space="4" w:color="auto"/>
        </w:pBdr>
        <w:jc w:val="both"/>
        <w:rPr>
          <w:b/>
          <w:bCs/>
          <w:color w:val="000000" w:themeColor="text1"/>
          <w:shd w:val="clear" w:color="auto" w:fill="FFFFFF"/>
        </w:rPr>
      </w:pPr>
      <w:r w:rsidRPr="00D73777">
        <w:rPr>
          <w:b/>
          <w:bCs/>
          <w:color w:val="000000" w:themeColor="text1"/>
          <w:shd w:val="clear" w:color="auto" w:fill="FFFFFF"/>
        </w:rPr>
        <w:t xml:space="preserve">Nous demandons à la France de ne pas incarcérer des transgenres « en transition » dans les prisons de femmes. </w:t>
      </w:r>
    </w:p>
    <w:p w14:paraId="280BFFBA" w14:textId="77777777" w:rsidR="00143F6F" w:rsidRDefault="00143F6F" w:rsidP="00143F6F">
      <w:pPr>
        <w:jc w:val="both"/>
        <w:rPr>
          <w:color w:val="000000" w:themeColor="text1"/>
          <w:shd w:val="clear" w:color="auto" w:fill="FFFFFF"/>
        </w:rPr>
      </w:pPr>
    </w:p>
    <w:p w14:paraId="1914C75B" w14:textId="0CA81A77" w:rsidR="00143F6F" w:rsidRDefault="00143F6F" w:rsidP="00143F6F">
      <w:pPr>
        <w:jc w:val="both"/>
        <w:rPr>
          <w:color w:val="000000" w:themeColor="text1"/>
          <w:shd w:val="clear" w:color="auto" w:fill="FFFFFF"/>
        </w:rPr>
      </w:pPr>
      <w:r w:rsidRPr="00D73777">
        <w:rPr>
          <w:color w:val="000000" w:themeColor="text1"/>
          <w:shd w:val="clear" w:color="auto" w:fill="FFFFFF"/>
        </w:rPr>
        <w:t xml:space="preserve">Les influenceurs, les réseaux sociaux exercent une attraction évidente sur les jeunes, leur livrant un mode d’emploi « clé en main » allant des sites internet… à la consultation médicale en ligne, en passant par les arguments pour obtenir le consentement des parents qui se trouvent isolés et dépourvus de ressources. </w:t>
      </w:r>
    </w:p>
    <w:p w14:paraId="11CCBCAA" w14:textId="77777777" w:rsidR="00143F6F" w:rsidRPr="00D73777" w:rsidRDefault="00143F6F" w:rsidP="00143F6F">
      <w:pPr>
        <w:jc w:val="both"/>
        <w:rPr>
          <w:color w:val="000000" w:themeColor="text1"/>
          <w:shd w:val="clear" w:color="auto" w:fill="FFFFFF"/>
        </w:rPr>
      </w:pPr>
    </w:p>
    <w:p w14:paraId="4D30BDEF" w14:textId="77777777" w:rsidR="00143F6F" w:rsidRDefault="00143F6F" w:rsidP="00143F6F">
      <w:pPr>
        <w:pBdr>
          <w:left w:val="single" w:sz="24" w:space="4" w:color="auto"/>
        </w:pBdr>
        <w:jc w:val="both"/>
        <w:rPr>
          <w:b/>
          <w:bCs/>
          <w:color w:val="000000" w:themeColor="text1"/>
          <w:shd w:val="clear" w:color="auto" w:fill="FFFFFF"/>
        </w:rPr>
      </w:pPr>
      <w:r w:rsidRPr="00D73777">
        <w:rPr>
          <w:b/>
          <w:bCs/>
          <w:color w:val="000000" w:themeColor="text1"/>
          <w:shd w:val="clear" w:color="auto" w:fill="FFFFFF"/>
        </w:rPr>
        <w:t xml:space="preserve">Nous demandons à la France de veiller à l’application de la loi de </w:t>
      </w:r>
      <w:r w:rsidRPr="00D73777">
        <w:rPr>
          <w:b/>
          <w:bCs/>
          <w:color w:val="000000" w:themeColor="text1"/>
        </w:rPr>
        <w:t>juin 2023 « visant à lutter contre les dérives des influenceurs sur les réseaux sociaux » </w:t>
      </w:r>
      <w:r w:rsidRPr="00D73777">
        <w:rPr>
          <w:b/>
          <w:bCs/>
          <w:color w:val="000000" w:themeColor="text1"/>
          <w:shd w:val="clear" w:color="auto" w:fill="FFFFFF"/>
        </w:rPr>
        <w:t xml:space="preserve">pour protéger les jeunes filles des thérapies affirmatives de transition. </w:t>
      </w:r>
    </w:p>
    <w:p w14:paraId="09332D32" w14:textId="77777777" w:rsidR="00143F6F" w:rsidRDefault="00143F6F" w:rsidP="00143F6F">
      <w:pPr>
        <w:jc w:val="both"/>
        <w:rPr>
          <w:b/>
          <w:bCs/>
          <w:color w:val="000000" w:themeColor="text1"/>
          <w:shd w:val="clear" w:color="auto" w:fill="FFFFFF"/>
        </w:rPr>
      </w:pPr>
    </w:p>
    <w:p w14:paraId="48392820" w14:textId="632280A5" w:rsidR="00143F6F" w:rsidRDefault="00143F6F" w:rsidP="00143F6F">
      <w:pPr>
        <w:jc w:val="both"/>
        <w:rPr>
          <w:color w:val="000000" w:themeColor="text1"/>
          <w:shd w:val="clear" w:color="auto" w:fill="FFFFFF"/>
        </w:rPr>
      </w:pPr>
      <w:r w:rsidRPr="00D73777">
        <w:rPr>
          <w:color w:val="000000" w:themeColor="text1"/>
          <w:shd w:val="clear" w:color="auto" w:fill="FFFFFF"/>
        </w:rPr>
        <w:t>Ces thérapies enrichissent grassement cliniques et médecins qui les pratiquent et qui se procurent ainsi une patientèle à vie, en raison de la nécessité de traitements perpétuels et des douleurs provoquées par les traitements subis.</w:t>
      </w:r>
    </w:p>
    <w:p w14:paraId="59CE74A4" w14:textId="77777777" w:rsidR="00143F6F" w:rsidRDefault="00143F6F" w:rsidP="00143F6F">
      <w:pPr>
        <w:jc w:val="both"/>
        <w:rPr>
          <w:b/>
          <w:bCs/>
          <w:shd w:val="clear" w:color="auto" w:fill="FFFFFF"/>
        </w:rPr>
      </w:pPr>
    </w:p>
    <w:p w14:paraId="53C52765" w14:textId="5F97B382" w:rsidR="00143F6F" w:rsidRPr="00C069B8" w:rsidRDefault="00143F6F" w:rsidP="00143F6F">
      <w:pPr>
        <w:jc w:val="both"/>
        <w:rPr>
          <w:rStyle w:val="Strong"/>
          <w:b w:val="0"/>
          <w:bCs w:val="0"/>
          <w:color w:val="000000" w:themeColor="text1"/>
          <w:shd w:val="clear" w:color="auto" w:fill="FFFFFF"/>
        </w:rPr>
      </w:pPr>
      <w:r w:rsidRPr="00C069B8">
        <w:rPr>
          <w:b/>
          <w:bCs/>
          <w:shd w:val="clear" w:color="auto" w:fill="FFFFFF"/>
        </w:rPr>
        <w:t>La France dont l’arsenal législatif et toutes les politiques publiques tendent vers l’égalité en droits, devoirs et dignité des femmes et des hommes ne peut pas laisser un groupuscule idéologique contester la réalité biologique du sexe féminin et agresser toutes celles et ceux qui défendent l’existence des femmes et des filles.</w:t>
      </w:r>
    </w:p>
    <w:p w14:paraId="38A65D75" w14:textId="77777777" w:rsidR="00143F6F" w:rsidRPr="003B388F" w:rsidRDefault="00143F6F" w:rsidP="003B388F">
      <w:pPr>
        <w:rPr>
          <w:color w:val="000000" w:themeColor="text1"/>
        </w:rPr>
      </w:pPr>
    </w:p>
    <w:sectPr w:rsidR="00143F6F" w:rsidRPr="003B388F" w:rsidSect="00592E43">
      <w:headerReference w:type="even" r:id="rId8"/>
      <w:headerReference w:type="default" r:id="rId9"/>
      <w:footerReference w:type="even" r:id="rId10"/>
      <w:footerReference w:type="default" r:id="rId11"/>
      <w:headerReference w:type="first" r:id="rId12"/>
      <w:footerReference w:type="first" r:id="rId13"/>
      <w:footnotePr>
        <w:pos w:val="beneathText"/>
      </w:footnotePr>
      <w:pgSz w:w="12240" w:h="15840"/>
      <w:pgMar w:top="851" w:right="1418" w:bottom="567" w:left="1418" w:header="567" w:footer="11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D8806" w14:textId="77777777" w:rsidR="000C53AF" w:rsidRDefault="000C53AF">
      <w:r>
        <w:separator/>
      </w:r>
    </w:p>
  </w:endnote>
  <w:endnote w:type="continuationSeparator" w:id="0">
    <w:p w14:paraId="0A9A9C14" w14:textId="77777777" w:rsidR="000C53AF" w:rsidRDefault="000C5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Bold">
    <w:altName w:val="Times New Roman"/>
    <w:charset w:val="00"/>
    <w:family w:val="roman"/>
    <w:pitch w:val="default"/>
  </w:font>
  <w:font w:name="Arial Rounded MT Bold">
    <w:panose1 w:val="020F0704030504030204"/>
    <w:charset w:val="00"/>
    <w:family w:val="swiss"/>
    <w:pitch w:val="variable"/>
    <w:sig w:usb0="00000003" w:usb1="00000000" w:usb2="00000000" w:usb3="00000000" w:csb0="00000001" w:csb1="00000000"/>
  </w:font>
  <w:font w:name="AGaramond-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845E0" w14:textId="77777777" w:rsidR="008D2F43" w:rsidRDefault="008D2F43" w:rsidP="000F5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007D7819" w14:textId="77777777" w:rsidR="0034430D" w:rsidRDefault="0034430D" w:rsidP="008D2F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7EF12" w14:textId="77777777" w:rsidR="008D2F43" w:rsidRDefault="008D2F43" w:rsidP="000F5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219B70FD" w14:textId="77777777" w:rsidR="0034430D" w:rsidRDefault="0034430D" w:rsidP="008D2F4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AD6F1" w14:textId="77777777" w:rsidR="00FA5D91" w:rsidRPr="000F3868" w:rsidRDefault="00FA5D91" w:rsidP="00FA5D91">
    <w:pPr>
      <w:autoSpaceDE w:val="0"/>
      <w:jc w:val="center"/>
      <w:rPr>
        <w:rFonts w:ascii="Arial" w:hAnsi="Arial" w:cs="Arial"/>
        <w:sz w:val="16"/>
        <w:szCs w:val="16"/>
      </w:rPr>
    </w:pPr>
    <w:r w:rsidRPr="000F3868">
      <w:rPr>
        <w:rFonts w:ascii="Arial" w:hAnsi="Arial" w:cs="Arial"/>
        <w:sz w:val="16"/>
        <w:szCs w:val="16"/>
      </w:rPr>
      <w:t>33,</w:t>
    </w:r>
    <w:r>
      <w:rPr>
        <w:rFonts w:ascii="Arial" w:hAnsi="Arial" w:cs="Arial"/>
        <w:sz w:val="16"/>
        <w:szCs w:val="16"/>
      </w:rPr>
      <w:t xml:space="preserve"> </w:t>
    </w:r>
    <w:r w:rsidRPr="000F3868">
      <w:rPr>
        <w:rFonts w:ascii="Arial" w:hAnsi="Arial" w:cs="Arial"/>
        <w:sz w:val="16"/>
        <w:szCs w:val="16"/>
      </w:rPr>
      <w:t>rue</w:t>
    </w:r>
    <w:r>
      <w:rPr>
        <w:rFonts w:ascii="Arial" w:hAnsi="Arial" w:cs="Arial"/>
        <w:sz w:val="16"/>
        <w:szCs w:val="16"/>
      </w:rPr>
      <w:t xml:space="preserve"> </w:t>
    </w:r>
    <w:r w:rsidRPr="000F3868">
      <w:rPr>
        <w:rFonts w:ascii="Arial" w:hAnsi="Arial" w:cs="Arial"/>
        <w:sz w:val="16"/>
        <w:szCs w:val="16"/>
      </w:rPr>
      <w:t>Bossuet</w:t>
    </w:r>
    <w:r>
      <w:rPr>
        <w:rFonts w:ascii="Arial" w:hAnsi="Arial" w:cs="Arial"/>
        <w:sz w:val="16"/>
        <w:szCs w:val="16"/>
      </w:rPr>
      <w:t xml:space="preserve"> </w:t>
    </w:r>
    <w:r w:rsidRPr="000F3868">
      <w:rPr>
        <w:rFonts w:ascii="Arial" w:hAnsi="Arial" w:cs="Arial"/>
        <w:sz w:val="16"/>
        <w:szCs w:val="16"/>
      </w:rPr>
      <w:t>-</w:t>
    </w:r>
    <w:r>
      <w:rPr>
        <w:rFonts w:ascii="Arial" w:hAnsi="Arial" w:cs="Arial"/>
        <w:sz w:val="16"/>
        <w:szCs w:val="16"/>
      </w:rPr>
      <w:t xml:space="preserve"> </w:t>
    </w:r>
    <w:r w:rsidRPr="000F3868">
      <w:rPr>
        <w:rFonts w:ascii="Arial" w:hAnsi="Arial" w:cs="Arial"/>
        <w:sz w:val="16"/>
        <w:szCs w:val="16"/>
      </w:rPr>
      <w:t>69006</w:t>
    </w:r>
    <w:r>
      <w:rPr>
        <w:rFonts w:ascii="Arial" w:hAnsi="Arial" w:cs="Arial"/>
        <w:sz w:val="16"/>
        <w:szCs w:val="16"/>
      </w:rPr>
      <w:t xml:space="preserve"> </w:t>
    </w:r>
    <w:r w:rsidRPr="000F3868">
      <w:rPr>
        <w:rFonts w:ascii="Arial" w:hAnsi="Arial" w:cs="Arial"/>
        <w:sz w:val="16"/>
        <w:szCs w:val="16"/>
      </w:rPr>
      <w:t>LYON</w:t>
    </w:r>
    <w:r>
      <w:rPr>
        <w:rFonts w:ascii="Arial" w:hAnsi="Arial" w:cs="Arial"/>
        <w:sz w:val="16"/>
        <w:szCs w:val="16"/>
      </w:rPr>
      <w:t xml:space="preserve"> </w:t>
    </w:r>
    <w:r w:rsidRPr="000F3868">
      <w:rPr>
        <w:rFonts w:ascii="Arial" w:hAnsi="Arial" w:cs="Arial"/>
        <w:sz w:val="16"/>
        <w:szCs w:val="16"/>
      </w:rPr>
      <w:t>-</w:t>
    </w:r>
    <w:r>
      <w:rPr>
        <w:rFonts w:ascii="Arial" w:hAnsi="Arial" w:cs="Arial"/>
        <w:sz w:val="16"/>
        <w:szCs w:val="16"/>
      </w:rPr>
      <w:t xml:space="preserve"> </w:t>
    </w:r>
    <w:r w:rsidRPr="000F3868">
      <w:rPr>
        <w:rFonts w:ascii="Arial" w:hAnsi="Arial" w:cs="Arial"/>
        <w:sz w:val="16"/>
        <w:szCs w:val="16"/>
      </w:rPr>
      <w:t>Tél.</w:t>
    </w:r>
    <w:r>
      <w:rPr>
        <w:rFonts w:ascii="Arial" w:hAnsi="Arial" w:cs="Arial"/>
        <w:sz w:val="16"/>
        <w:szCs w:val="16"/>
      </w:rPr>
      <w:t xml:space="preserve"> </w:t>
    </w:r>
    <w:r w:rsidRPr="000F3868">
      <w:rPr>
        <w:rFonts w:ascii="Arial" w:hAnsi="Arial" w:cs="Arial"/>
        <w:sz w:val="16"/>
        <w:szCs w:val="16"/>
      </w:rPr>
      <w:t>06</w:t>
    </w:r>
    <w:r>
      <w:rPr>
        <w:rFonts w:ascii="Arial" w:hAnsi="Arial" w:cs="Arial"/>
        <w:sz w:val="16"/>
        <w:szCs w:val="16"/>
      </w:rPr>
      <w:t xml:space="preserve"> </w:t>
    </w:r>
    <w:r w:rsidRPr="000F3868">
      <w:rPr>
        <w:rFonts w:ascii="Arial" w:hAnsi="Arial" w:cs="Arial"/>
        <w:sz w:val="16"/>
        <w:szCs w:val="16"/>
      </w:rPr>
      <w:t>10</w:t>
    </w:r>
    <w:r>
      <w:rPr>
        <w:rFonts w:ascii="Arial" w:hAnsi="Arial" w:cs="Arial"/>
        <w:sz w:val="16"/>
        <w:szCs w:val="16"/>
      </w:rPr>
      <w:t xml:space="preserve"> </w:t>
    </w:r>
    <w:r w:rsidRPr="000F3868">
      <w:rPr>
        <w:rFonts w:ascii="Arial" w:hAnsi="Arial" w:cs="Arial"/>
        <w:sz w:val="16"/>
        <w:szCs w:val="16"/>
      </w:rPr>
      <w:t>39</w:t>
    </w:r>
    <w:r>
      <w:rPr>
        <w:rFonts w:ascii="Arial" w:hAnsi="Arial" w:cs="Arial"/>
        <w:sz w:val="16"/>
        <w:szCs w:val="16"/>
      </w:rPr>
      <w:t xml:space="preserve"> </w:t>
    </w:r>
    <w:r w:rsidRPr="000F3868">
      <w:rPr>
        <w:rFonts w:ascii="Arial" w:hAnsi="Arial" w:cs="Arial"/>
        <w:sz w:val="16"/>
        <w:szCs w:val="16"/>
      </w:rPr>
      <w:t>94</w:t>
    </w:r>
    <w:r>
      <w:rPr>
        <w:rFonts w:ascii="Arial" w:hAnsi="Arial" w:cs="Arial"/>
        <w:sz w:val="16"/>
        <w:szCs w:val="16"/>
      </w:rPr>
      <w:t xml:space="preserve"> </w:t>
    </w:r>
    <w:r w:rsidRPr="000F3868">
      <w:rPr>
        <w:rFonts w:ascii="Arial" w:hAnsi="Arial" w:cs="Arial"/>
        <w:sz w:val="16"/>
        <w:szCs w:val="16"/>
      </w:rPr>
      <w:t>87</w:t>
    </w:r>
    <w:r>
      <w:rPr>
        <w:rFonts w:ascii="Arial" w:hAnsi="Arial" w:cs="Arial"/>
        <w:sz w:val="16"/>
        <w:szCs w:val="16"/>
      </w:rPr>
      <w:t xml:space="preserve"> - </w:t>
    </w:r>
    <w:proofErr w:type="gramStart"/>
    <w:r w:rsidR="006D1429" w:rsidRPr="000F3868">
      <w:rPr>
        <w:rFonts w:ascii="Arial" w:hAnsi="Arial" w:cs="Arial"/>
        <w:sz w:val="16"/>
        <w:szCs w:val="16"/>
        <w:lang w:val="de-DE"/>
      </w:rPr>
      <w:t>e-mail</w:t>
    </w:r>
    <w:proofErr w:type="gramEnd"/>
    <w:r w:rsidR="006D1429">
      <w:rPr>
        <w:rFonts w:ascii="Arial" w:hAnsi="Arial" w:cs="Arial"/>
        <w:sz w:val="16"/>
        <w:szCs w:val="16"/>
        <w:lang w:val="de-DE"/>
      </w:rPr>
      <w:t xml:space="preserve"> </w:t>
    </w:r>
    <w:r w:rsidR="006D1429" w:rsidRPr="000F3868">
      <w:rPr>
        <w:rFonts w:ascii="Arial" w:hAnsi="Arial" w:cs="Arial"/>
        <w:sz w:val="16"/>
        <w:szCs w:val="16"/>
        <w:lang w:val="de-DE"/>
      </w:rPr>
      <w:t>:</w:t>
    </w:r>
    <w:r w:rsidR="006D1429">
      <w:rPr>
        <w:rFonts w:ascii="Arial" w:hAnsi="Arial" w:cs="Arial"/>
        <w:sz w:val="16"/>
        <w:szCs w:val="16"/>
        <w:lang w:val="de-DE"/>
      </w:rPr>
      <w:t xml:space="preserve"> </w:t>
    </w:r>
    <w:r w:rsidR="006D1429" w:rsidRPr="000F3868">
      <w:rPr>
        <w:rFonts w:ascii="Arial" w:hAnsi="Arial" w:cs="Arial"/>
        <w:sz w:val="16"/>
        <w:szCs w:val="16"/>
        <w:lang w:val="de-DE"/>
      </w:rPr>
      <w:t>rdf@regardsdefemmes.com</w:t>
    </w:r>
  </w:p>
  <w:p w14:paraId="7C24AD12" w14:textId="77777777" w:rsidR="006D1429" w:rsidRPr="000F3868" w:rsidRDefault="00FA5D91" w:rsidP="006D1429">
    <w:pPr>
      <w:autoSpaceDE w:val="0"/>
      <w:jc w:val="center"/>
      <w:rPr>
        <w:rFonts w:ascii="Arial" w:hAnsi="Arial" w:cs="Arial"/>
        <w:sz w:val="16"/>
        <w:szCs w:val="16"/>
        <w:lang w:val="de-DE"/>
      </w:rPr>
    </w:pPr>
    <w:r w:rsidRPr="00BA38FE">
      <w:rPr>
        <w:rFonts w:ascii="Arial" w:hAnsi="Arial" w:cs="Arial"/>
        <w:sz w:val="16"/>
        <w:szCs w:val="16"/>
        <w:lang w:val="de-DE"/>
      </w:rPr>
      <w:t>www.regardsdefemmes.com</w:t>
    </w:r>
    <w:r>
      <w:rPr>
        <w:rFonts w:ascii="Arial" w:hAnsi="Arial" w:cs="Arial"/>
        <w:sz w:val="16"/>
        <w:szCs w:val="16"/>
        <w:lang w:val="de-DE"/>
      </w:rPr>
      <w:t xml:space="preserve"> </w:t>
    </w:r>
    <w:r w:rsidR="006D1429">
      <w:rPr>
        <w:rFonts w:ascii="Arial" w:hAnsi="Arial" w:cs="Arial"/>
        <w:sz w:val="16"/>
        <w:szCs w:val="16"/>
        <w:lang w:val="de-DE"/>
      </w:rPr>
      <w:t>–</w:t>
    </w:r>
    <w:r>
      <w:rPr>
        <w:rFonts w:ascii="Arial" w:hAnsi="Arial" w:cs="Arial"/>
        <w:sz w:val="16"/>
        <w:szCs w:val="16"/>
        <w:lang w:val="de-DE"/>
      </w:rPr>
      <w:t xml:space="preserve"> </w:t>
    </w:r>
    <w:r w:rsidR="006D1429" w:rsidRPr="00BA38FE">
      <w:rPr>
        <w:rFonts w:ascii="Arial" w:hAnsi="Arial" w:cs="Arial"/>
        <w:sz w:val="16"/>
        <w:szCs w:val="16"/>
        <w:lang w:val="de-DE"/>
      </w:rPr>
      <w:t>www.partagider.fr</w:t>
    </w:r>
    <w:r w:rsidR="006D1429">
      <w:rPr>
        <w:rFonts w:ascii="Arial" w:hAnsi="Arial" w:cs="Arial"/>
        <w:sz w:val="16"/>
        <w:szCs w:val="16"/>
        <w:lang w:val="de-DE"/>
      </w:rPr>
      <w:t xml:space="preserve"> – www.etatcivil.pw</w:t>
    </w:r>
  </w:p>
  <w:p w14:paraId="26107D5B" w14:textId="77777777" w:rsidR="006D1429" w:rsidRDefault="00812FFF" w:rsidP="00812FFF">
    <w:pPr>
      <w:autoSpaceDE w:val="0"/>
      <w:rPr>
        <w:rFonts w:ascii="Arial" w:hAnsi="Arial" w:cs="Arial"/>
        <w:b/>
        <w:sz w:val="16"/>
        <w:szCs w:val="16"/>
      </w:rPr>
    </w:pPr>
    <w:r>
      <w:rPr>
        <w:rFonts w:ascii="Arial" w:hAnsi="Arial" w:cs="Arial"/>
        <w:sz w:val="16"/>
        <w:szCs w:val="16"/>
      </w:rPr>
      <w:t xml:space="preserve">                           </w:t>
    </w:r>
    <w:r w:rsidR="00FA5D91" w:rsidRPr="00507D8B">
      <w:rPr>
        <w:rFonts w:ascii="Arial" w:hAnsi="Arial" w:cs="Arial"/>
        <w:b/>
        <w:sz w:val="16"/>
        <w:szCs w:val="16"/>
      </w:rPr>
      <w:t>Association,</w:t>
    </w:r>
    <w:r w:rsidR="00FA5D91">
      <w:rPr>
        <w:rFonts w:ascii="Arial" w:hAnsi="Arial" w:cs="Arial"/>
        <w:b/>
        <w:sz w:val="16"/>
        <w:szCs w:val="16"/>
      </w:rPr>
      <w:t xml:space="preserve"> </w:t>
    </w:r>
    <w:r w:rsidR="00FA5D91" w:rsidRPr="00507D8B">
      <w:rPr>
        <w:rFonts w:ascii="Arial" w:hAnsi="Arial" w:cs="Arial"/>
        <w:b/>
        <w:sz w:val="16"/>
        <w:szCs w:val="16"/>
      </w:rPr>
      <w:t>loi</w:t>
    </w:r>
    <w:r w:rsidR="00FA5D91">
      <w:rPr>
        <w:rFonts w:ascii="Arial" w:hAnsi="Arial" w:cs="Arial"/>
        <w:b/>
        <w:sz w:val="16"/>
        <w:szCs w:val="16"/>
      </w:rPr>
      <w:t xml:space="preserve"> </w:t>
    </w:r>
    <w:r w:rsidR="00FA5D91" w:rsidRPr="00507D8B">
      <w:rPr>
        <w:rFonts w:ascii="Arial" w:hAnsi="Arial" w:cs="Arial"/>
        <w:b/>
        <w:sz w:val="16"/>
        <w:szCs w:val="16"/>
      </w:rPr>
      <w:t>de</w:t>
    </w:r>
    <w:r w:rsidR="00FA5D91">
      <w:rPr>
        <w:rFonts w:ascii="Arial" w:hAnsi="Arial" w:cs="Arial"/>
        <w:b/>
        <w:sz w:val="16"/>
        <w:szCs w:val="16"/>
      </w:rPr>
      <w:t xml:space="preserve"> </w:t>
    </w:r>
    <w:r w:rsidR="00FA5D91" w:rsidRPr="00507D8B">
      <w:rPr>
        <w:rFonts w:ascii="Arial" w:hAnsi="Arial" w:cs="Arial"/>
        <w:b/>
        <w:sz w:val="16"/>
        <w:szCs w:val="16"/>
      </w:rPr>
      <w:t>1901,</w:t>
    </w:r>
    <w:r w:rsidR="00FA5D91">
      <w:rPr>
        <w:rFonts w:ascii="Arial" w:hAnsi="Arial" w:cs="Arial"/>
        <w:b/>
        <w:sz w:val="16"/>
        <w:szCs w:val="16"/>
      </w:rPr>
      <w:t xml:space="preserve"> </w:t>
    </w:r>
    <w:r w:rsidR="00FA5D91" w:rsidRPr="00507D8B">
      <w:rPr>
        <w:rFonts w:ascii="Arial" w:hAnsi="Arial" w:cs="Arial"/>
        <w:b/>
        <w:sz w:val="16"/>
        <w:szCs w:val="16"/>
      </w:rPr>
      <w:t>ONG</w:t>
    </w:r>
    <w:r w:rsidR="00FA5D91">
      <w:rPr>
        <w:rFonts w:ascii="Arial" w:hAnsi="Arial" w:cs="Arial"/>
        <w:b/>
        <w:sz w:val="16"/>
        <w:szCs w:val="16"/>
      </w:rPr>
      <w:t xml:space="preserve"> </w:t>
    </w:r>
    <w:r w:rsidR="00FA5D91" w:rsidRPr="00507D8B">
      <w:rPr>
        <w:rFonts w:ascii="Arial" w:hAnsi="Arial" w:cs="Arial"/>
        <w:b/>
        <w:sz w:val="16"/>
        <w:szCs w:val="16"/>
      </w:rPr>
      <w:t>avec</w:t>
    </w:r>
    <w:r w:rsidR="00FA5D91">
      <w:rPr>
        <w:rFonts w:ascii="Arial" w:hAnsi="Arial" w:cs="Arial"/>
        <w:b/>
        <w:sz w:val="16"/>
        <w:szCs w:val="16"/>
      </w:rPr>
      <w:t xml:space="preserve"> </w:t>
    </w:r>
    <w:r w:rsidR="00FA5D91" w:rsidRPr="00507D8B">
      <w:rPr>
        <w:rFonts w:ascii="Arial" w:hAnsi="Arial" w:cs="Arial"/>
        <w:b/>
        <w:sz w:val="16"/>
        <w:szCs w:val="16"/>
      </w:rPr>
      <w:t>statut</w:t>
    </w:r>
    <w:r w:rsidR="00FA5D91">
      <w:rPr>
        <w:rFonts w:ascii="Arial" w:hAnsi="Arial" w:cs="Arial"/>
        <w:b/>
        <w:sz w:val="16"/>
        <w:szCs w:val="16"/>
      </w:rPr>
      <w:t xml:space="preserve"> </w:t>
    </w:r>
    <w:r w:rsidR="00FA5D91" w:rsidRPr="00507D8B">
      <w:rPr>
        <w:rFonts w:ascii="Arial" w:hAnsi="Arial" w:cs="Arial"/>
        <w:b/>
        <w:sz w:val="16"/>
        <w:szCs w:val="16"/>
      </w:rPr>
      <w:t>spécial</w:t>
    </w:r>
    <w:r w:rsidR="00FA5D91">
      <w:rPr>
        <w:rFonts w:ascii="Arial" w:hAnsi="Arial" w:cs="Arial"/>
        <w:b/>
        <w:sz w:val="16"/>
        <w:szCs w:val="16"/>
      </w:rPr>
      <w:t xml:space="preserve"> </w:t>
    </w:r>
    <w:r w:rsidR="00FA5D91" w:rsidRPr="00507D8B">
      <w:rPr>
        <w:rFonts w:ascii="Arial" w:hAnsi="Arial" w:cs="Arial"/>
        <w:b/>
        <w:sz w:val="16"/>
        <w:szCs w:val="16"/>
      </w:rPr>
      <w:t>au</w:t>
    </w:r>
    <w:r w:rsidR="00FA5D91">
      <w:rPr>
        <w:rFonts w:ascii="Arial" w:hAnsi="Arial" w:cs="Arial"/>
        <w:b/>
        <w:sz w:val="16"/>
        <w:szCs w:val="16"/>
      </w:rPr>
      <w:t xml:space="preserve"> </w:t>
    </w:r>
    <w:r w:rsidR="00FA5D91" w:rsidRPr="00507D8B">
      <w:rPr>
        <w:rFonts w:ascii="Arial" w:hAnsi="Arial" w:cs="Arial"/>
        <w:b/>
        <w:sz w:val="16"/>
        <w:szCs w:val="16"/>
      </w:rPr>
      <w:t>conseil</w:t>
    </w:r>
    <w:r w:rsidR="00FA5D91">
      <w:rPr>
        <w:rFonts w:ascii="Arial" w:hAnsi="Arial" w:cs="Arial"/>
        <w:b/>
        <w:sz w:val="16"/>
        <w:szCs w:val="16"/>
      </w:rPr>
      <w:t xml:space="preserve"> </w:t>
    </w:r>
    <w:r w:rsidR="00FA5D91" w:rsidRPr="00507D8B">
      <w:rPr>
        <w:rFonts w:ascii="Arial" w:hAnsi="Arial" w:cs="Arial"/>
        <w:b/>
        <w:sz w:val="16"/>
        <w:szCs w:val="16"/>
      </w:rPr>
      <w:t>économique</w:t>
    </w:r>
    <w:r w:rsidR="00FA5D91">
      <w:rPr>
        <w:rFonts w:ascii="Arial" w:hAnsi="Arial" w:cs="Arial"/>
        <w:b/>
        <w:sz w:val="16"/>
        <w:szCs w:val="16"/>
      </w:rPr>
      <w:t xml:space="preserve"> </w:t>
    </w:r>
    <w:r w:rsidR="00FA5D91" w:rsidRPr="00507D8B">
      <w:rPr>
        <w:rFonts w:ascii="Arial" w:hAnsi="Arial" w:cs="Arial"/>
        <w:b/>
        <w:sz w:val="16"/>
        <w:szCs w:val="16"/>
      </w:rPr>
      <w:t>et</w:t>
    </w:r>
    <w:r w:rsidR="00FA5D91">
      <w:rPr>
        <w:rFonts w:ascii="Arial" w:hAnsi="Arial" w:cs="Arial"/>
        <w:b/>
        <w:sz w:val="16"/>
        <w:szCs w:val="16"/>
      </w:rPr>
      <w:t xml:space="preserve"> </w:t>
    </w:r>
    <w:r w:rsidR="00FA5D91" w:rsidRPr="00507D8B">
      <w:rPr>
        <w:rFonts w:ascii="Arial" w:hAnsi="Arial" w:cs="Arial"/>
        <w:b/>
        <w:sz w:val="16"/>
        <w:szCs w:val="16"/>
      </w:rPr>
      <w:t>social</w:t>
    </w:r>
    <w:r w:rsidR="00FA5D91">
      <w:rPr>
        <w:rFonts w:ascii="Arial" w:hAnsi="Arial" w:cs="Arial"/>
        <w:b/>
        <w:sz w:val="16"/>
        <w:szCs w:val="16"/>
      </w:rPr>
      <w:t xml:space="preserve"> </w:t>
    </w:r>
    <w:r w:rsidR="00FA5D91" w:rsidRPr="00507D8B">
      <w:rPr>
        <w:rFonts w:ascii="Arial" w:hAnsi="Arial" w:cs="Arial"/>
        <w:b/>
        <w:sz w:val="16"/>
        <w:szCs w:val="16"/>
      </w:rPr>
      <w:t>de</w:t>
    </w:r>
    <w:r w:rsidR="00FA5D91">
      <w:rPr>
        <w:rFonts w:ascii="Arial" w:hAnsi="Arial" w:cs="Arial"/>
        <w:b/>
        <w:sz w:val="16"/>
        <w:szCs w:val="16"/>
      </w:rPr>
      <w:t xml:space="preserve"> </w:t>
    </w:r>
    <w:r w:rsidR="00FA5D91" w:rsidRPr="00507D8B">
      <w:rPr>
        <w:rFonts w:ascii="Arial" w:hAnsi="Arial" w:cs="Arial"/>
        <w:b/>
        <w:sz w:val="16"/>
        <w:szCs w:val="16"/>
      </w:rPr>
      <w:t>l’ONU</w:t>
    </w:r>
    <w:r w:rsidR="006D1429">
      <w:rPr>
        <w:rFonts w:ascii="Arial" w:hAnsi="Arial" w:cs="Arial"/>
        <w:b/>
        <w:sz w:val="16"/>
        <w:szCs w:val="16"/>
      </w:rPr>
      <w:t xml:space="preserve">, </w:t>
    </w:r>
  </w:p>
  <w:p w14:paraId="61A5E299" w14:textId="77777777" w:rsidR="00812FFF" w:rsidRDefault="00812FFF" w:rsidP="00FA5D91">
    <w:pPr>
      <w:autoSpaceDE w:val="0"/>
      <w:jc w:val="center"/>
      <w:rPr>
        <w:rFonts w:ascii="Arial" w:hAnsi="Arial" w:cs="Arial"/>
        <w:b/>
        <w:sz w:val="16"/>
        <w:szCs w:val="16"/>
      </w:rPr>
    </w:pPr>
    <w:r>
      <w:rPr>
        <w:rFonts w:ascii="Arial" w:hAnsi="Arial" w:cs="Arial"/>
        <w:b/>
        <w:sz w:val="16"/>
        <w:szCs w:val="16"/>
      </w:rPr>
      <w:t>OING auprès de l’Organisation internationale de la Francophonie</w:t>
    </w:r>
  </w:p>
  <w:p w14:paraId="33F2FFEB" w14:textId="77777777" w:rsidR="00912245" w:rsidRDefault="00912245">
    <w:pPr>
      <w:pStyle w:val="Footer"/>
    </w:pPr>
  </w:p>
  <w:p w14:paraId="0C50A946" w14:textId="77777777" w:rsidR="00592E43" w:rsidRDefault="00592E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34BE5" w14:textId="77777777" w:rsidR="000C53AF" w:rsidRDefault="000C53AF">
      <w:r>
        <w:separator/>
      </w:r>
    </w:p>
  </w:footnote>
  <w:footnote w:type="continuationSeparator" w:id="0">
    <w:p w14:paraId="59ADC8D9" w14:textId="77777777" w:rsidR="000C53AF" w:rsidRDefault="000C5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0643A" w14:textId="77777777" w:rsidR="00C32994" w:rsidRDefault="00C329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1B32F" w14:textId="77777777" w:rsidR="00C32994" w:rsidRDefault="00C329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50115" w14:textId="77777777" w:rsidR="00F4039E" w:rsidRPr="0081359D" w:rsidRDefault="006A1531" w:rsidP="00F4039E">
    <w:pPr>
      <w:autoSpaceDE w:val="0"/>
      <w:ind w:left="4956"/>
      <w:rPr>
        <w:i/>
        <w:iCs/>
        <w:color w:val="0B0A0A"/>
        <w:sz w:val="22"/>
        <w:szCs w:val="22"/>
      </w:rPr>
    </w:pPr>
    <w:r>
      <w:rPr>
        <w:noProof/>
      </w:rPr>
      <w:drawing>
        <wp:anchor distT="0" distB="0" distL="114300" distR="114300" simplePos="0" relativeHeight="251657728" behindDoc="1" locked="0" layoutInCell="1" allowOverlap="1" wp14:anchorId="363B0123" wp14:editId="10A77BC7">
          <wp:simplePos x="0" y="0"/>
          <wp:positionH relativeFrom="column">
            <wp:posOffset>-367665</wp:posOffset>
          </wp:positionH>
          <wp:positionV relativeFrom="paragraph">
            <wp:posOffset>-130810</wp:posOffset>
          </wp:positionV>
          <wp:extent cx="2390775" cy="1285875"/>
          <wp:effectExtent l="0" t="0" r="0" b="0"/>
          <wp:wrapNone/>
          <wp:docPr id="4" name="Image 1" descr="logord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rdf"/>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039E" w:rsidRPr="0081359D">
      <w:rPr>
        <w:rFonts w:ascii="AGaramond-Italic" w:hAnsi="AGaramond-Italic" w:cs="AGaramond-Italic"/>
        <w:i/>
        <w:iCs/>
        <w:color w:val="0B0A0A"/>
        <w:sz w:val="22"/>
        <w:szCs w:val="22"/>
      </w:rPr>
      <w:t xml:space="preserve"> </w:t>
    </w:r>
    <w:r w:rsidR="00F4039E" w:rsidRPr="0081359D">
      <w:rPr>
        <w:i/>
        <w:iCs/>
        <w:color w:val="0B0A0A"/>
        <w:sz w:val="22"/>
        <w:szCs w:val="22"/>
      </w:rPr>
      <w:t>“Il n’est nullement question de faire gouverner la</w:t>
    </w:r>
  </w:p>
  <w:p w14:paraId="6D4753EC" w14:textId="77777777" w:rsidR="00F4039E" w:rsidRPr="0081359D" w:rsidRDefault="00F4039E" w:rsidP="00F4039E">
    <w:pPr>
      <w:autoSpaceDE w:val="0"/>
      <w:ind w:left="4956"/>
      <w:rPr>
        <w:i/>
        <w:iCs/>
        <w:color w:val="0B0A0A"/>
        <w:sz w:val="22"/>
        <w:szCs w:val="22"/>
      </w:rPr>
    </w:pPr>
    <w:proofErr w:type="gramStart"/>
    <w:r w:rsidRPr="0081359D">
      <w:rPr>
        <w:i/>
        <w:iCs/>
        <w:color w:val="0B0A0A"/>
        <w:sz w:val="22"/>
        <w:szCs w:val="22"/>
      </w:rPr>
      <w:t>société</w:t>
    </w:r>
    <w:proofErr w:type="gramEnd"/>
    <w:r w:rsidRPr="0081359D">
      <w:rPr>
        <w:i/>
        <w:iCs/>
        <w:color w:val="0B0A0A"/>
        <w:sz w:val="22"/>
        <w:szCs w:val="22"/>
      </w:rPr>
      <w:t xml:space="preserve"> par les femmes mais bien de savoir si elle</w:t>
    </w:r>
  </w:p>
  <w:p w14:paraId="646B8802" w14:textId="77777777" w:rsidR="00F4039E" w:rsidRPr="0081359D" w:rsidRDefault="00F4039E" w:rsidP="00F4039E">
    <w:pPr>
      <w:autoSpaceDE w:val="0"/>
      <w:ind w:left="4956"/>
      <w:rPr>
        <w:i/>
        <w:iCs/>
        <w:color w:val="0B0A0A"/>
        <w:sz w:val="22"/>
        <w:szCs w:val="22"/>
      </w:rPr>
    </w:pPr>
    <w:proofErr w:type="gramStart"/>
    <w:r w:rsidRPr="0081359D">
      <w:rPr>
        <w:i/>
        <w:iCs/>
        <w:color w:val="0B0A0A"/>
        <w:sz w:val="22"/>
        <w:szCs w:val="22"/>
      </w:rPr>
      <w:t>ne</w:t>
    </w:r>
    <w:proofErr w:type="gramEnd"/>
    <w:r w:rsidRPr="0081359D">
      <w:rPr>
        <w:i/>
        <w:iCs/>
        <w:color w:val="0B0A0A"/>
        <w:sz w:val="22"/>
        <w:szCs w:val="22"/>
      </w:rPr>
      <w:t xml:space="preserve"> serait pas mieux gouvernée par les hommes et</w:t>
    </w:r>
  </w:p>
  <w:p w14:paraId="0C4D978F" w14:textId="77777777" w:rsidR="00F4039E" w:rsidRPr="0081359D" w:rsidRDefault="00F4039E" w:rsidP="00F4039E">
    <w:pPr>
      <w:autoSpaceDE w:val="0"/>
      <w:ind w:left="4956"/>
      <w:rPr>
        <w:i/>
        <w:iCs/>
        <w:color w:val="0B0A0A"/>
        <w:sz w:val="22"/>
        <w:szCs w:val="22"/>
      </w:rPr>
    </w:pPr>
    <w:proofErr w:type="gramStart"/>
    <w:r w:rsidRPr="0081359D">
      <w:rPr>
        <w:i/>
        <w:iCs/>
        <w:color w:val="0B0A0A"/>
        <w:sz w:val="22"/>
        <w:szCs w:val="22"/>
      </w:rPr>
      <w:t>par</w:t>
    </w:r>
    <w:proofErr w:type="gramEnd"/>
    <w:r w:rsidRPr="0081359D">
      <w:rPr>
        <w:i/>
        <w:iCs/>
        <w:color w:val="0B0A0A"/>
        <w:sz w:val="22"/>
        <w:szCs w:val="22"/>
      </w:rPr>
      <w:t xml:space="preserve"> les femmes.”</w:t>
    </w:r>
  </w:p>
  <w:p w14:paraId="17BC12D5" w14:textId="77777777" w:rsidR="00FA5D91" w:rsidRPr="0081359D" w:rsidRDefault="00FA5D91" w:rsidP="00F4039E">
    <w:pPr>
      <w:autoSpaceDE w:val="0"/>
      <w:ind w:left="4956"/>
      <w:rPr>
        <w:i/>
        <w:iCs/>
        <w:color w:val="0B0A0A"/>
        <w:sz w:val="22"/>
        <w:szCs w:val="22"/>
      </w:rPr>
    </w:pPr>
    <w:r w:rsidRPr="0081359D">
      <w:rPr>
        <w:rFonts w:ascii="AGaramond-Italic" w:hAnsi="AGaramond-Italic" w:cs="AGaramond-Italic"/>
        <w:i/>
        <w:iCs/>
        <w:color w:val="0B0A0A"/>
        <w:sz w:val="22"/>
        <w:szCs w:val="22"/>
      </w:rPr>
      <w:t xml:space="preserve"> </w:t>
    </w:r>
  </w:p>
  <w:p w14:paraId="252B2C9A" w14:textId="77777777" w:rsidR="00FA5D91" w:rsidRPr="0081359D" w:rsidRDefault="00FA5D91" w:rsidP="00FA5D91">
    <w:pPr>
      <w:autoSpaceDE w:val="0"/>
      <w:jc w:val="right"/>
      <w:rPr>
        <w:i/>
        <w:iCs/>
        <w:color w:val="0B0A0A"/>
        <w:sz w:val="21"/>
        <w:szCs w:val="21"/>
      </w:rPr>
    </w:pPr>
    <w:r>
      <w:rPr>
        <w:i/>
        <w:iCs/>
        <w:color w:val="0B0A0A"/>
        <w:sz w:val="21"/>
        <w:szCs w:val="21"/>
      </w:rPr>
      <w:t xml:space="preserve">John Stuart </w:t>
    </w:r>
    <w:r w:rsidRPr="0081359D">
      <w:rPr>
        <w:i/>
        <w:iCs/>
        <w:color w:val="0B0A0A"/>
        <w:sz w:val="21"/>
        <w:szCs w:val="21"/>
      </w:rPr>
      <w:t>MILL</w:t>
    </w:r>
  </w:p>
  <w:p w14:paraId="045AE4C5" w14:textId="77777777" w:rsidR="00FA5D91" w:rsidRPr="0081359D" w:rsidRDefault="00FA5D91" w:rsidP="00FA5D91">
    <w:pPr>
      <w:autoSpaceDE w:val="0"/>
      <w:rPr>
        <w:rFonts w:ascii="Arial" w:hAnsi="Arial" w:cs="Arial"/>
        <w:color w:val="0B0A0A"/>
        <w:sz w:val="22"/>
        <w:szCs w:val="22"/>
      </w:rPr>
    </w:pPr>
    <w:r w:rsidRPr="0081359D">
      <w:rPr>
        <w:rFonts w:ascii="Arial" w:hAnsi="Arial" w:cs="Arial"/>
        <w:color w:val="0B0A0A"/>
      </w:rPr>
      <w:t>U</w:t>
    </w:r>
    <w:r w:rsidRPr="0081359D">
      <w:rPr>
        <w:rFonts w:ascii="Arial" w:hAnsi="Arial" w:cs="Arial"/>
        <w:color w:val="0B0A0A"/>
        <w:sz w:val="22"/>
        <w:szCs w:val="22"/>
      </w:rPr>
      <w:t>ne association pour</w:t>
    </w:r>
  </w:p>
  <w:p w14:paraId="2E06FE5C" w14:textId="77777777" w:rsidR="00912245" w:rsidRPr="00FA5D91" w:rsidRDefault="00FA5D91" w:rsidP="00FA5D91">
    <w:pPr>
      <w:autoSpaceDE w:val="0"/>
      <w:rPr>
        <w:rFonts w:ascii="Arial" w:hAnsi="Arial" w:cs="Arial"/>
        <w:color w:val="0B0A0A"/>
        <w:sz w:val="22"/>
        <w:szCs w:val="22"/>
      </w:rPr>
    </w:pPr>
    <w:proofErr w:type="spellStart"/>
    <w:proofErr w:type="gramStart"/>
    <w:r w:rsidRPr="0081359D">
      <w:rPr>
        <w:rFonts w:ascii="Arial" w:hAnsi="Arial" w:cs="Arial"/>
        <w:b/>
        <w:bCs/>
        <w:color w:val="0B0A0A"/>
        <w:sz w:val="22"/>
        <w:szCs w:val="22"/>
      </w:rPr>
      <w:t>ré</w:t>
    </w:r>
    <w:proofErr w:type="gramEnd"/>
    <w:r w:rsidRPr="0081359D">
      <w:rPr>
        <w:rFonts w:ascii="Arial" w:hAnsi="Arial" w:cs="Arial"/>
        <w:b/>
        <w:bCs/>
        <w:color w:val="0B0A0A"/>
        <w:sz w:val="22"/>
        <w:szCs w:val="22"/>
      </w:rPr>
      <w:t>-agir</w:t>
    </w:r>
    <w:proofErr w:type="spellEnd"/>
    <w:r w:rsidRPr="0081359D">
      <w:rPr>
        <w:rFonts w:ascii="Arial" w:hAnsi="Arial" w:cs="Arial"/>
        <w:b/>
        <w:bCs/>
        <w:color w:val="0B0A0A"/>
        <w:sz w:val="22"/>
        <w:szCs w:val="22"/>
      </w:rPr>
      <w:t xml:space="preserve"> </w:t>
    </w:r>
    <w:r w:rsidRPr="0081359D">
      <w:rPr>
        <w:rFonts w:ascii="Arial" w:hAnsi="Arial" w:cs="Arial"/>
        <w:color w:val="0B0A0A"/>
        <w:sz w:val="22"/>
        <w:szCs w:val="22"/>
      </w:rPr>
      <w:t>au féminin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D11014C"/>
    <w:multiLevelType w:val="hybridMultilevel"/>
    <w:tmpl w:val="7F00A7CA"/>
    <w:lvl w:ilvl="0" w:tplc="02DE7E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952C53"/>
    <w:multiLevelType w:val="hybridMultilevel"/>
    <w:tmpl w:val="5ADC188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723CEF"/>
    <w:multiLevelType w:val="hybridMultilevel"/>
    <w:tmpl w:val="98FC7C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684294D"/>
    <w:multiLevelType w:val="hybridMultilevel"/>
    <w:tmpl w:val="FF9E1E40"/>
    <w:lvl w:ilvl="0" w:tplc="FC503B4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81E73CB"/>
    <w:multiLevelType w:val="hybridMultilevel"/>
    <w:tmpl w:val="CDCCA56C"/>
    <w:lvl w:ilvl="0" w:tplc="F4AE68B2">
      <w:start w:val="7"/>
      <w:numFmt w:val="bullet"/>
      <w:lvlText w:val="-"/>
      <w:lvlJc w:val="left"/>
      <w:pPr>
        <w:ind w:left="720" w:hanging="360"/>
      </w:pPr>
      <w:rPr>
        <w:rFonts w:ascii="Calibri" w:eastAsiaTheme="minorHAnsi"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E611C7B"/>
    <w:multiLevelType w:val="hybridMultilevel"/>
    <w:tmpl w:val="D87A7BF2"/>
    <w:lvl w:ilvl="0" w:tplc="6C2E848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747581353">
    <w:abstractNumId w:val="0"/>
  </w:num>
  <w:num w:numId="2" w16cid:durableId="2136216450">
    <w:abstractNumId w:val="2"/>
  </w:num>
  <w:num w:numId="3" w16cid:durableId="160120678">
    <w:abstractNumId w:val="3"/>
  </w:num>
  <w:num w:numId="4" w16cid:durableId="464589747">
    <w:abstractNumId w:val="1"/>
  </w:num>
  <w:num w:numId="5" w16cid:durableId="1512646431">
    <w:abstractNumId w:val="6"/>
  </w:num>
  <w:num w:numId="6" w16cid:durableId="1438868369">
    <w:abstractNumId w:val="4"/>
  </w:num>
  <w:num w:numId="7" w16cid:durableId="5905097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42"/>
    <w:rsid w:val="00002753"/>
    <w:rsid w:val="000113C3"/>
    <w:rsid w:val="00012973"/>
    <w:rsid w:val="00012FD6"/>
    <w:rsid w:val="000245A7"/>
    <w:rsid w:val="00026033"/>
    <w:rsid w:val="00026B47"/>
    <w:rsid w:val="000349D8"/>
    <w:rsid w:val="000445D3"/>
    <w:rsid w:val="00062F23"/>
    <w:rsid w:val="000707BD"/>
    <w:rsid w:val="0007159C"/>
    <w:rsid w:val="000828E0"/>
    <w:rsid w:val="0009493C"/>
    <w:rsid w:val="00096C24"/>
    <w:rsid w:val="000C53AF"/>
    <w:rsid w:val="000E1669"/>
    <w:rsid w:val="000F0A39"/>
    <w:rsid w:val="000F163A"/>
    <w:rsid w:val="000F3868"/>
    <w:rsid w:val="000F4439"/>
    <w:rsid w:val="000F5E7E"/>
    <w:rsid w:val="001113DE"/>
    <w:rsid w:val="00124CC1"/>
    <w:rsid w:val="00140E22"/>
    <w:rsid w:val="00143F6F"/>
    <w:rsid w:val="00160CDD"/>
    <w:rsid w:val="001D47E7"/>
    <w:rsid w:val="001E0382"/>
    <w:rsid w:val="00206AC8"/>
    <w:rsid w:val="00256525"/>
    <w:rsid w:val="002603F1"/>
    <w:rsid w:val="002A154D"/>
    <w:rsid w:val="002E0210"/>
    <w:rsid w:val="002F59DD"/>
    <w:rsid w:val="0034430D"/>
    <w:rsid w:val="00352ABD"/>
    <w:rsid w:val="00367EC7"/>
    <w:rsid w:val="003A2298"/>
    <w:rsid w:val="003B388F"/>
    <w:rsid w:val="003E16C2"/>
    <w:rsid w:val="00426AF0"/>
    <w:rsid w:val="00431B56"/>
    <w:rsid w:val="00441BC5"/>
    <w:rsid w:val="004434EF"/>
    <w:rsid w:val="004614EB"/>
    <w:rsid w:val="00462710"/>
    <w:rsid w:val="00477040"/>
    <w:rsid w:val="0048648E"/>
    <w:rsid w:val="00496B55"/>
    <w:rsid w:val="004B4377"/>
    <w:rsid w:val="004C2425"/>
    <w:rsid w:val="004D394C"/>
    <w:rsid w:val="00505484"/>
    <w:rsid w:val="00507D8B"/>
    <w:rsid w:val="0051417C"/>
    <w:rsid w:val="00525FD6"/>
    <w:rsid w:val="00536B45"/>
    <w:rsid w:val="00560821"/>
    <w:rsid w:val="00563581"/>
    <w:rsid w:val="00581207"/>
    <w:rsid w:val="00592E43"/>
    <w:rsid w:val="00595518"/>
    <w:rsid w:val="005A5E26"/>
    <w:rsid w:val="006200C0"/>
    <w:rsid w:val="00636E83"/>
    <w:rsid w:val="00637DA1"/>
    <w:rsid w:val="00677A8C"/>
    <w:rsid w:val="006A000B"/>
    <w:rsid w:val="006A1531"/>
    <w:rsid w:val="006A4993"/>
    <w:rsid w:val="006A6F77"/>
    <w:rsid w:val="006C2CCE"/>
    <w:rsid w:val="006C2E60"/>
    <w:rsid w:val="006D1429"/>
    <w:rsid w:val="006F30F5"/>
    <w:rsid w:val="0070499B"/>
    <w:rsid w:val="00741B16"/>
    <w:rsid w:val="00783EE8"/>
    <w:rsid w:val="0078601F"/>
    <w:rsid w:val="00795935"/>
    <w:rsid w:val="007B078F"/>
    <w:rsid w:val="007D4F0C"/>
    <w:rsid w:val="007F0530"/>
    <w:rsid w:val="007F14AE"/>
    <w:rsid w:val="00812FFF"/>
    <w:rsid w:val="008361F9"/>
    <w:rsid w:val="00847818"/>
    <w:rsid w:val="008523A0"/>
    <w:rsid w:val="00891D1A"/>
    <w:rsid w:val="00892C76"/>
    <w:rsid w:val="008A366B"/>
    <w:rsid w:val="008B534B"/>
    <w:rsid w:val="008B57B2"/>
    <w:rsid w:val="008D2F43"/>
    <w:rsid w:val="008E0487"/>
    <w:rsid w:val="008E4363"/>
    <w:rsid w:val="008F2F3E"/>
    <w:rsid w:val="008F3CF6"/>
    <w:rsid w:val="00912245"/>
    <w:rsid w:val="00933F73"/>
    <w:rsid w:val="00936B2A"/>
    <w:rsid w:val="00942CF3"/>
    <w:rsid w:val="00946C81"/>
    <w:rsid w:val="0097319F"/>
    <w:rsid w:val="009764D4"/>
    <w:rsid w:val="00991915"/>
    <w:rsid w:val="00996CDE"/>
    <w:rsid w:val="009B7943"/>
    <w:rsid w:val="009F0618"/>
    <w:rsid w:val="009F3C3E"/>
    <w:rsid w:val="00A1159D"/>
    <w:rsid w:val="00A25EB1"/>
    <w:rsid w:val="00A2633D"/>
    <w:rsid w:val="00A26BB4"/>
    <w:rsid w:val="00A275BC"/>
    <w:rsid w:val="00A337E5"/>
    <w:rsid w:val="00A42B57"/>
    <w:rsid w:val="00A755CA"/>
    <w:rsid w:val="00A835F3"/>
    <w:rsid w:val="00A85280"/>
    <w:rsid w:val="00AC64D6"/>
    <w:rsid w:val="00B26469"/>
    <w:rsid w:val="00B32242"/>
    <w:rsid w:val="00B34F07"/>
    <w:rsid w:val="00B81A53"/>
    <w:rsid w:val="00B84A8C"/>
    <w:rsid w:val="00B900AC"/>
    <w:rsid w:val="00BA2587"/>
    <w:rsid w:val="00BA38FE"/>
    <w:rsid w:val="00BA5736"/>
    <w:rsid w:val="00C15ED3"/>
    <w:rsid w:val="00C15F0F"/>
    <w:rsid w:val="00C32994"/>
    <w:rsid w:val="00C427EF"/>
    <w:rsid w:val="00C55DD6"/>
    <w:rsid w:val="00C90E0D"/>
    <w:rsid w:val="00CA350C"/>
    <w:rsid w:val="00CC19B0"/>
    <w:rsid w:val="00CC6699"/>
    <w:rsid w:val="00D43992"/>
    <w:rsid w:val="00D466E0"/>
    <w:rsid w:val="00D56F6A"/>
    <w:rsid w:val="00D57204"/>
    <w:rsid w:val="00D65011"/>
    <w:rsid w:val="00D91A8A"/>
    <w:rsid w:val="00DA111E"/>
    <w:rsid w:val="00DA4431"/>
    <w:rsid w:val="00DD4538"/>
    <w:rsid w:val="00DF2F47"/>
    <w:rsid w:val="00DF579D"/>
    <w:rsid w:val="00E0098B"/>
    <w:rsid w:val="00E117C4"/>
    <w:rsid w:val="00E1282B"/>
    <w:rsid w:val="00E24FCB"/>
    <w:rsid w:val="00E51CC2"/>
    <w:rsid w:val="00E77407"/>
    <w:rsid w:val="00E945A2"/>
    <w:rsid w:val="00EA130B"/>
    <w:rsid w:val="00ED4E2C"/>
    <w:rsid w:val="00EF761D"/>
    <w:rsid w:val="00F01E75"/>
    <w:rsid w:val="00F17673"/>
    <w:rsid w:val="00F2515B"/>
    <w:rsid w:val="00F335A6"/>
    <w:rsid w:val="00F4039E"/>
    <w:rsid w:val="00F457BF"/>
    <w:rsid w:val="00F56CE0"/>
    <w:rsid w:val="00F70CAB"/>
    <w:rsid w:val="00F72FCF"/>
    <w:rsid w:val="00F87AF1"/>
    <w:rsid w:val="00FA0DB9"/>
    <w:rsid w:val="00FA2F83"/>
    <w:rsid w:val="00FA5D91"/>
    <w:rsid w:val="00FB4149"/>
    <w:rsid w:val="00FD0AA4"/>
    <w:rsid w:val="00FF29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D3D42"/>
  <w15:chartTrackingRefBased/>
  <w15:docId w15:val="{A18CE652-6A9E-4C45-9428-7EADFE046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semiHidden/>
    <w:unhideWhenUsed/>
    <w:qFormat/>
    <w:rsid w:val="00096C24"/>
    <w:pPr>
      <w:keepNext/>
      <w:spacing w:before="240" w:after="60"/>
      <w:outlineLvl w:val="2"/>
    </w:pPr>
    <w:rPr>
      <w:rFonts w:ascii="Cambria" w:hAnsi="Cambria"/>
      <w:b/>
      <w:bCs/>
      <w:sz w:val="26"/>
      <w:szCs w:val="26"/>
    </w:rPr>
  </w:style>
  <w:style w:type="paragraph" w:styleId="Heading5">
    <w:name w:val="heading 5"/>
    <w:basedOn w:val="Normal"/>
    <w:next w:val="Normal"/>
    <w:qFormat/>
    <w:pPr>
      <w:keepNext/>
      <w:numPr>
        <w:ilvl w:val="4"/>
        <w:numId w:val="1"/>
      </w:numPr>
      <w:ind w:right="70"/>
      <w:jc w:val="center"/>
      <w:outlineLvl w:val="4"/>
    </w:pPr>
    <w:rPr>
      <w:rFonts w:ascii="Comic Sans MS" w:hAnsi="Comic Sans MS"/>
      <w:b/>
      <w:bCs/>
      <w:sz w:val="20"/>
    </w:rPr>
  </w:style>
  <w:style w:type="paragraph" w:styleId="Heading6">
    <w:name w:val="heading 6"/>
    <w:basedOn w:val="Normal"/>
    <w:next w:val="Normal"/>
    <w:qFormat/>
    <w:pPr>
      <w:keepNext/>
      <w:numPr>
        <w:ilvl w:val="5"/>
        <w:numId w:val="1"/>
      </w:numPr>
      <w:ind w:right="70"/>
      <w:outlineLvl w:val="5"/>
    </w:pPr>
    <w:rPr>
      <w:rFonts w:ascii="Comic Sans MS" w:hAnsi="Comic Sans MS"/>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Policepardfaut2">
    <w:name w:val="Police par défaut2"/>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Policepardfaut1">
    <w:name w:val="Police par défaut1"/>
  </w:style>
  <w:style w:type="character" w:styleId="Hyperlink">
    <w:name w:val="Hyperlink"/>
    <w:semiHidden/>
    <w:rPr>
      <w:color w:val="0000FF"/>
      <w:u w:val="single"/>
    </w:rPr>
  </w:style>
  <w:style w:type="character" w:styleId="PageNumber">
    <w:name w:val="page number"/>
    <w:basedOn w:val="Policepardfaut1"/>
  </w:style>
  <w:style w:type="character" w:customStyle="1" w:styleId="text21">
    <w:name w:val="text21"/>
    <w:basedOn w:val="Policepardfaut1"/>
  </w:style>
  <w:style w:type="character" w:customStyle="1" w:styleId="CorpsdetexteCar">
    <w:name w:val="Corps de texte Car"/>
    <w:rPr>
      <w:rFonts w:eastAsia="Lucida Sans Unicode"/>
      <w:sz w:val="24"/>
      <w:szCs w:val="24"/>
    </w:rPr>
  </w:style>
  <w:style w:type="paragraph" w:customStyle="1" w:styleId="Titre2">
    <w:name w:val="Titre2"/>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semiHidden/>
    <w:pPr>
      <w:widowControl w:val="0"/>
      <w:spacing w:after="120"/>
    </w:pPr>
    <w:rPr>
      <w:rFonts w:eastAsia="Lucida Sans Unicode"/>
    </w:rPr>
  </w:style>
  <w:style w:type="paragraph" w:styleId="List">
    <w:name w:val="List"/>
    <w:basedOn w:val="BodyText"/>
    <w:semiHidden/>
    <w:rPr>
      <w:rFonts w:cs="Tahoma"/>
    </w:rPr>
  </w:style>
  <w:style w:type="paragraph" w:customStyle="1" w:styleId="Lgende2">
    <w:name w:val="Légende2"/>
    <w:basedOn w:val="Normal"/>
    <w:pPr>
      <w:suppressLineNumbers/>
      <w:spacing w:before="120" w:after="120"/>
    </w:pPr>
    <w:rPr>
      <w:rFonts w:cs="Tahoma"/>
      <w:i/>
      <w:iCs/>
    </w:rPr>
  </w:style>
  <w:style w:type="paragraph" w:customStyle="1" w:styleId="Rpertoire">
    <w:name w:val="Répertoire"/>
    <w:basedOn w:val="Normal"/>
    <w:pPr>
      <w:suppressLineNumbers/>
    </w:pPr>
    <w:rPr>
      <w:rFonts w:cs="Tahoma"/>
    </w:rPr>
  </w:style>
  <w:style w:type="paragraph" w:customStyle="1" w:styleId="Titre1">
    <w:name w:val="Titre1"/>
    <w:basedOn w:val="Normal"/>
    <w:next w:val="BodyText"/>
    <w:pPr>
      <w:keepNext/>
      <w:spacing w:before="240" w:after="120"/>
    </w:pPr>
    <w:rPr>
      <w:rFonts w:ascii="Arial" w:eastAsia="Lucida Sans Unicode" w:hAnsi="Arial" w:cs="Tahoma"/>
      <w:sz w:val="28"/>
      <w:szCs w:val="28"/>
    </w:rPr>
  </w:style>
  <w:style w:type="paragraph" w:customStyle="1" w:styleId="Lgende1">
    <w:name w:val="Légende1"/>
    <w:basedOn w:val="Normal"/>
    <w:pPr>
      <w:suppressLineNumbers/>
      <w:spacing w:before="120" w:after="120"/>
    </w:pPr>
    <w:rPr>
      <w:rFonts w:cs="Tahoma"/>
      <w:i/>
      <w:iCs/>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customStyle="1" w:styleId="Corpsdetexte21">
    <w:name w:val="Corps de texte 21"/>
    <w:basedOn w:val="Normal"/>
    <w:pPr>
      <w:jc w:val="both"/>
    </w:pPr>
    <w:rPr>
      <w:rFonts w:ascii="Arial" w:hAnsi="Arial"/>
      <w:sz w:val="22"/>
    </w:rPr>
  </w:style>
  <w:style w:type="paragraph" w:styleId="NoSpacing">
    <w:name w:val="No Spacing"/>
    <w:uiPriority w:val="1"/>
    <w:qFormat/>
    <w:pPr>
      <w:suppressAutoHyphens/>
    </w:pPr>
    <w:rPr>
      <w:rFonts w:ascii="Calibri" w:eastAsia="Calibri" w:hAnsi="Calibri"/>
      <w:sz w:val="22"/>
      <w:szCs w:val="22"/>
      <w:lang w:eastAsia="ar-SA"/>
    </w:rPr>
  </w:style>
  <w:style w:type="character" w:styleId="Strong">
    <w:name w:val="Strong"/>
    <w:uiPriority w:val="22"/>
    <w:qFormat/>
    <w:rsid w:val="000707BD"/>
    <w:rPr>
      <w:b/>
      <w:bCs/>
    </w:rPr>
  </w:style>
  <w:style w:type="character" w:customStyle="1" w:styleId="Heading3Char">
    <w:name w:val="Heading 3 Char"/>
    <w:link w:val="Heading3"/>
    <w:uiPriority w:val="9"/>
    <w:semiHidden/>
    <w:rsid w:val="00096C24"/>
    <w:rPr>
      <w:rFonts w:ascii="Cambria" w:eastAsia="Times New Roman" w:hAnsi="Cambria" w:cs="Times New Roman"/>
      <w:b/>
      <w:bCs/>
      <w:sz w:val="26"/>
      <w:szCs w:val="26"/>
      <w:lang w:eastAsia="ar-SA"/>
    </w:rPr>
  </w:style>
  <w:style w:type="paragraph" w:styleId="NormalWeb">
    <w:name w:val="Normal (Web)"/>
    <w:basedOn w:val="Normal"/>
    <w:uiPriority w:val="99"/>
    <w:rsid w:val="00096C24"/>
    <w:pPr>
      <w:suppressAutoHyphens w:val="0"/>
      <w:spacing w:before="100" w:beforeAutospacing="1" w:after="100" w:afterAutospacing="1"/>
    </w:pPr>
    <w:rPr>
      <w:lang w:eastAsia="fr-FR"/>
    </w:rPr>
  </w:style>
  <w:style w:type="character" w:styleId="UnresolvedMention">
    <w:name w:val="Unresolved Mention"/>
    <w:uiPriority w:val="99"/>
    <w:semiHidden/>
    <w:unhideWhenUsed/>
    <w:rsid w:val="00160CDD"/>
    <w:rPr>
      <w:color w:val="808080"/>
      <w:shd w:val="clear" w:color="auto" w:fill="E6E6E6"/>
    </w:rPr>
  </w:style>
  <w:style w:type="paragraph" w:styleId="BalloonText">
    <w:name w:val="Balloon Text"/>
    <w:basedOn w:val="Normal"/>
    <w:link w:val="BalloonTextChar"/>
    <w:uiPriority w:val="99"/>
    <w:semiHidden/>
    <w:unhideWhenUsed/>
    <w:rsid w:val="00892C76"/>
    <w:rPr>
      <w:rFonts w:ascii="Segoe UI" w:hAnsi="Segoe UI" w:cs="Segoe UI"/>
      <w:sz w:val="18"/>
      <w:szCs w:val="18"/>
    </w:rPr>
  </w:style>
  <w:style w:type="character" w:customStyle="1" w:styleId="BalloonTextChar">
    <w:name w:val="Balloon Text Char"/>
    <w:link w:val="BalloonText"/>
    <w:uiPriority w:val="99"/>
    <w:semiHidden/>
    <w:rsid w:val="00892C76"/>
    <w:rPr>
      <w:rFonts w:ascii="Segoe UI" w:hAnsi="Segoe UI" w:cs="Segoe UI"/>
      <w:sz w:val="18"/>
      <w:szCs w:val="18"/>
      <w:lang w:eastAsia="ar-SA"/>
    </w:rPr>
  </w:style>
  <w:style w:type="character" w:styleId="FollowedHyperlink">
    <w:name w:val="FollowedHyperlink"/>
    <w:uiPriority w:val="99"/>
    <w:semiHidden/>
    <w:unhideWhenUsed/>
    <w:rsid w:val="00BA38FE"/>
    <w:rPr>
      <w:color w:val="954F72"/>
      <w:u w:val="single"/>
    </w:rPr>
  </w:style>
  <w:style w:type="character" w:styleId="Emphasis">
    <w:name w:val="Emphasis"/>
    <w:uiPriority w:val="20"/>
    <w:qFormat/>
    <w:rsid w:val="005A5E26"/>
    <w:rPr>
      <w:i/>
      <w:iCs/>
    </w:rPr>
  </w:style>
  <w:style w:type="paragraph" w:styleId="FootnoteText">
    <w:name w:val="footnote text"/>
    <w:basedOn w:val="Normal"/>
    <w:link w:val="FootnoteTextChar"/>
    <w:uiPriority w:val="99"/>
    <w:semiHidden/>
    <w:unhideWhenUsed/>
    <w:rsid w:val="00991915"/>
    <w:pPr>
      <w:suppressAutoHyphens w:val="0"/>
    </w:pPr>
    <w:rPr>
      <w:rFonts w:ascii="Calibri" w:eastAsia="Calibri" w:hAnsi="Calibri"/>
      <w:sz w:val="20"/>
      <w:szCs w:val="20"/>
      <w:lang w:eastAsia="en-US"/>
    </w:rPr>
  </w:style>
  <w:style w:type="character" w:customStyle="1" w:styleId="FootnoteTextChar">
    <w:name w:val="Footnote Text Char"/>
    <w:link w:val="FootnoteText"/>
    <w:uiPriority w:val="99"/>
    <w:semiHidden/>
    <w:rsid w:val="00991915"/>
    <w:rPr>
      <w:rFonts w:ascii="Calibri" w:eastAsia="Calibri" w:hAnsi="Calibri"/>
      <w:lang w:eastAsia="en-US"/>
    </w:rPr>
  </w:style>
  <w:style w:type="character" w:styleId="FootnoteReference">
    <w:name w:val="footnote reference"/>
    <w:uiPriority w:val="99"/>
    <w:semiHidden/>
    <w:unhideWhenUsed/>
    <w:rsid w:val="00991915"/>
    <w:rPr>
      <w:vertAlign w:val="superscript"/>
    </w:rPr>
  </w:style>
  <w:style w:type="paragraph" w:styleId="ListParagraph">
    <w:name w:val="List Paragraph"/>
    <w:basedOn w:val="Normal"/>
    <w:uiPriority w:val="34"/>
    <w:qFormat/>
    <w:rsid w:val="00636E83"/>
    <w:pPr>
      <w:suppressAutoHyphens w:val="0"/>
      <w:ind w:left="720"/>
      <w:contextualSpacing/>
    </w:pPr>
    <w:rPr>
      <w:rFonts w:ascii="Calibri" w:eastAsia="Calibri" w:hAnsi="Calibri"/>
      <w:lang w:eastAsia="en-US"/>
    </w:rPr>
  </w:style>
  <w:style w:type="paragraph" w:customStyle="1" w:styleId="FirstParagraph">
    <w:name w:val="First Paragraph"/>
    <w:basedOn w:val="BodyText"/>
    <w:next w:val="BodyText"/>
    <w:qFormat/>
    <w:rsid w:val="00F70CAB"/>
    <w:pPr>
      <w:widowControl/>
      <w:suppressAutoHyphens w:val="0"/>
      <w:spacing w:before="180" w:after="180"/>
    </w:pPr>
    <w:rPr>
      <w:rFonts w:ascii="Cambria" w:eastAsia="Cambria" w:hAnsi="Cambria"/>
      <w:lang w:val="en-US" w:eastAsia="en-US"/>
    </w:rPr>
  </w:style>
  <w:style w:type="paragraph" w:customStyle="1" w:styleId="Compact">
    <w:name w:val="Compact"/>
    <w:basedOn w:val="BodyText"/>
    <w:qFormat/>
    <w:rsid w:val="00F70CAB"/>
    <w:pPr>
      <w:widowControl/>
      <w:suppressAutoHyphens w:val="0"/>
      <w:spacing w:before="36" w:after="36"/>
    </w:pPr>
    <w:rPr>
      <w:rFonts w:ascii="Cambria" w:eastAsia="Cambria" w:hAnsi="Cambria"/>
      <w:lang w:val="en-US" w:eastAsia="en-US"/>
    </w:rPr>
  </w:style>
  <w:style w:type="table" w:styleId="TableGrid">
    <w:name w:val="Table Grid"/>
    <w:basedOn w:val="TableNormal"/>
    <w:rsid w:val="00F70CAB"/>
    <w:rPr>
      <w:rFonts w:ascii="Cambria" w:eastAsia="Cambria"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A25EB1"/>
    <w:rPr>
      <w:rFonts w:eastAsia="SimSun"/>
    </w:rPr>
  </w:style>
  <w:style w:type="character" w:customStyle="1" w:styleId="apple-converted-space">
    <w:name w:val="apple-converted-space"/>
    <w:basedOn w:val="DefaultParagraphFont"/>
    <w:rsid w:val="00143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150179">
      <w:bodyDiv w:val="1"/>
      <w:marLeft w:val="0"/>
      <w:marRight w:val="0"/>
      <w:marTop w:val="0"/>
      <w:marBottom w:val="0"/>
      <w:divBdr>
        <w:top w:val="none" w:sz="0" w:space="0" w:color="auto"/>
        <w:left w:val="none" w:sz="0" w:space="0" w:color="auto"/>
        <w:bottom w:val="none" w:sz="0" w:space="0" w:color="auto"/>
        <w:right w:val="none" w:sz="0" w:space="0" w:color="auto"/>
      </w:divBdr>
    </w:div>
    <w:div w:id="146318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A3D18-E037-EE4F-AB63-930F38EF2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1478</Words>
  <Characters>8426</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BUDGET  PREVISIONNEL</vt:lpstr>
    </vt:vector>
  </TitlesOfParts>
  <Company>Regards de Femmes</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  PREVISIONNEL</dc:title>
  <dc:subject/>
  <dc:creator>AV</dc:creator>
  <cp:keywords/>
  <cp:lastModifiedBy>Caroline Harvey</cp:lastModifiedBy>
  <cp:revision>2</cp:revision>
  <cp:lastPrinted>2021-10-23T07:18:00Z</cp:lastPrinted>
  <dcterms:created xsi:type="dcterms:W3CDTF">2023-09-12T10:49:00Z</dcterms:created>
  <dcterms:modified xsi:type="dcterms:W3CDTF">2023-09-12T10:49:00Z</dcterms:modified>
</cp:coreProperties>
</file>