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lang w:val="fr-FR" w:eastAsia="fr-FR"/>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28F1C400" w:rsidR="00767639" w:rsidRDefault="00E24EB5" w:rsidP="007C345C">
      <w:pPr>
        <w:spacing w:after="120"/>
      </w:pPr>
      <w:r w:rsidRPr="00FE1332">
        <w:rPr>
          <w:b/>
          <w:sz w:val="28"/>
          <w:szCs w:val="28"/>
        </w:rPr>
        <w:t>BRIEFING ON</w:t>
      </w:r>
      <w:r w:rsidR="00B36535">
        <w:rPr>
          <w:b/>
          <w:sz w:val="28"/>
          <w:szCs w:val="28"/>
        </w:rPr>
        <w:t xml:space="preserve"> </w:t>
      </w:r>
      <w:r w:rsidR="00880F89">
        <w:rPr>
          <w:b/>
          <w:sz w:val="28"/>
          <w:szCs w:val="28"/>
          <w:u w:val="single"/>
        </w:rPr>
        <w:t>SWITZERLAND</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Pr="00FE1332">
        <w:rPr>
          <w:b/>
          <w:sz w:val="28"/>
          <w:szCs w:val="28"/>
        </w:rPr>
        <w:t xml:space="preserve"> –</w:t>
      </w:r>
      <w:r w:rsidR="003803FE">
        <w:rPr>
          <w:b/>
          <w:sz w:val="28"/>
          <w:szCs w:val="28"/>
        </w:rPr>
        <w:t xml:space="preserve"> </w:t>
      </w:r>
      <w:r w:rsidR="00E67865" w:rsidRPr="00E67865">
        <w:rPr>
          <w:b/>
          <w:sz w:val="28"/>
          <w:szCs w:val="28"/>
          <w:u w:val="single"/>
        </w:rPr>
        <w:t>5</w:t>
      </w:r>
      <w:r w:rsidR="00880F89">
        <w:rPr>
          <w:b/>
          <w:sz w:val="28"/>
          <w:szCs w:val="28"/>
          <w:u w:val="single"/>
        </w:rPr>
        <w:t>5</w:t>
      </w:r>
      <w:r w:rsidR="007C345C" w:rsidRPr="007C345C">
        <w:rPr>
          <w:b/>
          <w:sz w:val="28"/>
          <w:szCs w:val="28"/>
          <w:u w:val="single"/>
          <w:vertAlign w:val="superscript"/>
        </w:rPr>
        <w:t>th</w:t>
      </w:r>
      <w:r w:rsidR="00E67865" w:rsidRPr="00E67865">
        <w:rPr>
          <w:b/>
          <w:sz w:val="28"/>
          <w:szCs w:val="28"/>
          <w:u w:val="single"/>
        </w:rPr>
        <w:t xml:space="preserve"> session </w:t>
      </w:r>
      <w:r w:rsidR="00880F89">
        <w:rPr>
          <w:b/>
          <w:sz w:val="28"/>
          <w:szCs w:val="28"/>
          <w:u w:val="single"/>
        </w:rPr>
        <w:t>July/August</w:t>
      </w:r>
      <w:r w:rsidR="007C345C">
        <w:rPr>
          <w:b/>
          <w:sz w:val="28"/>
          <w:szCs w:val="28"/>
          <w:u w:val="single"/>
        </w:rPr>
        <w:t xml:space="preserve"> 2015</w:t>
      </w:r>
    </w:p>
    <w:p w14:paraId="787EFC65" w14:textId="6BD79A68"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fr-FR" w:eastAsia="fr-FR"/>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11531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115310"/>
                        </a:xfrm>
                        <a:prstGeom prst="rect">
                          <a:avLst/>
                        </a:prstGeom>
                        <a:solidFill>
                          <a:srgbClr val="FFFFFF"/>
                        </a:solidFill>
                        <a:ln w="9525">
                          <a:solidFill>
                            <a:srgbClr val="000000"/>
                          </a:solidFill>
                          <a:miter lim="800000"/>
                          <a:headEnd/>
                          <a:tailEnd/>
                        </a:ln>
                      </wps:spPr>
                      <wps:txbx>
                        <w:txbxContent>
                          <w:p w14:paraId="31EEB852" w14:textId="5078A65C" w:rsidR="00A53D5E" w:rsidRPr="00880F89" w:rsidRDefault="00A53D5E" w:rsidP="00880F89">
                            <w:pPr>
                              <w:spacing w:after="120"/>
                              <w:rPr>
                                <w:b/>
                                <w:sz w:val="28"/>
                                <w:szCs w:val="28"/>
                              </w:rPr>
                            </w:pPr>
                            <w:r w:rsidRPr="00880F89">
                              <w:rPr>
                                <w:b/>
                                <w:sz w:val="28"/>
                                <w:szCs w:val="28"/>
                              </w:rPr>
                              <w:t>This briefing describes the legality of corporal punishment of children in Switzerland</w:t>
                            </w:r>
                            <w:r>
                              <w:rPr>
                                <w:b/>
                                <w:sz w:val="28"/>
                                <w:szCs w:val="28"/>
                              </w:rPr>
                              <w:t>, particularly in response to the Government’s claim in the initial report to the Committee Against Torture that existing legislation offers adequate protection</w:t>
                            </w:r>
                            <w:r w:rsidRPr="00880F89">
                              <w:rPr>
                                <w:b/>
                                <w:sz w:val="28"/>
                                <w:szCs w:val="28"/>
                              </w:rPr>
                              <w:t xml:space="preserve">. In light of the obligation under international human rights law to prohibit all corporal punishment of children, the recommendations of the UN Secretary General’s Study on Violence against Children and the recommendations to Switzerland by the </w:t>
                            </w:r>
                            <w:r w:rsidR="00680A45" w:rsidRPr="00880F89">
                              <w:rPr>
                                <w:b/>
                                <w:sz w:val="28"/>
                                <w:szCs w:val="28"/>
                              </w:rPr>
                              <w:t>Committee Against Torture</w:t>
                            </w:r>
                            <w:r w:rsidR="00680A45">
                              <w:rPr>
                                <w:b/>
                                <w:sz w:val="28"/>
                                <w:szCs w:val="28"/>
                              </w:rPr>
                              <w:t>, the</w:t>
                            </w:r>
                            <w:r w:rsidR="00680A45" w:rsidRPr="00880F89">
                              <w:rPr>
                                <w:b/>
                                <w:sz w:val="28"/>
                                <w:szCs w:val="28"/>
                              </w:rPr>
                              <w:t xml:space="preserve"> </w:t>
                            </w:r>
                            <w:r w:rsidRPr="00880F89">
                              <w:rPr>
                                <w:b/>
                                <w:sz w:val="28"/>
                                <w:szCs w:val="28"/>
                              </w:rPr>
                              <w:t>Committee</w:t>
                            </w:r>
                            <w:r w:rsidR="00680A45">
                              <w:rPr>
                                <w:b/>
                                <w:sz w:val="28"/>
                                <w:szCs w:val="28"/>
                              </w:rPr>
                              <w:t xml:space="preserve"> on the Rights of the Child</w:t>
                            </w:r>
                            <w:r w:rsidRPr="00880F89">
                              <w:rPr>
                                <w:b/>
                                <w:sz w:val="28"/>
                                <w:szCs w:val="28"/>
                              </w:rPr>
                              <w:t xml:space="preserve"> and during the Universal Periodic Review (which the Government rejected), we hope the </w:t>
                            </w:r>
                            <w:r>
                              <w:rPr>
                                <w:b/>
                                <w:sz w:val="28"/>
                                <w:szCs w:val="28"/>
                              </w:rPr>
                              <w:t xml:space="preserve">Committee </w:t>
                            </w:r>
                            <w:r w:rsidRPr="00880F89">
                              <w:rPr>
                                <w:b/>
                                <w:sz w:val="28"/>
                                <w:szCs w:val="28"/>
                              </w:rPr>
                              <w:t>will:</w:t>
                            </w:r>
                          </w:p>
                          <w:p w14:paraId="07E8AD91" w14:textId="0A06F68F" w:rsidR="00A53D5E" w:rsidRPr="004817BA" w:rsidRDefault="00A53D5E" w:rsidP="004817BA">
                            <w:pPr>
                              <w:pStyle w:val="ListParagraph"/>
                              <w:numPr>
                                <w:ilvl w:val="0"/>
                                <w:numId w:val="13"/>
                              </w:numPr>
                              <w:spacing w:after="120"/>
                              <w:rPr>
                                <w:sz w:val="26"/>
                                <w:szCs w:val="26"/>
                              </w:rPr>
                            </w:pPr>
                            <w:proofErr w:type="gramStart"/>
                            <w:r>
                              <w:rPr>
                                <w:b/>
                                <w:sz w:val="28"/>
                                <w:szCs w:val="28"/>
                              </w:rPr>
                              <w:t>express</w:t>
                            </w:r>
                            <w:proofErr w:type="gramEnd"/>
                            <w:r>
                              <w:rPr>
                                <w:b/>
                                <w:sz w:val="28"/>
                                <w:szCs w:val="28"/>
                              </w:rPr>
                              <w:t xml:space="preserve"> concern at the failure to date to explicitly prohibit all corporal punishment in Switzerland and recommend that legislation is enacted which prohibits all corporal punishment in all settings, without exception, and explicitly repeals the “right of correction”</w:t>
                            </w:r>
                            <w:r w:rsidRPr="00A651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45.3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">
                <v:textbox style="mso-fit-shape-to-text:t">
                  <w:txbxContent>
                    <w:p w14:paraId="31EEB852" w14:textId="5078A65C" w:rsidR="00A53D5E" w:rsidRPr="00880F89" w:rsidRDefault="00A53D5E" w:rsidP="00880F89">
                      <w:pPr>
                        <w:spacing w:after="120"/>
                        <w:rPr>
                          <w:b/>
                          <w:sz w:val="28"/>
                          <w:szCs w:val="28"/>
                        </w:rPr>
                      </w:pPr>
                      <w:r w:rsidRPr="00880F89">
                        <w:rPr>
                          <w:b/>
                          <w:sz w:val="28"/>
                          <w:szCs w:val="28"/>
                        </w:rPr>
                        <w:t>This briefing describes the legality of corporal punishment of children in Switzerland</w:t>
                      </w:r>
                      <w:r>
                        <w:rPr>
                          <w:b/>
                          <w:sz w:val="28"/>
                          <w:szCs w:val="28"/>
                        </w:rPr>
                        <w:t>, particularly in response to the Government’s claim in the initial report to the Committee Against Torture that existing legislation offers adequate protection</w:t>
                      </w:r>
                      <w:r w:rsidRPr="00880F89">
                        <w:rPr>
                          <w:b/>
                          <w:sz w:val="28"/>
                          <w:szCs w:val="28"/>
                        </w:rPr>
                        <w:t xml:space="preserve">. In light of the obligation under international human rights law to prohibit all corporal punishment of children, the recommendations of the UN Secretary General’s Study on Violence against Children and the recommendations to Switzerland by the </w:t>
                      </w:r>
                      <w:r w:rsidR="00680A45" w:rsidRPr="00880F89">
                        <w:rPr>
                          <w:b/>
                          <w:sz w:val="28"/>
                          <w:szCs w:val="28"/>
                        </w:rPr>
                        <w:t>Committee Against Torture</w:t>
                      </w:r>
                      <w:r w:rsidR="00680A45">
                        <w:rPr>
                          <w:b/>
                          <w:sz w:val="28"/>
                          <w:szCs w:val="28"/>
                        </w:rPr>
                        <w:t>, the</w:t>
                      </w:r>
                      <w:r w:rsidR="00680A45" w:rsidRPr="00880F89">
                        <w:rPr>
                          <w:b/>
                          <w:sz w:val="28"/>
                          <w:szCs w:val="28"/>
                        </w:rPr>
                        <w:t xml:space="preserve"> </w:t>
                      </w:r>
                      <w:r w:rsidRPr="00880F89">
                        <w:rPr>
                          <w:b/>
                          <w:sz w:val="28"/>
                          <w:szCs w:val="28"/>
                        </w:rPr>
                        <w:t>Committee</w:t>
                      </w:r>
                      <w:r w:rsidR="00680A45">
                        <w:rPr>
                          <w:b/>
                          <w:sz w:val="28"/>
                          <w:szCs w:val="28"/>
                        </w:rPr>
                        <w:t xml:space="preserve"> on the Rights of the Child</w:t>
                      </w:r>
                      <w:r w:rsidRPr="00880F89">
                        <w:rPr>
                          <w:b/>
                          <w:sz w:val="28"/>
                          <w:szCs w:val="28"/>
                        </w:rPr>
                        <w:t xml:space="preserve"> and during the Universal Periodic Review (which the Government rejected), we hope the </w:t>
                      </w:r>
                      <w:r>
                        <w:rPr>
                          <w:b/>
                          <w:sz w:val="28"/>
                          <w:szCs w:val="28"/>
                        </w:rPr>
                        <w:t xml:space="preserve">Committee </w:t>
                      </w:r>
                      <w:r w:rsidRPr="00880F89">
                        <w:rPr>
                          <w:b/>
                          <w:sz w:val="28"/>
                          <w:szCs w:val="28"/>
                        </w:rPr>
                        <w:t>will:</w:t>
                      </w:r>
                    </w:p>
                    <w:p w14:paraId="07E8AD91" w14:textId="0A06F68F" w:rsidR="00A53D5E" w:rsidRPr="004817BA" w:rsidRDefault="00A53D5E" w:rsidP="004817BA">
                      <w:pPr>
                        <w:pStyle w:val="ListParagraph"/>
                        <w:numPr>
                          <w:ilvl w:val="0"/>
                          <w:numId w:val="13"/>
                        </w:numPr>
                        <w:spacing w:after="120"/>
                        <w:rPr>
                          <w:sz w:val="26"/>
                          <w:szCs w:val="26"/>
                        </w:rPr>
                      </w:pPr>
                      <w:proofErr w:type="gramStart"/>
                      <w:r>
                        <w:rPr>
                          <w:b/>
                          <w:sz w:val="28"/>
                          <w:szCs w:val="28"/>
                        </w:rPr>
                        <w:t>express</w:t>
                      </w:r>
                      <w:proofErr w:type="gramEnd"/>
                      <w:r>
                        <w:rPr>
                          <w:b/>
                          <w:sz w:val="28"/>
                          <w:szCs w:val="28"/>
                        </w:rPr>
                        <w:t xml:space="preserve"> concern at the failure to date to explicitly prohibit all corporal punishment in Switzerland and recommend that legislation is enacted which prohibits all corporal punishment in all settings, without exception, and explicitly repeals the “right of correction”</w:t>
                      </w:r>
                      <w:r w:rsidRPr="00A651D0">
                        <w:rPr>
                          <w:b/>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23AED533" w:rsidR="008B273F" w:rsidRPr="00F01BFF" w:rsidRDefault="00B9701A" w:rsidP="00B9701A">
      <w:pPr>
        <w:spacing w:after="120"/>
        <w:rPr>
          <w:b/>
          <w:sz w:val="28"/>
          <w:szCs w:val="28"/>
        </w:rPr>
      </w:pPr>
      <w:r>
        <w:rPr>
          <w:b/>
          <w:sz w:val="28"/>
          <w:szCs w:val="28"/>
        </w:rPr>
        <w:t xml:space="preserve">1 </w:t>
      </w:r>
      <w:r w:rsidR="00880F89">
        <w:rPr>
          <w:b/>
          <w:sz w:val="28"/>
          <w:szCs w:val="28"/>
        </w:rPr>
        <w:t>Switzerland’s</w:t>
      </w:r>
      <w:r w:rsidR="006D0C54">
        <w:rPr>
          <w:b/>
          <w:sz w:val="28"/>
          <w:szCs w:val="28"/>
        </w:rPr>
        <w:t xml:space="preserve"> report to the Committee</w:t>
      </w:r>
    </w:p>
    <w:p w14:paraId="6B9860EC" w14:textId="3F92F7A1" w:rsidR="00880F89" w:rsidRDefault="00BE170C" w:rsidP="00880F89">
      <w:pPr>
        <w:widowControl w:val="0"/>
        <w:autoSpaceDE w:val="0"/>
        <w:autoSpaceDN w:val="0"/>
        <w:adjustRightInd w:val="0"/>
        <w:spacing w:after="120"/>
        <w:ind w:left="482" w:hanging="482"/>
      </w:pPr>
      <w:r>
        <w:t xml:space="preserve">1.1 </w:t>
      </w:r>
      <w:r w:rsidR="005A052F">
        <w:t xml:space="preserve">The List of Issues Prior to Reporting adopted by the Committee Against Torture before the submission of </w:t>
      </w:r>
      <w:r w:rsidR="00880F89">
        <w:t>Switzerland’s</w:t>
      </w:r>
      <w:r w:rsidR="00D52131">
        <w:t xml:space="preserve"> </w:t>
      </w:r>
      <w:r w:rsidR="00880F89">
        <w:t>seventh</w:t>
      </w:r>
      <w:r w:rsidR="005A052F">
        <w:t xml:space="preserve"> report</w:t>
      </w:r>
      <w:r w:rsidR="00E67865" w:rsidRPr="00BE170C">
        <w:t xml:space="preserve"> </w:t>
      </w:r>
      <w:r w:rsidR="006D0C54">
        <w:t xml:space="preserve">asks what </w:t>
      </w:r>
      <w:r w:rsidR="00880F89">
        <w:t>steps</w:t>
      </w:r>
      <w:r w:rsidR="006D0C54">
        <w:t xml:space="preserve"> have been taken to ensure corporal punishment </w:t>
      </w:r>
      <w:r w:rsidR="00880F89">
        <w:t xml:space="preserve">of children </w:t>
      </w:r>
      <w:r w:rsidR="006D0C54">
        <w:t xml:space="preserve">is </w:t>
      </w:r>
      <w:r w:rsidR="00880F89">
        <w:t>specifically</w:t>
      </w:r>
      <w:r w:rsidR="006D0C54">
        <w:t xml:space="preserve"> prohibited in </w:t>
      </w:r>
      <w:r w:rsidR="00880F89">
        <w:t>law</w:t>
      </w:r>
      <w:r w:rsidR="006D0C54">
        <w:t>.</w:t>
      </w:r>
      <w:r w:rsidR="006D0C54">
        <w:rPr>
          <w:rStyle w:val="FootnoteReference"/>
        </w:rPr>
        <w:footnoteReference w:id="1"/>
      </w:r>
      <w:r w:rsidR="00880F89">
        <w:t xml:space="preserve"> In its reply</w:t>
      </w:r>
      <w:r w:rsidR="006D0C54">
        <w:t>,</w:t>
      </w:r>
      <w:r w:rsidR="00880F89">
        <w:rPr>
          <w:rStyle w:val="FootnoteReference"/>
        </w:rPr>
        <w:footnoteReference w:id="2"/>
      </w:r>
      <w:r w:rsidR="006D0C54">
        <w:t xml:space="preserve"> the </w:t>
      </w:r>
      <w:r w:rsidR="00880F89">
        <w:t>Swiss</w:t>
      </w:r>
      <w:r w:rsidR="006D0C54">
        <w:t xml:space="preserve"> Government </w:t>
      </w:r>
      <w:r w:rsidR="00880F89">
        <w:t>explains that the Federal Council has on two occasions considered whether it should adopt specific prohibition of corporal punishment and has concluded that existing laws are sufficient. It notes that</w:t>
      </w:r>
      <w:r w:rsidR="006D0C54">
        <w:t xml:space="preserve"> </w:t>
      </w:r>
      <w:r w:rsidR="00880F89">
        <w:t>the new Civil Code states that parental authority should be primarily for the child’s benefit</w:t>
      </w:r>
      <w:r w:rsidR="00F04914">
        <w:t>, and describes a number of public education and violence prevention initiatives.</w:t>
      </w:r>
    </w:p>
    <w:p w14:paraId="559FB068" w14:textId="7717EB24" w:rsidR="00F04914" w:rsidRDefault="00F04914" w:rsidP="00880F89">
      <w:pPr>
        <w:widowControl w:val="0"/>
        <w:autoSpaceDE w:val="0"/>
        <w:autoSpaceDN w:val="0"/>
        <w:adjustRightInd w:val="0"/>
        <w:spacing w:after="120"/>
        <w:ind w:left="482" w:hanging="482"/>
      </w:pPr>
      <w:r>
        <w:t xml:space="preserve">1.2 Measures aimed at preventing violence in parenting and at promoting non-violent forms of discipline are of course to be welcomed. However, without a clear prohibition of all corporal punishment in law, and </w:t>
      </w:r>
      <w:r w:rsidR="00680A45">
        <w:t xml:space="preserve">particularly </w:t>
      </w:r>
      <w:r>
        <w:t>when the law itself provides for a pare</w:t>
      </w:r>
      <w:r w:rsidR="00680A45">
        <w:t>ntal “right of correction”, these measures</w:t>
      </w:r>
      <w:r>
        <w:t xml:space="preserve"> have no legal foundation. It is disingenuous to assert that legislation protects children from all corporal punishment when in fact it confirms a “right of correction” for parents – a right which is universally held to constitute a legal defence for the use of some degree of physical punishment.</w:t>
      </w:r>
    </w:p>
    <w:p w14:paraId="55EDDE08" w14:textId="61CF13D9" w:rsidR="005A052F" w:rsidRPr="00A53D5E" w:rsidRDefault="00A53D5E" w:rsidP="005E7FE5">
      <w:pPr>
        <w:spacing w:after="120"/>
        <w:ind w:left="482" w:hanging="482"/>
        <w:rPr>
          <w:b/>
        </w:rPr>
      </w:pPr>
      <w:r w:rsidRPr="00A53D5E">
        <w:rPr>
          <w:b/>
        </w:rPr>
        <w:t xml:space="preserve">1.3 We hope the Committee will express concern at the failure to date to explicitly prohibit all corporal punishment in Switzerland and recommend that legislation is enacted which </w:t>
      </w:r>
      <w:r w:rsidRPr="00A53D5E">
        <w:rPr>
          <w:b/>
        </w:rPr>
        <w:lastRenderedPageBreak/>
        <w:t>prohibits all corporal punishment in all settings, without exception, and explicitly repeals the “right of correction”.</w:t>
      </w:r>
    </w:p>
    <w:p w14:paraId="60395E05" w14:textId="77777777" w:rsidR="00A53D5E" w:rsidRDefault="00A53D5E" w:rsidP="005E7FE5">
      <w:pPr>
        <w:spacing w:after="120"/>
        <w:ind w:left="482" w:hanging="482"/>
        <w:rPr>
          <w:b/>
          <w:sz w:val="28"/>
          <w:szCs w:val="28"/>
        </w:rPr>
      </w:pPr>
    </w:p>
    <w:p w14:paraId="79684FE6" w14:textId="77777777" w:rsidR="00880F89" w:rsidRPr="002D5875" w:rsidRDefault="00880F89" w:rsidP="00880F89">
      <w:pPr>
        <w:spacing w:after="120"/>
        <w:ind w:left="482" w:hanging="482"/>
        <w:rPr>
          <w:b/>
          <w:sz w:val="28"/>
          <w:szCs w:val="28"/>
        </w:rPr>
      </w:pPr>
      <w:r w:rsidRPr="002D5875">
        <w:rPr>
          <w:b/>
          <w:sz w:val="28"/>
          <w:szCs w:val="28"/>
        </w:rPr>
        <w:t xml:space="preserve">2 The legality of corporal punishment of children in </w:t>
      </w:r>
      <w:r>
        <w:rPr>
          <w:b/>
          <w:sz w:val="28"/>
          <w:szCs w:val="28"/>
        </w:rPr>
        <w:t>Switzerland</w:t>
      </w:r>
    </w:p>
    <w:p w14:paraId="31CE2B95" w14:textId="2A10BB15" w:rsidR="00880F89" w:rsidRPr="0034499B" w:rsidRDefault="00880F89" w:rsidP="00880F89">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 xml:space="preserve">2.1 </w:t>
      </w:r>
      <w:r w:rsidRPr="0034499B">
        <w:rPr>
          <w:b/>
          <w:i/>
        </w:rPr>
        <w:t>Summary:</w:t>
      </w:r>
      <w:r w:rsidRPr="0034499B">
        <w:t xml:space="preserve"> Corporal punishment is unlawful in </w:t>
      </w:r>
      <w:r>
        <w:t xml:space="preserve">day care, </w:t>
      </w:r>
      <w:r w:rsidRPr="0034499B">
        <w:t>schools and the penal system, but it is not fully prohibited in the home and in all forms of alternative care.</w:t>
      </w:r>
      <w:r>
        <w:t xml:space="preserve"> The Government has claimed that existing law adequately protects children from corporal punishment but in fact the law confirms a “right of correct</w:t>
      </w:r>
      <w:r w:rsidR="00680A45">
        <w:t>ion”</w:t>
      </w:r>
      <w:r>
        <w:t>.</w:t>
      </w:r>
    </w:p>
    <w:p w14:paraId="4D6AC4E0" w14:textId="77777777" w:rsidR="00880F89" w:rsidRDefault="00880F89" w:rsidP="00880F89">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 xml:space="preserve">2.2 </w:t>
      </w:r>
      <w:r w:rsidRPr="0034499B">
        <w:rPr>
          <w:b/>
          <w:i/>
        </w:rPr>
        <w:t>Home (lawful):</w:t>
      </w:r>
      <w:r w:rsidRPr="0034499B">
        <w:t xml:space="preserve"> </w:t>
      </w:r>
      <w:r w:rsidRPr="0058616A">
        <w:t xml:space="preserve">Corporal punishment is lawful </w:t>
      </w:r>
      <w:r>
        <w:t>under the parental “right of correction”</w:t>
      </w:r>
      <w:r w:rsidRPr="0058616A">
        <w:t xml:space="preserve">. </w:t>
      </w:r>
      <w:r>
        <w:t xml:space="preserve">According to the Civil Code 1907 as amended, parents must take care of their child “with his or her best interests in mind” (art. 301) and must “safeguard the child’s physical, mental and moral development” (art. 302). The Code provides for the intervention of the child protection authority where a child’s wellbeing is threatened, including “to remind parents, foster parents or the child of their duties, issue specific instructions regarding care, upbringing or education” (art. 307); when such measures fail, parental authority may be withdrawn (art. 311). </w:t>
      </w:r>
      <w:r w:rsidRPr="0058616A">
        <w:t>The Penal Cod</w:t>
      </w:r>
      <w:r>
        <w:t>e 1937 punishes the causing of physical injury (arts. 122, 123 and 125) and assault (art.</w:t>
      </w:r>
      <w:r w:rsidRPr="0058616A">
        <w:t xml:space="preserve"> 126) and specifies that repeated assault of a child</w:t>
      </w:r>
      <w:r>
        <w:t xml:space="preserve"> (or other specified vulnerable person)</w:t>
      </w:r>
      <w:r w:rsidRPr="0058616A">
        <w:t xml:space="preserve"> by a person having care of </w:t>
      </w:r>
      <w:r>
        <w:t>that</w:t>
      </w:r>
      <w:r w:rsidRPr="0058616A">
        <w:t xml:space="preserve"> child</w:t>
      </w:r>
      <w:r>
        <w:t xml:space="preserve"> (or other specified vulnerable person),</w:t>
      </w:r>
      <w:r w:rsidRPr="0058616A">
        <w:t xml:space="preserve"> will automatically lead to prosecution</w:t>
      </w:r>
      <w:r>
        <w:t xml:space="preserve"> (art. 126). But neither of these Codes explicitly prohibits all corporal punishment in childrearing.</w:t>
      </w:r>
    </w:p>
    <w:p w14:paraId="140FA5BC" w14:textId="4FCFCF0C" w:rsidR="00880F89" w:rsidRPr="0058616A" w:rsidRDefault="00880F89" w:rsidP="00880F89">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2.3 </w:t>
      </w:r>
      <w:r w:rsidR="00A53D5E">
        <w:t>T</w:t>
      </w:r>
      <w:r>
        <w:rPr>
          <w:rFonts w:eastAsia="Calibri"/>
          <w:bCs/>
        </w:rPr>
        <w:t>he Government has repeatedly asserted, to human rights treaty monitoring bodies as well as during the second UPR of Switzerland in 2012, that existing legislation on bodily injury and assault adequately protects children from all corporal punishment.</w:t>
      </w:r>
      <w:r>
        <w:rPr>
          <w:rStyle w:val="FootnoteReference"/>
          <w:rFonts w:eastAsia="Calibri"/>
          <w:bCs/>
        </w:rPr>
        <w:footnoteReference w:id="3"/>
      </w:r>
      <w:r w:rsidR="00A53D5E">
        <w:rPr>
          <w:rFonts w:eastAsia="Calibri"/>
          <w:bCs/>
        </w:rPr>
        <w:t xml:space="preserve"> But w</w:t>
      </w:r>
      <w:r>
        <w:t>hile there have been amendments to criminal and civil legislation which strengthen the protection of children from assault, including from corporal punishment, the “right of correction” has not been explicitly repealed and some level of corporal punishment in childrearing remains legally and socially acceptable in Switzerland.</w:t>
      </w:r>
    </w:p>
    <w:p w14:paraId="3755E767" w14:textId="3228EF3D" w:rsidR="00880F89" w:rsidRDefault="00880F89" w:rsidP="00880F89">
      <w:pPr>
        <w:tabs>
          <w:tab w:val="left" w:pos="8244"/>
          <w:tab w:val="left" w:pos="9160"/>
          <w:tab w:val="left" w:pos="10076"/>
          <w:tab w:val="left" w:pos="10992"/>
          <w:tab w:val="left" w:pos="11908"/>
          <w:tab w:val="left" w:pos="12824"/>
          <w:tab w:val="left" w:pos="13740"/>
          <w:tab w:val="left" w:pos="14656"/>
        </w:tabs>
        <w:spacing w:after="120"/>
        <w:ind w:left="482" w:hanging="482"/>
      </w:pPr>
      <w:r>
        <w:t>2.4 In the 1970s, article 278 of the Civil Code 1907</w:t>
      </w:r>
      <w:r w:rsidR="00680A45">
        <w:t>,</w:t>
      </w:r>
      <w:r>
        <w:t xml:space="preserve"> which provided for parents’ “right of correction” (“droit de correction”) over their children</w:t>
      </w:r>
      <w:r w:rsidR="00680A45">
        <w:t>,</w:t>
      </w:r>
      <w:r>
        <w:t xml:space="preserve"> was removed from the law. </w:t>
      </w:r>
      <w:r w:rsidRPr="00A53D5E">
        <w:rPr>
          <w:i/>
        </w:rPr>
        <w:t>The purpose of this law reform was not to prohibit corporal punishment but was because it was considered unnecessary to explicitly provide for this right in the legislation.</w:t>
      </w:r>
      <w:r>
        <w:t xml:space="preserve"> In its message on the reform of the Civil Code, issued in 1974, the Federal Council confirmed (unofficial translation): “Parental authority includes the right to correct the child to the extent that his/her education requires. However, there is no need to mention this right expressly in the law.”</w:t>
      </w:r>
      <w:r>
        <w:rPr>
          <w:rStyle w:val="FootnoteReference"/>
        </w:rPr>
        <w:footnoteReference w:id="4"/>
      </w:r>
      <w:r>
        <w:t xml:space="preserve"> </w:t>
      </w:r>
    </w:p>
    <w:p w14:paraId="759B268B" w14:textId="1D81ADDD" w:rsidR="00880F89" w:rsidRPr="00A53D5E" w:rsidRDefault="00880F89" w:rsidP="00880F89">
      <w:pPr>
        <w:tabs>
          <w:tab w:val="left" w:pos="8244"/>
          <w:tab w:val="left" w:pos="9160"/>
          <w:tab w:val="left" w:pos="10076"/>
          <w:tab w:val="left" w:pos="10992"/>
          <w:tab w:val="left" w:pos="11908"/>
          <w:tab w:val="left" w:pos="12824"/>
          <w:tab w:val="left" w:pos="13740"/>
          <w:tab w:val="left" w:pos="14656"/>
        </w:tabs>
        <w:spacing w:after="120"/>
        <w:ind w:left="482" w:hanging="482"/>
        <w:rPr>
          <w:i/>
        </w:rPr>
      </w:pPr>
      <w:r>
        <w:t xml:space="preserve">2.5 When the Penal Code was amended in 1985 to strengthen children’s protection from abuse, the message of the Federal Council again referred to the </w:t>
      </w:r>
      <w:r w:rsidR="00A53D5E">
        <w:t>“</w:t>
      </w:r>
      <w:r>
        <w:t>right of correction</w:t>
      </w:r>
      <w:r w:rsidR="00A53D5E">
        <w:t>”</w:t>
      </w:r>
      <w:r>
        <w:t>. The Council confirmed that the “right of correction” did not provide a defence in cases when bodily harm had been inflicted on a child (“the education of a child never justifies inflicting bodily harm”).</w:t>
      </w:r>
      <w:r>
        <w:rPr>
          <w:rStyle w:val="FootnoteReference"/>
        </w:rPr>
        <w:footnoteReference w:id="5"/>
      </w:r>
      <w:r>
        <w:t xml:space="preserve"> The amendments included new provisions against repeated assault in article 126 of the Penal Code, intended to protect children from the damage caused by repeated assault even when the harmful effects are not immediately visible. The Council reported that it had received many requests to expressly confirm parents’ right of correction, but believed this was “superfluous” because “the </w:t>
      </w:r>
      <w:r>
        <w:lastRenderedPageBreak/>
        <w:t>right is deduced in particular in article 302 of the Civil Code”.</w:t>
      </w:r>
      <w:r>
        <w:rPr>
          <w:rStyle w:val="FootnoteReference"/>
        </w:rPr>
        <w:footnoteReference w:id="6"/>
      </w:r>
      <w:r>
        <w:t xml:space="preserve"> </w:t>
      </w:r>
      <w:r w:rsidRPr="00A53D5E">
        <w:rPr>
          <w:i/>
        </w:rPr>
        <w:t>The Council sought to “dispel the doubts expressed by those who fear a pair of slaps already constitutes assault prosecuted ex officio. As we have explained, the term ‘repeated occasions’ requires much more than that”.</w:t>
      </w:r>
      <w:r w:rsidRPr="00A53D5E">
        <w:rPr>
          <w:rStyle w:val="FootnoteReference"/>
          <w:i/>
        </w:rPr>
        <w:footnoteReference w:id="7"/>
      </w:r>
    </w:p>
    <w:p w14:paraId="5C229150" w14:textId="77777777" w:rsidR="00880F89" w:rsidRPr="0058616A" w:rsidRDefault="00880F89" w:rsidP="00880F89">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2.6 </w:t>
      </w:r>
      <w:r w:rsidRPr="00A53D5E">
        <w:rPr>
          <w:i/>
        </w:rPr>
        <w:t>Subsequent case law has confirmed the “right of correction”.</w:t>
      </w:r>
      <w:r>
        <w:t xml:space="preserve"> For example, a</w:t>
      </w:r>
      <w:r w:rsidRPr="0058616A">
        <w:t xml:space="preserve"> 2003 Federal Court judgment ruled that repeated and habitual corporal punishment is unacceptable but did not rule out the right of pare</w:t>
      </w:r>
      <w:r>
        <w:t>nts to use corporal punishment, stating: “The person who strikes the children of his girlfriend a dozen times in the space of three years and regularly boxes their ears commits assault within the meaning of article 126(2) of the Penal Code, and thus exceeds what might be permissible under any right of correction” (unofficial translation)</w:t>
      </w:r>
      <w:r w:rsidRPr="0058616A">
        <w:t>.</w:t>
      </w:r>
      <w:r>
        <w:rPr>
          <w:rStyle w:val="FootnoteReference"/>
        </w:rPr>
        <w:footnoteReference w:id="8"/>
      </w:r>
    </w:p>
    <w:p w14:paraId="352D9CC7" w14:textId="12F7AC1D" w:rsidR="00880F89" w:rsidRPr="0058616A" w:rsidRDefault="00880F89" w:rsidP="00880F89">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2.</w:t>
      </w:r>
      <w:r>
        <w:t>7</w:t>
      </w:r>
      <w:r w:rsidRPr="0034499B">
        <w:t xml:space="preserve"> </w:t>
      </w:r>
      <w:r w:rsidRPr="0034499B">
        <w:rPr>
          <w:b/>
          <w:i/>
        </w:rPr>
        <w:t>Alternative care settings (partially prohibited):</w:t>
      </w:r>
      <w:r w:rsidRPr="0034499B">
        <w:t xml:space="preserve"> </w:t>
      </w:r>
      <w:r w:rsidRPr="0058616A">
        <w:t xml:space="preserve">Corporal punishment is considered unlawful under Federal Court judgement BGE 117 IV 18 (see </w:t>
      </w:r>
      <w:r>
        <w:t>below, para. 2.9</w:t>
      </w:r>
      <w:r w:rsidRPr="0058616A">
        <w:t>), but there is no explicit prohibition in law. Corporal punishment is lawful as for parents in alternative care provision involving family placements.</w:t>
      </w:r>
    </w:p>
    <w:p w14:paraId="31E45BA8" w14:textId="77777777" w:rsidR="00880F89" w:rsidRPr="0058616A" w:rsidRDefault="00880F89" w:rsidP="00880F89">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2.</w:t>
      </w:r>
      <w:r>
        <w:t>8</w:t>
      </w:r>
      <w:r w:rsidRPr="0034499B">
        <w:t xml:space="preserve"> </w:t>
      </w:r>
      <w:r w:rsidRPr="0034499B">
        <w:rPr>
          <w:b/>
          <w:i/>
        </w:rPr>
        <w:t>Day care (</w:t>
      </w:r>
      <w:r>
        <w:rPr>
          <w:b/>
          <w:i/>
        </w:rPr>
        <w:t>unlawful</w:t>
      </w:r>
      <w:r w:rsidRPr="0034499B">
        <w:rPr>
          <w:b/>
          <w:i/>
        </w:rPr>
        <w:t>):</w:t>
      </w:r>
      <w:r w:rsidRPr="0034499B">
        <w:t xml:space="preserve"> </w:t>
      </w:r>
      <w:r w:rsidRPr="0058616A">
        <w:t xml:space="preserve">Corporal punishment is </w:t>
      </w:r>
      <w:r>
        <w:t>considered unlawful in early childhood care and in day care for older children</w:t>
      </w:r>
      <w:r w:rsidRPr="0058616A">
        <w:t xml:space="preserve"> under Federal Court judgement BGE 117 IV 18 (see </w:t>
      </w:r>
      <w:r>
        <w:t>below, para. 2.9</w:t>
      </w:r>
      <w:r w:rsidRPr="0058616A">
        <w:t xml:space="preserve">), </w:t>
      </w:r>
      <w:r>
        <w:t>though it is not explicitly prohibited</w:t>
      </w:r>
      <w:r w:rsidRPr="0058616A">
        <w:t>.</w:t>
      </w:r>
    </w:p>
    <w:p w14:paraId="209CFBF3" w14:textId="4ED19D73" w:rsidR="00880F89" w:rsidRDefault="00880F89" w:rsidP="00880F89">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2.</w:t>
      </w:r>
      <w:r>
        <w:t>9</w:t>
      </w:r>
      <w:r w:rsidRPr="0034499B">
        <w:t xml:space="preserve"> </w:t>
      </w:r>
      <w:r w:rsidRPr="0034499B">
        <w:rPr>
          <w:b/>
          <w:i/>
        </w:rPr>
        <w:t>Schools (unlawful):</w:t>
      </w:r>
      <w:r w:rsidRPr="0034499B">
        <w:t xml:space="preserve"> </w:t>
      </w:r>
      <w:r w:rsidRPr="0058616A">
        <w:t xml:space="preserve">Corporal punishment is </w:t>
      </w:r>
      <w:r>
        <w:t xml:space="preserve">considered </w:t>
      </w:r>
      <w:r w:rsidRPr="0058616A">
        <w:t xml:space="preserve">unlawful </w:t>
      </w:r>
      <w:r>
        <w:t xml:space="preserve">but there is no explicit prohibition. </w:t>
      </w:r>
      <w:r w:rsidRPr="0058616A">
        <w:t>In 1991, the Federal Court ruled that corporal punishment may be permissible in some cantons in certain circumstances if it does not exceed the level generally accepted by society</w:t>
      </w:r>
      <w:r>
        <w:t>.</w:t>
      </w:r>
      <w:r>
        <w:rPr>
          <w:rStyle w:val="FootnoteReference"/>
        </w:rPr>
        <w:footnoteReference w:id="9"/>
      </w:r>
      <w:r>
        <w:t xml:space="preserve"> A</w:t>
      </w:r>
      <w:r w:rsidRPr="0058616A">
        <w:t xml:space="preserve"> ruling in 1993 stated there can be no customary law that would allow teachers or other persons taking care of children to exercise corporal pu</w:t>
      </w:r>
      <w:r>
        <w:t>nishment against them.</w:t>
      </w:r>
      <w:r>
        <w:rPr>
          <w:rStyle w:val="FootnoteReference"/>
        </w:rPr>
        <w:footnoteReference w:id="10"/>
      </w:r>
      <w:r w:rsidRPr="0058616A">
        <w:t xml:space="preserve"> In some of the 26 cantons, corporal punishment is explicitly prohibited in school laws; in others it is prohibited in regulations, and in others there are school </w:t>
      </w:r>
      <w:r w:rsidR="00680A45" w:rsidRPr="0058616A">
        <w:t>rules that</w:t>
      </w:r>
      <w:r w:rsidR="00680A45">
        <w:t xml:space="preserve"> state </w:t>
      </w:r>
      <w:r w:rsidRPr="0058616A">
        <w:t>it should not be used.</w:t>
      </w:r>
      <w:r>
        <w:t xml:space="preserve"> The Government has acknowledged the fragmented nature of legislation relating to corporal punishment in schools.</w:t>
      </w:r>
      <w:r>
        <w:rPr>
          <w:rStyle w:val="FootnoteReference"/>
        </w:rPr>
        <w:footnoteReference w:id="11"/>
      </w:r>
    </w:p>
    <w:p w14:paraId="417A4A6E" w14:textId="77777777" w:rsidR="00880F89" w:rsidRDefault="00880F89" w:rsidP="00880F89">
      <w:pPr>
        <w:autoSpaceDE w:val="0"/>
        <w:autoSpaceDN w:val="0"/>
        <w:adjustRightInd w:val="0"/>
        <w:spacing w:after="120"/>
        <w:ind w:left="482" w:hanging="482"/>
      </w:pPr>
      <w:r w:rsidRPr="0034499B">
        <w:t>2.</w:t>
      </w:r>
      <w:r>
        <w:t>10</w:t>
      </w:r>
      <w:r w:rsidRPr="0034499B">
        <w:t xml:space="preserve"> </w:t>
      </w:r>
      <w:r w:rsidRPr="0034499B">
        <w:rPr>
          <w:b/>
          <w:i/>
        </w:rPr>
        <w:t>Penal institutions (unlawful):</w:t>
      </w:r>
      <w:r w:rsidRPr="0034499B">
        <w:t xml:space="preserve"> </w:t>
      </w:r>
      <w:r w:rsidRPr="00F74A50">
        <w:t xml:space="preserve">Corporal punishment is considered unlawful but there </w:t>
      </w:r>
      <w:r w:rsidRPr="0058616A">
        <w:t>appears to be no explicit prohibition. The Federal Act on Juvenile Criminal Procedure 2011 does not explicitly prohibit corporal punishment.</w:t>
      </w:r>
    </w:p>
    <w:p w14:paraId="0B863DCC" w14:textId="77777777" w:rsidR="00880F89" w:rsidRPr="0034499B" w:rsidRDefault="00880F89" w:rsidP="00880F89">
      <w:pPr>
        <w:spacing w:after="120"/>
        <w:ind w:left="482" w:hanging="482"/>
      </w:pPr>
      <w:r w:rsidRPr="0034499B">
        <w:t xml:space="preserve"> 2.</w:t>
      </w:r>
      <w:r>
        <w:t>11</w:t>
      </w:r>
      <w:r w:rsidRPr="0034499B">
        <w:t xml:space="preserve"> </w:t>
      </w:r>
      <w:r w:rsidRPr="0034499B">
        <w:rPr>
          <w:b/>
          <w:i/>
        </w:rPr>
        <w:t>Sentence for crime (unlawful):</w:t>
      </w:r>
      <w:r w:rsidRPr="0034499B">
        <w:t xml:space="preserve"> </w:t>
      </w:r>
      <w:r>
        <w:t>There is no provision for judicial corporal punishment in criminal law.</w:t>
      </w:r>
    </w:p>
    <w:p w14:paraId="37FD7ACD" w14:textId="77777777" w:rsidR="00880F89" w:rsidRPr="0034499B" w:rsidRDefault="00880F89" w:rsidP="00880F89">
      <w:pPr>
        <w:spacing w:after="120"/>
        <w:ind w:left="482" w:hanging="482"/>
      </w:pPr>
    </w:p>
    <w:p w14:paraId="125CCD16" w14:textId="77777777" w:rsidR="00880F89" w:rsidRPr="002D5875" w:rsidRDefault="00880F89" w:rsidP="00880F89">
      <w:pPr>
        <w:pStyle w:val="PlainText"/>
        <w:spacing w:after="120"/>
        <w:ind w:left="482" w:hanging="482"/>
        <w:rPr>
          <w:rFonts w:ascii="Times New Roman" w:hAnsi="Times New Roman"/>
          <w:b/>
          <w:sz w:val="28"/>
          <w:szCs w:val="28"/>
        </w:rPr>
      </w:pPr>
      <w:r>
        <w:rPr>
          <w:rFonts w:ascii="Times New Roman" w:hAnsi="Times New Roman" w:cs="Times New Roman"/>
          <w:b/>
          <w:sz w:val="28"/>
          <w:szCs w:val="28"/>
        </w:rPr>
        <w:t>3</w:t>
      </w:r>
      <w:r w:rsidRPr="002D5875">
        <w:rPr>
          <w:rFonts w:ascii="Times New Roman" w:hAnsi="Times New Roman" w:cs="Times New Roman"/>
          <w:b/>
          <w:sz w:val="28"/>
          <w:szCs w:val="28"/>
        </w:rPr>
        <w:t xml:space="preserve"> Recommendations by human right treaty monitoring bodies and during the UPR</w:t>
      </w:r>
    </w:p>
    <w:p w14:paraId="473FF19A" w14:textId="1E6467C9" w:rsidR="00A53D5E" w:rsidRPr="00100583" w:rsidRDefault="00A53D5E" w:rsidP="00A53D5E">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iCs/>
          <w:szCs w:val="26"/>
          <w:lang w:val="en-US"/>
        </w:rPr>
      </w:pPr>
      <w:r>
        <w:rPr>
          <w:szCs w:val="26"/>
        </w:rPr>
        <w:t xml:space="preserve">3.1 </w:t>
      </w:r>
      <w:r>
        <w:rPr>
          <w:b/>
          <w:i/>
          <w:szCs w:val="26"/>
        </w:rPr>
        <w:t>CAT:</w:t>
      </w:r>
      <w:r>
        <w:rPr>
          <w:szCs w:val="26"/>
        </w:rPr>
        <w:t xml:space="preserve"> In 2010, the Committee Against Torture recommended that Switzerland specifically prohibit corporal punishment in its legislation.</w:t>
      </w:r>
      <w:r>
        <w:rPr>
          <w:rStyle w:val="FootnoteReference"/>
          <w:szCs w:val="26"/>
        </w:rPr>
        <w:footnoteReference w:id="12"/>
      </w:r>
    </w:p>
    <w:p w14:paraId="0D348AD4" w14:textId="2A7DA587" w:rsidR="00880F89" w:rsidRDefault="00880F89" w:rsidP="00880F89">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3</w:t>
      </w:r>
      <w:r w:rsidR="00A53D5E">
        <w:rPr>
          <w:szCs w:val="26"/>
        </w:rPr>
        <w:t>.2</w:t>
      </w:r>
      <w:r w:rsidRPr="009F660F">
        <w:rPr>
          <w:szCs w:val="26"/>
        </w:rPr>
        <w:t xml:space="preserve"> </w:t>
      </w:r>
      <w:r w:rsidRPr="009F660F">
        <w:rPr>
          <w:b/>
          <w:i/>
          <w:szCs w:val="26"/>
        </w:rPr>
        <w:t>CRC:</w:t>
      </w:r>
      <w:r w:rsidRPr="009F660F">
        <w:rPr>
          <w:szCs w:val="26"/>
        </w:rPr>
        <w:t xml:space="preserve"> </w:t>
      </w:r>
      <w:r>
        <w:rPr>
          <w:szCs w:val="26"/>
        </w:rPr>
        <w:t>In 2002, t</w:t>
      </w:r>
      <w:r w:rsidRPr="009F660F">
        <w:rPr>
          <w:szCs w:val="26"/>
        </w:rPr>
        <w:t xml:space="preserve">he Committee on the Rights of the Child recommended prohibition of corporal punishment in all settings in </w:t>
      </w:r>
      <w:r>
        <w:rPr>
          <w:szCs w:val="26"/>
        </w:rPr>
        <w:t>Switzerland</w:t>
      </w:r>
      <w:r w:rsidRPr="009F660F">
        <w:rPr>
          <w:szCs w:val="26"/>
        </w:rPr>
        <w:t>.</w:t>
      </w:r>
      <w:r>
        <w:rPr>
          <w:rStyle w:val="FootnoteReference"/>
          <w:szCs w:val="26"/>
        </w:rPr>
        <w:footnoteReference w:id="13"/>
      </w:r>
      <w:r w:rsidR="00A53D5E">
        <w:rPr>
          <w:szCs w:val="26"/>
        </w:rPr>
        <w:t xml:space="preserve"> The Committee reiterated its concerns in 2015 and again recommended prohibition in all settings.</w:t>
      </w:r>
      <w:r w:rsidR="00A53D5E">
        <w:rPr>
          <w:rStyle w:val="FootnoteReference"/>
          <w:szCs w:val="26"/>
        </w:rPr>
        <w:footnoteReference w:id="14"/>
      </w:r>
    </w:p>
    <w:p w14:paraId="33E3124E" w14:textId="5A921B78" w:rsidR="00880F89" w:rsidRDefault="00880F89" w:rsidP="00880F89">
      <w:pPr>
        <w:ind w:left="482" w:hanging="482"/>
      </w:pPr>
      <w:r>
        <w:rPr>
          <w:iCs/>
          <w:szCs w:val="26"/>
          <w:lang w:val="en-US"/>
        </w:rPr>
        <w:lastRenderedPageBreak/>
        <w:t>3</w:t>
      </w:r>
      <w:r w:rsidRPr="009F660F">
        <w:rPr>
          <w:iCs/>
          <w:szCs w:val="26"/>
          <w:lang w:val="en-US"/>
        </w:rPr>
        <w:t>.</w:t>
      </w:r>
      <w:r>
        <w:rPr>
          <w:iCs/>
          <w:szCs w:val="26"/>
          <w:lang w:val="en-US"/>
        </w:rPr>
        <w:t>3</w:t>
      </w:r>
      <w:r w:rsidRPr="009F660F">
        <w:rPr>
          <w:iCs/>
          <w:szCs w:val="26"/>
          <w:lang w:val="en-US"/>
        </w:rPr>
        <w:t xml:space="preserve"> </w:t>
      </w:r>
      <w:r w:rsidRPr="009F660F">
        <w:rPr>
          <w:b/>
          <w:i/>
          <w:iCs/>
          <w:szCs w:val="26"/>
          <w:lang w:val="en-US"/>
        </w:rPr>
        <w:t>UPR:</w:t>
      </w:r>
      <w:r w:rsidRPr="009F660F">
        <w:rPr>
          <w:iCs/>
          <w:szCs w:val="26"/>
          <w:lang w:val="en-US"/>
        </w:rPr>
        <w:t xml:space="preserve"> </w:t>
      </w:r>
      <w:r>
        <w:rPr>
          <w:iCs/>
          <w:szCs w:val="26"/>
          <w:lang w:val="en-US"/>
        </w:rPr>
        <w:t>At the Universal Periodic Review of Switzerland in 2012, recommendations were made to “increase its efforts to carry out public-awareness campaigns on the negative effects of violence against children, especially corporal punishment” and to “establish an explicit legal ban on corporal punishment of children in the home”.</w:t>
      </w:r>
      <w:r>
        <w:rPr>
          <w:rStyle w:val="FootnoteReference"/>
          <w:rFonts w:eastAsia="Calibri"/>
          <w:bCs/>
        </w:rPr>
        <w:footnoteReference w:id="15"/>
      </w:r>
      <w:r>
        <w:rPr>
          <w:iCs/>
          <w:szCs w:val="26"/>
          <w:lang w:val="en-US"/>
        </w:rPr>
        <w:t xml:space="preserve"> </w:t>
      </w:r>
      <w:r w:rsidRPr="0058616A">
        <w:rPr>
          <w:rFonts w:eastAsia="Calibri"/>
          <w:bCs/>
        </w:rPr>
        <w:t xml:space="preserve">The Government accepted the recommendation concerning awareness </w:t>
      </w:r>
      <w:proofErr w:type="gramStart"/>
      <w:r w:rsidRPr="0058616A">
        <w:rPr>
          <w:rFonts w:eastAsia="Calibri"/>
          <w:bCs/>
        </w:rPr>
        <w:t>raising</w:t>
      </w:r>
      <w:proofErr w:type="gramEnd"/>
      <w:r>
        <w:rPr>
          <w:rFonts w:eastAsia="Calibri"/>
          <w:bCs/>
        </w:rPr>
        <w:t xml:space="preserve"> but rejected</w:t>
      </w:r>
      <w:r w:rsidRPr="0058616A">
        <w:rPr>
          <w:rFonts w:eastAsia="Calibri"/>
          <w:bCs/>
        </w:rPr>
        <w:t xml:space="preserve"> the recommendation to prohibit corporal punis</w:t>
      </w:r>
      <w:r>
        <w:rPr>
          <w:rFonts w:eastAsia="Calibri"/>
          <w:bCs/>
        </w:rPr>
        <w:t>hment in the home.</w:t>
      </w:r>
      <w:r>
        <w:rPr>
          <w:rStyle w:val="FootnoteReference"/>
        </w:rPr>
        <w:footnoteReference w:id="16"/>
      </w:r>
    </w:p>
    <w:p w14:paraId="57C5B4B7" w14:textId="77777777" w:rsidR="005A052F" w:rsidRPr="00E66E76" w:rsidRDefault="005A052F" w:rsidP="005A052F">
      <w:pPr>
        <w:spacing w:after="120"/>
        <w:ind w:left="482" w:hanging="482"/>
      </w:pPr>
    </w:p>
    <w:p w14:paraId="32387731" w14:textId="256C6638" w:rsidR="00C901EC"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E20A08"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1A1610F" w:rsidR="00C901EC" w:rsidRPr="001C0859" w:rsidRDefault="00880F89" w:rsidP="001C0859">
      <w:pPr>
        <w:tabs>
          <w:tab w:val="left" w:pos="8244"/>
          <w:tab w:val="left" w:pos="9160"/>
          <w:tab w:val="left" w:pos="10076"/>
          <w:tab w:val="left" w:pos="10992"/>
          <w:tab w:val="left" w:pos="11908"/>
          <w:tab w:val="left" w:pos="12824"/>
          <w:tab w:val="left" w:pos="13740"/>
          <w:tab w:val="left" w:pos="14656"/>
        </w:tabs>
        <w:rPr>
          <w:i/>
        </w:rPr>
      </w:pPr>
      <w:r>
        <w:rPr>
          <w:i/>
        </w:rPr>
        <w:t>June</w:t>
      </w:r>
      <w:r w:rsidR="00DB01B2">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A53D5E" w:rsidRDefault="00A53D5E">
      <w:r>
        <w:separator/>
      </w:r>
    </w:p>
  </w:endnote>
  <w:endnote w:type="continuationSeparator" w:id="0">
    <w:p w14:paraId="099F8A8B" w14:textId="77777777" w:rsidR="00A53D5E" w:rsidRDefault="00A53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A53D5E" w:rsidRDefault="00A53D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A53D5E" w:rsidRDefault="00A53D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A53D5E" w:rsidRDefault="00A53D5E">
    <w:pPr>
      <w:pStyle w:val="Footer"/>
      <w:jc w:val="center"/>
    </w:pPr>
    <w:r>
      <w:fldChar w:fldCharType="begin"/>
    </w:r>
    <w:r>
      <w:instrText xml:space="preserve"> PAGE   \* MERGEFORMAT </w:instrText>
    </w:r>
    <w:r>
      <w:fldChar w:fldCharType="separate"/>
    </w:r>
    <w:r w:rsidR="00E20A08">
      <w:rPr>
        <w:noProof/>
      </w:rPr>
      <w:t>1</w:t>
    </w:r>
    <w:r>
      <w:rPr>
        <w:noProof/>
      </w:rPr>
      <w:fldChar w:fldCharType="end"/>
    </w:r>
  </w:p>
  <w:p w14:paraId="44F681E0" w14:textId="77777777" w:rsidR="00A53D5E" w:rsidRDefault="00A53D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A53D5E" w:rsidRDefault="00A53D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A53D5E" w:rsidRDefault="00A53D5E">
      <w:r>
        <w:separator/>
      </w:r>
    </w:p>
  </w:footnote>
  <w:footnote w:type="continuationSeparator" w:id="0">
    <w:p w14:paraId="0E4CCE60" w14:textId="77777777" w:rsidR="00A53D5E" w:rsidRDefault="00A53D5E">
      <w:r>
        <w:continuationSeparator/>
      </w:r>
    </w:p>
  </w:footnote>
  <w:footnote w:id="1">
    <w:p w14:paraId="7B1E950C" w14:textId="69BCD3D0" w:rsidR="00A53D5E" w:rsidRPr="00A53D5E" w:rsidRDefault="00A53D5E">
      <w:pPr>
        <w:pStyle w:val="FootnoteText"/>
        <w:rPr>
          <w:lang w:val="en-US"/>
        </w:rPr>
      </w:pPr>
      <w:r w:rsidRPr="00A53D5E">
        <w:rPr>
          <w:rStyle w:val="FootnoteReference"/>
        </w:rPr>
        <w:footnoteRef/>
      </w:r>
      <w:r w:rsidRPr="00A53D5E">
        <w:t xml:space="preserve"> </w:t>
      </w:r>
      <w:proofErr w:type="gramStart"/>
      <w:r w:rsidRPr="00A53D5E">
        <w:rPr>
          <w:lang w:val="en-US"/>
        </w:rPr>
        <w:t>16 January 2013, CAT/C/CHE/Q/7, List of issues prior to reporting, para.</w:t>
      </w:r>
      <w:proofErr w:type="gramEnd"/>
      <w:r w:rsidRPr="00A53D5E">
        <w:rPr>
          <w:lang w:val="en-US"/>
        </w:rPr>
        <w:t xml:space="preserve"> 23</w:t>
      </w:r>
    </w:p>
  </w:footnote>
  <w:footnote w:id="2">
    <w:p w14:paraId="2841D6AC" w14:textId="77777777" w:rsidR="00A53D5E" w:rsidRPr="00A53D5E" w:rsidRDefault="00A53D5E" w:rsidP="00880F89">
      <w:pPr>
        <w:pStyle w:val="FootnoteText"/>
        <w:rPr>
          <w:lang w:val="en-US"/>
        </w:rPr>
      </w:pPr>
      <w:r w:rsidRPr="00A53D5E">
        <w:rPr>
          <w:rStyle w:val="FootnoteReference"/>
        </w:rPr>
        <w:footnoteRef/>
      </w:r>
      <w:r w:rsidRPr="00A53D5E">
        <w:t xml:space="preserve"> </w:t>
      </w:r>
      <w:r w:rsidRPr="00A53D5E">
        <w:rPr>
          <w:lang w:val="en-US"/>
        </w:rPr>
        <w:t>29 August 2014, CAT/C/CHE/7, Seventh state party report, paras. 140, 141, 142, 143 and 144</w:t>
      </w:r>
    </w:p>
  </w:footnote>
  <w:footnote w:id="3">
    <w:p w14:paraId="67910E12" w14:textId="77777777" w:rsidR="00A53D5E" w:rsidRPr="00A53D5E" w:rsidRDefault="00A53D5E" w:rsidP="00880F89">
      <w:pPr>
        <w:pStyle w:val="FootnoteText"/>
      </w:pPr>
      <w:r w:rsidRPr="00A53D5E">
        <w:rPr>
          <w:rStyle w:val="FootnoteReference"/>
        </w:rPr>
        <w:footnoteRef/>
      </w:r>
      <w:r w:rsidRPr="00A53D5E">
        <w:t xml:space="preserve"> For example, see 3 March 2010, CAT/C/CHE/Q/6/Add.1, Reply to list of issues, para. </w:t>
      </w:r>
      <w:proofErr w:type="gramStart"/>
      <w:r w:rsidRPr="00A53D5E">
        <w:t>135; 6 August 2012, A/HRC/WG.6/14/CHE/1, National report to the UPR, para.</w:t>
      </w:r>
      <w:proofErr w:type="gramEnd"/>
      <w:r w:rsidRPr="00A53D5E">
        <w:t xml:space="preserve"> </w:t>
      </w:r>
      <w:proofErr w:type="gramStart"/>
      <w:r w:rsidRPr="00A53D5E">
        <w:t>28; 28 May 2008, A/HRC/8/41, Report of the working group, paras.</w:t>
      </w:r>
      <w:proofErr w:type="gramEnd"/>
      <w:r w:rsidRPr="00A53D5E">
        <w:t xml:space="preserve"> 8 and 55; 30 October 2013, CRC/C/CHE/2-4, Second-fourth state party report, para. 159</w:t>
      </w:r>
    </w:p>
  </w:footnote>
  <w:footnote w:id="4">
    <w:p w14:paraId="42D5A42D" w14:textId="77777777" w:rsidR="00A53D5E" w:rsidRPr="00A53D5E" w:rsidRDefault="00A53D5E" w:rsidP="00880F89">
      <w:pPr>
        <w:pStyle w:val="FootnoteText"/>
      </w:pPr>
      <w:r w:rsidRPr="00A53D5E">
        <w:rPr>
          <w:rStyle w:val="FootnoteReference"/>
        </w:rPr>
        <w:footnoteRef/>
      </w:r>
      <w:r w:rsidRPr="00A53D5E">
        <w:t xml:space="preserve"> “Message du </w:t>
      </w:r>
      <w:proofErr w:type="spellStart"/>
      <w:r w:rsidRPr="00A53D5E">
        <w:t>Conseil</w:t>
      </w:r>
      <w:proofErr w:type="spellEnd"/>
      <w:r w:rsidRPr="00A53D5E">
        <w:t xml:space="preserve"> federal à </w:t>
      </w:r>
      <w:proofErr w:type="spellStart"/>
      <w:r w:rsidRPr="00A53D5E">
        <w:t>l’Assemblée</w:t>
      </w:r>
      <w:proofErr w:type="spellEnd"/>
      <w:r w:rsidRPr="00A53D5E">
        <w:t xml:space="preserve"> </w:t>
      </w:r>
      <w:proofErr w:type="spellStart"/>
      <w:r w:rsidRPr="00A53D5E">
        <w:t>fédérale</w:t>
      </w:r>
      <w:proofErr w:type="spellEnd"/>
      <w:r w:rsidRPr="00A53D5E">
        <w:t xml:space="preserve"> </w:t>
      </w:r>
      <w:proofErr w:type="spellStart"/>
      <w:r w:rsidRPr="00A53D5E">
        <w:t>concernant</w:t>
      </w:r>
      <w:proofErr w:type="spellEnd"/>
      <w:r w:rsidRPr="00A53D5E">
        <w:t xml:space="preserve"> la modification du code civil Suisse (Filiation) (Du 5 </w:t>
      </w:r>
      <w:proofErr w:type="spellStart"/>
      <w:r w:rsidRPr="00A53D5E">
        <w:t>juin</w:t>
      </w:r>
      <w:proofErr w:type="spellEnd"/>
      <w:r w:rsidRPr="00A53D5E">
        <w:t xml:space="preserve"> 1974)”, </w:t>
      </w:r>
      <w:proofErr w:type="spellStart"/>
      <w:r w:rsidRPr="00A53D5E">
        <w:rPr>
          <w:i/>
        </w:rPr>
        <w:t>Feuille</w:t>
      </w:r>
      <w:proofErr w:type="spellEnd"/>
      <w:r w:rsidRPr="00A53D5E">
        <w:rPr>
          <w:i/>
        </w:rPr>
        <w:t xml:space="preserve"> </w:t>
      </w:r>
      <w:proofErr w:type="spellStart"/>
      <w:r w:rsidRPr="00A53D5E">
        <w:rPr>
          <w:i/>
        </w:rPr>
        <w:t>Fédérale</w:t>
      </w:r>
      <w:proofErr w:type="spellEnd"/>
      <w:r w:rsidRPr="00A53D5E">
        <w:t>, 8 July 1974, II, No. 27, p. 78</w:t>
      </w:r>
    </w:p>
  </w:footnote>
  <w:footnote w:id="5">
    <w:p w14:paraId="190831CF" w14:textId="77777777" w:rsidR="00A53D5E" w:rsidRPr="00A53D5E" w:rsidRDefault="00A53D5E" w:rsidP="00880F89">
      <w:pPr>
        <w:pStyle w:val="FootnoteText"/>
      </w:pPr>
      <w:r w:rsidRPr="00A53D5E">
        <w:rPr>
          <w:rStyle w:val="FootnoteReference"/>
        </w:rPr>
        <w:footnoteRef/>
      </w:r>
      <w:r w:rsidRPr="00A53D5E">
        <w:t xml:space="preserve"> “Message </w:t>
      </w:r>
      <w:proofErr w:type="spellStart"/>
      <w:r w:rsidRPr="00A53D5E">
        <w:t>concernant</w:t>
      </w:r>
      <w:proofErr w:type="spellEnd"/>
      <w:r w:rsidRPr="00A53D5E">
        <w:t xml:space="preserve"> la modification du code penal et du code penal </w:t>
      </w:r>
      <w:proofErr w:type="spellStart"/>
      <w:r w:rsidRPr="00A53D5E">
        <w:t>militaire</w:t>
      </w:r>
      <w:proofErr w:type="spellEnd"/>
      <w:r w:rsidRPr="00A53D5E">
        <w:t xml:space="preserve"> (Infractions </w:t>
      </w:r>
      <w:proofErr w:type="spellStart"/>
      <w:r w:rsidRPr="00A53D5E">
        <w:t>contre</w:t>
      </w:r>
      <w:proofErr w:type="spellEnd"/>
      <w:r w:rsidRPr="00A53D5E">
        <w:t xml:space="preserve"> la vie et </w:t>
      </w:r>
      <w:proofErr w:type="spellStart"/>
      <w:r w:rsidRPr="00A53D5E">
        <w:t>l’intégrité</w:t>
      </w:r>
      <w:proofErr w:type="spellEnd"/>
      <w:r w:rsidRPr="00A53D5E">
        <w:t xml:space="preserve"> </w:t>
      </w:r>
      <w:proofErr w:type="spellStart"/>
      <w:r w:rsidRPr="00A53D5E">
        <w:t>corporelle</w:t>
      </w:r>
      <w:proofErr w:type="spellEnd"/>
      <w:r w:rsidRPr="00A53D5E">
        <w:t xml:space="preserve">, les </w:t>
      </w:r>
      <w:proofErr w:type="spellStart"/>
      <w:r w:rsidRPr="00A53D5E">
        <w:t>mœurs</w:t>
      </w:r>
      <w:proofErr w:type="spellEnd"/>
      <w:r w:rsidRPr="00A53D5E">
        <w:t xml:space="preserve"> et la </w:t>
      </w:r>
      <w:proofErr w:type="spellStart"/>
      <w:r w:rsidRPr="00A53D5E">
        <w:t>famille</w:t>
      </w:r>
      <w:proofErr w:type="spellEnd"/>
      <w:r w:rsidRPr="00A53D5E">
        <w:t xml:space="preserve">) du 26 </w:t>
      </w:r>
      <w:proofErr w:type="spellStart"/>
      <w:r w:rsidRPr="00A53D5E">
        <w:t>juin</w:t>
      </w:r>
      <w:proofErr w:type="spellEnd"/>
      <w:r w:rsidRPr="00A53D5E">
        <w:t xml:space="preserve"> 1985”, </w:t>
      </w:r>
      <w:proofErr w:type="spellStart"/>
      <w:r w:rsidRPr="00A53D5E">
        <w:rPr>
          <w:i/>
        </w:rPr>
        <w:t>Feuille</w:t>
      </w:r>
      <w:proofErr w:type="spellEnd"/>
      <w:r w:rsidRPr="00A53D5E">
        <w:rPr>
          <w:i/>
        </w:rPr>
        <w:t xml:space="preserve"> </w:t>
      </w:r>
      <w:proofErr w:type="spellStart"/>
      <w:r w:rsidRPr="00A53D5E">
        <w:rPr>
          <w:i/>
        </w:rPr>
        <w:t>Fédérale</w:t>
      </w:r>
      <w:proofErr w:type="spellEnd"/>
      <w:r w:rsidRPr="00A53D5E">
        <w:t>, 10 September 1985, II, p. 1042</w:t>
      </w:r>
    </w:p>
  </w:footnote>
  <w:footnote w:id="6">
    <w:p w14:paraId="6A6B9568" w14:textId="77777777" w:rsidR="00A53D5E" w:rsidRPr="00A53D5E" w:rsidRDefault="00A53D5E" w:rsidP="00880F89">
      <w:pPr>
        <w:pStyle w:val="FootnoteText"/>
      </w:pPr>
      <w:r w:rsidRPr="00A53D5E">
        <w:rPr>
          <w:rStyle w:val="FootnoteReference"/>
        </w:rPr>
        <w:footnoteRef/>
      </w:r>
      <w:r w:rsidRPr="00A53D5E">
        <w:t xml:space="preserve"> ibid., p. 1045</w:t>
      </w:r>
    </w:p>
  </w:footnote>
  <w:footnote w:id="7">
    <w:p w14:paraId="3C4FB45D" w14:textId="77777777" w:rsidR="00A53D5E" w:rsidRPr="00A53D5E" w:rsidRDefault="00A53D5E" w:rsidP="00880F89">
      <w:pPr>
        <w:pStyle w:val="FootnoteText"/>
      </w:pPr>
      <w:r w:rsidRPr="00A53D5E">
        <w:rPr>
          <w:rStyle w:val="FootnoteReference"/>
        </w:rPr>
        <w:footnoteRef/>
      </w:r>
      <w:r w:rsidRPr="00A53D5E">
        <w:t xml:space="preserve"> ibid., p. 1046</w:t>
      </w:r>
    </w:p>
  </w:footnote>
  <w:footnote w:id="8">
    <w:p w14:paraId="58C717BE" w14:textId="77777777" w:rsidR="00A53D5E" w:rsidRPr="00A53D5E" w:rsidRDefault="00A53D5E" w:rsidP="00880F89">
      <w:pPr>
        <w:pStyle w:val="FootnoteText"/>
        <w:rPr>
          <w:lang w:val="en-US"/>
        </w:rPr>
      </w:pPr>
      <w:r w:rsidRPr="00A53D5E">
        <w:rPr>
          <w:rStyle w:val="FootnoteReference"/>
        </w:rPr>
        <w:footnoteRef/>
      </w:r>
      <w:r w:rsidRPr="00A53D5E">
        <w:t xml:space="preserve"> 5 June 2003, ATF 129 IV 216ss</w:t>
      </w:r>
    </w:p>
  </w:footnote>
  <w:footnote w:id="9">
    <w:p w14:paraId="68E6CA8F" w14:textId="77777777" w:rsidR="00A53D5E" w:rsidRPr="00A53D5E" w:rsidRDefault="00A53D5E" w:rsidP="00880F89">
      <w:pPr>
        <w:pStyle w:val="FootnoteText"/>
      </w:pPr>
      <w:r w:rsidRPr="00A53D5E">
        <w:rPr>
          <w:rStyle w:val="FootnoteReference"/>
        </w:rPr>
        <w:footnoteRef/>
      </w:r>
      <w:r w:rsidRPr="00A53D5E">
        <w:t xml:space="preserve"> Cited in 3 June 2002, CRC/C/SR.791, Summary record of 791</w:t>
      </w:r>
      <w:r w:rsidRPr="00A53D5E">
        <w:rPr>
          <w:vertAlign w:val="superscript"/>
        </w:rPr>
        <w:t>st</w:t>
      </w:r>
      <w:r w:rsidRPr="00A53D5E">
        <w:t xml:space="preserve"> meeting, para. 66</w:t>
      </w:r>
    </w:p>
  </w:footnote>
  <w:footnote w:id="10">
    <w:p w14:paraId="78F5B76C" w14:textId="77777777" w:rsidR="00A53D5E" w:rsidRPr="00A53D5E" w:rsidRDefault="00A53D5E" w:rsidP="00880F89">
      <w:pPr>
        <w:pStyle w:val="FootnoteText"/>
        <w:rPr>
          <w:lang w:val="en-US"/>
        </w:rPr>
      </w:pPr>
      <w:r w:rsidRPr="00A53D5E">
        <w:rPr>
          <w:rStyle w:val="FootnoteReference"/>
        </w:rPr>
        <w:footnoteRef/>
      </w:r>
      <w:r w:rsidRPr="00A53D5E">
        <w:t xml:space="preserve"> BGE 117 IV 18</w:t>
      </w:r>
    </w:p>
  </w:footnote>
  <w:footnote w:id="11">
    <w:p w14:paraId="058AA485" w14:textId="77777777" w:rsidR="00A53D5E" w:rsidRPr="00A53D5E" w:rsidRDefault="00A53D5E" w:rsidP="00880F89">
      <w:pPr>
        <w:pStyle w:val="FootnoteText"/>
      </w:pPr>
      <w:r w:rsidRPr="00A53D5E">
        <w:rPr>
          <w:rStyle w:val="FootnoteReference"/>
        </w:rPr>
        <w:footnoteRef/>
      </w:r>
      <w:r w:rsidRPr="00A53D5E">
        <w:t xml:space="preserve"> 30 October 2013, CRC/C/CHE/2-4, Second-fourth state party report, para. 160</w:t>
      </w:r>
    </w:p>
  </w:footnote>
  <w:footnote w:id="12">
    <w:p w14:paraId="7B2481AD" w14:textId="77777777" w:rsidR="00A53D5E" w:rsidRPr="00A53D5E" w:rsidRDefault="00A53D5E" w:rsidP="00A53D5E">
      <w:pPr>
        <w:pStyle w:val="FootnoteText"/>
      </w:pPr>
      <w:r w:rsidRPr="00A53D5E">
        <w:rPr>
          <w:rStyle w:val="FootnoteReference"/>
        </w:rPr>
        <w:footnoteRef/>
      </w:r>
      <w:r w:rsidRPr="00A53D5E">
        <w:t xml:space="preserve"> 25 May 2010, CAT/C/CHE/CO/6, Concluding observations on sixth report, para. 23</w:t>
      </w:r>
    </w:p>
  </w:footnote>
  <w:footnote w:id="13">
    <w:p w14:paraId="32D64694" w14:textId="77777777" w:rsidR="00A53D5E" w:rsidRPr="00A53D5E" w:rsidRDefault="00A53D5E" w:rsidP="00880F89">
      <w:pPr>
        <w:pStyle w:val="FootnoteText"/>
      </w:pPr>
      <w:r w:rsidRPr="00A53D5E">
        <w:rPr>
          <w:rStyle w:val="FootnoteReference"/>
        </w:rPr>
        <w:footnoteRef/>
      </w:r>
      <w:r w:rsidRPr="00A53D5E">
        <w:t xml:space="preserve"> </w:t>
      </w:r>
      <w:r w:rsidRPr="00A53D5E">
        <w:rPr>
          <w:iCs/>
        </w:rPr>
        <w:t>7 June 2002, CRC/C/15/Add.182, Concluding observations on initial report, paras. 32 and 33</w:t>
      </w:r>
    </w:p>
  </w:footnote>
  <w:footnote w:id="14">
    <w:p w14:paraId="398D8518" w14:textId="49000021" w:rsidR="00A53D5E" w:rsidRPr="00A53D5E" w:rsidRDefault="00A53D5E">
      <w:pPr>
        <w:pStyle w:val="FootnoteText"/>
        <w:rPr>
          <w:lang w:val="en-US"/>
        </w:rPr>
      </w:pPr>
      <w:r w:rsidRPr="00A53D5E">
        <w:rPr>
          <w:rStyle w:val="FootnoteReference"/>
        </w:rPr>
        <w:footnoteRef/>
      </w:r>
      <w:r w:rsidRPr="00A53D5E">
        <w:t xml:space="preserve"> </w:t>
      </w:r>
      <w:r w:rsidRPr="00A53D5E">
        <w:rPr>
          <w:rFonts w:eastAsia="Calibri"/>
          <w:lang w:val="en-US"/>
        </w:rPr>
        <w:t>4 February 2015, CRC/C/CHE/CO/2-4 Advance Unedited Version, Concluding observations on second-fourth report, paras. 38 and 39</w:t>
      </w:r>
    </w:p>
  </w:footnote>
  <w:footnote w:id="15">
    <w:p w14:paraId="7CCD4FC4" w14:textId="77777777" w:rsidR="00A53D5E" w:rsidRPr="00A53D5E" w:rsidRDefault="00A53D5E" w:rsidP="00880F89">
      <w:pPr>
        <w:pStyle w:val="FootnoteText"/>
        <w:rPr>
          <w:lang w:val="en-US"/>
        </w:rPr>
      </w:pPr>
      <w:r w:rsidRPr="00A53D5E">
        <w:rPr>
          <w:rStyle w:val="FootnoteReference"/>
        </w:rPr>
        <w:footnoteRef/>
      </w:r>
      <w:r w:rsidRPr="00A53D5E">
        <w:t xml:space="preserve"> </w:t>
      </w:r>
      <w:proofErr w:type="gramStart"/>
      <w:r w:rsidRPr="00A53D5E">
        <w:t>7 December 2012, A/HRC/22/11, Report of the working group, paras.</w:t>
      </w:r>
      <w:proofErr w:type="gramEnd"/>
      <w:r w:rsidRPr="00A53D5E">
        <w:t xml:space="preserve"> 122(44) and 123(81)</w:t>
      </w:r>
    </w:p>
  </w:footnote>
  <w:footnote w:id="16">
    <w:p w14:paraId="6B7A0DFB" w14:textId="77777777" w:rsidR="00A53D5E" w:rsidRPr="00A53D5E" w:rsidRDefault="00A53D5E" w:rsidP="00880F89">
      <w:pPr>
        <w:pStyle w:val="FootnoteText"/>
        <w:rPr>
          <w:lang w:val="en-US"/>
        </w:rPr>
      </w:pPr>
      <w:r w:rsidRPr="00A53D5E">
        <w:rPr>
          <w:rStyle w:val="FootnoteReference"/>
        </w:rPr>
        <w:footnoteRef/>
      </w:r>
      <w:r w:rsidRPr="00A53D5E">
        <w:t xml:space="preserve"> 5 March 2013, A/HRC/22/11/Add.1, Report of the working group: Addendum, para. 123(81)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A53D5E" w:rsidRDefault="00A53D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A53D5E" w:rsidRDefault="00A53D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A53D5E" w:rsidRDefault="00A53D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0A45"/>
    <w:rsid w:val="00681915"/>
    <w:rsid w:val="00683622"/>
    <w:rsid w:val="00690C12"/>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0F89"/>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0A08"/>
    <w:rsid w:val="00E218F1"/>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680B4D-8E01-4D6C-B398-BA37CA539D83}"/>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5B1E313C-6131-41F0-B0B4-5B60147BBF6B}"/>
</file>

<file path=docProps/app.xml><?xml version="1.0" encoding="utf-8"?>
<Properties xmlns="http://schemas.openxmlformats.org/officeDocument/2006/extended-properties" xmlns:vt="http://schemas.openxmlformats.org/officeDocument/2006/docPropsVTypes">
  <Template>Normal</Template>
  <TotalTime>1</TotalTime>
  <Pages>4</Pages>
  <Words>1343</Words>
  <Characters>7685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9010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Liliana Trillo Diaz</cp:lastModifiedBy>
  <cp:revision>2</cp:revision>
  <cp:lastPrinted>2005-01-04T09:45:00Z</cp:lastPrinted>
  <dcterms:created xsi:type="dcterms:W3CDTF">2015-07-20T08:49:00Z</dcterms:created>
  <dcterms:modified xsi:type="dcterms:W3CDTF">2015-07-20T08:49:00Z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