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DA5D7" w14:textId="75CE846C" w:rsidR="00E30563" w:rsidRPr="00F80F76" w:rsidRDefault="00E30563" w:rsidP="00E30563">
      <w:pPr>
        <w:pStyle w:val="Heading2"/>
        <w:rPr>
          <w:rStyle w:val="ICESCRheading1"/>
        </w:rPr>
      </w:pPr>
      <w:bookmarkStart w:id="0" w:name="_Toc183677162"/>
      <w:bookmarkStart w:id="1" w:name="_Toc193970790"/>
      <w:bookmarkStart w:id="2" w:name="_Toc196830991"/>
      <w:r w:rsidRPr="00F80F76">
        <w:rPr>
          <w:rStyle w:val="ICESCRheading1"/>
        </w:rPr>
        <w:t>A</w:t>
      </w:r>
      <w:r w:rsidR="007032CA" w:rsidRPr="00F80F76">
        <w:rPr>
          <w:rStyle w:val="ICESCRheading1"/>
        </w:rPr>
        <w:t>nnex</w:t>
      </w:r>
      <w:r w:rsidRPr="00F80F76">
        <w:rPr>
          <w:rStyle w:val="ICESCRheading1"/>
        </w:rPr>
        <w:t xml:space="preserve"> 1 - </w:t>
      </w:r>
      <w:r w:rsidRPr="00F80F76">
        <w:rPr>
          <w:rStyle w:val="ICESCRheading1"/>
        </w:rPr>
        <w:tab/>
        <w:t>Tokelau</w:t>
      </w:r>
      <w:bookmarkEnd w:id="0"/>
      <w:bookmarkEnd w:id="1"/>
      <w:bookmarkEnd w:id="2"/>
    </w:p>
    <w:p w14:paraId="136008B8" w14:textId="77777777" w:rsidR="00E30563" w:rsidRPr="00F80F76" w:rsidRDefault="00E30563" w:rsidP="00E30563">
      <w:pPr>
        <w:keepNext/>
        <w:keepLines/>
        <w:tabs>
          <w:tab w:val="right" w:pos="851"/>
        </w:tabs>
        <w:suppressAutoHyphens/>
        <w:spacing w:before="360" w:after="240" w:line="300" w:lineRule="exact"/>
        <w:ind w:left="1134" w:right="1134" w:hanging="1134"/>
        <w:rPr>
          <w:rFonts w:eastAsia="Times New Roman"/>
          <w:b/>
        </w:rPr>
      </w:pPr>
      <w:r w:rsidRPr="00F80F76">
        <w:rPr>
          <w:rFonts w:eastAsia="Times New Roman"/>
          <w:b/>
        </w:rPr>
        <w:t>Tokelau</w:t>
      </w:r>
    </w:p>
    <w:p w14:paraId="663B25A0" w14:textId="77777777" w:rsidR="00E30563" w:rsidRPr="00F80F76" w:rsidRDefault="00E30563" w:rsidP="00E30563">
      <w:pPr>
        <w:keepNext/>
        <w:keepLines/>
        <w:tabs>
          <w:tab w:val="right" w:pos="851"/>
        </w:tabs>
        <w:suppressAutoHyphens/>
        <w:spacing w:before="360" w:after="240" w:line="300" w:lineRule="exact"/>
        <w:ind w:left="1134" w:right="1134" w:hanging="1134"/>
        <w:rPr>
          <w:rFonts w:eastAsia="Times New Roman"/>
          <w:b/>
        </w:rPr>
      </w:pPr>
      <w:bookmarkStart w:id="3" w:name="_Toc216772774"/>
      <w:r w:rsidRPr="00F80F76">
        <w:rPr>
          <w:rFonts w:eastAsia="Times New Roman"/>
          <w:b/>
        </w:rPr>
        <w:t>I.</w:t>
      </w:r>
      <w:r w:rsidRPr="00F80F76">
        <w:rPr>
          <w:rFonts w:eastAsia="Times New Roman"/>
          <w:b/>
        </w:rPr>
        <w:tab/>
        <w:t>Introduction</w:t>
      </w:r>
      <w:bookmarkEnd w:id="3"/>
    </w:p>
    <w:p w14:paraId="061F6077"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As already stated above, New Zealand ratified the International Covenant on Economic, Social and Cultural Rights on 28 December 1978 and it entered into force for New Zealand on 28 March 1979. New Zealand’s ratification also applied to Tokelau. The present information covers implementation of the Covenant with regard to Tokelau from 2018 to March 2025 It should be read in conjunction with New Zealand’s Fifth and Sixth Periodic Reports under the International Covenant on Civil and Political Rights.</w:t>
      </w:r>
    </w:p>
    <w:p w14:paraId="7CC479F0" w14:textId="77777777" w:rsidR="00E30563" w:rsidRPr="00F80F76" w:rsidRDefault="00E30563" w:rsidP="00E30563">
      <w:pPr>
        <w:keepNext/>
        <w:keepLines/>
        <w:tabs>
          <w:tab w:val="right" w:pos="851"/>
        </w:tabs>
        <w:suppressAutoHyphens/>
        <w:spacing w:before="360" w:after="240" w:line="300" w:lineRule="exact"/>
        <w:ind w:left="1134" w:right="1134" w:hanging="1134"/>
        <w:rPr>
          <w:rFonts w:eastAsia="Times New Roman"/>
          <w:b/>
        </w:rPr>
      </w:pPr>
      <w:bookmarkStart w:id="4" w:name="_Toc216772775"/>
      <w:r w:rsidRPr="00F80F76">
        <w:rPr>
          <w:rFonts w:eastAsia="Times New Roman"/>
          <w:b/>
        </w:rPr>
        <w:t>II.</w:t>
      </w:r>
      <w:r w:rsidRPr="00F80F76">
        <w:rPr>
          <w:rFonts w:eastAsia="Times New Roman"/>
          <w:b/>
        </w:rPr>
        <w:tab/>
        <w:t>General</w:t>
      </w:r>
      <w:bookmarkEnd w:id="4"/>
    </w:p>
    <w:p w14:paraId="1886DBAF"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Some updated figures for this reporting period include:</w:t>
      </w:r>
    </w:p>
    <w:p w14:paraId="08A686D8" w14:textId="77777777" w:rsidR="00E30563" w:rsidRPr="00F80F76" w:rsidRDefault="00E30563" w:rsidP="00E30563">
      <w:pPr>
        <w:numPr>
          <w:ilvl w:val="1"/>
          <w:numId w:val="17"/>
        </w:numPr>
        <w:kinsoku/>
        <w:overflowPunct/>
        <w:autoSpaceDE/>
        <w:autoSpaceDN/>
        <w:adjustRightInd/>
        <w:snapToGrid/>
        <w:spacing w:after="240"/>
        <w:jc w:val="both"/>
      </w:pPr>
      <w:r>
        <w:t>t</w:t>
      </w:r>
      <w:r w:rsidRPr="00F80F76">
        <w:t>he population of Tokelau was counted as 1,485 in the 2022 census</w:t>
      </w:r>
    </w:p>
    <w:p w14:paraId="778FBDC5" w14:textId="77777777" w:rsidR="00E30563" w:rsidRPr="00F80F76" w:rsidRDefault="00E30563" w:rsidP="00E30563">
      <w:pPr>
        <w:numPr>
          <w:ilvl w:val="1"/>
          <w:numId w:val="17"/>
        </w:numPr>
        <w:kinsoku/>
        <w:overflowPunct/>
        <w:autoSpaceDE/>
        <w:autoSpaceDN/>
        <w:adjustRightInd/>
        <w:snapToGrid/>
        <w:spacing w:after="240"/>
        <w:jc w:val="both"/>
      </w:pPr>
      <w:r w:rsidRPr="00F80F76">
        <w:t>Tokelau’s economy is dominated by economic assistance from New Zealand and fisheries revenue. New Zealand’s total development assistance to Tokelau averaged $NZ$20.2 million in the three years to 30 June 2024, while fishing revenues averaged NZ$16.9 million over the past three fishing years (2021-2023). New Zealand works closely with Tokelau to maximize the revenue Tokelau can generate from fisheries</w:t>
      </w:r>
    </w:p>
    <w:p w14:paraId="60701C56" w14:textId="77777777" w:rsidR="00E30563" w:rsidRPr="00F80F76" w:rsidRDefault="00E30563" w:rsidP="00E30563">
      <w:pPr>
        <w:numPr>
          <w:ilvl w:val="1"/>
          <w:numId w:val="17"/>
        </w:numPr>
        <w:kinsoku/>
        <w:overflowPunct/>
        <w:autoSpaceDE/>
        <w:autoSpaceDN/>
        <w:adjustRightInd/>
        <w:snapToGrid/>
        <w:spacing w:after="240"/>
        <w:jc w:val="both"/>
      </w:pPr>
      <w:r>
        <w:t>a</w:t>
      </w:r>
      <w:r w:rsidRPr="00F80F76">
        <w:t>n International Trust Fund was established in 2004 to provide Tokelau with an independent source of revenue and the value of the Fund stands at NZ$119,487,000 million (30 June 2024).</w:t>
      </w:r>
    </w:p>
    <w:p w14:paraId="47FBED21"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5" w:name="_Toc216772776"/>
      <w:r w:rsidRPr="00F80F76">
        <w:rPr>
          <w:rFonts w:eastAsia="Times New Roman"/>
          <w:b/>
        </w:rPr>
        <w:t xml:space="preserve">A. </w:t>
      </w:r>
      <w:r w:rsidRPr="00F80F76">
        <w:rPr>
          <w:rFonts w:eastAsia="Times New Roman"/>
          <w:b/>
        </w:rPr>
        <w:tab/>
        <w:t>Constitutional programme</w:t>
      </w:r>
      <w:bookmarkEnd w:id="5"/>
    </w:p>
    <w:p w14:paraId="26C4D552"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As mentioned in previous reports, for the purposes of the principle of self-determination of peoples enshrined in the United Nations Charter, Tokelau is classified as a non-self-governing territory. Thus, New Zealand is responsible, as a member of the United Nations, for assisting Tokelau to exercise its options of self-determination and, should it so choose, to move towards self-government. As administering power for Tokelau, New Zealand is also responsible for assisting its Government to meet the needs of the people of Tokelau.</w:t>
      </w:r>
    </w:p>
    <w:p w14:paraId="68386575"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In 1992, Tokelau and New Zealand agreed to follow a constitutional programme which has the effect of providing Tokelau with formal powers to enable it to establish and operate its own national government. Constitutional development in Tokelau has recognised the villages as the source of administrative authority. This stands in contrast to other systems of government in the Pacific, which typically follow the Westminster model. Village affairs in Tokelau have traditionally been administered by the village councils, the </w:t>
      </w:r>
      <w:proofErr w:type="spellStart"/>
      <w:r w:rsidRPr="00F80F76">
        <w:t>Taupulega</w:t>
      </w:r>
      <w:proofErr w:type="spellEnd"/>
      <w:r w:rsidRPr="00F80F76">
        <w:t>. This remains the case today. In May 2004, the powers of the Administrator in respect of Tokelau as a whole were delegated to the villages.</w:t>
      </w:r>
      <w:r w:rsidRPr="00F80F76">
        <w:rPr>
          <w:vertAlign w:val="superscript"/>
        </w:rPr>
        <w:footnoteReference w:id="2"/>
      </w:r>
      <w:r w:rsidRPr="00F80F76">
        <w:t xml:space="preserve"> The </w:t>
      </w:r>
      <w:proofErr w:type="spellStart"/>
      <w:r w:rsidRPr="00F80F76">
        <w:t>Taupulega</w:t>
      </w:r>
      <w:proofErr w:type="spellEnd"/>
      <w:r w:rsidRPr="00F80F76">
        <w:t xml:space="preserve"> in turn delegated their authority in national matters to Tokelau’s national legislative/executive body, the General </w:t>
      </w:r>
      <w:proofErr w:type="spellStart"/>
      <w:r w:rsidRPr="00F80F76">
        <w:t>Fono</w:t>
      </w:r>
      <w:proofErr w:type="spellEnd"/>
      <w:r w:rsidRPr="00F80F76">
        <w:t xml:space="preserve"> (and, when the General </w:t>
      </w:r>
      <w:proofErr w:type="spellStart"/>
      <w:r w:rsidRPr="00F80F76">
        <w:t>Fono</w:t>
      </w:r>
      <w:proofErr w:type="spellEnd"/>
      <w:r w:rsidRPr="00F80F76">
        <w:t xml:space="preserve"> is not in session, to its executive committee, the Council for the Ongoing Government of Tokelau). Work is currently progressing to enhance the decision-making of the national and village governance bodies, and to strengthen the delivery of public services.</w:t>
      </w:r>
    </w:p>
    <w:p w14:paraId="56991BF5"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The General </w:t>
      </w:r>
      <w:proofErr w:type="spellStart"/>
      <w:r w:rsidRPr="00F80F76">
        <w:t>Fono</w:t>
      </w:r>
      <w:proofErr w:type="spellEnd"/>
      <w:r w:rsidRPr="00F80F76">
        <w:t xml:space="preserve"> has had statutory authority to make Rules for the peace, order, and good government of Tokelau since 1996. Rules of the General </w:t>
      </w:r>
      <w:proofErr w:type="spellStart"/>
      <w:r w:rsidRPr="00F80F76">
        <w:t>Fono</w:t>
      </w:r>
      <w:proofErr w:type="spellEnd"/>
      <w:r w:rsidRPr="00F80F76">
        <w:t xml:space="preserve"> have legal effect in Tokelau. Although Rules may be disallowed by the Administrator within 30 days, the disallowance power has never been exercised. New </w:t>
      </w:r>
      <w:r w:rsidRPr="00F80F76">
        <w:lastRenderedPageBreak/>
        <w:t xml:space="preserve">Zealand statute law does not apply to Tokelau unless it is expressly extended to Tokelau. In practice, no New Zealand legislation is extended to Tokelau without Tokelauan consent. </w:t>
      </w:r>
    </w:p>
    <w:p w14:paraId="4AD279C5"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Tokelau’s ability to participate in certain regional organisations in its own right is a very important aspect of its progress toward greater autonomy. Accordingly (and with New Zealand’s support), Tokelau participates fully and in its own right in regional organisations such as the Forum Fisheries Agency, the Secretariat of the Pacific Community, the South Pacific Regional Environmental Programme and the Council of the University of the South Pacific. Tokelau is also an associate member of the World Health Organisation and the United Nations Educational, Scientific, and Cultural Organisation and the Pacific Islands Forum. </w:t>
      </w:r>
    </w:p>
    <w:p w14:paraId="07964666"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On 21 November 2003, representatives of the Governments of New Zealand and Tokelau signed the Joint Statement on the Principles of Partnership between New Zealand and Tokelau. The Joint Statement sets out the medium to long-term context in which work can be carried forward on Tokelau’s constitutional and other development. The document is of a political rather than legal nature. It addresses the management of the partnership, self-determination for Tokelau, Tokelau’s language and culture, New Zealand citizenship, shared values, economic and administrative assistance, coordination of services to Tokelau, defence and security, foreign affairs, and the Tokelauan community in New Zealand. </w:t>
      </w:r>
    </w:p>
    <w:p w14:paraId="2B1763A3"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At the same time, the General </w:t>
      </w:r>
      <w:proofErr w:type="spellStart"/>
      <w:r w:rsidRPr="00F80F76">
        <w:t>Fono</w:t>
      </w:r>
      <w:proofErr w:type="spellEnd"/>
      <w:r w:rsidRPr="00F80F76">
        <w:t xml:space="preserve"> also endorsed self-government in free association with New Zealand as the self-determination choice to be actively explored with the New Zealand Government. That endorsement was confirmed in October 2004 in the presence of the Chair of the United Nations Special Committee on Decolonisation, and two referenda on this issue have subsequently been held. </w:t>
      </w:r>
    </w:p>
    <w:p w14:paraId="3B5640FA"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In February 2006, Tokelau, under United Nations supervision, voted on whether to become self-governing in free association with New Zealand. This status was to be based on two documents – a Constitution for Tokelau and a Treaty of Free Association between Tokelau and New Zealand. Sixty percent of registered voters supported self-government. However, as this was less than the two-thirds majority level set by the General </w:t>
      </w:r>
      <w:proofErr w:type="spellStart"/>
      <w:r w:rsidRPr="00F80F76">
        <w:t>Fono</w:t>
      </w:r>
      <w:proofErr w:type="spellEnd"/>
      <w:r w:rsidRPr="00F80F76">
        <w:t xml:space="preserve">, the referendum resulted in no change to Tokelau’s status. A second referendum on this issue, was held in October 2007, but still failed to reach the required two-thirds majority (by 16 votes). </w:t>
      </w:r>
    </w:p>
    <w:p w14:paraId="77078BB6"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Following the second referendum, Tokelau, with the full support of New Zealand, has been engaging in a period of reflection on how it can ensure its people’s needs are met on each atoll through the strengthening of infrastructure and services. New Zealand’s focus remains on ensuring that all Tokelauans as New Zealand citizens are receiving appropriate essential services. This requires ongoing dialogue, a substantial level of general budget support to Tokelau, and effective responses to Tokelau’s requests for assistance to improve the quality of life for people living in Tokelau. </w:t>
      </w:r>
    </w:p>
    <w:p w14:paraId="7787BD99"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Tokelau’s General </w:t>
      </w:r>
      <w:proofErr w:type="spellStart"/>
      <w:r w:rsidRPr="00F80F76">
        <w:t>Fono</w:t>
      </w:r>
      <w:proofErr w:type="spellEnd"/>
      <w:r w:rsidRPr="00F80F76">
        <w:t xml:space="preserve"> decided in May 2022 to recommence inter-atoll consultations on the question of self-determination in the lead-up to the 100-year anniversary of New Zealand administration of Tokelau in February 2026. In his statement to the UN Special Committee on Decolonisation on 10 June 2024, the Ulu o Tokelau noted his desire to establish a clear pathway </w:t>
      </w:r>
      <w:r w:rsidRPr="00F80F76">
        <w:rPr>
          <w:i/>
          <w:iCs/>
        </w:rPr>
        <w:t>towards</w:t>
      </w:r>
      <w:r w:rsidRPr="00F80F76">
        <w:t xml:space="preserve"> an act of self-determination by the time of centenary anniversary. At the same Committee meeting, the Administrator of Tokelau welcomed this development and noted New Zealand’s intention to support Tokelau address this question, as and when requested by Tokelau, and in consultation with the Committee. </w:t>
      </w:r>
    </w:p>
    <w:p w14:paraId="2D8199C8"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6" w:name="_Toc216772777"/>
      <w:r w:rsidRPr="00F80F76">
        <w:rPr>
          <w:rFonts w:eastAsia="Times New Roman"/>
          <w:b/>
        </w:rPr>
        <w:t xml:space="preserve">B. </w:t>
      </w:r>
      <w:r w:rsidRPr="00F80F76">
        <w:rPr>
          <w:rFonts w:eastAsia="Times New Roman"/>
          <w:b/>
        </w:rPr>
        <w:tab/>
        <w:t>Tokelau and the Covenant on Economic, Social and Cultural Rights</w:t>
      </w:r>
      <w:bookmarkEnd w:id="6"/>
    </w:p>
    <w:p w14:paraId="5FF56997"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Tokelau understands that it is bound by a number of international human rights treaties, including the Covenant. A booklet produced in Tokelauan and English in 1990 included the main human rights documents of relevance to Tokelau. The Handbook for the Law Commissioners of Tokelau produced in 2008 also includes them. The Handbook is a manual that assists and guides the Law Commissioners in their work mainly when writing and delivering judgments on cases that come before them.</w:t>
      </w:r>
      <w:r>
        <w:t xml:space="preserve"> </w:t>
      </w:r>
      <w:r w:rsidRPr="00F80F76">
        <w:t>In 2024, it was updated to reflect current practice and common offences. It is hoped that the Handbook will continue to contribute to the development of quality justice for the people of Tokelau.</w:t>
      </w:r>
    </w:p>
    <w:p w14:paraId="64E0C12F"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In 2003 the General </w:t>
      </w:r>
      <w:proofErr w:type="spellStart"/>
      <w:r w:rsidRPr="00F80F76">
        <w:t>Fono</w:t>
      </w:r>
      <w:proofErr w:type="spellEnd"/>
      <w:r w:rsidRPr="00F80F76">
        <w:t xml:space="preserve"> made Human Rights Rules for Tokelau, which were incorporated as Article 16 of Tokelau’s Constitution endorsed by the General </w:t>
      </w:r>
      <w:proofErr w:type="spellStart"/>
      <w:r w:rsidRPr="00F80F76">
        <w:t>Fono</w:t>
      </w:r>
      <w:proofErr w:type="spellEnd"/>
      <w:r w:rsidRPr="00F80F76">
        <w:t xml:space="preserve"> following the second referendum in 2007. Article 16 of Tokelau’s Constitution states:</w:t>
      </w:r>
    </w:p>
    <w:p w14:paraId="1D602788" w14:textId="77777777" w:rsidR="00E30563" w:rsidRPr="00F80F76" w:rsidRDefault="00E30563" w:rsidP="00E30563">
      <w:pPr>
        <w:numPr>
          <w:ilvl w:val="3"/>
          <w:numId w:val="16"/>
        </w:numPr>
        <w:suppressAutoHyphens/>
        <w:kinsoku/>
        <w:overflowPunct/>
        <w:autoSpaceDE/>
        <w:autoSpaceDN/>
        <w:adjustRightInd/>
        <w:snapToGrid/>
        <w:spacing w:after="120" w:line="240" w:lineRule="atLeast"/>
        <w:ind w:left="1985" w:right="1134" w:hanging="567"/>
        <w:jc w:val="both"/>
        <w:rPr>
          <w:rFonts w:eastAsia="Times New Roman"/>
        </w:rPr>
      </w:pPr>
      <w:r>
        <w:rPr>
          <w:rFonts w:eastAsia="Times New Roman"/>
        </w:rPr>
        <w:lastRenderedPageBreak/>
        <w:t>i</w:t>
      </w:r>
      <w:r w:rsidRPr="00F80F76">
        <w:rPr>
          <w:rFonts w:eastAsia="Times New Roman"/>
        </w:rPr>
        <w:t>ndividual human rights for all people in Tokelau are stated in the Universal Declaration of Human Rights and are implemented in the International Covenant on Civil and Political Rights</w:t>
      </w:r>
    </w:p>
    <w:p w14:paraId="0CD93EC3" w14:textId="77777777" w:rsidR="00E30563" w:rsidRPr="00F80F76" w:rsidRDefault="00E30563" w:rsidP="00E30563">
      <w:pPr>
        <w:numPr>
          <w:ilvl w:val="3"/>
          <w:numId w:val="16"/>
        </w:numPr>
        <w:suppressAutoHyphens/>
        <w:kinsoku/>
        <w:overflowPunct/>
        <w:autoSpaceDE/>
        <w:autoSpaceDN/>
        <w:adjustRightInd/>
        <w:snapToGrid/>
        <w:spacing w:after="120" w:line="240" w:lineRule="atLeast"/>
        <w:ind w:left="1985" w:right="1134" w:hanging="567"/>
        <w:jc w:val="both"/>
        <w:rPr>
          <w:rFonts w:eastAsia="Times New Roman"/>
        </w:rPr>
      </w:pPr>
      <w:r>
        <w:rPr>
          <w:rFonts w:eastAsia="Times New Roman"/>
        </w:rPr>
        <w:t>t</w:t>
      </w:r>
      <w:r w:rsidRPr="00F80F76">
        <w:rPr>
          <w:rFonts w:eastAsia="Times New Roman"/>
        </w:rPr>
        <w:t>he rights of individuals in Tokelau shall be exercised having proper regard to the duties of other individuals, and to the community to which the individual belongs</w:t>
      </w:r>
    </w:p>
    <w:p w14:paraId="054974B8" w14:textId="77777777" w:rsidR="00E30563" w:rsidRPr="00F80F76" w:rsidRDefault="00E30563" w:rsidP="00E30563">
      <w:pPr>
        <w:numPr>
          <w:ilvl w:val="3"/>
          <w:numId w:val="16"/>
        </w:numPr>
        <w:suppressAutoHyphens/>
        <w:kinsoku/>
        <w:overflowPunct/>
        <w:autoSpaceDE/>
        <w:autoSpaceDN/>
        <w:adjustRightInd/>
        <w:snapToGrid/>
        <w:spacing w:after="120" w:line="240" w:lineRule="atLeast"/>
        <w:ind w:left="1985" w:right="1134" w:hanging="567"/>
        <w:jc w:val="both"/>
        <w:rPr>
          <w:rFonts w:eastAsia="Times New Roman"/>
        </w:rPr>
      </w:pPr>
      <w:r>
        <w:rPr>
          <w:rFonts w:eastAsia="Times New Roman"/>
        </w:rPr>
        <w:t>i</w:t>
      </w:r>
      <w:r w:rsidRPr="00F80F76">
        <w:rPr>
          <w:rFonts w:eastAsia="Times New Roman"/>
        </w:rPr>
        <w:t>f a person thinks that one of their human rights provided by these Rules has been denied or may be denied, that person may apply to the Council for the Ongoing Government for protection of that right, and if the Council for the Ongoing Government agrees with that complaint, it may make any order it thinks appropriate for the protection of that right.</w:t>
      </w:r>
    </w:p>
    <w:p w14:paraId="6E0F5AF5"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As mentioned in New Zealand’s previous reports to the Committee, Tokelau does nonetheless face a core question of law and custom. Because, traditionally, government in Tokelau is on a village-by-village basis, there has been little in the Tokelau system that takes a formal shape recognisable externally. Custom is at the heart of the system. Much of it is unwritten but hallowed by tradition and by regular reinforcement in practice.</w:t>
      </w:r>
    </w:p>
    <w:p w14:paraId="5E2157F9"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At a time, as now, when custom and law interact to an increasing degree, Tokelau seeks understanding of its situation. For it faces a large challenge in moving from socially known rules in an oral tradition, to written law of the Western conception. As Tokelau considers what its commitment should be to basic human rights, Tokelau is mindful that human rights promote the imported notion of individuality, while the idea of community, with which Tokelauans are familiar, promotes a sense of unity and sharing.</w:t>
      </w:r>
    </w:p>
    <w:p w14:paraId="4038C5BF"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So, this is a considerable evolution away from tradition. For Tokelauans this means a move away from following a particular set of rules and practices within their cultural setting, to following a set of rules and practices recognisable as consistent with life in the international community, and the rules and practices of other states.</w:t>
      </w:r>
    </w:p>
    <w:p w14:paraId="5D070581"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At this stage of Tokelau’s constitutional evolution, questions concerning the application of the Covenant on Economic, Social and Cultural Rights remain formally the responsibility of the New Zealand Government. They are addressed in the context of New Zealand’s relations with Tokelau. The Administrator has a close consultative relationship with the General </w:t>
      </w:r>
      <w:proofErr w:type="spellStart"/>
      <w:r w:rsidRPr="00F80F76">
        <w:t>Fono</w:t>
      </w:r>
      <w:proofErr w:type="spellEnd"/>
      <w:r w:rsidRPr="00F80F76">
        <w:t xml:space="preserve"> and the Council for the Ongoing Government.</w:t>
      </w:r>
    </w:p>
    <w:p w14:paraId="716B0CE3" w14:textId="77777777" w:rsidR="00E30563" w:rsidRPr="00F80F76" w:rsidRDefault="00E30563" w:rsidP="00E30563">
      <w:pPr>
        <w:keepNext/>
        <w:keepLines/>
        <w:tabs>
          <w:tab w:val="right" w:pos="851"/>
        </w:tabs>
        <w:suppressAutoHyphens/>
        <w:spacing w:before="360" w:after="240" w:line="300" w:lineRule="exact"/>
        <w:ind w:left="1134" w:right="1134" w:hanging="1134"/>
        <w:rPr>
          <w:rFonts w:eastAsia="Times New Roman"/>
          <w:b/>
        </w:rPr>
      </w:pPr>
      <w:bookmarkStart w:id="7" w:name="_Toc216772778"/>
      <w:r w:rsidRPr="00F80F76">
        <w:rPr>
          <w:rFonts w:eastAsia="Times New Roman"/>
          <w:b/>
        </w:rPr>
        <w:t>III.</w:t>
      </w:r>
      <w:r w:rsidRPr="00F80F76">
        <w:rPr>
          <w:rFonts w:eastAsia="Times New Roman"/>
          <w:b/>
        </w:rPr>
        <w:tab/>
        <w:t>Information relating to specific articles</w:t>
      </w:r>
      <w:bookmarkEnd w:id="7"/>
    </w:p>
    <w:p w14:paraId="32DA574D"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Information on Tokelau relating to specific Articles of the Covenant follows. Please also refer to New Zealand’s previous reports to the Committee.</w:t>
      </w:r>
    </w:p>
    <w:p w14:paraId="7D54021B"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8" w:name="_Toc216772779"/>
      <w:r w:rsidRPr="00F80F76">
        <w:rPr>
          <w:rFonts w:eastAsia="Times New Roman"/>
          <w:b/>
        </w:rPr>
        <w:tab/>
        <w:t>Article 1</w:t>
      </w:r>
      <w:bookmarkEnd w:id="8"/>
    </w:p>
    <w:p w14:paraId="1AE1BD8C"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As noted above, Tokelau’s General </w:t>
      </w:r>
      <w:proofErr w:type="spellStart"/>
      <w:r w:rsidRPr="00F80F76">
        <w:t>Fono</w:t>
      </w:r>
      <w:proofErr w:type="spellEnd"/>
      <w:r w:rsidRPr="00F80F76">
        <w:t xml:space="preserve"> has decided to recommence inter-atoll consultations on the question of self-determination in the lead-up to the 100-year anniversary of New Zealand administration of Tokelau in February 2026, and is in the process of establishing an internal committee to examine Tokelau’s full range of options. New Zealand stands ready to assist Tokelau with its deliberations, as and when requested by Tokelau. </w:t>
      </w:r>
    </w:p>
    <w:p w14:paraId="61316186"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9" w:name="_Toc216772780"/>
      <w:r w:rsidRPr="00F80F76">
        <w:rPr>
          <w:rFonts w:eastAsia="Times New Roman"/>
          <w:b/>
        </w:rPr>
        <w:tab/>
        <w:t>Article 2</w:t>
      </w:r>
      <w:bookmarkEnd w:id="9"/>
    </w:p>
    <w:p w14:paraId="3E773E53"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New Zealand, with Tokelau, has taken consistent steps, through economic and technical assistance and cooperation, to ensure that the rights recognised in the Covenant are realised in Tokelau.</w:t>
      </w:r>
    </w:p>
    <w:p w14:paraId="7F9EDE86"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Tokelau has a notably cohesive social structure based on family and the principle of sharing. The cultural order gives high priority to the welfare of the weaker members and the equitable distribution of economic </w:t>
      </w:r>
      <w:r w:rsidRPr="00F80F76">
        <w:lastRenderedPageBreak/>
        <w:t>resources. Tokelau’s Human Rights Rules 2003 provide for the protection of individual human rights for all people in Tokelau.</w:t>
      </w:r>
    </w:p>
    <w:p w14:paraId="0CCBBBDC"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10" w:name="_Toc216772781"/>
      <w:r w:rsidRPr="00F80F76">
        <w:rPr>
          <w:rFonts w:eastAsia="Times New Roman"/>
          <w:b/>
        </w:rPr>
        <w:tab/>
        <w:t>Article 3</w:t>
      </w:r>
      <w:bookmarkEnd w:id="10"/>
    </w:p>
    <w:p w14:paraId="7EF2A017"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As we have previously reported, in Tokelau culture there has traditionally been a clear demarcation between male and female roles. However, there is nothing in the laws of Tokelau sanctioning any kind of discrimination against women.</w:t>
      </w:r>
    </w:p>
    <w:p w14:paraId="3CF482E6"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The Government of Tokelau has always been supportive towards the women of Tokelau. Women’s organisations receive funds from the Government to support their work in their respective villages. Further, regional organisations have also funded projects to support the work of the women in the villages. The Office of the Council for the Ongoing Government of Tokelau and the Department responsible for economic development also support women in their efforts to enhance their lives in Tokelau. </w:t>
      </w:r>
    </w:p>
    <w:p w14:paraId="0B4E84CE"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11" w:name="_Toc216772782"/>
      <w:r w:rsidRPr="00F80F76">
        <w:rPr>
          <w:rFonts w:eastAsia="Times New Roman"/>
          <w:b/>
        </w:rPr>
        <w:tab/>
        <w:t>Article 4</w:t>
      </w:r>
      <w:bookmarkEnd w:id="11"/>
    </w:p>
    <w:p w14:paraId="5E497EBE"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Neither the New Zealand Government nor Tokelau have taken any practical measures to limit the enjoyment of the rights recognised by the Covenant.</w:t>
      </w:r>
    </w:p>
    <w:p w14:paraId="449029CC"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Tokelau’s Human Rights Rules 2003 state that the rights of individuals in Tokelau shall be exercised having proper regard to the duties of other individuals, and to the community to which the individual belongs. This is consistent with the requirements of Article 4 and with Tokelau’s traditional focus on community unity and sharing.</w:t>
      </w:r>
    </w:p>
    <w:p w14:paraId="69A04ABA"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12" w:name="_Toc216772783"/>
      <w:r w:rsidRPr="00F80F76">
        <w:rPr>
          <w:rFonts w:eastAsia="Times New Roman"/>
          <w:b/>
        </w:rPr>
        <w:tab/>
        <w:t>Article 5</w:t>
      </w:r>
      <w:bookmarkEnd w:id="12"/>
    </w:p>
    <w:p w14:paraId="455FB6AF"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There has been no attempt to destroy or unduly limit the rights and freedoms contained in the Convention in Tokelau; nor has there been any restriction or derogation from any existing fundamental human rights recognised in Tokelau.</w:t>
      </w:r>
    </w:p>
    <w:p w14:paraId="03F02DBF"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13" w:name="_Toc216772784"/>
      <w:r w:rsidRPr="00F80F76">
        <w:rPr>
          <w:rFonts w:eastAsia="Times New Roman"/>
          <w:b/>
        </w:rPr>
        <w:t>Article 6 (and article 13)</w:t>
      </w:r>
      <w:bookmarkEnd w:id="13"/>
    </w:p>
    <w:p w14:paraId="3017A785"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Questions concerning the right to work must be seen in light of Tokelau’s physical, economic and cultural context, and must take into account the virtual absence of employment opportunity outside of that which is community or publicly funded. To survive Tokelau has placed more emphasis on the obligations of its members to provide and share, than on individual effort. Over the past 30 years, the Tokelau Public Service has become the major employer; this includes both the National Public Service and the Public Services in each of the three villages. </w:t>
      </w:r>
    </w:p>
    <w:p w14:paraId="16825676"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Education is free. Literacy levels are high. There is one hundred percent access to primary through to Level 11 education (i.e. up to 16 years), and senior secondary / foundation tertiary education is provided on each atoll. No fees are charged. The Governments of Tokelau and New Zealand, and the village councils make substantial financial commitments to scholarships for study overseas.</w:t>
      </w:r>
    </w:p>
    <w:p w14:paraId="213BA8BD"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14" w:name="_Toc216772785"/>
      <w:r w:rsidRPr="00F80F76">
        <w:rPr>
          <w:rFonts w:eastAsia="Times New Roman"/>
          <w:b/>
        </w:rPr>
        <w:t>Article 7</w:t>
      </w:r>
      <w:bookmarkEnd w:id="14"/>
    </w:p>
    <w:p w14:paraId="08C51329"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In 2004, Tokelau agreed that all public services for Tokelau should be handled consistently, and that common manuals and instructions should be developed. The Public Service Rules 2004 (the Rules) and the Tokelau Public Services Human Resources Manual (the Manual) were approved and endorsed by the General </w:t>
      </w:r>
      <w:proofErr w:type="spellStart"/>
      <w:r w:rsidRPr="00F80F76">
        <w:t>Fono</w:t>
      </w:r>
      <w:proofErr w:type="spellEnd"/>
      <w:r w:rsidRPr="00F80F76">
        <w:t xml:space="preserve">. The Manual was reviewed in 2015 and 2016. A Remuneration Framework was developed with the Hay Group, reviewed and approved by the General </w:t>
      </w:r>
      <w:proofErr w:type="spellStart"/>
      <w:r w:rsidRPr="00F80F76">
        <w:t>Fono</w:t>
      </w:r>
      <w:proofErr w:type="spellEnd"/>
      <w:r w:rsidRPr="00F80F76">
        <w:t xml:space="preserve"> in March 2016. The rules of the Tokelau Public Service Commission were approved in 2016 and a Commissioner was appointed by the General </w:t>
      </w:r>
      <w:proofErr w:type="spellStart"/>
      <w:r w:rsidRPr="00F80F76">
        <w:t>Fono</w:t>
      </w:r>
      <w:proofErr w:type="spellEnd"/>
      <w:r w:rsidRPr="00F80F76">
        <w:t xml:space="preserve"> in November 2016. </w:t>
      </w:r>
      <w:bookmarkStart w:id="15" w:name="_Toc216772786"/>
    </w:p>
    <w:p w14:paraId="0B7CBDBA"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lastRenderedPageBreak/>
        <w:t>Since 2020 support has been provided to the Tokelau Public Service Commissioner to further develop common manuals and instructions.</w:t>
      </w:r>
      <w:r>
        <w:t xml:space="preserve"> </w:t>
      </w:r>
      <w:r w:rsidRPr="00F80F76">
        <w:t>This has included sharing examples of regional policies to aid the development of contextualised Tokelau Public Service policies, peer review of draft policies and a comparative analysis between the Tokelau Public Service Rules and employment commission rules from other Pacific regional countries.</w:t>
      </w:r>
    </w:p>
    <w:p w14:paraId="4B873407" w14:textId="77777777" w:rsidR="00E30563" w:rsidRPr="00F80F76" w:rsidRDefault="00E30563" w:rsidP="00E30563">
      <w:pPr>
        <w:spacing w:after="240"/>
        <w:ind w:left="6"/>
        <w:jc w:val="both"/>
      </w:pPr>
      <w:r w:rsidRPr="00F80F76">
        <w:rPr>
          <w:b/>
        </w:rPr>
        <w:t>Article 8</w:t>
      </w:r>
      <w:bookmarkEnd w:id="15"/>
    </w:p>
    <w:p w14:paraId="1CE3D7DF"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The comments under Articles 6 and 7 apply here. While there are no trade unions in Tokelau in the outside world’s sense, there is an informal association of public service employees.</w:t>
      </w:r>
    </w:p>
    <w:p w14:paraId="6BDD4BFE"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16" w:name="_Toc216772787"/>
      <w:r w:rsidRPr="00F80F76">
        <w:rPr>
          <w:rFonts w:eastAsia="Times New Roman"/>
          <w:b/>
        </w:rPr>
        <w:tab/>
        <w:t>Article 9</w:t>
      </w:r>
      <w:bookmarkEnd w:id="16"/>
    </w:p>
    <w:p w14:paraId="23B94224"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A sharing and caring ethos is fundamental to Tokelau society. Persons older than 60 receive a pension of NZ$350 a fortnight, unless they receive NZ superannuation. Patients requiring medical treatment that is unavailable in Tokelau are officially sponsored to travel to Samoa or New Zealand, as required.</w:t>
      </w:r>
    </w:p>
    <w:p w14:paraId="152B2417"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17" w:name="_Toc216772788"/>
      <w:r w:rsidRPr="00F80F76">
        <w:rPr>
          <w:rFonts w:eastAsia="Times New Roman"/>
          <w:b/>
        </w:rPr>
        <w:tab/>
        <w:t>Article 10</w:t>
      </w:r>
      <w:bookmarkEnd w:id="17"/>
    </w:p>
    <w:p w14:paraId="331444FF"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Law, custom and practice recognise the family as the natural and fundamental group unit of Tokelau society. The Manual referred to in Article 7 provides for paid maternity leave.</w:t>
      </w:r>
    </w:p>
    <w:p w14:paraId="2BA7BEC8" w14:textId="77777777" w:rsidR="00E30563" w:rsidRPr="00F80F76" w:rsidRDefault="00E30563" w:rsidP="00E30563">
      <w:pPr>
        <w:spacing w:after="240"/>
        <w:ind w:left="6"/>
        <w:jc w:val="both"/>
        <w:rPr>
          <w:b/>
        </w:rPr>
      </w:pPr>
      <w:r w:rsidRPr="00F80F76">
        <w:rPr>
          <w:b/>
        </w:rPr>
        <w:t>Article 12</w:t>
      </w:r>
    </w:p>
    <w:p w14:paraId="5D4ED7D2"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 xml:space="preserve">Tokelau is in the process of strengthening its health services and focusing more on public health to reduce the high incidence of non-communicable diseases. </w:t>
      </w:r>
    </w:p>
    <w:p w14:paraId="34BA72F9" w14:textId="77777777" w:rsidR="00E30563" w:rsidRPr="00F80F76" w:rsidRDefault="00E30563" w:rsidP="00E30563">
      <w:pPr>
        <w:keepNext/>
        <w:keepLines/>
        <w:tabs>
          <w:tab w:val="right" w:pos="851"/>
        </w:tabs>
        <w:suppressAutoHyphens/>
        <w:spacing w:before="360" w:after="240" w:line="270" w:lineRule="exact"/>
        <w:ind w:left="1134" w:right="1134" w:hanging="1134"/>
        <w:rPr>
          <w:rFonts w:eastAsia="Times New Roman"/>
          <w:b/>
        </w:rPr>
      </w:pPr>
      <w:bookmarkStart w:id="18" w:name="_Toc216772789"/>
      <w:r w:rsidRPr="00F80F76">
        <w:rPr>
          <w:rFonts w:eastAsia="Times New Roman"/>
          <w:b/>
        </w:rPr>
        <w:tab/>
        <w:t>Articles 11 to 15 and generally</w:t>
      </w:r>
      <w:bookmarkEnd w:id="18"/>
    </w:p>
    <w:p w14:paraId="6FD99292" w14:textId="77777777" w:rsidR="00E30563" w:rsidRPr="00F80F76" w:rsidRDefault="00E30563" w:rsidP="00E30563">
      <w:pPr>
        <w:numPr>
          <w:ilvl w:val="0"/>
          <w:numId w:val="17"/>
        </w:numPr>
        <w:kinsoku/>
        <w:overflowPunct/>
        <w:autoSpaceDE/>
        <w:autoSpaceDN/>
        <w:adjustRightInd/>
        <w:snapToGrid/>
        <w:spacing w:after="240"/>
        <w:ind w:left="426"/>
        <w:jc w:val="both"/>
      </w:pPr>
      <w:r w:rsidRPr="00F80F76">
        <w:t>The rights and freedoms established under the Covenant are broadly upheld in Tokelau practice and continue to be progressively realised by the people of Tokelau. This report shows how the implementation of those rights and freedoms may be viewed in a decolonisation context which is distinctive and challenging. The Joint Statement on the Principles of Partnership between New Zealand and Tokelau provides a blueprint for how Tokelau and New Zealand will continue to move forward together on matters covered by the Covenant, including:</w:t>
      </w:r>
    </w:p>
    <w:p w14:paraId="08D8DC42" w14:textId="77777777" w:rsidR="00E30563" w:rsidRPr="00F80F76" w:rsidRDefault="00E30563" w:rsidP="00E30563">
      <w:pPr>
        <w:numPr>
          <w:ilvl w:val="1"/>
          <w:numId w:val="17"/>
        </w:numPr>
        <w:kinsoku/>
        <w:overflowPunct/>
        <w:autoSpaceDE/>
        <w:autoSpaceDN/>
        <w:adjustRightInd/>
        <w:snapToGrid/>
        <w:spacing w:after="240"/>
        <w:jc w:val="both"/>
      </w:pPr>
      <w:r>
        <w:t>s</w:t>
      </w:r>
      <w:r w:rsidRPr="00F80F76">
        <w:t>elf-determination for Tokelau</w:t>
      </w:r>
    </w:p>
    <w:p w14:paraId="02869524" w14:textId="77777777" w:rsidR="00E30563" w:rsidRPr="00F80F76" w:rsidRDefault="00E30563" w:rsidP="00E30563">
      <w:pPr>
        <w:numPr>
          <w:ilvl w:val="1"/>
          <w:numId w:val="17"/>
        </w:numPr>
        <w:kinsoku/>
        <w:overflowPunct/>
        <w:autoSpaceDE/>
        <w:autoSpaceDN/>
        <w:adjustRightInd/>
        <w:snapToGrid/>
        <w:spacing w:after="240"/>
        <w:jc w:val="both"/>
      </w:pPr>
      <w:r>
        <w:t>t</w:t>
      </w:r>
      <w:r w:rsidRPr="00F80F76">
        <w:t>he retention and development of the language and culture of Tokelau, and</w:t>
      </w:r>
    </w:p>
    <w:p w14:paraId="00142C4C" w14:textId="77777777" w:rsidR="00E30563" w:rsidRPr="00F80F76" w:rsidRDefault="00E30563" w:rsidP="00E30563">
      <w:pPr>
        <w:numPr>
          <w:ilvl w:val="1"/>
          <w:numId w:val="17"/>
        </w:numPr>
        <w:kinsoku/>
        <w:overflowPunct/>
        <w:autoSpaceDE/>
        <w:autoSpaceDN/>
        <w:adjustRightInd/>
        <w:snapToGrid/>
        <w:spacing w:after="240"/>
        <w:jc w:val="both"/>
      </w:pPr>
      <w:r>
        <w:t>t</w:t>
      </w:r>
      <w:r w:rsidRPr="00F80F76">
        <w:t>he economic and social development of Tokelau.</w:t>
      </w:r>
    </w:p>
    <w:p w14:paraId="20F40527" w14:textId="45448001" w:rsidR="00E30563" w:rsidRDefault="00E30563" w:rsidP="00E30563"/>
    <w:sectPr w:rsidR="00E30563" w:rsidSect="00E30563">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C7BB2" w14:textId="77777777" w:rsidR="00E30563" w:rsidRDefault="00E30563" w:rsidP="00F95C08"/>
  </w:endnote>
  <w:endnote w:type="continuationSeparator" w:id="0">
    <w:p w14:paraId="25D1570A" w14:textId="77777777" w:rsidR="00E30563" w:rsidRPr="00AC3823" w:rsidRDefault="00E30563" w:rsidP="00AC3823">
      <w:pPr>
        <w:pStyle w:val="Footer"/>
      </w:pPr>
    </w:p>
  </w:endnote>
  <w:endnote w:type="continuationNotice" w:id="1">
    <w:p w14:paraId="36718B28" w14:textId="77777777" w:rsidR="00E30563" w:rsidRDefault="00E305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9640170"/>
      <w:docPartObj>
        <w:docPartGallery w:val="Page Numbers (Bottom of Page)"/>
        <w:docPartUnique/>
      </w:docPartObj>
    </w:sdtPr>
    <w:sdtEndPr>
      <w:rPr>
        <w:noProof/>
      </w:rPr>
    </w:sdtEndPr>
    <w:sdtContent>
      <w:p w14:paraId="783D9A50" w14:textId="77777777" w:rsidR="007032CA" w:rsidRDefault="007032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55F88E" w14:textId="77777777" w:rsidR="007032CA" w:rsidRDefault="00703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AF783" w14:textId="77777777" w:rsidR="00E30563" w:rsidRPr="00AC3823" w:rsidRDefault="00E30563" w:rsidP="00AC3823">
      <w:pPr>
        <w:pStyle w:val="Footer"/>
        <w:tabs>
          <w:tab w:val="right" w:pos="2155"/>
        </w:tabs>
        <w:spacing w:after="80" w:line="240" w:lineRule="atLeast"/>
        <w:ind w:left="680"/>
        <w:rPr>
          <w:u w:val="single"/>
        </w:rPr>
      </w:pPr>
      <w:r>
        <w:rPr>
          <w:u w:val="single"/>
        </w:rPr>
        <w:tab/>
      </w:r>
    </w:p>
  </w:footnote>
  <w:footnote w:type="continuationSeparator" w:id="0">
    <w:p w14:paraId="1E35EC9D" w14:textId="77777777" w:rsidR="00E30563" w:rsidRPr="00AC3823" w:rsidRDefault="00E30563" w:rsidP="00AC3823">
      <w:pPr>
        <w:pStyle w:val="Footer"/>
        <w:tabs>
          <w:tab w:val="right" w:pos="2155"/>
        </w:tabs>
        <w:spacing w:after="80" w:line="240" w:lineRule="atLeast"/>
        <w:ind w:left="680"/>
        <w:rPr>
          <w:u w:val="single"/>
        </w:rPr>
      </w:pPr>
      <w:r>
        <w:rPr>
          <w:u w:val="single"/>
        </w:rPr>
        <w:tab/>
      </w:r>
    </w:p>
  </w:footnote>
  <w:footnote w:type="continuationNotice" w:id="1">
    <w:p w14:paraId="75A8580A" w14:textId="77777777" w:rsidR="00E30563" w:rsidRPr="00AC3823" w:rsidRDefault="00E30563">
      <w:pPr>
        <w:rPr>
          <w:sz w:val="2"/>
          <w:szCs w:val="2"/>
        </w:rPr>
      </w:pPr>
    </w:p>
  </w:footnote>
  <w:footnote w:id="2">
    <w:p w14:paraId="0037D045" w14:textId="77777777" w:rsidR="00E30563" w:rsidRPr="00DC61F1" w:rsidRDefault="00E30563" w:rsidP="00E30563">
      <w:pPr>
        <w:pStyle w:val="FootnoteText"/>
        <w:ind w:left="0" w:firstLine="0"/>
        <w:rPr>
          <w:szCs w:val="18"/>
        </w:rPr>
      </w:pPr>
      <w:r w:rsidRPr="00DC61F1">
        <w:rPr>
          <w:rStyle w:val="FootnoteReference"/>
          <w:szCs w:val="18"/>
        </w:rPr>
        <w:footnoteRef/>
      </w:r>
      <w:r w:rsidRPr="00DC61F1">
        <w:rPr>
          <w:szCs w:val="18"/>
        </w:rPr>
        <w:t xml:space="preserve"> The Administrator of Tokelau retains legislative responsibility for Tokelau’s Offshore Fisheries Management Plan and management of Tokelau’s Exclusive Economic Zone. A programme to strengthen fisheries management and governance is underway.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D151556"/>
    <w:multiLevelType w:val="hybridMultilevel"/>
    <w:tmpl w:val="1AA800E0"/>
    <w:lvl w:ilvl="0" w:tplc="CFD48A56">
      <w:start w:val="1"/>
      <w:numFmt w:val="decimal"/>
      <w:pStyle w:val="ICESCR-numberedpara"/>
      <w:lvlText w:val="%1."/>
      <w:lvlJc w:val="left"/>
      <w:pPr>
        <w:ind w:left="1080" w:hanging="360"/>
      </w:pPr>
      <w:rPr>
        <w:b w:val="0"/>
        <w:bCs w:val="0"/>
        <w:i w:val="0"/>
        <w:iCs/>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BA09A0"/>
    <w:multiLevelType w:val="hybridMultilevel"/>
    <w:tmpl w:val="060670D6"/>
    <w:lvl w:ilvl="0" w:tplc="543C0428">
      <w:start w:val="1"/>
      <w:numFmt w:val="decimal"/>
      <w:lvlText w:val="%1."/>
      <w:lvlJc w:val="left"/>
      <w:pPr>
        <w:ind w:left="846" w:hanging="420"/>
      </w:pPr>
      <w:rPr>
        <w:rFonts w:ascii="Times New Roman" w:hAnsi="Times New Roman" w:cs="Times New Roman" w:hint="default"/>
        <w:color w:val="auto"/>
        <w:sz w:val="24"/>
        <w:szCs w:val="24"/>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15:restartNumberingAfterBreak="0">
    <w:nsid w:val="79ED5322"/>
    <w:multiLevelType w:val="hybridMultilevel"/>
    <w:tmpl w:val="6510AA1A"/>
    <w:lvl w:ilvl="0" w:tplc="14090019">
      <w:start w:val="1"/>
      <w:numFmt w:val="lowerLetter"/>
      <w:lvlText w:val="%1."/>
      <w:lvlJc w:val="left"/>
      <w:pPr>
        <w:ind w:left="1080" w:hanging="360"/>
      </w:p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num w:numId="1" w16cid:durableId="784930349">
    <w:abstractNumId w:val="14"/>
  </w:num>
  <w:num w:numId="2" w16cid:durableId="1653751170">
    <w:abstractNumId w:val="11"/>
  </w:num>
  <w:num w:numId="3" w16cid:durableId="378474119">
    <w:abstractNumId w:val="10"/>
  </w:num>
  <w:num w:numId="4" w16cid:durableId="1364478463">
    <w:abstractNumId w:val="8"/>
  </w:num>
  <w:num w:numId="5" w16cid:durableId="1162892588">
    <w:abstractNumId w:val="3"/>
  </w:num>
  <w:num w:numId="6" w16cid:durableId="997265343">
    <w:abstractNumId w:val="2"/>
  </w:num>
  <w:num w:numId="7" w16cid:durableId="1108431745">
    <w:abstractNumId w:val="1"/>
  </w:num>
  <w:num w:numId="8" w16cid:durableId="2090615950">
    <w:abstractNumId w:val="0"/>
  </w:num>
  <w:num w:numId="9" w16cid:durableId="1735082820">
    <w:abstractNumId w:val="9"/>
  </w:num>
  <w:num w:numId="10" w16cid:durableId="522792473">
    <w:abstractNumId w:val="7"/>
  </w:num>
  <w:num w:numId="11" w16cid:durableId="1898197839">
    <w:abstractNumId w:val="6"/>
  </w:num>
  <w:num w:numId="12" w16cid:durableId="1495220614">
    <w:abstractNumId w:val="5"/>
  </w:num>
  <w:num w:numId="13" w16cid:durableId="2065912507">
    <w:abstractNumId w:val="4"/>
  </w:num>
  <w:num w:numId="14" w16cid:durableId="393820812">
    <w:abstractNumId w:val="13"/>
  </w:num>
  <w:num w:numId="15" w16cid:durableId="1492133524">
    <w:abstractNumId w:val="10"/>
  </w:num>
  <w:num w:numId="16" w16cid:durableId="215747207">
    <w:abstractNumId w:val="16"/>
  </w:num>
  <w:num w:numId="17" w16cid:durableId="215437462">
    <w:abstractNumId w:val="15"/>
  </w:num>
  <w:num w:numId="18" w16cid:durableId="1057795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563"/>
    <w:rsid w:val="00017F94"/>
    <w:rsid w:val="00023842"/>
    <w:rsid w:val="000334F9"/>
    <w:rsid w:val="0007796D"/>
    <w:rsid w:val="000B7790"/>
    <w:rsid w:val="000C390E"/>
    <w:rsid w:val="00111F2F"/>
    <w:rsid w:val="0014365E"/>
    <w:rsid w:val="0014660A"/>
    <w:rsid w:val="00150DB2"/>
    <w:rsid w:val="00176178"/>
    <w:rsid w:val="001F525A"/>
    <w:rsid w:val="00223272"/>
    <w:rsid w:val="002412E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7764A"/>
    <w:rsid w:val="00586ED3"/>
    <w:rsid w:val="00596AA9"/>
    <w:rsid w:val="005C7353"/>
    <w:rsid w:val="005D2148"/>
    <w:rsid w:val="006122C4"/>
    <w:rsid w:val="006E2C9B"/>
    <w:rsid w:val="007032CA"/>
    <w:rsid w:val="0071601D"/>
    <w:rsid w:val="0076624F"/>
    <w:rsid w:val="00766CEC"/>
    <w:rsid w:val="00770252"/>
    <w:rsid w:val="00795A05"/>
    <w:rsid w:val="007A62E6"/>
    <w:rsid w:val="007D3F41"/>
    <w:rsid w:val="0080684C"/>
    <w:rsid w:val="00815502"/>
    <w:rsid w:val="00845D2D"/>
    <w:rsid w:val="00871C75"/>
    <w:rsid w:val="008776DC"/>
    <w:rsid w:val="0088754C"/>
    <w:rsid w:val="008F2A1D"/>
    <w:rsid w:val="00926A54"/>
    <w:rsid w:val="00957790"/>
    <w:rsid w:val="009705C8"/>
    <w:rsid w:val="00A12AB5"/>
    <w:rsid w:val="00AC3823"/>
    <w:rsid w:val="00AD6E5D"/>
    <w:rsid w:val="00AE323C"/>
    <w:rsid w:val="00AE7D9F"/>
    <w:rsid w:val="00B00181"/>
    <w:rsid w:val="00B43C66"/>
    <w:rsid w:val="00B55090"/>
    <w:rsid w:val="00B765F7"/>
    <w:rsid w:val="00B77864"/>
    <w:rsid w:val="00BA0CA9"/>
    <w:rsid w:val="00BB3E59"/>
    <w:rsid w:val="00BE1F4C"/>
    <w:rsid w:val="00BE4745"/>
    <w:rsid w:val="00BF3C2C"/>
    <w:rsid w:val="00C02897"/>
    <w:rsid w:val="00C56B41"/>
    <w:rsid w:val="00CA426B"/>
    <w:rsid w:val="00CF3AE1"/>
    <w:rsid w:val="00D3439C"/>
    <w:rsid w:val="00D40AEB"/>
    <w:rsid w:val="00DA22F4"/>
    <w:rsid w:val="00DB1831"/>
    <w:rsid w:val="00DD3BFD"/>
    <w:rsid w:val="00DF6678"/>
    <w:rsid w:val="00E12026"/>
    <w:rsid w:val="00E22CF2"/>
    <w:rsid w:val="00E30563"/>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3FE5B"/>
  <w15:chartTrackingRefBased/>
  <w15:docId w15:val="{4C81F4C0-B8F6-46F2-A6AA-CB0015F84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864"/>
    <w:pPr>
      <w:kinsoku w:val="0"/>
      <w:overflowPunct w:val="0"/>
      <w:autoSpaceDE w:val="0"/>
      <w:autoSpaceDN w:val="0"/>
      <w:adjustRightInd w:val="0"/>
      <w:snapToGrid w:val="0"/>
    </w:pPr>
    <w:rPr>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uiPriority w:val="9"/>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5D214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D214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D214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D214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D214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786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D2148"/>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16 Point,BVI fnr Car Car Car Car Char Char1 Char1 Char1 Char,BVI fnr Car Car Char Char Char1 Char1 Char,BVI fnr Car Char Char Char1 Char1 Char,BVI fnr Char Char Char1 Char1 Char,Footnote Reference Number,Superscript 6 Point,ftref"/>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p"/>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p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D2148"/>
    <w:pPr>
      <w:numPr>
        <w:numId w:val="15"/>
      </w:numPr>
      <w:tabs>
        <w:tab w:val="left" w:pos="1701"/>
      </w:tabs>
    </w:pPr>
    <w:rPr>
      <w:rFonts w:eastAsia="Times New Roman"/>
    </w:rPr>
  </w:style>
  <w:style w:type="paragraph" w:styleId="Title">
    <w:name w:val="Title"/>
    <w:basedOn w:val="Normal"/>
    <w:next w:val="Normal"/>
    <w:link w:val="TitleChar"/>
    <w:uiPriority w:val="10"/>
    <w:qFormat/>
    <w:rsid w:val="00E305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56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3056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563"/>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305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0563"/>
    <w:rPr>
      <w:i/>
      <w:iCs/>
      <w:color w:val="404040" w:themeColor="text1" w:themeTint="BF"/>
      <w:lang w:val="en-GB"/>
    </w:rPr>
  </w:style>
  <w:style w:type="paragraph" w:styleId="ListParagraph">
    <w:name w:val="List Paragraph"/>
    <w:basedOn w:val="Normal"/>
    <w:uiPriority w:val="34"/>
    <w:qFormat/>
    <w:rsid w:val="00E30563"/>
    <w:pPr>
      <w:ind w:left="720"/>
      <w:contextualSpacing/>
    </w:pPr>
  </w:style>
  <w:style w:type="character" w:styleId="IntenseEmphasis">
    <w:name w:val="Intense Emphasis"/>
    <w:basedOn w:val="DefaultParagraphFont"/>
    <w:uiPriority w:val="21"/>
    <w:qFormat/>
    <w:rsid w:val="00E30563"/>
    <w:rPr>
      <w:i/>
      <w:iCs/>
      <w:color w:val="365F91" w:themeColor="accent1" w:themeShade="BF"/>
    </w:rPr>
  </w:style>
  <w:style w:type="paragraph" w:styleId="IntenseQuote">
    <w:name w:val="Intense Quote"/>
    <w:basedOn w:val="Normal"/>
    <w:next w:val="Normal"/>
    <w:link w:val="IntenseQuoteChar"/>
    <w:uiPriority w:val="30"/>
    <w:qFormat/>
    <w:rsid w:val="00E3056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30563"/>
    <w:rPr>
      <w:i/>
      <w:iCs/>
      <w:color w:val="365F91" w:themeColor="accent1" w:themeShade="BF"/>
      <w:lang w:val="en-GB"/>
    </w:rPr>
  </w:style>
  <w:style w:type="character" w:styleId="IntenseReference">
    <w:name w:val="Intense Reference"/>
    <w:basedOn w:val="DefaultParagraphFont"/>
    <w:uiPriority w:val="32"/>
    <w:semiHidden/>
    <w:qFormat/>
    <w:rsid w:val="00E30563"/>
    <w:rPr>
      <w:b/>
      <w:bCs/>
      <w:smallCaps/>
      <w:color w:val="365F91" w:themeColor="accent1" w:themeShade="BF"/>
      <w:spacing w:val="5"/>
    </w:rPr>
  </w:style>
  <w:style w:type="paragraph" w:customStyle="1" w:styleId="ICESCR-numberedpara">
    <w:name w:val="ICESCR - numbered para"/>
    <w:basedOn w:val="ListParagraph"/>
    <w:qFormat/>
    <w:rsid w:val="00E30563"/>
    <w:pPr>
      <w:numPr>
        <w:numId w:val="18"/>
      </w:numPr>
      <w:tabs>
        <w:tab w:val="num" w:pos="360"/>
      </w:tabs>
      <w:kinsoku/>
      <w:overflowPunct/>
      <w:autoSpaceDE/>
      <w:autoSpaceDN/>
      <w:adjustRightInd/>
      <w:snapToGrid/>
      <w:spacing w:after="200" w:line="276" w:lineRule="auto"/>
      <w:ind w:left="567" w:hanging="501"/>
      <w:contextualSpacing w:val="0"/>
      <w:jc w:val="both"/>
    </w:pPr>
    <w:rPr>
      <w:rFonts w:eastAsia="Calibri"/>
      <w:sz w:val="22"/>
      <w:szCs w:val="22"/>
      <w:lang w:val="en-NZ" w:eastAsia="en-US"/>
    </w:rPr>
  </w:style>
  <w:style w:type="character" w:customStyle="1" w:styleId="ICESCRheading1">
    <w:name w:val="ICESCR heading 1"/>
    <w:basedOn w:val="DefaultParagraphFont"/>
    <w:uiPriority w:val="1"/>
    <w:qFormat/>
    <w:rsid w:val="00E30563"/>
    <w:rPr>
      <w:rFonts w:ascii="Times New Roman" w:eastAsiaTheme="majorEastAsia" w:hAnsi="Times New Roman" w:cstheme="minorHAnsi"/>
      <w:b/>
      <w:bCs/>
      <w:color w:val="auto"/>
      <w:sz w:val="32"/>
      <w:szCs w:val="32"/>
    </w:rPr>
  </w:style>
  <w:style w:type="character" w:customStyle="1" w:styleId="ICESCRheading4">
    <w:name w:val="ICESCR heading 4"/>
    <w:basedOn w:val="DefaultParagraphFont"/>
    <w:uiPriority w:val="1"/>
    <w:qFormat/>
    <w:rsid w:val="00E30563"/>
    <w:rPr>
      <w:rFonts w:ascii="Times New Roman" w:eastAsiaTheme="majorEastAsia" w:hAnsi="Times New Roman" w:cstheme="majorBidi"/>
      <w:b/>
      <w:bCs/>
      <w:i/>
      <w:color w:val="auto"/>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2025-04-15T11:57:43Z</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52B35-907E-4799-97A0-4C085F5AA4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4757BF-7413-4712-BAE5-379DF037B91C}">
  <ds:schemaRefs>
    <ds:schemaRef ds:uri="http://schemas.microsoft.com/sharepoint/v3/contenttype/forms"/>
  </ds:schemaRefs>
</ds:datastoreItem>
</file>

<file path=customXml/itemProps3.xml><?xml version="1.0" encoding="utf-8"?>
<ds:datastoreItem xmlns:ds="http://schemas.openxmlformats.org/officeDocument/2006/customXml" ds:itemID="{046A16FC-45D4-46D4-898E-8CD29F5BF878}"/>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2489</Words>
  <Characters>14191</Characters>
  <Application>Microsoft Office Word</Application>
  <DocSecurity>0</DocSecurity>
  <Lines>118</Lines>
  <Paragraphs>33</Paragraphs>
  <ScaleCrop>false</ScaleCrop>
  <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Reynaud</dc:creator>
  <cp:keywords/>
  <dc:description/>
  <cp:lastModifiedBy>Celine Reynaud</cp:lastModifiedBy>
  <cp:revision>2</cp:revision>
  <cp:lastPrinted>2014-05-14T10:59:00Z</cp:lastPrinted>
  <dcterms:created xsi:type="dcterms:W3CDTF">2025-05-06T13:49:00Z</dcterms:created>
  <dcterms:modified xsi:type="dcterms:W3CDTF">2025-05-06T13:51:00Z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