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29CF3" w14:textId="1E39B8D1" w:rsidR="005A494E" w:rsidRPr="0063353C" w:rsidRDefault="0063353C" w:rsidP="005A494E">
      <w:pPr>
        <w:pStyle w:val="Overskrift1"/>
        <w:rPr>
          <w:sz w:val="22"/>
          <w:szCs w:val="22"/>
          <w:lang w:val="en-US"/>
        </w:rPr>
      </w:pPr>
      <w:r w:rsidRPr="0063353C">
        <w:rPr>
          <w:sz w:val="22"/>
          <w:szCs w:val="22"/>
          <w:lang w:val="en-US"/>
        </w:rPr>
        <w:t>2025 Children’s Right to Bodily Integrity, Physical Autonomy &amp; Self-determination</w:t>
      </w:r>
    </w:p>
    <w:p w14:paraId="6E544E14" w14:textId="77777777" w:rsidR="005A494E" w:rsidRPr="005A494E" w:rsidRDefault="005A494E" w:rsidP="005A494E">
      <w:pPr>
        <w:pStyle w:val="Overskrift2"/>
        <w:rPr>
          <w:lang w:val="en-US"/>
        </w:rPr>
      </w:pPr>
      <w:bookmarkStart w:id="0" w:name="_Toc204851950"/>
      <w:bookmarkStart w:id="1" w:name="_Toc205023732"/>
      <w:bookmarkStart w:id="2" w:name="_Toc205026610"/>
      <w:bookmarkStart w:id="3" w:name="_Toc205125269"/>
      <w:bookmarkStart w:id="4" w:name="_Toc205125470"/>
      <w:bookmarkStart w:id="5" w:name="_Toc205195166"/>
      <w:bookmarkStart w:id="6" w:name="_Toc205206992"/>
      <w:r w:rsidRPr="005A494E">
        <w:rPr>
          <w:lang w:val="en-US"/>
        </w:rPr>
        <w:t xml:space="preserve">Annex I - Authors and </w:t>
      </w:r>
      <w:proofErr w:type="spellStart"/>
      <w:r w:rsidRPr="005A494E">
        <w:rPr>
          <w:lang w:val="en-US"/>
        </w:rPr>
        <w:t>Organisations</w:t>
      </w:r>
      <w:bookmarkEnd w:id="0"/>
      <w:bookmarkEnd w:id="1"/>
      <w:bookmarkEnd w:id="2"/>
      <w:bookmarkEnd w:id="3"/>
      <w:bookmarkEnd w:id="4"/>
      <w:bookmarkEnd w:id="5"/>
      <w:bookmarkEnd w:id="6"/>
      <w:proofErr w:type="spellEnd"/>
    </w:p>
    <w:p w14:paraId="5DE361AF" w14:textId="77777777" w:rsidR="005A494E" w:rsidRPr="00D9529A" w:rsidRDefault="005A494E" w:rsidP="005A494E">
      <w:pPr>
        <w:pStyle w:val="Overskrift3"/>
        <w:rPr>
          <w:lang w:val="en-US"/>
        </w:rPr>
      </w:pPr>
      <w:bookmarkStart w:id="7" w:name="_Toc205195167"/>
      <w:bookmarkStart w:id="8" w:name="_Toc205206993"/>
      <w:r w:rsidRPr="00D9529A">
        <w:rPr>
          <w:lang w:val="en-US"/>
        </w:rPr>
        <w:t>Authors</w:t>
      </w:r>
      <w:bookmarkEnd w:id="7"/>
      <w:bookmarkEnd w:id="8"/>
    </w:p>
    <w:p w14:paraId="41D56B7E" w14:textId="77777777" w:rsidR="0063353C" w:rsidRDefault="0063353C" w:rsidP="005A494E">
      <w:pPr>
        <w:pStyle w:val="Overskrift4"/>
        <w:rPr>
          <w:lang w:val="en-GB"/>
        </w:rPr>
      </w:pPr>
    </w:p>
    <w:p w14:paraId="3C52CC83" w14:textId="50435309" w:rsidR="005A494E" w:rsidRPr="0086721D" w:rsidRDefault="005A494E" w:rsidP="005A494E">
      <w:pPr>
        <w:pStyle w:val="Overskrift4"/>
        <w:rPr>
          <w:lang w:val="en-GB"/>
        </w:rPr>
      </w:pPr>
      <w:r w:rsidRPr="0086721D">
        <w:rPr>
          <w:lang w:val="en-GB"/>
        </w:rPr>
        <w:t>Aktor, Mikael</w:t>
      </w:r>
    </w:p>
    <w:p w14:paraId="4F7CA42B" w14:textId="77777777" w:rsidR="005A494E" w:rsidRPr="0086721D" w:rsidRDefault="005A494E" w:rsidP="005A494E">
      <w:pPr>
        <w:rPr>
          <w:lang w:val="en-GB"/>
        </w:rPr>
      </w:pPr>
      <w:r w:rsidRPr="0086721D">
        <w:rPr>
          <w:lang w:val="en-GB"/>
        </w:rPr>
        <w:t xml:space="preserve">PhD, </w:t>
      </w:r>
      <w:r w:rsidRPr="0086721D">
        <w:rPr>
          <w:rFonts w:eastAsiaTheme="majorEastAsia"/>
          <w:lang w:val="en-GB"/>
        </w:rPr>
        <w:t>Associate Professor Emeritus</w:t>
      </w:r>
      <w:r w:rsidRPr="0086721D">
        <w:rPr>
          <w:lang w:val="en-GB"/>
        </w:rPr>
        <w:t>, Department of Culture and Language, University of Southern Denmark.</w:t>
      </w:r>
    </w:p>
    <w:p w14:paraId="7BB2D2A5" w14:textId="77777777" w:rsidR="005A494E" w:rsidRPr="0086721D" w:rsidRDefault="005A494E" w:rsidP="005A494E">
      <w:pPr>
        <w:rPr>
          <w:lang w:val="en-GB"/>
        </w:rPr>
      </w:pPr>
      <w:r w:rsidRPr="0086721D">
        <w:rPr>
          <w:lang w:val="en-GB"/>
        </w:rPr>
        <w:t>Co-founder and Vice-Chair for Intact Denmark. Representative in the Danish Council of Human Rights for Intact Denmark.</w:t>
      </w:r>
    </w:p>
    <w:p w14:paraId="1647F9A8" w14:textId="77777777" w:rsidR="005A494E" w:rsidRPr="0086721D" w:rsidRDefault="005A494E" w:rsidP="005A494E">
      <w:pPr>
        <w:rPr>
          <w:lang w:val="en-GB"/>
        </w:rPr>
      </w:pPr>
    </w:p>
    <w:p w14:paraId="6241634B" w14:textId="77777777" w:rsidR="005A494E" w:rsidRPr="0086721D" w:rsidRDefault="005A494E" w:rsidP="005A494E">
      <w:pPr>
        <w:pStyle w:val="Overskrift4"/>
        <w:rPr>
          <w:lang w:val="en-GB"/>
        </w:rPr>
      </w:pPr>
      <w:r w:rsidRPr="0086721D">
        <w:rPr>
          <w:lang w:val="en-GB"/>
        </w:rPr>
        <w:t>Nyhus, Lena</w:t>
      </w:r>
    </w:p>
    <w:p w14:paraId="018B161B" w14:textId="77777777" w:rsidR="005A494E" w:rsidRPr="0086721D" w:rsidRDefault="005A494E" w:rsidP="005A494E">
      <w:pPr>
        <w:rPr>
          <w:lang w:val="en-GB"/>
        </w:rPr>
      </w:pPr>
      <w:r w:rsidRPr="0086721D">
        <w:rPr>
          <w:lang w:val="en-GB"/>
        </w:rPr>
        <w:t>Co-founder and Chair for Intact Denmark. Representative in the Danish Council of Human Rights for Intact Denmark. Member of Danish Association for Clinical Sexology. Board Alternate, Forum for Men’s Health.</w:t>
      </w:r>
    </w:p>
    <w:p w14:paraId="4FDBC5D3" w14:textId="77777777" w:rsidR="005A494E" w:rsidRPr="0086721D" w:rsidRDefault="005A494E" w:rsidP="005A494E">
      <w:pPr>
        <w:rPr>
          <w:lang w:val="en-GB"/>
        </w:rPr>
      </w:pPr>
    </w:p>
    <w:p w14:paraId="3D411C73" w14:textId="77777777" w:rsidR="005A494E" w:rsidRPr="0086721D" w:rsidRDefault="005A494E" w:rsidP="005A494E">
      <w:pPr>
        <w:pStyle w:val="Overskrift4"/>
        <w:rPr>
          <w:lang w:val="en-GB"/>
        </w:rPr>
      </w:pPr>
      <w:proofErr w:type="spellStart"/>
      <w:r w:rsidRPr="0086721D">
        <w:rPr>
          <w:lang w:val="en-GB"/>
        </w:rPr>
        <w:t>Tha</w:t>
      </w:r>
      <w:r>
        <w:rPr>
          <w:lang w:val="en-GB"/>
        </w:rPr>
        <w:t>p</w:t>
      </w:r>
      <w:r w:rsidRPr="0086721D">
        <w:rPr>
          <w:lang w:val="en-GB"/>
        </w:rPr>
        <w:t>prakkon</w:t>
      </w:r>
      <w:proofErr w:type="spellEnd"/>
      <w:r w:rsidRPr="0086721D">
        <w:rPr>
          <w:lang w:val="en-GB"/>
        </w:rPr>
        <w:t>, Inge Toft</w:t>
      </w:r>
    </w:p>
    <w:p w14:paraId="05ED4332" w14:textId="77777777" w:rsidR="005A494E" w:rsidRPr="0086721D" w:rsidRDefault="005A494E" w:rsidP="005A494E">
      <w:pPr>
        <w:rPr>
          <w:lang w:val="en-GB"/>
        </w:rPr>
      </w:pPr>
      <w:r w:rsidRPr="0086721D">
        <w:rPr>
          <w:lang w:val="en-GB"/>
        </w:rPr>
        <w:t>Co-founder and Spokesperson for Intersex Danmark. Relative to an intersex person.</w:t>
      </w:r>
    </w:p>
    <w:p w14:paraId="7A37795A" w14:textId="77777777" w:rsidR="005A494E" w:rsidRPr="00D9529A" w:rsidRDefault="005A494E" w:rsidP="005A494E">
      <w:pPr>
        <w:pStyle w:val="Overskrift3"/>
        <w:rPr>
          <w:lang w:val="en-US"/>
        </w:rPr>
      </w:pPr>
    </w:p>
    <w:p w14:paraId="3D3767A2" w14:textId="77777777" w:rsidR="005A494E" w:rsidRPr="00D9529A" w:rsidRDefault="005A494E" w:rsidP="005A494E">
      <w:pPr>
        <w:pStyle w:val="Overskrift3"/>
        <w:rPr>
          <w:lang w:val="en-US"/>
        </w:rPr>
      </w:pPr>
      <w:bookmarkStart w:id="9" w:name="_Toc205195168"/>
      <w:bookmarkStart w:id="10" w:name="_Toc205206994"/>
      <w:proofErr w:type="spellStart"/>
      <w:r w:rsidRPr="00D9529A">
        <w:rPr>
          <w:lang w:val="en-US"/>
        </w:rPr>
        <w:t>Organisations</w:t>
      </w:r>
      <w:bookmarkEnd w:id="9"/>
      <w:bookmarkEnd w:id="10"/>
      <w:proofErr w:type="spellEnd"/>
    </w:p>
    <w:p w14:paraId="118F8819" w14:textId="77777777" w:rsidR="005A494E" w:rsidRPr="0086721D" w:rsidRDefault="005A494E" w:rsidP="005A494E">
      <w:pPr>
        <w:rPr>
          <w:lang w:val="en-GB"/>
        </w:rPr>
      </w:pPr>
    </w:p>
    <w:p w14:paraId="4A64DD2E" w14:textId="77777777" w:rsidR="005A494E" w:rsidRPr="0086721D" w:rsidRDefault="005A494E" w:rsidP="005A494E">
      <w:pPr>
        <w:pStyle w:val="Overskrift4"/>
        <w:rPr>
          <w:lang w:val="en-GB"/>
        </w:rPr>
      </w:pPr>
      <w:r w:rsidRPr="0086721D">
        <w:rPr>
          <w:lang w:val="en-GB"/>
        </w:rPr>
        <w:t>Intact Denmark</w:t>
      </w:r>
    </w:p>
    <w:p w14:paraId="1A860D19" w14:textId="77777777" w:rsidR="005A494E" w:rsidRPr="0086721D" w:rsidRDefault="005A494E" w:rsidP="005A494E">
      <w:pPr>
        <w:rPr>
          <w:lang w:val="en-GB"/>
        </w:rPr>
      </w:pPr>
      <w:r w:rsidRPr="0086721D">
        <w:rPr>
          <w:lang w:val="en-GB"/>
        </w:rPr>
        <w:t xml:space="preserve">The purpose of Intact Denmark is to </w:t>
      </w:r>
      <w:proofErr w:type="gramStart"/>
      <w:r w:rsidRPr="0086721D">
        <w:rPr>
          <w:lang w:val="en-GB"/>
        </w:rPr>
        <w:t>safe-guard</w:t>
      </w:r>
      <w:proofErr w:type="gramEnd"/>
      <w:r w:rsidRPr="0086721D">
        <w:rPr>
          <w:lang w:val="en-GB"/>
        </w:rPr>
        <w:t xml:space="preserve"> every individual’s fundamental right to bodily autonomy, with particular focus on circumcision and other non-medical genital surgery on children and adults who have not given, or are not capable of giving, competent informed consent.</w:t>
      </w:r>
    </w:p>
    <w:p w14:paraId="23B13454" w14:textId="77777777" w:rsidR="005A494E" w:rsidRPr="0086721D" w:rsidRDefault="005A494E" w:rsidP="005A494E">
      <w:pPr>
        <w:rPr>
          <w:lang w:val="en-GB"/>
        </w:rPr>
      </w:pPr>
    </w:p>
    <w:p w14:paraId="60312F7D" w14:textId="77777777" w:rsidR="005A494E" w:rsidRPr="0086721D" w:rsidRDefault="005A494E" w:rsidP="005A494E">
      <w:pPr>
        <w:rPr>
          <w:lang w:val="en-GB"/>
        </w:rPr>
      </w:pPr>
      <w:r w:rsidRPr="0086721D">
        <w:rPr>
          <w:lang w:val="en-GB"/>
        </w:rPr>
        <w:t>Intact Denmark is furthermore a patient association which represents and acts as an advocacy group and advisory body for anyone who has undergone or is considering genital surgery, as well as for their relatives.</w:t>
      </w:r>
    </w:p>
    <w:p w14:paraId="59F7B85C" w14:textId="77777777" w:rsidR="005A494E" w:rsidRPr="0086721D" w:rsidRDefault="005A494E" w:rsidP="005A494E">
      <w:pPr>
        <w:rPr>
          <w:lang w:val="en-GB"/>
        </w:rPr>
      </w:pPr>
    </w:p>
    <w:p w14:paraId="0F68751F" w14:textId="77777777" w:rsidR="005A494E" w:rsidRPr="0086721D" w:rsidRDefault="005A494E" w:rsidP="005A494E">
      <w:pPr>
        <w:rPr>
          <w:lang w:val="en-GB"/>
        </w:rPr>
      </w:pPr>
      <w:r w:rsidRPr="0086721D">
        <w:rPr>
          <w:lang w:val="en-GB"/>
        </w:rPr>
        <w:t>Human rights are the guiding principles for Intact Denmark’s advocacy and the organisation works for the benefit of all people, regardless of gender, culture, or religion.</w:t>
      </w:r>
    </w:p>
    <w:p w14:paraId="3561D59E" w14:textId="77777777" w:rsidR="005A494E" w:rsidRPr="0086721D" w:rsidRDefault="005A494E" w:rsidP="005A494E">
      <w:pPr>
        <w:rPr>
          <w:lang w:val="en-GB"/>
        </w:rPr>
      </w:pPr>
    </w:p>
    <w:p w14:paraId="054CE073" w14:textId="77777777" w:rsidR="005A494E" w:rsidRPr="0086721D" w:rsidRDefault="005A494E" w:rsidP="005A494E">
      <w:pPr>
        <w:pStyle w:val="Overskrift4"/>
        <w:rPr>
          <w:lang w:val="en-GB"/>
        </w:rPr>
      </w:pPr>
      <w:r w:rsidRPr="0086721D">
        <w:rPr>
          <w:lang w:val="en-GB"/>
        </w:rPr>
        <w:t>Intersex Danmark</w:t>
      </w:r>
    </w:p>
    <w:p w14:paraId="714B4B47" w14:textId="77777777" w:rsidR="005A494E" w:rsidRPr="0086721D" w:rsidRDefault="005A494E" w:rsidP="005A494E">
      <w:pPr>
        <w:rPr>
          <w:rFonts w:eastAsiaTheme="majorEastAsia" w:cs="Arial"/>
          <w:color w:val="0F4761"/>
          <w:sz w:val="32"/>
          <w:szCs w:val="32"/>
          <w:u w:val="single"/>
          <w:lang w:val="en-GB"/>
        </w:rPr>
      </w:pPr>
      <w:r w:rsidRPr="0086721D">
        <w:rPr>
          <w:lang w:val="en-GB"/>
        </w:rPr>
        <w:t xml:space="preserve">Intersex Danmark is an intersex-led human rights-based NGO, working for the rights of all intersex people regardless of their variation. Intersex Denmark is a member of Organisation Intersex International, OII Europe. </w:t>
      </w:r>
    </w:p>
    <w:p w14:paraId="7093E923" w14:textId="77777777" w:rsidR="005A494E" w:rsidRPr="0086721D" w:rsidRDefault="005A494E" w:rsidP="005A494E">
      <w:pPr>
        <w:rPr>
          <w:rFonts w:ascii="Century Gothic" w:hAnsi="Century Gothic"/>
          <w:color w:val="18365D"/>
          <w:lang w:val="en-GB"/>
        </w:rPr>
      </w:pPr>
      <w:bookmarkStart w:id="11" w:name="_Toc204851951"/>
      <w:bookmarkStart w:id="12" w:name="_Toc205023733"/>
      <w:bookmarkStart w:id="13" w:name="_Toc205026611"/>
      <w:bookmarkStart w:id="14" w:name="_Toc205125270"/>
      <w:bookmarkStart w:id="15" w:name="_Toc205125471"/>
      <w:r w:rsidRPr="0086721D">
        <w:rPr>
          <w:lang w:val="en-GB"/>
        </w:rPr>
        <w:br w:type="page"/>
      </w:r>
    </w:p>
    <w:p w14:paraId="7563D7C7" w14:textId="77777777" w:rsidR="005A494E" w:rsidRPr="005A494E" w:rsidRDefault="005A494E" w:rsidP="005A494E">
      <w:pPr>
        <w:pStyle w:val="Overskrift2"/>
        <w:rPr>
          <w:lang w:val="en-US"/>
        </w:rPr>
      </w:pPr>
      <w:bookmarkStart w:id="16" w:name="_Toc205195169"/>
      <w:bookmarkStart w:id="17" w:name="_Toc205206995"/>
      <w:r w:rsidRPr="005A494E">
        <w:rPr>
          <w:lang w:val="en-US"/>
        </w:rPr>
        <w:lastRenderedPageBreak/>
        <w:t>Annex II - Additional Data or References</w:t>
      </w:r>
      <w:bookmarkStart w:id="18" w:name="_Toc204851952"/>
      <w:bookmarkStart w:id="19" w:name="_Toc205023734"/>
      <w:bookmarkStart w:id="20" w:name="_Toc205026612"/>
      <w:bookmarkEnd w:id="11"/>
      <w:bookmarkEnd w:id="12"/>
      <w:bookmarkEnd w:id="13"/>
      <w:bookmarkEnd w:id="14"/>
      <w:bookmarkEnd w:id="15"/>
      <w:bookmarkEnd w:id="16"/>
      <w:bookmarkEnd w:id="17"/>
    </w:p>
    <w:p w14:paraId="1259D512" w14:textId="77777777" w:rsidR="005A494E" w:rsidRPr="00D9529A" w:rsidRDefault="005A494E" w:rsidP="005A494E">
      <w:pPr>
        <w:pStyle w:val="Overskrift3"/>
        <w:rPr>
          <w:lang w:val="en-US"/>
        </w:rPr>
      </w:pPr>
      <w:bookmarkStart w:id="21" w:name="_Toc205125271"/>
      <w:bookmarkStart w:id="22" w:name="_Toc205125472"/>
      <w:bookmarkStart w:id="23" w:name="_Toc205195170"/>
    </w:p>
    <w:p w14:paraId="1B4FDD0C" w14:textId="77777777" w:rsidR="005A494E" w:rsidRPr="00D9529A" w:rsidRDefault="005A494E" w:rsidP="005A494E">
      <w:pPr>
        <w:pStyle w:val="Overskrift3"/>
        <w:rPr>
          <w:lang w:val="en-US"/>
        </w:rPr>
      </w:pPr>
      <w:bookmarkStart w:id="24" w:name="_Toc205206996"/>
      <w:r w:rsidRPr="00D9529A">
        <w:rPr>
          <w:lang w:val="en-US"/>
        </w:rPr>
        <w:t>Glossary of Terms</w:t>
      </w:r>
      <w:bookmarkEnd w:id="18"/>
      <w:bookmarkEnd w:id="19"/>
      <w:bookmarkEnd w:id="20"/>
      <w:bookmarkEnd w:id="21"/>
      <w:bookmarkEnd w:id="22"/>
      <w:bookmarkEnd w:id="23"/>
      <w:bookmarkEnd w:id="24"/>
    </w:p>
    <w:p w14:paraId="61DFD01A" w14:textId="77777777" w:rsidR="005A494E" w:rsidRDefault="005A494E" w:rsidP="005A494E">
      <w:pPr>
        <w:rPr>
          <w:lang w:val="en-GB"/>
        </w:rPr>
      </w:pPr>
    </w:p>
    <w:p w14:paraId="623F5EDE" w14:textId="77777777" w:rsidR="005A494E" w:rsidRPr="0086721D" w:rsidRDefault="005A494E" w:rsidP="005A494E">
      <w:pPr>
        <w:rPr>
          <w:lang w:val="en-GB"/>
        </w:rPr>
      </w:pPr>
      <w:r w:rsidRPr="0086721D">
        <w:rPr>
          <w:lang w:val="en-GB"/>
        </w:rPr>
        <w:t>The terms listed below are used throughout this report to ensure clarity and precision. Where terms differ from those used in domestic legislation or common discourse, the definitions provided reflect internationally recognised human rights language and the context in which they are used in relation to the Convention on the Rights of the Child (CRC).</w:t>
      </w:r>
    </w:p>
    <w:p w14:paraId="34275A4B" w14:textId="77777777" w:rsidR="005A494E" w:rsidRDefault="005A494E" w:rsidP="005A494E">
      <w:pPr>
        <w:rPr>
          <w:lang w:val="en-GB"/>
        </w:rPr>
      </w:pPr>
      <w:bookmarkStart w:id="25" w:name="_Toc204851953"/>
    </w:p>
    <w:p w14:paraId="64BFBB72" w14:textId="77777777" w:rsidR="005A494E" w:rsidRPr="0086721D" w:rsidRDefault="005A494E" w:rsidP="005A494E">
      <w:pPr>
        <w:pStyle w:val="Overskrift4"/>
        <w:rPr>
          <w:lang w:val="en-GB"/>
        </w:rPr>
      </w:pPr>
      <w:r w:rsidRPr="0086721D">
        <w:rPr>
          <w:lang w:val="en-GB"/>
        </w:rPr>
        <w:t>Bodily autonomy</w:t>
      </w:r>
      <w:bookmarkEnd w:id="25"/>
    </w:p>
    <w:p w14:paraId="2A86FA34" w14:textId="77777777" w:rsidR="005A494E" w:rsidRPr="0086721D" w:rsidRDefault="005A494E" w:rsidP="005A494E">
      <w:pPr>
        <w:rPr>
          <w:lang w:val="en-GB"/>
        </w:rPr>
      </w:pPr>
      <w:r w:rsidRPr="0086721D">
        <w:rPr>
          <w:lang w:val="en-GB"/>
        </w:rPr>
        <w:t>The right of every person, including children, to make informed decisions about their own body, free from coercion, force or undue influence. This includes the right to accept or refuse medical or physical interventions as well as the right to be protected from therapeutic interventions that are not urgent, and evidence based.</w:t>
      </w:r>
    </w:p>
    <w:p w14:paraId="1739650D" w14:textId="77777777" w:rsidR="005A494E" w:rsidRDefault="005A494E" w:rsidP="005A494E">
      <w:pPr>
        <w:rPr>
          <w:lang w:val="en-GB"/>
        </w:rPr>
      </w:pPr>
      <w:bookmarkStart w:id="26" w:name="_Toc204851954"/>
    </w:p>
    <w:p w14:paraId="0FE65421" w14:textId="77777777" w:rsidR="005A494E" w:rsidRPr="0086721D" w:rsidRDefault="005A494E" w:rsidP="005A494E">
      <w:pPr>
        <w:pStyle w:val="Overskrift4"/>
        <w:rPr>
          <w:lang w:val="en-GB"/>
        </w:rPr>
      </w:pPr>
      <w:r w:rsidRPr="0086721D">
        <w:rPr>
          <w:lang w:val="en-GB"/>
        </w:rPr>
        <w:t>Bodily integrity</w:t>
      </w:r>
      <w:bookmarkStart w:id="27" w:name="_Toc204851955"/>
      <w:bookmarkEnd w:id="26"/>
    </w:p>
    <w:p w14:paraId="12363681" w14:textId="77777777" w:rsidR="005A494E" w:rsidRPr="005A494E" w:rsidRDefault="005A494E" w:rsidP="005A494E">
      <w:pPr>
        <w:rPr>
          <w:rStyle w:val="Overskrift3Tegn"/>
          <w:lang w:val="en-US"/>
        </w:rPr>
      </w:pPr>
      <w:r w:rsidRPr="0086721D">
        <w:rPr>
          <w:lang w:val="en-GB"/>
        </w:rPr>
        <w:t>The inviolability of the physical body. It includes the right to be protected from non-consensual or medically unnecessary interventions.</w:t>
      </w:r>
      <w:r w:rsidRPr="0086721D">
        <w:rPr>
          <w:lang w:val="en-GB"/>
        </w:rPr>
        <w:br/>
      </w:r>
      <w:r w:rsidRPr="0086721D">
        <w:rPr>
          <w:lang w:val="en-GB"/>
        </w:rPr>
        <w:br/>
      </w:r>
      <w:r w:rsidRPr="005A494E">
        <w:rPr>
          <w:rStyle w:val="Overskrift4Tegn"/>
          <w:lang w:val="en-US"/>
        </w:rPr>
        <w:t>Circumcision</w:t>
      </w:r>
      <w:bookmarkEnd w:id="27"/>
    </w:p>
    <w:p w14:paraId="44D5B566" w14:textId="77777777" w:rsidR="005A494E" w:rsidRPr="0086721D" w:rsidRDefault="005A494E" w:rsidP="005A494E">
      <w:pPr>
        <w:rPr>
          <w:lang w:val="en-GB"/>
        </w:rPr>
      </w:pPr>
      <w:r w:rsidRPr="0086721D">
        <w:rPr>
          <w:lang w:val="en-GB"/>
        </w:rPr>
        <w:t>The partial or complete surgical removal of the foreskin of the penis. When performed on minors without a medical indication, it is a non-therapeutic and irreversible procedure that violates the child’s right to bodily integrity, as informed consent from the individual concerned cannot be obtained.</w:t>
      </w:r>
    </w:p>
    <w:p w14:paraId="559CEF48" w14:textId="77777777" w:rsidR="005A494E" w:rsidRDefault="005A494E" w:rsidP="005A494E">
      <w:pPr>
        <w:rPr>
          <w:lang w:val="en-GB"/>
        </w:rPr>
      </w:pPr>
    </w:p>
    <w:p w14:paraId="00948636" w14:textId="77777777" w:rsidR="005A494E" w:rsidRPr="0086721D" w:rsidRDefault="005A494E" w:rsidP="005A494E">
      <w:pPr>
        <w:rPr>
          <w:lang w:val="en-GB"/>
        </w:rPr>
      </w:pPr>
      <w:r w:rsidRPr="0086721D">
        <w:rPr>
          <w:lang w:val="en-GB"/>
        </w:rPr>
        <w:t>In addition, circumcisions performed for therapeutic purposes on children or adults may also constitute a violation of bodily integrity if less invasive treatment options have not been thoroughly considered and/or attempted, or if full, free and informed consent has not been secured following disclosure of all relevant risks and consequences.</w:t>
      </w:r>
      <w:r w:rsidRPr="0086721D">
        <w:rPr>
          <w:lang w:val="en-GB"/>
        </w:rPr>
        <w:br/>
        <w:t>See also: Foreskin amputation</w:t>
      </w:r>
    </w:p>
    <w:p w14:paraId="5CED6C0E" w14:textId="77777777" w:rsidR="005A494E" w:rsidRDefault="005A494E" w:rsidP="005A494E">
      <w:pPr>
        <w:rPr>
          <w:lang w:val="en-GB"/>
        </w:rPr>
      </w:pPr>
    </w:p>
    <w:p w14:paraId="1B5735E6" w14:textId="77777777" w:rsidR="005A494E" w:rsidRPr="0086721D" w:rsidRDefault="005A494E" w:rsidP="005A494E">
      <w:pPr>
        <w:rPr>
          <w:lang w:val="en-GB"/>
        </w:rPr>
      </w:pPr>
      <w:r w:rsidRPr="005A494E">
        <w:rPr>
          <w:rStyle w:val="Overskrift4Tegn"/>
          <w:lang w:val="en-US"/>
        </w:rPr>
        <w:t>Danish Health Act, § 19</w:t>
      </w:r>
      <w:r w:rsidRPr="0086721D">
        <w:rPr>
          <w:lang w:val="en-GB"/>
        </w:rPr>
        <w:t xml:space="preserve"> (</w:t>
      </w:r>
      <w:proofErr w:type="spellStart"/>
      <w:r w:rsidRPr="0086721D">
        <w:rPr>
          <w:lang w:val="en-GB"/>
        </w:rPr>
        <w:t>Sundhedsloven</w:t>
      </w:r>
      <w:proofErr w:type="spellEnd"/>
      <w:r w:rsidRPr="0086721D">
        <w:rPr>
          <w:lang w:val="en-GB"/>
        </w:rPr>
        <w:t xml:space="preserve"> § 19)</w:t>
      </w:r>
    </w:p>
    <w:p w14:paraId="7BBB6B34" w14:textId="77777777" w:rsidR="005A494E" w:rsidRPr="0086721D" w:rsidRDefault="005A494E" w:rsidP="005A494E">
      <w:pPr>
        <w:rPr>
          <w:lang w:val="en-GB"/>
        </w:rPr>
      </w:pPr>
      <w:r w:rsidRPr="0086721D">
        <w:rPr>
          <w:lang w:val="en-GB"/>
        </w:rPr>
        <w:t>“If a patient who temporarily or permanently lacks the ability to give informed consent or is under 15 years old is in a situation where immediate treatment is required for the patient's survival or to significantly improve the patient's chances of survival or for a substantially better treatment outcome, a healthcare professional may initiate or continue treatment without consent from the patient or from the holder of parental authority, nearest relatives, guardian, or future attorney-in-fact.”</w:t>
      </w:r>
    </w:p>
    <w:p w14:paraId="600CA200" w14:textId="77777777" w:rsidR="005A494E" w:rsidRDefault="005A494E" w:rsidP="005A494E">
      <w:pPr>
        <w:rPr>
          <w:lang w:val="en-GB"/>
        </w:rPr>
      </w:pPr>
    </w:p>
    <w:p w14:paraId="5FAFBA6E" w14:textId="77777777" w:rsidR="005A494E" w:rsidRPr="0086721D" w:rsidRDefault="005A494E" w:rsidP="005A494E">
      <w:pPr>
        <w:rPr>
          <w:lang w:val="en-GB"/>
        </w:rPr>
      </w:pPr>
      <w:r w:rsidRPr="0086721D">
        <w:rPr>
          <w:lang w:val="en-GB"/>
        </w:rPr>
        <w:t xml:space="preserve">Legal provision that permits emergency treatment without consent where the patient’s survival or recovery would otherwise be at risk. This clause is not intended to justify elective, non-urgent interventions such as genital surgery on minors. However, an analysis of current </w:t>
      </w:r>
      <w:r w:rsidRPr="0086721D">
        <w:rPr>
          <w:lang w:val="en-GB"/>
        </w:rPr>
        <w:lastRenderedPageBreak/>
        <w:t>praxis raises the concern that this legislation may be abused to perform procedures on minors that do not meet the standards for employing proxy consent from parents based on evidence or immediate necessity.</w:t>
      </w:r>
    </w:p>
    <w:p w14:paraId="73900565" w14:textId="77777777" w:rsidR="005A494E" w:rsidRDefault="005A494E" w:rsidP="005A494E">
      <w:pPr>
        <w:pStyle w:val="Overskrift4"/>
        <w:rPr>
          <w:lang w:val="en-GB"/>
        </w:rPr>
      </w:pPr>
    </w:p>
    <w:p w14:paraId="772BE20F" w14:textId="77777777" w:rsidR="005A494E" w:rsidRPr="0086721D" w:rsidRDefault="005A494E" w:rsidP="005A494E">
      <w:pPr>
        <w:pStyle w:val="Overskrift4"/>
        <w:rPr>
          <w:lang w:val="en-GB"/>
        </w:rPr>
      </w:pPr>
      <w:r w:rsidRPr="0086721D">
        <w:rPr>
          <w:lang w:val="en-GB"/>
        </w:rPr>
        <w:t>Disorders/Differences of sex development (DSD)</w:t>
      </w:r>
    </w:p>
    <w:p w14:paraId="698C48B7" w14:textId="77777777" w:rsidR="005A494E" w:rsidRPr="0086721D" w:rsidRDefault="005A494E" w:rsidP="005A494E">
      <w:pPr>
        <w:rPr>
          <w:lang w:val="en-GB"/>
        </w:rPr>
      </w:pPr>
      <w:r w:rsidRPr="0086721D">
        <w:rPr>
          <w:lang w:val="en-GB"/>
        </w:rPr>
        <w:t>A medicalised term used to describe some forms of intersex. This term is  considered highly pathologizing, and the use of the term, is criticized by intersex organizations worldwide, as it portrays intersex as 'disorders' and implicitly suggests, that intersex can and should be treated medically.</w:t>
      </w:r>
      <w:r w:rsidRPr="0086721D">
        <w:rPr>
          <w:lang w:val="en-GB"/>
        </w:rPr>
        <w:br/>
      </w:r>
      <w:r w:rsidRPr="0086721D">
        <w:rPr>
          <w:lang w:val="en-GB"/>
        </w:rPr>
        <w:br/>
        <w:t>The term Disorders (Differences) of Sex Development (DSD) cannot be used as a synonym for intersex, as these two terms do not necessarily, refer to the same segment of the population. There is a broad international consensus on what the term intersex encompasses, while there is no clear definition of what the term DSD covers, making it open to interpretation by the individual doctor/clinic/healthcare system, to define what they choose the term should include. </w:t>
      </w:r>
    </w:p>
    <w:p w14:paraId="45CE8AA4" w14:textId="77777777" w:rsidR="005A494E" w:rsidRDefault="005A494E" w:rsidP="005A494E">
      <w:pPr>
        <w:rPr>
          <w:lang w:val="en-GB"/>
        </w:rPr>
      </w:pPr>
    </w:p>
    <w:p w14:paraId="1FA9A094" w14:textId="77777777" w:rsidR="005A494E" w:rsidRPr="0086721D" w:rsidRDefault="005A494E" w:rsidP="005A494E">
      <w:pPr>
        <w:rPr>
          <w:lang w:val="en-GB"/>
        </w:rPr>
      </w:pPr>
      <w:r w:rsidRPr="0086721D">
        <w:rPr>
          <w:lang w:val="en-GB"/>
        </w:rPr>
        <w:t>As an example, it has been decided in Denmark that variations - internationally recognized as intersex in a human rights perspective, including hypospadias - are not considered DSD. </w:t>
      </w:r>
    </w:p>
    <w:p w14:paraId="49820FED" w14:textId="77777777" w:rsidR="005A494E" w:rsidRPr="0086721D" w:rsidRDefault="005A494E" w:rsidP="005A494E">
      <w:pPr>
        <w:rPr>
          <w:lang w:val="en-GB"/>
        </w:rPr>
      </w:pPr>
      <w:r w:rsidRPr="0086721D">
        <w:rPr>
          <w:lang w:val="en-GB"/>
        </w:rPr>
        <w:t>This discrepancy led to Denmark receiving recommendations from CESCR</w:t>
      </w:r>
      <w:r w:rsidRPr="0086721D">
        <w:rPr>
          <w:rStyle w:val="Slutnotehenvisning"/>
          <w:rFonts w:ascii="Calibri" w:hAnsi="Calibri" w:cs="Calibri"/>
          <w:color w:val="000000"/>
          <w:lang w:val="en-GB"/>
        </w:rPr>
        <w:endnoteReference w:id="1"/>
      </w:r>
      <w:r w:rsidRPr="0086721D">
        <w:rPr>
          <w:lang w:val="en-GB"/>
        </w:rPr>
        <w:t xml:space="preserve"> to avoid using the term DSD, and to use the term intersex instead, in legislation.</w:t>
      </w:r>
    </w:p>
    <w:p w14:paraId="1DA9DFDA" w14:textId="77777777" w:rsidR="005A494E" w:rsidRDefault="005A494E" w:rsidP="005A494E">
      <w:pPr>
        <w:rPr>
          <w:lang w:val="en-GB"/>
        </w:rPr>
      </w:pPr>
      <w:bookmarkStart w:id="28" w:name="_Toc204851956"/>
    </w:p>
    <w:p w14:paraId="18FD5F20" w14:textId="77777777" w:rsidR="005A494E" w:rsidRPr="0086721D" w:rsidRDefault="005A494E" w:rsidP="005A494E">
      <w:pPr>
        <w:pStyle w:val="Overskrift4"/>
        <w:rPr>
          <w:lang w:val="en-GB"/>
        </w:rPr>
      </w:pPr>
      <w:r w:rsidRPr="0086721D">
        <w:rPr>
          <w:lang w:val="en-GB"/>
        </w:rPr>
        <w:t>Early childhood trauma</w:t>
      </w:r>
      <w:bookmarkEnd w:id="28"/>
    </w:p>
    <w:p w14:paraId="4B37198E" w14:textId="77777777" w:rsidR="005A494E" w:rsidRPr="0086721D" w:rsidRDefault="005A494E" w:rsidP="005A494E">
      <w:pPr>
        <w:rPr>
          <w:lang w:val="en-GB"/>
        </w:rPr>
      </w:pPr>
      <w:r w:rsidRPr="0086721D">
        <w:rPr>
          <w:lang w:val="en-GB"/>
        </w:rPr>
        <w:t>Psychological or physiological harm resulting from distressing experiences, including painful medical interventions, during the early developmental years (typically ages 0–6). Contrary to common assumptions, young children are highly vulnerable to trauma, as their rapidly developing brains are particularly sensitive. Such trauma can disrupt emotional regulation, memory, learning, and a sense of safety, with long-term effects on cognitive and neurological development. Early childhood trauma has been associated with reduced size of the brain cortex</w:t>
      </w:r>
      <w:r w:rsidRPr="0086721D">
        <w:rPr>
          <w:rStyle w:val="Slutnotehenvisning"/>
          <w:lang w:val="en-GB"/>
        </w:rPr>
        <w:endnoteReference w:id="2"/>
      </w:r>
      <w:r w:rsidRPr="0086721D">
        <w:rPr>
          <w:lang w:val="en-GB"/>
        </w:rPr>
        <w:t>, as well as other developmental issues.</w:t>
      </w:r>
    </w:p>
    <w:p w14:paraId="1BDC28A4" w14:textId="77777777" w:rsidR="005A494E" w:rsidRDefault="005A494E" w:rsidP="005A494E">
      <w:pPr>
        <w:rPr>
          <w:lang w:val="en-GB"/>
        </w:rPr>
      </w:pPr>
      <w:bookmarkStart w:id="29" w:name="_Toc204851957"/>
    </w:p>
    <w:p w14:paraId="680FDD10" w14:textId="77777777" w:rsidR="005A494E" w:rsidRPr="0086721D" w:rsidRDefault="005A494E" w:rsidP="005A494E">
      <w:pPr>
        <w:pStyle w:val="Overskrift4"/>
        <w:rPr>
          <w:lang w:val="en-GB"/>
        </w:rPr>
      </w:pPr>
      <w:r w:rsidRPr="0086721D">
        <w:rPr>
          <w:lang w:val="en-GB"/>
        </w:rPr>
        <w:t>Foreskin amputation</w:t>
      </w:r>
      <w:bookmarkEnd w:id="29"/>
    </w:p>
    <w:p w14:paraId="43A0A593" w14:textId="77777777" w:rsidR="005A494E" w:rsidRPr="0086721D" w:rsidRDefault="005A494E" w:rsidP="005A494E">
      <w:pPr>
        <w:rPr>
          <w:lang w:val="en-GB"/>
        </w:rPr>
      </w:pPr>
      <w:r w:rsidRPr="0086721D">
        <w:rPr>
          <w:lang w:val="en-GB"/>
        </w:rPr>
        <w:t>An anatomically accurate term for the removal of the foreskin. This procedure is frequently referred to as circumcision. When performed without medical necessity and without consent, it raises human rights concerns.</w:t>
      </w:r>
      <w:r w:rsidRPr="0086721D">
        <w:rPr>
          <w:lang w:val="en-GB"/>
        </w:rPr>
        <w:br/>
        <w:t>See also: Circumcision</w:t>
      </w:r>
    </w:p>
    <w:p w14:paraId="04FCCE6D" w14:textId="77777777" w:rsidR="005A494E" w:rsidRDefault="005A494E" w:rsidP="005A494E">
      <w:pPr>
        <w:rPr>
          <w:lang w:val="en-GB"/>
        </w:rPr>
      </w:pPr>
    </w:p>
    <w:p w14:paraId="7187CCCA" w14:textId="77777777" w:rsidR="005A494E" w:rsidRPr="0086721D" w:rsidRDefault="005A494E" w:rsidP="005A494E">
      <w:pPr>
        <w:pStyle w:val="Overskrift4"/>
        <w:rPr>
          <w:lang w:val="en-GB"/>
        </w:rPr>
      </w:pPr>
      <w:r w:rsidRPr="0086721D">
        <w:rPr>
          <w:lang w:val="en-GB"/>
        </w:rPr>
        <w:t>Gender</w:t>
      </w:r>
    </w:p>
    <w:p w14:paraId="01C84D22" w14:textId="77777777" w:rsidR="005A494E" w:rsidRPr="0086721D" w:rsidRDefault="005A494E" w:rsidP="005A494E">
      <w:pPr>
        <w:rPr>
          <w:lang w:val="en-GB"/>
        </w:rPr>
      </w:pPr>
      <w:r w:rsidRPr="0086721D">
        <w:rPr>
          <w:lang w:val="en-GB"/>
        </w:rPr>
        <w:t>A social and cultural construct referring to the roles, behaviours, activities and attributes that a given society considers appropriate for men and women. Distinct from ‘sex’, which is biological.</w:t>
      </w:r>
    </w:p>
    <w:p w14:paraId="7C43CC9E" w14:textId="77777777" w:rsidR="005A494E" w:rsidRDefault="005A494E" w:rsidP="005A494E">
      <w:pPr>
        <w:rPr>
          <w:lang w:val="en-GB"/>
        </w:rPr>
      </w:pPr>
      <w:bookmarkStart w:id="30" w:name="_Toc204851958"/>
    </w:p>
    <w:p w14:paraId="500DBD3D" w14:textId="77777777" w:rsidR="005A494E" w:rsidRPr="0086721D" w:rsidRDefault="005A494E" w:rsidP="005A494E">
      <w:pPr>
        <w:pStyle w:val="Overskrift4"/>
        <w:rPr>
          <w:lang w:val="en-GB"/>
        </w:rPr>
      </w:pPr>
      <w:r w:rsidRPr="0086721D">
        <w:rPr>
          <w:lang w:val="en-GB"/>
        </w:rPr>
        <w:lastRenderedPageBreak/>
        <w:t>Genital mutilation</w:t>
      </w:r>
      <w:bookmarkEnd w:id="30"/>
    </w:p>
    <w:p w14:paraId="3A21B709" w14:textId="77777777" w:rsidR="005A494E" w:rsidRPr="0086721D" w:rsidRDefault="005A494E" w:rsidP="005A494E">
      <w:pPr>
        <w:rPr>
          <w:lang w:val="en-GB"/>
        </w:rPr>
      </w:pPr>
      <w:r w:rsidRPr="0086721D">
        <w:rPr>
          <w:lang w:val="en-GB"/>
        </w:rPr>
        <w:t>A term used to describe the non-consensual, irreversible alteration or removal of genital tissue without a medically necessary indication. While often applied to females (FGM), it is increasingly used in human rights discourse to describe similar practices affecting males (MGM) and intersex persons (IGM).</w:t>
      </w:r>
    </w:p>
    <w:p w14:paraId="3A77A0FF" w14:textId="77777777" w:rsidR="005A494E" w:rsidRDefault="005A494E" w:rsidP="005A494E">
      <w:pPr>
        <w:rPr>
          <w:lang w:val="en-GB"/>
        </w:rPr>
      </w:pPr>
    </w:p>
    <w:p w14:paraId="1A68307A" w14:textId="77777777" w:rsidR="005A494E" w:rsidRPr="00D9529A" w:rsidRDefault="005A494E" w:rsidP="005A494E">
      <w:r w:rsidRPr="00D9529A">
        <w:rPr>
          <w:rStyle w:val="Overskrift4Tegn"/>
        </w:rPr>
        <w:t>Guideline on Non-</w:t>
      </w:r>
      <w:proofErr w:type="spellStart"/>
      <w:r w:rsidRPr="00D9529A">
        <w:rPr>
          <w:rStyle w:val="Overskrift4Tegn"/>
        </w:rPr>
        <w:t>Therapeutic</w:t>
      </w:r>
      <w:proofErr w:type="spellEnd"/>
      <w:r w:rsidRPr="00D9529A">
        <w:rPr>
          <w:rStyle w:val="Overskrift4Tegn"/>
        </w:rPr>
        <w:t xml:space="preserve"> </w:t>
      </w:r>
      <w:proofErr w:type="spellStart"/>
      <w:r w:rsidRPr="00D9529A">
        <w:rPr>
          <w:rStyle w:val="Overskrift4Tegn"/>
        </w:rPr>
        <w:t>Circumcision</w:t>
      </w:r>
      <w:proofErr w:type="spellEnd"/>
      <w:r w:rsidRPr="00D9529A">
        <w:t xml:space="preserve"> (Vejledning om ikke-terapeutisk omskæring)</w:t>
      </w:r>
    </w:p>
    <w:p w14:paraId="2A1889FE" w14:textId="77777777" w:rsidR="005A494E" w:rsidRPr="0086721D" w:rsidRDefault="005A494E" w:rsidP="005A494E">
      <w:pPr>
        <w:rPr>
          <w:lang w:val="en-GB"/>
        </w:rPr>
      </w:pPr>
      <w:r w:rsidRPr="0086721D">
        <w:rPr>
          <w:lang w:val="en-GB"/>
        </w:rPr>
        <w:t>Official Danish guideline regulating non-therapeutic circumcision of boys. It acknowledges the lack of medical indication and establishes a legal framework for the practice despite its incompatibility with children’s rights to bodily integrity.</w:t>
      </w:r>
    </w:p>
    <w:p w14:paraId="0A72AEAB" w14:textId="77777777" w:rsidR="005A494E" w:rsidRDefault="005A494E" w:rsidP="005A494E">
      <w:pPr>
        <w:rPr>
          <w:lang w:val="en-GB"/>
        </w:rPr>
      </w:pPr>
      <w:bookmarkStart w:id="31" w:name="_Toc204851959"/>
    </w:p>
    <w:p w14:paraId="6CA37DFB" w14:textId="77777777" w:rsidR="005A494E" w:rsidRPr="0086721D" w:rsidRDefault="005A494E" w:rsidP="005A494E">
      <w:pPr>
        <w:pStyle w:val="Overskrift4"/>
        <w:rPr>
          <w:lang w:val="en-GB"/>
        </w:rPr>
      </w:pPr>
      <w:r w:rsidRPr="0086721D">
        <w:rPr>
          <w:lang w:val="en-GB"/>
        </w:rPr>
        <w:t>Harmful practices</w:t>
      </w:r>
      <w:bookmarkEnd w:id="31"/>
    </w:p>
    <w:p w14:paraId="5724F84C" w14:textId="77777777" w:rsidR="005A494E" w:rsidRPr="0086721D" w:rsidRDefault="005A494E" w:rsidP="005A494E">
      <w:pPr>
        <w:rPr>
          <w:lang w:val="en-GB"/>
        </w:rPr>
      </w:pPr>
      <w:r w:rsidRPr="0086721D">
        <w:rPr>
          <w:lang w:val="en-GB"/>
        </w:rPr>
        <w:t>Persistent practices based on gender norms, social or cultural traditions, or beliefs, which cause physical or psychological harm such as those rooted in discrimination that result in physical and/or psychological harm and impair enjoyment of fundamental rights and highlight the responsibility of professionals and state actors in preventing harmful practices</w:t>
      </w:r>
      <w:r w:rsidRPr="0086721D">
        <w:rPr>
          <w:rStyle w:val="Slutnotehenvisning"/>
          <w:lang w:val="en-GB"/>
        </w:rPr>
        <w:endnoteReference w:id="3"/>
      </w:r>
      <w:r w:rsidRPr="0086721D">
        <w:rPr>
          <w:lang w:val="en-GB"/>
        </w:rPr>
        <w:t>. Where such individuals are complicit in these practices, their roles constitute aggravating circumstances under international law.</w:t>
      </w:r>
    </w:p>
    <w:p w14:paraId="40566E06" w14:textId="77777777" w:rsidR="005A494E" w:rsidRDefault="005A494E" w:rsidP="005A494E">
      <w:pPr>
        <w:rPr>
          <w:lang w:val="en-GB"/>
        </w:rPr>
      </w:pPr>
      <w:bookmarkStart w:id="32" w:name="_Toc204851960"/>
    </w:p>
    <w:p w14:paraId="4EC7C408" w14:textId="77777777" w:rsidR="005A494E" w:rsidRPr="0086721D" w:rsidRDefault="005A494E" w:rsidP="005A494E">
      <w:pPr>
        <w:pStyle w:val="Overskrift4"/>
        <w:rPr>
          <w:lang w:val="en-GB"/>
        </w:rPr>
      </w:pPr>
      <w:r w:rsidRPr="0086721D">
        <w:rPr>
          <w:lang w:val="en-GB"/>
        </w:rPr>
        <w:t>Informed consent</w:t>
      </w:r>
      <w:bookmarkEnd w:id="32"/>
    </w:p>
    <w:p w14:paraId="60B8374D" w14:textId="77777777" w:rsidR="005A494E" w:rsidRPr="0086721D" w:rsidRDefault="005A494E" w:rsidP="005A494E">
      <w:pPr>
        <w:rPr>
          <w:lang w:val="en-GB"/>
        </w:rPr>
      </w:pPr>
      <w:r w:rsidRPr="0086721D">
        <w:rPr>
          <w:lang w:val="en-GB"/>
        </w:rPr>
        <w:t>The voluntary agreement to a medical procedure by a person with the capacity to understand the nature, risks, and consequences of the intervention. Thus, in accordance with established human rights principles, irreversible and non-therapeutic procedures must be postponed until the individual can provide full, free and informed consent as a mature and capable adult.</w:t>
      </w:r>
      <w:r w:rsidRPr="0086721D">
        <w:rPr>
          <w:lang w:val="en-GB"/>
        </w:rPr>
        <w:br/>
        <w:t>See also: Proxy Consent</w:t>
      </w:r>
      <w:r w:rsidRPr="0086721D">
        <w:rPr>
          <w:lang w:val="en-GB"/>
        </w:rPr>
        <w:br/>
      </w:r>
      <w:r w:rsidRPr="0086721D">
        <w:rPr>
          <w:lang w:val="en-GB"/>
        </w:rPr>
        <w:br/>
      </w:r>
      <w:proofErr w:type="spellStart"/>
      <w:r w:rsidRPr="005A494E">
        <w:rPr>
          <w:rStyle w:val="Overskrift4Tegn"/>
          <w:lang w:val="en-US"/>
        </w:rPr>
        <w:t>Interphobia</w:t>
      </w:r>
      <w:proofErr w:type="spellEnd"/>
    </w:p>
    <w:p w14:paraId="162E815B" w14:textId="77777777" w:rsidR="005A494E" w:rsidRPr="0086721D" w:rsidRDefault="005A494E" w:rsidP="005A494E">
      <w:pPr>
        <w:rPr>
          <w:lang w:val="en-GB"/>
        </w:rPr>
      </w:pPr>
      <w:proofErr w:type="spellStart"/>
      <w:r w:rsidRPr="0086721D">
        <w:rPr>
          <w:lang w:val="en-GB"/>
        </w:rPr>
        <w:t>Interphobia</w:t>
      </w:r>
      <w:proofErr w:type="spellEnd"/>
      <w:r w:rsidRPr="0086721D">
        <w:rPr>
          <w:lang w:val="en-GB"/>
        </w:rPr>
        <w:t xml:space="preserve"> encompasses negative attitudes and feelings towards people who are born with, or develop in puberty, sex traits that are not typically male or female, known as intersex traits</w:t>
      </w:r>
      <w:r w:rsidRPr="0086721D">
        <w:rPr>
          <w:rStyle w:val="Slutnotehenvisning"/>
          <w:lang w:val="en-GB"/>
        </w:rPr>
        <w:endnoteReference w:id="4"/>
      </w:r>
      <w:r w:rsidRPr="0086721D">
        <w:rPr>
          <w:lang w:val="en-GB"/>
        </w:rPr>
        <w:t>.</w:t>
      </w:r>
    </w:p>
    <w:p w14:paraId="1125479E" w14:textId="77777777" w:rsidR="005A494E" w:rsidRDefault="005A494E" w:rsidP="005A494E">
      <w:pPr>
        <w:rPr>
          <w:lang w:val="en-GB"/>
        </w:rPr>
      </w:pPr>
      <w:bookmarkStart w:id="33" w:name="_Toc204851961"/>
    </w:p>
    <w:p w14:paraId="5E393DC8" w14:textId="77777777" w:rsidR="005A494E" w:rsidRPr="0086721D" w:rsidRDefault="005A494E" w:rsidP="005A494E">
      <w:pPr>
        <w:pStyle w:val="Overskrift4"/>
        <w:rPr>
          <w:lang w:val="en-GB"/>
        </w:rPr>
      </w:pPr>
      <w:r w:rsidRPr="0086721D">
        <w:rPr>
          <w:lang w:val="en-GB"/>
        </w:rPr>
        <w:t>Intersex</w:t>
      </w:r>
      <w:bookmarkEnd w:id="33"/>
    </w:p>
    <w:p w14:paraId="55040323" w14:textId="77777777" w:rsidR="005A494E" w:rsidRPr="0086721D" w:rsidRDefault="005A494E" w:rsidP="005A494E">
      <w:pPr>
        <w:rPr>
          <w:lang w:val="en-GB"/>
        </w:rPr>
      </w:pPr>
      <w:r w:rsidRPr="0086721D">
        <w:rPr>
          <w:lang w:val="en-GB"/>
        </w:rPr>
        <w:t>A term used to describe individuals born with atypical variations in sex characteristics (including chromosomes, hormone patterns, gonads, reproductive organs, genitals or secondary sex characteristics) that do not fit typical binary notions of male or female bodies. Intersex variations may become apparent at birth, during puberty or later in life. The term encompasses over 40 known variations, including Androgen Insensitivity Syndrome (AIS), Congenital Adrenal Hyperplasia (CAH), Klinefelter Syndrome, and Hypospadias. An estimated frequency of intersex births is accepted by the United Nations and Council of Europe as 1,7%.</w:t>
      </w:r>
    </w:p>
    <w:p w14:paraId="15F93B9F" w14:textId="77777777" w:rsidR="005A494E" w:rsidRDefault="005A494E" w:rsidP="005A494E">
      <w:pPr>
        <w:rPr>
          <w:lang w:val="en-GB"/>
        </w:rPr>
      </w:pPr>
      <w:bookmarkStart w:id="34" w:name="_Toc204851962"/>
    </w:p>
    <w:p w14:paraId="1570F770" w14:textId="77777777" w:rsidR="005A494E" w:rsidRPr="0086721D" w:rsidRDefault="005A494E" w:rsidP="005A494E">
      <w:pPr>
        <w:pStyle w:val="Overskrift4"/>
        <w:rPr>
          <w:lang w:val="en-GB"/>
        </w:rPr>
      </w:pPr>
      <w:r w:rsidRPr="0086721D">
        <w:rPr>
          <w:lang w:val="en-GB"/>
        </w:rPr>
        <w:lastRenderedPageBreak/>
        <w:t>Non-therapeutic</w:t>
      </w:r>
      <w:bookmarkEnd w:id="34"/>
    </w:p>
    <w:p w14:paraId="29D151C4" w14:textId="77777777" w:rsidR="005A494E" w:rsidRPr="0086721D" w:rsidRDefault="005A494E" w:rsidP="005A494E">
      <w:pPr>
        <w:rPr>
          <w:lang w:val="en-GB"/>
        </w:rPr>
      </w:pPr>
      <w:r w:rsidRPr="0086721D">
        <w:rPr>
          <w:lang w:val="en-GB"/>
        </w:rPr>
        <w:t>A procedure performed without a clear, evidence-based medical indication. Non-therapeutic interventions are often undertaken for social, cultural, religious, or cosmetic reasons, and lack an immediate or demonstrable health benefit for the individual.</w:t>
      </w:r>
    </w:p>
    <w:p w14:paraId="5E3A8A04" w14:textId="77777777" w:rsidR="005A494E" w:rsidRDefault="005A494E" w:rsidP="005A494E">
      <w:pPr>
        <w:rPr>
          <w:lang w:val="en-GB"/>
        </w:rPr>
      </w:pPr>
      <w:bookmarkStart w:id="35" w:name="_Toc204851963"/>
    </w:p>
    <w:p w14:paraId="06CDB60A" w14:textId="77777777" w:rsidR="005A494E" w:rsidRPr="0086721D" w:rsidRDefault="005A494E" w:rsidP="005A494E">
      <w:pPr>
        <w:pStyle w:val="Overskrift4"/>
        <w:rPr>
          <w:lang w:val="en-GB"/>
        </w:rPr>
      </w:pPr>
      <w:r w:rsidRPr="0086721D">
        <w:rPr>
          <w:lang w:val="en-GB"/>
        </w:rPr>
        <w:t>Normalising surgery</w:t>
      </w:r>
      <w:bookmarkEnd w:id="35"/>
    </w:p>
    <w:p w14:paraId="1CCD5768" w14:textId="77777777" w:rsidR="005A494E" w:rsidRPr="0086721D" w:rsidRDefault="005A494E" w:rsidP="005A494E">
      <w:pPr>
        <w:rPr>
          <w:lang w:val="en-GB"/>
        </w:rPr>
      </w:pPr>
      <w:r w:rsidRPr="0086721D">
        <w:rPr>
          <w:lang w:val="en-GB"/>
        </w:rPr>
        <w:t xml:space="preserve">Non-therapeutic, cosmetic, interventions performed on intersex children aimed to make their bodies conform to binary notions of male or female anatomy. Although performed under the guise of medical necessity these surgeries are often non-therapeutic and </w:t>
      </w:r>
      <w:r w:rsidRPr="0086721D">
        <w:rPr>
          <w:rFonts w:ascii="Roboto" w:hAnsi="Roboto"/>
          <w:color w:val="161616"/>
          <w:sz w:val="23"/>
          <w:szCs w:val="23"/>
          <w:lang w:val="en-GB"/>
        </w:rPr>
        <w:t>are “intended to avoid or minimise (perceived) social problems rather than medical ones”</w:t>
      </w:r>
      <w:r w:rsidRPr="0086721D">
        <w:rPr>
          <w:rStyle w:val="Slutnotehenvisning"/>
          <w:rFonts w:ascii="Roboto" w:hAnsi="Roboto"/>
          <w:color w:val="161616"/>
          <w:sz w:val="23"/>
          <w:szCs w:val="23"/>
          <w:lang w:val="en-GB"/>
        </w:rPr>
        <w:endnoteReference w:id="5"/>
      </w:r>
      <w:r w:rsidRPr="0086721D">
        <w:rPr>
          <w:lang w:val="en-GB"/>
        </w:rPr>
        <w:t>, and performed before the child can consent, raising serious ethical and human rights concerns.</w:t>
      </w:r>
    </w:p>
    <w:p w14:paraId="0C9EE5FC" w14:textId="77777777" w:rsidR="005A494E" w:rsidRPr="0086721D" w:rsidRDefault="005A494E" w:rsidP="005A494E">
      <w:pPr>
        <w:pStyle w:val="Overskrift4"/>
        <w:rPr>
          <w:lang w:val="en-GB"/>
        </w:rPr>
      </w:pPr>
      <w:r w:rsidRPr="0086721D">
        <w:rPr>
          <w:lang w:val="en-GB"/>
        </w:rPr>
        <w:t>Pathologisation of intersex children</w:t>
      </w:r>
    </w:p>
    <w:p w14:paraId="46E9A6AC" w14:textId="77777777" w:rsidR="005A494E" w:rsidRPr="0086721D" w:rsidRDefault="005A494E" w:rsidP="005A494E">
      <w:pPr>
        <w:rPr>
          <w:lang w:val="en-GB"/>
        </w:rPr>
      </w:pPr>
      <w:r w:rsidRPr="0086721D">
        <w:rPr>
          <w:lang w:val="en-GB"/>
        </w:rPr>
        <w:t>Medical staff in Denmark commonly use highly pathologizing language</w:t>
      </w:r>
      <w:r w:rsidRPr="0086721D">
        <w:rPr>
          <w:rStyle w:val="Slutnotehenvisning"/>
          <w:rFonts w:ascii="Calibri" w:hAnsi="Calibri" w:cs="Calibri"/>
          <w:color w:val="000000"/>
          <w:lang w:val="en-GB"/>
        </w:rPr>
        <w:endnoteReference w:id="6"/>
      </w:r>
      <w:r w:rsidRPr="0086721D">
        <w:rPr>
          <w:lang w:val="en-GB"/>
        </w:rPr>
        <w:t>, referring to intersex children as males and females, with a disorder, chromosomal defects, or deformities, when they remit their treatment proposals to parents, these are tainted by medicalized views of what is best for the child</w:t>
      </w:r>
      <w:r w:rsidRPr="0086721D">
        <w:rPr>
          <w:rStyle w:val="Slutnotehenvisning"/>
          <w:rFonts w:ascii="Calibri" w:hAnsi="Calibri" w:cs="Calibri"/>
          <w:color w:val="000000"/>
          <w:lang w:val="en-GB"/>
        </w:rPr>
        <w:endnoteReference w:id="7"/>
      </w:r>
      <w:r w:rsidRPr="0086721D">
        <w:rPr>
          <w:lang w:val="en-GB"/>
        </w:rPr>
        <w:t>, and go against the fact that beliefs about a child’s best interests, including under the guise of medical necessity, must not outweigh the child’s right to free and informed consent</w:t>
      </w:r>
      <w:r w:rsidRPr="0086721D">
        <w:rPr>
          <w:rStyle w:val="Slutnotehenvisning"/>
          <w:rFonts w:ascii="Calibri" w:hAnsi="Calibri" w:cs="Calibri"/>
          <w:color w:val="000000"/>
          <w:lang w:val="en-GB"/>
        </w:rPr>
        <w:endnoteReference w:id="8"/>
      </w:r>
      <w:r w:rsidRPr="0086721D">
        <w:rPr>
          <w:lang w:val="en-GB"/>
        </w:rPr>
        <w:t>.</w:t>
      </w:r>
    </w:p>
    <w:p w14:paraId="0CAC022F" w14:textId="77777777" w:rsidR="005A494E" w:rsidRDefault="005A494E" w:rsidP="005A494E">
      <w:pPr>
        <w:rPr>
          <w:lang w:val="en-GB"/>
        </w:rPr>
      </w:pPr>
      <w:bookmarkStart w:id="36" w:name="_Toc204851964"/>
    </w:p>
    <w:p w14:paraId="3DDC758E" w14:textId="77777777" w:rsidR="005A494E" w:rsidRPr="0086721D" w:rsidRDefault="005A494E" w:rsidP="005A494E">
      <w:pPr>
        <w:pStyle w:val="Overskrift4"/>
        <w:rPr>
          <w:lang w:val="en-GB"/>
        </w:rPr>
      </w:pPr>
      <w:r w:rsidRPr="0086721D">
        <w:rPr>
          <w:lang w:val="en-GB"/>
        </w:rPr>
        <w:t>Proxy Consent</w:t>
      </w:r>
      <w:bookmarkEnd w:id="36"/>
    </w:p>
    <w:p w14:paraId="4D969011" w14:textId="77777777" w:rsidR="005A494E" w:rsidRPr="0086721D" w:rsidRDefault="005A494E" w:rsidP="005A494E">
      <w:pPr>
        <w:rPr>
          <w:lang w:val="en-GB"/>
        </w:rPr>
      </w:pPr>
      <w:r w:rsidRPr="0086721D">
        <w:rPr>
          <w:lang w:val="en-GB"/>
        </w:rPr>
        <w:t>Consent given by a parent or legal guardian on behalf of a child. According to human rights principles, proxy consent is valid only in cases of immediate medical necessity, and never for elective or irreversible procedures.</w:t>
      </w:r>
    </w:p>
    <w:p w14:paraId="2421C0F5" w14:textId="77777777" w:rsidR="005A494E" w:rsidRDefault="005A494E" w:rsidP="005A494E">
      <w:pPr>
        <w:rPr>
          <w:lang w:val="en-GB"/>
        </w:rPr>
      </w:pPr>
    </w:p>
    <w:p w14:paraId="3DF4363E" w14:textId="77777777" w:rsidR="005A494E" w:rsidRPr="0086721D" w:rsidRDefault="005A494E" w:rsidP="005A494E">
      <w:pPr>
        <w:pStyle w:val="Overskrift4"/>
        <w:rPr>
          <w:lang w:val="en-GB"/>
        </w:rPr>
      </w:pPr>
      <w:r w:rsidRPr="0086721D">
        <w:rPr>
          <w:lang w:val="en-GB"/>
        </w:rPr>
        <w:t>Reparations and Redress</w:t>
      </w:r>
    </w:p>
    <w:p w14:paraId="5CD1CE0D" w14:textId="77777777" w:rsidR="005A494E" w:rsidRPr="0086721D" w:rsidRDefault="005A494E" w:rsidP="005A494E">
      <w:pPr>
        <w:rPr>
          <w:lang w:val="en-GB"/>
        </w:rPr>
      </w:pPr>
      <w:r w:rsidRPr="0086721D">
        <w:rPr>
          <w:lang w:val="en-GB"/>
        </w:rPr>
        <w:t>Statutes of limitation block access to reparation and redress. Most medical procedures take place in early childhood, which means that by the time the victim is old or mature enough, to realize the full extent of harmful consequences, they have endured as victims of genital mutilation (IGM/MGM), the statutes of limitation have long expired, impeding their ability to seek and obtain redress.</w:t>
      </w:r>
      <w:r w:rsidRPr="0086721D">
        <w:rPr>
          <w:lang w:val="en-GB"/>
        </w:rPr>
        <w:br/>
      </w:r>
      <w:r w:rsidRPr="0086721D">
        <w:rPr>
          <w:lang w:val="en-GB"/>
        </w:rPr>
        <w:br/>
        <w:t>The statutes of limitation of max. 5 years for filing a complaint and max. 10 years to seek redress and reparation, along with the so-called</w:t>
      </w:r>
      <w:r w:rsidRPr="0086721D">
        <w:rPr>
          <w:rStyle w:val="apple-converted-space"/>
          <w:rFonts w:cs="Calibri"/>
          <w:color w:val="000000"/>
          <w:lang w:val="en-GB"/>
        </w:rPr>
        <w:t> </w:t>
      </w:r>
      <w:r w:rsidRPr="0086721D">
        <w:rPr>
          <w:lang w:val="en-GB"/>
        </w:rPr>
        <w:t>“Specialist rule” and the “Reasonableness Rule”</w:t>
      </w:r>
      <w:r w:rsidRPr="0086721D">
        <w:rPr>
          <w:rStyle w:val="apple-converted-space"/>
          <w:rFonts w:cs="Calibri"/>
          <w:color w:val="000000"/>
          <w:lang w:val="en-GB"/>
        </w:rPr>
        <w:t> </w:t>
      </w:r>
      <w:r w:rsidRPr="0086721D">
        <w:rPr>
          <w:lang w:val="en-GB"/>
        </w:rPr>
        <w:t>in place in Denmark, actively block access to seek and obtain, adequate reparation and redress. </w:t>
      </w:r>
    </w:p>
    <w:p w14:paraId="77DAA747" w14:textId="77777777" w:rsidR="005A494E" w:rsidRDefault="005A494E" w:rsidP="005A494E">
      <w:pPr>
        <w:rPr>
          <w:lang w:val="en-GB"/>
        </w:rPr>
      </w:pPr>
      <w:bookmarkStart w:id="37" w:name="_Toc204851965"/>
    </w:p>
    <w:p w14:paraId="1A5057D7" w14:textId="77777777" w:rsidR="005A494E" w:rsidRPr="0086721D" w:rsidRDefault="005A494E" w:rsidP="005A494E">
      <w:pPr>
        <w:pStyle w:val="Overskrift4"/>
        <w:rPr>
          <w:lang w:val="en-GB"/>
        </w:rPr>
      </w:pPr>
      <w:r w:rsidRPr="0086721D">
        <w:rPr>
          <w:lang w:val="en-GB"/>
        </w:rPr>
        <w:t>Ritual Circumcision</w:t>
      </w:r>
      <w:bookmarkEnd w:id="37"/>
    </w:p>
    <w:p w14:paraId="17468F20" w14:textId="77777777" w:rsidR="005A494E" w:rsidRPr="0086721D" w:rsidRDefault="005A494E" w:rsidP="005A494E">
      <w:pPr>
        <w:rPr>
          <w:lang w:val="en-GB"/>
        </w:rPr>
      </w:pPr>
      <w:r w:rsidRPr="0086721D">
        <w:rPr>
          <w:lang w:val="en-GB"/>
        </w:rPr>
        <w:t>The surgical amputation of the foreskin of the penis as part of a religious or cultural tradition. A non-therapeutic and irreversible procedure, carried out without the full and informed consent by the adult and capable individual. Often presented as a rite of passage or mark of religious identity.</w:t>
      </w:r>
      <w:r w:rsidRPr="0086721D">
        <w:rPr>
          <w:lang w:val="en-GB"/>
        </w:rPr>
        <w:br/>
        <w:t>See: Routine circumcision</w:t>
      </w:r>
    </w:p>
    <w:p w14:paraId="08ED8510" w14:textId="77777777" w:rsidR="005A494E" w:rsidRDefault="005A494E" w:rsidP="005A494E">
      <w:pPr>
        <w:rPr>
          <w:lang w:val="en-GB"/>
        </w:rPr>
      </w:pPr>
      <w:bookmarkStart w:id="38" w:name="_Toc204851966"/>
    </w:p>
    <w:p w14:paraId="1B166066" w14:textId="77777777" w:rsidR="005A494E" w:rsidRPr="0086721D" w:rsidRDefault="005A494E" w:rsidP="005A494E">
      <w:pPr>
        <w:pStyle w:val="Overskrift4"/>
        <w:rPr>
          <w:lang w:val="en-GB"/>
        </w:rPr>
      </w:pPr>
      <w:r w:rsidRPr="0086721D">
        <w:rPr>
          <w:lang w:val="en-GB"/>
        </w:rPr>
        <w:lastRenderedPageBreak/>
        <w:t>Routine circumcision</w:t>
      </w:r>
      <w:bookmarkEnd w:id="38"/>
    </w:p>
    <w:p w14:paraId="447CFBA0" w14:textId="77777777" w:rsidR="005A494E" w:rsidRPr="0086721D" w:rsidRDefault="005A494E" w:rsidP="005A494E">
      <w:pPr>
        <w:rPr>
          <w:lang w:val="en-GB"/>
        </w:rPr>
      </w:pPr>
      <w:r w:rsidRPr="0086721D">
        <w:rPr>
          <w:lang w:val="en-GB"/>
        </w:rPr>
        <w:t>Circumcisions carried out as a standard or customary practice, rather than based on individual medical need. This includes practices where circumcision is offered or recommended for all male infants or children without clinical indication, typically as a matter of public health policy, cultural tradition, or institutional habit.</w:t>
      </w:r>
    </w:p>
    <w:p w14:paraId="09CE0969" w14:textId="77777777" w:rsidR="005A494E" w:rsidRDefault="005A494E" w:rsidP="005A494E">
      <w:pPr>
        <w:rPr>
          <w:lang w:val="en-GB"/>
        </w:rPr>
      </w:pPr>
      <w:bookmarkStart w:id="39" w:name="_Toc204851967"/>
    </w:p>
    <w:p w14:paraId="404BC448" w14:textId="77777777" w:rsidR="005A494E" w:rsidRPr="0086721D" w:rsidRDefault="005A494E" w:rsidP="005A494E">
      <w:pPr>
        <w:pStyle w:val="Overskrift4"/>
        <w:rPr>
          <w:lang w:val="en-GB"/>
        </w:rPr>
      </w:pPr>
      <w:r w:rsidRPr="0086721D">
        <w:rPr>
          <w:lang w:val="en-GB"/>
        </w:rPr>
        <w:t>Self-determination</w:t>
      </w:r>
      <w:bookmarkEnd w:id="39"/>
    </w:p>
    <w:p w14:paraId="35B5CE68" w14:textId="77777777" w:rsidR="005A494E" w:rsidRPr="0086721D" w:rsidRDefault="005A494E" w:rsidP="005A494E">
      <w:pPr>
        <w:rPr>
          <w:lang w:val="en-GB"/>
        </w:rPr>
      </w:pPr>
      <w:r w:rsidRPr="0086721D">
        <w:rPr>
          <w:lang w:val="en-GB"/>
        </w:rPr>
        <w:t>The right of all individuals to control aspects of their personal identity, including but not limited to gender, religion, and body. In this context, it refers to the right to make autonomous decisions about one’s own body, free from external imposition.</w:t>
      </w:r>
    </w:p>
    <w:p w14:paraId="1ABC33DD" w14:textId="77777777" w:rsidR="005A494E" w:rsidRDefault="005A494E" w:rsidP="005A494E">
      <w:pPr>
        <w:rPr>
          <w:lang w:val="en-GB"/>
        </w:rPr>
      </w:pPr>
      <w:bookmarkStart w:id="40" w:name="_Toc204851968"/>
    </w:p>
    <w:p w14:paraId="411E7516" w14:textId="77777777" w:rsidR="005A494E" w:rsidRPr="0086721D" w:rsidRDefault="005A494E" w:rsidP="005A494E">
      <w:pPr>
        <w:pStyle w:val="Overskrift4"/>
        <w:rPr>
          <w:lang w:val="en-GB"/>
        </w:rPr>
      </w:pPr>
      <w:r w:rsidRPr="0086721D">
        <w:rPr>
          <w:lang w:val="en-GB"/>
        </w:rPr>
        <w:t>Sex</w:t>
      </w:r>
      <w:bookmarkEnd w:id="40"/>
    </w:p>
    <w:p w14:paraId="487E91A0" w14:textId="77777777" w:rsidR="005A494E" w:rsidRPr="0086721D" w:rsidRDefault="005A494E" w:rsidP="005A494E">
      <w:pPr>
        <w:rPr>
          <w:lang w:val="en-GB"/>
        </w:rPr>
      </w:pPr>
      <w:r w:rsidRPr="0086721D">
        <w:rPr>
          <w:lang w:val="en-GB"/>
        </w:rPr>
        <w:t>The classification of a person as male, female, or intersex based on biological characteristics, including anatomy and chromosomes. Distinct from gender, which is a social construct.</w:t>
      </w:r>
      <w:r w:rsidRPr="0086721D">
        <w:rPr>
          <w:lang w:val="en-GB"/>
        </w:rPr>
        <w:br/>
        <w:t>See: Gender for relevant sources</w:t>
      </w:r>
    </w:p>
    <w:p w14:paraId="3AA58FA7" w14:textId="77777777" w:rsidR="005A494E" w:rsidRPr="005A494E" w:rsidRDefault="005A494E" w:rsidP="005A494E">
      <w:pPr>
        <w:rPr>
          <w:rStyle w:val="Overskrift4Tegn"/>
          <w:lang w:val="en-US"/>
        </w:rPr>
      </w:pPr>
    </w:p>
    <w:p w14:paraId="7C84BC0D" w14:textId="77777777" w:rsidR="005A494E" w:rsidRPr="0086721D" w:rsidRDefault="005A494E" w:rsidP="005A494E">
      <w:pPr>
        <w:rPr>
          <w:lang w:val="en-GB"/>
        </w:rPr>
      </w:pPr>
      <w:r w:rsidRPr="005A494E">
        <w:rPr>
          <w:rStyle w:val="Overskrift4Tegn"/>
          <w:lang w:val="en-US"/>
        </w:rPr>
        <w:t>Therapeutic</w:t>
      </w:r>
      <w:r w:rsidRPr="0086721D">
        <w:rPr>
          <w:lang w:val="en-GB"/>
        </w:rPr>
        <w:t xml:space="preserve"> (in the context of surgeries and medical procedures)</w:t>
      </w:r>
    </w:p>
    <w:p w14:paraId="0B2F3C62" w14:textId="77777777" w:rsidR="005A494E" w:rsidRPr="0086721D" w:rsidRDefault="005A494E" w:rsidP="005A494E">
      <w:pPr>
        <w:rPr>
          <w:lang w:val="en-GB"/>
        </w:rPr>
      </w:pPr>
      <w:r w:rsidRPr="0086721D">
        <w:rPr>
          <w:lang w:val="en-GB"/>
        </w:rPr>
        <w:t>A procedure undertaken to treat a specific medical condition, based on established clinical indications and evidence of benefit to the patient. In the case of children, therapeutic interventions must be necessary for the child’s health and not merely preventative, cosmetic, or culturally motivated.</w:t>
      </w:r>
      <w:r w:rsidRPr="0086721D">
        <w:rPr>
          <w:lang w:val="en-GB"/>
        </w:rPr>
        <w:br/>
        <w:t>See: Non-therapeutic </w:t>
      </w:r>
    </w:p>
    <w:p w14:paraId="2E2C203E" w14:textId="77777777" w:rsidR="005A494E" w:rsidRDefault="005A494E" w:rsidP="005A494E">
      <w:pPr>
        <w:rPr>
          <w:lang w:val="en-GB"/>
        </w:rPr>
      </w:pPr>
      <w:bookmarkStart w:id="41" w:name="_Toc204851969"/>
    </w:p>
    <w:p w14:paraId="6DDDBD8B" w14:textId="77777777" w:rsidR="005A494E" w:rsidRPr="0086721D" w:rsidRDefault="005A494E" w:rsidP="005A494E">
      <w:pPr>
        <w:pStyle w:val="Overskrift4"/>
        <w:rPr>
          <w:lang w:val="en-GB"/>
        </w:rPr>
      </w:pPr>
      <w:r w:rsidRPr="0086721D">
        <w:rPr>
          <w:lang w:val="en-GB"/>
        </w:rPr>
        <w:t>Unnecessary surgeries</w:t>
      </w:r>
      <w:bookmarkEnd w:id="41"/>
    </w:p>
    <w:p w14:paraId="6EBD6139" w14:textId="77777777" w:rsidR="005A494E" w:rsidRPr="0086721D" w:rsidRDefault="005A494E" w:rsidP="005A494E">
      <w:pPr>
        <w:rPr>
          <w:lang w:val="en-GB"/>
        </w:rPr>
      </w:pPr>
      <w:r w:rsidRPr="0086721D">
        <w:rPr>
          <w:lang w:val="en-GB"/>
        </w:rPr>
        <w:t>Medical or surgical interventions performed without immediate therapeutic indication. In the context of intersex and male children, such procedures include genital surgeries undertaken for social, cosmetic, religious and/or cultural reasons rather than medical necessity. According to established human rights standards, these should be deferred until the individual can give informed consent.</w:t>
      </w:r>
    </w:p>
    <w:p w14:paraId="7247BEEA" w14:textId="77777777" w:rsidR="005A494E" w:rsidRDefault="005A494E" w:rsidP="005A494E">
      <w:pPr>
        <w:rPr>
          <w:lang w:val="en-GB"/>
        </w:rPr>
      </w:pPr>
    </w:p>
    <w:p w14:paraId="457416E9" w14:textId="77777777" w:rsidR="005A494E" w:rsidRPr="0086721D" w:rsidRDefault="005A494E" w:rsidP="005A494E">
      <w:pPr>
        <w:rPr>
          <w:lang w:val="en-GB"/>
        </w:rPr>
      </w:pPr>
      <w:r w:rsidRPr="0086721D">
        <w:rPr>
          <w:lang w:val="en-GB"/>
        </w:rPr>
        <w:t>For instance: There is a significant divergence between what is defined as unnecessary surgery on intersex children in medical and human rights contexts. </w:t>
      </w:r>
    </w:p>
    <w:p w14:paraId="119FC4E2" w14:textId="77777777" w:rsidR="005A494E" w:rsidRDefault="005A494E" w:rsidP="005A494E">
      <w:pPr>
        <w:rPr>
          <w:lang w:val="en-GB"/>
        </w:rPr>
      </w:pPr>
    </w:p>
    <w:p w14:paraId="3950DC95" w14:textId="77777777" w:rsidR="005A494E" w:rsidRPr="0086721D" w:rsidRDefault="005A494E" w:rsidP="005A494E">
      <w:pPr>
        <w:rPr>
          <w:lang w:val="en-GB"/>
        </w:rPr>
      </w:pPr>
      <w:r w:rsidRPr="0086721D">
        <w:rPr>
          <w:lang w:val="en-GB"/>
        </w:rPr>
        <w:t xml:space="preserve">The UN and EU, references to unnecessary surgery on intersex children, do not exclusively refer to surgery on intersex children born with ambiguous genitalia, as human rights considerations encompass a much broader scope </w:t>
      </w:r>
      <w:proofErr w:type="gramStart"/>
      <w:r w:rsidRPr="0086721D">
        <w:rPr>
          <w:lang w:val="en-GB"/>
        </w:rPr>
        <w:t>and also</w:t>
      </w:r>
      <w:proofErr w:type="gramEnd"/>
      <w:r w:rsidRPr="0086721D">
        <w:rPr>
          <w:lang w:val="en-GB"/>
        </w:rPr>
        <w:t xml:space="preserve"> include procedures </w:t>
      </w:r>
      <w:proofErr w:type="gramStart"/>
      <w:r w:rsidRPr="0086721D">
        <w:rPr>
          <w:lang w:val="en-GB"/>
        </w:rPr>
        <w:t>such as:</w:t>
      </w:r>
      <w:proofErr w:type="gramEnd"/>
      <w:r w:rsidRPr="0086721D">
        <w:rPr>
          <w:lang w:val="en-GB"/>
        </w:rPr>
        <w:t xml:space="preserve"> separation of the vagina and urethra, hypospadias surgeries, and orchiectomies in connection with cryptorchidism. A study prepared at the request of the European Council's Committee on Bioethics established the following point:</w:t>
      </w:r>
    </w:p>
    <w:p w14:paraId="6E2B08BB" w14:textId="77777777" w:rsidR="005A494E" w:rsidRDefault="005A494E" w:rsidP="005A494E">
      <w:pPr>
        <w:rPr>
          <w:lang w:val="en-GB"/>
        </w:rPr>
      </w:pPr>
    </w:p>
    <w:p w14:paraId="03FAEE84" w14:textId="77777777" w:rsidR="005A494E" w:rsidRDefault="005A494E" w:rsidP="005A494E">
      <w:pPr>
        <w:rPr>
          <w:lang w:val="en-GB"/>
        </w:rPr>
      </w:pPr>
      <w:r w:rsidRPr="0086721D">
        <w:rPr>
          <w:lang w:val="en-GB"/>
        </w:rPr>
        <w:t>"On the specific question of whether interventions are necessary, only 3 types of surgeries have been identified that meet the criteria in some infants.</w:t>
      </w:r>
    </w:p>
    <w:p w14:paraId="4C9CE5BD" w14:textId="77777777" w:rsidR="005A494E" w:rsidRDefault="005A494E" w:rsidP="005A494E">
      <w:pPr>
        <w:rPr>
          <w:lang w:val="en-GB"/>
        </w:rPr>
      </w:pPr>
    </w:p>
    <w:p w14:paraId="3A266ECF" w14:textId="77777777" w:rsidR="005A494E" w:rsidRPr="0086721D" w:rsidRDefault="005A494E" w:rsidP="005A494E">
      <w:pPr>
        <w:ind w:left="1304"/>
        <w:rPr>
          <w:lang w:val="en-GB"/>
        </w:rPr>
      </w:pPr>
      <w:r w:rsidRPr="0086721D">
        <w:rPr>
          <w:lang w:val="en-GB"/>
        </w:rPr>
        <w:lastRenderedPageBreak/>
        <w:t>1) Administration of endocrine treatment to prevent fatal salt loss in some children.</w:t>
      </w:r>
      <w:r w:rsidRPr="0086721D">
        <w:rPr>
          <w:lang w:val="en-GB"/>
        </w:rPr>
        <w:br/>
        <w:t>2) Early removal of streak gonads in children with gonadal dysgenesis.</w:t>
      </w:r>
      <w:r w:rsidRPr="0086721D">
        <w:rPr>
          <w:lang w:val="en-GB"/>
        </w:rPr>
        <w:br/>
        <w:t xml:space="preserve">3) Surgery for certain rare </w:t>
      </w:r>
      <w:proofErr w:type="spellStart"/>
      <w:r w:rsidRPr="0086721D">
        <w:rPr>
          <w:lang w:val="en-GB"/>
        </w:rPr>
        <w:t>extrophic</w:t>
      </w:r>
      <w:proofErr w:type="spellEnd"/>
      <w:r w:rsidRPr="0086721D">
        <w:rPr>
          <w:lang w:val="en-GB"/>
        </w:rPr>
        <w:t xml:space="preserve"> conditions.</w:t>
      </w:r>
    </w:p>
    <w:p w14:paraId="6F75CB4C" w14:textId="77777777" w:rsidR="005A494E" w:rsidRDefault="005A494E" w:rsidP="005A494E">
      <w:pPr>
        <w:rPr>
          <w:lang w:val="en-GB"/>
        </w:rPr>
      </w:pPr>
    </w:p>
    <w:p w14:paraId="1505031F" w14:textId="77777777" w:rsidR="005A494E" w:rsidRPr="0086721D" w:rsidRDefault="005A494E" w:rsidP="005A494E">
      <w:pPr>
        <w:rPr>
          <w:lang w:val="en-GB"/>
        </w:rPr>
      </w:pPr>
      <w:r w:rsidRPr="0086721D">
        <w:rPr>
          <w:lang w:val="en-GB"/>
        </w:rPr>
        <w:t>Older children, who need to menstruate, may require surgical intervention to prevent fluid accumulation in the uterus and other related side effects.</w:t>
      </w:r>
    </w:p>
    <w:p w14:paraId="7C556DF0" w14:textId="77777777" w:rsidR="005A494E" w:rsidRDefault="005A494E" w:rsidP="005A494E">
      <w:pPr>
        <w:rPr>
          <w:lang w:val="en-GB"/>
        </w:rPr>
      </w:pPr>
    </w:p>
    <w:p w14:paraId="74677A6F" w14:textId="77777777" w:rsidR="005A494E" w:rsidRPr="0086721D" w:rsidRDefault="005A494E" w:rsidP="005A494E">
      <w:pPr>
        <w:rPr>
          <w:lang w:val="en-GB"/>
        </w:rPr>
      </w:pPr>
      <w:r w:rsidRPr="0086721D">
        <w:rPr>
          <w:lang w:val="en-GB"/>
        </w:rPr>
        <w:t>The report stated that they found no other procedures, that meet the criteria for being considered medically necessary."</w:t>
      </w:r>
      <w:r w:rsidRPr="0086721D">
        <w:rPr>
          <w:rStyle w:val="Slutnotehenvisning"/>
          <w:lang w:val="en-GB"/>
        </w:rPr>
        <w:endnoteReference w:id="9"/>
      </w:r>
      <w:r w:rsidRPr="0086721D">
        <w:rPr>
          <w:lang w:val="en-GB"/>
        </w:rPr>
        <w:br/>
        <w:t>See: Informed consent</w:t>
      </w:r>
    </w:p>
    <w:p w14:paraId="40D0E40B" w14:textId="77777777" w:rsidR="005A494E" w:rsidRDefault="005A494E" w:rsidP="005A494E">
      <w:pPr>
        <w:rPr>
          <w:lang w:val="en-GB"/>
        </w:rPr>
      </w:pPr>
      <w:bookmarkStart w:id="42" w:name="_Toc204851970"/>
    </w:p>
    <w:p w14:paraId="28C94D3E" w14:textId="77777777" w:rsidR="005A494E" w:rsidRDefault="005A494E" w:rsidP="005A494E">
      <w:pPr>
        <w:pStyle w:val="Overskrift4"/>
        <w:rPr>
          <w:lang w:val="en-GB"/>
        </w:rPr>
      </w:pPr>
      <w:r>
        <w:rPr>
          <w:lang w:val="en-GB"/>
        </w:rPr>
        <w:br/>
      </w:r>
    </w:p>
    <w:p w14:paraId="4DA515CB" w14:textId="77777777" w:rsidR="005A494E" w:rsidRDefault="005A494E" w:rsidP="005A494E">
      <w:pPr>
        <w:pStyle w:val="Overskrift4"/>
        <w:rPr>
          <w:lang w:val="en-GB"/>
        </w:rPr>
      </w:pPr>
    </w:p>
    <w:p w14:paraId="5141F785" w14:textId="77777777" w:rsidR="005A494E" w:rsidRDefault="005A494E" w:rsidP="005A494E">
      <w:pPr>
        <w:pStyle w:val="Overskrift4"/>
        <w:rPr>
          <w:lang w:val="en-GB"/>
        </w:rPr>
      </w:pPr>
    </w:p>
    <w:p w14:paraId="6AC17CEF" w14:textId="77777777" w:rsidR="005A494E" w:rsidRPr="005A494E" w:rsidRDefault="005A494E" w:rsidP="005A494E">
      <w:pPr>
        <w:pStyle w:val="Overskrift4"/>
        <w:rPr>
          <w:lang w:val="en-US"/>
        </w:rPr>
      </w:pPr>
      <w:r w:rsidRPr="005A494E">
        <w:rPr>
          <w:lang w:val="en-US"/>
        </w:rPr>
        <w:t>Guideline on Non-Therapeutic Circumcision</w:t>
      </w:r>
      <w:bookmarkEnd w:id="42"/>
      <w:r w:rsidRPr="005A494E">
        <w:rPr>
          <w:lang w:val="en-US"/>
        </w:rPr>
        <w:t xml:space="preserve"> (</w:t>
      </w:r>
      <w:proofErr w:type="spellStart"/>
      <w:r w:rsidRPr="005A494E">
        <w:rPr>
          <w:lang w:val="en-US"/>
        </w:rPr>
        <w:t>Vejledning</w:t>
      </w:r>
      <w:proofErr w:type="spellEnd"/>
      <w:r w:rsidRPr="005A494E">
        <w:rPr>
          <w:lang w:val="en-US"/>
        </w:rPr>
        <w:t xml:space="preserve"> om </w:t>
      </w:r>
      <w:proofErr w:type="spellStart"/>
      <w:r w:rsidRPr="005A494E">
        <w:rPr>
          <w:lang w:val="en-US"/>
        </w:rPr>
        <w:t>ikke-terapeutisk</w:t>
      </w:r>
      <w:proofErr w:type="spellEnd"/>
      <w:r w:rsidRPr="005A494E">
        <w:rPr>
          <w:lang w:val="en-US"/>
        </w:rPr>
        <w:t xml:space="preserve"> </w:t>
      </w:r>
      <w:proofErr w:type="spellStart"/>
      <w:r w:rsidRPr="005A494E">
        <w:rPr>
          <w:lang w:val="en-US"/>
        </w:rPr>
        <w:t>omskæring</w:t>
      </w:r>
      <w:proofErr w:type="spellEnd"/>
      <w:r w:rsidRPr="005A494E">
        <w:rPr>
          <w:lang w:val="en-US"/>
        </w:rPr>
        <w:t>)</w:t>
      </w:r>
    </w:p>
    <w:p w14:paraId="1BE2D1F1" w14:textId="77777777" w:rsidR="005A494E" w:rsidRDefault="005A494E" w:rsidP="005A494E">
      <w:pPr>
        <w:rPr>
          <w:lang w:val="en-GB"/>
        </w:rPr>
      </w:pPr>
      <w:r w:rsidRPr="0086721D">
        <w:rPr>
          <w:lang w:val="en-GB"/>
        </w:rPr>
        <w:t>Official Danish guideline regulating non-therapeutic circumcision of boys. It acknowledges the lack of medical indication and establishes a legal framework for the practice despite its incompatibility with children’s rights to bodily integrity</w:t>
      </w:r>
      <w:bookmarkStart w:id="43" w:name="_Toc204851971"/>
    </w:p>
    <w:p w14:paraId="679CBA5A" w14:textId="77777777" w:rsidR="005A494E" w:rsidRDefault="005A494E" w:rsidP="005A494E">
      <w:pPr>
        <w:rPr>
          <w:lang w:val="en-GB"/>
        </w:rPr>
      </w:pPr>
    </w:p>
    <w:p w14:paraId="02A60A8E" w14:textId="77777777" w:rsidR="005A494E" w:rsidRPr="0086721D" w:rsidRDefault="005A494E" w:rsidP="005A494E">
      <w:pPr>
        <w:rPr>
          <w:lang w:val="en-GB"/>
        </w:rPr>
      </w:pPr>
      <w:r w:rsidRPr="005A494E">
        <w:rPr>
          <w:rStyle w:val="Overskrift4Tegn"/>
          <w:lang w:val="en-US"/>
        </w:rPr>
        <w:t>The Danish Health Act, § 19</w:t>
      </w:r>
      <w:r w:rsidRPr="0086721D">
        <w:rPr>
          <w:lang w:val="en-GB"/>
        </w:rPr>
        <w:t xml:space="preserve"> (</w:t>
      </w:r>
      <w:proofErr w:type="spellStart"/>
      <w:r w:rsidRPr="0086721D">
        <w:rPr>
          <w:lang w:val="en-GB"/>
        </w:rPr>
        <w:t>Sundhedsloven</w:t>
      </w:r>
      <w:proofErr w:type="spellEnd"/>
      <w:r w:rsidRPr="0086721D">
        <w:rPr>
          <w:lang w:val="en-GB"/>
        </w:rPr>
        <w:t xml:space="preserve"> § 19)</w:t>
      </w:r>
      <w:bookmarkEnd w:id="43"/>
    </w:p>
    <w:p w14:paraId="36EFA6BA" w14:textId="77777777" w:rsidR="005A494E" w:rsidRDefault="005A494E" w:rsidP="005A494E">
      <w:pPr>
        <w:rPr>
          <w:lang w:val="en-GB"/>
        </w:rPr>
      </w:pPr>
      <w:r w:rsidRPr="0086721D">
        <w:rPr>
          <w:lang w:val="en-GB"/>
        </w:rPr>
        <w:t>Legal provision that permits emergency treatment without consent where the patient’s survival or recovery would otherwise be at risk. This clause is not intended to justify elective, non-urgent interventions such as genital surgery on minors. However, an analysis of current praxis raises the concern that this legislation may be abused to perform procedures on minors that do not meet the standards for employing proxy consent from parents based on evidence or immediate necessity.</w:t>
      </w:r>
    </w:p>
    <w:p w14:paraId="22DC0FCE" w14:textId="77777777" w:rsidR="005A494E" w:rsidRDefault="005A494E" w:rsidP="005A494E">
      <w:pPr>
        <w:rPr>
          <w:lang w:val="en-GB"/>
        </w:rPr>
      </w:pPr>
    </w:p>
    <w:p w14:paraId="6F572155" w14:textId="77777777" w:rsidR="005A494E" w:rsidRDefault="005A494E" w:rsidP="005A494E">
      <w:pPr>
        <w:rPr>
          <w:lang w:val="en-GB"/>
        </w:rPr>
      </w:pPr>
      <w:r w:rsidRPr="0086721D">
        <w:rPr>
          <w:lang w:val="en-GB"/>
        </w:rPr>
        <w:t>“If a patient who temporarily or permanently lacks the ability to give informed consent or is under 15 years old is in a situation where immediate treatment is required for the patient's survival or to significantly improve the patient's chances of survival or for a substantially better treatment outcome, a healthcare professional may initiate or continue treatment without consent from the patient or from the holder of parental authority, nearest relatives, guardian, or future attorney-in-fact.”</w:t>
      </w:r>
    </w:p>
    <w:p w14:paraId="7CA6AF5D" w14:textId="77777777" w:rsidR="005A494E" w:rsidRPr="0086721D" w:rsidRDefault="005A494E" w:rsidP="005A494E">
      <w:pPr>
        <w:rPr>
          <w:lang w:val="en-GB"/>
        </w:rPr>
      </w:pPr>
    </w:p>
    <w:p w14:paraId="21A27BCC" w14:textId="77777777" w:rsidR="005A494E" w:rsidRPr="0086721D" w:rsidRDefault="005A494E" w:rsidP="005A494E">
      <w:pPr>
        <w:rPr>
          <w:lang w:val="en-GB"/>
        </w:rPr>
      </w:pPr>
      <w:bookmarkStart w:id="44" w:name="_Toc204851972"/>
      <w:r w:rsidRPr="005A494E">
        <w:rPr>
          <w:rStyle w:val="Overskrift4Tegn"/>
          <w:lang w:val="en-US"/>
        </w:rPr>
        <w:t>Therapeutic</w:t>
      </w:r>
      <w:r w:rsidRPr="0086721D">
        <w:rPr>
          <w:lang w:val="en-GB"/>
        </w:rPr>
        <w:t xml:space="preserve"> (in the context of surgeries and medical procedures)</w:t>
      </w:r>
      <w:bookmarkEnd w:id="44"/>
    </w:p>
    <w:p w14:paraId="71740212" w14:textId="77777777" w:rsidR="005A494E" w:rsidRDefault="005A494E" w:rsidP="005A494E">
      <w:pPr>
        <w:rPr>
          <w:lang w:val="en-GB"/>
        </w:rPr>
      </w:pPr>
      <w:r w:rsidRPr="0086721D">
        <w:rPr>
          <w:lang w:val="en-GB"/>
        </w:rPr>
        <w:t>A procedure undertaken to treat a specific medical condition, based on established clinical indications and evidence of benefit to the patient. In the case of children, therapeutic interventions must be necessary for the child’s health and not merely preventative, cosmetic, or culturally motivated.</w:t>
      </w:r>
      <w:r w:rsidRPr="0086721D">
        <w:rPr>
          <w:lang w:val="en-GB"/>
        </w:rPr>
        <w:br/>
        <w:t>See: Non-therapeutic </w:t>
      </w:r>
    </w:p>
    <w:p w14:paraId="0A8058E4" w14:textId="77777777" w:rsidR="005A494E" w:rsidRDefault="005A494E" w:rsidP="005A494E">
      <w:pPr>
        <w:rPr>
          <w:lang w:val="en-GB"/>
        </w:rPr>
      </w:pPr>
      <w:r>
        <w:rPr>
          <w:lang w:val="en-GB"/>
        </w:rPr>
        <w:br w:type="page"/>
      </w:r>
    </w:p>
    <w:p w14:paraId="78DEC91D" w14:textId="77777777" w:rsidR="005A494E" w:rsidRPr="00D9529A" w:rsidRDefault="005A494E" w:rsidP="005A494E">
      <w:pPr>
        <w:pStyle w:val="Overskrift3"/>
        <w:rPr>
          <w:lang w:val="en-US"/>
        </w:rPr>
      </w:pPr>
      <w:bookmarkStart w:id="45" w:name="_Toc205206997"/>
      <w:r w:rsidRPr="00D9529A">
        <w:rPr>
          <w:lang w:val="en-US"/>
        </w:rPr>
        <w:lastRenderedPageBreak/>
        <w:t>Joint Statement to Reinstate the I in the LGBTI+ Acronym</w:t>
      </w:r>
      <w:bookmarkEnd w:id="45"/>
    </w:p>
    <w:p w14:paraId="15D656C6" w14:textId="77777777" w:rsidR="005A494E" w:rsidRDefault="005A494E" w:rsidP="005A494E">
      <w:pPr>
        <w:rPr>
          <w:lang w:val="en-GB"/>
        </w:rPr>
      </w:pPr>
    </w:p>
    <w:p w14:paraId="5ACB9982" w14:textId="77777777" w:rsidR="005A494E" w:rsidRPr="006A29B1" w:rsidRDefault="005A494E" w:rsidP="005A494E">
      <w:pPr>
        <w:pStyle w:val="Overskrift4"/>
      </w:pPr>
      <w:r w:rsidRPr="006A29B1">
        <w:t>Danish</w:t>
      </w:r>
    </w:p>
    <w:p w14:paraId="4FCCF72D" w14:textId="77777777" w:rsidR="005A494E" w:rsidRDefault="005A494E" w:rsidP="005A494E">
      <w:pPr>
        <w:rPr>
          <w:lang w:val="en-GB"/>
        </w:rPr>
      </w:pPr>
    </w:p>
    <w:p w14:paraId="05336938" w14:textId="77777777" w:rsidR="005A494E" w:rsidRDefault="005A494E" w:rsidP="005A494E">
      <w:pPr>
        <w:rPr>
          <w:lang w:val="en-GB"/>
        </w:rPr>
      </w:pPr>
      <w:r>
        <w:rPr>
          <w:noProof/>
          <w:lang w:val="en-GB"/>
          <w14:ligatures w14:val="standardContextual"/>
        </w:rPr>
        <w:drawing>
          <wp:inline distT="0" distB="0" distL="0" distR="0" wp14:anchorId="380DFDD3" wp14:editId="0BCF5D26">
            <wp:extent cx="4657968" cy="6583680"/>
            <wp:effectExtent l="0" t="0" r="3175" b="0"/>
            <wp:docPr id="1916863279"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63279" name="Billede 1916863279"/>
                    <pic:cNvPicPr/>
                  </pic:nvPicPr>
                  <pic:blipFill>
                    <a:blip r:embed="rId6"/>
                    <a:stretch>
                      <a:fillRect/>
                    </a:stretch>
                  </pic:blipFill>
                  <pic:spPr>
                    <a:xfrm>
                      <a:off x="0" y="0"/>
                      <a:ext cx="4670061" cy="6600772"/>
                    </a:xfrm>
                    <a:prstGeom prst="rect">
                      <a:avLst/>
                    </a:prstGeom>
                  </pic:spPr>
                </pic:pic>
              </a:graphicData>
            </a:graphic>
          </wp:inline>
        </w:drawing>
      </w:r>
    </w:p>
    <w:p w14:paraId="20584417" w14:textId="77777777" w:rsidR="005A494E" w:rsidRDefault="005A494E" w:rsidP="005A494E">
      <w:pPr>
        <w:rPr>
          <w:rFonts w:ascii="Aptos" w:hAnsi="Aptos"/>
          <w:color w:val="0F4761"/>
          <w:sz w:val="22"/>
          <w:szCs w:val="22"/>
        </w:rPr>
      </w:pPr>
      <w:r>
        <w:br w:type="page"/>
      </w:r>
    </w:p>
    <w:p w14:paraId="7538E96A" w14:textId="77777777" w:rsidR="005A494E" w:rsidRPr="00D9529A" w:rsidRDefault="005A494E" w:rsidP="005A494E">
      <w:pPr>
        <w:pStyle w:val="Overskrift4"/>
        <w:rPr>
          <w:lang w:val="en-US"/>
        </w:rPr>
      </w:pPr>
      <w:r w:rsidRPr="00D9529A">
        <w:rPr>
          <w:lang w:val="en-US"/>
        </w:rPr>
        <w:lastRenderedPageBreak/>
        <w:t>English – Translation by Intersex Danmark</w:t>
      </w:r>
    </w:p>
    <w:p w14:paraId="235F7727" w14:textId="77777777" w:rsidR="005A494E" w:rsidRPr="00D9529A" w:rsidRDefault="005A494E" w:rsidP="005A494E">
      <w:pPr>
        <w:rPr>
          <w:lang w:val="en-US"/>
        </w:rPr>
      </w:pPr>
    </w:p>
    <w:p w14:paraId="206ADF86" w14:textId="77777777" w:rsidR="005A494E" w:rsidRPr="00D9529A" w:rsidRDefault="005A494E" w:rsidP="005A494E">
      <w:pPr>
        <w:rPr>
          <w:lang w:val="en-US"/>
        </w:rPr>
      </w:pPr>
      <w:proofErr w:type="gramStart"/>
      <w:r w:rsidRPr="00D9529A">
        <w:rPr>
          <w:rFonts w:ascii="-webkit-standard" w:hAnsi="-webkit-standard"/>
          <w:color w:val="000000"/>
          <w:sz w:val="18"/>
          <w:szCs w:val="18"/>
          <w:lang w:val="en-US"/>
        </w:rPr>
        <w:t>”Dear</w:t>
      </w:r>
      <w:proofErr w:type="gramEnd"/>
      <w:r w:rsidRPr="00D9529A">
        <w:rPr>
          <w:rFonts w:ascii="-webkit-standard" w:hAnsi="-webkit-standard"/>
          <w:color w:val="000000"/>
          <w:sz w:val="18"/>
          <w:szCs w:val="18"/>
          <w:lang w:val="en-US"/>
        </w:rPr>
        <w:t xml:space="preserve"> Minister for Equality Magnus Heunicke, dear politicians.</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r>
      <w:r w:rsidRPr="005A494E">
        <w:rPr>
          <w:rFonts w:ascii="-webkit-standard" w:hAnsi="-webkit-standard"/>
          <w:color w:val="000000"/>
          <w:sz w:val="18"/>
          <w:szCs w:val="18"/>
          <w:lang w:val="en-US"/>
        </w:rPr>
        <w:t>We are writing this letter to draw attention to our desire to bring the I back into the LGBT+ acronym and to begin work on human rights-based legislation in the intersex area.</w:t>
      </w:r>
      <w:r w:rsidRPr="005A494E">
        <w:rPr>
          <w:rStyle w:val="apple-converted-space"/>
          <w:rFonts w:ascii="-webkit-standard" w:hAnsi="-webkit-standard"/>
          <w:color w:val="000000"/>
          <w:sz w:val="18"/>
          <w:szCs w:val="18"/>
          <w:lang w:val="en-US"/>
        </w:rPr>
        <w:t> </w:t>
      </w:r>
      <w:r w:rsidRPr="005A494E">
        <w:rPr>
          <w:rFonts w:ascii="-webkit-standard" w:hAnsi="-webkit-standard"/>
          <w:color w:val="000000"/>
          <w:sz w:val="18"/>
          <w:szCs w:val="18"/>
          <w:lang w:val="en-US"/>
        </w:rPr>
        <w:br/>
      </w:r>
      <w:r w:rsidRPr="005A494E">
        <w:rPr>
          <w:rFonts w:ascii="-webkit-standard" w:hAnsi="-webkit-standard"/>
          <w:color w:val="000000"/>
          <w:sz w:val="18"/>
          <w:szCs w:val="18"/>
          <w:lang w:val="en-US"/>
        </w:rPr>
        <w:br/>
      </w:r>
      <w:r w:rsidRPr="00D9529A">
        <w:rPr>
          <w:rFonts w:ascii="-webkit-standard" w:hAnsi="-webkit-standard"/>
          <w:color w:val="000000"/>
          <w:sz w:val="18"/>
          <w:szCs w:val="18"/>
          <w:lang w:val="en-US"/>
        </w:rPr>
        <w:t>For decades, intersex people have been victims of massive</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pathologization, secrecy, discrimination and systematic violations of their human rights in Denmark.</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t>In 2022, the government, led by the Ministry for Equality, published a new action plan in the LGBTI+ area, but in connection with the preparation of the action plan, it was decided, contrary to international practice, to remove the I for intersex from the LGBTI+ acronym in political contexts.</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r>
      <w:r w:rsidRPr="005A494E">
        <w:rPr>
          <w:rFonts w:ascii="-webkit-standard" w:hAnsi="-webkit-standard"/>
          <w:color w:val="000000"/>
          <w:sz w:val="18"/>
          <w:szCs w:val="18"/>
          <w:lang w:val="en-US"/>
        </w:rPr>
        <w:t>Since intersex people are a group that very few people know about, due to the active</w:t>
      </w:r>
      <w:r w:rsidRPr="005A494E">
        <w:rPr>
          <w:rStyle w:val="apple-converted-space"/>
          <w:rFonts w:ascii="-webkit-standard" w:hAnsi="-webkit-standard"/>
          <w:color w:val="000000"/>
          <w:sz w:val="18"/>
          <w:szCs w:val="18"/>
          <w:lang w:val="en-US"/>
        </w:rPr>
        <w:t> </w:t>
      </w:r>
      <w:proofErr w:type="spellStart"/>
      <w:r w:rsidRPr="005A494E">
        <w:rPr>
          <w:rFonts w:ascii="-webkit-standard" w:hAnsi="-webkit-standard"/>
          <w:color w:val="000000"/>
          <w:sz w:val="18"/>
          <w:szCs w:val="18"/>
          <w:lang w:val="en-US"/>
        </w:rPr>
        <w:t>invisibilization</w:t>
      </w:r>
      <w:proofErr w:type="spellEnd"/>
      <w:r w:rsidRPr="005A494E">
        <w:rPr>
          <w:rFonts w:ascii="-webkit-standard" w:hAnsi="-webkit-standard"/>
          <w:color w:val="000000"/>
          <w:sz w:val="18"/>
          <w:szCs w:val="18"/>
          <w:lang w:val="en-US"/>
        </w:rPr>
        <w:t>,</w:t>
      </w:r>
      <w:r w:rsidRPr="005A494E">
        <w:rPr>
          <w:rStyle w:val="apple-converted-space"/>
          <w:rFonts w:ascii="-webkit-standard" w:hAnsi="-webkit-standard"/>
          <w:color w:val="000000"/>
          <w:sz w:val="18"/>
          <w:szCs w:val="18"/>
          <w:lang w:val="en-US"/>
        </w:rPr>
        <w:t> </w:t>
      </w:r>
      <w:proofErr w:type="spellStart"/>
      <w:r w:rsidRPr="005A494E">
        <w:rPr>
          <w:rFonts w:ascii="-webkit-standard" w:hAnsi="-webkit-standard"/>
          <w:color w:val="000000"/>
          <w:sz w:val="18"/>
          <w:szCs w:val="18"/>
          <w:lang w:val="en-US"/>
        </w:rPr>
        <w:t>tabooization</w:t>
      </w:r>
      <w:proofErr w:type="spellEnd"/>
      <w:r w:rsidRPr="005A494E">
        <w:rPr>
          <w:rStyle w:val="apple-converted-space"/>
          <w:rFonts w:ascii="-webkit-standard" w:hAnsi="-webkit-standard"/>
          <w:color w:val="000000"/>
          <w:sz w:val="18"/>
          <w:szCs w:val="18"/>
          <w:lang w:val="en-US"/>
        </w:rPr>
        <w:t> </w:t>
      </w:r>
      <w:r w:rsidRPr="005A494E">
        <w:rPr>
          <w:rFonts w:ascii="-webkit-standard" w:hAnsi="-webkit-standard"/>
          <w:color w:val="000000"/>
          <w:sz w:val="18"/>
          <w:szCs w:val="18"/>
          <w:lang w:val="en-US"/>
        </w:rPr>
        <w:t>and secrecy that the group has been subjected to for decades in the medical field, the removal of the I hit particularly hard, as it de facto meant a re-</w:t>
      </w:r>
      <w:proofErr w:type="spellStart"/>
      <w:r w:rsidRPr="005A494E">
        <w:rPr>
          <w:rFonts w:ascii="-webkit-standard" w:hAnsi="-webkit-standard"/>
          <w:color w:val="000000"/>
          <w:sz w:val="18"/>
          <w:szCs w:val="18"/>
          <w:lang w:val="en-US"/>
        </w:rPr>
        <w:t>invisibilization</w:t>
      </w:r>
      <w:proofErr w:type="spellEnd"/>
      <w:r w:rsidRPr="005A494E">
        <w:rPr>
          <w:rStyle w:val="apple-converted-space"/>
          <w:rFonts w:ascii="-webkit-standard" w:hAnsi="-webkit-standard"/>
          <w:color w:val="000000"/>
          <w:sz w:val="18"/>
          <w:szCs w:val="18"/>
          <w:lang w:val="en-US"/>
        </w:rPr>
        <w:t> </w:t>
      </w:r>
      <w:r w:rsidRPr="005A494E">
        <w:rPr>
          <w:rFonts w:ascii="-webkit-standard" w:hAnsi="-webkit-standard"/>
          <w:color w:val="000000"/>
          <w:sz w:val="18"/>
          <w:szCs w:val="18"/>
          <w:lang w:val="en-US"/>
        </w:rPr>
        <w:t>of intersex people.</w:t>
      </w:r>
      <w:r w:rsidRPr="005A494E">
        <w:rPr>
          <w:rStyle w:val="apple-converted-space"/>
          <w:rFonts w:ascii="-webkit-standard" w:hAnsi="-webkit-standard"/>
          <w:color w:val="000000"/>
          <w:sz w:val="18"/>
          <w:szCs w:val="18"/>
          <w:lang w:val="en-US"/>
        </w:rPr>
        <w:t> </w:t>
      </w:r>
      <w:r w:rsidRPr="005A494E">
        <w:rPr>
          <w:rFonts w:ascii="-webkit-standard" w:hAnsi="-webkit-standard"/>
          <w:color w:val="000000"/>
          <w:sz w:val="18"/>
          <w:szCs w:val="18"/>
          <w:lang w:val="en-US"/>
        </w:rPr>
        <w:br/>
      </w:r>
      <w:r w:rsidRPr="005A494E">
        <w:rPr>
          <w:rFonts w:ascii="-webkit-standard" w:hAnsi="-webkit-standard"/>
          <w:color w:val="000000"/>
          <w:sz w:val="18"/>
          <w:szCs w:val="18"/>
          <w:lang w:val="en-US"/>
        </w:rPr>
        <w:br/>
      </w:r>
      <w:r w:rsidRPr="00D9529A">
        <w:rPr>
          <w:rFonts w:ascii="-webkit-standard" w:hAnsi="-webkit-standard"/>
          <w:color w:val="000000"/>
          <w:sz w:val="18"/>
          <w:szCs w:val="18"/>
          <w:lang w:val="en-US"/>
        </w:rPr>
        <w:t>The re-</w:t>
      </w:r>
      <w:proofErr w:type="spellStart"/>
      <w:r w:rsidRPr="00D9529A">
        <w:rPr>
          <w:rFonts w:ascii="-webkit-standard" w:hAnsi="-webkit-standard"/>
          <w:color w:val="000000"/>
          <w:sz w:val="18"/>
          <w:szCs w:val="18"/>
          <w:lang w:val="en-US"/>
        </w:rPr>
        <w:t>invisibilization</w:t>
      </w:r>
      <w:proofErr w:type="spellEnd"/>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of intersex people has an extremely negative effect, both on intersex people, who experience it as an expression of a lack of political recognition of their existence and their cause, which creates insecurity.</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And on</w:t>
      </w:r>
      <w:r w:rsidRPr="00D9529A">
        <w:rPr>
          <w:rStyle w:val="apple-converted-space"/>
          <w:rFonts w:ascii="-webkit-standard" w:hAnsi="-webkit-standard"/>
          <w:color w:val="000000"/>
          <w:sz w:val="18"/>
          <w:szCs w:val="18"/>
          <w:lang w:val="en-US"/>
        </w:rPr>
        <w:t> </w:t>
      </w:r>
      <w:proofErr w:type="spellStart"/>
      <w:r w:rsidRPr="00D9529A">
        <w:rPr>
          <w:rFonts w:ascii="-webkit-standard" w:hAnsi="-webkit-standard"/>
          <w:color w:val="000000"/>
          <w:sz w:val="18"/>
          <w:szCs w:val="18"/>
          <w:lang w:val="en-US"/>
        </w:rPr>
        <w:t>he</w:t>
      </w:r>
      <w:proofErr w:type="spellEnd"/>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work for intersex rights has also been seriously affected, as intersex as a group is now overlooked, since the I is no longer there,</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to remind</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people</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of our existence.</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r>
      <w:r w:rsidRPr="005A494E">
        <w:rPr>
          <w:rFonts w:ascii="-webkit-standard" w:hAnsi="-webkit-standard"/>
          <w:color w:val="000000"/>
          <w:sz w:val="18"/>
          <w:szCs w:val="18"/>
          <w:lang w:val="en-US"/>
        </w:rPr>
        <w:t>Furthermore, no intersex-specific objectives were included in the LGBT+ action plan from 2022, nor has work ever begun towards human rights-based legislation in the intersex area, despite the fact that Denmark does not live up to the human rights obligations we have, in terms of the UN conventions we have signed and ratified, as well as the EU, COE and UN resolutions in the area and finally the Joint statements Denmark has signed under the auspices of the UN in 2020, 2021 and 2023, respectively.</w:t>
      </w:r>
      <w:r w:rsidRPr="005A494E">
        <w:rPr>
          <w:rStyle w:val="apple-converted-space"/>
          <w:rFonts w:ascii="-webkit-standard" w:hAnsi="-webkit-standard"/>
          <w:color w:val="000000"/>
          <w:sz w:val="18"/>
          <w:szCs w:val="18"/>
          <w:lang w:val="en-US"/>
        </w:rPr>
        <w:t> </w:t>
      </w:r>
      <w:r w:rsidRPr="005A494E">
        <w:rPr>
          <w:rFonts w:ascii="-webkit-standard" w:hAnsi="-webkit-standard"/>
          <w:color w:val="000000"/>
          <w:sz w:val="18"/>
          <w:szCs w:val="18"/>
          <w:lang w:val="en-US"/>
        </w:rPr>
        <w:br/>
      </w:r>
      <w:r w:rsidRPr="005A494E">
        <w:rPr>
          <w:rFonts w:ascii="-webkit-standard" w:hAnsi="-webkit-standard"/>
          <w:color w:val="000000"/>
          <w:sz w:val="18"/>
          <w:szCs w:val="18"/>
          <w:lang w:val="en-US"/>
        </w:rPr>
        <w:br/>
      </w:r>
      <w:r w:rsidRPr="00D9529A">
        <w:rPr>
          <w:rFonts w:ascii="-webkit-standard" w:hAnsi="-webkit-standard"/>
          <w:color w:val="000000"/>
          <w:sz w:val="18"/>
          <w:szCs w:val="18"/>
          <w:lang w:val="en-US"/>
        </w:rPr>
        <w:t>Based on the above, we recommend that the Minister, as soon as possible:</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t>• Bring the I for intersex back into the acronym, in all political contexts.</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t>• Begin work on holistic and human rights-based legislation in the intersex area.</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br/>
      </w:r>
      <w:r w:rsidRPr="00D9529A">
        <w:rPr>
          <w:rFonts w:ascii="-webkit-standard" w:hAnsi="-webkit-standard"/>
          <w:color w:val="000000"/>
          <w:sz w:val="18"/>
          <w:szCs w:val="18"/>
          <w:lang w:val="en-US"/>
        </w:rPr>
        <w:br/>
        <w:t>Best</w:t>
      </w:r>
      <w:r w:rsidRPr="00D9529A">
        <w:rPr>
          <w:rStyle w:val="apple-converted-space"/>
          <w:rFonts w:ascii="-webkit-standard" w:hAnsi="-webkit-standard"/>
          <w:color w:val="000000"/>
          <w:sz w:val="18"/>
          <w:szCs w:val="18"/>
          <w:lang w:val="en-US"/>
        </w:rPr>
        <w:t> </w:t>
      </w:r>
      <w:r w:rsidRPr="00D9529A">
        <w:rPr>
          <w:rFonts w:ascii="-webkit-standard" w:hAnsi="-webkit-standard"/>
          <w:color w:val="000000"/>
          <w:sz w:val="18"/>
          <w:szCs w:val="18"/>
          <w:lang w:val="en-US"/>
        </w:rPr>
        <w:t>regards”</w:t>
      </w:r>
      <w:r w:rsidRPr="00D9529A">
        <w:rPr>
          <w:lang w:val="en-US"/>
        </w:rPr>
        <w:br w:type="page"/>
      </w:r>
    </w:p>
    <w:p w14:paraId="3F0DCEAD" w14:textId="77777777" w:rsidR="005A494E" w:rsidRPr="00D9529A" w:rsidRDefault="005A494E" w:rsidP="005A494E">
      <w:pPr>
        <w:pStyle w:val="Overskrift3"/>
        <w:rPr>
          <w:lang w:val="en-US"/>
        </w:rPr>
      </w:pPr>
      <w:bookmarkStart w:id="46" w:name="_Toc205206998"/>
      <w:r w:rsidRPr="00D9529A">
        <w:rPr>
          <w:lang w:val="en-US"/>
        </w:rPr>
        <w:lastRenderedPageBreak/>
        <w:t>Rejection to Reinstate the I in the LGBTI+ Acronym</w:t>
      </w:r>
      <w:bookmarkEnd w:id="46"/>
    </w:p>
    <w:p w14:paraId="0FBEA921" w14:textId="77777777" w:rsidR="005A494E" w:rsidRDefault="005A494E" w:rsidP="005A494E">
      <w:pPr>
        <w:rPr>
          <w:lang w:val="en-GB"/>
        </w:rPr>
      </w:pPr>
    </w:p>
    <w:p w14:paraId="206B0825" w14:textId="77777777" w:rsidR="005A494E" w:rsidRPr="0025376E" w:rsidRDefault="005A494E" w:rsidP="005A494E">
      <w:pPr>
        <w:pStyle w:val="Overskrift4"/>
      </w:pPr>
      <w:r>
        <w:t>Danish</w:t>
      </w:r>
    </w:p>
    <w:p w14:paraId="45242CE9" w14:textId="77777777" w:rsidR="005A494E" w:rsidRDefault="005A494E" w:rsidP="005A494E">
      <w:pPr>
        <w:pStyle w:val="Overskrift2"/>
      </w:pPr>
    </w:p>
    <w:p w14:paraId="17DBCCB3" w14:textId="77777777" w:rsidR="005A494E" w:rsidRDefault="005A494E" w:rsidP="005A494E">
      <w:r>
        <w:rPr>
          <w:noProof/>
        </w:rPr>
        <w:drawing>
          <wp:inline distT="0" distB="0" distL="0" distR="0" wp14:anchorId="2D3537F3" wp14:editId="6DB02125">
            <wp:extent cx="5223510" cy="7391583"/>
            <wp:effectExtent l="0" t="0" r="0" b="0"/>
            <wp:docPr id="7035937"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937" name="Billede 7035937"/>
                    <pic:cNvPicPr/>
                  </pic:nvPicPr>
                  <pic:blipFill>
                    <a:blip r:embed="rId7"/>
                    <a:stretch>
                      <a:fillRect/>
                    </a:stretch>
                  </pic:blipFill>
                  <pic:spPr>
                    <a:xfrm>
                      <a:off x="0" y="0"/>
                      <a:ext cx="5224716" cy="7393290"/>
                    </a:xfrm>
                    <a:prstGeom prst="rect">
                      <a:avLst/>
                    </a:prstGeom>
                  </pic:spPr>
                </pic:pic>
              </a:graphicData>
            </a:graphic>
          </wp:inline>
        </w:drawing>
      </w:r>
    </w:p>
    <w:p w14:paraId="0DD3A66A" w14:textId="77777777" w:rsidR="005A494E" w:rsidRPr="00D9529A" w:rsidRDefault="005A494E" w:rsidP="005A494E">
      <w:pPr>
        <w:pStyle w:val="Overskrift4"/>
        <w:rPr>
          <w:lang w:val="en-US"/>
        </w:rPr>
      </w:pPr>
      <w:r w:rsidRPr="00D9529A">
        <w:rPr>
          <w:lang w:val="en-US"/>
        </w:rPr>
        <w:lastRenderedPageBreak/>
        <w:t>English – translation by Intersex Danmark</w:t>
      </w:r>
    </w:p>
    <w:p w14:paraId="0BA3EF14" w14:textId="77777777" w:rsidR="005A494E" w:rsidRPr="005A494E" w:rsidRDefault="005A494E" w:rsidP="005A494E">
      <w:pPr>
        <w:pStyle w:val="Overskrift2"/>
        <w:rPr>
          <w:lang w:val="en-US"/>
        </w:rPr>
      </w:pPr>
    </w:p>
    <w:p w14:paraId="2B177915" w14:textId="77777777" w:rsidR="005A494E" w:rsidRPr="005A494E" w:rsidRDefault="005A494E" w:rsidP="005A494E">
      <w:pPr>
        <w:rPr>
          <w:lang w:val="en-US"/>
        </w:rPr>
      </w:pPr>
      <w:proofErr w:type="gramStart"/>
      <w:r w:rsidRPr="00D9529A">
        <w:rPr>
          <w:lang w:val="en-US"/>
        </w:rPr>
        <w:t>”Dear</w:t>
      </w:r>
      <w:proofErr w:type="gramEnd"/>
      <w:r w:rsidRPr="00D9529A">
        <w:rPr>
          <w:lang w:val="en-US"/>
        </w:rPr>
        <w:t xml:space="preserve"> Inge</w:t>
      </w:r>
      <w:r w:rsidRPr="00D9529A">
        <w:rPr>
          <w:rStyle w:val="apple-converted-space"/>
          <w:rFonts w:ascii="-webkit-standard" w:hAnsi="-webkit-standard"/>
          <w:color w:val="000000"/>
          <w:sz w:val="18"/>
          <w:szCs w:val="18"/>
          <w:lang w:val="en-US"/>
        </w:rPr>
        <w:t> </w:t>
      </w:r>
      <w:proofErr w:type="gramStart"/>
      <w:r w:rsidRPr="00D9529A">
        <w:rPr>
          <w:lang w:val="en-US"/>
        </w:rPr>
        <w:t>Toft</w:t>
      </w:r>
      <w:proofErr w:type="gramEnd"/>
      <w:r w:rsidRPr="00D9529A">
        <w:rPr>
          <w:rStyle w:val="apple-converted-space"/>
          <w:rFonts w:ascii="-webkit-standard" w:hAnsi="-webkit-standard"/>
          <w:color w:val="000000"/>
          <w:sz w:val="18"/>
          <w:szCs w:val="18"/>
          <w:lang w:val="en-US"/>
        </w:rPr>
        <w:t> </w:t>
      </w:r>
      <w:proofErr w:type="spellStart"/>
      <w:r w:rsidRPr="00D9529A">
        <w:rPr>
          <w:lang w:val="en-US"/>
        </w:rPr>
        <w:t>Thapprakhon</w:t>
      </w:r>
      <w:proofErr w:type="spellEnd"/>
      <w:r w:rsidRPr="00D9529A">
        <w:rPr>
          <w:lang w:val="en-US"/>
        </w:rPr>
        <w:t>,</w:t>
      </w:r>
      <w:r w:rsidRPr="00D9529A">
        <w:rPr>
          <w:rStyle w:val="apple-converted-space"/>
          <w:rFonts w:ascii="-webkit-standard" w:hAnsi="-webkit-standard"/>
          <w:color w:val="000000"/>
          <w:sz w:val="18"/>
          <w:szCs w:val="18"/>
          <w:lang w:val="en-US"/>
        </w:rPr>
        <w:t> </w:t>
      </w:r>
      <w:r w:rsidRPr="00D9529A">
        <w:rPr>
          <w:lang w:val="en-US"/>
        </w:rPr>
        <w:br/>
      </w:r>
      <w:r w:rsidRPr="00D9529A">
        <w:rPr>
          <w:lang w:val="en-US"/>
        </w:rPr>
        <w:br/>
        <w:t>Thank you very much for your inquiry from September 10, 2024.</w:t>
      </w:r>
      <w:r w:rsidRPr="00D9529A">
        <w:rPr>
          <w:lang w:val="en-US"/>
        </w:rPr>
        <w:br/>
      </w:r>
      <w:r w:rsidRPr="00D9529A">
        <w:rPr>
          <w:lang w:val="en-US"/>
        </w:rPr>
        <w:br/>
      </w:r>
      <w:r w:rsidRPr="005A494E">
        <w:rPr>
          <w:lang w:val="en-US"/>
        </w:rPr>
        <w:t xml:space="preserve">I was pleased to have the opportunity to greet you at the event on September 18. </w:t>
      </w:r>
      <w:r w:rsidRPr="00D9529A">
        <w:rPr>
          <w:lang w:val="en-US"/>
        </w:rPr>
        <w:t>We must continually work for more equality and greater equality for LGBT+ people in our</w:t>
      </w:r>
      <w:r w:rsidRPr="00D9529A">
        <w:rPr>
          <w:rStyle w:val="apple-converted-space"/>
          <w:rFonts w:ascii="-webkit-standard" w:hAnsi="-webkit-standard"/>
          <w:color w:val="000000"/>
          <w:sz w:val="18"/>
          <w:szCs w:val="18"/>
          <w:lang w:val="en-US"/>
        </w:rPr>
        <w:t> </w:t>
      </w:r>
      <w:r w:rsidRPr="00D9529A">
        <w:rPr>
          <w:lang w:val="en-US"/>
        </w:rPr>
        <w:t xml:space="preserve">society, </w:t>
      </w:r>
      <w:proofErr w:type="spellStart"/>
      <w:r w:rsidRPr="00D9529A">
        <w:rPr>
          <w:lang w:val="en-US"/>
        </w:rPr>
        <w:t>andprotect</w:t>
      </w:r>
      <w:proofErr w:type="spellEnd"/>
      <w:r w:rsidRPr="00D9529A">
        <w:rPr>
          <w:lang w:val="en-US"/>
        </w:rPr>
        <w:t xml:space="preserve"> the group against discrimination and hate. I am therefore also glad that sexual orientation, gender identity, and gender characteristics have been clearly stated in anti-discrimination legislation and in the provisions of the penal code regarding hate crimes and hate speech since 2022.</w:t>
      </w:r>
      <w:r w:rsidRPr="00D9529A">
        <w:rPr>
          <w:lang w:val="en-US"/>
        </w:rPr>
        <w:br/>
      </w:r>
      <w:r w:rsidRPr="00D9529A">
        <w:rPr>
          <w:lang w:val="en-US"/>
        </w:rPr>
        <w:br/>
      </w:r>
      <w:r w:rsidRPr="005A494E">
        <w:rPr>
          <w:lang w:val="en-US"/>
        </w:rPr>
        <w:t>The use of the term LGBT+ in the action plan is chosen to encompass the entire LGBT+ community, including intersex individuals.</w:t>
      </w:r>
      <w:r w:rsidRPr="005A494E">
        <w:rPr>
          <w:lang w:val="en-US"/>
        </w:rPr>
        <w:br/>
      </w:r>
      <w:r w:rsidRPr="005A494E">
        <w:rPr>
          <w:lang w:val="en-US"/>
        </w:rPr>
        <w:br/>
        <w:t>In the LGBT+ action plan, there are several initiatives aimed at expanding the understanding that gender and sexuality are diverse, which will benefit the entire LGBT+ group - including intersex individuals.</w:t>
      </w:r>
      <w:r w:rsidRPr="005A494E">
        <w:rPr>
          <w:rStyle w:val="apple-converted-space"/>
          <w:rFonts w:ascii="-webkit-standard" w:hAnsi="-webkit-standard"/>
          <w:color w:val="000000"/>
          <w:sz w:val="18"/>
          <w:szCs w:val="18"/>
          <w:lang w:val="en-US"/>
        </w:rPr>
        <w:t> </w:t>
      </w:r>
      <w:r w:rsidRPr="005A494E">
        <w:rPr>
          <w:lang w:val="en-US"/>
        </w:rPr>
        <w:br/>
      </w:r>
      <w:r w:rsidRPr="005A494E">
        <w:rPr>
          <w:lang w:val="en-US"/>
        </w:rPr>
        <w:br/>
        <w:t>Thank you for your efforts in this area.</w:t>
      </w:r>
      <w:r w:rsidRPr="005A494E">
        <w:rPr>
          <w:lang w:val="en-US"/>
        </w:rPr>
        <w:br/>
      </w:r>
      <w:r w:rsidRPr="005A494E">
        <w:rPr>
          <w:lang w:val="en-US"/>
        </w:rPr>
        <w:br/>
        <w:t>Best regards,</w:t>
      </w:r>
      <w:r w:rsidRPr="005A494E">
        <w:rPr>
          <w:lang w:val="en-US"/>
        </w:rPr>
        <w:br/>
      </w:r>
      <w:r w:rsidRPr="005A494E">
        <w:rPr>
          <w:lang w:val="en-US"/>
        </w:rPr>
        <w:br/>
        <w:t>Magnus Heunicke”</w:t>
      </w:r>
    </w:p>
    <w:p w14:paraId="3E8CD18D" w14:textId="77777777" w:rsidR="005A494E" w:rsidRPr="005A494E" w:rsidRDefault="005A494E" w:rsidP="005A494E">
      <w:pPr>
        <w:rPr>
          <w:lang w:val="en-US"/>
        </w:rPr>
      </w:pPr>
      <w:r w:rsidRPr="005A494E">
        <w:rPr>
          <w:lang w:val="en-US"/>
        </w:rPr>
        <w:br w:type="page"/>
      </w:r>
    </w:p>
    <w:p w14:paraId="3B4FED88" w14:textId="77777777" w:rsidR="005A494E" w:rsidRPr="005A494E" w:rsidRDefault="005A494E" w:rsidP="005A494E">
      <w:pPr>
        <w:pStyle w:val="Overskrift2"/>
        <w:rPr>
          <w:lang w:val="en-US"/>
        </w:rPr>
      </w:pPr>
      <w:bookmarkStart w:id="47" w:name="_Toc205206999"/>
      <w:r w:rsidRPr="005A494E">
        <w:rPr>
          <w:lang w:val="en-US"/>
        </w:rPr>
        <w:lastRenderedPageBreak/>
        <w:t>Answer to Request for Investigation of Rights Violations of Intersex People</w:t>
      </w:r>
      <w:bookmarkEnd w:id="47"/>
    </w:p>
    <w:p w14:paraId="0458560C" w14:textId="77777777" w:rsidR="005A494E" w:rsidRPr="00D9529A" w:rsidRDefault="005A494E" w:rsidP="005A494E">
      <w:pPr>
        <w:rPr>
          <w:lang w:val="en-US"/>
        </w:rPr>
      </w:pPr>
    </w:p>
    <w:p w14:paraId="4BE9C374" w14:textId="77777777" w:rsidR="005A494E" w:rsidRDefault="005A494E" w:rsidP="005A494E">
      <w:pPr>
        <w:pStyle w:val="Overskrift4"/>
      </w:pPr>
      <w:r>
        <w:t>Danish</w:t>
      </w:r>
    </w:p>
    <w:p w14:paraId="61FC22B6" w14:textId="77777777" w:rsidR="005A494E" w:rsidRDefault="005A494E" w:rsidP="005A494E">
      <w:r>
        <w:rPr>
          <w:noProof/>
          <w14:ligatures w14:val="standardContextual"/>
        </w:rPr>
        <w:drawing>
          <wp:inline distT="0" distB="0" distL="0" distR="0" wp14:anchorId="18F4674E" wp14:editId="732BCD4F">
            <wp:extent cx="5360670" cy="7585676"/>
            <wp:effectExtent l="0" t="0" r="0" b="0"/>
            <wp:docPr id="406689351"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89351" name="Billede 406689351"/>
                    <pic:cNvPicPr/>
                  </pic:nvPicPr>
                  <pic:blipFill>
                    <a:blip r:embed="rId8"/>
                    <a:stretch>
                      <a:fillRect/>
                    </a:stretch>
                  </pic:blipFill>
                  <pic:spPr>
                    <a:xfrm>
                      <a:off x="0" y="0"/>
                      <a:ext cx="5371914" cy="7601587"/>
                    </a:xfrm>
                    <a:prstGeom prst="rect">
                      <a:avLst/>
                    </a:prstGeom>
                  </pic:spPr>
                </pic:pic>
              </a:graphicData>
            </a:graphic>
          </wp:inline>
        </w:drawing>
      </w:r>
    </w:p>
    <w:p w14:paraId="20CC9DB3" w14:textId="77777777" w:rsidR="005A494E" w:rsidRPr="00D9529A" w:rsidRDefault="005A494E" w:rsidP="005A494E">
      <w:pPr>
        <w:pStyle w:val="Overskrift4"/>
        <w:rPr>
          <w:lang w:val="en-US"/>
        </w:rPr>
      </w:pPr>
      <w:r w:rsidRPr="00D9529A">
        <w:rPr>
          <w:lang w:val="en-US"/>
        </w:rPr>
        <w:lastRenderedPageBreak/>
        <w:t>English – Translation by Intersex Danmark</w:t>
      </w:r>
    </w:p>
    <w:p w14:paraId="64CA9FFC" w14:textId="77777777" w:rsidR="005A494E" w:rsidRPr="00D9529A" w:rsidRDefault="005A494E" w:rsidP="005A494E">
      <w:pPr>
        <w:rPr>
          <w:lang w:val="en-US"/>
        </w:rPr>
      </w:pPr>
    </w:p>
    <w:p w14:paraId="4C687D15" w14:textId="77777777" w:rsidR="005A494E" w:rsidRDefault="005A494E" w:rsidP="005A494E">
      <w:pPr>
        <w:rPr>
          <w:lang w:val="en-US"/>
        </w:rPr>
      </w:pPr>
      <w:r>
        <w:rPr>
          <w:b/>
          <w:bCs/>
          <w:lang w:val="en-US"/>
        </w:rPr>
        <w:t>“</w:t>
      </w:r>
      <w:r w:rsidRPr="00E63A0A">
        <w:rPr>
          <w:b/>
          <w:bCs/>
          <w:lang w:val="en-US"/>
        </w:rPr>
        <w:t xml:space="preserve">The Minister of Interior and Health </w:t>
      </w:r>
      <w:r>
        <w:rPr>
          <w:b/>
          <w:bCs/>
          <w:lang w:val="en-US"/>
        </w:rPr>
        <w:br/>
      </w:r>
      <w:r w:rsidRPr="00E63A0A">
        <w:rPr>
          <w:b/>
          <w:bCs/>
          <w:lang w:val="en-US"/>
        </w:rPr>
        <w:t xml:space="preserve">and the Minister of Environment and Equality </w:t>
      </w:r>
      <w:r>
        <w:rPr>
          <w:b/>
          <w:bCs/>
          <w:lang w:val="en-US"/>
        </w:rPr>
        <w:br/>
      </w:r>
      <w:r>
        <w:rPr>
          <w:b/>
          <w:bCs/>
          <w:lang w:val="en-US"/>
        </w:rPr>
        <w:br/>
      </w:r>
      <w:r w:rsidRPr="00E63A0A">
        <w:rPr>
          <w:b/>
          <w:bCs/>
          <w:lang w:val="en-US"/>
        </w:rPr>
        <w:t xml:space="preserve">Intersex Denmark Inge Toft </w:t>
      </w:r>
      <w:proofErr w:type="spellStart"/>
      <w:r w:rsidRPr="00E63A0A">
        <w:rPr>
          <w:b/>
          <w:bCs/>
          <w:lang w:val="en-US"/>
        </w:rPr>
        <w:t>Thapprakhon</w:t>
      </w:r>
      <w:proofErr w:type="spellEnd"/>
      <w:r>
        <w:rPr>
          <w:b/>
          <w:bCs/>
          <w:lang w:val="en-US"/>
        </w:rPr>
        <w:br/>
      </w:r>
      <w:r>
        <w:rPr>
          <w:b/>
          <w:bCs/>
          <w:lang w:val="en-US"/>
        </w:rPr>
        <w:br/>
      </w:r>
      <w:r w:rsidRPr="00E63A0A">
        <w:rPr>
          <w:lang w:val="en-US"/>
        </w:rPr>
        <w:t xml:space="preserve">Dear Inge Toft </w:t>
      </w:r>
      <w:proofErr w:type="spellStart"/>
      <w:r w:rsidRPr="00E63A0A">
        <w:rPr>
          <w:lang w:val="en-US"/>
        </w:rPr>
        <w:t>Thapprakhon</w:t>
      </w:r>
      <w:proofErr w:type="spellEnd"/>
      <w:r w:rsidRPr="00E63A0A">
        <w:rPr>
          <w:lang w:val="en-US"/>
        </w:rPr>
        <w:t xml:space="preserve">, Thank you very much for your inquiry dated October 20, 2024, in which you, on behalf of Intersex Denmark, request a statement on what the Ministry of the Interior and Health and the Ministry of Environment and Gender Equality have done to ensure that unnecessary interventions do not occur on children with variations in </w:t>
      </w:r>
      <w:r>
        <w:rPr>
          <w:lang w:val="en-US"/>
        </w:rPr>
        <w:t>sex</w:t>
      </w:r>
      <w:r w:rsidRPr="00E63A0A">
        <w:rPr>
          <w:lang w:val="en-US"/>
        </w:rPr>
        <w:t xml:space="preserve"> characteristics (intersex).</w:t>
      </w:r>
    </w:p>
    <w:p w14:paraId="5F93761A" w14:textId="77777777" w:rsidR="005A494E" w:rsidRDefault="005A494E" w:rsidP="005A494E">
      <w:pPr>
        <w:rPr>
          <w:lang w:val="en-US"/>
        </w:rPr>
      </w:pPr>
      <w:r w:rsidRPr="00E63A0A">
        <w:rPr>
          <w:lang w:val="en-US"/>
        </w:rPr>
        <w:t>Initially, it should be emphasized that in Denmark, it is prohibited to perform cosmetic treatments on individuals under the age of 18, i.e., corrective activities where cosmetic considerations are the decisive indication, or where the main purpose of the treatment is to change or improve appearance.</w:t>
      </w:r>
    </w:p>
    <w:p w14:paraId="3726BDBB" w14:textId="77777777" w:rsidR="005A494E" w:rsidRDefault="005A494E" w:rsidP="005A494E">
      <w:pPr>
        <w:rPr>
          <w:lang w:val="en-US"/>
        </w:rPr>
      </w:pPr>
      <w:r w:rsidRPr="00E63A0A">
        <w:rPr>
          <w:lang w:val="en-US"/>
        </w:rPr>
        <w:t>However, there may be situations where there is a medical indication for performing surgery on individuals under 18 years old with variations in gender characteristics. Examples of conditions where surgical treatment may be indicated include children with so-called Adrenogenital syndrome, where there may be a congenital fusion between the urethra and the vagina or fused labia.</w:t>
      </w:r>
      <w:r>
        <w:rPr>
          <w:lang w:val="en-US"/>
        </w:rPr>
        <w:br/>
      </w:r>
      <w:r>
        <w:rPr>
          <w:lang w:val="en-US"/>
        </w:rPr>
        <w:br/>
      </w:r>
      <w:r w:rsidRPr="00E63A0A">
        <w:rPr>
          <w:lang w:val="en-US"/>
        </w:rPr>
        <w:t xml:space="preserve">Lack of surgical intervention in children with Adrenogenital syndrome can lead to chronic urinary tract infections, urinary incontinence (involuntary urination), fluid retention in the uterus and vagina, as well as menstrual and fertility problems. The purpose of offering surgery in such situations is therefore to prevent the </w:t>
      </w:r>
      <w:proofErr w:type="gramStart"/>
      <w:r w:rsidRPr="00E63A0A">
        <w:rPr>
          <w:lang w:val="en-US"/>
        </w:rPr>
        <w:t>aforementioned conditions</w:t>
      </w:r>
      <w:proofErr w:type="gramEnd"/>
      <w:r w:rsidRPr="00E63A0A">
        <w:rPr>
          <w:lang w:val="en-US"/>
        </w:rPr>
        <w:t xml:space="preserve"> and to preserve the possibility of future reproduction. Additionally, surgery may be offered to prevent the development of cancer in the gonads.</w:t>
      </w:r>
      <w:r>
        <w:rPr>
          <w:lang w:val="en-US"/>
        </w:rPr>
        <w:br/>
      </w:r>
      <w:r>
        <w:rPr>
          <w:lang w:val="en-US"/>
        </w:rPr>
        <w:br/>
      </w:r>
      <w:r w:rsidRPr="00E63A0A">
        <w:rPr>
          <w:lang w:val="en-US"/>
        </w:rPr>
        <w:t xml:space="preserve">Surgical treatment of children and adolescents with variations in </w:t>
      </w:r>
      <w:r>
        <w:rPr>
          <w:lang w:val="en-US"/>
        </w:rPr>
        <w:t>sex</w:t>
      </w:r>
      <w:r w:rsidRPr="00E63A0A">
        <w:rPr>
          <w:lang w:val="en-US"/>
        </w:rPr>
        <w:t xml:space="preserve"> characteristics is carried out at one of the few highly specialized interdisciplinary centers. Before offering an operation, there will always be a thorough medical evaluation in Denmark. The evaluation considers the advantages and disadvantages of the procedure, including the development of the child or adolescent. The assessment is </w:t>
      </w:r>
      <w:proofErr w:type="gramStart"/>
      <w:r w:rsidRPr="00E63A0A">
        <w:rPr>
          <w:lang w:val="en-US"/>
        </w:rPr>
        <w:t>similar to</w:t>
      </w:r>
      <w:proofErr w:type="gramEnd"/>
      <w:r w:rsidRPr="00E63A0A">
        <w:rPr>
          <w:lang w:val="en-US"/>
        </w:rPr>
        <w:t xml:space="preserve"> that of other congenital conditions such as cleft lip and palate, spinal </w:t>
      </w:r>
      <w:proofErr w:type="gramStart"/>
      <w:r w:rsidRPr="00E63A0A">
        <w:rPr>
          <w:lang w:val="en-US"/>
        </w:rPr>
        <w:t>cord, and</w:t>
      </w:r>
      <w:proofErr w:type="gramEnd"/>
      <w:r w:rsidRPr="00E63A0A">
        <w:rPr>
          <w:lang w:val="en-US"/>
        </w:rPr>
        <w:t xml:space="preserve"> abdominal wall hernias, etc.</w:t>
      </w:r>
    </w:p>
    <w:p w14:paraId="64497331" w14:textId="77777777" w:rsidR="005A494E" w:rsidRDefault="005A494E" w:rsidP="005A494E">
      <w:r w:rsidRPr="00E63A0A">
        <w:rPr>
          <w:lang w:val="en-US"/>
        </w:rPr>
        <w:t>In the assessment, consideration is given to the fact that surgical treatment is offered at the time in the minor's life that is most appropriate with respect to the purpose of the surgery, the child's development, and the anatomical and developmental conditions surrounding tissues and organs, etc.</w:t>
      </w:r>
      <w:r>
        <w:rPr>
          <w:lang w:val="en-US"/>
        </w:rPr>
        <w:br/>
      </w:r>
      <w:r>
        <w:rPr>
          <w:lang w:val="en-US"/>
        </w:rPr>
        <w:br/>
      </w:r>
      <w:r w:rsidRPr="00E63A0A">
        <w:rPr>
          <w:lang w:val="en-US"/>
        </w:rPr>
        <w:t>It should again be emphasized that surgery that can wait until later in life is postponed.</w:t>
      </w:r>
      <w:r>
        <w:rPr>
          <w:lang w:val="en-US"/>
        </w:rPr>
        <w:br/>
      </w:r>
      <w:r w:rsidRPr="00E63A0A">
        <w:rPr>
          <w:lang w:val="en-US"/>
        </w:rPr>
        <w:t xml:space="preserve">The ministries have therefore not found reason to initiate an independent investigation in the area. </w:t>
      </w:r>
      <w:r>
        <w:rPr>
          <w:lang w:val="en-US"/>
        </w:rPr>
        <w:br/>
      </w:r>
      <w:r>
        <w:rPr>
          <w:lang w:val="en-US"/>
        </w:rPr>
        <w:br/>
      </w:r>
      <w:r w:rsidRPr="00E63A0A">
        <w:rPr>
          <w:lang w:val="en-US"/>
        </w:rPr>
        <w:t xml:space="preserve">It can furthermore be stated that the Danish Institute for Human Rights, which is Denmark's </w:t>
      </w:r>
      <w:r w:rsidRPr="00E63A0A">
        <w:rPr>
          <w:lang w:val="en-US"/>
        </w:rPr>
        <w:lastRenderedPageBreak/>
        <w:t>National Human Rights Institution and equality body, among other things advises private actors on human rights and assists civil society organizations in their work on human rights.</w:t>
      </w:r>
      <w:r>
        <w:rPr>
          <w:lang w:val="en-US"/>
        </w:rPr>
        <w:br/>
      </w:r>
      <w:r>
        <w:rPr>
          <w:lang w:val="en-US"/>
        </w:rPr>
        <w:br/>
      </w:r>
      <w:r w:rsidRPr="00E63A0A">
        <w:t>En del af instituttets arbejde er at foretage uafhængige undersøgelser af</w:t>
      </w:r>
      <w:r w:rsidRPr="00E63A0A">
        <w:br/>
        <w:t>forskelsbehandling, offentliggøre rapporter og fremsætte henstillinger om spørgsmål</w:t>
      </w:r>
      <w:r w:rsidRPr="00E63A0A">
        <w:br/>
        <w:t>vedrørende forskelsbehandling. Instituttet fik pr. 1. januar 2022 et mandat til at</w:t>
      </w:r>
      <w:r w:rsidRPr="00E63A0A">
        <w:br/>
        <w:t>bekæmpe diskrimination og fremme, evaluere og overvåge ligebehandling af LGBT+</w:t>
      </w:r>
      <w:r w:rsidRPr="00E63A0A">
        <w:br/>
        <w:t>personer, herunder interkønnede.</w:t>
      </w:r>
      <w:r>
        <w:br/>
      </w:r>
      <w:r w:rsidRPr="00E63A0A">
        <w:t>Med venlig hilsen</w:t>
      </w:r>
      <w:r>
        <w:br/>
      </w:r>
      <w:r>
        <w:br/>
      </w:r>
      <w:r>
        <w:br/>
      </w:r>
      <w:r w:rsidRPr="00E63A0A">
        <w:t xml:space="preserve">Sophie Løhde </w:t>
      </w:r>
      <w:r>
        <w:br/>
      </w:r>
      <w:r>
        <w:br/>
      </w:r>
      <w:r>
        <w:br/>
      </w:r>
      <w:r w:rsidRPr="00E63A0A">
        <w:t xml:space="preserve">Magnus </w:t>
      </w:r>
      <w:proofErr w:type="spellStart"/>
      <w:r w:rsidRPr="00E63A0A">
        <w:t>Heunicke</w:t>
      </w:r>
      <w:proofErr w:type="spellEnd"/>
      <w:r>
        <w:t>”</w:t>
      </w:r>
    </w:p>
    <w:p w14:paraId="76EED626" w14:textId="70D50AD8" w:rsidR="009C24CA" w:rsidRDefault="005A494E" w:rsidP="005A494E">
      <w:r>
        <w:br w:type="page"/>
      </w:r>
    </w:p>
    <w:sectPr w:rsidR="009C24CA" w:rsidSect="0063353C">
      <w:footerReference w:type="default" r:id="rId9"/>
      <w:pgSz w:w="11906" w:h="16838"/>
      <w:pgMar w:top="1701" w:right="1134" w:bottom="1701" w:left="1134" w:header="708" w:footer="708"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C7EA4" w14:textId="77777777" w:rsidR="00995EF2" w:rsidRDefault="00995EF2" w:rsidP="005A494E">
      <w:r>
        <w:separator/>
      </w:r>
    </w:p>
  </w:endnote>
  <w:endnote w:type="continuationSeparator" w:id="0">
    <w:p w14:paraId="4A2669E0" w14:textId="77777777" w:rsidR="00995EF2" w:rsidRDefault="00995EF2" w:rsidP="005A494E">
      <w:r>
        <w:continuationSeparator/>
      </w:r>
    </w:p>
  </w:endnote>
  <w:endnote w:id="1">
    <w:p w14:paraId="727055D1" w14:textId="77777777" w:rsidR="005A494E" w:rsidRPr="005A494E" w:rsidRDefault="005A494E" w:rsidP="005A494E">
      <w:pPr>
        <w:rPr>
          <w:sz w:val="20"/>
          <w:szCs w:val="20"/>
          <w:lang w:val="en-US"/>
        </w:rPr>
      </w:pPr>
      <w:r w:rsidRPr="00BE19C1">
        <w:rPr>
          <w:rStyle w:val="Slutnotehenvisning"/>
          <w:sz w:val="20"/>
          <w:szCs w:val="20"/>
        </w:rPr>
        <w:endnoteRef/>
      </w:r>
      <w:r w:rsidRPr="005A494E">
        <w:rPr>
          <w:sz w:val="20"/>
          <w:szCs w:val="20"/>
          <w:lang w:val="en-US"/>
        </w:rPr>
        <w:t xml:space="preserve"> United Nations, Committee on Economic, Social and Cultural Rights: Concluding observations on sixth periodic report of Denmark</w:t>
      </w:r>
      <w:r w:rsidRPr="005A494E">
        <w:rPr>
          <w:sz w:val="20"/>
          <w:szCs w:val="20"/>
          <w:lang w:val="en-US"/>
        </w:rPr>
        <w:br/>
        <w:t>Document E/C.12/DNK/CO/6 (2019), pages 9 and 64, topic Intersex Children</w:t>
      </w:r>
      <w:r w:rsidRPr="005A494E">
        <w:rPr>
          <w:sz w:val="20"/>
          <w:szCs w:val="20"/>
          <w:lang w:val="en-US"/>
        </w:rPr>
        <w:br/>
      </w:r>
      <w:r w:rsidRPr="005A494E">
        <w:rPr>
          <w:rFonts w:eastAsiaTheme="minorHAnsi"/>
          <w:sz w:val="20"/>
          <w:szCs w:val="20"/>
          <w:lang w:val="en-US"/>
        </w:rPr>
        <w:t>https://docs.un.org/en/E/C.12/DNK/CO/6</w:t>
      </w:r>
    </w:p>
  </w:endnote>
  <w:endnote w:id="2">
    <w:p w14:paraId="5A993886" w14:textId="77777777" w:rsidR="005A494E" w:rsidRPr="005A494E" w:rsidRDefault="005A494E" w:rsidP="005A494E">
      <w:pPr>
        <w:rPr>
          <w:sz w:val="20"/>
          <w:szCs w:val="20"/>
          <w:lang w:val="en-US"/>
        </w:rPr>
      </w:pPr>
      <w:r w:rsidRPr="00BE19C1">
        <w:rPr>
          <w:rStyle w:val="Slutnotehenvisning"/>
          <w:sz w:val="20"/>
          <w:szCs w:val="20"/>
        </w:rPr>
        <w:endnoteRef/>
      </w:r>
      <w:r w:rsidRPr="005A494E">
        <w:rPr>
          <w:sz w:val="20"/>
          <w:szCs w:val="20"/>
          <w:lang w:val="en-US"/>
        </w:rPr>
        <w:t xml:space="preserve"> </w:t>
      </w:r>
      <w:r w:rsidRPr="005A494E">
        <w:rPr>
          <w:sz w:val="20"/>
          <w:szCs w:val="20"/>
          <w:bdr w:val="none" w:sz="0" w:space="0" w:color="auto" w:frame="1"/>
          <w:shd w:val="clear" w:color="auto" w:fill="FFFFFF"/>
          <w:lang w:val="en-US"/>
        </w:rPr>
        <w:t>Cimeša</w:t>
      </w:r>
      <w:r w:rsidRPr="005A494E">
        <w:rPr>
          <w:sz w:val="20"/>
          <w:szCs w:val="20"/>
          <w:lang w:val="en-US"/>
        </w:rPr>
        <w:t xml:space="preserve">, M. &amp; </w:t>
      </w:r>
      <w:r w:rsidRPr="005A494E">
        <w:rPr>
          <w:color w:val="111111"/>
          <w:sz w:val="20"/>
          <w:szCs w:val="20"/>
          <w:bdr w:val="none" w:sz="0" w:space="0" w:color="auto" w:frame="1"/>
          <w:lang w:val="en-US"/>
        </w:rPr>
        <w:t>Sokić</w:t>
      </w:r>
      <w:r w:rsidRPr="005A494E">
        <w:rPr>
          <w:color w:val="111111"/>
          <w:sz w:val="20"/>
          <w:szCs w:val="20"/>
          <w:lang w:val="en-US"/>
        </w:rPr>
        <w:t>, A.</w:t>
      </w:r>
      <w:r w:rsidRPr="005A494E">
        <w:rPr>
          <w:sz w:val="20"/>
          <w:szCs w:val="20"/>
          <w:lang w:val="en-US"/>
        </w:rPr>
        <w:br/>
        <w:t>Childhood Trauma and its Effect on Brain Development: Neurobiological Mechanisms and Implications</w:t>
      </w:r>
      <w:r w:rsidRPr="005A494E">
        <w:rPr>
          <w:sz w:val="20"/>
          <w:szCs w:val="20"/>
          <w:lang w:val="en-US"/>
        </w:rPr>
        <w:br/>
        <w:t>https://www.researchgate.net/publication/370490619_Childhood_Trauma_and_its_Effect_on_Brain_Development_Neurobiological_Mechanisms_and_Implications</w:t>
      </w:r>
    </w:p>
  </w:endnote>
  <w:endnote w:id="3">
    <w:p w14:paraId="431A416C" w14:textId="77777777" w:rsidR="005A494E" w:rsidRPr="005A494E" w:rsidRDefault="005A494E" w:rsidP="005A494E">
      <w:pPr>
        <w:rPr>
          <w:sz w:val="20"/>
          <w:szCs w:val="20"/>
          <w:lang w:val="en-US"/>
        </w:rPr>
      </w:pPr>
      <w:r w:rsidRPr="00BE19C1">
        <w:rPr>
          <w:rStyle w:val="Slutnotehenvisning"/>
          <w:sz w:val="20"/>
          <w:szCs w:val="20"/>
        </w:rPr>
        <w:endnoteRef/>
      </w:r>
      <w:r w:rsidRPr="005A494E">
        <w:rPr>
          <w:sz w:val="20"/>
          <w:szCs w:val="20"/>
          <w:lang w:val="en-US"/>
        </w:rPr>
        <w:t xml:space="preserve"> CEDAW/C/GC/31-CRC/C/GC/18, para 15 and 50.</w:t>
      </w:r>
    </w:p>
    <w:p w14:paraId="614CB6C8" w14:textId="77777777" w:rsidR="005A494E" w:rsidRPr="005A494E" w:rsidRDefault="005A494E" w:rsidP="005A494E">
      <w:pPr>
        <w:rPr>
          <w:sz w:val="20"/>
          <w:szCs w:val="20"/>
          <w:lang w:val="en-US"/>
        </w:rPr>
      </w:pPr>
      <w:r w:rsidRPr="005A494E">
        <w:rPr>
          <w:rFonts w:eastAsiaTheme="minorHAnsi"/>
          <w:sz w:val="20"/>
          <w:szCs w:val="20"/>
          <w:lang w:val="en-US" w:eastAsia="en-US"/>
        </w:rPr>
        <w:t>https://docs.un.org/en/CEDAW/C/GC/31/CRC/C/GC/18</w:t>
      </w:r>
    </w:p>
  </w:endnote>
  <w:endnote w:id="4">
    <w:p w14:paraId="570CFBBC" w14:textId="77777777" w:rsidR="005A494E" w:rsidRPr="005A494E" w:rsidRDefault="005A494E" w:rsidP="005A494E">
      <w:pPr>
        <w:rPr>
          <w:sz w:val="20"/>
          <w:szCs w:val="20"/>
          <w:lang w:val="en-US"/>
        </w:rPr>
      </w:pPr>
      <w:r w:rsidRPr="00BE19C1">
        <w:rPr>
          <w:rStyle w:val="Slutnotehenvisning"/>
          <w:sz w:val="20"/>
          <w:szCs w:val="20"/>
        </w:rPr>
        <w:endnoteRef/>
      </w:r>
      <w:r w:rsidRPr="005A494E">
        <w:rPr>
          <w:sz w:val="20"/>
          <w:szCs w:val="20"/>
          <w:lang w:val="en-US"/>
        </w:rPr>
        <w:t xml:space="preserve"> European Commission</w:t>
      </w:r>
      <w:r w:rsidRPr="005A494E">
        <w:rPr>
          <w:sz w:val="20"/>
          <w:szCs w:val="20"/>
          <w:lang w:val="en-US"/>
        </w:rPr>
        <w:br/>
      </w:r>
      <w:r w:rsidRPr="005A494E">
        <w:rPr>
          <w:i/>
          <w:iCs/>
          <w:sz w:val="20"/>
          <w:szCs w:val="20"/>
          <w:lang w:val="en-US"/>
        </w:rPr>
        <w:t>Health 4 LGBTI: Reducing Health Inequalities Experienced by LGBTI People</w:t>
      </w:r>
      <w:r w:rsidRPr="005A494E">
        <w:rPr>
          <w:sz w:val="20"/>
          <w:szCs w:val="20"/>
          <w:lang w:val="en-US"/>
        </w:rPr>
        <w:t>, Appendix A, p. 57, n. 38. https://health.ec.europa.eu/system/files/2020-02/stateofart_report_en_0.pdf</w:t>
      </w:r>
    </w:p>
  </w:endnote>
  <w:endnote w:id="5">
    <w:p w14:paraId="28223669" w14:textId="77777777" w:rsidR="005A494E" w:rsidRPr="005A494E" w:rsidRDefault="005A494E" w:rsidP="005A494E">
      <w:pPr>
        <w:rPr>
          <w:sz w:val="20"/>
          <w:szCs w:val="20"/>
          <w:lang w:val="en-US"/>
        </w:rPr>
      </w:pPr>
      <w:r w:rsidRPr="00BE19C1">
        <w:rPr>
          <w:rStyle w:val="Slutnotehenvisning"/>
          <w:color w:val="000000" w:themeColor="text1"/>
          <w:sz w:val="20"/>
          <w:szCs w:val="20"/>
        </w:rPr>
        <w:endnoteRef/>
      </w:r>
      <w:r w:rsidRPr="005A494E">
        <w:rPr>
          <w:sz w:val="20"/>
          <w:szCs w:val="20"/>
          <w:lang w:val="en-US"/>
        </w:rPr>
        <w:t xml:space="preserve"> Parliamentary Assembly of the Council of Europe</w:t>
      </w:r>
      <w:r w:rsidRPr="005A494E">
        <w:rPr>
          <w:sz w:val="20"/>
          <w:szCs w:val="20"/>
          <w:lang w:val="en-US"/>
        </w:rPr>
        <w:br/>
      </w:r>
      <w:r w:rsidRPr="005A494E">
        <w:rPr>
          <w:i/>
          <w:iCs/>
          <w:sz w:val="20"/>
          <w:szCs w:val="20"/>
          <w:lang w:val="en-US"/>
        </w:rPr>
        <w:t>Promoting the human rights of and eliminating discrimination against intersex people</w:t>
      </w:r>
      <w:r w:rsidRPr="005A494E">
        <w:rPr>
          <w:sz w:val="20"/>
          <w:szCs w:val="20"/>
          <w:lang w:val="en-US"/>
        </w:rPr>
        <w:t xml:space="preserve">, resolution 2191 (2017), para 2. </w:t>
      </w:r>
      <w:r w:rsidRPr="005A494E">
        <w:rPr>
          <w:sz w:val="20"/>
          <w:szCs w:val="20"/>
          <w:lang w:val="en-US"/>
        </w:rPr>
        <w:br/>
        <w:t>https://pace.coe.int/en/files/24232/html</w:t>
      </w:r>
    </w:p>
  </w:endnote>
  <w:endnote w:id="6">
    <w:p w14:paraId="438E2F30" w14:textId="77777777" w:rsidR="005A494E" w:rsidRPr="005A494E" w:rsidRDefault="005A494E" w:rsidP="005A494E">
      <w:pPr>
        <w:rPr>
          <w:sz w:val="20"/>
          <w:szCs w:val="20"/>
          <w:lang w:val="en-US"/>
        </w:rPr>
      </w:pPr>
      <w:r w:rsidRPr="00BE19C1">
        <w:rPr>
          <w:rStyle w:val="Slutnotehenvisning"/>
          <w:sz w:val="20"/>
          <w:szCs w:val="20"/>
        </w:rPr>
        <w:endnoteRef/>
      </w:r>
      <w:r w:rsidRPr="005A494E">
        <w:rPr>
          <w:sz w:val="20"/>
          <w:szCs w:val="20"/>
          <w:lang w:val="en-US"/>
        </w:rPr>
        <w:t xml:space="preserve"> P8_TA(2019)0128. European Parliament Resolution “The rights of intersex people”, para 7. https://www.europarl.europa.eu/doceo/document/TA-8-2019-0128_EN.pdf</w:t>
      </w:r>
    </w:p>
  </w:endnote>
  <w:endnote w:id="7">
    <w:p w14:paraId="40B5247F" w14:textId="77777777" w:rsidR="005A494E" w:rsidRPr="005A494E" w:rsidRDefault="005A494E" w:rsidP="005A494E">
      <w:pPr>
        <w:rPr>
          <w:sz w:val="20"/>
          <w:szCs w:val="20"/>
          <w:lang w:val="en-US"/>
        </w:rPr>
      </w:pPr>
      <w:r w:rsidRPr="00BE19C1">
        <w:rPr>
          <w:rStyle w:val="Slutnotehenvisning"/>
          <w:sz w:val="20"/>
          <w:szCs w:val="20"/>
        </w:rPr>
        <w:endnoteRef/>
      </w:r>
      <w:r w:rsidRPr="005A494E">
        <w:rPr>
          <w:sz w:val="20"/>
          <w:szCs w:val="20"/>
          <w:lang w:val="en-US"/>
        </w:rPr>
        <w:t xml:space="preserve"> CRC/C/GC/13, Para 61.</w:t>
      </w:r>
    </w:p>
    <w:p w14:paraId="0045F0BC" w14:textId="77777777" w:rsidR="005A494E" w:rsidRPr="005A494E" w:rsidRDefault="005A494E" w:rsidP="005A494E">
      <w:pPr>
        <w:rPr>
          <w:sz w:val="20"/>
          <w:szCs w:val="20"/>
          <w:lang w:val="en-US"/>
        </w:rPr>
      </w:pPr>
      <w:r w:rsidRPr="005A494E">
        <w:rPr>
          <w:rFonts w:eastAsiaTheme="minorHAnsi"/>
          <w:sz w:val="20"/>
          <w:szCs w:val="20"/>
          <w:lang w:val="en-US" w:eastAsia="en-US"/>
        </w:rPr>
        <w:t>https://docs.un.org/en/CRC/C/GC/13</w:t>
      </w:r>
    </w:p>
  </w:endnote>
  <w:endnote w:id="8">
    <w:p w14:paraId="1631128C" w14:textId="77777777" w:rsidR="005A494E" w:rsidRPr="005A494E" w:rsidRDefault="005A494E" w:rsidP="005A494E">
      <w:pPr>
        <w:rPr>
          <w:sz w:val="20"/>
          <w:szCs w:val="20"/>
          <w:lang w:val="en-US"/>
        </w:rPr>
      </w:pPr>
      <w:r w:rsidRPr="00BE19C1">
        <w:rPr>
          <w:rStyle w:val="Slutnotehenvisning"/>
          <w:color w:val="000000" w:themeColor="text1"/>
          <w:sz w:val="20"/>
          <w:szCs w:val="20"/>
        </w:rPr>
        <w:endnoteRef/>
      </w:r>
      <w:r w:rsidRPr="005A494E">
        <w:rPr>
          <w:sz w:val="20"/>
          <w:szCs w:val="20"/>
          <w:lang w:val="en-US"/>
        </w:rPr>
        <w:t xml:space="preserve"> A/HRC/35/21. “Report of the Special Rapporteur on the Right of Everyone to the Enjoyment of the Highest Attainable Standard of Physical and Mental Health”, para 63. https://docs.un.org/en/A/HRC/35/21</w:t>
      </w:r>
    </w:p>
  </w:endnote>
  <w:endnote w:id="9">
    <w:p w14:paraId="73A14BD1" w14:textId="77777777" w:rsidR="005A494E" w:rsidRPr="005A494E" w:rsidRDefault="005A494E" w:rsidP="005A494E">
      <w:pPr>
        <w:rPr>
          <w:sz w:val="20"/>
          <w:szCs w:val="20"/>
          <w:lang w:val="en-US"/>
        </w:rPr>
      </w:pPr>
      <w:r w:rsidRPr="00BE19C1">
        <w:rPr>
          <w:rStyle w:val="Slutnotehenvisning"/>
          <w:color w:val="000000" w:themeColor="text1"/>
          <w:sz w:val="20"/>
          <w:szCs w:val="20"/>
        </w:rPr>
        <w:endnoteRef/>
      </w:r>
      <w:r w:rsidRPr="005A494E">
        <w:rPr>
          <w:sz w:val="20"/>
          <w:szCs w:val="20"/>
          <w:lang w:val="en-US"/>
        </w:rPr>
        <w:t xml:space="preserve"> The Rights of Children in Biomedicine, pages 43, item 5.2.1 para 2 &amp; 44, item 5.2.2 para 3</w:t>
      </w:r>
      <w:r w:rsidRPr="005A494E">
        <w:rPr>
          <w:sz w:val="20"/>
          <w:szCs w:val="20"/>
          <w:lang w:val="en-US"/>
        </w:rPr>
        <w:br/>
        <w:t>https://rm.coe.int/16806d8e2f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142238"/>
      <w:docPartObj>
        <w:docPartGallery w:val="Page Numbers (Bottom of Page)"/>
        <w:docPartUnique/>
      </w:docPartObj>
    </w:sdtPr>
    <w:sdtContent>
      <w:p w14:paraId="53F7DF4D" w14:textId="5E855C0C" w:rsidR="0063353C" w:rsidRDefault="0063353C">
        <w:pPr>
          <w:pStyle w:val="Sidefod"/>
        </w:pPr>
        <w:r>
          <w:fldChar w:fldCharType="begin"/>
        </w:r>
        <w:r>
          <w:instrText>PAGE   \* MERGEFORMAT</w:instrText>
        </w:r>
        <w:r>
          <w:fldChar w:fldCharType="separate"/>
        </w:r>
        <w:r>
          <w:t>2</w:t>
        </w:r>
        <w:r>
          <w:fldChar w:fldCharType="end"/>
        </w:r>
      </w:p>
    </w:sdtContent>
  </w:sdt>
  <w:p w14:paraId="000A47CD" w14:textId="77777777" w:rsidR="0063353C" w:rsidRDefault="0063353C">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9D07C" w14:textId="77777777" w:rsidR="00995EF2" w:rsidRDefault="00995EF2" w:rsidP="005A494E">
      <w:r>
        <w:separator/>
      </w:r>
    </w:p>
  </w:footnote>
  <w:footnote w:type="continuationSeparator" w:id="0">
    <w:p w14:paraId="040ABBC1" w14:textId="77777777" w:rsidR="00995EF2" w:rsidRDefault="00995EF2" w:rsidP="005A49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94E"/>
    <w:rsid w:val="002076E9"/>
    <w:rsid w:val="004843FB"/>
    <w:rsid w:val="00514259"/>
    <w:rsid w:val="005A494E"/>
    <w:rsid w:val="0063353C"/>
    <w:rsid w:val="006F22F8"/>
    <w:rsid w:val="007026C9"/>
    <w:rsid w:val="0074384F"/>
    <w:rsid w:val="009174AB"/>
    <w:rsid w:val="00995EF2"/>
    <w:rsid w:val="009C24CA"/>
    <w:rsid w:val="00AA24E8"/>
    <w:rsid w:val="00B2025A"/>
    <w:rsid w:val="00BB251F"/>
    <w:rsid w:val="00D83BB1"/>
    <w:rsid w:val="00E0474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D6A5B"/>
  <w15:chartTrackingRefBased/>
  <w15:docId w15:val="{15669BE3-A093-4BBA-A3A4-7E202A672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94E"/>
    <w:pPr>
      <w:spacing w:after="0" w:line="240" w:lineRule="auto"/>
    </w:pPr>
    <w:rPr>
      <w:rFonts w:eastAsia="Times New Roman" w:cs="Times New Roman"/>
      <w:kern w:val="0"/>
      <w:sz w:val="24"/>
      <w:szCs w:val="24"/>
      <w:lang w:eastAsia="da-DK"/>
      <w14:ligatures w14:val="none"/>
    </w:rPr>
  </w:style>
  <w:style w:type="paragraph" w:styleId="Overskrift1">
    <w:name w:val="heading 1"/>
    <w:basedOn w:val="Normal"/>
    <w:next w:val="Normal"/>
    <w:link w:val="Overskrift1Tegn"/>
    <w:uiPriority w:val="9"/>
    <w:qFormat/>
    <w:rsid w:val="005A494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Overskrift2">
    <w:name w:val="heading 2"/>
    <w:basedOn w:val="Normal"/>
    <w:next w:val="Normal"/>
    <w:link w:val="Overskrift2Tegn"/>
    <w:uiPriority w:val="9"/>
    <w:unhideWhenUsed/>
    <w:qFormat/>
    <w:rsid w:val="005A494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Overskrift3">
    <w:name w:val="heading 3"/>
    <w:basedOn w:val="Normal"/>
    <w:next w:val="Normal"/>
    <w:link w:val="Overskrift3Tegn"/>
    <w:uiPriority w:val="9"/>
    <w:unhideWhenUsed/>
    <w:qFormat/>
    <w:rsid w:val="005A494E"/>
    <w:pPr>
      <w:keepNext/>
      <w:keepLines/>
      <w:spacing w:before="160" w:after="80" w:line="259"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Overskrift4">
    <w:name w:val="heading 4"/>
    <w:basedOn w:val="Normal"/>
    <w:next w:val="Normal"/>
    <w:link w:val="Overskrift4Tegn"/>
    <w:uiPriority w:val="9"/>
    <w:unhideWhenUsed/>
    <w:qFormat/>
    <w:rsid w:val="005A494E"/>
    <w:pPr>
      <w:keepNext/>
      <w:keepLines/>
      <w:spacing w:before="80" w:after="40" w:line="259" w:lineRule="auto"/>
      <w:outlineLvl w:val="3"/>
    </w:pPr>
    <w:rPr>
      <w:rFonts w:eastAsiaTheme="majorEastAsia" w:cstheme="majorBidi"/>
      <w:i/>
      <w:iCs/>
      <w:color w:val="0F4761" w:themeColor="accent1" w:themeShade="BF"/>
      <w:kern w:val="2"/>
      <w:sz w:val="22"/>
      <w:szCs w:val="22"/>
      <w:lang w:eastAsia="en-US"/>
      <w14:ligatures w14:val="standardContextual"/>
    </w:rPr>
  </w:style>
  <w:style w:type="paragraph" w:styleId="Overskrift5">
    <w:name w:val="heading 5"/>
    <w:basedOn w:val="Normal"/>
    <w:next w:val="Normal"/>
    <w:link w:val="Overskrift5Tegn"/>
    <w:uiPriority w:val="9"/>
    <w:semiHidden/>
    <w:unhideWhenUsed/>
    <w:qFormat/>
    <w:rsid w:val="005A494E"/>
    <w:pPr>
      <w:keepNext/>
      <w:keepLines/>
      <w:spacing w:before="80" w:after="40" w:line="259" w:lineRule="auto"/>
      <w:outlineLvl w:val="4"/>
    </w:pPr>
    <w:rPr>
      <w:rFonts w:eastAsiaTheme="majorEastAsia" w:cstheme="majorBidi"/>
      <w:color w:val="0F4761" w:themeColor="accent1" w:themeShade="BF"/>
      <w:kern w:val="2"/>
      <w:sz w:val="22"/>
      <w:szCs w:val="22"/>
      <w:lang w:eastAsia="en-US"/>
      <w14:ligatures w14:val="standardContextual"/>
    </w:rPr>
  </w:style>
  <w:style w:type="paragraph" w:styleId="Overskrift6">
    <w:name w:val="heading 6"/>
    <w:basedOn w:val="Normal"/>
    <w:next w:val="Normal"/>
    <w:link w:val="Overskrift6Tegn"/>
    <w:uiPriority w:val="9"/>
    <w:semiHidden/>
    <w:unhideWhenUsed/>
    <w:qFormat/>
    <w:rsid w:val="005A494E"/>
    <w:pPr>
      <w:keepNext/>
      <w:keepLines/>
      <w:spacing w:before="40" w:line="259" w:lineRule="auto"/>
      <w:outlineLvl w:val="5"/>
    </w:pPr>
    <w:rPr>
      <w:rFonts w:eastAsiaTheme="majorEastAsia" w:cstheme="majorBidi"/>
      <w:i/>
      <w:iCs/>
      <w:color w:val="595959" w:themeColor="text1" w:themeTint="A6"/>
      <w:kern w:val="2"/>
      <w:sz w:val="22"/>
      <w:szCs w:val="22"/>
      <w:lang w:eastAsia="en-US"/>
      <w14:ligatures w14:val="standardContextual"/>
    </w:rPr>
  </w:style>
  <w:style w:type="paragraph" w:styleId="Overskrift7">
    <w:name w:val="heading 7"/>
    <w:basedOn w:val="Normal"/>
    <w:next w:val="Normal"/>
    <w:link w:val="Overskrift7Tegn"/>
    <w:uiPriority w:val="9"/>
    <w:semiHidden/>
    <w:unhideWhenUsed/>
    <w:qFormat/>
    <w:rsid w:val="005A494E"/>
    <w:pPr>
      <w:keepNext/>
      <w:keepLines/>
      <w:spacing w:before="40" w:line="259" w:lineRule="auto"/>
      <w:outlineLvl w:val="6"/>
    </w:pPr>
    <w:rPr>
      <w:rFonts w:eastAsiaTheme="majorEastAsia" w:cstheme="majorBidi"/>
      <w:color w:val="595959" w:themeColor="text1" w:themeTint="A6"/>
      <w:kern w:val="2"/>
      <w:sz w:val="22"/>
      <w:szCs w:val="22"/>
      <w:lang w:eastAsia="en-US"/>
      <w14:ligatures w14:val="standardContextual"/>
    </w:rPr>
  </w:style>
  <w:style w:type="paragraph" w:styleId="Overskrift8">
    <w:name w:val="heading 8"/>
    <w:basedOn w:val="Normal"/>
    <w:next w:val="Normal"/>
    <w:link w:val="Overskrift8Tegn"/>
    <w:uiPriority w:val="9"/>
    <w:semiHidden/>
    <w:unhideWhenUsed/>
    <w:qFormat/>
    <w:rsid w:val="005A494E"/>
    <w:pPr>
      <w:keepNext/>
      <w:keepLines/>
      <w:spacing w:line="259" w:lineRule="auto"/>
      <w:outlineLvl w:val="7"/>
    </w:pPr>
    <w:rPr>
      <w:rFonts w:eastAsiaTheme="majorEastAsia" w:cstheme="majorBidi"/>
      <w:i/>
      <w:iCs/>
      <w:color w:val="272727" w:themeColor="text1" w:themeTint="D8"/>
      <w:kern w:val="2"/>
      <w:sz w:val="22"/>
      <w:szCs w:val="22"/>
      <w:lang w:eastAsia="en-US"/>
      <w14:ligatures w14:val="standardContextual"/>
    </w:rPr>
  </w:style>
  <w:style w:type="paragraph" w:styleId="Overskrift9">
    <w:name w:val="heading 9"/>
    <w:basedOn w:val="Normal"/>
    <w:next w:val="Normal"/>
    <w:link w:val="Overskrift9Tegn"/>
    <w:uiPriority w:val="9"/>
    <w:semiHidden/>
    <w:unhideWhenUsed/>
    <w:qFormat/>
    <w:rsid w:val="005A494E"/>
    <w:pPr>
      <w:keepNext/>
      <w:keepLines/>
      <w:spacing w:line="259" w:lineRule="auto"/>
      <w:outlineLvl w:val="8"/>
    </w:pPr>
    <w:rPr>
      <w:rFonts w:eastAsiaTheme="majorEastAsia" w:cstheme="majorBidi"/>
      <w:color w:val="272727" w:themeColor="text1" w:themeTint="D8"/>
      <w:kern w:val="2"/>
      <w:sz w:val="22"/>
      <w:szCs w:val="22"/>
      <w:lang w:eastAsia="en-US"/>
      <w14:ligatures w14:val="standardContextual"/>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5A494E"/>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rsid w:val="005A494E"/>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rsid w:val="005A494E"/>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rsid w:val="005A494E"/>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5A494E"/>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5A494E"/>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5A494E"/>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5A494E"/>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5A494E"/>
    <w:rPr>
      <w:rFonts w:eastAsiaTheme="majorEastAsia" w:cstheme="majorBidi"/>
      <w:color w:val="272727" w:themeColor="text1" w:themeTint="D8"/>
    </w:rPr>
  </w:style>
  <w:style w:type="paragraph" w:styleId="Titel">
    <w:name w:val="Title"/>
    <w:basedOn w:val="Normal"/>
    <w:next w:val="Normal"/>
    <w:link w:val="TitelTegn"/>
    <w:uiPriority w:val="10"/>
    <w:qFormat/>
    <w:rsid w:val="005A494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Tegn">
    <w:name w:val="Titel Tegn"/>
    <w:basedOn w:val="Standardskrifttypeiafsnit"/>
    <w:link w:val="Titel"/>
    <w:uiPriority w:val="10"/>
    <w:rsid w:val="005A494E"/>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5A494E"/>
    <w:pPr>
      <w:numPr>
        <w:ilvl w:val="1"/>
      </w:numPr>
      <w:spacing w:after="160"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UndertitelTegn">
    <w:name w:val="Undertitel Tegn"/>
    <w:basedOn w:val="Standardskrifttypeiafsnit"/>
    <w:link w:val="Undertitel"/>
    <w:uiPriority w:val="11"/>
    <w:rsid w:val="005A494E"/>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5A494E"/>
    <w:pPr>
      <w:spacing w:before="160" w:after="160" w:line="259" w:lineRule="auto"/>
      <w:jc w:val="center"/>
    </w:pPr>
    <w:rPr>
      <w:rFonts w:eastAsiaTheme="minorHAnsi" w:cstheme="minorBidi"/>
      <w:i/>
      <w:iCs/>
      <w:color w:val="404040" w:themeColor="text1" w:themeTint="BF"/>
      <w:kern w:val="2"/>
      <w:sz w:val="22"/>
      <w:szCs w:val="22"/>
      <w:lang w:eastAsia="en-US"/>
      <w14:ligatures w14:val="standardContextual"/>
    </w:rPr>
  </w:style>
  <w:style w:type="character" w:customStyle="1" w:styleId="CitatTegn">
    <w:name w:val="Citat Tegn"/>
    <w:basedOn w:val="Standardskrifttypeiafsnit"/>
    <w:link w:val="Citat"/>
    <w:uiPriority w:val="29"/>
    <w:rsid w:val="005A494E"/>
    <w:rPr>
      <w:i/>
      <w:iCs/>
      <w:color w:val="404040" w:themeColor="text1" w:themeTint="BF"/>
    </w:rPr>
  </w:style>
  <w:style w:type="paragraph" w:styleId="Listeafsnit">
    <w:name w:val="List Paragraph"/>
    <w:basedOn w:val="Normal"/>
    <w:uiPriority w:val="34"/>
    <w:qFormat/>
    <w:rsid w:val="005A494E"/>
    <w:pPr>
      <w:spacing w:after="160" w:line="259" w:lineRule="auto"/>
      <w:ind w:left="720"/>
      <w:contextualSpacing/>
    </w:pPr>
    <w:rPr>
      <w:rFonts w:eastAsiaTheme="minorHAnsi" w:cstheme="minorBidi"/>
      <w:kern w:val="2"/>
      <w:sz w:val="22"/>
      <w:szCs w:val="22"/>
      <w:lang w:eastAsia="en-US"/>
      <w14:ligatures w14:val="standardContextual"/>
    </w:rPr>
  </w:style>
  <w:style w:type="character" w:styleId="Kraftigfremhvning">
    <w:name w:val="Intense Emphasis"/>
    <w:basedOn w:val="Standardskrifttypeiafsnit"/>
    <w:uiPriority w:val="21"/>
    <w:qFormat/>
    <w:rsid w:val="005A494E"/>
    <w:rPr>
      <w:i/>
      <w:iCs/>
      <w:color w:val="0F4761" w:themeColor="accent1" w:themeShade="BF"/>
    </w:rPr>
  </w:style>
  <w:style w:type="paragraph" w:styleId="Strktcitat">
    <w:name w:val="Intense Quote"/>
    <w:basedOn w:val="Normal"/>
    <w:next w:val="Normal"/>
    <w:link w:val="StrktcitatTegn"/>
    <w:uiPriority w:val="30"/>
    <w:qFormat/>
    <w:rsid w:val="005A494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theme="minorBidi"/>
      <w:i/>
      <w:iCs/>
      <w:color w:val="0F4761" w:themeColor="accent1" w:themeShade="BF"/>
      <w:kern w:val="2"/>
      <w:sz w:val="22"/>
      <w:szCs w:val="22"/>
      <w:lang w:eastAsia="en-US"/>
      <w14:ligatures w14:val="standardContextual"/>
    </w:rPr>
  </w:style>
  <w:style w:type="character" w:customStyle="1" w:styleId="StrktcitatTegn">
    <w:name w:val="Stærkt citat Tegn"/>
    <w:basedOn w:val="Standardskrifttypeiafsnit"/>
    <w:link w:val="Strktcitat"/>
    <w:uiPriority w:val="30"/>
    <w:rsid w:val="005A494E"/>
    <w:rPr>
      <w:i/>
      <w:iCs/>
      <w:color w:val="0F4761" w:themeColor="accent1" w:themeShade="BF"/>
    </w:rPr>
  </w:style>
  <w:style w:type="character" w:styleId="Kraftighenvisning">
    <w:name w:val="Intense Reference"/>
    <w:basedOn w:val="Standardskrifttypeiafsnit"/>
    <w:uiPriority w:val="32"/>
    <w:qFormat/>
    <w:rsid w:val="005A494E"/>
    <w:rPr>
      <w:b/>
      <w:bCs/>
      <w:smallCaps/>
      <w:color w:val="0F4761" w:themeColor="accent1" w:themeShade="BF"/>
      <w:spacing w:val="5"/>
    </w:rPr>
  </w:style>
  <w:style w:type="character" w:styleId="Slutnotehenvisning">
    <w:name w:val="endnote reference"/>
    <w:basedOn w:val="Standardskrifttypeiafsnit"/>
    <w:uiPriority w:val="99"/>
    <w:semiHidden/>
    <w:unhideWhenUsed/>
    <w:rsid w:val="005A494E"/>
    <w:rPr>
      <w:vertAlign w:val="superscript"/>
    </w:rPr>
  </w:style>
  <w:style w:type="character" w:customStyle="1" w:styleId="apple-converted-space">
    <w:name w:val="apple-converted-space"/>
    <w:basedOn w:val="Standardskrifttypeiafsnit"/>
    <w:rsid w:val="005A494E"/>
  </w:style>
  <w:style w:type="paragraph" w:styleId="Sidehoved">
    <w:name w:val="header"/>
    <w:basedOn w:val="Normal"/>
    <w:link w:val="SidehovedTegn"/>
    <w:uiPriority w:val="99"/>
    <w:unhideWhenUsed/>
    <w:rsid w:val="0063353C"/>
    <w:pPr>
      <w:tabs>
        <w:tab w:val="center" w:pos="4819"/>
        <w:tab w:val="right" w:pos="9638"/>
      </w:tabs>
    </w:pPr>
  </w:style>
  <w:style w:type="character" w:customStyle="1" w:styleId="SidehovedTegn">
    <w:name w:val="Sidehoved Tegn"/>
    <w:basedOn w:val="Standardskrifttypeiafsnit"/>
    <w:link w:val="Sidehoved"/>
    <w:uiPriority w:val="99"/>
    <w:rsid w:val="0063353C"/>
    <w:rPr>
      <w:rFonts w:eastAsia="Times New Roman" w:cs="Times New Roman"/>
      <w:kern w:val="0"/>
      <w:sz w:val="24"/>
      <w:szCs w:val="24"/>
      <w:lang w:eastAsia="da-DK"/>
      <w14:ligatures w14:val="none"/>
    </w:rPr>
  </w:style>
  <w:style w:type="paragraph" w:styleId="Sidefod">
    <w:name w:val="footer"/>
    <w:basedOn w:val="Normal"/>
    <w:link w:val="SidefodTegn"/>
    <w:uiPriority w:val="99"/>
    <w:unhideWhenUsed/>
    <w:rsid w:val="0063353C"/>
    <w:pPr>
      <w:tabs>
        <w:tab w:val="center" w:pos="4819"/>
        <w:tab w:val="right" w:pos="9638"/>
      </w:tabs>
    </w:pPr>
  </w:style>
  <w:style w:type="character" w:customStyle="1" w:styleId="SidefodTegn">
    <w:name w:val="Sidefod Tegn"/>
    <w:basedOn w:val="Standardskrifttypeiafsnit"/>
    <w:link w:val="Sidefod"/>
    <w:uiPriority w:val="99"/>
    <w:rsid w:val="0063353C"/>
    <w:rPr>
      <w:rFonts w:eastAsia="Times New Roman" w:cs="Times New Roman"/>
      <w:kern w:val="0"/>
      <w:sz w:val="24"/>
      <w:szCs w:val="24"/>
      <w:lang w:eastAsia="da-D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3251</Words>
  <Characters>19833</Characters>
  <Application>Microsoft Office Word</Application>
  <DocSecurity>0</DocSecurity>
  <Lines>165</Lines>
  <Paragraphs>46</Paragraphs>
  <ScaleCrop>false</ScaleCrop>
  <Company>SDU</Company>
  <LinksUpToDate>false</LinksUpToDate>
  <CharactersWithSpaces>23038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 Aktor</dc:creator>
  <cp:keywords/>
  <dc:description/>
  <cp:lastModifiedBy>Mikael Aktor</cp:lastModifiedBy>
  <cp:revision>2</cp:revision>
  <dcterms:created xsi:type="dcterms:W3CDTF">2025-08-04T14:28:00Z</dcterms:created>
  <dcterms:modified xsi:type="dcterms:W3CDTF">2025-08-04T15:01:00Z</dcterms:modified>
</cp:coreProperties>
</file>