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0880A" w14:textId="77777777" w:rsidR="006339D9" w:rsidRPr="005D2927" w:rsidRDefault="006339D9" w:rsidP="005D2927">
      <w:pPr>
        <w:spacing w:line="360" w:lineRule="auto"/>
        <w:ind w:right="-1135"/>
        <w:jc w:val="both"/>
        <w:rPr>
          <w:rFonts w:ascii="Times New Roman" w:hAnsi="Times New Roman" w:cs="Times New Roman"/>
          <w:sz w:val="28"/>
          <w:szCs w:val="28"/>
          <w:lang w:val="es-MX"/>
        </w:rPr>
      </w:pPr>
    </w:p>
    <w:p w14:paraId="492FDBEC" w14:textId="77777777" w:rsidR="006339D9" w:rsidRPr="005D2927" w:rsidRDefault="006339D9" w:rsidP="005D2927">
      <w:pPr>
        <w:pStyle w:val="ListParagraph"/>
        <w:spacing w:line="360" w:lineRule="auto"/>
        <w:ind w:left="1080"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INFORME CONSEJO FEDRAL DE MECANISMOS LOCALES PARA JORGE CONTESSE (COMITÉ PREVENCIÓN DE LA TORTURA ONU)</w:t>
      </w:r>
    </w:p>
    <w:p w14:paraId="4C14C2FA" w14:textId="77777777" w:rsidR="006339D9" w:rsidRPr="005D2927" w:rsidRDefault="006339D9" w:rsidP="005D2927">
      <w:pPr>
        <w:pStyle w:val="ListParagraph"/>
        <w:spacing w:line="360" w:lineRule="auto"/>
        <w:ind w:left="1080" w:right="-1135"/>
        <w:jc w:val="both"/>
        <w:rPr>
          <w:rFonts w:ascii="Times New Roman" w:hAnsi="Times New Roman" w:cs="Times New Roman"/>
          <w:sz w:val="28"/>
          <w:szCs w:val="28"/>
          <w:lang w:val="es-MX"/>
        </w:rPr>
      </w:pPr>
    </w:p>
    <w:p w14:paraId="5388CD48" w14:textId="77777777" w:rsidR="0051129F" w:rsidRPr="005D2927" w:rsidRDefault="0051129F" w:rsidP="005D2927">
      <w:pPr>
        <w:pStyle w:val="ListParagraph"/>
        <w:numPr>
          <w:ilvl w:val="0"/>
          <w:numId w:val="1"/>
        </w:num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Marco Normativo</w:t>
      </w:r>
      <w:r w:rsidR="00A07B18" w:rsidRPr="005D2927">
        <w:rPr>
          <w:rFonts w:ascii="Times New Roman" w:hAnsi="Times New Roman" w:cs="Times New Roman"/>
          <w:sz w:val="28"/>
          <w:szCs w:val="28"/>
          <w:lang w:val="es-MX"/>
        </w:rPr>
        <w:t>- Política criminal</w:t>
      </w:r>
      <w:r w:rsidRPr="005D2927">
        <w:rPr>
          <w:rFonts w:ascii="Times New Roman" w:hAnsi="Times New Roman" w:cs="Times New Roman"/>
          <w:sz w:val="28"/>
          <w:szCs w:val="28"/>
          <w:lang w:val="es-MX"/>
        </w:rPr>
        <w:t xml:space="preserve"> </w:t>
      </w:r>
    </w:p>
    <w:p w14:paraId="4238228A" w14:textId="77777777" w:rsidR="005D0C40" w:rsidRPr="005D2927" w:rsidRDefault="005D0C40" w:rsidP="005D2927">
      <w:pPr>
        <w:spacing w:line="360" w:lineRule="auto"/>
        <w:ind w:right="-1135"/>
        <w:jc w:val="both"/>
        <w:rPr>
          <w:rFonts w:ascii="Times New Roman" w:hAnsi="Times New Roman" w:cs="Times New Roman"/>
          <w:b/>
          <w:sz w:val="28"/>
          <w:szCs w:val="28"/>
          <w:lang w:val="es-MX"/>
        </w:rPr>
      </w:pPr>
      <w:r w:rsidRPr="005D2927">
        <w:rPr>
          <w:rFonts w:ascii="Times New Roman" w:hAnsi="Times New Roman" w:cs="Times New Roman"/>
          <w:b/>
          <w:sz w:val="28"/>
          <w:szCs w:val="28"/>
          <w:lang w:val="es-MX"/>
        </w:rPr>
        <w:t>Resumen de la Situación Actual</w:t>
      </w:r>
    </w:p>
    <w:p w14:paraId="7E91EABC" w14:textId="77777777" w:rsidR="0051129F" w:rsidRPr="005D2927" w:rsidRDefault="006339D9"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En la República Argentina e</w:t>
      </w:r>
      <w:r w:rsidR="007F1897" w:rsidRPr="005D2927">
        <w:rPr>
          <w:rFonts w:ascii="Times New Roman" w:hAnsi="Times New Roman" w:cs="Times New Roman"/>
          <w:sz w:val="28"/>
          <w:szCs w:val="28"/>
          <w:lang w:val="es-MX"/>
        </w:rPr>
        <w:t>xiste una regresión general</w:t>
      </w:r>
      <w:r w:rsidR="00641D61" w:rsidRPr="005D2927">
        <w:rPr>
          <w:rFonts w:ascii="Times New Roman" w:hAnsi="Times New Roman" w:cs="Times New Roman"/>
          <w:sz w:val="28"/>
          <w:szCs w:val="28"/>
          <w:lang w:val="es-MX"/>
        </w:rPr>
        <w:t>, en materia legislativa,</w:t>
      </w:r>
      <w:r w:rsidR="007F1897" w:rsidRPr="005D2927">
        <w:rPr>
          <w:rFonts w:ascii="Times New Roman" w:hAnsi="Times New Roman" w:cs="Times New Roman"/>
          <w:sz w:val="28"/>
          <w:szCs w:val="28"/>
          <w:lang w:val="es-MX"/>
        </w:rPr>
        <w:t xml:space="preserve"> </w:t>
      </w:r>
      <w:r w:rsidR="005D0C40" w:rsidRPr="005D2927">
        <w:rPr>
          <w:rFonts w:ascii="Times New Roman" w:hAnsi="Times New Roman" w:cs="Times New Roman"/>
          <w:sz w:val="28"/>
          <w:szCs w:val="28"/>
          <w:lang w:val="es-MX"/>
        </w:rPr>
        <w:t xml:space="preserve"> a partir del año 2017, pero que se ha acelerado en los do últimos años (2024/2025) en relación a </w:t>
      </w:r>
      <w:r w:rsidR="007F1897" w:rsidRPr="005D2927">
        <w:rPr>
          <w:rFonts w:ascii="Times New Roman" w:hAnsi="Times New Roman" w:cs="Times New Roman"/>
          <w:sz w:val="28"/>
          <w:szCs w:val="28"/>
          <w:lang w:val="es-MX"/>
        </w:rPr>
        <w:t xml:space="preserve">la garantización de </w:t>
      </w:r>
      <w:r w:rsidRPr="005D2927">
        <w:rPr>
          <w:rFonts w:ascii="Times New Roman" w:hAnsi="Times New Roman" w:cs="Times New Roman"/>
          <w:sz w:val="28"/>
          <w:szCs w:val="28"/>
          <w:lang w:val="es-MX"/>
        </w:rPr>
        <w:t xml:space="preserve">los </w:t>
      </w:r>
      <w:r w:rsidR="007F1897" w:rsidRPr="005D2927">
        <w:rPr>
          <w:rFonts w:ascii="Times New Roman" w:hAnsi="Times New Roman" w:cs="Times New Roman"/>
          <w:sz w:val="28"/>
          <w:szCs w:val="28"/>
          <w:lang w:val="es-MX"/>
        </w:rPr>
        <w:t>derechos humanos</w:t>
      </w:r>
      <w:r w:rsidR="005D0C40" w:rsidRPr="005D2927">
        <w:rPr>
          <w:rFonts w:ascii="Times New Roman" w:hAnsi="Times New Roman" w:cs="Times New Roman"/>
          <w:sz w:val="28"/>
          <w:szCs w:val="28"/>
          <w:lang w:val="es-MX"/>
        </w:rPr>
        <w:t>. Esto</w:t>
      </w:r>
      <w:r w:rsidR="007F1897" w:rsidRPr="005D2927">
        <w:rPr>
          <w:rFonts w:ascii="Times New Roman" w:hAnsi="Times New Roman" w:cs="Times New Roman"/>
          <w:sz w:val="28"/>
          <w:szCs w:val="28"/>
          <w:lang w:val="es-MX"/>
        </w:rPr>
        <w:t xml:space="preserve"> </w:t>
      </w:r>
      <w:r w:rsidR="005D0C40" w:rsidRPr="005D2927">
        <w:rPr>
          <w:rFonts w:ascii="Times New Roman" w:hAnsi="Times New Roman" w:cs="Times New Roman"/>
          <w:sz w:val="28"/>
          <w:szCs w:val="28"/>
          <w:lang w:val="es-MX"/>
        </w:rPr>
        <w:t xml:space="preserve">afecta especialmente a </w:t>
      </w:r>
      <w:r w:rsidR="007F1897" w:rsidRPr="005D2927">
        <w:rPr>
          <w:rFonts w:ascii="Times New Roman" w:hAnsi="Times New Roman" w:cs="Times New Roman"/>
          <w:sz w:val="28"/>
          <w:szCs w:val="28"/>
          <w:lang w:val="es-MX"/>
        </w:rPr>
        <w:t>los grupos históricamente vulnerados</w:t>
      </w:r>
      <w:r w:rsidRPr="005D2927">
        <w:rPr>
          <w:rFonts w:ascii="Times New Roman" w:hAnsi="Times New Roman" w:cs="Times New Roman"/>
          <w:sz w:val="28"/>
          <w:szCs w:val="28"/>
          <w:lang w:val="es-MX"/>
        </w:rPr>
        <w:t xml:space="preserve"> y que se muestra crítica</w:t>
      </w:r>
      <w:r w:rsidR="007F1897" w:rsidRPr="005D2927">
        <w:rPr>
          <w:rFonts w:ascii="Times New Roman" w:hAnsi="Times New Roman" w:cs="Times New Roman"/>
          <w:sz w:val="28"/>
          <w:szCs w:val="28"/>
          <w:lang w:val="es-MX"/>
        </w:rPr>
        <w:t xml:space="preserve"> en dos momentos: la prisión preventiva y la ejecución de las condenas.  </w:t>
      </w:r>
    </w:p>
    <w:p w14:paraId="3EE73000" w14:textId="77777777" w:rsidR="00446AAE" w:rsidRPr="005D2927" w:rsidRDefault="007F1897"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D</w:t>
      </w:r>
      <w:r w:rsidR="006339D9" w:rsidRPr="005D2927">
        <w:rPr>
          <w:rFonts w:ascii="Times New Roman" w:hAnsi="Times New Roman" w:cs="Times New Roman"/>
          <w:sz w:val="28"/>
          <w:szCs w:val="28"/>
          <w:lang w:val="es-MX"/>
        </w:rPr>
        <w:t>etectamos d</w:t>
      </w:r>
      <w:r w:rsidRPr="005D2927">
        <w:rPr>
          <w:rFonts w:ascii="Times New Roman" w:hAnsi="Times New Roman" w:cs="Times New Roman"/>
          <w:sz w:val="28"/>
          <w:szCs w:val="28"/>
          <w:lang w:val="es-MX"/>
        </w:rPr>
        <w:t>o</w:t>
      </w:r>
      <w:r w:rsidR="009F601D" w:rsidRPr="005D2927">
        <w:rPr>
          <w:rFonts w:ascii="Times New Roman" w:hAnsi="Times New Roman" w:cs="Times New Roman"/>
          <w:sz w:val="28"/>
          <w:szCs w:val="28"/>
          <w:lang w:val="es-MX"/>
        </w:rPr>
        <w:t>s</w:t>
      </w:r>
      <w:r w:rsidRPr="005D2927">
        <w:rPr>
          <w:rFonts w:ascii="Times New Roman" w:hAnsi="Times New Roman" w:cs="Times New Roman"/>
          <w:sz w:val="28"/>
          <w:szCs w:val="28"/>
          <w:lang w:val="es-MX"/>
        </w:rPr>
        <w:t xml:space="preserve"> problemas claves</w:t>
      </w:r>
      <w:r w:rsidR="006339D9" w:rsidRPr="005D2927">
        <w:rPr>
          <w:rFonts w:ascii="Times New Roman" w:hAnsi="Times New Roman" w:cs="Times New Roman"/>
          <w:sz w:val="28"/>
          <w:szCs w:val="28"/>
          <w:lang w:val="es-MX"/>
        </w:rPr>
        <w:t>:</w:t>
      </w:r>
      <w:r w:rsidRPr="005D2927">
        <w:rPr>
          <w:rFonts w:ascii="Times New Roman" w:hAnsi="Times New Roman" w:cs="Times New Roman"/>
          <w:sz w:val="28"/>
          <w:szCs w:val="28"/>
          <w:lang w:val="es-MX"/>
        </w:rPr>
        <w:t xml:space="preserve"> la aceleración de los procesos penales, con la incorporación del sistema adversarial acusatorio</w:t>
      </w:r>
      <w:r w:rsidR="007757F7" w:rsidRPr="005D2927">
        <w:rPr>
          <w:rFonts w:ascii="Times New Roman" w:hAnsi="Times New Roman" w:cs="Times New Roman"/>
          <w:sz w:val="28"/>
          <w:szCs w:val="28"/>
          <w:lang w:val="es-MX"/>
        </w:rPr>
        <w:t xml:space="preserve"> </w:t>
      </w:r>
      <w:r w:rsidR="006339D9" w:rsidRPr="005D2927">
        <w:rPr>
          <w:rFonts w:ascii="Times New Roman" w:hAnsi="Times New Roman" w:cs="Times New Roman"/>
          <w:sz w:val="28"/>
          <w:szCs w:val="28"/>
          <w:lang w:val="es-MX"/>
        </w:rPr>
        <w:t xml:space="preserve">(en dieciocho provincias argentinas) </w:t>
      </w:r>
      <w:r w:rsidR="007757F7" w:rsidRPr="005D2927">
        <w:rPr>
          <w:rFonts w:ascii="Times New Roman" w:hAnsi="Times New Roman" w:cs="Times New Roman"/>
          <w:sz w:val="28"/>
          <w:szCs w:val="28"/>
          <w:lang w:val="es-MX"/>
        </w:rPr>
        <w:t>y la reforma a la Ley de Ejecución Penal que impide el acceso a libertades anticipadas a personas que hayan cometido determinado tipo de delitos (artíc</w:t>
      </w:r>
      <w:r w:rsidR="00C46333" w:rsidRPr="005D2927">
        <w:rPr>
          <w:rFonts w:ascii="Times New Roman" w:hAnsi="Times New Roman" w:cs="Times New Roman"/>
          <w:sz w:val="28"/>
          <w:szCs w:val="28"/>
          <w:lang w:val="es-MX"/>
        </w:rPr>
        <w:t>ulos 56 bis incorporado</w:t>
      </w:r>
      <w:r w:rsidR="007757F7" w:rsidRPr="005D2927">
        <w:rPr>
          <w:rFonts w:ascii="Times New Roman" w:hAnsi="Times New Roman" w:cs="Times New Roman"/>
          <w:sz w:val="28"/>
          <w:szCs w:val="28"/>
          <w:lang w:val="es-MX"/>
        </w:rPr>
        <w:t xml:space="preserve"> por Ley 27375 del 28 de juli</w:t>
      </w:r>
      <w:r w:rsidR="00C46333" w:rsidRPr="005D2927">
        <w:rPr>
          <w:rFonts w:ascii="Times New Roman" w:hAnsi="Times New Roman" w:cs="Times New Roman"/>
          <w:sz w:val="28"/>
          <w:szCs w:val="28"/>
          <w:lang w:val="es-MX"/>
        </w:rPr>
        <w:t>o de 201</w:t>
      </w:r>
      <w:r w:rsidR="007757F7" w:rsidRPr="005D2927">
        <w:rPr>
          <w:rFonts w:ascii="Times New Roman" w:hAnsi="Times New Roman" w:cs="Times New Roman"/>
          <w:sz w:val="28"/>
          <w:szCs w:val="28"/>
          <w:lang w:val="es-MX"/>
        </w:rPr>
        <w:t>7)</w:t>
      </w:r>
      <w:r w:rsidR="006339D9" w:rsidRPr="005D2927">
        <w:rPr>
          <w:rStyle w:val="FootnoteReference"/>
          <w:rFonts w:ascii="Times New Roman" w:hAnsi="Times New Roman" w:cs="Times New Roman"/>
          <w:sz w:val="28"/>
          <w:szCs w:val="28"/>
          <w:lang w:val="es-MX"/>
        </w:rPr>
        <w:footnoteReference w:id="1"/>
      </w:r>
      <w:r w:rsidR="007757F7" w:rsidRPr="005D2927">
        <w:rPr>
          <w:rFonts w:ascii="Times New Roman" w:hAnsi="Times New Roman" w:cs="Times New Roman"/>
          <w:sz w:val="28"/>
          <w:szCs w:val="28"/>
          <w:lang w:val="es-MX"/>
        </w:rPr>
        <w:t>.</w:t>
      </w:r>
      <w:r w:rsidR="005B164B" w:rsidRPr="005D2927">
        <w:rPr>
          <w:rFonts w:ascii="Times New Roman" w:hAnsi="Times New Roman" w:cs="Times New Roman"/>
          <w:sz w:val="28"/>
          <w:szCs w:val="28"/>
          <w:lang w:val="es-MX"/>
        </w:rPr>
        <w:t xml:space="preserve"> Asimismo modificó el régimen de semidetención para determinados casos, que antes permitían descongestionar los </w:t>
      </w:r>
      <w:r w:rsidR="005B164B" w:rsidRPr="005D2927">
        <w:rPr>
          <w:rFonts w:ascii="Times New Roman" w:hAnsi="Times New Roman" w:cs="Times New Roman"/>
          <w:sz w:val="28"/>
          <w:szCs w:val="28"/>
          <w:lang w:val="es-MX"/>
        </w:rPr>
        <w:lastRenderedPageBreak/>
        <w:t>lugares de encierro</w:t>
      </w:r>
      <w:r w:rsidR="00C46333" w:rsidRPr="005D2927">
        <w:rPr>
          <w:rStyle w:val="FootnoteReference"/>
          <w:rFonts w:ascii="Times New Roman" w:hAnsi="Times New Roman" w:cs="Times New Roman"/>
          <w:sz w:val="28"/>
          <w:szCs w:val="28"/>
          <w:lang w:val="es-MX"/>
        </w:rPr>
        <w:footnoteReference w:id="2"/>
      </w:r>
      <w:r w:rsidR="005B164B" w:rsidRPr="005D2927">
        <w:rPr>
          <w:rFonts w:ascii="Times New Roman" w:hAnsi="Times New Roman" w:cs="Times New Roman"/>
          <w:sz w:val="28"/>
          <w:szCs w:val="28"/>
          <w:lang w:val="es-MX"/>
        </w:rPr>
        <w:t>.</w:t>
      </w:r>
      <w:r w:rsidR="00C46333" w:rsidRPr="005D2927">
        <w:rPr>
          <w:rFonts w:ascii="Times New Roman" w:hAnsi="Times New Roman" w:cs="Times New Roman"/>
          <w:sz w:val="28"/>
          <w:szCs w:val="28"/>
          <w:lang w:val="es-MX"/>
        </w:rPr>
        <w:t xml:space="preserve"> Hoy nos encontramos con personas cumpliendo condenas de 15 días hasta seis meses de prisión en las cárceles, sin ningún tipo de abordaje.</w:t>
      </w:r>
    </w:p>
    <w:p w14:paraId="16A3E8C9" w14:textId="77777777" w:rsidR="007F1897" w:rsidRPr="005D2927" w:rsidRDefault="007757F7"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El sistema acusatorio </w:t>
      </w:r>
      <w:r w:rsidR="00026C3A" w:rsidRPr="005D2927">
        <w:rPr>
          <w:rFonts w:ascii="Times New Roman" w:hAnsi="Times New Roman" w:cs="Times New Roman"/>
          <w:sz w:val="28"/>
          <w:szCs w:val="28"/>
          <w:lang w:val="es-MX"/>
        </w:rPr>
        <w:t xml:space="preserve">actualmente </w:t>
      </w:r>
      <w:r w:rsidRPr="005D2927">
        <w:rPr>
          <w:rFonts w:ascii="Times New Roman" w:hAnsi="Times New Roman" w:cs="Times New Roman"/>
          <w:sz w:val="28"/>
          <w:szCs w:val="28"/>
          <w:lang w:val="es-MX"/>
        </w:rPr>
        <w:t xml:space="preserve">está establecido </w:t>
      </w:r>
      <w:r w:rsidR="00026C3A" w:rsidRPr="005D2927">
        <w:rPr>
          <w:rFonts w:ascii="Times New Roman" w:hAnsi="Times New Roman" w:cs="Times New Roman"/>
          <w:sz w:val="28"/>
          <w:szCs w:val="28"/>
          <w:lang w:val="es-MX"/>
        </w:rPr>
        <w:t>en 18 provincias argentinas y en parte de la jurisdicción federal,</w:t>
      </w:r>
      <w:r w:rsidR="00CD0CB1" w:rsidRPr="005D2927">
        <w:rPr>
          <w:rFonts w:ascii="Times New Roman" w:hAnsi="Times New Roman" w:cs="Times New Roman"/>
          <w:sz w:val="28"/>
          <w:szCs w:val="28"/>
          <w:lang w:val="es-MX"/>
        </w:rPr>
        <w:t xml:space="preserve"> </w:t>
      </w:r>
      <w:r w:rsidR="0019677A" w:rsidRPr="005D2927">
        <w:rPr>
          <w:rFonts w:ascii="Times New Roman" w:hAnsi="Times New Roman" w:cs="Times New Roman"/>
          <w:sz w:val="28"/>
          <w:szCs w:val="28"/>
          <w:lang w:val="es-MX"/>
        </w:rPr>
        <w:t>y</w:t>
      </w:r>
      <w:r w:rsidR="007F1897" w:rsidRPr="005D2927">
        <w:rPr>
          <w:rFonts w:ascii="Times New Roman" w:hAnsi="Times New Roman" w:cs="Times New Roman"/>
          <w:sz w:val="28"/>
          <w:szCs w:val="28"/>
          <w:lang w:val="es-MX"/>
        </w:rPr>
        <w:t xml:space="preserve"> si bien reduce en un punto el uso de la prisión preventiva</w:t>
      </w:r>
      <w:r w:rsidR="0019677A" w:rsidRPr="005D2927">
        <w:rPr>
          <w:rFonts w:ascii="Times New Roman" w:hAnsi="Times New Roman" w:cs="Times New Roman"/>
          <w:sz w:val="28"/>
          <w:szCs w:val="28"/>
          <w:lang w:val="es-MX"/>
        </w:rPr>
        <w:t>,</w:t>
      </w:r>
      <w:r w:rsidR="007F1897" w:rsidRPr="005D2927">
        <w:rPr>
          <w:rFonts w:ascii="Times New Roman" w:hAnsi="Times New Roman" w:cs="Times New Roman"/>
          <w:sz w:val="28"/>
          <w:szCs w:val="28"/>
          <w:lang w:val="es-MX"/>
        </w:rPr>
        <w:t xml:space="preserve"> aumenta en forma considerable la cantidad de nuevas personas condenadas</w:t>
      </w:r>
      <w:r w:rsidR="0019677A" w:rsidRPr="005D2927">
        <w:rPr>
          <w:rFonts w:ascii="Times New Roman" w:hAnsi="Times New Roman" w:cs="Times New Roman"/>
          <w:sz w:val="28"/>
          <w:szCs w:val="28"/>
          <w:lang w:val="es-MX"/>
        </w:rPr>
        <w:t>, y el</w:t>
      </w:r>
      <w:r w:rsidR="007F1897" w:rsidRPr="005D2927">
        <w:rPr>
          <w:rFonts w:ascii="Times New Roman" w:hAnsi="Times New Roman" w:cs="Times New Roman"/>
          <w:sz w:val="28"/>
          <w:szCs w:val="28"/>
          <w:lang w:val="es-MX"/>
        </w:rPr>
        <w:t xml:space="preserve"> c</w:t>
      </w:r>
      <w:r w:rsidR="00026C3A" w:rsidRPr="005D2927">
        <w:rPr>
          <w:rFonts w:ascii="Times New Roman" w:hAnsi="Times New Roman" w:cs="Times New Roman"/>
          <w:sz w:val="28"/>
          <w:szCs w:val="28"/>
          <w:lang w:val="es-MX"/>
        </w:rPr>
        <w:t>umplim</w:t>
      </w:r>
      <w:r w:rsidR="007F1897" w:rsidRPr="005D2927">
        <w:rPr>
          <w:rFonts w:ascii="Times New Roman" w:hAnsi="Times New Roman" w:cs="Times New Roman"/>
          <w:sz w:val="28"/>
          <w:szCs w:val="28"/>
          <w:lang w:val="es-MX"/>
        </w:rPr>
        <w:t>i</w:t>
      </w:r>
      <w:r w:rsidR="00026C3A" w:rsidRPr="005D2927">
        <w:rPr>
          <w:rFonts w:ascii="Times New Roman" w:hAnsi="Times New Roman" w:cs="Times New Roman"/>
          <w:sz w:val="28"/>
          <w:szCs w:val="28"/>
          <w:lang w:val="es-MX"/>
        </w:rPr>
        <w:t>e</w:t>
      </w:r>
      <w:r w:rsidR="007F1897" w:rsidRPr="005D2927">
        <w:rPr>
          <w:rFonts w:ascii="Times New Roman" w:hAnsi="Times New Roman" w:cs="Times New Roman"/>
          <w:sz w:val="28"/>
          <w:szCs w:val="28"/>
          <w:lang w:val="es-MX"/>
        </w:rPr>
        <w:t>nto en lugares no aptos. Por ejemplo, la provi</w:t>
      </w:r>
      <w:r w:rsidR="00254870" w:rsidRPr="005D2927">
        <w:rPr>
          <w:rFonts w:ascii="Times New Roman" w:hAnsi="Times New Roman" w:cs="Times New Roman"/>
          <w:sz w:val="28"/>
          <w:szCs w:val="28"/>
          <w:lang w:val="es-MX"/>
        </w:rPr>
        <w:t>ncia del Chubut cuenta con el 32,3</w:t>
      </w:r>
      <w:r w:rsidR="007F1897" w:rsidRPr="005D2927">
        <w:rPr>
          <w:rFonts w:ascii="Times New Roman" w:hAnsi="Times New Roman" w:cs="Times New Roman"/>
          <w:sz w:val="28"/>
          <w:szCs w:val="28"/>
          <w:lang w:val="es-MX"/>
        </w:rPr>
        <w:t>% de la población alojada en Comisarías</w:t>
      </w:r>
      <w:r w:rsidRPr="005D2927">
        <w:rPr>
          <w:rFonts w:ascii="Times New Roman" w:hAnsi="Times New Roman" w:cs="Times New Roman"/>
          <w:sz w:val="28"/>
          <w:szCs w:val="28"/>
          <w:lang w:val="es-MX"/>
        </w:rPr>
        <w:t xml:space="preserve"> (Informe </w:t>
      </w:r>
      <w:r w:rsidR="00254870" w:rsidRPr="005D2927">
        <w:rPr>
          <w:rFonts w:ascii="Times New Roman" w:hAnsi="Times New Roman" w:cs="Times New Roman"/>
          <w:sz w:val="28"/>
          <w:szCs w:val="28"/>
          <w:lang w:val="es-MX"/>
        </w:rPr>
        <w:t xml:space="preserve">Semanal </w:t>
      </w:r>
      <w:r w:rsidRPr="005D2927">
        <w:rPr>
          <w:rFonts w:ascii="Times New Roman" w:hAnsi="Times New Roman" w:cs="Times New Roman"/>
          <w:sz w:val="28"/>
          <w:szCs w:val="28"/>
          <w:lang w:val="es-MX"/>
        </w:rPr>
        <w:t>Defensa Pública Penal</w:t>
      </w:r>
      <w:r w:rsidR="00254870" w:rsidRPr="005D2927">
        <w:rPr>
          <w:rFonts w:ascii="Times New Roman" w:hAnsi="Times New Roman" w:cs="Times New Roman"/>
          <w:sz w:val="28"/>
          <w:szCs w:val="28"/>
          <w:lang w:val="es-MX"/>
        </w:rPr>
        <w:t xml:space="preserve"> al 22 de setiembre de 2025</w:t>
      </w:r>
      <w:r w:rsidRPr="005D2927">
        <w:rPr>
          <w:rFonts w:ascii="Times New Roman" w:hAnsi="Times New Roman" w:cs="Times New Roman"/>
          <w:sz w:val="28"/>
          <w:szCs w:val="28"/>
          <w:lang w:val="es-MX"/>
        </w:rPr>
        <w:t>)</w:t>
      </w:r>
      <w:r w:rsidR="007F1897" w:rsidRPr="005D2927">
        <w:rPr>
          <w:rFonts w:ascii="Times New Roman" w:hAnsi="Times New Roman" w:cs="Times New Roman"/>
          <w:sz w:val="28"/>
          <w:szCs w:val="28"/>
          <w:lang w:val="es-MX"/>
        </w:rPr>
        <w:t>.</w:t>
      </w:r>
      <w:r w:rsidR="00026C3A" w:rsidRPr="005D2927">
        <w:rPr>
          <w:rFonts w:ascii="Times New Roman" w:hAnsi="Times New Roman" w:cs="Times New Roman"/>
          <w:sz w:val="28"/>
          <w:szCs w:val="28"/>
          <w:lang w:val="es-MX"/>
        </w:rPr>
        <w:t xml:space="preserve"> </w:t>
      </w:r>
    </w:p>
    <w:p w14:paraId="29261301" w14:textId="77777777" w:rsidR="00E6108D" w:rsidRDefault="00E6108D" w:rsidP="005D2927">
      <w:pPr>
        <w:spacing w:line="360" w:lineRule="auto"/>
        <w:ind w:right="-1135"/>
        <w:jc w:val="both"/>
        <w:rPr>
          <w:rFonts w:ascii="Times New Roman" w:hAnsi="Times New Roman" w:cs="Times New Roman"/>
          <w:b/>
          <w:sz w:val="28"/>
          <w:szCs w:val="28"/>
          <w:lang w:val="es-MX"/>
        </w:rPr>
      </w:pPr>
    </w:p>
    <w:p w14:paraId="34B3D8BE" w14:textId="77777777" w:rsidR="005D0C40" w:rsidRPr="005D2927" w:rsidRDefault="005D0C40" w:rsidP="005D2927">
      <w:pPr>
        <w:spacing w:line="360" w:lineRule="auto"/>
        <w:ind w:right="-1135"/>
        <w:jc w:val="both"/>
        <w:rPr>
          <w:rFonts w:ascii="Times New Roman" w:hAnsi="Times New Roman" w:cs="Times New Roman"/>
          <w:b/>
          <w:sz w:val="28"/>
          <w:szCs w:val="28"/>
          <w:lang w:val="es-MX"/>
        </w:rPr>
      </w:pPr>
      <w:r w:rsidRPr="005D2927">
        <w:rPr>
          <w:rFonts w:ascii="Times New Roman" w:hAnsi="Times New Roman" w:cs="Times New Roman"/>
          <w:b/>
          <w:sz w:val="28"/>
          <w:szCs w:val="28"/>
          <w:lang w:val="es-MX"/>
        </w:rPr>
        <w:t>Prisión Preventiva:</w:t>
      </w:r>
    </w:p>
    <w:p w14:paraId="728EC085" w14:textId="77777777" w:rsidR="007C36E6" w:rsidRPr="005D2927" w:rsidRDefault="007C36E6"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En este punto son varios los factores que actualmente inciden en un may</w:t>
      </w:r>
      <w:r w:rsidR="005D0C40" w:rsidRPr="005D2927">
        <w:rPr>
          <w:rFonts w:ascii="Times New Roman" w:hAnsi="Times New Roman" w:cs="Times New Roman"/>
          <w:sz w:val="28"/>
          <w:szCs w:val="28"/>
          <w:lang w:val="es-MX"/>
        </w:rPr>
        <w:t>or uso de la prisión preventiva:</w:t>
      </w:r>
    </w:p>
    <w:p w14:paraId="697CA3CD" w14:textId="77777777" w:rsidR="00E6108D" w:rsidRDefault="00E6108D" w:rsidP="005D2927">
      <w:pPr>
        <w:spacing w:line="360" w:lineRule="auto"/>
        <w:ind w:right="-1135"/>
        <w:jc w:val="both"/>
        <w:rPr>
          <w:rFonts w:ascii="Times New Roman" w:hAnsi="Times New Roman" w:cs="Times New Roman"/>
          <w:b/>
          <w:sz w:val="28"/>
          <w:szCs w:val="28"/>
          <w:lang w:val="es-MX"/>
        </w:rPr>
      </w:pPr>
    </w:p>
    <w:p w14:paraId="6DA4E87B" w14:textId="77777777" w:rsidR="007C36E6" w:rsidRPr="005D2927" w:rsidRDefault="007C36E6"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b/>
          <w:sz w:val="28"/>
          <w:szCs w:val="28"/>
          <w:lang w:val="es-MX"/>
        </w:rPr>
        <w:t>Las leyes o norma</w:t>
      </w:r>
      <w:r w:rsidR="005D0C40" w:rsidRPr="005D2927">
        <w:rPr>
          <w:rFonts w:ascii="Times New Roman" w:hAnsi="Times New Roman" w:cs="Times New Roman"/>
          <w:b/>
          <w:sz w:val="28"/>
          <w:szCs w:val="28"/>
          <w:lang w:val="es-MX"/>
        </w:rPr>
        <w:t>s</w:t>
      </w:r>
      <w:r w:rsidRPr="005D2927">
        <w:rPr>
          <w:rFonts w:ascii="Times New Roman" w:hAnsi="Times New Roman" w:cs="Times New Roman"/>
          <w:b/>
          <w:sz w:val="28"/>
          <w:szCs w:val="28"/>
          <w:lang w:val="es-MX"/>
        </w:rPr>
        <w:t xml:space="preserve"> de flagrancia</w:t>
      </w:r>
      <w:r w:rsidRPr="005D2927">
        <w:rPr>
          <w:rFonts w:ascii="Times New Roman" w:hAnsi="Times New Roman" w:cs="Times New Roman"/>
          <w:sz w:val="28"/>
          <w:szCs w:val="28"/>
          <w:lang w:val="es-MX"/>
        </w:rPr>
        <w:t xml:space="preserve"> que aceleran aún más los procesos penales hasta la condena, y que transforman la prisión preventiva en un anticipo de pena. </w:t>
      </w:r>
      <w:r w:rsidR="005D0C40" w:rsidRPr="005D2927">
        <w:rPr>
          <w:rFonts w:ascii="Times New Roman" w:hAnsi="Times New Roman" w:cs="Times New Roman"/>
          <w:sz w:val="28"/>
          <w:szCs w:val="28"/>
          <w:lang w:val="es-MX"/>
        </w:rPr>
        <w:t>Y cuyo momento inicial es el año 2017 en la jurisdicción federal con la Ley 27272, pero que el Código de la provincia del Chubut, por ejemplo lo tiene establecido desde su sanción en octubre de 2006.</w:t>
      </w:r>
    </w:p>
    <w:p w14:paraId="6A779DEF" w14:textId="77777777" w:rsidR="005D0C40" w:rsidRPr="005D2927" w:rsidRDefault="005D0C40" w:rsidP="005D2927">
      <w:pPr>
        <w:spacing w:line="360" w:lineRule="auto"/>
        <w:ind w:right="-1135"/>
        <w:jc w:val="both"/>
        <w:rPr>
          <w:rFonts w:ascii="Times New Roman" w:hAnsi="Times New Roman" w:cs="Times New Roman"/>
          <w:sz w:val="28"/>
          <w:szCs w:val="28"/>
          <w:shd w:val="clear" w:color="auto" w:fill="FFFFFF"/>
        </w:rPr>
      </w:pPr>
      <w:r w:rsidRPr="005D2927">
        <w:rPr>
          <w:rFonts w:ascii="Times New Roman" w:hAnsi="Times New Roman" w:cs="Times New Roman"/>
          <w:b/>
          <w:sz w:val="28"/>
          <w:szCs w:val="28"/>
          <w:lang w:val="es-MX"/>
        </w:rPr>
        <w:t>L</w:t>
      </w:r>
      <w:r w:rsidR="007C36E6" w:rsidRPr="005D2927">
        <w:rPr>
          <w:rFonts w:ascii="Times New Roman" w:hAnsi="Times New Roman" w:cs="Times New Roman"/>
          <w:b/>
          <w:sz w:val="28"/>
          <w:szCs w:val="28"/>
          <w:lang w:val="es-MX"/>
        </w:rPr>
        <w:t>as leyes y normas de reiterancia</w:t>
      </w:r>
      <w:r w:rsidR="007C36E6" w:rsidRPr="005D2927">
        <w:rPr>
          <w:rFonts w:ascii="Times New Roman" w:hAnsi="Times New Roman" w:cs="Times New Roman"/>
          <w:sz w:val="28"/>
          <w:szCs w:val="28"/>
          <w:lang w:val="es-MX"/>
        </w:rPr>
        <w:t>, que deben ser ineludiblemente consideradas por jueces y juezas al momento del análisis de un pedido de prisión preventiva por la Fiscalía. Es decir se transforman en un requisito con peso específico incluso mayor que el peligro de fuga o de entorpecimiento.</w:t>
      </w:r>
      <w:r w:rsidR="00571DC8" w:rsidRPr="005D2927">
        <w:rPr>
          <w:rFonts w:ascii="Times New Roman" w:hAnsi="Times New Roman" w:cs="Times New Roman"/>
          <w:sz w:val="28"/>
          <w:szCs w:val="28"/>
          <w:lang w:val="es-MX"/>
        </w:rPr>
        <w:t xml:space="preserve"> </w:t>
      </w:r>
      <w:r w:rsidRPr="005D2927">
        <w:rPr>
          <w:rFonts w:ascii="Times New Roman" w:hAnsi="Times New Roman" w:cs="Times New Roman"/>
          <w:sz w:val="28"/>
          <w:szCs w:val="28"/>
          <w:lang w:val="es-MX"/>
        </w:rPr>
        <w:t>Ya que s</w:t>
      </w:r>
      <w:r w:rsidR="00571DC8" w:rsidRPr="005D2927">
        <w:rPr>
          <w:rFonts w:ascii="Times New Roman" w:hAnsi="Times New Roman" w:cs="Times New Roman"/>
          <w:sz w:val="28"/>
          <w:szCs w:val="28"/>
          <w:lang w:val="es-MX"/>
        </w:rPr>
        <w:t>e analiza la cantidad de procesos en trámite tiene la persona. El fundamento es</w:t>
      </w:r>
      <w:r w:rsidRPr="005D2927">
        <w:rPr>
          <w:rFonts w:ascii="Times New Roman" w:hAnsi="Times New Roman" w:cs="Times New Roman"/>
          <w:sz w:val="28"/>
          <w:szCs w:val="28"/>
          <w:lang w:val="es-MX"/>
        </w:rPr>
        <w:t>tá dado en el discurso</w:t>
      </w:r>
      <w:r w:rsidR="00571DC8" w:rsidRPr="005D2927">
        <w:rPr>
          <w:rFonts w:ascii="Times New Roman" w:hAnsi="Times New Roman" w:cs="Times New Roman"/>
          <w:sz w:val="28"/>
          <w:szCs w:val="28"/>
          <w:lang w:val="es-MX"/>
        </w:rPr>
        <w:t xml:space="preserve"> que: </w:t>
      </w:r>
      <w:r w:rsidR="00571DC8" w:rsidRPr="005D2927">
        <w:rPr>
          <w:rFonts w:ascii="Times New Roman" w:hAnsi="Times New Roman" w:cs="Times New Roman"/>
          <w:sz w:val="28"/>
          <w:szCs w:val="28"/>
          <w:shd w:val="clear" w:color="auto" w:fill="FFFFFF"/>
        </w:rPr>
        <w:t xml:space="preserve"> la reiterancia lo que hace es evitar la famosa puerta giratoria de la que todos nos hablan, el vecino que dice ‘fui a hacer una denuncia y veo que ya quien me había robado está saliendo por la otra puerta”, graficó una diputada del oficialismo en </w:t>
      </w:r>
      <w:r w:rsidRPr="005D2927">
        <w:rPr>
          <w:rFonts w:ascii="Times New Roman" w:hAnsi="Times New Roman" w:cs="Times New Roman"/>
          <w:sz w:val="28"/>
          <w:szCs w:val="28"/>
          <w:shd w:val="clear" w:color="auto" w:fill="FFFFFF"/>
        </w:rPr>
        <w:t>l</w:t>
      </w:r>
      <w:r w:rsidR="00571DC8" w:rsidRPr="005D2927">
        <w:rPr>
          <w:rFonts w:ascii="Times New Roman" w:hAnsi="Times New Roman" w:cs="Times New Roman"/>
          <w:sz w:val="28"/>
          <w:szCs w:val="28"/>
          <w:shd w:val="clear" w:color="auto" w:fill="FFFFFF"/>
        </w:rPr>
        <w:t>a Legislatura del Chubut al momento de su incorporación al CPPC.</w:t>
      </w:r>
    </w:p>
    <w:p w14:paraId="09F2BF5B" w14:textId="77777777" w:rsidR="00E6108D" w:rsidRDefault="00E6108D" w:rsidP="005D2927">
      <w:pPr>
        <w:spacing w:line="360" w:lineRule="auto"/>
        <w:ind w:right="-1135"/>
        <w:jc w:val="both"/>
        <w:rPr>
          <w:rFonts w:ascii="Times New Roman" w:hAnsi="Times New Roman" w:cs="Times New Roman"/>
          <w:b/>
          <w:sz w:val="28"/>
          <w:szCs w:val="28"/>
          <w:lang w:val="es-MX"/>
        </w:rPr>
      </w:pPr>
    </w:p>
    <w:p w14:paraId="40A3BE41" w14:textId="77777777" w:rsidR="007C36E6" w:rsidRPr="005D2927" w:rsidRDefault="005D0C40"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b/>
          <w:sz w:val="28"/>
          <w:szCs w:val="28"/>
          <w:lang w:val="es-MX"/>
        </w:rPr>
        <w:t>Plazo de la prisión preventiva</w:t>
      </w:r>
      <w:r w:rsidRPr="005D2927">
        <w:rPr>
          <w:rFonts w:ascii="Times New Roman" w:hAnsi="Times New Roman" w:cs="Times New Roman"/>
          <w:sz w:val="28"/>
          <w:szCs w:val="28"/>
          <w:lang w:val="es-MX"/>
        </w:rPr>
        <w:t xml:space="preserve"> en su plazo máximo estaba fijada por la Ley 24390, la que luego se modificó por la Ley 25430, si bien ambas fijan el plazo máximo en dos años, con una prórroga de un año. La primera se refiere a la condena firme y la segunda sólo requiere la condena de primera instancia. Es decir el plazo recursivo, no se computa, y la persona con condena no firme permanece en prisión preventiva superando ampliamente ese tiempo en un limbo. El CPPChubut (art. 235) establece un plazo de revisión obligatoria cada seis (6) meses, para evitar excesos en el plazo de las prisiones preventivas   </w:t>
      </w:r>
      <w:r w:rsidR="007C36E6" w:rsidRPr="005D2927">
        <w:rPr>
          <w:rFonts w:ascii="Times New Roman" w:hAnsi="Times New Roman" w:cs="Times New Roman"/>
          <w:sz w:val="28"/>
          <w:szCs w:val="28"/>
          <w:lang w:val="es-MX"/>
        </w:rPr>
        <w:t xml:space="preserve"> </w:t>
      </w:r>
    </w:p>
    <w:p w14:paraId="64C6A64B" w14:textId="77777777" w:rsidR="00E6108D" w:rsidRDefault="00E6108D" w:rsidP="005D2927">
      <w:pPr>
        <w:spacing w:line="360" w:lineRule="auto"/>
        <w:ind w:right="-1135"/>
        <w:jc w:val="both"/>
        <w:rPr>
          <w:rFonts w:ascii="Times New Roman" w:hAnsi="Times New Roman" w:cs="Times New Roman"/>
          <w:b/>
          <w:sz w:val="28"/>
          <w:szCs w:val="28"/>
          <w:lang w:val="es-MX"/>
        </w:rPr>
      </w:pPr>
    </w:p>
    <w:p w14:paraId="33E66D8E" w14:textId="77777777" w:rsidR="007F1897" w:rsidRPr="005D2927" w:rsidRDefault="005D0C40"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b/>
          <w:sz w:val="28"/>
          <w:szCs w:val="28"/>
          <w:lang w:val="es-MX"/>
        </w:rPr>
        <w:t>L</w:t>
      </w:r>
      <w:r w:rsidR="007F1897" w:rsidRPr="005D2927">
        <w:rPr>
          <w:rFonts w:ascii="Times New Roman" w:hAnsi="Times New Roman" w:cs="Times New Roman"/>
          <w:b/>
          <w:sz w:val="28"/>
          <w:szCs w:val="28"/>
          <w:lang w:val="es-MX"/>
        </w:rPr>
        <w:t xml:space="preserve">a ley </w:t>
      </w:r>
      <w:r w:rsidR="00641D61" w:rsidRPr="005D2927">
        <w:rPr>
          <w:rFonts w:ascii="Times New Roman" w:hAnsi="Times New Roman" w:cs="Times New Roman"/>
          <w:b/>
          <w:sz w:val="28"/>
          <w:szCs w:val="28"/>
          <w:lang w:val="es-MX"/>
        </w:rPr>
        <w:t xml:space="preserve">26052 </w:t>
      </w:r>
      <w:r w:rsidR="006D7B4C" w:rsidRPr="005D2927">
        <w:rPr>
          <w:rFonts w:ascii="Times New Roman" w:hAnsi="Times New Roman" w:cs="Times New Roman"/>
          <w:b/>
          <w:sz w:val="28"/>
          <w:szCs w:val="28"/>
          <w:lang w:val="es-MX"/>
        </w:rPr>
        <w:t>(Desfederalización del N</w:t>
      </w:r>
      <w:r w:rsidR="007F1897" w:rsidRPr="005D2927">
        <w:rPr>
          <w:rFonts w:ascii="Times New Roman" w:hAnsi="Times New Roman" w:cs="Times New Roman"/>
          <w:b/>
          <w:sz w:val="28"/>
          <w:szCs w:val="28"/>
          <w:lang w:val="es-MX"/>
        </w:rPr>
        <w:t>arcomenudeo)</w:t>
      </w:r>
      <w:r w:rsidR="007F1897" w:rsidRPr="005D2927">
        <w:rPr>
          <w:rFonts w:ascii="Times New Roman" w:hAnsi="Times New Roman" w:cs="Times New Roman"/>
          <w:sz w:val="28"/>
          <w:szCs w:val="28"/>
          <w:lang w:val="es-MX"/>
        </w:rPr>
        <w:t xml:space="preserve"> del año </w:t>
      </w:r>
      <w:r w:rsidR="006D7B4C" w:rsidRPr="005D2927">
        <w:rPr>
          <w:rFonts w:ascii="Times New Roman" w:hAnsi="Times New Roman" w:cs="Times New Roman"/>
          <w:sz w:val="28"/>
          <w:szCs w:val="28"/>
          <w:lang w:val="es-MX"/>
        </w:rPr>
        <w:t xml:space="preserve">2005 </w:t>
      </w:r>
      <w:r w:rsidR="007F1897" w:rsidRPr="005D2927">
        <w:rPr>
          <w:rFonts w:ascii="Times New Roman" w:hAnsi="Times New Roman" w:cs="Times New Roman"/>
          <w:sz w:val="28"/>
          <w:szCs w:val="28"/>
          <w:lang w:val="es-MX"/>
        </w:rPr>
        <w:t xml:space="preserve">y </w:t>
      </w:r>
      <w:r w:rsidR="00026C3A" w:rsidRPr="005D2927">
        <w:rPr>
          <w:rFonts w:ascii="Times New Roman" w:hAnsi="Times New Roman" w:cs="Times New Roman"/>
          <w:sz w:val="28"/>
          <w:szCs w:val="28"/>
          <w:lang w:val="es-MX"/>
        </w:rPr>
        <w:t>la creación del</w:t>
      </w:r>
      <w:r w:rsidR="00AE091D" w:rsidRPr="005D2927">
        <w:rPr>
          <w:rFonts w:ascii="Times New Roman" w:hAnsi="Times New Roman" w:cs="Times New Roman"/>
          <w:sz w:val="28"/>
          <w:szCs w:val="28"/>
        </w:rPr>
        <w:t xml:space="preserve"> “PROGRAMA NACIONAL DE DESFEDERALIZACIÓN Y ASISTENCIA CONTRA EL MICROTRÁFICO DE ESTUPEFACIENTES (PRONADEM)”, en el ámbito de la SUBSECRETARÍA DE POLÍTICA CRIMINAL de la SECRETARÍA DE JUSTICIA del MINISTERIO DE JUSTICIA, mediante Res. </w:t>
      </w:r>
      <w:r w:rsidR="00AE091D" w:rsidRPr="005D2927">
        <w:rPr>
          <w:rFonts w:ascii="Times New Roman" w:hAnsi="Times New Roman" w:cs="Times New Roman"/>
          <w:b/>
          <w:bCs/>
          <w:sz w:val="28"/>
          <w:szCs w:val="28"/>
        </w:rPr>
        <w:t xml:space="preserve">RESOL-2025-590-APN-MJ, </w:t>
      </w:r>
      <w:r w:rsidR="00AE091D" w:rsidRPr="005D2927">
        <w:rPr>
          <w:rFonts w:ascii="Times New Roman" w:hAnsi="Times New Roman" w:cs="Times New Roman"/>
          <w:sz w:val="28"/>
          <w:szCs w:val="28"/>
        </w:rPr>
        <w:t xml:space="preserve">Del 1 de septiembre de 2025, </w:t>
      </w:r>
      <w:r w:rsidR="007F1897" w:rsidRPr="005D2927">
        <w:rPr>
          <w:rFonts w:ascii="Times New Roman" w:hAnsi="Times New Roman" w:cs="Times New Roman"/>
          <w:sz w:val="28"/>
          <w:szCs w:val="28"/>
          <w:lang w:val="es-MX"/>
        </w:rPr>
        <w:t xml:space="preserve">para que las provincias </w:t>
      </w:r>
      <w:r w:rsidR="00AE091D" w:rsidRPr="005D2927">
        <w:rPr>
          <w:rFonts w:ascii="Times New Roman" w:hAnsi="Times New Roman" w:cs="Times New Roman"/>
          <w:sz w:val="28"/>
          <w:szCs w:val="28"/>
          <w:lang w:val="es-MX"/>
        </w:rPr>
        <w:t xml:space="preserve">finalmente </w:t>
      </w:r>
      <w:r w:rsidR="007F1897" w:rsidRPr="005D2927">
        <w:rPr>
          <w:rFonts w:ascii="Times New Roman" w:hAnsi="Times New Roman" w:cs="Times New Roman"/>
          <w:sz w:val="28"/>
          <w:szCs w:val="28"/>
          <w:lang w:val="es-MX"/>
        </w:rPr>
        <w:t>acepten esta competencia.</w:t>
      </w:r>
    </w:p>
    <w:p w14:paraId="2A05A00D" w14:textId="77777777" w:rsidR="00026C3A" w:rsidRPr="005D2927" w:rsidRDefault="00026C3A"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Ya en el 1° Encuentro de Sistemas Acusatorios (Federación Argentina de la Magistratura</w:t>
      </w:r>
      <w:r w:rsidR="00416B7A" w:rsidRPr="005D2927">
        <w:rPr>
          <w:rFonts w:ascii="Times New Roman" w:hAnsi="Times New Roman" w:cs="Times New Roman"/>
          <w:sz w:val="28"/>
          <w:szCs w:val="28"/>
          <w:lang w:val="es-MX"/>
        </w:rPr>
        <w:t xml:space="preserve"> 3 y 4 de agosto de 2018</w:t>
      </w:r>
      <w:r w:rsidRPr="005D2927">
        <w:rPr>
          <w:rFonts w:ascii="Times New Roman" w:hAnsi="Times New Roman" w:cs="Times New Roman"/>
          <w:sz w:val="28"/>
          <w:szCs w:val="28"/>
          <w:lang w:val="es-MX"/>
        </w:rPr>
        <w:t xml:space="preserve">) se había advertido que: </w:t>
      </w:r>
      <w:r w:rsidRPr="005D2927">
        <w:rPr>
          <w:rFonts w:ascii="Times New Roman" w:hAnsi="Times New Roman" w:cs="Times New Roman"/>
          <w:sz w:val="28"/>
          <w:szCs w:val="28"/>
          <w:shd w:val="clear" w:color="auto" w:fill="FFFFFF"/>
        </w:rPr>
        <w:t>La aplicación del narcomenudeo …genera  impacto  directo  sobre  la  población  carcelaria  y  no  se  cuenta  con  infraestructura  adecuada para recibir a los detenidos en esta materia.</w:t>
      </w:r>
    </w:p>
    <w:p w14:paraId="34D9E6CB" w14:textId="77777777" w:rsidR="00AE091D" w:rsidRPr="005D2927" w:rsidRDefault="00416B7A"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A un año de la implementación de este sistema en la Ciudad Autónoma de Buenos Aires, </w:t>
      </w:r>
      <w:r w:rsidR="00AE091D" w:rsidRPr="005D2927">
        <w:rPr>
          <w:rFonts w:ascii="Times New Roman" w:hAnsi="Times New Roman" w:cs="Times New Roman"/>
          <w:sz w:val="28"/>
          <w:szCs w:val="28"/>
          <w:lang w:val="es-MX"/>
        </w:rPr>
        <w:t>el CELS</w:t>
      </w:r>
      <w:r w:rsidRPr="005D2927">
        <w:rPr>
          <w:rFonts w:ascii="Times New Roman" w:hAnsi="Times New Roman" w:cs="Times New Roman"/>
          <w:sz w:val="28"/>
          <w:szCs w:val="28"/>
          <w:lang w:val="es-MX"/>
        </w:rPr>
        <w:t xml:space="preserve"> realizó un Informe:</w:t>
      </w:r>
      <w:r w:rsidR="00AE091D" w:rsidRPr="005D2927">
        <w:rPr>
          <w:rFonts w:ascii="Times New Roman" w:hAnsi="Times New Roman" w:cs="Times New Roman"/>
          <w:sz w:val="28"/>
          <w:szCs w:val="28"/>
          <w:lang w:val="es-MX"/>
        </w:rPr>
        <w:t xml:space="preserve"> </w:t>
      </w:r>
      <w:hyperlink r:id="rId11" w:history="1">
        <w:r w:rsidR="00AE091D" w:rsidRPr="005D2927">
          <w:rPr>
            <w:rStyle w:val="Hyperlink"/>
            <w:rFonts w:ascii="Times New Roman" w:hAnsi="Times New Roman" w:cs="Times New Roman"/>
            <w:color w:val="auto"/>
            <w:sz w:val="28"/>
            <w:szCs w:val="28"/>
          </w:rPr>
          <w:br/>
        </w:r>
        <w:r w:rsidR="00AE091D" w:rsidRPr="005D2927">
          <w:rPr>
            <w:rStyle w:val="Hyperlink"/>
            <w:rFonts w:ascii="Times New Roman" w:hAnsi="Times New Roman" w:cs="Times New Roman"/>
            <w:color w:val="auto"/>
            <w:sz w:val="28"/>
            <w:szCs w:val="28"/>
            <w:u w:val="none"/>
          </w:rPr>
          <w:t>“La guerra contra el narcotráfico</w:t>
        </w:r>
      </w:hyperlink>
      <w:r w:rsidR="00AE091D" w:rsidRPr="005D2927">
        <w:rPr>
          <w:rFonts w:ascii="Times New Roman" w:hAnsi="Times New Roman" w:cs="Times New Roman"/>
          <w:sz w:val="28"/>
          <w:szCs w:val="28"/>
          <w:lang w:val="es-MX"/>
        </w:rPr>
        <w:t xml:space="preserve"> </w:t>
      </w:r>
      <w:r w:rsidR="00AE091D" w:rsidRPr="005D2927">
        <w:rPr>
          <w:rFonts w:ascii="Times New Roman" w:hAnsi="Times New Roman" w:cs="Times New Roman"/>
          <w:sz w:val="28"/>
          <w:szCs w:val="28"/>
        </w:rPr>
        <w:t>desfederalización en CABA”</w:t>
      </w:r>
      <w:r w:rsidR="00AE091D" w:rsidRPr="005D2927">
        <w:rPr>
          <w:rFonts w:ascii="Times New Roman" w:hAnsi="Times New Roman" w:cs="Times New Roman"/>
          <w:sz w:val="28"/>
          <w:szCs w:val="28"/>
          <w:lang w:val="es-MX"/>
        </w:rPr>
        <w:t xml:space="preserve"> (2019) sostuvo: </w:t>
      </w:r>
      <w:r w:rsidR="00AE091D" w:rsidRPr="005D2927">
        <w:rPr>
          <w:rFonts w:ascii="Times New Roman" w:hAnsi="Times New Roman" w:cs="Times New Roman"/>
          <w:i/>
          <w:sz w:val="28"/>
          <w:szCs w:val="28"/>
        </w:rPr>
        <w:t>La desfederalización fue presentada como una herramienta para que los gobiernos locales pudieran trabajar para reducir los niveles de violencia. Esta medida debía ser acompañada de un control estricto sobre las fuerzas policiales para evitar la regulación informal del mercado de las drogas. Por el contrario, la desfederalización amplificó la arbitrariedad policial y criminalizó la pobreza, al tiempo que aumentó de manera desproporcionada la cantidad de causas irrelevantes que llegan al poder judicial. El sostenimiento de estas políticas desemboca en el encarcelamiento masivo, la erosión de las tramas comunitarias en los barrios empobrecidos y el colapso del sistema de encierro.</w:t>
      </w:r>
    </w:p>
    <w:p w14:paraId="2677CBF2" w14:textId="77777777" w:rsidR="00416B7A" w:rsidRPr="005D2927" w:rsidRDefault="007F1897"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Es</w:t>
      </w:r>
      <w:r w:rsidR="00416B7A" w:rsidRPr="005D2927">
        <w:rPr>
          <w:rFonts w:ascii="Times New Roman" w:hAnsi="Times New Roman" w:cs="Times New Roman"/>
          <w:sz w:val="28"/>
          <w:szCs w:val="28"/>
          <w:lang w:val="es-MX"/>
        </w:rPr>
        <w:t xml:space="preserve"> decir se advierte que la desfederalización y la aceleración de los procesos en conjunto, coloca a determinad poblaciones en mayor vulnerabilidad, al estar expuestas a la violencia policial y la prisión. Esto</w:t>
      </w:r>
      <w:r w:rsidRPr="005D2927">
        <w:rPr>
          <w:rFonts w:ascii="Times New Roman" w:hAnsi="Times New Roman" w:cs="Times New Roman"/>
          <w:sz w:val="28"/>
          <w:szCs w:val="28"/>
          <w:lang w:val="es-MX"/>
        </w:rPr>
        <w:t xml:space="preserve"> afecta directamente a dos grupos: las mujeres y las personas LGBTIAQ+</w:t>
      </w:r>
      <w:r w:rsidR="00416B7A" w:rsidRPr="005D2927">
        <w:rPr>
          <w:rFonts w:ascii="Times New Roman" w:hAnsi="Times New Roman" w:cs="Times New Roman"/>
          <w:sz w:val="28"/>
          <w:szCs w:val="28"/>
          <w:lang w:val="es-MX"/>
        </w:rPr>
        <w:t>. Es un dato de la realidad</w:t>
      </w:r>
      <w:r w:rsidRPr="005D2927">
        <w:rPr>
          <w:rFonts w:ascii="Times New Roman" w:hAnsi="Times New Roman" w:cs="Times New Roman"/>
          <w:sz w:val="28"/>
          <w:szCs w:val="28"/>
          <w:lang w:val="es-MX"/>
        </w:rPr>
        <w:t xml:space="preserve"> que </w:t>
      </w:r>
      <w:r w:rsidR="00416B7A" w:rsidRPr="005D2927">
        <w:rPr>
          <w:rFonts w:ascii="Times New Roman" w:hAnsi="Times New Roman" w:cs="Times New Roman"/>
          <w:sz w:val="28"/>
          <w:szCs w:val="28"/>
          <w:lang w:val="es-MX"/>
        </w:rPr>
        <w:t xml:space="preserve">se encuentran </w:t>
      </w:r>
      <w:r w:rsidRPr="005D2927">
        <w:rPr>
          <w:rFonts w:ascii="Times New Roman" w:hAnsi="Times New Roman" w:cs="Times New Roman"/>
          <w:sz w:val="28"/>
          <w:szCs w:val="28"/>
          <w:lang w:val="es-MX"/>
        </w:rPr>
        <w:t xml:space="preserve">subordinadas a realizar actividades en el último escalón de las organizaciones </w:t>
      </w:r>
      <w:r w:rsidR="00416B7A" w:rsidRPr="005D2927">
        <w:rPr>
          <w:rFonts w:ascii="Times New Roman" w:hAnsi="Times New Roman" w:cs="Times New Roman"/>
          <w:sz w:val="28"/>
          <w:szCs w:val="28"/>
          <w:lang w:val="es-MX"/>
        </w:rPr>
        <w:t xml:space="preserve">criminales y por ende el más débil. Este tipo de delito, que no requiere el traslado a algún lugar les permite </w:t>
      </w:r>
      <w:r w:rsidRPr="005D2927">
        <w:rPr>
          <w:rFonts w:ascii="Times New Roman" w:hAnsi="Times New Roman" w:cs="Times New Roman"/>
          <w:sz w:val="28"/>
          <w:szCs w:val="28"/>
          <w:lang w:val="es-MX"/>
        </w:rPr>
        <w:t xml:space="preserve">cumplir con </w:t>
      </w:r>
      <w:r w:rsidR="00416B7A" w:rsidRPr="005D2927">
        <w:rPr>
          <w:rFonts w:ascii="Times New Roman" w:hAnsi="Times New Roman" w:cs="Times New Roman"/>
          <w:sz w:val="28"/>
          <w:szCs w:val="28"/>
          <w:lang w:val="es-MX"/>
        </w:rPr>
        <w:t>el rol asignado</w:t>
      </w:r>
      <w:r w:rsidRPr="005D2927">
        <w:rPr>
          <w:rFonts w:ascii="Times New Roman" w:hAnsi="Times New Roman" w:cs="Times New Roman"/>
          <w:sz w:val="28"/>
          <w:szCs w:val="28"/>
          <w:lang w:val="es-MX"/>
        </w:rPr>
        <w:t xml:space="preserve"> de cui</w:t>
      </w:r>
      <w:r w:rsidR="00401C30" w:rsidRPr="005D2927">
        <w:rPr>
          <w:rFonts w:ascii="Times New Roman" w:hAnsi="Times New Roman" w:cs="Times New Roman"/>
          <w:sz w:val="28"/>
          <w:szCs w:val="28"/>
          <w:lang w:val="es-MX"/>
        </w:rPr>
        <w:t>d</w:t>
      </w:r>
      <w:r w:rsidRPr="005D2927">
        <w:rPr>
          <w:rFonts w:ascii="Times New Roman" w:hAnsi="Times New Roman" w:cs="Times New Roman"/>
          <w:sz w:val="28"/>
          <w:szCs w:val="28"/>
          <w:lang w:val="es-MX"/>
        </w:rPr>
        <w:t>a</w:t>
      </w:r>
      <w:r w:rsidR="00416B7A" w:rsidRPr="005D2927">
        <w:rPr>
          <w:rFonts w:ascii="Times New Roman" w:hAnsi="Times New Roman" w:cs="Times New Roman"/>
          <w:sz w:val="28"/>
          <w:szCs w:val="28"/>
          <w:lang w:val="es-MX"/>
        </w:rPr>
        <w:t>r</w:t>
      </w:r>
      <w:r w:rsidRPr="005D2927">
        <w:rPr>
          <w:rFonts w:ascii="Times New Roman" w:hAnsi="Times New Roman" w:cs="Times New Roman"/>
          <w:sz w:val="28"/>
          <w:szCs w:val="28"/>
          <w:lang w:val="es-MX"/>
        </w:rPr>
        <w:t xml:space="preserve"> y </w:t>
      </w:r>
      <w:r w:rsidR="00416B7A" w:rsidRPr="005D2927">
        <w:rPr>
          <w:rFonts w:ascii="Times New Roman" w:hAnsi="Times New Roman" w:cs="Times New Roman"/>
          <w:sz w:val="28"/>
          <w:szCs w:val="28"/>
          <w:lang w:val="es-MX"/>
        </w:rPr>
        <w:t>es una forma de economía de subsistencia. Entonces,</w:t>
      </w:r>
      <w:r w:rsidR="00CA13C6" w:rsidRPr="005D2927">
        <w:rPr>
          <w:rFonts w:ascii="Times New Roman" w:hAnsi="Times New Roman" w:cs="Times New Roman"/>
          <w:sz w:val="28"/>
          <w:szCs w:val="28"/>
          <w:lang w:val="es-MX"/>
        </w:rPr>
        <w:t xml:space="preserve"> </w:t>
      </w:r>
      <w:r w:rsidR="008223BE" w:rsidRPr="005D2927">
        <w:rPr>
          <w:rFonts w:ascii="Times New Roman" w:hAnsi="Times New Roman" w:cs="Times New Roman"/>
          <w:sz w:val="28"/>
          <w:szCs w:val="28"/>
          <w:lang w:val="es-MX"/>
        </w:rPr>
        <w:t>en las provincias que aceptaron esta competenci</w:t>
      </w:r>
      <w:r w:rsidR="00026C3A" w:rsidRPr="005D2927">
        <w:rPr>
          <w:rFonts w:ascii="Times New Roman" w:hAnsi="Times New Roman" w:cs="Times New Roman"/>
          <w:sz w:val="28"/>
          <w:szCs w:val="28"/>
          <w:lang w:val="es-MX"/>
        </w:rPr>
        <w:t>a la tasa de prisionización aum</w:t>
      </w:r>
      <w:r w:rsidR="008223BE" w:rsidRPr="005D2927">
        <w:rPr>
          <w:rFonts w:ascii="Times New Roman" w:hAnsi="Times New Roman" w:cs="Times New Roman"/>
          <w:sz w:val="28"/>
          <w:szCs w:val="28"/>
          <w:lang w:val="es-MX"/>
        </w:rPr>
        <w:t>e</w:t>
      </w:r>
      <w:r w:rsidR="00026C3A" w:rsidRPr="005D2927">
        <w:rPr>
          <w:rFonts w:ascii="Times New Roman" w:hAnsi="Times New Roman" w:cs="Times New Roman"/>
          <w:sz w:val="28"/>
          <w:szCs w:val="28"/>
          <w:lang w:val="es-MX"/>
        </w:rPr>
        <w:t>n</w:t>
      </w:r>
      <w:r w:rsidR="008223BE" w:rsidRPr="005D2927">
        <w:rPr>
          <w:rFonts w:ascii="Times New Roman" w:hAnsi="Times New Roman" w:cs="Times New Roman"/>
          <w:sz w:val="28"/>
          <w:szCs w:val="28"/>
          <w:lang w:val="es-MX"/>
        </w:rPr>
        <w:t>tó y por ende también a nivel país</w:t>
      </w:r>
      <w:r w:rsidR="00CA13C6" w:rsidRPr="005D2927">
        <w:rPr>
          <w:rStyle w:val="FootnoteReference"/>
          <w:rFonts w:ascii="Times New Roman" w:hAnsi="Times New Roman" w:cs="Times New Roman"/>
          <w:sz w:val="28"/>
          <w:szCs w:val="28"/>
          <w:lang w:val="es-MX"/>
        </w:rPr>
        <w:footnoteReference w:id="3"/>
      </w:r>
      <w:r w:rsidR="00401C30" w:rsidRPr="005D2927">
        <w:rPr>
          <w:rFonts w:ascii="Times New Roman" w:hAnsi="Times New Roman" w:cs="Times New Roman"/>
          <w:sz w:val="28"/>
          <w:szCs w:val="28"/>
          <w:lang w:val="es-MX"/>
        </w:rPr>
        <w:t>.</w:t>
      </w:r>
      <w:r w:rsidR="008223BE" w:rsidRPr="005D2927">
        <w:rPr>
          <w:rFonts w:ascii="Times New Roman" w:hAnsi="Times New Roman" w:cs="Times New Roman"/>
          <w:sz w:val="28"/>
          <w:szCs w:val="28"/>
          <w:lang w:val="es-MX"/>
        </w:rPr>
        <w:t xml:space="preserve"> </w:t>
      </w:r>
    </w:p>
    <w:p w14:paraId="5BFB3ACC" w14:textId="77777777" w:rsidR="00BD0380" w:rsidRPr="005D2927" w:rsidRDefault="00BD0380"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No existe un dato desagregado en relación a colectivos con derechos vulnerados y delitos por los cuales han sido condenados.</w:t>
      </w:r>
    </w:p>
    <w:p w14:paraId="500B98D9" w14:textId="77777777" w:rsidR="007C36E6" w:rsidRPr="005D2927" w:rsidRDefault="00BD0380"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Pero es posible objetivar que el número de mujeres y personas LGBTIAQ+ prisionizadas </w:t>
      </w:r>
      <w:r w:rsidR="007C36E6" w:rsidRPr="005D2927">
        <w:rPr>
          <w:rFonts w:ascii="Times New Roman" w:hAnsi="Times New Roman" w:cs="Times New Roman"/>
          <w:sz w:val="28"/>
          <w:szCs w:val="28"/>
          <w:lang w:val="es-MX"/>
        </w:rPr>
        <w:t>llegó a los niveles más bajos durante de la pandemia de COVID 19, nuevamente, según el SNEEP 2020 la población ascendía a 3,8% de mujeres (3598) y 0,1% de personas trans/travesti (</w:t>
      </w:r>
      <w:r w:rsidR="007C36E6" w:rsidRPr="005D2927">
        <w:rPr>
          <w:rFonts w:ascii="Times New Roman" w:hAnsi="Times New Roman" w:cs="Times New Roman"/>
          <w:sz w:val="28"/>
          <w:szCs w:val="28"/>
        </w:rPr>
        <w:t>109 mujeres trans y 13 varones trans)</w:t>
      </w:r>
      <w:r w:rsidR="007C36E6" w:rsidRPr="005D2927">
        <w:rPr>
          <w:rFonts w:ascii="Times New Roman" w:hAnsi="Times New Roman" w:cs="Times New Roman"/>
          <w:sz w:val="28"/>
          <w:szCs w:val="28"/>
          <w:lang w:val="es-MX"/>
        </w:rPr>
        <w:t xml:space="preserve"> y comenzó a incrementarse en SNEEP 2021: 3,9% mujeres (3998) y 0,2% (</w:t>
      </w:r>
      <w:r w:rsidR="007C36E6" w:rsidRPr="005D2927">
        <w:rPr>
          <w:rFonts w:ascii="Times New Roman" w:hAnsi="Times New Roman" w:cs="Times New Roman"/>
          <w:sz w:val="28"/>
          <w:szCs w:val="28"/>
        </w:rPr>
        <w:t>151 mujeres trans y 23 varones trans</w:t>
      </w:r>
      <w:r w:rsidR="007C36E6" w:rsidRPr="005D2927">
        <w:rPr>
          <w:rFonts w:ascii="Times New Roman" w:hAnsi="Times New Roman" w:cs="Times New Roman"/>
          <w:sz w:val="28"/>
          <w:szCs w:val="28"/>
          <w:lang w:val="es-MX"/>
        </w:rPr>
        <w:t xml:space="preserve"> ) hasta el 31 de diciembre 2024, donde la población ascendió 4,3% de mujeres (5213) y 0,2% de personas trans/travesti (</w:t>
      </w:r>
      <w:r w:rsidR="007C36E6" w:rsidRPr="005D2927">
        <w:rPr>
          <w:rFonts w:ascii="Times New Roman" w:hAnsi="Times New Roman" w:cs="Times New Roman"/>
          <w:sz w:val="28"/>
          <w:szCs w:val="28"/>
        </w:rPr>
        <w:t xml:space="preserve">159 mujeres trans, 43 varones trans y 4 personas no binarias), </w:t>
      </w:r>
      <w:r w:rsidR="007C36E6" w:rsidRPr="005D2927">
        <w:rPr>
          <w:rFonts w:ascii="Times New Roman" w:hAnsi="Times New Roman" w:cs="Times New Roman"/>
          <w:sz w:val="28"/>
          <w:szCs w:val="28"/>
          <w:lang w:val="es-MX"/>
        </w:rPr>
        <w:t xml:space="preserve">según de SNEEP 2024. </w:t>
      </w:r>
    </w:p>
    <w:p w14:paraId="67F39685" w14:textId="77777777" w:rsidR="00BD0380" w:rsidRPr="005D2927" w:rsidRDefault="00BD0380"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A ello debe agregarse que ambas están intersectadas por las condiciones de pobreza, migración y violencia. </w:t>
      </w:r>
    </w:p>
    <w:p w14:paraId="06E2566B" w14:textId="77777777" w:rsidR="00BD0380" w:rsidRPr="005D2927" w:rsidRDefault="00BD0380" w:rsidP="005D2927">
      <w:pPr>
        <w:spacing w:line="360" w:lineRule="auto"/>
        <w:ind w:right="-1135"/>
        <w:jc w:val="both"/>
        <w:rPr>
          <w:rFonts w:ascii="Times New Roman" w:hAnsi="Times New Roman" w:cs="Times New Roman"/>
          <w:sz w:val="28"/>
          <w:szCs w:val="28"/>
          <w:lang w:val="es-MX"/>
        </w:rPr>
      </w:pPr>
    </w:p>
    <w:p w14:paraId="341A0224" w14:textId="77777777" w:rsidR="00A07B18" w:rsidRPr="005D2927" w:rsidRDefault="00BD0380" w:rsidP="005D2927">
      <w:pPr>
        <w:spacing w:line="360" w:lineRule="auto"/>
        <w:ind w:right="-1135"/>
        <w:jc w:val="both"/>
        <w:rPr>
          <w:rFonts w:ascii="Times New Roman" w:hAnsi="Times New Roman" w:cs="Times New Roman"/>
          <w:b/>
          <w:sz w:val="28"/>
          <w:szCs w:val="28"/>
          <w:lang w:val="es-MX"/>
        </w:rPr>
      </w:pPr>
      <w:r w:rsidRPr="005D2927">
        <w:rPr>
          <w:rFonts w:ascii="Times New Roman" w:hAnsi="Times New Roman" w:cs="Times New Roman"/>
          <w:b/>
          <w:sz w:val="28"/>
          <w:szCs w:val="28"/>
          <w:lang w:val="es-MX"/>
        </w:rPr>
        <w:t>Prisión domiciliaria</w:t>
      </w:r>
    </w:p>
    <w:p w14:paraId="64D0EC8D" w14:textId="77777777" w:rsidR="00E870AE" w:rsidRDefault="00E870AE" w:rsidP="005D2927">
      <w:pPr>
        <w:pStyle w:val="Default"/>
        <w:spacing w:line="360" w:lineRule="auto"/>
        <w:ind w:right="-1135"/>
        <w:jc w:val="both"/>
        <w:rPr>
          <w:i/>
          <w:color w:val="auto"/>
          <w:sz w:val="28"/>
          <w:szCs w:val="28"/>
        </w:rPr>
      </w:pPr>
      <w:r>
        <w:rPr>
          <w:sz w:val="28"/>
          <w:szCs w:val="28"/>
        </w:rPr>
        <w:t>El art. 32 de la Ley de Ejecución de la Pena, en sus incisos e y f sobre la prisión domiciliaria hace hincapié en las madres y el rol de cuidado de la mujer.</w:t>
      </w:r>
    </w:p>
    <w:p w14:paraId="3E0FD662" w14:textId="77777777" w:rsidR="0090538F" w:rsidRPr="005D2927" w:rsidRDefault="00A07B18" w:rsidP="005D2927">
      <w:pPr>
        <w:pStyle w:val="Default"/>
        <w:spacing w:line="360" w:lineRule="auto"/>
        <w:ind w:right="-1135"/>
        <w:jc w:val="both"/>
        <w:rPr>
          <w:color w:val="auto"/>
          <w:sz w:val="28"/>
          <w:szCs w:val="28"/>
        </w:rPr>
      </w:pPr>
      <w:r w:rsidRPr="005D2927">
        <w:rPr>
          <w:i/>
          <w:color w:val="auto"/>
          <w:sz w:val="28"/>
          <w:szCs w:val="28"/>
        </w:rPr>
        <w:t>Si bien este dispositivo viene a reconocer la situación de especial vulnerabilidad del colectivo de mujeres madres y la necesidad de especial protección de sus hijas e hijos, no deja de reforzar los estereotipos de género fuertemente cuestionados en nuestros días</w:t>
      </w:r>
      <w:r w:rsidRPr="005D2927">
        <w:rPr>
          <w:rStyle w:val="FootnoteReference"/>
          <w:i/>
          <w:color w:val="auto"/>
          <w:sz w:val="28"/>
          <w:szCs w:val="28"/>
        </w:rPr>
        <w:footnoteReference w:id="4"/>
      </w:r>
      <w:r w:rsidRPr="005D2927">
        <w:rPr>
          <w:i/>
          <w:color w:val="auto"/>
          <w:sz w:val="28"/>
          <w:szCs w:val="28"/>
        </w:rPr>
        <w:t>.</w:t>
      </w:r>
    </w:p>
    <w:p w14:paraId="1E3AFEBC" w14:textId="77777777" w:rsidR="00C011AB" w:rsidRPr="005D2927" w:rsidRDefault="00BC4C10"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rPr>
        <w:t xml:space="preserve">En este marco, la prohibición de las mujeres de salir de su domicilio se traduce en una serie de privaciones que exceden la propia privación de la libertad y redunda en una afectación de la calidad de vida de toda la familia. El </w:t>
      </w:r>
      <w:r w:rsidRPr="005D2927">
        <w:rPr>
          <w:rFonts w:ascii="Times New Roman" w:hAnsi="Times New Roman" w:cs="Times New Roman"/>
          <w:i/>
          <w:iCs/>
          <w:sz w:val="28"/>
          <w:szCs w:val="28"/>
        </w:rPr>
        <w:t xml:space="preserve">encierro hogareño </w:t>
      </w:r>
      <w:r w:rsidRPr="005D2927">
        <w:rPr>
          <w:rFonts w:ascii="Times New Roman" w:hAnsi="Times New Roman" w:cs="Times New Roman"/>
          <w:sz w:val="28"/>
          <w:szCs w:val="28"/>
        </w:rPr>
        <w:t xml:space="preserve">se convierte en una </w:t>
      </w:r>
      <w:r w:rsidRPr="005D2927">
        <w:rPr>
          <w:rFonts w:ascii="Times New Roman" w:hAnsi="Times New Roman" w:cs="Times New Roman"/>
          <w:i/>
          <w:iCs/>
          <w:sz w:val="28"/>
          <w:szCs w:val="28"/>
        </w:rPr>
        <w:t>trampa</w:t>
      </w:r>
      <w:r w:rsidRPr="005D2927">
        <w:rPr>
          <w:rFonts w:ascii="Times New Roman" w:hAnsi="Times New Roman" w:cs="Times New Roman"/>
          <w:sz w:val="28"/>
          <w:szCs w:val="28"/>
        </w:rPr>
        <w:t>, en un plus de sufrimiento</w:t>
      </w:r>
      <w:r w:rsidR="000515E5" w:rsidRPr="005D2927">
        <w:rPr>
          <w:rStyle w:val="FootnoteReference"/>
          <w:rFonts w:ascii="Times New Roman" w:hAnsi="Times New Roman" w:cs="Times New Roman"/>
          <w:sz w:val="28"/>
          <w:szCs w:val="28"/>
        </w:rPr>
        <w:footnoteReference w:id="5"/>
      </w:r>
      <w:r w:rsidRPr="005D2927">
        <w:rPr>
          <w:rFonts w:ascii="Times New Roman" w:hAnsi="Times New Roman" w:cs="Times New Roman"/>
          <w:sz w:val="28"/>
          <w:szCs w:val="28"/>
        </w:rPr>
        <w:t>.</w:t>
      </w:r>
    </w:p>
    <w:p w14:paraId="5A6FE680" w14:textId="77777777" w:rsidR="00F57521" w:rsidRDefault="00446AAE"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lang w:val="es-MX"/>
        </w:rPr>
        <w:t>Pero también al momento de ordenar la prisión domiciliaria, ya que los requisitos son exigidos</w:t>
      </w:r>
      <w:r w:rsidR="00DD0DA4" w:rsidRPr="005D2927">
        <w:rPr>
          <w:rFonts w:ascii="Times New Roman" w:hAnsi="Times New Roman" w:cs="Times New Roman"/>
          <w:sz w:val="28"/>
          <w:szCs w:val="28"/>
          <w:lang w:val="es-MX"/>
        </w:rPr>
        <w:t xml:space="preserve"> discrecionalmente,</w:t>
      </w:r>
      <w:r w:rsidRPr="005D2927">
        <w:rPr>
          <w:rFonts w:ascii="Times New Roman" w:hAnsi="Times New Roman" w:cs="Times New Roman"/>
          <w:sz w:val="28"/>
          <w:szCs w:val="28"/>
          <w:lang w:val="es-MX"/>
        </w:rPr>
        <w:t xml:space="preserve"> sin perspectiva de género y diversidad, tranformándose en discriminatorios</w:t>
      </w:r>
      <w:r w:rsidR="00F57521" w:rsidRPr="005D2927">
        <w:rPr>
          <w:rFonts w:ascii="Times New Roman" w:hAnsi="Times New Roman" w:cs="Times New Roman"/>
          <w:sz w:val="28"/>
          <w:szCs w:val="28"/>
          <w:lang w:val="es-MX"/>
        </w:rPr>
        <w:t>, como</w:t>
      </w:r>
      <w:r w:rsidR="00F57521" w:rsidRPr="005D2927">
        <w:rPr>
          <w:rFonts w:ascii="Times New Roman" w:hAnsi="Times New Roman" w:cs="Times New Roman"/>
          <w:sz w:val="28"/>
          <w:szCs w:val="28"/>
        </w:rPr>
        <w:t>: la “situación de pobreza”; “las magras condiciones habitacionales del `domicilio´ donde se llevaría adelante el arresto”; o la valoración como “mala madre” de la mujer que solicita el arresto efectuada por los jueces y juezas desde una concepción de “familia y ejercicio de maternidad ideal”. En el caso de las mujeres extranjeras, por la especial dificultad para encontrar un domicilio que desde los juzgados sea considerado “apto”</w:t>
      </w:r>
      <w:r w:rsidR="00020059">
        <w:rPr>
          <w:rFonts w:ascii="Times New Roman" w:hAnsi="Times New Roman" w:cs="Times New Roman"/>
          <w:sz w:val="28"/>
          <w:szCs w:val="28"/>
        </w:rPr>
        <w:t>.</w:t>
      </w:r>
      <w:r w:rsidR="00020059">
        <w:rPr>
          <w:rStyle w:val="FootnoteReference"/>
          <w:rFonts w:ascii="Times New Roman" w:hAnsi="Times New Roman" w:cs="Times New Roman"/>
          <w:sz w:val="28"/>
          <w:szCs w:val="28"/>
        </w:rPr>
        <w:footnoteReference w:id="6"/>
      </w:r>
      <w:r w:rsidR="00F57521" w:rsidRPr="005D2927">
        <w:rPr>
          <w:rFonts w:ascii="Times New Roman" w:hAnsi="Times New Roman" w:cs="Times New Roman"/>
          <w:sz w:val="28"/>
          <w:szCs w:val="28"/>
        </w:rPr>
        <w:t xml:space="preserve"> </w:t>
      </w:r>
    </w:p>
    <w:p w14:paraId="72849785" w14:textId="77777777" w:rsidR="00020059" w:rsidRDefault="00020059" w:rsidP="005D2927">
      <w:pPr>
        <w:spacing w:line="360" w:lineRule="auto"/>
        <w:ind w:right="-1135"/>
        <w:jc w:val="both"/>
        <w:rPr>
          <w:rFonts w:ascii="Times New Roman" w:hAnsi="Times New Roman" w:cs="Times New Roman"/>
          <w:sz w:val="28"/>
          <w:szCs w:val="28"/>
        </w:rPr>
      </w:pPr>
      <w:r>
        <w:rPr>
          <w:rFonts w:ascii="Times New Roman" w:hAnsi="Times New Roman" w:cs="Times New Roman"/>
          <w:sz w:val="28"/>
          <w:szCs w:val="28"/>
        </w:rPr>
        <w:t xml:space="preserve">Luego, en el transcurrir el Estado debe realizar un control diferenciado, que permita a las mujeres y personas LGBTIAQ+ cumplir los roles de cuidado, pero también comenzar a trabajar en as tres dimensiones del cuidado como derecho autónomo: facilitar el cuidado de hijos e hijas, propender a su autocuidado de salud física, mental y ser destinatarias de cuidado a través del empleo, talleres de formación profesional, etc. que les permita proyectar su vida hacia el futuro. Comprender el cuidado como un derecho autónomo permitirá derribar estereotipos y extenderlo hacia padres y referentes afectivos/as de las personas presas.  </w:t>
      </w:r>
    </w:p>
    <w:p w14:paraId="63B5C7A5" w14:textId="77777777" w:rsidR="00020059" w:rsidRPr="005D2927" w:rsidRDefault="00020059"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rPr>
        <w:t>Asimismo, en la órbit</w:t>
      </w:r>
      <w:r w:rsidRPr="003E3DEF">
        <w:rPr>
          <w:rFonts w:ascii="Times New Roman" w:hAnsi="Times New Roman" w:cs="Times New Roman"/>
          <w:sz w:val="28"/>
          <w:szCs w:val="28"/>
        </w:rPr>
        <w:t>a feder</w:t>
      </w:r>
      <w:r w:rsidR="003E3DEF" w:rsidRPr="003E3DEF">
        <w:rPr>
          <w:rFonts w:ascii="Times New Roman" w:hAnsi="Times New Roman" w:cs="Times New Roman"/>
          <w:sz w:val="28"/>
          <w:szCs w:val="28"/>
        </w:rPr>
        <w:t xml:space="preserve">al, a pesar del trabajo de la </w:t>
      </w:r>
      <w:r w:rsidR="003E3DEF">
        <w:rPr>
          <w:rFonts w:ascii="Times New Roman" w:hAnsi="Times New Roman" w:cs="Times New Roman"/>
          <w:sz w:val="28"/>
          <w:szCs w:val="28"/>
          <w:shd w:val="clear" w:color="auto" w:fill="FFFFFF"/>
        </w:rPr>
        <w:t>Dirección de</w:t>
      </w:r>
      <w:r w:rsidR="003E3DEF" w:rsidRPr="003E3DEF">
        <w:rPr>
          <w:rFonts w:ascii="Times New Roman" w:hAnsi="Times New Roman" w:cs="Times New Roman"/>
          <w:sz w:val="28"/>
          <w:szCs w:val="28"/>
          <w:shd w:val="clear" w:color="auto" w:fill="FFFFFF"/>
        </w:rPr>
        <w:t xml:space="preserve"> Control y Asistencia de Ejecución Penal (DCAEP)</w:t>
      </w:r>
      <w:r w:rsidR="003E3DEF">
        <w:rPr>
          <w:rFonts w:ascii="Times New Roman" w:hAnsi="Times New Roman" w:cs="Times New Roman"/>
          <w:sz w:val="28"/>
          <w:szCs w:val="28"/>
          <w:shd w:val="clear" w:color="auto" w:fill="FFFFFF"/>
        </w:rPr>
        <w:t>, jueces y juezas no autorizan el empleo o asistencia a talleres de capacitación. Sólo se autorizan salidas vinculadas estrictamente a los roles de género.</w:t>
      </w:r>
      <w:r>
        <w:rPr>
          <w:rFonts w:ascii="Times New Roman" w:hAnsi="Times New Roman" w:cs="Times New Roman"/>
          <w:sz w:val="28"/>
          <w:szCs w:val="28"/>
        </w:rPr>
        <w:t xml:space="preserve">  </w:t>
      </w:r>
    </w:p>
    <w:p w14:paraId="4FB8E85F" w14:textId="77777777" w:rsidR="0090538F" w:rsidRPr="005D2927" w:rsidRDefault="0090538F" w:rsidP="005D2927">
      <w:pPr>
        <w:pStyle w:val="Default"/>
        <w:spacing w:line="360" w:lineRule="auto"/>
        <w:ind w:right="-1135"/>
        <w:jc w:val="both"/>
        <w:rPr>
          <w:color w:val="auto"/>
          <w:sz w:val="28"/>
          <w:szCs w:val="28"/>
        </w:rPr>
      </w:pPr>
      <w:r w:rsidRPr="005D2927">
        <w:rPr>
          <w:color w:val="auto"/>
          <w:sz w:val="28"/>
          <w:szCs w:val="28"/>
        </w:rPr>
        <w:t>El número más alto</w:t>
      </w:r>
      <w:r w:rsidR="00020059">
        <w:rPr>
          <w:color w:val="auto"/>
          <w:sz w:val="28"/>
          <w:szCs w:val="28"/>
        </w:rPr>
        <w:t xml:space="preserve"> de prisiones domicil</w:t>
      </w:r>
      <w:r w:rsidRPr="005D2927">
        <w:rPr>
          <w:color w:val="auto"/>
          <w:sz w:val="28"/>
          <w:szCs w:val="28"/>
        </w:rPr>
        <w:t>i</w:t>
      </w:r>
      <w:r w:rsidR="00020059">
        <w:rPr>
          <w:color w:val="auto"/>
          <w:sz w:val="28"/>
          <w:szCs w:val="28"/>
        </w:rPr>
        <w:t>a</w:t>
      </w:r>
      <w:r w:rsidRPr="005D2927">
        <w:rPr>
          <w:color w:val="auto"/>
          <w:sz w:val="28"/>
          <w:szCs w:val="28"/>
        </w:rPr>
        <w:t>rias y detenciones domiciliarias fue durante la pandemia del COVID-19, por razones humanitarias y siguiendo las recomendaciones de la A</w:t>
      </w:r>
      <w:r w:rsidR="00020059">
        <w:rPr>
          <w:color w:val="auto"/>
          <w:sz w:val="28"/>
          <w:szCs w:val="28"/>
        </w:rPr>
        <w:t>lta Comisionada de DDHH, el Secret</w:t>
      </w:r>
      <w:r w:rsidRPr="005D2927">
        <w:rPr>
          <w:color w:val="auto"/>
          <w:sz w:val="28"/>
          <w:szCs w:val="28"/>
        </w:rPr>
        <w:t>a</w:t>
      </w:r>
      <w:r w:rsidR="00020059">
        <w:rPr>
          <w:color w:val="auto"/>
          <w:sz w:val="28"/>
          <w:szCs w:val="28"/>
        </w:rPr>
        <w:t>r</w:t>
      </w:r>
      <w:r w:rsidRPr="005D2927">
        <w:rPr>
          <w:color w:val="auto"/>
          <w:sz w:val="28"/>
          <w:szCs w:val="28"/>
        </w:rPr>
        <w:t>io Gene</w:t>
      </w:r>
      <w:r w:rsidR="00020059">
        <w:rPr>
          <w:color w:val="auto"/>
          <w:sz w:val="28"/>
          <w:szCs w:val="28"/>
        </w:rPr>
        <w:t>ral de la ONU y la Presid</w:t>
      </w:r>
      <w:r w:rsidRPr="005D2927">
        <w:rPr>
          <w:color w:val="auto"/>
          <w:sz w:val="28"/>
          <w:szCs w:val="28"/>
        </w:rPr>
        <w:t>e</w:t>
      </w:r>
      <w:r w:rsidR="00020059">
        <w:rPr>
          <w:color w:val="auto"/>
          <w:sz w:val="28"/>
          <w:szCs w:val="28"/>
        </w:rPr>
        <w:t>n</w:t>
      </w:r>
      <w:r w:rsidRPr="005D2927">
        <w:rPr>
          <w:color w:val="auto"/>
          <w:sz w:val="28"/>
          <w:szCs w:val="28"/>
        </w:rPr>
        <w:t>ta del MESECVI.</w:t>
      </w:r>
    </w:p>
    <w:p w14:paraId="03B75FC7" w14:textId="77777777" w:rsidR="00C03DF5" w:rsidRPr="005D2927" w:rsidRDefault="00C03DF5" w:rsidP="005D2927">
      <w:pPr>
        <w:spacing w:line="360" w:lineRule="auto"/>
        <w:ind w:right="-1135"/>
        <w:jc w:val="both"/>
        <w:rPr>
          <w:rFonts w:ascii="Times New Roman" w:hAnsi="Times New Roman" w:cs="Times New Roman"/>
          <w:sz w:val="28"/>
          <w:szCs w:val="28"/>
          <w:lang w:val="es-MX"/>
        </w:rPr>
      </w:pPr>
    </w:p>
    <w:p w14:paraId="2CE211E9" w14:textId="77777777" w:rsidR="00821C47" w:rsidRPr="003E3DEF" w:rsidRDefault="00083817" w:rsidP="005D2927">
      <w:pPr>
        <w:spacing w:line="360" w:lineRule="auto"/>
        <w:ind w:right="-1135"/>
        <w:jc w:val="both"/>
        <w:rPr>
          <w:rFonts w:ascii="Times New Roman" w:hAnsi="Times New Roman" w:cs="Times New Roman"/>
          <w:b/>
          <w:sz w:val="28"/>
          <w:szCs w:val="28"/>
          <w:lang w:val="es-MX"/>
        </w:rPr>
      </w:pPr>
      <w:r w:rsidRPr="003E3DEF">
        <w:rPr>
          <w:rFonts w:ascii="Times New Roman" w:hAnsi="Times New Roman" w:cs="Times New Roman"/>
          <w:b/>
          <w:sz w:val="28"/>
          <w:szCs w:val="28"/>
          <w:lang w:val="es-MX"/>
        </w:rPr>
        <w:t>Ley de Ejecución penal: penas perpetuas</w:t>
      </w:r>
    </w:p>
    <w:p w14:paraId="77D5EF75" w14:textId="77777777" w:rsidR="00A07B18" w:rsidRPr="003E3DEF" w:rsidRDefault="003E3DEF" w:rsidP="005D2927">
      <w:pPr>
        <w:spacing w:line="360" w:lineRule="auto"/>
        <w:ind w:right="-1135"/>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El </w:t>
      </w:r>
      <w:r w:rsidR="00A07B18" w:rsidRPr="005D2927">
        <w:rPr>
          <w:rFonts w:ascii="Times New Roman" w:hAnsi="Times New Roman" w:cs="Times New Roman"/>
          <w:sz w:val="28"/>
          <w:szCs w:val="28"/>
          <w:shd w:val="clear" w:color="auto" w:fill="FFFFFF"/>
        </w:rPr>
        <w:t>21 de no</w:t>
      </w:r>
      <w:r>
        <w:rPr>
          <w:rFonts w:ascii="Times New Roman" w:hAnsi="Times New Roman" w:cs="Times New Roman"/>
          <w:sz w:val="28"/>
          <w:szCs w:val="28"/>
          <w:shd w:val="clear" w:color="auto" w:fill="FFFFFF"/>
        </w:rPr>
        <w:t xml:space="preserve">viembre de 2024- fallo “Guerra”, la Corte Suprema de Justicia de la Nación, </w:t>
      </w:r>
      <w:r w:rsidR="00A07B18" w:rsidRPr="005D2927">
        <w:rPr>
          <w:rFonts w:ascii="Times New Roman" w:hAnsi="Times New Roman" w:cs="Times New Roman"/>
          <w:sz w:val="28"/>
          <w:szCs w:val="28"/>
          <w:shd w:val="clear" w:color="auto" w:fill="FFFFFF"/>
        </w:rPr>
        <w:t xml:space="preserve">recordó que </w:t>
      </w:r>
      <w:r w:rsidR="00A07B18" w:rsidRPr="003E3DEF">
        <w:rPr>
          <w:rFonts w:ascii="Times New Roman" w:hAnsi="Times New Roman" w:cs="Times New Roman"/>
          <w:i/>
          <w:sz w:val="28"/>
          <w:szCs w:val="28"/>
          <w:shd w:val="clear" w:color="auto" w:fill="FFFFFF"/>
        </w:rPr>
        <w:t>toda pena privativa de libertad debe orientarse hacia la reinserción social, lo cual implica la posibilidad de recuperar la libertad. La imposición de una pena perpetua efectiva, según señaló, vulnera la integridad de la persona, ocasionando trastornos psicológicos que la tornan incompatible con la prohibición de tormentos establecida en el artículo 18 de la Constitución Nacional</w:t>
      </w:r>
      <w:r w:rsidR="00A07B18" w:rsidRPr="005D2927">
        <w:rPr>
          <w:rFonts w:ascii="Times New Roman" w:hAnsi="Times New Roman" w:cs="Times New Roman"/>
          <w:sz w:val="28"/>
          <w:szCs w:val="28"/>
          <w:shd w:val="clear" w:color="auto" w:fill="FFFFFF"/>
        </w:rPr>
        <w:t>.</w:t>
      </w:r>
    </w:p>
    <w:p w14:paraId="65505735" w14:textId="77777777" w:rsidR="00A07B18" w:rsidRPr="005D2927" w:rsidRDefault="003E3DEF"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shd w:val="clear" w:color="auto" w:fill="FFFFFF"/>
        </w:rPr>
        <w:t xml:space="preserve">En este fallo </w:t>
      </w:r>
      <w:r w:rsidR="00A07B18" w:rsidRPr="005D2927">
        <w:rPr>
          <w:rFonts w:ascii="Times New Roman" w:hAnsi="Times New Roman" w:cs="Times New Roman"/>
          <w:sz w:val="28"/>
          <w:szCs w:val="28"/>
          <w:shd w:val="clear" w:color="auto" w:fill="FFFFFF"/>
        </w:rPr>
        <w:t>declaró la inconstitucionalidad de la imposibilidad de que los condenados a prisión perpetua accedan a la libertad condicional, reivindicando así el </w:t>
      </w:r>
      <w:hyperlink r:id="rId12" w:tgtFrame="_blank" w:history="1">
        <w:r w:rsidR="00A07B18" w:rsidRPr="005D2927">
          <w:rPr>
            <w:rStyle w:val="Hyperlink"/>
            <w:rFonts w:ascii="Times New Roman" w:hAnsi="Times New Roman" w:cs="Times New Roman"/>
            <w:color w:val="auto"/>
            <w:sz w:val="28"/>
            <w:szCs w:val="28"/>
            <w:shd w:val="clear" w:color="auto" w:fill="FFFFFF"/>
          </w:rPr>
          <w:t>derecho a la esperanza</w:t>
        </w:r>
      </w:hyperlink>
      <w:r w:rsidR="00A07B18" w:rsidRPr="005D2927">
        <w:rPr>
          <w:rFonts w:ascii="Times New Roman" w:hAnsi="Times New Roman" w:cs="Times New Roman"/>
          <w:sz w:val="28"/>
          <w:szCs w:val="28"/>
          <w:shd w:val="clear" w:color="auto" w:fill="FFFFFF"/>
        </w:rPr>
        <w:t> y el principio de resocialización. La Corte no invalidó la prisión perpetua, sino que sostuvo que no puede ser perpetua en su aplicación, es decir, la exclusión total y de por vida de la libertad condicional, contraviniendo normas constitucionales y tratados de derechos humanos.</w:t>
      </w:r>
      <w:r w:rsidR="00A07B18" w:rsidRPr="005D2927">
        <w:rPr>
          <w:rStyle w:val="uv3um"/>
          <w:rFonts w:ascii="Times New Roman" w:hAnsi="Times New Roman" w:cs="Times New Roman"/>
          <w:sz w:val="28"/>
          <w:szCs w:val="28"/>
          <w:shd w:val="clear" w:color="auto" w:fill="FFFFFF"/>
        </w:rPr>
        <w:t> </w:t>
      </w:r>
    </w:p>
    <w:p w14:paraId="562E8842" w14:textId="77777777" w:rsidR="003E3DEF" w:rsidRDefault="003E3DEF" w:rsidP="005D2927">
      <w:pPr>
        <w:spacing w:line="360" w:lineRule="auto"/>
        <w:ind w:right="-1135"/>
        <w:jc w:val="both"/>
        <w:rPr>
          <w:rFonts w:ascii="Times New Roman" w:hAnsi="Times New Roman" w:cs="Times New Roman"/>
          <w:b/>
          <w:sz w:val="28"/>
          <w:szCs w:val="28"/>
          <w:lang w:val="es-MX"/>
        </w:rPr>
      </w:pPr>
    </w:p>
    <w:p w14:paraId="522E3D6B" w14:textId="77777777" w:rsidR="00083817" w:rsidRDefault="00083817" w:rsidP="005D2927">
      <w:pPr>
        <w:spacing w:line="360" w:lineRule="auto"/>
        <w:ind w:right="-1135"/>
        <w:jc w:val="both"/>
        <w:rPr>
          <w:rFonts w:ascii="Times New Roman" w:hAnsi="Times New Roman" w:cs="Times New Roman"/>
          <w:b/>
          <w:sz w:val="28"/>
          <w:szCs w:val="28"/>
          <w:lang w:val="es-MX"/>
        </w:rPr>
      </w:pPr>
      <w:r w:rsidRPr="00020059">
        <w:rPr>
          <w:rFonts w:ascii="Times New Roman" w:hAnsi="Times New Roman" w:cs="Times New Roman"/>
          <w:b/>
          <w:sz w:val="28"/>
          <w:szCs w:val="28"/>
          <w:lang w:val="es-MX"/>
        </w:rPr>
        <w:t>Migrantes: extrañamiento</w:t>
      </w:r>
    </w:p>
    <w:p w14:paraId="52F70BDC" w14:textId="77777777" w:rsidR="00E6108D" w:rsidRPr="00403A27" w:rsidRDefault="00E6108D" w:rsidP="005D2927">
      <w:pPr>
        <w:spacing w:line="360" w:lineRule="auto"/>
        <w:ind w:right="-1135"/>
        <w:jc w:val="both"/>
        <w:rPr>
          <w:rFonts w:ascii="Times New Roman" w:hAnsi="Times New Roman" w:cs="Times New Roman"/>
          <w:sz w:val="28"/>
          <w:szCs w:val="28"/>
          <w:lang w:val="es-MX"/>
        </w:rPr>
      </w:pPr>
      <w:r w:rsidRPr="00403A27">
        <w:rPr>
          <w:rFonts w:ascii="Times New Roman" w:hAnsi="Times New Roman" w:cs="Times New Roman"/>
          <w:sz w:val="28"/>
          <w:szCs w:val="28"/>
          <w:lang w:val="es-MX"/>
        </w:rPr>
        <w:t>En relación a la población migra</w:t>
      </w:r>
      <w:r w:rsidR="00403A27" w:rsidRPr="00403A27">
        <w:rPr>
          <w:rFonts w:ascii="Times New Roman" w:hAnsi="Times New Roman" w:cs="Times New Roman"/>
          <w:sz w:val="28"/>
          <w:szCs w:val="28"/>
          <w:lang w:val="es-MX"/>
        </w:rPr>
        <w:t>n</w:t>
      </w:r>
      <w:r w:rsidRPr="00403A27">
        <w:rPr>
          <w:rFonts w:ascii="Times New Roman" w:hAnsi="Times New Roman" w:cs="Times New Roman"/>
          <w:sz w:val="28"/>
          <w:szCs w:val="28"/>
          <w:lang w:val="es-MX"/>
        </w:rPr>
        <w:t>te, y a pesar de la recomendación del CAT</w:t>
      </w:r>
      <w:r w:rsidR="00403A27" w:rsidRPr="00403A27">
        <w:rPr>
          <w:rFonts w:ascii="Times New Roman" w:hAnsi="Times New Roman" w:cs="Times New Roman"/>
          <w:sz w:val="28"/>
          <w:szCs w:val="28"/>
          <w:lang w:val="es-MX"/>
        </w:rPr>
        <w:t>, en el Séptimo Informe Periódico de Argentina, párrafo 71, existe una regresión en relación a este tema.</w:t>
      </w:r>
    </w:p>
    <w:p w14:paraId="6A8ED687" w14:textId="77777777" w:rsidR="00A07B18" w:rsidRPr="005D2927" w:rsidRDefault="00403A27" w:rsidP="005D2927">
      <w:pPr>
        <w:spacing w:line="360" w:lineRule="auto"/>
        <w:ind w:right="-1135"/>
        <w:jc w:val="both"/>
        <w:rPr>
          <w:rStyle w:val="uv3um"/>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Existe un</w:t>
      </w:r>
      <w:r w:rsidR="00A07B18" w:rsidRPr="005D2927">
        <w:rPr>
          <w:rFonts w:ascii="Times New Roman" w:hAnsi="Times New Roman" w:cs="Times New Roman"/>
          <w:sz w:val="28"/>
          <w:szCs w:val="28"/>
          <w:shd w:val="clear" w:color="auto" w:fill="FFFFFF"/>
        </w:rPr>
        <w:t>a nueva disposición en Argentina </w:t>
      </w:r>
      <w:r w:rsidR="003E3DEF" w:rsidRPr="005D2927">
        <w:rPr>
          <w:rFonts w:ascii="Times New Roman" w:hAnsi="Times New Roman" w:cs="Times New Roman"/>
          <w:sz w:val="28"/>
          <w:szCs w:val="28"/>
          <w:shd w:val="clear" w:color="auto" w:fill="FFFFFF"/>
        </w:rPr>
        <w:t>introducida por el decreto 366/2025</w:t>
      </w:r>
      <w:r w:rsidR="003E3DEF">
        <w:rPr>
          <w:rFonts w:ascii="Times New Roman" w:hAnsi="Times New Roman" w:cs="Times New Roman"/>
          <w:sz w:val="28"/>
          <w:szCs w:val="28"/>
          <w:shd w:val="clear" w:color="auto" w:fill="FFFFFF"/>
        </w:rPr>
        <w:t xml:space="preserve">, </w:t>
      </w:r>
      <w:r w:rsidR="00A07B18" w:rsidRPr="005D2927">
        <w:rPr>
          <w:rFonts w:ascii="Times New Roman" w:hAnsi="Times New Roman" w:cs="Times New Roman"/>
          <w:sz w:val="28"/>
          <w:szCs w:val="28"/>
          <w:shd w:val="clear" w:color="auto" w:fill="FFFFFF"/>
        </w:rPr>
        <w:t>establece la deportación obligatoria de cualquier extranjero condenado por cometer un delito doloso, sin</w:t>
      </w:r>
      <w:r w:rsidR="003E3DEF">
        <w:rPr>
          <w:rFonts w:ascii="Times New Roman" w:hAnsi="Times New Roman" w:cs="Times New Roman"/>
          <w:sz w:val="28"/>
          <w:szCs w:val="28"/>
          <w:shd w:val="clear" w:color="auto" w:fill="FFFFFF"/>
        </w:rPr>
        <w:t xml:space="preserve"> importar la pena. Esta medida </w:t>
      </w:r>
      <w:r w:rsidR="00A07B18" w:rsidRPr="005D2927">
        <w:rPr>
          <w:rFonts w:ascii="Times New Roman" w:hAnsi="Times New Roman" w:cs="Times New Roman"/>
          <w:sz w:val="28"/>
          <w:szCs w:val="28"/>
          <w:shd w:val="clear" w:color="auto" w:fill="FFFFFF"/>
        </w:rPr>
        <w:t>unifica la expulsión de todos los extranjeros que cometan un delito en el país, y es un cambio significativo respecto a la normativa anterior, que contemplaba la expulsión solo por condenas superiores a cinco años. Además, se agilizan los procesos de apelación de expulsión y se contempla la prohibición de reingreso por un plazo mínimo de 8 años si el delito fue doloso.</w:t>
      </w:r>
      <w:r w:rsidR="00A07B18" w:rsidRPr="005D2927">
        <w:rPr>
          <w:rStyle w:val="uv3um"/>
          <w:rFonts w:ascii="Times New Roman" w:hAnsi="Times New Roman" w:cs="Times New Roman"/>
          <w:sz w:val="28"/>
          <w:szCs w:val="28"/>
          <w:shd w:val="clear" w:color="auto" w:fill="FFFFFF"/>
        </w:rPr>
        <w:t> </w:t>
      </w:r>
    </w:p>
    <w:p w14:paraId="04C8F08F" w14:textId="77777777" w:rsidR="00E6108D" w:rsidRPr="00E6108D" w:rsidRDefault="00A07B18" w:rsidP="005D2927">
      <w:pPr>
        <w:spacing w:line="360" w:lineRule="auto"/>
        <w:ind w:right="-1135"/>
        <w:jc w:val="both"/>
        <w:rPr>
          <w:rFonts w:ascii="Times New Roman" w:hAnsi="Times New Roman" w:cs="Times New Roman"/>
          <w:spacing w:val="-3"/>
          <w:sz w:val="28"/>
          <w:szCs w:val="28"/>
          <w:shd w:val="clear" w:color="auto" w:fill="FFFFFF"/>
        </w:rPr>
      </w:pPr>
      <w:r w:rsidRPr="005D2927">
        <w:rPr>
          <w:rFonts w:ascii="Times New Roman" w:hAnsi="Times New Roman" w:cs="Times New Roman"/>
          <w:spacing w:val="-3"/>
          <w:sz w:val="28"/>
          <w:szCs w:val="28"/>
          <w:shd w:val="clear" w:color="auto" w:fill="FFFFFF"/>
        </w:rPr>
        <w:t xml:space="preserve">Esto implica que los ilícitos con penas menores a cinco años, que no eran motivo de rechazo de ingreso al </w:t>
      </w:r>
      <w:r w:rsidR="003E3DEF">
        <w:rPr>
          <w:rFonts w:ascii="Times New Roman" w:hAnsi="Times New Roman" w:cs="Times New Roman"/>
          <w:spacing w:val="-3"/>
          <w:sz w:val="28"/>
          <w:szCs w:val="28"/>
          <w:shd w:val="clear" w:color="auto" w:fill="FFFFFF"/>
        </w:rPr>
        <w:t xml:space="preserve">país o de deportación, desde 2025 </w:t>
      </w:r>
      <w:r w:rsidR="00E6108D">
        <w:rPr>
          <w:rFonts w:ascii="Times New Roman" w:hAnsi="Times New Roman" w:cs="Times New Roman"/>
          <w:spacing w:val="-3"/>
          <w:sz w:val="28"/>
          <w:szCs w:val="28"/>
          <w:shd w:val="clear" w:color="auto" w:fill="FFFFFF"/>
        </w:rPr>
        <w:t>importará la expulsión y prohibición de ingreso</w:t>
      </w:r>
      <w:r w:rsidRPr="005D2927">
        <w:rPr>
          <w:rFonts w:ascii="Times New Roman" w:hAnsi="Times New Roman" w:cs="Times New Roman"/>
          <w:spacing w:val="-3"/>
          <w:sz w:val="28"/>
          <w:szCs w:val="28"/>
          <w:shd w:val="clear" w:color="auto" w:fill="FFFFFF"/>
        </w:rPr>
        <w:t>.</w:t>
      </w:r>
      <w:r w:rsidR="00E6108D">
        <w:rPr>
          <w:rFonts w:ascii="Times New Roman" w:hAnsi="Times New Roman" w:cs="Times New Roman"/>
          <w:spacing w:val="-3"/>
          <w:sz w:val="28"/>
          <w:szCs w:val="28"/>
          <w:shd w:val="clear" w:color="auto" w:fill="FFFFFF"/>
        </w:rPr>
        <w:t xml:space="preserve"> Si tenemos en consideración la mencionada “ley de narcomenudeo”, en los hechos implica la separación de aquellos/as que tengan familiares, especialmente hijos e hijas argentinos/as. </w:t>
      </w:r>
    </w:p>
    <w:p w14:paraId="2BC14690" w14:textId="77777777" w:rsidR="00E6108D" w:rsidRDefault="00E6108D" w:rsidP="005D2927">
      <w:pPr>
        <w:spacing w:line="360" w:lineRule="auto"/>
        <w:ind w:right="-1135"/>
        <w:jc w:val="both"/>
        <w:rPr>
          <w:rFonts w:ascii="Times New Roman" w:hAnsi="Times New Roman" w:cs="Times New Roman"/>
          <w:b/>
          <w:sz w:val="28"/>
          <w:szCs w:val="28"/>
          <w:lang w:val="es-MX"/>
        </w:rPr>
      </w:pPr>
    </w:p>
    <w:p w14:paraId="30BCC706" w14:textId="77777777" w:rsidR="00B81702" w:rsidRPr="00020059" w:rsidRDefault="0051129F" w:rsidP="005D2927">
      <w:pPr>
        <w:spacing w:line="360" w:lineRule="auto"/>
        <w:ind w:right="-1135"/>
        <w:jc w:val="both"/>
        <w:rPr>
          <w:rFonts w:ascii="Times New Roman" w:hAnsi="Times New Roman" w:cs="Times New Roman"/>
          <w:b/>
          <w:sz w:val="28"/>
          <w:szCs w:val="28"/>
          <w:lang w:val="es-MX"/>
        </w:rPr>
      </w:pPr>
      <w:r w:rsidRPr="00020059">
        <w:rPr>
          <w:rFonts w:ascii="Times New Roman" w:hAnsi="Times New Roman" w:cs="Times New Roman"/>
          <w:b/>
          <w:sz w:val="28"/>
          <w:szCs w:val="28"/>
          <w:lang w:val="es-MX"/>
        </w:rPr>
        <w:t>Recomendaciones</w:t>
      </w:r>
    </w:p>
    <w:p w14:paraId="552BFA4F" w14:textId="77777777" w:rsidR="00B81702" w:rsidRPr="005D2927" w:rsidRDefault="00B81702"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1. Retornar al plazo máximo de la prisión preventiva previsto por la Ley 24390 en sus arts. 1 y 2: dos (2) años con una prórroga de un (1) año </w:t>
      </w:r>
      <w:r w:rsidR="0019677A" w:rsidRPr="005D2927">
        <w:rPr>
          <w:rFonts w:ascii="Times New Roman" w:hAnsi="Times New Roman" w:cs="Times New Roman"/>
          <w:sz w:val="28"/>
          <w:szCs w:val="28"/>
          <w:lang w:val="es-MX"/>
        </w:rPr>
        <w:t>más seis (6) meses si existe una condena o firme. Lo que es exigble, en atención a la implementación de los sistemas acusatorios y la aceleración del proceso hasta las condenas.</w:t>
      </w:r>
    </w:p>
    <w:p w14:paraId="132E8D55" w14:textId="77777777" w:rsidR="0019677A" w:rsidRPr="005D2927" w:rsidRDefault="00B81702"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2. </w:t>
      </w:r>
      <w:r w:rsidR="0019677A" w:rsidRPr="005D2927">
        <w:rPr>
          <w:rFonts w:ascii="Times New Roman" w:hAnsi="Times New Roman" w:cs="Times New Roman"/>
          <w:sz w:val="28"/>
          <w:szCs w:val="28"/>
          <w:lang w:val="es-MX"/>
        </w:rPr>
        <w:t>Creación de un régimen de a</w:t>
      </w:r>
      <w:r w:rsidRPr="005D2927">
        <w:rPr>
          <w:rFonts w:ascii="Times New Roman" w:hAnsi="Times New Roman" w:cs="Times New Roman"/>
          <w:sz w:val="28"/>
          <w:szCs w:val="28"/>
          <w:lang w:val="es-MX"/>
        </w:rPr>
        <w:t xml:space="preserve">bordaje específico extracarcelario para penas cortas (inferiores a tres años) relacionadas a delitos de narcomenudeo, hacia la mujer, contra la propiedad o la administración pública. </w:t>
      </w:r>
    </w:p>
    <w:p w14:paraId="7BF0A72E" w14:textId="77777777" w:rsidR="00B81702" w:rsidRPr="005D2927" w:rsidRDefault="0019677A"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lang w:val="es-MX"/>
        </w:rPr>
        <w:t>3. Exhortar al uso de Mini</w:t>
      </w:r>
      <w:r w:rsidR="00571DC8" w:rsidRPr="005D2927">
        <w:rPr>
          <w:rFonts w:ascii="Times New Roman" w:hAnsi="Times New Roman" w:cs="Times New Roman"/>
          <w:sz w:val="28"/>
          <w:szCs w:val="28"/>
          <w:lang w:val="es-MX"/>
        </w:rPr>
        <w:t>s</w:t>
      </w:r>
      <w:r w:rsidRPr="005D2927">
        <w:rPr>
          <w:rFonts w:ascii="Times New Roman" w:hAnsi="Times New Roman" w:cs="Times New Roman"/>
          <w:sz w:val="28"/>
          <w:szCs w:val="28"/>
          <w:lang w:val="es-MX"/>
        </w:rPr>
        <w:t xml:space="preserve">terio Público Fiscal, Defensa y Judicatura de las </w:t>
      </w:r>
      <w:r w:rsidR="00B81702" w:rsidRPr="005D2927">
        <w:rPr>
          <w:rFonts w:ascii="Times New Roman" w:hAnsi="Times New Roman" w:cs="Times New Roman"/>
          <w:sz w:val="28"/>
          <w:szCs w:val="28"/>
          <w:lang w:val="es-MX"/>
        </w:rPr>
        <w:t>alterativa</w:t>
      </w:r>
      <w:r w:rsidRPr="005D2927">
        <w:rPr>
          <w:rFonts w:ascii="Times New Roman" w:hAnsi="Times New Roman" w:cs="Times New Roman"/>
          <w:sz w:val="28"/>
          <w:szCs w:val="28"/>
          <w:lang w:val="es-MX"/>
        </w:rPr>
        <w:t>s</w:t>
      </w:r>
      <w:r w:rsidR="00B81702" w:rsidRPr="005D2927">
        <w:rPr>
          <w:rFonts w:ascii="Times New Roman" w:hAnsi="Times New Roman" w:cs="Times New Roman"/>
          <w:sz w:val="28"/>
          <w:szCs w:val="28"/>
          <w:lang w:val="es-MX"/>
        </w:rPr>
        <w:t xml:space="preserve"> a la prisión </w:t>
      </w:r>
      <w:r w:rsidRPr="005D2927">
        <w:rPr>
          <w:rFonts w:ascii="Times New Roman" w:hAnsi="Times New Roman" w:cs="Times New Roman"/>
          <w:sz w:val="28"/>
          <w:szCs w:val="28"/>
          <w:lang w:val="es-MX"/>
        </w:rPr>
        <w:t xml:space="preserve">(preventiva o post condena) </w:t>
      </w:r>
      <w:r w:rsidR="00B81702" w:rsidRPr="005D2927">
        <w:rPr>
          <w:rFonts w:ascii="Times New Roman" w:hAnsi="Times New Roman" w:cs="Times New Roman"/>
          <w:sz w:val="28"/>
          <w:szCs w:val="28"/>
          <w:lang w:val="es-MX"/>
        </w:rPr>
        <w:t xml:space="preserve">regladas en el Código Penal, los códigos procesales </w:t>
      </w:r>
      <w:r w:rsidRPr="005D2927">
        <w:rPr>
          <w:rFonts w:ascii="Times New Roman" w:hAnsi="Times New Roman" w:cs="Times New Roman"/>
          <w:sz w:val="28"/>
          <w:szCs w:val="28"/>
          <w:lang w:val="es-MX"/>
        </w:rPr>
        <w:t xml:space="preserve">provinciales y federal, como la utilización de </w:t>
      </w:r>
      <w:r w:rsidR="00B81702" w:rsidRPr="005D2927">
        <w:rPr>
          <w:rFonts w:ascii="Times New Roman" w:hAnsi="Times New Roman" w:cs="Times New Roman"/>
          <w:sz w:val="28"/>
          <w:szCs w:val="28"/>
          <w:lang w:val="es-MX"/>
        </w:rPr>
        <w:t xml:space="preserve">las </w:t>
      </w:r>
      <w:r w:rsidR="00B81702" w:rsidRPr="005D2927">
        <w:rPr>
          <w:rFonts w:ascii="Times New Roman" w:hAnsi="Times New Roman" w:cs="Times New Roman"/>
          <w:sz w:val="28"/>
          <w:szCs w:val="28"/>
        </w:rPr>
        <w:t xml:space="preserve">Reglas mínimas de las Naciones Unidas sobre las medidas no privativas de la libertad (Reglas de Tokio) </w:t>
      </w:r>
      <w:r w:rsidR="00B81702" w:rsidRPr="005D2927">
        <w:rPr>
          <w:rFonts w:ascii="Times New Roman" w:hAnsi="Times New Roman" w:cs="Times New Roman"/>
          <w:sz w:val="28"/>
          <w:szCs w:val="28"/>
          <w:lang w:val="es-MX"/>
        </w:rPr>
        <w:t>en su art. 1.5 señala:</w:t>
      </w:r>
      <w:r w:rsidR="00B81702" w:rsidRPr="005D2927">
        <w:rPr>
          <w:rFonts w:ascii="Times New Roman" w:hAnsi="Times New Roman" w:cs="Times New Roman"/>
          <w:spacing w:val="4"/>
          <w:sz w:val="28"/>
          <w:szCs w:val="28"/>
        </w:rPr>
        <w:t xml:space="preserve"> </w:t>
      </w:r>
      <w:r w:rsidR="00B81702" w:rsidRPr="005D2927">
        <w:rPr>
          <w:rFonts w:ascii="Times New Roman" w:hAnsi="Times New Roman" w:cs="Times New Roman"/>
          <w:i/>
          <w:spacing w:val="4"/>
          <w:sz w:val="28"/>
          <w:szCs w:val="28"/>
        </w:rPr>
        <w:t>Los Estados Miembros introducirán medidas no privativas de la libertad en sus respectivos ordenamientos jurídicos para proporcionar otras opciones, y de esa manera reducir la aplicación de las penas de prisión, y racionalizar las políticas de justicia penal, teniendo en cuenta el respeto de los derechos humanos, las exigencias de la justicia social y las necesidades de rehabilitación del delincuente</w:t>
      </w:r>
      <w:r w:rsidRPr="005D2927">
        <w:rPr>
          <w:rFonts w:ascii="Times New Roman" w:hAnsi="Times New Roman" w:cs="Times New Roman"/>
          <w:i/>
          <w:spacing w:val="4"/>
          <w:sz w:val="28"/>
          <w:szCs w:val="28"/>
        </w:rPr>
        <w:t>, que tienen plena vigencia en nuestro país.</w:t>
      </w:r>
      <w:r w:rsidR="00571DC8" w:rsidRPr="005D2927">
        <w:rPr>
          <w:rFonts w:ascii="Times New Roman" w:hAnsi="Times New Roman" w:cs="Times New Roman"/>
          <w:i/>
          <w:spacing w:val="4"/>
          <w:sz w:val="28"/>
          <w:szCs w:val="28"/>
        </w:rPr>
        <w:t xml:space="preserve"> </w:t>
      </w:r>
      <w:r w:rsidR="00571DC8" w:rsidRPr="005D2927">
        <w:rPr>
          <w:rFonts w:ascii="Times New Roman" w:hAnsi="Times New Roman" w:cs="Times New Roman"/>
          <w:spacing w:val="4"/>
          <w:sz w:val="28"/>
          <w:szCs w:val="28"/>
        </w:rPr>
        <w:t>Especialmente en flagrancia, reiterancia y narcomenudeo, como también en relación a mujeres y po</w:t>
      </w:r>
      <w:r w:rsidR="00626770" w:rsidRPr="005D2927">
        <w:rPr>
          <w:rFonts w:ascii="Times New Roman" w:hAnsi="Times New Roman" w:cs="Times New Roman"/>
          <w:spacing w:val="4"/>
          <w:sz w:val="28"/>
          <w:szCs w:val="28"/>
        </w:rPr>
        <w:t>b</w:t>
      </w:r>
      <w:r w:rsidR="00571DC8" w:rsidRPr="005D2927">
        <w:rPr>
          <w:rFonts w:ascii="Times New Roman" w:hAnsi="Times New Roman" w:cs="Times New Roman"/>
          <w:spacing w:val="4"/>
          <w:sz w:val="28"/>
          <w:szCs w:val="28"/>
        </w:rPr>
        <w:t xml:space="preserve">lación LGBTIAQ+. </w:t>
      </w:r>
    </w:p>
    <w:p w14:paraId="5A4A7D7B" w14:textId="77777777" w:rsidR="00B81702" w:rsidRPr="005D2927" w:rsidRDefault="00A07B18"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4. Establecer fecha cierta de acceso a libertades anticipadas en los casos de pena a prisión perpetua</w:t>
      </w:r>
      <w:r w:rsidR="00CF542C" w:rsidRPr="005D2927">
        <w:rPr>
          <w:rFonts w:ascii="Times New Roman" w:hAnsi="Times New Roman" w:cs="Times New Roman"/>
          <w:sz w:val="28"/>
          <w:szCs w:val="28"/>
          <w:lang w:val="es-MX"/>
        </w:rPr>
        <w:t xml:space="preserve"> (fallo Guerra)</w:t>
      </w:r>
      <w:r w:rsidRPr="005D2927">
        <w:rPr>
          <w:rFonts w:ascii="Times New Roman" w:hAnsi="Times New Roman" w:cs="Times New Roman"/>
          <w:sz w:val="28"/>
          <w:szCs w:val="28"/>
          <w:lang w:val="es-MX"/>
        </w:rPr>
        <w:t>.</w:t>
      </w:r>
    </w:p>
    <w:p w14:paraId="76BCB591" w14:textId="77777777" w:rsidR="00A07B18" w:rsidRPr="005D2927" w:rsidRDefault="00A07B18"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5. Analizar el impacto de la desfederalización del narcomenudeo en las provincias que ya lo han adoptado</w:t>
      </w:r>
      <w:r w:rsidR="00CF542C" w:rsidRPr="005D2927">
        <w:rPr>
          <w:rFonts w:ascii="Times New Roman" w:hAnsi="Times New Roman" w:cs="Times New Roman"/>
          <w:sz w:val="28"/>
          <w:szCs w:val="28"/>
          <w:lang w:val="es-MX"/>
        </w:rPr>
        <w:t>. Indagar si este impacto redunda en beneficio o el colapso del sistema</w:t>
      </w:r>
    </w:p>
    <w:p w14:paraId="408E6C5E" w14:textId="77777777" w:rsidR="00CF542C" w:rsidRPr="005D2927" w:rsidRDefault="00CF542C"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6. Retornar a los criterios aplicados durante la pandemia ara el otorgamiento de la prisión domiciliaria.</w:t>
      </w:r>
    </w:p>
    <w:p w14:paraId="32E0332F" w14:textId="77777777" w:rsidR="00E6108D" w:rsidRPr="00E6108D" w:rsidRDefault="00CF542C"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lang w:val="es-MX"/>
        </w:rPr>
        <w:t xml:space="preserve">7. </w:t>
      </w:r>
      <w:r w:rsidR="00E6108D">
        <w:rPr>
          <w:rFonts w:ascii="Times New Roman" w:hAnsi="Times New Roman" w:cs="Times New Roman"/>
          <w:sz w:val="28"/>
          <w:szCs w:val="28"/>
        </w:rPr>
        <w:t>R</w:t>
      </w:r>
      <w:r w:rsidR="00E6108D" w:rsidRPr="005D2927">
        <w:rPr>
          <w:rFonts w:ascii="Times New Roman" w:hAnsi="Times New Roman" w:cs="Times New Roman"/>
          <w:sz w:val="28"/>
          <w:szCs w:val="28"/>
        </w:rPr>
        <w:t>ealizar un trabajo de contención (sea nacional, provincial o local) para fortalecer y acompaña</w:t>
      </w:r>
      <w:r w:rsidR="00E6108D">
        <w:rPr>
          <w:rFonts w:ascii="Times New Roman" w:hAnsi="Times New Roman" w:cs="Times New Roman"/>
          <w:sz w:val="28"/>
          <w:szCs w:val="28"/>
        </w:rPr>
        <w:t>r a las organizaciones sociales</w:t>
      </w:r>
      <w:r w:rsidR="00E6108D" w:rsidRPr="005D2927">
        <w:rPr>
          <w:rFonts w:ascii="Times New Roman" w:hAnsi="Times New Roman" w:cs="Times New Roman"/>
          <w:sz w:val="28"/>
          <w:szCs w:val="28"/>
        </w:rPr>
        <w:t xml:space="preserve"> para que las medidas </w:t>
      </w:r>
      <w:r w:rsidR="00E6108D">
        <w:rPr>
          <w:rFonts w:ascii="Times New Roman" w:hAnsi="Times New Roman" w:cs="Times New Roman"/>
          <w:sz w:val="28"/>
          <w:szCs w:val="28"/>
        </w:rPr>
        <w:t xml:space="preserve">de prisión y detención domiciliaria </w:t>
      </w:r>
      <w:r w:rsidR="00E6108D" w:rsidRPr="005D2927">
        <w:rPr>
          <w:rFonts w:ascii="Times New Roman" w:hAnsi="Times New Roman" w:cs="Times New Roman"/>
          <w:sz w:val="28"/>
          <w:szCs w:val="28"/>
        </w:rPr>
        <w:t>sean efec</w:t>
      </w:r>
      <w:r w:rsidR="00E6108D">
        <w:rPr>
          <w:rFonts w:ascii="Times New Roman" w:hAnsi="Times New Roman" w:cs="Times New Roman"/>
          <w:sz w:val="28"/>
          <w:szCs w:val="28"/>
        </w:rPr>
        <w:t xml:space="preserve">tivas y perduren en el tiempo. </w:t>
      </w:r>
    </w:p>
    <w:p w14:paraId="5E184E2A" w14:textId="77777777" w:rsidR="00CF542C" w:rsidRPr="005D2927" w:rsidRDefault="00E6108D"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 xml:space="preserve">8. </w:t>
      </w:r>
      <w:r w:rsidR="00CF542C" w:rsidRPr="005D2927">
        <w:rPr>
          <w:rFonts w:ascii="Times New Roman" w:hAnsi="Times New Roman" w:cs="Times New Roman"/>
          <w:sz w:val="28"/>
          <w:szCs w:val="28"/>
          <w:lang w:val="es-MX"/>
        </w:rPr>
        <w:t xml:space="preserve">Retornar al régimen </w:t>
      </w:r>
      <w:r w:rsidR="00403A27">
        <w:rPr>
          <w:rFonts w:ascii="Times New Roman" w:hAnsi="Times New Roman" w:cs="Times New Roman"/>
          <w:sz w:val="28"/>
          <w:szCs w:val="28"/>
          <w:lang w:val="es-MX"/>
        </w:rPr>
        <w:t xml:space="preserve">establecido por </w:t>
      </w:r>
      <w:r>
        <w:rPr>
          <w:rFonts w:ascii="Times New Roman" w:hAnsi="Times New Roman" w:cs="Times New Roman"/>
          <w:sz w:val="28"/>
          <w:szCs w:val="28"/>
          <w:lang w:val="es-MX"/>
        </w:rPr>
        <w:t>la Ley de Migraciones</w:t>
      </w:r>
      <w:r w:rsidR="00CF542C" w:rsidRPr="005D2927">
        <w:rPr>
          <w:rFonts w:ascii="Times New Roman" w:hAnsi="Times New Roman" w:cs="Times New Roman"/>
          <w:sz w:val="28"/>
          <w:szCs w:val="28"/>
          <w:lang w:val="es-MX"/>
        </w:rPr>
        <w:t>.</w:t>
      </w:r>
    </w:p>
    <w:p w14:paraId="657B9505" w14:textId="77777777" w:rsidR="00CF542C" w:rsidRPr="005D2927" w:rsidRDefault="00CF542C" w:rsidP="005D2927">
      <w:pPr>
        <w:spacing w:line="360" w:lineRule="auto"/>
        <w:ind w:right="-1135"/>
        <w:jc w:val="both"/>
        <w:rPr>
          <w:rFonts w:ascii="Times New Roman" w:hAnsi="Times New Roman" w:cs="Times New Roman"/>
          <w:sz w:val="28"/>
          <w:szCs w:val="28"/>
          <w:lang w:val="es-MX"/>
        </w:rPr>
      </w:pPr>
    </w:p>
    <w:p w14:paraId="5110D302" w14:textId="77777777" w:rsidR="00F923EA" w:rsidRPr="00403A27" w:rsidRDefault="00A07B18" w:rsidP="005D2927">
      <w:pPr>
        <w:spacing w:line="360" w:lineRule="auto"/>
        <w:ind w:right="-1135"/>
        <w:jc w:val="both"/>
        <w:rPr>
          <w:rFonts w:ascii="Times New Roman" w:hAnsi="Times New Roman" w:cs="Times New Roman"/>
          <w:b/>
          <w:sz w:val="28"/>
          <w:szCs w:val="28"/>
          <w:lang w:val="es-MX"/>
        </w:rPr>
      </w:pPr>
      <w:r w:rsidRPr="00403A27">
        <w:rPr>
          <w:rFonts w:ascii="Times New Roman" w:hAnsi="Times New Roman" w:cs="Times New Roman"/>
          <w:b/>
          <w:sz w:val="28"/>
          <w:szCs w:val="28"/>
          <w:lang w:val="es-MX"/>
        </w:rPr>
        <w:t xml:space="preserve">V. </w:t>
      </w:r>
      <w:r w:rsidR="0051129F" w:rsidRPr="00403A27">
        <w:rPr>
          <w:rFonts w:ascii="Times New Roman" w:hAnsi="Times New Roman" w:cs="Times New Roman"/>
          <w:b/>
          <w:sz w:val="28"/>
          <w:szCs w:val="28"/>
          <w:lang w:val="es-MX"/>
        </w:rPr>
        <w:t>Problemas centrales en relación a grupos con derechos históricamente vulnerados</w:t>
      </w:r>
    </w:p>
    <w:p w14:paraId="0D7BC6AD" w14:textId="77777777" w:rsidR="00A5109F" w:rsidRPr="005D2927" w:rsidRDefault="00A5109F" w:rsidP="005D2927">
      <w:pPr>
        <w:pStyle w:val="Default"/>
        <w:spacing w:line="360" w:lineRule="auto"/>
        <w:ind w:right="-1135"/>
        <w:jc w:val="both"/>
        <w:rPr>
          <w:color w:val="auto"/>
          <w:sz w:val="28"/>
          <w:szCs w:val="28"/>
        </w:rPr>
      </w:pPr>
    </w:p>
    <w:p w14:paraId="6081913E" w14:textId="77777777" w:rsidR="00026C3A" w:rsidRPr="005D2927" w:rsidRDefault="00A5109F" w:rsidP="005D2927">
      <w:pPr>
        <w:pStyle w:val="Default"/>
        <w:spacing w:line="360" w:lineRule="auto"/>
        <w:ind w:right="-1135"/>
        <w:jc w:val="both"/>
        <w:rPr>
          <w:color w:val="auto"/>
          <w:sz w:val="28"/>
          <w:szCs w:val="28"/>
        </w:rPr>
      </w:pPr>
      <w:r w:rsidRPr="005D2927">
        <w:rPr>
          <w:color w:val="auto"/>
          <w:sz w:val="28"/>
          <w:szCs w:val="28"/>
        </w:rPr>
        <w:t xml:space="preserve">Sobre el derecho, Raquel Ascencio nos señala que </w:t>
      </w:r>
      <w:r w:rsidRPr="005D2927">
        <w:rPr>
          <w:i/>
          <w:iCs/>
          <w:color w:val="auto"/>
          <w:sz w:val="28"/>
          <w:szCs w:val="28"/>
        </w:rPr>
        <w:t xml:space="preserve">en general, fue diseñado e implementado atendiendo a las necesidades masculinas. Por ello, tanto las normas, las instituciones y las prácticas jurídicas tienden a invisibilizar las experiencias y las necesidades jurídicas específicas de las mujeres. Estas circunstancias hacen que el sistema de administración de justicia y sus operadores judiciales no siempre estén preparados para atender adecuadamente las demandas femeninas. </w:t>
      </w:r>
      <w:r w:rsidRPr="005D2927">
        <w:rPr>
          <w:color w:val="auto"/>
          <w:sz w:val="28"/>
          <w:szCs w:val="28"/>
        </w:rPr>
        <w:t xml:space="preserve"> Asensio, Raquel ... [et.al.] </w:t>
      </w:r>
      <w:r w:rsidRPr="005D2927">
        <w:rPr>
          <w:i/>
          <w:iCs/>
          <w:color w:val="auto"/>
          <w:sz w:val="28"/>
          <w:szCs w:val="28"/>
        </w:rPr>
        <w:t xml:space="preserve">Discriminación de Género en las Decisiones Judiciales: Justicia Penal y Violencia de Género </w:t>
      </w:r>
      <w:r w:rsidRPr="005D2927">
        <w:rPr>
          <w:color w:val="auto"/>
          <w:sz w:val="28"/>
          <w:szCs w:val="28"/>
        </w:rPr>
        <w:t>- 1a ed. - Buenos Aires: Defens</w:t>
      </w:r>
      <w:r w:rsidR="00F57521" w:rsidRPr="005D2927">
        <w:rPr>
          <w:color w:val="auto"/>
          <w:sz w:val="28"/>
          <w:szCs w:val="28"/>
        </w:rPr>
        <w:t>oría General de la Nación, 2010.</w:t>
      </w:r>
    </w:p>
    <w:p w14:paraId="65ADF2C7" w14:textId="77777777" w:rsidR="00F57521" w:rsidRPr="005D2927" w:rsidRDefault="00F57521" w:rsidP="005D2927">
      <w:pPr>
        <w:pStyle w:val="Default"/>
        <w:spacing w:line="360" w:lineRule="auto"/>
        <w:ind w:right="-1135"/>
        <w:jc w:val="both"/>
        <w:rPr>
          <w:color w:val="auto"/>
          <w:sz w:val="28"/>
          <w:szCs w:val="28"/>
        </w:rPr>
      </w:pPr>
    </w:p>
    <w:p w14:paraId="5D47B4C7" w14:textId="77777777" w:rsidR="00CF542C" w:rsidRPr="005D2927" w:rsidRDefault="00CF542C" w:rsidP="005D2927">
      <w:pPr>
        <w:pStyle w:val="Default"/>
        <w:spacing w:line="360" w:lineRule="auto"/>
        <w:ind w:right="-1135"/>
        <w:jc w:val="both"/>
        <w:rPr>
          <w:color w:val="auto"/>
          <w:sz w:val="28"/>
          <w:szCs w:val="28"/>
        </w:rPr>
      </w:pPr>
      <w:r w:rsidRPr="005D2927">
        <w:rPr>
          <w:color w:val="auto"/>
          <w:sz w:val="28"/>
          <w:szCs w:val="28"/>
        </w:rPr>
        <w:t>El análisis debe ser relacionado con las opiniones consultivas N° 29/22 y 31/25 e Informe Mujeres Presas</w:t>
      </w:r>
      <w:r w:rsidR="00532BC4" w:rsidRPr="005D2927">
        <w:rPr>
          <w:color w:val="auto"/>
          <w:sz w:val="28"/>
          <w:szCs w:val="28"/>
        </w:rPr>
        <w:t xml:space="preserve"> de la CIDH</w:t>
      </w:r>
      <w:r w:rsidRPr="005D2927">
        <w:rPr>
          <w:color w:val="auto"/>
          <w:sz w:val="28"/>
          <w:szCs w:val="28"/>
        </w:rPr>
        <w:t>.</w:t>
      </w:r>
    </w:p>
    <w:p w14:paraId="22EF1322" w14:textId="77777777" w:rsidR="00CF542C" w:rsidRPr="005D2927" w:rsidRDefault="00CF542C" w:rsidP="005D2927">
      <w:pPr>
        <w:pStyle w:val="Default"/>
        <w:spacing w:line="360" w:lineRule="auto"/>
        <w:ind w:right="-1135"/>
        <w:jc w:val="both"/>
        <w:rPr>
          <w:color w:val="auto"/>
          <w:sz w:val="28"/>
          <w:szCs w:val="28"/>
        </w:rPr>
      </w:pPr>
      <w:r w:rsidRPr="005D2927">
        <w:rPr>
          <w:color w:val="auto"/>
          <w:sz w:val="28"/>
          <w:szCs w:val="28"/>
        </w:rPr>
        <w:t xml:space="preserve">Y podría establecerse en la interrelación entre derecho a cuidar, a ser cuidadas y al autocuidado. </w:t>
      </w:r>
    </w:p>
    <w:p w14:paraId="48BDB4DA" w14:textId="77777777" w:rsidR="00CF542C" w:rsidRPr="005D2927" w:rsidRDefault="00CF542C"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Estas tres dimensiones incluyen las principales problemáticas.</w:t>
      </w:r>
    </w:p>
    <w:p w14:paraId="30CFDD32" w14:textId="77777777" w:rsidR="00307BB5" w:rsidRPr="005D2927" w:rsidRDefault="00403A27"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Sumados a</w:t>
      </w:r>
      <w:r w:rsidR="00307BB5" w:rsidRPr="005D2927">
        <w:rPr>
          <w:rFonts w:ascii="Times New Roman" w:hAnsi="Times New Roman" w:cs="Times New Roman"/>
          <w:sz w:val="28"/>
          <w:szCs w:val="28"/>
          <w:lang w:val="es-MX"/>
        </w:rPr>
        <w:t>l</w:t>
      </w:r>
      <w:r>
        <w:rPr>
          <w:rFonts w:ascii="Times New Roman" w:hAnsi="Times New Roman" w:cs="Times New Roman"/>
          <w:sz w:val="28"/>
          <w:szCs w:val="28"/>
          <w:lang w:val="es-MX"/>
        </w:rPr>
        <w:t xml:space="preserve"> análisis </w:t>
      </w:r>
      <w:r w:rsidR="00307BB5" w:rsidRPr="005D2927">
        <w:rPr>
          <w:rFonts w:ascii="Times New Roman" w:hAnsi="Times New Roman" w:cs="Times New Roman"/>
          <w:sz w:val="28"/>
          <w:szCs w:val="28"/>
          <w:lang w:val="es-MX"/>
        </w:rPr>
        <w:t>de</w:t>
      </w:r>
      <w:r>
        <w:rPr>
          <w:rFonts w:ascii="Times New Roman" w:hAnsi="Times New Roman" w:cs="Times New Roman"/>
          <w:sz w:val="28"/>
          <w:szCs w:val="28"/>
          <w:lang w:val="es-MX"/>
        </w:rPr>
        <w:t>l</w:t>
      </w:r>
      <w:r w:rsidR="00307BB5" w:rsidRPr="005D2927">
        <w:rPr>
          <w:rFonts w:ascii="Times New Roman" w:hAnsi="Times New Roman" w:cs="Times New Roman"/>
          <w:sz w:val="28"/>
          <w:szCs w:val="28"/>
          <w:lang w:val="es-MX"/>
        </w:rPr>
        <w:t xml:space="preserve"> género como categoría analítica y la interseccionalidad.</w:t>
      </w:r>
    </w:p>
    <w:p w14:paraId="3165A460" w14:textId="77777777" w:rsidR="00307BB5" w:rsidRPr="005D2927" w:rsidRDefault="00403A27"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 xml:space="preserve">La </w:t>
      </w:r>
      <w:r w:rsidR="00307BB5" w:rsidRPr="005D2927">
        <w:rPr>
          <w:rFonts w:ascii="Times New Roman" w:hAnsi="Times New Roman" w:cs="Times New Roman"/>
          <w:sz w:val="28"/>
          <w:szCs w:val="28"/>
          <w:lang w:val="es-MX"/>
        </w:rPr>
        <w:t>Recomendación General N° 28 del Comité CEDAW</w:t>
      </w:r>
      <w:r w:rsidR="00307BB5" w:rsidRPr="005D2927">
        <w:rPr>
          <w:rStyle w:val="FootnoteReference"/>
          <w:rFonts w:ascii="Times New Roman" w:hAnsi="Times New Roman" w:cs="Times New Roman"/>
          <w:sz w:val="28"/>
          <w:szCs w:val="28"/>
          <w:lang w:val="es-MX"/>
        </w:rPr>
        <w:footnoteReference w:id="7"/>
      </w:r>
      <w:r w:rsidR="00307BB5" w:rsidRPr="005D2927">
        <w:rPr>
          <w:rFonts w:ascii="Times New Roman" w:hAnsi="Times New Roman" w:cs="Times New Roman"/>
          <w:sz w:val="28"/>
          <w:szCs w:val="28"/>
          <w:lang w:val="es-MX"/>
        </w:rPr>
        <w:t xml:space="preserve"> se establecen cuáles son esas categorías sospechosas de discriminación</w:t>
      </w:r>
      <w:r>
        <w:rPr>
          <w:rFonts w:ascii="Times New Roman" w:hAnsi="Times New Roman" w:cs="Times New Roman"/>
          <w:sz w:val="28"/>
          <w:szCs w:val="28"/>
          <w:lang w:val="es-MX"/>
        </w:rPr>
        <w:t>.</w:t>
      </w:r>
    </w:p>
    <w:p w14:paraId="2D9D50BE" w14:textId="77777777" w:rsidR="00307BB5" w:rsidRPr="005D2927" w:rsidRDefault="00307BB5" w:rsidP="005D2927">
      <w:pPr>
        <w:spacing w:after="0"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rPr>
        <w:t>Las Reglas Nelson Mandela</w:t>
      </w:r>
      <w:r w:rsidRPr="005D2927">
        <w:rPr>
          <w:rStyle w:val="FootnoteReference"/>
          <w:rFonts w:ascii="Times New Roman" w:hAnsi="Times New Roman" w:cs="Times New Roman"/>
          <w:sz w:val="28"/>
          <w:szCs w:val="28"/>
        </w:rPr>
        <w:footnoteReference w:id="8"/>
      </w:r>
      <w:r w:rsidRPr="005D2927">
        <w:rPr>
          <w:rFonts w:ascii="Times New Roman" w:hAnsi="Times New Roman" w:cs="Times New Roman"/>
          <w:sz w:val="28"/>
          <w:szCs w:val="28"/>
        </w:rPr>
        <w:t xml:space="preserve"> (que actualizan las Reglas para el Tratamiento de Reclusos de 1955</w:t>
      </w:r>
      <w:r w:rsidRPr="005D2927">
        <w:rPr>
          <w:rStyle w:val="FootnoteReference"/>
          <w:rFonts w:ascii="Times New Roman" w:hAnsi="Times New Roman" w:cs="Times New Roman"/>
          <w:sz w:val="28"/>
          <w:szCs w:val="28"/>
        </w:rPr>
        <w:footnoteReference w:id="9"/>
      </w:r>
      <w:r w:rsidRPr="005D2927">
        <w:rPr>
          <w:rFonts w:ascii="Times New Roman" w:hAnsi="Times New Roman" w:cs="Times New Roman"/>
          <w:sz w:val="28"/>
          <w:szCs w:val="28"/>
        </w:rPr>
        <w:t>)</w:t>
      </w:r>
      <w:r w:rsidR="0077199E">
        <w:rPr>
          <w:rFonts w:ascii="Times New Roman" w:hAnsi="Times New Roman" w:cs="Times New Roman"/>
          <w:sz w:val="28"/>
          <w:szCs w:val="28"/>
        </w:rPr>
        <w:t>, los principios de Yogyakarta</w:t>
      </w:r>
      <w:r w:rsidRPr="005D2927">
        <w:rPr>
          <w:rFonts w:ascii="Times New Roman" w:hAnsi="Times New Roman" w:cs="Times New Roman"/>
          <w:sz w:val="28"/>
          <w:szCs w:val="28"/>
        </w:rPr>
        <w:t xml:space="preserve"> y las Reglas de Bangkok</w:t>
      </w:r>
      <w:r w:rsidRPr="005D2927">
        <w:rPr>
          <w:rStyle w:val="FootnoteReference"/>
          <w:rFonts w:ascii="Times New Roman" w:hAnsi="Times New Roman" w:cs="Times New Roman"/>
          <w:sz w:val="28"/>
          <w:szCs w:val="28"/>
        </w:rPr>
        <w:footnoteReference w:id="10"/>
      </w:r>
      <w:r w:rsidRPr="005D2927">
        <w:rPr>
          <w:rFonts w:ascii="Times New Roman" w:hAnsi="Times New Roman" w:cs="Times New Roman"/>
          <w:sz w:val="28"/>
          <w:szCs w:val="28"/>
        </w:rPr>
        <w:t>. Ambas brindan un mínimo de condiciones adecuadas que los Estados deben garantizar para la vida, y el goce de derechos, durante el tránsito en la prisión</w:t>
      </w:r>
      <w:r w:rsidR="00403A27">
        <w:rPr>
          <w:rFonts w:ascii="Times New Roman" w:hAnsi="Times New Roman" w:cs="Times New Roman"/>
          <w:sz w:val="28"/>
          <w:szCs w:val="28"/>
        </w:rPr>
        <w:t xml:space="preserve"> de estos </w:t>
      </w:r>
      <w:r w:rsidR="0077199E">
        <w:rPr>
          <w:rFonts w:ascii="Times New Roman" w:hAnsi="Times New Roman" w:cs="Times New Roman"/>
          <w:sz w:val="28"/>
          <w:szCs w:val="28"/>
        </w:rPr>
        <w:t>grupos</w:t>
      </w:r>
      <w:r w:rsidRPr="005D2927">
        <w:rPr>
          <w:rFonts w:ascii="Times New Roman" w:hAnsi="Times New Roman" w:cs="Times New Roman"/>
          <w:sz w:val="28"/>
          <w:szCs w:val="28"/>
        </w:rPr>
        <w:t xml:space="preserve">. </w:t>
      </w:r>
    </w:p>
    <w:p w14:paraId="25BB584C" w14:textId="77777777" w:rsidR="00307BB5" w:rsidRPr="005D2927" w:rsidRDefault="00307BB5" w:rsidP="005D2927">
      <w:pPr>
        <w:pStyle w:val="BodyText"/>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rPr>
        <w:t>Si trasladamos la igualdad y la no discriminación hacia las personas privadas de la libertad, debemos agregarle, en este an</w:t>
      </w:r>
      <w:r w:rsidR="0077199E">
        <w:rPr>
          <w:rFonts w:ascii="Times New Roman" w:hAnsi="Times New Roman" w:cs="Times New Roman"/>
          <w:sz w:val="28"/>
          <w:szCs w:val="28"/>
        </w:rPr>
        <w:t xml:space="preserve">álisis interseccional, </w:t>
      </w:r>
      <w:r w:rsidRPr="005D2927">
        <w:rPr>
          <w:rFonts w:ascii="Times New Roman" w:hAnsi="Times New Roman" w:cs="Times New Roman"/>
          <w:sz w:val="28"/>
          <w:szCs w:val="28"/>
        </w:rPr>
        <w:t xml:space="preserve">la situación de vulnerabilidad que el mismo el encierro carcelario acompaña (y reconocida en las 100 Reglas de Brasilia 1 (4), 10 (22). </w:t>
      </w:r>
    </w:p>
    <w:p w14:paraId="1F371708" w14:textId="77777777" w:rsidR="00307BB5" w:rsidRPr="005D2927" w:rsidRDefault="00307BB5" w:rsidP="005D2927">
      <w:pPr>
        <w:spacing w:line="360" w:lineRule="auto"/>
        <w:ind w:right="-1135"/>
        <w:jc w:val="both"/>
        <w:rPr>
          <w:rFonts w:ascii="Times New Roman" w:hAnsi="Times New Roman" w:cs="Times New Roman"/>
          <w:sz w:val="28"/>
          <w:szCs w:val="28"/>
          <w:lang w:val="es-MX"/>
        </w:rPr>
      </w:pPr>
    </w:p>
    <w:p w14:paraId="1F7B42F5" w14:textId="77777777" w:rsidR="00026C3A" w:rsidRPr="0077199E" w:rsidRDefault="00026C3A" w:rsidP="005D2927">
      <w:pPr>
        <w:spacing w:line="360" w:lineRule="auto"/>
        <w:ind w:right="-1135"/>
        <w:jc w:val="both"/>
        <w:rPr>
          <w:rFonts w:ascii="Times New Roman" w:hAnsi="Times New Roman" w:cs="Times New Roman"/>
          <w:b/>
          <w:sz w:val="28"/>
          <w:szCs w:val="28"/>
          <w:lang w:val="es-MX"/>
        </w:rPr>
      </w:pPr>
      <w:r w:rsidRPr="0077199E">
        <w:rPr>
          <w:rFonts w:ascii="Times New Roman" w:hAnsi="Times New Roman" w:cs="Times New Roman"/>
          <w:b/>
          <w:sz w:val="28"/>
          <w:szCs w:val="28"/>
          <w:lang w:val="es-MX"/>
        </w:rPr>
        <w:t>Información Estadística:</w:t>
      </w:r>
    </w:p>
    <w:p w14:paraId="56C47B8E" w14:textId="77777777" w:rsidR="00CF542C" w:rsidRPr="005D2927" w:rsidRDefault="00CF542C"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Falta de información estadística desagregada</w:t>
      </w:r>
      <w:r w:rsidR="00307BB5" w:rsidRPr="005D2927">
        <w:rPr>
          <w:rFonts w:ascii="Times New Roman" w:hAnsi="Times New Roman" w:cs="Times New Roman"/>
          <w:sz w:val="28"/>
          <w:szCs w:val="28"/>
          <w:lang w:val="es-MX"/>
        </w:rPr>
        <w:t xml:space="preserve"> impide la toma de decisiones en políticas públicas hacia estos grupos</w:t>
      </w:r>
      <w:r w:rsidRPr="005D2927">
        <w:rPr>
          <w:rFonts w:ascii="Times New Roman" w:hAnsi="Times New Roman" w:cs="Times New Roman"/>
          <w:sz w:val="28"/>
          <w:szCs w:val="28"/>
          <w:lang w:val="es-MX"/>
        </w:rPr>
        <w:t xml:space="preserve">. </w:t>
      </w:r>
    </w:p>
    <w:p w14:paraId="4AC4EC86" w14:textId="77777777" w:rsidR="00CF542C" w:rsidRPr="005D2927" w:rsidRDefault="00307BB5"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lang w:val="es-MX"/>
        </w:rPr>
        <w:t>Por ejemplo e</w:t>
      </w:r>
      <w:r w:rsidR="00CF542C" w:rsidRPr="005D2927">
        <w:rPr>
          <w:rFonts w:ascii="Times New Roman" w:hAnsi="Times New Roman" w:cs="Times New Roman"/>
          <w:sz w:val="28"/>
          <w:szCs w:val="28"/>
          <w:lang w:val="es-MX"/>
        </w:rPr>
        <w:t>l SNEEP (Sistema Nacional de Estadísticas de Ejecución Penal</w:t>
      </w:r>
      <w:r w:rsidR="00026C3A" w:rsidRPr="005D2927">
        <w:rPr>
          <w:rFonts w:ascii="Times New Roman" w:hAnsi="Times New Roman" w:cs="Times New Roman"/>
          <w:sz w:val="28"/>
          <w:szCs w:val="28"/>
          <w:lang w:val="es-MX"/>
        </w:rPr>
        <w:t xml:space="preserve">) </w:t>
      </w:r>
      <w:r w:rsidR="00026C3A" w:rsidRPr="005D2927">
        <w:rPr>
          <w:rFonts w:ascii="Times New Roman" w:hAnsi="Times New Roman" w:cs="Times New Roman"/>
          <w:sz w:val="28"/>
          <w:szCs w:val="28"/>
        </w:rPr>
        <w:t>recién a partir de</w:t>
      </w:r>
      <w:r w:rsidR="00CF542C" w:rsidRPr="005D2927">
        <w:rPr>
          <w:rFonts w:ascii="Times New Roman" w:hAnsi="Times New Roman" w:cs="Times New Roman"/>
          <w:sz w:val="28"/>
          <w:szCs w:val="28"/>
        </w:rPr>
        <w:t xml:space="preserve"> 2020 ha</w:t>
      </w:r>
      <w:r w:rsidR="00026C3A" w:rsidRPr="005D2927">
        <w:rPr>
          <w:rFonts w:ascii="Times New Roman" w:hAnsi="Times New Roman" w:cs="Times New Roman"/>
          <w:sz w:val="28"/>
          <w:szCs w:val="28"/>
        </w:rPr>
        <w:t xml:space="preserve"> ampliado las categorías de la variable género desagregando la categoría Trans en: Trans Mujer/Travesti, Trans Varón y Otro</w:t>
      </w:r>
      <w:r w:rsidR="00083817" w:rsidRPr="005D2927">
        <w:rPr>
          <w:rFonts w:ascii="Times New Roman" w:hAnsi="Times New Roman" w:cs="Times New Roman"/>
          <w:sz w:val="28"/>
          <w:szCs w:val="28"/>
        </w:rPr>
        <w:t>, loque ha sido un avance, pero no cuenta con datos desagregados en relación a estos grupos.</w:t>
      </w:r>
    </w:p>
    <w:p w14:paraId="7FB2A6C5" w14:textId="77777777" w:rsidR="00307BB5" w:rsidRPr="005D2927" w:rsidRDefault="0077199E" w:rsidP="005D2927">
      <w:pPr>
        <w:spacing w:after="0" w:line="360" w:lineRule="auto"/>
        <w:ind w:right="-1135"/>
        <w:jc w:val="both"/>
        <w:rPr>
          <w:rFonts w:ascii="Times New Roman" w:hAnsi="Times New Roman" w:cs="Times New Roman"/>
          <w:sz w:val="28"/>
          <w:szCs w:val="28"/>
        </w:rPr>
      </w:pPr>
      <w:r>
        <w:rPr>
          <w:rFonts w:ascii="Times New Roman" w:hAnsi="Times New Roman" w:cs="Times New Roman"/>
          <w:sz w:val="28"/>
          <w:szCs w:val="28"/>
        </w:rPr>
        <w:t xml:space="preserve">Sin </w:t>
      </w:r>
      <w:r w:rsidR="00307BB5" w:rsidRPr="005D2927">
        <w:rPr>
          <w:rFonts w:ascii="Times New Roman" w:hAnsi="Times New Roman" w:cs="Times New Roman"/>
          <w:sz w:val="28"/>
          <w:szCs w:val="28"/>
        </w:rPr>
        <w:t xml:space="preserve">embargo este Informe es incompleto en relación al género: no existen datos diferenciados acerca de la edad, tratamientos médicos recibidos, educación o reincidencia de las mujeres.  Estos se limitan a relevar el tipo de delitos por el cual han sido condenadas y si se encuentran alojadas con sus hijas/os menores de cinco años.   </w:t>
      </w:r>
    </w:p>
    <w:p w14:paraId="03B4C875" w14:textId="77777777" w:rsidR="00307BB5" w:rsidRPr="0077199E" w:rsidRDefault="00307BB5" w:rsidP="0077199E">
      <w:pPr>
        <w:spacing w:after="0"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La recolección de datos en esos términos dificulta la posibilidad de adoptar políticas para estos grupos en particular o gene</w:t>
      </w:r>
      <w:r w:rsidR="0077199E">
        <w:rPr>
          <w:rFonts w:ascii="Times New Roman" w:hAnsi="Times New Roman" w:cs="Times New Roman"/>
          <w:sz w:val="28"/>
          <w:szCs w:val="28"/>
          <w:lang w:val="es-MX"/>
        </w:rPr>
        <w:t>rar medidas de acción positiva.</w:t>
      </w:r>
    </w:p>
    <w:p w14:paraId="497AF1C4" w14:textId="77777777" w:rsidR="00821C47" w:rsidRPr="005D2927" w:rsidRDefault="00821C47" w:rsidP="005D2927">
      <w:pPr>
        <w:spacing w:line="360" w:lineRule="auto"/>
        <w:ind w:right="-1135"/>
        <w:jc w:val="both"/>
        <w:rPr>
          <w:rFonts w:ascii="Times New Roman" w:hAnsi="Times New Roman" w:cs="Times New Roman"/>
          <w:i/>
          <w:sz w:val="28"/>
          <w:szCs w:val="28"/>
        </w:rPr>
      </w:pPr>
      <w:r w:rsidRPr="005D2927">
        <w:rPr>
          <w:rFonts w:ascii="Times New Roman" w:hAnsi="Times New Roman" w:cs="Times New Roman"/>
          <w:sz w:val="28"/>
          <w:szCs w:val="28"/>
        </w:rPr>
        <w:t xml:space="preserve">Se reconoce </w:t>
      </w:r>
      <w:r w:rsidRPr="005D2927">
        <w:rPr>
          <w:rFonts w:ascii="Times New Roman" w:hAnsi="Times New Roman" w:cs="Times New Roman"/>
          <w:i/>
          <w:sz w:val="28"/>
          <w:szCs w:val="28"/>
        </w:rPr>
        <w:t>en el SNEEP que en el año 2024 hubo un ascenso del 7,8% respecto al período anterior, pero un incremento del 75% en relación al año 2014 y del 161% en relación al año 2002. De esta manera, luego del caso excepcional del año 2020 (COVID), se recupera la tasa ascendente, alcanzando el número más alto de población carcelaria desde que hay registros oficiales.</w:t>
      </w:r>
      <w:r w:rsidR="00083817" w:rsidRPr="005D2927">
        <w:rPr>
          <w:rFonts w:ascii="Times New Roman" w:hAnsi="Times New Roman" w:cs="Times New Roman"/>
          <w:i/>
          <w:sz w:val="28"/>
          <w:szCs w:val="28"/>
        </w:rPr>
        <w:t xml:space="preserve"> Lo que también se traslada, como se advirtió en párrafos anteriores a los grupos mencionados.</w:t>
      </w:r>
    </w:p>
    <w:p w14:paraId="0C99CE10" w14:textId="77777777" w:rsidR="0077199E" w:rsidRDefault="0077199E" w:rsidP="005D2927">
      <w:pPr>
        <w:spacing w:line="360" w:lineRule="auto"/>
        <w:ind w:right="-1135"/>
        <w:jc w:val="both"/>
        <w:rPr>
          <w:rFonts w:ascii="Times New Roman" w:hAnsi="Times New Roman" w:cs="Times New Roman"/>
          <w:b/>
          <w:sz w:val="28"/>
          <w:szCs w:val="28"/>
          <w:lang w:val="es-MX"/>
        </w:rPr>
      </w:pPr>
    </w:p>
    <w:p w14:paraId="0382F7D6" w14:textId="77777777" w:rsidR="00CF542C" w:rsidRPr="0077199E" w:rsidRDefault="00D94FEC" w:rsidP="005D2927">
      <w:pPr>
        <w:spacing w:line="360" w:lineRule="auto"/>
        <w:ind w:right="-1135"/>
        <w:jc w:val="both"/>
        <w:rPr>
          <w:rFonts w:ascii="Times New Roman" w:hAnsi="Times New Roman" w:cs="Times New Roman"/>
          <w:b/>
          <w:sz w:val="28"/>
          <w:szCs w:val="28"/>
          <w:lang w:val="es-MX"/>
        </w:rPr>
      </w:pPr>
      <w:r w:rsidRPr="0077199E">
        <w:rPr>
          <w:rFonts w:ascii="Times New Roman" w:hAnsi="Times New Roman" w:cs="Times New Roman"/>
          <w:b/>
          <w:sz w:val="28"/>
          <w:szCs w:val="28"/>
          <w:lang w:val="es-MX"/>
        </w:rPr>
        <w:t>Lugares de alojamiento:</w:t>
      </w:r>
    </w:p>
    <w:p w14:paraId="526A6CD0" w14:textId="77777777" w:rsidR="008037CE" w:rsidRPr="005D2927" w:rsidRDefault="009A7735"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rPr>
        <w:t>L</w:t>
      </w:r>
      <w:r w:rsidR="00307BB5" w:rsidRPr="005D2927">
        <w:rPr>
          <w:rFonts w:ascii="Times New Roman" w:hAnsi="Times New Roman" w:cs="Times New Roman"/>
          <w:sz w:val="28"/>
          <w:szCs w:val="28"/>
        </w:rPr>
        <w:t>as mujeres presas permanecen invisibilizadas, para el Estado que hizo que ellas se adecuaran a los lugares de alojamiento y al tratamiento regulado por la ley 24660. Quizás sea debi</w:t>
      </w:r>
      <w:r w:rsidRPr="005D2927">
        <w:rPr>
          <w:rFonts w:ascii="Times New Roman" w:hAnsi="Times New Roman" w:cs="Times New Roman"/>
          <w:sz w:val="28"/>
          <w:szCs w:val="28"/>
        </w:rPr>
        <w:t>do a que representan sólo el 4,8</w:t>
      </w:r>
      <w:r w:rsidR="00307BB5" w:rsidRPr="005D2927">
        <w:rPr>
          <w:rFonts w:ascii="Times New Roman" w:hAnsi="Times New Roman" w:cs="Times New Roman"/>
          <w:sz w:val="28"/>
          <w:szCs w:val="28"/>
        </w:rPr>
        <w:t xml:space="preserve">% </w:t>
      </w:r>
      <w:r w:rsidR="00307BB5" w:rsidRPr="005D2927">
        <w:rPr>
          <w:rStyle w:val="FootnoteReference"/>
          <w:rFonts w:ascii="Times New Roman" w:hAnsi="Times New Roman" w:cs="Times New Roman"/>
          <w:sz w:val="28"/>
          <w:szCs w:val="28"/>
        </w:rPr>
        <w:footnoteReference w:id="11"/>
      </w:r>
      <w:r w:rsidR="00307BB5" w:rsidRPr="005D2927">
        <w:rPr>
          <w:rFonts w:ascii="Times New Roman" w:hAnsi="Times New Roman" w:cs="Times New Roman"/>
          <w:sz w:val="28"/>
          <w:szCs w:val="28"/>
        </w:rPr>
        <w:t>de la población encarcelada, mientras qu</w:t>
      </w:r>
      <w:r w:rsidRPr="005D2927">
        <w:rPr>
          <w:rFonts w:ascii="Times New Roman" w:hAnsi="Times New Roman" w:cs="Times New Roman"/>
          <w:sz w:val="28"/>
          <w:szCs w:val="28"/>
        </w:rPr>
        <w:t>e la población LGTB+ el 0,2</w:t>
      </w:r>
      <w:r w:rsidR="00307BB5" w:rsidRPr="005D2927">
        <w:rPr>
          <w:rFonts w:ascii="Times New Roman" w:hAnsi="Times New Roman" w:cs="Times New Roman"/>
          <w:sz w:val="28"/>
          <w:szCs w:val="28"/>
        </w:rPr>
        <w:t>%</w:t>
      </w:r>
      <w:r w:rsidR="00307BB5" w:rsidRPr="005D2927">
        <w:rPr>
          <w:rStyle w:val="FootnoteReference"/>
          <w:rFonts w:ascii="Times New Roman" w:hAnsi="Times New Roman" w:cs="Times New Roman"/>
          <w:sz w:val="28"/>
          <w:szCs w:val="28"/>
        </w:rPr>
        <w:footnoteReference w:id="12"/>
      </w:r>
      <w:r w:rsidR="00307BB5" w:rsidRPr="005D2927">
        <w:rPr>
          <w:rFonts w:ascii="Times New Roman" w:hAnsi="Times New Roman" w:cs="Times New Roman"/>
          <w:sz w:val="28"/>
          <w:szCs w:val="28"/>
          <w:lang w:val="es-MX"/>
        </w:rPr>
        <w:t>.</w:t>
      </w:r>
    </w:p>
    <w:p w14:paraId="1E60582E" w14:textId="77777777" w:rsidR="009A7735" w:rsidRPr="005D2927" w:rsidRDefault="0077199E"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shd w:val="clear" w:color="auto" w:fill="FFFFFF"/>
        </w:rPr>
        <w:t>S</w:t>
      </w:r>
      <w:r w:rsidR="009A7735" w:rsidRPr="005D2927">
        <w:rPr>
          <w:rFonts w:ascii="Times New Roman" w:hAnsi="Times New Roman" w:cs="Times New Roman"/>
          <w:sz w:val="28"/>
          <w:szCs w:val="28"/>
          <w:shd w:val="clear" w:color="auto" w:fill="FFFFFF"/>
        </w:rPr>
        <w:t xml:space="preserve">e debe prestar especial atención a las mujeres y LGTBI encarceladas, </w:t>
      </w:r>
      <w:r>
        <w:rPr>
          <w:rFonts w:ascii="Times New Roman" w:hAnsi="Times New Roman" w:cs="Times New Roman"/>
          <w:sz w:val="28"/>
          <w:szCs w:val="28"/>
          <w:shd w:val="clear" w:color="auto" w:fill="FFFFFF"/>
        </w:rPr>
        <w:t xml:space="preserve">esto que se denomina enfoque diferenciado, </w:t>
      </w:r>
      <w:r w:rsidR="009A7735" w:rsidRPr="005D2927">
        <w:rPr>
          <w:rFonts w:ascii="Times New Roman" w:hAnsi="Times New Roman" w:cs="Times New Roman"/>
          <w:sz w:val="28"/>
          <w:szCs w:val="28"/>
          <w:shd w:val="clear" w:color="auto" w:fill="FFFFFF"/>
        </w:rPr>
        <w:t xml:space="preserve">especialmente cuando atraviesan un embarazo, </w:t>
      </w:r>
      <w:r>
        <w:rPr>
          <w:rFonts w:ascii="Times New Roman" w:hAnsi="Times New Roman" w:cs="Times New Roman"/>
          <w:sz w:val="28"/>
          <w:szCs w:val="28"/>
          <w:shd w:val="clear" w:color="auto" w:fill="FFFFFF"/>
        </w:rPr>
        <w:t xml:space="preserve">son </w:t>
      </w:r>
      <w:r w:rsidR="009A7735" w:rsidRPr="005D2927">
        <w:rPr>
          <w:rFonts w:ascii="Times New Roman" w:hAnsi="Times New Roman" w:cs="Times New Roman"/>
          <w:sz w:val="28"/>
          <w:szCs w:val="28"/>
          <w:shd w:val="clear" w:color="auto" w:fill="FFFFFF"/>
        </w:rPr>
        <w:t>ancianas, migrantes o pertenecen a pueblos originarios, para evitar que la violencia las golpee una vez más.</w:t>
      </w:r>
    </w:p>
    <w:p w14:paraId="71239FD8" w14:textId="77777777" w:rsidR="0029665A" w:rsidRDefault="009A7735"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Por ejemplo e</w:t>
      </w:r>
      <w:r w:rsidR="008037CE" w:rsidRPr="005D2927">
        <w:rPr>
          <w:rFonts w:ascii="Times New Roman" w:hAnsi="Times New Roman" w:cs="Times New Roman"/>
          <w:sz w:val="28"/>
          <w:szCs w:val="28"/>
          <w:lang w:val="es-MX"/>
        </w:rPr>
        <w:t>n Salta</w:t>
      </w:r>
      <w:r w:rsidRPr="005D2927">
        <w:rPr>
          <w:rFonts w:ascii="Times New Roman" w:hAnsi="Times New Roman" w:cs="Times New Roman"/>
          <w:sz w:val="28"/>
          <w:szCs w:val="28"/>
          <w:lang w:val="es-MX"/>
        </w:rPr>
        <w:t>, en Chubut, y en la mayoría de los lugares del país,</w:t>
      </w:r>
      <w:r w:rsidR="008037CE" w:rsidRPr="005D2927">
        <w:rPr>
          <w:rFonts w:ascii="Times New Roman" w:hAnsi="Times New Roman" w:cs="Times New Roman"/>
          <w:sz w:val="28"/>
          <w:szCs w:val="28"/>
          <w:lang w:val="es-MX"/>
        </w:rPr>
        <w:t xml:space="preserve"> no existe ningún edificio diseñado para mujeres, todos son anexos a unidades de varones, galpones o casas refuncionalizadas. </w:t>
      </w:r>
    </w:p>
    <w:p w14:paraId="7EB81814" w14:textId="77777777" w:rsidR="00DD06BE" w:rsidRPr="005D2927" w:rsidRDefault="00DD06BE" w:rsidP="005D2927">
      <w:pPr>
        <w:spacing w:line="360" w:lineRule="auto"/>
        <w:ind w:right="-1135"/>
        <w:jc w:val="both"/>
        <w:rPr>
          <w:rFonts w:ascii="Times New Roman" w:hAnsi="Times New Roman" w:cs="Times New Roman"/>
          <w:sz w:val="28"/>
          <w:szCs w:val="28"/>
          <w:lang w:val="es-MX"/>
        </w:rPr>
      </w:pPr>
    </w:p>
    <w:p w14:paraId="7780A5C8" w14:textId="77777777" w:rsidR="007B7E03" w:rsidRPr="00DD06BE" w:rsidRDefault="007B7E03" w:rsidP="005D2927">
      <w:pPr>
        <w:spacing w:line="360" w:lineRule="auto"/>
        <w:ind w:right="-1135"/>
        <w:jc w:val="both"/>
        <w:rPr>
          <w:rFonts w:ascii="Times New Roman" w:hAnsi="Times New Roman" w:cs="Times New Roman"/>
          <w:b/>
          <w:sz w:val="28"/>
          <w:szCs w:val="28"/>
          <w:lang w:val="es-MX"/>
        </w:rPr>
      </w:pPr>
      <w:r w:rsidRPr="00DD06BE">
        <w:rPr>
          <w:rFonts w:ascii="Times New Roman" w:hAnsi="Times New Roman" w:cs="Times New Roman"/>
          <w:b/>
          <w:sz w:val="28"/>
          <w:szCs w:val="28"/>
          <w:lang w:val="es-MX"/>
        </w:rPr>
        <w:t>Personas gestantes</w:t>
      </w:r>
    </w:p>
    <w:p w14:paraId="1D64E6DD" w14:textId="77777777" w:rsidR="007B7E03" w:rsidRPr="00DD06BE" w:rsidRDefault="00DD06BE" w:rsidP="00DD06BE">
      <w:pPr>
        <w:spacing w:line="360" w:lineRule="auto"/>
        <w:ind w:right="-1135"/>
        <w:jc w:val="both"/>
        <w:rPr>
          <w:rFonts w:ascii="Times New Roman" w:hAnsi="Times New Roman" w:cs="Times New Roman"/>
          <w:sz w:val="28"/>
          <w:szCs w:val="28"/>
        </w:rPr>
      </w:pPr>
      <w:r>
        <w:rPr>
          <w:rFonts w:ascii="Times New Roman" w:hAnsi="Times New Roman" w:cs="Times New Roman"/>
          <w:sz w:val="28"/>
          <w:szCs w:val="28"/>
        </w:rPr>
        <w:t>E</w:t>
      </w:r>
      <w:r w:rsidR="007B7E03" w:rsidRPr="00DD06BE">
        <w:rPr>
          <w:rFonts w:ascii="Times New Roman" w:hAnsi="Times New Roman" w:cs="Times New Roman"/>
          <w:sz w:val="28"/>
          <w:szCs w:val="28"/>
        </w:rPr>
        <w:t xml:space="preserve">n lo edilicio el acondicionamiento de la infraestructura mínima y necesaria que brinde salubridad y comodidad en las distintas etapas que tiene el embarazo, con ciertos estándares mínimos como el acceso irrestricto a sanitarios, utilización de camas y colchones que no requieran un esfuerzo adicional y soporten un cuerpo gestante, suficiente aireación y lugares para actividad física controlada. </w:t>
      </w:r>
    </w:p>
    <w:p w14:paraId="42F973D8" w14:textId="77777777" w:rsidR="007B7E03" w:rsidRPr="00DD06BE" w:rsidRDefault="007B7E03" w:rsidP="00DD06BE">
      <w:pPr>
        <w:spacing w:line="360" w:lineRule="auto"/>
        <w:ind w:right="-1135"/>
        <w:jc w:val="both"/>
        <w:rPr>
          <w:rFonts w:ascii="Times New Roman" w:hAnsi="Times New Roman" w:cs="Times New Roman"/>
          <w:sz w:val="28"/>
          <w:szCs w:val="28"/>
        </w:rPr>
      </w:pPr>
      <w:r w:rsidRPr="00DD06BE">
        <w:rPr>
          <w:rFonts w:ascii="Times New Roman" w:hAnsi="Times New Roman" w:cs="Times New Roman"/>
          <w:sz w:val="28"/>
          <w:szCs w:val="28"/>
        </w:rPr>
        <w:t>También el Estado debe brindar información necesaria, con profesionales especializados/as en cuanto al trabajo de parto, en forma previa a que este se desencadene. Es decir con la suficiente antelación, a fin de que la persona gestante pueda conocer cuando comienza y dar aviso sobre ello. El servicio a cargo deberá monitorear su evolución, y esto debe ser a través de personal sanitario, en forma permanente cuando la fecha probable se acerque.  Asimismo aquellas personas con lactantes deberán acceder a control posnatal y el Estado deberá satisfacer todas las necesidades indicadas por el o la profesional que asista el parto.</w:t>
      </w:r>
    </w:p>
    <w:p w14:paraId="76DDEAD9" w14:textId="77777777" w:rsidR="007B7E03" w:rsidRPr="00DD06BE" w:rsidRDefault="007B7E03" w:rsidP="00DD06BE">
      <w:pPr>
        <w:spacing w:line="360" w:lineRule="auto"/>
        <w:ind w:right="-1135"/>
        <w:jc w:val="both"/>
        <w:rPr>
          <w:rFonts w:ascii="Times New Roman" w:hAnsi="Times New Roman" w:cs="Times New Roman"/>
          <w:sz w:val="28"/>
          <w:szCs w:val="28"/>
        </w:rPr>
      </w:pPr>
      <w:r w:rsidRPr="00DD06BE">
        <w:rPr>
          <w:rFonts w:ascii="Times New Roman" w:hAnsi="Times New Roman" w:cs="Times New Roman"/>
          <w:sz w:val="28"/>
          <w:szCs w:val="28"/>
        </w:rPr>
        <w:t xml:space="preserve">Sobre la violencia institucional, esta se configura de diversos modos: cuando no se cubren los requerimientos mínimos de alimentación acorde a la etapa vital de la persona gestante o en etapa postparto; cuando se la esposa durante el parto o ingresa una persona de otro género a la sala de partos o bien cuando en el traslado se utilizan medios de sujeción invasivos. </w:t>
      </w:r>
    </w:p>
    <w:p w14:paraId="3A878EAD" w14:textId="77777777" w:rsidR="0028530A" w:rsidRPr="00DD06BE" w:rsidRDefault="00DD06BE" w:rsidP="00DD06BE">
      <w:pPr>
        <w:spacing w:line="360" w:lineRule="auto"/>
        <w:ind w:right="-1135"/>
        <w:jc w:val="both"/>
        <w:rPr>
          <w:rFonts w:ascii="Times New Roman" w:hAnsi="Times New Roman" w:cs="Times New Roman"/>
          <w:sz w:val="28"/>
          <w:szCs w:val="28"/>
        </w:rPr>
      </w:pPr>
      <w:r>
        <w:rPr>
          <w:rFonts w:ascii="Times New Roman" w:hAnsi="Times New Roman" w:cs="Times New Roman"/>
          <w:sz w:val="28"/>
          <w:szCs w:val="28"/>
        </w:rPr>
        <w:t>L</w:t>
      </w:r>
      <w:r w:rsidR="0028530A" w:rsidRPr="00DD06BE">
        <w:rPr>
          <w:rFonts w:ascii="Times New Roman" w:hAnsi="Times New Roman" w:cs="Times New Roman"/>
          <w:sz w:val="28"/>
          <w:szCs w:val="28"/>
        </w:rPr>
        <w:t>legado el momento del parto sólo podrá ingresar la persona gestante (quien no podrá estar esposada) junto con personal penitenciario del mismo género. El ingreso de otro personal penitenciario será considerado violencia institucional, como también la colocación de esposas durante el parto.</w:t>
      </w:r>
    </w:p>
    <w:p w14:paraId="7D7968D2" w14:textId="77777777" w:rsidR="0028530A" w:rsidRPr="00DD06BE" w:rsidRDefault="0028530A" w:rsidP="00DD06BE">
      <w:pPr>
        <w:spacing w:line="360" w:lineRule="auto"/>
        <w:ind w:right="-1135"/>
        <w:jc w:val="both"/>
        <w:rPr>
          <w:rFonts w:ascii="Times New Roman" w:hAnsi="Times New Roman" w:cs="Times New Roman"/>
          <w:sz w:val="28"/>
          <w:szCs w:val="28"/>
        </w:rPr>
      </w:pPr>
      <w:r w:rsidRPr="00DD06BE">
        <w:rPr>
          <w:rFonts w:ascii="Times New Roman" w:hAnsi="Times New Roman" w:cs="Times New Roman"/>
          <w:sz w:val="28"/>
          <w:szCs w:val="28"/>
        </w:rPr>
        <w:t>Esta medida de seguridad (en muchos casos habitual) es excesiva y no tiene basamento en estadística alguna que refleje su necesidad (por ejemplo cuántas embarazadas se han fugado durante el trabajo de parto en los últimos veinte años). Es un claro ejemplo de medida de sujeción androcéntrica y carente de algún tipo de conocimiento sobre el estado en que se encuentra una persona gestante a punto de dar a luz.</w:t>
      </w:r>
    </w:p>
    <w:p w14:paraId="35B748A9" w14:textId="77777777" w:rsidR="007B7E03" w:rsidRPr="005D2927" w:rsidRDefault="0028530A"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rPr>
        <w:t>Las medidas de seguridad para el traslado de personas gestantes deben respetar el estado físico en que se encuentre en dicho momento. La inflamación de manos y pies, el engrosamiento del cuerpo son caracteres visibles de ellas, entonces la utilización de esposas o medios de sujeción que dificulten su movilidad son una forma de violencia institucional sobre ese cuerpo.</w:t>
      </w:r>
    </w:p>
    <w:p w14:paraId="536B4559" w14:textId="77777777" w:rsidR="007B7E03" w:rsidRPr="005D2927" w:rsidRDefault="007B7E03"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rPr>
        <w:t>Los Estados reconocen que las cárceles han sido construidas de acuerdo con un modelo androcéntrico, es decir sin tener en cuenta las experiencias de las mujeres (y otras personas), entre las cuales se destaca la gestación.</w:t>
      </w:r>
    </w:p>
    <w:p w14:paraId="55504BE3" w14:textId="77777777" w:rsidR="0028530A" w:rsidRPr="005D2927" w:rsidRDefault="0028530A" w:rsidP="005D2927">
      <w:pPr>
        <w:spacing w:line="360" w:lineRule="auto"/>
        <w:ind w:right="-1135"/>
        <w:jc w:val="both"/>
        <w:rPr>
          <w:rFonts w:ascii="Times New Roman" w:hAnsi="Times New Roman" w:cs="Times New Roman"/>
          <w:sz w:val="28"/>
          <w:szCs w:val="28"/>
          <w:lang w:val="es-MX"/>
        </w:rPr>
      </w:pPr>
    </w:p>
    <w:p w14:paraId="047C142B" w14:textId="77777777" w:rsidR="0028530A" w:rsidRPr="00DD06BE" w:rsidRDefault="0028530A" w:rsidP="005D2927">
      <w:pPr>
        <w:spacing w:line="360" w:lineRule="auto"/>
        <w:ind w:right="-1135"/>
        <w:jc w:val="both"/>
        <w:rPr>
          <w:rFonts w:ascii="Times New Roman" w:hAnsi="Times New Roman" w:cs="Times New Roman"/>
          <w:b/>
          <w:sz w:val="28"/>
          <w:szCs w:val="28"/>
          <w:lang w:val="es-MX"/>
        </w:rPr>
      </w:pPr>
      <w:r w:rsidRPr="00DD06BE">
        <w:rPr>
          <w:rFonts w:ascii="Times New Roman" w:hAnsi="Times New Roman" w:cs="Times New Roman"/>
          <w:b/>
          <w:sz w:val="28"/>
          <w:szCs w:val="28"/>
          <w:lang w:val="es-MX"/>
        </w:rPr>
        <w:t>Mujeres de edad:</w:t>
      </w:r>
    </w:p>
    <w:p w14:paraId="271E5ACA" w14:textId="77777777" w:rsidR="0028530A" w:rsidRPr="00E870AE" w:rsidRDefault="0028530A" w:rsidP="005D2927">
      <w:pPr>
        <w:spacing w:line="360" w:lineRule="auto"/>
        <w:ind w:right="-1135"/>
        <w:jc w:val="both"/>
        <w:rPr>
          <w:rFonts w:ascii="Times New Roman" w:hAnsi="Times New Roman" w:cs="Times New Roman"/>
          <w:i/>
          <w:sz w:val="28"/>
          <w:szCs w:val="28"/>
        </w:rPr>
      </w:pPr>
      <w:r w:rsidRPr="005D2927">
        <w:rPr>
          <w:rFonts w:ascii="Times New Roman" w:hAnsi="Times New Roman" w:cs="Times New Roman"/>
          <w:sz w:val="28"/>
          <w:szCs w:val="28"/>
        </w:rPr>
        <w:t>La ley de Ejecución penal Argentina (24660), prevé en su art. 33 que las personas mayores de 70 años podrán acceder a la prisión domici</w:t>
      </w:r>
      <w:r w:rsidRPr="00851305">
        <w:rPr>
          <w:rFonts w:ascii="Times New Roman" w:hAnsi="Times New Roman" w:cs="Times New Roman"/>
          <w:sz w:val="28"/>
          <w:szCs w:val="28"/>
        </w:rPr>
        <w:t>liaria. Esta norma debería adecuarse al concepto</w:t>
      </w:r>
      <w:r w:rsidR="00851305" w:rsidRPr="00851305">
        <w:rPr>
          <w:rFonts w:ascii="Times New Roman" w:hAnsi="Times New Roman" w:cs="Times New Roman"/>
          <w:sz w:val="28"/>
          <w:szCs w:val="28"/>
        </w:rPr>
        <w:t xml:space="preserve"> de persona mayor que fija la CONVENCIÓN INTERAMERICANA SOBRE LA PROTECCIÓN DE LOS DERECHOS HUMANOS DE LAS PERSONAS MAYORES</w:t>
      </w:r>
      <w:r w:rsidRPr="00851305">
        <w:rPr>
          <w:rFonts w:ascii="Times New Roman" w:hAnsi="Times New Roman" w:cs="Times New Roman"/>
          <w:sz w:val="28"/>
          <w:szCs w:val="28"/>
        </w:rPr>
        <w:t xml:space="preserve"> mencionada en su art. 2</w:t>
      </w:r>
      <w:r w:rsidR="00851305" w:rsidRPr="00851305">
        <w:rPr>
          <w:rFonts w:ascii="Times New Roman" w:hAnsi="Times New Roman" w:cs="Times New Roman"/>
          <w:sz w:val="28"/>
          <w:szCs w:val="28"/>
        </w:rPr>
        <w:t xml:space="preserve">: </w:t>
      </w:r>
      <w:r w:rsidR="00851305" w:rsidRPr="00E870AE">
        <w:rPr>
          <w:rFonts w:ascii="Times New Roman" w:hAnsi="Times New Roman" w:cs="Times New Roman"/>
          <w:i/>
          <w:sz w:val="28"/>
          <w:szCs w:val="28"/>
        </w:rPr>
        <w:t>Persona mayor”: Aquella de 60 años o más, salvo que la ley interna determine una edad base menor o mayor, siempre que esta no sea superior a los 65 años. Este concepto incluye, entre otros, el de persona adulta mayor</w:t>
      </w:r>
      <w:r w:rsidRPr="00E870AE">
        <w:rPr>
          <w:rFonts w:ascii="Times New Roman" w:hAnsi="Times New Roman" w:cs="Times New Roman"/>
          <w:i/>
          <w:sz w:val="28"/>
          <w:szCs w:val="28"/>
        </w:rPr>
        <w:t>.</w:t>
      </w:r>
    </w:p>
    <w:p w14:paraId="528DAE74" w14:textId="77777777" w:rsidR="0028530A" w:rsidRDefault="0028530A" w:rsidP="005D2927">
      <w:pPr>
        <w:spacing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rPr>
        <w:t xml:space="preserve">Sobre los cuidados paliativos la </w:t>
      </w:r>
      <w:r w:rsidR="00473AD1">
        <w:rPr>
          <w:rFonts w:ascii="Times New Roman" w:hAnsi="Times New Roman" w:cs="Times New Roman"/>
          <w:sz w:val="28"/>
          <w:szCs w:val="28"/>
        </w:rPr>
        <w:t xml:space="preserve">mencionada </w:t>
      </w:r>
      <w:r w:rsidRPr="005D2927">
        <w:rPr>
          <w:rFonts w:ascii="Times New Roman" w:hAnsi="Times New Roman" w:cs="Times New Roman"/>
          <w:sz w:val="28"/>
          <w:szCs w:val="28"/>
        </w:rPr>
        <w:t>Convención establece que se trata de la atención y cuidado activo, integral e interdisciplinario de pacientes cuya enfermedad no responde a un tratamiento curativo o sufren dolores evitables. Estos cuidados son a fin de mejorar su calidad de vida. Implica una atención primordial al control del dolor, de otros síntomas y de los problemas sociales, psicológicos y espirituales de la persona mayor</w:t>
      </w:r>
      <w:r w:rsidR="00DD06BE">
        <w:rPr>
          <w:rFonts w:ascii="Times New Roman" w:hAnsi="Times New Roman" w:cs="Times New Roman"/>
          <w:sz w:val="28"/>
          <w:szCs w:val="28"/>
        </w:rPr>
        <w:t>.</w:t>
      </w:r>
    </w:p>
    <w:p w14:paraId="206A8563" w14:textId="77777777" w:rsidR="0028530A" w:rsidRPr="005D2927" w:rsidRDefault="00851305"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rPr>
        <w:t>Las personas de edad tienen las mismas carencias en los servicios de salud provistas en el ámbito penitenciario que el resto.</w:t>
      </w:r>
    </w:p>
    <w:p w14:paraId="318BFA5C" w14:textId="77777777" w:rsidR="00473AD1" w:rsidRDefault="00473AD1" w:rsidP="005D2927">
      <w:pPr>
        <w:spacing w:line="360" w:lineRule="auto"/>
        <w:ind w:right="-1135"/>
        <w:jc w:val="both"/>
        <w:rPr>
          <w:rFonts w:ascii="Times New Roman" w:hAnsi="Times New Roman" w:cs="Times New Roman"/>
          <w:b/>
          <w:sz w:val="28"/>
          <w:szCs w:val="28"/>
          <w:lang w:val="es-MX"/>
        </w:rPr>
      </w:pPr>
    </w:p>
    <w:p w14:paraId="62107BA1" w14:textId="77777777" w:rsidR="0029665A" w:rsidRDefault="00851305" w:rsidP="005D2927">
      <w:pPr>
        <w:spacing w:line="360" w:lineRule="auto"/>
        <w:ind w:right="-1135"/>
        <w:jc w:val="both"/>
        <w:rPr>
          <w:rFonts w:ascii="Times New Roman" w:hAnsi="Times New Roman" w:cs="Times New Roman"/>
          <w:b/>
          <w:sz w:val="28"/>
          <w:szCs w:val="28"/>
          <w:lang w:val="es-MX"/>
        </w:rPr>
      </w:pPr>
      <w:r w:rsidRPr="00851305">
        <w:rPr>
          <w:rFonts w:ascii="Times New Roman" w:hAnsi="Times New Roman" w:cs="Times New Roman"/>
          <w:b/>
          <w:sz w:val="28"/>
          <w:szCs w:val="28"/>
          <w:lang w:val="es-MX"/>
        </w:rPr>
        <w:t>Madres con hijes en prisión</w:t>
      </w:r>
    </w:p>
    <w:p w14:paraId="2D63B205" w14:textId="77777777" w:rsidR="008E1983" w:rsidRPr="000C4ED9" w:rsidRDefault="000C4ED9" w:rsidP="005D2927">
      <w:pPr>
        <w:spacing w:line="360" w:lineRule="auto"/>
        <w:ind w:right="-1135"/>
        <w:jc w:val="both"/>
        <w:rPr>
          <w:rFonts w:ascii="Times New Roman" w:hAnsi="Times New Roman" w:cs="Times New Roman"/>
          <w:sz w:val="28"/>
          <w:szCs w:val="28"/>
          <w:lang w:val="es-MX"/>
        </w:rPr>
      </w:pPr>
      <w:r w:rsidRPr="000C4ED9">
        <w:rPr>
          <w:rFonts w:ascii="Times New Roman" w:hAnsi="Times New Roman" w:cs="Times New Roman"/>
          <w:sz w:val="28"/>
          <w:szCs w:val="28"/>
          <w:lang w:val="es-MX"/>
        </w:rPr>
        <w:t>La ley 24660</w:t>
      </w:r>
      <w:r w:rsidR="00473AD1">
        <w:rPr>
          <w:rFonts w:ascii="Times New Roman" w:hAnsi="Times New Roman" w:cs="Times New Roman"/>
          <w:sz w:val="28"/>
          <w:szCs w:val="28"/>
          <w:lang w:val="es-MX"/>
        </w:rPr>
        <w:t>, en sus arts. 190 a 196,</w:t>
      </w:r>
      <w:r w:rsidRPr="000C4ED9">
        <w:rPr>
          <w:rFonts w:ascii="Times New Roman" w:hAnsi="Times New Roman" w:cs="Times New Roman"/>
          <w:sz w:val="28"/>
          <w:szCs w:val="28"/>
          <w:lang w:val="es-MX"/>
        </w:rPr>
        <w:t xml:space="preserve"> prevé la posibilidad de que madres con hijos e hijas menores a cinc</w:t>
      </w:r>
      <w:r w:rsidR="00473AD1">
        <w:rPr>
          <w:rFonts w:ascii="Times New Roman" w:hAnsi="Times New Roman" w:cs="Times New Roman"/>
          <w:sz w:val="28"/>
          <w:szCs w:val="28"/>
          <w:lang w:val="es-MX"/>
        </w:rPr>
        <w:t>o (5) años permanezcan</w:t>
      </w:r>
      <w:r w:rsidRPr="000C4ED9">
        <w:rPr>
          <w:rFonts w:ascii="Times New Roman" w:hAnsi="Times New Roman" w:cs="Times New Roman"/>
          <w:sz w:val="28"/>
          <w:szCs w:val="28"/>
          <w:lang w:val="es-MX"/>
        </w:rPr>
        <w:t xml:space="preserve"> en prisión</w:t>
      </w:r>
      <w:r>
        <w:rPr>
          <w:rStyle w:val="FootnoteReference"/>
          <w:rFonts w:ascii="Times New Roman" w:hAnsi="Times New Roman" w:cs="Times New Roman"/>
          <w:sz w:val="28"/>
          <w:szCs w:val="28"/>
          <w:lang w:val="es-MX"/>
        </w:rPr>
        <w:footnoteReference w:id="13"/>
      </w:r>
      <w:r w:rsidRPr="000C4ED9">
        <w:rPr>
          <w:rFonts w:ascii="Times New Roman" w:hAnsi="Times New Roman" w:cs="Times New Roman"/>
          <w:sz w:val="28"/>
          <w:szCs w:val="28"/>
          <w:lang w:val="es-MX"/>
        </w:rPr>
        <w:t>.</w:t>
      </w:r>
      <w:r w:rsidR="00473AD1">
        <w:rPr>
          <w:rFonts w:ascii="Times New Roman" w:hAnsi="Times New Roman" w:cs="Times New Roman"/>
          <w:sz w:val="28"/>
          <w:szCs w:val="28"/>
          <w:lang w:val="es-MX"/>
        </w:rPr>
        <w:t xml:space="preserve"> Rodeando esa prisionización de una serie de “cuidados” </w:t>
      </w:r>
      <w:r w:rsidR="008E1983">
        <w:rPr>
          <w:rFonts w:ascii="Times New Roman" w:hAnsi="Times New Roman" w:cs="Times New Roman"/>
          <w:sz w:val="28"/>
          <w:szCs w:val="28"/>
          <w:lang w:val="es-MX"/>
        </w:rPr>
        <w:t>que la hagan menos mortificante para niños y niñas. Pero, eso no ocurre. Ninguna prisión es un lugar saludable para la crianza.</w:t>
      </w:r>
    </w:p>
    <w:p w14:paraId="7EAB7F24" w14:textId="77777777" w:rsidR="008037CE" w:rsidRPr="005D2927" w:rsidRDefault="008037CE"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w:t>
      </w:r>
      <w:r w:rsidR="008E1983">
        <w:rPr>
          <w:rFonts w:ascii="Times New Roman" w:hAnsi="Times New Roman" w:cs="Times New Roman"/>
          <w:sz w:val="28"/>
          <w:szCs w:val="28"/>
          <w:lang w:val="es-MX"/>
        </w:rPr>
        <w:t>n Salta, por ejemplo</w:t>
      </w:r>
      <w:r w:rsidR="00473AD1">
        <w:rPr>
          <w:rFonts w:ascii="Times New Roman" w:hAnsi="Times New Roman" w:cs="Times New Roman"/>
          <w:sz w:val="28"/>
          <w:szCs w:val="28"/>
          <w:lang w:val="es-MX"/>
        </w:rPr>
        <w:t>, e</w:t>
      </w:r>
      <w:r w:rsidRPr="005D2927">
        <w:rPr>
          <w:rFonts w:ascii="Times New Roman" w:hAnsi="Times New Roman" w:cs="Times New Roman"/>
          <w:sz w:val="28"/>
          <w:szCs w:val="28"/>
          <w:lang w:val="es-MX"/>
        </w:rPr>
        <w:t>l Pabellón de Madres, no cumple con las condiciones necesarias para garantizar a un trato digno a las mujeres y a sus hijos/as.</w:t>
      </w:r>
    </w:p>
    <w:p w14:paraId="143981C4" w14:textId="77777777" w:rsidR="00A75119" w:rsidRDefault="00A75119" w:rsidP="005D2927">
      <w:pPr>
        <w:spacing w:line="360" w:lineRule="auto"/>
        <w:ind w:right="-1135"/>
        <w:jc w:val="both"/>
        <w:rPr>
          <w:sz w:val="28"/>
          <w:szCs w:val="28"/>
        </w:rPr>
      </w:pPr>
      <w:r>
        <w:rPr>
          <w:sz w:val="28"/>
          <w:szCs w:val="28"/>
        </w:rPr>
        <w:t>Debido a l</w:t>
      </w:r>
      <w:r w:rsidRPr="00D22E8D">
        <w:rPr>
          <w:sz w:val="28"/>
          <w:szCs w:val="28"/>
        </w:rPr>
        <w:t xml:space="preserve">os llamados internacionales y de organizaciones locales, </w:t>
      </w:r>
      <w:r>
        <w:rPr>
          <w:sz w:val="28"/>
          <w:szCs w:val="28"/>
        </w:rPr>
        <w:t xml:space="preserve">en Argentina, y </w:t>
      </w:r>
      <w:r w:rsidRPr="00D22E8D">
        <w:rPr>
          <w:sz w:val="28"/>
          <w:szCs w:val="28"/>
        </w:rPr>
        <w:t>durante la pandemia el número de madres presas con niñ</w:t>
      </w:r>
      <w:r>
        <w:rPr>
          <w:sz w:val="28"/>
          <w:szCs w:val="28"/>
        </w:rPr>
        <w:t>os, disminuyó drásticamente. Conforme datos recabados hasta el 15 de junio de 2020,</w:t>
      </w:r>
      <w:r w:rsidRPr="00D22E8D">
        <w:rPr>
          <w:sz w:val="28"/>
          <w:szCs w:val="28"/>
        </w:rPr>
        <w:t xml:space="preserve"> el Servicio Penitenciario Federal aloja</w:t>
      </w:r>
      <w:r>
        <w:rPr>
          <w:sz w:val="28"/>
          <w:szCs w:val="28"/>
        </w:rPr>
        <w:t>ba</w:t>
      </w:r>
      <w:r w:rsidRPr="00D22E8D">
        <w:rPr>
          <w:sz w:val="28"/>
          <w:szCs w:val="28"/>
        </w:rPr>
        <w:t xml:space="preserve"> 12 mamás (8 en la U31 y 4 en el CFP III de Güemes), en provincia de Buenos Aires la U33 La Plata, aloja</w:t>
      </w:r>
      <w:r>
        <w:rPr>
          <w:sz w:val="28"/>
          <w:szCs w:val="28"/>
        </w:rPr>
        <w:t>ba</w:t>
      </w:r>
      <w:r w:rsidRPr="00D22E8D">
        <w:rPr>
          <w:sz w:val="28"/>
          <w:szCs w:val="28"/>
        </w:rPr>
        <w:t xml:space="preserve"> 19 y la U54 Florencio Varela </w:t>
      </w:r>
      <w:r>
        <w:rPr>
          <w:sz w:val="28"/>
          <w:szCs w:val="28"/>
        </w:rPr>
        <w:t xml:space="preserve">alojaba </w:t>
      </w:r>
      <w:r w:rsidRPr="00D22E8D">
        <w:rPr>
          <w:sz w:val="28"/>
          <w:szCs w:val="28"/>
        </w:rPr>
        <w:t>2, en la provincia de Córdoba en el Esta</w:t>
      </w:r>
      <w:r>
        <w:rPr>
          <w:sz w:val="28"/>
          <w:szCs w:val="28"/>
        </w:rPr>
        <w:t xml:space="preserve">blecimiento Penitenciario N° 3 </w:t>
      </w:r>
      <w:r w:rsidRPr="00D22E8D">
        <w:rPr>
          <w:sz w:val="28"/>
          <w:szCs w:val="28"/>
        </w:rPr>
        <w:t>a</w:t>
      </w:r>
      <w:r>
        <w:rPr>
          <w:sz w:val="28"/>
          <w:szCs w:val="28"/>
        </w:rPr>
        <w:t xml:space="preserve">lojaba </w:t>
      </w:r>
      <w:r w:rsidRPr="00D22E8D">
        <w:rPr>
          <w:sz w:val="28"/>
          <w:szCs w:val="28"/>
        </w:rPr>
        <w:t xml:space="preserve">5, en Corrientes en la Unidad Penal 3 sólo 1, Río Negro </w:t>
      </w:r>
      <w:r>
        <w:rPr>
          <w:sz w:val="28"/>
          <w:szCs w:val="28"/>
        </w:rPr>
        <w:t>y Chubut no tenían</w:t>
      </w:r>
      <w:r w:rsidRPr="00D22E8D">
        <w:rPr>
          <w:sz w:val="28"/>
          <w:szCs w:val="28"/>
        </w:rPr>
        <w:t xml:space="preserve"> madres con niñes, Santa Fe Capital </w:t>
      </w:r>
      <w:r>
        <w:rPr>
          <w:sz w:val="28"/>
          <w:szCs w:val="28"/>
        </w:rPr>
        <w:t xml:space="preserve">tenía </w:t>
      </w:r>
      <w:r w:rsidRPr="00D22E8D">
        <w:rPr>
          <w:sz w:val="28"/>
          <w:szCs w:val="28"/>
        </w:rPr>
        <w:t xml:space="preserve">3, Rosario </w:t>
      </w:r>
      <w:r>
        <w:rPr>
          <w:sz w:val="28"/>
          <w:szCs w:val="28"/>
        </w:rPr>
        <w:t xml:space="preserve">a su vez contaba con </w:t>
      </w:r>
      <w:r w:rsidRPr="00D22E8D">
        <w:rPr>
          <w:sz w:val="28"/>
          <w:szCs w:val="28"/>
        </w:rPr>
        <w:t xml:space="preserve">10, Entre Ríos </w:t>
      </w:r>
      <w:r>
        <w:rPr>
          <w:sz w:val="28"/>
          <w:szCs w:val="28"/>
        </w:rPr>
        <w:t xml:space="preserve">alojaba </w:t>
      </w:r>
      <w:r w:rsidRPr="00D22E8D">
        <w:rPr>
          <w:sz w:val="28"/>
          <w:szCs w:val="28"/>
        </w:rPr>
        <w:t>1</w:t>
      </w:r>
      <w:r>
        <w:rPr>
          <w:sz w:val="28"/>
          <w:szCs w:val="28"/>
        </w:rPr>
        <w:t>.</w:t>
      </w:r>
    </w:p>
    <w:p w14:paraId="7D33EF13" w14:textId="77777777" w:rsidR="00A75119" w:rsidRDefault="00A75119" w:rsidP="005D2927">
      <w:pPr>
        <w:spacing w:line="360" w:lineRule="auto"/>
        <w:ind w:right="-1135"/>
        <w:jc w:val="both"/>
        <w:rPr>
          <w:sz w:val="28"/>
          <w:szCs w:val="28"/>
        </w:rPr>
      </w:pPr>
      <w:r>
        <w:rPr>
          <w:sz w:val="28"/>
          <w:szCs w:val="28"/>
        </w:rPr>
        <w:t>Hoy, conforme SNEEP 2024 ese número ha variado: el SPF aloja 9 madre con hijos e hijas, Buenos Aires aloja 31, Có</w:t>
      </w:r>
      <w:r w:rsidR="0069517B">
        <w:rPr>
          <w:sz w:val="28"/>
          <w:szCs w:val="28"/>
        </w:rPr>
        <w:t>rdoba aloja 6, Corrientes no tiene,</w:t>
      </w:r>
      <w:r>
        <w:rPr>
          <w:sz w:val="28"/>
          <w:szCs w:val="28"/>
        </w:rPr>
        <w:t xml:space="preserve"> Chubut trasladó a 1 mujer con su hija, </w:t>
      </w:r>
      <w:r w:rsidR="0069517B">
        <w:rPr>
          <w:sz w:val="28"/>
          <w:szCs w:val="28"/>
        </w:rPr>
        <w:t xml:space="preserve">Río Negro continúa sin mujeres con hijos e hijas en prisión, Santa Fe aloja 12, </w:t>
      </w:r>
      <w:r>
        <w:rPr>
          <w:sz w:val="28"/>
          <w:szCs w:val="28"/>
        </w:rPr>
        <w:t>Entre Ríos aloja 2</w:t>
      </w:r>
      <w:r w:rsidR="0069517B">
        <w:rPr>
          <w:sz w:val="28"/>
          <w:szCs w:val="28"/>
        </w:rPr>
        <w:t xml:space="preserve">. Es decir ha disminuido en algunas jurisdicciones pero sólo en el SPF e forma sensible. En el resto de las provincias el número aumentó, y en provincias que históricamente no tuvieron mujeres con hijos e hijas en prisión, hoy tiene 1 (Chubut), aunque debió reubicarla a 2000 kms. de distancia.  </w:t>
      </w:r>
    </w:p>
    <w:p w14:paraId="4C67B8EB" w14:textId="77777777" w:rsidR="00D5023E" w:rsidRDefault="00D5023E" w:rsidP="005D2927">
      <w:pPr>
        <w:spacing w:line="360" w:lineRule="auto"/>
        <w:ind w:right="-1135"/>
        <w:jc w:val="both"/>
        <w:rPr>
          <w:rFonts w:ascii="Times New Roman" w:hAnsi="Times New Roman" w:cs="Times New Roman"/>
          <w:b/>
          <w:sz w:val="28"/>
          <w:szCs w:val="28"/>
          <w:lang w:val="es-MX"/>
        </w:rPr>
      </w:pPr>
    </w:p>
    <w:p w14:paraId="422DE384" w14:textId="77777777" w:rsidR="008037CE" w:rsidRPr="008E1983" w:rsidRDefault="008037CE" w:rsidP="005D2927">
      <w:pPr>
        <w:spacing w:line="360" w:lineRule="auto"/>
        <w:ind w:right="-1135"/>
        <w:jc w:val="both"/>
        <w:rPr>
          <w:rFonts w:ascii="Times New Roman" w:hAnsi="Times New Roman" w:cs="Times New Roman"/>
          <w:b/>
          <w:sz w:val="28"/>
          <w:szCs w:val="28"/>
          <w:lang w:val="es-MX"/>
        </w:rPr>
      </w:pPr>
      <w:r w:rsidRPr="008E1983">
        <w:rPr>
          <w:rFonts w:ascii="Times New Roman" w:hAnsi="Times New Roman" w:cs="Times New Roman"/>
          <w:b/>
          <w:sz w:val="28"/>
          <w:szCs w:val="28"/>
          <w:lang w:val="es-MX"/>
        </w:rPr>
        <w:t>Autocuidado</w:t>
      </w:r>
    </w:p>
    <w:p w14:paraId="757E181D" w14:textId="77777777" w:rsidR="00083817" w:rsidRPr="00D5023E" w:rsidRDefault="009F601D" w:rsidP="005D2927">
      <w:pPr>
        <w:spacing w:line="360" w:lineRule="auto"/>
        <w:ind w:right="-1135"/>
        <w:jc w:val="both"/>
        <w:rPr>
          <w:rFonts w:ascii="Times New Roman" w:hAnsi="Times New Roman" w:cs="Times New Roman"/>
          <w:b/>
          <w:sz w:val="28"/>
          <w:szCs w:val="28"/>
          <w:lang w:val="es-MX"/>
        </w:rPr>
      </w:pPr>
      <w:r w:rsidRPr="00D5023E">
        <w:rPr>
          <w:rFonts w:ascii="Times New Roman" w:hAnsi="Times New Roman" w:cs="Times New Roman"/>
          <w:b/>
          <w:sz w:val="28"/>
          <w:szCs w:val="28"/>
          <w:lang w:val="es-MX"/>
        </w:rPr>
        <w:t xml:space="preserve">Salud mental: </w:t>
      </w:r>
    </w:p>
    <w:p w14:paraId="01701696" w14:textId="77777777" w:rsidR="00D5023E" w:rsidRDefault="00D5023E"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Como se anticipó ser destinataria de cuidados o propender al autocuidado, con un enfoque diferenciado nos ha llevados a los siguientes hallazgos en general:</w:t>
      </w:r>
    </w:p>
    <w:p w14:paraId="441F2A52" w14:textId="77777777" w:rsidR="009A7735" w:rsidRPr="005D2927" w:rsidRDefault="00D5023E"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1) S</w:t>
      </w:r>
      <w:r w:rsidR="009A7735" w:rsidRPr="005D2927">
        <w:rPr>
          <w:rFonts w:ascii="Times New Roman" w:hAnsi="Times New Roman" w:cs="Times New Roman"/>
          <w:sz w:val="28"/>
          <w:szCs w:val="28"/>
          <w:lang w:val="es-MX"/>
        </w:rPr>
        <w:t xml:space="preserve">obre medicación como método de control de ansiedad e impulsos. </w:t>
      </w:r>
      <w:r>
        <w:rPr>
          <w:rFonts w:ascii="Times New Roman" w:hAnsi="Times New Roman" w:cs="Times New Roman"/>
          <w:sz w:val="28"/>
          <w:szCs w:val="28"/>
          <w:lang w:val="es-MX"/>
        </w:rPr>
        <w:t xml:space="preserve">Esto </w:t>
      </w:r>
      <w:r w:rsidR="009A7735" w:rsidRPr="005D2927">
        <w:rPr>
          <w:rFonts w:ascii="Times New Roman" w:hAnsi="Times New Roman" w:cs="Times New Roman"/>
          <w:sz w:val="28"/>
          <w:szCs w:val="28"/>
          <w:lang w:val="es-MX"/>
        </w:rPr>
        <w:t xml:space="preserve">trae </w:t>
      </w:r>
      <w:r>
        <w:rPr>
          <w:rFonts w:ascii="Times New Roman" w:hAnsi="Times New Roman" w:cs="Times New Roman"/>
          <w:sz w:val="28"/>
          <w:szCs w:val="28"/>
          <w:lang w:val="es-MX"/>
        </w:rPr>
        <w:t xml:space="preserve">como </w:t>
      </w:r>
      <w:r w:rsidR="009A7735" w:rsidRPr="005D2927">
        <w:rPr>
          <w:rFonts w:ascii="Times New Roman" w:hAnsi="Times New Roman" w:cs="Times New Roman"/>
          <w:sz w:val="28"/>
          <w:szCs w:val="28"/>
          <w:lang w:val="es-MX"/>
        </w:rPr>
        <w:t xml:space="preserve">consecuencias </w:t>
      </w:r>
      <w:r>
        <w:rPr>
          <w:rFonts w:ascii="Times New Roman" w:hAnsi="Times New Roman" w:cs="Times New Roman"/>
          <w:sz w:val="28"/>
          <w:szCs w:val="28"/>
          <w:lang w:val="es-MX"/>
        </w:rPr>
        <w:t xml:space="preserve">la </w:t>
      </w:r>
      <w:r w:rsidR="009A7735" w:rsidRPr="005D2927">
        <w:rPr>
          <w:rFonts w:ascii="Times New Roman" w:hAnsi="Times New Roman" w:cs="Times New Roman"/>
          <w:sz w:val="28"/>
          <w:szCs w:val="28"/>
          <w:lang w:val="es-MX"/>
        </w:rPr>
        <w:t>dependencia (</w:t>
      </w:r>
      <w:r>
        <w:rPr>
          <w:rFonts w:ascii="Times New Roman" w:hAnsi="Times New Roman" w:cs="Times New Roman"/>
          <w:sz w:val="28"/>
          <w:szCs w:val="28"/>
          <w:lang w:val="es-MX"/>
        </w:rPr>
        <w:t xml:space="preserve">porque </w:t>
      </w:r>
      <w:r w:rsidR="009A7735" w:rsidRPr="005D2927">
        <w:rPr>
          <w:rFonts w:ascii="Times New Roman" w:hAnsi="Times New Roman" w:cs="Times New Roman"/>
          <w:sz w:val="28"/>
          <w:szCs w:val="28"/>
          <w:lang w:val="es-MX"/>
        </w:rPr>
        <w:t>se h</w:t>
      </w:r>
      <w:r>
        <w:rPr>
          <w:rFonts w:ascii="Times New Roman" w:hAnsi="Times New Roman" w:cs="Times New Roman"/>
          <w:sz w:val="28"/>
          <w:szCs w:val="28"/>
          <w:lang w:val="es-MX"/>
        </w:rPr>
        <w:t>ace una sustitución de adicción</w:t>
      </w:r>
      <w:r w:rsidR="009A7735" w:rsidRPr="005D2927">
        <w:rPr>
          <w:rFonts w:ascii="Times New Roman" w:hAnsi="Times New Roman" w:cs="Times New Roman"/>
          <w:sz w:val="28"/>
          <w:szCs w:val="28"/>
          <w:lang w:val="es-MX"/>
        </w:rPr>
        <w:t xml:space="preserve">) </w:t>
      </w:r>
      <w:r>
        <w:rPr>
          <w:rFonts w:ascii="Times New Roman" w:hAnsi="Times New Roman" w:cs="Times New Roman"/>
          <w:sz w:val="28"/>
          <w:szCs w:val="28"/>
          <w:lang w:val="es-MX"/>
        </w:rPr>
        <w:t xml:space="preserve">de </w:t>
      </w:r>
      <w:r w:rsidR="009A7735" w:rsidRPr="005D2927">
        <w:rPr>
          <w:rFonts w:ascii="Times New Roman" w:hAnsi="Times New Roman" w:cs="Times New Roman"/>
          <w:sz w:val="28"/>
          <w:szCs w:val="28"/>
          <w:lang w:val="es-MX"/>
        </w:rPr>
        <w:t xml:space="preserve">drogas ilícitas </w:t>
      </w:r>
      <w:r>
        <w:rPr>
          <w:rFonts w:ascii="Times New Roman" w:hAnsi="Times New Roman" w:cs="Times New Roman"/>
          <w:sz w:val="28"/>
          <w:szCs w:val="28"/>
          <w:lang w:val="es-MX"/>
        </w:rPr>
        <w:t xml:space="preserve">por </w:t>
      </w:r>
      <w:r w:rsidR="009A7735" w:rsidRPr="005D2927">
        <w:rPr>
          <w:rFonts w:ascii="Times New Roman" w:hAnsi="Times New Roman" w:cs="Times New Roman"/>
          <w:sz w:val="28"/>
          <w:szCs w:val="28"/>
          <w:lang w:val="es-MX"/>
        </w:rPr>
        <w:t>medicación. Por ejemplo en Salta: Se han recibido denuncias de medicalización forzada en ocasión de crisis, o durante la permanencia en celdas de aislamiento o simplemente para asegurar la tranquilidad de los pabellones (medicación conocida como S.O.S, sin prescripción médica y contra su voluntad).</w:t>
      </w:r>
    </w:p>
    <w:p w14:paraId="7AA75D9C" w14:textId="77777777" w:rsidR="009A7735" w:rsidRPr="005D2927" w:rsidRDefault="00D5023E"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2) F</w:t>
      </w:r>
      <w:r w:rsidR="000C4ED9">
        <w:rPr>
          <w:rFonts w:ascii="Times New Roman" w:hAnsi="Times New Roman" w:cs="Times New Roman"/>
          <w:sz w:val="28"/>
          <w:szCs w:val="28"/>
          <w:lang w:val="es-MX"/>
        </w:rPr>
        <w:t xml:space="preserve">alta de diagnóstico </w:t>
      </w:r>
      <w:r w:rsidR="009A7735" w:rsidRPr="005D2927">
        <w:rPr>
          <w:rFonts w:ascii="Times New Roman" w:hAnsi="Times New Roman" w:cs="Times New Roman"/>
          <w:sz w:val="28"/>
          <w:szCs w:val="28"/>
          <w:lang w:val="es-MX"/>
        </w:rPr>
        <w:t>y por ello tratamiento</w:t>
      </w:r>
      <w:r>
        <w:rPr>
          <w:rFonts w:ascii="Times New Roman" w:hAnsi="Times New Roman" w:cs="Times New Roman"/>
          <w:sz w:val="28"/>
          <w:szCs w:val="28"/>
          <w:lang w:val="es-MX"/>
        </w:rPr>
        <w:t>, lo que impide un abordaje de la situación a tiempo y sólo se actúa en la crisis</w:t>
      </w:r>
      <w:r w:rsidR="009A7735" w:rsidRPr="005D2927">
        <w:rPr>
          <w:rFonts w:ascii="Times New Roman" w:hAnsi="Times New Roman" w:cs="Times New Roman"/>
          <w:sz w:val="28"/>
          <w:szCs w:val="28"/>
          <w:lang w:val="es-MX"/>
        </w:rPr>
        <w:t>.</w:t>
      </w:r>
      <w:r>
        <w:rPr>
          <w:rFonts w:ascii="Times New Roman" w:hAnsi="Times New Roman" w:cs="Times New Roman"/>
          <w:sz w:val="28"/>
          <w:szCs w:val="28"/>
          <w:lang w:val="es-MX"/>
        </w:rPr>
        <w:t xml:space="preserve"> Algunas jurisdicciones han gestionado como buenas prácticas aranceles diferenciados de psicólogos (Salta) o programa de personas privadas de libertad en el sector público (Chubut).</w:t>
      </w:r>
      <w:r w:rsidR="009A7735" w:rsidRPr="005D2927">
        <w:rPr>
          <w:rFonts w:ascii="Times New Roman" w:hAnsi="Times New Roman" w:cs="Times New Roman"/>
          <w:sz w:val="28"/>
          <w:szCs w:val="28"/>
          <w:lang w:val="es-MX"/>
        </w:rPr>
        <w:t xml:space="preserve"> </w:t>
      </w:r>
    </w:p>
    <w:p w14:paraId="01BF1C77" w14:textId="77777777" w:rsidR="009A7735" w:rsidRPr="005D2927" w:rsidRDefault="00D5023E"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3) C</w:t>
      </w:r>
      <w:r w:rsidR="009A7735" w:rsidRPr="005D2927">
        <w:rPr>
          <w:rFonts w:ascii="Times New Roman" w:hAnsi="Times New Roman" w:cs="Times New Roman"/>
          <w:sz w:val="28"/>
          <w:szCs w:val="28"/>
          <w:lang w:val="es-MX"/>
        </w:rPr>
        <w:t xml:space="preserve">onvivencia de personas sanas con personas con padecimientos mentales </w:t>
      </w:r>
      <w:r>
        <w:rPr>
          <w:rFonts w:ascii="Times New Roman" w:hAnsi="Times New Roman" w:cs="Times New Roman"/>
          <w:sz w:val="28"/>
          <w:szCs w:val="28"/>
          <w:lang w:val="es-MX"/>
        </w:rPr>
        <w:t xml:space="preserve">y in diagnosticar, agrava </w:t>
      </w:r>
      <w:r w:rsidR="009A7735" w:rsidRPr="005D2927">
        <w:rPr>
          <w:rFonts w:ascii="Times New Roman" w:hAnsi="Times New Roman" w:cs="Times New Roman"/>
          <w:sz w:val="28"/>
          <w:szCs w:val="28"/>
          <w:lang w:val="es-MX"/>
        </w:rPr>
        <w:t>la situación</w:t>
      </w:r>
      <w:r>
        <w:rPr>
          <w:rFonts w:ascii="Times New Roman" w:hAnsi="Times New Roman" w:cs="Times New Roman"/>
          <w:sz w:val="28"/>
          <w:szCs w:val="28"/>
          <w:lang w:val="es-MX"/>
        </w:rPr>
        <w:t>.</w:t>
      </w:r>
    </w:p>
    <w:p w14:paraId="1BB3BF33" w14:textId="77777777" w:rsidR="00D35559" w:rsidRDefault="00D35559" w:rsidP="005D2927">
      <w:p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4) Los índices de SUICIDIOS en mujeres presas se encuentran relacionados a la ruptura de redes de apoyo, familiares, y especialmente con sus hijos e hijas, angustia por la situación de niños/niñas, entre otras. Esta información no se encuentra desagregada, sino que proviene de entrevista realizadas.</w:t>
      </w:r>
    </w:p>
    <w:p w14:paraId="59BAC352" w14:textId="77777777" w:rsidR="00D35559" w:rsidRPr="005D2927" w:rsidRDefault="00D35559" w:rsidP="00D35559">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Buenas prácticas</w:t>
      </w:r>
    </w:p>
    <w:p w14:paraId="6CE40FAE" w14:textId="77777777" w:rsidR="00D35559" w:rsidRPr="005D2927" w:rsidRDefault="00D35559" w:rsidP="00D35559">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En Salta: Especialmente se demanda por atención psicológica insuficiente. Buena práctica: en 2023 de manera excepcional se autorizaron a través de Juzgados de Ejecución atenciones psicológicas en consultorios profesionales privados. Sobre esta base, el CPT Salta firmó un convenio de colaboración recíproca con el Colegio de Psicólogos para avanzar en la confección de un padrón diferenciado de profesionales psicólogos especializados en acompañamiento a personas privadas de libertad y fortalecer su formación.</w:t>
      </w:r>
    </w:p>
    <w:p w14:paraId="043A7FD3" w14:textId="77777777" w:rsidR="00D35559" w:rsidRPr="005D2927" w:rsidRDefault="00D35559" w:rsidP="00D35559">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En Chubut (Puerto madryn) se creó el Programa de Asistencia a personas privadas de la libertad, por lo que a demanda se les provee de atención psicológica, psiquiátrica y médica. La mujeres al estar su mayoría en el IPP N° 1 no cuentan con esta posibilidad. Se articula a través del programa de Mujeres Privadas de la Libertad, de la OM de STJ Chubut.</w:t>
      </w:r>
    </w:p>
    <w:p w14:paraId="53466DA2" w14:textId="77777777" w:rsidR="00C723FC" w:rsidRDefault="00D35559" w:rsidP="005D2927">
      <w:p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 xml:space="preserve"> </w:t>
      </w:r>
    </w:p>
    <w:p w14:paraId="4FE8D198" w14:textId="77777777" w:rsidR="008037CE" w:rsidRPr="00D5023E" w:rsidRDefault="00083817" w:rsidP="005D2927">
      <w:pPr>
        <w:spacing w:line="360" w:lineRule="auto"/>
        <w:ind w:right="-1135"/>
        <w:jc w:val="both"/>
        <w:rPr>
          <w:rFonts w:ascii="Times New Roman" w:hAnsi="Times New Roman" w:cs="Times New Roman"/>
          <w:b/>
          <w:sz w:val="28"/>
          <w:szCs w:val="28"/>
          <w:lang w:val="es-MX"/>
        </w:rPr>
      </w:pPr>
      <w:r w:rsidRPr="00D5023E">
        <w:rPr>
          <w:rFonts w:ascii="Times New Roman" w:hAnsi="Times New Roman" w:cs="Times New Roman"/>
          <w:b/>
          <w:sz w:val="28"/>
          <w:szCs w:val="28"/>
          <w:lang w:val="es-MX"/>
        </w:rPr>
        <w:t xml:space="preserve">La demanda por atención en salud </w:t>
      </w:r>
      <w:r w:rsidR="008037CE" w:rsidRPr="00D5023E">
        <w:rPr>
          <w:rFonts w:ascii="Times New Roman" w:hAnsi="Times New Roman" w:cs="Times New Roman"/>
          <w:b/>
          <w:sz w:val="28"/>
          <w:szCs w:val="28"/>
          <w:lang w:val="es-MX"/>
        </w:rPr>
        <w:t xml:space="preserve">médica y </w:t>
      </w:r>
      <w:r w:rsidRPr="00D5023E">
        <w:rPr>
          <w:rFonts w:ascii="Times New Roman" w:hAnsi="Times New Roman" w:cs="Times New Roman"/>
          <w:b/>
          <w:sz w:val="28"/>
          <w:szCs w:val="28"/>
          <w:lang w:val="es-MX"/>
        </w:rPr>
        <w:t>mental</w:t>
      </w:r>
      <w:r w:rsidR="008037CE" w:rsidRPr="00D5023E">
        <w:rPr>
          <w:rFonts w:ascii="Times New Roman" w:hAnsi="Times New Roman" w:cs="Times New Roman"/>
          <w:b/>
          <w:sz w:val="28"/>
          <w:szCs w:val="28"/>
          <w:lang w:val="es-MX"/>
        </w:rPr>
        <w:t>:</w:t>
      </w:r>
    </w:p>
    <w:p w14:paraId="31BD83B8" w14:textId="77777777" w:rsidR="008037CE" w:rsidRPr="005D2927" w:rsidRDefault="00C723FC"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La a</w:t>
      </w:r>
      <w:r w:rsidR="008037CE" w:rsidRPr="005D2927">
        <w:rPr>
          <w:rFonts w:ascii="Times New Roman" w:hAnsi="Times New Roman" w:cs="Times New Roman"/>
          <w:sz w:val="28"/>
          <w:szCs w:val="28"/>
          <w:lang w:val="es-MX"/>
        </w:rPr>
        <w:t xml:space="preserve">tención médica </w:t>
      </w:r>
      <w:r>
        <w:rPr>
          <w:rFonts w:ascii="Times New Roman" w:hAnsi="Times New Roman" w:cs="Times New Roman"/>
          <w:sz w:val="28"/>
          <w:szCs w:val="28"/>
          <w:lang w:val="es-MX"/>
        </w:rPr>
        <w:t xml:space="preserve">es </w:t>
      </w:r>
      <w:r w:rsidR="008037CE" w:rsidRPr="005D2927">
        <w:rPr>
          <w:rFonts w:ascii="Times New Roman" w:hAnsi="Times New Roman" w:cs="Times New Roman"/>
          <w:sz w:val="28"/>
          <w:szCs w:val="28"/>
          <w:lang w:val="es-MX"/>
        </w:rPr>
        <w:t xml:space="preserve">absolutamente insuficiente, </w:t>
      </w:r>
      <w:r>
        <w:rPr>
          <w:rFonts w:ascii="Times New Roman" w:hAnsi="Times New Roman" w:cs="Times New Roman"/>
          <w:sz w:val="28"/>
          <w:szCs w:val="28"/>
          <w:lang w:val="es-MX"/>
        </w:rPr>
        <w:t xml:space="preserve">en la mayoría de las jurisdicciones se encuentra </w:t>
      </w:r>
      <w:r w:rsidR="008037CE" w:rsidRPr="005D2927">
        <w:rPr>
          <w:rFonts w:ascii="Times New Roman" w:hAnsi="Times New Roman" w:cs="Times New Roman"/>
          <w:sz w:val="28"/>
          <w:szCs w:val="28"/>
          <w:lang w:val="es-MX"/>
        </w:rPr>
        <w:t xml:space="preserve">a cargo principalmente del servicio de enfermería. El Servicio Penitenciario no cuenta con ningún personal médico femenino ni especialistas. </w:t>
      </w:r>
    </w:p>
    <w:p w14:paraId="4E72F8F8" w14:textId="77777777" w:rsidR="008037CE" w:rsidRPr="005D2927" w:rsidRDefault="00C723FC"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Existen r</w:t>
      </w:r>
      <w:r w:rsidR="008037CE" w:rsidRPr="005D2927">
        <w:rPr>
          <w:rFonts w:ascii="Times New Roman" w:hAnsi="Times New Roman" w:cs="Times New Roman"/>
          <w:sz w:val="28"/>
          <w:szCs w:val="28"/>
          <w:lang w:val="es-MX"/>
        </w:rPr>
        <w:t xml:space="preserve">eclamos por la falta de medicamentos: se suministran genéricos, sin tener en cuenta sus especificidades de género para dolores menstruales, menopausia, depresión posparto y el trastorno </w:t>
      </w:r>
      <w:r w:rsidR="009A7735" w:rsidRPr="005D2927">
        <w:rPr>
          <w:rFonts w:ascii="Times New Roman" w:hAnsi="Times New Roman" w:cs="Times New Roman"/>
          <w:sz w:val="28"/>
          <w:szCs w:val="28"/>
          <w:lang w:val="es-MX"/>
        </w:rPr>
        <w:t xml:space="preserve">disfórico premenstrual (TDPM). </w:t>
      </w:r>
      <w:r w:rsidR="008037CE" w:rsidRPr="005D2927">
        <w:rPr>
          <w:rFonts w:ascii="Times New Roman" w:hAnsi="Times New Roman" w:cs="Times New Roman"/>
          <w:sz w:val="28"/>
          <w:szCs w:val="28"/>
          <w:lang w:val="es-MX"/>
        </w:rPr>
        <w:t xml:space="preserve"> </w:t>
      </w:r>
    </w:p>
    <w:p w14:paraId="2BC614BE" w14:textId="77777777" w:rsidR="008037CE" w:rsidRPr="005D2927" w:rsidRDefault="008037CE"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Falta de provisión de insumos para la gestión menstrual (toallas ecológicas de tela, ropa interior absorbente, toallas descartables industriales y tampones). </w:t>
      </w:r>
      <w:r w:rsidR="00C723FC">
        <w:rPr>
          <w:rFonts w:ascii="Times New Roman" w:hAnsi="Times New Roman" w:cs="Times New Roman"/>
          <w:sz w:val="28"/>
          <w:szCs w:val="28"/>
          <w:lang w:val="es-MX"/>
        </w:rPr>
        <w:t>S</w:t>
      </w:r>
      <w:r w:rsidRPr="005D2927">
        <w:rPr>
          <w:rFonts w:ascii="Times New Roman" w:hAnsi="Times New Roman" w:cs="Times New Roman"/>
          <w:sz w:val="28"/>
          <w:szCs w:val="28"/>
          <w:lang w:val="es-MX"/>
        </w:rPr>
        <w:t>e proveyó de copas de gestión menstrual</w:t>
      </w:r>
      <w:r w:rsidR="00C723FC">
        <w:rPr>
          <w:rFonts w:ascii="Times New Roman" w:hAnsi="Times New Roman" w:cs="Times New Roman"/>
          <w:sz w:val="28"/>
          <w:szCs w:val="28"/>
          <w:lang w:val="es-MX"/>
        </w:rPr>
        <w:t>, a través del programa de gestión menstrual nacional</w:t>
      </w:r>
      <w:r w:rsidRPr="005D2927">
        <w:rPr>
          <w:rFonts w:ascii="Times New Roman" w:hAnsi="Times New Roman" w:cs="Times New Roman"/>
          <w:sz w:val="28"/>
          <w:szCs w:val="28"/>
          <w:lang w:val="es-MX"/>
        </w:rPr>
        <w:t>, pero su uso se dificulta por las condiciones de higiene.</w:t>
      </w:r>
      <w:r w:rsidR="00C723FC">
        <w:rPr>
          <w:rFonts w:ascii="Times New Roman" w:hAnsi="Times New Roman" w:cs="Times New Roman"/>
          <w:sz w:val="28"/>
          <w:szCs w:val="28"/>
          <w:lang w:val="es-MX"/>
        </w:rPr>
        <w:t xml:space="preserve"> Sin embargo, ese programa fue dado de baja.</w:t>
      </w:r>
    </w:p>
    <w:p w14:paraId="69167DE9" w14:textId="77777777" w:rsidR="008037CE" w:rsidRPr="005D2927" w:rsidRDefault="008037CE"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 xml:space="preserve">A diferencia de las Unidades masculinas, existe una rigurosidad en la vestimenta permitida: el uso de remeras con escotes, pantalones cortos y se mide el alto de los zapatos. </w:t>
      </w:r>
      <w:r w:rsidR="00C723FC">
        <w:rPr>
          <w:rFonts w:ascii="Times New Roman" w:hAnsi="Times New Roman" w:cs="Times New Roman"/>
          <w:sz w:val="28"/>
          <w:szCs w:val="28"/>
          <w:lang w:val="es-MX"/>
        </w:rPr>
        <w:t xml:space="preserve">En algunas jurisdicciones </w:t>
      </w:r>
      <w:r w:rsidRPr="005D2927">
        <w:rPr>
          <w:rFonts w:ascii="Times New Roman" w:hAnsi="Times New Roman" w:cs="Times New Roman"/>
          <w:sz w:val="28"/>
          <w:szCs w:val="28"/>
          <w:lang w:val="es-MX"/>
        </w:rPr>
        <w:t>o se les permite maquillarse.</w:t>
      </w:r>
      <w:r w:rsidR="00D35559">
        <w:rPr>
          <w:rFonts w:ascii="Times New Roman" w:hAnsi="Times New Roman" w:cs="Times New Roman"/>
          <w:sz w:val="28"/>
          <w:szCs w:val="28"/>
          <w:lang w:val="es-MX"/>
        </w:rPr>
        <w:t xml:space="preserve"> En Chubut eso ha sido modificado por resolución judicial que rechaza las sanciones por este motivo, haciendo énfasis en la situación de la mujer.</w:t>
      </w:r>
    </w:p>
    <w:p w14:paraId="1EE93906" w14:textId="77777777" w:rsidR="008037CE" w:rsidRPr="005D2927" w:rsidRDefault="00D35559"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En Salta, s</w:t>
      </w:r>
      <w:r w:rsidR="008037CE" w:rsidRPr="005D2927">
        <w:rPr>
          <w:rFonts w:ascii="Times New Roman" w:hAnsi="Times New Roman" w:cs="Times New Roman"/>
          <w:sz w:val="28"/>
          <w:szCs w:val="28"/>
          <w:lang w:val="es-MX"/>
        </w:rPr>
        <w:t>e sostienen en mujeres las sanciones por autolesiones, intentos de suicidio y por muestras socioafectivas.</w:t>
      </w:r>
    </w:p>
    <w:p w14:paraId="743D6BCD" w14:textId="77777777" w:rsidR="009A7735" w:rsidRPr="005D2927" w:rsidRDefault="009A7735" w:rsidP="005D2927">
      <w:pPr>
        <w:spacing w:line="360" w:lineRule="auto"/>
        <w:ind w:right="-1135"/>
        <w:jc w:val="both"/>
        <w:rPr>
          <w:rFonts w:ascii="Times New Roman" w:hAnsi="Times New Roman" w:cs="Times New Roman"/>
          <w:sz w:val="28"/>
          <w:szCs w:val="28"/>
          <w:lang w:val="es-MX"/>
        </w:rPr>
      </w:pPr>
    </w:p>
    <w:p w14:paraId="735D8264" w14:textId="77777777" w:rsidR="009A7735" w:rsidRPr="00D35559" w:rsidRDefault="009A7735" w:rsidP="005D2927">
      <w:pPr>
        <w:spacing w:line="360" w:lineRule="auto"/>
        <w:ind w:right="-1135"/>
        <w:jc w:val="both"/>
        <w:rPr>
          <w:rFonts w:ascii="Times New Roman" w:hAnsi="Times New Roman" w:cs="Times New Roman"/>
          <w:b/>
          <w:sz w:val="28"/>
          <w:szCs w:val="28"/>
          <w:lang w:val="es-MX"/>
        </w:rPr>
      </w:pPr>
      <w:r w:rsidRPr="00D35559">
        <w:rPr>
          <w:rFonts w:ascii="Times New Roman" w:hAnsi="Times New Roman" w:cs="Times New Roman"/>
          <w:b/>
          <w:sz w:val="28"/>
          <w:szCs w:val="28"/>
          <w:lang w:val="es-MX"/>
        </w:rPr>
        <w:t>Recomendaciones</w:t>
      </w:r>
    </w:p>
    <w:p w14:paraId="65603E52" w14:textId="77777777" w:rsidR="009A7735" w:rsidRPr="00D35559" w:rsidRDefault="009A7735" w:rsidP="00D35559">
      <w:pPr>
        <w:pStyle w:val="ListParagraph"/>
        <w:numPr>
          <w:ilvl w:val="0"/>
          <w:numId w:val="2"/>
        </w:numPr>
        <w:spacing w:line="360" w:lineRule="auto"/>
        <w:ind w:right="-1135"/>
        <w:jc w:val="both"/>
        <w:rPr>
          <w:rFonts w:ascii="Times New Roman" w:hAnsi="Times New Roman" w:cs="Times New Roman"/>
          <w:sz w:val="28"/>
          <w:szCs w:val="28"/>
          <w:lang w:val="es-MX"/>
        </w:rPr>
      </w:pPr>
      <w:r w:rsidRPr="00D35559">
        <w:rPr>
          <w:rFonts w:ascii="Times New Roman" w:hAnsi="Times New Roman" w:cs="Times New Roman"/>
          <w:sz w:val="28"/>
          <w:szCs w:val="28"/>
          <w:lang w:val="es-MX"/>
        </w:rPr>
        <w:t>Necesidad de trabajar preventivamente con equipos y comunidades terapéuticas sobre suicidio</w:t>
      </w:r>
    </w:p>
    <w:p w14:paraId="3843C3B4" w14:textId="77777777" w:rsidR="009A7735" w:rsidRPr="00D35559" w:rsidRDefault="00D35559" w:rsidP="00D35559">
      <w:pPr>
        <w:pStyle w:val="ListParagraph"/>
        <w:numPr>
          <w:ilvl w:val="0"/>
          <w:numId w:val="2"/>
        </w:numPr>
        <w:spacing w:line="360" w:lineRule="auto"/>
        <w:ind w:right="-1135"/>
        <w:jc w:val="both"/>
        <w:rPr>
          <w:rFonts w:ascii="Times New Roman" w:hAnsi="Times New Roman" w:cs="Times New Roman"/>
          <w:sz w:val="28"/>
          <w:szCs w:val="28"/>
          <w:lang w:val="es-MX"/>
        </w:rPr>
      </w:pPr>
      <w:r w:rsidRPr="00D35559">
        <w:rPr>
          <w:rFonts w:ascii="Times New Roman" w:hAnsi="Times New Roman" w:cs="Times New Roman"/>
          <w:sz w:val="28"/>
          <w:szCs w:val="28"/>
          <w:lang w:val="es-MX"/>
        </w:rPr>
        <w:t>Necesitad</w:t>
      </w:r>
      <w:r w:rsidR="009A7735" w:rsidRPr="00D35559">
        <w:rPr>
          <w:rFonts w:ascii="Times New Roman" w:hAnsi="Times New Roman" w:cs="Times New Roman"/>
          <w:sz w:val="28"/>
          <w:szCs w:val="28"/>
          <w:lang w:val="es-MX"/>
        </w:rPr>
        <w:t xml:space="preserve"> de un registro nacional de salud mental, atención, condiciones, equipos etc</w:t>
      </w:r>
      <w:r>
        <w:rPr>
          <w:rFonts w:ascii="Times New Roman" w:hAnsi="Times New Roman" w:cs="Times New Roman"/>
          <w:sz w:val="28"/>
          <w:szCs w:val="28"/>
          <w:lang w:val="es-MX"/>
        </w:rPr>
        <w:t>.</w:t>
      </w:r>
      <w:r w:rsidR="009A7735" w:rsidRPr="00D35559">
        <w:rPr>
          <w:rFonts w:ascii="Times New Roman" w:hAnsi="Times New Roman" w:cs="Times New Roman"/>
          <w:sz w:val="28"/>
          <w:szCs w:val="28"/>
          <w:lang w:val="es-MX"/>
        </w:rPr>
        <w:t xml:space="preserve"> </w:t>
      </w:r>
    </w:p>
    <w:p w14:paraId="1AB7AA28" w14:textId="77777777" w:rsidR="0051129F" w:rsidRPr="005D2927" w:rsidRDefault="0051129F" w:rsidP="005D2927">
      <w:pPr>
        <w:spacing w:line="360" w:lineRule="auto"/>
        <w:ind w:right="-1135"/>
        <w:jc w:val="both"/>
        <w:rPr>
          <w:rFonts w:ascii="Times New Roman" w:hAnsi="Times New Roman" w:cs="Times New Roman"/>
          <w:sz w:val="28"/>
          <w:szCs w:val="28"/>
          <w:lang w:val="es-MX"/>
        </w:rPr>
      </w:pPr>
    </w:p>
    <w:p w14:paraId="13078B3D" w14:textId="77777777" w:rsidR="00677CF0" w:rsidRPr="00D35559" w:rsidRDefault="00CF542C" w:rsidP="005D2927">
      <w:pPr>
        <w:spacing w:before="240" w:after="240" w:line="360" w:lineRule="auto"/>
        <w:ind w:right="-1135"/>
        <w:jc w:val="both"/>
        <w:rPr>
          <w:rFonts w:ascii="Times New Roman" w:eastAsia="Calibri" w:hAnsi="Times New Roman" w:cs="Times New Roman"/>
          <w:b/>
          <w:sz w:val="28"/>
          <w:szCs w:val="28"/>
        </w:rPr>
      </w:pPr>
      <w:r w:rsidRPr="00D35559">
        <w:rPr>
          <w:rFonts w:ascii="Times New Roman" w:eastAsia="Calibri" w:hAnsi="Times New Roman" w:cs="Times New Roman"/>
          <w:b/>
          <w:sz w:val="28"/>
          <w:szCs w:val="28"/>
        </w:rPr>
        <w:t>NIÑEZ</w:t>
      </w:r>
      <w:r w:rsidR="00E70576">
        <w:rPr>
          <w:rStyle w:val="FootnoteReference"/>
          <w:rFonts w:ascii="Times New Roman" w:eastAsia="Calibri" w:hAnsi="Times New Roman" w:cs="Times New Roman"/>
          <w:b/>
          <w:sz w:val="28"/>
          <w:szCs w:val="28"/>
        </w:rPr>
        <w:footnoteReference w:id="14"/>
      </w:r>
      <w:r w:rsidRPr="00D35559">
        <w:rPr>
          <w:rFonts w:ascii="Times New Roman" w:eastAsia="Calibri" w:hAnsi="Times New Roman" w:cs="Times New Roman"/>
          <w:b/>
          <w:sz w:val="28"/>
          <w:szCs w:val="28"/>
        </w:rPr>
        <w:t>:</w:t>
      </w:r>
    </w:p>
    <w:p w14:paraId="6816568C" w14:textId="77777777" w:rsidR="00677CF0" w:rsidRPr="005D2927" w:rsidRDefault="00677CF0" w:rsidP="005D2927">
      <w:pPr>
        <w:spacing w:before="240" w:after="240" w:line="360" w:lineRule="auto"/>
        <w:ind w:right="-1135"/>
        <w:jc w:val="both"/>
        <w:rPr>
          <w:rFonts w:ascii="Times New Roman" w:hAnsi="Times New Roman" w:cs="Times New Roman"/>
          <w:sz w:val="28"/>
          <w:szCs w:val="28"/>
        </w:rPr>
      </w:pPr>
      <w:r w:rsidRPr="005D2927">
        <w:rPr>
          <w:rFonts w:ascii="Times New Roman" w:hAnsi="Times New Roman" w:cs="Times New Roman"/>
          <w:sz w:val="28"/>
          <w:szCs w:val="28"/>
        </w:rPr>
        <w:t xml:space="preserve"> El proyecto de ley de Responsabilidad Penal Juvenil El dictamen de mayoría no recepta las Recomendaciones y Observaciones Generales del Comité de los Derechos del Niño, generando un sistema regresivo en nuestra legislación y desvirtuando el principio de especialidad. De aprobarse, colocaría a nuestro país ante la posibilidad de denuncias (que muchos de nuestros organismos podrían realizar) y condenas por parte de los mecanismos regionales e internacionales de derechos humanos. El Comité de los Derechos del Niño, en su Observación General N° 24 (2019) encomia a los Estados partes que tienen una edad mínima de responsabilidad penal más elevada (por ejemplo 15 o 16 años) a que no la reduzcan en ninguna circunstancia, de conformidad con el artículo 41 de la Convención sobre los Derechos del Niño. Y más relevante aún, en las Observaciones finales sobre el séptimo informe periódico de la Argentina, el Comité ha</w:t>
      </w:r>
      <w:r w:rsidR="00354150" w:rsidRPr="005D2927">
        <w:rPr>
          <w:rFonts w:ascii="Times New Roman" w:hAnsi="Times New Roman" w:cs="Times New Roman"/>
          <w:sz w:val="28"/>
          <w:szCs w:val="28"/>
        </w:rPr>
        <w:t xml:space="preserve"> manifestado su seria preocupación por la falta de avances en la aplicación de sus recomendaciones anteriores y ha instado al Estado Argentino a armonizar plenamente su sistema de justicia de menores con la Convención, incluida la derogación de la Ley N° 22.278 y manteniendo la edad mínima de responsabilidad penal en 16 años para todo tipo de delitos y sin endurecer las penas. La ley penal juvenil debe adecuarse a los principios de la Convención sobre los Derechos del Niño y otros tratados de derechos humanos, manteniendo la edad mínima de responsabilidad penal; promoviendo activamente medidas no judiciales para las y los no punibles (políticas públicas) y para las y los adolescentes punibles justicia restaurativa; la aplicación de penas no privativas de libertad como medida de último recurso y durante el periodo de tiempo más breve posible, que se revisen periódicamente con vistas a su supresión o morigeración; y prohibir la imposición de cadena perpetua a personas por actos cometidos durante la menor edad</w:t>
      </w:r>
    </w:p>
    <w:p w14:paraId="3C032E7F" w14:textId="77777777" w:rsidR="00E70576" w:rsidRDefault="00D35559" w:rsidP="005D2927">
      <w:pPr>
        <w:spacing w:before="240" w:after="240" w:line="360" w:lineRule="auto"/>
        <w:ind w:right="-1135"/>
        <w:jc w:val="both"/>
        <w:rPr>
          <w:rFonts w:ascii="Times New Roman" w:hAnsi="Times New Roman" w:cs="Times New Roman"/>
          <w:sz w:val="28"/>
          <w:szCs w:val="28"/>
        </w:rPr>
      </w:pPr>
      <w:r>
        <w:rPr>
          <w:rFonts w:ascii="Times New Roman" w:hAnsi="Times New Roman" w:cs="Times New Roman"/>
          <w:sz w:val="28"/>
          <w:szCs w:val="28"/>
        </w:rPr>
        <w:t>N</w:t>
      </w:r>
      <w:r w:rsidR="00354150" w:rsidRPr="005D2927">
        <w:rPr>
          <w:rFonts w:ascii="Times New Roman" w:hAnsi="Times New Roman" w:cs="Times New Roman"/>
          <w:sz w:val="28"/>
          <w:szCs w:val="28"/>
        </w:rPr>
        <w:t>uestra oposición a la baja de la edad de punibilidad, al agravamiento de la escala penal, a la aplicación discrecional para tomar medidas alternativas, al mantenimiento de la punibilidad sobre todos los delitos, a la habilitación de la privación de libertad en establecimientos penitenciarios</w:t>
      </w:r>
      <w:r w:rsidR="00E70576">
        <w:rPr>
          <w:rFonts w:ascii="Times New Roman" w:hAnsi="Times New Roman" w:cs="Times New Roman"/>
          <w:sz w:val="28"/>
          <w:szCs w:val="28"/>
        </w:rPr>
        <w:t>.</w:t>
      </w:r>
    </w:p>
    <w:p w14:paraId="611B9EB8" w14:textId="77777777" w:rsidR="00677CF0" w:rsidRPr="005D2927" w:rsidRDefault="00677CF0" w:rsidP="005D2927">
      <w:pPr>
        <w:spacing w:before="240" w:after="240" w:line="360" w:lineRule="auto"/>
        <w:ind w:right="-1135"/>
        <w:jc w:val="both"/>
        <w:rPr>
          <w:rFonts w:ascii="Times New Roman" w:eastAsia="Calibri" w:hAnsi="Times New Roman" w:cs="Times New Roman"/>
          <w:sz w:val="28"/>
          <w:szCs w:val="28"/>
        </w:rPr>
      </w:pPr>
      <w:r w:rsidRPr="005D2927">
        <w:rPr>
          <w:rFonts w:ascii="Times New Roman" w:hAnsi="Times New Roman" w:cs="Times New Roman"/>
          <w:sz w:val="28"/>
          <w:szCs w:val="28"/>
          <w:shd w:val="clear" w:color="auto" w:fill="FFFFFF"/>
        </w:rPr>
        <w:t>Condiciones de habitabilidad deficientes con problemas vinculados al diseño, mantenimiento e higiene de los establecimientos; dispositivos gestionados por personal de seguridad con lógicas propicias para que existan situaciones de tortura y malos tratos; personal escaso y sin formación especializada; ausencia de protocolos de requisas que propician situaciones abusivas como desnudos, revisiones intrusivas y humillantes;</w:t>
      </w:r>
      <w:r w:rsidRPr="005D2927">
        <w:rPr>
          <w:rStyle w:val="Strong"/>
          <w:rFonts w:ascii="Times New Roman" w:hAnsi="Times New Roman" w:cs="Times New Roman"/>
          <w:sz w:val="28"/>
          <w:szCs w:val="28"/>
          <w:bdr w:val="none" w:sz="0" w:space="0" w:color="auto" w:frame="1"/>
          <w:shd w:val="clear" w:color="auto" w:fill="FFFFFF"/>
        </w:rPr>
        <w:t> </w:t>
      </w:r>
      <w:r w:rsidRPr="005D2927">
        <w:rPr>
          <w:rFonts w:ascii="Times New Roman" w:hAnsi="Times New Roman" w:cs="Times New Roman"/>
          <w:sz w:val="28"/>
          <w:szCs w:val="28"/>
          <w:shd w:val="clear" w:color="auto" w:fill="FFFFFF"/>
        </w:rPr>
        <w:t>adolescentes en régimen de aislamiento, en violación de los estándares internacionales que prohíben esta práctica; adultos/as privados de la libertad en sectores destinados a adolescentes debido a la sobrepoblación en centros penitenciarios, violando toda norma y estándar en la materia</w:t>
      </w:r>
      <w:r w:rsidR="00E70576">
        <w:rPr>
          <w:rFonts w:ascii="Times New Roman" w:hAnsi="Times New Roman" w:cs="Times New Roman"/>
          <w:sz w:val="28"/>
          <w:szCs w:val="28"/>
          <w:shd w:val="clear" w:color="auto" w:fill="FFFFFF"/>
        </w:rPr>
        <w:t>.</w:t>
      </w:r>
      <w:r w:rsidR="00E70576">
        <w:rPr>
          <w:rStyle w:val="FootnoteReference"/>
          <w:rFonts w:ascii="Times New Roman" w:hAnsi="Times New Roman" w:cs="Times New Roman"/>
          <w:sz w:val="28"/>
          <w:szCs w:val="28"/>
          <w:shd w:val="clear" w:color="auto" w:fill="FFFFFF"/>
        </w:rPr>
        <w:footnoteReference w:id="15"/>
      </w:r>
      <w:r w:rsidRPr="005D2927">
        <w:rPr>
          <w:rFonts w:ascii="Times New Roman" w:hAnsi="Times New Roman" w:cs="Times New Roman"/>
          <w:sz w:val="28"/>
          <w:szCs w:val="28"/>
          <w:shd w:val="clear" w:color="auto" w:fill="FFFFFF"/>
        </w:rPr>
        <w:t xml:space="preserve"> </w:t>
      </w:r>
    </w:p>
    <w:p w14:paraId="7DF9AC52" w14:textId="77777777" w:rsidR="009A7735" w:rsidRPr="005D2927" w:rsidRDefault="009A7735"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En Salta los denominados Institutos Especializados de Alojamiento (destinados a jóvenes por causas penales) dependen de la Dirección de Justicia Penal Juvenil, dependiente del Ministerio de Seguridad y Justicia, violando el principio de especialidad. Su gestión se encuentra a cargo del Servicio Penitenciario y con personal que no cuenta con formación especializada.</w:t>
      </w:r>
    </w:p>
    <w:p w14:paraId="6E54B5CE" w14:textId="77777777" w:rsidR="009A7735" w:rsidRDefault="009A7735" w:rsidP="005D2927">
      <w:pPr>
        <w:spacing w:line="360" w:lineRule="auto"/>
        <w:ind w:right="-1135"/>
        <w:jc w:val="both"/>
        <w:rPr>
          <w:rFonts w:ascii="Times New Roman" w:hAnsi="Times New Roman" w:cs="Times New Roman"/>
          <w:sz w:val="28"/>
          <w:szCs w:val="28"/>
          <w:lang w:val="es-MX"/>
        </w:rPr>
      </w:pPr>
      <w:r w:rsidRPr="005D2927">
        <w:rPr>
          <w:rFonts w:ascii="Times New Roman" w:hAnsi="Times New Roman" w:cs="Times New Roman"/>
          <w:sz w:val="28"/>
          <w:szCs w:val="28"/>
          <w:lang w:val="es-MX"/>
        </w:rPr>
        <w:t>Es habitual la práctica de encierro en estos dispositivos a menores no punibles (en la última recorrida del CPT Salta se entrevistó a 4 NNA de 14 y 15 años). Tramita actualmente un habeas corpus colectivo correctivo por esta situación impulsado por la Defensoría del NNA.</w:t>
      </w:r>
    </w:p>
    <w:p w14:paraId="42CF8EF4" w14:textId="77777777" w:rsidR="00677CF0" w:rsidRDefault="00E37CE1" w:rsidP="00E37CE1">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 xml:space="preserve">En Chubut se relevó que la situación de alojamiento, en celdas individuales, sin acceso al teléfono era más gravosa que para las personas adulta, quienes tienen acceso, por orden judicial a celulares. El Comité local estableció un canal de diálogo para fortalecer el reconocimiento de estos derechos: mayor apertura del lugar, incluso en el exterior y acceso al teléfono en un lapso de tiempo más extenso. </w:t>
      </w:r>
    </w:p>
    <w:p w14:paraId="2FAC0EDE" w14:textId="77777777" w:rsidR="00E37CE1" w:rsidRPr="00E37CE1" w:rsidRDefault="00E37CE1" w:rsidP="00E37CE1">
      <w:pPr>
        <w:spacing w:line="360" w:lineRule="auto"/>
        <w:ind w:right="-1135"/>
        <w:jc w:val="both"/>
        <w:rPr>
          <w:rFonts w:ascii="Times New Roman" w:hAnsi="Times New Roman" w:cs="Times New Roman"/>
          <w:sz w:val="28"/>
          <w:szCs w:val="28"/>
          <w:lang w:val="es-MX"/>
        </w:rPr>
      </w:pPr>
    </w:p>
    <w:p w14:paraId="76C32786" w14:textId="77777777" w:rsidR="008223BE" w:rsidRPr="00E37CE1" w:rsidRDefault="00D35559" w:rsidP="005D2927">
      <w:pPr>
        <w:spacing w:line="360" w:lineRule="auto"/>
        <w:ind w:right="-1135"/>
        <w:jc w:val="both"/>
        <w:rPr>
          <w:rFonts w:ascii="Times New Roman" w:hAnsi="Times New Roman" w:cs="Times New Roman"/>
          <w:b/>
          <w:sz w:val="28"/>
          <w:szCs w:val="28"/>
          <w:lang w:val="es-MX"/>
        </w:rPr>
      </w:pPr>
      <w:r w:rsidRPr="00E37CE1">
        <w:rPr>
          <w:rFonts w:ascii="Times New Roman" w:hAnsi="Times New Roman" w:cs="Times New Roman"/>
          <w:b/>
          <w:sz w:val="28"/>
          <w:szCs w:val="28"/>
          <w:lang w:val="es-MX"/>
        </w:rPr>
        <w:t>Pueblos originarios</w:t>
      </w:r>
      <w:r w:rsidR="008223BE" w:rsidRPr="00E37CE1">
        <w:rPr>
          <w:rFonts w:ascii="Times New Roman" w:hAnsi="Times New Roman" w:cs="Times New Roman"/>
          <w:b/>
          <w:sz w:val="28"/>
          <w:szCs w:val="28"/>
          <w:lang w:val="es-MX"/>
        </w:rPr>
        <w:t>:</w:t>
      </w:r>
    </w:p>
    <w:p w14:paraId="37D02775" w14:textId="77777777" w:rsidR="00E37CE1" w:rsidRPr="00E37CE1" w:rsidRDefault="00E37CE1" w:rsidP="00E37CE1">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Pr="00E37CE1">
        <w:rPr>
          <w:rFonts w:ascii="Times New Roman" w:hAnsi="Times New Roman" w:cs="Times New Roman"/>
          <w:sz w:val="24"/>
          <w:szCs w:val="24"/>
        </w:rPr>
        <w:t>a Declaración Americana sobre los Derechos de los Pueblos Indígenas, proclama que las personas que se autoidentifiquen indígenas tienen los derech</w:t>
      </w:r>
      <w:r>
        <w:rPr>
          <w:rFonts w:ascii="Times New Roman" w:hAnsi="Times New Roman" w:cs="Times New Roman"/>
          <w:sz w:val="24"/>
          <w:szCs w:val="24"/>
        </w:rPr>
        <w:t>os reconocidos en ella (art. I)</w:t>
      </w:r>
      <w:r w:rsidRPr="00E37CE1">
        <w:rPr>
          <w:rFonts w:ascii="Times New Roman" w:hAnsi="Times New Roman" w:cs="Times New Roman"/>
          <w:sz w:val="24"/>
          <w:szCs w:val="24"/>
        </w:rPr>
        <w:t xml:space="preserve"> y también al rechazo de la asimilación (art. X). Esto significa que mientras se autoperciban como parte de un pueblo indígena tienen el derecho a exigir se les reconozca como tales y se les respete en su cultura. Lo que trasladado al entorno penitenciario implica que debe respetarse su lengua, su alimentación, su religión, etc. Con lo que ello conlleva, en las prácticas religiosas podrá ingresar quien ejerza la función de “sacerdocio”.</w:t>
      </w:r>
    </w:p>
    <w:p w14:paraId="47867D02" w14:textId="77777777" w:rsidR="00E37CE1" w:rsidRPr="00E37CE1" w:rsidRDefault="00E37CE1" w:rsidP="00E37CE1">
      <w:pPr>
        <w:spacing w:line="360" w:lineRule="auto"/>
        <w:jc w:val="both"/>
        <w:rPr>
          <w:rFonts w:ascii="Times New Roman" w:hAnsi="Times New Roman" w:cs="Times New Roman"/>
          <w:sz w:val="24"/>
          <w:szCs w:val="24"/>
        </w:rPr>
      </w:pPr>
      <w:r w:rsidRPr="00E37CE1">
        <w:rPr>
          <w:rFonts w:ascii="Times New Roman" w:hAnsi="Times New Roman" w:cs="Times New Roman"/>
          <w:sz w:val="24"/>
          <w:szCs w:val="24"/>
        </w:rPr>
        <w:t xml:space="preserve">Sobre la salud, las formas de tratamiento acorde a su cultura también deben ser respetadas y permitidas, se deberá respetar su deseo de no intervención a través de medicina hegemónica. </w:t>
      </w:r>
    </w:p>
    <w:p w14:paraId="0D7696D6" w14:textId="77777777" w:rsidR="008223BE" w:rsidRDefault="00E37CE1"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Sin embargo es frecuente el r</w:t>
      </w:r>
      <w:r w:rsidR="008223BE" w:rsidRPr="005D2927">
        <w:rPr>
          <w:rFonts w:ascii="Times New Roman" w:hAnsi="Times New Roman" w:cs="Times New Roman"/>
          <w:sz w:val="28"/>
          <w:szCs w:val="28"/>
          <w:lang w:val="es-MX"/>
        </w:rPr>
        <w:t>eclam</w:t>
      </w:r>
      <w:r>
        <w:rPr>
          <w:rFonts w:ascii="Times New Roman" w:hAnsi="Times New Roman" w:cs="Times New Roman"/>
          <w:sz w:val="28"/>
          <w:szCs w:val="28"/>
          <w:lang w:val="es-MX"/>
        </w:rPr>
        <w:t xml:space="preserve">o </w:t>
      </w:r>
      <w:r w:rsidR="008223BE" w:rsidRPr="005D2927">
        <w:rPr>
          <w:rFonts w:ascii="Times New Roman" w:hAnsi="Times New Roman" w:cs="Times New Roman"/>
          <w:sz w:val="28"/>
          <w:szCs w:val="28"/>
          <w:lang w:val="es-MX"/>
        </w:rPr>
        <w:t>por la falta de intérpretes en todas las instancias procesales así como en los establecimientos de detención,</w:t>
      </w:r>
      <w:r>
        <w:rPr>
          <w:rFonts w:ascii="Times New Roman" w:hAnsi="Times New Roman" w:cs="Times New Roman"/>
          <w:sz w:val="28"/>
          <w:szCs w:val="28"/>
          <w:lang w:val="es-MX"/>
        </w:rPr>
        <w:t xml:space="preserve"> especialmente en aquellas jurisdicciones con pueblos originarios reconocidos, quienes manifiestan</w:t>
      </w:r>
      <w:r w:rsidR="008223BE" w:rsidRPr="005D2927">
        <w:rPr>
          <w:rFonts w:ascii="Times New Roman" w:hAnsi="Times New Roman" w:cs="Times New Roman"/>
          <w:sz w:val="28"/>
          <w:szCs w:val="28"/>
          <w:lang w:val="es-MX"/>
        </w:rPr>
        <w:t xml:space="preserve"> dificultades para comprender las causas por las cuales se encuentran privadas de su libertad, pérdida de contacto con familiares y otros integrantes de la comunidad en razón de la lejanía y escasez de recursos para movilizarse, imposibilidad de hablar la lengua con otra persona durante meses y de sostener prácticas comunitarias. La condición de pertenencia a un pueblo indígena no es reconocida como tal en el Servicio Penitenciario.</w:t>
      </w:r>
    </w:p>
    <w:p w14:paraId="198552CE" w14:textId="77777777" w:rsidR="00E37CE1" w:rsidRDefault="00E37CE1" w:rsidP="005D2927">
      <w:pPr>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Lo que lleva a concluir en el incumplimiento del Estado respecto a estas personas.</w:t>
      </w:r>
    </w:p>
    <w:p w14:paraId="2AC6721E" w14:textId="77777777" w:rsidR="00E37CE1" w:rsidRDefault="00E37CE1" w:rsidP="005D2927">
      <w:pPr>
        <w:spacing w:line="360" w:lineRule="auto"/>
        <w:ind w:right="-1135"/>
        <w:jc w:val="both"/>
        <w:rPr>
          <w:rFonts w:ascii="Times New Roman" w:hAnsi="Times New Roman" w:cs="Times New Roman"/>
          <w:sz w:val="28"/>
          <w:szCs w:val="28"/>
          <w:lang w:val="es-MX"/>
        </w:rPr>
      </w:pPr>
    </w:p>
    <w:p w14:paraId="1A14B51A" w14:textId="77777777" w:rsidR="00E37CE1" w:rsidRDefault="00E37CE1" w:rsidP="005D2927">
      <w:pPr>
        <w:spacing w:line="360" w:lineRule="auto"/>
        <w:ind w:right="-1135"/>
        <w:jc w:val="both"/>
        <w:rPr>
          <w:rFonts w:ascii="Times New Roman" w:hAnsi="Times New Roman" w:cs="Times New Roman"/>
          <w:b/>
          <w:sz w:val="28"/>
          <w:szCs w:val="28"/>
          <w:lang w:val="es-MX"/>
        </w:rPr>
      </w:pPr>
      <w:r w:rsidRPr="00E37CE1">
        <w:rPr>
          <w:rFonts w:ascii="Times New Roman" w:hAnsi="Times New Roman" w:cs="Times New Roman"/>
          <w:b/>
          <w:sz w:val="28"/>
          <w:szCs w:val="28"/>
          <w:lang w:val="es-MX"/>
        </w:rPr>
        <w:t>RECOMENDACIONES:</w:t>
      </w:r>
    </w:p>
    <w:p w14:paraId="277475DF" w14:textId="77777777" w:rsidR="00E37CE1" w:rsidRDefault="00E37CE1"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 xml:space="preserve">Mantener las políticas </w:t>
      </w:r>
      <w:r w:rsidR="005E4E93">
        <w:rPr>
          <w:rFonts w:ascii="Times New Roman" w:hAnsi="Times New Roman" w:cs="Times New Roman"/>
          <w:b/>
          <w:sz w:val="28"/>
          <w:szCs w:val="28"/>
          <w:lang w:val="es-MX"/>
        </w:rPr>
        <w:t xml:space="preserve">públicas estatales </w:t>
      </w:r>
      <w:r>
        <w:rPr>
          <w:rFonts w:ascii="Times New Roman" w:hAnsi="Times New Roman" w:cs="Times New Roman"/>
          <w:b/>
          <w:sz w:val="28"/>
          <w:szCs w:val="28"/>
          <w:lang w:val="es-MX"/>
        </w:rPr>
        <w:t>relacionadas a</w:t>
      </w:r>
      <w:r w:rsidR="005E4E93">
        <w:rPr>
          <w:rFonts w:ascii="Times New Roman" w:hAnsi="Times New Roman" w:cs="Times New Roman"/>
          <w:b/>
          <w:sz w:val="28"/>
          <w:szCs w:val="28"/>
          <w:lang w:val="es-MX"/>
        </w:rPr>
        <w:t>l</w:t>
      </w:r>
      <w:r>
        <w:rPr>
          <w:rFonts w:ascii="Times New Roman" w:hAnsi="Times New Roman" w:cs="Times New Roman"/>
          <w:b/>
          <w:sz w:val="28"/>
          <w:szCs w:val="28"/>
          <w:lang w:val="es-MX"/>
        </w:rPr>
        <w:t xml:space="preserve"> enfo</w:t>
      </w:r>
      <w:r w:rsidR="005E4E93">
        <w:rPr>
          <w:rFonts w:ascii="Times New Roman" w:hAnsi="Times New Roman" w:cs="Times New Roman"/>
          <w:b/>
          <w:sz w:val="28"/>
          <w:szCs w:val="28"/>
          <w:lang w:val="es-MX"/>
        </w:rPr>
        <w:t>que</w:t>
      </w:r>
      <w:r>
        <w:rPr>
          <w:rFonts w:ascii="Times New Roman" w:hAnsi="Times New Roman" w:cs="Times New Roman"/>
          <w:b/>
          <w:sz w:val="28"/>
          <w:szCs w:val="28"/>
          <w:lang w:val="es-MX"/>
        </w:rPr>
        <w:t xml:space="preserve"> diferenciado respecto a estos colectivos históricamente vulnerados</w:t>
      </w:r>
      <w:r w:rsidR="005E4E93">
        <w:rPr>
          <w:rFonts w:ascii="Times New Roman" w:hAnsi="Times New Roman" w:cs="Times New Roman"/>
          <w:b/>
          <w:sz w:val="28"/>
          <w:szCs w:val="28"/>
          <w:lang w:val="es-MX"/>
        </w:rPr>
        <w:t>.</w:t>
      </w:r>
    </w:p>
    <w:p w14:paraId="39DAB42B" w14:textId="77777777" w:rsidR="005E4E93" w:rsidRDefault="005E4E93"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Retroatraer aquellas políticas que impiden el pleno goce y ejercicio de derechos por parte de estas personas.</w:t>
      </w:r>
    </w:p>
    <w:p w14:paraId="163EAC64" w14:textId="77777777" w:rsidR="005E4E93" w:rsidRDefault="005E4E93"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Establecer un proyecto de responsabilidad penal juvenil acorde con las Convenciones.</w:t>
      </w:r>
    </w:p>
    <w:p w14:paraId="7D6838D7" w14:textId="77777777" w:rsidR="005E4E93" w:rsidRDefault="005E4E93"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Establecer que los Principios de Yogyakarta y las Reglas de Bangkok son aquellos aplicables para decidir en relación a Mujeres y personas del colectivo LGBTIAQ+ en prisión.</w:t>
      </w:r>
    </w:p>
    <w:p w14:paraId="22597902" w14:textId="77777777" w:rsidR="005E4E93" w:rsidRDefault="005E4E93"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Establecer que la prisión es la última medida a tomar en relación a estas poblaciones vulnerables y que la</w:t>
      </w:r>
      <w:r w:rsidR="003D0D07">
        <w:rPr>
          <w:rFonts w:ascii="Times New Roman" w:hAnsi="Times New Roman" w:cs="Times New Roman"/>
          <w:b/>
          <w:sz w:val="28"/>
          <w:szCs w:val="28"/>
          <w:lang w:val="es-MX"/>
        </w:rPr>
        <w:t>s</w:t>
      </w:r>
      <w:r>
        <w:rPr>
          <w:rFonts w:ascii="Times New Roman" w:hAnsi="Times New Roman" w:cs="Times New Roman"/>
          <w:b/>
          <w:sz w:val="28"/>
          <w:szCs w:val="28"/>
          <w:lang w:val="es-MX"/>
        </w:rPr>
        <w:t xml:space="preserve"> preferencias deben ser las medidas alternativas (Reglas de Tokyo).</w:t>
      </w:r>
    </w:p>
    <w:p w14:paraId="5D840097" w14:textId="77777777" w:rsidR="005E4E93" w:rsidRDefault="005E4E93"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Establecer la relación entre prisión domiciliaria y el derecho al cuidado de forma autónoma (sin estereotipo de género). Lo que incluye las autorizaciones necesarias.</w:t>
      </w:r>
    </w:p>
    <w:p w14:paraId="2C1789E8" w14:textId="77777777" w:rsidR="005E4E93" w:rsidRDefault="005E4E93" w:rsidP="00E37CE1">
      <w:pPr>
        <w:pStyle w:val="ListParagraph"/>
        <w:numPr>
          <w:ilvl w:val="0"/>
          <w:numId w:val="3"/>
        </w:numPr>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Relevar las modificaciones necesarias en los establecimientos carcelarios para alojar a personas de estos grupos.</w:t>
      </w:r>
    </w:p>
    <w:p w14:paraId="1E125616" w14:textId="77777777" w:rsidR="005E4E93" w:rsidRDefault="005E4E93" w:rsidP="005E4E93">
      <w:pPr>
        <w:pStyle w:val="ListParagraph"/>
        <w:spacing w:line="360" w:lineRule="auto"/>
        <w:ind w:right="-1135"/>
        <w:jc w:val="both"/>
        <w:rPr>
          <w:rFonts w:ascii="Times New Roman" w:hAnsi="Times New Roman" w:cs="Times New Roman"/>
          <w:b/>
          <w:sz w:val="28"/>
          <w:szCs w:val="28"/>
          <w:lang w:val="es-MX"/>
        </w:rPr>
      </w:pPr>
    </w:p>
    <w:p w14:paraId="407D4470" w14:textId="77777777" w:rsidR="003D0D07" w:rsidRDefault="003D0D07" w:rsidP="005E4E93">
      <w:pPr>
        <w:pStyle w:val="ListParagraph"/>
        <w:spacing w:line="360" w:lineRule="auto"/>
        <w:ind w:right="-1135"/>
        <w:jc w:val="both"/>
        <w:rPr>
          <w:rFonts w:ascii="Times New Roman" w:hAnsi="Times New Roman" w:cs="Times New Roman"/>
          <w:b/>
          <w:sz w:val="28"/>
          <w:szCs w:val="28"/>
          <w:lang w:val="es-MX"/>
        </w:rPr>
      </w:pPr>
    </w:p>
    <w:p w14:paraId="20B74A3E" w14:textId="77777777" w:rsidR="003D0D07" w:rsidRDefault="003D0D07" w:rsidP="005E4E93">
      <w:pPr>
        <w:pStyle w:val="ListParagraph"/>
        <w:spacing w:line="360" w:lineRule="auto"/>
        <w:ind w:right="-1135"/>
        <w:jc w:val="both"/>
        <w:rPr>
          <w:rFonts w:ascii="Times New Roman" w:hAnsi="Times New Roman" w:cs="Times New Roman"/>
          <w:b/>
          <w:sz w:val="28"/>
          <w:szCs w:val="28"/>
          <w:lang w:val="es-MX"/>
        </w:rPr>
      </w:pPr>
      <w:r>
        <w:rPr>
          <w:rFonts w:ascii="Times New Roman" w:hAnsi="Times New Roman" w:cs="Times New Roman"/>
          <w:b/>
          <w:sz w:val="28"/>
          <w:szCs w:val="28"/>
          <w:lang w:val="es-MX"/>
        </w:rPr>
        <w:t>CAPACITACIÓN</w:t>
      </w:r>
    </w:p>
    <w:p w14:paraId="32A7DFED" w14:textId="77777777" w:rsidR="003D0D07" w:rsidRDefault="003D0D07" w:rsidP="005E4E93">
      <w:pPr>
        <w:pStyle w:val="ListParagraph"/>
        <w:spacing w:line="360" w:lineRule="auto"/>
        <w:ind w:right="-1135"/>
        <w:jc w:val="both"/>
        <w:rPr>
          <w:rFonts w:ascii="Times New Roman" w:hAnsi="Times New Roman" w:cs="Times New Roman"/>
          <w:sz w:val="28"/>
          <w:szCs w:val="28"/>
          <w:lang w:val="es-MX"/>
        </w:rPr>
      </w:pPr>
      <w:r w:rsidRPr="003D0D07">
        <w:rPr>
          <w:rFonts w:ascii="Times New Roman" w:hAnsi="Times New Roman" w:cs="Times New Roman"/>
          <w:sz w:val="28"/>
          <w:szCs w:val="28"/>
          <w:lang w:val="es-MX"/>
        </w:rPr>
        <w:t>El Comité Nacional h</w:t>
      </w:r>
      <w:r>
        <w:rPr>
          <w:rFonts w:ascii="Times New Roman" w:hAnsi="Times New Roman" w:cs="Times New Roman"/>
          <w:sz w:val="28"/>
          <w:szCs w:val="28"/>
          <w:lang w:val="es-MX"/>
        </w:rPr>
        <w:t>a</w:t>
      </w:r>
      <w:r w:rsidRPr="003D0D07">
        <w:rPr>
          <w:rFonts w:ascii="Times New Roman" w:hAnsi="Times New Roman" w:cs="Times New Roman"/>
          <w:sz w:val="28"/>
          <w:szCs w:val="28"/>
          <w:lang w:val="es-MX"/>
        </w:rPr>
        <w:t xml:space="preserve"> ofrecido diversas capacitaciones con el objeto de </w:t>
      </w:r>
      <w:r>
        <w:rPr>
          <w:rFonts w:ascii="Times New Roman" w:hAnsi="Times New Roman" w:cs="Times New Roman"/>
          <w:sz w:val="28"/>
          <w:szCs w:val="28"/>
          <w:lang w:val="es-MX"/>
        </w:rPr>
        <w:t xml:space="preserve">fortalecer a los mecanismos en los </w:t>
      </w:r>
      <w:r w:rsidRPr="003D0D07">
        <w:rPr>
          <w:rFonts w:ascii="Times New Roman" w:hAnsi="Times New Roman" w:cs="Times New Roman"/>
          <w:sz w:val="28"/>
          <w:szCs w:val="28"/>
          <w:lang w:val="es-MX"/>
        </w:rPr>
        <w:t>roles del sistema</w:t>
      </w:r>
      <w:r>
        <w:rPr>
          <w:rFonts w:ascii="Times New Roman" w:hAnsi="Times New Roman" w:cs="Times New Roman"/>
          <w:sz w:val="28"/>
          <w:szCs w:val="28"/>
          <w:lang w:val="es-MX"/>
        </w:rPr>
        <w:t>.</w:t>
      </w:r>
    </w:p>
    <w:p w14:paraId="6D4651CC" w14:textId="77777777" w:rsidR="003D0D07" w:rsidRDefault="003D0D07" w:rsidP="005E4E93">
      <w:pPr>
        <w:pStyle w:val="ListParagraph"/>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A su vez cada mecanismo provincial realiza capacitaciones a la Policía, servicios penitenciarios y lugares de alojamiento de adolescentes.</w:t>
      </w:r>
    </w:p>
    <w:p w14:paraId="3DBD02FC" w14:textId="77777777" w:rsidR="003D0D07" w:rsidRDefault="003D0D07" w:rsidP="005E4E93">
      <w:pPr>
        <w:pStyle w:val="ListParagraph"/>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La Defensoría de Niñez de la nación ha impartido capacitaciones específicas para el monitoreo de lugares de alojamiento de niños/as y adolescentes.</w:t>
      </w:r>
    </w:p>
    <w:p w14:paraId="17284B66" w14:textId="77777777" w:rsidR="003D0D07" w:rsidRPr="003D0D07" w:rsidRDefault="003D0D07" w:rsidP="005E4E93">
      <w:pPr>
        <w:pStyle w:val="ListParagraph"/>
        <w:spacing w:line="360" w:lineRule="auto"/>
        <w:ind w:right="-1135"/>
        <w:jc w:val="both"/>
        <w:rPr>
          <w:rFonts w:ascii="Times New Roman" w:hAnsi="Times New Roman" w:cs="Times New Roman"/>
          <w:sz w:val="28"/>
          <w:szCs w:val="28"/>
          <w:lang w:val="es-MX"/>
        </w:rPr>
      </w:pPr>
      <w:r>
        <w:rPr>
          <w:rFonts w:ascii="Times New Roman" w:hAnsi="Times New Roman" w:cs="Times New Roman"/>
          <w:sz w:val="28"/>
          <w:szCs w:val="28"/>
          <w:lang w:val="es-MX"/>
        </w:rPr>
        <w:t xml:space="preserve">Sin embargo, ello en materia de género y colectivos vulnerables resulta no sólo insuficiente, sino urgente.   </w:t>
      </w:r>
      <w:r w:rsidRPr="003D0D07">
        <w:rPr>
          <w:rFonts w:ascii="Times New Roman" w:hAnsi="Times New Roman" w:cs="Times New Roman"/>
          <w:sz w:val="28"/>
          <w:szCs w:val="28"/>
          <w:lang w:val="es-MX"/>
        </w:rPr>
        <w:t xml:space="preserve"> </w:t>
      </w:r>
    </w:p>
    <w:sectPr w:rsidR="003D0D07" w:rsidRPr="003D0D0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CB528" w14:textId="77777777" w:rsidR="00264CB9" w:rsidRDefault="00264CB9" w:rsidP="00A07B18">
      <w:pPr>
        <w:spacing w:after="0" w:line="240" w:lineRule="auto"/>
      </w:pPr>
      <w:r>
        <w:separator/>
      </w:r>
    </w:p>
  </w:endnote>
  <w:endnote w:type="continuationSeparator" w:id="0">
    <w:p w14:paraId="03AE890A" w14:textId="77777777" w:rsidR="00264CB9" w:rsidRDefault="00264CB9" w:rsidP="00A07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6AA03" w14:textId="77777777" w:rsidR="00264CB9" w:rsidRDefault="00264CB9" w:rsidP="00A07B18">
      <w:pPr>
        <w:spacing w:after="0" w:line="240" w:lineRule="auto"/>
      </w:pPr>
      <w:r>
        <w:separator/>
      </w:r>
    </w:p>
  </w:footnote>
  <w:footnote w:type="continuationSeparator" w:id="0">
    <w:p w14:paraId="60B5324B" w14:textId="77777777" w:rsidR="00264CB9" w:rsidRDefault="00264CB9" w:rsidP="00A07B18">
      <w:pPr>
        <w:spacing w:after="0" w:line="240" w:lineRule="auto"/>
      </w:pPr>
      <w:r>
        <w:continuationSeparator/>
      </w:r>
    </w:p>
  </w:footnote>
  <w:footnote w:id="1">
    <w:p w14:paraId="2257552B" w14:textId="77777777" w:rsidR="00020059" w:rsidRPr="00C46333" w:rsidRDefault="00020059" w:rsidP="00C46333">
      <w:pPr>
        <w:pStyle w:val="NormalWeb"/>
        <w:spacing w:before="0" w:beforeAutospacing="0" w:after="0" w:afterAutospacing="0"/>
        <w:ind w:left="600" w:right="600"/>
        <w:jc w:val="both"/>
        <w:rPr>
          <w:rFonts w:ascii="Verdana" w:hAnsi="Verdana"/>
          <w:iCs/>
          <w:color w:val="000000"/>
          <w:sz w:val="18"/>
          <w:szCs w:val="18"/>
        </w:rPr>
      </w:pPr>
      <w:r>
        <w:rPr>
          <w:rStyle w:val="FootnoteReference"/>
        </w:rPr>
        <w:footnoteRef/>
      </w:r>
      <w:r>
        <w:t xml:space="preserve"> Código Penal. </w:t>
      </w:r>
      <w:r>
        <w:rPr>
          <w:rFonts w:ascii="Verdana" w:hAnsi="Verdana"/>
          <w:b/>
          <w:bCs/>
          <w:color w:val="000000"/>
          <w:sz w:val="18"/>
          <w:szCs w:val="18"/>
        </w:rPr>
        <w:t>ARTICULO 14 </w:t>
      </w:r>
      <w:r>
        <w:rPr>
          <w:rFonts w:ascii="Verdana" w:hAnsi="Verdana"/>
          <w:color w:val="000000"/>
          <w:sz w:val="18"/>
          <w:szCs w:val="18"/>
        </w:rPr>
        <w:t>— La libertad condicional no se concederá a los reincidentes. Tampoco se concederá cuando la condena fuera por:</w:t>
      </w:r>
      <w:r>
        <w:rPr>
          <w:rFonts w:ascii="Verdana" w:hAnsi="Verdana"/>
          <w:color w:val="000000"/>
          <w:sz w:val="18"/>
          <w:szCs w:val="18"/>
        </w:rPr>
        <w:br/>
        <w:t>1) Homicidios agravados previstos en el artículo 80 del Código Penal.</w:t>
      </w:r>
      <w:r>
        <w:rPr>
          <w:rFonts w:ascii="Verdana" w:hAnsi="Verdana"/>
          <w:color w:val="000000"/>
          <w:sz w:val="18"/>
          <w:szCs w:val="18"/>
        </w:rPr>
        <w:br/>
        <w:t>2) Delitos contra la integridad sexual, previstos en los arts. 119, 120, 124, 125, 125 bis, 126, 127, 128 primer y segundo párrafos, y 130 del Código Penal.</w:t>
      </w:r>
      <w:r>
        <w:rPr>
          <w:rFonts w:ascii="Verdana" w:hAnsi="Verdana"/>
          <w:color w:val="000000"/>
          <w:sz w:val="18"/>
          <w:szCs w:val="18"/>
        </w:rPr>
        <w:br/>
        <w:t xml:space="preserve">3) Privación ilegal de la libertad coactiva, si se causare intencionalmente la muerte de la persona ofendida, previsto en el artículo 142 bis, anteúltimo párrafo, del Código Penal. 4) Tortura seguida de muerte, artículo 144 ter, inciso 2, del Código Penal. 5) Delitos previstos en los artículos 165 y 166, inciso 2, segundo párrafo, del Código Penal. 6) Secuestro extorsivo, si se causare la muerte de la persona ofendida, conforme a los supuestos previstos en el artículo 170, antepenúltimo y anteúltimo párrafos, del Código Penal. 7) Delitos previstos en los artículos 145 bis y ter del Código Penal. 8) Casos en que sea aplicable el artículo 41 quinquies del Código Penal. 9) Financiamiento del terrorismo previsto en el artículo 306 del Código Penal. 10) Delitos previstos en los artículos 5°, 6° y 7° de la ley 23.737 o la que en el futuro la reemplace. 11) Delitos previstos en los artículos 865, 866 y 867 del Código Aduanero. </w:t>
      </w:r>
      <w:r>
        <w:rPr>
          <w:rFonts w:ascii="Verdana" w:hAnsi="Verdana"/>
          <w:i/>
          <w:iCs/>
          <w:color w:val="000000"/>
          <w:sz w:val="18"/>
          <w:szCs w:val="18"/>
        </w:rPr>
        <w:t>(Artículo sustituido por art. 38 de la </w:t>
      </w:r>
      <w:hyperlink r:id="rId1" w:history="1">
        <w:r>
          <w:rPr>
            <w:rStyle w:val="Hyperlink"/>
            <w:rFonts w:ascii="Verdana" w:hAnsi="Verdana"/>
            <w:i/>
            <w:iCs/>
            <w:sz w:val="18"/>
            <w:szCs w:val="18"/>
          </w:rPr>
          <w:t>Ley N° 27.375</w:t>
        </w:r>
      </w:hyperlink>
      <w:r>
        <w:rPr>
          <w:rFonts w:ascii="Verdana" w:hAnsi="Verdana"/>
          <w:i/>
          <w:iCs/>
          <w:color w:val="000000"/>
          <w:sz w:val="18"/>
          <w:szCs w:val="18"/>
        </w:rPr>
        <w:t xml:space="preserve"> B.O.28/07/2017). </w:t>
      </w:r>
      <w:r w:rsidRPr="00C46333">
        <w:rPr>
          <w:rFonts w:ascii="Verdana" w:hAnsi="Verdana"/>
          <w:iCs/>
          <w:color w:val="000000"/>
          <w:sz w:val="18"/>
          <w:szCs w:val="18"/>
        </w:rPr>
        <w:t xml:space="preserve">En similares términos art. 56 bis ley 24660.  </w:t>
      </w:r>
    </w:p>
    <w:p w14:paraId="0B6B1802" w14:textId="77777777" w:rsidR="00020059" w:rsidRDefault="00020059" w:rsidP="00C46333">
      <w:pPr>
        <w:pStyle w:val="NormalWeb"/>
        <w:spacing w:before="0" w:beforeAutospacing="0" w:after="0" w:afterAutospacing="0"/>
        <w:ind w:left="600" w:right="600"/>
        <w:jc w:val="both"/>
        <w:rPr>
          <w:rFonts w:ascii="Verdana" w:hAnsi="Verdana"/>
          <w:color w:val="000000"/>
          <w:sz w:val="18"/>
          <w:szCs w:val="18"/>
        </w:rPr>
      </w:pPr>
    </w:p>
    <w:p w14:paraId="2684BFD9" w14:textId="77777777" w:rsidR="00020059" w:rsidRPr="006339D9" w:rsidRDefault="00020059">
      <w:pPr>
        <w:pStyle w:val="FootnoteText"/>
        <w:rPr>
          <w:lang w:val="es-MX"/>
        </w:rPr>
      </w:pPr>
    </w:p>
  </w:footnote>
  <w:footnote w:id="2">
    <w:p w14:paraId="4DC0A75F" w14:textId="77777777" w:rsidR="00020059" w:rsidRDefault="00020059" w:rsidP="00C46333">
      <w:pPr>
        <w:pStyle w:val="NormalWeb"/>
        <w:spacing w:before="150" w:beforeAutospacing="0" w:after="300" w:afterAutospacing="0"/>
        <w:ind w:left="600" w:right="600"/>
        <w:jc w:val="both"/>
        <w:rPr>
          <w:rFonts w:ascii="Verdana" w:hAnsi="Verdana"/>
          <w:color w:val="000000"/>
          <w:sz w:val="18"/>
          <w:szCs w:val="18"/>
        </w:rPr>
      </w:pPr>
      <w:r>
        <w:rPr>
          <w:rStyle w:val="FootnoteReference"/>
        </w:rPr>
        <w:footnoteRef/>
      </w:r>
      <w:r>
        <w:t xml:space="preserve"> </w:t>
      </w:r>
      <w:r>
        <w:rPr>
          <w:rFonts w:ascii="Verdana" w:hAnsi="Verdana"/>
          <w:b/>
          <w:bCs/>
          <w:color w:val="000000"/>
          <w:sz w:val="18"/>
          <w:szCs w:val="18"/>
        </w:rPr>
        <w:t>ARTICULO 35.</w:t>
      </w:r>
      <w:r>
        <w:rPr>
          <w:rFonts w:ascii="Verdana" w:hAnsi="Verdana"/>
          <w:color w:val="000000"/>
          <w:sz w:val="18"/>
          <w:szCs w:val="18"/>
        </w:rPr>
        <w:t> —El juez de ejecución o competente, a pedido o con el consentimiento del condenado, podrá disponer la ejecución de la pena mediante la prisión discontinua y semidetención cuando, no encontrándose incluido en los delitos previstos en el artículo 56 bis:</w:t>
      </w:r>
      <w:r>
        <w:rPr>
          <w:rFonts w:ascii="Verdana" w:hAnsi="Verdana"/>
          <w:color w:val="000000"/>
          <w:sz w:val="18"/>
          <w:szCs w:val="18"/>
        </w:rPr>
        <w:br/>
        <w:t>a) Se revocare la detención domiciliaria; b) Se convirtiere la pena de multa en prisión, según lo dispuesto en el artículo 21, párrafo 2 del Código Penal;</w:t>
      </w:r>
      <w:r>
        <w:rPr>
          <w:rFonts w:ascii="Verdana" w:hAnsi="Verdana"/>
          <w:color w:val="000000"/>
          <w:sz w:val="18"/>
          <w:szCs w:val="18"/>
        </w:rPr>
        <w:br/>
        <w:t>c) Se revocare la condenación condicional prevista en el artículo 26 del Código Penal por incumplimiento de las reglas de conducta establecidas en el artículo 27 bis del Código Penal; d) Se revocare la libertad condicional dispuesta en el artículo 15 del Código Penal, en el caso en que el condenado haya violado la obligación de residencia.</w:t>
      </w:r>
    </w:p>
    <w:p w14:paraId="72E1C28C" w14:textId="77777777" w:rsidR="00020059" w:rsidRDefault="00020059" w:rsidP="00C46333">
      <w:pPr>
        <w:pStyle w:val="NormalWeb"/>
        <w:spacing w:before="150" w:beforeAutospacing="0" w:after="300" w:afterAutospacing="0"/>
        <w:ind w:left="600" w:right="600"/>
        <w:jc w:val="both"/>
        <w:rPr>
          <w:rFonts w:ascii="Verdana" w:hAnsi="Verdana"/>
          <w:color w:val="000000"/>
          <w:sz w:val="18"/>
          <w:szCs w:val="18"/>
        </w:rPr>
      </w:pPr>
      <w:r>
        <w:rPr>
          <w:rFonts w:ascii="Verdana" w:hAnsi="Verdana"/>
          <w:color w:val="000000"/>
          <w:sz w:val="18"/>
          <w:szCs w:val="18"/>
        </w:rPr>
        <w:t xml:space="preserve">Se eliminó la posibilidad para penas hasta seis meses de prisión. </w:t>
      </w:r>
    </w:p>
    <w:p w14:paraId="59F1694C" w14:textId="77777777" w:rsidR="00020059" w:rsidRPr="00C46333" w:rsidRDefault="00020059">
      <w:pPr>
        <w:pStyle w:val="FootnoteText"/>
        <w:rPr>
          <w:lang w:val="es-MX"/>
        </w:rPr>
      </w:pPr>
    </w:p>
  </w:footnote>
  <w:footnote w:id="3">
    <w:p w14:paraId="1D616CF1" w14:textId="77777777" w:rsidR="00020059" w:rsidRPr="00CA13C6" w:rsidRDefault="00020059">
      <w:pPr>
        <w:pStyle w:val="FootnoteText"/>
        <w:rPr>
          <w:lang w:val="es-MX"/>
        </w:rPr>
      </w:pPr>
      <w:r>
        <w:rPr>
          <w:rStyle w:val="FootnoteReference"/>
        </w:rPr>
        <w:footnoteRef/>
      </w:r>
      <w:r>
        <w:t xml:space="preserve"> </w:t>
      </w:r>
      <w:r>
        <w:rPr>
          <w:lang w:val="es-MX"/>
        </w:rPr>
        <w:t xml:space="preserve">En el año 2021 según cifras del SNEEP la infracción a la Ley 23737 era el cuarto delito, en relación a las personas presas, mientras que en 2024 escaló al tercer delito. Conforme SNEEP 2021 a 2024.  </w:t>
      </w:r>
    </w:p>
  </w:footnote>
  <w:footnote w:id="4">
    <w:p w14:paraId="3D9D1558" w14:textId="77777777" w:rsidR="00020059" w:rsidRPr="00B55A8F" w:rsidRDefault="00020059" w:rsidP="00A07B18">
      <w:pPr>
        <w:pStyle w:val="FootnoteText"/>
      </w:pPr>
      <w:r>
        <w:rPr>
          <w:rStyle w:val="FootnoteReference"/>
        </w:rPr>
        <w:footnoteRef/>
      </w:r>
      <w:r>
        <w:t xml:space="preserve"> Procuración Penitenciaria de la Nación. Más allá de la prisión: paternidades, maternidades e infancias atravesadas por el encierro / 1a ed . – Ciudad Autónoma de Buenos Aires: Procuración Penitenciaria de la Nación, 2019, pág. 158</w:t>
      </w:r>
    </w:p>
  </w:footnote>
  <w:footnote w:id="5">
    <w:p w14:paraId="4E48A8DC" w14:textId="77777777" w:rsidR="00020059" w:rsidRPr="000515E5" w:rsidRDefault="00020059" w:rsidP="000515E5">
      <w:pPr>
        <w:pStyle w:val="FootnoteText"/>
        <w:jc w:val="both"/>
        <w:rPr>
          <w:lang w:val="es-MX"/>
        </w:rPr>
      </w:pPr>
      <w:r>
        <w:rPr>
          <w:rStyle w:val="FootnoteReference"/>
        </w:rPr>
        <w:footnoteRef/>
      </w:r>
      <w:r>
        <w:t xml:space="preserve"> </w:t>
      </w:r>
      <w:r w:rsidRPr="000515E5">
        <w:t xml:space="preserve">Guereño, Indiana, “La Trampa el Encierro hogareño. Publicado el </w:t>
      </w:r>
      <w:r w:rsidRPr="000515E5">
        <w:rPr>
          <w:lang w:val="es-MX"/>
        </w:rPr>
        <w:t>17 de octubre de 2015. https://www.pensamientopenal.com.ar/doctrina/42203-prision-domiciliaria-madres-trampa-del-encierro-hogareno</w:t>
      </w:r>
    </w:p>
  </w:footnote>
  <w:footnote w:id="6">
    <w:p w14:paraId="5482DC3C" w14:textId="77777777" w:rsidR="00020059" w:rsidRPr="00020059" w:rsidRDefault="00020059">
      <w:pPr>
        <w:pStyle w:val="FootnoteText"/>
        <w:rPr>
          <w:lang w:val="es-MX"/>
        </w:rPr>
      </w:pPr>
      <w:r>
        <w:rPr>
          <w:rStyle w:val="FootnoteReference"/>
        </w:rPr>
        <w:footnoteRef/>
      </w:r>
      <w:r>
        <w:t xml:space="preserve"> </w:t>
      </w:r>
      <w:r w:rsidRPr="000515E5">
        <w:t>Guereño, Indiana,</w:t>
      </w:r>
      <w:r>
        <w:t xml:space="preserve"> o.cit.</w:t>
      </w:r>
    </w:p>
  </w:footnote>
  <w:footnote w:id="7">
    <w:p w14:paraId="3B47BB3F" w14:textId="77777777" w:rsidR="00020059" w:rsidRPr="0048772E" w:rsidRDefault="00020059" w:rsidP="00307BB5">
      <w:pPr>
        <w:pStyle w:val="FootnoteText"/>
        <w:jc w:val="both"/>
        <w:rPr>
          <w:sz w:val="18"/>
          <w:szCs w:val="18"/>
          <w:lang w:val="es-MX"/>
        </w:rPr>
      </w:pPr>
      <w:r w:rsidRPr="0048772E">
        <w:rPr>
          <w:rStyle w:val="FootnoteReference"/>
          <w:sz w:val="18"/>
          <w:szCs w:val="18"/>
        </w:rPr>
        <w:footnoteRef/>
      </w:r>
      <w:r w:rsidRPr="0048772E">
        <w:rPr>
          <w:sz w:val="18"/>
          <w:szCs w:val="18"/>
        </w:rPr>
        <w:t xml:space="preserve"> RG Comité CEDAW N° 28, de fecha 16 de diciembre de 2010. https://www.acnur.org/fileadmin/Documentos/BDL/2012/8338.pdf?file=fileadmin/Documentos/BDL/2012/8338</w:t>
      </w:r>
    </w:p>
  </w:footnote>
  <w:footnote w:id="8">
    <w:p w14:paraId="49E7245F" w14:textId="77777777" w:rsidR="00020059" w:rsidRPr="0048772E" w:rsidRDefault="00020059" w:rsidP="00307BB5">
      <w:pPr>
        <w:pStyle w:val="FootnoteText"/>
        <w:jc w:val="both"/>
        <w:rPr>
          <w:sz w:val="18"/>
          <w:szCs w:val="18"/>
          <w:lang w:val="es-MX"/>
        </w:rPr>
      </w:pPr>
      <w:r w:rsidRPr="0048772E">
        <w:rPr>
          <w:rStyle w:val="FootnoteReference"/>
          <w:sz w:val="18"/>
          <w:szCs w:val="18"/>
        </w:rPr>
        <w:footnoteRef/>
      </w:r>
      <w:r w:rsidRPr="0048772E">
        <w:rPr>
          <w:sz w:val="18"/>
          <w:szCs w:val="18"/>
        </w:rPr>
        <w:t xml:space="preserve"> Reglas Mínimas de las Naciones Unidas para el Tratamiento de los Reclusos Asamblea General, resolución 70/175, anexo, aprobado el 17 de diciembre de 2015.</w:t>
      </w:r>
    </w:p>
  </w:footnote>
  <w:footnote w:id="9">
    <w:p w14:paraId="436B2B1A" w14:textId="77777777" w:rsidR="00020059" w:rsidRPr="0048772E" w:rsidRDefault="00020059" w:rsidP="00307BB5">
      <w:pPr>
        <w:pStyle w:val="FootnoteText"/>
        <w:jc w:val="both"/>
        <w:rPr>
          <w:sz w:val="18"/>
          <w:szCs w:val="18"/>
          <w:lang w:val="es-MX"/>
        </w:rPr>
      </w:pPr>
      <w:r w:rsidRPr="0048772E">
        <w:rPr>
          <w:rStyle w:val="FootnoteReference"/>
          <w:sz w:val="18"/>
          <w:szCs w:val="18"/>
        </w:rPr>
        <w:footnoteRef/>
      </w:r>
      <w:r w:rsidRPr="0048772E">
        <w:rPr>
          <w:sz w:val="18"/>
          <w:szCs w:val="18"/>
        </w:rPr>
        <w:t xml:space="preserve"> Adoptadas por el Primer Congreso de las Naciones Unidas sobre Prevención del Delito y Tratamiento del Delincuente, celebrado en Ginebra en 1955, y aprobadas por el Consejo Económico y Social en sus resoluciones 663C (XXIV) de 31 de julio de 1957 y 2076 (LXII) de 13 de mayo de 1977.</w:t>
      </w:r>
    </w:p>
  </w:footnote>
  <w:footnote w:id="10">
    <w:p w14:paraId="01614F14" w14:textId="77777777" w:rsidR="00020059" w:rsidRPr="0048772E" w:rsidRDefault="00020059" w:rsidP="00307BB5">
      <w:pPr>
        <w:pStyle w:val="FootnoteText"/>
        <w:jc w:val="both"/>
        <w:rPr>
          <w:sz w:val="18"/>
          <w:szCs w:val="18"/>
        </w:rPr>
      </w:pPr>
      <w:r w:rsidRPr="0048772E">
        <w:rPr>
          <w:rStyle w:val="FootnoteReference"/>
          <w:sz w:val="18"/>
          <w:szCs w:val="18"/>
        </w:rPr>
        <w:footnoteRef/>
      </w:r>
      <w:r w:rsidRPr="0048772E">
        <w:rPr>
          <w:sz w:val="18"/>
          <w:szCs w:val="18"/>
        </w:rPr>
        <w:t xml:space="preserve"> Reglas de las Naciones Unidas para el tratamiento de las reclusas y medidas no privativas de la libertad para las mujeres delincuentes, Asamblea General de las Naciones Unidas (ONU), 21 de diciembre de 2010.</w:t>
      </w:r>
    </w:p>
  </w:footnote>
  <w:footnote w:id="11">
    <w:p w14:paraId="0D236273" w14:textId="77777777" w:rsidR="00020059" w:rsidRPr="0048772E" w:rsidRDefault="00020059" w:rsidP="00307BB5">
      <w:pPr>
        <w:pStyle w:val="FootnoteText"/>
        <w:jc w:val="both"/>
        <w:rPr>
          <w:sz w:val="18"/>
          <w:szCs w:val="18"/>
          <w:lang w:val="es-MX"/>
        </w:rPr>
      </w:pPr>
      <w:r w:rsidRPr="0048772E">
        <w:rPr>
          <w:rStyle w:val="FootnoteReference"/>
          <w:sz w:val="18"/>
          <w:szCs w:val="18"/>
        </w:rPr>
        <w:footnoteRef/>
      </w:r>
      <w:r w:rsidRPr="0048772E">
        <w:rPr>
          <w:sz w:val="18"/>
          <w:szCs w:val="18"/>
        </w:rPr>
        <w:t xml:space="preserve"> </w:t>
      </w:r>
      <w:r>
        <w:rPr>
          <w:sz w:val="18"/>
          <w:szCs w:val="18"/>
          <w:lang w:val="es-MX"/>
        </w:rPr>
        <w:t>Sufrió un incremento</w:t>
      </w:r>
      <w:r w:rsidRPr="0048772E">
        <w:rPr>
          <w:sz w:val="18"/>
          <w:szCs w:val="18"/>
          <w:lang w:val="es-MX"/>
        </w:rPr>
        <w:t xml:space="preserve"> </w:t>
      </w:r>
      <w:r>
        <w:rPr>
          <w:sz w:val="18"/>
          <w:szCs w:val="18"/>
          <w:lang w:val="es-MX"/>
        </w:rPr>
        <w:t>constante a partir del año 2021</w:t>
      </w:r>
      <w:r w:rsidRPr="0048772E">
        <w:rPr>
          <w:sz w:val="18"/>
          <w:szCs w:val="18"/>
          <w:lang w:val="es-MX"/>
        </w:rPr>
        <w:t>en relación a mujeres.</w:t>
      </w:r>
    </w:p>
  </w:footnote>
  <w:footnote w:id="12">
    <w:p w14:paraId="21848164" w14:textId="77777777" w:rsidR="00020059" w:rsidRPr="0048772E" w:rsidRDefault="00020059" w:rsidP="00307BB5">
      <w:pPr>
        <w:pStyle w:val="FootnoteText"/>
        <w:jc w:val="both"/>
        <w:rPr>
          <w:sz w:val="18"/>
          <w:szCs w:val="18"/>
        </w:rPr>
      </w:pPr>
      <w:r w:rsidRPr="0048772E">
        <w:rPr>
          <w:rStyle w:val="FootnoteReference"/>
          <w:sz w:val="18"/>
          <w:szCs w:val="18"/>
        </w:rPr>
        <w:footnoteRef/>
      </w:r>
      <w:r>
        <w:rPr>
          <w:sz w:val="18"/>
          <w:szCs w:val="18"/>
        </w:rPr>
        <w:t xml:space="preserve"> Datos Informe Anual 2024</w:t>
      </w:r>
      <w:r w:rsidRPr="0048772E">
        <w:rPr>
          <w:sz w:val="18"/>
          <w:szCs w:val="18"/>
        </w:rPr>
        <w:t xml:space="preserve"> Sistema Nacional de Estadísticas sobre Ejecución de la Pena.</w:t>
      </w:r>
    </w:p>
  </w:footnote>
  <w:footnote w:id="13">
    <w:p w14:paraId="73648D5D" w14:textId="77777777" w:rsidR="000C4ED9" w:rsidRPr="000C4ED9" w:rsidRDefault="000C4ED9">
      <w:pPr>
        <w:pStyle w:val="FootnoteText"/>
        <w:rPr>
          <w:lang w:val="es-MX"/>
        </w:rPr>
      </w:pPr>
      <w:r>
        <w:rPr>
          <w:rStyle w:val="FootnoteReference"/>
        </w:rPr>
        <w:footnoteRef/>
      </w:r>
      <w:r>
        <w:t xml:space="preserve"> </w:t>
      </w:r>
      <w:r w:rsidR="00D5023E">
        <w:t>Art. 195 Ley 24660.</w:t>
      </w:r>
    </w:p>
  </w:footnote>
  <w:footnote w:id="14">
    <w:p w14:paraId="73901B89" w14:textId="77777777" w:rsidR="00E70576" w:rsidRPr="00E70576" w:rsidRDefault="00E70576" w:rsidP="00E70576">
      <w:pPr>
        <w:spacing w:before="240" w:after="240" w:line="360" w:lineRule="auto"/>
        <w:ind w:right="-1135"/>
        <w:jc w:val="both"/>
        <w:rPr>
          <w:rFonts w:ascii="Times New Roman" w:eastAsia="Calibri" w:hAnsi="Times New Roman" w:cs="Times New Roman"/>
          <w:sz w:val="28"/>
          <w:szCs w:val="28"/>
        </w:rPr>
      </w:pPr>
      <w:r>
        <w:rPr>
          <w:rStyle w:val="FootnoteReference"/>
        </w:rPr>
        <w:footnoteRef/>
      </w:r>
      <w:r>
        <w:t xml:space="preserve"> </w:t>
      </w:r>
      <w:r w:rsidRPr="00E70576">
        <w:rPr>
          <w:rFonts w:ascii="Times New Roman" w:hAnsi="Times New Roman" w:cs="Times New Roman"/>
          <w:sz w:val="20"/>
          <w:szCs w:val="20"/>
        </w:rPr>
        <w:t xml:space="preserve">Adhesión a la </w:t>
      </w:r>
      <w:r w:rsidRPr="00E70576">
        <w:rPr>
          <w:rFonts w:ascii="Times New Roman" w:hAnsi="Times New Roman" w:cs="Times New Roman"/>
          <w:sz w:val="20"/>
          <w:szCs w:val="20"/>
          <w:lang w:val="es-MX"/>
        </w:rPr>
        <w:t xml:space="preserve">Declaración conjunta contra el proyecto de ley de Responsabilidad Juvenil, </w:t>
      </w:r>
      <w:r w:rsidRPr="00E70576">
        <w:rPr>
          <w:rFonts w:ascii="Times New Roman" w:hAnsi="Times New Roman" w:cs="Times New Roman"/>
          <w:sz w:val="20"/>
          <w:szCs w:val="20"/>
        </w:rPr>
        <w:t>del 16 de mayo de 2025.</w:t>
      </w:r>
    </w:p>
  </w:footnote>
  <w:footnote w:id="15">
    <w:p w14:paraId="7A7D4AD5" w14:textId="77777777" w:rsidR="00E70576" w:rsidRPr="00E70576" w:rsidRDefault="00E70576" w:rsidP="00E70576">
      <w:pPr>
        <w:spacing w:before="240" w:after="240" w:line="360" w:lineRule="auto"/>
        <w:ind w:right="-1135"/>
        <w:jc w:val="both"/>
        <w:rPr>
          <w:rFonts w:ascii="Times New Roman" w:eastAsia="Calibri" w:hAnsi="Times New Roman" w:cs="Times New Roman"/>
          <w:sz w:val="28"/>
          <w:szCs w:val="28"/>
        </w:rPr>
      </w:pPr>
      <w:r>
        <w:rPr>
          <w:rStyle w:val="FootnoteReference"/>
        </w:rPr>
        <w:footnoteRef/>
      </w:r>
      <w:r>
        <w:t xml:space="preserve"> </w:t>
      </w:r>
      <w:r w:rsidRPr="00E70576">
        <w:rPr>
          <w:rFonts w:ascii="Times New Roman" w:hAnsi="Times New Roman" w:cs="Times New Roman"/>
          <w:sz w:val="20"/>
          <w:szCs w:val="20"/>
          <w:shd w:val="clear" w:color="auto" w:fill="FFFFFF"/>
        </w:rPr>
        <w:t>/aportes-del-cnpt-para-la-discusion-de-la-reforma-del-regimen-penal-juvenil/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E0C06"/>
    <w:multiLevelType w:val="hybridMultilevel"/>
    <w:tmpl w:val="C7E88E4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44D728C1"/>
    <w:multiLevelType w:val="hybridMultilevel"/>
    <w:tmpl w:val="4342C498"/>
    <w:lvl w:ilvl="0" w:tplc="0ABE8AB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5D850B3E"/>
    <w:multiLevelType w:val="hybridMultilevel"/>
    <w:tmpl w:val="A0823862"/>
    <w:lvl w:ilvl="0" w:tplc="10C0F716">
      <w:start w:val="4"/>
      <w:numFmt w:val="bullet"/>
      <w:lvlText w:val=""/>
      <w:lvlJc w:val="left"/>
      <w:pPr>
        <w:ind w:left="720" w:hanging="360"/>
      </w:pPr>
      <w:rPr>
        <w:rFonts w:ascii="Symbol" w:eastAsiaTheme="minorHAnsi"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987515079">
    <w:abstractNumId w:val="1"/>
  </w:num>
  <w:num w:numId="2" w16cid:durableId="2130276973">
    <w:abstractNumId w:val="2"/>
  </w:num>
  <w:num w:numId="3" w16cid:durableId="1358040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29F"/>
    <w:rsid w:val="00020059"/>
    <w:rsid w:val="00026C3A"/>
    <w:rsid w:val="000515E5"/>
    <w:rsid w:val="00083817"/>
    <w:rsid w:val="000C4ED9"/>
    <w:rsid w:val="0019677A"/>
    <w:rsid w:val="00254870"/>
    <w:rsid w:val="002647D1"/>
    <w:rsid w:val="00264CB9"/>
    <w:rsid w:val="00280D74"/>
    <w:rsid w:val="0028530A"/>
    <w:rsid w:val="00287733"/>
    <w:rsid w:val="0029665A"/>
    <w:rsid w:val="00307BB5"/>
    <w:rsid w:val="00354150"/>
    <w:rsid w:val="003D0D07"/>
    <w:rsid w:val="003E3DEF"/>
    <w:rsid w:val="00401C30"/>
    <w:rsid w:val="00403A27"/>
    <w:rsid w:val="00416B7A"/>
    <w:rsid w:val="00446AAE"/>
    <w:rsid w:val="00473AD1"/>
    <w:rsid w:val="0051129F"/>
    <w:rsid w:val="00532BC4"/>
    <w:rsid w:val="00571DC8"/>
    <w:rsid w:val="005B164B"/>
    <w:rsid w:val="005D0C40"/>
    <w:rsid w:val="005D2927"/>
    <w:rsid w:val="005E4E93"/>
    <w:rsid w:val="00626770"/>
    <w:rsid w:val="006339D9"/>
    <w:rsid w:val="00641D61"/>
    <w:rsid w:val="00660657"/>
    <w:rsid w:val="00677CF0"/>
    <w:rsid w:val="0069517B"/>
    <w:rsid w:val="006D7B4C"/>
    <w:rsid w:val="00714380"/>
    <w:rsid w:val="0077199E"/>
    <w:rsid w:val="007757F7"/>
    <w:rsid w:val="007B7E03"/>
    <w:rsid w:val="007C36E6"/>
    <w:rsid w:val="007F1897"/>
    <w:rsid w:val="008037CE"/>
    <w:rsid w:val="00821C47"/>
    <w:rsid w:val="008223BE"/>
    <w:rsid w:val="00851305"/>
    <w:rsid w:val="008E1983"/>
    <w:rsid w:val="0090538F"/>
    <w:rsid w:val="009A7735"/>
    <w:rsid w:val="009F601D"/>
    <w:rsid w:val="00A07B18"/>
    <w:rsid w:val="00A5109F"/>
    <w:rsid w:val="00A75119"/>
    <w:rsid w:val="00AE091D"/>
    <w:rsid w:val="00B81702"/>
    <w:rsid w:val="00B9755F"/>
    <w:rsid w:val="00BA457A"/>
    <w:rsid w:val="00BC4C10"/>
    <w:rsid w:val="00BD0380"/>
    <w:rsid w:val="00C011AB"/>
    <w:rsid w:val="00C03DF5"/>
    <w:rsid w:val="00C46333"/>
    <w:rsid w:val="00C723FC"/>
    <w:rsid w:val="00CA13C6"/>
    <w:rsid w:val="00CB0210"/>
    <w:rsid w:val="00CD0CB1"/>
    <w:rsid w:val="00CF542C"/>
    <w:rsid w:val="00D35559"/>
    <w:rsid w:val="00D5023E"/>
    <w:rsid w:val="00D94FEC"/>
    <w:rsid w:val="00DD06BE"/>
    <w:rsid w:val="00DD0DA4"/>
    <w:rsid w:val="00E37CE1"/>
    <w:rsid w:val="00E6108D"/>
    <w:rsid w:val="00E70576"/>
    <w:rsid w:val="00E870AE"/>
    <w:rsid w:val="00F57521"/>
    <w:rsid w:val="00F923EA"/>
  </w:rsids>
  <m:mathPr>
    <m:mathFont m:val="Cambria Math"/>
    <m:brkBin m:val="before"/>
    <m:brkBinSub m:val="--"/>
    <m:smallFrac m:val="0"/>
    <m:dispDef/>
    <m:lMargin m:val="0"/>
    <m:rMargin m:val="0"/>
    <m:defJc m:val="centerGroup"/>
    <m:wrapIndent m:val="1440"/>
    <m:intLim m:val="subSup"/>
    <m:naryLim m:val="undOvr"/>
  </m:mathPr>
  <w:themeFontLang w:val="es-A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937DE"/>
  <w15:chartTrackingRefBased/>
  <w15:docId w15:val="{194D42A1-2419-48E2-A78B-4282282CA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8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87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1"/>
    <w:qFormat/>
    <w:rsid w:val="00B81702"/>
    <w:pPr>
      <w:ind w:left="720"/>
      <w:contextualSpacing/>
    </w:pPr>
  </w:style>
  <w:style w:type="character" w:styleId="Hyperlink">
    <w:name w:val="Hyperlink"/>
    <w:basedOn w:val="DefaultParagraphFont"/>
    <w:uiPriority w:val="99"/>
    <w:unhideWhenUsed/>
    <w:rsid w:val="00AE091D"/>
    <w:rPr>
      <w:color w:val="0563C1" w:themeColor="hyperlink"/>
      <w:u w:val="single"/>
    </w:rPr>
  </w:style>
  <w:style w:type="paragraph" w:customStyle="1" w:styleId="Default">
    <w:name w:val="Default"/>
    <w:rsid w:val="00BC4C10"/>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unhideWhenUsed/>
    <w:rsid w:val="00A07B18"/>
    <w:pPr>
      <w:spacing w:after="0" w:line="240" w:lineRule="auto"/>
    </w:pPr>
    <w:rPr>
      <w:rFonts w:ascii="Times New Roman" w:eastAsia="Times New Roman" w:hAnsi="Times New Roman" w:cs="Times New Roman"/>
      <w:sz w:val="20"/>
      <w:szCs w:val="20"/>
      <w:lang w:val="es-ES" w:eastAsia="es-ES"/>
    </w:rPr>
  </w:style>
  <w:style w:type="character" w:customStyle="1" w:styleId="FootnoteTextChar">
    <w:name w:val="Footnote Text Char"/>
    <w:basedOn w:val="DefaultParagraphFont"/>
    <w:link w:val="FootnoteText"/>
    <w:uiPriority w:val="99"/>
    <w:rsid w:val="00A07B18"/>
    <w:rPr>
      <w:rFonts w:ascii="Times New Roman" w:eastAsia="Times New Roman" w:hAnsi="Times New Roman" w:cs="Times New Roman"/>
      <w:sz w:val="20"/>
      <w:szCs w:val="20"/>
      <w:lang w:val="es-ES" w:eastAsia="es-ES"/>
    </w:rPr>
  </w:style>
  <w:style w:type="character" w:styleId="FootnoteReference">
    <w:name w:val="footnote reference"/>
    <w:basedOn w:val="DefaultParagraphFont"/>
    <w:uiPriority w:val="99"/>
    <w:semiHidden/>
    <w:unhideWhenUsed/>
    <w:rsid w:val="00A07B18"/>
    <w:rPr>
      <w:vertAlign w:val="superscript"/>
    </w:rPr>
  </w:style>
  <w:style w:type="character" w:customStyle="1" w:styleId="uv3um">
    <w:name w:val="uv3um"/>
    <w:basedOn w:val="DefaultParagraphFont"/>
    <w:rsid w:val="00A07B18"/>
  </w:style>
  <w:style w:type="character" w:styleId="Strong">
    <w:name w:val="Strong"/>
    <w:basedOn w:val="DefaultParagraphFont"/>
    <w:uiPriority w:val="22"/>
    <w:qFormat/>
    <w:rsid w:val="00677CF0"/>
    <w:rPr>
      <w:b/>
      <w:bCs/>
    </w:rPr>
  </w:style>
  <w:style w:type="paragraph" w:styleId="BodyText">
    <w:name w:val="Body Text"/>
    <w:basedOn w:val="Normal"/>
    <w:link w:val="BodyTextChar"/>
    <w:uiPriority w:val="1"/>
    <w:qFormat/>
    <w:rsid w:val="00307BB5"/>
    <w:pPr>
      <w:widowControl w:val="0"/>
      <w:autoSpaceDE w:val="0"/>
      <w:autoSpaceDN w:val="0"/>
      <w:spacing w:after="0" w:line="240" w:lineRule="auto"/>
    </w:pPr>
    <w:rPr>
      <w:rFonts w:ascii="Courier New" w:eastAsia="Courier New" w:hAnsi="Courier New" w:cs="Courier New"/>
      <w:sz w:val="24"/>
      <w:szCs w:val="24"/>
      <w:lang w:val="es-ES" w:eastAsia="es-ES" w:bidi="es-ES"/>
    </w:rPr>
  </w:style>
  <w:style w:type="character" w:customStyle="1" w:styleId="BodyTextChar">
    <w:name w:val="Body Text Char"/>
    <w:basedOn w:val="DefaultParagraphFont"/>
    <w:link w:val="BodyText"/>
    <w:uiPriority w:val="1"/>
    <w:rsid w:val="00307BB5"/>
    <w:rPr>
      <w:rFonts w:ascii="Courier New" w:eastAsia="Courier New" w:hAnsi="Courier New" w:cs="Courier New"/>
      <w:sz w:val="24"/>
      <w:szCs w:val="24"/>
      <w:lang w:val="es-ES" w:eastAsia="es-ES" w:bidi="es-ES"/>
    </w:rPr>
  </w:style>
  <w:style w:type="paragraph" w:styleId="Header">
    <w:name w:val="header"/>
    <w:basedOn w:val="Normal"/>
    <w:link w:val="HeaderChar"/>
    <w:uiPriority w:val="99"/>
    <w:unhideWhenUsed/>
    <w:rsid w:val="006339D9"/>
    <w:pPr>
      <w:tabs>
        <w:tab w:val="center" w:pos="4252"/>
        <w:tab w:val="right" w:pos="8504"/>
      </w:tabs>
      <w:spacing w:after="0" w:line="240" w:lineRule="auto"/>
    </w:pPr>
  </w:style>
  <w:style w:type="character" w:customStyle="1" w:styleId="HeaderChar">
    <w:name w:val="Header Char"/>
    <w:basedOn w:val="DefaultParagraphFont"/>
    <w:link w:val="Header"/>
    <w:uiPriority w:val="99"/>
    <w:rsid w:val="006339D9"/>
  </w:style>
  <w:style w:type="paragraph" w:styleId="Footer">
    <w:name w:val="footer"/>
    <w:basedOn w:val="Normal"/>
    <w:link w:val="FooterChar"/>
    <w:uiPriority w:val="99"/>
    <w:unhideWhenUsed/>
    <w:rsid w:val="006339D9"/>
    <w:pPr>
      <w:tabs>
        <w:tab w:val="center" w:pos="4252"/>
        <w:tab w:val="right" w:pos="8504"/>
      </w:tabs>
      <w:spacing w:after="0" w:line="240" w:lineRule="auto"/>
    </w:pPr>
  </w:style>
  <w:style w:type="character" w:customStyle="1" w:styleId="FooterChar">
    <w:name w:val="Footer Char"/>
    <w:basedOn w:val="DefaultParagraphFont"/>
    <w:link w:val="Footer"/>
    <w:uiPriority w:val="99"/>
    <w:rsid w:val="006339D9"/>
  </w:style>
  <w:style w:type="paragraph" w:styleId="NormalWeb">
    <w:name w:val="Normal (Web)"/>
    <w:basedOn w:val="Normal"/>
    <w:uiPriority w:val="99"/>
    <w:semiHidden/>
    <w:unhideWhenUsed/>
    <w:rsid w:val="00C46333"/>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416">
      <w:bodyDiv w:val="1"/>
      <w:marLeft w:val="0"/>
      <w:marRight w:val="0"/>
      <w:marTop w:val="0"/>
      <w:marBottom w:val="0"/>
      <w:divBdr>
        <w:top w:val="none" w:sz="0" w:space="0" w:color="auto"/>
        <w:left w:val="none" w:sz="0" w:space="0" w:color="auto"/>
        <w:bottom w:val="none" w:sz="0" w:space="0" w:color="auto"/>
        <w:right w:val="none" w:sz="0" w:space="0" w:color="auto"/>
      </w:divBdr>
    </w:div>
    <w:div w:id="565334471">
      <w:bodyDiv w:val="1"/>
      <w:marLeft w:val="0"/>
      <w:marRight w:val="0"/>
      <w:marTop w:val="0"/>
      <w:marBottom w:val="0"/>
      <w:divBdr>
        <w:top w:val="none" w:sz="0" w:space="0" w:color="auto"/>
        <w:left w:val="none" w:sz="0" w:space="0" w:color="auto"/>
        <w:bottom w:val="none" w:sz="0" w:space="0" w:color="auto"/>
        <w:right w:val="none" w:sz="0" w:space="0" w:color="auto"/>
      </w:divBdr>
    </w:div>
    <w:div w:id="766074349">
      <w:bodyDiv w:val="1"/>
      <w:marLeft w:val="0"/>
      <w:marRight w:val="0"/>
      <w:marTop w:val="0"/>
      <w:marBottom w:val="0"/>
      <w:divBdr>
        <w:top w:val="none" w:sz="0" w:space="0" w:color="auto"/>
        <w:left w:val="none" w:sz="0" w:space="0" w:color="auto"/>
        <w:bottom w:val="none" w:sz="0" w:space="0" w:color="auto"/>
        <w:right w:val="none" w:sz="0" w:space="0" w:color="auto"/>
      </w:divBdr>
    </w:div>
    <w:div w:id="117456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sca_esv=5950ff312d9797ee&amp;rlz=1C1GCEU_enAR1155AR1155&amp;sxsrf=AE3TifP6y4qrDWH2gK0IRFoHs4SZA0uNfg%3A1759155951713&amp;q=derecho+a+la+esperanza&amp;sa=X&amp;ved=2ahUKEwj5z-zMlv6PAxUbrpUCHX2qCckQxccNegQIHBAB&amp;mstk=AUtExfB5ihtCO5ve9p3pPn4YQzTUFr5IOI9SX8pmvwXus5nSCKivZucozP2FxYUnk590HAWD7vW-DMVPuedFpQsHP8Z5v_nTIwRUxP9hKx8ZX9esyWuMlBrNne1h2CYHs0pPY-bkl2JZv8Yy6B_j44YIYVPYBRLZJjEjyfxq6Qv-fg8NOn-xuetXqd3hGwayc7hIIR1jQ_zLc-kdp-8vaTIJ8GKv93rjL7pAZcZ8hUCCWg4LPF2pJtfhTNKEuUiSe_26_cle0Z8_Y_ti3MIKkzJWzaHj&amp;csui=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ls.org.ar/drogas/index.ht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servicios.infoleg.gob.ar/infolegInternet/verNorma.do?id=27744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2025-10-20T08:08:22+00:00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2025-10-20T08:08:22+00:00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2025-10-20T08:08:22+00:00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A6052-85F9-4EDB-AA18-43838E064DB8}">
  <ds:schemaRefs>
    <ds:schemaRef ds:uri="http://schemas.microsoft.com/office/2006/documentManagement/types"/>
    <ds:schemaRef ds:uri="985ec44e-1bab-4c0b-9df0-6ba128686fc9"/>
    <ds:schemaRef ds:uri="http://www.w3.org/XML/1998/namespace"/>
    <ds:schemaRef ds:uri="http://purl.org/dc/elements/1.1/"/>
    <ds:schemaRef ds:uri="http://purl.org/dc/terms/"/>
    <ds:schemaRef ds:uri="11a6fe0c-d8de-4390-afb3-d9c7c54181f0"/>
    <ds:schemaRef ds:uri="http://purl.org/dc/dcmitype/"/>
    <ds:schemaRef ds:uri="http://schemas.microsoft.com/office/infopath/2007/PartnerControls"/>
    <ds:schemaRef ds:uri="http://schemas.openxmlformats.org/package/2006/metadata/core-properties"/>
    <ds:schemaRef ds:uri="dfe5883a-cdd3-42a9-8146-0edb2232418f"/>
    <ds:schemaRef ds:uri="http://schemas.microsoft.com/office/2006/metadata/properties"/>
  </ds:schemaRefs>
</ds:datastoreItem>
</file>

<file path=customXml/itemProps2.xml><?xml version="1.0" encoding="utf-8"?>
<ds:datastoreItem xmlns:ds="http://schemas.openxmlformats.org/officeDocument/2006/customXml" ds:itemID="{2035E64A-C45D-4B27-AF27-62046408AFD9}">
  <ds:schemaRefs>
    <ds:schemaRef ds:uri="http://schemas.microsoft.com/sharepoint/v3/contenttype/forms"/>
  </ds:schemaRefs>
</ds:datastoreItem>
</file>

<file path=customXml/itemProps3.xml><?xml version="1.0" encoding="utf-8"?>
<ds:datastoreItem xmlns:ds="http://schemas.openxmlformats.org/officeDocument/2006/customXml" ds:itemID="{6AA8C96C-0EF7-47EB-96FE-27EA61097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CA6BDA-CBE8-42CD-ACC0-AD6FE2418D3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5184</Words>
  <Characters>29553</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Alejandra Perez Boga</dc:creator>
  <cp:keywords/>
  <dc:description/>
  <cp:lastModifiedBy>Denise D''Aniello</cp:lastModifiedBy>
  <cp:revision>2</cp:revision>
  <dcterms:created xsi:type="dcterms:W3CDTF">2025-10-23T13:44:00Z</dcterms:created>
  <dcterms:modified xsi:type="dcterms:W3CDTF">2025-10-23T13:44:00Z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