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26657053" w14:textId="77777777" w:rsidR="00B9637C" w:rsidRDefault="00450333">
      <w:pPr>
        <w:pStyle w:val="Heading2"/>
        <w:keepNext w:val="0"/>
        <w:keepLines w:val="0"/>
        <w:widowControl w:val="0"/>
        <w:spacing w:after="0"/>
        <w:jc w:val="center"/>
        <w:rPr>
          <w:rFonts w:ascii="Times New Roman" w:eastAsia="Times New Roman" w:hAnsi="Times New Roman" w:cs="Times New Roman"/>
          <w:sz w:val="24"/>
          <w:szCs w:val="24"/>
        </w:rPr>
      </w:pPr>
      <w:bookmarkStart w:id="0" w:name="_heading=h.xbt3jyl990ti" w:colFirst="0" w:colLast="0"/>
      <w:bookmarkEnd w:id="0"/>
      <w:r>
        <w:rPr>
          <w:rFonts w:ascii="Times New Roman" w:eastAsia="Times New Roman" w:hAnsi="Times New Roman" w:cs="Times New Roman"/>
          <w:b/>
          <w:bCs/>
          <w:sz w:val="24"/>
          <w:szCs w:val="24"/>
        </w:rPr>
        <w:t>Contribution to the UN Committee Against Torture (CAT) on Gender and Ethnic-Racial Violations in the Brazilian Prison System</w:t>
      </w:r>
    </w:p>
    <w:p w14:paraId="1C92DCFF" w14:textId="77777777" w:rsidR="00B9637C" w:rsidRDefault="00450333">
      <w:pPr>
        <w:widowControl w:val="0"/>
        <w:numPr>
          <w:ilvl w:val="0"/>
          <w:numId w:val="6"/>
        </w:numPr>
        <w:spacing w:before="360"/>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Presentation of the Civil Society Organization:</w:t>
      </w:r>
    </w:p>
    <w:p w14:paraId="4934E8FF" w14:textId="77777777" w:rsidR="00B9637C" w:rsidRDefault="00450333">
      <w:pPr>
        <w:pStyle w:val="Heading2"/>
        <w:keepNext w:val="0"/>
        <w:keepLines w:val="0"/>
        <w:widowControl w:val="0"/>
        <w:spacing w:after="0"/>
        <w:ind w:firstLine="720"/>
        <w:jc w:val="both"/>
        <w:rPr>
          <w:rFonts w:ascii="Times New Roman" w:eastAsia="Times New Roman" w:hAnsi="Times New Roman" w:cs="Times New Roman"/>
          <w:b/>
          <w:bCs/>
          <w:sz w:val="24"/>
          <w:szCs w:val="24"/>
        </w:rPr>
      </w:pPr>
      <w:bookmarkStart w:id="1" w:name="_heading=h.i2t33vahboz2" w:colFirst="0" w:colLast="0"/>
      <w:bookmarkEnd w:id="1"/>
      <w:r>
        <w:rPr>
          <w:rFonts w:ascii="Times New Roman" w:eastAsia="Times New Roman" w:hAnsi="Times New Roman" w:cs="Times New Roman"/>
          <w:sz w:val="24"/>
          <w:szCs w:val="24"/>
        </w:rPr>
        <w:t>The Instituto Terra Trabalho e Cidadania (ITTC), located in the city of São Paulo, is a human rights organization, founded in 1997, that works for access to justice for people deprived of liberty and survivors of incarceration, with special attention to women and migrants. Its mission is to contribute to the eradication of gender inequalities, the guarantee of rights and the fight against incarceration. Through the work of its Justice Without Walls</w:t>
      </w:r>
      <w:r>
        <w:rPr>
          <w:rFonts w:ascii="Times New Roman" w:eastAsia="Times New Roman" w:hAnsi="Times New Roman" w:cs="Times New Roman"/>
          <w:sz w:val="24"/>
          <w:szCs w:val="24"/>
          <w:vertAlign w:val="superscript"/>
        </w:rPr>
        <w:footnoteReference w:id="1"/>
      </w:r>
      <w:r>
        <w:rPr>
          <w:rFonts w:ascii="Times New Roman" w:eastAsia="Times New Roman" w:hAnsi="Times New Roman" w:cs="Times New Roman"/>
          <w:sz w:val="24"/>
          <w:szCs w:val="24"/>
        </w:rPr>
        <w:t xml:space="preserve"> and Migrant Women programs</w:t>
      </w:r>
      <w:r>
        <w:rPr>
          <w:rFonts w:ascii="Times New Roman" w:eastAsia="Times New Roman" w:hAnsi="Times New Roman" w:cs="Times New Roman"/>
          <w:sz w:val="24"/>
          <w:szCs w:val="24"/>
          <w:vertAlign w:val="superscript"/>
        </w:rPr>
        <w:footnoteReference w:id="2"/>
      </w:r>
      <w:r>
        <w:rPr>
          <w:rFonts w:ascii="Times New Roman" w:eastAsia="Times New Roman" w:hAnsi="Times New Roman" w:cs="Times New Roman"/>
          <w:sz w:val="24"/>
          <w:szCs w:val="24"/>
        </w:rPr>
        <w:t>, ITTC provides direct assistance to migrant women in conflict with the law, produces knowledge, engages in political advocacy and acts in strategic litigation.</w:t>
      </w:r>
    </w:p>
    <w:p w14:paraId="0DDB479F" w14:textId="77777777" w:rsidR="00B9637C" w:rsidRDefault="00450333">
      <w:pPr>
        <w:widowControl w:val="0"/>
        <w:numPr>
          <w:ilvl w:val="0"/>
          <w:numId w:val="6"/>
        </w:numPr>
        <w:spacing w:before="360"/>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Context of the Brazilian Prison System and Justification:</w:t>
      </w:r>
    </w:p>
    <w:p w14:paraId="30574F17" w14:textId="77777777" w:rsidR="00B9637C" w:rsidRDefault="00450333">
      <w:pPr>
        <w:widowControl w:val="0"/>
        <w:spacing w:before="360"/>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According to the most recent data from the first half of 2025 from SISDEPPEN, there are 30,508 women in prison, of which 66.19% are Black women (Black and mixed-race), who are becoming increasingly targeted by the penal system. It is also necessary to point out that 35.41% of the prisoners are in pre-trial detention, that is, they have not yet been tried. In this scenario, the percentage of women who are mothers, pregnant women, and breastfeeding mothers deprived of their liberty is equally alarming: 85.55%</w:t>
      </w:r>
      <w:r>
        <w:rPr>
          <w:rFonts w:ascii="Times New Roman" w:eastAsia="Times New Roman" w:hAnsi="Times New Roman" w:cs="Times New Roman"/>
          <w:sz w:val="24"/>
          <w:szCs w:val="24"/>
          <w:vertAlign w:val="superscript"/>
        </w:rPr>
        <w:footnoteReference w:id="3"/>
      </w:r>
      <w:r>
        <w:rPr>
          <w:rFonts w:ascii="Times New Roman" w:eastAsia="Times New Roman" w:hAnsi="Times New Roman" w:cs="Times New Roman"/>
          <w:sz w:val="24"/>
          <w:szCs w:val="24"/>
        </w:rPr>
        <w:t>.</w:t>
      </w:r>
    </w:p>
    <w:p w14:paraId="20820544" w14:textId="77777777" w:rsidR="00B9637C" w:rsidRDefault="00450333">
      <w:pPr>
        <w:widowControl w:val="0"/>
        <w:spacing w:before="360"/>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Regarding migration status, as of July 2025, Brazil registered the entry of 1,763,307 migrants, including permanent, temporary, and border residents</w:t>
      </w:r>
      <w:r>
        <w:rPr>
          <w:rFonts w:ascii="Times New Roman" w:eastAsia="Times New Roman" w:hAnsi="Times New Roman" w:cs="Times New Roman"/>
          <w:sz w:val="24"/>
          <w:szCs w:val="24"/>
          <w:vertAlign w:val="superscript"/>
        </w:rPr>
        <w:footnoteReference w:id="4"/>
      </w:r>
      <w:r>
        <w:rPr>
          <w:rFonts w:ascii="Times New Roman" w:eastAsia="Times New Roman" w:hAnsi="Times New Roman" w:cs="Times New Roman"/>
          <w:sz w:val="24"/>
          <w:szCs w:val="24"/>
        </w:rPr>
        <w:t xml:space="preserve">. In addition, the country recognized 78,266 people as refugees and received 81,392 requests for recognition of refugee </w:t>
      </w:r>
      <w:r>
        <w:rPr>
          <w:rFonts w:ascii="Times New Roman" w:eastAsia="Times New Roman" w:hAnsi="Times New Roman" w:cs="Times New Roman"/>
          <w:sz w:val="24"/>
          <w:szCs w:val="24"/>
        </w:rPr>
        <w:lastRenderedPageBreak/>
        <w:t>status. These data are from the Migration Bulletin, released by the Ministry of Justice and Public Security (MJSP), through SENAJUS.</w:t>
      </w:r>
    </w:p>
    <w:p w14:paraId="3710C85D" w14:textId="77777777" w:rsidR="00B9637C" w:rsidRDefault="00450333">
      <w:pPr>
        <w:widowControl w:val="0"/>
        <w:spacing w:before="360"/>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Looking at the incarcerated population who are in a migrant situation, it is possible to identify an underreporting of data. According to SENAPPEN, in the first half of 2025, out of a total of 884,867 incarcerated individuals, 3,224 were identified as other nationalities (12.34% women and 87.66% men), while 7,901 had no information whatsoever. Of the nationalities identified, the majority belonged to the continents of South America and Africa.</w:t>
      </w:r>
    </w:p>
    <w:p w14:paraId="19E35647" w14:textId="77777777" w:rsidR="00B9637C" w:rsidRDefault="00450333">
      <w:pPr>
        <w:widowControl w:val="0"/>
        <w:spacing w:before="360"/>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number of imprisoned migrant women varies according to the flows of international trafficking, which is constantly changing, and the assessment of judges who are judging trafficking cases at a given time. Furthermore, small changes in legislation and jurisprudence have an impact on the calculation of sentences, currently resulting in shorter sentences and allowing broader access to the rights of progression of regime and serving sentences in freedom.</w:t>
      </w:r>
    </w:p>
    <w:p w14:paraId="4171A800" w14:textId="77777777" w:rsidR="00B9637C" w:rsidRDefault="00450333">
      <w:pPr>
        <w:widowControl w:val="0"/>
        <w:spacing w:before="360"/>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view of this, these numbers demonstrate that the rights of migrants, women and girls, especially those who are pregnant or exercising motherhood, still need to be guaranteed, since they face obstacles in accessing their rights in the prison system in a context recognized by the Supreme Federal Court as an Unconstitutional State of Affairs (ADPF No. 347). In addition, they highlight the need for initiatives to decarcerate these populations to be more widely applied, as they have not yet been sufficiently </w:t>
      </w:r>
      <w:r>
        <w:rPr>
          <w:rFonts w:ascii="Times New Roman" w:eastAsia="Times New Roman" w:hAnsi="Times New Roman" w:cs="Times New Roman"/>
          <w:sz w:val="24"/>
          <w:szCs w:val="24"/>
        </w:rPr>
        <w:t>effective. In this sense, it is urgent to question the Brazilian State about measures to ensure the rights of migrants, women and girls with a focus on reducing incarceration.</w:t>
      </w:r>
    </w:p>
    <w:p w14:paraId="4046E968" w14:textId="77777777" w:rsidR="00B9637C" w:rsidRDefault="00450333">
      <w:pPr>
        <w:widowControl w:val="0"/>
        <w:spacing w:before="360"/>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Despite the existence of the National System for the Prevention and Combat of Torture, established by Law No. 12,847/2013, the implementation of State Mechanisms for the Prevention and Combat of Torture remains limited in Brazil. According to official information from the National Mechanism for the Prevention and Combat of Torture (MNPCT), only a small number of states have effectively established and functioning state mechanisms, while most of the federative units continue without permanent independent str</w:t>
      </w:r>
      <w:r>
        <w:rPr>
          <w:rFonts w:ascii="Times New Roman" w:eastAsia="Times New Roman" w:hAnsi="Times New Roman" w:cs="Times New Roman"/>
          <w:sz w:val="24"/>
          <w:szCs w:val="24"/>
        </w:rPr>
        <w:t>uctures for monitoring places of deprivation of liberty. This gap compromises the systematic prevention of torture and ill-treatment, especially in prison and socio-educational contexts, and disproportionately affects women, trans women, non-binary people, migrants, and adolescents deprived of liberty.</w:t>
      </w:r>
    </w:p>
    <w:p w14:paraId="7B7519B6" w14:textId="77777777" w:rsidR="00B9637C" w:rsidRDefault="00450333">
      <w:pPr>
        <w:pStyle w:val="Heading2"/>
        <w:keepNext w:val="0"/>
        <w:keepLines w:val="0"/>
        <w:widowControl w:val="0"/>
        <w:numPr>
          <w:ilvl w:val="0"/>
          <w:numId w:val="6"/>
        </w:numPr>
        <w:spacing w:after="0"/>
        <w:jc w:val="both"/>
        <w:rPr>
          <w:rFonts w:ascii="Times New Roman" w:eastAsia="Times New Roman" w:hAnsi="Times New Roman" w:cs="Times New Roman"/>
          <w:b/>
          <w:bCs/>
          <w:sz w:val="24"/>
          <w:szCs w:val="24"/>
        </w:rPr>
      </w:pPr>
      <w:bookmarkStart w:id="2" w:name="_heading=h.vkdib0ajutxc" w:colFirst="0" w:colLast="0"/>
      <w:bookmarkEnd w:id="2"/>
      <w:r>
        <w:rPr>
          <w:rFonts w:ascii="Times New Roman" w:eastAsia="Times New Roman" w:hAnsi="Times New Roman" w:cs="Times New Roman"/>
          <w:b/>
          <w:bCs/>
          <w:sz w:val="24"/>
          <w:szCs w:val="24"/>
        </w:rPr>
        <w:t>Questions to the Brazilian State</w:t>
      </w:r>
    </w:p>
    <w:p w14:paraId="566860A3" w14:textId="77777777" w:rsidR="00B9637C" w:rsidRDefault="00450333">
      <w:pPr>
        <w:widowControl w:val="0"/>
        <w:numPr>
          <w:ilvl w:val="0"/>
          <w:numId w:val="3"/>
        </w:numPr>
        <w:spacing w:before="36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Gender, race, and immigration-sensitive penal alternatives</w:t>
      </w:r>
    </w:p>
    <w:p w14:paraId="7D50416D" w14:textId="77777777" w:rsidR="00B9637C" w:rsidRDefault="00450333">
      <w:pPr>
        <w:widowControl w:val="0"/>
        <w:spacing w:before="360"/>
        <w:ind w:firstLine="85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predominant use of imprisonment as a penal response has disproportionate impacts on women, transgender men, and non-binary people serving sentences in women's prisons, especially when intersected by markers of race and migratory status. The absence of consistent policies for penal alternatives sensitive to these intersections contributes to </w:t>
      </w:r>
      <w:r>
        <w:rPr>
          <w:rFonts w:ascii="Times New Roman" w:eastAsia="Times New Roman" w:hAnsi="Times New Roman" w:cs="Times New Roman"/>
          <w:sz w:val="24"/>
          <w:szCs w:val="24"/>
        </w:rPr>
        <w:lastRenderedPageBreak/>
        <w:t>selective incarceration and exposes these populations to avoidable suffering, in violation of the state's duty to prevent torture and other cruel, inhuman, or degrading treatment.</w:t>
      </w:r>
    </w:p>
    <w:p w14:paraId="0AEAE83D" w14:textId="77777777" w:rsidR="00B9637C" w:rsidRDefault="00450333">
      <w:pPr>
        <w:widowControl w:val="0"/>
        <w:numPr>
          <w:ilvl w:val="0"/>
          <w:numId w:val="5"/>
        </w:numPr>
        <w:spacing w:before="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measures does the Brazilian State adopt to promote penal alternatives sensitive to gender, race, and migratory status?</w:t>
      </w:r>
    </w:p>
    <w:p w14:paraId="70DC2687" w14:textId="77777777" w:rsidR="00B9637C" w:rsidRDefault="00450333">
      <w:pPr>
        <w:pStyle w:val="Heading3"/>
        <w:keepNext w:val="0"/>
        <w:keepLines w:val="0"/>
        <w:widowControl w:val="0"/>
        <w:numPr>
          <w:ilvl w:val="0"/>
          <w:numId w:val="3"/>
        </w:numPr>
        <w:spacing w:before="360" w:after="0"/>
        <w:jc w:val="both"/>
        <w:rPr>
          <w:rFonts w:ascii="Times New Roman" w:eastAsia="Times New Roman" w:hAnsi="Times New Roman" w:cs="Times New Roman"/>
          <w:b/>
          <w:bCs/>
          <w:sz w:val="24"/>
          <w:szCs w:val="24"/>
        </w:rPr>
      </w:pPr>
      <w:bookmarkStart w:id="3" w:name="_heading=h.alx0qgasxixo" w:colFirst="0" w:colLast="0"/>
      <w:bookmarkEnd w:id="3"/>
      <w:r>
        <w:rPr>
          <w:rFonts w:ascii="Times New Roman" w:eastAsia="Times New Roman" w:hAnsi="Times New Roman" w:cs="Times New Roman"/>
          <w:b/>
          <w:bCs/>
          <w:color w:val="000000"/>
          <w:sz w:val="24"/>
          <w:szCs w:val="24"/>
        </w:rPr>
        <w:t>Access to Interpreters and Information</w:t>
      </w:r>
    </w:p>
    <w:p w14:paraId="48BEF5FD" w14:textId="77777777" w:rsidR="00B9637C" w:rsidRDefault="00450333">
      <w:pPr>
        <w:widowControl w:val="0"/>
        <w:spacing w:before="360"/>
        <w:ind w:firstLine="8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Access to clear and understandable information is an essential safeguard against abuses in the criminal justice system. However, migrant women, transgender migrant men, and non-binary migrant people frequently face linguistic and informational barriers throughout the criminal process and the execution of sentences, which compromises the exercise of the right to defense, intensifies psychological suffering, and may constitute degrading treatment in contexts of deprivation of liberty.</w:t>
      </w:r>
    </w:p>
    <w:p w14:paraId="60EFC8F2" w14:textId="77777777" w:rsidR="00B9637C" w:rsidRDefault="00450333">
      <w:pPr>
        <w:widowControl w:val="0"/>
        <w:numPr>
          <w:ilvl w:val="0"/>
          <w:numId w:val="14"/>
        </w:numPr>
        <w:spacing w:before="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How does the State guarantee effective and continuous access to qualified interpreters and clear information about rights and legal procedures for migrant women at all stages of the criminal process and the execution of sentences?</w:t>
      </w:r>
    </w:p>
    <w:p w14:paraId="69FCC42D" w14:textId="77777777" w:rsidR="00B9637C" w:rsidRDefault="00450333">
      <w:pPr>
        <w:widowControl w:val="0"/>
        <w:spacing w:before="360"/>
        <w:ind w:left="708" w:hanging="425"/>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B. Racism and Xenophobia in the Criminal Justice System</w:t>
      </w:r>
    </w:p>
    <w:p w14:paraId="20FEF181" w14:textId="77777777" w:rsidR="00B9637C" w:rsidRDefault="00450333">
      <w:pPr>
        <w:widowControl w:val="0"/>
        <w:spacing w:before="360"/>
        <w:ind w:firstLine="8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Migrant women, especially Black women, as well as transgender men and non-binary migrant people, are more exposed to practices of racial and xenophobic discrimination in the criminal justice system, from the initial approach to custody and the execution of sentences. The absence of effective policies to combat racism and xenophobia, as well as monitoring and accountability mechanisms, increases the risk of institutional violence and mistreatment in contexts of deprivation of liberty.</w:t>
      </w:r>
    </w:p>
    <w:p w14:paraId="6F839EB4" w14:textId="77777777" w:rsidR="00B9637C" w:rsidRDefault="00450333">
      <w:pPr>
        <w:widowControl w:val="0"/>
        <w:numPr>
          <w:ilvl w:val="0"/>
          <w:numId w:val="14"/>
        </w:numPr>
        <w:spacing w:before="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concrete actions does the Brazilian State implement to prevent and combat racism and xenophobia in the criminal justice system, especially in the incarceration and custody of migrant women, transgender migrant men, and non-binary migrant people in the female prison system, and how are these cases monitored and investigated?</w:t>
      </w:r>
    </w:p>
    <w:p w14:paraId="276C4C1D" w14:textId="77777777" w:rsidR="00B9637C" w:rsidRDefault="00450333">
      <w:pPr>
        <w:widowControl w:val="0"/>
        <w:numPr>
          <w:ilvl w:val="0"/>
          <w:numId w:val="3"/>
        </w:numPr>
        <w:spacing w:before="360"/>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Access to mechanisms for reporting torture and ill-treatment</w:t>
      </w:r>
    </w:p>
    <w:p w14:paraId="00B0BD98" w14:textId="77777777" w:rsidR="00B9637C" w:rsidRDefault="00450333">
      <w:pPr>
        <w:widowControl w:val="0"/>
        <w:spacing w:before="360"/>
        <w:ind w:firstLine="8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Migrant persons deprived of liberty in women's prison units face additional obstacles to accessing mechanisms for reporting torture and ill-treatment, including language barriers, fear of retaliation, lack of knowledge of available channels, and insecurity regarding their migratory status. The lack of accessible, safe, and confidential mechanisms compromises the prevention of torture and favors impunity.</w:t>
      </w:r>
    </w:p>
    <w:p w14:paraId="17662785" w14:textId="77777777" w:rsidR="00B9637C" w:rsidRDefault="00450333">
      <w:pPr>
        <w:widowControl w:val="0"/>
        <w:numPr>
          <w:ilvl w:val="0"/>
          <w:numId w:val="11"/>
        </w:numPr>
        <w:spacing w:before="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How does the State ensure that these people have safe, accessible, and confidential </w:t>
      </w:r>
      <w:r>
        <w:rPr>
          <w:rFonts w:ascii="Times New Roman" w:eastAsia="Times New Roman" w:hAnsi="Times New Roman" w:cs="Times New Roman"/>
          <w:sz w:val="24"/>
          <w:szCs w:val="24"/>
        </w:rPr>
        <w:lastRenderedPageBreak/>
        <w:t>access to mechanisms for reporting torture and ill-treatment?</w:t>
      </w:r>
    </w:p>
    <w:p w14:paraId="4506CEBE" w14:textId="77777777" w:rsidR="00B9637C" w:rsidRDefault="00450333">
      <w:pPr>
        <w:widowControl w:val="0"/>
        <w:numPr>
          <w:ilvl w:val="0"/>
          <w:numId w:val="3"/>
        </w:numPr>
        <w:spacing w:before="360"/>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Production and transparency of disaggregated data</w:t>
      </w:r>
    </w:p>
    <w:p w14:paraId="3136218F" w14:textId="77777777" w:rsidR="00B9637C" w:rsidRDefault="00450333">
      <w:pPr>
        <w:widowControl w:val="0"/>
        <w:spacing w:before="360"/>
        <w:ind w:firstLine="8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absence of public data disaggregated by gender, gender identity, race, motherhood, number of children, nationality, and migratory status hinders the diagnosis of human rights violations in the women's prison system and prevents the formulation of effective policies for the prevention of torture and degrading treatment, especially in relation to migrant women and gender-nonconforming migrant persons.</w:t>
      </w:r>
    </w:p>
    <w:p w14:paraId="04B23488" w14:textId="77777777" w:rsidR="00B9637C" w:rsidRDefault="00450333">
      <w:pPr>
        <w:widowControl w:val="0"/>
        <w:numPr>
          <w:ilvl w:val="0"/>
          <w:numId w:val="9"/>
        </w:numPr>
        <w:spacing w:before="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Does the Brazilian state collect and publish data disaggregated by gender, gender identity, race, motherhood, number of children, nationality, and immigration status on women, transgender men, and non-binary people serving sentences in the women's prison system?</w:t>
      </w:r>
    </w:p>
    <w:p w14:paraId="4396071E" w14:textId="77777777" w:rsidR="00B9637C" w:rsidRDefault="00450333">
      <w:pPr>
        <w:pStyle w:val="Heading3"/>
        <w:keepNext w:val="0"/>
        <w:keepLines w:val="0"/>
        <w:widowControl w:val="0"/>
        <w:numPr>
          <w:ilvl w:val="0"/>
          <w:numId w:val="3"/>
        </w:numPr>
        <w:spacing w:before="360" w:after="0"/>
        <w:jc w:val="both"/>
        <w:rPr>
          <w:rFonts w:ascii="Times New Roman" w:eastAsia="Times New Roman" w:hAnsi="Times New Roman" w:cs="Times New Roman"/>
          <w:b/>
          <w:bCs/>
          <w:sz w:val="24"/>
          <w:szCs w:val="24"/>
        </w:rPr>
      </w:pPr>
      <w:bookmarkStart w:id="4" w:name="_heading=h.ywjavujwovqu" w:colFirst="0" w:colLast="0"/>
      <w:bookmarkEnd w:id="4"/>
      <w:r>
        <w:rPr>
          <w:rFonts w:ascii="Times New Roman" w:eastAsia="Times New Roman" w:hAnsi="Times New Roman" w:cs="Times New Roman"/>
          <w:b/>
          <w:bCs/>
          <w:color w:val="000000"/>
          <w:sz w:val="24"/>
          <w:szCs w:val="24"/>
        </w:rPr>
        <w:t>Menstrual Dignity</w:t>
      </w:r>
    </w:p>
    <w:p w14:paraId="6D9BEF33" w14:textId="77777777" w:rsidR="00B9637C" w:rsidRDefault="00450333">
      <w:pPr>
        <w:widowControl w:val="0"/>
        <w:spacing w:before="360"/>
        <w:ind w:firstLine="8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Although Brazil has established the Program for the Protection and Promotion of Menstrual Health through Law No. 14,214/2021, significant shortcomings persist in the effective and continuous implementation of this policy in prisons and socio-educational units. Decentralized execution, the absence of specific national protocols, and the lack of independent monitoring mechanisms result in irregular and insufficient provision of menstrual hygiene items. In contexts of deprivation of liberty, this insufficiency</w:t>
      </w:r>
      <w:r>
        <w:rPr>
          <w:rFonts w:ascii="Times New Roman" w:eastAsia="Times New Roman" w:hAnsi="Times New Roman" w:cs="Times New Roman"/>
          <w:sz w:val="24"/>
          <w:szCs w:val="24"/>
        </w:rPr>
        <w:t xml:space="preserve"> exposes women and girls to physical and psychological suffering.</w:t>
      </w:r>
    </w:p>
    <w:p w14:paraId="1234678C" w14:textId="77777777" w:rsidR="00B9637C" w:rsidRDefault="00450333">
      <w:pPr>
        <w:widowControl w:val="0"/>
        <w:numPr>
          <w:ilvl w:val="0"/>
          <w:numId w:val="12"/>
        </w:numPr>
        <w:spacing w:before="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How does the Brazilian State ensure the effective, continuous, and sufficient implementation of Law No. 14,214/2021 in prisons and socio-educational units, as a measure to prevent cruel, inhuman, or degrading treatment?</w:t>
      </w:r>
    </w:p>
    <w:p w14:paraId="7F752E9C" w14:textId="77777777" w:rsidR="00B9637C" w:rsidRDefault="00450333">
      <w:pPr>
        <w:widowControl w:val="0"/>
        <w:numPr>
          <w:ilvl w:val="0"/>
          <w:numId w:val="12"/>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Are there national protocols that ensure menstrual dignity as part of the minimum conditions of custody, with monitoring and accountability mechanisms?</w:t>
      </w:r>
    </w:p>
    <w:p w14:paraId="4D8A252F" w14:textId="77777777" w:rsidR="00B9637C" w:rsidRDefault="00450333">
      <w:pPr>
        <w:pStyle w:val="Heading3"/>
        <w:keepNext w:val="0"/>
        <w:keepLines w:val="0"/>
        <w:widowControl w:val="0"/>
        <w:numPr>
          <w:ilvl w:val="0"/>
          <w:numId w:val="3"/>
        </w:numPr>
        <w:spacing w:before="360" w:after="0"/>
        <w:jc w:val="both"/>
        <w:rPr>
          <w:rFonts w:ascii="Times New Roman" w:eastAsia="Times New Roman" w:hAnsi="Times New Roman" w:cs="Times New Roman"/>
          <w:b/>
          <w:bCs/>
          <w:sz w:val="24"/>
          <w:szCs w:val="24"/>
        </w:rPr>
      </w:pPr>
      <w:bookmarkStart w:id="5" w:name="_heading=h.n0naa2ox1ozt" w:colFirst="0" w:colLast="0"/>
      <w:bookmarkEnd w:id="5"/>
      <w:r>
        <w:rPr>
          <w:rFonts w:ascii="Times New Roman" w:eastAsia="Times New Roman" w:hAnsi="Times New Roman" w:cs="Times New Roman"/>
          <w:b/>
          <w:bCs/>
          <w:color w:val="000000"/>
          <w:sz w:val="24"/>
          <w:szCs w:val="24"/>
        </w:rPr>
        <w:t>Medication and Healthcare Treatment</w:t>
      </w:r>
    </w:p>
    <w:p w14:paraId="47C1687F" w14:textId="77777777" w:rsidR="00B9637C" w:rsidRDefault="00450333">
      <w:pPr>
        <w:widowControl w:val="0"/>
        <w:spacing w:before="360"/>
        <w:ind w:firstLine="8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Brazilian law guarantees the right to healthcare for incarcerated individuals through the Federal Constitution (Article 196), the Penal Execution Law – LEP (Law No. 7,210/1984), and the integration of the prison population into the Unified Health System (SUS). However, shortcomings persist in guaranteeing continuous, adequate, and individualized access to medication and physical and mental health treatments in prison and socio-educational units, especially for women, pregnant women, and migrants. Interrupti</w:t>
      </w:r>
      <w:r>
        <w:rPr>
          <w:rFonts w:ascii="Times New Roman" w:eastAsia="Times New Roman" w:hAnsi="Times New Roman" w:cs="Times New Roman"/>
          <w:sz w:val="24"/>
          <w:szCs w:val="24"/>
        </w:rPr>
        <w:t xml:space="preserve">ons in treatment, the absence of specific protocols, and discontinuities during transfers or entry into the custody system expose these individuals to avoidable suffering and risks to their physical and mental integrity, </w:t>
      </w:r>
      <w:r>
        <w:rPr>
          <w:rFonts w:ascii="Times New Roman" w:eastAsia="Times New Roman" w:hAnsi="Times New Roman" w:cs="Times New Roman"/>
          <w:sz w:val="24"/>
          <w:szCs w:val="24"/>
        </w:rPr>
        <w:lastRenderedPageBreak/>
        <w:t>potentially constituting cruel, inhuman, or degrading treatment, as defined in Articles 11 and 16 of the Convention against Torture.</w:t>
      </w:r>
    </w:p>
    <w:p w14:paraId="61D2A39B" w14:textId="77777777" w:rsidR="00B9637C" w:rsidRDefault="00450333">
      <w:pPr>
        <w:widowControl w:val="0"/>
        <w:numPr>
          <w:ilvl w:val="0"/>
          <w:numId w:val="10"/>
        </w:numPr>
        <w:spacing w:before="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measures does the State adopt to guarantee continuous, adequate, and individualized access to medication and physical and mental health treatments for incarcerated women, especially migrants and pregnant women?</w:t>
      </w:r>
    </w:p>
    <w:p w14:paraId="68DB587C" w14:textId="77777777" w:rsidR="00B9637C" w:rsidRDefault="00450333">
      <w:pPr>
        <w:widowControl w:val="0"/>
        <w:numPr>
          <w:ilvl w:val="0"/>
          <w:numId w:val="10"/>
        </w:numPr>
        <w:spacing w:before="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How does the State prevent arbitrary interruptions of medical treatment during transfers, entries into the prison system, or into juvenile detention centers?</w:t>
      </w:r>
      <w:r>
        <w:rPr>
          <w:rFonts w:ascii="Times New Roman" w:eastAsia="Times New Roman" w:hAnsi="Times New Roman" w:cs="Times New Roman"/>
          <w:sz w:val="24"/>
          <w:szCs w:val="24"/>
        </w:rPr>
        <w:br/>
      </w:r>
    </w:p>
    <w:p w14:paraId="41DE6B75" w14:textId="77777777" w:rsidR="00B9637C" w:rsidRDefault="00450333">
      <w:pPr>
        <w:widowControl w:val="0"/>
        <w:numPr>
          <w:ilvl w:val="0"/>
          <w:numId w:val="3"/>
        </w:numPr>
        <w:spacing w:before="360"/>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Motherhood, Bonding, and Family Separation</w:t>
      </w:r>
    </w:p>
    <w:p w14:paraId="0CCD3C40" w14:textId="77777777" w:rsidR="00B9637C" w:rsidRDefault="00450333">
      <w:pPr>
        <w:widowControl w:val="0"/>
        <w:spacing w:before="360"/>
        <w:ind w:firstLine="8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Brazilian law ensures the protection of motherhood and the right to family life through the Federal Constitution (articles 226 and 227), the Statute of Children and Adolescents – ECA (Law No. 8,069/1990), and the Penal Execution Law – LEP (Law No. 7,210/1984). Furthermore, the collective Habeas Corpus No. 143,641/STF recognized the right to replace preventive detention with house arrest for pregnant women and mothers of children, as a measure to protect the best interests of the child. Despite this jurispru</w:t>
      </w:r>
      <w:r>
        <w:rPr>
          <w:rFonts w:ascii="Times New Roman" w:eastAsia="Times New Roman" w:hAnsi="Times New Roman" w:cs="Times New Roman"/>
          <w:sz w:val="24"/>
          <w:szCs w:val="24"/>
        </w:rPr>
        <w:t>dential landmark, flaws persist in the effective application of these guarantees, especially in the case of migrant women, resulting in prolonged separation between mothers and children, lack of mechanisms for family rapprochement, including in transnational contexts, and avoidable suffering that may constitute cruel, inhuman, or degrading treatment.</w:t>
      </w:r>
    </w:p>
    <w:p w14:paraId="388D276F" w14:textId="77777777" w:rsidR="00B9637C" w:rsidRDefault="00450333">
      <w:pPr>
        <w:widowControl w:val="0"/>
        <w:numPr>
          <w:ilvl w:val="0"/>
          <w:numId w:val="8"/>
        </w:numPr>
        <w:spacing w:before="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specific policies and protocols does the Brazilian State adopt to protect the mother-child bond of women deprived of liberty, especially migrants?</w:t>
      </w:r>
    </w:p>
    <w:p w14:paraId="1A2EB268" w14:textId="77777777" w:rsidR="00B9637C" w:rsidRDefault="00450333">
      <w:pPr>
        <w:widowControl w:val="0"/>
        <w:numPr>
          <w:ilvl w:val="0"/>
          <w:numId w:val="8"/>
        </w:numPr>
        <w:spacing w:before="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How does the State ensure the rapprochement and maintenance of the family bond in cases of transnational separation between imprisoned migrant mothers and their children?</w:t>
      </w:r>
      <w:r>
        <w:rPr>
          <w:rFonts w:ascii="Times New Roman" w:eastAsia="Times New Roman" w:hAnsi="Times New Roman" w:cs="Times New Roman"/>
          <w:sz w:val="24"/>
          <w:szCs w:val="24"/>
        </w:rPr>
        <w:br/>
      </w:r>
    </w:p>
    <w:p w14:paraId="0C7EF489" w14:textId="77777777" w:rsidR="00B9637C" w:rsidRDefault="00450333">
      <w:pPr>
        <w:widowControl w:val="0"/>
        <w:numPr>
          <w:ilvl w:val="0"/>
          <w:numId w:val="3"/>
        </w:numPr>
        <w:spacing w:before="360"/>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Unidades experimentais de saúde em contextos de privação de liberdade</w:t>
      </w:r>
    </w:p>
    <w:p w14:paraId="7D77DA72" w14:textId="77777777" w:rsidR="00B9637C" w:rsidRDefault="00450333">
      <w:pPr>
        <w:widowControl w:val="0"/>
        <w:spacing w:before="360"/>
        <w:ind w:firstLine="8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 contextos de privação de liberdade, o Estado brasileiro tem recorrido, de forma crescente, a modelos diferenciados ou experimentais de atenção à saúde, incluindo unidades especializadas, projetos-piloto, parcerias com instituições externas e dispositivos híbridos entre saúde e custódia, frequentemente voltados a saúde mental, uso de substâncias psicoativas ou tratamento intensivo. Embora tais iniciativas sejam apresentadas como estratégias de cuidado, a assimetria de poder inerente ao cárcere exige salva</w:t>
      </w:r>
      <w:r>
        <w:rPr>
          <w:rFonts w:ascii="Times New Roman" w:eastAsia="Times New Roman" w:hAnsi="Times New Roman" w:cs="Times New Roman"/>
          <w:sz w:val="24"/>
          <w:szCs w:val="24"/>
        </w:rPr>
        <w:t xml:space="preserve">guardas rigorosas para evitar práticas coercitivas, tratamentos involuntários, restrições indevidas de direitos ou uso da assistência à saúde como mecanismo disciplinar. A ausência de critérios claros, transparência, </w:t>
      </w:r>
      <w:r>
        <w:rPr>
          <w:rFonts w:ascii="Times New Roman" w:eastAsia="Times New Roman" w:hAnsi="Times New Roman" w:cs="Times New Roman"/>
          <w:sz w:val="24"/>
          <w:szCs w:val="24"/>
        </w:rPr>
        <w:lastRenderedPageBreak/>
        <w:t>consentimento informado efetivo e monitoramento independente pode expor pessoas custodiadas a tratamentos degradantes.</w:t>
      </w:r>
    </w:p>
    <w:p w14:paraId="7A044DD5" w14:textId="77777777" w:rsidR="00B9637C" w:rsidRDefault="00450333">
      <w:pPr>
        <w:widowControl w:val="0"/>
        <w:numPr>
          <w:ilvl w:val="0"/>
          <w:numId w:val="13"/>
        </w:numPr>
        <w:spacing w:before="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Considerando a existência de unidades ou modelos experimentais de atenção à saúde em contextos de privação de liberdade, quais salvaguardas o Estado brasileiro adota para assegurar que tais iniciativas respeitem o consentimento informado, a dignidade e os direitos das pessoas custodiadas?</w:t>
      </w:r>
    </w:p>
    <w:p w14:paraId="122ADF7D" w14:textId="77777777" w:rsidR="00B9637C" w:rsidRDefault="00450333">
      <w:pPr>
        <w:widowControl w:val="0"/>
        <w:numPr>
          <w:ilvl w:val="0"/>
          <w:numId w:val="13"/>
        </w:numPr>
        <w:spacing w:before="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Como essas unidades são monitoradas por órgãos independentes de prevenção da tortura?</w:t>
      </w:r>
      <w:r>
        <w:rPr>
          <w:rFonts w:ascii="Times New Roman" w:eastAsia="Times New Roman" w:hAnsi="Times New Roman" w:cs="Times New Roman"/>
          <w:sz w:val="24"/>
          <w:szCs w:val="24"/>
        </w:rPr>
        <w:br/>
      </w:r>
    </w:p>
    <w:p w14:paraId="11CC82AC" w14:textId="77777777" w:rsidR="00B9637C" w:rsidRDefault="00450333">
      <w:pPr>
        <w:widowControl w:val="0"/>
        <w:numPr>
          <w:ilvl w:val="0"/>
          <w:numId w:val="3"/>
        </w:numPr>
        <w:spacing w:before="360"/>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Experimental Healthcare Units in Contexts of Deprivation of Liberty</w:t>
      </w:r>
    </w:p>
    <w:p w14:paraId="6DBDC62A" w14:textId="77777777" w:rsidR="00B9637C" w:rsidRDefault="00450333">
      <w:pPr>
        <w:widowControl w:val="0"/>
        <w:spacing w:before="360"/>
        <w:ind w:firstLine="8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contexts of deprivation of liberty, the Brazilian State has increasingly resorted to differentiated or experimental models of healthcare, including specialized units, pilot projects, partnerships with external institutions, and hybrid devices between health and custody, frequently focused on mental health, the use of psychoactive substances, or intensive treatment. Although such initiatives are presented as care strategies, the power asymmetry inherent in incarceration requires rigorous safeguards to avo</w:t>
      </w:r>
      <w:r>
        <w:rPr>
          <w:rFonts w:ascii="Times New Roman" w:eastAsia="Times New Roman" w:hAnsi="Times New Roman" w:cs="Times New Roman"/>
          <w:sz w:val="24"/>
          <w:szCs w:val="24"/>
        </w:rPr>
        <w:t>id coercive practices, involuntary treatments, undue restrictions of rights, or the use of healthcare as a disciplinary mechanism. The absence of clear criteria, transparency, effective informed consent, and independent monitoring can expose detained individuals to degrading treatment.</w:t>
      </w:r>
    </w:p>
    <w:p w14:paraId="2468369D" w14:textId="77777777" w:rsidR="00B9637C" w:rsidRDefault="00450333">
      <w:pPr>
        <w:widowControl w:val="0"/>
        <w:numPr>
          <w:ilvl w:val="0"/>
          <w:numId w:val="4"/>
        </w:numPr>
        <w:spacing w:before="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Considering the existence of experimental healthcare units or models in contexts of deprivation of liberty, what safeguards does the Brazilian State adopt to ensure that such initiatives respect informed consent, dignity, and the rights of detained individuals?</w:t>
      </w:r>
    </w:p>
    <w:p w14:paraId="4D03FA87" w14:textId="77777777" w:rsidR="00B9637C" w:rsidRDefault="00450333">
      <w:pPr>
        <w:widowControl w:val="0"/>
        <w:numPr>
          <w:ilvl w:val="0"/>
          <w:numId w:val="4"/>
        </w:numPr>
        <w:spacing w:before="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How are these units monitored by independent torture prevention bodies?</w:t>
      </w:r>
    </w:p>
    <w:p w14:paraId="2CAEF08D" w14:textId="77777777" w:rsidR="00B9637C" w:rsidRDefault="00450333">
      <w:pPr>
        <w:widowControl w:val="0"/>
        <w:numPr>
          <w:ilvl w:val="0"/>
          <w:numId w:val="3"/>
        </w:numPr>
        <w:spacing w:before="360"/>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LGBTI+ Adolescents in Detention</w:t>
      </w:r>
    </w:p>
    <w:p w14:paraId="4E4F0D17" w14:textId="77777777" w:rsidR="00B9637C" w:rsidRDefault="00450333">
      <w:pPr>
        <w:widowControl w:val="0"/>
        <w:spacing w:before="360"/>
        <w:ind w:firstLine="8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LGBTI+ adolescents in detention are particularly exposed to situations of violence, discrimination, and mistreatment in detention centers and while serving socio-educational measures. The absence of specific national protocols that ensure respect for gender identity, sexual orientation, the use of social names, and the physical and psychological integrity of these individuals contributes to discriminatory institutional practices and the reproduction of violence within the custody systems.</w:t>
      </w:r>
    </w:p>
    <w:p w14:paraId="49B60A37" w14:textId="77777777" w:rsidR="00B9637C" w:rsidRDefault="00450333">
      <w:pPr>
        <w:widowControl w:val="0"/>
        <w:numPr>
          <w:ilvl w:val="0"/>
          <w:numId w:val="1"/>
        </w:numPr>
        <w:spacing w:before="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specific measures does the Brazilian State adopt to prevent violence, discrimination, and mistreatment against LGBTI+ adolescents in detention centers and socio-educational measures?</w:t>
      </w:r>
    </w:p>
    <w:p w14:paraId="67B2B82B" w14:textId="77777777" w:rsidR="00B9637C" w:rsidRDefault="00450333">
      <w:pPr>
        <w:widowControl w:val="0"/>
        <w:numPr>
          <w:ilvl w:val="0"/>
          <w:numId w:val="1"/>
        </w:numPr>
        <w:spacing w:before="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Are there national protocols that ensure respect for gender identity, sexual orientation, social name, and the physical and psychological integrity of these individuals?</w:t>
      </w:r>
    </w:p>
    <w:p w14:paraId="4E5041CE" w14:textId="77777777" w:rsidR="00B9637C" w:rsidRDefault="00450333">
      <w:pPr>
        <w:widowControl w:val="0"/>
        <w:numPr>
          <w:ilvl w:val="0"/>
          <w:numId w:val="3"/>
        </w:numPr>
        <w:spacing w:before="360"/>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Migrant Women Imprisoned with Institutionalized Children – Family Reunification</w:t>
      </w:r>
    </w:p>
    <w:p w14:paraId="77F96329" w14:textId="77777777" w:rsidR="00B9637C" w:rsidRDefault="00450333">
      <w:pPr>
        <w:widowControl w:val="0"/>
        <w:spacing w:before="360"/>
        <w:ind w:firstLine="8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Migrant women deprived of their liberty face additional obstacles to maintaining family ties when their children are institutionalized or placed in foster care, especially in contexts of transnational separation. The absence of structured mechanisms for coordination between the justice, social assistance, prison administration, and immigration authorities hinders regular contact, communication, and family reunification, producing prolonged impacts on mothers and children and deepening the rupture of family </w:t>
      </w:r>
      <w:r>
        <w:rPr>
          <w:rFonts w:ascii="Times New Roman" w:eastAsia="Times New Roman" w:hAnsi="Times New Roman" w:cs="Times New Roman"/>
          <w:sz w:val="24"/>
          <w:szCs w:val="24"/>
        </w:rPr>
        <w:t>ties.</w:t>
      </w:r>
    </w:p>
    <w:p w14:paraId="355E083E" w14:textId="77777777" w:rsidR="00B9637C" w:rsidRDefault="00450333">
      <w:pPr>
        <w:widowControl w:val="0"/>
        <w:numPr>
          <w:ilvl w:val="0"/>
          <w:numId w:val="7"/>
        </w:numPr>
        <w:spacing w:before="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How does the Brazilian State guarantee the right to family life for migrant women deprived of their liberty whose children have been institutionalized or placed in foster care?</w:t>
      </w:r>
    </w:p>
    <w:p w14:paraId="736EFF2C" w14:textId="77777777" w:rsidR="00B9637C" w:rsidRDefault="00450333">
      <w:pPr>
        <w:widowControl w:val="0"/>
        <w:numPr>
          <w:ilvl w:val="0"/>
          <w:numId w:val="7"/>
        </w:numPr>
        <w:spacing w:before="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Are there mechanisms for inter-institutional and international cooperation to enable contact, visits, communication, and eventual family reunification?</w:t>
      </w:r>
    </w:p>
    <w:p w14:paraId="04403439" w14:textId="77777777" w:rsidR="00B9637C" w:rsidRDefault="00450333">
      <w:pPr>
        <w:widowControl w:val="0"/>
        <w:numPr>
          <w:ilvl w:val="0"/>
          <w:numId w:val="3"/>
        </w:numPr>
        <w:spacing w:before="360"/>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Religious Freedom, Including Food</w:t>
      </w:r>
    </w:p>
    <w:p w14:paraId="2E201E4A" w14:textId="77777777" w:rsidR="00B9637C" w:rsidRDefault="00450333">
      <w:pPr>
        <w:widowControl w:val="0"/>
        <w:spacing w:before="360"/>
        <w:ind w:firstLine="8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Incarcerated individuals, especially migrant women, face significant restrictions on the exercise of religious freedom, including difficulties in observing specific dietary practices, wearing religious clothing, and performing faith rituals. The absence of clear guidelines, adequate training for staff, and mechanisms to prevent discrimination can result in undue restrictions, unequal treatment, and indirect punishments related to the exercise of religion within detention facilities.</w:t>
      </w:r>
    </w:p>
    <w:p w14:paraId="2136BD79" w14:textId="77777777" w:rsidR="00B9637C" w:rsidRDefault="00450333">
      <w:pPr>
        <w:widowControl w:val="0"/>
        <w:numPr>
          <w:ilvl w:val="0"/>
          <w:numId w:val="15"/>
        </w:numPr>
        <w:spacing w:before="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How does the State ensure the exercise of religious freedom for incarcerated individuals, including migrant women, especially with regard to dietary practices, clothing, and religious rituals?</w:t>
      </w:r>
    </w:p>
    <w:p w14:paraId="4C0F9476" w14:textId="77777777" w:rsidR="00B9637C" w:rsidRDefault="00450333">
      <w:pPr>
        <w:widowControl w:val="0"/>
        <w:numPr>
          <w:ilvl w:val="0"/>
          <w:numId w:val="15"/>
        </w:numPr>
        <w:spacing w:before="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mechanisms exist to prevent religious discrimination and indirect punishments related to the exercise of faith?</w:t>
      </w:r>
    </w:p>
    <w:p w14:paraId="0CBF53FA" w14:textId="77777777" w:rsidR="00B9637C" w:rsidRDefault="00450333">
      <w:pPr>
        <w:widowControl w:val="0"/>
        <w:numPr>
          <w:ilvl w:val="0"/>
          <w:numId w:val="3"/>
        </w:numPr>
        <w:spacing w:before="360"/>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Specific Protocols for Socio-Educational Measures for Women and Girls</w:t>
      </w:r>
    </w:p>
    <w:p w14:paraId="230560E2" w14:textId="77777777" w:rsidR="00B9637C" w:rsidRDefault="00450333">
      <w:pPr>
        <w:widowControl w:val="0"/>
        <w:spacing w:before="360"/>
        <w:ind w:firstLine="8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implementation of socio-educational measures in Brazil has historically adopted gender-neutral parameters, which renders invisible the specific needs of women and girls, especially migrants, pregnant women, and mothers. The absence of specific protocols that consider gender, race, motherhood, and migration contributes to inadequate practices, </w:t>
      </w:r>
      <w:r>
        <w:rPr>
          <w:rFonts w:ascii="Times New Roman" w:eastAsia="Times New Roman" w:hAnsi="Times New Roman" w:cs="Times New Roman"/>
          <w:sz w:val="24"/>
          <w:szCs w:val="24"/>
        </w:rPr>
        <w:lastRenderedPageBreak/>
        <w:t>disproportionate punitive responses, and the reproduction of institutional violence within the socio-educational sphere.</w:t>
      </w:r>
    </w:p>
    <w:p w14:paraId="20628762" w14:textId="77777777" w:rsidR="00B9637C" w:rsidRDefault="00450333">
      <w:pPr>
        <w:widowControl w:val="0"/>
        <w:numPr>
          <w:ilvl w:val="0"/>
          <w:numId w:val="2"/>
        </w:numPr>
        <w:spacing w:before="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Does the Brazilian State have specific protocols for the implementation of socio-educational measures aimed at women and girls, especially migrants, pregnant women, and mothers?</w:t>
      </w:r>
    </w:p>
    <w:p w14:paraId="7EF086CD" w14:textId="77777777" w:rsidR="00B9637C" w:rsidRDefault="00450333">
      <w:pPr>
        <w:widowControl w:val="0"/>
        <w:numPr>
          <w:ilvl w:val="0"/>
          <w:numId w:val="2"/>
        </w:numPr>
        <w:spacing w:before="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How do these protocols incorporate gender, race, motherhood, and migration considerations to prevent cruel, inhuman, or degrading treatment?</w:t>
      </w:r>
    </w:p>
    <w:sectPr w:rsidR="00B9637C">
      <w:headerReference w:type="default" r:id="rId8"/>
      <w:pgSz w:w="11906" w:h="16838"/>
      <w:pgMar w:top="1700" w:right="1133" w:bottom="1133" w:left="170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0FCB9E" w14:textId="77777777" w:rsidR="00450333" w:rsidRDefault="00450333">
      <w:pPr>
        <w:spacing w:line="240" w:lineRule="auto"/>
      </w:pPr>
      <w:r>
        <w:separator/>
      </w:r>
    </w:p>
  </w:endnote>
  <w:endnote w:type="continuationSeparator" w:id="0">
    <w:p w14:paraId="5FF7524C" w14:textId="77777777" w:rsidR="00450333" w:rsidRDefault="0045033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embedRegular r:id="rId1" w:fontKey="{E47230C5-9BFD-409B-9D7F-637F9F87338A}"/>
  </w:font>
  <w:font w:name="Cambria">
    <w:panose1 w:val="02040503050406030204"/>
    <w:charset w:val="00"/>
    <w:family w:val="roman"/>
    <w:pitch w:val="variable"/>
    <w:sig w:usb0="E00006FF" w:usb1="420024FF" w:usb2="02000000" w:usb3="00000000" w:csb0="0000019F" w:csb1="00000000"/>
    <w:embedRegular r:id="rId2" w:fontKey="{5051B985-0439-44B4-B146-F79B0B84BD04}"/>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D41287" w14:textId="77777777" w:rsidR="00450333" w:rsidRDefault="00450333">
      <w:pPr>
        <w:spacing w:line="240" w:lineRule="auto"/>
      </w:pPr>
      <w:r>
        <w:separator/>
      </w:r>
    </w:p>
  </w:footnote>
  <w:footnote w:type="continuationSeparator" w:id="0">
    <w:p w14:paraId="545B1A49" w14:textId="77777777" w:rsidR="00450333" w:rsidRDefault="00450333">
      <w:pPr>
        <w:spacing w:line="240" w:lineRule="auto"/>
      </w:pPr>
      <w:r>
        <w:continuationSeparator/>
      </w:r>
    </w:p>
  </w:footnote>
  <w:footnote w:id="1">
    <w:p w14:paraId="46236241" w14:textId="77777777" w:rsidR="00B9637C" w:rsidRDefault="00450333">
      <w:pPr>
        <w:spacing w:line="240" w:lineRule="auto"/>
        <w:rPr>
          <w:sz w:val="20"/>
          <w:szCs w:val="20"/>
        </w:rPr>
      </w:pPr>
      <w:r>
        <w:rPr>
          <w:vertAlign w:val="superscript"/>
        </w:rPr>
        <w:footnoteRef/>
      </w:r>
      <w:r>
        <w:rPr>
          <w:rFonts w:ascii="Times New Roman" w:eastAsia="Times New Roman" w:hAnsi="Times New Roman" w:cs="Times New Roman"/>
          <w:sz w:val="20"/>
          <w:szCs w:val="20"/>
        </w:rPr>
        <w:t xml:space="preserve"> The Justice Without Walls Program (JSM) team works in a network with civil society organizations – institutes, social movements, collectives, universities, and media – to mobilize actors from the Executive, Legislative, and Judicial branches in favor of institutional changes in the justice system. Together, through the production and dissemination of information about the prison system, the program seeks to contribute to the public debate on reducing decarceration, the rights of women deprived of liberty a</w:t>
      </w:r>
      <w:r>
        <w:rPr>
          <w:rFonts w:ascii="Times New Roman" w:eastAsia="Times New Roman" w:hAnsi="Times New Roman" w:cs="Times New Roman"/>
          <w:sz w:val="20"/>
          <w:szCs w:val="20"/>
        </w:rPr>
        <w:t>nd survivors of the prison system, as well as to contribute to the fight against human rights violations and racial, social, and gender inequalities.</w:t>
      </w:r>
    </w:p>
  </w:footnote>
  <w:footnote w:id="2">
    <w:p w14:paraId="567D2251" w14:textId="77777777" w:rsidR="00B9637C" w:rsidRDefault="00450333">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The Migrant Women's Program (PMM) is dedicated to direct assistance, knowledge production, political advocacy, the formation of migration networks, and the development of strategies for decarceration. Therefore, there are four areas of action: (i) direct assistance, (ii) rights education, (iii) knowledge production, and (iv) public dialogue. Through these areas, the PMM seeks to monitor and promote access to rights, focusing on reducing mass incarceration and improving access to public policies, with the m</w:t>
      </w:r>
      <w:r>
        <w:rPr>
          <w:rFonts w:ascii="Times New Roman" w:eastAsia="Times New Roman" w:hAnsi="Times New Roman" w:cs="Times New Roman"/>
          <w:sz w:val="20"/>
          <w:szCs w:val="20"/>
        </w:rPr>
        <w:t>ission of guaranteeing respect for the dignity of all migrant women.</w:t>
      </w:r>
    </w:p>
  </w:footnote>
  <w:footnote w:id="3">
    <w:p w14:paraId="199A5AF0" w14:textId="77777777" w:rsidR="00B9637C" w:rsidRDefault="00450333">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BRASIL. Ministério da Justiça e Segurança Pública. Secretaria Nacional de Políticas Penais (SENAPPEN). SISDEPEN: Sistema Nacional de Informações Penais. [Brasília, DF], 2026. Dashboard. Disponível em: https://app.powerbi.com/view?r=eyJrIjoiODVhODQ0ZTctYzkyZS00YmRmLWFiNjItYzVmNWRkMThjMTgyIiwidCI6ImViMDkwNDIwLTQ0NGMtNDNmNy05MWYyLTRiOGRhNmJmZThlMSJ9. Acesso em: 16 jan. 2026.</w:t>
      </w:r>
    </w:p>
  </w:footnote>
  <w:footnote w:id="4">
    <w:p w14:paraId="519F770A" w14:textId="77777777" w:rsidR="00B9637C" w:rsidRDefault="00450333">
      <w:pPr>
        <w:spacing w:line="240" w:lineRule="auto"/>
        <w:rPr>
          <w:sz w:val="20"/>
          <w:szCs w:val="20"/>
        </w:rPr>
      </w:pPr>
      <w:r>
        <w:rPr>
          <w:vertAlign w:val="superscript"/>
        </w:rPr>
        <w:footnoteRef/>
      </w:r>
      <w:r>
        <w:rPr>
          <w:sz w:val="20"/>
          <w:szCs w:val="20"/>
        </w:rPr>
        <w:t xml:space="preserve"> BRAZIL. Ministry of Justice and Public Security. Migration Bulletin in Brazil. Brasília: National Secretariat of Justice (SENAJUS), 2025. Available at: https://www.gov.br/mj/pt-br/assuntos/seus-direitos/senajus/boletim-da-migracao-no-brasil. Accessed on: January 16, 2026.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E395BC" w14:textId="77777777" w:rsidR="00B9637C" w:rsidRDefault="00450333">
    <w:pPr>
      <w:jc w:val="center"/>
    </w:pPr>
    <w:r>
      <w:rPr>
        <w:noProof/>
      </w:rPr>
      <w:drawing>
        <wp:inline distT="114300" distB="114300" distL="114300" distR="114300" wp14:anchorId="5A8B4E23" wp14:editId="2D4188A1">
          <wp:extent cx="2164575" cy="690643"/>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164575" cy="690643"/>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67CB8"/>
    <w:multiLevelType w:val="multilevel"/>
    <w:tmpl w:val="085642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2F9405B"/>
    <w:multiLevelType w:val="multilevel"/>
    <w:tmpl w:val="6BD653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EDE07D6"/>
    <w:multiLevelType w:val="multilevel"/>
    <w:tmpl w:val="BA2A57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1DD07FF"/>
    <w:multiLevelType w:val="multilevel"/>
    <w:tmpl w:val="06BE279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15:restartNumberingAfterBreak="0">
    <w:nsid w:val="1F28011E"/>
    <w:multiLevelType w:val="multilevel"/>
    <w:tmpl w:val="39D040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1207E5B"/>
    <w:multiLevelType w:val="multilevel"/>
    <w:tmpl w:val="9A0E7D58"/>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296B2C4C"/>
    <w:multiLevelType w:val="multilevel"/>
    <w:tmpl w:val="42622D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BFF0EB2"/>
    <w:multiLevelType w:val="multilevel"/>
    <w:tmpl w:val="FEF20C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27A41D9"/>
    <w:multiLevelType w:val="multilevel"/>
    <w:tmpl w:val="D5FA78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3D8734C4"/>
    <w:multiLevelType w:val="multilevel"/>
    <w:tmpl w:val="FF701932"/>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40EC586E"/>
    <w:multiLevelType w:val="multilevel"/>
    <w:tmpl w:val="720E0A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42557A6C"/>
    <w:multiLevelType w:val="multilevel"/>
    <w:tmpl w:val="957417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48413B09"/>
    <w:multiLevelType w:val="multilevel"/>
    <w:tmpl w:val="FF5AA5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59B6574E"/>
    <w:multiLevelType w:val="multilevel"/>
    <w:tmpl w:val="2D324C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73141D9E"/>
    <w:multiLevelType w:val="multilevel"/>
    <w:tmpl w:val="F4F87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22189585">
    <w:abstractNumId w:val="0"/>
  </w:num>
  <w:num w:numId="2" w16cid:durableId="1413894178">
    <w:abstractNumId w:val="6"/>
  </w:num>
  <w:num w:numId="3" w16cid:durableId="2107604582">
    <w:abstractNumId w:val="5"/>
  </w:num>
  <w:num w:numId="4" w16cid:durableId="745152762">
    <w:abstractNumId w:val="13"/>
  </w:num>
  <w:num w:numId="5" w16cid:durableId="1448239805">
    <w:abstractNumId w:val="12"/>
  </w:num>
  <w:num w:numId="6" w16cid:durableId="173813089">
    <w:abstractNumId w:val="9"/>
  </w:num>
  <w:num w:numId="7" w16cid:durableId="1013188320">
    <w:abstractNumId w:val="2"/>
  </w:num>
  <w:num w:numId="8" w16cid:durableId="1620720324">
    <w:abstractNumId w:val="7"/>
  </w:num>
  <w:num w:numId="9" w16cid:durableId="1443108196">
    <w:abstractNumId w:val="10"/>
  </w:num>
  <w:num w:numId="10" w16cid:durableId="61955834">
    <w:abstractNumId w:val="8"/>
  </w:num>
  <w:num w:numId="11" w16cid:durableId="255096529">
    <w:abstractNumId w:val="4"/>
  </w:num>
  <w:num w:numId="12" w16cid:durableId="1663969806">
    <w:abstractNumId w:val="3"/>
  </w:num>
  <w:num w:numId="13" w16cid:durableId="1802796697">
    <w:abstractNumId w:val="1"/>
  </w:num>
  <w:num w:numId="14" w16cid:durableId="527380159">
    <w:abstractNumId w:val="14"/>
  </w:num>
  <w:num w:numId="15" w16cid:durableId="25987104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TrueTypeFont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637C"/>
    <w:rsid w:val="00093D88"/>
    <w:rsid w:val="00450333"/>
    <w:rsid w:val="009F1D21"/>
    <w:rsid w:val="00B9637C"/>
  </w:rsids>
  <m:mathPr>
    <m:mathFont m:val="Cambria Math"/>
    <m:brkBin m:val="before"/>
    <m:brkBinSub m:val="--"/>
    <m:smallFrac m:val="0"/>
    <m:dispDef/>
    <m:lMargin m:val="0"/>
    <m:rMargin m:val="0"/>
    <m:defJc m:val="centerGroup"/>
    <m:wrapIndent m:val="1440"/>
    <m:intLim m:val="subSup"/>
    <m:naryLim m:val="undOvr"/>
  </m:mathPr>
  <w:themeFontLang w:val="en-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BB225E"/>
  <w15:docId w15:val="{E9AE4D59-C8D7-4BE8-8A97-C3838276BC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pt-BR"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9F1D21"/>
    <w:pPr>
      <w:tabs>
        <w:tab w:val="center" w:pos="4513"/>
        <w:tab w:val="right" w:pos="9026"/>
      </w:tabs>
      <w:spacing w:line="240" w:lineRule="auto"/>
    </w:pPr>
  </w:style>
  <w:style w:type="character" w:customStyle="1" w:styleId="HeaderChar">
    <w:name w:val="Header Char"/>
    <w:basedOn w:val="DefaultParagraphFont"/>
    <w:link w:val="Header"/>
    <w:uiPriority w:val="99"/>
    <w:rsid w:val="009F1D21"/>
  </w:style>
  <w:style w:type="paragraph" w:styleId="Footer">
    <w:name w:val="footer"/>
    <w:basedOn w:val="Normal"/>
    <w:link w:val="FooterChar"/>
    <w:uiPriority w:val="99"/>
    <w:unhideWhenUsed/>
    <w:rsid w:val="009F1D21"/>
    <w:pPr>
      <w:tabs>
        <w:tab w:val="center" w:pos="4513"/>
        <w:tab w:val="right" w:pos="9026"/>
      </w:tabs>
      <w:spacing w:line="240" w:lineRule="auto"/>
    </w:pPr>
  </w:style>
  <w:style w:type="character" w:customStyle="1" w:styleId="FooterChar">
    <w:name w:val="Footer Char"/>
    <w:basedOn w:val="DefaultParagraphFont"/>
    <w:link w:val="Footer"/>
    <w:uiPriority w:val="99"/>
    <w:rsid w:val="009F1D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9+4G5gHDLyGuU2rcz0/Kb/oBLg==">CgMxLjAyDmgueGJ0M2p5bDk5MHRpMg5oLmkydDMzdmFoYm96MjIOaC52a2RpYjBhanV0eGMyDmguYWx4MHFnYXN4aXhvMg5oLnl3amF2dWp3b3ZxdTIOaC5uMG5hYTJveDFvenQ4AHIhMTNreUJJRU9RX3BURGNjVjRhRUNURmJxbVpqT1RJR0dQ</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A7FA57C9FAB45A42AB7F0F2F29DA9B83" ma:contentTypeVersion="47" ma:contentTypeDescription="Create a new document." ma:contentTypeScope="" ma:versionID="ec4471c69014bc60dfea23ed1dc22885">
  <xsd:schema xmlns:xsd="http://www.w3.org/2001/XMLSchema" xmlns:xs="http://www.w3.org/2001/XMLSchema" xmlns:p="http://schemas.microsoft.com/office/2006/metadata/properties" xmlns:ns2="11a6fe0c-d8de-4390-afb3-d9c7c54181f0" xmlns:ns3="985ec44e-1bab-4c0b-9df0-6ba128686fc9" xmlns:ns5="dfe5883a-cdd3-42a9-8146-0edb2232418f" targetNamespace="http://schemas.microsoft.com/office/2006/metadata/properties" ma:root="true" ma:fieldsID="092186715981cc1a9e0215788ab14117" ns2:_="" ns3:_="" ns5:_="">
    <xsd:import namespace="11a6fe0c-d8de-4390-afb3-d9c7c54181f0"/>
    <xsd:import namespace="985ec44e-1bab-4c0b-9df0-6ba128686fc9"/>
    <xsd:import namespace="dfe5883a-cdd3-42a9-8146-0edb2232418f"/>
    <xsd:element name="properties">
      <xsd:complexType>
        <xsd:sequence>
          <xsd:element name="documentManagement">
            <xsd:complexType>
              <xsd:all>
                <xsd:element ref="ns2:Country" minOccurs="0"/>
                <xsd:element ref="ns3:Date_x0020_Received" minOccurs="0"/>
                <xsd:element ref="ns3:Date_x0020_Sent" minOccurs="0"/>
                <xsd:element ref="ns3:Document_x0020_Date" minOccurs="0"/>
                <xsd:element ref="ns3:Document_x0020_Type" minOccurs="0"/>
                <xsd:element ref="ns2:Donor" minOccurs="0"/>
                <xsd:element ref="ns2:Field_x0020_Office" minOccurs="0"/>
                <xsd:element ref="ns3:UN_x0020_Official_x0020_Language" minOccurs="0"/>
                <xsd:element ref="ns3:Linked_x0020_Records" minOccurs="0"/>
                <xsd:element ref="ns2:Meeting" minOccurs="0"/>
                <xsd:element ref="ns3:TaxCatchAll" minOccurs="0"/>
                <xsd:element ref="ns3:Personal_x0020_Information_x0020__x0028_PII_x0029_" minOccurs="0"/>
                <xsd:element ref="ns2:Project_x0020_Name" minOccurs="0"/>
                <xsd:element ref="ns2:Report_x0020_Type" minOccurs="0"/>
                <xsd:element ref="ns3:Security_x0020_Level" minOccurs="0"/>
                <xsd:element ref="ns2:Session" minOccurs="0"/>
                <xsd:element ref="ns2:Thematic_x0020_Area" minOccurs="0"/>
                <xsd:element ref="ns2:Treaty_x0020_Body" minOccurs="0"/>
                <xsd:element ref="ns2:UD_x0020_Added_x0020_By" minOccurs="0"/>
                <xsd:element ref="ns2:UD_x0020_Added_x0020_On" minOccurs="0"/>
                <xsd:element ref="ns2:UD_x0020_Modified_x0020_By" minOccurs="0"/>
                <xsd:element ref="ns2:UD_x0020_Modified_x0020_On" minOccurs="0"/>
                <xsd:element ref="ns2:UD_x0020_Office_x0020_of_x0020_Origin" minOccurs="0"/>
                <xsd:element ref="ns2:Working_x0020_Group" minOccurs="0"/>
                <xsd:element ref="ns5:MediaServiceMetadata" minOccurs="0"/>
                <xsd:element ref="ns5:MediaServiceFastMetadata" minOccurs="0"/>
                <xsd:element ref="ns5:MediaServiceDateTaken" minOccurs="0"/>
                <xsd:element ref="ns5:MediaLengthInSeconds" minOccurs="0"/>
                <xsd:element ref="ns2:SharedWithUsers" minOccurs="0"/>
                <xsd:element ref="ns2:SharedWithDetails" minOccurs="0"/>
                <xsd:element ref="ns5:MediaServiceAutoKeyPoints" minOccurs="0"/>
                <xsd:element ref="ns5:MediaServiceKeyPoints" minOccurs="0"/>
                <xsd:element ref="ns5:MediaServiceOCR" minOccurs="0"/>
                <xsd:element ref="ns5:MediaServiceGenerationTime" minOccurs="0"/>
                <xsd:element ref="ns5:MediaServiceEventHashCode" minOccurs="0"/>
                <xsd:element ref="ns5:lcf76f155ced4ddcb4097134ff3c332f" minOccurs="0"/>
                <xsd:element ref="ns5:MediaServiceObjectDetectorVersions" minOccurs="0"/>
                <xsd:element ref="ns5:MediaServiceSearchProperties"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Country" ma:index="8" nillable="true" ma:displayName="Country" ma:internalName="Country">
      <xsd:simpleType>
        <xsd:restriction base="dms:Text">
          <xsd:maxLength value="255"/>
        </xsd:restriction>
      </xsd:simpleType>
    </xsd:element>
    <xsd:element name="Donor" ma:index="13" nillable="true" ma:displayName="Donor" ma:internalName="Donor">
      <xsd:simpleType>
        <xsd:restriction base="dms:Text">
          <xsd:maxLength value="255"/>
        </xsd:restriction>
      </xsd:simpleType>
    </xsd:element>
    <xsd:element name="Field_x0020_Office" ma:index="14" nillable="true" ma:displayName="Field Office" ma:internalName="Field_x0020_Office">
      <xsd:simpleType>
        <xsd:restriction base="dms:Text">
          <xsd:maxLength value="255"/>
        </xsd:restriction>
      </xsd:simpleType>
    </xsd:element>
    <xsd:element name="Meeting" ma:index="17" nillable="true" ma:displayName="Meeting" ma:internalName="Meeting">
      <xsd:simpleType>
        <xsd:restriction base="dms:Text">
          <xsd:maxLength value="255"/>
        </xsd:restriction>
      </xsd:simpleType>
    </xsd:element>
    <xsd:element name="Project_x0020_Name" ma:index="20" nillable="true" ma:displayName="Project Name" ma:internalName="Project_x0020_Name">
      <xsd:simpleType>
        <xsd:restriction base="dms:Text">
          <xsd:maxLength value="255"/>
        </xsd:restriction>
      </xsd:simpleType>
    </xsd:element>
    <xsd:element name="Report_x0020_Type" ma:index="21" nillable="true" ma:displayName="Report Type" ma:internalName="Report_x0020_Type">
      <xsd:simpleType>
        <xsd:restriction base="dms:Text">
          <xsd:maxLength value="255"/>
        </xsd:restriction>
      </xsd:simpleType>
    </xsd:element>
    <xsd:element name="Session" ma:index="23" nillable="true" ma:displayName="Session" ma:internalName="Session">
      <xsd:simpleType>
        <xsd:restriction base="dms:Text">
          <xsd:maxLength value="255"/>
        </xsd:restriction>
      </xsd:simpleType>
    </xsd:element>
    <xsd:element name="Thematic_x0020_Area" ma:index="24" nillable="true" ma:displayName="Thematic Area" ma:internalName="Thematic_x0020_Area">
      <xsd:simpleType>
        <xsd:restriction base="dms:Text">
          <xsd:maxLength value="255"/>
        </xsd:restriction>
      </xsd:simpleType>
    </xsd:element>
    <xsd:element name="Treaty_x0020_Body" ma:index="25" nillable="true" ma:displayName="Treaty Body" ma:internalName="Treaty_x0020_Body">
      <xsd:simpleType>
        <xsd:restriction base="dms:Text">
          <xsd:maxLength value="255"/>
        </xsd:restriction>
      </xsd:simpleType>
    </xsd:element>
    <xsd:element name="UD_x0020_Added_x0020_By" ma:index="26" nillable="true" ma:displayName="UD Added By" ma:internalName="UD_x0020_Added_x0020_By">
      <xsd:simpleType>
        <xsd:restriction base="dms:Text">
          <xsd:maxLength value="255"/>
        </xsd:restriction>
      </xsd:simpleType>
    </xsd:element>
    <xsd:element name="UD_x0020_Added_x0020_On" ma:index="27" nillable="true" ma:displayName="UD Added On" ma:format="DateOnly" ma:internalName="UD_x0020_Added_x0020_On">
      <xsd:simpleType>
        <xsd:restriction base="dms:DateTime"/>
      </xsd:simpleType>
    </xsd:element>
    <xsd:element name="UD_x0020_Modified_x0020_By" ma:index="28" nillable="true" ma:displayName="UD Modified By" ma:internalName="UD_x0020_Modified_x0020_By">
      <xsd:simpleType>
        <xsd:restriction base="dms:Text">
          <xsd:maxLength value="255"/>
        </xsd:restriction>
      </xsd:simpleType>
    </xsd:element>
    <xsd:element name="UD_x0020_Modified_x0020_On" ma:index="29" nillable="true" ma:displayName="UD Modified On" ma:format="DateOnly" ma:internalName="UD_x0020_Modified_x0020_On">
      <xsd:simpleType>
        <xsd:restriction base="dms:DateTime"/>
      </xsd:simpleType>
    </xsd:element>
    <xsd:element name="UD_x0020_Office_x0020_of_x0020_Origin" ma:index="30" nillable="true" ma:displayName="UD Office of Origin" ma:internalName="UD_x0020_Office_x0020_of_x0020_Origin">
      <xsd:simpleType>
        <xsd:restriction base="dms:Text">
          <xsd:maxLength value="255"/>
        </xsd:restriction>
      </xsd:simpleType>
    </xsd:element>
    <xsd:element name="Working_x0020_Group" ma:index="31" nillable="true" ma:displayName="Working Group" ma:internalName="Working_x0020_Group">
      <xsd:simpleType>
        <xsd:restriction base="dms:Text">
          <xsd:maxLength value="255"/>
        </xsd:restriction>
      </xsd:simpleType>
    </xsd:element>
    <xsd:element name="SharedWithUsers" ma:index="3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ate_x0020_Received" ma:index="9" nillable="true" ma:displayName="Date Received" ma:default="[today]" ma:format="DateOnly" ma:internalName="Date_x0020_Received">
      <xsd:simpleType>
        <xsd:restriction base="dms:DateTime"/>
      </xsd:simpleType>
    </xsd:element>
    <xsd:element name="Date_x0020_Sent" ma:index="10" nillable="true" ma:displayName="Date Sent" ma:default="[today]" ma:format="DateOnly" ma:internalName="Date_x0020_Sent">
      <xsd:simpleType>
        <xsd:restriction base="dms:DateTime"/>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5"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Linked_x0020_Records" ma:index="16" nillable="true" ma:displayName="Linked Records" ma:format="Hyperlink" ma:internalName="Linked_x0020_Records">
      <xsd:complexType>
        <xsd:complexContent>
          <xsd:extension base="dms:URL">
            <xsd:sequence>
              <xsd:element name="Url" type="dms:ValidUrl" minOccurs="0" nillable="true"/>
              <xsd:element name="Description" type="xsd:string" nillable="true"/>
            </xsd:sequence>
          </xsd:extension>
        </xsd:complexContent>
      </xsd:complexType>
    </xsd:element>
    <xsd:element name="TaxCatchAll" ma:index="18" nillable="true" ma:displayName="Taxonomy Catch All Column" ma:hidden="true" ma:list="{edcab123-23af-4b97-b88d-ffdc823631e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element name="Personal_x0020_Information_x0020__x0028_PII_x0029_" ma:index="19" nillable="true" ma:displayName="Personal Information (PII)" ma:default="0" ma:description="This field indicates whether the file contains Personal Information" ma:internalName="Personal_x0020_Information_x0020__x0028_PII_x0029_">
      <xsd:simpleType>
        <xsd:restriction base="dms:Boolean"/>
      </xsd:simpleType>
    </xsd:element>
    <xsd:element name="Security_x0020_Level" ma:index="22"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schema>
  <xsd:schema xmlns:xsd="http://www.w3.org/2001/XMLSchema" xmlns:xs="http://www.w3.org/2001/XMLSchema" xmlns:dms="http://schemas.microsoft.com/office/2006/documentManagement/types" xmlns:pc="http://schemas.microsoft.com/office/infopath/2007/PartnerControls" targetNamespace="dfe5883a-cdd3-42a9-8146-0edb2232418f"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DateTaken" ma:index="37" nillable="true" ma:displayName="MediaServiceDateTaken" ma:hidden="true" ma:internalName="MediaServiceDateTaken"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MediaServiceAutoKeyPoints" ma:index="41" nillable="true" ma:displayName="MediaServiceAutoKeyPoints" ma:hidden="true" ma:internalName="MediaServiceAutoKeyPoints" ma:readOnly="true">
      <xsd:simpleType>
        <xsd:restriction base="dms:Note"/>
      </xsd:simpleType>
    </xsd:element>
    <xsd:element name="MediaServiceKeyPoints" ma:index="42" nillable="true" ma:displayName="KeyPoints" ma:internalName="MediaServiceKeyPoints" ma:readOnly="true">
      <xsd:simpleType>
        <xsd:restriction base="dms:Note">
          <xsd:maxLength value="255"/>
        </xsd:restriction>
      </xsd:simpleType>
    </xsd:element>
    <xsd:element name="MediaServiceOCR" ma:index="43" nillable="true" ma:displayName="Extracted Text" ma:internalName="MediaServiceOCR" ma:readOnly="true">
      <xsd:simpleType>
        <xsd:restriction base="dms:Note">
          <xsd:maxLength value="255"/>
        </xsd:restriction>
      </xsd:simpleType>
    </xsd:element>
    <xsd:element name="MediaServiceGenerationTime" ma:index="44" nillable="true" ma:displayName="MediaServiceGenerationTime" ma:hidden="true" ma:internalName="MediaServiceGenerationTime" ma:readOnly="true">
      <xsd:simpleType>
        <xsd:restriction base="dms:Text"/>
      </xsd:simpleType>
    </xsd:element>
    <xsd:element name="MediaServiceEventHashCode" ma:index="45" nillable="true" ma:displayName="MediaServiceEventHashCode" ma:hidden="true" ma:internalName="MediaServiceEventHashCode" ma:readOnly="true">
      <xsd:simpleType>
        <xsd:restriction base="dms:Text"/>
      </xsd:simpleType>
    </xsd:element>
    <xsd:element name="lcf76f155ced4ddcb4097134ff3c332f" ma:index="47"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9" nillable="true" ma:displayName="MediaServiceSearchProperties" ma:hidden="true" ma:internalName="MediaServiceSearchProperties" ma:readOnly="true">
      <xsd:simpleType>
        <xsd:restriction base="dms:Note"/>
      </xsd:simpleType>
    </xsd:element>
    <xsd:element name="MediaServiceLocation" ma:index="50"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2" ma:displayName="Subject"/>
        <xsd:element ref="dc:description" minOccurs="0" maxOccurs="1"/>
        <xsd:element name="keywords" minOccurs="0" maxOccurs="1" type="xsd:string" ma:index="3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2026-02-20T11:18:16+00:00</Document_x0020_Date>
    <lcf76f155ced4ddcb4097134ff3c332f xmlns="dfe5883a-cdd3-42a9-8146-0edb2232418f">
      <Terms xmlns="http://schemas.microsoft.com/office/infopath/2007/PartnerControls"/>
    </lcf76f155ced4ddcb4097134ff3c332f>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TaxCatchAll xmlns="985ec44e-1bab-4c0b-9df0-6ba128686fc9" xsi:nil="true"/>
    <UD_x0020_Modified_x0020_On xmlns="11a6fe0c-d8de-4390-afb3-d9c7c54181f0" xsi:nil="true"/>
    <Working_x0020_Group xmlns="11a6fe0c-d8de-4390-afb3-d9c7c54181f0" xsi:nil="true"/>
    <Thematic_x0020_Area xmlns="11a6fe0c-d8de-4390-afb3-d9c7c54181f0" xsi:nil="true"/>
    <Project_x0020_Name xmlns="11a6fe0c-d8de-4390-afb3-d9c7c54181f0" xsi:nil="true"/>
    <UD_x0020_Added_x0020_By xmlns="11a6fe0c-d8de-4390-afb3-d9c7c54181f0" xsi:nil="true"/>
    <Date_x0020_Sent xmlns="985ec44e-1bab-4c0b-9df0-6ba128686fc9">2026-02-20T11:18:16+00:00</Date_x0020_Sent>
    <Personal_x0020_Information_x0020__x0028_PII_x0029_ xmlns="985ec44e-1bab-4c0b-9df0-6ba128686fc9">false</Personal_x0020_Information_x0020__x0028_PII_x0029_>
    <Session xmlns="11a6fe0c-d8de-4390-afb3-d9c7c54181f0" xsi:nil="true"/>
    <Date_x0020_Received xmlns="985ec44e-1bab-4c0b-9df0-6ba128686fc9">2026-02-20T11:18:16+00:00</Date_x0020_Received>
    <Meeting xmlns="11a6fe0c-d8de-4390-afb3-d9c7c54181f0" xsi:nil="true"/>
    <Country xmlns="11a6fe0c-d8de-4390-afb3-d9c7c54181f0" xsi:nil="true"/>
    <Linked_x0020_Records xmlns="985ec44e-1bab-4c0b-9df0-6ba128686fc9">
      <Url xsi:nil="true"/>
      <Description xsi:nil="true"/>
    </Linked_x0020_Records>
    <UD_x0020_Office_x0020_of_x0020_Origin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9F78A79-3BB4-4A3F-8533-89F055DA186D}"/>
</file>

<file path=customXml/itemProps3.xml><?xml version="1.0" encoding="utf-8"?>
<ds:datastoreItem xmlns:ds="http://schemas.openxmlformats.org/officeDocument/2006/customXml" ds:itemID="{BCFB624D-D06E-4F34-A4D9-2A48F3A8A5C2}"/>
</file>

<file path=customXml/itemProps4.xml><?xml version="1.0" encoding="utf-8"?>
<ds:datastoreItem xmlns:ds="http://schemas.openxmlformats.org/officeDocument/2006/customXml" ds:itemID="{BBD1C270-9A9A-449A-B867-A41D75B5C258}"/>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8</Pages>
  <Words>2595</Words>
  <Characters>14793</Characters>
  <Application>Microsoft Office Word</Application>
  <DocSecurity>4</DocSecurity>
  <Lines>123</Lines>
  <Paragraphs>34</Paragraphs>
  <ScaleCrop>false</ScaleCrop>
  <Company/>
  <LinksUpToDate>false</LinksUpToDate>
  <CharactersWithSpaces>17354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Youssef Hamdan</dc:creator>
  <cp:lastModifiedBy>Youssef Hamdan</cp:lastModifiedBy>
  <cp:revision>2</cp:revision>
  <dcterms:created xsi:type="dcterms:W3CDTF">2026-01-18T11:45:00Z</dcterms:created>
  <dcterms:modified xsi:type="dcterms:W3CDTF">2026-01-18T11:45:00Z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0x010100A7FA57C9FAB45A42AB7F0F2F29DA9B83</vt:lpwstr>
  </property>
</Properties>
</file>