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D6F2D" w14:textId="0A787763" w:rsidR="00D32E91" w:rsidRDefault="00D32E91" w:rsidP="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rPr>
      </w:pPr>
      <w:r>
        <w:rPr>
          <w:rFonts w:ascii="Times New Roman" w:hAnsi="Times New Roman" w:cs="Times New Roman"/>
          <w:b/>
          <w:noProof/>
          <w:lang w:eastAsia="fr-FR" w:bidi="ar-SA"/>
        </w:rPr>
        <w:drawing>
          <wp:anchor distT="0" distB="0" distL="0" distR="0" simplePos="0" relativeHeight="251659264" behindDoc="0" locked="0" layoutInCell="1" allowOverlap="1" wp14:anchorId="4A88C3FE" wp14:editId="7BD3B57F">
            <wp:simplePos x="0" y="0"/>
            <wp:positionH relativeFrom="column">
              <wp:posOffset>73660</wp:posOffset>
            </wp:positionH>
            <wp:positionV relativeFrom="paragraph">
              <wp:posOffset>-95250</wp:posOffset>
            </wp:positionV>
            <wp:extent cx="2838450" cy="1100455"/>
            <wp:effectExtent l="0" t="0" r="0" b="0"/>
            <wp:wrapSquare wrapText="largest"/>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2838450" cy="1100455"/>
                    </a:xfrm>
                    <a:prstGeom prst="rect">
                      <a:avLst/>
                    </a:prstGeom>
                    <a:noFill/>
                    <a:ln w="9525">
                      <a:noFill/>
                      <a:miter lim="800000"/>
                      <a:headEnd/>
                      <a:tailEnd/>
                    </a:ln>
                  </pic:spPr>
                </pic:pic>
              </a:graphicData>
            </a:graphic>
          </wp:anchor>
        </w:drawing>
      </w:r>
    </w:p>
    <w:p w14:paraId="0ECF0544" w14:textId="5A124D2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r>
        <w:rPr>
          <w:rFonts w:ascii="Times New Roman" w:hAnsi="Times New Roman" w:cs="Times New Roman"/>
          <w:b/>
          <w:noProof/>
          <w:lang w:eastAsia="fr-FR" w:bidi="ar-SA"/>
        </w:rPr>
        <w:drawing>
          <wp:anchor distT="0" distB="0" distL="0" distR="0" simplePos="0" relativeHeight="251661312" behindDoc="0" locked="0" layoutInCell="1" allowOverlap="1" wp14:anchorId="0B26B713" wp14:editId="674A0893">
            <wp:simplePos x="0" y="0"/>
            <wp:positionH relativeFrom="column">
              <wp:posOffset>643890</wp:posOffset>
            </wp:positionH>
            <wp:positionV relativeFrom="paragraph">
              <wp:posOffset>-574040</wp:posOffset>
            </wp:positionV>
            <wp:extent cx="2322830" cy="2322830"/>
            <wp:effectExtent l="0" t="0" r="0" b="0"/>
            <wp:wrapSquare wrapText="largest"/>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9"/>
                    <a:stretch>
                      <a:fillRect/>
                    </a:stretch>
                  </pic:blipFill>
                  <pic:spPr bwMode="auto">
                    <a:xfrm>
                      <a:off x="0" y="0"/>
                      <a:ext cx="2322830" cy="2322830"/>
                    </a:xfrm>
                    <a:prstGeom prst="rect">
                      <a:avLst/>
                    </a:prstGeom>
                    <a:noFill/>
                    <a:ln w="9525">
                      <a:noFill/>
                      <a:miter lim="800000"/>
                      <a:headEnd/>
                      <a:tailEnd/>
                    </a:ln>
                  </pic:spPr>
                </pic:pic>
              </a:graphicData>
            </a:graphic>
          </wp:anchor>
        </w:drawing>
      </w:r>
    </w:p>
    <w:p w14:paraId="3709B52E"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03E6BB42"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45AA78AA"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37E3F99C"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1E37E3D8"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061B2BBE"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08B398E1"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
        <w:rPr>
          <w:rFonts w:ascii="Times New Roman" w:hAnsi="Times New Roman" w:cs="Times New Roman"/>
          <w:b/>
        </w:rPr>
        <w:t>Comité des Droits de l'Homme des Nations Unies</w:t>
      </w:r>
    </w:p>
    <w:p w14:paraId="6CFCB81E"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
        <w:rPr>
          <w:rFonts w:ascii="Times New Roman" w:hAnsi="Times New Roman" w:cs="Times New Roman"/>
          <w:b/>
        </w:rPr>
        <w:t xml:space="preserve">       144ème session – 29/06-24/07/2015           </w:t>
      </w:r>
    </w:p>
    <w:p w14:paraId="36304E13"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14:paraId="762FF1CF"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14:paraId="285C9A45"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b/>
        </w:rPr>
        <w:t>Rapport de la FIDH (Fédération Internationale des Ligues des Droits de l'Homme) et de la LDH (Ligue des Droits de l'Homme) à propos du cinquième rapport périodique de la France</w:t>
      </w:r>
    </w:p>
    <w:p w14:paraId="03971D84"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14:paraId="4B8E74E7"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14:paraId="33279B89" w14:textId="0E5773CB" w:rsidR="00F32A4A"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sidRPr="00E3795D">
        <w:rPr>
          <w:rFonts w:ascii="Times New Roman" w:hAnsi="Times New Roman" w:cs="Times New Roman"/>
        </w:rPr>
        <w:t xml:space="preserve">La FIDH et la LDH soumettent le présent rapport concernant les multiples restrictions apportées à la compétence extraterritoriale des juridictions françaises par certaines </w:t>
      </w:r>
      <w:r w:rsidR="000B657F">
        <w:rPr>
          <w:rFonts w:ascii="Times New Roman" w:hAnsi="Times New Roman" w:cs="Times New Roman"/>
        </w:rPr>
        <w:t xml:space="preserve">lois et mesures </w:t>
      </w:r>
      <w:r w:rsidRPr="00E3795D">
        <w:rPr>
          <w:rFonts w:ascii="Times New Roman" w:hAnsi="Times New Roman" w:cs="Times New Roman"/>
        </w:rPr>
        <w:t>adopté</w:t>
      </w:r>
      <w:r w:rsidR="000B657F">
        <w:rPr>
          <w:rFonts w:ascii="Times New Roman" w:hAnsi="Times New Roman" w:cs="Times New Roman"/>
        </w:rPr>
        <w:t>e</w:t>
      </w:r>
      <w:r w:rsidRPr="00E3795D">
        <w:rPr>
          <w:rFonts w:ascii="Times New Roman" w:hAnsi="Times New Roman" w:cs="Times New Roman"/>
        </w:rPr>
        <w:t>s ou proposé</w:t>
      </w:r>
      <w:r w:rsidR="000B657F">
        <w:rPr>
          <w:rFonts w:ascii="Times New Roman" w:hAnsi="Times New Roman" w:cs="Times New Roman"/>
        </w:rPr>
        <w:t>e</w:t>
      </w:r>
      <w:r w:rsidRPr="00E3795D">
        <w:rPr>
          <w:rFonts w:ascii="Times New Roman" w:hAnsi="Times New Roman" w:cs="Times New Roman"/>
        </w:rPr>
        <w:t xml:space="preserve">s dans les dernières années qui portent atteinte aux droits protégés dans le </w:t>
      </w:r>
      <w:r w:rsidR="00D32E91" w:rsidRPr="00E3795D">
        <w:rPr>
          <w:rFonts w:ascii="Times New Roman" w:hAnsi="Times New Roman" w:cs="Times New Roman"/>
        </w:rPr>
        <w:t>Pacte International relatif aux droits civils et politiques (</w:t>
      </w:r>
      <w:r w:rsidRPr="00E3795D">
        <w:rPr>
          <w:rFonts w:ascii="Times New Roman" w:hAnsi="Times New Roman" w:cs="Times New Roman"/>
        </w:rPr>
        <w:t>PIDCP</w:t>
      </w:r>
      <w:r w:rsidR="00D32E91" w:rsidRPr="00E3795D">
        <w:rPr>
          <w:rFonts w:ascii="Times New Roman" w:hAnsi="Times New Roman" w:cs="Times New Roman"/>
        </w:rPr>
        <w:t>)</w:t>
      </w:r>
      <w:r w:rsidRPr="00E3795D">
        <w:rPr>
          <w:rFonts w:ascii="Times New Roman" w:hAnsi="Times New Roman" w:cs="Times New Roman"/>
        </w:rPr>
        <w:t xml:space="preserve">, notamment : </w:t>
      </w:r>
    </w:p>
    <w:p w14:paraId="00DF88D7" w14:textId="77777777" w:rsidR="000F6838" w:rsidRDefault="000F6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14:paraId="1A914533" w14:textId="5E3E370B" w:rsidR="000F6838" w:rsidRPr="00E3795D" w:rsidRDefault="000F6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xml:space="preserve">Restrictions à la compétence extraterritoriale des juridictions françaises apportées par le projet de loi autorisant l’approbation du Protocole additionnel à la Convention d’entraide judiciaire en matière pénale entre le Gouvernement de la République française et le Gouvernement du Royaume du Maroc (convention bilatérale d’entraide judiciaire du 18 avril 2008). </w:t>
      </w:r>
    </w:p>
    <w:p w14:paraId="36A3E5C8" w14:textId="77777777" w:rsidR="00361ED5" w:rsidRPr="00E3795D"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48B3000C" w14:textId="202052F5" w:rsidR="00F32A4A" w:rsidRPr="00E3795D"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sidRPr="00E3795D">
        <w:rPr>
          <w:rFonts w:ascii="Times New Roman" w:hAnsi="Times New Roman" w:cs="Times New Roman"/>
          <w:b/>
        </w:rPr>
        <w:t>Violation de l’article 2</w:t>
      </w:r>
      <w:r w:rsidR="000B657F">
        <w:rPr>
          <w:rFonts w:ascii="Times New Roman" w:hAnsi="Times New Roman" w:cs="Times New Roman"/>
          <w:b/>
        </w:rPr>
        <w:t xml:space="preserve"> </w:t>
      </w:r>
    </w:p>
    <w:p w14:paraId="1615B6C3" w14:textId="77777777" w:rsidR="00361ED5" w:rsidRPr="00E3795D"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14:paraId="5A11079E"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3795D">
        <w:rPr>
          <w:rFonts w:ascii="Times New Roman" w:hAnsi="Times New Roman" w:cs="Times New Roman"/>
        </w:rPr>
        <w:tab/>
        <w:t>Le 15 avril 2015, le secrétaire d’Etat chargé des affaires européennes a présenté un projet de loi autorisant l’approbation du Protocole additionnel à la convention d’entraide judiciaire en matière pénale entre le Gouvernement de la République française et le Gouvernement du Royaume du Maroc. Ce protocole additionnel a été signé à Rabat le 6 février 2015 par l’Ambassadeur de France au Maroc et le ministre marocain de la Justice et des Libertés, afin de mettre un terme à une suspension de l’entraide judiciaire décidée</w:t>
      </w:r>
      <w:r>
        <w:rPr>
          <w:rFonts w:ascii="Times New Roman" w:hAnsi="Times New Roman" w:cs="Times New Roman"/>
        </w:rPr>
        <w:t xml:space="preserve"> unilatéralement par le Maroc en février 2014. Le projet de loi doit être examiné courant juin 2015 par l’Assemblée nationale, puis début juillet 2015 par le Sénat. </w:t>
      </w:r>
    </w:p>
    <w:p w14:paraId="5A5E1BC1"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14:paraId="675B8F68"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ab/>
        <w:t xml:space="preserve">Le projet de loi introduit dans la convention bilatérale d’entraide judiciaire du 18 avril 2008, entrée en vigueur le 19 août 2011, à la suite d’un article 23 intitulé « Dénonciation aux fins de poursuites », un nouvel article 23bis intitulé « Application des conventions internationales » qui dispose : </w:t>
      </w:r>
    </w:p>
    <w:p w14:paraId="3E996FE2"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 xml:space="preserve"> </w:t>
      </w:r>
    </w:p>
    <w:p w14:paraId="1F66088C"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eastAsia="Times New Roman" w:hAnsi="Times New Roman" w:cs="Times New Roman"/>
        </w:rPr>
        <w:t>« </w:t>
      </w:r>
      <w:r>
        <w:rPr>
          <w:rFonts w:ascii="Times New Roman" w:eastAsia="Times New Roman" w:hAnsi="Times New Roman" w:cs="Times New Roman"/>
          <w:i/>
        </w:rPr>
        <w:t xml:space="preserve">1. Dans le cadre de leurs engagements respectifs et afin de contribuer à la bonne mise en œuvre des conventions internationales qui les lient, les Parties s’emploient à favoriser une coopération plus efficace ainsi que tous échanges entre les autorités judiciaires aux fins de bonne conduite des procédures, notamment lorsque les faits dénoncés ont été commis sur le territoire de l’autre Partie. </w:t>
      </w:r>
      <w:r>
        <w:rPr>
          <w:rFonts w:ascii="Times New Roman" w:eastAsia="Times New Roman" w:hAnsi="Times New Roman" w:cs="Times New Roman"/>
          <w:i/>
        </w:rPr>
        <w:br/>
        <w:t xml:space="preserve">2. Dans cette dernière hypothèse, chaque Partie informe immédiatement l’autre Partie des </w:t>
      </w:r>
      <w:r>
        <w:rPr>
          <w:rFonts w:ascii="Times New Roman" w:eastAsia="Times New Roman" w:hAnsi="Times New Roman" w:cs="Times New Roman"/>
          <w:i/>
        </w:rPr>
        <w:lastRenderedPageBreak/>
        <w:t xml:space="preserve">procédures relatives à des faits pénalement punissables dans la commission desquels des ressortissants de cette dernière sont susceptibles de voir leur responsabilité engagée. </w:t>
      </w:r>
      <w:r>
        <w:rPr>
          <w:rFonts w:ascii="Times New Roman" w:eastAsia="Times New Roman" w:hAnsi="Times New Roman" w:cs="Times New Roman"/>
          <w:i/>
        </w:rPr>
        <w:br/>
        <w:t xml:space="preserve">3. S’agissant de procédures engagées auprès de l’autorité judiciaire d’une Partie par une personne qui n’en possède pas la nationalité et pour des faits commis sur le territoire de l’autre Partie par un de ses ressortissants, l’autorité judiciaire saisie recueille dès que possible auprès de l’autorité judiciaire de l’autre Partie ses observations ou informations. </w:t>
      </w:r>
      <w:r>
        <w:rPr>
          <w:rFonts w:ascii="Times New Roman" w:eastAsia="Times New Roman" w:hAnsi="Times New Roman" w:cs="Times New Roman"/>
          <w:i/>
        </w:rPr>
        <w:br/>
        <w:t xml:space="preserve">Cette dernière prend toutes les mesures qu’elle juge appropriées y compris le cas échéant l’ouverture d’une procédure. </w:t>
      </w:r>
      <w:r>
        <w:rPr>
          <w:rFonts w:ascii="Times New Roman" w:eastAsia="Times New Roman" w:hAnsi="Times New Roman" w:cs="Times New Roman"/>
          <w:i/>
        </w:rPr>
        <w:br/>
        <w:t xml:space="preserve">Au vu des éléments ou informations reçus, l’autorité judiciaire saisie détermine les suites à donner à la procédure, prioritairement son renvoi à l’autorité judiciaire de l’autre Partie ou sa clôture. </w:t>
      </w:r>
      <w:r>
        <w:rPr>
          <w:rFonts w:ascii="Times New Roman" w:eastAsia="Times New Roman" w:hAnsi="Times New Roman" w:cs="Times New Roman"/>
          <w:i/>
        </w:rPr>
        <w:br/>
        <w:t xml:space="preserve">En l’absence de réponse ou en cas d’inertie de l’autre Partie, l’autorité judiciaire saisie poursuit la procédure. </w:t>
      </w:r>
      <w:r>
        <w:rPr>
          <w:rFonts w:ascii="Times New Roman" w:eastAsia="Times New Roman" w:hAnsi="Times New Roman" w:cs="Times New Roman"/>
          <w:i/>
        </w:rPr>
        <w:br/>
        <w:t>4. Les dispositions du paragraphe 3 du présent article s’appliquent aux individus possédant la nationalité de l’une et l’autre Partie.</w:t>
      </w:r>
      <w:r>
        <w:rPr>
          <w:rFonts w:ascii="Times New Roman" w:eastAsia="Times New Roman" w:hAnsi="Times New Roman" w:cs="Times New Roman"/>
        </w:rPr>
        <w:t xml:space="preserve"> »</w:t>
      </w:r>
    </w:p>
    <w:p w14:paraId="2862955D"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14:paraId="6908D498" w14:textId="77777777" w:rsidR="00361ED5" w:rsidRDefault="00F32A4A">
      <w:pPr>
        <w:ind w:firstLine="708"/>
        <w:jc w:val="both"/>
      </w:pPr>
      <w:r>
        <w:rPr>
          <w:rFonts w:ascii="Times New Roman" w:hAnsi="Times New Roman" w:cs="Times New Roman"/>
        </w:rPr>
        <w:t xml:space="preserve">Ce protocole, s’il venait à entrer en vigueur, porterait indéniablement atteinte à la compétence extraterritoriale des juridictions françaises, puisqu’un juge ou un procureur, saisi d’une plainte déposée par un marocain, pour des faits perpétrés à son encontre au Maroc par un Marocain, se verrait dans l’obligation d’informer immédiatement les autorités marocaines qu’une telle plainte a été introduite. Par ailleurs, l’accord prévoit que le juge français devrait ensuite recueillir dès que possible les observations ou informations des autorités marocaines. Sur la base des informations reçues, le juge français se verrait contraint à envisager prioritairement le renvoi de l’affaire au Maroc ou sa clôture. Ce n’est que si le Maroc ne répondait pas à la demande d’informations ou ne transmettait pas d’informations sur ses intentions, que le juge français pourrait demeurer saisi. </w:t>
      </w:r>
    </w:p>
    <w:p w14:paraId="12D0B3D2" w14:textId="77777777" w:rsidR="00361ED5" w:rsidRDefault="00361ED5">
      <w:pPr>
        <w:ind w:firstLine="709"/>
        <w:jc w:val="both"/>
        <w:rPr>
          <w:rFonts w:ascii="Times New Roman" w:hAnsi="Times New Roman" w:cs="Times New Roman"/>
        </w:rPr>
      </w:pPr>
    </w:p>
    <w:p w14:paraId="6B8F48A4" w14:textId="77777777" w:rsidR="00361ED5" w:rsidRDefault="00F32A4A">
      <w:pPr>
        <w:ind w:firstLine="708"/>
        <w:jc w:val="both"/>
      </w:pPr>
      <w:r w:rsidRPr="008A60B3">
        <w:rPr>
          <w:rFonts w:ascii="Times New Roman" w:hAnsi="Times New Roman" w:cs="Times New Roman"/>
        </w:rPr>
        <w:t>Ce texte contreviendrait par conséquent, notamment, aux obligations internationales de la France tirées d’un certain nombre de Conventions régulièrement ratifiées,</w:t>
      </w:r>
      <w:r>
        <w:rPr>
          <w:rFonts w:ascii="Times New Roman" w:hAnsi="Times New Roman" w:cs="Times New Roman"/>
        </w:rPr>
        <w:t xml:space="preserve"> dont la Convention des Nations unies contre la torture ou encore la Convention des Nations unies pour la protection de toutes les personnes contre les disparitions forcées, qui prévoient que la France doit poursuivre ou extrader toute personne suspectée d’actes de torture ou de disparition forcée qui serait découverte sur le territoire national. </w:t>
      </w:r>
    </w:p>
    <w:p w14:paraId="72E2B51C" w14:textId="77777777" w:rsidR="00361ED5" w:rsidRDefault="00361ED5">
      <w:pPr>
        <w:jc w:val="both"/>
        <w:rPr>
          <w:rFonts w:ascii="Times New Roman" w:hAnsi="Times New Roman" w:cs="Times New Roman"/>
        </w:rPr>
      </w:pPr>
    </w:p>
    <w:p w14:paraId="7E4AE4FC" w14:textId="77777777" w:rsidR="00361ED5" w:rsidRDefault="00F32A4A">
      <w:pPr>
        <w:ind w:firstLine="708"/>
        <w:jc w:val="both"/>
      </w:pPr>
      <w:r>
        <w:rPr>
          <w:rFonts w:ascii="Times New Roman" w:hAnsi="Times New Roman" w:cs="Times New Roman"/>
        </w:rPr>
        <w:t xml:space="preserve">Le juge français serait invité à faire primer la compétence territoriale des juridictions marocaines au détriment de la compétence extraterritoriale des juridictions françaises. Or, lorsqu’on sait que les plainte déposées en France sur ce fondement sont toujours précédées d’un constat d’impunité dans l’Etat où les crimes ont été perpétrés, cette prime à la compétence territoriale reviendrait </w:t>
      </w:r>
      <w:r w:rsidRPr="00413A95">
        <w:rPr>
          <w:rFonts w:ascii="Times New Roman" w:hAnsi="Times New Roman" w:cs="Times New Roman"/>
        </w:rPr>
        <w:t>à nier aux victimes toute possibilité d’accéder à un juge indépendant.</w:t>
      </w:r>
      <w:r>
        <w:rPr>
          <w:rFonts w:ascii="Times New Roman" w:hAnsi="Times New Roman" w:cs="Times New Roman"/>
        </w:rPr>
        <w:t xml:space="preserve"> </w:t>
      </w:r>
    </w:p>
    <w:p w14:paraId="1A3F9474" w14:textId="77777777" w:rsidR="00361ED5" w:rsidRDefault="00361ED5">
      <w:pPr>
        <w:jc w:val="both"/>
        <w:rPr>
          <w:rFonts w:ascii="Times New Roman" w:hAnsi="Times New Roman" w:cs="Times New Roman"/>
        </w:rPr>
      </w:pPr>
    </w:p>
    <w:p w14:paraId="16E3D051" w14:textId="2FD313B5" w:rsidR="00E3795D" w:rsidRDefault="00F32A4A" w:rsidP="001B15A7">
      <w:pPr>
        <w:ind w:firstLine="708"/>
        <w:jc w:val="both"/>
      </w:pPr>
      <w:r>
        <w:rPr>
          <w:rFonts w:ascii="Times New Roman" w:hAnsi="Times New Roman" w:cs="Times New Roman"/>
        </w:rPr>
        <w:t xml:space="preserve">De plus, la ratification de cet accord par le Parlement français créerait un dangereux précédent, car de nombreux Etats seront incités à réclamer à la France que des dispositions similaires soient introduites dans les conventions bilatérales d’entraide judiciaire. La généralisation de tels accords reviendrait à vider de toute substance les dispositions du code de procédure pénale français (articles 689-1 et suivants) qui prévoient la possibilité pour les juridictions françaises d’exercer une compétence extraterritoriale. </w:t>
      </w:r>
    </w:p>
    <w:p w14:paraId="45CAFA70" w14:textId="77777777" w:rsidR="001B15A7" w:rsidRPr="001B15A7" w:rsidRDefault="001B15A7" w:rsidP="001B15A7">
      <w:pPr>
        <w:ind w:firstLine="708"/>
        <w:jc w:val="both"/>
      </w:pPr>
    </w:p>
    <w:p w14:paraId="3136AC17" w14:textId="2A8DE1E8" w:rsidR="0092093E" w:rsidRDefault="000B657F">
      <w:pPr>
        <w:jc w:val="both"/>
        <w:rPr>
          <w:rFonts w:ascii="Times New Roman" w:hAnsi="Times New Roman" w:cs="Times New Roman"/>
          <w:b/>
          <w:i/>
        </w:rPr>
      </w:pPr>
      <w:r>
        <w:rPr>
          <w:rFonts w:ascii="Times New Roman" w:hAnsi="Times New Roman" w:cs="Times New Roman"/>
          <w:b/>
          <w:i/>
        </w:rPr>
        <w:t xml:space="preserve">Restrictions </w:t>
      </w:r>
      <w:r w:rsidR="00E3795D">
        <w:rPr>
          <w:rFonts w:ascii="Times New Roman" w:hAnsi="Times New Roman" w:cs="Times New Roman"/>
          <w:b/>
          <w:i/>
        </w:rPr>
        <w:t xml:space="preserve">des conditions d’exercice de </w:t>
      </w:r>
      <w:r w:rsidR="0092093E" w:rsidRPr="0092093E">
        <w:rPr>
          <w:rFonts w:ascii="Times New Roman" w:hAnsi="Times New Roman" w:cs="Times New Roman"/>
          <w:b/>
          <w:i/>
        </w:rPr>
        <w:t>la compétence extraterritoriale des juridictions françaises apportées par la loi du 9 août 2010 portant adaptation du droit pénal à l’institution d</w:t>
      </w:r>
      <w:r>
        <w:rPr>
          <w:rFonts w:ascii="Times New Roman" w:hAnsi="Times New Roman" w:cs="Times New Roman"/>
          <w:b/>
          <w:i/>
        </w:rPr>
        <w:t>e la Cour pénale internationale et délais dans l’adoption d’une proposition de loi visant à les amender</w:t>
      </w:r>
    </w:p>
    <w:p w14:paraId="791C064F" w14:textId="77777777" w:rsidR="00413A95" w:rsidRDefault="00413A95">
      <w:pPr>
        <w:jc w:val="both"/>
        <w:rPr>
          <w:rFonts w:ascii="Times New Roman" w:hAnsi="Times New Roman" w:cs="Times New Roman"/>
          <w:b/>
          <w:i/>
        </w:rPr>
      </w:pPr>
    </w:p>
    <w:p w14:paraId="16F66266" w14:textId="77777777" w:rsidR="001B15A7" w:rsidRDefault="001B15A7">
      <w:pPr>
        <w:jc w:val="both"/>
        <w:rPr>
          <w:rFonts w:ascii="Times New Roman" w:hAnsi="Times New Roman" w:cs="Times New Roman"/>
          <w:b/>
          <w:i/>
        </w:rPr>
      </w:pPr>
    </w:p>
    <w:p w14:paraId="05299004" w14:textId="77777777" w:rsidR="001B15A7" w:rsidRDefault="001B15A7">
      <w:pPr>
        <w:jc w:val="both"/>
        <w:rPr>
          <w:rFonts w:ascii="Times New Roman" w:hAnsi="Times New Roman" w:cs="Times New Roman"/>
          <w:b/>
          <w:i/>
        </w:rPr>
      </w:pPr>
    </w:p>
    <w:p w14:paraId="432AFB9C" w14:textId="4B303EBC" w:rsidR="00413A95" w:rsidRPr="00413A95" w:rsidRDefault="00413A95">
      <w:pPr>
        <w:jc w:val="both"/>
        <w:rPr>
          <w:rFonts w:ascii="Times New Roman" w:hAnsi="Times New Roman" w:cs="Times New Roman"/>
          <w:b/>
        </w:rPr>
      </w:pPr>
      <w:r>
        <w:rPr>
          <w:rFonts w:ascii="Times New Roman" w:hAnsi="Times New Roman" w:cs="Times New Roman"/>
          <w:b/>
        </w:rPr>
        <w:lastRenderedPageBreak/>
        <w:t xml:space="preserve">Violation de l’article 2 </w:t>
      </w:r>
    </w:p>
    <w:p w14:paraId="1974BC95" w14:textId="77777777" w:rsidR="0092093E" w:rsidRDefault="0092093E">
      <w:pPr>
        <w:jc w:val="both"/>
        <w:rPr>
          <w:rFonts w:ascii="Times New Roman" w:hAnsi="Times New Roman" w:cs="Times New Roman"/>
        </w:rPr>
      </w:pPr>
    </w:p>
    <w:p w14:paraId="7861D351" w14:textId="77777777" w:rsidR="00361ED5" w:rsidRDefault="00F32A4A">
      <w:pPr>
        <w:ind w:firstLine="708"/>
        <w:jc w:val="both"/>
      </w:pPr>
      <w:r>
        <w:rPr>
          <w:rFonts w:ascii="Times New Roman" w:hAnsi="Times New Roman" w:cs="Times New Roman"/>
        </w:rPr>
        <w:t xml:space="preserve">Ce projet de loi s’inscrit dans la droite ligne de la </w:t>
      </w:r>
      <w:r w:rsidRPr="00413A95">
        <w:rPr>
          <w:rFonts w:ascii="Times New Roman" w:hAnsi="Times New Roman" w:cs="Times New Roman"/>
        </w:rPr>
        <w:t>loi du 9 août 2010 portant</w:t>
      </w:r>
      <w:r>
        <w:rPr>
          <w:rFonts w:ascii="Times New Roman" w:hAnsi="Times New Roman" w:cs="Times New Roman"/>
        </w:rPr>
        <w:t xml:space="preserve"> adaptation du droit pénal à l’institution de la Cour pénale internationale qui, tout en introduisant une compétence extraterritoriale du juge français pour le crime de génocide, les crimes contre l’humanité et les crimes de guerre, </w:t>
      </w:r>
      <w:r w:rsidRPr="000B657F">
        <w:rPr>
          <w:rFonts w:ascii="Times New Roman" w:hAnsi="Times New Roman" w:cs="Times New Roman"/>
        </w:rPr>
        <w:t>en a drastiquement limité les conditions d’exercice.</w:t>
      </w:r>
      <w:r>
        <w:rPr>
          <w:rFonts w:ascii="Times New Roman" w:hAnsi="Times New Roman" w:cs="Times New Roman"/>
        </w:rPr>
        <w:t xml:space="preserve"> </w:t>
      </w:r>
    </w:p>
    <w:p w14:paraId="5BF4BE6A" w14:textId="77777777" w:rsidR="00361ED5" w:rsidRDefault="00361ED5">
      <w:pPr>
        <w:jc w:val="both"/>
        <w:rPr>
          <w:rFonts w:ascii="Times New Roman" w:hAnsi="Times New Roman" w:cs="Times New Roman"/>
        </w:rPr>
      </w:pPr>
    </w:p>
    <w:p w14:paraId="5739C93D" w14:textId="77777777" w:rsidR="00361ED5" w:rsidRDefault="00F32A4A">
      <w:pPr>
        <w:pStyle w:val="LO-normal"/>
        <w:spacing w:line="240" w:lineRule="auto"/>
        <w:jc w:val="both"/>
      </w:pPr>
      <w:r>
        <w:rPr>
          <w:rFonts w:ascii="Times New Roman" w:eastAsia="Times New Roman" w:hAnsi="Times New Roman" w:cs="Times New Roman"/>
          <w:sz w:val="24"/>
          <w:szCs w:val="24"/>
        </w:rPr>
        <w:t xml:space="preserve">En effet, et contrairement au régime mis en place pour les crimes de torture, de terrorisme ou encore de disparition forcée, quatre verrous empêchent la mise en œuvre de la compétence universelle pour les crimes réprimés par le Statut de Rome : </w:t>
      </w:r>
    </w:p>
    <w:p w14:paraId="5EEA161B" w14:textId="77777777" w:rsidR="00361ED5" w:rsidRDefault="00361ED5">
      <w:pPr>
        <w:pStyle w:val="LO-normal"/>
        <w:spacing w:line="240" w:lineRule="auto"/>
        <w:jc w:val="both"/>
        <w:rPr>
          <w:rFonts w:ascii="Times New Roman" w:eastAsia="Times New Roman" w:hAnsi="Times New Roman" w:cs="Times New Roman"/>
          <w:sz w:val="24"/>
          <w:szCs w:val="24"/>
        </w:rPr>
      </w:pPr>
    </w:p>
    <w:p w14:paraId="555EE7B1" w14:textId="77777777" w:rsidR="00361ED5" w:rsidRDefault="00F32A4A">
      <w:pPr>
        <w:pStyle w:val="LO-normal"/>
        <w:numPr>
          <w:ilvl w:val="0"/>
          <w:numId w:val="1"/>
        </w:numPr>
        <w:spacing w:line="240" w:lineRule="auto"/>
        <w:jc w:val="both"/>
      </w:pPr>
      <w:r>
        <w:rPr>
          <w:rFonts w:ascii="Times New Roman" w:eastAsia="Times New Roman" w:hAnsi="Times New Roman" w:cs="Times New Roman"/>
          <w:sz w:val="24"/>
          <w:szCs w:val="24"/>
        </w:rPr>
        <w:t xml:space="preserve">L’article 689-11 du CPP ne permet pas de poursuivre l’auteur des faits qui « </w:t>
      </w:r>
      <w:r>
        <w:rPr>
          <w:rFonts w:ascii="Times New Roman" w:eastAsia="Times New Roman" w:hAnsi="Times New Roman" w:cs="Times New Roman"/>
          <w:i/>
          <w:sz w:val="24"/>
          <w:szCs w:val="24"/>
        </w:rPr>
        <w:t>se trouve</w:t>
      </w:r>
      <w:r>
        <w:rPr>
          <w:rFonts w:ascii="Times New Roman" w:eastAsia="Times New Roman" w:hAnsi="Times New Roman" w:cs="Times New Roman"/>
          <w:sz w:val="24"/>
          <w:szCs w:val="24"/>
        </w:rPr>
        <w:t xml:space="preserve"> » sur le territoire français, comme pour le droit commun de la compétence extraterritoriale. Les poursuites en matière de crimes contre l’humanité, de crime de génocide et de crimes de guerre ne sont possibles que s’il </w:t>
      </w: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 xml:space="preserve">réside habituellement </w:t>
      </w:r>
      <w:r>
        <w:rPr>
          <w:rFonts w:ascii="Times New Roman" w:eastAsia="Times New Roman" w:hAnsi="Times New Roman" w:cs="Times New Roman"/>
          <w:b/>
          <w:sz w:val="24"/>
          <w:szCs w:val="24"/>
        </w:rPr>
        <w:t>» sur le territoire français</w:t>
      </w:r>
      <w:r>
        <w:rPr>
          <w:rFonts w:ascii="Times New Roman" w:eastAsia="Times New Roman" w:hAnsi="Times New Roman" w:cs="Times New Roman"/>
          <w:sz w:val="24"/>
          <w:szCs w:val="24"/>
        </w:rPr>
        <w:t>.</w:t>
      </w:r>
    </w:p>
    <w:p w14:paraId="34EB61FE" w14:textId="77777777" w:rsidR="00361ED5" w:rsidRDefault="00F32A4A">
      <w:pPr>
        <w:pStyle w:val="LO-normal"/>
        <w:numPr>
          <w:ilvl w:val="0"/>
          <w:numId w:val="1"/>
        </w:numPr>
        <w:spacing w:line="240" w:lineRule="auto"/>
        <w:jc w:val="both"/>
      </w:pPr>
      <w:r>
        <w:rPr>
          <w:rFonts w:ascii="Times New Roman" w:eastAsia="Times New Roman" w:hAnsi="Times New Roman" w:cs="Times New Roman"/>
          <w:sz w:val="24"/>
          <w:szCs w:val="24"/>
        </w:rPr>
        <w:t xml:space="preserve">L’exercice de la compétence extraterritoriale est soumis à une </w:t>
      </w:r>
      <w:r>
        <w:rPr>
          <w:rFonts w:ascii="Times New Roman" w:eastAsia="Times New Roman" w:hAnsi="Times New Roman" w:cs="Times New Roman"/>
          <w:b/>
          <w:sz w:val="24"/>
          <w:szCs w:val="24"/>
        </w:rPr>
        <w:t>condition de double incrimination</w:t>
      </w:r>
      <w:r>
        <w:rPr>
          <w:rFonts w:ascii="Times New Roman" w:eastAsia="Times New Roman" w:hAnsi="Times New Roman" w:cs="Times New Roman"/>
          <w:sz w:val="24"/>
          <w:szCs w:val="24"/>
        </w:rPr>
        <w:t>, c’est-à-dire que les faits doivent être punissables à la fois par le droit français et par la législation de l’Etat où ils ont été commis.</w:t>
      </w:r>
      <w:r>
        <w:rPr>
          <w:rFonts w:ascii="Times New Roman" w:hAnsi="Times New Roman" w:cs="Times New Roman"/>
          <w:sz w:val="24"/>
          <w:szCs w:val="24"/>
        </w:rPr>
        <w:t xml:space="preserve"> </w:t>
      </w:r>
      <w:r>
        <w:rPr>
          <w:rFonts w:ascii="Times New Roman" w:eastAsia="Times New Roman" w:hAnsi="Times New Roman" w:cs="Times New Roman"/>
          <w:sz w:val="24"/>
          <w:szCs w:val="24"/>
        </w:rPr>
        <w:t>Cette condition n’est pourtant exigée pas aucune autre législation française ou internationale (compétence extraterritoriale des tribunaux français</w:t>
      </w:r>
      <w:r>
        <w:rPr>
          <w:rStyle w:val="FootnoteAnchor"/>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 lois de coopération avec les tribunaux pénaux internationaux pour l’ex-Yougoslavie et pour le Rwanda, Statut de Rome).</w:t>
      </w:r>
    </w:p>
    <w:p w14:paraId="451B2E4E" w14:textId="77777777" w:rsidR="00361ED5" w:rsidRDefault="00F32A4A">
      <w:pPr>
        <w:pStyle w:val="LO-normal"/>
        <w:numPr>
          <w:ilvl w:val="0"/>
          <w:numId w:val="1"/>
        </w:numPr>
        <w:spacing w:line="240" w:lineRule="auto"/>
        <w:jc w:val="both"/>
      </w:pPr>
      <w:r>
        <w:rPr>
          <w:rFonts w:ascii="Times New Roman" w:eastAsia="Times New Roman" w:hAnsi="Times New Roman" w:cs="Times New Roman"/>
          <w:sz w:val="24"/>
          <w:szCs w:val="24"/>
        </w:rPr>
        <w:t xml:space="preserve">La France se défausse sur la Cour pénale internationale en exigeant qu’elle décline </w:t>
      </w:r>
      <w:r>
        <w:rPr>
          <w:rFonts w:ascii="Times New Roman" w:eastAsia="Times New Roman" w:hAnsi="Times New Roman" w:cs="Times New Roman"/>
          <w:b/>
          <w:sz w:val="24"/>
          <w:szCs w:val="24"/>
        </w:rPr>
        <w:t>expressément sa compétence</w:t>
      </w:r>
      <w:r>
        <w:rPr>
          <w:rFonts w:ascii="Times New Roman" w:eastAsia="Times New Roman" w:hAnsi="Times New Roman" w:cs="Times New Roman"/>
          <w:sz w:val="24"/>
          <w:szCs w:val="24"/>
        </w:rPr>
        <w:t xml:space="preserve"> avant de pouvoir poursuivre en France les auteurs de crimes internationaux. Elle donne ainsi priorité à cette Cour pour exercer des poursuites contre les responsables de crimes contre l'humanité, génocide et crimes de guerre en violation des dispositions du Statut de Rome. Ce traité prévoit pourtant que ce n’est que si l’Etat manque de volonté ou est dans l’incapacité de mener véritablement à bien l’enquêtes ou les poursuites que la Cour pénale internationale sera compétente. </w:t>
      </w:r>
    </w:p>
    <w:p w14:paraId="3ECC48CB" w14:textId="77777777" w:rsidR="00361ED5" w:rsidRDefault="00F32A4A">
      <w:pPr>
        <w:pStyle w:val="LO-normal"/>
        <w:numPr>
          <w:ilvl w:val="0"/>
          <w:numId w:val="1"/>
        </w:numPr>
        <w:spacing w:line="240" w:lineRule="auto"/>
        <w:jc w:val="both"/>
      </w:pPr>
      <w:r>
        <w:rPr>
          <w:rFonts w:ascii="Times New Roman" w:eastAsia="Times New Roman" w:hAnsi="Times New Roman" w:cs="Times New Roman"/>
          <w:sz w:val="24"/>
          <w:szCs w:val="24"/>
        </w:rPr>
        <w:t xml:space="preserve">La législation actuelle confie le </w:t>
      </w:r>
      <w:r>
        <w:rPr>
          <w:rFonts w:ascii="Times New Roman" w:eastAsia="Times New Roman" w:hAnsi="Times New Roman" w:cs="Times New Roman"/>
          <w:b/>
          <w:sz w:val="24"/>
          <w:szCs w:val="24"/>
        </w:rPr>
        <w:t>monopole des poursuites au Parquet</w:t>
      </w:r>
      <w:r>
        <w:rPr>
          <w:rFonts w:ascii="Times New Roman" w:eastAsia="Times New Roman" w:hAnsi="Times New Roman" w:cs="Times New Roman"/>
          <w:sz w:val="24"/>
          <w:szCs w:val="24"/>
        </w:rPr>
        <w:t>, supprimant ainsi la possibilité à toute partie civile, personne physique ou morale, de mettre en mouvement l’action publique pour des crimes contre l’humanité, le génocide et les crimes de guerre. Cette dernière disposition est en totale contradiction avec la tradition pénale française. Elle porte une atteinte grave aux droits des victimes et notamment au droit à un recours effectif. Le monopole des poursuites confié au Parquet laisse subsister des doutes quant à l’indépendance de la justice française.</w:t>
      </w:r>
    </w:p>
    <w:p w14:paraId="3E116126" w14:textId="77777777" w:rsidR="00361ED5" w:rsidRDefault="00361ED5">
      <w:pPr>
        <w:pStyle w:val="LO-normal"/>
        <w:jc w:val="both"/>
        <w:rPr>
          <w:rFonts w:ascii="Times New Roman" w:hAnsi="Times New Roman" w:cs="Times New Roman"/>
          <w:sz w:val="24"/>
          <w:szCs w:val="24"/>
        </w:rPr>
      </w:pPr>
    </w:p>
    <w:p w14:paraId="3BC8BAA2" w14:textId="77777777" w:rsidR="00361ED5" w:rsidRDefault="00F32A4A">
      <w:pPr>
        <w:pStyle w:val="LO-normal"/>
        <w:spacing w:line="240" w:lineRule="auto"/>
        <w:ind w:firstLine="709"/>
        <w:jc w:val="both"/>
      </w:pPr>
      <w:r>
        <w:rPr>
          <w:rFonts w:ascii="Times New Roman" w:eastAsia="Times New Roman" w:hAnsi="Times New Roman" w:cs="Times New Roman"/>
          <w:sz w:val="24"/>
          <w:szCs w:val="24"/>
        </w:rPr>
        <w:t>Le 6 septembre 2012, le sénateur Jean-Pierre Sueur a déposé une proposition de loi visant à amender les conditions de mise en œuvre de la compétence extraterritoriale afin que la France se conforme enfin aux « </w:t>
      </w:r>
      <w:r>
        <w:rPr>
          <w:rFonts w:ascii="Times New Roman" w:eastAsia="Times New Roman" w:hAnsi="Times New Roman" w:cs="Times New Roman"/>
          <w:i/>
          <w:sz w:val="24"/>
          <w:szCs w:val="24"/>
        </w:rPr>
        <w:t>exigences de la lutte contre les crimes internationaux les plus graves </w:t>
      </w:r>
      <w:r>
        <w:rPr>
          <w:rFonts w:ascii="Times New Roman" w:eastAsia="Times New Roman" w:hAnsi="Times New Roman" w:cs="Times New Roman"/>
          <w:sz w:val="24"/>
          <w:szCs w:val="24"/>
        </w:rPr>
        <w:t>».</w:t>
      </w:r>
      <w:r>
        <w:rPr>
          <w:rStyle w:val="FootnoteAnchor"/>
          <w:rFonts w:ascii="Times New Roman" w:eastAsia="Times New Roman" w:hAnsi="Times New Roman" w:cs="Times New Roman"/>
          <w:sz w:val="24"/>
          <w:szCs w:val="24"/>
        </w:rPr>
        <w:footnoteReference w:id="2"/>
      </w:r>
      <w:r>
        <w:rPr>
          <w:rFonts w:ascii="Times New Roman" w:eastAsia="Times New Roman" w:hAnsi="Times New Roman" w:cs="Times New Roman"/>
          <w:sz w:val="24"/>
          <w:szCs w:val="24"/>
        </w:rPr>
        <w:t xml:space="preserve"> Cette proposition visait à lever les quatre « verrous » et à inscrire la présence du suspect sur le territoire français comme la seule condition à l’exercice des poursuites.</w:t>
      </w:r>
    </w:p>
    <w:p w14:paraId="1EACABCD" w14:textId="77777777" w:rsidR="00361ED5" w:rsidRDefault="00361ED5">
      <w:pPr>
        <w:pStyle w:val="LO-normal"/>
        <w:spacing w:line="240" w:lineRule="auto"/>
        <w:jc w:val="both"/>
        <w:rPr>
          <w:rFonts w:ascii="Times New Roman" w:hAnsi="Times New Roman" w:cs="Times New Roman"/>
          <w:sz w:val="24"/>
          <w:szCs w:val="24"/>
        </w:rPr>
      </w:pPr>
    </w:p>
    <w:p w14:paraId="61478DDE" w14:textId="77777777" w:rsidR="00361ED5" w:rsidRDefault="00F32A4A">
      <w:pPr>
        <w:pStyle w:val="LO-normal"/>
        <w:spacing w:line="240" w:lineRule="auto"/>
        <w:ind w:firstLine="567"/>
        <w:jc w:val="both"/>
      </w:pPr>
      <w:r>
        <w:rPr>
          <w:rFonts w:ascii="Times New Roman" w:eastAsia="Times New Roman" w:hAnsi="Times New Roman" w:cs="Times New Roman"/>
          <w:sz w:val="24"/>
          <w:szCs w:val="24"/>
        </w:rPr>
        <w:t xml:space="preserve">En février 2013, la proposition Sueur a été votée à l’unanimité mais les sénateurs ont maintenu le monopole des poursuites par le Parquet. Or il suffit d’un de ces verrous pour que l’accès à la justice des victimes reste fermé. </w:t>
      </w:r>
    </w:p>
    <w:p w14:paraId="111A78E9" w14:textId="77777777" w:rsidR="00361ED5" w:rsidRDefault="00361ED5">
      <w:pPr>
        <w:pStyle w:val="LO-normal"/>
        <w:spacing w:line="240" w:lineRule="auto"/>
        <w:jc w:val="both"/>
        <w:rPr>
          <w:rFonts w:ascii="Times New Roman" w:hAnsi="Times New Roman" w:cs="Times New Roman"/>
          <w:sz w:val="24"/>
          <w:szCs w:val="24"/>
        </w:rPr>
      </w:pPr>
    </w:p>
    <w:p w14:paraId="3F9D2E67" w14:textId="77777777" w:rsidR="00361ED5" w:rsidRDefault="00F32A4A">
      <w:pPr>
        <w:ind w:firstLine="567"/>
        <w:jc w:val="both"/>
        <w:rPr>
          <w:rFonts w:ascii="Times New Roman" w:eastAsia="Times New Roman" w:hAnsi="Times New Roman" w:cs="Times New Roman"/>
        </w:rPr>
      </w:pPr>
      <w:r>
        <w:rPr>
          <w:rFonts w:ascii="Times New Roman" w:eastAsia="Times New Roman" w:hAnsi="Times New Roman" w:cs="Times New Roman"/>
        </w:rPr>
        <w:t xml:space="preserve">Depuis le mois de février 2013, la proposition de loi a été transmise à l’Assemblée nationale et renvoyée à la Commission des lois où elle attend, depuis deux ans maintenant, son inscription à </w:t>
      </w:r>
      <w:r>
        <w:rPr>
          <w:rFonts w:ascii="Times New Roman" w:eastAsia="Times New Roman" w:hAnsi="Times New Roman" w:cs="Times New Roman"/>
        </w:rPr>
        <w:lastRenderedPageBreak/>
        <w:t xml:space="preserve">l’ordre du jour et son examen par les députés. Ce délai s’explique par l’absence totale de volonté politique de la part du Gouvernement français, de permettre aux tribunaux français d’exercer pleinement leur compétence extraterritoriale pour les crimes les plus graves. </w:t>
      </w:r>
    </w:p>
    <w:p w14:paraId="7B36CB4C" w14:textId="77777777" w:rsidR="00E3795D" w:rsidRDefault="00E3795D" w:rsidP="00E3795D">
      <w:pPr>
        <w:ind w:firstLine="567"/>
        <w:rPr>
          <w:rFonts w:ascii="Times New Roman" w:eastAsia="Times New Roman" w:hAnsi="Times New Roman" w:cs="Times New Roman"/>
        </w:rPr>
      </w:pPr>
    </w:p>
    <w:p w14:paraId="0C0A0242" w14:textId="06BC3F9C" w:rsidR="00361ED5" w:rsidRPr="001B15A7" w:rsidRDefault="00E3795D">
      <w:pPr>
        <w:jc w:val="both"/>
        <w:rPr>
          <w:rFonts w:ascii="Times New Roman" w:eastAsia="Times New Roman" w:hAnsi="Times New Roman" w:cs="Times New Roman"/>
          <w:b/>
          <w:i/>
        </w:rPr>
      </w:pPr>
      <w:r w:rsidRPr="001B15A7">
        <w:rPr>
          <w:rFonts w:ascii="Times New Roman" w:eastAsia="Times New Roman" w:hAnsi="Times New Roman" w:cs="Times New Roman"/>
          <w:b/>
          <w:i/>
        </w:rPr>
        <w:t xml:space="preserve">Manque de ressources destinées aux pôles spécialisés </w:t>
      </w:r>
      <w:r w:rsidR="00D12854">
        <w:rPr>
          <w:rFonts w:ascii="Times New Roman" w:eastAsia="Times New Roman" w:hAnsi="Times New Roman" w:cs="Times New Roman"/>
          <w:b/>
          <w:i/>
        </w:rPr>
        <w:t xml:space="preserve">et à l’Office central de lutte contre </w:t>
      </w:r>
      <w:r w:rsidRPr="001B15A7">
        <w:rPr>
          <w:rFonts w:ascii="Times New Roman" w:eastAsia="Times New Roman" w:hAnsi="Times New Roman" w:cs="Times New Roman"/>
          <w:b/>
          <w:i/>
        </w:rPr>
        <w:t xml:space="preserve">les crimes contre l’humanité, </w:t>
      </w:r>
      <w:r w:rsidR="00D12854">
        <w:rPr>
          <w:rFonts w:ascii="Times New Roman" w:eastAsia="Times New Roman" w:hAnsi="Times New Roman" w:cs="Times New Roman"/>
          <w:b/>
          <w:i/>
        </w:rPr>
        <w:t xml:space="preserve">les </w:t>
      </w:r>
      <w:r w:rsidRPr="001B15A7">
        <w:rPr>
          <w:rFonts w:ascii="Times New Roman" w:eastAsia="Times New Roman" w:hAnsi="Times New Roman" w:cs="Times New Roman"/>
          <w:b/>
          <w:i/>
        </w:rPr>
        <w:t>génocides et</w:t>
      </w:r>
      <w:r w:rsidR="00D12854">
        <w:rPr>
          <w:rFonts w:ascii="Times New Roman" w:eastAsia="Times New Roman" w:hAnsi="Times New Roman" w:cs="Times New Roman"/>
          <w:b/>
          <w:i/>
        </w:rPr>
        <w:t xml:space="preserve"> les</w:t>
      </w:r>
      <w:r w:rsidRPr="001B15A7">
        <w:rPr>
          <w:rFonts w:ascii="Times New Roman" w:eastAsia="Times New Roman" w:hAnsi="Times New Roman" w:cs="Times New Roman"/>
          <w:b/>
          <w:i/>
        </w:rPr>
        <w:t xml:space="preserve"> crimes de guerre </w:t>
      </w:r>
    </w:p>
    <w:p w14:paraId="7F3E722C" w14:textId="77777777" w:rsidR="00E3795D" w:rsidRDefault="00E3795D">
      <w:pPr>
        <w:jc w:val="both"/>
        <w:rPr>
          <w:rFonts w:ascii="Times New Roman" w:eastAsia="Times New Roman" w:hAnsi="Times New Roman" w:cs="Times New Roman"/>
        </w:rPr>
      </w:pPr>
    </w:p>
    <w:p w14:paraId="77055379" w14:textId="77777777" w:rsidR="00361ED5" w:rsidRDefault="00F32A4A">
      <w:pPr>
        <w:ind w:firstLine="567"/>
        <w:jc w:val="both"/>
        <w:rPr>
          <w:rFonts w:ascii="Times New Roman" w:eastAsia="Times New Roman" w:hAnsi="Times New Roman" w:cs="Times New Roman"/>
        </w:rPr>
      </w:pPr>
      <w:r>
        <w:rPr>
          <w:rFonts w:ascii="Times New Roman" w:eastAsia="Times New Roman" w:hAnsi="Times New Roman" w:cs="Times New Roman"/>
        </w:rPr>
        <w:t xml:space="preserve">Si la création, en novembre 2011, d’un pôle spécialisé dans les crimes contre l’humanité, crimes et délits de guerre, au sein du Tribunal de grande instance de Paris, puis, en novembre 2013, d’un Office central de lutte contre les crimes contre l’humanité, les génocides et les crimes de guerre, ont semblé  constituer les marques d’un engagement fort en faveur de la contribution de la justice française à la lutte contre l’impunité des crimes les plus graves, force est de constater, près de deux ans et demi après la mise en place du pôle que, là encore, la volonté politique de doter le pôle des moyens nécessaires à l’accomplissement de sa mission est totalement absente. </w:t>
      </w:r>
    </w:p>
    <w:p w14:paraId="650E151A" w14:textId="77777777" w:rsidR="001B15A7" w:rsidRDefault="001B15A7">
      <w:pPr>
        <w:ind w:firstLine="567"/>
        <w:jc w:val="both"/>
        <w:rPr>
          <w:rFonts w:ascii="Times New Roman" w:eastAsia="Times New Roman" w:hAnsi="Times New Roman" w:cs="Times New Roman"/>
        </w:rPr>
      </w:pPr>
    </w:p>
    <w:p w14:paraId="684C78C9" w14:textId="09899756" w:rsidR="001B15A7" w:rsidRDefault="001B15A7" w:rsidP="001B15A7">
      <w:pPr>
        <w:jc w:val="both"/>
        <w:rPr>
          <w:rFonts w:ascii="Times New Roman" w:eastAsia="Times New Roman" w:hAnsi="Times New Roman" w:cs="Times New Roman"/>
          <w:b/>
        </w:rPr>
      </w:pPr>
      <w:r w:rsidRPr="001B15A7">
        <w:rPr>
          <w:rFonts w:ascii="Times New Roman" w:eastAsia="Times New Roman" w:hAnsi="Times New Roman" w:cs="Times New Roman"/>
          <w:b/>
        </w:rPr>
        <w:t>Conclusions</w:t>
      </w:r>
      <w:r>
        <w:rPr>
          <w:rFonts w:ascii="Times New Roman" w:eastAsia="Times New Roman" w:hAnsi="Times New Roman" w:cs="Times New Roman"/>
          <w:b/>
        </w:rPr>
        <w:t xml:space="preserve"> et recommandations </w:t>
      </w:r>
    </w:p>
    <w:p w14:paraId="3C4A4D70" w14:textId="77777777" w:rsidR="001B15A7" w:rsidRDefault="001B15A7" w:rsidP="001B15A7">
      <w:pPr>
        <w:jc w:val="both"/>
        <w:rPr>
          <w:rFonts w:ascii="Times New Roman" w:eastAsia="Times New Roman" w:hAnsi="Times New Roman" w:cs="Times New Roman"/>
          <w:b/>
        </w:rPr>
      </w:pPr>
    </w:p>
    <w:p w14:paraId="698B93FC" w14:textId="1655D4C5" w:rsidR="0054072D" w:rsidRDefault="0054072D" w:rsidP="001B15A7">
      <w:pPr>
        <w:jc w:val="both"/>
        <w:rPr>
          <w:rFonts w:ascii="Times New Roman" w:eastAsia="Times New Roman" w:hAnsi="Times New Roman" w:cs="Times New Roman"/>
          <w:b/>
        </w:rPr>
      </w:pPr>
      <w:r>
        <w:rPr>
          <w:rFonts w:ascii="Times New Roman" w:eastAsia="Times New Roman" w:hAnsi="Times New Roman" w:cs="Times New Roman"/>
          <w:b/>
        </w:rPr>
        <w:t xml:space="preserve">A l’aune de ce qui précède, il apparaît indéniable que la France tend, en contradiction avec ses obligations an vertu du droit international, à considérablement réduire le champ de la compétence extraterritoriale des juridictions françaises pour les crimes les plus graves, portant ainsi atteinte aux droits des victimes de ces crimes de saisir la justice française, afin de remédier à l’impunité dont continuent de jouir, dans de nombreuses situations, les auteurs de ces crimes. </w:t>
      </w:r>
    </w:p>
    <w:p w14:paraId="7D3B5DD4" w14:textId="77777777" w:rsidR="0054072D" w:rsidRDefault="0054072D" w:rsidP="001B15A7">
      <w:pPr>
        <w:jc w:val="both"/>
        <w:rPr>
          <w:rFonts w:ascii="Times New Roman" w:eastAsia="Times New Roman" w:hAnsi="Times New Roman" w:cs="Times New Roman"/>
          <w:b/>
        </w:rPr>
      </w:pPr>
    </w:p>
    <w:p w14:paraId="52F231F5" w14:textId="77777777" w:rsidR="001B15A7" w:rsidRDefault="001B15A7" w:rsidP="001B15A7">
      <w:pPr>
        <w:jc w:val="both"/>
        <w:rPr>
          <w:rFonts w:ascii="Times New Roman" w:eastAsia="Times New Roman" w:hAnsi="Times New Roman" w:cs="Times New Roman"/>
        </w:rPr>
      </w:pPr>
    </w:p>
    <w:p w14:paraId="2579BA67" w14:textId="46862F15" w:rsidR="001B15A7" w:rsidRDefault="001B15A7" w:rsidP="001B15A7">
      <w:pPr>
        <w:jc w:val="both"/>
        <w:rPr>
          <w:rFonts w:ascii="Times New Roman" w:eastAsia="Times New Roman" w:hAnsi="Times New Roman" w:cs="Times New Roman"/>
        </w:rPr>
      </w:pPr>
      <w:r>
        <w:rPr>
          <w:rFonts w:ascii="Times New Roman" w:eastAsia="Times New Roman" w:hAnsi="Times New Roman" w:cs="Times New Roman"/>
        </w:rPr>
        <w:t>A la lumière des violations susmentionnées, la FIDH et la LDH recommandent </w:t>
      </w:r>
      <w:r w:rsidR="00D12854">
        <w:rPr>
          <w:rFonts w:ascii="Times New Roman" w:eastAsia="Times New Roman" w:hAnsi="Times New Roman" w:cs="Times New Roman"/>
        </w:rPr>
        <w:t>à la France</w:t>
      </w:r>
      <w:r>
        <w:rPr>
          <w:rFonts w:ascii="Times New Roman" w:eastAsia="Times New Roman" w:hAnsi="Times New Roman" w:cs="Times New Roman"/>
        </w:rPr>
        <w:t>:</w:t>
      </w:r>
    </w:p>
    <w:p w14:paraId="417A817D" w14:textId="77777777" w:rsidR="001B15A7" w:rsidRDefault="001B15A7" w:rsidP="001B15A7">
      <w:pPr>
        <w:jc w:val="both"/>
        <w:rPr>
          <w:rFonts w:ascii="Times New Roman" w:eastAsia="Times New Roman" w:hAnsi="Times New Roman" w:cs="Times New Roman"/>
        </w:rPr>
      </w:pPr>
    </w:p>
    <w:p w14:paraId="54A4BBFC" w14:textId="24C90B47" w:rsidR="001B15A7" w:rsidRPr="001B15A7" w:rsidRDefault="001B15A7" w:rsidP="001B15A7">
      <w:pPr>
        <w:pStyle w:val="Paragraphedeliste"/>
        <w:numPr>
          <w:ilvl w:val="0"/>
          <w:numId w:val="1"/>
        </w:numPr>
        <w:jc w:val="both"/>
        <w:rPr>
          <w:rFonts w:ascii="Times New Roman" w:eastAsia="Times New Roman" w:hAnsi="Times New Roman" w:cs="Times New Roman"/>
        </w:rPr>
      </w:pPr>
      <w:r w:rsidRPr="001B15A7">
        <w:rPr>
          <w:rFonts w:ascii="Times New Roman" w:eastAsia="Times New Roman" w:hAnsi="Times New Roman" w:cs="Times New Roman"/>
        </w:rPr>
        <w:t xml:space="preserve">que le projet de loi du 15 avril 2015 autorisant l’approbation du Protocole additionnel à la convention d’entraide judiciaire en matière pénale entre le Gouvernement de la république française et le Gouvernement du Royaume du Maroc </w:t>
      </w:r>
      <w:r w:rsidR="00D12854">
        <w:rPr>
          <w:rFonts w:ascii="Times New Roman" w:eastAsia="Times New Roman" w:hAnsi="Times New Roman" w:cs="Times New Roman"/>
        </w:rPr>
        <w:t xml:space="preserve">portant atteinte à la compétence extraterritoriale des juridictions françaises </w:t>
      </w:r>
      <w:r w:rsidRPr="001B15A7">
        <w:rPr>
          <w:rFonts w:ascii="Times New Roman" w:eastAsia="Times New Roman" w:hAnsi="Times New Roman" w:cs="Times New Roman"/>
        </w:rPr>
        <w:t>actuellement en cours d’examen soit rejeté ;</w:t>
      </w:r>
    </w:p>
    <w:p w14:paraId="03D44389" w14:textId="0E96EF9E" w:rsidR="00C013DC" w:rsidRDefault="001B15A7" w:rsidP="001B15A7">
      <w:pPr>
        <w:pStyle w:val="Paragraphedeliste"/>
        <w:numPr>
          <w:ilvl w:val="0"/>
          <w:numId w:val="1"/>
        </w:numPr>
        <w:jc w:val="both"/>
      </w:pPr>
      <w:r>
        <w:t>que</w:t>
      </w:r>
      <w:r w:rsidR="00403693">
        <w:t xml:space="preserve"> la proposition de loi du 6  septembre 2012 visant à amender les conditions de mise en œuvre de la compétence extraterritoriale </w:t>
      </w:r>
      <w:r w:rsidR="00C013DC">
        <w:t xml:space="preserve">contenues dans la loi du 9 août 2010 portant adaptation du droit pénal à l’institution de la Cour pénale internationale (proposition </w:t>
      </w:r>
      <w:r w:rsidR="0054072D">
        <w:t xml:space="preserve">de loi </w:t>
      </w:r>
      <w:r w:rsidR="00C013DC">
        <w:t xml:space="preserve">Sueur) soit examinée </w:t>
      </w:r>
      <w:r w:rsidR="0054072D">
        <w:t xml:space="preserve">sans délai </w:t>
      </w:r>
      <w:r w:rsidR="00C013DC">
        <w:t xml:space="preserve">par </w:t>
      </w:r>
      <w:r w:rsidR="0054072D">
        <w:t>l’Assemblée Nationale et qu’</w:t>
      </w:r>
      <w:r w:rsidR="00D12854">
        <w:t>à l’issue de cet ex</w:t>
      </w:r>
      <w:bookmarkStart w:id="0" w:name="_GoBack"/>
      <w:bookmarkEnd w:id="0"/>
      <w:r w:rsidR="00D12854">
        <w:t xml:space="preserve">amen </w:t>
      </w:r>
      <w:r w:rsidR="00C013DC">
        <w:t>la présence du suspect sur le territoire français soit inscrite comme la seule condition à l’exercice des poursuites ;</w:t>
      </w:r>
    </w:p>
    <w:p w14:paraId="7E0B8F10" w14:textId="5973F6DB" w:rsidR="001B15A7" w:rsidRPr="001B15A7" w:rsidRDefault="00C013DC" w:rsidP="001B15A7">
      <w:pPr>
        <w:pStyle w:val="Paragraphedeliste"/>
        <w:numPr>
          <w:ilvl w:val="0"/>
          <w:numId w:val="1"/>
        </w:numPr>
        <w:jc w:val="both"/>
      </w:pPr>
      <w:r>
        <w:t xml:space="preserve">que les pôles spécialisés et l’Office central de lutte contre les crime contre l’humanité, le génocide et les crimes de guerre soient dotés des moyens nécessaires à l’accomplissement de leur mission. </w:t>
      </w:r>
    </w:p>
    <w:p w14:paraId="22603D53" w14:textId="77777777" w:rsidR="00361ED5" w:rsidRDefault="00361ED5">
      <w:pPr>
        <w:ind w:firstLine="567"/>
        <w:jc w:val="both"/>
        <w:rPr>
          <w:rFonts w:ascii="Times New Roman" w:eastAsia="Times New Roman" w:hAnsi="Times New Roman" w:cs="Times New Roman"/>
        </w:rPr>
      </w:pPr>
    </w:p>
    <w:p w14:paraId="611D5013" w14:textId="77777777" w:rsidR="00361ED5" w:rsidRDefault="00361ED5">
      <w:pPr>
        <w:ind w:firstLine="567"/>
        <w:jc w:val="both"/>
        <w:rPr>
          <w:rFonts w:ascii="Times New Roman" w:eastAsia="Times New Roman" w:hAnsi="Times New Roman" w:cs="Times New Roman"/>
        </w:rPr>
      </w:pPr>
    </w:p>
    <w:p w14:paraId="3C95C836" w14:textId="77777777" w:rsidR="00361ED5" w:rsidRDefault="00361ED5">
      <w:pPr>
        <w:ind w:firstLine="567"/>
        <w:jc w:val="both"/>
        <w:rPr>
          <w:rFonts w:ascii="Times New Roman" w:eastAsia="Times New Roman" w:hAnsi="Times New Roman" w:cs="Times New Roman"/>
        </w:rPr>
      </w:pPr>
    </w:p>
    <w:p w14:paraId="592E9B41" w14:textId="77777777" w:rsidR="00361ED5" w:rsidRDefault="00361ED5">
      <w:pPr>
        <w:ind w:firstLine="567"/>
        <w:jc w:val="both"/>
      </w:pPr>
    </w:p>
    <w:sectPr w:rsidR="00361ED5">
      <w:pgSz w:w="11906" w:h="16838"/>
      <w:pgMar w:top="1134" w:right="1134" w:bottom="1134" w:left="1134" w:header="0" w:footer="0" w:gutter="0"/>
      <w:cols w:space="720"/>
      <w:formProt w:val="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94A1F7" w14:textId="77777777" w:rsidR="000F6838" w:rsidRDefault="000F6838">
      <w:r>
        <w:separator/>
      </w:r>
    </w:p>
  </w:endnote>
  <w:endnote w:type="continuationSeparator" w:id="0">
    <w:p w14:paraId="13B6EC88" w14:textId="77777777" w:rsidR="000F6838" w:rsidRDefault="000F6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Droid Sans Fallback">
    <w:charset w:val="01"/>
    <w:family w:val="auto"/>
    <w:pitch w:val="variable"/>
  </w:font>
  <w:font w:name="FreeSans">
    <w:charset w:val="01"/>
    <w:family w:val="auto"/>
    <w:pitch w:val="variable"/>
  </w:font>
  <w:font w:name="Liberation Sans">
    <w:altName w:val="Arial"/>
    <w:charset w:val="01"/>
    <w:family w:val="swiss"/>
    <w:pitch w:val="variable"/>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06EC12" w14:textId="77777777" w:rsidR="000F6838" w:rsidRDefault="000F6838">
      <w:r>
        <w:separator/>
      </w:r>
    </w:p>
  </w:footnote>
  <w:footnote w:type="continuationSeparator" w:id="0">
    <w:p w14:paraId="429027D4" w14:textId="77777777" w:rsidR="000F6838" w:rsidRDefault="000F6838">
      <w:r>
        <w:continuationSeparator/>
      </w:r>
    </w:p>
  </w:footnote>
  <w:footnote w:id="1">
    <w:p w14:paraId="64C24FF8" w14:textId="77777777" w:rsidR="000F6838" w:rsidRDefault="000F6838">
      <w:pPr>
        <w:pStyle w:val="Footnote"/>
      </w:pPr>
      <w:r>
        <w:rPr>
          <w:rFonts w:ascii="Times New Roman" w:hAnsi="Times New Roman" w:cs="Times New Roman"/>
          <w:vertAlign w:val="superscript"/>
        </w:rPr>
        <w:footnoteRef/>
      </w:r>
      <w:r>
        <w:rPr>
          <w:rFonts w:ascii="Times New Roman" w:hAnsi="Times New Roman" w:cs="Times New Roman"/>
          <w:vertAlign w:val="superscript"/>
        </w:rPr>
        <w:tab/>
      </w:r>
      <w:r>
        <w:rPr>
          <w:rFonts w:ascii="Times New Roman" w:hAnsi="Times New Roman" w:cs="Times New Roman"/>
        </w:rPr>
        <w:t xml:space="preserve"> </w:t>
      </w:r>
      <w:proofErr w:type="spellStart"/>
      <w:r>
        <w:rPr>
          <w:rFonts w:ascii="Times New Roman" w:hAnsi="Times New Roman" w:cs="Times New Roman"/>
        </w:rPr>
        <w:t>Crim</w:t>
      </w:r>
      <w:proofErr w:type="spellEnd"/>
      <w:r>
        <w:rPr>
          <w:rFonts w:ascii="Times New Roman" w:hAnsi="Times New Roman" w:cs="Times New Roman"/>
        </w:rPr>
        <w:t xml:space="preserve">. 23 octobre 2002 : en matière de torture, </w:t>
      </w:r>
      <w:r>
        <w:rPr>
          <w:rFonts w:ascii="Times New Roman" w:eastAsia="Times New Roman" w:hAnsi="Times New Roman" w:cs="Times New Roman"/>
        </w:rPr>
        <w:t xml:space="preserve">les poursuites peuvent être exercées en France « </w:t>
      </w:r>
      <w:r>
        <w:rPr>
          <w:rFonts w:ascii="Times New Roman" w:eastAsia="Times New Roman" w:hAnsi="Times New Roman" w:cs="Times New Roman"/>
          <w:i/>
        </w:rPr>
        <w:t>quels que puissent être, [dans l’Etat où les crimes ont été commis], les incriminations existantes</w:t>
      </w:r>
      <w:r>
        <w:rPr>
          <w:rFonts w:ascii="Times New Roman" w:eastAsia="Times New Roman" w:hAnsi="Times New Roman" w:cs="Times New Roman"/>
        </w:rPr>
        <w:t xml:space="preserve"> »</w:t>
      </w:r>
      <w:r>
        <w:rPr>
          <w:rFonts w:ascii="Times New Roman" w:hAnsi="Times New Roman" w:cs="Times New Roman"/>
        </w:rPr>
        <w:t>.</w:t>
      </w:r>
    </w:p>
  </w:footnote>
  <w:footnote w:id="2">
    <w:p w14:paraId="0D82C59F" w14:textId="77777777" w:rsidR="000F6838" w:rsidRDefault="000F6838">
      <w:pPr>
        <w:pStyle w:val="Footnote"/>
      </w:pPr>
      <w:r>
        <w:rPr>
          <w:rFonts w:ascii="Times New Roman" w:hAnsi="Times New Roman" w:cs="Times New Roman"/>
          <w:vertAlign w:val="superscript"/>
        </w:rPr>
        <w:footnoteRef/>
      </w:r>
      <w:r>
        <w:rPr>
          <w:rFonts w:ascii="Times New Roman" w:hAnsi="Times New Roman" w:cs="Times New Roman"/>
          <w:vertAlign w:val="superscript"/>
        </w:rPr>
        <w:tab/>
      </w:r>
      <w:r>
        <w:rPr>
          <w:rFonts w:ascii="Times New Roman" w:hAnsi="Times New Roman" w:cs="Times New Roman"/>
        </w:rPr>
        <w:t xml:space="preserve"> Proposition de loi tendant à modifier l'article 689-11 du Code de procédure pénale relatif à la compétence territoriale du juge français concernant les infractions visées par le statut de la Cour pénale internationale.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26B0"/>
    <w:multiLevelType w:val="multilevel"/>
    <w:tmpl w:val="CF36DC8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6A27550"/>
    <w:multiLevelType w:val="multilevel"/>
    <w:tmpl w:val="ADFA060A"/>
    <w:lvl w:ilvl="0">
      <w:start w:val="5"/>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ED5"/>
    <w:rsid w:val="000B657F"/>
    <w:rsid w:val="000F6838"/>
    <w:rsid w:val="001B15A7"/>
    <w:rsid w:val="00220D2D"/>
    <w:rsid w:val="00361ED5"/>
    <w:rsid w:val="00403693"/>
    <w:rsid w:val="00413A95"/>
    <w:rsid w:val="0054072D"/>
    <w:rsid w:val="008A60B3"/>
    <w:rsid w:val="0092093E"/>
    <w:rsid w:val="00922045"/>
    <w:rsid w:val="00C013DC"/>
    <w:rsid w:val="00D12854"/>
    <w:rsid w:val="00D20F48"/>
    <w:rsid w:val="00D32E91"/>
    <w:rsid w:val="00E3795D"/>
    <w:rsid w:val="00F32A4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0F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Droid Sans Fallback" w:hAnsi="Liberation Serif" w:cs="FreeSans"/>
        <w:sz w:val="24"/>
        <w:szCs w:val="24"/>
        <w:lang w:val="fr-FR"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stLabel2">
    <w:name w:val="ListLabel 2"/>
    <w:rPr>
      <w:rFonts w:cs="Times New Roman"/>
    </w:rPr>
  </w:style>
  <w:style w:type="character" w:customStyle="1" w:styleId="ListLabel3">
    <w:name w:val="ListLabel 3"/>
    <w:rPr>
      <w:rFonts w:cs="Courier New"/>
    </w:rPr>
  </w:style>
  <w:style w:type="character" w:customStyle="1" w:styleId="ListLabel4">
    <w:name w:val="ListLabel 4"/>
    <w:rPr>
      <w:rFonts w:cs="Wingdings"/>
    </w:rPr>
  </w:style>
  <w:style w:type="character" w:customStyle="1" w:styleId="ListLabel5">
    <w:name w:val="ListLabel 5"/>
    <w:rPr>
      <w:rFonts w:cs="Symbol"/>
    </w:rPr>
  </w:style>
  <w:style w:type="character" w:customStyle="1" w:styleId="FootnoteCharacters">
    <w:name w:val="Footnote Characters"/>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e">
    <w:name w:val="List"/>
    <w:basedOn w:val="TextBody"/>
  </w:style>
  <w:style w:type="paragraph" w:customStyle="1"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LO-normal">
    <w:name w:val="LO-normal"/>
    <w:pPr>
      <w:suppressAutoHyphens/>
      <w:spacing w:line="276" w:lineRule="auto"/>
    </w:pPr>
    <w:rPr>
      <w:rFonts w:ascii="Arial" w:eastAsia="Arial" w:hAnsi="Arial" w:cs="Arial"/>
      <w:color w:val="000000"/>
      <w:sz w:val="22"/>
      <w:szCs w:val="20"/>
      <w:lang w:eastAsia="en-US" w:bidi="ar-SA"/>
    </w:rPr>
  </w:style>
  <w:style w:type="paragraph" w:customStyle="1" w:styleId="Footnote">
    <w:name w:val="Footnote"/>
    <w:basedOn w:val="Normal"/>
    <w:pPr>
      <w:suppressLineNumbers/>
      <w:ind w:left="339" w:hanging="339"/>
    </w:pPr>
    <w:rPr>
      <w:sz w:val="20"/>
      <w:szCs w:val="20"/>
    </w:rPr>
  </w:style>
  <w:style w:type="character" w:styleId="Marquedannotation">
    <w:name w:val="annotation reference"/>
    <w:basedOn w:val="Policepardfaut"/>
    <w:uiPriority w:val="99"/>
    <w:semiHidden/>
    <w:unhideWhenUsed/>
    <w:rsid w:val="00D32E91"/>
    <w:rPr>
      <w:sz w:val="18"/>
      <w:szCs w:val="18"/>
    </w:rPr>
  </w:style>
  <w:style w:type="paragraph" w:styleId="Commentaire">
    <w:name w:val="annotation text"/>
    <w:basedOn w:val="Normal"/>
    <w:link w:val="CommentaireCar"/>
    <w:uiPriority w:val="99"/>
    <w:semiHidden/>
    <w:unhideWhenUsed/>
    <w:rsid w:val="00D32E91"/>
  </w:style>
  <w:style w:type="character" w:customStyle="1" w:styleId="CommentaireCar">
    <w:name w:val="Commentaire Car"/>
    <w:basedOn w:val="Policepardfaut"/>
    <w:link w:val="Commentaire"/>
    <w:uiPriority w:val="99"/>
    <w:semiHidden/>
    <w:rsid w:val="00D32E91"/>
  </w:style>
  <w:style w:type="paragraph" w:styleId="Objetducommentaire">
    <w:name w:val="annotation subject"/>
    <w:basedOn w:val="Commentaire"/>
    <w:next w:val="Commentaire"/>
    <w:link w:val="ObjetducommentaireCar"/>
    <w:uiPriority w:val="99"/>
    <w:semiHidden/>
    <w:unhideWhenUsed/>
    <w:rsid w:val="00D32E91"/>
    <w:rPr>
      <w:b/>
      <w:bCs/>
      <w:sz w:val="20"/>
      <w:szCs w:val="20"/>
    </w:rPr>
  </w:style>
  <w:style w:type="character" w:customStyle="1" w:styleId="ObjetducommentaireCar">
    <w:name w:val="Objet du commentaire Car"/>
    <w:basedOn w:val="CommentaireCar"/>
    <w:link w:val="Objetducommentaire"/>
    <w:uiPriority w:val="99"/>
    <w:semiHidden/>
    <w:rsid w:val="00D32E91"/>
    <w:rPr>
      <w:b/>
      <w:bCs/>
      <w:sz w:val="20"/>
      <w:szCs w:val="20"/>
    </w:rPr>
  </w:style>
  <w:style w:type="paragraph" w:styleId="Textedebulles">
    <w:name w:val="Balloon Text"/>
    <w:basedOn w:val="Normal"/>
    <w:link w:val="TextedebullesCar"/>
    <w:uiPriority w:val="99"/>
    <w:semiHidden/>
    <w:unhideWhenUsed/>
    <w:rsid w:val="00D32E9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32E91"/>
    <w:rPr>
      <w:rFonts w:ascii="Lucida Grande" w:hAnsi="Lucida Grande" w:cs="Lucida Grande"/>
      <w:sz w:val="18"/>
      <w:szCs w:val="18"/>
    </w:rPr>
  </w:style>
  <w:style w:type="paragraph" w:styleId="Paragraphedeliste">
    <w:name w:val="List Paragraph"/>
    <w:basedOn w:val="Normal"/>
    <w:uiPriority w:val="34"/>
    <w:qFormat/>
    <w:rsid w:val="001B15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roid Sans Fallback" w:hAnsi="Liberation Serif" w:cs="FreeSans"/>
        <w:sz w:val="24"/>
        <w:szCs w:val="24"/>
        <w:lang w:val="fr-FR"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stLabel2">
    <w:name w:val="ListLabel 2"/>
    <w:rPr>
      <w:rFonts w:cs="Times New Roman"/>
    </w:rPr>
  </w:style>
  <w:style w:type="character" w:customStyle="1" w:styleId="ListLabel3">
    <w:name w:val="ListLabel 3"/>
    <w:rPr>
      <w:rFonts w:cs="Courier New"/>
    </w:rPr>
  </w:style>
  <w:style w:type="character" w:customStyle="1" w:styleId="ListLabel4">
    <w:name w:val="ListLabel 4"/>
    <w:rPr>
      <w:rFonts w:cs="Wingdings"/>
    </w:rPr>
  </w:style>
  <w:style w:type="character" w:customStyle="1" w:styleId="ListLabel5">
    <w:name w:val="ListLabel 5"/>
    <w:rPr>
      <w:rFonts w:cs="Symbol"/>
    </w:rPr>
  </w:style>
  <w:style w:type="character" w:customStyle="1" w:styleId="FootnoteCharacters">
    <w:name w:val="Footnote Characters"/>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e">
    <w:name w:val="List"/>
    <w:basedOn w:val="TextBody"/>
  </w:style>
  <w:style w:type="paragraph" w:customStyle="1"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LO-normal">
    <w:name w:val="LO-normal"/>
    <w:pPr>
      <w:suppressAutoHyphens/>
      <w:spacing w:line="276" w:lineRule="auto"/>
    </w:pPr>
    <w:rPr>
      <w:rFonts w:ascii="Arial" w:eastAsia="Arial" w:hAnsi="Arial" w:cs="Arial"/>
      <w:color w:val="000000"/>
      <w:sz w:val="22"/>
      <w:szCs w:val="20"/>
      <w:lang w:eastAsia="en-US" w:bidi="ar-SA"/>
    </w:rPr>
  </w:style>
  <w:style w:type="paragraph" w:customStyle="1" w:styleId="Footnote">
    <w:name w:val="Footnote"/>
    <w:basedOn w:val="Normal"/>
    <w:pPr>
      <w:suppressLineNumbers/>
      <w:ind w:left="339" w:hanging="339"/>
    </w:pPr>
    <w:rPr>
      <w:sz w:val="20"/>
      <w:szCs w:val="20"/>
    </w:rPr>
  </w:style>
  <w:style w:type="character" w:styleId="Marquedannotation">
    <w:name w:val="annotation reference"/>
    <w:basedOn w:val="Policepardfaut"/>
    <w:uiPriority w:val="99"/>
    <w:semiHidden/>
    <w:unhideWhenUsed/>
    <w:rsid w:val="00D32E91"/>
    <w:rPr>
      <w:sz w:val="18"/>
      <w:szCs w:val="18"/>
    </w:rPr>
  </w:style>
  <w:style w:type="paragraph" w:styleId="Commentaire">
    <w:name w:val="annotation text"/>
    <w:basedOn w:val="Normal"/>
    <w:link w:val="CommentaireCar"/>
    <w:uiPriority w:val="99"/>
    <w:semiHidden/>
    <w:unhideWhenUsed/>
    <w:rsid w:val="00D32E91"/>
  </w:style>
  <w:style w:type="character" w:customStyle="1" w:styleId="CommentaireCar">
    <w:name w:val="Commentaire Car"/>
    <w:basedOn w:val="Policepardfaut"/>
    <w:link w:val="Commentaire"/>
    <w:uiPriority w:val="99"/>
    <w:semiHidden/>
    <w:rsid w:val="00D32E91"/>
  </w:style>
  <w:style w:type="paragraph" w:styleId="Objetducommentaire">
    <w:name w:val="annotation subject"/>
    <w:basedOn w:val="Commentaire"/>
    <w:next w:val="Commentaire"/>
    <w:link w:val="ObjetducommentaireCar"/>
    <w:uiPriority w:val="99"/>
    <w:semiHidden/>
    <w:unhideWhenUsed/>
    <w:rsid w:val="00D32E91"/>
    <w:rPr>
      <w:b/>
      <w:bCs/>
      <w:sz w:val="20"/>
      <w:szCs w:val="20"/>
    </w:rPr>
  </w:style>
  <w:style w:type="character" w:customStyle="1" w:styleId="ObjetducommentaireCar">
    <w:name w:val="Objet du commentaire Car"/>
    <w:basedOn w:val="CommentaireCar"/>
    <w:link w:val="Objetducommentaire"/>
    <w:uiPriority w:val="99"/>
    <w:semiHidden/>
    <w:rsid w:val="00D32E91"/>
    <w:rPr>
      <w:b/>
      <w:bCs/>
      <w:sz w:val="20"/>
      <w:szCs w:val="20"/>
    </w:rPr>
  </w:style>
  <w:style w:type="paragraph" w:styleId="Textedebulles">
    <w:name w:val="Balloon Text"/>
    <w:basedOn w:val="Normal"/>
    <w:link w:val="TextedebullesCar"/>
    <w:uiPriority w:val="99"/>
    <w:semiHidden/>
    <w:unhideWhenUsed/>
    <w:rsid w:val="00D32E9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32E91"/>
    <w:rPr>
      <w:rFonts w:ascii="Lucida Grande" w:hAnsi="Lucida Grande" w:cs="Lucida Grande"/>
      <w:sz w:val="18"/>
      <w:szCs w:val="18"/>
    </w:rPr>
  </w:style>
  <w:style w:type="paragraph" w:styleId="Paragraphedeliste">
    <w:name w:val="List Paragraph"/>
    <w:basedOn w:val="Normal"/>
    <w:uiPriority w:val="34"/>
    <w:qFormat/>
    <w:rsid w:val="001B1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B8ED87-B1BA-4B71-B6DC-28677F5BE757}"/>
</file>

<file path=customXml/itemProps2.xml><?xml version="1.0" encoding="utf-8"?>
<ds:datastoreItem xmlns:ds="http://schemas.openxmlformats.org/officeDocument/2006/customXml" ds:itemID="{8A2E2880-2043-469E-B782-075F9E429D28}"/>
</file>

<file path=customXml/itemProps3.xml><?xml version="1.0" encoding="utf-8"?>
<ds:datastoreItem xmlns:ds="http://schemas.openxmlformats.org/officeDocument/2006/customXml" ds:itemID="{95686C08-B0D5-4014-A032-72C47223B859}"/>
</file>

<file path=docProps/app.xml><?xml version="1.0" encoding="utf-8"?>
<Properties xmlns="http://schemas.openxmlformats.org/officeDocument/2006/extended-properties" xmlns:vt="http://schemas.openxmlformats.org/officeDocument/2006/docPropsVTypes">
  <Template>Normal.dotm</Template>
  <TotalTime>6</TotalTime>
  <Pages>4</Pages>
  <Words>1949</Words>
  <Characters>10722</Characters>
  <Application>Microsoft Macintosh Word</Application>
  <DocSecurity>0</DocSecurity>
  <Lines>89</Lines>
  <Paragraphs>25</Paragraphs>
  <ScaleCrop>false</ScaleCrop>
  <Company/>
  <LinksUpToDate>false</LinksUpToDate>
  <CharactersWithSpaces>12646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Crespi</dc:creator>
  <cp:lastModifiedBy>Clémence Bectarte</cp:lastModifiedBy>
  <cp:revision>3</cp:revision>
  <dcterms:created xsi:type="dcterms:W3CDTF">2015-06-05T08:49:00Z</dcterms:created>
  <dcterms:modified xsi:type="dcterms:W3CDTF">2015-06-05T08:57:00Z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