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header3.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footer3.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docProps/core.xml" ContentType="application/vnd.openxmlformats-package.core-properties+xml"/>
  <Override PartName="/docProps/app.xml" ContentType="application/vnd.openxmlformats-officedocument.extended-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fontTable.xml" ContentType="application/vnd.openxmlformats-officedocument.wordprocessingml.fontTable+xml"/>
  <Override PartName="/customXml/itemProps1.xml" ContentType="application/vnd.openxmlformats-officedocument.customXmlProperties+xml"/>
  <Override PartName="/word/webSettings.xml" ContentType="application/vnd.openxmlformats-officedocument.wordprocessingml.webSettings+xml"/>
  <Override PartName="/customXml/itemProps3.xml" ContentType="application/vnd.openxmlformats-officedocument.customXml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989E78F" w14:textId="77777777" w:rsidR="005C55F8" w:rsidRDefault="00000000">
      <w:pPr>
        <w:spacing w:line="276" w:lineRule="auto"/>
        <w:rPr>
          <w:rFonts w:ascii="Roboto" w:eastAsia="Roboto" w:hAnsi="Roboto" w:cs="Roboto"/>
        </w:rPr>
      </w:pPr>
      <w:r>
        <w:fldChar w:fldCharType="begin"/>
      </w:r>
      <w:r>
        <w:instrText xml:space="preserve"> INCLUDEPICTURE "https://alqst.org/uploads/image/graph1.jpg" \* MERGEFORMATINET </w:instrText>
      </w:r>
      <w:r>
        <w:fldChar w:fldCharType="separate"/>
      </w:r>
      <w:r>
        <w:rPr>
          <w:noProof/>
        </w:rPr>
        <mc:AlternateContent>
          <mc:Choice Requires="wpg">
            <w:drawing>
              <wp:inline distT="0" distB="0" distL="0" distR="0" wp14:anchorId="4D4400EC" wp14:editId="44E43EEB">
                <wp:extent cx="1360571" cy="774000"/>
                <wp:effectExtent l="0" t="0" r="0" b="1270"/>
                <wp:docPr id="8" name="Picture 1" descr="ALQST for Human Right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3934057" name="Picture 1" descr="ALQST for Human Rights"/>
                        <pic:cNvPicPr>
                          <a:picLocks noChangeAspect="1"/>
                        </pic:cNvPicPr>
                      </pic:nvPicPr>
                      <pic:blipFill>
                        <a:blip r:embed="rId9"/>
                        <a:stretch/>
                      </pic:blipFill>
                      <pic:spPr bwMode="auto">
                        <a:xfrm>
                          <a:off x="0" y="0"/>
                          <a:ext cx="1360571" cy="774000"/>
                        </a:xfrm>
                        <a:prstGeom prst="rect">
                          <a:avLst/>
                        </a:prstGeom>
                        <a:noFill/>
                        <a:ln>
                          <a:noFill/>
                        </a:ln>
                      </pic:spPr>
                    </pic:pic>
                  </a:graphicData>
                </a:graphic>
              </wp:inline>
            </w:drawing>
          </mc:Choice>
          <mc:Fallback xmlns:a="http://schemas.openxmlformats.org/drawingml/2006/main">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7" o:spid="_x0000_s7" type="#_x0000_t75" style="width:107.13pt;height:60.94pt;mso-wrap-distance-left:0.00pt;mso-wrap-distance-top:0.00pt;mso-wrap-distance-right:0.00pt;mso-wrap-distance-bottom:0.00pt;z-index:1;" stroked="f">
                <v:imagedata r:id="rId17" o:title=""/>
                <o:lock v:ext="edit" rotation="t"/>
              </v:shape>
            </w:pict>
          </mc:Fallback>
        </mc:AlternateContent>
      </w:r>
      <w:r>
        <w:fldChar w:fldCharType="end"/>
      </w:r>
      <w:r>
        <w:rPr>
          <w:rFonts w:ascii="Roboto" w:eastAsia="Roboto" w:hAnsi="Roboto" w:cs="Roboto"/>
          <w:noProof/>
        </w:rPr>
        <mc:AlternateContent>
          <mc:Choice Requires="wpg">
            <w:drawing>
              <wp:anchor distT="0" distB="0" distL="114300" distR="114300" simplePos="0" relativeHeight="251658240" behindDoc="0" locked="0" layoutInCell="1" allowOverlap="1" wp14:anchorId="034E8767" wp14:editId="76AD3F93">
                <wp:simplePos x="0" y="0"/>
                <wp:positionH relativeFrom="column">
                  <wp:align>left</wp:align>
                </wp:positionH>
                <wp:positionV relativeFrom="paragraph">
                  <wp:align>top</wp:align>
                </wp:positionV>
                <wp:extent cx="1504950" cy="775334"/>
                <wp:effectExtent l="0" t="0" r="0" b="0"/>
                <wp:wrapSquare wrapText="bothSides"/>
                <wp:docPr id="9" name="image2.png"/>
                <wp:cNvGraphicFramePr/>
                <a:graphic xmlns:a="http://schemas.openxmlformats.org/drawingml/2006/main">
                  <a:graphicData uri="http://schemas.openxmlformats.org/drawingml/2006/picture">
                    <pic:pic xmlns:pic="http://schemas.openxmlformats.org/drawingml/2006/picture">
                      <pic:nvPicPr>
                        <pic:cNvPr id="0" name="image2.png"/>
                        <pic:cNvPicPr/>
                      </pic:nvPicPr>
                      <pic:blipFill>
                        <a:blip r:embed="rId18"/>
                        <a:stretch/>
                      </pic:blipFill>
                      <pic:spPr bwMode="auto">
                        <a:xfrm>
                          <a:off x="0" y="0"/>
                          <a:ext cx="1504950" cy="775334"/>
                        </a:xfrm>
                        <a:prstGeom prst="rect">
                          <a:avLst/>
                        </a:prstGeom>
                        <a:ln/>
                      </pic:spPr>
                    </pic:pic>
                  </a:graphicData>
                </a:graphic>
              </wp:anchor>
            </w:drawing>
          </mc:Choice>
          <mc:Fallback xmlns:a="http://schemas.openxmlformats.org/drawingml/2006/main">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8" o:spid="_x0000_s8" type="#_x0000_t75" style="position:absolute;z-index:251658240;o:allowoverlap:true;o:allowincell:true;mso-position-horizontal-relative:text;mso-position-horizontal:left;mso-position-vertical-relative:text;mso-position-vertical:top;width:118.50pt;height:61.05pt;mso-wrap-distance-left:9.00pt;mso-wrap-distance-top:0.00pt;mso-wrap-distance-right:9.00pt;mso-wrap-distance-bottom:0.00pt;z-index:1;">
                <w10:wrap type="square"/>
                <v:imagedata r:id="rId19" o:title=""/>
                <o:lock v:ext="edit" rotation="t"/>
              </v:shape>
            </w:pict>
          </mc:Fallback>
        </mc:AlternateContent>
      </w:r>
      <w:r>
        <w:rPr>
          <w:rFonts w:ascii="Roboto" w:eastAsia="Roboto" w:hAnsi="Roboto" w:cs="Roboto"/>
        </w:rPr>
        <w:br w:type="textWrapping" w:clear="all"/>
      </w:r>
    </w:p>
    <w:p w14:paraId="5A8516FD" w14:textId="77777777" w:rsidR="005C55F8" w:rsidRDefault="005C55F8">
      <w:pPr>
        <w:spacing w:line="276" w:lineRule="auto"/>
        <w:rPr>
          <w:rFonts w:ascii="Roboto" w:eastAsia="Roboto" w:hAnsi="Roboto" w:cs="Roboto"/>
        </w:rPr>
      </w:pPr>
    </w:p>
    <w:p w14:paraId="3ECFD109" w14:textId="77777777" w:rsidR="005C55F8" w:rsidRDefault="005C55F8">
      <w:pPr>
        <w:spacing w:line="276" w:lineRule="auto"/>
        <w:rPr>
          <w:rFonts w:ascii="Roboto" w:eastAsia="Roboto" w:hAnsi="Roboto" w:cs="Roboto"/>
          <w:b/>
          <w:color w:val="361F5C"/>
          <w:sz w:val="72"/>
          <w:szCs w:val="72"/>
        </w:rPr>
      </w:pPr>
    </w:p>
    <w:p w14:paraId="45931A0A" w14:textId="77777777" w:rsidR="005C55F8" w:rsidRDefault="005C55F8">
      <w:pPr>
        <w:spacing w:line="276" w:lineRule="auto"/>
        <w:rPr>
          <w:rFonts w:ascii="Roboto" w:eastAsia="Roboto" w:hAnsi="Roboto" w:cs="Roboto"/>
          <w:b/>
          <w:color w:val="361F5C"/>
          <w:sz w:val="72"/>
          <w:szCs w:val="72"/>
        </w:rPr>
      </w:pPr>
    </w:p>
    <w:p w14:paraId="375ACE52" w14:textId="77777777" w:rsidR="005C55F8" w:rsidRDefault="00000000">
      <w:pPr>
        <w:spacing w:line="276" w:lineRule="auto"/>
        <w:rPr>
          <w:rFonts w:ascii="Roboto" w:eastAsia="Roboto" w:hAnsi="Roboto" w:cs="Roboto"/>
          <w:b/>
          <w:color w:val="543192"/>
          <w:sz w:val="72"/>
          <w:szCs w:val="72"/>
        </w:rPr>
      </w:pPr>
      <w:r>
        <w:rPr>
          <w:rFonts w:ascii="Roboto" w:eastAsia="Roboto" w:hAnsi="Roboto" w:cs="Roboto"/>
          <w:b/>
          <w:color w:val="543192"/>
          <w:sz w:val="72"/>
          <w:szCs w:val="72"/>
        </w:rPr>
        <w:t>Saudi Arabia</w:t>
      </w:r>
    </w:p>
    <w:p w14:paraId="31A9EDB7" w14:textId="77777777" w:rsidR="005C55F8" w:rsidRDefault="00000000">
      <w:pPr>
        <w:spacing w:line="276" w:lineRule="auto"/>
        <w:rPr>
          <w:rFonts w:ascii="Roboto" w:eastAsia="Roboto" w:hAnsi="Roboto" w:cs="Roboto"/>
          <w:b/>
          <w:color w:val="555656"/>
          <w:sz w:val="52"/>
          <w:szCs w:val="52"/>
        </w:rPr>
      </w:pPr>
      <w:r>
        <w:rPr>
          <w:rFonts w:ascii="Roboto" w:eastAsia="Roboto" w:hAnsi="Roboto" w:cs="Roboto"/>
          <w:b/>
          <w:color w:val="555656"/>
          <w:sz w:val="52"/>
          <w:szCs w:val="52"/>
        </w:rPr>
        <w:t>Alternative Report</w:t>
      </w:r>
    </w:p>
    <w:p w14:paraId="5F115BB9" w14:textId="77777777" w:rsidR="005C55F8" w:rsidRDefault="005C55F8">
      <w:pPr>
        <w:spacing w:line="276" w:lineRule="auto"/>
        <w:rPr>
          <w:rFonts w:ascii="Roboto" w:eastAsia="Roboto" w:hAnsi="Roboto" w:cs="Roboto"/>
          <w:color w:val="949494"/>
          <w:sz w:val="52"/>
          <w:szCs w:val="52"/>
        </w:rPr>
      </w:pPr>
    </w:p>
    <w:p w14:paraId="37F8A4AB" w14:textId="77777777" w:rsidR="005C55F8" w:rsidRDefault="00000000">
      <w:pPr>
        <w:pBdr>
          <w:top w:val="none" w:sz="4" w:space="0" w:color="000000"/>
          <w:left w:val="none" w:sz="4" w:space="0" w:color="000000"/>
          <w:bottom w:val="none" w:sz="4" w:space="0" w:color="000000"/>
          <w:right w:val="none" w:sz="4" w:space="0" w:color="000000"/>
          <w:between w:val="none" w:sz="4" w:space="0" w:color="000000"/>
        </w:pBdr>
        <w:spacing w:after="0" w:line="276" w:lineRule="auto"/>
        <w:rPr>
          <w:rFonts w:ascii="Roboto" w:eastAsia="Roboto" w:hAnsi="Roboto" w:cs="Roboto"/>
          <w:i/>
          <w:color w:val="949494"/>
          <w:sz w:val="42"/>
          <w:szCs w:val="42"/>
        </w:rPr>
      </w:pPr>
      <w:r>
        <w:rPr>
          <w:rFonts w:ascii="Roboto" w:eastAsia="Roboto" w:hAnsi="Roboto" w:cs="Roboto"/>
          <w:i/>
          <w:color w:val="949494"/>
          <w:sz w:val="40"/>
          <w:szCs w:val="40"/>
        </w:rPr>
        <w:t>Report submitted to the Committee on the Elimination of All Forms of Discrimination Against Women and Girls in the context of the fifth periodic review of Saudi Arabia.</w:t>
      </w:r>
    </w:p>
    <w:p w14:paraId="58D21381" w14:textId="77777777" w:rsidR="005C55F8" w:rsidRDefault="005C55F8">
      <w:pPr>
        <w:spacing w:line="276" w:lineRule="auto"/>
        <w:rPr>
          <w:rFonts w:ascii="Roboto" w:eastAsia="Roboto" w:hAnsi="Roboto" w:cs="Roboto"/>
          <w:color w:val="292929"/>
          <w:sz w:val="52"/>
          <w:szCs w:val="52"/>
        </w:rPr>
      </w:pPr>
    </w:p>
    <w:p w14:paraId="0E431E79" w14:textId="77777777" w:rsidR="005C55F8" w:rsidRDefault="00000000">
      <w:pPr>
        <w:spacing w:line="276" w:lineRule="auto"/>
        <w:rPr>
          <w:rFonts w:ascii="Roboto" w:eastAsia="Roboto" w:hAnsi="Roboto" w:cs="Roboto"/>
          <w:b/>
          <w:color w:val="555656"/>
          <w:sz w:val="48"/>
          <w:szCs w:val="48"/>
        </w:rPr>
      </w:pPr>
      <w:r>
        <w:rPr>
          <w:rFonts w:ascii="Roboto" w:eastAsia="Roboto" w:hAnsi="Roboto" w:cs="Roboto"/>
          <w:b/>
          <w:color w:val="555656"/>
          <w:sz w:val="48"/>
          <w:szCs w:val="48"/>
        </w:rPr>
        <w:t>September 2024</w:t>
      </w:r>
    </w:p>
    <w:p w14:paraId="3FF4BCEF" w14:textId="77777777" w:rsidR="005C55F8" w:rsidRDefault="005C55F8">
      <w:pPr>
        <w:spacing w:line="276" w:lineRule="auto"/>
        <w:rPr>
          <w:rFonts w:ascii="Roboto" w:eastAsia="Roboto" w:hAnsi="Roboto" w:cs="Roboto"/>
          <w:color w:val="292929"/>
          <w:sz w:val="52"/>
          <w:szCs w:val="52"/>
        </w:rPr>
      </w:pPr>
    </w:p>
    <w:p w14:paraId="2B00E069" w14:textId="77777777" w:rsidR="005C55F8" w:rsidRDefault="00000000">
      <w:pPr>
        <w:spacing w:line="276" w:lineRule="auto"/>
        <w:rPr>
          <w:rFonts w:ascii="Roboto" w:eastAsia="Roboto" w:hAnsi="Roboto" w:cs="Roboto"/>
          <w:color w:val="292929"/>
          <w:sz w:val="52"/>
          <w:szCs w:val="52"/>
        </w:rPr>
      </w:pPr>
      <w:sdt>
        <w:sdtPr>
          <w:tag w:val="goog_rdk_0"/>
          <w:id w:val="647166093"/>
          <w:showingPlcHdr/>
        </w:sdtPr>
        <w:sdtContent>
          <w:r>
            <w:t xml:space="preserve">     </w:t>
          </w:r>
        </w:sdtContent>
      </w:sdt>
    </w:p>
    <w:p w14:paraId="5BADEFD7" w14:textId="77777777" w:rsidR="005C55F8" w:rsidRDefault="005C55F8">
      <w:pPr>
        <w:spacing w:line="276" w:lineRule="auto"/>
      </w:pPr>
    </w:p>
    <w:bookmarkStart w:id="0" w:name="_heading=h.gjdgxs" w:displacedByCustomXml="next"/>
    <w:bookmarkEnd w:id="0" w:displacedByCustomXml="next"/>
    <w:sdt>
      <w:sdtPr>
        <w:tag w:val="goog_rdk_2"/>
        <w:id w:val="1072628060"/>
      </w:sdtPr>
      <w:sdtContent>
        <w:p w14:paraId="3AD6E0D3" w14:textId="77777777" w:rsidR="005C55F8" w:rsidRDefault="00000000">
          <w:pPr>
            <w:pStyle w:val="Heading1"/>
          </w:pPr>
          <w:sdt>
            <w:sdtPr>
              <w:tag w:val="goog_rdk_1"/>
              <w:id w:val="-1247961483"/>
            </w:sdtPr>
            <w:sdtContent>
              <w:r>
                <w:t>Introduction</w:t>
              </w:r>
            </w:sdtContent>
          </w:sdt>
        </w:p>
      </w:sdtContent>
    </w:sdt>
    <w:p w14:paraId="607BD0B2" w14:textId="77777777" w:rsidR="005C55F8" w:rsidRDefault="00000000">
      <w:pPr>
        <w:spacing w:line="276" w:lineRule="auto"/>
        <w:jc w:val="both"/>
        <w:rPr>
          <w:rFonts w:asciiTheme="majorBidi" w:eastAsia="Roboto" w:hAnsiTheme="majorBidi" w:cstheme="majorBidi"/>
        </w:rPr>
      </w:pPr>
      <w:r>
        <w:rPr>
          <w:rFonts w:asciiTheme="majorBidi" w:eastAsia="Roboto" w:hAnsiTheme="majorBidi" w:cstheme="majorBidi"/>
        </w:rPr>
        <w:t>This joint shadow report, submitted by MENA Rights Group and ALQST for Human Rights, contains information on the implementation of</w:t>
      </w:r>
      <w:sdt>
        <w:sdtPr>
          <w:rPr>
            <w:rFonts w:asciiTheme="majorBidi" w:hAnsiTheme="majorBidi" w:cstheme="majorBidi"/>
          </w:rPr>
          <w:tag w:val="goog_rdk_3"/>
          <w:id w:val="2104598857"/>
        </w:sdtPr>
        <w:sdtContent>
          <w:r>
            <w:rPr>
              <w:rFonts w:asciiTheme="majorBidi" w:hAnsiTheme="majorBidi" w:cstheme="majorBidi"/>
            </w:rPr>
            <w:t xml:space="preserve"> </w:t>
          </w:r>
        </w:sdtContent>
      </w:sdt>
      <w:r>
        <w:rPr>
          <w:rFonts w:asciiTheme="majorBidi" w:eastAsia="Roboto" w:hAnsiTheme="majorBidi" w:cstheme="majorBidi"/>
        </w:rPr>
        <w:t>the Convention on the Elimination of All Forms of Discrimination Against Women and Girls (CEDAW), including comments on the State reply</w:t>
      </w:r>
      <w:r>
        <w:rPr>
          <w:rFonts w:asciiTheme="majorBidi" w:eastAsia="Roboto" w:hAnsiTheme="majorBidi" w:cstheme="majorBidi"/>
          <w:vertAlign w:val="superscript"/>
        </w:rPr>
        <w:footnoteReference w:id="1"/>
      </w:r>
      <w:r>
        <w:rPr>
          <w:rFonts w:asciiTheme="majorBidi" w:eastAsia="Roboto" w:hAnsiTheme="majorBidi" w:cstheme="majorBidi"/>
        </w:rPr>
        <w:t xml:space="preserve"> to the list of issues</w:t>
      </w:r>
      <w:r>
        <w:rPr>
          <w:rFonts w:asciiTheme="majorBidi" w:eastAsia="Roboto" w:hAnsiTheme="majorBidi" w:cstheme="majorBidi"/>
          <w:vertAlign w:val="superscript"/>
        </w:rPr>
        <w:footnoteReference w:id="2"/>
      </w:r>
      <w:r>
        <w:rPr>
          <w:rFonts w:asciiTheme="majorBidi" w:eastAsia="Roboto" w:hAnsiTheme="majorBidi" w:cstheme="majorBidi"/>
        </w:rPr>
        <w:t xml:space="preserve"> and information on the implementation by the Kingdom of Saudi Arabia of the previous Concluding Observations of the Committee on the Elimination of Discrimination against Women (the Committee).</w:t>
      </w:r>
      <w:r>
        <w:rPr>
          <w:rStyle w:val="FootnoteReference"/>
          <w:rFonts w:asciiTheme="majorBidi" w:eastAsia="Roboto" w:hAnsiTheme="majorBidi" w:cstheme="majorBidi"/>
        </w:rPr>
        <w:footnoteReference w:id="3"/>
      </w:r>
    </w:p>
    <w:p w14:paraId="090238E6" w14:textId="77777777" w:rsidR="005C55F8" w:rsidRDefault="00000000">
      <w:pPr>
        <w:spacing w:line="276" w:lineRule="auto"/>
        <w:jc w:val="both"/>
        <w:rPr>
          <w:rFonts w:asciiTheme="majorBidi" w:eastAsia="Roboto" w:hAnsiTheme="majorBidi" w:cstheme="majorBidi"/>
        </w:rPr>
      </w:pPr>
      <w:r>
        <w:rPr>
          <w:rFonts w:asciiTheme="majorBidi" w:eastAsia="Roboto" w:hAnsiTheme="majorBidi" w:cstheme="majorBidi"/>
        </w:rPr>
        <w:t>The Kingdom of Saudi Arabia has consistently upheld a progressive stance on the advancement of women’s rights in the country. It regularly emphasises the reforms and changes undertaken to protect and promote women’s right</w:t>
      </w:r>
      <w:sdt>
        <w:sdtPr>
          <w:rPr>
            <w:rFonts w:asciiTheme="majorBidi" w:hAnsiTheme="majorBidi" w:cstheme="majorBidi"/>
          </w:rPr>
          <w:tag w:val="goog_rdk_4"/>
          <w:id w:val="483209328"/>
        </w:sdtPr>
        <w:sdtContent>
          <w:r>
            <w:rPr>
              <w:rFonts w:asciiTheme="majorBidi" w:eastAsia="Roboto" w:hAnsiTheme="majorBidi" w:cstheme="majorBidi"/>
            </w:rPr>
            <w:t>s</w:t>
          </w:r>
        </w:sdtContent>
      </w:sdt>
      <w:r>
        <w:rPr>
          <w:rFonts w:asciiTheme="majorBidi" w:eastAsia="Roboto" w:hAnsiTheme="majorBidi" w:cstheme="majorBidi"/>
        </w:rPr>
        <w:t xml:space="preserve">. The findings in this report show a different reality. </w:t>
      </w:r>
    </w:p>
    <w:p w14:paraId="354D892D" w14:textId="77777777" w:rsidR="005C55F8" w:rsidRDefault="00000000">
      <w:pPr>
        <w:spacing w:line="276" w:lineRule="auto"/>
        <w:jc w:val="both"/>
        <w:rPr>
          <w:rFonts w:asciiTheme="majorBidi" w:eastAsia="Roboto" w:hAnsiTheme="majorBidi" w:cstheme="majorBidi"/>
        </w:rPr>
      </w:pPr>
      <w:r>
        <w:rPr>
          <w:rFonts w:asciiTheme="majorBidi" w:eastAsia="Roboto" w:hAnsiTheme="majorBidi" w:cstheme="majorBidi"/>
        </w:rPr>
        <w:t xml:space="preserve">According to our findings and based on testimonies and documentation collected by submitting organisations, women have increasingly been targeted by authorities for criticising discriminatory laws such as the personal status law. They have been subjected to enforced disappearance, arbitrary detention, and torture in the form of sexual harassment and other sexual abuses. </w:t>
      </w:r>
    </w:p>
    <w:p w14:paraId="7A9450F8" w14:textId="77777777" w:rsidR="005C55F8" w:rsidRDefault="00000000">
      <w:pPr>
        <w:spacing w:line="276" w:lineRule="auto"/>
        <w:jc w:val="both"/>
        <w:rPr>
          <w:rFonts w:asciiTheme="majorBidi" w:eastAsia="Roboto" w:hAnsiTheme="majorBidi" w:cstheme="majorBidi"/>
        </w:rPr>
      </w:pPr>
      <w:r>
        <w:rPr>
          <w:rFonts w:asciiTheme="majorBidi" w:eastAsia="Roboto" w:hAnsiTheme="majorBidi" w:cstheme="majorBidi"/>
        </w:rPr>
        <w:t xml:space="preserve">Therefore, submitting organisations find that the Kingdom of Saudi Arabia has failed to comply with </w:t>
      </w:r>
      <w:sdt>
        <w:sdtPr>
          <w:rPr>
            <w:rFonts w:asciiTheme="majorBidi" w:hAnsiTheme="majorBidi" w:cstheme="majorBidi"/>
          </w:rPr>
          <w:tag w:val="goog_rdk_5"/>
          <w:id w:val="-1810623901"/>
        </w:sdtPr>
        <w:sdtContent>
          <w:r>
            <w:rPr>
              <w:rFonts w:asciiTheme="majorBidi" w:eastAsia="Roboto" w:hAnsiTheme="majorBidi" w:cstheme="majorBidi"/>
            </w:rPr>
            <w:t xml:space="preserve">the binding obligations of </w:t>
          </w:r>
        </w:sdtContent>
      </w:sdt>
      <w:r>
        <w:rPr>
          <w:rFonts w:asciiTheme="majorBidi" w:eastAsia="Roboto" w:hAnsiTheme="majorBidi" w:cstheme="majorBidi"/>
        </w:rPr>
        <w:t>the CEDAW and to implement the Committee’s 2018 Concluding Observations.</w:t>
      </w:r>
    </w:p>
    <w:bookmarkStart w:id="1" w:name="_heading=h.30j0zll" w:displacedByCustomXml="next"/>
    <w:bookmarkEnd w:id="1" w:displacedByCustomXml="next"/>
    <w:sdt>
      <w:sdtPr>
        <w:tag w:val="goog_rdk_13"/>
        <w:id w:val="-653535816"/>
      </w:sdtPr>
      <w:sdtContent>
        <w:p w14:paraId="26F34131" w14:textId="77777777" w:rsidR="005C55F8" w:rsidRDefault="00000000">
          <w:pPr>
            <w:pStyle w:val="Heading1"/>
          </w:pPr>
          <w:sdt>
            <w:sdtPr>
              <w:tag w:val="goog_rdk_8"/>
              <w:id w:val="1520809868"/>
            </w:sdtPr>
            <w:sdtContent>
              <w:sdt>
                <w:sdtPr>
                  <w:tag w:val="goog_rdk_9"/>
                  <w:id w:val="1284314538"/>
                </w:sdtPr>
                <w:sdtContent>
                  <w:r>
                    <w:rPr>
                      <w:rFonts w:eastAsia="Roboto"/>
                    </w:rPr>
                    <w:t>Persecution of Women Human Rights Defenders</w:t>
                  </w:r>
                </w:sdtContent>
              </w:sdt>
            </w:sdtContent>
          </w:sdt>
          <w:sdt>
            <w:sdtPr>
              <w:tag w:val="goog_rdk_10"/>
              <w:id w:val="-431591755"/>
            </w:sdtPr>
            <w:sdtContent>
              <w:sdt>
                <w:sdtPr>
                  <w:tag w:val="goog_rdk_11"/>
                  <w:id w:val="-837230171"/>
                  <w:showingPlcHdr/>
                </w:sdtPr>
                <w:sdtContent>
                  <w:r>
                    <w:t xml:space="preserve">     </w:t>
                  </w:r>
                </w:sdtContent>
              </w:sdt>
            </w:sdtContent>
          </w:sdt>
          <w:sdt>
            <w:sdtPr>
              <w:tag w:val="goog_rdk_12"/>
              <w:id w:val="1843502159"/>
              <w:showingPlcHdr/>
            </w:sdtPr>
            <w:sdtContent>
              <w:r>
                <w:t xml:space="preserve">     </w:t>
              </w:r>
            </w:sdtContent>
          </w:sdt>
        </w:p>
      </w:sdtContent>
    </w:sdt>
    <w:p w14:paraId="5D18BB75" w14:textId="77777777" w:rsidR="005C55F8" w:rsidRDefault="00000000">
      <w:pPr>
        <w:jc w:val="both"/>
        <w:rPr>
          <w:rFonts w:asciiTheme="majorBidi" w:eastAsia="Roboto" w:hAnsiTheme="majorBidi" w:cstheme="majorBidi"/>
        </w:rPr>
      </w:pPr>
      <w:bookmarkStart w:id="2" w:name="_heading=h.w89npj3dkcx8"/>
      <w:bookmarkEnd w:id="2"/>
      <w:r>
        <w:rPr>
          <w:rFonts w:asciiTheme="majorBidi" w:eastAsia="Roboto" w:hAnsiTheme="majorBidi" w:cstheme="majorBidi"/>
        </w:rPr>
        <w:t>Saudi domestic law does not provide for nor protect freedom of expression.</w:t>
      </w:r>
      <w:r>
        <w:rPr>
          <w:rFonts w:asciiTheme="majorBidi" w:eastAsia="Roboto" w:hAnsiTheme="majorBidi" w:cstheme="majorBidi"/>
          <w:vertAlign w:val="superscript"/>
        </w:rPr>
        <w:footnoteReference w:id="4"/>
      </w:r>
      <w:r>
        <w:rPr>
          <w:rFonts w:asciiTheme="majorBidi" w:eastAsia="Roboto" w:hAnsiTheme="majorBidi" w:cstheme="majorBidi"/>
        </w:rPr>
        <w:t xml:space="preserve"> In practice, the authorities regulate and determine what speech is considered to “harm the state’s security”. </w:t>
      </w:r>
      <w:r>
        <w:rPr>
          <w:rFonts w:asciiTheme="majorBidi" w:eastAsia="Roboto" w:hAnsiTheme="majorBidi" w:cstheme="majorBidi"/>
          <w:vertAlign w:val="superscript"/>
        </w:rPr>
        <w:t xml:space="preserve"> </w:t>
      </w:r>
      <w:r>
        <w:rPr>
          <w:rFonts w:asciiTheme="majorBidi" w:eastAsia="Roboto" w:hAnsiTheme="majorBidi" w:cstheme="majorBidi"/>
        </w:rPr>
        <w:lastRenderedPageBreak/>
        <w:t>In other words, the government can ban or suspend media outlets if it concludes that they violated the press law and journalists can be imprisoned for a variety of vaguely defined crimes and criminalise any form of peaceful dissent.</w:t>
      </w:r>
    </w:p>
    <w:p w14:paraId="18DC5C5C" w14:textId="77777777" w:rsidR="005C55F8" w:rsidRDefault="00000000">
      <w:pPr>
        <w:jc w:val="both"/>
        <w:rPr>
          <w:rFonts w:asciiTheme="majorBidi" w:eastAsia="Roboto" w:hAnsiTheme="majorBidi" w:cstheme="majorBidi"/>
        </w:rPr>
      </w:pPr>
      <w:r>
        <w:rPr>
          <w:rFonts w:asciiTheme="majorBidi" w:eastAsia="Roboto" w:hAnsiTheme="majorBidi" w:cstheme="majorBidi"/>
        </w:rPr>
        <w:t>Freedom of expression is also severely restricted by other legislations, including the 2017 Counter-Terrorism Law and the 2007 Anti-Cybercrime Law, which have been increasingly used to prosecute peaceful expression and dissent.</w:t>
      </w:r>
      <w:r>
        <w:rPr>
          <w:rFonts w:asciiTheme="majorBidi" w:eastAsia="Roboto" w:hAnsiTheme="majorBidi" w:cstheme="majorBidi"/>
          <w:vertAlign w:val="superscript"/>
        </w:rPr>
        <w:footnoteReference w:id="5"/>
      </w:r>
    </w:p>
    <w:p w14:paraId="58CFFBA1" w14:textId="61AFE692" w:rsidR="005C55F8" w:rsidRDefault="00000000">
      <w:pPr>
        <w:jc w:val="both"/>
        <w:rPr>
          <w:rFonts w:asciiTheme="majorBidi" w:eastAsia="Roboto" w:hAnsiTheme="majorBidi" w:cstheme="majorBidi"/>
        </w:rPr>
      </w:pPr>
      <w:r>
        <w:rPr>
          <w:rFonts w:asciiTheme="majorBidi" w:eastAsia="Roboto" w:hAnsiTheme="majorBidi" w:cstheme="majorBidi"/>
        </w:rPr>
        <w:t xml:space="preserve">Women human rights defenders have been increasingly targeted by Saudi authorities and </w:t>
      </w:r>
      <w:sdt>
        <w:sdtPr>
          <w:rPr>
            <w:rFonts w:asciiTheme="majorBidi" w:hAnsiTheme="majorBidi" w:cstheme="majorBidi"/>
          </w:rPr>
          <w:tag w:val="goog_rdk_17"/>
          <w:id w:val="-514303699"/>
        </w:sdtPr>
        <w:sdtContent>
          <w:r>
            <w:rPr>
              <w:rFonts w:asciiTheme="majorBidi" w:eastAsia="Roboto" w:hAnsiTheme="majorBidi" w:cstheme="majorBidi"/>
            </w:rPr>
            <w:t xml:space="preserve">are </w:t>
          </w:r>
        </w:sdtContent>
      </w:sdt>
      <w:r>
        <w:rPr>
          <w:rFonts w:asciiTheme="majorBidi" w:eastAsia="Roboto" w:hAnsiTheme="majorBidi" w:cstheme="majorBidi"/>
        </w:rPr>
        <w:t>particularly vulnerable to this legal framework</w:t>
      </w:r>
      <w:sdt>
        <w:sdtPr>
          <w:rPr>
            <w:rFonts w:asciiTheme="majorBidi" w:hAnsiTheme="majorBidi" w:cstheme="majorBidi"/>
          </w:rPr>
          <w:tag w:val="goog_rdk_18"/>
          <w:id w:val="1509106760"/>
        </w:sdtPr>
        <w:sdtContent>
          <w:r>
            <w:rPr>
              <w:rFonts w:asciiTheme="majorBidi" w:eastAsia="Roboto" w:hAnsiTheme="majorBidi" w:cstheme="majorBidi"/>
            </w:rPr>
            <w:t>, which is used</w:t>
          </w:r>
        </w:sdtContent>
      </w:sdt>
      <w:r>
        <w:rPr>
          <w:rFonts w:asciiTheme="majorBidi" w:eastAsia="Roboto" w:hAnsiTheme="majorBidi" w:cstheme="majorBidi"/>
        </w:rPr>
        <w:t xml:space="preserve"> to prosecute and silence them. It is on th</w:t>
      </w:r>
      <w:sdt>
        <w:sdtPr>
          <w:rPr>
            <w:rFonts w:asciiTheme="majorBidi" w:hAnsiTheme="majorBidi" w:cstheme="majorBidi"/>
          </w:rPr>
          <w:tag w:val="goog_rdk_19"/>
          <w:id w:val="990683052"/>
        </w:sdtPr>
        <w:sdtContent>
          <w:r>
            <w:rPr>
              <w:rFonts w:asciiTheme="majorBidi" w:eastAsia="Roboto" w:hAnsiTheme="majorBidi" w:cstheme="majorBidi"/>
            </w:rPr>
            <w:t>e</w:t>
          </w:r>
        </w:sdtContent>
      </w:sdt>
      <w:r>
        <w:rPr>
          <w:rFonts w:asciiTheme="majorBidi" w:eastAsia="Roboto" w:hAnsiTheme="majorBidi" w:cstheme="majorBidi"/>
        </w:rPr>
        <w:t xml:space="preserve"> basis</w:t>
      </w:r>
      <w:sdt>
        <w:sdtPr>
          <w:rPr>
            <w:rFonts w:asciiTheme="majorBidi" w:hAnsiTheme="majorBidi" w:cstheme="majorBidi"/>
          </w:rPr>
          <w:tag w:val="goog_rdk_21"/>
          <w:id w:val="-1490938038"/>
        </w:sdtPr>
        <w:sdtContent>
          <w:r>
            <w:rPr>
              <w:rFonts w:asciiTheme="majorBidi" w:eastAsia="Roboto" w:hAnsiTheme="majorBidi" w:cstheme="majorBidi"/>
            </w:rPr>
            <w:t xml:space="preserve"> of the Counter-Terrorism Law</w:t>
          </w:r>
          <w:r>
            <w:rPr>
              <w:rFonts w:asciiTheme="majorBidi" w:eastAsia="Roboto" w:hAnsiTheme="majorBidi" w:cstheme="majorBidi"/>
              <w:vertAlign w:val="superscript"/>
            </w:rPr>
            <w:footnoteReference w:id="6"/>
          </w:r>
          <w:r>
            <w:rPr>
              <w:rFonts w:asciiTheme="majorBidi" w:eastAsia="Roboto" w:hAnsiTheme="majorBidi" w:cstheme="majorBidi"/>
            </w:rPr>
            <w:t xml:space="preserve"> and the Anti-Cybercrime Law</w:t>
          </w:r>
          <w:r>
            <w:rPr>
              <w:rFonts w:asciiTheme="majorBidi" w:eastAsia="Roboto" w:hAnsiTheme="majorBidi" w:cstheme="majorBidi"/>
              <w:vertAlign w:val="superscript"/>
            </w:rPr>
            <w:footnoteReference w:id="7"/>
          </w:r>
        </w:sdtContent>
      </w:sdt>
      <w:r>
        <w:rPr>
          <w:rFonts w:asciiTheme="majorBidi" w:eastAsia="Roboto" w:hAnsiTheme="majorBidi" w:cstheme="majorBidi"/>
        </w:rPr>
        <w:t xml:space="preserve"> that Saudi courts give lengthy prison sentences to women human rights defenders for expressing dissent. For example, in 2022, </w:t>
      </w:r>
      <w:r w:rsidR="00063C50">
        <w:rPr>
          <w:rFonts w:asciiTheme="majorBidi" w:eastAsia="Roboto" w:hAnsiTheme="majorBidi" w:cstheme="majorBidi"/>
        </w:rPr>
        <w:t>S. S</w:t>
      </w:r>
      <w:r>
        <w:rPr>
          <w:rFonts w:asciiTheme="majorBidi" w:eastAsia="Roboto" w:hAnsiTheme="majorBidi" w:cstheme="majorBidi"/>
        </w:rPr>
        <w:t xml:space="preserve"> and </w:t>
      </w:r>
      <w:r w:rsidR="00063C50">
        <w:rPr>
          <w:rFonts w:asciiTheme="majorBidi" w:eastAsia="Roboto" w:hAnsiTheme="majorBidi" w:cstheme="majorBidi"/>
        </w:rPr>
        <w:t>N. Q</w:t>
      </w:r>
      <w:r>
        <w:rPr>
          <w:rFonts w:asciiTheme="majorBidi" w:eastAsia="Roboto" w:hAnsiTheme="majorBidi" w:cstheme="majorBidi"/>
        </w:rPr>
        <w:t xml:space="preserve"> were each sentenced to 27 and 45 years in prison for </w:t>
      </w:r>
      <w:sdt>
        <w:sdtPr>
          <w:rPr>
            <w:rFonts w:asciiTheme="majorBidi" w:hAnsiTheme="majorBidi" w:cstheme="majorBidi"/>
          </w:rPr>
          <w:tag w:val="goog_rdk_23"/>
          <w:id w:val="-931503241"/>
        </w:sdtPr>
        <w:sdtContent>
          <w:r>
            <w:rPr>
              <w:rFonts w:asciiTheme="majorBidi" w:eastAsia="Roboto" w:hAnsiTheme="majorBidi" w:cstheme="majorBidi"/>
            </w:rPr>
            <w:t>expressing their criticism regarding reforms carried out by the Saudi government through Twitter</w:t>
          </w:r>
        </w:sdtContent>
      </w:sdt>
      <w:r>
        <w:rPr>
          <w:rFonts w:asciiTheme="majorBidi" w:eastAsia="Roboto" w:hAnsiTheme="majorBidi" w:cstheme="majorBidi"/>
        </w:rPr>
        <w:t xml:space="preserve">. According to the UNWGAD, both of their sentences </w:t>
      </w:r>
      <w:sdt>
        <w:sdtPr>
          <w:rPr>
            <w:rFonts w:asciiTheme="majorBidi" w:hAnsiTheme="majorBidi" w:cstheme="majorBidi"/>
          </w:rPr>
          <w:tag w:val="goog_rdk_26"/>
          <w:id w:val="-1313325194"/>
        </w:sdtPr>
        <w:sdtContent>
          <w:r>
            <w:rPr>
              <w:rFonts w:asciiTheme="majorBidi" w:eastAsia="Roboto" w:hAnsiTheme="majorBidi" w:cstheme="majorBidi"/>
            </w:rPr>
            <w:t>are</w:t>
          </w:r>
        </w:sdtContent>
      </w:sdt>
      <w:sdt>
        <w:sdtPr>
          <w:rPr>
            <w:rFonts w:asciiTheme="majorBidi" w:hAnsiTheme="majorBidi" w:cstheme="majorBidi"/>
          </w:rPr>
          <w:tag w:val="goog_rdk_27"/>
          <w:id w:val="-721055527"/>
        </w:sdtPr>
        <w:sdtContent>
          <w:r w:rsidR="00C41F58">
            <w:rPr>
              <w:rFonts w:asciiTheme="majorBidi" w:hAnsiTheme="majorBidi" w:cstheme="majorBidi"/>
            </w:rPr>
            <w:t xml:space="preserve"> </w:t>
          </w:r>
        </w:sdtContent>
      </w:sdt>
      <w:r>
        <w:rPr>
          <w:rFonts w:asciiTheme="majorBidi" w:eastAsia="Roboto" w:hAnsiTheme="majorBidi" w:cstheme="majorBidi"/>
        </w:rPr>
        <w:t>arbitrary and in violation of the Universal Declaration of Human Rights.</w:t>
      </w:r>
    </w:p>
    <w:p w14:paraId="3DF530E5" w14:textId="1883C5C7" w:rsidR="005C55F8" w:rsidRDefault="00000000">
      <w:pPr>
        <w:jc w:val="both"/>
        <w:rPr>
          <w:rFonts w:asciiTheme="majorBidi" w:eastAsia="Roboto" w:hAnsiTheme="majorBidi" w:cstheme="majorBidi"/>
        </w:rPr>
      </w:pPr>
      <w:r>
        <w:rPr>
          <w:rFonts w:asciiTheme="majorBidi" w:eastAsia="Roboto" w:hAnsiTheme="majorBidi" w:cstheme="majorBidi"/>
        </w:rPr>
        <w:t xml:space="preserve">Saudi authorities similarly targeted women human rights defender </w:t>
      </w:r>
      <w:proofErr w:type="gramStart"/>
      <w:r w:rsidR="00063C50">
        <w:rPr>
          <w:rFonts w:asciiTheme="majorBidi" w:eastAsia="Roboto" w:hAnsiTheme="majorBidi" w:cstheme="majorBidi"/>
        </w:rPr>
        <w:t>M.O</w:t>
      </w:r>
      <w:proofErr w:type="gramEnd"/>
      <w:r>
        <w:rPr>
          <w:rFonts w:asciiTheme="majorBidi" w:eastAsia="Roboto" w:hAnsiTheme="majorBidi" w:cstheme="majorBidi"/>
          <w:vertAlign w:val="superscript"/>
        </w:rPr>
        <w:footnoteReference w:id="8"/>
      </w:r>
      <w:r>
        <w:rPr>
          <w:rFonts w:asciiTheme="majorBidi" w:eastAsia="Roboto" w:hAnsiTheme="majorBidi" w:cstheme="majorBidi"/>
        </w:rPr>
        <w:t xml:space="preserve"> for her peaceful activism on social media and for taking part in a campaign against guardianship laws titled #IAmMyOwnGuardian.</w:t>
      </w:r>
      <w:r>
        <w:rPr>
          <w:rFonts w:asciiTheme="majorBidi" w:eastAsia="Roboto" w:hAnsiTheme="majorBidi" w:cstheme="majorBidi"/>
          <w:vertAlign w:val="superscript"/>
        </w:rPr>
        <w:footnoteReference w:id="9"/>
      </w:r>
      <w:r>
        <w:rPr>
          <w:rFonts w:asciiTheme="majorBidi" w:eastAsia="Roboto" w:hAnsiTheme="majorBidi" w:cstheme="majorBidi"/>
        </w:rPr>
        <w:t xml:space="preserve"> In 2016, she had refused to obey her father who instructed her to retract a complaint of domestic violence she had filed against her brothers, after they verbally and physically abused her as retribution for her campaigning efforts. She was arrested on 18 April 2017 and later charged for “parental disobedience” following a complaint from her father.</w:t>
      </w:r>
    </w:p>
    <w:p w14:paraId="0261A021" w14:textId="0A40C093" w:rsidR="005C55F8" w:rsidRDefault="00000000">
      <w:pPr>
        <w:spacing w:before="240" w:after="240"/>
        <w:jc w:val="both"/>
        <w:rPr>
          <w:rFonts w:asciiTheme="majorBidi" w:eastAsia="Roboto" w:hAnsiTheme="majorBidi" w:cstheme="majorBidi"/>
        </w:rPr>
      </w:pPr>
      <w:r>
        <w:rPr>
          <w:rFonts w:asciiTheme="majorBidi" w:eastAsia="Roboto" w:hAnsiTheme="majorBidi" w:cstheme="majorBidi"/>
        </w:rPr>
        <w:t xml:space="preserve">The case of </w:t>
      </w:r>
      <w:r w:rsidR="00063C50">
        <w:rPr>
          <w:rFonts w:asciiTheme="majorBidi" w:eastAsia="Roboto" w:hAnsiTheme="majorBidi" w:cstheme="majorBidi"/>
        </w:rPr>
        <w:t>M.O</w:t>
      </w:r>
      <w:r>
        <w:rPr>
          <w:rFonts w:asciiTheme="majorBidi" w:eastAsia="Roboto" w:hAnsiTheme="majorBidi" w:cstheme="majorBidi"/>
        </w:rPr>
        <w:t xml:space="preserve"> was never mentioned by any Saudi authority, nor by the Saudi Human Rights Commission and it has never been submitted as part of their national reporting to human rights mechanisms. </w:t>
      </w:r>
    </w:p>
    <w:p w14:paraId="7648CAC8" w14:textId="23746CBA" w:rsidR="005C55F8" w:rsidRDefault="00063C50">
      <w:pPr>
        <w:spacing w:before="240" w:after="240"/>
        <w:jc w:val="both"/>
        <w:rPr>
          <w:rFonts w:asciiTheme="majorBidi" w:eastAsia="Roboto" w:hAnsiTheme="majorBidi" w:cstheme="majorBidi"/>
        </w:rPr>
      </w:pPr>
      <w:r>
        <w:rPr>
          <w:rFonts w:asciiTheme="majorBidi" w:eastAsia="Roboto" w:hAnsiTheme="majorBidi" w:cstheme="majorBidi"/>
        </w:rPr>
        <w:t>M.O</w:t>
      </w:r>
      <w:r w:rsidR="00000000">
        <w:rPr>
          <w:rFonts w:asciiTheme="majorBidi" w:eastAsia="Roboto" w:hAnsiTheme="majorBidi" w:cstheme="majorBidi"/>
        </w:rPr>
        <w:t xml:space="preserve">’s sister, </w:t>
      </w:r>
      <w:r>
        <w:rPr>
          <w:rFonts w:asciiTheme="majorBidi" w:eastAsia="Roboto" w:hAnsiTheme="majorBidi" w:cstheme="majorBidi"/>
        </w:rPr>
        <w:t>M. A. O</w:t>
      </w:r>
      <w:r w:rsidR="00000000">
        <w:rPr>
          <w:rFonts w:asciiTheme="majorBidi" w:eastAsia="Roboto" w:hAnsiTheme="majorBidi" w:cstheme="majorBidi"/>
        </w:rPr>
        <w:t xml:space="preserve">, was also arrested on 16 November 2022 for having been vocal about female empowerment on her social media platforms. She was active on Snapchat, </w:t>
      </w:r>
      <w:proofErr w:type="gramStart"/>
      <w:r w:rsidR="00000000">
        <w:rPr>
          <w:rFonts w:asciiTheme="majorBidi" w:eastAsia="Roboto" w:hAnsiTheme="majorBidi" w:cstheme="majorBidi"/>
        </w:rPr>
        <w:t>Twitter</w:t>
      </w:r>
      <w:proofErr w:type="gramEnd"/>
      <w:r w:rsidR="00000000">
        <w:rPr>
          <w:rFonts w:asciiTheme="majorBidi" w:eastAsia="Roboto" w:hAnsiTheme="majorBidi" w:cstheme="majorBidi"/>
        </w:rPr>
        <w:t xml:space="preserve"> and Instagram where she shared fitness videos as well as peaceful posts advocating for liberal dress codes for women, LGBTQ+ rights and the abolition of the male guardianship system. Just like her sister, she was particularly vocal about violations of the fundamental rights of women within the kingdom </w:t>
      </w:r>
      <w:proofErr w:type="gramStart"/>
      <w:r w:rsidR="00000000">
        <w:rPr>
          <w:rFonts w:asciiTheme="majorBidi" w:eastAsia="Roboto" w:hAnsiTheme="majorBidi" w:cstheme="majorBidi"/>
        </w:rPr>
        <w:t>and also</w:t>
      </w:r>
      <w:proofErr w:type="gramEnd"/>
      <w:r w:rsidR="00000000">
        <w:rPr>
          <w:rFonts w:asciiTheme="majorBidi" w:eastAsia="Roboto" w:hAnsiTheme="majorBidi" w:cstheme="majorBidi"/>
        </w:rPr>
        <w:t xml:space="preserve"> used the hashtag #IAmMyOwnGuardian.</w:t>
      </w:r>
    </w:p>
    <w:p w14:paraId="61984EB9" w14:textId="39260634" w:rsidR="005C55F8" w:rsidRDefault="00000000">
      <w:pPr>
        <w:spacing w:before="240" w:after="240"/>
        <w:jc w:val="both"/>
        <w:rPr>
          <w:rFonts w:asciiTheme="majorBidi" w:eastAsia="Roboto" w:hAnsiTheme="majorBidi" w:cstheme="majorBidi"/>
        </w:rPr>
      </w:pPr>
      <w:r>
        <w:rPr>
          <w:rFonts w:asciiTheme="majorBidi" w:eastAsia="Roboto" w:hAnsiTheme="majorBidi" w:cstheme="majorBidi"/>
        </w:rPr>
        <w:t>Since her arrest, she has been subjected to various forms of physical and psychological abuse</w:t>
      </w:r>
      <w:sdt>
        <w:sdtPr>
          <w:rPr>
            <w:rFonts w:asciiTheme="majorBidi" w:hAnsiTheme="majorBidi" w:cstheme="majorBidi"/>
          </w:rPr>
          <w:tag w:val="goog_rdk_28"/>
          <w:id w:val="771667526"/>
        </w:sdtPr>
        <w:sdtContent>
          <w:r>
            <w:rPr>
              <w:rFonts w:asciiTheme="majorBidi" w:eastAsia="Roboto" w:hAnsiTheme="majorBidi" w:cstheme="majorBidi"/>
            </w:rPr>
            <w:t xml:space="preserve">, along with extended periods of incommunicado detention. From November 2023 to April 2024, she was prevented from having any contact with her family. In April 2024, she managed to call </w:t>
          </w:r>
          <w:r>
            <w:rPr>
              <w:rFonts w:asciiTheme="majorBidi" w:eastAsia="Roboto" w:hAnsiTheme="majorBidi" w:cstheme="majorBidi"/>
            </w:rPr>
            <w:lastRenderedPageBreak/>
            <w:t xml:space="preserve">them, revealing that she was being held in inhumane conditions and placed in solitary confinement. During the call, she also explained that her leg was broken due to physical abuse and that she had been denied medical care. After that call, </w:t>
          </w:r>
          <w:r w:rsidR="00063C50">
            <w:rPr>
              <w:rFonts w:asciiTheme="majorBidi" w:eastAsia="Roboto" w:hAnsiTheme="majorBidi" w:cstheme="majorBidi"/>
            </w:rPr>
            <w:t>M. A. O</w:t>
          </w:r>
          <w:r>
            <w:rPr>
              <w:rFonts w:asciiTheme="majorBidi" w:eastAsia="Roboto" w:hAnsiTheme="majorBidi" w:cstheme="majorBidi"/>
            </w:rPr>
            <w:t xml:space="preserve"> was once again almost completely denied the right to contact her family.</w:t>
          </w:r>
        </w:sdtContent>
      </w:sdt>
      <w:r>
        <w:rPr>
          <w:rFonts w:asciiTheme="majorBidi" w:eastAsia="Roboto" w:hAnsiTheme="majorBidi" w:cstheme="majorBidi"/>
        </w:rPr>
        <w:t xml:space="preserve"> UN Special Procedures mandate holders issued a communication, urging Saudi authorities to provide information on the legal grounds for her arrest and detention. In their reply, the Saudi government revealed that she had been sentenced on 9 January 2024 for “having committed terrorist offences punishable under articles 43 and 44 of the [2017 Counterterrorism Law]”.</w:t>
      </w:r>
    </w:p>
    <w:sdt>
      <w:sdtPr>
        <w:rPr>
          <w:rFonts w:asciiTheme="majorBidi" w:hAnsiTheme="majorBidi" w:cstheme="majorBidi"/>
        </w:rPr>
        <w:tag w:val="goog_rdk_37"/>
        <w:id w:val="-1832519410"/>
      </w:sdtPr>
      <w:sdtContent>
        <w:p w14:paraId="2B10E78D" w14:textId="163B641B" w:rsidR="005C55F8" w:rsidRDefault="00000000">
          <w:pPr>
            <w:spacing w:before="0" w:after="0"/>
            <w:jc w:val="both"/>
            <w:rPr>
              <w:rFonts w:asciiTheme="majorBidi" w:eastAsia="Roboto" w:hAnsiTheme="majorBidi" w:cstheme="majorBidi"/>
            </w:rPr>
          </w:pPr>
          <w:r>
            <w:rPr>
              <w:rFonts w:asciiTheme="majorBidi" w:eastAsia="Roboto" w:hAnsiTheme="majorBidi" w:cstheme="majorBidi"/>
            </w:rPr>
            <w:t xml:space="preserve">Similarly, </w:t>
          </w:r>
          <w:r w:rsidR="00063C50">
            <w:rPr>
              <w:rFonts w:asciiTheme="majorBidi" w:eastAsia="Roboto" w:hAnsiTheme="majorBidi" w:cstheme="majorBidi"/>
            </w:rPr>
            <w:t>L. H</w:t>
          </w:r>
          <w:r>
            <w:rPr>
              <w:rFonts w:asciiTheme="majorBidi" w:eastAsia="Roboto" w:hAnsiTheme="majorBidi" w:cstheme="majorBidi"/>
            </w:rPr>
            <w:t xml:space="preserve">, a prominent Saudi women’s rights activist, fearlessly </w:t>
          </w:r>
          <w:proofErr w:type="gramStart"/>
          <w:r>
            <w:rPr>
              <w:rFonts w:asciiTheme="majorBidi" w:eastAsia="Roboto" w:hAnsiTheme="majorBidi" w:cstheme="majorBidi"/>
            </w:rPr>
            <w:t>protested against</w:t>
          </w:r>
          <w:proofErr w:type="gramEnd"/>
          <w:r>
            <w:rPr>
              <w:rFonts w:asciiTheme="majorBidi" w:eastAsia="Roboto" w:hAnsiTheme="majorBidi" w:cstheme="majorBidi"/>
            </w:rPr>
            <w:t xml:space="preserve"> the male guardianship system and the driving ban imposed on women.</w:t>
          </w:r>
          <w:sdt>
            <w:sdtPr>
              <w:rPr>
                <w:rFonts w:asciiTheme="majorBidi" w:hAnsiTheme="majorBidi" w:cstheme="majorBidi"/>
              </w:rPr>
              <w:tag w:val="goog_rdk_33"/>
              <w:id w:val="615490824"/>
            </w:sdtPr>
            <w:sdtContent>
              <w:r>
                <w:rPr>
                  <w:rFonts w:asciiTheme="majorBidi" w:eastAsia="Roboto" w:hAnsiTheme="majorBidi" w:cstheme="majorBidi"/>
                </w:rPr>
                <w:t xml:space="preserve"> On 27 February 2018, she attended a public meeting in Geneva to brief members of the Committee on the Elimination of Discrimination against Women on the human rights situation of women in Saudi Arabia. Her briefing was part of the Committee’s review of Saudi Arabia’s implementation of the CEDAW. </w:t>
              </w:r>
            </w:sdtContent>
          </w:sdt>
          <w:r>
            <w:rPr>
              <w:rFonts w:asciiTheme="majorBidi" w:eastAsia="Roboto" w:hAnsiTheme="majorBidi" w:cstheme="majorBidi"/>
            </w:rPr>
            <w:t xml:space="preserve">In May 2018, Saudi authorities conducted a wave of arrest against several women human rights defenders, including </w:t>
          </w:r>
          <w:r w:rsidR="00063C50">
            <w:rPr>
              <w:rFonts w:asciiTheme="majorBidi" w:eastAsia="Roboto" w:hAnsiTheme="majorBidi" w:cstheme="majorBidi"/>
            </w:rPr>
            <w:t>L. H</w:t>
          </w:r>
          <w:r>
            <w:rPr>
              <w:rFonts w:asciiTheme="majorBidi" w:eastAsia="Roboto" w:hAnsiTheme="majorBidi" w:cstheme="majorBidi"/>
            </w:rPr>
            <w:t>.</w:t>
          </w:r>
          <w:sdt>
            <w:sdtPr>
              <w:rPr>
                <w:rFonts w:asciiTheme="majorBidi" w:hAnsiTheme="majorBidi" w:cstheme="majorBidi"/>
              </w:rPr>
              <w:tag w:val="goog_rdk_35"/>
              <w:id w:val="-89326285"/>
            </w:sdtPr>
            <w:sdtContent>
              <w:r w:rsidR="00C41F58">
                <w:rPr>
                  <w:rFonts w:asciiTheme="majorBidi" w:eastAsia="Roboto" w:hAnsiTheme="majorBidi" w:cstheme="majorBidi"/>
                  <w:vertAlign w:val="superscript"/>
                </w:rPr>
                <w:t xml:space="preserve"> </w:t>
              </w:r>
            </w:sdtContent>
          </w:sdt>
          <w:r>
            <w:rPr>
              <w:rFonts w:asciiTheme="majorBidi" w:eastAsia="Roboto" w:hAnsiTheme="majorBidi" w:cstheme="majorBidi"/>
            </w:rPr>
            <w:t xml:space="preserve">She was arrested on 15 May 2018 and was immediately detained until her conditional release in February 2021. During the first six weeks of her detention, </w:t>
          </w:r>
          <w:r w:rsidR="00063C50">
            <w:rPr>
              <w:rFonts w:asciiTheme="majorBidi" w:eastAsia="Roboto" w:hAnsiTheme="majorBidi" w:cstheme="majorBidi"/>
            </w:rPr>
            <w:t>L. H</w:t>
          </w:r>
          <w:r>
            <w:rPr>
              <w:rFonts w:asciiTheme="majorBidi" w:eastAsia="Roboto" w:hAnsiTheme="majorBidi" w:cstheme="majorBidi"/>
            </w:rPr>
            <w:t xml:space="preserve"> was held in an unofficial detention facility, known as “the hotel” or “the officers’ guesthouse”, where she was brutally tortured by high-ranking state officials, including</w:t>
          </w:r>
          <w:r w:rsidR="00C41F58">
            <w:rPr>
              <w:rFonts w:asciiTheme="majorBidi" w:eastAsia="Roboto" w:hAnsiTheme="majorBidi" w:cstheme="majorBidi"/>
            </w:rPr>
            <w:t xml:space="preserve"> S. Q. </w:t>
          </w:r>
          <w:r>
            <w:rPr>
              <w:rFonts w:asciiTheme="majorBidi" w:eastAsia="Roboto" w:hAnsiTheme="majorBidi" w:cstheme="majorBidi"/>
            </w:rPr>
            <w:t xml:space="preserve">She was held in solitary confinement, beaten, electrocuted, sexually </w:t>
          </w:r>
          <w:proofErr w:type="gramStart"/>
          <w:r>
            <w:rPr>
              <w:rFonts w:asciiTheme="majorBidi" w:eastAsia="Roboto" w:hAnsiTheme="majorBidi" w:cstheme="majorBidi"/>
            </w:rPr>
            <w:t>harassed</w:t>
          </w:r>
          <w:proofErr w:type="gramEnd"/>
          <w:r>
            <w:rPr>
              <w:rFonts w:asciiTheme="majorBidi" w:eastAsia="Roboto" w:hAnsiTheme="majorBidi" w:cstheme="majorBidi"/>
            </w:rPr>
            <w:t xml:space="preserve"> and threatened with rape and murder.</w:t>
          </w:r>
          <w:sdt>
            <w:sdtPr>
              <w:rPr>
                <w:rFonts w:asciiTheme="majorBidi" w:hAnsiTheme="majorBidi" w:cstheme="majorBidi"/>
              </w:rPr>
              <w:tag w:val="goog_rdk_36"/>
              <w:id w:val="-1795671070"/>
            </w:sdtPr>
            <w:sdtContent>
              <w:r>
                <w:rPr>
                  <w:rFonts w:asciiTheme="majorBidi" w:eastAsia="Roboto" w:hAnsiTheme="majorBidi" w:cstheme="majorBidi"/>
                </w:rPr>
                <w:t xml:space="preserve"> She is currently subject to an arbitrary travel ban, preventing her from leaving the country. This ban has also been unjustly extended to her family members, who have never faced any legal charges. </w:t>
              </w:r>
            </w:sdtContent>
          </w:sdt>
        </w:p>
      </w:sdtContent>
    </w:sdt>
    <w:sdt>
      <w:sdtPr>
        <w:rPr>
          <w:rFonts w:asciiTheme="majorBidi" w:hAnsiTheme="majorBidi" w:cstheme="majorBidi"/>
        </w:rPr>
        <w:tag w:val="goog_rdk_39"/>
        <w:id w:val="-1327280454"/>
      </w:sdtPr>
      <w:sdtContent>
        <w:p w14:paraId="428FC59E" w14:textId="77777777" w:rsidR="005C55F8" w:rsidRDefault="00000000">
          <w:pPr>
            <w:spacing w:before="0" w:after="0"/>
            <w:jc w:val="both"/>
            <w:rPr>
              <w:rFonts w:asciiTheme="majorBidi" w:eastAsia="Roboto" w:hAnsiTheme="majorBidi" w:cstheme="majorBidi"/>
            </w:rPr>
          </w:pPr>
          <w:sdt>
            <w:sdtPr>
              <w:rPr>
                <w:rFonts w:asciiTheme="majorBidi" w:hAnsiTheme="majorBidi" w:cstheme="majorBidi"/>
              </w:rPr>
              <w:tag w:val="goog_rdk_38"/>
              <w:id w:val="-152457794"/>
              <w:showingPlcHdr/>
            </w:sdtPr>
            <w:sdtContent>
              <w:r>
                <w:rPr>
                  <w:rFonts w:asciiTheme="majorBidi" w:hAnsiTheme="majorBidi" w:cstheme="majorBidi"/>
                </w:rPr>
                <w:t xml:space="preserve">     </w:t>
              </w:r>
            </w:sdtContent>
          </w:sdt>
        </w:p>
      </w:sdtContent>
    </w:sdt>
    <w:p w14:paraId="209D1D7C" w14:textId="77777777" w:rsidR="005C55F8" w:rsidRDefault="00000000">
      <w:pPr>
        <w:pStyle w:val="Heading1"/>
        <w:rPr>
          <w:sz w:val="40"/>
          <w:szCs w:val="40"/>
        </w:rPr>
      </w:pPr>
      <w:bookmarkStart w:id="3" w:name="_heading=h.ml2o52xkwox9"/>
      <w:bookmarkEnd w:id="3"/>
      <w:r>
        <w:t>Travel bans</w:t>
      </w:r>
      <w:bookmarkStart w:id="4" w:name="_heading=h.spma57uh3a1v"/>
      <w:bookmarkEnd w:id="4"/>
    </w:p>
    <w:sdt>
      <w:sdtPr>
        <w:tag w:val="goog_rdk_51"/>
        <w:id w:val="1294557544"/>
      </w:sdtPr>
      <w:sdtContent>
        <w:p w14:paraId="4680E4C7" w14:textId="77777777" w:rsidR="005C55F8" w:rsidRDefault="00000000">
          <w:pPr>
            <w:jc w:val="both"/>
            <w:rPr>
              <w:rFonts w:asciiTheme="majorBidi" w:eastAsia="Roboto" w:hAnsiTheme="majorBidi" w:cstheme="majorBidi"/>
            </w:rPr>
          </w:pPr>
          <w:r>
            <w:rPr>
              <w:rFonts w:asciiTheme="majorBidi" w:eastAsia="Roboto" w:hAnsiTheme="majorBidi" w:cstheme="majorBidi"/>
            </w:rPr>
            <w:t xml:space="preserve">Women human rights defenders who have expressed criticism towards the government and its policies face the imposition of lengthy travel bans against them. Such travel bans are usually imposed as part of their sentence which prevent them from leaving Saudi Arabia. The length of travel bans most often range between 5 and 20 years. </w:t>
          </w:r>
          <w:sdt>
            <w:sdtPr>
              <w:rPr>
                <w:rFonts w:asciiTheme="majorBidi" w:hAnsiTheme="majorBidi" w:cstheme="majorBidi"/>
              </w:rPr>
              <w:tag w:val="goog_rdk_50"/>
              <w:id w:val="-1011059306"/>
            </w:sdtPr>
            <w:sdtContent>
              <w:r>
                <w:rPr>
                  <w:rFonts w:asciiTheme="majorBidi" w:eastAsia="Roboto" w:hAnsiTheme="majorBidi" w:cstheme="majorBidi"/>
                </w:rPr>
                <w:t xml:space="preserve">Article 10 of the Counter-Terrorism Law stipulates </w:t>
              </w:r>
              <w:proofErr w:type="gramStart"/>
              <w:r>
                <w:rPr>
                  <w:rFonts w:asciiTheme="majorBidi" w:eastAsia="Roboto" w:hAnsiTheme="majorBidi" w:cstheme="majorBidi"/>
                </w:rPr>
                <w:t>that :</w:t>
              </w:r>
              <w:proofErr w:type="gramEnd"/>
              <w:r>
                <w:rPr>
                  <w:rFonts w:asciiTheme="majorBidi" w:eastAsia="Roboto" w:hAnsiTheme="majorBidi" w:cstheme="majorBidi"/>
                </w:rPr>
                <w:t xml:space="preserve"> </w:t>
              </w:r>
            </w:sdtContent>
          </w:sdt>
        </w:p>
      </w:sdtContent>
    </w:sdt>
    <w:sdt>
      <w:sdtPr>
        <w:rPr>
          <w:rFonts w:asciiTheme="majorBidi" w:hAnsiTheme="majorBidi" w:cstheme="majorBidi"/>
        </w:rPr>
        <w:tag w:val="goog_rdk_53"/>
        <w:id w:val="808056770"/>
      </w:sdtPr>
      <w:sdtContent>
        <w:p w14:paraId="59D5921D" w14:textId="77777777" w:rsidR="005C55F8" w:rsidRDefault="00000000">
          <w:pPr>
            <w:numPr>
              <w:ilvl w:val="0"/>
              <w:numId w:val="2"/>
            </w:numPr>
            <w:spacing w:before="0" w:after="0" w:line="276" w:lineRule="auto"/>
            <w:jc w:val="both"/>
            <w:rPr>
              <w:rFonts w:asciiTheme="majorBidi" w:eastAsia="Arial" w:hAnsiTheme="majorBidi" w:cstheme="majorBidi"/>
            </w:rPr>
          </w:pPr>
          <w:sdt>
            <w:sdtPr>
              <w:rPr>
                <w:rFonts w:asciiTheme="majorBidi" w:hAnsiTheme="majorBidi" w:cstheme="majorBidi"/>
              </w:rPr>
              <w:tag w:val="goog_rdk_52"/>
              <w:id w:val="807604144"/>
            </w:sdtPr>
            <w:sdtContent>
              <w:r>
                <w:rPr>
                  <w:rFonts w:asciiTheme="majorBidi" w:eastAsia="Roboto" w:hAnsiTheme="majorBidi" w:cstheme="majorBidi"/>
                </w:rPr>
                <w:t>The President of State Security may ban the person suspected of committing any of the crimes stipulated in this Law from travelling outside the Kingdom, provided that the travel ban order is referred to the Public Prosecution within 72 hours of its date of issuance, or that other measures relating to the suspect’s travel or return are taken. The ban order may provide for non-notification of the suspect of measures taken against him if security interests so require.</w:t>
              </w:r>
            </w:sdtContent>
          </w:sdt>
        </w:p>
      </w:sdtContent>
    </w:sdt>
    <w:sdt>
      <w:sdtPr>
        <w:rPr>
          <w:rFonts w:asciiTheme="majorBidi" w:hAnsiTheme="majorBidi" w:cstheme="majorBidi"/>
        </w:rPr>
        <w:tag w:val="goog_rdk_56"/>
        <w:id w:val="1933769423"/>
      </w:sdtPr>
      <w:sdtContent>
        <w:p w14:paraId="71534AFC" w14:textId="77777777" w:rsidR="005C55F8" w:rsidRDefault="00000000">
          <w:pPr>
            <w:numPr>
              <w:ilvl w:val="0"/>
              <w:numId w:val="2"/>
            </w:numPr>
            <w:spacing w:before="0" w:after="0" w:line="276" w:lineRule="auto"/>
            <w:jc w:val="both"/>
            <w:rPr>
              <w:rFonts w:asciiTheme="majorBidi" w:eastAsia="Arial" w:hAnsiTheme="majorBidi" w:cstheme="majorBidi"/>
            </w:rPr>
          </w:pPr>
          <w:sdt>
            <w:sdtPr>
              <w:rPr>
                <w:rFonts w:asciiTheme="majorBidi" w:hAnsiTheme="majorBidi" w:cstheme="majorBidi"/>
              </w:rPr>
              <w:tag w:val="goog_rdk_54"/>
              <w:id w:val="779997765"/>
            </w:sdtPr>
            <w:sdtContent>
              <w:r>
                <w:rPr>
                  <w:rFonts w:asciiTheme="majorBidi" w:eastAsia="Roboto" w:hAnsiTheme="majorBidi" w:cstheme="majorBidi"/>
                </w:rPr>
                <w:t>The Public Prosecutor may ban any person accused of committing any of the crimes stipulated in this Law from travelling outside of the Kingdom. The ban order may provide for non-notification of the accused of measures taken against him if the investigation so requires.</w:t>
              </w:r>
            </w:sdtContent>
          </w:sdt>
          <w:sdt>
            <w:sdtPr>
              <w:rPr>
                <w:rFonts w:asciiTheme="majorBidi" w:hAnsiTheme="majorBidi" w:cstheme="majorBidi"/>
              </w:rPr>
              <w:tag w:val="goog_rdk_55"/>
              <w:id w:val="276771028"/>
              <w:showingPlcHdr/>
            </w:sdtPr>
            <w:sdtContent>
              <w:r>
                <w:t>    </w:t>
              </w:r>
            </w:sdtContent>
          </w:sdt>
        </w:p>
      </w:sdtContent>
    </w:sdt>
    <w:sdt>
      <w:sdtPr>
        <w:rPr>
          <w:rFonts w:asciiTheme="majorBidi" w:hAnsiTheme="majorBidi" w:cstheme="majorBidi"/>
        </w:rPr>
        <w:tag w:val="goog_rdk_61"/>
        <w:id w:val="-1976893391"/>
      </w:sdtPr>
      <w:sdtContent>
        <w:p w14:paraId="23708755" w14:textId="41CF54FC" w:rsidR="005C55F8" w:rsidRDefault="00000000">
          <w:pPr>
            <w:jc w:val="both"/>
            <w:rPr>
              <w:rFonts w:asciiTheme="majorBidi" w:eastAsia="Roboto" w:hAnsiTheme="majorBidi" w:cstheme="majorBidi"/>
            </w:rPr>
          </w:pPr>
          <w:sdt>
            <w:sdtPr>
              <w:rPr>
                <w:rFonts w:asciiTheme="majorBidi" w:hAnsiTheme="majorBidi" w:cstheme="majorBidi"/>
              </w:rPr>
              <w:tag w:val="goog_rdk_58"/>
              <w:id w:val="-96255860"/>
            </w:sdtPr>
            <w:sdtContent>
              <w:sdt>
                <w:sdtPr>
                  <w:rPr>
                    <w:rFonts w:asciiTheme="majorBidi" w:hAnsiTheme="majorBidi" w:cstheme="majorBidi"/>
                  </w:rPr>
                  <w:tag w:val="goog_rdk_59"/>
                  <w:id w:val="1409729353"/>
                </w:sdtPr>
                <w:sdtContent>
                  <w:r>
                    <w:rPr>
                      <w:rFonts w:asciiTheme="majorBidi" w:eastAsia="Roboto" w:hAnsiTheme="majorBidi" w:cstheme="majorBidi"/>
                    </w:rPr>
                    <w:t xml:space="preserve">Hence, travel bans are very commonly used against human rights defenders and peaceful critics of the government. </w:t>
                  </w:r>
                  <w:r w:rsidR="00063C50">
                    <w:rPr>
                      <w:rFonts w:asciiTheme="majorBidi" w:eastAsia="Roboto" w:hAnsiTheme="majorBidi" w:cstheme="majorBidi"/>
                    </w:rPr>
                    <w:t>S. S</w:t>
                  </w:r>
                  <w:r>
                    <w:rPr>
                      <w:rFonts w:asciiTheme="majorBidi" w:eastAsia="Roboto" w:hAnsiTheme="majorBidi" w:cstheme="majorBidi"/>
                    </w:rPr>
                    <w:t xml:space="preserve"> and </w:t>
                  </w:r>
                  <w:r w:rsidR="00063C50">
                    <w:rPr>
                      <w:rFonts w:asciiTheme="majorBidi" w:eastAsia="Roboto" w:hAnsiTheme="majorBidi" w:cstheme="majorBidi"/>
                    </w:rPr>
                    <w:t>N. Q</w:t>
                  </w:r>
                  <w:r>
                    <w:rPr>
                      <w:rFonts w:asciiTheme="majorBidi" w:eastAsia="Roboto" w:hAnsiTheme="majorBidi" w:cstheme="majorBidi"/>
                    </w:rPr>
                    <w:t xml:space="preserve"> have for instance been respectively sentenced to 27 and 45 years of travel bans on top of their prison sentences.</w:t>
                  </w:r>
                </w:sdtContent>
              </w:sdt>
              <w:sdt>
                <w:sdtPr>
                  <w:rPr>
                    <w:rFonts w:asciiTheme="majorBidi" w:hAnsiTheme="majorBidi" w:cstheme="majorBidi"/>
                  </w:rPr>
                  <w:tag w:val="goog_rdk_60"/>
                  <w:id w:val="887916152"/>
                  <w:showingPlcHdr/>
                </w:sdtPr>
                <w:sdtContent>
                  <w:r>
                    <w:rPr>
                      <w:rFonts w:asciiTheme="majorBidi" w:hAnsiTheme="majorBidi" w:cstheme="majorBidi"/>
                    </w:rPr>
                    <w:t xml:space="preserve">     </w:t>
                  </w:r>
                </w:sdtContent>
              </w:sdt>
            </w:sdtContent>
          </w:sdt>
        </w:p>
      </w:sdtContent>
    </w:sdt>
    <w:p w14:paraId="2F047D01" w14:textId="77777777" w:rsidR="005C55F8" w:rsidRDefault="00000000">
      <w:pPr>
        <w:jc w:val="both"/>
        <w:rPr>
          <w:rFonts w:asciiTheme="majorBidi" w:eastAsia="Roboto" w:hAnsiTheme="majorBidi" w:cstheme="majorBidi"/>
        </w:rPr>
      </w:pPr>
      <w:r>
        <w:rPr>
          <w:rFonts w:asciiTheme="majorBidi" w:eastAsia="Roboto" w:hAnsiTheme="majorBidi" w:cstheme="majorBidi"/>
        </w:rPr>
        <w:lastRenderedPageBreak/>
        <w:t xml:space="preserve">Submitting organisations have also documented cases in which arbitrary travel bans are imposed, without a court order. In this case, individuals concerned find out that they cannot travel when they try to exit the country and are turned away by Saudi authorities at the border or the airport. Such travel bans therefore lack a formal legal basis and </w:t>
      </w:r>
      <w:proofErr w:type="spellStart"/>
      <w:r>
        <w:rPr>
          <w:rFonts w:asciiTheme="majorBidi" w:eastAsia="Roboto" w:hAnsiTheme="majorBidi" w:cstheme="majorBidi"/>
        </w:rPr>
        <w:t>can not</w:t>
      </w:r>
      <w:proofErr w:type="spellEnd"/>
      <w:r>
        <w:rPr>
          <w:rFonts w:asciiTheme="majorBidi" w:eastAsia="Roboto" w:hAnsiTheme="majorBidi" w:cstheme="majorBidi"/>
        </w:rPr>
        <w:t xml:space="preserve"> be appealed. This measure usually affects relatives of activists who have been sentenced.</w:t>
      </w:r>
    </w:p>
    <w:p w14:paraId="5A3C60E2" w14:textId="510FD247" w:rsidR="005C55F8" w:rsidRDefault="00000000">
      <w:pPr>
        <w:jc w:val="both"/>
        <w:rPr>
          <w:rFonts w:asciiTheme="majorBidi" w:eastAsia="Roboto" w:hAnsiTheme="majorBidi" w:cstheme="majorBidi"/>
        </w:rPr>
      </w:pPr>
      <w:r>
        <w:rPr>
          <w:rFonts w:asciiTheme="majorBidi" w:eastAsia="Roboto" w:hAnsiTheme="majorBidi" w:cstheme="majorBidi"/>
        </w:rPr>
        <w:t xml:space="preserve">Women’s rights defenders sentenced for their activism have all been subjected to lengthy travel bans, and some of their families have been as well. For instance, after serving her sentence, </w:t>
      </w:r>
      <w:r w:rsidR="00063C50">
        <w:rPr>
          <w:rFonts w:asciiTheme="majorBidi" w:eastAsia="Roboto" w:hAnsiTheme="majorBidi" w:cstheme="majorBidi"/>
        </w:rPr>
        <w:t>L. H</w:t>
      </w:r>
      <w:r>
        <w:rPr>
          <w:rFonts w:asciiTheme="majorBidi" w:eastAsia="Roboto" w:hAnsiTheme="majorBidi" w:cstheme="majorBidi"/>
        </w:rPr>
        <w:t xml:space="preserve"> was released from prison 10 February 2021 with heavy restrictions, including a travel ban lasting two years and ten months. The travel </w:t>
      </w:r>
      <w:proofErr w:type="gramStart"/>
      <w:r>
        <w:rPr>
          <w:rFonts w:asciiTheme="majorBidi" w:eastAsia="Roboto" w:hAnsiTheme="majorBidi" w:cstheme="majorBidi"/>
        </w:rPr>
        <w:t>ban</w:t>
      </w:r>
      <w:proofErr w:type="gramEnd"/>
      <w:r>
        <w:rPr>
          <w:rFonts w:asciiTheme="majorBidi" w:eastAsia="Roboto" w:hAnsiTheme="majorBidi" w:cstheme="majorBidi"/>
        </w:rPr>
        <w:t xml:space="preserve"> formally ended on November 13, 2023. However, she attempted to travel in February 2024 and was told at the border that she remained under a permanent travel ban</w:t>
      </w:r>
      <w:r w:rsidR="00C41F58">
        <w:rPr>
          <w:rFonts w:asciiTheme="majorBidi" w:eastAsia="Roboto" w:hAnsiTheme="majorBidi" w:cstheme="majorBidi"/>
        </w:rPr>
        <w:t>.</w:t>
      </w:r>
      <w:sdt>
        <w:sdtPr>
          <w:rPr>
            <w:rFonts w:asciiTheme="majorBidi" w:hAnsiTheme="majorBidi" w:cstheme="majorBidi"/>
          </w:rPr>
          <w:tag w:val="goog_rdk_62"/>
          <w:id w:val="-1141733623"/>
          <w:showingPlcHdr/>
        </w:sdtPr>
        <w:sdtContent>
          <w:r w:rsidR="00C41F58">
            <w:rPr>
              <w:rFonts w:asciiTheme="majorBidi" w:hAnsiTheme="majorBidi" w:cstheme="majorBidi"/>
            </w:rPr>
            <w:t xml:space="preserve">     </w:t>
          </w:r>
        </w:sdtContent>
      </w:sdt>
      <w:r>
        <w:rPr>
          <w:rFonts w:asciiTheme="majorBidi" w:eastAsia="Roboto" w:hAnsiTheme="majorBidi" w:cstheme="majorBidi"/>
        </w:rPr>
        <w:t xml:space="preserve"> </w:t>
      </w:r>
    </w:p>
    <w:p w14:paraId="595DAFEB" w14:textId="150E052C" w:rsidR="005C55F8" w:rsidRDefault="00000000">
      <w:pPr>
        <w:jc w:val="both"/>
        <w:rPr>
          <w:rFonts w:asciiTheme="majorBidi" w:eastAsia="Roboto" w:hAnsiTheme="majorBidi" w:cstheme="majorBidi"/>
        </w:rPr>
      </w:pPr>
      <w:r>
        <w:rPr>
          <w:rFonts w:asciiTheme="majorBidi" w:eastAsia="Roboto" w:hAnsiTheme="majorBidi" w:cstheme="majorBidi"/>
        </w:rPr>
        <w:t xml:space="preserve">Another example is the case of women human rights defender </w:t>
      </w:r>
      <w:r w:rsidR="00C41F58">
        <w:rPr>
          <w:rFonts w:asciiTheme="majorBidi" w:eastAsia="Roboto" w:hAnsiTheme="majorBidi" w:cstheme="majorBidi"/>
        </w:rPr>
        <w:t>A. Y</w:t>
      </w:r>
      <w:r>
        <w:rPr>
          <w:rFonts w:asciiTheme="majorBidi" w:eastAsia="Roboto" w:hAnsiTheme="majorBidi" w:cstheme="majorBidi"/>
        </w:rPr>
        <w:t xml:space="preserve"> who was detained in May 2018 and provisionally released in March 2019. She is currently serving a five-year travel ban as part of her sentence.</w:t>
      </w:r>
    </w:p>
    <w:p w14:paraId="7A32A0D6" w14:textId="77777777" w:rsidR="005C55F8" w:rsidRDefault="00000000">
      <w:pPr>
        <w:jc w:val="both"/>
        <w:rPr>
          <w:rFonts w:asciiTheme="majorBidi" w:eastAsia="Roboto" w:hAnsiTheme="majorBidi" w:cstheme="majorBidi"/>
          <w:color w:val="212529"/>
          <w:highlight w:val="white"/>
        </w:rPr>
      </w:pPr>
      <w:r>
        <w:rPr>
          <w:rFonts w:asciiTheme="majorBidi" w:eastAsia="Roboto" w:hAnsiTheme="majorBidi" w:cstheme="majorBidi"/>
        </w:rPr>
        <w:t xml:space="preserve">Such arbitrary measures to restrict the right of movement of individuals is contrary to the Kingdom’s legislation. Article 6 para. 2 of the Law on Travel Documents, states that </w:t>
      </w:r>
      <w:r>
        <w:rPr>
          <w:rFonts w:asciiTheme="majorBidi" w:eastAsia="Roboto" w:hAnsiTheme="majorBidi" w:cstheme="majorBidi"/>
          <w:color w:val="212529"/>
          <w:highlight w:val="white"/>
        </w:rPr>
        <w:t xml:space="preserve">no person may be barred from travelling except by a judicial ruling or a decision issued by the Minister of Interior or the President of State Security, for specific security-related reasons and for a specific </w:t>
      </w:r>
      <w:proofErr w:type="gramStart"/>
      <w:r>
        <w:rPr>
          <w:rFonts w:asciiTheme="majorBidi" w:eastAsia="Roboto" w:hAnsiTheme="majorBidi" w:cstheme="majorBidi"/>
          <w:color w:val="212529"/>
          <w:highlight w:val="white"/>
        </w:rPr>
        <w:t>period of time</w:t>
      </w:r>
      <w:proofErr w:type="gramEnd"/>
      <w:r>
        <w:rPr>
          <w:rFonts w:asciiTheme="majorBidi" w:eastAsia="Roboto" w:hAnsiTheme="majorBidi" w:cstheme="majorBidi"/>
          <w:color w:val="212529"/>
          <w:highlight w:val="white"/>
        </w:rPr>
        <w:t>.</w:t>
      </w:r>
      <w:bookmarkStart w:id="5" w:name="_heading=h.umk4yr1vtqzk"/>
      <w:bookmarkEnd w:id="5"/>
      <w:sdt>
        <w:sdtPr>
          <w:rPr>
            <w:rFonts w:asciiTheme="majorBidi" w:hAnsiTheme="majorBidi" w:cstheme="majorBidi"/>
          </w:rPr>
          <w:tag w:val="goog_rdk_152"/>
          <w:id w:val="673541372"/>
          <w:showingPlcHdr/>
        </w:sdtPr>
        <w:sdtContent>
          <w:r>
            <w:t>    </w:t>
          </w:r>
        </w:sdtContent>
      </w:sdt>
    </w:p>
    <w:sdt>
      <w:sdtPr>
        <w:tag w:val="goog_rdk_154"/>
        <w:id w:val="-421727275"/>
      </w:sdtPr>
      <w:sdtContent>
        <w:p w14:paraId="0351231D" w14:textId="77777777" w:rsidR="005C55F8" w:rsidRDefault="00000000">
          <w:pPr>
            <w:rPr>
              <w:rFonts w:ascii="Roboto" w:eastAsia="Roboto" w:hAnsi="Roboto" w:cs="Roboto"/>
              <w:color w:val="212529"/>
              <w:highlight w:val="white"/>
            </w:rPr>
          </w:pPr>
          <w:sdt>
            <w:sdtPr>
              <w:tag w:val="goog_rdk_153"/>
              <w:id w:val="1246380795"/>
              <w:showingPlcHdr/>
            </w:sdtPr>
            <w:sdtContent>
              <w:r>
                <w:t xml:space="preserve">     </w:t>
              </w:r>
            </w:sdtContent>
          </w:sdt>
        </w:p>
      </w:sdtContent>
    </w:sdt>
    <w:bookmarkStart w:id="6" w:name="_heading=h.hg1jw3tcc9sb" w:displacedByCustomXml="next"/>
    <w:bookmarkEnd w:id="6" w:displacedByCustomXml="next"/>
    <w:sdt>
      <w:sdtPr>
        <w:tag w:val="goog_rdk_156"/>
        <w:id w:val="-2068092411"/>
      </w:sdtPr>
      <w:sdtContent>
        <w:p w14:paraId="5ABCBC44" w14:textId="77777777" w:rsidR="005C55F8" w:rsidRDefault="00000000">
          <w:pPr>
            <w:pStyle w:val="Heading1"/>
          </w:pPr>
          <w:sdt>
            <w:sdtPr>
              <w:tag w:val="goog_rdk_155"/>
              <w:id w:val="-1497334069"/>
            </w:sdtPr>
            <w:sdtContent>
              <w:r>
                <w:t xml:space="preserve">Treatment of women in prison </w:t>
              </w:r>
            </w:sdtContent>
          </w:sdt>
        </w:p>
      </w:sdtContent>
    </w:sdt>
    <w:sdt>
      <w:sdtPr>
        <w:tag w:val="goog_rdk_166"/>
        <w:id w:val="-1799293375"/>
      </w:sdtPr>
      <w:sdtContent>
        <w:p w14:paraId="158F6768" w14:textId="77777777" w:rsidR="005C55F8" w:rsidRDefault="00000000">
          <w:pPr>
            <w:pStyle w:val="Heading2"/>
          </w:pPr>
          <w:sdt>
            <w:sdtPr>
              <w:tag w:val="goog_rdk_158"/>
              <w:id w:val="963545894"/>
            </w:sdtPr>
            <w:sdtContent>
              <w:sdt>
                <w:sdtPr>
                  <w:tag w:val="goog_rdk_159"/>
                  <w:id w:val="-1731219565"/>
                  <w:showingPlcHdr/>
                </w:sdtPr>
                <w:sdtContent>
                  <w:r>
                    <w:t xml:space="preserve">     </w:t>
                  </w:r>
                </w:sdtContent>
              </w:sdt>
              <w:bookmarkStart w:id="7" w:name="_heading=h.li5i5apqwx9r"/>
              <w:bookmarkEnd w:id="7"/>
              <w:sdt>
                <w:sdtPr>
                  <w:tag w:val="goog_rdk_160"/>
                  <w:id w:val="93445581"/>
                </w:sdtPr>
                <w:sdtContent>
                  <w:r>
                    <w:t>Gender d</w:t>
                  </w:r>
                </w:sdtContent>
              </w:sdt>
              <w:sdt>
                <w:sdtPr>
                  <w:tag w:val="goog_rdk_161"/>
                  <w:id w:val="1765423681"/>
                </w:sdtPr>
                <w:sdtContent>
                  <w:r>
                    <w:t>iscrimination</w:t>
                  </w:r>
                </w:sdtContent>
              </w:sdt>
              <w:sdt>
                <w:sdtPr>
                  <w:tag w:val="goog_rdk_162"/>
                  <w:id w:val="711311739"/>
                </w:sdtPr>
                <w:sdtContent>
                  <w:r>
                    <w:t xml:space="preserve"> in prison </w:t>
                  </w:r>
                </w:sdtContent>
              </w:sdt>
              <w:sdt>
                <w:sdtPr>
                  <w:tag w:val="goog_rdk_163"/>
                  <w:id w:val="11041705"/>
                </w:sdtPr>
                <w:sdtContent>
                  <w:r>
                    <w:t>policies</w:t>
                  </w:r>
                </w:sdtContent>
              </w:sdt>
              <w:sdt>
                <w:sdtPr>
                  <w:tag w:val="goog_rdk_164"/>
                  <w:id w:val="1576941126"/>
                </w:sdtPr>
                <w:sdtContent>
                  <w:r>
                    <w:t xml:space="preserve"> </w:t>
                  </w:r>
                </w:sdtContent>
              </w:sdt>
              <w:sdt>
                <w:sdtPr>
                  <w:tag w:val="goog_rdk_165"/>
                  <w:id w:val="2017255414"/>
                  <w:showingPlcHdr/>
                </w:sdtPr>
                <w:sdtContent>
                  <w:r>
                    <w:t>    </w:t>
                  </w:r>
                </w:sdtContent>
              </w:sdt>
            </w:sdtContent>
          </w:sdt>
        </w:p>
      </w:sdtContent>
    </w:sdt>
    <w:sdt>
      <w:sdtPr>
        <w:rPr>
          <w:rFonts w:asciiTheme="majorBidi" w:hAnsiTheme="majorBidi" w:cstheme="majorBidi"/>
        </w:rPr>
        <w:tag w:val="goog_rdk_174"/>
        <w:id w:val="-2048135162"/>
      </w:sdtPr>
      <w:sdtContent>
        <w:p w14:paraId="397EBE13" w14:textId="77777777" w:rsidR="005C55F8" w:rsidRDefault="00000000">
          <w:pPr>
            <w:jc w:val="both"/>
            <w:rPr>
              <w:rFonts w:asciiTheme="majorBidi" w:hAnsiTheme="majorBidi" w:cstheme="majorBidi"/>
            </w:rPr>
          </w:pPr>
          <w:sdt>
            <w:sdtPr>
              <w:rPr>
                <w:rFonts w:asciiTheme="majorBidi" w:hAnsiTheme="majorBidi" w:cstheme="majorBidi"/>
              </w:rPr>
              <w:tag w:val="goog_rdk_167"/>
              <w:id w:val="-1170801313"/>
            </w:sdtPr>
            <w:sdtContent>
              <w:sdt>
                <w:sdtPr>
                  <w:rPr>
                    <w:rFonts w:asciiTheme="majorBidi" w:hAnsiTheme="majorBidi" w:cstheme="majorBidi"/>
                  </w:rPr>
                  <w:tag w:val="goog_rdk_168"/>
                  <w:id w:val="-1799686308"/>
                </w:sdtPr>
                <w:sdtContent>
                  <w:r>
                    <w:rPr>
                      <w:rFonts w:asciiTheme="majorBidi" w:hAnsiTheme="majorBidi" w:cstheme="majorBidi"/>
                    </w:rPr>
                    <w:t xml:space="preserve">Detained or imprisoned women are at particular risk of mistreatment and harassment by state officials in Saudi Arabia. Traditional patriarchal and conservative gender costumes are deeply embedded in </w:t>
                  </w:r>
                </w:sdtContent>
              </w:sdt>
              <w:sdt>
                <w:sdtPr>
                  <w:rPr>
                    <w:rFonts w:asciiTheme="majorBidi" w:hAnsiTheme="majorBidi" w:cstheme="majorBidi"/>
                  </w:rPr>
                  <w:tag w:val="goog_rdk_169"/>
                  <w:id w:val="-399597451"/>
                </w:sdtPr>
                <w:sdtContent>
                  <w:r>
                    <w:rPr>
                      <w:rFonts w:asciiTheme="majorBidi" w:hAnsiTheme="majorBidi" w:cstheme="majorBidi"/>
                    </w:rPr>
                    <w:t>institutional policies</w:t>
                  </w:r>
                </w:sdtContent>
              </w:sdt>
              <w:sdt>
                <w:sdtPr>
                  <w:rPr>
                    <w:rFonts w:asciiTheme="majorBidi" w:hAnsiTheme="majorBidi" w:cstheme="majorBidi"/>
                  </w:rPr>
                  <w:tag w:val="goog_rdk_170"/>
                  <w:id w:val="257180553"/>
                </w:sdtPr>
                <w:sdtContent>
                  <w:r>
                    <w:rPr>
                      <w:rFonts w:asciiTheme="majorBidi" w:hAnsiTheme="majorBidi" w:cstheme="majorBidi"/>
                    </w:rPr>
                    <w:t xml:space="preserve"> and practices and promoted through the state-sponsored media and education system. The authorities often involve male guardians in the detention or interrogation of women by demanding that they attend the interrogation or sign undertakings</w:t>
                  </w:r>
                </w:sdtContent>
              </w:sdt>
              <w:sdt>
                <w:sdtPr>
                  <w:rPr>
                    <w:rFonts w:asciiTheme="majorBidi" w:hAnsiTheme="majorBidi" w:cstheme="majorBidi"/>
                  </w:rPr>
                  <w:tag w:val="goog_rdk_171"/>
                  <w:id w:val="-2017686766"/>
                  <w:showingPlcHdr/>
                </w:sdtPr>
                <w:sdtContent>
                  <w:r>
                    <w:rPr>
                      <w:rFonts w:asciiTheme="majorBidi" w:hAnsiTheme="majorBidi" w:cstheme="majorBidi"/>
                    </w:rPr>
                    <w:t xml:space="preserve">     </w:t>
                  </w:r>
                </w:sdtContent>
              </w:sdt>
              <w:sdt>
                <w:sdtPr>
                  <w:rPr>
                    <w:rFonts w:asciiTheme="majorBidi" w:hAnsiTheme="majorBidi" w:cstheme="majorBidi"/>
                  </w:rPr>
                  <w:tag w:val="goog_rdk_173"/>
                  <w:id w:val="-2118523667"/>
                </w:sdtPr>
                <w:sdtContent>
                  <w:r>
                    <w:rPr>
                      <w:rFonts w:asciiTheme="majorBidi" w:hAnsiTheme="majorBidi" w:cstheme="majorBidi"/>
                    </w:rPr>
                    <w:t>, implicitly holding the men accountable for the women’s behaviour, and condoning domestic violence against women who may challenge their guardians’ authority. Guardians are also required by the state to approve the release of women from state prisons or care institutions; putting many women at risk of having to remain in prison indefinitely if their families disown them.</w:t>
                  </w:r>
                </w:sdtContent>
              </w:sdt>
            </w:sdtContent>
          </w:sdt>
        </w:p>
      </w:sdtContent>
    </w:sdt>
    <w:sdt>
      <w:sdtPr>
        <w:rPr>
          <w:rFonts w:asciiTheme="majorBidi" w:hAnsiTheme="majorBidi" w:cstheme="majorBidi"/>
        </w:rPr>
        <w:tag w:val="goog_rdk_185"/>
        <w:id w:val="188185013"/>
      </w:sdtPr>
      <w:sdtContent>
        <w:p w14:paraId="4E4EA8B5" w14:textId="7BB488CE" w:rsidR="005C55F8" w:rsidRDefault="00000000">
          <w:pPr>
            <w:jc w:val="both"/>
            <w:rPr>
              <w:rFonts w:asciiTheme="majorBidi" w:hAnsiTheme="majorBidi" w:cstheme="majorBidi"/>
            </w:rPr>
          </w:pPr>
          <w:sdt>
            <w:sdtPr>
              <w:rPr>
                <w:rFonts w:asciiTheme="majorBidi" w:hAnsiTheme="majorBidi" w:cstheme="majorBidi"/>
              </w:rPr>
              <w:tag w:val="goog_rdk_175"/>
              <w:id w:val="173157255"/>
            </w:sdtPr>
            <w:sdtContent>
              <w:sdt>
                <w:sdtPr>
                  <w:rPr>
                    <w:rFonts w:asciiTheme="majorBidi" w:hAnsiTheme="majorBidi" w:cstheme="majorBidi"/>
                  </w:rPr>
                  <w:tag w:val="goog_rdk_176"/>
                  <w:id w:val="-1909447609"/>
                </w:sdtPr>
                <w:sdtContent>
                  <w:r>
                    <w:rPr>
                      <w:rFonts w:asciiTheme="majorBidi" w:hAnsiTheme="majorBidi" w:cstheme="majorBidi"/>
                    </w:rPr>
                    <w:t>Detained women human rights defenders are generally required to be released into the custody of a male relative, and male guardians are required to sign pledges to ensure the wom</w:t>
                  </w:r>
                </w:sdtContent>
              </w:sdt>
            </w:sdtContent>
          </w:sdt>
          <w:sdt>
            <w:sdtPr>
              <w:rPr>
                <w:rFonts w:asciiTheme="majorBidi" w:hAnsiTheme="majorBidi" w:cstheme="majorBidi"/>
              </w:rPr>
              <w:tag w:val="goog_rdk_177"/>
              <w:id w:val="-947007862"/>
            </w:sdtPr>
            <w:sdtContent>
              <w:sdt>
                <w:sdtPr>
                  <w:rPr>
                    <w:rFonts w:asciiTheme="majorBidi" w:hAnsiTheme="majorBidi" w:cstheme="majorBidi"/>
                  </w:rPr>
                  <w:tag w:val="goog_rdk_178"/>
                  <w:id w:val="897793943"/>
                </w:sdtPr>
                <w:sdtContent>
                  <w:r>
                    <w:rPr>
                      <w:rFonts w:asciiTheme="majorBidi" w:hAnsiTheme="majorBidi" w:cstheme="majorBidi"/>
                    </w:rPr>
                    <w:t>en concerned</w:t>
                  </w:r>
                </w:sdtContent>
              </w:sdt>
            </w:sdtContent>
          </w:sdt>
          <w:sdt>
            <w:sdtPr>
              <w:rPr>
                <w:rFonts w:asciiTheme="majorBidi" w:hAnsiTheme="majorBidi" w:cstheme="majorBidi"/>
              </w:rPr>
              <w:tag w:val="goog_rdk_179"/>
              <w:id w:val="1262181382"/>
            </w:sdtPr>
            <w:sdtContent>
              <w:sdt>
                <w:sdtPr>
                  <w:rPr>
                    <w:rFonts w:asciiTheme="majorBidi" w:hAnsiTheme="majorBidi" w:cstheme="majorBidi"/>
                  </w:rPr>
                  <w:tag w:val="goog_rdk_180"/>
                  <w:id w:val="-512305042"/>
                  <w:showingPlcHdr/>
                </w:sdtPr>
                <w:sdtContent>
                  <w:r w:rsidR="00EE76D9">
                    <w:rPr>
                      <w:rFonts w:asciiTheme="majorBidi" w:hAnsiTheme="majorBidi" w:cstheme="majorBidi"/>
                    </w:rPr>
                    <w:t xml:space="preserve">     </w:t>
                  </w:r>
                </w:sdtContent>
              </w:sdt>
              <w:sdt>
                <w:sdtPr>
                  <w:rPr>
                    <w:rFonts w:asciiTheme="majorBidi" w:hAnsiTheme="majorBidi" w:cstheme="majorBidi"/>
                  </w:rPr>
                  <w:tag w:val="goog_rdk_182"/>
                  <w:id w:val="-1982453624"/>
                </w:sdtPr>
                <w:sdtContent>
                  <w:r>
                    <w:rPr>
                      <w:rFonts w:asciiTheme="majorBidi" w:hAnsiTheme="majorBidi" w:cstheme="majorBidi"/>
                    </w:rPr>
                    <w:t xml:space="preserve"> will not continue their human rights activities</w:t>
                  </w:r>
                </w:sdtContent>
              </w:sdt>
            </w:sdtContent>
          </w:sdt>
          <w:sdt>
            <w:sdtPr>
              <w:rPr>
                <w:rFonts w:asciiTheme="majorBidi" w:hAnsiTheme="majorBidi" w:cstheme="majorBidi"/>
              </w:rPr>
              <w:tag w:val="goog_rdk_183"/>
              <w:id w:val="482975147"/>
            </w:sdtPr>
            <w:sdtContent>
              <w:sdt>
                <w:sdtPr>
                  <w:rPr>
                    <w:rFonts w:asciiTheme="majorBidi" w:hAnsiTheme="majorBidi" w:cstheme="majorBidi"/>
                  </w:rPr>
                  <w:tag w:val="goog_rdk_184"/>
                  <w:id w:val="-1549523943"/>
                </w:sdtPr>
                <w:sdtContent>
                  <w:r>
                    <w:rPr>
                      <w:rFonts w:asciiTheme="majorBidi" w:hAnsiTheme="majorBidi" w:cstheme="majorBidi"/>
                    </w:rPr>
                    <w:t>.</w:t>
                  </w:r>
                </w:sdtContent>
              </w:sdt>
            </w:sdtContent>
          </w:sdt>
        </w:p>
      </w:sdtContent>
    </w:sdt>
    <w:sdt>
      <w:sdtPr>
        <w:tag w:val="goog_rdk_191"/>
        <w:id w:val="-1467967533"/>
      </w:sdtPr>
      <w:sdtContent>
        <w:p w14:paraId="3AAAFE5F" w14:textId="77777777" w:rsidR="005C55F8" w:rsidRDefault="00000000">
          <w:pPr>
            <w:pStyle w:val="Heading2"/>
          </w:pPr>
          <w:sdt>
            <w:sdtPr>
              <w:tag w:val="goog_rdk_186"/>
              <w:id w:val="-1378779843"/>
            </w:sdtPr>
            <w:sdtContent>
              <w:sdt>
                <w:sdtPr>
                  <w:tag w:val="goog_rdk_187"/>
                  <w:id w:val="1589499589"/>
                </w:sdtPr>
                <w:sdtContent>
                  <w:r>
                    <w:t xml:space="preserve">Torture and ill-treatment of women prisoners  </w:t>
                  </w:r>
                </w:sdtContent>
              </w:sdt>
            </w:sdtContent>
          </w:sdt>
          <w:sdt>
            <w:sdtPr>
              <w:tag w:val="goog_rdk_188"/>
              <w:id w:val="204146784"/>
            </w:sdtPr>
            <w:sdtContent>
              <w:sdt>
                <w:sdtPr>
                  <w:tag w:val="goog_rdk_189"/>
                  <w:id w:val="-588471392"/>
                  <w:showingPlcHdr/>
                </w:sdtPr>
                <w:sdtContent>
                  <w:r>
                    <w:t>    </w:t>
                  </w:r>
                </w:sdtContent>
              </w:sdt>
              <w:bookmarkStart w:id="8" w:name="_heading=h.xfqtx1e2y85l"/>
              <w:bookmarkEnd w:id="8"/>
              <w:sdt>
                <w:sdtPr>
                  <w:tag w:val="goog_rdk_190"/>
                  <w:id w:val="-2046819907"/>
                  <w:showingPlcHdr/>
                </w:sdtPr>
                <w:sdtContent>
                  <w:r>
                    <w:t xml:space="preserve">     </w:t>
                  </w:r>
                </w:sdtContent>
              </w:sdt>
            </w:sdtContent>
          </w:sdt>
        </w:p>
      </w:sdtContent>
    </w:sdt>
    <w:sdt>
      <w:sdtPr>
        <w:tag w:val="goog_rdk_211"/>
        <w:id w:val="-964348318"/>
      </w:sdtPr>
      <w:sdtContent>
        <w:p w14:paraId="4CED5B73" w14:textId="0B8D21D8" w:rsidR="005C55F8" w:rsidRDefault="00000000">
          <w:pPr>
            <w:jc w:val="both"/>
            <w:rPr>
              <w:rFonts w:asciiTheme="majorBidi" w:hAnsiTheme="majorBidi" w:cstheme="majorBidi"/>
            </w:rPr>
          </w:pPr>
          <w:sdt>
            <w:sdtPr>
              <w:tag w:val="goog_rdk_193"/>
              <w:id w:val="1700973032"/>
            </w:sdtPr>
            <w:sdtContent>
              <w:sdt>
                <w:sdtPr>
                  <w:tag w:val="goog_rdk_194"/>
                  <w:id w:val="-428585048"/>
                  <w:showingPlcHdr/>
                </w:sdtPr>
                <w:sdtContent>
                  <w:r>
                    <w:t>    </w:t>
                  </w:r>
                </w:sdtContent>
              </w:sdt>
              <w:sdt>
                <w:sdtPr>
                  <w:rPr>
                    <w:rFonts w:asciiTheme="majorBidi" w:hAnsiTheme="majorBidi" w:cstheme="majorBidi"/>
                  </w:rPr>
                  <w:tag w:val="goog_rdk_196"/>
                  <w:id w:val="1529684003"/>
                </w:sdtPr>
                <w:sdtContent>
                  <w:r>
                    <w:rPr>
                      <w:rFonts w:asciiTheme="majorBidi" w:hAnsiTheme="majorBidi" w:cstheme="majorBidi"/>
                    </w:rPr>
                    <w:t xml:space="preserve">In 2018, the authorities arrested the most prominent women’s rights activists, and subjected them to enforced disappearance, </w:t>
                  </w:r>
                  <w:proofErr w:type="gramStart"/>
                  <w:r>
                    <w:rPr>
                      <w:rFonts w:asciiTheme="majorBidi" w:hAnsiTheme="majorBidi" w:cstheme="majorBidi"/>
                    </w:rPr>
                    <w:t>torture</w:t>
                  </w:r>
                  <w:proofErr w:type="gramEnd"/>
                  <w:r>
                    <w:rPr>
                      <w:rFonts w:asciiTheme="majorBidi" w:hAnsiTheme="majorBidi" w:cstheme="majorBidi"/>
                    </w:rPr>
                    <w:t xml:space="preserve"> and defamation</w:t>
                  </w:r>
                </w:sdtContent>
              </w:sdt>
              <w:r>
                <w:rPr>
                  <w:rFonts w:asciiTheme="majorBidi" w:hAnsiTheme="majorBidi" w:cstheme="majorBidi"/>
                  <w:vertAlign w:val="superscript"/>
                </w:rPr>
                <w:footnoteReference w:id="10"/>
              </w:r>
              <w:sdt>
                <w:sdtPr>
                  <w:rPr>
                    <w:rFonts w:asciiTheme="majorBidi" w:hAnsiTheme="majorBidi" w:cstheme="majorBidi"/>
                  </w:rPr>
                  <w:tag w:val="goog_rdk_197"/>
                  <w:id w:val="482515350"/>
                </w:sdtPr>
                <w:sdtContent>
                  <w:r>
                    <w:rPr>
                      <w:rFonts w:asciiTheme="majorBidi" w:hAnsiTheme="majorBidi" w:cstheme="majorBidi"/>
                    </w:rPr>
                    <w:t xml:space="preserve">. </w:t>
                  </w:r>
                </w:sdtContent>
              </w:sdt>
              <w:sdt>
                <w:sdtPr>
                  <w:rPr>
                    <w:rFonts w:asciiTheme="majorBidi" w:hAnsiTheme="majorBidi" w:cstheme="majorBidi"/>
                  </w:rPr>
                  <w:tag w:val="goog_rdk_198"/>
                  <w:id w:val="-765927008"/>
                  <w:showingPlcHdr/>
                </w:sdtPr>
                <w:sdtContent>
                  <w:r>
                    <w:rPr>
                      <w:rFonts w:asciiTheme="majorBidi" w:hAnsiTheme="majorBidi" w:cstheme="majorBidi"/>
                    </w:rPr>
                    <w:t xml:space="preserve">     </w:t>
                  </w:r>
                </w:sdtContent>
              </w:sdt>
              <w:sdt>
                <w:sdtPr>
                  <w:rPr>
                    <w:rFonts w:asciiTheme="majorBidi" w:hAnsiTheme="majorBidi" w:cstheme="majorBidi"/>
                  </w:rPr>
                  <w:tag w:val="goog_rdk_200"/>
                  <w:id w:val="850608500"/>
                </w:sdtPr>
                <w:sdtContent>
                  <w:r>
                    <w:rPr>
                      <w:rFonts w:asciiTheme="majorBidi" w:hAnsiTheme="majorBidi" w:cstheme="majorBidi"/>
                    </w:rPr>
                    <w:t>Interrogators and prison guards systematically used threats of rape, acts of sexual abuse, and threats against their</w:t>
                  </w:r>
                </w:sdtContent>
              </w:sdt>
            </w:sdtContent>
          </w:sdt>
          <w:sdt>
            <w:sdtPr>
              <w:rPr>
                <w:rFonts w:asciiTheme="majorBidi" w:hAnsiTheme="majorBidi" w:cstheme="majorBidi"/>
              </w:rPr>
              <w:tag w:val="goog_rdk_201"/>
              <w:id w:val="1016734469"/>
            </w:sdtPr>
            <w:sdtContent>
              <w:sdt>
                <w:sdtPr>
                  <w:rPr>
                    <w:rFonts w:asciiTheme="majorBidi" w:hAnsiTheme="majorBidi" w:cstheme="majorBidi"/>
                  </w:rPr>
                  <w:tag w:val="goog_rdk_202"/>
                  <w:id w:val="1525749234"/>
                </w:sdtPr>
                <w:sdtContent>
                  <w:r>
                    <w:rPr>
                      <w:rFonts w:asciiTheme="majorBidi" w:hAnsiTheme="majorBidi" w:cstheme="majorBidi"/>
                    </w:rPr>
                    <w:t xml:space="preserve"> </w:t>
                  </w:r>
                </w:sdtContent>
              </w:sdt>
            </w:sdtContent>
          </w:sdt>
          <w:sdt>
            <w:sdtPr>
              <w:rPr>
                <w:rFonts w:asciiTheme="majorBidi" w:hAnsiTheme="majorBidi" w:cstheme="majorBidi"/>
              </w:rPr>
              <w:tag w:val="goog_rdk_203"/>
              <w:id w:val="-1139104228"/>
            </w:sdtPr>
            <w:sdtContent>
              <w:sdt>
                <w:sdtPr>
                  <w:rPr>
                    <w:rFonts w:asciiTheme="majorBidi" w:hAnsiTheme="majorBidi" w:cstheme="majorBidi"/>
                  </w:rPr>
                  <w:tag w:val="goog_rdk_204"/>
                  <w:id w:val="-1050064467"/>
                </w:sdtPr>
                <w:sdtContent>
                  <w:r>
                    <w:rPr>
                      <w:rFonts w:asciiTheme="majorBidi" w:hAnsiTheme="majorBidi" w:cstheme="majorBidi"/>
                    </w:rPr>
                    <w:t>children and extended families. Women activists S</w:t>
                  </w:r>
                  <w:r w:rsidR="00C41F58">
                    <w:rPr>
                      <w:rFonts w:asciiTheme="majorBidi" w:hAnsiTheme="majorBidi" w:cstheme="majorBidi"/>
                    </w:rPr>
                    <w:t>. B</w:t>
                  </w:r>
                  <w:r>
                    <w:rPr>
                      <w:rFonts w:asciiTheme="majorBidi" w:hAnsiTheme="majorBidi" w:cstheme="majorBidi"/>
                    </w:rPr>
                    <w:t xml:space="preserve">, </w:t>
                  </w:r>
                  <w:r w:rsidR="00C41F58">
                    <w:rPr>
                      <w:rFonts w:asciiTheme="majorBidi" w:hAnsiTheme="majorBidi" w:cstheme="majorBidi"/>
                    </w:rPr>
                    <w:t>S. O</w:t>
                  </w:r>
                  <w:r>
                    <w:rPr>
                      <w:rFonts w:asciiTheme="majorBidi" w:hAnsiTheme="majorBidi" w:cstheme="majorBidi"/>
                    </w:rPr>
                    <w:t xml:space="preserve">, </w:t>
                  </w:r>
                  <w:r w:rsidR="00C41F58">
                    <w:rPr>
                      <w:rFonts w:asciiTheme="majorBidi" w:hAnsiTheme="majorBidi" w:cstheme="majorBidi"/>
                    </w:rPr>
                    <w:t>A. Y,</w:t>
                  </w:r>
                  <w:r>
                    <w:rPr>
                      <w:rFonts w:asciiTheme="majorBidi" w:hAnsiTheme="majorBidi" w:cstheme="majorBidi"/>
                    </w:rPr>
                    <w:t xml:space="preserve"> </w:t>
                  </w:r>
                  <w:r w:rsidR="00C41F58">
                    <w:rPr>
                      <w:rFonts w:asciiTheme="majorBidi" w:hAnsiTheme="majorBidi" w:cstheme="majorBidi"/>
                    </w:rPr>
                    <w:t>E. N</w:t>
                  </w:r>
                  <w:r>
                    <w:rPr>
                      <w:rFonts w:asciiTheme="majorBidi" w:hAnsiTheme="majorBidi" w:cstheme="majorBidi"/>
                    </w:rPr>
                    <w:t xml:space="preserve">, </w:t>
                  </w:r>
                  <w:r w:rsidR="00063C50">
                    <w:rPr>
                      <w:rFonts w:asciiTheme="majorBidi" w:hAnsiTheme="majorBidi" w:cstheme="majorBidi"/>
                    </w:rPr>
                    <w:t>L. H</w:t>
                  </w:r>
                  <w:r>
                    <w:rPr>
                      <w:rFonts w:asciiTheme="majorBidi" w:hAnsiTheme="majorBidi" w:cstheme="majorBidi"/>
                    </w:rPr>
                    <w:t xml:space="preserve"> and </w:t>
                  </w:r>
                  <w:r w:rsidR="00C41F58">
                    <w:rPr>
                      <w:rFonts w:asciiTheme="majorBidi" w:hAnsiTheme="majorBidi" w:cstheme="majorBidi"/>
                    </w:rPr>
                    <w:t>N. A</w:t>
                  </w:r>
                  <w:r>
                    <w:rPr>
                      <w:rFonts w:asciiTheme="majorBidi" w:hAnsiTheme="majorBidi" w:cstheme="majorBidi"/>
                    </w:rPr>
                    <w:t xml:space="preserve"> suffered various forms of systematic ill-treatment and harassment including: a) arrests from homes by dozens of security forces, and subjection to house inspection under glaring spotlights with weapons being pointed at them while they held their children; b) solitary confinement for extended periods; c) one woman, at least, was photographed naked and had her photograph placed on the table during interrogation; and d) one woman, at least, was falsely informed while in detention of the death of a family member. Families of the women activists were also harassed </w:t>
                  </w:r>
                </w:sdtContent>
              </w:sdt>
            </w:sdtContent>
          </w:sdt>
          <w:sdt>
            <w:sdtPr>
              <w:rPr>
                <w:rFonts w:asciiTheme="majorBidi" w:hAnsiTheme="majorBidi" w:cstheme="majorBidi"/>
              </w:rPr>
              <w:tag w:val="goog_rdk_205"/>
              <w:id w:val="1662500781"/>
            </w:sdtPr>
            <w:sdtContent>
              <w:sdt>
                <w:sdtPr>
                  <w:rPr>
                    <w:rFonts w:asciiTheme="majorBidi" w:hAnsiTheme="majorBidi" w:cstheme="majorBidi"/>
                  </w:rPr>
                  <w:tag w:val="goog_rdk_206"/>
                  <w:id w:val="-592701724"/>
                </w:sdtPr>
                <w:sdtContent>
                  <w:r>
                    <w:rPr>
                      <w:rFonts w:asciiTheme="majorBidi" w:hAnsiTheme="majorBidi" w:cstheme="majorBidi"/>
                    </w:rPr>
                    <w:t>with legal recourse.</w:t>
                  </w:r>
                </w:sdtContent>
              </w:sdt>
            </w:sdtContent>
          </w:sdt>
          <w:sdt>
            <w:sdtPr>
              <w:rPr>
                <w:rFonts w:asciiTheme="majorBidi" w:hAnsiTheme="majorBidi" w:cstheme="majorBidi"/>
              </w:rPr>
              <w:tag w:val="goog_rdk_207"/>
              <w:id w:val="-1026633222"/>
            </w:sdtPr>
            <w:sdtContent>
              <w:sdt>
                <w:sdtPr>
                  <w:rPr>
                    <w:rFonts w:asciiTheme="majorBidi" w:hAnsiTheme="majorBidi" w:cstheme="majorBidi"/>
                  </w:rPr>
                  <w:tag w:val="goog_rdk_210"/>
                  <w:id w:val="806053839"/>
                </w:sdtPr>
                <w:sdtContent>
                  <w:r>
                    <w:rPr>
                      <w:rFonts w:asciiTheme="majorBidi" w:hAnsiTheme="majorBidi" w:cstheme="majorBidi"/>
                    </w:rPr>
                    <w:t xml:space="preserve"> For instance, </w:t>
                  </w:r>
                  <w:r w:rsidR="00C41F58">
                    <w:rPr>
                      <w:rFonts w:asciiTheme="majorBidi" w:hAnsiTheme="majorBidi" w:cstheme="majorBidi"/>
                    </w:rPr>
                    <w:t>S. H</w:t>
                  </w:r>
                  <w:r>
                    <w:rPr>
                      <w:rFonts w:asciiTheme="majorBidi" w:hAnsiTheme="majorBidi" w:cstheme="majorBidi"/>
                    </w:rPr>
                    <w:t xml:space="preserve">, son of detained activist </w:t>
                  </w:r>
                  <w:r w:rsidR="00C41F58">
                    <w:rPr>
                      <w:rFonts w:asciiTheme="majorBidi" w:hAnsiTheme="majorBidi" w:cstheme="majorBidi"/>
                    </w:rPr>
                    <w:t>A. Y</w:t>
                  </w:r>
                  <w:r>
                    <w:rPr>
                      <w:rFonts w:asciiTheme="majorBidi" w:hAnsiTheme="majorBidi" w:cstheme="majorBidi"/>
                    </w:rPr>
                    <w:t xml:space="preserve">, was detained immediately after her provisional release for approximately two years. The parents and siblings of activist </w:t>
                  </w:r>
                  <w:r w:rsidR="00063C50">
                    <w:rPr>
                      <w:rFonts w:asciiTheme="majorBidi" w:hAnsiTheme="majorBidi" w:cstheme="majorBidi"/>
                    </w:rPr>
                    <w:t>L. H</w:t>
                  </w:r>
                  <w:r>
                    <w:rPr>
                      <w:rFonts w:asciiTheme="majorBidi" w:hAnsiTheme="majorBidi" w:cstheme="majorBidi"/>
                    </w:rPr>
                    <w:t xml:space="preserve"> who were still in Saudi Arabia were placed under an indefinite travel ban. </w:t>
                  </w:r>
                </w:sdtContent>
              </w:sdt>
            </w:sdtContent>
          </w:sdt>
        </w:p>
      </w:sdtContent>
    </w:sdt>
    <w:sdt>
      <w:sdtPr>
        <w:rPr>
          <w:rFonts w:asciiTheme="majorBidi" w:hAnsiTheme="majorBidi" w:cstheme="majorBidi"/>
        </w:rPr>
        <w:tag w:val="goog_rdk_215"/>
        <w:id w:val="-922869233"/>
      </w:sdtPr>
      <w:sdtContent>
        <w:p w14:paraId="48DA3BEB" w14:textId="77777777" w:rsidR="005C55F8" w:rsidRDefault="00000000">
          <w:pPr>
            <w:jc w:val="both"/>
            <w:rPr>
              <w:rFonts w:asciiTheme="majorBidi" w:hAnsiTheme="majorBidi" w:cstheme="majorBidi"/>
            </w:rPr>
          </w:pPr>
          <w:sdt>
            <w:sdtPr>
              <w:rPr>
                <w:rFonts w:asciiTheme="majorBidi" w:hAnsiTheme="majorBidi" w:cstheme="majorBidi"/>
              </w:rPr>
              <w:tag w:val="goog_rdk_212"/>
              <w:id w:val="-942450098"/>
            </w:sdtPr>
            <w:sdtContent>
              <w:sdt>
                <w:sdtPr>
                  <w:rPr>
                    <w:rFonts w:asciiTheme="majorBidi" w:hAnsiTheme="majorBidi" w:cstheme="majorBidi"/>
                  </w:rPr>
                  <w:tag w:val="goog_rdk_213"/>
                  <w:id w:val="-1815636410"/>
                </w:sdtPr>
                <w:sdtContent>
                  <w:r>
                    <w:rPr>
                      <w:rFonts w:asciiTheme="majorBidi" w:hAnsiTheme="majorBidi" w:cstheme="majorBidi"/>
                    </w:rPr>
                    <w:t xml:space="preserve">To date, Saudi authorities have failed to credibly investigate these acts. </w:t>
                  </w:r>
                </w:sdtContent>
              </w:sdt>
              <w:sdt>
                <w:sdtPr>
                  <w:rPr>
                    <w:rFonts w:asciiTheme="majorBidi" w:hAnsiTheme="majorBidi" w:cstheme="majorBidi"/>
                  </w:rPr>
                  <w:tag w:val="goog_rdk_214"/>
                  <w:id w:val="1478263584"/>
                  <w:showingPlcHdr/>
                </w:sdtPr>
                <w:sdtContent>
                  <w:r>
                    <w:t>    </w:t>
                  </w:r>
                </w:sdtContent>
              </w:sdt>
            </w:sdtContent>
          </w:sdt>
        </w:p>
      </w:sdtContent>
    </w:sdt>
    <w:sdt>
      <w:sdtPr>
        <w:rPr>
          <w:rFonts w:asciiTheme="majorBidi" w:hAnsiTheme="majorBidi" w:cstheme="majorBidi"/>
        </w:rPr>
        <w:tag w:val="goog_rdk_226"/>
        <w:id w:val="-1175653166"/>
      </w:sdtPr>
      <w:sdtContent>
        <w:p w14:paraId="77398AD9" w14:textId="77777777" w:rsidR="005C55F8" w:rsidRDefault="00000000">
          <w:pPr>
            <w:jc w:val="both"/>
            <w:rPr>
              <w:rFonts w:asciiTheme="majorBidi" w:hAnsiTheme="majorBidi" w:cstheme="majorBidi"/>
            </w:rPr>
          </w:pPr>
          <w:sdt>
            <w:sdtPr>
              <w:rPr>
                <w:rFonts w:asciiTheme="majorBidi" w:hAnsiTheme="majorBidi" w:cstheme="majorBidi"/>
              </w:rPr>
              <w:tag w:val="goog_rdk_216"/>
              <w:id w:val="1769355078"/>
            </w:sdtPr>
            <w:sdtContent>
              <w:sdt>
                <w:sdtPr>
                  <w:rPr>
                    <w:rFonts w:asciiTheme="majorBidi" w:hAnsiTheme="majorBidi" w:cstheme="majorBidi"/>
                  </w:rPr>
                  <w:tag w:val="goog_rdk_217"/>
                  <w:id w:val="-633557787"/>
                </w:sdtPr>
                <w:sdtContent>
                  <w:r>
                    <w:rPr>
                      <w:rFonts w:asciiTheme="majorBidi" w:hAnsiTheme="majorBidi" w:cstheme="majorBidi"/>
                    </w:rPr>
                    <w:t xml:space="preserve">Although the above-mentioned cases have gained wider attention, the authorities have continued their systematic pattern of ill-treatment and </w:t>
                  </w:r>
                </w:sdtContent>
              </w:sdt>
              <w:sdt>
                <w:sdtPr>
                  <w:rPr>
                    <w:rFonts w:asciiTheme="majorBidi" w:hAnsiTheme="majorBidi" w:cstheme="majorBidi"/>
                  </w:rPr>
                  <w:tag w:val="goog_rdk_218"/>
                  <w:id w:val="978273938"/>
                </w:sdtPr>
                <w:sdtContent>
                  <w:r>
                    <w:rPr>
                      <w:rFonts w:asciiTheme="majorBidi" w:hAnsiTheme="majorBidi" w:cstheme="majorBidi"/>
                    </w:rPr>
                    <w:t xml:space="preserve">CSOs </w:t>
                  </w:r>
                </w:sdtContent>
              </w:sdt>
              <w:sdt>
                <w:sdtPr>
                  <w:rPr>
                    <w:rFonts w:asciiTheme="majorBidi" w:hAnsiTheme="majorBidi" w:cstheme="majorBidi"/>
                  </w:rPr>
                  <w:tag w:val="goog_rdk_219"/>
                  <w:id w:val="-1727602641"/>
                </w:sdtPr>
                <w:sdtContent>
                  <w:r>
                    <w:rPr>
                      <w:rFonts w:asciiTheme="majorBidi" w:hAnsiTheme="majorBidi" w:cstheme="majorBidi"/>
                    </w:rPr>
                    <w:t>continue</w:t>
                  </w:r>
                </w:sdtContent>
              </w:sdt>
              <w:sdt>
                <w:sdtPr>
                  <w:rPr>
                    <w:rFonts w:asciiTheme="majorBidi" w:hAnsiTheme="majorBidi" w:cstheme="majorBidi"/>
                  </w:rPr>
                  <w:tag w:val="goog_rdk_220"/>
                  <w:id w:val="-754740814"/>
                </w:sdtPr>
                <w:sdtContent>
                  <w:r>
                    <w:rPr>
                      <w:rFonts w:asciiTheme="majorBidi" w:hAnsiTheme="majorBidi" w:cstheme="majorBidi"/>
                    </w:rPr>
                    <w:t xml:space="preserve"> to </w:t>
                  </w:r>
                </w:sdtContent>
              </w:sdt>
              <w:sdt>
                <w:sdtPr>
                  <w:rPr>
                    <w:rFonts w:asciiTheme="majorBidi" w:hAnsiTheme="majorBidi" w:cstheme="majorBidi"/>
                  </w:rPr>
                  <w:tag w:val="goog_rdk_221"/>
                  <w:id w:val="-1219512570"/>
                </w:sdtPr>
                <w:sdtContent>
                  <w:r>
                    <w:rPr>
                      <w:rFonts w:asciiTheme="majorBidi" w:hAnsiTheme="majorBidi" w:cstheme="majorBidi"/>
                    </w:rPr>
                    <w:t xml:space="preserve">document many </w:t>
                  </w:r>
                </w:sdtContent>
              </w:sdt>
              <w:sdt>
                <w:sdtPr>
                  <w:rPr>
                    <w:rFonts w:asciiTheme="majorBidi" w:hAnsiTheme="majorBidi" w:cstheme="majorBidi"/>
                  </w:rPr>
                  <w:tag w:val="goog_rdk_222"/>
                  <w:id w:val="-1048681073"/>
                </w:sdtPr>
                <w:sdtContent>
                  <w:r>
                    <w:rPr>
                      <w:rFonts w:asciiTheme="majorBidi" w:hAnsiTheme="majorBidi" w:cstheme="majorBidi"/>
                    </w:rPr>
                    <w:t>examples</w:t>
                  </w:r>
                </w:sdtContent>
              </w:sdt>
              <w:sdt>
                <w:sdtPr>
                  <w:rPr>
                    <w:rFonts w:asciiTheme="majorBidi" w:hAnsiTheme="majorBidi" w:cstheme="majorBidi"/>
                  </w:rPr>
                  <w:tag w:val="goog_rdk_223"/>
                  <w:id w:val="1864550082"/>
                </w:sdtPr>
                <w:sdtContent>
                  <w:r>
                    <w:rPr>
                      <w:rFonts w:asciiTheme="majorBidi" w:hAnsiTheme="majorBidi" w:cstheme="majorBidi"/>
                    </w:rPr>
                    <w:t xml:space="preserve"> of the Saudi authorities’ dangerous and vindictive handling of certain prisoners whose lives they recklessly, if not deliberately, place at risk. For all of those trapped inside Saudi Arabia’s harsh prison system, conditions are notoriously poor, but prisoners of conscience often also face cruel, </w:t>
                  </w:r>
                  <w:proofErr w:type="gramStart"/>
                  <w:r>
                    <w:rPr>
                      <w:rFonts w:asciiTheme="majorBidi" w:hAnsiTheme="majorBidi" w:cstheme="majorBidi"/>
                    </w:rPr>
                    <w:t>inhuman</w:t>
                  </w:r>
                  <w:proofErr w:type="gramEnd"/>
                  <w:r>
                    <w:rPr>
                      <w:rFonts w:asciiTheme="majorBidi" w:hAnsiTheme="majorBidi" w:cstheme="majorBidi"/>
                    </w:rPr>
                    <w:t xml:space="preserve"> and degrading treatment. The Saudi authorities continue to place the lives of targeted prisoners at risk through reckless negligence, wilful mistreatment, enforced disappearance and deliberate medical neglect. </w:t>
                  </w:r>
                </w:sdtContent>
              </w:sdt>
            </w:sdtContent>
          </w:sdt>
          <w:sdt>
            <w:sdtPr>
              <w:rPr>
                <w:rFonts w:asciiTheme="majorBidi" w:hAnsiTheme="majorBidi" w:cstheme="majorBidi"/>
              </w:rPr>
              <w:tag w:val="goog_rdk_224"/>
              <w:id w:val="1348833727"/>
            </w:sdtPr>
            <w:sdtContent>
              <w:sdt>
                <w:sdtPr>
                  <w:rPr>
                    <w:rFonts w:asciiTheme="majorBidi" w:hAnsiTheme="majorBidi" w:cstheme="majorBidi"/>
                  </w:rPr>
                  <w:tag w:val="goog_rdk_225"/>
                  <w:id w:val="-644510446"/>
                  <w:showingPlcHdr/>
                </w:sdtPr>
                <w:sdtContent>
                  <w:r>
                    <w:t>    </w:t>
                  </w:r>
                </w:sdtContent>
              </w:sdt>
            </w:sdtContent>
          </w:sdt>
        </w:p>
      </w:sdtContent>
    </w:sdt>
    <w:sdt>
      <w:sdtPr>
        <w:rPr>
          <w:rFonts w:asciiTheme="majorBidi" w:hAnsiTheme="majorBidi" w:cstheme="majorBidi"/>
        </w:rPr>
        <w:tag w:val="goog_rdk_235"/>
        <w:id w:val="-765765720"/>
      </w:sdtPr>
      <w:sdtContent>
        <w:p w14:paraId="759096EC" w14:textId="7AD9EF2C" w:rsidR="005C55F8" w:rsidRDefault="00000000">
          <w:pPr>
            <w:jc w:val="both"/>
            <w:rPr>
              <w:rFonts w:asciiTheme="majorBidi" w:hAnsiTheme="majorBidi" w:cstheme="majorBidi"/>
            </w:rPr>
          </w:pPr>
          <w:sdt>
            <w:sdtPr>
              <w:rPr>
                <w:rFonts w:asciiTheme="majorBidi" w:hAnsiTheme="majorBidi" w:cstheme="majorBidi"/>
              </w:rPr>
              <w:tag w:val="goog_rdk_228"/>
              <w:id w:val="-762386250"/>
            </w:sdtPr>
            <w:sdtContent>
              <w:sdt>
                <w:sdtPr>
                  <w:rPr>
                    <w:rFonts w:asciiTheme="majorBidi" w:hAnsiTheme="majorBidi" w:cstheme="majorBidi"/>
                  </w:rPr>
                  <w:tag w:val="goog_rdk_229"/>
                  <w:id w:val="-1852633596"/>
                </w:sdtPr>
                <w:sdtContent>
                  <w:r>
                    <w:rPr>
                      <w:rFonts w:asciiTheme="majorBidi" w:hAnsiTheme="majorBidi" w:cstheme="majorBidi"/>
                    </w:rPr>
                    <w:t xml:space="preserve">For </w:t>
                  </w:r>
                </w:sdtContent>
              </w:sdt>
              <w:sdt>
                <w:sdtPr>
                  <w:rPr>
                    <w:rFonts w:asciiTheme="majorBidi" w:hAnsiTheme="majorBidi" w:cstheme="majorBidi"/>
                  </w:rPr>
                  <w:tag w:val="goog_rdk_230"/>
                  <w:id w:val="-344330717"/>
                </w:sdtPr>
                <w:sdtContent>
                  <w:r>
                    <w:rPr>
                      <w:rFonts w:asciiTheme="majorBidi" w:hAnsiTheme="majorBidi" w:cstheme="majorBidi"/>
                    </w:rPr>
                    <w:t>example</w:t>
                  </w:r>
                </w:sdtContent>
              </w:sdt>
              <w:sdt>
                <w:sdtPr>
                  <w:rPr>
                    <w:rFonts w:asciiTheme="majorBidi" w:hAnsiTheme="majorBidi" w:cstheme="majorBidi"/>
                  </w:rPr>
                  <w:tag w:val="goog_rdk_231"/>
                  <w:id w:val="683789556"/>
                </w:sdtPr>
                <w:sdtContent>
                  <w:r>
                    <w:rPr>
                      <w:rFonts w:asciiTheme="majorBidi" w:hAnsiTheme="majorBidi" w:cstheme="majorBidi"/>
                    </w:rPr>
                    <w:t xml:space="preserve">, in September 2023, detained fitness trainer </w:t>
                  </w:r>
                  <w:r w:rsidR="00063C50">
                    <w:rPr>
                      <w:rFonts w:asciiTheme="majorBidi" w:hAnsiTheme="majorBidi" w:cstheme="majorBidi"/>
                    </w:rPr>
                    <w:t>M. A. O</w:t>
                  </w:r>
                  <w:r>
                    <w:rPr>
                      <w:rFonts w:asciiTheme="majorBidi" w:hAnsiTheme="majorBidi" w:cstheme="majorBidi"/>
                    </w:rPr>
                    <w:t xml:space="preserve"> had been wilfully exposed to physical and psychological abuse including beatings, bites and death threats from another inmate in Riyadh’s </w:t>
                  </w:r>
                  <w:proofErr w:type="spellStart"/>
                  <w:r>
                    <w:rPr>
                      <w:rFonts w:asciiTheme="majorBidi" w:hAnsiTheme="majorBidi" w:cstheme="majorBidi"/>
                    </w:rPr>
                    <w:t>Malaz</w:t>
                  </w:r>
                  <w:proofErr w:type="spellEnd"/>
                  <w:r>
                    <w:rPr>
                      <w:rFonts w:asciiTheme="majorBidi" w:hAnsiTheme="majorBidi" w:cstheme="majorBidi"/>
                    </w:rPr>
                    <w:t xml:space="preserve"> Prison</w:t>
                  </w:r>
                </w:sdtContent>
              </w:sdt>
              <w:r w:rsidR="00C41F58">
                <w:rPr>
                  <w:rFonts w:asciiTheme="majorBidi" w:hAnsiTheme="majorBidi" w:cstheme="majorBidi"/>
                </w:rPr>
                <w:t>,</w:t>
              </w:r>
              <w:r>
                <w:rPr>
                  <w:rFonts w:asciiTheme="majorBidi" w:hAnsiTheme="majorBidi" w:cstheme="majorBidi"/>
                  <w:vertAlign w:val="superscript"/>
                </w:rPr>
                <w:footnoteReference w:id="11"/>
              </w:r>
              <w:sdt>
                <w:sdtPr>
                  <w:rPr>
                    <w:rFonts w:asciiTheme="majorBidi" w:hAnsiTheme="majorBidi" w:cstheme="majorBidi"/>
                  </w:rPr>
                  <w:tag w:val="goog_rdk_232"/>
                  <w:id w:val="-682663084"/>
                </w:sdtPr>
                <w:sdtContent>
                  <w:r>
                    <w:rPr>
                      <w:rFonts w:asciiTheme="majorBidi" w:hAnsiTheme="majorBidi" w:cstheme="majorBidi"/>
                    </w:rPr>
                    <w:t xml:space="preserve"> where she has been detained since November 2022. Since 5 November 2023, she has also been denied any family contact. While these attacks were not directly inflicted by officials, the prison authorities have made no effort to protect </w:t>
                  </w:r>
                  <w:r w:rsidR="00C41F58">
                    <w:rPr>
                      <w:rFonts w:asciiTheme="majorBidi" w:hAnsiTheme="majorBidi" w:cstheme="majorBidi"/>
                    </w:rPr>
                    <w:t>M. A. O</w:t>
                  </w:r>
                  <w:r>
                    <w:rPr>
                      <w:rFonts w:asciiTheme="majorBidi" w:hAnsiTheme="majorBidi" w:cstheme="majorBidi"/>
                    </w:rPr>
                    <w:t xml:space="preserve">. Their actions in fact go well beyond mere negligence because, when she notified prison officials, they prevented her from making a complaint and instead placed her in solitary confinement. On her release from solitary confinement, around 27 September 2023, she was placed in a cell shared with drug addicts, making her vulnerable to further violence. </w:t>
                  </w:r>
                </w:sdtContent>
              </w:sdt>
            </w:sdtContent>
          </w:sdt>
          <w:sdt>
            <w:sdtPr>
              <w:rPr>
                <w:rFonts w:asciiTheme="majorBidi" w:hAnsiTheme="majorBidi" w:cstheme="majorBidi"/>
              </w:rPr>
              <w:tag w:val="goog_rdk_233"/>
              <w:id w:val="1054673014"/>
            </w:sdtPr>
            <w:sdtContent>
              <w:sdt>
                <w:sdtPr>
                  <w:rPr>
                    <w:rFonts w:asciiTheme="majorBidi" w:hAnsiTheme="majorBidi" w:cstheme="majorBidi"/>
                  </w:rPr>
                  <w:tag w:val="goog_rdk_234"/>
                  <w:id w:val="-15860654"/>
                  <w:showingPlcHdr/>
                </w:sdtPr>
                <w:sdtContent>
                  <w:r>
                    <w:t>    </w:t>
                  </w:r>
                </w:sdtContent>
              </w:sdt>
            </w:sdtContent>
          </w:sdt>
        </w:p>
      </w:sdtContent>
    </w:sdt>
    <w:sdt>
      <w:sdtPr>
        <w:rPr>
          <w:rFonts w:asciiTheme="majorBidi" w:hAnsiTheme="majorBidi" w:cstheme="majorBidi"/>
        </w:rPr>
        <w:tag w:val="goog_rdk_240"/>
        <w:id w:val="540870400"/>
      </w:sdtPr>
      <w:sdtContent>
        <w:p w14:paraId="46FAD1BF" w14:textId="29371155" w:rsidR="005C55F8" w:rsidRDefault="00000000">
          <w:pPr>
            <w:jc w:val="both"/>
            <w:rPr>
              <w:rFonts w:asciiTheme="majorBidi" w:hAnsiTheme="majorBidi" w:cstheme="majorBidi"/>
            </w:rPr>
          </w:pPr>
          <w:sdt>
            <w:sdtPr>
              <w:rPr>
                <w:rFonts w:asciiTheme="majorBidi" w:hAnsiTheme="majorBidi" w:cstheme="majorBidi"/>
              </w:rPr>
              <w:tag w:val="goog_rdk_237"/>
              <w:id w:val="136307168"/>
            </w:sdtPr>
            <w:sdtContent>
              <w:sdt>
                <w:sdtPr>
                  <w:rPr>
                    <w:rFonts w:asciiTheme="majorBidi" w:hAnsiTheme="majorBidi" w:cstheme="majorBidi"/>
                  </w:rPr>
                  <w:tag w:val="goog_rdk_238"/>
                  <w:id w:val="268821362"/>
                </w:sdtPr>
                <w:sdtContent>
                  <w:r>
                    <w:rPr>
                      <w:rFonts w:asciiTheme="majorBidi" w:hAnsiTheme="majorBidi" w:cstheme="majorBidi"/>
                    </w:rPr>
                    <w:t xml:space="preserve">Imprisoned women’s rights activist </w:t>
                  </w:r>
                  <w:r w:rsidR="00063C50">
                    <w:rPr>
                      <w:rFonts w:asciiTheme="majorBidi" w:hAnsiTheme="majorBidi" w:cstheme="majorBidi"/>
                    </w:rPr>
                    <w:t>S. S</w:t>
                  </w:r>
                  <w:r>
                    <w:rPr>
                      <w:rFonts w:asciiTheme="majorBidi" w:hAnsiTheme="majorBidi" w:cstheme="majorBidi"/>
                    </w:rPr>
                    <w:t xml:space="preserve"> has also been exposed to danger by being placed alongside inmates transferred from a psychiatric hospital who experience violent episodes because of inadequate medical care. She has appealed to the official Saudi Human Rights Commission (SHRC) for these inmates to be held separately and receive adequate treatment, but so far to no avail. Moreover, the Commission has never commented on or investigated </w:t>
                  </w:r>
                  <w:r w:rsidR="00063C50">
                    <w:rPr>
                      <w:rFonts w:asciiTheme="majorBidi" w:hAnsiTheme="majorBidi" w:cstheme="majorBidi"/>
                    </w:rPr>
                    <w:t>S. S</w:t>
                  </w:r>
                  <w:r>
                    <w:rPr>
                      <w:rFonts w:asciiTheme="majorBidi" w:hAnsiTheme="majorBidi" w:cstheme="majorBidi"/>
                    </w:rPr>
                    <w:t>’s case, nor has it included it in any of its reports.</w:t>
                  </w:r>
                </w:sdtContent>
              </w:sdt>
            </w:sdtContent>
          </w:sdt>
          <w:sdt>
            <w:sdtPr>
              <w:rPr>
                <w:rFonts w:asciiTheme="majorBidi" w:hAnsiTheme="majorBidi" w:cstheme="majorBidi"/>
              </w:rPr>
              <w:tag w:val="goog_rdk_239"/>
              <w:id w:val="-1369437181"/>
              <w:showingPlcHdr/>
            </w:sdtPr>
            <w:sdtContent>
              <w:r>
                <w:rPr>
                  <w:rFonts w:asciiTheme="majorBidi" w:hAnsiTheme="majorBidi" w:cstheme="majorBidi"/>
                </w:rPr>
                <w:t xml:space="preserve">     </w:t>
              </w:r>
            </w:sdtContent>
          </w:sdt>
        </w:p>
      </w:sdtContent>
    </w:sdt>
    <w:p w14:paraId="1F4D6986" w14:textId="77777777" w:rsidR="005C55F8" w:rsidRDefault="00000000">
      <w:pPr>
        <w:pStyle w:val="Heading1"/>
      </w:pPr>
      <w:bookmarkStart w:id="9" w:name="_heading=h.5jfedau932pt"/>
      <w:bookmarkEnd w:id="9"/>
      <w:r>
        <w:lastRenderedPageBreak/>
        <w:t xml:space="preserve">Reform to the law </w:t>
      </w:r>
    </w:p>
    <w:p w14:paraId="77D60B0C" w14:textId="77777777" w:rsidR="005C55F8" w:rsidRDefault="00000000">
      <w:pPr>
        <w:pStyle w:val="Heading2"/>
      </w:pPr>
      <w:bookmarkStart w:id="10" w:name="_heading=h.uk8wzqjr221"/>
      <w:bookmarkEnd w:id="10"/>
      <w:r>
        <w:t>The male guardianship system and the Personal Status Law.</w:t>
      </w:r>
    </w:p>
    <w:sdt>
      <w:sdtPr>
        <w:tag w:val="goog_rdk_72"/>
        <w:id w:val="-793602469"/>
      </w:sdtPr>
      <w:sdtContent>
        <w:p w14:paraId="6972D59A" w14:textId="77777777" w:rsidR="005C55F8" w:rsidRDefault="00000000">
          <w:pPr>
            <w:jc w:val="both"/>
            <w:rPr>
              <w:rFonts w:asciiTheme="majorBidi" w:eastAsia="Roboto" w:hAnsiTheme="majorBidi" w:cstheme="majorBidi"/>
              <w:color w:val="212529"/>
              <w:highlight w:val="white"/>
            </w:rPr>
          </w:pPr>
          <w:sdt>
            <w:sdtPr>
              <w:tag w:val="goog_rdk_70"/>
              <w:id w:val="-1055465652"/>
            </w:sdtPr>
            <w:sdtContent>
              <w:sdt>
                <w:sdtPr>
                  <w:rPr>
                    <w:rFonts w:asciiTheme="majorBidi" w:hAnsiTheme="majorBidi" w:cstheme="majorBidi"/>
                  </w:rPr>
                  <w:tag w:val="goog_rdk_71"/>
                  <w:id w:val="521517640"/>
                </w:sdtPr>
                <w:sdtContent>
                  <w:r>
                    <w:rPr>
                      <w:rFonts w:asciiTheme="majorBidi" w:eastAsia="Roboto" w:hAnsiTheme="majorBidi" w:cstheme="majorBidi"/>
                      <w:color w:val="212529"/>
                      <w:highlight w:val="white"/>
                    </w:rPr>
                    <w:t xml:space="preserve">Over the past few years, the Saudi authorities have lifted some of the restrictions women face under the country’s male guardianship system, including allowing women to apply for their own passports and granting them more control over family matters, as well as relaxing strict gender segregation in public spaces and allowing women to drive. While these are all steps in the right direction, they are by no means enough. </w:t>
                  </w:r>
                </w:sdtContent>
              </w:sdt>
            </w:sdtContent>
          </w:sdt>
        </w:p>
      </w:sdtContent>
    </w:sdt>
    <w:sdt>
      <w:sdtPr>
        <w:rPr>
          <w:rFonts w:asciiTheme="majorBidi" w:hAnsiTheme="majorBidi" w:cstheme="majorBidi"/>
        </w:rPr>
        <w:tag w:val="goog_rdk_75"/>
        <w:id w:val="696284225"/>
      </w:sdtPr>
      <w:sdtContent>
        <w:p w14:paraId="757953BA" w14:textId="77777777" w:rsidR="005C55F8" w:rsidRDefault="00000000">
          <w:pPr>
            <w:jc w:val="both"/>
            <w:rPr>
              <w:rFonts w:asciiTheme="majorBidi" w:eastAsia="Roboto" w:hAnsiTheme="majorBidi" w:cstheme="majorBidi"/>
              <w:color w:val="212529"/>
              <w:highlight w:val="white"/>
            </w:rPr>
          </w:pPr>
          <w:sdt>
            <w:sdtPr>
              <w:rPr>
                <w:rFonts w:asciiTheme="majorBidi" w:hAnsiTheme="majorBidi" w:cstheme="majorBidi"/>
              </w:rPr>
              <w:tag w:val="goog_rdk_73"/>
              <w:id w:val="781378626"/>
            </w:sdtPr>
            <w:sdtContent>
              <w:sdt>
                <w:sdtPr>
                  <w:rPr>
                    <w:rFonts w:asciiTheme="majorBidi" w:hAnsiTheme="majorBidi" w:cstheme="majorBidi"/>
                  </w:rPr>
                  <w:tag w:val="goog_rdk_74"/>
                  <w:id w:val="1995681384"/>
                </w:sdtPr>
                <w:sdtContent>
                  <w:r>
                    <w:rPr>
                      <w:rFonts w:asciiTheme="majorBidi" w:eastAsia="Roboto" w:hAnsiTheme="majorBidi" w:cstheme="majorBidi"/>
                      <w:color w:val="212529"/>
                      <w:highlight w:val="white"/>
                    </w:rPr>
                    <w:t>The male guardianship system – a legal framework that treats adult women as minors – continues to negatively affect all aspects of women’s lives and severely restrict their fundamental liberties. Reforms have been announced supposedly to protect women from abuse, but they lack adequate means of enforcement, leaving many women trapped in abusive relationships. ‘Disobedience’ by a woman towards her male guardian (father, husband, brother or even son) also remains a crime, effectively rendering her new freedoms null and void if her male guardian objects. While a woman may now be legally entitled to apply for her own travel document and study abroad, she can be stopped by her male guardian from leaving the country if he files a case against her for disobedience or ‘absconding’.</w:t>
                  </w:r>
                </w:sdtContent>
              </w:sdt>
            </w:sdtContent>
          </w:sdt>
        </w:p>
      </w:sdtContent>
    </w:sdt>
    <w:sdt>
      <w:sdtPr>
        <w:rPr>
          <w:rFonts w:asciiTheme="majorBidi" w:hAnsiTheme="majorBidi" w:cstheme="majorBidi"/>
        </w:rPr>
        <w:tag w:val="goog_rdk_98"/>
        <w:id w:val="-1432049165"/>
      </w:sdtPr>
      <w:sdtContent>
        <w:p w14:paraId="4A8DFE28" w14:textId="77777777" w:rsidR="005C55F8" w:rsidRDefault="00000000">
          <w:pPr>
            <w:jc w:val="both"/>
            <w:rPr>
              <w:rFonts w:asciiTheme="majorBidi" w:eastAsia="Roboto" w:hAnsiTheme="majorBidi" w:cstheme="majorBidi"/>
              <w:color w:val="212529"/>
              <w:highlight w:val="white"/>
            </w:rPr>
          </w:pPr>
          <w:sdt>
            <w:sdtPr>
              <w:rPr>
                <w:rFonts w:asciiTheme="majorBidi" w:hAnsiTheme="majorBidi" w:cstheme="majorBidi"/>
              </w:rPr>
              <w:tag w:val="goog_rdk_76"/>
              <w:id w:val="-353348170"/>
            </w:sdtPr>
            <w:sdtContent>
              <w:sdt>
                <w:sdtPr>
                  <w:rPr>
                    <w:rFonts w:asciiTheme="majorBidi" w:hAnsiTheme="majorBidi" w:cstheme="majorBidi"/>
                  </w:rPr>
                  <w:tag w:val="goog_rdk_77"/>
                  <w:id w:val="859400251"/>
                </w:sdtPr>
                <w:sdtContent>
                  <w:r>
                    <w:rPr>
                      <w:rFonts w:asciiTheme="majorBidi" w:eastAsia="Roboto" w:hAnsiTheme="majorBidi" w:cstheme="majorBidi"/>
                      <w:color w:val="212529"/>
                      <w:highlight w:val="white"/>
                    </w:rPr>
                    <w:t xml:space="preserve">The legal framework affecting the lives of women in Saudi Arabia </w:t>
                  </w:r>
                </w:sdtContent>
              </w:sdt>
            </w:sdtContent>
          </w:sdt>
          <w:sdt>
            <w:sdtPr>
              <w:rPr>
                <w:rFonts w:asciiTheme="majorBidi" w:hAnsiTheme="majorBidi" w:cstheme="majorBidi"/>
              </w:rPr>
              <w:tag w:val="goog_rdk_78"/>
              <w:id w:val="-416017413"/>
            </w:sdtPr>
            <w:sdtContent>
              <w:sdt>
                <w:sdtPr>
                  <w:rPr>
                    <w:rFonts w:asciiTheme="majorBidi" w:hAnsiTheme="majorBidi" w:cstheme="majorBidi"/>
                  </w:rPr>
                  <w:tag w:val="goog_rdk_79"/>
                  <w:id w:val="1897779947"/>
                </w:sdtPr>
                <w:sdtContent>
                  <w:r>
                    <w:rPr>
                      <w:rFonts w:asciiTheme="majorBidi" w:eastAsia="Roboto" w:hAnsiTheme="majorBidi" w:cstheme="majorBidi"/>
                      <w:color w:val="212529"/>
                      <w:highlight w:val="white"/>
                    </w:rPr>
                    <w:t xml:space="preserve">also </w:t>
                  </w:r>
                </w:sdtContent>
              </w:sdt>
            </w:sdtContent>
          </w:sdt>
          <w:sdt>
            <w:sdtPr>
              <w:rPr>
                <w:rFonts w:asciiTheme="majorBidi" w:hAnsiTheme="majorBidi" w:cstheme="majorBidi"/>
              </w:rPr>
              <w:tag w:val="goog_rdk_80"/>
              <w:id w:val="-869835956"/>
            </w:sdtPr>
            <w:sdtContent>
              <w:sdt>
                <w:sdtPr>
                  <w:rPr>
                    <w:rFonts w:asciiTheme="majorBidi" w:hAnsiTheme="majorBidi" w:cstheme="majorBidi"/>
                  </w:rPr>
                  <w:tag w:val="goog_rdk_81"/>
                  <w:id w:val="-532652689"/>
                </w:sdtPr>
                <w:sdtContent>
                  <w:r>
                    <w:rPr>
                      <w:rFonts w:asciiTheme="majorBidi" w:eastAsia="Roboto" w:hAnsiTheme="majorBidi" w:cstheme="majorBidi"/>
                      <w:color w:val="212529"/>
                      <w:highlight w:val="white"/>
                    </w:rPr>
                    <w:t>continues to be shaped by the Personal Status (or Family) Law, which</w:t>
                  </w:r>
                </w:sdtContent>
              </w:sdt>
            </w:sdtContent>
          </w:sdt>
          <w:sdt>
            <w:sdtPr>
              <w:rPr>
                <w:rFonts w:asciiTheme="majorBidi" w:hAnsiTheme="majorBidi" w:cstheme="majorBidi"/>
              </w:rPr>
              <w:tag w:val="goog_rdk_82"/>
              <w:id w:val="-1347090370"/>
            </w:sdtPr>
            <w:sdtContent>
              <w:sdt>
                <w:sdtPr>
                  <w:rPr>
                    <w:rFonts w:asciiTheme="majorBidi" w:hAnsiTheme="majorBidi" w:cstheme="majorBidi"/>
                  </w:rPr>
                  <w:tag w:val="goog_rdk_83"/>
                  <w:id w:val="-767460199"/>
                </w:sdtPr>
                <w:sdtContent>
                  <w:r>
                    <w:rPr>
                      <w:rFonts w:asciiTheme="majorBidi" w:eastAsia="Roboto" w:hAnsiTheme="majorBidi" w:cstheme="majorBidi"/>
                      <w:color w:val="212529"/>
                      <w:highlight w:val="white"/>
                    </w:rPr>
                    <w:t xml:space="preserve"> was </w:t>
                  </w:r>
                </w:sdtContent>
              </w:sdt>
              <w:sdt>
                <w:sdtPr>
                  <w:rPr>
                    <w:rFonts w:asciiTheme="majorBidi" w:hAnsiTheme="majorBidi" w:cstheme="majorBidi"/>
                  </w:rPr>
                  <w:tag w:val="goog_rdk_84"/>
                  <w:id w:val="1402567695"/>
                </w:sdtPr>
                <w:sdtContent>
                  <w:r>
                    <w:rPr>
                      <w:rFonts w:asciiTheme="majorBidi" w:eastAsia="Roboto" w:hAnsiTheme="majorBidi" w:cstheme="majorBidi"/>
                      <w:color w:val="212529"/>
                      <w:highlight w:val="white"/>
                    </w:rPr>
                    <w:t>passed on 8 March 2022 and came into force on 18 June that year. D</w:t>
                  </w:r>
                </w:sdtContent>
              </w:sdt>
            </w:sdtContent>
          </w:sdt>
          <w:sdt>
            <w:sdtPr>
              <w:rPr>
                <w:rFonts w:asciiTheme="majorBidi" w:hAnsiTheme="majorBidi" w:cstheme="majorBidi"/>
              </w:rPr>
              <w:tag w:val="goog_rdk_85"/>
              <w:id w:val="434112057"/>
            </w:sdtPr>
            <w:sdtContent>
              <w:sdt>
                <w:sdtPr>
                  <w:rPr>
                    <w:rFonts w:asciiTheme="majorBidi" w:hAnsiTheme="majorBidi" w:cstheme="majorBidi"/>
                  </w:rPr>
                  <w:tag w:val="goog_rdk_88"/>
                  <w:id w:val="946045423"/>
                </w:sdtPr>
                <w:sdtContent>
                  <w:r>
                    <w:rPr>
                      <w:rFonts w:asciiTheme="majorBidi" w:eastAsia="Roboto" w:hAnsiTheme="majorBidi" w:cstheme="majorBidi"/>
                      <w:color w:val="212529"/>
                      <w:highlight w:val="white"/>
                    </w:rPr>
                    <w:t xml:space="preserve">espite being touted by the authorities as a major reform, </w:t>
                  </w:r>
                </w:sdtContent>
              </w:sdt>
            </w:sdtContent>
          </w:sdt>
          <w:sdt>
            <w:sdtPr>
              <w:rPr>
                <w:rFonts w:asciiTheme="majorBidi" w:hAnsiTheme="majorBidi" w:cstheme="majorBidi"/>
              </w:rPr>
              <w:tag w:val="goog_rdk_89"/>
              <w:id w:val="-450625215"/>
            </w:sdtPr>
            <w:sdtContent>
              <w:sdt>
                <w:sdtPr>
                  <w:rPr>
                    <w:rFonts w:asciiTheme="majorBidi" w:hAnsiTheme="majorBidi" w:cstheme="majorBidi"/>
                  </w:rPr>
                  <w:tag w:val="goog_rdk_90"/>
                  <w:id w:val="-207190649"/>
                </w:sdtPr>
                <w:sdtContent>
                  <w:r>
                    <w:rPr>
                      <w:rFonts w:asciiTheme="majorBidi" w:eastAsia="Roboto" w:hAnsiTheme="majorBidi" w:cstheme="majorBidi"/>
                      <w:color w:val="212529"/>
                      <w:highlight w:val="white"/>
                    </w:rPr>
                    <w:t xml:space="preserve">it </w:t>
                  </w:r>
                </w:sdtContent>
              </w:sdt>
            </w:sdtContent>
          </w:sdt>
          <w:sdt>
            <w:sdtPr>
              <w:rPr>
                <w:rFonts w:asciiTheme="majorBidi" w:hAnsiTheme="majorBidi" w:cstheme="majorBidi"/>
              </w:rPr>
              <w:tag w:val="goog_rdk_91"/>
              <w:id w:val="472260024"/>
            </w:sdtPr>
            <w:sdtContent>
              <w:sdt>
                <w:sdtPr>
                  <w:rPr>
                    <w:rFonts w:asciiTheme="majorBidi" w:hAnsiTheme="majorBidi" w:cstheme="majorBidi"/>
                  </w:rPr>
                  <w:tag w:val="goog_rdk_92"/>
                  <w:id w:val="1448043213"/>
                </w:sdtPr>
                <w:sdtContent>
                  <w:r>
                    <w:rPr>
                      <w:rFonts w:asciiTheme="majorBidi" w:eastAsia="Roboto" w:hAnsiTheme="majorBidi" w:cstheme="majorBidi"/>
                      <w:color w:val="212529"/>
                      <w:highlight w:val="white"/>
                    </w:rPr>
                    <w:t xml:space="preserve">in fact entrenches many pernicious features of the traditional male guardianship system. </w:t>
                  </w:r>
                </w:sdtContent>
              </w:sdt>
              <w:sdt>
                <w:sdtPr>
                  <w:rPr>
                    <w:rFonts w:asciiTheme="majorBidi" w:hAnsiTheme="majorBidi" w:cstheme="majorBidi"/>
                  </w:rPr>
                  <w:tag w:val="goog_rdk_93"/>
                  <w:id w:val="1912347215"/>
                  <w:showingPlcHdr/>
                </w:sdtPr>
                <w:sdtContent>
                  <w:r>
                    <w:rPr>
                      <w:rFonts w:asciiTheme="majorBidi" w:hAnsiTheme="majorBidi" w:cstheme="majorBidi"/>
                    </w:rPr>
                    <w:t xml:space="preserve">     </w:t>
                  </w:r>
                </w:sdtContent>
              </w:sdt>
              <w:sdt>
                <w:sdtPr>
                  <w:rPr>
                    <w:rFonts w:asciiTheme="majorBidi" w:hAnsiTheme="majorBidi" w:cstheme="majorBidi"/>
                  </w:rPr>
                  <w:tag w:val="goog_rdk_95"/>
                  <w:id w:val="-1564866160"/>
                </w:sdtPr>
                <w:sdtContent>
                  <w:r>
                    <w:rPr>
                      <w:rFonts w:asciiTheme="majorBidi" w:eastAsia="Roboto" w:hAnsiTheme="majorBidi" w:cstheme="majorBidi"/>
                      <w:color w:val="212529"/>
                      <w:highlight w:val="white"/>
                    </w:rPr>
                    <w:t>Previously, in the absence of a codified family law, rulings on family issues were left entirely to the discretion of judges, who often discriminated harshly against women. The new Law was eagerly awaited as a major step forward, but in fact proved to affirm and codify many features of the male guardianship system. It also contains legal loopholes that continue to allow discretionary interpretation, thus diminishing the impact of the positive changes it introduced. As a result, the male guardianship system continues to negatively affect all aspects of women’s lives and to severely restrict their fundamental liberties.</w:t>
                  </w:r>
                </w:sdtContent>
              </w:sdt>
            </w:sdtContent>
          </w:sdt>
          <w:sdt>
            <w:sdtPr>
              <w:rPr>
                <w:rFonts w:asciiTheme="majorBidi" w:hAnsiTheme="majorBidi" w:cstheme="majorBidi"/>
              </w:rPr>
              <w:tag w:val="goog_rdk_96"/>
              <w:id w:val="1095987324"/>
            </w:sdtPr>
            <w:sdtContent>
              <w:sdt>
                <w:sdtPr>
                  <w:rPr>
                    <w:rFonts w:asciiTheme="majorBidi" w:hAnsiTheme="majorBidi" w:cstheme="majorBidi"/>
                  </w:rPr>
                  <w:tag w:val="goog_rdk_97"/>
                  <w:id w:val="1882899400"/>
                  <w:showingPlcHdr/>
                </w:sdtPr>
                <w:sdtContent>
                  <w:r>
                    <w:t>    </w:t>
                  </w:r>
                </w:sdtContent>
              </w:sdt>
            </w:sdtContent>
          </w:sdt>
        </w:p>
      </w:sdtContent>
    </w:sdt>
    <w:sdt>
      <w:sdtPr>
        <w:rPr>
          <w:rFonts w:asciiTheme="majorBidi" w:hAnsiTheme="majorBidi" w:cstheme="majorBidi"/>
        </w:rPr>
        <w:tag w:val="goog_rdk_103"/>
        <w:id w:val="-292209580"/>
      </w:sdtPr>
      <w:sdtContent>
        <w:p w14:paraId="445C1A79" w14:textId="77777777" w:rsidR="005C55F8" w:rsidRDefault="00000000">
          <w:pPr>
            <w:jc w:val="both"/>
            <w:rPr>
              <w:rFonts w:asciiTheme="majorBidi" w:eastAsia="Roboto" w:hAnsiTheme="majorBidi" w:cstheme="majorBidi"/>
              <w:color w:val="212529"/>
              <w:highlight w:val="white"/>
            </w:rPr>
          </w:pPr>
          <w:sdt>
            <w:sdtPr>
              <w:rPr>
                <w:rFonts w:asciiTheme="majorBidi" w:hAnsiTheme="majorBidi" w:cstheme="majorBidi"/>
              </w:rPr>
              <w:tag w:val="goog_rdk_99"/>
              <w:id w:val="-1796829042"/>
            </w:sdtPr>
            <w:sdtContent>
              <w:sdt>
                <w:sdtPr>
                  <w:rPr>
                    <w:rFonts w:asciiTheme="majorBidi" w:hAnsiTheme="majorBidi" w:cstheme="majorBidi"/>
                  </w:rPr>
                  <w:tag w:val="goog_rdk_100"/>
                  <w:id w:val="1031613515"/>
                </w:sdtPr>
                <w:sdtContent>
                  <w:r>
                    <w:rPr>
                      <w:rFonts w:asciiTheme="majorBidi" w:eastAsia="Roboto" w:hAnsiTheme="majorBidi" w:cstheme="majorBidi"/>
                      <w:color w:val="212529"/>
                      <w:highlight w:val="white"/>
                    </w:rPr>
                    <w:t>For example, in relation to marriage, the PSL requires women to obtain a male guardian’s permission to get married, and still allows courts to authorise the marriage of children under 18 in certain cases. Regarding divorce, men can initiate a divorce without any conditions, while women face many conditions. While the mother is automatically granted custody of any children in the event of separation, this is undermined by the fact that the father remains a child’s legal guardian by default. And the codification of women’s obedience to their husbands places them at further risk of domestic violence.</w:t>
                  </w:r>
                </w:sdtContent>
              </w:sdt>
            </w:sdtContent>
          </w:sdt>
          <w:sdt>
            <w:sdtPr>
              <w:rPr>
                <w:rFonts w:asciiTheme="majorBidi" w:hAnsiTheme="majorBidi" w:cstheme="majorBidi"/>
              </w:rPr>
              <w:tag w:val="goog_rdk_101"/>
              <w:id w:val="-909541322"/>
            </w:sdtPr>
            <w:sdtContent>
              <w:sdt>
                <w:sdtPr>
                  <w:rPr>
                    <w:rFonts w:asciiTheme="majorBidi" w:hAnsiTheme="majorBidi" w:cstheme="majorBidi"/>
                  </w:rPr>
                  <w:tag w:val="goog_rdk_102"/>
                  <w:id w:val="-140974333"/>
                  <w:showingPlcHdr/>
                </w:sdtPr>
                <w:sdtContent>
                  <w:r>
                    <w:t>    </w:t>
                  </w:r>
                </w:sdtContent>
              </w:sdt>
            </w:sdtContent>
          </w:sdt>
        </w:p>
      </w:sdtContent>
    </w:sdt>
    <w:sdt>
      <w:sdtPr>
        <w:tag w:val="goog_rdk_106"/>
        <w:id w:val="-102418367"/>
      </w:sdtPr>
      <w:sdtContent>
        <w:p w14:paraId="1C707AE9" w14:textId="77777777" w:rsidR="005C55F8" w:rsidRDefault="00000000">
          <w:pPr>
            <w:jc w:val="both"/>
            <w:rPr>
              <w:rFonts w:ascii="Roboto" w:eastAsia="Roboto" w:hAnsi="Roboto" w:cs="Roboto"/>
              <w:color w:val="212529"/>
              <w:highlight w:val="white"/>
            </w:rPr>
          </w:pPr>
          <w:sdt>
            <w:sdtPr>
              <w:tag w:val="goog_rdk_104"/>
              <w:id w:val="687801292"/>
            </w:sdtPr>
            <w:sdtContent>
              <w:sdt>
                <w:sdtPr>
                  <w:tag w:val="goog_rdk_105"/>
                  <w:id w:val="-1108188998"/>
                  <w:showingPlcHdr/>
                </w:sdtPr>
                <w:sdtContent>
                  <w:r>
                    <w:t xml:space="preserve">     </w:t>
                  </w:r>
                </w:sdtContent>
              </w:sdt>
            </w:sdtContent>
          </w:sdt>
        </w:p>
      </w:sdtContent>
    </w:sdt>
    <w:sdt>
      <w:sdtPr>
        <w:tag w:val="goog_rdk_110"/>
        <w:id w:val="-834612241"/>
      </w:sdtPr>
      <w:sdtContent>
        <w:p w14:paraId="22280627" w14:textId="77777777" w:rsidR="005C55F8" w:rsidRDefault="00000000">
          <w:pPr>
            <w:pStyle w:val="Heading2"/>
          </w:pPr>
          <w:sdt>
            <w:sdtPr>
              <w:tag w:val="goog_rdk_107"/>
              <w:id w:val="-1835982829"/>
            </w:sdtPr>
            <w:sdtContent>
              <w:sdt>
                <w:sdtPr>
                  <w:tag w:val="goog_rdk_108"/>
                  <w:id w:val="1755548422"/>
                </w:sdtPr>
                <w:sdtContent>
                  <w:r>
                    <w:t>Discrimination in other legislations</w:t>
                  </w:r>
                </w:sdtContent>
              </w:sdt>
              <w:bookmarkStart w:id="11" w:name="_heading=h.j239us3q34fk"/>
              <w:bookmarkEnd w:id="11"/>
              <w:sdt>
                <w:sdtPr>
                  <w:tag w:val="goog_rdk_109"/>
                  <w:id w:val="-179744313"/>
                  <w:showingPlcHdr/>
                </w:sdtPr>
                <w:sdtContent>
                  <w:r>
                    <w:t>    </w:t>
                  </w:r>
                </w:sdtContent>
              </w:sdt>
            </w:sdtContent>
          </w:sdt>
        </w:p>
      </w:sdtContent>
    </w:sdt>
    <w:sdt>
      <w:sdtPr>
        <w:tag w:val="goog_rdk_126"/>
        <w:id w:val="1345215790"/>
      </w:sdtPr>
      <w:sdtContent>
        <w:p w14:paraId="7480C0E9" w14:textId="77777777" w:rsidR="005C55F8" w:rsidRDefault="00000000">
          <w:pPr>
            <w:jc w:val="both"/>
            <w:rPr>
              <w:rFonts w:asciiTheme="majorBidi" w:eastAsia="Roboto" w:hAnsiTheme="majorBidi" w:cstheme="majorBidi"/>
              <w:color w:val="212529"/>
              <w:highlight w:val="white"/>
            </w:rPr>
          </w:pPr>
          <w:sdt>
            <w:sdtPr>
              <w:tag w:val="goog_rdk_114"/>
              <w:id w:val="-588378633"/>
            </w:sdtPr>
            <w:sdtContent>
              <w:sdt>
                <w:sdtPr>
                  <w:rPr>
                    <w:rFonts w:asciiTheme="majorBidi" w:hAnsiTheme="majorBidi" w:cstheme="majorBidi"/>
                  </w:rPr>
                  <w:tag w:val="goog_rdk_115"/>
                  <w:id w:val="588117170"/>
                </w:sdtPr>
                <w:sdtContent>
                  <w:r>
                    <w:rPr>
                      <w:rFonts w:asciiTheme="majorBidi" w:eastAsia="Roboto" w:hAnsiTheme="majorBidi" w:cstheme="majorBidi"/>
                      <w:color w:val="212529"/>
                      <w:highlight w:val="white"/>
                    </w:rPr>
                    <w:t xml:space="preserve">Further discrimination in official legislations can be found in the Saudi nationality law, officially referred to as the Saudi Arabian Citizenship System. One of the most </w:t>
                  </w:r>
                </w:sdtContent>
              </w:sdt>
              <w:sdt>
                <w:sdtPr>
                  <w:rPr>
                    <w:rFonts w:asciiTheme="majorBidi" w:hAnsiTheme="majorBidi" w:cstheme="majorBidi"/>
                  </w:rPr>
                  <w:tag w:val="goog_rdk_116"/>
                  <w:id w:val="-1301616207"/>
                </w:sdtPr>
                <w:sdtContent>
                  <w:r>
                    <w:rPr>
                      <w:rFonts w:asciiTheme="majorBidi" w:eastAsia="Roboto" w:hAnsiTheme="majorBidi" w:cstheme="majorBidi"/>
                      <w:color w:val="212529"/>
                      <w:highlight w:val="white"/>
                    </w:rPr>
                    <w:t>flagrant</w:t>
                  </w:r>
                </w:sdtContent>
              </w:sdt>
              <w:sdt>
                <w:sdtPr>
                  <w:rPr>
                    <w:rFonts w:asciiTheme="majorBidi" w:hAnsiTheme="majorBidi" w:cstheme="majorBidi"/>
                  </w:rPr>
                  <w:tag w:val="goog_rdk_117"/>
                  <w:id w:val="-1890953688"/>
                </w:sdtPr>
                <w:sdtContent>
                  <w:r>
                    <w:rPr>
                      <w:rFonts w:asciiTheme="majorBidi" w:eastAsia="Roboto" w:hAnsiTheme="majorBidi" w:cstheme="majorBidi"/>
                      <w:color w:val="212529"/>
                      <w:highlight w:val="white"/>
                    </w:rPr>
                    <w:t xml:space="preserve"> </w:t>
                  </w:r>
                </w:sdtContent>
              </w:sdt>
              <w:sdt>
                <w:sdtPr>
                  <w:rPr>
                    <w:rFonts w:asciiTheme="majorBidi" w:hAnsiTheme="majorBidi" w:cstheme="majorBidi"/>
                  </w:rPr>
                  <w:tag w:val="goog_rdk_118"/>
                  <w:id w:val="-1591607156"/>
                </w:sdtPr>
                <w:sdtContent>
                  <w:r>
                    <w:rPr>
                      <w:rFonts w:asciiTheme="majorBidi" w:eastAsia="Roboto" w:hAnsiTheme="majorBidi" w:cstheme="majorBidi"/>
                      <w:color w:val="212529"/>
                      <w:highlight w:val="white"/>
                    </w:rPr>
                    <w:t>discrimination</w:t>
                  </w:r>
                </w:sdtContent>
              </w:sdt>
              <w:sdt>
                <w:sdtPr>
                  <w:rPr>
                    <w:rFonts w:asciiTheme="majorBidi" w:hAnsiTheme="majorBidi" w:cstheme="majorBidi"/>
                  </w:rPr>
                  <w:tag w:val="goog_rdk_119"/>
                  <w:id w:val="1361236107"/>
                </w:sdtPr>
                <w:sdtContent>
                  <w:r>
                    <w:rPr>
                      <w:rFonts w:asciiTheme="majorBidi" w:eastAsia="Roboto" w:hAnsiTheme="majorBidi" w:cstheme="majorBidi"/>
                      <w:color w:val="212529"/>
                      <w:highlight w:val="white"/>
                    </w:rPr>
                    <w:t xml:space="preserve"> </w:t>
                  </w:r>
                  <w:r>
                    <w:rPr>
                      <w:rFonts w:asciiTheme="majorBidi" w:eastAsia="Roboto" w:hAnsiTheme="majorBidi" w:cstheme="majorBidi"/>
                      <w:color w:val="212529"/>
                      <w:highlight w:val="white"/>
                    </w:rPr>
                    <w:lastRenderedPageBreak/>
                    <w:t xml:space="preserve">in this law is the fact that only in extremely rare circumstances can Saudi women pass on their nationality to their children, whereas the children of Saudi men automatically acquire Saudi nationality at birth. In early 2023, the authorities announced a minor technical amendment to Article 8 of the law, transferring the authority to grant citizenship to the children of Saudi mothers and non-Saudi fathers from the Minister of Interior to the Prime Minister. However, </w:t>
                  </w:r>
                </w:sdtContent>
              </w:sdt>
            </w:sdtContent>
          </w:sdt>
          <w:sdt>
            <w:sdtPr>
              <w:rPr>
                <w:rFonts w:asciiTheme="majorBidi" w:hAnsiTheme="majorBidi" w:cstheme="majorBidi"/>
              </w:rPr>
              <w:tag w:val="goog_rdk_120"/>
              <w:id w:val="1537537863"/>
            </w:sdtPr>
            <w:sdtContent>
              <w:sdt>
                <w:sdtPr>
                  <w:rPr>
                    <w:rFonts w:asciiTheme="majorBidi" w:hAnsiTheme="majorBidi" w:cstheme="majorBidi"/>
                  </w:rPr>
                  <w:tag w:val="goog_rdk_121"/>
                  <w:id w:val="40873137"/>
                </w:sdtPr>
                <w:sdtContent>
                  <w:r>
                    <w:rPr>
                      <w:rFonts w:asciiTheme="majorBidi" w:eastAsia="Roboto" w:hAnsiTheme="majorBidi" w:cstheme="majorBidi"/>
                      <w:color w:val="212529"/>
                      <w:highlight w:val="white"/>
                    </w:rPr>
                    <w:t>this is subjected to almost unreachable conditions, which have still not been amended.</w:t>
                  </w:r>
                </w:sdtContent>
              </w:sdt>
            </w:sdtContent>
          </w:sdt>
          <w:sdt>
            <w:sdtPr>
              <w:rPr>
                <w:rFonts w:asciiTheme="majorBidi" w:hAnsiTheme="majorBidi" w:cstheme="majorBidi"/>
              </w:rPr>
              <w:tag w:val="goog_rdk_122"/>
              <w:id w:val="-471371767"/>
            </w:sdtPr>
            <w:sdtContent>
              <w:sdt>
                <w:sdtPr>
                  <w:rPr>
                    <w:rFonts w:asciiTheme="majorBidi" w:hAnsiTheme="majorBidi" w:cstheme="majorBidi"/>
                  </w:rPr>
                  <w:tag w:val="goog_rdk_123"/>
                  <w:id w:val="-680504389"/>
                  <w:showingPlcHdr/>
                </w:sdtPr>
                <w:sdtContent>
                  <w:r>
                    <w:t>    </w:t>
                  </w:r>
                </w:sdtContent>
              </w:sdt>
              <w:sdt>
                <w:sdtPr>
                  <w:rPr>
                    <w:rFonts w:asciiTheme="majorBidi" w:hAnsiTheme="majorBidi" w:cstheme="majorBidi"/>
                  </w:rPr>
                  <w:tag w:val="goog_rdk_124"/>
                  <w:id w:val="2008940896"/>
                  <w:showingPlcHdr/>
                </w:sdtPr>
                <w:sdtContent>
                  <w:r>
                    <w:rPr>
                      <w:rFonts w:asciiTheme="majorBidi" w:hAnsiTheme="majorBidi" w:cstheme="majorBidi"/>
                    </w:rPr>
                    <w:t xml:space="preserve">     </w:t>
                  </w:r>
                </w:sdtContent>
              </w:sdt>
              <w:sdt>
                <w:sdtPr>
                  <w:rPr>
                    <w:rFonts w:asciiTheme="majorBidi" w:hAnsiTheme="majorBidi" w:cstheme="majorBidi"/>
                  </w:rPr>
                  <w:tag w:val="goog_rdk_125"/>
                  <w:id w:val="268514148"/>
                  <w:showingPlcHdr/>
                </w:sdtPr>
                <w:sdtContent>
                  <w:r>
                    <w:t>    </w:t>
                  </w:r>
                </w:sdtContent>
              </w:sdt>
            </w:sdtContent>
          </w:sdt>
        </w:p>
      </w:sdtContent>
    </w:sdt>
    <w:p w14:paraId="0A759412" w14:textId="35B6B2C2" w:rsidR="005C55F8" w:rsidRDefault="00000000">
      <w:pPr>
        <w:pStyle w:val="Heading1"/>
        <w:numPr>
          <w:ilvl w:val="0"/>
          <w:numId w:val="0"/>
        </w:numPr>
        <w:spacing w:line="276" w:lineRule="auto"/>
        <w:jc w:val="both"/>
        <w:rPr>
          <w:rFonts w:asciiTheme="majorBidi" w:eastAsia="Roboto" w:hAnsiTheme="majorBidi"/>
          <w:b w:val="0"/>
          <w:bCs w:val="0"/>
          <w:color w:val="212529"/>
          <w:sz w:val="22"/>
          <w:szCs w:val="22"/>
        </w:rPr>
      </w:pPr>
      <w:sdt>
        <w:sdtPr>
          <w:rPr>
            <w:rFonts w:asciiTheme="majorBidi" w:hAnsiTheme="majorBidi"/>
          </w:rPr>
          <w:tag w:val="goog_rdk_127"/>
          <w:id w:val="-1704937640"/>
        </w:sdtPr>
        <w:sdtContent>
          <w:sdt>
            <w:sdtPr>
              <w:rPr>
                <w:rFonts w:asciiTheme="majorBidi" w:hAnsiTheme="majorBidi"/>
                <w:b w:val="0"/>
                <w:bCs w:val="0"/>
                <w:sz w:val="22"/>
                <w:szCs w:val="22"/>
              </w:rPr>
              <w:tag w:val="goog_rdk_128"/>
              <w:id w:val="171776394"/>
            </w:sdtPr>
            <w:sdtContent>
              <w:r>
                <w:rPr>
                  <w:rFonts w:asciiTheme="majorBidi" w:eastAsia="Roboto" w:hAnsiTheme="majorBidi"/>
                  <w:b w:val="0"/>
                  <w:bCs w:val="0"/>
                  <w:color w:val="212529"/>
                  <w:sz w:val="22"/>
                  <w:szCs w:val="22"/>
                  <w:highlight w:val="white"/>
                </w:rPr>
                <w:t xml:space="preserve">As for criminal conduct, Saudi Arabia does not have a written penal code at the time of e drafting of this report. However, a leaked draft of a potential new penal code has been considered by experts and civil society as a credible draft that could be promulgated by the </w:t>
              </w:r>
            </w:sdtContent>
          </w:sdt>
          <w:sdt>
            <w:sdtPr>
              <w:rPr>
                <w:rFonts w:asciiTheme="majorBidi" w:hAnsiTheme="majorBidi"/>
                <w:b w:val="0"/>
                <w:bCs w:val="0"/>
                <w:color w:val="000000" w:themeColor="text1"/>
                <w:sz w:val="22"/>
                <w:szCs w:val="22"/>
              </w:rPr>
              <w:tag w:val="goog_rdk_129"/>
              <w:id w:val="396560586"/>
            </w:sdtPr>
            <w:sdtContent>
              <w:r>
                <w:rPr>
                  <w:rFonts w:asciiTheme="majorBidi" w:eastAsia="Roboto" w:hAnsiTheme="majorBidi"/>
                  <w:b w:val="0"/>
                  <w:bCs w:val="0"/>
                  <w:color w:val="000000" w:themeColor="text1"/>
                  <w:sz w:val="22"/>
                  <w:szCs w:val="22"/>
                </w:rPr>
                <w:t>authorities</w:t>
              </w:r>
            </w:sdtContent>
          </w:sdt>
          <w:r>
            <w:rPr>
              <w:rFonts w:asciiTheme="majorBidi" w:hAnsiTheme="majorBidi"/>
              <w:b w:val="0"/>
              <w:bCs w:val="0"/>
              <w:color w:val="000000" w:themeColor="text1"/>
              <w:sz w:val="22"/>
              <w:szCs w:val="22"/>
            </w:rPr>
            <w:t>. Although it is not an implemented legislation, the draft has been criticised for not meeting international standards, including in its protection of women. The draft code effectively perpetuates gender-based violence. “</w:t>
          </w:r>
          <w:proofErr w:type="spellStart"/>
          <w:r>
            <w:rPr>
              <w:rFonts w:asciiTheme="majorBidi" w:hAnsiTheme="majorBidi"/>
              <w:b w:val="0"/>
              <w:bCs w:val="0"/>
              <w:color w:val="000000" w:themeColor="text1"/>
              <w:sz w:val="22"/>
              <w:szCs w:val="22"/>
            </w:rPr>
            <w:t>Honor</w:t>
          </w:r>
          <w:proofErr w:type="spellEnd"/>
          <w:r>
            <w:rPr>
              <w:rFonts w:asciiTheme="majorBidi" w:hAnsiTheme="majorBidi"/>
              <w:b w:val="0"/>
              <w:bCs w:val="0"/>
              <w:color w:val="000000" w:themeColor="text1"/>
              <w:sz w:val="22"/>
              <w:szCs w:val="22"/>
            </w:rPr>
            <w:t xml:space="preserve">” crimes are the most urgent crimes that need to be tackled and prosecuted to protect women from </w:t>
          </w:r>
          <w:sdt>
            <w:sdtPr>
              <w:rPr>
                <w:rFonts w:asciiTheme="majorBidi" w:hAnsiTheme="majorBidi"/>
                <w:b w:val="0"/>
                <w:bCs w:val="0"/>
                <w:color w:val="000000" w:themeColor="text1"/>
                <w:sz w:val="22"/>
                <w:szCs w:val="22"/>
              </w:rPr>
              <w:tag w:val="goog_rdk_131"/>
              <w:id w:val="-2078731927"/>
            </w:sdtPr>
            <w:sdtContent>
              <w:sdt>
                <w:sdtPr>
                  <w:rPr>
                    <w:rFonts w:asciiTheme="majorBidi" w:hAnsiTheme="majorBidi"/>
                    <w:b w:val="0"/>
                    <w:bCs w:val="0"/>
                    <w:color w:val="000000" w:themeColor="text1"/>
                    <w:sz w:val="22"/>
                    <w:szCs w:val="22"/>
                  </w:rPr>
                  <w:tag w:val="goog_rdk_132"/>
                  <w:id w:val="73797922"/>
                </w:sdtPr>
                <w:sdtContent>
                  <w:r>
                    <w:rPr>
                      <w:rFonts w:asciiTheme="majorBidi" w:hAnsiTheme="majorBidi"/>
                      <w:b w:val="0"/>
                      <w:bCs w:val="0"/>
                      <w:color w:val="000000" w:themeColor="text1"/>
                      <w:sz w:val="22"/>
                      <w:szCs w:val="22"/>
                    </w:rPr>
                    <w:t>being killed</w:t>
                  </w:r>
                </w:sdtContent>
              </w:sdt>
            </w:sdtContent>
          </w:sdt>
          <w:sdt>
            <w:sdtPr>
              <w:rPr>
                <w:rFonts w:asciiTheme="majorBidi" w:hAnsiTheme="majorBidi"/>
                <w:b w:val="0"/>
                <w:bCs w:val="0"/>
                <w:color w:val="000000" w:themeColor="text1"/>
                <w:sz w:val="22"/>
                <w:szCs w:val="22"/>
              </w:rPr>
              <w:tag w:val="goog_rdk_133"/>
              <w:id w:val="1120111612"/>
            </w:sdtPr>
            <w:sdtContent>
              <w:sdt>
                <w:sdtPr>
                  <w:rPr>
                    <w:rFonts w:asciiTheme="majorBidi" w:hAnsiTheme="majorBidi"/>
                    <w:b w:val="0"/>
                    <w:bCs w:val="0"/>
                    <w:color w:val="000000" w:themeColor="text1"/>
                    <w:sz w:val="22"/>
                    <w:szCs w:val="22"/>
                  </w:rPr>
                  <w:tag w:val="goog_rdk_136"/>
                  <w:id w:val="-2052216279"/>
                </w:sdtPr>
                <w:sdtContent>
                  <w:r>
                    <w:rPr>
                      <w:rFonts w:asciiTheme="majorBidi" w:hAnsiTheme="majorBidi"/>
                      <w:b w:val="0"/>
                      <w:bCs w:val="0"/>
                      <w:color w:val="000000" w:themeColor="text1"/>
                      <w:sz w:val="22"/>
                      <w:szCs w:val="22"/>
                    </w:rPr>
                    <w:t xml:space="preserve"> </w:t>
                  </w:r>
                </w:sdtContent>
              </w:sdt>
            </w:sdtContent>
          </w:sdt>
          <w:sdt>
            <w:sdtPr>
              <w:rPr>
                <w:rFonts w:asciiTheme="majorBidi" w:hAnsiTheme="majorBidi"/>
                <w:b w:val="0"/>
                <w:bCs w:val="0"/>
                <w:color w:val="000000" w:themeColor="text1"/>
                <w:sz w:val="22"/>
                <w:szCs w:val="22"/>
              </w:rPr>
              <w:tag w:val="goog_rdk_137"/>
              <w:id w:val="1263420850"/>
            </w:sdtPr>
            <w:sdtContent>
              <w:sdt>
                <w:sdtPr>
                  <w:rPr>
                    <w:rFonts w:asciiTheme="majorBidi" w:hAnsiTheme="majorBidi"/>
                    <w:b w:val="0"/>
                    <w:bCs w:val="0"/>
                    <w:color w:val="000000" w:themeColor="text1"/>
                    <w:sz w:val="22"/>
                    <w:szCs w:val="22"/>
                  </w:rPr>
                  <w:tag w:val="goog_rdk_138"/>
                  <w:id w:val="-1803376668"/>
                </w:sdtPr>
                <w:sdtContent>
                  <w:r>
                    <w:rPr>
                      <w:rFonts w:asciiTheme="majorBidi" w:hAnsiTheme="majorBidi"/>
                      <w:b w:val="0"/>
                      <w:bCs w:val="0"/>
                      <w:color w:val="000000" w:themeColor="text1"/>
                      <w:sz w:val="22"/>
                      <w:szCs w:val="22"/>
                    </w:rPr>
                    <w:t>with</w:t>
                  </w:r>
                </w:sdtContent>
              </w:sdt>
            </w:sdtContent>
          </w:sdt>
          <w:sdt>
            <w:sdtPr>
              <w:rPr>
                <w:rFonts w:asciiTheme="majorBidi" w:hAnsiTheme="majorBidi"/>
                <w:b w:val="0"/>
                <w:bCs w:val="0"/>
                <w:color w:val="000000" w:themeColor="text1"/>
                <w:sz w:val="22"/>
                <w:szCs w:val="22"/>
              </w:rPr>
              <w:tag w:val="goog_rdk_139"/>
              <w:id w:val="-1621751052"/>
            </w:sdtPr>
            <w:sdtContent>
              <w:sdt>
                <w:sdtPr>
                  <w:rPr>
                    <w:rFonts w:asciiTheme="majorBidi" w:hAnsiTheme="majorBidi"/>
                    <w:b w:val="0"/>
                    <w:bCs w:val="0"/>
                    <w:color w:val="000000" w:themeColor="text1"/>
                    <w:sz w:val="22"/>
                    <w:szCs w:val="22"/>
                  </w:rPr>
                  <w:tag w:val="goog_rdk_142"/>
                  <w:id w:val="-1416240713"/>
                </w:sdtPr>
                <w:sdtContent>
                  <w:r>
                    <w:rPr>
                      <w:rFonts w:asciiTheme="majorBidi" w:hAnsiTheme="majorBidi"/>
                      <w:b w:val="0"/>
                      <w:bCs w:val="0"/>
                      <w:color w:val="000000" w:themeColor="text1"/>
                      <w:sz w:val="22"/>
                      <w:szCs w:val="22"/>
                    </w:rPr>
                    <w:t xml:space="preserve"> impunity. However, the draft code does not allow for such crimes to be investigated and prosecuted. Another </w:t>
                  </w:r>
                </w:sdtContent>
              </w:sdt>
            </w:sdtContent>
          </w:sdt>
          <w:sdt>
            <w:sdtPr>
              <w:rPr>
                <w:rFonts w:asciiTheme="majorBidi" w:hAnsiTheme="majorBidi"/>
                <w:b w:val="0"/>
                <w:bCs w:val="0"/>
                <w:color w:val="000000" w:themeColor="text1"/>
                <w:sz w:val="22"/>
                <w:szCs w:val="22"/>
              </w:rPr>
              <w:tag w:val="goog_rdk_143"/>
              <w:id w:val="-1513749144"/>
            </w:sdtPr>
            <w:sdtContent>
              <w:sdt>
                <w:sdtPr>
                  <w:rPr>
                    <w:rFonts w:asciiTheme="majorBidi" w:hAnsiTheme="majorBidi"/>
                    <w:b w:val="0"/>
                    <w:bCs w:val="0"/>
                    <w:color w:val="000000" w:themeColor="text1"/>
                    <w:sz w:val="22"/>
                    <w:szCs w:val="22"/>
                  </w:rPr>
                  <w:tag w:val="goog_rdk_144"/>
                  <w:id w:val="1860085108"/>
                </w:sdtPr>
                <w:sdtContent>
                  <w:r>
                    <w:rPr>
                      <w:rFonts w:asciiTheme="majorBidi" w:hAnsiTheme="majorBidi"/>
                      <w:b w:val="0"/>
                      <w:bCs w:val="0"/>
                      <w:color w:val="000000" w:themeColor="text1"/>
                      <w:sz w:val="22"/>
                      <w:szCs w:val="22"/>
                    </w:rPr>
                    <w:t>serious flaw</w:t>
                  </w:r>
                </w:sdtContent>
              </w:sdt>
            </w:sdtContent>
          </w:sdt>
          <w:sdt>
            <w:sdtPr>
              <w:rPr>
                <w:rFonts w:asciiTheme="majorBidi" w:hAnsiTheme="majorBidi"/>
                <w:b w:val="0"/>
                <w:bCs w:val="0"/>
                <w:color w:val="000000" w:themeColor="text1"/>
                <w:sz w:val="22"/>
                <w:szCs w:val="22"/>
              </w:rPr>
              <w:tag w:val="goog_rdk_145"/>
              <w:id w:val="-1611266529"/>
            </w:sdtPr>
            <w:sdtContent>
              <w:sdt>
                <w:sdtPr>
                  <w:rPr>
                    <w:rFonts w:asciiTheme="majorBidi" w:hAnsiTheme="majorBidi"/>
                    <w:b w:val="0"/>
                    <w:bCs w:val="0"/>
                    <w:color w:val="000000" w:themeColor="text1"/>
                    <w:sz w:val="22"/>
                    <w:szCs w:val="22"/>
                  </w:rPr>
                  <w:tag w:val="goog_rdk_147"/>
                  <w:id w:val="-808862387"/>
                  <w:showingPlcHdr/>
                </w:sdtPr>
                <w:sdtContent>
                  <w:r w:rsidR="00EE76D9">
                    <w:rPr>
                      <w:rFonts w:asciiTheme="majorBidi" w:hAnsiTheme="majorBidi"/>
                      <w:b w:val="0"/>
                      <w:bCs w:val="0"/>
                      <w:color w:val="000000" w:themeColor="text1"/>
                      <w:sz w:val="22"/>
                      <w:szCs w:val="22"/>
                    </w:rPr>
                    <w:t xml:space="preserve">     </w:t>
                  </w:r>
                </w:sdtContent>
              </w:sdt>
              <w:sdt>
                <w:sdtPr>
                  <w:rPr>
                    <w:rFonts w:asciiTheme="majorBidi" w:hAnsiTheme="majorBidi"/>
                    <w:b w:val="0"/>
                    <w:bCs w:val="0"/>
                    <w:color w:val="000000" w:themeColor="text1"/>
                    <w:sz w:val="22"/>
                    <w:szCs w:val="22"/>
                  </w:rPr>
                  <w:tag w:val="goog_rdk_148"/>
                  <w:id w:val="-1586064151"/>
                </w:sdtPr>
                <w:sdtContent>
                  <w:r>
                    <w:rPr>
                      <w:rFonts w:asciiTheme="majorBidi" w:hAnsiTheme="majorBidi"/>
                      <w:b w:val="0"/>
                      <w:bCs w:val="0"/>
                      <w:color w:val="000000" w:themeColor="text1"/>
                      <w:sz w:val="22"/>
                      <w:szCs w:val="22"/>
                    </w:rPr>
                    <w:t xml:space="preserve"> in the draft</w:t>
                  </w:r>
                </w:sdtContent>
              </w:sdt>
              <w:sdt>
                <w:sdtPr>
                  <w:rPr>
                    <w:rFonts w:asciiTheme="majorBidi" w:hAnsiTheme="majorBidi"/>
                    <w:b w:val="0"/>
                    <w:bCs w:val="0"/>
                    <w:color w:val="000000" w:themeColor="text1"/>
                    <w:sz w:val="22"/>
                    <w:szCs w:val="22"/>
                  </w:rPr>
                  <w:tag w:val="goog_rdk_151"/>
                  <w:id w:val="1480886858"/>
                </w:sdtPr>
                <w:sdtContent>
                  <w:r>
                    <w:rPr>
                      <w:rFonts w:asciiTheme="majorBidi" w:hAnsiTheme="majorBidi"/>
                      <w:b w:val="0"/>
                      <w:bCs w:val="0"/>
                      <w:color w:val="000000" w:themeColor="text1"/>
                      <w:sz w:val="22"/>
                      <w:szCs w:val="22"/>
                    </w:rPr>
                    <w:t xml:space="preserve"> is the non-criminalisation of marital rape.</w:t>
                  </w:r>
                </w:sdtContent>
              </w:sdt>
            </w:sdtContent>
          </w:sdt>
        </w:sdtContent>
      </w:sdt>
      <w:r>
        <w:rPr>
          <w:rFonts w:asciiTheme="majorBidi" w:eastAsia="Roboto" w:hAnsiTheme="majorBidi"/>
          <w:b w:val="0"/>
          <w:bCs w:val="0"/>
          <w:color w:val="212529"/>
          <w:sz w:val="22"/>
          <w:szCs w:val="22"/>
          <w:highlight w:val="white"/>
        </w:rPr>
        <w:t xml:space="preserve"> </w:t>
      </w:r>
    </w:p>
    <w:p w14:paraId="5BBE3FE4" w14:textId="77777777" w:rsidR="005C55F8" w:rsidRDefault="00000000">
      <w:pPr>
        <w:pStyle w:val="Heading1"/>
        <w:numPr>
          <w:ilvl w:val="0"/>
          <w:numId w:val="0"/>
        </w:numPr>
        <w:spacing w:line="276" w:lineRule="auto"/>
        <w:jc w:val="both"/>
      </w:pPr>
      <w:r>
        <w:t>The Saudi Human Rights Commission</w:t>
      </w:r>
    </w:p>
    <w:p w14:paraId="2CA6075D" w14:textId="77777777" w:rsidR="005C55F8" w:rsidRDefault="00000000">
      <w:pPr>
        <w:jc w:val="both"/>
        <w:rPr>
          <w:rFonts w:asciiTheme="majorBidi" w:eastAsia="Roboto" w:hAnsiTheme="majorBidi" w:cstheme="majorBidi"/>
        </w:rPr>
      </w:pPr>
      <w:r>
        <w:rPr>
          <w:rFonts w:asciiTheme="majorBidi" w:eastAsia="Roboto" w:hAnsiTheme="majorBidi" w:cstheme="majorBidi"/>
        </w:rPr>
        <w:t xml:space="preserve">Saudi Arabia established a national human rights institution (NHRI), </w:t>
      </w:r>
      <w:sdt>
        <w:sdtPr>
          <w:rPr>
            <w:rFonts w:asciiTheme="majorBidi" w:hAnsiTheme="majorBidi" w:cstheme="majorBidi"/>
          </w:rPr>
          <w:tag w:val="goog_rdk_241"/>
          <w:id w:val="-983778992"/>
        </w:sdtPr>
        <w:sdtContent>
          <w:r>
            <w:rPr>
              <w:rFonts w:asciiTheme="majorBidi" w:eastAsia="Roboto" w:hAnsiTheme="majorBidi" w:cstheme="majorBidi"/>
            </w:rPr>
            <w:t xml:space="preserve">named </w:t>
          </w:r>
        </w:sdtContent>
      </w:sdt>
      <w:r>
        <w:rPr>
          <w:rFonts w:asciiTheme="majorBidi" w:eastAsia="Roboto" w:hAnsiTheme="majorBidi" w:cstheme="majorBidi"/>
        </w:rPr>
        <w:t>the Saudi Human Rights Commission (SHRC), through a decision from the Council of Ministers dated 12 September 2005.</w:t>
      </w:r>
      <w:r>
        <w:rPr>
          <w:rFonts w:asciiTheme="majorBidi" w:eastAsia="Roboto" w:hAnsiTheme="majorBidi" w:cstheme="majorBidi"/>
          <w:vertAlign w:val="superscript"/>
        </w:rPr>
        <w:footnoteReference w:id="12"/>
      </w:r>
    </w:p>
    <w:p w14:paraId="78754616" w14:textId="77777777" w:rsidR="005C55F8" w:rsidRDefault="00000000">
      <w:pPr>
        <w:jc w:val="both"/>
        <w:rPr>
          <w:rFonts w:asciiTheme="majorBidi" w:eastAsia="Roboto" w:hAnsiTheme="majorBidi" w:cstheme="majorBidi"/>
        </w:rPr>
      </w:pPr>
      <w:r>
        <w:rPr>
          <w:rFonts w:asciiTheme="majorBidi" w:eastAsia="Roboto" w:hAnsiTheme="majorBidi" w:cstheme="majorBidi"/>
        </w:rPr>
        <w:t>Submitting organisations found that the SHRC is mainly established as a tool to whitewash human rights violations in Saudi Arabia, including covering up abuses committed against women human rights defenders.</w:t>
      </w:r>
      <w:sdt>
        <w:sdtPr>
          <w:rPr>
            <w:rFonts w:asciiTheme="majorBidi" w:hAnsiTheme="majorBidi" w:cstheme="majorBidi"/>
          </w:rPr>
          <w:tag w:val="goog_rdk_242"/>
          <w:id w:val="-1768307538"/>
        </w:sdtPr>
        <w:sdtContent>
          <w:r>
            <w:rPr>
              <w:rFonts w:asciiTheme="majorBidi" w:eastAsia="Roboto" w:hAnsiTheme="majorBidi" w:cstheme="majorBidi"/>
              <w:vertAlign w:val="superscript"/>
            </w:rPr>
            <w:footnoteReference w:id="13"/>
          </w:r>
        </w:sdtContent>
      </w:sdt>
      <w:r>
        <w:rPr>
          <w:rFonts w:asciiTheme="majorBidi" w:eastAsia="Roboto" w:hAnsiTheme="majorBidi" w:cstheme="majorBidi"/>
        </w:rPr>
        <w:t xml:space="preserve"> </w:t>
      </w:r>
    </w:p>
    <w:p w14:paraId="460EA8E3" w14:textId="77777777" w:rsidR="005C55F8" w:rsidRDefault="00000000">
      <w:pPr>
        <w:jc w:val="both"/>
        <w:rPr>
          <w:rFonts w:asciiTheme="majorBidi" w:eastAsia="Roboto" w:hAnsiTheme="majorBidi" w:cstheme="majorBidi"/>
        </w:rPr>
      </w:pPr>
      <w:r>
        <w:rPr>
          <w:rFonts w:asciiTheme="majorBidi" w:eastAsia="Roboto" w:hAnsiTheme="majorBidi" w:cstheme="majorBidi"/>
        </w:rPr>
        <w:t>Throughout its reporting activities, the SHRC upholds a favourable and progressive image of women’s rights advancement in Saudi Arabia. In the SHRC’s annual reports, women’s rights reforms are given a central attention. The reports extensively highlight some of the government’s achievements in enhancing women’s conditions, such as granting women the right to drive and the appointment of 100 female notaries.</w:t>
      </w:r>
      <w:r>
        <w:rPr>
          <w:rFonts w:asciiTheme="majorBidi" w:eastAsia="Roboto" w:hAnsiTheme="majorBidi" w:cstheme="majorBidi"/>
          <w:vertAlign w:val="superscript"/>
        </w:rPr>
        <w:footnoteReference w:id="14"/>
      </w:r>
    </w:p>
    <w:p w14:paraId="3B71DFB6" w14:textId="77777777" w:rsidR="005C55F8" w:rsidRDefault="00000000">
      <w:pPr>
        <w:jc w:val="both"/>
        <w:rPr>
          <w:rFonts w:asciiTheme="majorBidi" w:eastAsia="Roboto" w:hAnsiTheme="majorBidi" w:cstheme="majorBidi"/>
        </w:rPr>
      </w:pPr>
      <w:r>
        <w:rPr>
          <w:rFonts w:asciiTheme="majorBidi" w:eastAsia="Roboto" w:hAnsiTheme="majorBidi" w:cstheme="majorBidi"/>
        </w:rPr>
        <w:t xml:space="preserve">However, reports from civil society and international organisations recount a different reality. While human rights NGOs have consistently called on Saudi Arabia to abolish its male guardianship system, which notably requires women to obtain male guardian permission to get married and obtain some forms of sexual and reproductive healthcare, the SHRC’s seemingly </w:t>
      </w:r>
      <w:r>
        <w:rPr>
          <w:rFonts w:asciiTheme="majorBidi" w:eastAsia="Roboto" w:hAnsiTheme="majorBidi" w:cstheme="majorBidi"/>
        </w:rPr>
        <w:lastRenderedPageBreak/>
        <w:t>women’s rights-focused reports fail to acknowledge these concerns or provide any recommendations to improve women’s rights in Saudi Arabia.</w:t>
      </w:r>
      <w:sdt>
        <w:sdtPr>
          <w:rPr>
            <w:rFonts w:asciiTheme="majorBidi" w:hAnsiTheme="majorBidi" w:cstheme="majorBidi"/>
          </w:rPr>
          <w:tag w:val="goog_rdk_243"/>
          <w:id w:val="-83143939"/>
        </w:sdtPr>
        <w:sdtContent>
          <w:r>
            <w:rPr>
              <w:rFonts w:asciiTheme="majorBidi" w:eastAsia="Roboto" w:hAnsiTheme="majorBidi" w:cstheme="majorBidi"/>
              <w:vertAlign w:val="superscript"/>
            </w:rPr>
            <w:footnoteReference w:id="15"/>
          </w:r>
        </w:sdtContent>
      </w:sdt>
    </w:p>
    <w:p w14:paraId="1AA01B64" w14:textId="77777777" w:rsidR="005C55F8" w:rsidRDefault="00000000">
      <w:pPr>
        <w:jc w:val="both"/>
        <w:rPr>
          <w:rFonts w:asciiTheme="majorBidi" w:eastAsia="Roboto" w:hAnsiTheme="majorBidi" w:cstheme="majorBidi"/>
        </w:rPr>
      </w:pPr>
      <w:r>
        <w:rPr>
          <w:rFonts w:asciiTheme="majorBidi" w:eastAsia="Roboto" w:hAnsiTheme="majorBidi" w:cstheme="majorBidi"/>
        </w:rPr>
        <w:t>In August 2018, the Canadian authorities raised concerns about the arrest of Saudi women’s rights activists in a tweet.</w:t>
      </w:r>
      <w:r>
        <w:rPr>
          <w:rFonts w:asciiTheme="majorBidi" w:eastAsia="Roboto" w:hAnsiTheme="majorBidi" w:cstheme="majorBidi"/>
          <w:vertAlign w:val="superscript"/>
        </w:rPr>
        <w:footnoteReference w:id="16"/>
      </w:r>
      <w:r>
        <w:rPr>
          <w:rFonts w:asciiTheme="majorBidi" w:eastAsia="Roboto" w:hAnsiTheme="majorBidi" w:cstheme="majorBidi"/>
        </w:rPr>
        <w:t xml:space="preserve"> In a response published on Twitter, the SHRC refused to accept criticism, dismissing it as “interference in the Kingdom’s internal affairs”, and asserted that the detainees were being treated “in accordance with the regulations in force in the Kingdom and the international agreements to which it has become a party.”</w:t>
      </w:r>
      <w:r>
        <w:rPr>
          <w:rFonts w:asciiTheme="majorBidi" w:eastAsia="Roboto" w:hAnsiTheme="majorBidi" w:cstheme="majorBidi"/>
          <w:vertAlign w:val="superscript"/>
        </w:rPr>
        <w:footnoteReference w:id="17"/>
      </w:r>
      <w:r>
        <w:rPr>
          <w:rFonts w:asciiTheme="majorBidi" w:eastAsia="Roboto" w:hAnsiTheme="majorBidi" w:cstheme="majorBidi"/>
          <w:vertAlign w:val="superscript"/>
        </w:rPr>
        <w:t xml:space="preserve"> </w:t>
      </w:r>
      <w:r>
        <w:rPr>
          <w:rFonts w:asciiTheme="majorBidi" w:eastAsia="Roboto" w:hAnsiTheme="majorBidi" w:cstheme="majorBidi"/>
        </w:rPr>
        <w:t>This response highlights a troubling discrepancy between the Commission’s rhetoric and the grim realities faced by women advocating for their rights in Saudi Arabia.</w:t>
      </w:r>
    </w:p>
    <w:p w14:paraId="0B478FBE" w14:textId="422EAD8C" w:rsidR="005C55F8" w:rsidRDefault="00000000">
      <w:pPr>
        <w:spacing w:before="0" w:after="0"/>
        <w:jc w:val="both"/>
        <w:rPr>
          <w:rFonts w:asciiTheme="majorBidi" w:eastAsia="Roboto" w:hAnsiTheme="majorBidi" w:cstheme="majorBidi"/>
        </w:rPr>
      </w:pPr>
      <w:r>
        <w:rPr>
          <w:rFonts w:asciiTheme="majorBidi" w:eastAsia="Roboto" w:hAnsiTheme="majorBidi" w:cstheme="majorBidi"/>
        </w:rPr>
        <w:t xml:space="preserve">In fact, Saudi authorities particularly target women human rights defenders, which the SHRC has actively taken part in covering up. For instance, during her detention, </w:t>
      </w:r>
      <w:r w:rsidR="00063C50">
        <w:rPr>
          <w:rFonts w:asciiTheme="majorBidi" w:eastAsia="Roboto" w:hAnsiTheme="majorBidi" w:cstheme="majorBidi"/>
        </w:rPr>
        <w:t>L. H</w:t>
      </w:r>
      <w:r>
        <w:rPr>
          <w:rFonts w:asciiTheme="majorBidi" w:eastAsia="Roboto" w:hAnsiTheme="majorBidi" w:cstheme="majorBidi"/>
        </w:rPr>
        <w:t xml:space="preserve"> was visited by SHRC members, including.</w:t>
      </w:r>
      <w:r>
        <w:rPr>
          <w:rFonts w:asciiTheme="majorBidi" w:eastAsia="Roboto" w:hAnsiTheme="majorBidi" w:cstheme="majorBidi"/>
          <w:vertAlign w:val="superscript"/>
        </w:rPr>
        <w:footnoteReference w:id="18"/>
      </w:r>
      <w:r>
        <w:rPr>
          <w:rFonts w:asciiTheme="majorBidi" w:eastAsia="Roboto" w:hAnsiTheme="majorBidi" w:cstheme="majorBidi"/>
        </w:rPr>
        <w:t xml:space="preserve"> </w:t>
      </w:r>
      <w:r>
        <w:rPr>
          <w:rFonts w:asciiTheme="majorBidi" w:eastAsia="Roboto" w:hAnsiTheme="majorBidi" w:cstheme="majorBidi"/>
          <w:sz w:val="24"/>
          <w:szCs w:val="24"/>
        </w:rPr>
        <w:t xml:space="preserve"> </w:t>
      </w:r>
      <w:r>
        <w:rPr>
          <w:rFonts w:asciiTheme="majorBidi" w:eastAsia="Roboto" w:hAnsiTheme="majorBidi" w:cstheme="majorBidi"/>
        </w:rPr>
        <w:t>A</w:t>
      </w:r>
      <w:r w:rsidR="00C41F58">
        <w:rPr>
          <w:rFonts w:asciiTheme="majorBidi" w:eastAsia="Roboto" w:hAnsiTheme="majorBidi" w:cstheme="majorBidi"/>
        </w:rPr>
        <w:t>. M, the former president of the SHRC,</w:t>
      </w:r>
      <w:r>
        <w:rPr>
          <w:rFonts w:asciiTheme="majorBidi" w:eastAsia="Roboto" w:hAnsiTheme="majorBidi" w:cstheme="majorBidi"/>
        </w:rPr>
        <w:t xml:space="preserve"> was made fully aware of the details of the brutal acts of torture and ill-treatment </w:t>
      </w:r>
      <w:r w:rsidR="00063C50">
        <w:rPr>
          <w:rFonts w:asciiTheme="majorBidi" w:eastAsia="Roboto" w:hAnsiTheme="majorBidi" w:cstheme="majorBidi"/>
        </w:rPr>
        <w:t>L. H</w:t>
      </w:r>
      <w:r>
        <w:rPr>
          <w:rFonts w:asciiTheme="majorBidi" w:eastAsia="Roboto" w:hAnsiTheme="majorBidi" w:cstheme="majorBidi"/>
        </w:rPr>
        <w:t xml:space="preserve"> was subjected to, but failed to provide her with any help or assistance. A</w:t>
      </w:r>
      <w:r w:rsidR="00C41F58">
        <w:rPr>
          <w:rFonts w:asciiTheme="majorBidi" w:eastAsia="Roboto" w:hAnsiTheme="majorBidi" w:cstheme="majorBidi"/>
        </w:rPr>
        <w:t>. M</w:t>
      </w:r>
      <w:r>
        <w:rPr>
          <w:rFonts w:asciiTheme="majorBidi" w:eastAsia="Roboto" w:hAnsiTheme="majorBidi" w:cstheme="majorBidi"/>
        </w:rPr>
        <w:t xml:space="preserve">’s deliberate silence and cover-up of </w:t>
      </w:r>
      <w:r w:rsidR="00063C50">
        <w:rPr>
          <w:rFonts w:asciiTheme="majorBidi" w:eastAsia="Roboto" w:hAnsiTheme="majorBidi" w:cstheme="majorBidi"/>
        </w:rPr>
        <w:t>L. H</w:t>
      </w:r>
      <w:r>
        <w:rPr>
          <w:rFonts w:asciiTheme="majorBidi" w:eastAsia="Roboto" w:hAnsiTheme="majorBidi" w:cstheme="majorBidi"/>
        </w:rPr>
        <w:t xml:space="preserve">’s torture contributed to the whitewashing of Saudi Arabia’s human rights abuses. Her actions underscore the stark contrast between the SHRC’s portrayal of women’s </w:t>
      </w:r>
      <w:proofErr w:type="gramStart"/>
      <w:r>
        <w:rPr>
          <w:rFonts w:asciiTheme="majorBidi" w:eastAsia="Roboto" w:hAnsiTheme="majorBidi" w:cstheme="majorBidi"/>
        </w:rPr>
        <w:t>rights</w:t>
      </w:r>
      <w:proofErr w:type="gramEnd"/>
      <w:r>
        <w:rPr>
          <w:rFonts w:asciiTheme="majorBidi" w:eastAsia="Roboto" w:hAnsiTheme="majorBidi" w:cstheme="majorBidi"/>
        </w:rPr>
        <w:t xml:space="preserve"> and the harsh realities endured by women human rights defenders like </w:t>
      </w:r>
      <w:r w:rsidR="00063C50">
        <w:rPr>
          <w:rFonts w:asciiTheme="majorBidi" w:eastAsia="Roboto" w:hAnsiTheme="majorBidi" w:cstheme="majorBidi"/>
        </w:rPr>
        <w:t>L. H</w:t>
      </w:r>
      <w:r>
        <w:rPr>
          <w:rFonts w:asciiTheme="majorBidi" w:eastAsia="Roboto" w:hAnsiTheme="majorBidi" w:cstheme="majorBidi"/>
        </w:rPr>
        <w:t xml:space="preserve"> and </w:t>
      </w:r>
      <w:r w:rsidR="00063C50">
        <w:rPr>
          <w:rFonts w:asciiTheme="majorBidi" w:eastAsia="Roboto" w:hAnsiTheme="majorBidi" w:cstheme="majorBidi"/>
        </w:rPr>
        <w:t>M.O</w:t>
      </w:r>
      <w:r>
        <w:rPr>
          <w:rFonts w:asciiTheme="majorBidi" w:eastAsia="Roboto" w:hAnsiTheme="majorBidi" w:cstheme="majorBidi"/>
        </w:rPr>
        <w:t>.</w:t>
      </w:r>
    </w:p>
    <w:p w14:paraId="53621947" w14:textId="77777777" w:rsidR="005C55F8" w:rsidRDefault="005C55F8">
      <w:pPr>
        <w:spacing w:before="0" w:after="0"/>
        <w:jc w:val="both"/>
        <w:rPr>
          <w:rFonts w:ascii="Roboto" w:eastAsia="Roboto" w:hAnsi="Roboto" w:cs="Roboto"/>
        </w:rPr>
      </w:pPr>
    </w:p>
    <w:p w14:paraId="7570ADE7" w14:textId="77777777" w:rsidR="005C55F8" w:rsidRDefault="005C55F8">
      <w:pPr>
        <w:spacing w:before="0" w:after="0"/>
        <w:jc w:val="both"/>
        <w:rPr>
          <w:rFonts w:ascii="Roboto" w:eastAsia="Roboto" w:hAnsi="Roboto" w:cs="Roboto"/>
        </w:rPr>
      </w:pPr>
    </w:p>
    <w:p w14:paraId="7ECC7372" w14:textId="77777777" w:rsidR="005C55F8" w:rsidRDefault="00000000">
      <w:pPr>
        <w:pStyle w:val="Heading1"/>
        <w:spacing w:before="0" w:after="0"/>
        <w:jc w:val="both"/>
      </w:pPr>
      <w:bookmarkStart w:id="12" w:name="_heading=h.6y7di5pxo729"/>
      <w:bookmarkEnd w:id="12"/>
      <w:r>
        <w:t>Conclusion and recommendations</w:t>
      </w:r>
    </w:p>
    <w:p w14:paraId="0475D86D" w14:textId="77777777" w:rsidR="005C55F8" w:rsidRDefault="00000000">
      <w:pPr>
        <w:jc w:val="both"/>
        <w:rPr>
          <w:rFonts w:asciiTheme="majorBidi" w:eastAsia="Roboto" w:hAnsiTheme="majorBidi" w:cstheme="majorBidi"/>
        </w:rPr>
      </w:pPr>
      <w:r>
        <w:rPr>
          <w:rFonts w:asciiTheme="majorBidi" w:eastAsia="Roboto" w:hAnsiTheme="majorBidi" w:cstheme="majorBidi"/>
        </w:rPr>
        <w:t xml:space="preserve">Submitting organisations conclude that the Kingdom of Saudi Arabia has not complied with its obligations under the CEDAW. Although the government has enacted several reforms regarding women’s rights, women continue to face significant hardships and are increasingly subjected to arbitrary detention and torture. </w:t>
      </w:r>
    </w:p>
    <w:p w14:paraId="37FC7263" w14:textId="77777777" w:rsidR="005C55F8" w:rsidRDefault="00000000">
      <w:pPr>
        <w:jc w:val="both"/>
        <w:rPr>
          <w:rFonts w:asciiTheme="majorBidi" w:eastAsia="Roboto" w:hAnsiTheme="majorBidi" w:cstheme="majorBidi"/>
        </w:rPr>
      </w:pPr>
      <w:r>
        <w:rPr>
          <w:rFonts w:asciiTheme="majorBidi" w:eastAsia="Roboto" w:hAnsiTheme="majorBidi" w:cstheme="majorBidi"/>
        </w:rPr>
        <w:t xml:space="preserve">MENA Rights Group and ALQST for Human Rights recommend give the following recommendations to the government of Saudi Arabia: </w:t>
      </w:r>
    </w:p>
    <w:p w14:paraId="6ABD20EB" w14:textId="77777777" w:rsidR="005C55F8" w:rsidRDefault="00000000">
      <w:pPr>
        <w:jc w:val="both"/>
        <w:rPr>
          <w:rFonts w:asciiTheme="majorBidi" w:eastAsia="Roboto" w:hAnsiTheme="majorBidi" w:cstheme="majorBidi"/>
        </w:rPr>
      </w:pPr>
      <w:r>
        <w:rPr>
          <w:rFonts w:asciiTheme="majorBidi" w:eastAsia="Roboto" w:hAnsiTheme="majorBidi" w:cstheme="majorBidi"/>
        </w:rPr>
        <w:t xml:space="preserve">1. Refrain from using the Counterterrorism Law and the </w:t>
      </w:r>
      <w:proofErr w:type="spellStart"/>
      <w:r>
        <w:rPr>
          <w:rFonts w:asciiTheme="majorBidi" w:eastAsia="Roboto" w:hAnsiTheme="majorBidi" w:cstheme="majorBidi"/>
        </w:rPr>
        <w:t>Anticybercrime</w:t>
      </w:r>
      <w:proofErr w:type="spellEnd"/>
      <w:r>
        <w:rPr>
          <w:rFonts w:asciiTheme="majorBidi" w:eastAsia="Roboto" w:hAnsiTheme="majorBidi" w:cstheme="majorBidi"/>
        </w:rPr>
        <w:t xml:space="preserve"> law to arbitrarily arrest and prosecute women’s rights defenders.</w:t>
      </w:r>
    </w:p>
    <w:p w14:paraId="74A4D938" w14:textId="77777777" w:rsidR="005C55F8" w:rsidRDefault="00000000">
      <w:pPr>
        <w:jc w:val="both"/>
        <w:rPr>
          <w:rFonts w:asciiTheme="majorBidi" w:eastAsia="Roboto" w:hAnsiTheme="majorBidi" w:cstheme="majorBidi"/>
        </w:rPr>
      </w:pPr>
      <w:r>
        <w:rPr>
          <w:rFonts w:asciiTheme="majorBidi" w:eastAsia="Roboto" w:hAnsiTheme="majorBidi" w:cstheme="majorBidi"/>
        </w:rPr>
        <w:t>2. Immediately release women’s rights defenders arbitrarily detained.</w:t>
      </w:r>
    </w:p>
    <w:p w14:paraId="732E313A" w14:textId="77777777" w:rsidR="005C55F8" w:rsidRDefault="00000000">
      <w:pPr>
        <w:jc w:val="both"/>
        <w:rPr>
          <w:rFonts w:asciiTheme="majorBidi" w:eastAsia="Roboto" w:hAnsiTheme="majorBidi" w:cstheme="majorBidi"/>
        </w:rPr>
      </w:pPr>
      <w:r>
        <w:rPr>
          <w:rFonts w:asciiTheme="majorBidi" w:eastAsia="Roboto" w:hAnsiTheme="majorBidi" w:cstheme="majorBidi"/>
        </w:rPr>
        <w:lastRenderedPageBreak/>
        <w:t xml:space="preserve">3. Immediately lift imposed travel bans on women’s rights defenders and their families and refrain from using this tool to silence dissidents. </w:t>
      </w:r>
    </w:p>
    <w:p w14:paraId="4E236FE3" w14:textId="77777777" w:rsidR="005C55F8" w:rsidRDefault="00000000">
      <w:pPr>
        <w:jc w:val="both"/>
        <w:rPr>
          <w:rFonts w:asciiTheme="majorBidi" w:eastAsia="Roboto" w:hAnsiTheme="majorBidi" w:cstheme="majorBidi"/>
        </w:rPr>
      </w:pPr>
      <w:r>
        <w:rPr>
          <w:rFonts w:asciiTheme="majorBidi" w:eastAsia="Roboto" w:hAnsiTheme="majorBidi" w:cstheme="majorBidi"/>
        </w:rPr>
        <w:t>4. Amend the personal status law to grant women equal rights to men regarding several aspects of her personal life, such as marriage and divorce.</w:t>
      </w:r>
    </w:p>
    <w:p w14:paraId="40882E02" w14:textId="77777777" w:rsidR="005C55F8" w:rsidRDefault="00000000">
      <w:pPr>
        <w:jc w:val="both"/>
        <w:rPr>
          <w:rFonts w:asciiTheme="majorBidi" w:eastAsia="Roboto" w:hAnsiTheme="majorBidi" w:cstheme="majorBidi"/>
        </w:rPr>
      </w:pPr>
      <w:r>
        <w:rPr>
          <w:rFonts w:asciiTheme="majorBidi" w:eastAsia="Roboto" w:hAnsiTheme="majorBidi" w:cstheme="majorBidi"/>
        </w:rPr>
        <w:t>5. Abolish the male guardianship system and repeal any legislation that subject women to a male guardian or that does not afford sufficient protection and equal rights with men.</w:t>
      </w:r>
    </w:p>
    <w:p w14:paraId="4359D4B3" w14:textId="77777777" w:rsidR="005C55F8" w:rsidRDefault="00000000">
      <w:pPr>
        <w:jc w:val="both"/>
        <w:rPr>
          <w:rFonts w:asciiTheme="majorBidi" w:eastAsia="Roboto" w:hAnsiTheme="majorBidi" w:cstheme="majorBidi"/>
        </w:rPr>
      </w:pPr>
      <w:r>
        <w:rPr>
          <w:rFonts w:asciiTheme="majorBidi" w:eastAsia="Roboto" w:hAnsiTheme="majorBidi" w:cstheme="majorBidi"/>
        </w:rPr>
        <w:t>6. Seek accreditation of the Saudi Human Rights Commission with the Sub-Committee on Accreditation of the Global Alliance of the National Human Rights Institutions (GANHRI).</w:t>
      </w:r>
    </w:p>
    <w:p w14:paraId="6841A5ED" w14:textId="77777777" w:rsidR="005C55F8" w:rsidRDefault="00000000">
      <w:pPr>
        <w:jc w:val="both"/>
        <w:rPr>
          <w:rFonts w:asciiTheme="majorBidi" w:eastAsia="Roboto" w:hAnsiTheme="majorBidi" w:cstheme="majorBidi"/>
        </w:rPr>
      </w:pPr>
      <w:r>
        <w:rPr>
          <w:rFonts w:asciiTheme="majorBidi" w:eastAsia="Roboto" w:hAnsiTheme="majorBidi" w:cstheme="majorBidi"/>
        </w:rPr>
        <w:t>7. Ensure that the Saudi Human Rights Commission effectively addresses individual cases of human rights violations and refrains from engaging in whitewashing of the government’s human rights record.</w:t>
      </w:r>
    </w:p>
    <w:p w14:paraId="39875934" w14:textId="77777777" w:rsidR="005C55F8" w:rsidRDefault="005C55F8">
      <w:pPr>
        <w:jc w:val="both"/>
        <w:rPr>
          <w:rFonts w:asciiTheme="majorBidi" w:eastAsia="Roboto" w:hAnsiTheme="majorBidi" w:cstheme="majorBidi"/>
        </w:rPr>
      </w:pPr>
    </w:p>
    <w:p w14:paraId="1875ED25" w14:textId="77777777" w:rsidR="005C55F8" w:rsidRDefault="005C55F8">
      <w:pPr>
        <w:rPr>
          <w:rFonts w:ascii="Roboto" w:eastAsia="Roboto" w:hAnsi="Roboto" w:cs="Roboto"/>
        </w:rPr>
      </w:pPr>
    </w:p>
    <w:p w14:paraId="7F176254" w14:textId="77777777" w:rsidR="005C55F8" w:rsidRDefault="005C55F8">
      <w:pPr>
        <w:rPr>
          <w:rFonts w:ascii="Roboto" w:eastAsia="Roboto" w:hAnsi="Roboto" w:cs="Roboto"/>
        </w:rPr>
      </w:pPr>
    </w:p>
    <w:p w14:paraId="3F243211" w14:textId="77777777" w:rsidR="005C55F8" w:rsidRDefault="005C55F8">
      <w:pPr>
        <w:rPr>
          <w:rFonts w:ascii="Roboto" w:eastAsia="Roboto" w:hAnsi="Roboto" w:cs="Roboto"/>
        </w:rPr>
      </w:pPr>
    </w:p>
    <w:p w14:paraId="6AA19243" w14:textId="77777777" w:rsidR="005C55F8" w:rsidRDefault="005C55F8">
      <w:pPr>
        <w:rPr>
          <w:rFonts w:ascii="Roboto" w:eastAsia="Roboto" w:hAnsi="Roboto" w:cs="Roboto"/>
        </w:rPr>
      </w:pPr>
    </w:p>
    <w:p w14:paraId="5374F73F" w14:textId="77777777" w:rsidR="005C55F8" w:rsidRDefault="005C55F8">
      <w:pPr>
        <w:rPr>
          <w:rFonts w:ascii="Roboto" w:eastAsia="Roboto" w:hAnsi="Roboto" w:cs="Roboto"/>
          <w:sz w:val="27"/>
          <w:szCs w:val="27"/>
        </w:rPr>
      </w:pPr>
    </w:p>
    <w:p w14:paraId="493DFCBC" w14:textId="77777777" w:rsidR="005C55F8" w:rsidRDefault="005C55F8">
      <w:pPr>
        <w:rPr>
          <w:rFonts w:ascii="Roboto" w:eastAsia="Roboto" w:hAnsi="Roboto" w:cs="Roboto"/>
          <w:sz w:val="27"/>
          <w:szCs w:val="27"/>
        </w:rPr>
      </w:pPr>
    </w:p>
    <w:p w14:paraId="6A1591C2" w14:textId="77777777" w:rsidR="005C55F8" w:rsidRDefault="00000000">
      <w:pPr>
        <w:rPr>
          <w:rFonts w:ascii="Roboto" w:eastAsiaTheme="majorEastAsia" w:hAnsi="Roboto" w:cstheme="majorBidi"/>
          <w:bCs/>
          <w:color w:val="555656"/>
          <w:sz w:val="27"/>
          <w:szCs w:val="27"/>
        </w:rPr>
      </w:pPr>
      <w:r>
        <w:rPr>
          <w:b/>
          <w:sz w:val="27"/>
          <w:szCs w:val="27"/>
        </w:rPr>
        <w:br w:type="page" w:clear="all"/>
      </w:r>
    </w:p>
    <w:p w14:paraId="5885BB08" w14:textId="77777777" w:rsidR="005C55F8" w:rsidRDefault="005C55F8">
      <w:pPr>
        <w:pStyle w:val="Heading2"/>
        <w:numPr>
          <w:ilvl w:val="0"/>
          <w:numId w:val="0"/>
        </w:numPr>
        <w:spacing w:line="276" w:lineRule="auto"/>
        <w:ind w:left="709"/>
        <w:jc w:val="center"/>
        <w:rPr>
          <w:b w:val="0"/>
          <w:sz w:val="27"/>
          <w:szCs w:val="27"/>
        </w:rPr>
      </w:pPr>
    </w:p>
    <w:p w14:paraId="1D650FE7" w14:textId="77777777" w:rsidR="005C55F8" w:rsidRDefault="005C55F8">
      <w:pPr>
        <w:pStyle w:val="Heading2"/>
        <w:numPr>
          <w:ilvl w:val="0"/>
          <w:numId w:val="0"/>
        </w:numPr>
        <w:spacing w:line="276" w:lineRule="auto"/>
        <w:ind w:left="709"/>
        <w:jc w:val="center"/>
        <w:rPr>
          <w:b w:val="0"/>
          <w:sz w:val="27"/>
          <w:szCs w:val="27"/>
        </w:rPr>
      </w:pPr>
    </w:p>
    <w:p w14:paraId="491FDD45" w14:textId="77777777" w:rsidR="005C55F8" w:rsidRDefault="00000000">
      <w:pPr>
        <w:pStyle w:val="Heading2"/>
        <w:numPr>
          <w:ilvl w:val="0"/>
          <w:numId w:val="0"/>
        </w:numPr>
        <w:spacing w:line="276" w:lineRule="auto"/>
        <w:ind w:left="709"/>
        <w:jc w:val="center"/>
        <w:rPr>
          <w:b w:val="0"/>
          <w:sz w:val="27"/>
          <w:szCs w:val="27"/>
        </w:rPr>
      </w:pPr>
      <w:r>
        <w:rPr>
          <w:b w:val="0"/>
          <w:sz w:val="27"/>
          <w:szCs w:val="27"/>
        </w:rPr>
        <w:t xml:space="preserve">MENA Rights Group is a Geneva-based legal advocacy NGO defending and promoting fundamental rights and freedoms in the Middle East and North Africa (MENA) region. Adopting a holistic approach, we work at both the individual and structural level. We represent victims of human rights violations before international law mechanisms. </w:t>
      </w:r>
      <w:proofErr w:type="gramStart"/>
      <w:r>
        <w:rPr>
          <w:b w:val="0"/>
          <w:sz w:val="27"/>
          <w:szCs w:val="27"/>
        </w:rPr>
        <w:t>In order to</w:t>
      </w:r>
      <w:proofErr w:type="gramEnd"/>
      <w:r>
        <w:rPr>
          <w:b w:val="0"/>
          <w:sz w:val="27"/>
          <w:szCs w:val="27"/>
        </w:rPr>
        <w:t xml:space="preserve"> ensure the non-repetition of these violations, we identify patterns and root causes of violations on the ground and bring key issues to the attention of relevant stakeholders to call for legal and policy reform.</w:t>
      </w:r>
    </w:p>
    <w:p w14:paraId="66787D6D" w14:textId="77777777" w:rsidR="005C55F8" w:rsidRDefault="005C55F8"/>
    <w:p w14:paraId="3770A4E0" w14:textId="77777777" w:rsidR="005C55F8" w:rsidRDefault="005C55F8">
      <w:pPr>
        <w:pStyle w:val="Heading2"/>
        <w:numPr>
          <w:ilvl w:val="0"/>
          <w:numId w:val="0"/>
        </w:numPr>
        <w:spacing w:line="276" w:lineRule="auto"/>
        <w:ind w:left="709"/>
        <w:rPr>
          <w:b w:val="0"/>
          <w:sz w:val="27"/>
          <w:szCs w:val="27"/>
        </w:rPr>
      </w:pPr>
    </w:p>
    <w:p w14:paraId="7771FCE3" w14:textId="77777777" w:rsidR="005C55F8" w:rsidRDefault="00000000">
      <w:pPr>
        <w:pStyle w:val="Heading2"/>
        <w:numPr>
          <w:ilvl w:val="0"/>
          <w:numId w:val="0"/>
        </w:numPr>
        <w:spacing w:line="276" w:lineRule="auto"/>
        <w:ind w:left="709"/>
        <w:jc w:val="center"/>
        <w:rPr>
          <w:b w:val="0"/>
          <w:bCs w:val="0"/>
          <w:sz w:val="27"/>
          <w:szCs w:val="27"/>
        </w:rPr>
      </w:pPr>
      <w:r>
        <w:rPr>
          <w:b w:val="0"/>
          <w:bCs w:val="0"/>
          <w:sz w:val="27"/>
          <w:szCs w:val="27"/>
        </w:rPr>
        <w:t xml:space="preserve">ALQST for Human Rights is an independent NGO established in 2014 by Saudi Arabian human rights defender Yahya </w:t>
      </w:r>
      <w:proofErr w:type="spellStart"/>
      <w:r>
        <w:rPr>
          <w:b w:val="0"/>
          <w:bCs w:val="0"/>
          <w:sz w:val="27"/>
          <w:szCs w:val="27"/>
        </w:rPr>
        <w:t>Assiri</w:t>
      </w:r>
      <w:proofErr w:type="spellEnd"/>
      <w:r>
        <w:rPr>
          <w:b w:val="0"/>
          <w:bCs w:val="0"/>
          <w:sz w:val="27"/>
          <w:szCs w:val="27"/>
        </w:rPr>
        <w:t xml:space="preserve"> for the purpose of defending and promoting human rights in Saudi Arabia. ‘Al-</w:t>
      </w:r>
      <w:proofErr w:type="spellStart"/>
      <w:r>
        <w:rPr>
          <w:b w:val="0"/>
          <w:bCs w:val="0"/>
          <w:sz w:val="27"/>
          <w:szCs w:val="27"/>
        </w:rPr>
        <w:t>qist</w:t>
      </w:r>
      <w:proofErr w:type="spellEnd"/>
      <w:r>
        <w:rPr>
          <w:b w:val="0"/>
          <w:bCs w:val="0"/>
          <w:sz w:val="27"/>
          <w:szCs w:val="27"/>
        </w:rPr>
        <w:t xml:space="preserve">’ means ‘justice’ in Arabic, and a passion for justice lies at the heart of all our work. We take a consistent human rights-based approach based on international human rights law and international </w:t>
      </w:r>
      <w:proofErr w:type="gramStart"/>
      <w:r>
        <w:rPr>
          <w:b w:val="0"/>
          <w:bCs w:val="0"/>
          <w:sz w:val="27"/>
          <w:szCs w:val="27"/>
        </w:rPr>
        <w:t>standards, and</w:t>
      </w:r>
      <w:proofErr w:type="gramEnd"/>
      <w:r>
        <w:rPr>
          <w:b w:val="0"/>
          <w:bCs w:val="0"/>
          <w:sz w:val="27"/>
          <w:szCs w:val="27"/>
        </w:rPr>
        <w:t xml:space="preserve"> defend fundamental rights for all without any distinction of race, colour, sex, language, religion or national or social origin. We conduct on-the-ground research, engage in international legal and public advocacy, and campaign on behalf of victims of human rights abuses.</w:t>
      </w:r>
    </w:p>
    <w:p w14:paraId="6AFF96A9" w14:textId="77777777" w:rsidR="005C55F8" w:rsidRDefault="005C55F8">
      <w:pPr>
        <w:pStyle w:val="Heading2"/>
        <w:numPr>
          <w:ilvl w:val="0"/>
          <w:numId w:val="0"/>
        </w:numPr>
        <w:spacing w:line="276" w:lineRule="auto"/>
        <w:ind w:left="709"/>
        <w:jc w:val="center"/>
        <w:rPr>
          <w:b w:val="0"/>
          <w:sz w:val="27"/>
          <w:szCs w:val="27"/>
        </w:rPr>
      </w:pPr>
    </w:p>
    <w:p w14:paraId="6A43B785" w14:textId="77777777" w:rsidR="005C55F8" w:rsidRDefault="005C55F8"/>
    <w:p w14:paraId="42E45956" w14:textId="77777777" w:rsidR="005C55F8" w:rsidRDefault="005C55F8"/>
    <w:sectPr w:rsidR="005C55F8">
      <w:headerReference w:type="even" r:id="rId20"/>
      <w:headerReference w:type="default" r:id="rId21"/>
      <w:footerReference w:type="even" r:id="rId22"/>
      <w:footerReference w:type="default" r:id="rId23"/>
      <w:headerReference w:type="first" r:id="rId24"/>
      <w:footerReference w:type="first" r:id="rId25"/>
      <w:pgSz w:w="11906" w:h="16838"/>
      <w:pgMar w:top="998" w:right="1418" w:bottom="1696" w:left="1418" w:header="567" w:footer="283"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1BAE47B" w14:textId="77777777" w:rsidR="008A7604" w:rsidRDefault="008A7604">
      <w:pPr>
        <w:spacing w:before="0" w:after="0" w:line="240" w:lineRule="auto"/>
      </w:pPr>
      <w:r>
        <w:separator/>
      </w:r>
    </w:p>
  </w:endnote>
  <w:endnote w:type="continuationSeparator" w:id="0">
    <w:p w14:paraId="4A67A790" w14:textId="77777777" w:rsidR="008A7604" w:rsidRDefault="008A7604">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Roboto">
    <w:panose1 w:val="02000000000000000000"/>
    <w:charset w:val="00"/>
    <w:family w:val="auto"/>
    <w:pitch w:val="variable"/>
    <w:sig w:usb0="E0000AFF" w:usb1="5000217F" w:usb2="0000002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Minion Pro">
    <w:panose1 w:val="020B0604020202020204"/>
    <w:charset w:val="00"/>
    <w:family w:val="auto"/>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B36E70" w14:textId="77777777" w:rsidR="005C55F8" w:rsidRDefault="005C55F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3C0262" w14:textId="77777777" w:rsidR="005C55F8" w:rsidRDefault="00000000">
    <w:pPr>
      <w:pBdr>
        <w:top w:val="none" w:sz="4" w:space="0" w:color="000000"/>
        <w:left w:val="none" w:sz="4" w:space="0" w:color="000000"/>
        <w:bottom w:val="none" w:sz="4" w:space="0" w:color="000000"/>
        <w:right w:val="none" w:sz="4" w:space="0" w:color="000000"/>
        <w:between w:val="none" w:sz="4" w:space="0" w:color="000000"/>
      </w:pBdr>
      <w:tabs>
        <w:tab w:val="center" w:pos="4536"/>
        <w:tab w:val="right" w:pos="9072"/>
      </w:tabs>
      <w:spacing w:after="0" w:line="240" w:lineRule="auto"/>
      <w:rPr>
        <w:rFonts w:ascii="Roboto" w:eastAsia="Roboto" w:hAnsi="Roboto" w:cs="Roboto"/>
        <w:color w:val="000000"/>
      </w:rPr>
    </w:pPr>
    <w:r>
      <w:rPr>
        <w:rFonts w:ascii="Roboto" w:eastAsia="Roboto" w:hAnsi="Roboto" w:cs="Roboto"/>
        <w:color w:val="000000"/>
      </w:rPr>
      <w:fldChar w:fldCharType="begin"/>
    </w:r>
    <w:r>
      <w:rPr>
        <w:rFonts w:ascii="Roboto" w:eastAsia="Roboto" w:hAnsi="Roboto" w:cs="Roboto"/>
        <w:color w:val="000000"/>
      </w:rPr>
      <w:instrText>PAGE</w:instrText>
    </w:r>
    <w:r>
      <w:rPr>
        <w:rFonts w:ascii="Roboto" w:eastAsia="Roboto" w:hAnsi="Roboto" w:cs="Roboto"/>
        <w:color w:val="000000"/>
      </w:rPr>
      <w:fldChar w:fldCharType="separate"/>
    </w:r>
    <w:r>
      <w:rPr>
        <w:rFonts w:ascii="Roboto" w:eastAsia="Roboto" w:hAnsi="Roboto" w:cs="Roboto"/>
        <w:color w:val="000000"/>
      </w:rPr>
      <w:t>2</w:t>
    </w:r>
    <w:r>
      <w:rPr>
        <w:rFonts w:ascii="Roboto" w:eastAsia="Roboto" w:hAnsi="Roboto" w:cs="Roboto"/>
        <w:color w:val="000000"/>
      </w:rPr>
      <w:fldChar w:fldCharType="end"/>
    </w:r>
    <w:r>
      <w:rPr>
        <w:rFonts w:ascii="Roboto" w:eastAsia="Roboto" w:hAnsi="Roboto" w:cs="Roboto"/>
        <w:color w:val="000000"/>
      </w:rPr>
      <w:t xml:space="preserve"> </w:t>
    </w:r>
    <w:r>
      <w:rPr>
        <w:rFonts w:ascii="Roboto" w:eastAsia="Roboto" w:hAnsi="Roboto" w:cs="Roboto"/>
        <w:color w:val="000000"/>
      </w:rPr>
      <w:tab/>
    </w:r>
    <w:r>
      <w:rPr>
        <w:rFonts w:ascii="Roboto" w:eastAsia="Roboto" w:hAnsi="Roboto" w:cs="Roboto"/>
        <w:color w:val="000000"/>
      </w:rPr>
      <w:tab/>
      <w:t>Alternative Report | Saudi Arabia</w:t>
    </w:r>
  </w:p>
  <w:p w14:paraId="5F346BE6" w14:textId="77777777" w:rsidR="005C55F8" w:rsidRDefault="005C55F8">
    <w:pPr>
      <w:pBdr>
        <w:top w:val="none" w:sz="4" w:space="0" w:color="000000"/>
        <w:left w:val="none" w:sz="4" w:space="0" w:color="000000"/>
        <w:bottom w:val="none" w:sz="4" w:space="0" w:color="000000"/>
        <w:right w:val="none" w:sz="4" w:space="0" w:color="000000"/>
        <w:between w:val="none" w:sz="4" w:space="0" w:color="000000"/>
      </w:pBdr>
      <w:tabs>
        <w:tab w:val="left" w:pos="3375"/>
        <w:tab w:val="center" w:pos="4536"/>
        <w:tab w:val="right" w:pos="9072"/>
      </w:tabs>
      <w:spacing w:after="0" w:line="240" w:lineRule="auto"/>
      <w:rPr>
        <w:rFonts w:ascii="Roboto" w:eastAsia="Roboto" w:hAnsi="Roboto" w:cs="Roboto"/>
        <w:color w:val="000000"/>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F62D40" w14:textId="77777777" w:rsidR="005C55F8" w:rsidRDefault="00000000">
    <w:pPr>
      <w:pBdr>
        <w:top w:val="none" w:sz="4" w:space="0" w:color="000000"/>
        <w:left w:val="none" w:sz="4" w:space="0" w:color="000000"/>
        <w:bottom w:val="none" w:sz="4" w:space="0" w:color="000000"/>
        <w:right w:val="none" w:sz="4" w:space="0" w:color="000000"/>
        <w:between w:val="none" w:sz="4" w:space="0" w:color="000000"/>
      </w:pBdr>
      <w:tabs>
        <w:tab w:val="left" w:pos="2220"/>
        <w:tab w:val="center" w:pos="4536"/>
        <w:tab w:val="right" w:pos="9072"/>
      </w:tabs>
      <w:spacing w:after="0" w:line="240" w:lineRule="auto"/>
      <w:rPr>
        <w:color w:val="000000"/>
        <w:sz w:val="28"/>
        <w:szCs w:val="28"/>
      </w:rPr>
    </w:pPr>
    <w:r>
      <w:rPr>
        <w:noProof/>
      </w:rPr>
      <mc:AlternateContent>
        <mc:Choice Requires="wps">
          <w:drawing>
            <wp:anchor distT="0" distB="0" distL="114300" distR="114300" simplePos="0" relativeHeight="251660288" behindDoc="0" locked="0" layoutInCell="1" allowOverlap="1" wp14:anchorId="0217E47F" wp14:editId="69A58D23">
              <wp:simplePos x="0" y="0"/>
              <wp:positionH relativeFrom="column">
                <wp:posOffset>-901854</wp:posOffset>
              </wp:positionH>
              <wp:positionV relativeFrom="paragraph">
                <wp:posOffset>-1217706</wp:posOffset>
              </wp:positionV>
              <wp:extent cx="7880350" cy="2098040"/>
              <wp:effectExtent l="0" t="0" r="19050" b="10160"/>
              <wp:wrapNone/>
              <wp:docPr id="6" name="Rectangle 10"/>
              <wp:cNvGraphicFramePr/>
              <a:graphic xmlns:a="http://schemas.openxmlformats.org/drawingml/2006/main">
                <a:graphicData uri="http://schemas.microsoft.com/office/word/2010/wordprocessingShape">
                  <wps:wsp>
                    <wps:cNvSpPr/>
                    <wps:spPr bwMode="auto">
                      <a:xfrm>
                        <a:off x="0" y="0"/>
                        <a:ext cx="7880349" cy="2098039"/>
                      </a:xfrm>
                      <a:prstGeom prst="rect">
                        <a:avLst/>
                      </a:prstGeom>
                      <a:solidFill>
                        <a:srgbClr val="543192"/>
                      </a:solidFill>
                      <a:ln w="12700" cap="flat" cmpd="sng">
                        <a:solidFill>
                          <a:srgbClr val="543192"/>
                        </a:solidFill>
                        <a:prstDash val="solid"/>
                        <a:miter lim="800000"/>
                        <a:headEnd type="none" w="sm" len="sm"/>
                        <a:tailEnd type="none" w="sm" len="sm"/>
                      </a:ln>
                    </wps:spPr>
                    <wps:txbx>
                      <w:txbxContent>
                        <w:p w14:paraId="147D5377" w14:textId="77777777" w:rsidR="005C55F8" w:rsidRDefault="00000000">
                          <w:pPr>
                            <w:spacing w:line="258" w:lineRule="auto"/>
                            <w:jc w:val="center"/>
                            <w:rPr>
                              <w:rFonts w:ascii="Roboto" w:eastAsia="Roboto" w:hAnsi="Roboto" w:cs="Roboto"/>
                              <w:color w:val="949494"/>
                              <w:sz w:val="24"/>
                              <w:lang w:val="en-US"/>
                            </w:rPr>
                          </w:pPr>
                          <w:r>
                            <w:rPr>
                              <w:rFonts w:ascii="Roboto" w:eastAsia="Roboto" w:hAnsi="Roboto" w:cs="Roboto"/>
                              <w:color w:val="949494"/>
                              <w:sz w:val="24"/>
                              <w:lang w:val="en-US"/>
                            </w:rPr>
                            <w:t>This report benefited from the generous support of the State of Geneva</w:t>
                          </w:r>
                        </w:p>
                        <w:p w14:paraId="26F7B0C2" w14:textId="77777777" w:rsidR="005C55F8" w:rsidRDefault="00000000">
                          <w:pPr>
                            <w:spacing w:line="258" w:lineRule="auto"/>
                            <w:jc w:val="center"/>
                            <w:rPr>
                              <w:lang w:val="en-US"/>
                            </w:rPr>
                          </w:pPr>
                          <w:r>
                            <w:fldChar w:fldCharType="begin"/>
                          </w:r>
                          <w:r>
                            <w:instrText xml:space="preserve"> INCLUDEPICTURE "https://upload.wikimedia.org/wikipedia/commons/thumb/e/e8/Logo_Genf.svg/1200px-Logo_Genf.svg.png" \* MERGEFORMATINET </w:instrText>
                          </w:r>
                          <w:r>
                            <w:fldChar w:fldCharType="separate"/>
                          </w:r>
                          <w:r>
                            <w:rPr>
                              <w:noProof/>
                            </w:rPr>
                            <w:drawing>
                              <wp:inline distT="0" distB="0" distL="0" distR="0" wp14:anchorId="16A474FA" wp14:editId="3E285BC9">
                                <wp:extent cx="956441" cy="739346"/>
                                <wp:effectExtent l="0" t="0" r="0" b="0"/>
                                <wp:docPr id="7" name="Picture 10" descr="Canton of Geneva - Wikip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1670095" name="Picture 1" descr="Canton of Geneva - Wikipedia"/>
                                        <pic:cNvPicPr>
                                          <a:picLocks noChangeAspect="1"/>
                                        </pic:cNvPicPr>
                                      </pic:nvPicPr>
                                      <pic:blipFill>
                                        <a:blip r:embed="rId1"/>
                                        <a:stretch/>
                                      </pic:blipFill>
                                      <pic:spPr bwMode="auto">
                                        <a:xfrm>
                                          <a:off x="0" y="0"/>
                                          <a:ext cx="977861" cy="755904"/>
                                        </a:xfrm>
                                        <a:prstGeom prst="rect">
                                          <a:avLst/>
                                        </a:prstGeom>
                                        <a:noFill/>
                                        <a:ln>
                                          <a:noFill/>
                                        </a:ln>
                                      </pic:spPr>
                                    </pic:pic>
                                  </a:graphicData>
                                </a:graphic>
                              </wp:inline>
                            </w:drawing>
                          </w:r>
                          <w:r>
                            <w:fldChar w:fldCharType="end"/>
                          </w:r>
                        </w:p>
                      </w:txbxContent>
                    </wps:txbx>
                    <wps:bodyPr spcFirstLastPara="1" wrap="square" lIns="91423" tIns="45699" rIns="91423" bIns="45699" anchor="ctr" anchorCtr="0">
                      <a:noAutofit/>
                    </wps:bodyPr>
                  </wps:wsp>
                </a:graphicData>
              </a:graphic>
            </wp:anchor>
          </w:drawing>
        </mc:Choice>
        <mc:Fallback>
          <w:pict>
            <v:rect w14:anchorId="0217E47F" id="Rectangle 10" o:spid="_x0000_s1026" style="position:absolute;margin-left:-71pt;margin-top:-95.9pt;width:620.5pt;height:165.2pt;z-index:2516602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" fillcolor="#543192" strokecolor="#543192" strokeweight="1pt">
              <v:stroke startarrowwidth="narrow" startarrowlength="short" endarrowwidth="narrow" endarrowlength="short"/>
              <v:textbox inset="2.53953mm,1.2694mm,2.53953mm,1.2694mm">
                <w:txbxContent>
                  <w:p w14:paraId="147D5377" w14:textId="77777777" w:rsidR="005C55F8" w:rsidRDefault="00000000">
                    <w:pPr>
                      <w:spacing w:line="258" w:lineRule="auto"/>
                      <w:jc w:val="center"/>
                      <w:rPr>
                        <w:rFonts w:ascii="Roboto" w:eastAsia="Roboto" w:hAnsi="Roboto" w:cs="Roboto"/>
                        <w:color w:val="949494"/>
                        <w:sz w:val="24"/>
                        <w:lang w:val="en-US"/>
                      </w:rPr>
                    </w:pPr>
                    <w:r>
                      <w:rPr>
                        <w:rFonts w:ascii="Roboto" w:eastAsia="Roboto" w:hAnsi="Roboto" w:cs="Roboto"/>
                        <w:color w:val="949494"/>
                        <w:sz w:val="24"/>
                        <w:lang w:val="en-US"/>
                      </w:rPr>
                      <w:t>This report benefited from the generous support of the State of Geneva</w:t>
                    </w:r>
                  </w:p>
                  <w:p w14:paraId="26F7B0C2" w14:textId="77777777" w:rsidR="005C55F8" w:rsidRDefault="00000000">
                    <w:pPr>
                      <w:spacing w:line="258" w:lineRule="auto"/>
                      <w:jc w:val="center"/>
                      <w:rPr>
                        <w:lang w:val="en-US"/>
                      </w:rPr>
                    </w:pPr>
                    <w:r>
                      <w:fldChar w:fldCharType="begin"/>
                    </w:r>
                    <w:r>
                      <w:instrText xml:space="preserve"> INCLUDEPICTURE "https://upload.wikimedia.org/wikipedia/commons/thumb/e/e8/Logo_Genf.svg/1200px-Logo_Genf.svg.png" \* MERGEFORMATINET </w:instrText>
                    </w:r>
                    <w:r>
                      <w:fldChar w:fldCharType="separate"/>
                    </w:r>
                    <w:r>
                      <w:rPr>
                        <w:noProof/>
                      </w:rPr>
                      <w:drawing>
                        <wp:inline distT="0" distB="0" distL="0" distR="0" wp14:anchorId="16A474FA" wp14:editId="3E285BC9">
                          <wp:extent cx="956441" cy="739346"/>
                          <wp:effectExtent l="0" t="0" r="0" b="0"/>
                          <wp:docPr id="7" name="Picture 10" descr="Canton of Geneva - Wikip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1670095" name="Picture 1" descr="Canton of Geneva - Wikipedia"/>
                                  <pic:cNvPicPr>
                                    <a:picLocks noChangeAspect="1"/>
                                  </pic:cNvPicPr>
                                </pic:nvPicPr>
                                <pic:blipFill>
                                  <a:blip r:embed="rId1"/>
                                  <a:stretch/>
                                </pic:blipFill>
                                <pic:spPr bwMode="auto">
                                  <a:xfrm>
                                    <a:off x="0" y="0"/>
                                    <a:ext cx="977861" cy="755904"/>
                                  </a:xfrm>
                                  <a:prstGeom prst="rect">
                                    <a:avLst/>
                                  </a:prstGeom>
                                  <a:noFill/>
                                  <a:ln>
                                    <a:noFill/>
                                  </a:ln>
                                </pic:spPr>
                              </pic:pic>
                            </a:graphicData>
                          </a:graphic>
                        </wp:inline>
                      </w:drawing>
                    </w:r>
                    <w:r>
                      <w:fldChar w:fldCharType="end"/>
                    </w:r>
                  </w:p>
                </w:txbxContent>
              </v:textbox>
            </v:rect>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9E9961C" w14:textId="77777777" w:rsidR="008A7604" w:rsidRDefault="008A7604">
      <w:pPr>
        <w:spacing w:before="0" w:after="0" w:line="240" w:lineRule="auto"/>
      </w:pPr>
      <w:r>
        <w:separator/>
      </w:r>
    </w:p>
  </w:footnote>
  <w:footnote w:type="continuationSeparator" w:id="0">
    <w:p w14:paraId="5FE0531A" w14:textId="77777777" w:rsidR="008A7604" w:rsidRDefault="008A7604">
      <w:pPr>
        <w:spacing w:before="0" w:after="0" w:line="240" w:lineRule="auto"/>
      </w:pPr>
      <w:r>
        <w:continuationSeparator/>
      </w:r>
    </w:p>
  </w:footnote>
  <w:footnote w:id="1">
    <w:sdt>
      <w:sdtPr>
        <w:tag w:val="goog_rdk_258"/>
        <w:id w:val="1895542810"/>
      </w:sdtPr>
      <w:sdtContent>
        <w:p w14:paraId="0F246FFB" w14:textId="77777777" w:rsidR="005C55F8" w:rsidRDefault="00000000">
          <w:pPr>
            <w:spacing w:before="0" w:after="0" w:line="240" w:lineRule="auto"/>
            <w:jc w:val="both"/>
            <w:rPr>
              <w:rFonts w:asciiTheme="majorBidi" w:eastAsia="Roboto" w:hAnsiTheme="majorBidi" w:cstheme="majorBidi"/>
              <w:sz w:val="20"/>
              <w:szCs w:val="20"/>
            </w:rPr>
          </w:pPr>
          <w:r>
            <w:rPr>
              <w:rFonts w:asciiTheme="majorBidi" w:hAnsiTheme="majorBidi" w:cstheme="majorBidi"/>
              <w:sz w:val="20"/>
              <w:szCs w:val="20"/>
              <w:vertAlign w:val="superscript"/>
            </w:rPr>
            <w:footnoteRef/>
          </w:r>
          <w:sdt>
            <w:sdtPr>
              <w:rPr>
                <w:rFonts w:asciiTheme="majorBidi" w:hAnsiTheme="majorBidi" w:cstheme="majorBidi"/>
                <w:sz w:val="20"/>
                <w:szCs w:val="20"/>
              </w:rPr>
              <w:tag w:val="goog_rdk_245"/>
              <w:id w:val="864258746"/>
            </w:sdtPr>
            <w:sdtContent>
              <w:r>
                <w:rPr>
                  <w:rFonts w:asciiTheme="majorBidi" w:hAnsiTheme="majorBidi" w:cstheme="majorBidi"/>
                  <w:sz w:val="20"/>
                  <w:szCs w:val="20"/>
                </w:rPr>
                <w:t xml:space="preserve"> </w:t>
              </w:r>
            </w:sdtContent>
          </w:sdt>
          <w:sdt>
            <w:sdtPr>
              <w:rPr>
                <w:rFonts w:asciiTheme="majorBidi" w:hAnsiTheme="majorBidi" w:cstheme="majorBidi"/>
                <w:sz w:val="20"/>
                <w:szCs w:val="20"/>
              </w:rPr>
              <w:tag w:val="goog_rdk_246"/>
              <w:id w:val="1754476764"/>
            </w:sdtPr>
            <w:sdtContent>
              <w:r>
                <w:rPr>
                  <w:rFonts w:asciiTheme="majorBidi" w:eastAsia="Roboto" w:hAnsiTheme="majorBidi" w:cstheme="majorBidi"/>
                  <w:sz w:val="20"/>
                  <w:szCs w:val="20"/>
                </w:rPr>
                <w:t xml:space="preserve">Committee on the elimination of Discrimination Against Women, </w:t>
              </w:r>
            </w:sdtContent>
          </w:sdt>
          <w:sdt>
            <w:sdtPr>
              <w:rPr>
                <w:rFonts w:asciiTheme="majorBidi" w:hAnsiTheme="majorBidi" w:cstheme="majorBidi"/>
                <w:sz w:val="20"/>
                <w:szCs w:val="20"/>
              </w:rPr>
              <w:tag w:val="goog_rdk_247"/>
              <w:id w:val="-974677718"/>
            </w:sdtPr>
            <w:sdtContent>
              <w:r>
                <w:rPr>
                  <w:rFonts w:asciiTheme="majorBidi" w:eastAsia="Roboto" w:hAnsiTheme="majorBidi" w:cstheme="majorBidi"/>
                  <w:i/>
                  <w:sz w:val="20"/>
                  <w:szCs w:val="20"/>
                </w:rPr>
                <w:t>Replies of Saudi Arabia to the list of issues and questions in relation to its fifth periodic report</w:t>
              </w:r>
            </w:sdtContent>
          </w:sdt>
          <w:sdt>
            <w:sdtPr>
              <w:rPr>
                <w:rFonts w:asciiTheme="majorBidi" w:hAnsiTheme="majorBidi" w:cstheme="majorBidi"/>
                <w:sz w:val="20"/>
                <w:szCs w:val="20"/>
              </w:rPr>
              <w:tag w:val="goog_rdk_248"/>
              <w:id w:val="1143165744"/>
            </w:sdtPr>
            <w:sdtContent>
              <w:r>
                <w:rPr>
                  <w:rFonts w:asciiTheme="majorBidi" w:eastAsia="Roboto" w:hAnsiTheme="majorBidi" w:cstheme="majorBidi"/>
                  <w:sz w:val="20"/>
                  <w:szCs w:val="20"/>
                </w:rPr>
                <w:t xml:space="preserve">, 14 May 2024, CEDAW/C/SAU/RQ/5, </w:t>
              </w:r>
            </w:sdtContent>
          </w:sdt>
          <w:sdt>
            <w:sdtPr>
              <w:rPr>
                <w:rFonts w:asciiTheme="majorBidi" w:hAnsiTheme="majorBidi" w:cstheme="majorBidi"/>
                <w:sz w:val="20"/>
                <w:szCs w:val="20"/>
              </w:rPr>
              <w:tag w:val="goog_rdk_249"/>
              <w:id w:val="943645001"/>
            </w:sdtPr>
            <w:sdtContent>
              <w:sdt>
                <w:sdtPr>
                  <w:rPr>
                    <w:rFonts w:asciiTheme="majorBidi" w:hAnsiTheme="majorBidi" w:cstheme="majorBidi"/>
                    <w:sz w:val="20"/>
                    <w:szCs w:val="20"/>
                  </w:rPr>
                  <w:tag w:val="goog_rdk_250"/>
                  <w:id w:val="-1337070365"/>
                  <w:showingPlcHdr/>
                </w:sdtPr>
                <w:sdtContent>
                  <w:r>
                    <w:rPr>
                      <w:rFonts w:asciiTheme="majorBidi" w:hAnsiTheme="majorBidi" w:cstheme="majorBidi"/>
                      <w:sz w:val="20"/>
                      <w:szCs w:val="20"/>
                    </w:rPr>
                    <w:t xml:space="preserve">     </w:t>
                  </w:r>
                </w:sdtContent>
              </w:sdt>
            </w:sdtContent>
          </w:sdt>
          <w:sdt>
            <w:sdtPr>
              <w:rPr>
                <w:rFonts w:asciiTheme="majorBidi" w:hAnsiTheme="majorBidi" w:cstheme="majorBidi"/>
                <w:sz w:val="20"/>
                <w:szCs w:val="20"/>
              </w:rPr>
              <w:tag w:val="goog_rdk_251"/>
              <w:id w:val="-83612841"/>
            </w:sdtPr>
            <w:sdtContent>
              <w:sdt>
                <w:sdtPr>
                  <w:rPr>
                    <w:rFonts w:asciiTheme="majorBidi" w:hAnsiTheme="majorBidi" w:cstheme="majorBidi"/>
                    <w:sz w:val="20"/>
                    <w:szCs w:val="20"/>
                  </w:rPr>
                  <w:tag w:val="goog_rdk_252"/>
                  <w:id w:val="281619287"/>
                  <w:showingPlcHdr/>
                </w:sdtPr>
                <w:sdtContent>
                  <w:r>
                    <w:t>    </w:t>
                  </w:r>
                </w:sdtContent>
              </w:sdt>
              <w:hyperlink r:id="rId1" w:tooltip="https://tbinternet.ohchr.org/_layouts/15/treatybodyexternal/SessionDetails1.aspx?SessionID=2715&amp;Lang=en" w:history="1">
                <w:r>
                  <w:rPr>
                    <w:rFonts w:asciiTheme="majorBidi" w:eastAsia="Roboto" w:hAnsiTheme="majorBidi" w:cstheme="majorBidi"/>
                    <w:color w:val="1155CC"/>
                    <w:sz w:val="20"/>
                    <w:szCs w:val="20"/>
                    <w:u w:val="single"/>
                  </w:rPr>
                  <w:t>https://tbinternet.ohchr.org/_layouts/15/treatybodyexternal/SessionDetails1.aspx?SessionID=2715&amp;Lang=en</w:t>
                </w:r>
              </w:hyperlink>
            </w:sdtContent>
          </w:sdt>
          <w:sdt>
            <w:sdtPr>
              <w:rPr>
                <w:rFonts w:asciiTheme="majorBidi" w:hAnsiTheme="majorBidi" w:cstheme="majorBidi"/>
                <w:sz w:val="20"/>
                <w:szCs w:val="20"/>
              </w:rPr>
              <w:tag w:val="goog_rdk_253"/>
              <w:id w:val="509491281"/>
            </w:sdtPr>
            <w:sdtContent>
              <w:sdt>
                <w:sdtPr>
                  <w:rPr>
                    <w:rFonts w:asciiTheme="majorBidi" w:hAnsiTheme="majorBidi" w:cstheme="majorBidi"/>
                    <w:sz w:val="20"/>
                    <w:szCs w:val="20"/>
                  </w:rPr>
                  <w:tag w:val="goog_rdk_254"/>
                  <w:id w:val="-447461839"/>
                </w:sdtPr>
                <w:sdtContent>
                  <w:r>
                    <w:rPr>
                      <w:rFonts w:asciiTheme="majorBidi" w:eastAsia="Roboto" w:hAnsiTheme="majorBidi" w:cstheme="majorBidi"/>
                      <w:sz w:val="20"/>
                      <w:szCs w:val="20"/>
                    </w:rPr>
                    <w:t>, (accessed on 21 August 2024).</w:t>
                  </w:r>
                </w:sdtContent>
              </w:sdt>
            </w:sdtContent>
          </w:sdt>
          <w:sdt>
            <w:sdtPr>
              <w:rPr>
                <w:rFonts w:asciiTheme="majorBidi" w:hAnsiTheme="majorBidi" w:cstheme="majorBidi"/>
                <w:sz w:val="20"/>
                <w:szCs w:val="20"/>
              </w:rPr>
              <w:tag w:val="goog_rdk_255"/>
              <w:id w:val="-1582441407"/>
            </w:sdtPr>
            <w:sdtContent>
              <w:sdt>
                <w:sdtPr>
                  <w:rPr>
                    <w:rFonts w:asciiTheme="majorBidi" w:hAnsiTheme="majorBidi" w:cstheme="majorBidi"/>
                    <w:sz w:val="20"/>
                    <w:szCs w:val="20"/>
                  </w:rPr>
                  <w:tag w:val="goog_rdk_256"/>
                  <w:id w:val="-997270079"/>
                  <w:showingPlcHdr/>
                </w:sdtPr>
                <w:sdtContent>
                  <w:r>
                    <w:rPr>
                      <w:rFonts w:asciiTheme="majorBidi" w:hAnsiTheme="majorBidi" w:cstheme="majorBidi"/>
                      <w:sz w:val="20"/>
                      <w:szCs w:val="20"/>
                    </w:rPr>
                    <w:t xml:space="preserve">     </w:t>
                  </w:r>
                </w:sdtContent>
              </w:sdt>
            </w:sdtContent>
          </w:sdt>
          <w:sdt>
            <w:sdtPr>
              <w:rPr>
                <w:rFonts w:asciiTheme="majorBidi" w:hAnsiTheme="majorBidi" w:cstheme="majorBidi"/>
                <w:sz w:val="20"/>
                <w:szCs w:val="20"/>
              </w:rPr>
              <w:tag w:val="goog_rdk_257"/>
              <w:id w:val="543642841"/>
              <w:showingPlcHdr/>
            </w:sdtPr>
            <w:sdtContent>
              <w:r>
                <w:t>    </w:t>
              </w:r>
            </w:sdtContent>
          </w:sdt>
        </w:p>
      </w:sdtContent>
    </w:sdt>
  </w:footnote>
  <w:footnote w:id="2">
    <w:sdt>
      <w:sdtPr>
        <w:rPr>
          <w:rFonts w:asciiTheme="majorBidi" w:hAnsiTheme="majorBidi" w:cstheme="majorBidi"/>
          <w:sz w:val="20"/>
          <w:szCs w:val="20"/>
        </w:rPr>
        <w:tag w:val="goog_rdk_270"/>
        <w:id w:val="1587265819"/>
      </w:sdtPr>
      <w:sdtContent>
        <w:p w14:paraId="03E8A8C2" w14:textId="77777777" w:rsidR="005C55F8" w:rsidRDefault="00000000">
          <w:pPr>
            <w:spacing w:before="0" w:after="0" w:line="240" w:lineRule="auto"/>
            <w:jc w:val="both"/>
            <w:rPr>
              <w:rFonts w:asciiTheme="majorBidi" w:eastAsia="Roboto" w:hAnsiTheme="majorBidi" w:cstheme="majorBidi"/>
              <w:sz w:val="20"/>
              <w:szCs w:val="20"/>
            </w:rPr>
          </w:pPr>
          <w:r>
            <w:rPr>
              <w:rFonts w:asciiTheme="majorBidi" w:hAnsiTheme="majorBidi" w:cstheme="majorBidi"/>
              <w:sz w:val="20"/>
              <w:szCs w:val="20"/>
              <w:vertAlign w:val="superscript"/>
            </w:rPr>
            <w:footnoteRef/>
          </w:r>
          <w:sdt>
            <w:sdtPr>
              <w:rPr>
                <w:rFonts w:asciiTheme="majorBidi" w:hAnsiTheme="majorBidi" w:cstheme="majorBidi"/>
                <w:sz w:val="20"/>
                <w:szCs w:val="20"/>
              </w:rPr>
              <w:tag w:val="goog_rdk_259"/>
              <w:id w:val="842050099"/>
            </w:sdtPr>
            <w:sdtContent>
              <w:r>
                <w:rPr>
                  <w:rFonts w:asciiTheme="majorBidi" w:eastAsia="Roboto" w:hAnsiTheme="majorBidi" w:cstheme="majorBidi"/>
                  <w:sz w:val="20"/>
                  <w:szCs w:val="20"/>
                </w:rPr>
                <w:t xml:space="preserve"> </w:t>
              </w:r>
            </w:sdtContent>
          </w:sdt>
          <w:sdt>
            <w:sdtPr>
              <w:rPr>
                <w:rFonts w:asciiTheme="majorBidi" w:hAnsiTheme="majorBidi" w:cstheme="majorBidi"/>
                <w:sz w:val="20"/>
                <w:szCs w:val="20"/>
              </w:rPr>
              <w:tag w:val="goog_rdk_260"/>
              <w:id w:val="-817410156"/>
            </w:sdtPr>
            <w:sdtContent>
              <w:r>
                <w:rPr>
                  <w:rFonts w:asciiTheme="majorBidi" w:eastAsia="Roboto" w:hAnsiTheme="majorBidi" w:cstheme="majorBidi"/>
                  <w:sz w:val="20"/>
                  <w:szCs w:val="20"/>
                </w:rPr>
                <w:t xml:space="preserve">Committee on the elimination of Discrimination Against Women, </w:t>
              </w:r>
            </w:sdtContent>
          </w:sdt>
          <w:sdt>
            <w:sdtPr>
              <w:rPr>
                <w:rFonts w:asciiTheme="majorBidi" w:hAnsiTheme="majorBidi" w:cstheme="majorBidi"/>
                <w:sz w:val="20"/>
                <w:szCs w:val="20"/>
              </w:rPr>
              <w:tag w:val="goog_rdk_261"/>
              <w:id w:val="1168914904"/>
            </w:sdtPr>
            <w:sdtContent>
              <w:r>
                <w:rPr>
                  <w:rFonts w:asciiTheme="majorBidi" w:eastAsia="Roboto" w:hAnsiTheme="majorBidi" w:cstheme="majorBidi"/>
                  <w:i/>
                  <w:sz w:val="20"/>
                  <w:szCs w:val="20"/>
                </w:rPr>
                <w:t>List of issues and questions in relation the fifth periodic report of Saudi Arabia</w:t>
              </w:r>
            </w:sdtContent>
          </w:sdt>
          <w:sdt>
            <w:sdtPr>
              <w:rPr>
                <w:rFonts w:asciiTheme="majorBidi" w:hAnsiTheme="majorBidi" w:cstheme="majorBidi"/>
                <w:sz w:val="20"/>
                <w:szCs w:val="20"/>
              </w:rPr>
              <w:tag w:val="goog_rdk_262"/>
              <w:id w:val="1947734260"/>
            </w:sdtPr>
            <w:sdtContent>
              <w:r>
                <w:rPr>
                  <w:rFonts w:asciiTheme="majorBidi" w:eastAsia="Roboto" w:hAnsiTheme="majorBidi" w:cstheme="majorBidi"/>
                  <w:sz w:val="20"/>
                  <w:szCs w:val="20"/>
                </w:rPr>
                <w:t xml:space="preserve">, 14 November 2023, CEDAW/C/SAU/Q/5, </w:t>
              </w:r>
            </w:sdtContent>
          </w:sdt>
          <w:sdt>
            <w:sdtPr>
              <w:rPr>
                <w:rFonts w:asciiTheme="majorBidi" w:hAnsiTheme="majorBidi" w:cstheme="majorBidi"/>
                <w:sz w:val="20"/>
                <w:szCs w:val="20"/>
              </w:rPr>
              <w:tag w:val="goog_rdk_263"/>
              <w:id w:val="-399677172"/>
            </w:sdtPr>
            <w:sdtContent>
              <w:sdt>
                <w:sdtPr>
                  <w:rPr>
                    <w:rFonts w:asciiTheme="majorBidi" w:hAnsiTheme="majorBidi" w:cstheme="majorBidi"/>
                    <w:sz w:val="20"/>
                    <w:szCs w:val="20"/>
                  </w:rPr>
                  <w:tag w:val="goog_rdk_264"/>
                  <w:id w:val="-1164238721"/>
                  <w:showingPlcHdr/>
                </w:sdtPr>
                <w:sdtContent>
                  <w:r>
                    <w:rPr>
                      <w:rFonts w:asciiTheme="majorBidi" w:hAnsiTheme="majorBidi" w:cstheme="majorBidi"/>
                      <w:sz w:val="20"/>
                      <w:szCs w:val="20"/>
                    </w:rPr>
                    <w:t xml:space="preserve">     </w:t>
                  </w:r>
                </w:sdtContent>
              </w:sdt>
            </w:sdtContent>
          </w:sdt>
          <w:sdt>
            <w:sdtPr>
              <w:rPr>
                <w:rFonts w:asciiTheme="majorBidi" w:hAnsiTheme="majorBidi" w:cstheme="majorBidi"/>
                <w:sz w:val="20"/>
                <w:szCs w:val="20"/>
              </w:rPr>
              <w:tag w:val="goog_rdk_265"/>
              <w:id w:val="2007626860"/>
            </w:sdtPr>
            <w:sdtContent>
              <w:sdt>
                <w:sdtPr>
                  <w:rPr>
                    <w:rFonts w:asciiTheme="majorBidi" w:hAnsiTheme="majorBidi" w:cstheme="majorBidi"/>
                    <w:sz w:val="20"/>
                    <w:szCs w:val="20"/>
                  </w:rPr>
                  <w:tag w:val="goog_rdk_266"/>
                  <w:id w:val="1007719046"/>
                  <w:showingPlcHdr/>
                </w:sdtPr>
                <w:sdtContent>
                  <w:r>
                    <w:t>    </w:t>
                  </w:r>
                </w:sdtContent>
              </w:sdt>
              <w:hyperlink r:id="rId2" w:tooltip="https://tbinternet.ohchr.org/_layouts/15/treatybodyexternal/SessionDetails1.aspx?SessionID=2715&amp;Lang=en" w:history="1">
                <w:r>
                  <w:rPr>
                    <w:rFonts w:asciiTheme="majorBidi" w:eastAsia="Roboto" w:hAnsiTheme="majorBidi" w:cstheme="majorBidi"/>
                    <w:color w:val="1155CC"/>
                    <w:sz w:val="20"/>
                    <w:szCs w:val="20"/>
                    <w:u w:val="single"/>
                  </w:rPr>
                  <w:t>https://tbinternet.ohchr.org/_layouts/15/treatybodyexternal/SessionDetails1.aspx?SessionID=2715&amp;Lang=en</w:t>
                </w:r>
              </w:hyperlink>
            </w:sdtContent>
          </w:sdt>
          <w:sdt>
            <w:sdtPr>
              <w:rPr>
                <w:rFonts w:asciiTheme="majorBidi" w:hAnsiTheme="majorBidi" w:cstheme="majorBidi"/>
                <w:sz w:val="20"/>
                <w:szCs w:val="20"/>
              </w:rPr>
              <w:tag w:val="goog_rdk_267"/>
              <w:id w:val="852306470"/>
            </w:sdtPr>
            <w:sdtContent>
              <w:sdt>
                <w:sdtPr>
                  <w:rPr>
                    <w:rFonts w:asciiTheme="majorBidi" w:hAnsiTheme="majorBidi" w:cstheme="majorBidi"/>
                    <w:sz w:val="20"/>
                    <w:szCs w:val="20"/>
                  </w:rPr>
                  <w:tag w:val="goog_rdk_268"/>
                  <w:id w:val="1223176429"/>
                </w:sdtPr>
                <w:sdtContent>
                  <w:r>
                    <w:rPr>
                      <w:rFonts w:asciiTheme="majorBidi" w:eastAsia="Roboto" w:hAnsiTheme="majorBidi" w:cstheme="majorBidi"/>
                      <w:sz w:val="20"/>
                      <w:szCs w:val="20"/>
                    </w:rPr>
                    <w:t>, (accessed on 21 August 2024).</w:t>
                  </w:r>
                </w:sdtContent>
              </w:sdt>
            </w:sdtContent>
          </w:sdt>
          <w:sdt>
            <w:sdtPr>
              <w:rPr>
                <w:rFonts w:asciiTheme="majorBidi" w:hAnsiTheme="majorBidi" w:cstheme="majorBidi"/>
                <w:sz w:val="20"/>
                <w:szCs w:val="20"/>
              </w:rPr>
              <w:tag w:val="goog_rdk_269"/>
              <w:id w:val="1052738353"/>
              <w:showingPlcHdr/>
            </w:sdtPr>
            <w:sdtContent>
              <w:r>
                <w:rPr>
                  <w:rFonts w:asciiTheme="majorBidi" w:hAnsiTheme="majorBidi" w:cstheme="majorBidi"/>
                  <w:sz w:val="20"/>
                  <w:szCs w:val="20"/>
                </w:rPr>
                <w:t xml:space="preserve">     </w:t>
              </w:r>
            </w:sdtContent>
          </w:sdt>
        </w:p>
      </w:sdtContent>
    </w:sdt>
  </w:footnote>
  <w:footnote w:id="3">
    <w:p w14:paraId="0F9ED347" w14:textId="77777777" w:rsidR="005C55F8" w:rsidRDefault="00000000">
      <w:pPr>
        <w:pStyle w:val="FootnoteText"/>
        <w:jc w:val="both"/>
        <w:rPr>
          <w:rFonts w:asciiTheme="majorBidi" w:hAnsiTheme="majorBidi" w:cstheme="majorBidi"/>
          <w:lang w:val="en-US"/>
        </w:rPr>
      </w:pPr>
      <w:r>
        <w:rPr>
          <w:rStyle w:val="FootnoteReference"/>
        </w:rPr>
        <w:footnoteRef/>
      </w:r>
      <w:r>
        <w:t xml:space="preserve"> </w:t>
      </w:r>
      <w:r>
        <w:rPr>
          <w:rFonts w:asciiTheme="majorBidi" w:hAnsiTheme="majorBidi" w:cstheme="majorBidi"/>
          <w:lang w:val="en-US"/>
        </w:rPr>
        <w:t xml:space="preserve">Committee on the elimination of Discrimination Against Women, </w:t>
      </w:r>
      <w:r>
        <w:rPr>
          <w:rFonts w:asciiTheme="majorBidi" w:hAnsiTheme="majorBidi" w:cstheme="majorBidi"/>
          <w:i/>
          <w:iCs/>
          <w:lang w:val="en-US"/>
        </w:rPr>
        <w:t>Concluding Observations on the combined third and fourth periodic reports of Saudi Arabia</w:t>
      </w:r>
      <w:r>
        <w:rPr>
          <w:rFonts w:asciiTheme="majorBidi" w:hAnsiTheme="majorBidi" w:cstheme="majorBidi"/>
          <w:lang w:val="en-US"/>
        </w:rPr>
        <w:t xml:space="preserve">, 14 March 2018, CEDAW/C/SAU/3-4, </w:t>
      </w:r>
      <w:hyperlink r:id="rId3" w:tooltip="https://documents.un.org/doc/undoc/gen/n18/070/62/pdf/n1807062.pdf" w:history="1">
        <w:r>
          <w:rPr>
            <w:rStyle w:val="Hyperlink"/>
            <w:rFonts w:asciiTheme="majorBidi" w:hAnsiTheme="majorBidi" w:cstheme="majorBidi"/>
            <w:lang w:val="en-US"/>
          </w:rPr>
          <w:t>https://documents.un.org/doc/undoc/gen/n18/070/62/pdf/n1807062.pdf</w:t>
        </w:r>
      </w:hyperlink>
      <w:r>
        <w:rPr>
          <w:rFonts w:asciiTheme="majorBidi" w:hAnsiTheme="majorBidi" w:cstheme="majorBidi"/>
          <w:lang w:val="en-US"/>
        </w:rPr>
        <w:t xml:space="preserve"> (accessed 4 September 2024).</w:t>
      </w:r>
    </w:p>
  </w:footnote>
  <w:footnote w:id="4">
    <w:sdt>
      <w:sdtPr>
        <w:rPr>
          <w:rFonts w:asciiTheme="majorBidi" w:hAnsiTheme="majorBidi" w:cstheme="majorBidi"/>
          <w:sz w:val="20"/>
          <w:szCs w:val="20"/>
        </w:rPr>
        <w:tag w:val="goog_rdk_277"/>
        <w:id w:val="-221841009"/>
      </w:sdtPr>
      <w:sdtContent>
        <w:p w14:paraId="5B1BF221" w14:textId="77777777" w:rsidR="005C55F8" w:rsidRDefault="00000000">
          <w:pPr>
            <w:spacing w:before="0" w:after="0" w:line="240" w:lineRule="auto"/>
            <w:jc w:val="both"/>
            <w:rPr>
              <w:rFonts w:asciiTheme="majorBidi" w:eastAsia="Roboto" w:hAnsiTheme="majorBidi" w:cstheme="majorBidi"/>
              <w:sz w:val="20"/>
              <w:szCs w:val="20"/>
            </w:rPr>
          </w:pPr>
          <w:r>
            <w:rPr>
              <w:rFonts w:asciiTheme="majorBidi" w:hAnsiTheme="majorBidi" w:cstheme="majorBidi"/>
              <w:sz w:val="20"/>
              <w:szCs w:val="20"/>
              <w:vertAlign w:val="superscript"/>
            </w:rPr>
            <w:footnoteRef/>
          </w:r>
          <w:sdt>
            <w:sdtPr>
              <w:rPr>
                <w:rFonts w:asciiTheme="majorBidi" w:hAnsiTheme="majorBidi" w:cstheme="majorBidi"/>
                <w:sz w:val="20"/>
                <w:szCs w:val="20"/>
              </w:rPr>
              <w:tag w:val="goog_rdk_271"/>
              <w:id w:val="-1639560876"/>
            </w:sdtPr>
            <w:sdtContent>
              <w:r>
                <w:rPr>
                  <w:rFonts w:asciiTheme="majorBidi" w:eastAsia="Roboto" w:hAnsiTheme="majorBidi" w:cstheme="majorBidi"/>
                  <w:sz w:val="20"/>
                  <w:szCs w:val="20"/>
                </w:rPr>
                <w:t xml:space="preserve"> </w:t>
              </w:r>
            </w:sdtContent>
          </w:sdt>
          <w:sdt>
            <w:sdtPr>
              <w:rPr>
                <w:rFonts w:asciiTheme="majorBidi" w:hAnsiTheme="majorBidi" w:cstheme="majorBidi"/>
                <w:sz w:val="20"/>
                <w:szCs w:val="20"/>
              </w:rPr>
              <w:tag w:val="goog_rdk_272"/>
              <w:id w:val="1984042677"/>
            </w:sdtPr>
            <w:sdtContent>
              <w:r>
                <w:rPr>
                  <w:rFonts w:asciiTheme="majorBidi" w:eastAsia="Roboto" w:hAnsiTheme="majorBidi" w:cstheme="majorBidi"/>
                  <w:sz w:val="20"/>
                  <w:szCs w:val="20"/>
                </w:rPr>
                <w:t xml:space="preserve"> </w:t>
              </w:r>
            </w:sdtContent>
          </w:sdt>
          <w:sdt>
            <w:sdtPr>
              <w:rPr>
                <w:rFonts w:asciiTheme="majorBidi" w:hAnsiTheme="majorBidi" w:cstheme="majorBidi"/>
                <w:sz w:val="20"/>
                <w:szCs w:val="20"/>
              </w:rPr>
              <w:tag w:val="goog_rdk_273"/>
              <w:id w:val="1896940620"/>
            </w:sdtPr>
            <w:sdtContent>
              <w:r>
                <w:rPr>
                  <w:rFonts w:asciiTheme="majorBidi" w:eastAsia="Roboto" w:hAnsiTheme="majorBidi" w:cstheme="majorBidi"/>
                  <w:sz w:val="20"/>
                  <w:szCs w:val="20"/>
                </w:rPr>
                <w:t>In particular, the Basic Law of Governance, which was enacted as an informal constitution in 1992, states that “[a]</w:t>
              </w:r>
              <w:proofErr w:type="spellStart"/>
              <w:r>
                <w:rPr>
                  <w:rFonts w:asciiTheme="majorBidi" w:eastAsia="Roboto" w:hAnsiTheme="majorBidi" w:cstheme="majorBidi"/>
                  <w:sz w:val="20"/>
                  <w:szCs w:val="20"/>
                </w:rPr>
                <w:t>ll</w:t>
              </w:r>
              <w:proofErr w:type="spellEnd"/>
              <w:r>
                <w:rPr>
                  <w:rFonts w:asciiTheme="majorBidi" w:eastAsia="Roboto" w:hAnsiTheme="majorBidi" w:cstheme="majorBidi"/>
                  <w:sz w:val="20"/>
                  <w:szCs w:val="20"/>
                </w:rPr>
                <w:t xml:space="preserve"> acts that foster sedition or division or harm the state's security and its public relations or detract from man's dignity and rights shall be prohibited.” You may access a translated version of the Basic Law on MENA Rights Group’s website: </w:t>
              </w:r>
            </w:sdtContent>
          </w:sdt>
          <w:sdt>
            <w:sdtPr>
              <w:rPr>
                <w:rFonts w:asciiTheme="majorBidi" w:hAnsiTheme="majorBidi" w:cstheme="majorBidi"/>
                <w:sz w:val="20"/>
                <w:szCs w:val="20"/>
              </w:rPr>
              <w:tag w:val="goog_rdk_274"/>
              <w:id w:val="292720748"/>
            </w:sdtPr>
            <w:sdtContent>
              <w:r>
                <w:rPr>
                  <w:rFonts w:asciiTheme="majorBidi" w:eastAsia="Roboto" w:hAnsiTheme="majorBidi" w:cstheme="majorBidi"/>
                  <w:color w:val="0563C1"/>
                  <w:sz w:val="20"/>
                  <w:szCs w:val="20"/>
                  <w:u w:val="single"/>
                </w:rPr>
                <w:t>https://menarights.org/sites/default/files/2016-12/KSA_Constitution_EN.pdf</w:t>
              </w:r>
            </w:sdtContent>
          </w:sdt>
          <w:sdt>
            <w:sdtPr>
              <w:rPr>
                <w:rFonts w:asciiTheme="majorBidi" w:hAnsiTheme="majorBidi" w:cstheme="majorBidi"/>
                <w:sz w:val="20"/>
                <w:szCs w:val="20"/>
              </w:rPr>
              <w:tag w:val="goog_rdk_275"/>
              <w:id w:val="-706495449"/>
            </w:sdtPr>
            <w:sdtContent>
              <w:r>
                <w:rPr>
                  <w:rFonts w:asciiTheme="majorBidi" w:eastAsia="Roboto" w:hAnsiTheme="majorBidi" w:cstheme="majorBidi"/>
                  <w:sz w:val="20"/>
                  <w:szCs w:val="20"/>
                </w:rPr>
                <w:t xml:space="preserve"> (accessed on 6 August 2024). </w:t>
              </w:r>
            </w:sdtContent>
          </w:sdt>
          <w:sdt>
            <w:sdtPr>
              <w:rPr>
                <w:rFonts w:asciiTheme="majorBidi" w:hAnsiTheme="majorBidi" w:cstheme="majorBidi"/>
                <w:sz w:val="20"/>
                <w:szCs w:val="20"/>
              </w:rPr>
              <w:tag w:val="goog_rdk_276"/>
              <w:id w:val="2043247660"/>
              <w:showingPlcHdr/>
            </w:sdtPr>
            <w:sdtContent>
              <w:r>
                <w:t>    </w:t>
              </w:r>
            </w:sdtContent>
          </w:sdt>
        </w:p>
      </w:sdtContent>
    </w:sdt>
  </w:footnote>
  <w:footnote w:id="5">
    <w:sdt>
      <w:sdtPr>
        <w:rPr>
          <w:rFonts w:asciiTheme="majorBidi" w:hAnsiTheme="majorBidi" w:cstheme="majorBidi"/>
          <w:sz w:val="20"/>
          <w:szCs w:val="20"/>
        </w:rPr>
        <w:tag w:val="goog_rdk_278"/>
        <w:id w:val="1312837070"/>
      </w:sdtPr>
      <w:sdtContent>
        <w:p w14:paraId="5A24C3B0" w14:textId="77777777" w:rsidR="005C55F8" w:rsidRDefault="00000000">
          <w:pPr>
            <w:spacing w:before="0" w:after="0" w:line="240" w:lineRule="auto"/>
            <w:jc w:val="both"/>
            <w:rPr>
              <w:rFonts w:asciiTheme="majorBidi" w:hAnsiTheme="majorBidi" w:cstheme="majorBidi"/>
              <w:sz w:val="20"/>
              <w:szCs w:val="20"/>
            </w:rPr>
          </w:pPr>
          <w:r>
            <w:rPr>
              <w:rFonts w:asciiTheme="majorBidi" w:hAnsiTheme="majorBidi" w:cstheme="majorBidi"/>
              <w:sz w:val="20"/>
              <w:szCs w:val="20"/>
              <w:vertAlign w:val="superscript"/>
            </w:rPr>
            <w:footnoteRef/>
          </w:r>
          <w:r>
            <w:rPr>
              <w:rFonts w:asciiTheme="majorBidi" w:hAnsiTheme="majorBidi" w:cstheme="majorBidi"/>
              <w:sz w:val="20"/>
              <w:szCs w:val="20"/>
            </w:rPr>
            <w:t xml:space="preserve"> </w:t>
          </w:r>
          <w:r>
            <w:rPr>
              <w:rFonts w:asciiTheme="majorBidi" w:eastAsia="Roboto" w:hAnsiTheme="majorBidi" w:cstheme="majorBidi"/>
              <w:sz w:val="20"/>
              <w:szCs w:val="20"/>
            </w:rPr>
            <w:t xml:space="preserve">US Department of State, </w:t>
          </w:r>
          <w:r>
            <w:rPr>
              <w:rFonts w:asciiTheme="majorBidi" w:eastAsia="Roboto" w:hAnsiTheme="majorBidi" w:cstheme="majorBidi"/>
              <w:i/>
              <w:sz w:val="20"/>
              <w:szCs w:val="20"/>
            </w:rPr>
            <w:t>2022 Country Reports on Human Rights Practices: Saudi Arabia</w:t>
          </w:r>
          <w:r>
            <w:rPr>
              <w:rFonts w:asciiTheme="majorBidi" w:eastAsia="Roboto" w:hAnsiTheme="majorBidi" w:cstheme="majorBidi"/>
              <w:sz w:val="20"/>
              <w:szCs w:val="20"/>
            </w:rPr>
            <w:t xml:space="preserve">, 2023, p. 28, available at: </w:t>
          </w:r>
          <w:r>
            <w:rPr>
              <w:rFonts w:asciiTheme="majorBidi" w:eastAsia="Roboto" w:hAnsiTheme="majorBidi" w:cstheme="majorBidi"/>
              <w:color w:val="0563C1"/>
              <w:sz w:val="20"/>
              <w:szCs w:val="20"/>
              <w:u w:val="single"/>
            </w:rPr>
            <w:t>https://www.state.gov/reports/2022-country-reports-on-human-rights-practices/saudi-arabia/#:~:text=On%20December%201%2C%20Amnesty%20International,the%20Saudi%20Shi'a%20minority</w:t>
          </w:r>
          <w:r>
            <w:rPr>
              <w:rFonts w:asciiTheme="majorBidi" w:eastAsia="Roboto" w:hAnsiTheme="majorBidi" w:cstheme="majorBidi"/>
              <w:sz w:val="20"/>
              <w:szCs w:val="20"/>
            </w:rPr>
            <w:t xml:space="preserve"> (accessed on 5 August 2024).</w:t>
          </w:r>
        </w:p>
      </w:sdtContent>
    </w:sdt>
  </w:footnote>
  <w:footnote w:id="6">
    <w:sdt>
      <w:sdtPr>
        <w:rPr>
          <w:rFonts w:asciiTheme="majorBidi" w:hAnsiTheme="majorBidi" w:cstheme="majorBidi"/>
          <w:sz w:val="20"/>
          <w:szCs w:val="20"/>
        </w:rPr>
        <w:tag w:val="goog_rdk_371"/>
        <w:id w:val="1199515775"/>
      </w:sdtPr>
      <w:sdtContent>
        <w:p w14:paraId="4F741FC3" w14:textId="77777777" w:rsidR="005C55F8" w:rsidRDefault="00000000">
          <w:pPr>
            <w:spacing w:before="0" w:after="0" w:line="240" w:lineRule="auto"/>
            <w:jc w:val="both"/>
            <w:rPr>
              <w:rFonts w:asciiTheme="majorBidi" w:hAnsiTheme="majorBidi" w:cstheme="majorBidi"/>
              <w:sz w:val="20"/>
              <w:szCs w:val="20"/>
            </w:rPr>
          </w:pPr>
          <w:r>
            <w:rPr>
              <w:rFonts w:asciiTheme="majorBidi" w:hAnsiTheme="majorBidi" w:cstheme="majorBidi"/>
              <w:sz w:val="20"/>
              <w:szCs w:val="20"/>
              <w:vertAlign w:val="superscript"/>
            </w:rPr>
            <w:footnoteRef/>
          </w:r>
          <w:sdt>
            <w:sdtPr>
              <w:rPr>
                <w:rFonts w:asciiTheme="majorBidi" w:hAnsiTheme="majorBidi" w:cstheme="majorBidi"/>
                <w:sz w:val="20"/>
                <w:szCs w:val="20"/>
              </w:rPr>
              <w:tag w:val="goog_rdk_370"/>
              <w:id w:val="1777682004"/>
            </w:sdtPr>
            <w:sdtContent>
              <w:r>
                <w:rPr>
                  <w:rFonts w:asciiTheme="majorBidi" w:hAnsiTheme="majorBidi" w:cstheme="majorBidi"/>
                  <w:sz w:val="20"/>
                  <w:szCs w:val="20"/>
                </w:rPr>
                <w:t xml:space="preserve"> You can find a version of this law in English on MENA Rights Group’s website: </w:t>
              </w:r>
              <w:hyperlink r:id="rId4" w:tooltip="https://menarights.org/en/documents/law-combating-crimes-terrorism-and-its-financing-2017" w:history="1">
                <w:r>
                  <w:rPr>
                    <w:rFonts w:asciiTheme="majorBidi" w:hAnsiTheme="majorBidi" w:cstheme="majorBidi"/>
                    <w:sz w:val="20"/>
                    <w:szCs w:val="20"/>
                  </w:rPr>
                  <w:t>https://menarights.org/en/documents/law-combating-crimes-terrorism-and-its-financing-2017</w:t>
                </w:r>
              </w:hyperlink>
              <w:r>
                <w:rPr>
                  <w:rFonts w:asciiTheme="majorBidi" w:hAnsiTheme="majorBidi" w:cstheme="majorBidi"/>
                  <w:sz w:val="20"/>
                  <w:szCs w:val="20"/>
                </w:rPr>
                <w:t xml:space="preserve">.  </w:t>
              </w:r>
            </w:sdtContent>
          </w:sdt>
        </w:p>
      </w:sdtContent>
    </w:sdt>
  </w:footnote>
  <w:footnote w:id="7">
    <w:sdt>
      <w:sdtPr>
        <w:rPr>
          <w:rFonts w:asciiTheme="majorBidi" w:hAnsiTheme="majorBidi" w:cstheme="majorBidi"/>
          <w:sz w:val="20"/>
          <w:szCs w:val="20"/>
        </w:rPr>
        <w:tag w:val="goog_rdk_373"/>
        <w:id w:val="-84083777"/>
      </w:sdtPr>
      <w:sdtContent>
        <w:p w14:paraId="34F35A1A" w14:textId="77777777" w:rsidR="005C55F8" w:rsidRDefault="00000000">
          <w:pPr>
            <w:spacing w:before="0" w:after="0" w:line="240" w:lineRule="auto"/>
            <w:jc w:val="both"/>
            <w:rPr>
              <w:rFonts w:asciiTheme="majorBidi" w:hAnsiTheme="majorBidi" w:cstheme="majorBidi"/>
              <w:sz w:val="20"/>
              <w:szCs w:val="20"/>
            </w:rPr>
          </w:pPr>
          <w:r>
            <w:rPr>
              <w:rFonts w:asciiTheme="majorBidi" w:hAnsiTheme="majorBidi" w:cstheme="majorBidi"/>
              <w:sz w:val="20"/>
              <w:szCs w:val="20"/>
              <w:vertAlign w:val="superscript"/>
            </w:rPr>
            <w:footnoteRef/>
          </w:r>
          <w:sdt>
            <w:sdtPr>
              <w:rPr>
                <w:rFonts w:asciiTheme="majorBidi" w:hAnsiTheme="majorBidi" w:cstheme="majorBidi"/>
                <w:sz w:val="20"/>
                <w:szCs w:val="20"/>
              </w:rPr>
              <w:tag w:val="goog_rdk_372"/>
              <w:id w:val="-671255289"/>
            </w:sdtPr>
            <w:sdtContent>
              <w:r>
                <w:rPr>
                  <w:rFonts w:asciiTheme="majorBidi" w:hAnsiTheme="majorBidi" w:cstheme="majorBidi"/>
                  <w:sz w:val="20"/>
                  <w:szCs w:val="20"/>
                </w:rPr>
                <w:t xml:space="preserve"> You can find a version of this law in English on MENA Rights Group’s website: </w:t>
              </w:r>
              <w:hyperlink r:id="rId5" w:tooltip="https://menarights.org/sites/default/files/2016-12/KSA_CyberCrimeLaw_EN.pdf" w:history="1">
                <w:r>
                  <w:rPr>
                    <w:rFonts w:asciiTheme="majorBidi" w:hAnsiTheme="majorBidi" w:cstheme="majorBidi"/>
                    <w:sz w:val="20"/>
                    <w:szCs w:val="20"/>
                  </w:rPr>
                  <w:t>https://menarights.org/sites/default/files/2016-12/KSA_CyberCrimeLaw_EN.pdf</w:t>
                </w:r>
              </w:hyperlink>
              <w:r>
                <w:rPr>
                  <w:rFonts w:asciiTheme="majorBidi" w:hAnsiTheme="majorBidi" w:cstheme="majorBidi"/>
                  <w:sz w:val="20"/>
                  <w:szCs w:val="20"/>
                </w:rPr>
                <w:t xml:space="preserve">. </w:t>
              </w:r>
            </w:sdtContent>
          </w:sdt>
        </w:p>
      </w:sdtContent>
    </w:sdt>
  </w:footnote>
  <w:footnote w:id="8">
    <w:sdt>
      <w:sdtPr>
        <w:rPr>
          <w:rFonts w:asciiTheme="majorBidi" w:hAnsiTheme="majorBidi" w:cstheme="majorBidi"/>
          <w:sz w:val="20"/>
          <w:szCs w:val="20"/>
        </w:rPr>
        <w:tag w:val="goog_rdk_282"/>
        <w:id w:val="2130818727"/>
      </w:sdtPr>
      <w:sdtContent>
        <w:p w14:paraId="2647E686" w14:textId="77777777" w:rsidR="005C55F8" w:rsidRDefault="00000000">
          <w:pPr>
            <w:spacing w:before="0" w:after="0" w:line="240" w:lineRule="auto"/>
            <w:jc w:val="both"/>
            <w:rPr>
              <w:rFonts w:asciiTheme="majorBidi" w:hAnsiTheme="majorBidi" w:cstheme="majorBidi"/>
              <w:sz w:val="20"/>
              <w:szCs w:val="20"/>
            </w:rPr>
          </w:pPr>
          <w:r>
            <w:rPr>
              <w:rFonts w:asciiTheme="majorBidi" w:hAnsiTheme="majorBidi" w:cstheme="majorBidi"/>
              <w:sz w:val="20"/>
              <w:szCs w:val="20"/>
              <w:vertAlign w:val="superscript"/>
            </w:rPr>
            <w:footnoteRef/>
          </w:r>
          <w:r>
            <w:rPr>
              <w:rFonts w:asciiTheme="majorBidi" w:hAnsiTheme="majorBidi" w:cstheme="majorBidi"/>
              <w:sz w:val="20"/>
              <w:szCs w:val="20"/>
            </w:rPr>
            <w:t xml:space="preserve"> </w:t>
          </w:r>
          <w:r>
            <w:rPr>
              <w:rFonts w:asciiTheme="majorBidi" w:eastAsia="Roboto" w:hAnsiTheme="majorBidi" w:cstheme="majorBidi"/>
              <w:sz w:val="20"/>
              <w:szCs w:val="20"/>
            </w:rPr>
            <w:t xml:space="preserve">UN Special Procedures, </w:t>
          </w:r>
          <w:r>
            <w:rPr>
              <w:rFonts w:asciiTheme="majorBidi" w:eastAsia="Roboto" w:hAnsiTheme="majorBidi" w:cstheme="majorBidi"/>
              <w:i/>
              <w:sz w:val="20"/>
              <w:szCs w:val="20"/>
            </w:rPr>
            <w:t>AL SAU 4/2017</w:t>
          </w:r>
          <w:r>
            <w:rPr>
              <w:rFonts w:asciiTheme="majorBidi" w:eastAsia="Roboto" w:hAnsiTheme="majorBidi" w:cstheme="majorBidi"/>
              <w:sz w:val="20"/>
              <w:szCs w:val="20"/>
            </w:rPr>
            <w:t>, 6 April 2017,</w:t>
          </w:r>
          <w:hyperlink r:id="rId6" w:tooltip="https://spcommreports.ohchr.org/TMResultsBase/DownLoadPublicCommunicationFile?gId=23057" w:history="1">
            <w:r>
              <w:rPr>
                <w:rFonts w:asciiTheme="majorBidi" w:eastAsia="Roboto" w:hAnsiTheme="majorBidi" w:cstheme="majorBidi"/>
                <w:sz w:val="20"/>
                <w:szCs w:val="20"/>
              </w:rPr>
              <w:t xml:space="preserve"> </w:t>
            </w:r>
          </w:hyperlink>
          <w:hyperlink r:id="rId7" w:tooltip="https://spcommreports.ohchr.org/TMResultsBase/DownLoadPublicCommunicationFile?gId=23057" w:history="1">
            <w:r>
              <w:rPr>
                <w:rFonts w:asciiTheme="majorBidi" w:eastAsia="Roboto" w:hAnsiTheme="majorBidi" w:cstheme="majorBidi"/>
                <w:color w:val="0563C1"/>
                <w:sz w:val="20"/>
                <w:szCs w:val="20"/>
                <w:u w:val="single"/>
              </w:rPr>
              <w:t>https://spcommreports.ohchr.org/TMResultsBase/DownLoadPublicCommunicationFile?gId=23057</w:t>
            </w:r>
          </w:hyperlink>
          <w:r>
            <w:rPr>
              <w:rFonts w:asciiTheme="majorBidi" w:eastAsia="Roboto" w:hAnsiTheme="majorBidi" w:cstheme="majorBidi"/>
              <w:sz w:val="20"/>
              <w:szCs w:val="20"/>
            </w:rPr>
            <w:t xml:space="preserve"> (accessed 12 August 2024).</w:t>
          </w:r>
        </w:p>
      </w:sdtContent>
    </w:sdt>
  </w:footnote>
  <w:footnote w:id="9">
    <w:sdt>
      <w:sdtPr>
        <w:rPr>
          <w:rFonts w:asciiTheme="majorBidi" w:hAnsiTheme="majorBidi" w:cstheme="majorBidi"/>
          <w:sz w:val="20"/>
          <w:szCs w:val="20"/>
        </w:rPr>
        <w:tag w:val="goog_rdk_283"/>
        <w:id w:val="-1979137008"/>
      </w:sdtPr>
      <w:sdtContent>
        <w:p w14:paraId="2F637A93" w14:textId="77777777" w:rsidR="005C55F8" w:rsidRDefault="00000000">
          <w:pPr>
            <w:spacing w:before="0" w:after="0" w:line="240" w:lineRule="auto"/>
            <w:jc w:val="both"/>
            <w:rPr>
              <w:rFonts w:asciiTheme="majorBidi" w:hAnsiTheme="majorBidi" w:cstheme="majorBidi"/>
              <w:sz w:val="20"/>
              <w:szCs w:val="20"/>
            </w:rPr>
          </w:pPr>
          <w:r>
            <w:rPr>
              <w:rFonts w:asciiTheme="majorBidi" w:hAnsiTheme="majorBidi" w:cstheme="majorBidi"/>
              <w:sz w:val="20"/>
              <w:szCs w:val="20"/>
              <w:vertAlign w:val="superscript"/>
            </w:rPr>
            <w:footnoteRef/>
          </w:r>
          <w:r>
            <w:rPr>
              <w:rFonts w:asciiTheme="majorBidi" w:hAnsiTheme="majorBidi" w:cstheme="majorBidi"/>
              <w:sz w:val="20"/>
              <w:szCs w:val="20"/>
            </w:rPr>
            <w:t xml:space="preserve"> </w:t>
          </w:r>
          <w:r>
            <w:rPr>
              <w:rFonts w:asciiTheme="majorBidi" w:eastAsia="Roboto" w:hAnsiTheme="majorBidi" w:cstheme="majorBidi"/>
              <w:sz w:val="20"/>
              <w:szCs w:val="20"/>
            </w:rPr>
            <w:t xml:space="preserve">Twitter, </w:t>
          </w:r>
          <w:r>
            <w:rPr>
              <w:rFonts w:asciiTheme="majorBidi" w:eastAsia="Roboto" w:hAnsiTheme="majorBidi" w:cstheme="majorBidi"/>
              <w:i/>
              <w:sz w:val="20"/>
              <w:szCs w:val="20"/>
            </w:rPr>
            <w:t>#IamMyOwnGuardian</w:t>
          </w:r>
          <w:r>
            <w:rPr>
              <w:rFonts w:asciiTheme="majorBidi" w:eastAsia="Roboto" w:hAnsiTheme="majorBidi" w:cstheme="majorBidi"/>
              <w:sz w:val="20"/>
              <w:szCs w:val="20"/>
            </w:rPr>
            <w:t>,</w:t>
          </w:r>
          <w:hyperlink r:id="rId8" w:tooltip="https://twitter.com/search?q=%23IAmMyOwnGuardian&amp;src=typd" w:history="1">
            <w:r>
              <w:rPr>
                <w:rFonts w:asciiTheme="majorBidi" w:eastAsia="Roboto" w:hAnsiTheme="majorBidi" w:cstheme="majorBidi"/>
                <w:sz w:val="20"/>
                <w:szCs w:val="20"/>
              </w:rPr>
              <w:t xml:space="preserve"> </w:t>
            </w:r>
          </w:hyperlink>
          <w:hyperlink r:id="rId9" w:tooltip="https://twitter.com/search?q=%23IAmMyOwnGuardian&amp;src=typd" w:history="1">
            <w:r>
              <w:rPr>
                <w:rFonts w:asciiTheme="majorBidi" w:eastAsia="Roboto" w:hAnsiTheme="majorBidi" w:cstheme="majorBidi"/>
                <w:color w:val="0563C1"/>
                <w:sz w:val="20"/>
                <w:szCs w:val="20"/>
                <w:u w:val="single"/>
              </w:rPr>
              <w:t>https://twitter.com/search?q=%23IAmMyOwnGuardian&amp;src=typd</w:t>
            </w:r>
          </w:hyperlink>
          <w:r>
            <w:rPr>
              <w:rFonts w:asciiTheme="majorBidi" w:eastAsia="Roboto" w:hAnsiTheme="majorBidi" w:cstheme="majorBidi"/>
              <w:sz w:val="20"/>
              <w:szCs w:val="20"/>
            </w:rPr>
            <w:t xml:space="preserve"> (accessed 12 August 2024).</w:t>
          </w:r>
        </w:p>
      </w:sdtContent>
    </w:sdt>
  </w:footnote>
  <w:footnote w:id="10">
    <w:sdt>
      <w:sdtPr>
        <w:rPr>
          <w:rFonts w:asciiTheme="majorBidi" w:hAnsiTheme="majorBidi" w:cstheme="majorBidi"/>
          <w:sz w:val="20"/>
          <w:szCs w:val="20"/>
        </w:rPr>
        <w:tag w:val="goog_rdk_360"/>
        <w:id w:val="-324745342"/>
      </w:sdtPr>
      <w:sdtContent>
        <w:p w14:paraId="499E7F6B" w14:textId="77777777" w:rsidR="005C55F8" w:rsidRDefault="00000000">
          <w:pPr>
            <w:spacing w:before="0" w:after="0" w:line="240" w:lineRule="auto"/>
            <w:jc w:val="both"/>
            <w:rPr>
              <w:rFonts w:asciiTheme="majorBidi" w:hAnsiTheme="majorBidi" w:cstheme="majorBidi"/>
              <w:sz w:val="20"/>
              <w:szCs w:val="20"/>
              <w:lang w:val="en-US"/>
            </w:rPr>
          </w:pPr>
          <w:r>
            <w:rPr>
              <w:rFonts w:asciiTheme="majorBidi" w:hAnsiTheme="majorBidi" w:cstheme="majorBidi"/>
              <w:sz w:val="20"/>
              <w:szCs w:val="20"/>
              <w:vertAlign w:val="superscript"/>
            </w:rPr>
            <w:footnoteRef/>
          </w:r>
          <w:r>
            <w:rPr>
              <w:rFonts w:asciiTheme="majorBidi" w:hAnsiTheme="majorBidi" w:cstheme="majorBidi"/>
              <w:sz w:val="20"/>
              <w:szCs w:val="20"/>
              <w:lang w:val="en-US"/>
            </w:rPr>
            <w:t xml:space="preserve"> ALQST, </w:t>
          </w:r>
          <w:r>
            <w:rPr>
              <w:rFonts w:asciiTheme="majorBidi" w:hAnsiTheme="majorBidi" w:cstheme="majorBidi"/>
              <w:i/>
              <w:iCs/>
              <w:sz w:val="20"/>
              <w:szCs w:val="20"/>
              <w:lang w:val="en-US"/>
            </w:rPr>
            <w:t xml:space="preserve">Annual Report 2018, </w:t>
          </w:r>
          <w:sdt>
            <w:sdtPr>
              <w:rPr>
                <w:rFonts w:asciiTheme="majorBidi" w:hAnsiTheme="majorBidi" w:cstheme="majorBidi"/>
                <w:sz w:val="20"/>
                <w:szCs w:val="20"/>
              </w:rPr>
              <w:tag w:val="goog_rdk_359"/>
              <w:id w:val="-1963950120"/>
            </w:sdtPr>
            <w:sdtContent>
              <w:hyperlink r:id="rId10" w:tooltip="https://alqst.org/wp-content/uploads/2019/02/Human-Rights-in-Saudi-Arabia-in-2018_En_Finel.pdf" w:history="1">
                <w:r>
                  <w:rPr>
                    <w:rStyle w:val="Hyperlink"/>
                    <w:rFonts w:asciiTheme="majorBidi" w:hAnsiTheme="majorBidi" w:cstheme="majorBidi"/>
                    <w:sz w:val="20"/>
                    <w:szCs w:val="20"/>
                    <w:lang w:val="en-US"/>
                  </w:rPr>
                  <w:t>https://alqst.org/wp-content/uploads/2019/02/Human-Rights-in-Saudi-Arabia-in-2018_En_Finel.pdf</w:t>
                </w:r>
              </w:hyperlink>
              <w:r>
                <w:rPr>
                  <w:rFonts w:asciiTheme="majorBidi" w:hAnsiTheme="majorBidi" w:cstheme="majorBidi"/>
                  <w:sz w:val="20"/>
                  <w:szCs w:val="20"/>
                  <w:lang w:val="en-US"/>
                </w:rPr>
                <w:t xml:space="preserve"> (accessed on 4 September 2024).</w:t>
              </w:r>
            </w:sdtContent>
          </w:sdt>
        </w:p>
      </w:sdtContent>
    </w:sdt>
  </w:footnote>
  <w:footnote w:id="11">
    <w:p w14:paraId="608B0901" w14:textId="77777777" w:rsidR="005C55F8" w:rsidRDefault="00000000">
      <w:pPr>
        <w:spacing w:before="0" w:after="0" w:line="240" w:lineRule="auto"/>
        <w:jc w:val="both"/>
        <w:rPr>
          <w:rFonts w:asciiTheme="majorBidi" w:hAnsiTheme="majorBidi" w:cstheme="majorBidi"/>
          <w:sz w:val="20"/>
          <w:szCs w:val="20"/>
          <w:lang w:val="en-US"/>
        </w:rPr>
      </w:pPr>
      <w:sdt>
        <w:sdtPr>
          <w:rPr>
            <w:rFonts w:asciiTheme="majorBidi" w:hAnsiTheme="majorBidi" w:cstheme="majorBidi"/>
            <w:sz w:val="20"/>
            <w:szCs w:val="20"/>
          </w:rPr>
          <w:tag w:val="goog_rdk_363"/>
          <w:id w:val="-2118580889"/>
        </w:sdtPr>
        <w:sdtContent>
          <w:r>
            <w:rPr>
              <w:rFonts w:asciiTheme="majorBidi" w:hAnsiTheme="majorBidi" w:cstheme="majorBidi"/>
              <w:sz w:val="20"/>
              <w:szCs w:val="20"/>
              <w:vertAlign w:val="superscript"/>
            </w:rPr>
            <w:footnoteRef/>
          </w:r>
          <w:sdt>
            <w:sdtPr>
              <w:rPr>
                <w:rFonts w:asciiTheme="majorBidi" w:hAnsiTheme="majorBidi" w:cstheme="majorBidi"/>
                <w:sz w:val="20"/>
                <w:szCs w:val="20"/>
              </w:rPr>
              <w:tag w:val="goog_rdk_361"/>
              <w:id w:val="-1804763172"/>
            </w:sdtPr>
            <w:sdtContent>
              <w:r>
                <w:rPr>
                  <w:rFonts w:asciiTheme="majorBidi" w:hAnsiTheme="majorBidi" w:cstheme="majorBidi"/>
                  <w:sz w:val="20"/>
                  <w:szCs w:val="20"/>
                  <w:lang w:val="en-US"/>
                </w:rPr>
                <w:t xml:space="preserve"> ALQST, </w:t>
              </w:r>
              <w:r>
                <w:rPr>
                  <w:rFonts w:asciiTheme="majorBidi" w:hAnsiTheme="majorBidi" w:cstheme="majorBidi"/>
                  <w:i/>
                  <w:iCs/>
                  <w:sz w:val="20"/>
                  <w:szCs w:val="20"/>
                  <w:lang w:val="en-US"/>
                </w:rPr>
                <w:t xml:space="preserve">The Soaring Fantasy, the Harsh Reality Human Rights in Saudi </w:t>
              </w:r>
              <w:proofErr w:type="spellStart"/>
              <w:r>
                <w:rPr>
                  <w:rFonts w:asciiTheme="majorBidi" w:hAnsiTheme="majorBidi" w:cstheme="majorBidi"/>
                  <w:i/>
                  <w:iCs/>
                  <w:sz w:val="20"/>
                  <w:szCs w:val="20"/>
                  <w:lang w:val="en-US"/>
                </w:rPr>
                <w:t>Arrabia</w:t>
              </w:r>
              <w:proofErr w:type="spellEnd"/>
              <w:r>
                <w:rPr>
                  <w:rFonts w:asciiTheme="majorBidi" w:hAnsiTheme="majorBidi" w:cstheme="majorBidi"/>
                  <w:i/>
                  <w:iCs/>
                  <w:sz w:val="20"/>
                  <w:szCs w:val="20"/>
                  <w:lang w:val="en-US"/>
                </w:rPr>
                <w:t xml:space="preserve"> in 2023, </w:t>
              </w:r>
              <w:hyperlink r:id="rId11" w:tooltip="https://alqst.org/uploads/the-soaring-fantasy-the-harsh-reality-human-rights-in-saudi-arabia-en.pdf" w:history="1">
                <w:r>
                  <w:rPr>
                    <w:rStyle w:val="Hyperlink"/>
                    <w:rFonts w:asciiTheme="majorBidi" w:hAnsiTheme="majorBidi" w:cstheme="majorBidi"/>
                    <w:sz w:val="20"/>
                    <w:szCs w:val="20"/>
                    <w:lang w:val="en-US"/>
                  </w:rPr>
                  <w:t>https://alqst.org/uploads/the-soaring-fantasy-the-harsh-reality-human-rights-in-saudi-arabia-en.pdf</w:t>
                </w:r>
              </w:hyperlink>
              <w:sdt>
                <w:sdtPr>
                  <w:rPr>
                    <w:rFonts w:asciiTheme="majorBidi" w:hAnsiTheme="majorBidi" w:cstheme="majorBidi"/>
                    <w:sz w:val="20"/>
                    <w:szCs w:val="20"/>
                  </w:rPr>
                  <w:tag w:val="goog_rdk_362"/>
                  <w:id w:val="673148471"/>
                  <w:showingPlcHdr/>
                </w:sdtPr>
                <w:sdtContent>
                  <w:r>
                    <w:t>    </w:t>
                  </w:r>
                </w:sdtContent>
              </w:sdt>
            </w:sdtContent>
          </w:sdt>
        </w:sdtContent>
      </w:sdt>
      <w:sdt>
        <w:sdtPr>
          <w:rPr>
            <w:rFonts w:asciiTheme="majorBidi" w:hAnsiTheme="majorBidi" w:cstheme="majorBidi"/>
            <w:sz w:val="20"/>
            <w:szCs w:val="20"/>
          </w:rPr>
          <w:tag w:val="goog_rdk_365"/>
          <w:id w:val="-708191755"/>
        </w:sdtPr>
        <w:sdtContent>
          <w:sdt>
            <w:sdtPr>
              <w:rPr>
                <w:rFonts w:asciiTheme="majorBidi" w:hAnsiTheme="majorBidi" w:cstheme="majorBidi"/>
                <w:sz w:val="20"/>
                <w:szCs w:val="20"/>
              </w:rPr>
              <w:tag w:val="goog_rdk_364"/>
              <w:id w:val="2100054879"/>
            </w:sdtPr>
            <w:sdtContent>
              <w:r>
                <w:rPr>
                  <w:rFonts w:asciiTheme="majorBidi" w:hAnsiTheme="majorBidi" w:cstheme="majorBidi"/>
                  <w:sz w:val="20"/>
                  <w:szCs w:val="20"/>
                </w:rPr>
                <w:t xml:space="preserve"> (accessed on 4 September 2024).</w:t>
              </w:r>
            </w:sdtContent>
          </w:sdt>
        </w:sdtContent>
      </w:sdt>
    </w:p>
  </w:footnote>
  <w:footnote w:id="12">
    <w:sdt>
      <w:sdtPr>
        <w:rPr>
          <w:rFonts w:asciiTheme="majorBidi" w:hAnsiTheme="majorBidi" w:cstheme="majorBidi"/>
          <w:sz w:val="20"/>
          <w:szCs w:val="20"/>
        </w:rPr>
        <w:tag w:val="goog_rdk_325"/>
        <w:id w:val="598221568"/>
      </w:sdtPr>
      <w:sdtContent>
        <w:p w14:paraId="50E56319" w14:textId="77777777" w:rsidR="005C55F8" w:rsidRDefault="00000000">
          <w:pPr>
            <w:spacing w:before="0" w:after="0" w:line="240" w:lineRule="auto"/>
            <w:jc w:val="both"/>
            <w:rPr>
              <w:rFonts w:asciiTheme="majorBidi" w:eastAsia="Roboto" w:hAnsiTheme="majorBidi" w:cstheme="majorBidi"/>
              <w:sz w:val="20"/>
              <w:szCs w:val="20"/>
            </w:rPr>
          </w:pPr>
          <w:r>
            <w:rPr>
              <w:rFonts w:asciiTheme="majorBidi" w:hAnsiTheme="majorBidi" w:cstheme="majorBidi"/>
              <w:sz w:val="20"/>
              <w:szCs w:val="20"/>
              <w:vertAlign w:val="superscript"/>
            </w:rPr>
            <w:footnoteRef/>
          </w:r>
          <w:sdt>
            <w:sdtPr>
              <w:rPr>
                <w:rFonts w:asciiTheme="majorBidi" w:hAnsiTheme="majorBidi" w:cstheme="majorBidi"/>
                <w:sz w:val="20"/>
                <w:szCs w:val="20"/>
              </w:rPr>
              <w:tag w:val="goog_rdk_320"/>
              <w:id w:val="-1219125569"/>
            </w:sdtPr>
            <w:sdtContent>
              <w:r>
                <w:rPr>
                  <w:rFonts w:asciiTheme="majorBidi" w:eastAsia="Roboto" w:hAnsiTheme="majorBidi" w:cstheme="majorBidi"/>
                  <w:sz w:val="20"/>
                  <w:szCs w:val="20"/>
                </w:rPr>
                <w:t xml:space="preserve"> </w:t>
              </w:r>
            </w:sdtContent>
          </w:sdt>
          <w:sdt>
            <w:sdtPr>
              <w:rPr>
                <w:rFonts w:asciiTheme="majorBidi" w:hAnsiTheme="majorBidi" w:cstheme="majorBidi"/>
                <w:sz w:val="20"/>
                <w:szCs w:val="20"/>
              </w:rPr>
              <w:tag w:val="goog_rdk_321"/>
              <w:id w:val="1928378885"/>
            </w:sdtPr>
            <w:sdtContent>
              <w:r>
                <w:rPr>
                  <w:rFonts w:asciiTheme="majorBidi" w:eastAsia="Roboto" w:hAnsiTheme="majorBidi" w:cstheme="majorBidi"/>
                  <w:sz w:val="20"/>
                  <w:szCs w:val="20"/>
                </w:rPr>
                <w:t xml:space="preserve">Decision of the Council of Minister, 12 September 2005, available in Arabic at: </w:t>
              </w:r>
            </w:sdtContent>
          </w:sdt>
          <w:sdt>
            <w:sdtPr>
              <w:rPr>
                <w:rFonts w:asciiTheme="majorBidi" w:hAnsiTheme="majorBidi" w:cstheme="majorBidi"/>
                <w:sz w:val="20"/>
                <w:szCs w:val="20"/>
              </w:rPr>
              <w:tag w:val="goog_rdk_322"/>
              <w:id w:val="-1429267149"/>
            </w:sdtPr>
            <w:sdtContent>
              <w:r>
                <w:rPr>
                  <w:rFonts w:asciiTheme="majorBidi" w:eastAsia="Roboto" w:hAnsiTheme="majorBidi" w:cstheme="majorBidi"/>
                  <w:color w:val="0563C1"/>
                  <w:sz w:val="20"/>
                  <w:szCs w:val="20"/>
                  <w:u w:val="single"/>
                </w:rPr>
                <w:t>https://laws.boe.gov.sa/BoeLaws</w:t>
              </w:r>
            </w:sdtContent>
          </w:sdt>
          <w:sdt>
            <w:sdtPr>
              <w:rPr>
                <w:rFonts w:asciiTheme="majorBidi" w:hAnsiTheme="majorBidi" w:cstheme="majorBidi"/>
                <w:sz w:val="20"/>
                <w:szCs w:val="20"/>
              </w:rPr>
              <w:tag w:val="goog_rdk_323"/>
              <w:id w:val="1961373807"/>
            </w:sdtPr>
            <w:sdtContent>
              <w:r>
                <w:rPr>
                  <w:rFonts w:asciiTheme="majorBidi" w:eastAsia="Roboto" w:hAnsiTheme="majorBidi" w:cstheme="majorBidi"/>
                  <w:sz w:val="20"/>
                  <w:szCs w:val="20"/>
                </w:rPr>
                <w:t xml:space="preserve"> (accessed 3 August 2024).</w:t>
              </w:r>
            </w:sdtContent>
          </w:sdt>
          <w:sdt>
            <w:sdtPr>
              <w:rPr>
                <w:rFonts w:asciiTheme="majorBidi" w:hAnsiTheme="majorBidi" w:cstheme="majorBidi"/>
                <w:sz w:val="20"/>
                <w:szCs w:val="20"/>
              </w:rPr>
              <w:tag w:val="goog_rdk_324"/>
              <w:id w:val="1914195206"/>
              <w:showingPlcHdr/>
            </w:sdtPr>
            <w:sdtContent>
              <w:r>
                <w:t>    </w:t>
              </w:r>
            </w:sdtContent>
          </w:sdt>
        </w:p>
      </w:sdtContent>
    </w:sdt>
  </w:footnote>
  <w:footnote w:id="13">
    <w:sdt>
      <w:sdtPr>
        <w:rPr>
          <w:rFonts w:asciiTheme="majorBidi" w:hAnsiTheme="majorBidi" w:cstheme="majorBidi"/>
          <w:sz w:val="20"/>
          <w:szCs w:val="20"/>
        </w:rPr>
        <w:tag w:val="goog_rdk_385"/>
        <w:id w:val="-1511365873"/>
      </w:sdtPr>
      <w:sdtContent>
        <w:p w14:paraId="0B1799F7" w14:textId="77777777" w:rsidR="005C55F8" w:rsidRDefault="00000000">
          <w:pPr>
            <w:spacing w:before="0" w:after="0" w:line="240" w:lineRule="auto"/>
            <w:jc w:val="both"/>
            <w:rPr>
              <w:rFonts w:asciiTheme="majorBidi" w:hAnsiTheme="majorBidi" w:cstheme="majorBidi"/>
              <w:sz w:val="20"/>
              <w:szCs w:val="20"/>
            </w:rPr>
          </w:pPr>
          <w:r>
            <w:rPr>
              <w:rFonts w:asciiTheme="majorBidi" w:hAnsiTheme="majorBidi" w:cstheme="majorBidi"/>
              <w:sz w:val="20"/>
              <w:szCs w:val="20"/>
              <w:vertAlign w:val="superscript"/>
            </w:rPr>
            <w:footnoteRef/>
          </w:r>
          <w:sdt>
            <w:sdtPr>
              <w:rPr>
                <w:rFonts w:asciiTheme="majorBidi" w:hAnsiTheme="majorBidi" w:cstheme="majorBidi"/>
                <w:sz w:val="20"/>
                <w:szCs w:val="20"/>
              </w:rPr>
              <w:tag w:val="goog_rdk_384"/>
              <w:id w:val="687806195"/>
            </w:sdtPr>
            <w:sdtContent>
              <w:r>
                <w:rPr>
                  <w:rFonts w:asciiTheme="majorBidi" w:hAnsiTheme="majorBidi" w:cstheme="majorBidi"/>
                  <w:sz w:val="20"/>
                  <w:szCs w:val="20"/>
                </w:rPr>
                <w:t xml:space="preserve"> ALQST, ESOHR, MENA Rights Group, </w:t>
              </w:r>
              <w:r>
                <w:rPr>
                  <w:rFonts w:asciiTheme="majorBidi" w:hAnsiTheme="majorBidi" w:cstheme="majorBidi"/>
                  <w:i/>
                  <w:iCs/>
                  <w:sz w:val="20"/>
                  <w:szCs w:val="20"/>
                </w:rPr>
                <w:t>The Saudi Human Rights Commission: a whitewashing tool of the Kingdom</w:t>
              </w:r>
              <w:r>
                <w:rPr>
                  <w:rFonts w:asciiTheme="majorBidi" w:hAnsiTheme="majorBidi" w:cstheme="majorBidi"/>
                  <w:sz w:val="20"/>
                  <w:szCs w:val="20"/>
                </w:rPr>
                <w:t xml:space="preserve">, </w:t>
              </w:r>
              <w:hyperlink r:id="rId12" w:tooltip="https://menarights.org/sites/default/files/2023-11/mrg_shrc_report.pdf" w:history="1">
                <w:r>
                  <w:rPr>
                    <w:rFonts w:asciiTheme="majorBidi" w:hAnsiTheme="majorBidi" w:cstheme="majorBidi"/>
                    <w:sz w:val="20"/>
                    <w:szCs w:val="20"/>
                  </w:rPr>
                  <w:t>https://menarights.org/sites/default/files/2023-11/mrg_shrc_report.pdf</w:t>
                </w:r>
              </w:hyperlink>
              <w:r>
                <w:rPr>
                  <w:rFonts w:asciiTheme="majorBidi" w:hAnsiTheme="majorBidi" w:cstheme="majorBidi"/>
                  <w:sz w:val="20"/>
                  <w:szCs w:val="20"/>
                </w:rPr>
                <w:t>, (accessed on 21 August 2024), p.16.</w:t>
              </w:r>
            </w:sdtContent>
          </w:sdt>
        </w:p>
      </w:sdtContent>
    </w:sdt>
  </w:footnote>
  <w:footnote w:id="14">
    <w:sdt>
      <w:sdtPr>
        <w:rPr>
          <w:rFonts w:asciiTheme="majorBidi" w:hAnsiTheme="majorBidi" w:cstheme="majorBidi"/>
          <w:sz w:val="20"/>
          <w:szCs w:val="20"/>
        </w:rPr>
        <w:tag w:val="goog_rdk_334"/>
        <w:id w:val="-1973359535"/>
      </w:sdtPr>
      <w:sdtContent>
        <w:p w14:paraId="237A5114" w14:textId="77777777" w:rsidR="005C55F8" w:rsidRDefault="00000000">
          <w:pPr>
            <w:spacing w:before="0" w:after="0" w:line="240" w:lineRule="auto"/>
            <w:jc w:val="both"/>
            <w:rPr>
              <w:rFonts w:asciiTheme="majorBidi" w:eastAsia="Roboto" w:hAnsiTheme="majorBidi" w:cstheme="majorBidi"/>
              <w:sz w:val="20"/>
              <w:szCs w:val="20"/>
            </w:rPr>
          </w:pPr>
          <w:r>
            <w:rPr>
              <w:rFonts w:asciiTheme="majorBidi" w:hAnsiTheme="majorBidi" w:cstheme="majorBidi"/>
              <w:sz w:val="20"/>
              <w:szCs w:val="20"/>
              <w:vertAlign w:val="superscript"/>
            </w:rPr>
            <w:footnoteRef/>
          </w:r>
          <w:sdt>
            <w:sdtPr>
              <w:rPr>
                <w:rFonts w:asciiTheme="majorBidi" w:hAnsiTheme="majorBidi" w:cstheme="majorBidi"/>
                <w:sz w:val="20"/>
                <w:szCs w:val="20"/>
              </w:rPr>
              <w:tag w:val="goog_rdk_326"/>
              <w:id w:val="271139714"/>
            </w:sdtPr>
            <w:sdtContent>
              <w:r>
                <w:rPr>
                  <w:rFonts w:asciiTheme="majorBidi" w:eastAsia="Roboto" w:hAnsiTheme="majorBidi" w:cstheme="majorBidi"/>
                  <w:sz w:val="20"/>
                  <w:szCs w:val="20"/>
                </w:rPr>
                <w:t xml:space="preserve"> </w:t>
              </w:r>
            </w:sdtContent>
          </w:sdt>
          <w:sdt>
            <w:sdtPr>
              <w:rPr>
                <w:rFonts w:asciiTheme="majorBidi" w:hAnsiTheme="majorBidi" w:cstheme="majorBidi"/>
                <w:sz w:val="20"/>
                <w:szCs w:val="20"/>
              </w:rPr>
              <w:tag w:val="goog_rdk_327"/>
              <w:id w:val="503324951"/>
            </w:sdtPr>
            <w:sdtContent>
              <w:r>
                <w:rPr>
                  <w:rFonts w:asciiTheme="majorBidi" w:eastAsia="Roboto" w:hAnsiTheme="majorBidi" w:cstheme="majorBidi"/>
                  <w:sz w:val="20"/>
                  <w:szCs w:val="20"/>
                </w:rPr>
                <w:t xml:space="preserve"> Saudi Human Rights Commission, </w:t>
              </w:r>
            </w:sdtContent>
          </w:sdt>
          <w:sdt>
            <w:sdtPr>
              <w:rPr>
                <w:rFonts w:asciiTheme="majorBidi" w:hAnsiTheme="majorBidi" w:cstheme="majorBidi"/>
                <w:sz w:val="20"/>
                <w:szCs w:val="20"/>
              </w:rPr>
              <w:tag w:val="goog_rdk_328"/>
              <w:id w:val="-921094983"/>
            </w:sdtPr>
            <w:sdtContent>
              <w:r>
                <w:rPr>
                  <w:rFonts w:asciiTheme="majorBidi" w:eastAsia="Roboto" w:hAnsiTheme="majorBidi" w:cstheme="majorBidi"/>
                  <w:i/>
                  <w:sz w:val="20"/>
                  <w:szCs w:val="20"/>
                </w:rPr>
                <w:t>HRC International Report</w:t>
              </w:r>
            </w:sdtContent>
          </w:sdt>
          <w:sdt>
            <w:sdtPr>
              <w:rPr>
                <w:rFonts w:asciiTheme="majorBidi" w:hAnsiTheme="majorBidi" w:cstheme="majorBidi"/>
                <w:sz w:val="20"/>
                <w:szCs w:val="20"/>
              </w:rPr>
              <w:tag w:val="goog_rdk_329"/>
              <w:id w:val="-195928972"/>
            </w:sdtPr>
            <w:sdtContent>
              <w:r>
                <w:rPr>
                  <w:rFonts w:asciiTheme="majorBidi" w:eastAsia="Roboto" w:hAnsiTheme="majorBidi" w:cstheme="majorBidi"/>
                  <w:sz w:val="20"/>
                  <w:szCs w:val="20"/>
                </w:rPr>
                <w:t>, 2021,</w:t>
              </w:r>
            </w:sdtContent>
          </w:sdt>
          <w:sdt>
            <w:sdtPr>
              <w:rPr>
                <w:rFonts w:asciiTheme="majorBidi" w:hAnsiTheme="majorBidi" w:cstheme="majorBidi"/>
                <w:sz w:val="20"/>
                <w:szCs w:val="20"/>
              </w:rPr>
              <w:tag w:val="goog_rdk_330"/>
              <w:id w:val="743311678"/>
              <w:showingPlcHdr/>
            </w:sdtPr>
            <w:sdtContent>
              <w:r>
                <w:t>    </w:t>
              </w:r>
            </w:sdtContent>
          </w:sdt>
          <w:hyperlink r:id="rId13" w:tooltip="https://www.hrc.gov.sa/storage/reports-attachment/RmC6nMJb7eDRmnzayj30A1ZoOS0QC4K4oAzEUyu9.pdf" w:history="1">
            <w:r>
              <w:rPr>
                <w:rFonts w:asciiTheme="majorBidi" w:eastAsia="Roboto" w:hAnsiTheme="majorBidi" w:cstheme="majorBidi"/>
                <w:sz w:val="20"/>
                <w:szCs w:val="20"/>
              </w:rPr>
              <w:t xml:space="preserve"> </w:t>
            </w:r>
          </w:hyperlink>
          <w:sdt>
            <w:sdtPr>
              <w:rPr>
                <w:rFonts w:asciiTheme="majorBidi" w:hAnsiTheme="majorBidi" w:cstheme="majorBidi"/>
                <w:sz w:val="20"/>
                <w:szCs w:val="20"/>
              </w:rPr>
              <w:tag w:val="goog_rdk_331"/>
              <w:id w:val="-546992936"/>
              <w:showingPlcHdr/>
            </w:sdtPr>
            <w:sdtContent>
              <w:r>
                <w:t>    </w:t>
              </w:r>
            </w:sdtContent>
          </w:sdt>
          <w:hyperlink r:id="rId14" w:tooltip="https://www.hrc.gov.sa/storage/reports-attachment/RmC6nMJb7eDRmnzayj30A1ZoOS0QC4K4oAzEUyu9.pdf" w:history="1">
            <w:r>
              <w:rPr>
                <w:rFonts w:asciiTheme="majorBidi" w:eastAsia="Roboto" w:hAnsiTheme="majorBidi" w:cstheme="majorBidi"/>
                <w:color w:val="0563C1"/>
                <w:sz w:val="20"/>
                <w:szCs w:val="20"/>
                <w:u w:val="single"/>
              </w:rPr>
              <w:t>https://www.hrc.gov.sa/storage/reports-attachment/RmC6nMJb7eDRmnzayj30A1ZoOS0QC4K4oAzEUyu9.pdf</w:t>
            </w:r>
          </w:hyperlink>
          <w:sdt>
            <w:sdtPr>
              <w:rPr>
                <w:rFonts w:asciiTheme="majorBidi" w:hAnsiTheme="majorBidi" w:cstheme="majorBidi"/>
                <w:sz w:val="20"/>
                <w:szCs w:val="20"/>
              </w:rPr>
              <w:tag w:val="goog_rdk_332"/>
              <w:id w:val="-1680579275"/>
            </w:sdtPr>
            <w:sdtContent>
              <w:r>
                <w:rPr>
                  <w:rFonts w:asciiTheme="majorBidi" w:eastAsia="Roboto" w:hAnsiTheme="majorBidi" w:cstheme="majorBidi"/>
                  <w:sz w:val="20"/>
                  <w:szCs w:val="20"/>
                </w:rPr>
                <w:t xml:space="preserve"> (accessed 14 August 2024), p. 9.</w:t>
              </w:r>
            </w:sdtContent>
          </w:sdt>
          <w:sdt>
            <w:sdtPr>
              <w:rPr>
                <w:rFonts w:asciiTheme="majorBidi" w:hAnsiTheme="majorBidi" w:cstheme="majorBidi"/>
                <w:sz w:val="20"/>
                <w:szCs w:val="20"/>
              </w:rPr>
              <w:tag w:val="goog_rdk_333"/>
              <w:id w:val="193891283"/>
              <w:showingPlcHdr/>
            </w:sdtPr>
            <w:sdtContent>
              <w:r>
                <w:t>    </w:t>
              </w:r>
            </w:sdtContent>
          </w:sdt>
        </w:p>
      </w:sdtContent>
    </w:sdt>
  </w:footnote>
  <w:footnote w:id="15">
    <w:sdt>
      <w:sdtPr>
        <w:rPr>
          <w:rFonts w:asciiTheme="majorBidi" w:hAnsiTheme="majorBidi" w:cstheme="majorBidi"/>
          <w:sz w:val="20"/>
          <w:szCs w:val="20"/>
        </w:rPr>
        <w:tag w:val="goog_rdk_388"/>
        <w:id w:val="794948307"/>
      </w:sdtPr>
      <w:sdtContent>
        <w:p w14:paraId="26853685" w14:textId="77777777" w:rsidR="005C55F8" w:rsidRDefault="00000000">
          <w:pPr>
            <w:spacing w:before="0" w:after="0" w:line="240" w:lineRule="auto"/>
            <w:rPr>
              <w:rFonts w:asciiTheme="majorBidi" w:hAnsiTheme="majorBidi" w:cstheme="majorBidi"/>
              <w:sz w:val="20"/>
              <w:szCs w:val="20"/>
            </w:rPr>
          </w:pPr>
          <w:r>
            <w:rPr>
              <w:rFonts w:asciiTheme="majorBidi" w:hAnsiTheme="majorBidi" w:cstheme="majorBidi"/>
              <w:sz w:val="20"/>
              <w:szCs w:val="20"/>
              <w:vertAlign w:val="superscript"/>
            </w:rPr>
            <w:footnoteRef/>
          </w:r>
          <w:sdt>
            <w:sdtPr>
              <w:rPr>
                <w:rFonts w:asciiTheme="majorBidi" w:hAnsiTheme="majorBidi" w:cstheme="majorBidi"/>
                <w:sz w:val="20"/>
                <w:szCs w:val="20"/>
              </w:rPr>
              <w:tag w:val="goog_rdk_387"/>
              <w:id w:val="-2088680574"/>
            </w:sdtPr>
            <w:sdtContent>
              <w:r>
                <w:rPr>
                  <w:rFonts w:asciiTheme="majorBidi" w:hAnsiTheme="majorBidi" w:cstheme="majorBidi"/>
                  <w:sz w:val="20"/>
                  <w:szCs w:val="20"/>
                </w:rPr>
                <w:t xml:space="preserve"> ALQST, ESOHR, MENA Rights Group, </w:t>
              </w:r>
              <w:r>
                <w:rPr>
                  <w:rFonts w:asciiTheme="majorBidi" w:hAnsiTheme="majorBidi" w:cstheme="majorBidi"/>
                  <w:i/>
                  <w:iCs/>
                  <w:sz w:val="20"/>
                  <w:szCs w:val="20"/>
                </w:rPr>
                <w:t>The Saudi Human Rights Commission: a whitewashing tool of the Kingdom</w:t>
              </w:r>
              <w:r>
                <w:rPr>
                  <w:rFonts w:asciiTheme="majorBidi" w:hAnsiTheme="majorBidi" w:cstheme="majorBidi"/>
                  <w:sz w:val="20"/>
                  <w:szCs w:val="20"/>
                </w:rPr>
                <w:t xml:space="preserve">, </w:t>
              </w:r>
              <w:hyperlink r:id="rId15" w:tooltip="https://menarights.org/sites/default/files/2023-11/mrg_shrc_report.pdf" w:history="1">
                <w:r>
                  <w:rPr>
                    <w:rFonts w:asciiTheme="majorBidi" w:hAnsiTheme="majorBidi" w:cstheme="majorBidi"/>
                    <w:sz w:val="20"/>
                    <w:szCs w:val="20"/>
                  </w:rPr>
                  <w:t>https://menarights.org/sites/default/files/2023-11/mrg_shrc_report.pdf</w:t>
                </w:r>
              </w:hyperlink>
              <w:r>
                <w:rPr>
                  <w:rFonts w:asciiTheme="majorBidi" w:hAnsiTheme="majorBidi" w:cstheme="majorBidi"/>
                  <w:sz w:val="20"/>
                  <w:szCs w:val="20"/>
                </w:rPr>
                <w:t>, (accessed on 21 August 2024), p.14.</w:t>
              </w:r>
            </w:sdtContent>
          </w:sdt>
        </w:p>
      </w:sdtContent>
    </w:sdt>
  </w:footnote>
  <w:footnote w:id="16">
    <w:sdt>
      <w:sdtPr>
        <w:rPr>
          <w:rFonts w:asciiTheme="majorBidi" w:hAnsiTheme="majorBidi" w:cstheme="majorBidi"/>
          <w:sz w:val="20"/>
          <w:szCs w:val="20"/>
        </w:rPr>
        <w:tag w:val="goog_rdk_350"/>
        <w:id w:val="2114780439"/>
      </w:sdtPr>
      <w:sdtContent>
        <w:p w14:paraId="5F896661" w14:textId="77777777" w:rsidR="005C55F8" w:rsidRDefault="00000000">
          <w:pPr>
            <w:spacing w:before="0" w:after="0" w:line="240" w:lineRule="auto"/>
            <w:jc w:val="both"/>
            <w:rPr>
              <w:rFonts w:asciiTheme="majorBidi" w:eastAsia="Roboto" w:hAnsiTheme="majorBidi" w:cstheme="majorBidi"/>
              <w:sz w:val="20"/>
              <w:szCs w:val="20"/>
            </w:rPr>
          </w:pPr>
          <w:r>
            <w:rPr>
              <w:rFonts w:asciiTheme="majorBidi" w:hAnsiTheme="majorBidi" w:cstheme="majorBidi"/>
              <w:sz w:val="20"/>
              <w:szCs w:val="20"/>
              <w:vertAlign w:val="superscript"/>
            </w:rPr>
            <w:footnoteRef/>
          </w:r>
          <w:sdt>
            <w:sdtPr>
              <w:rPr>
                <w:rFonts w:asciiTheme="majorBidi" w:hAnsiTheme="majorBidi" w:cstheme="majorBidi"/>
                <w:sz w:val="20"/>
                <w:szCs w:val="20"/>
              </w:rPr>
              <w:tag w:val="goog_rdk_344"/>
              <w:id w:val="162437960"/>
            </w:sdtPr>
            <w:sdtContent>
              <w:r>
                <w:rPr>
                  <w:rFonts w:asciiTheme="majorBidi" w:eastAsia="Roboto" w:hAnsiTheme="majorBidi" w:cstheme="majorBidi"/>
                  <w:sz w:val="20"/>
                  <w:szCs w:val="20"/>
                </w:rPr>
                <w:t xml:space="preserve"> </w:t>
              </w:r>
            </w:sdtContent>
          </w:sdt>
          <w:sdt>
            <w:sdtPr>
              <w:rPr>
                <w:rFonts w:asciiTheme="majorBidi" w:hAnsiTheme="majorBidi" w:cstheme="majorBidi"/>
                <w:sz w:val="20"/>
                <w:szCs w:val="20"/>
              </w:rPr>
              <w:tag w:val="goog_rdk_345"/>
              <w:id w:val="-2106636562"/>
            </w:sdtPr>
            <w:sdtContent>
              <w:r>
                <w:rPr>
                  <w:rFonts w:asciiTheme="majorBidi" w:eastAsia="Roboto" w:hAnsiTheme="majorBidi" w:cstheme="majorBidi"/>
                  <w:sz w:val="20"/>
                  <w:szCs w:val="20"/>
                </w:rPr>
                <w:t>Canada’s Foreign Policy Twitter account (@CanadaFP), 3 August 2018,</w:t>
              </w:r>
            </w:sdtContent>
          </w:sdt>
          <w:sdt>
            <w:sdtPr>
              <w:rPr>
                <w:rFonts w:asciiTheme="majorBidi" w:hAnsiTheme="majorBidi" w:cstheme="majorBidi"/>
                <w:sz w:val="20"/>
                <w:szCs w:val="20"/>
              </w:rPr>
              <w:tag w:val="goog_rdk_346"/>
              <w:id w:val="1703443425"/>
              <w:showingPlcHdr/>
            </w:sdtPr>
            <w:sdtContent>
              <w:r>
                <w:t>    </w:t>
              </w:r>
            </w:sdtContent>
          </w:sdt>
          <w:hyperlink r:id="rId16" w:tooltip="https://twitter.com/CanadaFP/status/1025383326960549889?s=20" w:history="1">
            <w:r>
              <w:rPr>
                <w:rFonts w:asciiTheme="majorBidi" w:eastAsia="Roboto" w:hAnsiTheme="majorBidi" w:cstheme="majorBidi"/>
                <w:sz w:val="20"/>
                <w:szCs w:val="20"/>
              </w:rPr>
              <w:t xml:space="preserve"> </w:t>
            </w:r>
          </w:hyperlink>
          <w:sdt>
            <w:sdtPr>
              <w:rPr>
                <w:rFonts w:asciiTheme="majorBidi" w:hAnsiTheme="majorBidi" w:cstheme="majorBidi"/>
                <w:sz w:val="20"/>
                <w:szCs w:val="20"/>
              </w:rPr>
              <w:tag w:val="goog_rdk_347"/>
              <w:id w:val="-1301988842"/>
              <w:showingPlcHdr/>
            </w:sdtPr>
            <w:sdtContent>
              <w:r>
                <w:t>    </w:t>
              </w:r>
            </w:sdtContent>
          </w:sdt>
          <w:hyperlink r:id="rId17" w:tooltip="https://twitter.com/CanadaFP/status/1025383326960549889?s=20" w:history="1">
            <w:r>
              <w:rPr>
                <w:rFonts w:asciiTheme="majorBidi" w:eastAsia="Roboto" w:hAnsiTheme="majorBidi" w:cstheme="majorBidi"/>
                <w:color w:val="0563C1"/>
                <w:sz w:val="20"/>
                <w:szCs w:val="20"/>
                <w:u w:val="single"/>
              </w:rPr>
              <w:t>https://twitter.com/CanadaFP/status/1025383326960549889?s=20</w:t>
            </w:r>
          </w:hyperlink>
          <w:sdt>
            <w:sdtPr>
              <w:rPr>
                <w:rFonts w:asciiTheme="majorBidi" w:hAnsiTheme="majorBidi" w:cstheme="majorBidi"/>
                <w:sz w:val="20"/>
                <w:szCs w:val="20"/>
              </w:rPr>
              <w:tag w:val="goog_rdk_348"/>
              <w:id w:val="-1362515397"/>
            </w:sdtPr>
            <w:sdtContent>
              <w:r>
                <w:rPr>
                  <w:rFonts w:asciiTheme="majorBidi" w:eastAsia="Roboto" w:hAnsiTheme="majorBidi" w:cstheme="majorBidi"/>
                  <w:sz w:val="20"/>
                  <w:szCs w:val="20"/>
                </w:rPr>
                <w:t xml:space="preserve"> (accessed 10 August 2024).</w:t>
              </w:r>
            </w:sdtContent>
          </w:sdt>
          <w:sdt>
            <w:sdtPr>
              <w:rPr>
                <w:rFonts w:asciiTheme="majorBidi" w:hAnsiTheme="majorBidi" w:cstheme="majorBidi"/>
                <w:sz w:val="20"/>
                <w:szCs w:val="20"/>
              </w:rPr>
              <w:tag w:val="goog_rdk_349"/>
              <w:id w:val="216632222"/>
              <w:showingPlcHdr/>
            </w:sdtPr>
            <w:sdtContent>
              <w:r>
                <w:t>    </w:t>
              </w:r>
            </w:sdtContent>
          </w:sdt>
        </w:p>
      </w:sdtContent>
    </w:sdt>
  </w:footnote>
  <w:footnote w:id="17">
    <w:sdt>
      <w:sdtPr>
        <w:rPr>
          <w:rFonts w:asciiTheme="majorBidi" w:hAnsiTheme="majorBidi" w:cstheme="majorBidi"/>
          <w:sz w:val="20"/>
          <w:szCs w:val="20"/>
        </w:rPr>
        <w:tag w:val="goog_rdk_357"/>
        <w:id w:val="1998909146"/>
      </w:sdtPr>
      <w:sdtContent>
        <w:p w14:paraId="35297DD1" w14:textId="77777777" w:rsidR="005C55F8" w:rsidRDefault="00000000">
          <w:pPr>
            <w:spacing w:before="0" w:after="0" w:line="240" w:lineRule="auto"/>
            <w:jc w:val="both"/>
            <w:rPr>
              <w:rFonts w:asciiTheme="majorBidi" w:eastAsia="Roboto" w:hAnsiTheme="majorBidi" w:cstheme="majorBidi"/>
              <w:sz w:val="20"/>
              <w:szCs w:val="20"/>
            </w:rPr>
          </w:pPr>
          <w:r>
            <w:rPr>
              <w:rFonts w:asciiTheme="majorBidi" w:hAnsiTheme="majorBidi" w:cstheme="majorBidi"/>
              <w:sz w:val="20"/>
              <w:szCs w:val="20"/>
              <w:vertAlign w:val="superscript"/>
            </w:rPr>
            <w:footnoteRef/>
          </w:r>
          <w:sdt>
            <w:sdtPr>
              <w:rPr>
                <w:rFonts w:asciiTheme="majorBidi" w:hAnsiTheme="majorBidi" w:cstheme="majorBidi"/>
                <w:sz w:val="20"/>
                <w:szCs w:val="20"/>
              </w:rPr>
              <w:tag w:val="goog_rdk_351"/>
              <w:id w:val="-799985905"/>
            </w:sdtPr>
            <w:sdtContent>
              <w:r>
                <w:rPr>
                  <w:rFonts w:asciiTheme="majorBidi" w:eastAsia="Roboto" w:hAnsiTheme="majorBidi" w:cstheme="majorBidi"/>
                  <w:sz w:val="20"/>
                  <w:szCs w:val="20"/>
                </w:rPr>
                <w:t xml:space="preserve"> </w:t>
              </w:r>
            </w:sdtContent>
          </w:sdt>
          <w:sdt>
            <w:sdtPr>
              <w:rPr>
                <w:rFonts w:asciiTheme="majorBidi" w:hAnsiTheme="majorBidi" w:cstheme="majorBidi"/>
                <w:sz w:val="20"/>
                <w:szCs w:val="20"/>
              </w:rPr>
              <w:tag w:val="goog_rdk_352"/>
              <w:id w:val="-1758587276"/>
            </w:sdtPr>
            <w:sdtContent>
              <w:r>
                <w:rPr>
                  <w:rFonts w:asciiTheme="majorBidi" w:eastAsia="Roboto" w:hAnsiTheme="majorBidi" w:cstheme="majorBidi"/>
                  <w:sz w:val="20"/>
                  <w:szCs w:val="20"/>
                </w:rPr>
                <w:t>Saudi Human Rights Commission’s Twitter account (@HRCSaudi), 8 August 2018,</w:t>
              </w:r>
            </w:sdtContent>
          </w:sdt>
          <w:sdt>
            <w:sdtPr>
              <w:rPr>
                <w:rFonts w:asciiTheme="majorBidi" w:hAnsiTheme="majorBidi" w:cstheme="majorBidi"/>
                <w:sz w:val="20"/>
                <w:szCs w:val="20"/>
              </w:rPr>
              <w:tag w:val="goog_rdk_353"/>
              <w:id w:val="-1674721175"/>
              <w:showingPlcHdr/>
            </w:sdtPr>
            <w:sdtContent>
              <w:r>
                <w:t>    </w:t>
              </w:r>
            </w:sdtContent>
          </w:sdt>
          <w:hyperlink r:id="rId18" w:tooltip="https://twitter.com/HRCSaudi/status/1027202769458028544?s=20" w:history="1">
            <w:r>
              <w:rPr>
                <w:rFonts w:asciiTheme="majorBidi" w:eastAsia="Roboto" w:hAnsiTheme="majorBidi" w:cstheme="majorBidi"/>
                <w:sz w:val="20"/>
                <w:szCs w:val="20"/>
              </w:rPr>
              <w:t xml:space="preserve"> </w:t>
            </w:r>
          </w:hyperlink>
          <w:sdt>
            <w:sdtPr>
              <w:rPr>
                <w:rFonts w:asciiTheme="majorBidi" w:hAnsiTheme="majorBidi" w:cstheme="majorBidi"/>
                <w:sz w:val="20"/>
                <w:szCs w:val="20"/>
              </w:rPr>
              <w:tag w:val="goog_rdk_354"/>
              <w:id w:val="-812025614"/>
              <w:showingPlcHdr/>
            </w:sdtPr>
            <w:sdtContent>
              <w:r>
                <w:t>    </w:t>
              </w:r>
            </w:sdtContent>
          </w:sdt>
          <w:hyperlink r:id="rId19" w:tooltip="https://twitter.com/HRCSaudi/status/1027202769458028544?s=20" w:history="1">
            <w:r>
              <w:rPr>
                <w:rFonts w:asciiTheme="majorBidi" w:eastAsia="Roboto" w:hAnsiTheme="majorBidi" w:cstheme="majorBidi"/>
                <w:color w:val="0563C1"/>
                <w:sz w:val="20"/>
                <w:szCs w:val="20"/>
                <w:u w:val="single"/>
              </w:rPr>
              <w:t>https://twitter.com/HRCSaudi/status/1027202769458028544?s=20</w:t>
            </w:r>
          </w:hyperlink>
          <w:sdt>
            <w:sdtPr>
              <w:rPr>
                <w:rFonts w:asciiTheme="majorBidi" w:hAnsiTheme="majorBidi" w:cstheme="majorBidi"/>
                <w:sz w:val="20"/>
                <w:szCs w:val="20"/>
              </w:rPr>
              <w:tag w:val="goog_rdk_355"/>
              <w:id w:val="1132527726"/>
            </w:sdtPr>
            <w:sdtContent>
              <w:r>
                <w:rPr>
                  <w:rFonts w:asciiTheme="majorBidi" w:eastAsia="Roboto" w:hAnsiTheme="majorBidi" w:cstheme="majorBidi"/>
                  <w:sz w:val="20"/>
                  <w:szCs w:val="20"/>
                </w:rPr>
                <w:t xml:space="preserve"> (accessed 10 August 2024).</w:t>
              </w:r>
            </w:sdtContent>
          </w:sdt>
          <w:sdt>
            <w:sdtPr>
              <w:rPr>
                <w:rFonts w:asciiTheme="majorBidi" w:hAnsiTheme="majorBidi" w:cstheme="majorBidi"/>
                <w:sz w:val="20"/>
                <w:szCs w:val="20"/>
              </w:rPr>
              <w:tag w:val="goog_rdk_356"/>
              <w:id w:val="-683125422"/>
              <w:showingPlcHdr/>
            </w:sdtPr>
            <w:sdtContent>
              <w:r>
                <w:t>    </w:t>
              </w:r>
            </w:sdtContent>
          </w:sdt>
        </w:p>
      </w:sdtContent>
    </w:sdt>
  </w:footnote>
  <w:footnote w:id="18">
    <w:sdt>
      <w:sdtPr>
        <w:rPr>
          <w:rFonts w:asciiTheme="majorBidi" w:hAnsiTheme="majorBidi" w:cstheme="majorBidi"/>
          <w:sz w:val="20"/>
          <w:szCs w:val="20"/>
        </w:rPr>
        <w:tag w:val="goog_rdk_343"/>
        <w:id w:val="-1889097210"/>
      </w:sdtPr>
      <w:sdtContent>
        <w:p w14:paraId="13CC87F5" w14:textId="77777777" w:rsidR="005C55F8" w:rsidRDefault="00000000">
          <w:pPr>
            <w:spacing w:before="0" w:after="0" w:line="240" w:lineRule="auto"/>
            <w:jc w:val="both"/>
            <w:rPr>
              <w:rFonts w:asciiTheme="majorBidi" w:eastAsia="Roboto" w:hAnsiTheme="majorBidi" w:cstheme="majorBidi"/>
              <w:sz w:val="20"/>
              <w:szCs w:val="20"/>
            </w:rPr>
          </w:pPr>
          <w:r>
            <w:rPr>
              <w:rFonts w:asciiTheme="majorBidi" w:hAnsiTheme="majorBidi" w:cstheme="majorBidi"/>
              <w:sz w:val="20"/>
              <w:szCs w:val="20"/>
              <w:vertAlign w:val="superscript"/>
            </w:rPr>
            <w:footnoteRef/>
          </w:r>
          <w:sdt>
            <w:sdtPr>
              <w:rPr>
                <w:rFonts w:asciiTheme="majorBidi" w:hAnsiTheme="majorBidi" w:cstheme="majorBidi"/>
                <w:sz w:val="20"/>
                <w:szCs w:val="20"/>
              </w:rPr>
              <w:tag w:val="goog_rdk_335"/>
              <w:id w:val="1270738362"/>
            </w:sdtPr>
            <w:sdtContent>
              <w:r>
                <w:rPr>
                  <w:rFonts w:asciiTheme="majorBidi" w:eastAsia="Roboto" w:hAnsiTheme="majorBidi" w:cstheme="majorBidi"/>
                  <w:sz w:val="20"/>
                  <w:szCs w:val="20"/>
                </w:rPr>
                <w:t xml:space="preserve"> </w:t>
              </w:r>
            </w:sdtContent>
          </w:sdt>
          <w:sdt>
            <w:sdtPr>
              <w:rPr>
                <w:rFonts w:asciiTheme="majorBidi" w:hAnsiTheme="majorBidi" w:cstheme="majorBidi"/>
                <w:sz w:val="20"/>
                <w:szCs w:val="20"/>
              </w:rPr>
              <w:tag w:val="goog_rdk_336"/>
              <w:id w:val="1848210513"/>
            </w:sdtPr>
            <w:sdtContent>
              <w:r>
                <w:rPr>
                  <w:rFonts w:asciiTheme="majorBidi" w:eastAsia="Roboto" w:hAnsiTheme="majorBidi" w:cstheme="majorBidi"/>
                  <w:sz w:val="20"/>
                  <w:szCs w:val="20"/>
                </w:rPr>
                <w:t xml:space="preserve">Testimony provided by her family; Democracy for the Arab World Now, </w:t>
              </w:r>
            </w:sdtContent>
          </w:sdt>
          <w:sdt>
            <w:sdtPr>
              <w:rPr>
                <w:rFonts w:asciiTheme="majorBidi" w:hAnsiTheme="majorBidi" w:cstheme="majorBidi"/>
                <w:sz w:val="20"/>
                <w:szCs w:val="20"/>
              </w:rPr>
              <w:tag w:val="goog_rdk_337"/>
              <w:id w:val="-1683966524"/>
            </w:sdtPr>
            <w:sdtContent>
              <w:r>
                <w:rPr>
                  <w:rFonts w:asciiTheme="majorBidi" w:eastAsia="Roboto" w:hAnsiTheme="majorBidi" w:cstheme="majorBidi"/>
                  <w:i/>
                  <w:sz w:val="20"/>
                  <w:szCs w:val="20"/>
                </w:rPr>
                <w:t xml:space="preserve">Saudi Arabia: </w:t>
              </w:r>
              <w:proofErr w:type="spellStart"/>
              <w:r>
                <w:rPr>
                  <w:rFonts w:asciiTheme="majorBidi" w:eastAsia="Roboto" w:hAnsiTheme="majorBidi" w:cstheme="majorBidi"/>
                  <w:i/>
                  <w:sz w:val="20"/>
                  <w:szCs w:val="20"/>
                </w:rPr>
                <w:t>Samha</w:t>
              </w:r>
              <w:proofErr w:type="spellEnd"/>
              <w:r>
                <w:rPr>
                  <w:rFonts w:asciiTheme="majorBidi" w:eastAsia="Roboto" w:hAnsiTheme="majorBidi" w:cstheme="majorBidi"/>
                  <w:i/>
                  <w:sz w:val="20"/>
                  <w:szCs w:val="20"/>
                </w:rPr>
                <w:t xml:space="preserve"> Alghamdi Failed to Investigate Torture</w:t>
              </w:r>
            </w:sdtContent>
          </w:sdt>
          <w:sdt>
            <w:sdtPr>
              <w:rPr>
                <w:rFonts w:asciiTheme="majorBidi" w:hAnsiTheme="majorBidi" w:cstheme="majorBidi"/>
                <w:sz w:val="20"/>
                <w:szCs w:val="20"/>
              </w:rPr>
              <w:tag w:val="goog_rdk_338"/>
              <w:id w:val="-2056762058"/>
            </w:sdtPr>
            <w:sdtContent>
              <w:r>
                <w:rPr>
                  <w:rFonts w:asciiTheme="majorBidi" w:eastAsia="Roboto" w:hAnsiTheme="majorBidi" w:cstheme="majorBidi"/>
                  <w:sz w:val="20"/>
                  <w:szCs w:val="20"/>
                </w:rPr>
                <w:t>, 3 December 2020,</w:t>
              </w:r>
            </w:sdtContent>
          </w:sdt>
          <w:sdt>
            <w:sdtPr>
              <w:rPr>
                <w:rFonts w:asciiTheme="majorBidi" w:hAnsiTheme="majorBidi" w:cstheme="majorBidi"/>
                <w:sz w:val="20"/>
                <w:szCs w:val="20"/>
              </w:rPr>
              <w:tag w:val="goog_rdk_339"/>
              <w:id w:val="1669054203"/>
              <w:showingPlcHdr/>
            </w:sdtPr>
            <w:sdtContent>
              <w:r>
                <w:t>    </w:t>
              </w:r>
            </w:sdtContent>
          </w:sdt>
          <w:hyperlink r:id="rId20" w:tooltip="https://dawnmena.org/samha-saeed-alghamdi/" w:history="1">
            <w:r>
              <w:rPr>
                <w:rFonts w:asciiTheme="majorBidi" w:eastAsia="Roboto" w:hAnsiTheme="majorBidi" w:cstheme="majorBidi"/>
                <w:sz w:val="20"/>
                <w:szCs w:val="20"/>
              </w:rPr>
              <w:t xml:space="preserve"> </w:t>
            </w:r>
          </w:hyperlink>
          <w:sdt>
            <w:sdtPr>
              <w:rPr>
                <w:rFonts w:asciiTheme="majorBidi" w:hAnsiTheme="majorBidi" w:cstheme="majorBidi"/>
                <w:sz w:val="20"/>
                <w:szCs w:val="20"/>
              </w:rPr>
              <w:tag w:val="goog_rdk_340"/>
              <w:id w:val="244226036"/>
              <w:showingPlcHdr/>
            </w:sdtPr>
            <w:sdtContent>
              <w:r>
                <w:t>    </w:t>
              </w:r>
            </w:sdtContent>
          </w:sdt>
          <w:hyperlink r:id="rId21" w:tooltip="https://dawnmena.org/samha-saeed-alghamdi/" w:history="1">
            <w:r>
              <w:rPr>
                <w:rFonts w:asciiTheme="majorBidi" w:eastAsia="Roboto" w:hAnsiTheme="majorBidi" w:cstheme="majorBidi"/>
                <w:color w:val="0563C1"/>
                <w:sz w:val="20"/>
                <w:szCs w:val="20"/>
                <w:u w:val="single"/>
              </w:rPr>
              <w:t>https://dawnmena.org/samha-saeed-alghamdi/</w:t>
            </w:r>
          </w:hyperlink>
          <w:sdt>
            <w:sdtPr>
              <w:rPr>
                <w:rFonts w:asciiTheme="majorBidi" w:hAnsiTheme="majorBidi" w:cstheme="majorBidi"/>
                <w:sz w:val="20"/>
                <w:szCs w:val="20"/>
              </w:rPr>
              <w:tag w:val="goog_rdk_341"/>
              <w:id w:val="-689682659"/>
            </w:sdtPr>
            <w:sdtContent>
              <w:r>
                <w:rPr>
                  <w:rFonts w:asciiTheme="majorBidi" w:eastAsia="Roboto" w:hAnsiTheme="majorBidi" w:cstheme="majorBidi"/>
                  <w:sz w:val="20"/>
                  <w:szCs w:val="20"/>
                </w:rPr>
                <w:t xml:space="preserve"> (accessed 8 November 2023).</w:t>
              </w:r>
            </w:sdtContent>
          </w:sdt>
          <w:sdt>
            <w:sdtPr>
              <w:rPr>
                <w:rFonts w:asciiTheme="majorBidi" w:hAnsiTheme="majorBidi" w:cstheme="majorBidi"/>
                <w:sz w:val="20"/>
                <w:szCs w:val="20"/>
              </w:rPr>
              <w:tag w:val="goog_rdk_342"/>
              <w:id w:val="2002930152"/>
              <w:showingPlcHdr/>
            </w:sdtPr>
            <w:sdtContent>
              <w:r>
                <w:t>    </w:t>
              </w:r>
            </w:sdtContent>
          </w:sdt>
        </w:p>
      </w:sdtContent>
    </w:sdt>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E160229" w14:textId="77777777" w:rsidR="005C55F8" w:rsidRDefault="00000000">
    <w:pPr>
      <w:pBdr>
        <w:top w:val="none" w:sz="4" w:space="0" w:color="000000"/>
        <w:left w:val="none" w:sz="4" w:space="0" w:color="000000"/>
        <w:bottom w:val="none" w:sz="4" w:space="0" w:color="000000"/>
        <w:right w:val="none" w:sz="4" w:space="0" w:color="000000"/>
        <w:between w:val="none" w:sz="4" w:space="0" w:color="000000"/>
      </w:pBdr>
      <w:tabs>
        <w:tab w:val="center" w:pos="4536"/>
        <w:tab w:val="right" w:pos="9072"/>
      </w:tabs>
      <w:spacing w:after="0" w:line="240" w:lineRule="auto"/>
      <w:rPr>
        <w:color w:val="000000"/>
      </w:rPr>
    </w:pPr>
    <w:r>
      <w:rPr>
        <w:noProof/>
        <w:color w:val="000000"/>
      </w:rPr>
      <mc:AlternateContent>
        <mc:Choice Requires="wpg">
          <w:drawing>
            <wp:anchor distT="0" distB="0" distL="0" distR="0" simplePos="0" relativeHeight="251661312" behindDoc="1" locked="0" layoutInCell="1" allowOverlap="1" wp14:anchorId="47EA7421" wp14:editId="0875F1A1">
              <wp:simplePos x="0" y="0"/>
              <wp:positionH relativeFrom="margin">
                <wp:align>center</wp:align>
              </wp:positionH>
              <wp:positionV relativeFrom="margin">
                <wp:align>center</wp:align>
              </wp:positionV>
              <wp:extent cx="7559040" cy="10692130"/>
              <wp:effectExtent l="0" t="0" r="0" b="0"/>
              <wp:wrapNone/>
              <wp:docPr id="4" name="image1.jpg"/>
              <wp:cNvGraphicFramePr/>
              <a:graphic xmlns:a="http://schemas.openxmlformats.org/drawingml/2006/main">
                <a:graphicData uri="http://schemas.openxmlformats.org/drawingml/2006/picture">
                  <pic:pic xmlns:pic="http://schemas.openxmlformats.org/drawingml/2006/picture">
                    <pic:nvPicPr>
                      <pic:cNvPr id="0" name="image1.jpg"/>
                      <pic:cNvPicPr/>
                    </pic:nvPicPr>
                    <pic:blipFill>
                      <a:blip r:embed="rId1"/>
                      <a:stretch/>
                    </pic:blipFill>
                    <pic:spPr bwMode="auto">
                      <a:xfrm>
                        <a:off x="0" y="0"/>
                        <a:ext cx="7559040" cy="10692130"/>
                      </a:xfrm>
                      <a:prstGeom prst="rect">
                        <a:avLst/>
                      </a:prstGeom>
                      <a:ln/>
                    </pic:spPr>
                  </pic:pic>
                </a:graphicData>
              </a:graphic>
            </wp:anchor>
          </w:drawing>
        </mc:Choice>
        <mc:Fallback xmlns:a="http://schemas.openxmlformats.org/drawingml/2006/main">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3" o:spid="_x0000_s3" type="#_x0000_t75" style="position:absolute;z-index:-251661312;o:allowoverlap:true;o:allowincell:true;mso-position-horizontal-relative:margin;mso-position-horizontal:center;mso-position-vertical-relative:margin;mso-position-vertical:center;width:595.20pt;height:841.90pt;mso-wrap-distance-left:0.00pt;mso-wrap-distance-top:0.00pt;mso-wrap-distance-right:0.00pt;mso-wrap-distance-bottom:0.00pt;z-index:1;">
              <v:imagedata r:id="rId2" o:title=""/>
              <o:lock v:ext="edit" rotation="t"/>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E57038D" w14:textId="77777777" w:rsidR="005C55F8" w:rsidRDefault="00000000">
    <w:pPr>
      <w:pBdr>
        <w:top w:val="none" w:sz="4" w:space="0" w:color="000000"/>
        <w:left w:val="none" w:sz="4" w:space="0" w:color="000000"/>
        <w:bottom w:val="none" w:sz="4" w:space="0" w:color="000000"/>
        <w:right w:val="none" w:sz="4" w:space="0" w:color="000000"/>
        <w:between w:val="none" w:sz="4" w:space="0" w:color="000000"/>
      </w:pBdr>
      <w:tabs>
        <w:tab w:val="center" w:pos="4536"/>
        <w:tab w:val="right" w:pos="9072"/>
      </w:tabs>
      <w:spacing w:after="0" w:line="240" w:lineRule="auto"/>
      <w:jc w:val="right"/>
      <w:rPr>
        <w:color w:val="000000"/>
      </w:rPr>
    </w:pPr>
    <w:r>
      <w:rPr>
        <w:noProof/>
        <w:color w:val="000000"/>
      </w:rPr>
      <mc:AlternateContent>
        <mc:Choice Requires="wpg">
          <w:drawing>
            <wp:anchor distT="0" distB="0" distL="0" distR="0" simplePos="0" relativeHeight="251658240" behindDoc="1" locked="0" layoutInCell="1" allowOverlap="1" wp14:anchorId="2FC36696" wp14:editId="76434BB3">
              <wp:simplePos x="0" y="0"/>
              <wp:positionH relativeFrom="margin">
                <wp:posOffset>-899795</wp:posOffset>
              </wp:positionH>
              <wp:positionV relativeFrom="margin">
                <wp:posOffset>-1161415</wp:posOffset>
              </wp:positionV>
              <wp:extent cx="7559040" cy="10692130"/>
              <wp:effectExtent l="0" t="0" r="0" b="0"/>
              <wp:wrapNone/>
              <wp:docPr id="1" name="image1.jpg"/>
              <wp:cNvGraphicFramePr/>
              <a:graphic xmlns:a="http://schemas.openxmlformats.org/drawingml/2006/main">
                <a:graphicData uri="http://schemas.openxmlformats.org/drawingml/2006/picture">
                  <pic:pic xmlns:pic="http://schemas.openxmlformats.org/drawingml/2006/picture">
                    <pic:nvPicPr>
                      <pic:cNvPr id="0" name="image1.jpg"/>
                      <pic:cNvPicPr/>
                    </pic:nvPicPr>
                    <pic:blipFill>
                      <a:blip r:embed="rId1"/>
                      <a:stretch/>
                    </pic:blipFill>
                    <pic:spPr bwMode="auto">
                      <a:xfrm>
                        <a:off x="0" y="0"/>
                        <a:ext cx="7559040" cy="10692130"/>
                      </a:xfrm>
                      <a:prstGeom prst="rect">
                        <a:avLst/>
                      </a:prstGeom>
                      <a:ln/>
                    </pic:spPr>
                  </pic:pic>
                </a:graphicData>
              </a:graphic>
            </wp:anchor>
          </w:drawing>
        </mc:Choice>
        <mc:Fallback xmlns:a="http://schemas.openxmlformats.org/drawingml/2006/main">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0" o:spid="_x0000_s0" type="#_x0000_t75" style="position:absolute;z-index:-251658240;o:allowoverlap:true;o:allowincell:true;mso-position-horizontal-relative:margin;margin-left:-70.85pt;mso-position-horizontal:absolute;mso-position-vertical-relative:margin;margin-top:-91.45pt;mso-position-vertical:absolute;width:595.20pt;height:841.90pt;mso-wrap-distance-left:0.00pt;mso-wrap-distance-top:0.00pt;mso-wrap-distance-right:0.00pt;mso-wrap-distance-bottom:0.00pt;z-index:1;">
              <v:imagedata r:id="rId2" o:title=""/>
              <o:lock v:ext="edit" rotation="t"/>
            </v:shape>
          </w:pict>
        </mc:Fallback>
      </mc:AlternateContent>
    </w:r>
    <w:r>
      <w:fldChar w:fldCharType="begin"/>
    </w:r>
    <w:r>
      <w:instrText xml:space="preserve"> INCLUDEPICTURE "https://alqst.org/uploads/image/graph1.jpg" \* MERGEFORMATINET </w:instrText>
    </w:r>
    <w:r>
      <w:fldChar w:fldCharType="separate"/>
    </w:r>
    <w:r>
      <w:rPr>
        <w:noProof/>
      </w:rPr>
      <mc:AlternateContent>
        <mc:Choice Requires="wpg">
          <w:drawing>
            <wp:inline distT="0" distB="0" distL="0" distR="0" wp14:anchorId="0EBC0F9C" wp14:editId="5FAF97A1">
              <wp:extent cx="881758" cy="439200"/>
              <wp:effectExtent l="0" t="0" r="0" b="5715"/>
              <wp:docPr id="2" name="Picture 2" descr="ALQST for Human Right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5196379" name="Picture 1" descr="ALQST for Human Rights"/>
                      <pic:cNvPicPr>
                        <a:picLocks noChangeAspect="1"/>
                      </pic:cNvPicPr>
                    </pic:nvPicPr>
                    <pic:blipFill>
                      <a:blip r:embed="rId3"/>
                      <a:stretch/>
                    </pic:blipFill>
                    <pic:spPr bwMode="auto">
                      <a:xfrm>
                        <a:off x="0" y="0"/>
                        <a:ext cx="881758" cy="439200"/>
                      </a:xfrm>
                      <a:prstGeom prst="rect">
                        <a:avLst/>
                      </a:prstGeom>
                      <a:noFill/>
                      <a:ln>
                        <a:noFill/>
                      </a:ln>
                    </pic:spPr>
                  </pic:pic>
                </a:graphicData>
              </a:graphic>
            </wp:inline>
          </w:drawing>
        </mc:Choice>
        <mc:Fallback xmlns:a="http://schemas.openxmlformats.org/drawingml/2006/main">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 o:spid="_x0000_s1" type="#_x0000_t75" style="width:69.43pt;height:34.58pt;mso-wrap-distance-left:0.00pt;mso-wrap-distance-top:0.00pt;mso-wrap-distance-right:0.00pt;mso-wrap-distance-bottom:0.00pt;z-index:1;" stroked="f">
              <v:imagedata r:id="rId4" o:title=""/>
              <o:lock v:ext="edit" rotation="t"/>
            </v:shape>
          </w:pict>
        </mc:Fallback>
      </mc:AlternateContent>
    </w:r>
    <w:r>
      <w:fldChar w:fldCharType="end"/>
    </w:r>
    <w:r>
      <w:t xml:space="preserve">   </w:t>
    </w:r>
    <w:r>
      <w:rPr>
        <w:noProof/>
        <w:color w:val="000000"/>
      </w:rPr>
      <mc:AlternateContent>
        <mc:Choice Requires="wpg">
          <w:drawing>
            <wp:inline distT="0" distB="0" distL="0" distR="0" wp14:anchorId="6E58F206" wp14:editId="6549B7A7">
              <wp:extent cx="869285" cy="439200"/>
              <wp:effectExtent l="0" t="0" r="0" b="5715"/>
              <wp:docPr id="3" name="image2.png" descr="C:\Users\Media-Int2\AppData\Local\Microsoft\Windows\INetCache\Content.Word\MRG-Logo (no space).png"/>
              <wp:cNvGraphicFramePr/>
              <a:graphic xmlns:a="http://schemas.openxmlformats.org/drawingml/2006/main">
                <a:graphicData uri="http://schemas.openxmlformats.org/drawingml/2006/picture">
                  <pic:pic xmlns:pic="http://schemas.openxmlformats.org/drawingml/2006/picture">
                    <pic:nvPicPr>
                      <pic:cNvPr id="0" name="image2.png" descr="C:\Users\Media-Int2\AppData\Local\Microsoft\Windows\INetCache\Content.Word\MRG-Logo (no space).png"/>
                      <pic:cNvPicPr/>
                    </pic:nvPicPr>
                    <pic:blipFill>
                      <a:blip r:embed="rId5"/>
                      <a:stretch/>
                    </pic:blipFill>
                    <pic:spPr bwMode="auto">
                      <a:xfrm>
                        <a:off x="0" y="0"/>
                        <a:ext cx="869285" cy="439200"/>
                      </a:xfrm>
                      <a:prstGeom prst="rect">
                        <a:avLst/>
                      </a:prstGeom>
                      <a:ln/>
                    </pic:spPr>
                  </pic:pic>
                </a:graphicData>
              </a:graphic>
            </wp:inline>
          </w:drawing>
        </mc:Choice>
        <mc:Fallback xmlns:a="http://schemas.openxmlformats.org/drawingml/2006/main">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2" o:spid="_x0000_s2" type="#_x0000_t75" style="width:68.45pt;height:34.58pt;mso-wrap-distance-left:0.00pt;mso-wrap-distance-top:0.00pt;mso-wrap-distance-right:0.00pt;mso-wrap-distance-bottom:0.00pt;z-index:1;">
              <v:imagedata r:id="rId6" o:title=""/>
              <o:lock v:ext="edit" rotation="t"/>
            </v:shape>
          </w:pict>
        </mc:Fallback>
      </mc:AlternateContent>
    </w:r>
  </w:p>
  <w:p w14:paraId="5B2FF5F6" w14:textId="77777777" w:rsidR="005C55F8" w:rsidRDefault="005C55F8">
    <w:pPr>
      <w:pBdr>
        <w:top w:val="none" w:sz="4" w:space="0" w:color="000000"/>
        <w:left w:val="none" w:sz="4" w:space="0" w:color="000000"/>
        <w:bottom w:val="none" w:sz="4" w:space="0" w:color="000000"/>
        <w:right w:val="none" w:sz="4" w:space="0" w:color="000000"/>
        <w:between w:val="none" w:sz="4" w:space="0" w:color="000000"/>
      </w:pBdr>
      <w:tabs>
        <w:tab w:val="center" w:pos="4536"/>
        <w:tab w:val="right" w:pos="9072"/>
      </w:tabs>
      <w:spacing w:after="0" w:line="240" w:lineRule="auto"/>
      <w:rPr>
        <w:color w:val="000000"/>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812A6D" w14:textId="77777777" w:rsidR="005C55F8" w:rsidRDefault="00000000">
    <w:pPr>
      <w:pBdr>
        <w:top w:val="none" w:sz="4" w:space="0" w:color="000000"/>
        <w:left w:val="none" w:sz="4" w:space="0" w:color="000000"/>
        <w:bottom w:val="none" w:sz="4" w:space="0" w:color="000000"/>
        <w:right w:val="none" w:sz="4" w:space="0" w:color="000000"/>
        <w:between w:val="none" w:sz="4" w:space="0" w:color="000000"/>
      </w:pBdr>
      <w:tabs>
        <w:tab w:val="center" w:pos="4536"/>
        <w:tab w:val="right" w:pos="9072"/>
      </w:tabs>
      <w:spacing w:after="0" w:line="240" w:lineRule="auto"/>
      <w:jc w:val="right"/>
      <w:rPr>
        <w:color w:val="000000"/>
      </w:rPr>
    </w:pPr>
    <w:r>
      <w:rPr>
        <w:noProof/>
        <w:color w:val="000000"/>
      </w:rPr>
      <mc:AlternateContent>
        <mc:Choice Requires="wpg">
          <w:drawing>
            <wp:anchor distT="0" distB="0" distL="0" distR="0" simplePos="0" relativeHeight="251660800" behindDoc="1" locked="0" layoutInCell="1" allowOverlap="1" wp14:anchorId="58177C06" wp14:editId="17FDE3C6">
              <wp:simplePos x="0" y="0"/>
              <wp:positionH relativeFrom="margin">
                <wp:align>center</wp:align>
              </wp:positionH>
              <wp:positionV relativeFrom="margin">
                <wp:align>center</wp:align>
              </wp:positionV>
              <wp:extent cx="7559040" cy="10688400"/>
              <wp:effectExtent l="0" t="0" r="0" b="5080"/>
              <wp:wrapNone/>
              <wp:docPr id="5" name="image1.jpg"/>
              <wp:cNvGraphicFramePr/>
              <a:graphic xmlns:a="http://schemas.openxmlformats.org/drawingml/2006/main">
                <a:graphicData uri="http://schemas.openxmlformats.org/drawingml/2006/picture">
                  <pic:pic xmlns:pic="http://schemas.openxmlformats.org/drawingml/2006/picture">
                    <pic:nvPicPr>
                      <pic:cNvPr id="0" name="image1.jpg"/>
                      <pic:cNvPicPr/>
                    </pic:nvPicPr>
                    <pic:blipFill>
                      <a:blip r:embed="rId1"/>
                      <a:stretch/>
                    </pic:blipFill>
                    <pic:spPr bwMode="auto">
                      <a:xfrm>
                        <a:off x="0" y="0"/>
                        <a:ext cx="7559040" cy="10692130"/>
                      </a:xfrm>
                      <a:prstGeom prst="rect">
                        <a:avLst/>
                      </a:prstGeom>
                      <a:ln/>
                    </pic:spPr>
                  </pic:pic>
                </a:graphicData>
              </a:graphic>
            </wp:anchor>
          </w:drawing>
        </mc:Choice>
        <mc:Fallback xmlns:a="http://schemas.openxmlformats.org/drawingml/2006/main">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4" o:spid="_x0000_s4" type="#_x0000_t75" style="position:absolute;z-index:-251660800;o:allowoverlap:true;o:allowincell:true;mso-position-horizontal-relative:margin;mso-position-horizontal:center;mso-position-vertical-relative:margin;mso-position-vertical:center;width:595.20pt;height:841.61pt;mso-wrap-distance-left:0.00pt;mso-wrap-distance-top:0.00pt;mso-wrap-distance-right:0.00pt;mso-wrap-distance-bottom:0.00pt;z-index:1;">
              <v:imagedata r:id="rId2" o:title=""/>
              <o:lock v:ext="edit" rotation="t"/>
            </v:shape>
          </w:pict>
        </mc:Fallback>
      </mc:AlternateContent>
    </w:r>
  </w:p>
  <w:p w14:paraId="4C456C57" w14:textId="77777777" w:rsidR="005C55F8" w:rsidRDefault="00000000">
    <w:pPr>
      <w:pBdr>
        <w:top w:val="none" w:sz="4" w:space="0" w:color="000000"/>
        <w:left w:val="none" w:sz="4" w:space="0" w:color="000000"/>
        <w:bottom w:val="none" w:sz="4" w:space="0" w:color="000000"/>
        <w:right w:val="none" w:sz="4" w:space="0" w:color="000000"/>
        <w:between w:val="none" w:sz="4" w:space="0" w:color="000000"/>
      </w:pBdr>
      <w:tabs>
        <w:tab w:val="center" w:pos="4536"/>
        <w:tab w:val="right" w:pos="9072"/>
      </w:tabs>
      <w:spacing w:after="0" w:line="240" w:lineRule="auto"/>
      <w:rPr>
        <w:color w:val="000000"/>
      </w:rPr>
    </w:pPr>
    <w:sdt>
      <w:sdtPr>
        <w:tag w:val="goog_rdk_244"/>
        <w:id w:val="1968081853"/>
        <w:showingPlcHdr/>
      </w:sdtPr>
      <w:sdtContent>
        <w:r>
          <w:t>    </w:t>
        </w:r>
      </w:sdtContent>
    </w:sdt>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08B4F10"/>
    <w:multiLevelType w:val="multilevel"/>
    <w:tmpl w:val="D8AE07C6"/>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 w15:restartNumberingAfterBreak="0">
    <w:nsid w:val="19FE5ADA"/>
    <w:multiLevelType w:val="multilevel"/>
    <w:tmpl w:val="302C4D22"/>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2" w15:restartNumberingAfterBreak="0">
    <w:nsid w:val="3E307704"/>
    <w:multiLevelType w:val="multilevel"/>
    <w:tmpl w:val="4A18F784"/>
    <w:lvl w:ilvl="0">
      <w:start w:val="1"/>
      <w:numFmt w:val="decimal"/>
      <w:pStyle w:val="Heading1"/>
      <w:lvlText w:val="%1."/>
      <w:lvlJc w:val="left"/>
      <w:pPr>
        <w:tabs>
          <w:tab w:val="num" w:pos="720"/>
        </w:tabs>
        <w:ind w:left="720" w:hanging="720"/>
      </w:pPr>
    </w:lvl>
    <w:lvl w:ilvl="1">
      <w:start w:val="1"/>
      <w:numFmt w:val="decimal"/>
      <w:pStyle w:val="Heading2"/>
      <w:lvlText w:val="%2."/>
      <w:lvlJc w:val="left"/>
      <w:pPr>
        <w:tabs>
          <w:tab w:val="num" w:pos="1440"/>
        </w:tabs>
        <w:ind w:left="1440" w:hanging="720"/>
      </w:pPr>
    </w:lvl>
    <w:lvl w:ilvl="2">
      <w:start w:val="1"/>
      <w:numFmt w:val="decimal"/>
      <w:pStyle w:val="Heading3"/>
      <w:lvlText w:val="%3."/>
      <w:lvlJc w:val="left"/>
      <w:pPr>
        <w:tabs>
          <w:tab w:val="num" w:pos="2160"/>
        </w:tabs>
        <w:ind w:left="2160" w:hanging="720"/>
      </w:pPr>
    </w:lvl>
    <w:lvl w:ilvl="3">
      <w:start w:val="1"/>
      <w:numFmt w:val="decimal"/>
      <w:pStyle w:val="Heading4"/>
      <w:lvlText w:val="%4."/>
      <w:lvlJc w:val="left"/>
      <w:pPr>
        <w:tabs>
          <w:tab w:val="num" w:pos="2880"/>
        </w:tabs>
        <w:ind w:left="2880" w:hanging="720"/>
      </w:pPr>
    </w:lvl>
    <w:lvl w:ilvl="4">
      <w:start w:val="1"/>
      <w:numFmt w:val="decimal"/>
      <w:pStyle w:val="Heading5"/>
      <w:lvlText w:val="%5."/>
      <w:lvlJc w:val="left"/>
      <w:pPr>
        <w:tabs>
          <w:tab w:val="num" w:pos="3600"/>
        </w:tabs>
        <w:ind w:left="3600" w:hanging="720"/>
      </w:pPr>
    </w:lvl>
    <w:lvl w:ilvl="5">
      <w:start w:val="1"/>
      <w:numFmt w:val="decimal"/>
      <w:pStyle w:val="Heading6"/>
      <w:lvlText w:val="%6."/>
      <w:lvlJc w:val="left"/>
      <w:pPr>
        <w:tabs>
          <w:tab w:val="num" w:pos="4320"/>
        </w:tabs>
        <w:ind w:left="4320" w:hanging="720"/>
      </w:pPr>
    </w:lvl>
    <w:lvl w:ilvl="6">
      <w:start w:val="1"/>
      <w:numFmt w:val="decimal"/>
      <w:pStyle w:val="Heading7"/>
      <w:lvlText w:val="%7."/>
      <w:lvlJc w:val="left"/>
      <w:pPr>
        <w:tabs>
          <w:tab w:val="num" w:pos="5040"/>
        </w:tabs>
        <w:ind w:left="5040" w:hanging="720"/>
      </w:pPr>
    </w:lvl>
    <w:lvl w:ilvl="7">
      <w:start w:val="1"/>
      <w:numFmt w:val="decimal"/>
      <w:pStyle w:val="Heading8"/>
      <w:lvlText w:val="%8."/>
      <w:lvlJc w:val="left"/>
      <w:pPr>
        <w:tabs>
          <w:tab w:val="num" w:pos="5760"/>
        </w:tabs>
        <w:ind w:left="5760" w:hanging="720"/>
      </w:pPr>
    </w:lvl>
    <w:lvl w:ilvl="8">
      <w:start w:val="1"/>
      <w:numFmt w:val="decimal"/>
      <w:pStyle w:val="Heading9"/>
      <w:lvlText w:val="%9."/>
      <w:lvlJc w:val="left"/>
      <w:pPr>
        <w:tabs>
          <w:tab w:val="num" w:pos="6480"/>
        </w:tabs>
        <w:ind w:left="6480" w:hanging="720"/>
      </w:pPr>
    </w:lvl>
  </w:abstractNum>
  <w:abstractNum w:abstractNumId="3" w15:restartNumberingAfterBreak="0">
    <w:nsid w:val="50DA0647"/>
    <w:multiLevelType w:val="multilevel"/>
    <w:tmpl w:val="020288F4"/>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16cid:durableId="635836926">
    <w:abstractNumId w:val="1"/>
  </w:num>
  <w:num w:numId="2" w16cid:durableId="1575628553">
    <w:abstractNumId w:val="0"/>
  </w:num>
  <w:num w:numId="3" w16cid:durableId="1141506249">
    <w:abstractNumId w:val="3"/>
  </w:num>
  <w:num w:numId="4" w16cid:durableId="79818104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1"/>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C55F8"/>
    <w:rsid w:val="00063C50"/>
    <w:rsid w:val="005C55F8"/>
    <w:rsid w:val="0075781D"/>
    <w:rsid w:val="008A7604"/>
    <w:rsid w:val="00C41F58"/>
    <w:rsid w:val="00EE76D9"/>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7E96DD"/>
  <w15:docId w15:val="{F3A8CB8D-FF6C-3D45-AE47-54FD5ADE75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2"/>
        <w:szCs w:val="22"/>
        <w:lang w:val="en-GB" w:eastAsia="en-GB" w:bidi="ar-SA"/>
      </w:rPr>
    </w:rPrDefault>
    <w:pPrDefault>
      <w:pPr>
        <w:spacing w:before="160"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pPr>
      <w:keepNext/>
      <w:keepLines/>
      <w:numPr>
        <w:numId w:val="4"/>
      </w:numPr>
      <w:pBdr>
        <w:bottom w:val="single" w:sz="8" w:space="1" w:color="543192"/>
      </w:pBdr>
      <w:spacing w:before="240" w:after="360"/>
      <w:ind w:left="0" w:firstLine="0"/>
      <w:outlineLvl w:val="0"/>
    </w:pPr>
    <w:rPr>
      <w:rFonts w:ascii="Roboto" w:eastAsiaTheme="majorEastAsia" w:hAnsi="Roboto" w:cstheme="majorBidi"/>
      <w:b/>
      <w:bCs/>
      <w:color w:val="543192"/>
      <w:sz w:val="48"/>
      <w:szCs w:val="48"/>
      <w:shd w:val="clear" w:color="auto" w:fill="FFFFFF"/>
    </w:rPr>
  </w:style>
  <w:style w:type="paragraph" w:styleId="Heading2">
    <w:name w:val="heading 2"/>
    <w:basedOn w:val="Normal"/>
    <w:next w:val="Normal"/>
    <w:link w:val="Heading2Char"/>
    <w:uiPriority w:val="9"/>
    <w:unhideWhenUsed/>
    <w:qFormat/>
    <w:pPr>
      <w:keepNext/>
      <w:keepLines/>
      <w:numPr>
        <w:ilvl w:val="1"/>
        <w:numId w:val="4"/>
      </w:numPr>
      <w:spacing w:before="80" w:after="80"/>
      <w:ind w:left="709" w:hanging="709"/>
      <w:outlineLvl w:val="1"/>
    </w:pPr>
    <w:rPr>
      <w:rFonts w:ascii="Roboto" w:eastAsiaTheme="majorEastAsia" w:hAnsi="Roboto" w:cstheme="majorBidi"/>
      <w:b/>
      <w:bCs/>
      <w:color w:val="555656"/>
      <w:sz w:val="36"/>
      <w:szCs w:val="36"/>
    </w:rPr>
  </w:style>
  <w:style w:type="paragraph" w:styleId="Heading3">
    <w:name w:val="heading 3"/>
    <w:basedOn w:val="Normal"/>
    <w:next w:val="Normal"/>
    <w:link w:val="Heading3Char"/>
    <w:uiPriority w:val="9"/>
    <w:semiHidden/>
    <w:unhideWhenUsed/>
    <w:qFormat/>
    <w:pPr>
      <w:keepNext/>
      <w:keepLines/>
      <w:numPr>
        <w:ilvl w:val="2"/>
        <w:numId w:val="4"/>
      </w:numPr>
      <w:spacing w:before="80" w:after="80"/>
      <w:ind w:left="709" w:hanging="709"/>
      <w:outlineLvl w:val="2"/>
    </w:pPr>
    <w:rPr>
      <w:rFonts w:ascii="Roboto" w:eastAsiaTheme="majorEastAsia" w:hAnsi="Roboto" w:cstheme="majorBidi"/>
      <w:b/>
      <w:bCs/>
      <w:color w:val="949494"/>
      <w:sz w:val="28"/>
      <w:szCs w:val="28"/>
    </w:rPr>
  </w:style>
  <w:style w:type="paragraph" w:styleId="Heading4">
    <w:name w:val="heading 4"/>
    <w:basedOn w:val="Normal"/>
    <w:next w:val="Normal"/>
    <w:link w:val="Heading4Char"/>
    <w:uiPriority w:val="9"/>
    <w:semiHidden/>
    <w:unhideWhenUsed/>
    <w:qFormat/>
    <w:pPr>
      <w:keepNext/>
      <w:keepLines/>
      <w:numPr>
        <w:ilvl w:val="3"/>
        <w:numId w:val="4"/>
      </w:numPr>
      <w:spacing w:before="40" w:after="0"/>
      <w:outlineLvl w:val="3"/>
    </w:pPr>
    <w:rPr>
      <w:rFonts w:asciiTheme="majorHAnsi" w:eastAsiaTheme="majorEastAsia" w:hAnsiTheme="majorHAnsi" w:cstheme="majorBidi"/>
      <w:i/>
      <w:iCs/>
      <w:color w:val="2E74B5" w:themeColor="accent1" w:themeShade="BF"/>
    </w:rPr>
  </w:style>
  <w:style w:type="paragraph" w:styleId="Heading5">
    <w:name w:val="heading 5"/>
    <w:basedOn w:val="Normal"/>
    <w:next w:val="Normal"/>
    <w:link w:val="Heading5Char"/>
    <w:uiPriority w:val="9"/>
    <w:semiHidden/>
    <w:unhideWhenUsed/>
    <w:qFormat/>
    <w:pPr>
      <w:keepNext/>
      <w:keepLines/>
      <w:numPr>
        <w:ilvl w:val="4"/>
        <w:numId w:val="4"/>
      </w:numPr>
      <w:spacing w:before="40" w:after="0"/>
      <w:outlineLvl w:val="4"/>
    </w:pPr>
    <w:rPr>
      <w:rFonts w:asciiTheme="majorHAnsi" w:eastAsiaTheme="majorEastAsia" w:hAnsiTheme="majorHAnsi" w:cstheme="majorBidi"/>
      <w:color w:val="2E74B5" w:themeColor="accent1" w:themeShade="BF"/>
    </w:rPr>
  </w:style>
  <w:style w:type="paragraph" w:styleId="Heading6">
    <w:name w:val="heading 6"/>
    <w:basedOn w:val="Normal"/>
    <w:next w:val="Normal"/>
    <w:link w:val="Heading6Char"/>
    <w:uiPriority w:val="9"/>
    <w:semiHidden/>
    <w:unhideWhenUsed/>
    <w:qFormat/>
    <w:pPr>
      <w:keepNext/>
      <w:keepLines/>
      <w:numPr>
        <w:ilvl w:val="5"/>
        <w:numId w:val="4"/>
      </w:numPr>
      <w:spacing w:before="40" w:after="0"/>
      <w:outlineLvl w:val="5"/>
    </w:pPr>
    <w:rPr>
      <w:rFonts w:asciiTheme="majorHAnsi" w:eastAsiaTheme="majorEastAsia" w:hAnsiTheme="majorHAnsi" w:cstheme="majorBidi"/>
      <w:color w:val="1F4D78" w:themeColor="accent1" w:themeShade="7F"/>
    </w:rPr>
  </w:style>
  <w:style w:type="paragraph" w:styleId="Heading7">
    <w:name w:val="heading 7"/>
    <w:basedOn w:val="Normal"/>
    <w:next w:val="Normal"/>
    <w:link w:val="Heading7Char"/>
    <w:uiPriority w:val="9"/>
    <w:semiHidden/>
    <w:unhideWhenUsed/>
    <w:qFormat/>
    <w:pPr>
      <w:keepNext/>
      <w:keepLines/>
      <w:numPr>
        <w:ilvl w:val="6"/>
        <w:numId w:val="4"/>
      </w:numPr>
      <w:spacing w:before="40" w:after="0"/>
      <w:outlineLvl w:val="6"/>
    </w:pPr>
    <w:rPr>
      <w:rFonts w:asciiTheme="majorHAnsi" w:eastAsiaTheme="majorEastAsia" w:hAnsiTheme="majorHAnsi" w:cstheme="majorBidi"/>
      <w:i/>
      <w:iCs/>
      <w:color w:val="1F4D78" w:themeColor="accent1" w:themeShade="7F"/>
    </w:rPr>
  </w:style>
  <w:style w:type="paragraph" w:styleId="Heading8">
    <w:name w:val="heading 8"/>
    <w:basedOn w:val="Normal"/>
    <w:next w:val="Normal"/>
    <w:link w:val="Heading8Char"/>
    <w:uiPriority w:val="9"/>
    <w:semiHidden/>
    <w:unhideWhenUsed/>
    <w:qFormat/>
    <w:pPr>
      <w:keepNext/>
      <w:keepLines/>
      <w:numPr>
        <w:ilvl w:val="7"/>
        <w:numId w:val="4"/>
      </w:numPr>
      <w:spacing w:before="40" w:after="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pPr>
      <w:keepNext/>
      <w:keepLines/>
      <w:numPr>
        <w:ilvl w:val="8"/>
        <w:numId w:val="4"/>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Light">
    <w:name w:val="Grid Table Light"/>
    <w:basedOn w:val="TableNormal"/>
    <w:uiPriority w:val="59"/>
    <w:pPr>
      <w:spacing w:after="0" w:line="240" w:lineRule="auto"/>
    </w:pPr>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style>
  <w:style w:type="table" w:styleId="GridTable1Light-Accent1">
    <w:name w:val="Grid Table 1 Light Accent 1"/>
    <w:basedOn w:val="TableNormal"/>
    <w:uiPriority w:val="99"/>
    <w:pPr>
      <w:spacing w:after="0" w:line="240" w:lineRule="auto"/>
    </w:pPr>
    <w:tblPr>
      <w:tblStyleRowBandSize w:val="1"/>
      <w:tblStyleColBandSize w:val="1"/>
      <w:tbl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insideH w:val="single" w:sz="4" w:space="0" w:color="BCD6EE" w:themeColor="accent1" w:themeTint="67"/>
        <w:insideV w:val="single" w:sz="4" w:space="0" w:color="BCD6EE" w:themeColor="accent1" w:themeTint="67"/>
      </w:tblBorders>
    </w:tblPr>
    <w:tblStylePr w:type="firstRow">
      <w:rPr>
        <w:b/>
        <w:color w:val="404040"/>
      </w:rPr>
      <w:tblPr/>
      <w:tcPr>
        <w:tcBorders>
          <w:bottom w:val="single" w:sz="12" w:space="0" w:color="9EC4E6" w:themeColor="accen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tcBorders>
      </w:tcPr>
    </w:tblStylePr>
  </w:style>
  <w:style w:type="table" w:styleId="GridTable1Light-Accent3">
    <w:name w:val="Grid Table 1 Light Accent 3"/>
    <w:basedOn w:val="TableNormal"/>
    <w:uiPriority w:val="99"/>
    <w:pPr>
      <w:spacing w:after="0" w:line="240" w:lineRule="auto"/>
    </w:pPr>
    <w:tblPr>
      <w:tblStyleRowBandSize w:val="1"/>
      <w:tblStyleColBandSize w:val="1"/>
      <w:tbl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insideH w:val="single" w:sz="4" w:space="0" w:color="DADADA" w:themeColor="accent3" w:themeTint="67"/>
        <w:insideV w:val="single" w:sz="4" w:space="0" w:color="DADADA" w:themeColor="accent3" w:themeTint="67"/>
      </w:tblBorders>
    </w:tblPr>
    <w:tblStylePr w:type="firstRow">
      <w:rPr>
        <w:b/>
        <w:color w:val="404040"/>
      </w:rPr>
      <w:tblPr/>
      <w:tcPr>
        <w:tcBorders>
          <w:bottom w:val="single" w:sz="12" w:space="0" w:color="CACACA" w:themeColor="accent3"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tcBorders>
      </w:tcPr>
    </w:tblStylePr>
  </w:style>
  <w:style w:type="table" w:styleId="GridTable1Light-Accent4">
    <w:name w:val="Grid Table 1 Light Accent 4"/>
    <w:basedOn w:val="TableNormal"/>
    <w:uiPriority w:val="99"/>
    <w:pPr>
      <w:spacing w:after="0" w:line="240" w:lineRule="auto"/>
    </w:pPr>
    <w:tblPr>
      <w:tblStyleRowBandSize w:val="1"/>
      <w:tblStyleColBandSize w:val="1"/>
      <w:tbl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insideH w:val="single" w:sz="4" w:space="0" w:color="FFE598" w:themeColor="accent4" w:themeTint="67"/>
        <w:insideV w:val="single" w:sz="4" w:space="0" w:color="FFE598" w:themeColor="accent4" w:themeTint="67"/>
      </w:tblBorders>
    </w:tblPr>
    <w:tblStylePr w:type="firstRow">
      <w:rPr>
        <w:b/>
        <w:color w:val="404040"/>
      </w:rPr>
      <w:tblPr/>
      <w:tcPr>
        <w:tcBorders>
          <w:bottom w:val="single" w:sz="12" w:space="0" w:color="FFDA6A" w:themeColor="accent4"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tcBorders>
      </w:tcPr>
    </w:tblStylePr>
  </w:style>
  <w:style w:type="table" w:styleId="GridTable1Light-Accent5">
    <w:name w:val="Grid Table 1 Light Accent 5"/>
    <w:basedOn w:val="TableNormal"/>
    <w:uiPriority w:val="99"/>
    <w:pPr>
      <w:spacing w:after="0" w:line="240" w:lineRule="auto"/>
    </w:pPr>
    <w:tblPr>
      <w:tblStyleRowBandSize w:val="1"/>
      <w:tblStyleColBandSize w:val="1"/>
      <w:tbl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insideH w:val="single" w:sz="4" w:space="0" w:color="B3C5E7" w:themeColor="accent5" w:themeTint="67"/>
        <w:insideV w:val="single" w:sz="4" w:space="0" w:color="B3C5E7" w:themeColor="accent5" w:themeTint="67"/>
      </w:tblBorders>
    </w:tblPr>
    <w:tblStylePr w:type="firstRow">
      <w:rPr>
        <w:b/>
        <w:color w:val="404040"/>
      </w:rPr>
      <w:tblPr/>
      <w:tcPr>
        <w:tcBorders>
          <w:bottom w:val="single" w:sz="12" w:space="0" w:color="91ACDC" w:themeColor="accent5"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tcBorders>
      </w:tcPr>
    </w:tblStylePr>
  </w:style>
  <w:style w:type="table" w:styleId="GridTable1Light-Accent6">
    <w:name w:val="Grid Table 1 Light Accent 6"/>
    <w:basedOn w:val="TableNormal"/>
    <w:uiPriority w:val="99"/>
    <w:pPr>
      <w:spacing w:after="0" w:line="240" w:lineRule="auto"/>
    </w:pPr>
    <w:tblPr>
      <w:tblStyleRowBandSize w:val="1"/>
      <w:tblStyleColBandSize w:val="1"/>
      <w:tbl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insideH w:val="single" w:sz="4" w:space="0" w:color="C4DFB2" w:themeColor="accent6" w:themeTint="67"/>
        <w:insideV w:val="single" w:sz="4" w:space="0" w:color="C4DFB2" w:themeColor="accent6" w:themeTint="67"/>
      </w:tblBorders>
    </w:tblPr>
    <w:tblStylePr w:type="firstRow">
      <w:rPr>
        <w:b/>
        <w:color w:val="404040"/>
      </w:rPr>
      <w:tblPr/>
      <w:tcPr>
        <w:tcBorders>
          <w:bottom w:val="single" w:sz="12" w:space="0" w:color="AAD190" w:themeColor="accent6"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tcBorders>
      </w:tcPr>
    </w:tblStylePr>
  </w:style>
  <w:style w:type="table" w:styleId="GridTable2-Accent1">
    <w:name w:val="Grid Table 2 Accent 1"/>
    <w:basedOn w:val="TableNormal"/>
    <w:uiPriority w:val="99"/>
    <w:pPr>
      <w:spacing w:after="0" w:line="240" w:lineRule="auto"/>
    </w:pPr>
    <w:tblPr>
      <w:tblStyleRowBandSize w:val="1"/>
      <w:tblStyleColBandSize w:val="1"/>
      <w:tblBorders>
        <w:bottom w:val="single" w:sz="4" w:space="0" w:color="68A2D8" w:themeColor="accent1" w:themeTint="EA"/>
        <w:insideH w:val="single" w:sz="4" w:space="0" w:color="68A2D8" w:themeColor="accent1" w:themeTint="EA"/>
        <w:insideV w:val="single" w:sz="4" w:space="0" w:color="68A2D8" w:themeColor="accent1" w:themeTint="EA"/>
      </w:tblBorders>
    </w:tblPr>
    <w:tblStylePr w:type="firstRow">
      <w:rPr>
        <w:b/>
        <w:color w:val="404040"/>
      </w:rPr>
      <w:tblPr/>
      <w:tcPr>
        <w:tcBorders>
          <w:top w:val="none" w:sz="4" w:space="0" w:color="000000"/>
          <w:left w:val="none" w:sz="4" w:space="0" w:color="000000"/>
          <w:bottom w:val="single" w:sz="12" w:space="0" w:color="68A2D8" w:themeColor="accent1" w:themeTint="EA"/>
          <w:right w:val="none" w:sz="4" w:space="0" w:color="000000"/>
        </w:tcBorders>
        <w:shd w:val="clear" w:color="FFFFFF" w:fill="auto"/>
      </w:tcPr>
    </w:tblStylePr>
    <w:tblStylePr w:type="lastRow">
      <w:rPr>
        <w:b/>
        <w:color w:val="404040"/>
      </w:rPr>
      <w:tblPr/>
      <w:tcPr>
        <w:tcBorders>
          <w:top w:val="single" w:sz="4" w:space="0" w:color="68A2D8" w:themeColor="accent1" w:themeTint="E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DEAF6" w:themeColor="accent1" w:themeTint="34" w:fill="DDEAF6" w:themeFill="accent1" w:themeFillTint="34"/>
      </w:tcPr>
    </w:tblStylePr>
    <w:tblStylePr w:type="band1Horz">
      <w:rPr>
        <w:rFonts w:ascii="Arial" w:hAnsi="Arial"/>
        <w:color w:val="404040"/>
        <w:sz w:val="22"/>
      </w:rPr>
      <w:tblPr/>
      <w:tcPr>
        <w:shd w:val="clear" w:color="DDEAF6" w:themeColor="accent1" w:themeTint="34" w:fill="DDEAF6" w:themeFill="accent1" w:themeFillTint="34"/>
      </w:tcPr>
    </w:tblStylePr>
  </w:style>
  <w:style w:type="table" w:styleId="GridTable2-Accent2">
    <w:name w:val="Grid Table 2 Accent 2"/>
    <w:basedOn w:val="TableNormal"/>
    <w:uiPriority w:val="99"/>
    <w:pPr>
      <w:spacing w:after="0" w:line="240" w:lineRule="auto"/>
    </w:pPr>
    <w:tblPr>
      <w:tblStyleRowBandSize w:val="1"/>
      <w:tblStyleColBandSize w:val="1"/>
      <w:tblBorders>
        <w:bottom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404040"/>
      </w:rPr>
      <w:tblPr/>
      <w:tcPr>
        <w:tcBorders>
          <w:top w:val="none" w:sz="4" w:space="0" w:color="000000"/>
          <w:left w:val="none" w:sz="4" w:space="0" w:color="000000"/>
          <w:bottom w:val="single" w:sz="12" w:space="0" w:color="F4B184" w:themeColor="accent2" w:themeTint="97"/>
          <w:right w:val="none" w:sz="4" w:space="0" w:color="000000"/>
        </w:tcBorders>
        <w:shd w:val="clear" w:color="FFFFFF" w:fill="auto"/>
      </w:tcPr>
    </w:tblStylePr>
    <w:tblStylePr w:type="lastRow">
      <w:rPr>
        <w:b/>
        <w:color w:val="404040"/>
      </w:rPr>
      <w:tblPr/>
      <w:tcPr>
        <w:tcBorders>
          <w:top w:val="single" w:sz="4" w:space="0" w:color="F4B184" w:themeColor="accent2" w:themeTint="97"/>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styleId="GridTable2-Accent3">
    <w:name w:val="Grid Table 2 Accent 3"/>
    <w:basedOn w:val="TableNormal"/>
    <w:uiPriority w:val="99"/>
    <w:pPr>
      <w:spacing w:after="0" w:line="240" w:lineRule="auto"/>
    </w:pPr>
    <w:tblPr>
      <w:tblStyleRowBandSize w:val="1"/>
      <w:tblStyleColBandSize w:val="1"/>
      <w:tblBorders>
        <w:bottom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404040"/>
      </w:rPr>
      <w:tblPr/>
      <w:tcPr>
        <w:tcBorders>
          <w:top w:val="none" w:sz="4" w:space="0" w:color="000000"/>
          <w:left w:val="none" w:sz="4" w:space="0" w:color="000000"/>
          <w:bottom w:val="single" w:sz="12" w:space="0" w:color="A5A5A5" w:themeColor="accent3" w:themeTint="FE"/>
          <w:right w:val="none" w:sz="4" w:space="0" w:color="000000"/>
        </w:tcBorders>
        <w:shd w:val="clear" w:color="FFFFFF" w:fill="auto"/>
      </w:tcPr>
    </w:tblStylePr>
    <w:tblStylePr w:type="lastRow">
      <w:rPr>
        <w:b/>
        <w:color w:val="404040"/>
      </w:rPr>
      <w:tblPr/>
      <w:tcPr>
        <w:tcBorders>
          <w:top w:val="single" w:sz="4" w:space="0" w:color="A5A5A5" w:themeColor="accent3" w:themeTint="FE"/>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styleId="GridTable2-Accent4">
    <w:name w:val="Grid Table 2 Accent 4"/>
    <w:basedOn w:val="TableNormal"/>
    <w:uiPriority w:val="99"/>
    <w:pPr>
      <w:spacing w:after="0" w:line="240" w:lineRule="auto"/>
    </w:pPr>
    <w:tblPr>
      <w:tblStyleRowBandSize w:val="1"/>
      <w:tblStyleColBandSize w:val="1"/>
      <w:tblBorders>
        <w:bottom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404040"/>
      </w:rPr>
      <w:tblPr/>
      <w:tcPr>
        <w:tcBorders>
          <w:top w:val="none" w:sz="4" w:space="0" w:color="000000"/>
          <w:left w:val="none" w:sz="4" w:space="0" w:color="000000"/>
          <w:bottom w:val="single" w:sz="12" w:space="0" w:color="FFD865" w:themeColor="accent4" w:themeTint="9A"/>
          <w:right w:val="none" w:sz="4" w:space="0" w:color="000000"/>
        </w:tcBorders>
        <w:shd w:val="clear" w:color="FFFFFF" w:fill="auto"/>
      </w:tcPr>
    </w:tblStylePr>
    <w:tblStylePr w:type="lastRow">
      <w:rPr>
        <w:b/>
        <w:color w:val="404040"/>
      </w:rPr>
      <w:tblPr/>
      <w:tcPr>
        <w:tcBorders>
          <w:top w:val="single" w:sz="4" w:space="0" w:color="FFD865" w:themeColor="accent4" w:themeTint="9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styleId="GridTable2-Accent5">
    <w:name w:val="Grid Table 2 Accent 5"/>
    <w:basedOn w:val="TableNormal"/>
    <w:uiPriority w:val="99"/>
    <w:pPr>
      <w:spacing w:after="0" w:line="240" w:lineRule="auto"/>
    </w:pPr>
    <w:tblPr>
      <w:tblStyleRowBandSize w:val="1"/>
      <w:tblStyleColBandSize w:val="1"/>
      <w:tblBorders>
        <w:bottom w:val="single" w:sz="4" w:space="0" w:color="4472C4" w:themeColor="accent5"/>
        <w:insideH w:val="single" w:sz="4" w:space="0" w:color="4472C4" w:themeColor="accent5"/>
        <w:insideV w:val="single" w:sz="4" w:space="0" w:color="4472C4" w:themeColor="accent5"/>
      </w:tblBorders>
    </w:tblPr>
    <w:tblStylePr w:type="firstRow">
      <w:rPr>
        <w:b/>
        <w:color w:val="404040"/>
      </w:rPr>
      <w:tblPr/>
      <w:tcPr>
        <w:tcBorders>
          <w:top w:val="none" w:sz="4" w:space="0" w:color="000000"/>
          <w:left w:val="none" w:sz="4" w:space="0" w:color="000000"/>
          <w:bottom w:val="single" w:sz="12" w:space="0" w:color="4472C4" w:themeColor="accent5"/>
          <w:right w:val="none" w:sz="4" w:space="0" w:color="000000"/>
        </w:tcBorders>
        <w:shd w:val="clear" w:color="FFFFFF" w:fill="auto"/>
      </w:tcPr>
    </w:tblStylePr>
    <w:tblStylePr w:type="lastRow">
      <w:rPr>
        <w:b/>
        <w:color w:val="404040"/>
      </w:rPr>
      <w:tblPr/>
      <w:tcPr>
        <w:tcBorders>
          <w:top w:val="single" w:sz="4" w:space="0" w:color="4472C4" w:themeColor="accent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Pr/>
      <w:tcPr>
        <w:shd w:val="clear" w:color="D8E2F3" w:themeColor="accent5" w:themeTint="34" w:fill="D8E2F3" w:themeFill="accent5" w:themeFillTint="34"/>
      </w:tcPr>
    </w:tblStylePr>
  </w:style>
  <w:style w:type="table" w:styleId="GridTable2-Accent6">
    <w:name w:val="Grid Table 2 Accent 6"/>
    <w:basedOn w:val="TableNormal"/>
    <w:uiPriority w:val="99"/>
    <w:pPr>
      <w:spacing w:after="0" w:line="240" w:lineRule="auto"/>
    </w:pPr>
    <w:tblPr>
      <w:tblStyleRowBandSize w:val="1"/>
      <w:tblStyleColBandSize w:val="1"/>
      <w:tblBorders>
        <w:bottom w:val="single" w:sz="4" w:space="0" w:color="70AD47" w:themeColor="accent6"/>
        <w:insideH w:val="single" w:sz="4" w:space="0" w:color="70AD47" w:themeColor="accent6"/>
        <w:insideV w:val="single" w:sz="4" w:space="0" w:color="70AD47" w:themeColor="accent6"/>
      </w:tblBorders>
    </w:tblPr>
    <w:tblStylePr w:type="firstRow">
      <w:rPr>
        <w:b/>
        <w:color w:val="404040"/>
      </w:rPr>
      <w:tblPr/>
      <w:tcPr>
        <w:tcBorders>
          <w:top w:val="none" w:sz="4" w:space="0" w:color="000000"/>
          <w:left w:val="none" w:sz="4" w:space="0" w:color="000000"/>
          <w:bottom w:val="single" w:sz="12" w:space="0" w:color="70AD47" w:themeColor="accent6"/>
          <w:right w:val="none" w:sz="4" w:space="0" w:color="000000"/>
        </w:tcBorders>
        <w:shd w:val="clear" w:color="FFFFFF" w:fill="auto"/>
      </w:tcPr>
    </w:tblStylePr>
    <w:tblStylePr w:type="lastRow">
      <w:rPr>
        <w:b/>
        <w:color w:val="404040"/>
      </w:rPr>
      <w:tblPr/>
      <w:tcPr>
        <w:tcBorders>
          <w:top w:val="single" w:sz="4" w:space="0" w:color="70AD47" w:themeColor="accent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styleId="GridTable3-Accent1">
    <w:name w:val="Grid Table 3 Accent 1"/>
    <w:basedOn w:val="TableNormal"/>
    <w:uiPriority w:val="99"/>
    <w:pPr>
      <w:spacing w:after="0" w:line="240" w:lineRule="auto"/>
    </w:pPr>
    <w:tblPr>
      <w:tblStyleRowBandSize w:val="1"/>
      <w:tblStyleColBandSize w:val="1"/>
      <w:tblBorders>
        <w:bottom w:val="single" w:sz="4" w:space="0" w:color="68A2D8" w:themeColor="accent1" w:themeTint="EA"/>
        <w:insideH w:val="single" w:sz="4" w:space="0" w:color="68A2D8" w:themeColor="accent1" w:themeTint="EA"/>
        <w:insideV w:val="single" w:sz="4" w:space="0" w:color="68A2D8" w:themeColor="accent1" w:themeTint="E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DEAF6" w:themeColor="accent1" w:themeTint="34" w:fill="DDEAF6" w:themeFill="accent1" w:themeFillTint="34"/>
      </w:tcPr>
    </w:tblStylePr>
    <w:tblStylePr w:type="band1Horz">
      <w:rPr>
        <w:rFonts w:ascii="Arial" w:hAnsi="Arial"/>
        <w:color w:val="404040"/>
        <w:sz w:val="22"/>
      </w:rPr>
      <w:tblPr/>
      <w:tcPr>
        <w:shd w:val="clear" w:color="DDEAF6" w:themeColor="accent1" w:themeTint="34" w:fill="DDEAF6" w:themeFill="accent1" w:themeFillTint="34"/>
      </w:tcPr>
    </w:tblStylePr>
  </w:style>
  <w:style w:type="table" w:styleId="GridTable3-Accent2">
    <w:name w:val="Grid Table 3 Accent 2"/>
    <w:basedOn w:val="TableNormal"/>
    <w:uiPriority w:val="99"/>
    <w:pPr>
      <w:spacing w:after="0" w:line="240" w:lineRule="auto"/>
    </w:pPr>
    <w:tblPr>
      <w:tblStyleRowBandSize w:val="1"/>
      <w:tblStyleColBandSize w:val="1"/>
      <w:tblBorders>
        <w:bottom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styleId="GridTable3-Accent3">
    <w:name w:val="Grid Table 3 Accent 3"/>
    <w:basedOn w:val="TableNormal"/>
    <w:uiPriority w:val="99"/>
    <w:pPr>
      <w:spacing w:after="0" w:line="240" w:lineRule="auto"/>
    </w:pPr>
    <w:tblPr>
      <w:tblStyleRowBandSize w:val="1"/>
      <w:tblStyleColBandSize w:val="1"/>
      <w:tblBorders>
        <w:bottom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styleId="GridTable3-Accent4">
    <w:name w:val="Grid Table 3 Accent 4"/>
    <w:basedOn w:val="TableNormal"/>
    <w:uiPriority w:val="99"/>
    <w:pPr>
      <w:spacing w:after="0" w:line="240" w:lineRule="auto"/>
    </w:pPr>
    <w:tblPr>
      <w:tblStyleRowBandSize w:val="1"/>
      <w:tblStyleColBandSize w:val="1"/>
      <w:tblBorders>
        <w:bottom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styleId="GridTable3-Accent5">
    <w:name w:val="Grid Table 3 Accent 5"/>
    <w:basedOn w:val="TableNormal"/>
    <w:uiPriority w:val="99"/>
    <w:pPr>
      <w:spacing w:after="0" w:line="240" w:lineRule="auto"/>
    </w:pPr>
    <w:tblPr>
      <w:tblStyleRowBandSize w:val="1"/>
      <w:tblStyleColBandSize w:val="1"/>
      <w:tblBorders>
        <w:bottom w:val="single" w:sz="4" w:space="0" w:color="4472C4" w:themeColor="accent5"/>
        <w:insideH w:val="single" w:sz="4" w:space="0" w:color="4472C4" w:themeColor="accent5"/>
        <w:insideV w:val="single" w:sz="4" w:space="0" w:color="4472C4" w:themeColor="accent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Pr/>
      <w:tcPr>
        <w:shd w:val="clear" w:color="D8E2F3" w:themeColor="accent5" w:themeTint="34" w:fill="D8E2F3" w:themeFill="accent5" w:themeFillTint="34"/>
      </w:tcPr>
    </w:tblStylePr>
  </w:style>
  <w:style w:type="table" w:styleId="GridTable3-Accent6">
    <w:name w:val="Grid Table 3 Accent 6"/>
    <w:basedOn w:val="TableNormal"/>
    <w:uiPriority w:val="99"/>
    <w:pPr>
      <w:spacing w:after="0" w:line="240" w:lineRule="auto"/>
    </w:pPr>
    <w:tblPr>
      <w:tblStyleRowBandSize w:val="1"/>
      <w:tblStyleColBandSize w:val="1"/>
      <w:tblBorders>
        <w:bottom w:val="single" w:sz="4" w:space="0" w:color="70AD47" w:themeColor="accent6"/>
        <w:insideH w:val="single" w:sz="4" w:space="0" w:color="70AD47" w:themeColor="accent6"/>
        <w:insideV w:val="single" w:sz="4" w:space="0" w:color="70AD47" w:themeColor="accent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styleId="GridTable4-Accent1">
    <w:name w:val="Grid Table 4 Accent 1"/>
    <w:basedOn w:val="TableNormal"/>
    <w:uiPriority w:val="59"/>
    <w:pPr>
      <w:spacing w:after="0" w:line="240" w:lineRule="auto"/>
    </w:pPr>
    <w:tblPr>
      <w:tblStyleRowBandSize w:val="1"/>
      <w:tblStyleColBandSize w:val="1"/>
      <w:tblBorders>
        <w:top w:val="single" w:sz="4" w:space="0" w:color="A2C6E7" w:themeColor="accent1" w:themeTint="90"/>
        <w:left w:val="single" w:sz="4" w:space="0" w:color="A2C6E7" w:themeColor="accent1" w:themeTint="90"/>
        <w:bottom w:val="single" w:sz="4" w:space="0" w:color="A2C6E7" w:themeColor="accent1" w:themeTint="90"/>
        <w:right w:val="single" w:sz="4" w:space="0" w:color="A2C6E7" w:themeColor="accent1" w:themeTint="90"/>
        <w:insideH w:val="single" w:sz="4" w:space="0" w:color="A2C6E7" w:themeColor="accent1" w:themeTint="90"/>
        <w:insideV w:val="single" w:sz="4" w:space="0" w:color="A2C6E7" w:themeColor="accent1" w:themeTint="90"/>
      </w:tblBorders>
    </w:tblPr>
    <w:tblStylePr w:type="firstRow">
      <w:rPr>
        <w:rFonts w:ascii="Arial" w:hAnsi="Arial"/>
        <w:b/>
        <w:color w:val="FFFFFF"/>
        <w:sz w:val="22"/>
      </w:rPr>
      <w:tblPr/>
      <w:tcPr>
        <w:tcBorders>
          <w:top w:val="single" w:sz="4" w:space="0" w:color="68A2D8" w:themeColor="accent1" w:themeTint="EA"/>
          <w:left w:val="single" w:sz="4" w:space="0" w:color="68A2D8" w:themeColor="accent1" w:themeTint="EA"/>
          <w:bottom w:val="single" w:sz="4" w:space="0" w:color="68A2D8" w:themeColor="accent1" w:themeTint="EA"/>
          <w:right w:val="single" w:sz="4" w:space="0" w:color="68A2D8" w:themeColor="accent1" w:themeTint="EA"/>
        </w:tcBorders>
        <w:shd w:val="clear" w:color="68A2D8" w:themeColor="accent1" w:themeTint="EA" w:fill="68A2D8" w:themeFill="accent1" w:themeFillTint="EA"/>
      </w:tcPr>
    </w:tblStylePr>
    <w:tblStylePr w:type="lastRow">
      <w:rPr>
        <w:b/>
        <w:color w:val="404040"/>
      </w:rPr>
      <w:tblPr/>
      <w:tcPr>
        <w:tcBorders>
          <w:top w:val="single" w:sz="4" w:space="0" w:color="68A2D8" w:themeColor="accent1" w:themeTint="E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EEBF6" w:themeColor="accent1" w:themeTint="32" w:fill="DEEBF6" w:themeFill="accent1" w:themeFillTint="32"/>
      </w:tcPr>
    </w:tblStylePr>
    <w:tblStylePr w:type="band1Horz">
      <w:rPr>
        <w:rFonts w:ascii="Arial" w:hAnsi="Arial"/>
        <w:color w:val="404040"/>
        <w:sz w:val="22"/>
      </w:rPr>
      <w:tblPr/>
      <w:tcPr>
        <w:shd w:val="clear" w:color="DEEBF6" w:themeColor="accent1" w:themeTint="32" w:fill="DEEBF6" w:themeFill="accent1" w:themeFillTint="32"/>
      </w:tcPr>
    </w:tblStylePr>
  </w:style>
  <w:style w:type="table" w:styleId="GridTable4-Accent2">
    <w:name w:val="Grid Table 4 Accent 2"/>
    <w:basedOn w:val="TableNormal"/>
    <w:uiPriority w:val="59"/>
    <w:pPr>
      <w:spacing w:after="0" w:line="240" w:lineRule="auto"/>
    </w:pPr>
    <w:tblPr>
      <w:tblStyleRowBandSize w:val="1"/>
      <w:tblStyleColBandSize w:val="1"/>
      <w:tblBorders>
        <w:top w:val="single" w:sz="4" w:space="0" w:color="F4B58A" w:themeColor="accent2" w:themeTint="90"/>
        <w:left w:val="single" w:sz="4" w:space="0" w:color="F4B58A" w:themeColor="accent2" w:themeTint="90"/>
        <w:bottom w:val="single" w:sz="4" w:space="0" w:color="F4B58A" w:themeColor="accent2" w:themeTint="90"/>
        <w:right w:val="single" w:sz="4" w:space="0" w:color="F4B58A" w:themeColor="accent2" w:themeTint="90"/>
        <w:insideH w:val="single" w:sz="4" w:space="0" w:color="F4B58A" w:themeColor="accent2" w:themeTint="90"/>
        <w:insideV w:val="single" w:sz="4" w:space="0" w:color="F4B58A" w:themeColor="accent2" w:themeTint="90"/>
      </w:tblBorders>
    </w:tblPr>
    <w:tblStylePr w:type="firstRow">
      <w:rPr>
        <w:rFonts w:ascii="Arial" w:hAnsi="Arial"/>
        <w:b/>
        <w:color w:val="FFFFFF"/>
        <w:sz w:val="22"/>
      </w:rPr>
      <w:tblPr/>
      <w:tcPr>
        <w:tc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tcBorders>
        <w:shd w:val="clear" w:color="F4B184" w:themeColor="accent2" w:themeTint="97" w:fill="F4B184" w:themeFill="accent2" w:themeFillTint="97"/>
      </w:tcPr>
    </w:tblStylePr>
    <w:tblStylePr w:type="lastRow">
      <w:rPr>
        <w:b/>
        <w:color w:val="404040"/>
      </w:rPr>
      <w:tblPr/>
      <w:tcPr>
        <w:tcBorders>
          <w:top w:val="single" w:sz="4" w:space="0" w:color="F4B184" w:themeColor="accent2" w:themeTint="97"/>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styleId="GridTable4-Accent3">
    <w:name w:val="Grid Table 4 Accent 3"/>
    <w:basedOn w:val="TableNormal"/>
    <w:uiPriority w:val="59"/>
    <w:pPr>
      <w:spacing w:after="0" w:line="240" w:lineRule="auto"/>
    </w:pPr>
    <w:tblPr>
      <w:tblStyleRowBandSize w:val="1"/>
      <w:tblStyleColBandSize w:val="1"/>
      <w:tblBorders>
        <w:top w:val="single" w:sz="4" w:space="0" w:color="CCCCCC" w:themeColor="accent3" w:themeTint="90"/>
        <w:left w:val="single" w:sz="4" w:space="0" w:color="CCCCCC" w:themeColor="accent3" w:themeTint="90"/>
        <w:bottom w:val="single" w:sz="4" w:space="0" w:color="CCCCCC" w:themeColor="accent3" w:themeTint="90"/>
        <w:right w:val="single" w:sz="4" w:space="0" w:color="CCCCCC" w:themeColor="accent3" w:themeTint="90"/>
        <w:insideH w:val="single" w:sz="4" w:space="0" w:color="CCCCCC" w:themeColor="accent3" w:themeTint="90"/>
        <w:insideV w:val="single" w:sz="4" w:space="0" w:color="CCCCCC" w:themeColor="accent3" w:themeTint="90"/>
      </w:tblBorders>
    </w:tblPr>
    <w:tblStylePr w:type="firstRow">
      <w:rPr>
        <w:rFonts w:ascii="Arial" w:hAnsi="Arial"/>
        <w:b/>
        <w:color w:val="FFFFFF"/>
        <w:sz w:val="22"/>
      </w:rPr>
      <w:tblPr/>
      <w:tcPr>
        <w:tcBorders>
          <w:top w:val="single" w:sz="4" w:space="0" w:color="A5A5A5" w:themeColor="accent3" w:themeTint="FE"/>
          <w:left w:val="single" w:sz="4" w:space="0" w:color="A5A5A5" w:themeColor="accent3" w:themeTint="FE"/>
          <w:bottom w:val="single" w:sz="4" w:space="0" w:color="A5A5A5" w:themeColor="accent3" w:themeTint="FE"/>
          <w:right w:val="single" w:sz="4" w:space="0" w:color="A5A5A5" w:themeColor="accent3" w:themeTint="FE"/>
        </w:tcBorders>
        <w:shd w:val="clear" w:color="A5A5A5" w:themeColor="accent3" w:themeTint="FE" w:fill="A5A5A5" w:themeFill="accent3" w:themeFillTint="FE"/>
      </w:tcPr>
    </w:tblStylePr>
    <w:tblStylePr w:type="lastRow">
      <w:rPr>
        <w:b/>
        <w:color w:val="404040"/>
      </w:rPr>
      <w:tblPr/>
      <w:tcPr>
        <w:tcBorders>
          <w:top w:val="single" w:sz="4" w:space="0" w:color="A5A5A5" w:themeColor="accent3" w:themeTint="FE"/>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styleId="GridTable4-Accent4">
    <w:name w:val="Grid Table 4 Accent 4"/>
    <w:basedOn w:val="TableNormal"/>
    <w:uiPriority w:val="59"/>
    <w:pPr>
      <w:spacing w:after="0" w:line="240" w:lineRule="auto"/>
    </w:pPr>
    <w:tblPr>
      <w:tblStyleRowBandSize w:val="1"/>
      <w:tblStyleColBandSize w:val="1"/>
      <w:tblBorders>
        <w:top w:val="single" w:sz="4" w:space="0" w:color="FFDB6F" w:themeColor="accent4" w:themeTint="90"/>
        <w:left w:val="single" w:sz="4" w:space="0" w:color="FFDB6F" w:themeColor="accent4" w:themeTint="90"/>
        <w:bottom w:val="single" w:sz="4" w:space="0" w:color="FFDB6F" w:themeColor="accent4" w:themeTint="90"/>
        <w:right w:val="single" w:sz="4" w:space="0" w:color="FFDB6F" w:themeColor="accent4" w:themeTint="90"/>
        <w:insideH w:val="single" w:sz="4" w:space="0" w:color="FFDB6F" w:themeColor="accent4" w:themeTint="90"/>
        <w:insideV w:val="single" w:sz="4" w:space="0" w:color="FFDB6F" w:themeColor="accent4" w:themeTint="90"/>
      </w:tblBorders>
    </w:tblPr>
    <w:tblStylePr w:type="firstRow">
      <w:rPr>
        <w:rFonts w:ascii="Arial" w:hAnsi="Arial"/>
        <w:b/>
        <w:color w:val="FFFFFF"/>
        <w:sz w:val="22"/>
      </w:rPr>
      <w:tblPr/>
      <w:tcPr>
        <w:tc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tcBorders>
        <w:shd w:val="clear" w:color="FFD865" w:themeColor="accent4" w:themeTint="9A" w:fill="FFD865" w:themeFill="accent4" w:themeFillTint="9A"/>
      </w:tcPr>
    </w:tblStylePr>
    <w:tblStylePr w:type="lastRow">
      <w:rPr>
        <w:b/>
        <w:color w:val="404040"/>
      </w:rPr>
      <w:tblPr/>
      <w:tcPr>
        <w:tcBorders>
          <w:top w:val="single" w:sz="4" w:space="0" w:color="FFD865" w:themeColor="accent4" w:themeTint="9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styleId="GridTable4-Accent5">
    <w:name w:val="Grid Table 4 Accent 5"/>
    <w:basedOn w:val="TableNormal"/>
    <w:uiPriority w:val="59"/>
    <w:pPr>
      <w:spacing w:after="0" w:line="240" w:lineRule="auto"/>
    </w:pPr>
    <w:tblPr>
      <w:tblStyleRowBandSize w:val="1"/>
      <w:tblStyleColBandSize w:val="1"/>
      <w:tblBorders>
        <w:top w:val="single" w:sz="4" w:space="0" w:color="95AFDD" w:themeColor="accent5" w:themeTint="90"/>
        <w:left w:val="single" w:sz="4" w:space="0" w:color="95AFDD" w:themeColor="accent5" w:themeTint="90"/>
        <w:bottom w:val="single" w:sz="4" w:space="0" w:color="95AFDD" w:themeColor="accent5" w:themeTint="90"/>
        <w:right w:val="single" w:sz="4" w:space="0" w:color="95AFDD" w:themeColor="accent5" w:themeTint="90"/>
        <w:insideH w:val="single" w:sz="4" w:space="0" w:color="95AFDD" w:themeColor="accent5" w:themeTint="90"/>
        <w:insideV w:val="single" w:sz="4" w:space="0" w:color="95AFDD" w:themeColor="accent5" w:themeTint="90"/>
      </w:tblBorders>
    </w:tblPr>
    <w:tblStylePr w:type="firstRow">
      <w:rPr>
        <w:rFonts w:ascii="Arial" w:hAnsi="Arial"/>
        <w:b/>
        <w:color w:val="FFFFFF"/>
        <w:sz w:val="22"/>
      </w:rPr>
      <w:tblPr/>
      <w:tcPr>
        <w:tcBorders>
          <w:top w:val="single" w:sz="4" w:space="0" w:color="4472C4" w:themeColor="accent5"/>
          <w:left w:val="single" w:sz="4" w:space="0" w:color="4472C4" w:themeColor="accent5"/>
          <w:bottom w:val="single" w:sz="4" w:space="0" w:color="4472C4" w:themeColor="accent5"/>
          <w:right w:val="single" w:sz="4" w:space="0" w:color="4472C4" w:themeColor="accent5"/>
        </w:tcBorders>
        <w:shd w:val="clear" w:color="4472C4" w:themeColor="accent5" w:fill="4472C4" w:themeFill="accent5"/>
      </w:tcPr>
    </w:tblStylePr>
    <w:tblStylePr w:type="lastRow">
      <w:rPr>
        <w:b/>
        <w:color w:val="404040"/>
      </w:rPr>
      <w:tblPr/>
      <w:tcPr>
        <w:tcBorders>
          <w:top w:val="single" w:sz="4" w:space="0" w:color="4472C4" w:themeColor="accent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Pr/>
      <w:tcPr>
        <w:shd w:val="clear" w:color="D8E2F3" w:themeColor="accent5" w:themeTint="34" w:fill="D8E2F3" w:themeFill="accent5" w:themeFillTint="34"/>
      </w:tcPr>
    </w:tblStylePr>
  </w:style>
  <w:style w:type="table" w:styleId="GridTable4-Accent6">
    <w:name w:val="Grid Table 4 Accent 6"/>
    <w:basedOn w:val="TableNormal"/>
    <w:uiPriority w:val="59"/>
    <w:pPr>
      <w:spacing w:after="0" w:line="240" w:lineRule="auto"/>
    </w:pPr>
    <w:tblPr>
      <w:tblStyleRowBandSize w:val="1"/>
      <w:tblStyleColBandSize w:val="1"/>
      <w:tblBorders>
        <w:top w:val="single" w:sz="4" w:space="0" w:color="ADD394" w:themeColor="accent6" w:themeTint="90"/>
        <w:left w:val="single" w:sz="4" w:space="0" w:color="ADD394" w:themeColor="accent6" w:themeTint="90"/>
        <w:bottom w:val="single" w:sz="4" w:space="0" w:color="ADD394" w:themeColor="accent6" w:themeTint="90"/>
        <w:right w:val="single" w:sz="4" w:space="0" w:color="ADD394" w:themeColor="accent6" w:themeTint="90"/>
        <w:insideH w:val="single" w:sz="4" w:space="0" w:color="ADD394" w:themeColor="accent6" w:themeTint="90"/>
        <w:insideV w:val="single" w:sz="4" w:space="0" w:color="ADD394" w:themeColor="accent6" w:themeTint="90"/>
      </w:tblBorders>
    </w:tblPr>
    <w:tblStylePr w:type="firstRow">
      <w:rPr>
        <w:rFonts w:ascii="Arial" w:hAnsi="Arial"/>
        <w:b/>
        <w:color w:val="FFFFFF"/>
        <w:sz w:val="22"/>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tcBorders>
        <w:shd w:val="clear" w:color="70AD47" w:themeColor="accent6" w:fill="70AD47" w:themeFill="accent6"/>
      </w:tcPr>
    </w:tblStylePr>
    <w:tblStylePr w:type="lastRow">
      <w:rPr>
        <w:b/>
        <w:color w:val="404040"/>
      </w:rPr>
      <w:tblPr/>
      <w:tcPr>
        <w:tcBorders>
          <w:top w:val="single" w:sz="4" w:space="0" w:color="70AD47" w:themeColor="accent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styleId="GridTable5Dark-Accent2">
    <w:name w:val="Grid Table 5 Dark Accent 2"/>
    <w:basedOn w:val="TableNormal"/>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BE5D6" w:themeColor="accent2" w:themeTint="32" w:fill="FBE5D6" w:themeFill="accent2" w:themeFillTint="32"/>
    </w:tblPr>
    <w:tblStylePr w:type="firstRow">
      <w:rPr>
        <w:rFonts w:ascii="Arial" w:hAnsi="Arial"/>
        <w:b/>
        <w:color w:val="FFFFFF"/>
        <w:sz w:val="22"/>
      </w:rPr>
      <w:tblPr/>
      <w:tcPr>
        <w:shd w:val="clear" w:color="ED7D31" w:themeColor="accent2" w:fill="ED7D31" w:themeFill="accent2"/>
      </w:tcPr>
    </w:tblStylePr>
    <w:tblStylePr w:type="lastRow">
      <w:rPr>
        <w:rFonts w:ascii="Arial" w:hAnsi="Arial"/>
        <w:b/>
        <w:color w:val="FFFFFF"/>
        <w:sz w:val="22"/>
      </w:rPr>
      <w:tblPr/>
      <w:tcPr>
        <w:tcBorders>
          <w:top w:val="single" w:sz="4" w:space="0" w:color="FFFFFF" w:themeColor="light1"/>
        </w:tcBorders>
        <w:shd w:val="clear" w:color="ED7D31" w:themeColor="accent2" w:fill="ED7D31" w:themeFill="accent2"/>
      </w:tcPr>
    </w:tblStylePr>
    <w:tblStylePr w:type="firstCol">
      <w:rPr>
        <w:rFonts w:ascii="Arial" w:hAnsi="Arial"/>
        <w:b/>
        <w:color w:val="FFFFFF"/>
        <w:sz w:val="22"/>
      </w:rPr>
      <w:tblPr/>
      <w:tcPr>
        <w:shd w:val="clear" w:color="ED7D31" w:themeColor="accent2" w:fill="ED7D31" w:themeFill="accent2"/>
      </w:tcPr>
    </w:tblStylePr>
    <w:tblStylePr w:type="lastCol">
      <w:rPr>
        <w:rFonts w:ascii="Arial" w:hAnsi="Arial"/>
        <w:b/>
        <w:color w:val="FFFFFF"/>
        <w:sz w:val="22"/>
      </w:rPr>
      <w:tblPr/>
      <w:tcPr>
        <w:shd w:val="clear" w:color="ED7D31" w:themeColor="accent2" w:fill="ED7D31" w:themeFill="accent2"/>
      </w:tcPr>
    </w:tblStylePr>
    <w:tblStylePr w:type="band1Vert">
      <w:tblPr/>
      <w:tcPr>
        <w:shd w:val="clear" w:color="F6C3A0" w:themeColor="accent2" w:themeTint="75" w:fill="F6C3A0" w:themeFill="accent2" w:themeFillTint="75"/>
      </w:tcPr>
    </w:tblStylePr>
    <w:tblStylePr w:type="band1Horz">
      <w:tblPr/>
      <w:tcPr>
        <w:shd w:val="clear" w:color="F6C3A0" w:themeColor="accent2" w:themeTint="75" w:fill="F6C3A0" w:themeFill="accent2" w:themeFillTint="75"/>
      </w:tcPr>
    </w:tblStylePr>
  </w:style>
  <w:style w:type="table" w:styleId="GridTable5Dark-Accent3">
    <w:name w:val="Grid Table 5 Dark Accent 3"/>
    <w:basedOn w:val="TableNormal"/>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CECEC" w:themeColor="accent3" w:themeTint="34" w:fill="ECECEC" w:themeFill="accent3" w:themeFillTint="34"/>
    </w:tblPr>
    <w:tblStylePr w:type="firstRow">
      <w:rPr>
        <w:rFonts w:ascii="Arial" w:hAnsi="Arial"/>
        <w:b/>
        <w:color w:val="FFFFFF"/>
        <w:sz w:val="22"/>
      </w:rPr>
      <w:tblPr/>
      <w:tcPr>
        <w:shd w:val="clear" w:color="A5A5A5" w:themeColor="accent3" w:fill="A5A5A5" w:themeFill="accent3"/>
      </w:tcPr>
    </w:tblStylePr>
    <w:tblStylePr w:type="lastRow">
      <w:rPr>
        <w:rFonts w:ascii="Arial" w:hAnsi="Arial"/>
        <w:b/>
        <w:color w:val="FFFFFF"/>
        <w:sz w:val="22"/>
      </w:rPr>
      <w:tblPr/>
      <w:tcPr>
        <w:tcBorders>
          <w:top w:val="single" w:sz="4" w:space="0" w:color="FFFFFF" w:themeColor="light1"/>
        </w:tcBorders>
        <w:shd w:val="clear" w:color="A5A5A5" w:themeColor="accent3" w:fill="A5A5A5" w:themeFill="accent3"/>
      </w:tcPr>
    </w:tblStylePr>
    <w:tblStylePr w:type="firstCol">
      <w:rPr>
        <w:rFonts w:ascii="Arial" w:hAnsi="Arial"/>
        <w:b/>
        <w:color w:val="FFFFFF"/>
        <w:sz w:val="22"/>
      </w:rPr>
      <w:tblPr/>
      <w:tcPr>
        <w:shd w:val="clear" w:color="A5A5A5" w:themeColor="accent3" w:fill="A5A5A5" w:themeFill="accent3"/>
      </w:tcPr>
    </w:tblStylePr>
    <w:tblStylePr w:type="lastCol">
      <w:rPr>
        <w:rFonts w:ascii="Arial" w:hAnsi="Arial"/>
        <w:b/>
        <w:color w:val="FFFFFF"/>
        <w:sz w:val="22"/>
      </w:rPr>
      <w:tblPr/>
      <w:tcPr>
        <w:shd w:val="clear" w:color="A5A5A5" w:themeColor="accent3" w:fill="A5A5A5" w:themeFill="accent3"/>
      </w:tcPr>
    </w:tblStylePr>
    <w:tblStylePr w:type="band1Vert">
      <w:tblPr/>
      <w:tcPr>
        <w:shd w:val="clear" w:color="D5D5D5" w:themeColor="accent3" w:themeTint="75" w:fill="D5D5D5" w:themeFill="accent3" w:themeFillTint="75"/>
      </w:tcPr>
    </w:tblStylePr>
    <w:tblStylePr w:type="band1Horz">
      <w:tblPr/>
      <w:tcPr>
        <w:shd w:val="clear" w:color="D5D5D5" w:themeColor="accent3" w:themeTint="75" w:fill="D5D5D5" w:themeFill="accent3" w:themeFillTint="75"/>
      </w:tcPr>
    </w:tblStylePr>
  </w:style>
  <w:style w:type="table" w:styleId="GridTable5Dark-Accent5">
    <w:name w:val="Grid Table 5 Dark Accent 5"/>
    <w:basedOn w:val="TableNormal"/>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8E2F3" w:themeColor="accent5" w:themeTint="34" w:fill="D8E2F3" w:themeFill="accent5" w:themeFillTint="34"/>
    </w:tblPr>
    <w:tblStylePr w:type="firstRow">
      <w:rPr>
        <w:rFonts w:ascii="Arial" w:hAnsi="Arial"/>
        <w:b/>
        <w:color w:val="FFFFFF"/>
        <w:sz w:val="22"/>
      </w:rPr>
      <w:tblPr/>
      <w:tcPr>
        <w:shd w:val="clear" w:color="4472C4" w:themeColor="accent5" w:fill="4472C4" w:themeFill="accent5"/>
      </w:tcPr>
    </w:tblStylePr>
    <w:tblStylePr w:type="lastRow">
      <w:rPr>
        <w:rFonts w:ascii="Arial" w:hAnsi="Arial"/>
        <w:b/>
        <w:color w:val="FFFFFF"/>
        <w:sz w:val="22"/>
      </w:rPr>
      <w:tblPr/>
      <w:tcPr>
        <w:tcBorders>
          <w:top w:val="single" w:sz="4" w:space="0" w:color="FFFFFF" w:themeColor="light1"/>
        </w:tcBorders>
        <w:shd w:val="clear" w:color="4472C4" w:themeColor="accent5" w:fill="4472C4" w:themeFill="accent5"/>
      </w:tcPr>
    </w:tblStylePr>
    <w:tblStylePr w:type="firstCol">
      <w:rPr>
        <w:rFonts w:ascii="Arial" w:hAnsi="Arial"/>
        <w:b/>
        <w:color w:val="FFFFFF"/>
        <w:sz w:val="22"/>
      </w:rPr>
      <w:tblPr/>
      <w:tcPr>
        <w:shd w:val="clear" w:color="4472C4" w:themeColor="accent5" w:fill="4472C4" w:themeFill="accent5"/>
      </w:tcPr>
    </w:tblStylePr>
    <w:tblStylePr w:type="lastCol">
      <w:rPr>
        <w:rFonts w:ascii="Arial" w:hAnsi="Arial"/>
        <w:b/>
        <w:color w:val="FFFFFF"/>
        <w:sz w:val="22"/>
      </w:rPr>
      <w:tblPr/>
      <w:tcPr>
        <w:shd w:val="clear" w:color="4472C4" w:themeColor="accent5" w:fill="4472C4" w:themeFill="accent5"/>
      </w:tcPr>
    </w:tblStylePr>
    <w:tblStylePr w:type="band1Vert">
      <w:tblPr/>
      <w:tcPr>
        <w:shd w:val="clear" w:color="A9BEE4" w:themeColor="accent5" w:themeTint="75" w:fill="A9BEE4" w:themeFill="accent5" w:themeFillTint="75"/>
      </w:tcPr>
    </w:tblStylePr>
    <w:tblStylePr w:type="band1Horz">
      <w:tblPr/>
      <w:tcPr>
        <w:shd w:val="clear" w:color="A9BEE4" w:themeColor="accent5" w:themeTint="75" w:fill="A9BEE4" w:themeFill="accent5" w:themeFillTint="75"/>
      </w:tcPr>
    </w:tblStylePr>
  </w:style>
  <w:style w:type="table" w:styleId="GridTable5Dark-Accent6">
    <w:name w:val="Grid Table 5 Dark Accent 6"/>
    <w:basedOn w:val="TableNormal"/>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1EFD8" w:themeColor="accent6" w:themeTint="34" w:fill="E1EFD8" w:themeFill="accent6" w:themeFillTint="34"/>
    </w:tblPr>
    <w:tblStylePr w:type="firstRow">
      <w:rPr>
        <w:rFonts w:ascii="Arial" w:hAnsi="Arial"/>
        <w:b/>
        <w:color w:val="FFFFFF"/>
        <w:sz w:val="22"/>
      </w:rPr>
      <w:tblPr/>
      <w:tcPr>
        <w:shd w:val="clear" w:color="70AD47" w:themeColor="accent6" w:fill="70AD47" w:themeFill="accent6"/>
      </w:tcPr>
    </w:tblStylePr>
    <w:tblStylePr w:type="lastRow">
      <w:rPr>
        <w:rFonts w:ascii="Arial" w:hAnsi="Arial"/>
        <w:b/>
        <w:color w:val="FFFFFF"/>
        <w:sz w:val="22"/>
      </w:rPr>
      <w:tblPr/>
      <w:tcPr>
        <w:tcBorders>
          <w:top w:val="single" w:sz="4" w:space="0" w:color="FFFFFF" w:themeColor="light1"/>
        </w:tcBorders>
        <w:shd w:val="clear" w:color="70AD47" w:themeColor="accent6" w:fill="70AD47" w:themeFill="accent6"/>
      </w:tcPr>
    </w:tblStylePr>
    <w:tblStylePr w:type="firstCol">
      <w:rPr>
        <w:rFonts w:ascii="Arial" w:hAnsi="Arial"/>
        <w:b/>
        <w:color w:val="FFFFFF"/>
        <w:sz w:val="22"/>
      </w:rPr>
      <w:tblPr/>
      <w:tcPr>
        <w:shd w:val="clear" w:color="70AD47" w:themeColor="accent6" w:fill="70AD47" w:themeFill="accent6"/>
      </w:tcPr>
    </w:tblStylePr>
    <w:tblStylePr w:type="lastCol">
      <w:rPr>
        <w:rFonts w:ascii="Arial" w:hAnsi="Arial"/>
        <w:b/>
        <w:color w:val="FFFFFF"/>
        <w:sz w:val="22"/>
      </w:rPr>
      <w:tblPr/>
      <w:tcPr>
        <w:shd w:val="clear" w:color="70AD47" w:themeColor="accent6" w:fill="70AD47" w:themeFill="accent6"/>
      </w:tcPr>
    </w:tblStylePr>
    <w:tblStylePr w:type="band1Vert">
      <w:tblPr/>
      <w:tcPr>
        <w:shd w:val="clear" w:color="BCDBA8" w:themeColor="accent6" w:themeTint="75" w:fill="BCDBA8" w:themeFill="accent6" w:themeFillTint="75"/>
      </w:tcPr>
    </w:tblStylePr>
    <w:tblStylePr w:type="band1Horz">
      <w:tblPr/>
      <w:tcPr>
        <w:shd w:val="clear" w:color="BCDBA8" w:themeColor="accent6" w:themeTint="75" w:fill="BCDBA8" w:themeFill="accent6" w:themeFillTint="75"/>
      </w:tcPr>
    </w:tblStylePr>
  </w:style>
  <w:style w:type="table" w:styleId="ListTable1Light-Accent1">
    <w:name w:val="List Table 1 Light Accent 1"/>
    <w:basedOn w:val="TableNormal"/>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5B9BD5" w:themeColor="accent1"/>
          <w:right w:val="none" w:sz="4" w:space="0" w:color="000000"/>
        </w:tcBorders>
      </w:tcPr>
    </w:tblStylePr>
    <w:tblStylePr w:type="lastRow">
      <w:rPr>
        <w:b/>
        <w:color w:val="404040"/>
      </w:rPr>
      <w:tblPr/>
      <w:tcPr>
        <w:tcBorders>
          <w:top w:val="single" w:sz="4" w:space="0" w:color="5B9BD5" w:themeColor="accen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5E5F4" w:themeColor="accent1" w:themeTint="40" w:fill="D5E5F4" w:themeFill="accent1" w:themeFillTint="40"/>
      </w:tcPr>
    </w:tblStylePr>
    <w:tblStylePr w:type="band1Horz">
      <w:tblPr/>
      <w:tcPr>
        <w:shd w:val="clear" w:color="D5E5F4" w:themeColor="accent1" w:themeTint="40" w:fill="D5E5F4" w:themeFill="accent1" w:themeFillTint="40"/>
      </w:tcPr>
    </w:tblStylePr>
  </w:style>
  <w:style w:type="table" w:styleId="ListTable1Light-Accent2">
    <w:name w:val="List Table 1 Light Accent 2"/>
    <w:basedOn w:val="TableNormal"/>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ED7D31" w:themeColor="accent2"/>
          <w:right w:val="none" w:sz="4" w:space="0" w:color="000000"/>
        </w:tcBorders>
      </w:tcPr>
    </w:tblStylePr>
    <w:tblStylePr w:type="lastRow">
      <w:rPr>
        <w:b/>
        <w:color w:val="404040"/>
      </w:rPr>
      <w:tblPr/>
      <w:tcPr>
        <w:tcBorders>
          <w:top w:val="single" w:sz="4" w:space="0" w:color="ED7D31" w:themeColor="accent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ADECB" w:themeColor="accent2" w:themeTint="40" w:fill="FADECB" w:themeFill="accent2" w:themeFillTint="40"/>
      </w:tcPr>
    </w:tblStylePr>
    <w:tblStylePr w:type="band1Horz">
      <w:tblPr/>
      <w:tcPr>
        <w:shd w:val="clear" w:color="FADECB" w:themeColor="accent2" w:themeTint="40" w:fill="FADECB" w:themeFill="accent2" w:themeFillTint="40"/>
      </w:tcPr>
    </w:tblStylePr>
  </w:style>
  <w:style w:type="table" w:styleId="ListTable1Light-Accent3">
    <w:name w:val="List Table 1 Light Accent 3"/>
    <w:basedOn w:val="TableNormal"/>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A5A5A5" w:themeColor="accent3"/>
          <w:right w:val="none" w:sz="4" w:space="0" w:color="000000"/>
        </w:tcBorders>
      </w:tcPr>
    </w:tblStylePr>
    <w:tblStylePr w:type="lastRow">
      <w:rPr>
        <w:b/>
        <w:color w:val="404040"/>
      </w:rPr>
      <w:tblPr/>
      <w:tcPr>
        <w:tcBorders>
          <w:top w:val="single" w:sz="4" w:space="0" w:color="A5A5A5" w:themeColor="accent3"/>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8E8E8" w:themeColor="accent3" w:themeTint="40" w:fill="E8E8E8" w:themeFill="accent3" w:themeFillTint="40"/>
      </w:tcPr>
    </w:tblStylePr>
    <w:tblStylePr w:type="band1Horz">
      <w:tblPr/>
      <w:tcPr>
        <w:shd w:val="clear" w:color="E8E8E8" w:themeColor="accent3" w:themeTint="40" w:fill="E8E8E8" w:themeFill="accent3" w:themeFillTint="40"/>
      </w:tcPr>
    </w:tblStylePr>
  </w:style>
  <w:style w:type="table" w:styleId="ListTable1Light-Accent4">
    <w:name w:val="List Table 1 Light Accent 4"/>
    <w:basedOn w:val="TableNormal"/>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FFC000" w:themeColor="accent4"/>
          <w:right w:val="none" w:sz="4" w:space="0" w:color="000000"/>
        </w:tcBorders>
      </w:tcPr>
    </w:tblStylePr>
    <w:tblStylePr w:type="lastRow">
      <w:rPr>
        <w:b/>
        <w:color w:val="404040"/>
      </w:rPr>
      <w:tblPr/>
      <w:tcPr>
        <w:tcBorders>
          <w:top w:val="single" w:sz="4" w:space="0" w:color="FFC000" w:themeColor="accent4"/>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FEFBF" w:themeColor="accent4" w:themeTint="40" w:fill="FFEFBF" w:themeFill="accent4" w:themeFillTint="40"/>
      </w:tcPr>
    </w:tblStylePr>
    <w:tblStylePr w:type="band1Horz">
      <w:tblPr/>
      <w:tcPr>
        <w:shd w:val="clear" w:color="FFEFBF" w:themeColor="accent4" w:themeTint="40" w:fill="FFEFBF" w:themeFill="accent4" w:themeFillTint="40"/>
      </w:tcPr>
    </w:tblStylePr>
  </w:style>
  <w:style w:type="table" w:styleId="ListTable1Light-Accent5">
    <w:name w:val="List Table 1 Light Accent 5"/>
    <w:basedOn w:val="TableNormal"/>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4472C4" w:themeColor="accent5"/>
          <w:right w:val="none" w:sz="4" w:space="0" w:color="000000"/>
        </w:tcBorders>
      </w:tcPr>
    </w:tblStylePr>
    <w:tblStylePr w:type="lastRow">
      <w:rPr>
        <w:b/>
        <w:color w:val="404040"/>
      </w:rPr>
      <w:tblPr/>
      <w:tcPr>
        <w:tcBorders>
          <w:top w:val="single" w:sz="4" w:space="0" w:color="4472C4" w:themeColor="accent5"/>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CFDBF0" w:themeColor="accent5" w:themeTint="40" w:fill="CFDBF0" w:themeFill="accent5" w:themeFillTint="40"/>
      </w:tcPr>
    </w:tblStylePr>
    <w:tblStylePr w:type="band1Horz">
      <w:tblPr/>
      <w:tcPr>
        <w:shd w:val="clear" w:color="CFDBF0" w:themeColor="accent5" w:themeTint="40" w:fill="CFDBF0" w:themeFill="accent5" w:themeFillTint="40"/>
      </w:tcPr>
    </w:tblStylePr>
  </w:style>
  <w:style w:type="table" w:styleId="ListTable1Light-Accent6">
    <w:name w:val="List Table 1 Light Accent 6"/>
    <w:basedOn w:val="TableNormal"/>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70AD47" w:themeColor="accent6"/>
          <w:right w:val="none" w:sz="4" w:space="0" w:color="000000"/>
        </w:tcBorders>
      </w:tcPr>
    </w:tblStylePr>
    <w:tblStylePr w:type="lastRow">
      <w:rPr>
        <w:b/>
        <w:color w:val="404040"/>
      </w:rPr>
      <w:tblPr/>
      <w:tcPr>
        <w:tcBorders>
          <w:top w:val="single" w:sz="4" w:space="0" w:color="70AD47" w:themeColor="accent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AEBCF" w:themeColor="accent6" w:themeTint="40" w:fill="DAEBCF" w:themeFill="accent6" w:themeFillTint="40"/>
      </w:tcPr>
    </w:tblStylePr>
    <w:tblStylePr w:type="band1Horz">
      <w:tblPr/>
      <w:tcPr>
        <w:shd w:val="clear" w:color="DAEBCF" w:themeColor="accent6" w:themeTint="40" w:fill="DAEBCF" w:themeFill="accent6" w:themeFillTint="40"/>
      </w:tcPr>
    </w:tblStylePr>
  </w:style>
  <w:style w:type="table" w:styleId="ListTable2-Accent1">
    <w:name w:val="List Table 2 Accent 1"/>
    <w:basedOn w:val="TableNormal"/>
    <w:uiPriority w:val="99"/>
    <w:pPr>
      <w:spacing w:after="0" w:line="240" w:lineRule="auto"/>
    </w:pPr>
    <w:tblPr>
      <w:tblStyleRowBandSize w:val="1"/>
      <w:tblStyleColBandSize w:val="1"/>
      <w:tblBorders>
        <w:top w:val="single" w:sz="4" w:space="0" w:color="A2C6E7" w:themeColor="accent1" w:themeTint="90"/>
        <w:bottom w:val="single" w:sz="4" w:space="0" w:color="A2C6E7" w:themeColor="accent1" w:themeTint="90"/>
        <w:insideH w:val="single" w:sz="4" w:space="0" w:color="A2C6E7" w:themeColor="accent1" w:themeTint="90"/>
      </w:tblBorders>
    </w:tblPr>
    <w:tblStylePr w:type="firstRow">
      <w:rPr>
        <w:rFonts w:ascii="Arial" w:hAnsi="Arial"/>
        <w:b/>
        <w:color w:val="404040"/>
        <w:sz w:val="22"/>
      </w:rPr>
      <w:tblPr/>
      <w:tcPr>
        <w:tcBorders>
          <w:top w:val="single" w:sz="4" w:space="0" w:color="A2C6E7" w:themeColor="accent1" w:themeTint="90"/>
          <w:left w:val="none" w:sz="4" w:space="0" w:color="000000"/>
          <w:bottom w:val="single" w:sz="4" w:space="0" w:color="A2C6E7" w:themeColor="accent1" w:themeTint="90"/>
          <w:right w:val="none" w:sz="4" w:space="0" w:color="000000"/>
        </w:tcBorders>
      </w:tcPr>
    </w:tblStylePr>
    <w:tblStylePr w:type="lastRow">
      <w:rPr>
        <w:rFonts w:ascii="Arial" w:hAnsi="Arial"/>
        <w:b/>
        <w:color w:val="404040"/>
        <w:sz w:val="22"/>
      </w:rPr>
      <w:tblPr/>
      <w:tcPr>
        <w:tcBorders>
          <w:top w:val="single" w:sz="4" w:space="0" w:color="A2C6E7" w:themeColor="accent1" w:themeTint="90"/>
          <w:left w:val="none" w:sz="4" w:space="0" w:color="000000"/>
          <w:bottom w:val="single" w:sz="4" w:space="0" w:color="A2C6E7" w:themeColor="accen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5E5F4" w:themeColor="accent1" w:themeTint="40" w:fill="D5E5F4" w:themeFill="accent1" w:themeFillTint="40"/>
      </w:tcPr>
    </w:tblStylePr>
    <w:tblStylePr w:type="band1Horz">
      <w:rPr>
        <w:rFonts w:ascii="Arial" w:hAnsi="Arial"/>
        <w:color w:val="404040"/>
        <w:sz w:val="22"/>
      </w:rPr>
      <w:tblPr/>
      <w:tcPr>
        <w:shd w:val="clear" w:color="D5E5F4" w:themeColor="accent1" w:themeTint="40" w:fill="D5E5F4" w:themeFill="accent1" w:themeFillTint="40"/>
      </w:tcPr>
    </w:tblStylePr>
  </w:style>
  <w:style w:type="table" w:styleId="ListTable2-Accent2">
    <w:name w:val="List Table 2 Accent 2"/>
    <w:basedOn w:val="TableNormal"/>
    <w:uiPriority w:val="99"/>
    <w:pPr>
      <w:spacing w:after="0" w:line="240" w:lineRule="auto"/>
    </w:pPr>
    <w:tblPr>
      <w:tblStyleRowBandSize w:val="1"/>
      <w:tblStyleColBandSize w:val="1"/>
      <w:tblBorders>
        <w:top w:val="single" w:sz="4" w:space="0" w:color="F4B58A" w:themeColor="accent2" w:themeTint="90"/>
        <w:bottom w:val="single" w:sz="4" w:space="0" w:color="F4B58A" w:themeColor="accent2" w:themeTint="90"/>
        <w:insideH w:val="single" w:sz="4" w:space="0" w:color="F4B58A" w:themeColor="accent2" w:themeTint="90"/>
      </w:tblBorders>
    </w:tblPr>
    <w:tblStylePr w:type="firstRow">
      <w:rPr>
        <w:rFonts w:ascii="Arial" w:hAnsi="Arial"/>
        <w:b/>
        <w:color w:val="404040"/>
        <w:sz w:val="22"/>
      </w:rPr>
      <w:tblPr/>
      <w:tcPr>
        <w:tcBorders>
          <w:top w:val="single" w:sz="4" w:space="0" w:color="F4B58A" w:themeColor="accent2" w:themeTint="90"/>
          <w:left w:val="none" w:sz="4" w:space="0" w:color="000000"/>
          <w:bottom w:val="single" w:sz="4" w:space="0" w:color="F4B58A" w:themeColor="accent2" w:themeTint="90"/>
          <w:right w:val="none" w:sz="4" w:space="0" w:color="000000"/>
        </w:tcBorders>
      </w:tcPr>
    </w:tblStylePr>
    <w:tblStylePr w:type="lastRow">
      <w:rPr>
        <w:rFonts w:ascii="Arial" w:hAnsi="Arial"/>
        <w:b/>
        <w:color w:val="404040"/>
        <w:sz w:val="22"/>
      </w:rPr>
      <w:tblPr/>
      <w:tcPr>
        <w:tcBorders>
          <w:top w:val="single" w:sz="4" w:space="0" w:color="F4B58A" w:themeColor="accent2" w:themeTint="90"/>
          <w:left w:val="none" w:sz="4" w:space="0" w:color="000000"/>
          <w:bottom w:val="single" w:sz="4" w:space="0" w:color="F4B58A" w:themeColor="accent2"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ADECB" w:themeColor="accent2" w:themeTint="40" w:fill="FADECB" w:themeFill="accent2" w:themeFillTint="40"/>
      </w:tcPr>
    </w:tblStylePr>
    <w:tblStylePr w:type="band1Horz">
      <w:rPr>
        <w:rFonts w:ascii="Arial" w:hAnsi="Arial"/>
        <w:color w:val="404040"/>
        <w:sz w:val="22"/>
      </w:rPr>
      <w:tblPr/>
      <w:tcPr>
        <w:shd w:val="clear" w:color="FADECB" w:themeColor="accent2" w:themeTint="40" w:fill="FADECB" w:themeFill="accent2" w:themeFillTint="40"/>
      </w:tcPr>
    </w:tblStylePr>
  </w:style>
  <w:style w:type="table" w:styleId="ListTable2-Accent3">
    <w:name w:val="List Table 2 Accent 3"/>
    <w:basedOn w:val="TableNormal"/>
    <w:uiPriority w:val="99"/>
    <w:pPr>
      <w:spacing w:after="0" w:line="240" w:lineRule="auto"/>
    </w:pPr>
    <w:tblPr>
      <w:tblStyleRowBandSize w:val="1"/>
      <w:tblStyleColBandSize w:val="1"/>
      <w:tblBorders>
        <w:top w:val="single" w:sz="4" w:space="0" w:color="CCCCCC" w:themeColor="accent3" w:themeTint="90"/>
        <w:bottom w:val="single" w:sz="4" w:space="0" w:color="CCCCCC" w:themeColor="accent3" w:themeTint="90"/>
        <w:insideH w:val="single" w:sz="4" w:space="0" w:color="CCCCCC" w:themeColor="accent3" w:themeTint="90"/>
      </w:tblBorders>
    </w:tblPr>
    <w:tblStylePr w:type="firstRow">
      <w:rPr>
        <w:rFonts w:ascii="Arial" w:hAnsi="Arial"/>
        <w:b/>
        <w:color w:val="404040"/>
        <w:sz w:val="22"/>
      </w:rPr>
      <w:tblPr/>
      <w:tcPr>
        <w:tcBorders>
          <w:top w:val="single" w:sz="4" w:space="0" w:color="CCCCCC" w:themeColor="accent3" w:themeTint="90"/>
          <w:left w:val="none" w:sz="4" w:space="0" w:color="000000"/>
          <w:bottom w:val="single" w:sz="4" w:space="0" w:color="CCCCCC" w:themeColor="accent3" w:themeTint="90"/>
          <w:right w:val="none" w:sz="4" w:space="0" w:color="000000"/>
        </w:tcBorders>
      </w:tcPr>
    </w:tblStylePr>
    <w:tblStylePr w:type="lastRow">
      <w:rPr>
        <w:rFonts w:ascii="Arial" w:hAnsi="Arial"/>
        <w:b/>
        <w:color w:val="404040"/>
        <w:sz w:val="22"/>
      </w:rPr>
      <w:tblPr/>
      <w:tcPr>
        <w:tcBorders>
          <w:top w:val="single" w:sz="4" w:space="0" w:color="CCCCCC" w:themeColor="accent3" w:themeTint="90"/>
          <w:left w:val="none" w:sz="4" w:space="0" w:color="000000"/>
          <w:bottom w:val="single" w:sz="4" w:space="0" w:color="CCCCCC" w:themeColor="accent3"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8E8E8" w:themeColor="accent3" w:themeTint="40" w:fill="E8E8E8" w:themeFill="accent3" w:themeFillTint="40"/>
      </w:tcPr>
    </w:tblStylePr>
    <w:tblStylePr w:type="band1Horz">
      <w:rPr>
        <w:rFonts w:ascii="Arial" w:hAnsi="Arial"/>
        <w:color w:val="404040"/>
        <w:sz w:val="22"/>
      </w:rPr>
      <w:tblPr/>
      <w:tcPr>
        <w:shd w:val="clear" w:color="E8E8E8" w:themeColor="accent3" w:themeTint="40" w:fill="E8E8E8" w:themeFill="accent3" w:themeFillTint="40"/>
      </w:tcPr>
    </w:tblStylePr>
  </w:style>
  <w:style w:type="table" w:styleId="ListTable2-Accent4">
    <w:name w:val="List Table 2 Accent 4"/>
    <w:basedOn w:val="TableNormal"/>
    <w:uiPriority w:val="99"/>
    <w:pPr>
      <w:spacing w:after="0" w:line="240" w:lineRule="auto"/>
    </w:pPr>
    <w:tblPr>
      <w:tblStyleRowBandSize w:val="1"/>
      <w:tblStyleColBandSize w:val="1"/>
      <w:tblBorders>
        <w:top w:val="single" w:sz="4" w:space="0" w:color="FFDB6F" w:themeColor="accent4" w:themeTint="90"/>
        <w:bottom w:val="single" w:sz="4" w:space="0" w:color="FFDB6F" w:themeColor="accent4" w:themeTint="90"/>
        <w:insideH w:val="single" w:sz="4" w:space="0" w:color="FFDB6F" w:themeColor="accent4" w:themeTint="90"/>
      </w:tblBorders>
    </w:tblPr>
    <w:tblStylePr w:type="firstRow">
      <w:rPr>
        <w:rFonts w:ascii="Arial" w:hAnsi="Arial"/>
        <w:b/>
        <w:color w:val="404040"/>
        <w:sz w:val="22"/>
      </w:rPr>
      <w:tblPr/>
      <w:tcPr>
        <w:tcBorders>
          <w:top w:val="single" w:sz="4" w:space="0" w:color="FFDB6F" w:themeColor="accent4" w:themeTint="90"/>
          <w:left w:val="none" w:sz="4" w:space="0" w:color="000000"/>
          <w:bottom w:val="single" w:sz="4" w:space="0" w:color="FFDB6F" w:themeColor="accent4" w:themeTint="90"/>
          <w:right w:val="none" w:sz="4" w:space="0" w:color="000000"/>
        </w:tcBorders>
      </w:tcPr>
    </w:tblStylePr>
    <w:tblStylePr w:type="lastRow">
      <w:rPr>
        <w:rFonts w:ascii="Arial" w:hAnsi="Arial"/>
        <w:b/>
        <w:color w:val="404040"/>
        <w:sz w:val="22"/>
      </w:rPr>
      <w:tblPr/>
      <w:tcPr>
        <w:tcBorders>
          <w:top w:val="single" w:sz="4" w:space="0" w:color="FFDB6F" w:themeColor="accent4" w:themeTint="90"/>
          <w:left w:val="none" w:sz="4" w:space="0" w:color="000000"/>
          <w:bottom w:val="single" w:sz="4" w:space="0" w:color="FFDB6F" w:themeColor="accent4"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FEFBF" w:themeColor="accent4" w:themeTint="40" w:fill="FFEFBF" w:themeFill="accent4" w:themeFillTint="40"/>
      </w:tcPr>
    </w:tblStylePr>
    <w:tblStylePr w:type="band1Horz">
      <w:rPr>
        <w:rFonts w:ascii="Arial" w:hAnsi="Arial"/>
        <w:color w:val="404040"/>
        <w:sz w:val="22"/>
      </w:rPr>
      <w:tblPr/>
      <w:tcPr>
        <w:shd w:val="clear" w:color="FFEFBF" w:themeColor="accent4" w:themeTint="40" w:fill="FFEFBF" w:themeFill="accent4" w:themeFillTint="40"/>
      </w:tcPr>
    </w:tblStylePr>
  </w:style>
  <w:style w:type="table" w:styleId="ListTable2-Accent5">
    <w:name w:val="List Table 2 Accent 5"/>
    <w:basedOn w:val="TableNormal"/>
    <w:uiPriority w:val="99"/>
    <w:pPr>
      <w:spacing w:after="0" w:line="240" w:lineRule="auto"/>
    </w:pPr>
    <w:tblPr>
      <w:tblStyleRowBandSize w:val="1"/>
      <w:tblStyleColBandSize w:val="1"/>
      <w:tblBorders>
        <w:top w:val="single" w:sz="4" w:space="0" w:color="95AFDD" w:themeColor="accent5" w:themeTint="90"/>
        <w:bottom w:val="single" w:sz="4" w:space="0" w:color="95AFDD" w:themeColor="accent5" w:themeTint="90"/>
        <w:insideH w:val="single" w:sz="4" w:space="0" w:color="95AFDD" w:themeColor="accent5" w:themeTint="90"/>
      </w:tblBorders>
    </w:tblPr>
    <w:tblStylePr w:type="firstRow">
      <w:rPr>
        <w:rFonts w:ascii="Arial" w:hAnsi="Arial"/>
        <w:b/>
        <w:color w:val="404040"/>
        <w:sz w:val="22"/>
      </w:rPr>
      <w:tblPr/>
      <w:tcPr>
        <w:tcBorders>
          <w:top w:val="single" w:sz="4" w:space="0" w:color="95AFDD" w:themeColor="accent5" w:themeTint="90"/>
          <w:left w:val="none" w:sz="4" w:space="0" w:color="000000"/>
          <w:bottom w:val="single" w:sz="4" w:space="0" w:color="95AFDD" w:themeColor="accent5" w:themeTint="90"/>
          <w:right w:val="none" w:sz="4" w:space="0" w:color="000000"/>
        </w:tcBorders>
      </w:tcPr>
    </w:tblStylePr>
    <w:tblStylePr w:type="lastRow">
      <w:rPr>
        <w:rFonts w:ascii="Arial" w:hAnsi="Arial"/>
        <w:b/>
        <w:color w:val="404040"/>
        <w:sz w:val="22"/>
      </w:rPr>
      <w:tblPr/>
      <w:tcPr>
        <w:tcBorders>
          <w:top w:val="single" w:sz="4" w:space="0" w:color="95AFDD" w:themeColor="accent5" w:themeTint="90"/>
          <w:left w:val="none" w:sz="4" w:space="0" w:color="000000"/>
          <w:bottom w:val="single" w:sz="4" w:space="0" w:color="95AFDD" w:themeColor="accent5"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CFDBF0" w:themeColor="accent5" w:themeTint="40" w:fill="CFDBF0" w:themeFill="accent5" w:themeFillTint="40"/>
      </w:tcPr>
    </w:tblStylePr>
    <w:tblStylePr w:type="band1Horz">
      <w:rPr>
        <w:rFonts w:ascii="Arial" w:hAnsi="Arial"/>
        <w:color w:val="404040"/>
        <w:sz w:val="22"/>
      </w:rPr>
      <w:tblPr/>
      <w:tcPr>
        <w:shd w:val="clear" w:color="CFDBF0" w:themeColor="accent5" w:themeTint="40" w:fill="CFDBF0" w:themeFill="accent5" w:themeFillTint="40"/>
      </w:tcPr>
    </w:tblStylePr>
  </w:style>
  <w:style w:type="table" w:styleId="ListTable2-Accent6">
    <w:name w:val="List Table 2 Accent 6"/>
    <w:basedOn w:val="TableNormal"/>
    <w:uiPriority w:val="99"/>
    <w:pPr>
      <w:spacing w:after="0" w:line="240" w:lineRule="auto"/>
    </w:pPr>
    <w:tblPr>
      <w:tblStyleRowBandSize w:val="1"/>
      <w:tblStyleColBandSize w:val="1"/>
      <w:tblBorders>
        <w:top w:val="single" w:sz="4" w:space="0" w:color="ADD394" w:themeColor="accent6" w:themeTint="90"/>
        <w:bottom w:val="single" w:sz="4" w:space="0" w:color="ADD394" w:themeColor="accent6" w:themeTint="90"/>
        <w:insideH w:val="single" w:sz="4" w:space="0" w:color="ADD394" w:themeColor="accent6" w:themeTint="90"/>
      </w:tblBorders>
    </w:tblPr>
    <w:tblStylePr w:type="firstRow">
      <w:rPr>
        <w:rFonts w:ascii="Arial" w:hAnsi="Arial"/>
        <w:b/>
        <w:color w:val="404040"/>
        <w:sz w:val="22"/>
      </w:rPr>
      <w:tblPr/>
      <w:tcPr>
        <w:tcBorders>
          <w:top w:val="single" w:sz="4" w:space="0" w:color="ADD394" w:themeColor="accent6" w:themeTint="90"/>
          <w:left w:val="none" w:sz="4" w:space="0" w:color="000000"/>
          <w:bottom w:val="single" w:sz="4" w:space="0" w:color="ADD394" w:themeColor="accent6" w:themeTint="90"/>
          <w:right w:val="none" w:sz="4" w:space="0" w:color="000000"/>
        </w:tcBorders>
      </w:tcPr>
    </w:tblStylePr>
    <w:tblStylePr w:type="lastRow">
      <w:rPr>
        <w:rFonts w:ascii="Arial" w:hAnsi="Arial"/>
        <w:b/>
        <w:color w:val="404040"/>
        <w:sz w:val="22"/>
      </w:rPr>
      <w:tblPr/>
      <w:tcPr>
        <w:tcBorders>
          <w:top w:val="single" w:sz="4" w:space="0" w:color="ADD394" w:themeColor="accent6" w:themeTint="90"/>
          <w:left w:val="none" w:sz="4" w:space="0" w:color="000000"/>
          <w:bottom w:val="single" w:sz="4" w:space="0" w:color="ADD394" w:themeColor="accent6"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AEBCF" w:themeColor="accent6" w:themeTint="40" w:fill="DAEBCF" w:themeFill="accent6" w:themeFillTint="40"/>
      </w:tcPr>
    </w:tblStylePr>
    <w:tblStylePr w:type="band1Horz">
      <w:rPr>
        <w:rFonts w:ascii="Arial" w:hAnsi="Arial"/>
        <w:color w:val="404040"/>
        <w:sz w:val="22"/>
      </w:rPr>
      <w:tblPr/>
      <w:tcPr>
        <w:shd w:val="clear" w:color="DAEBCF" w:themeColor="accent6" w:themeTint="40" w:fill="DAEBCF" w:themeFill="accent6" w:themeFillTint="40"/>
      </w:tcPr>
    </w:tblStylePr>
  </w:style>
  <w:style w:type="table" w:styleId="ListTable3-Accent1">
    <w:name w:val="List Table 3 Accent 1"/>
    <w:basedOn w:val="TableNormal"/>
    <w:uiPriority w:val="99"/>
    <w:pPr>
      <w:spacing w:after="0" w:line="240" w:lineRule="auto"/>
    </w:pPr>
    <w:tblPr>
      <w:tblStyleRowBandSize w:val="1"/>
      <w:tblStyleColBandSize w:val="1"/>
      <w:tblBorders>
        <w:top w:val="single" w:sz="4" w:space="0" w:color="5B9BD5" w:themeColor="accent1"/>
        <w:left w:val="single" w:sz="4" w:space="0" w:color="5B9BD5" w:themeColor="accent1"/>
        <w:bottom w:val="single" w:sz="4" w:space="0" w:color="5B9BD5" w:themeColor="accent1"/>
        <w:right w:val="single" w:sz="4" w:space="0" w:color="5B9BD5" w:themeColor="accent1"/>
      </w:tblBorders>
    </w:tblPr>
    <w:tblStylePr w:type="firstRow">
      <w:rPr>
        <w:rFonts w:ascii="Arial" w:hAnsi="Arial"/>
        <w:b/>
        <w:color w:val="FFFFFF"/>
        <w:sz w:val="22"/>
      </w:rPr>
      <w:tblPr/>
      <w:tcPr>
        <w:shd w:val="clear" w:color="5B9BD5" w:themeColor="accent1" w:fill="5B9BD5"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5B9BD5" w:themeColor="accent1"/>
          <w:right w:val="single" w:sz="4" w:space="0" w:color="5B9BD5" w:themeColor="accent1"/>
        </w:tcBorders>
      </w:tcPr>
    </w:tblStylePr>
    <w:tblStylePr w:type="band1Horz">
      <w:rPr>
        <w:rFonts w:ascii="Arial" w:hAnsi="Arial"/>
        <w:color w:val="404040"/>
        <w:sz w:val="22"/>
      </w:rPr>
      <w:tblPr/>
      <w:tcPr>
        <w:tcBorders>
          <w:top w:val="single" w:sz="4" w:space="0" w:color="5B9BD5" w:themeColor="accent1"/>
          <w:bottom w:val="single" w:sz="4" w:space="0" w:color="5B9BD5" w:themeColor="accent1"/>
        </w:tcBorders>
      </w:tcPr>
    </w:tblStylePr>
  </w:style>
  <w:style w:type="table" w:styleId="ListTable3-Accent2">
    <w:name w:val="List Table 3 Accent 2"/>
    <w:basedOn w:val="TableNormal"/>
    <w:uiPriority w:val="99"/>
    <w:pPr>
      <w:spacing w:after="0" w:line="240" w:lineRule="auto"/>
    </w:pPr>
    <w:tblPr>
      <w:tblStyleRowBandSize w:val="1"/>
      <w:tblStyleColBandSize w:val="1"/>
      <w:tbl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tblBorders>
    </w:tblPr>
    <w:tblStylePr w:type="firstRow">
      <w:rPr>
        <w:rFonts w:ascii="Arial" w:hAnsi="Arial"/>
        <w:b/>
        <w:color w:val="FFFFFF"/>
        <w:sz w:val="22"/>
      </w:rPr>
      <w:tblPr/>
      <w:tcPr>
        <w:shd w:val="clear" w:color="F4B184" w:themeColor="accent2" w:themeTint="97" w:fill="F4B184"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4B184" w:themeColor="accent2" w:themeTint="97"/>
          <w:right w:val="single" w:sz="4" w:space="0" w:color="F4B184" w:themeColor="accent2" w:themeTint="97"/>
        </w:tcBorders>
      </w:tcPr>
    </w:tblStylePr>
    <w:tblStylePr w:type="band1Horz">
      <w:rPr>
        <w:rFonts w:ascii="Arial" w:hAnsi="Arial"/>
        <w:color w:val="404040"/>
        <w:sz w:val="22"/>
      </w:rPr>
      <w:tblPr/>
      <w:tcPr>
        <w:tcBorders>
          <w:top w:val="single" w:sz="4" w:space="0" w:color="F4B184" w:themeColor="accent2" w:themeTint="97"/>
          <w:bottom w:val="single" w:sz="4" w:space="0" w:color="F4B184" w:themeColor="accent2" w:themeTint="97"/>
        </w:tcBorders>
      </w:tcPr>
    </w:tblStylePr>
  </w:style>
  <w:style w:type="table" w:styleId="ListTable3-Accent3">
    <w:name w:val="List Table 3 Accent 3"/>
    <w:basedOn w:val="TableNormal"/>
    <w:uiPriority w:val="99"/>
    <w:pPr>
      <w:spacing w:after="0" w:line="240" w:lineRule="auto"/>
    </w:pPr>
    <w:tblPr>
      <w:tblStyleRowBandSize w:val="1"/>
      <w:tblStyleColBandSize w:val="1"/>
      <w:tblBorders>
        <w:top w:val="single" w:sz="4" w:space="0" w:color="C9C9C9" w:themeColor="accent3" w:themeTint="98"/>
        <w:left w:val="single" w:sz="4" w:space="0" w:color="C9C9C9" w:themeColor="accent3" w:themeTint="98"/>
        <w:bottom w:val="single" w:sz="4" w:space="0" w:color="C9C9C9" w:themeColor="accent3" w:themeTint="98"/>
        <w:right w:val="single" w:sz="4" w:space="0" w:color="C9C9C9" w:themeColor="accent3" w:themeTint="98"/>
      </w:tblBorders>
    </w:tblPr>
    <w:tblStylePr w:type="firstRow">
      <w:rPr>
        <w:rFonts w:ascii="Arial" w:hAnsi="Arial"/>
        <w:b/>
        <w:color w:val="FFFFFF"/>
        <w:sz w:val="22"/>
      </w:rPr>
      <w:tblPr/>
      <w:tcPr>
        <w:shd w:val="clear" w:color="C9C9C9" w:themeColor="accent3" w:themeTint="98" w:fill="C9C9C9"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9C9C9" w:themeColor="accent3" w:themeTint="98"/>
          <w:right w:val="single" w:sz="4" w:space="0" w:color="C9C9C9" w:themeColor="accent3" w:themeTint="98"/>
        </w:tcBorders>
      </w:tcPr>
    </w:tblStylePr>
    <w:tblStylePr w:type="band1Horz">
      <w:rPr>
        <w:rFonts w:ascii="Arial" w:hAnsi="Arial"/>
        <w:color w:val="404040"/>
        <w:sz w:val="22"/>
      </w:rPr>
      <w:tblPr/>
      <w:tcPr>
        <w:tcBorders>
          <w:top w:val="single" w:sz="4" w:space="0" w:color="C9C9C9" w:themeColor="accent3" w:themeTint="98"/>
          <w:bottom w:val="single" w:sz="4" w:space="0" w:color="C9C9C9" w:themeColor="accent3" w:themeTint="98"/>
        </w:tcBorders>
      </w:tcPr>
    </w:tblStylePr>
  </w:style>
  <w:style w:type="table" w:styleId="ListTable3-Accent4">
    <w:name w:val="List Table 3 Accent 4"/>
    <w:basedOn w:val="TableNormal"/>
    <w:uiPriority w:val="99"/>
    <w:pPr>
      <w:spacing w:after="0" w:line="240" w:lineRule="auto"/>
    </w:pPr>
    <w:tblPr>
      <w:tblStyleRowBandSize w:val="1"/>
      <w:tblStyleColBandSize w:val="1"/>
      <w:tbl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tblBorders>
    </w:tblPr>
    <w:tblStylePr w:type="firstRow">
      <w:rPr>
        <w:rFonts w:ascii="Arial" w:hAnsi="Arial"/>
        <w:b/>
        <w:color w:val="FFFFFF"/>
        <w:sz w:val="22"/>
      </w:rPr>
      <w:tblPr/>
      <w:tcPr>
        <w:shd w:val="clear" w:color="FFD865" w:themeColor="accent4" w:themeTint="9A" w:fill="FFD865"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FD865" w:themeColor="accent4" w:themeTint="9A"/>
          <w:right w:val="single" w:sz="4" w:space="0" w:color="FFD865" w:themeColor="accent4" w:themeTint="9A"/>
        </w:tcBorders>
      </w:tcPr>
    </w:tblStylePr>
    <w:tblStylePr w:type="band1Horz">
      <w:rPr>
        <w:rFonts w:ascii="Arial" w:hAnsi="Arial"/>
        <w:color w:val="404040"/>
        <w:sz w:val="22"/>
      </w:rPr>
      <w:tblPr/>
      <w:tcPr>
        <w:tcBorders>
          <w:top w:val="single" w:sz="4" w:space="0" w:color="FFD865" w:themeColor="accent4" w:themeTint="9A"/>
          <w:bottom w:val="single" w:sz="4" w:space="0" w:color="FFD865" w:themeColor="accent4" w:themeTint="9A"/>
        </w:tcBorders>
      </w:tcPr>
    </w:tblStylePr>
  </w:style>
  <w:style w:type="table" w:styleId="ListTable3-Accent5">
    <w:name w:val="List Table 3 Accent 5"/>
    <w:basedOn w:val="TableNormal"/>
    <w:uiPriority w:val="99"/>
    <w:pPr>
      <w:spacing w:after="0" w:line="240" w:lineRule="auto"/>
    </w:pPr>
    <w:tblPr>
      <w:tblStyleRowBandSize w:val="1"/>
      <w:tblStyleColBandSize w:val="1"/>
      <w:tblBorders>
        <w:top w:val="single" w:sz="4" w:space="0" w:color="8DA9DB" w:themeColor="accent5" w:themeTint="9A"/>
        <w:left w:val="single" w:sz="4" w:space="0" w:color="8DA9DB" w:themeColor="accent5" w:themeTint="9A"/>
        <w:bottom w:val="single" w:sz="4" w:space="0" w:color="8DA9DB" w:themeColor="accent5" w:themeTint="9A"/>
        <w:right w:val="single" w:sz="4" w:space="0" w:color="8DA9DB" w:themeColor="accent5" w:themeTint="9A"/>
      </w:tblBorders>
    </w:tblPr>
    <w:tblStylePr w:type="firstRow">
      <w:rPr>
        <w:rFonts w:ascii="Arial" w:hAnsi="Arial"/>
        <w:b/>
        <w:color w:val="FFFFFF"/>
        <w:sz w:val="22"/>
      </w:rPr>
      <w:tblPr/>
      <w:tcPr>
        <w:shd w:val="clear" w:color="8DA9DB" w:themeColor="accent5" w:themeTint="9A" w:fill="8DA9DB"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8DA9DB" w:themeColor="accent5" w:themeTint="9A"/>
          <w:right w:val="single" w:sz="4" w:space="0" w:color="8DA9DB" w:themeColor="accent5" w:themeTint="9A"/>
        </w:tcBorders>
      </w:tcPr>
    </w:tblStylePr>
    <w:tblStylePr w:type="band1Horz">
      <w:rPr>
        <w:rFonts w:ascii="Arial" w:hAnsi="Arial"/>
        <w:color w:val="404040"/>
        <w:sz w:val="22"/>
      </w:rPr>
      <w:tblPr/>
      <w:tcPr>
        <w:tcBorders>
          <w:top w:val="single" w:sz="4" w:space="0" w:color="8DA9DB" w:themeColor="accent5" w:themeTint="9A"/>
          <w:bottom w:val="single" w:sz="4" w:space="0" w:color="8DA9DB" w:themeColor="accent5" w:themeTint="9A"/>
        </w:tcBorders>
      </w:tcPr>
    </w:tblStylePr>
  </w:style>
  <w:style w:type="table" w:styleId="ListTable3-Accent6">
    <w:name w:val="List Table 3 Accent 6"/>
    <w:basedOn w:val="TableNormal"/>
    <w:uiPriority w:val="99"/>
    <w:pPr>
      <w:spacing w:after="0" w:line="240" w:lineRule="auto"/>
    </w:pPr>
    <w:tblPr>
      <w:tblStyleRowBandSize w:val="1"/>
      <w:tblStyleColBandSize w:val="1"/>
      <w:tblBorders>
        <w:top w:val="single" w:sz="4" w:space="0" w:color="A9D08E" w:themeColor="accent6" w:themeTint="98"/>
        <w:left w:val="single" w:sz="4" w:space="0" w:color="A9D08E" w:themeColor="accent6" w:themeTint="98"/>
        <w:bottom w:val="single" w:sz="4" w:space="0" w:color="A9D08E" w:themeColor="accent6" w:themeTint="98"/>
        <w:right w:val="single" w:sz="4" w:space="0" w:color="A9D08E" w:themeColor="accent6" w:themeTint="98"/>
      </w:tblBorders>
    </w:tblPr>
    <w:tblStylePr w:type="firstRow">
      <w:rPr>
        <w:rFonts w:ascii="Arial" w:hAnsi="Arial"/>
        <w:b/>
        <w:color w:val="FFFFFF"/>
        <w:sz w:val="22"/>
      </w:rPr>
      <w:tblPr/>
      <w:tcPr>
        <w:shd w:val="clear" w:color="A9D08E" w:themeColor="accent6" w:themeTint="98" w:fill="A9D08E"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A9D08E" w:themeColor="accent6" w:themeTint="98"/>
          <w:right w:val="single" w:sz="4" w:space="0" w:color="A9D08E" w:themeColor="accent6" w:themeTint="98"/>
        </w:tcBorders>
      </w:tcPr>
    </w:tblStylePr>
    <w:tblStylePr w:type="band1Horz">
      <w:rPr>
        <w:rFonts w:ascii="Arial" w:hAnsi="Arial"/>
        <w:color w:val="404040"/>
        <w:sz w:val="22"/>
      </w:rPr>
      <w:tblPr/>
      <w:tcPr>
        <w:tcBorders>
          <w:top w:val="single" w:sz="4" w:space="0" w:color="A9D08E" w:themeColor="accent6" w:themeTint="98"/>
          <w:bottom w:val="single" w:sz="4" w:space="0" w:color="A9D08E" w:themeColor="accent6" w:themeTint="98"/>
        </w:tcBorders>
      </w:tcPr>
    </w:tblStylePr>
  </w:style>
  <w:style w:type="table" w:styleId="ListTable4-Accent1">
    <w:name w:val="List Table 4 Accent 1"/>
    <w:basedOn w:val="TableNormal"/>
    <w:uiPriority w:val="99"/>
    <w:pPr>
      <w:spacing w:after="0" w:line="240" w:lineRule="auto"/>
    </w:pPr>
    <w:tblPr>
      <w:tblStyleRowBandSize w:val="1"/>
      <w:tblStyleColBandSize w:val="1"/>
      <w:tblBorders>
        <w:top w:val="single" w:sz="4" w:space="0" w:color="A2C6E7" w:themeColor="accent1" w:themeTint="90"/>
        <w:left w:val="single" w:sz="4" w:space="0" w:color="A2C6E7" w:themeColor="accent1" w:themeTint="90"/>
        <w:bottom w:val="single" w:sz="4" w:space="0" w:color="A2C6E7" w:themeColor="accent1" w:themeTint="90"/>
        <w:right w:val="single" w:sz="4" w:space="0" w:color="A2C6E7" w:themeColor="accent1" w:themeTint="90"/>
        <w:insideH w:val="single" w:sz="4" w:space="0" w:color="A2C6E7" w:themeColor="accent1" w:themeTint="90"/>
      </w:tblBorders>
    </w:tblPr>
    <w:tblStylePr w:type="firstRow">
      <w:rPr>
        <w:rFonts w:ascii="Arial" w:hAnsi="Arial"/>
        <w:b/>
        <w:color w:val="FFFFFF"/>
        <w:sz w:val="22"/>
      </w:rPr>
      <w:tblPr/>
      <w:tcPr>
        <w:shd w:val="clear" w:color="5B9BD5" w:themeColor="accent1" w:fill="5B9BD5"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5E5F4" w:themeColor="accent1" w:themeTint="40" w:fill="D5E5F4" w:themeFill="accent1" w:themeFillTint="40"/>
      </w:tcPr>
    </w:tblStylePr>
    <w:tblStylePr w:type="band1Horz">
      <w:rPr>
        <w:rFonts w:ascii="Arial" w:hAnsi="Arial"/>
        <w:color w:val="404040"/>
        <w:sz w:val="22"/>
      </w:rPr>
      <w:tblPr/>
      <w:tcPr>
        <w:shd w:val="clear" w:color="D5E5F4" w:themeColor="accent1" w:themeTint="40" w:fill="D5E5F4" w:themeFill="accent1" w:themeFillTint="40"/>
      </w:tcPr>
    </w:tblStylePr>
  </w:style>
  <w:style w:type="table" w:styleId="ListTable4-Accent2">
    <w:name w:val="List Table 4 Accent 2"/>
    <w:basedOn w:val="TableNormal"/>
    <w:uiPriority w:val="99"/>
    <w:pPr>
      <w:spacing w:after="0" w:line="240" w:lineRule="auto"/>
    </w:pPr>
    <w:tblPr>
      <w:tblStyleRowBandSize w:val="1"/>
      <w:tblStyleColBandSize w:val="1"/>
      <w:tblBorders>
        <w:top w:val="single" w:sz="4" w:space="0" w:color="F4B58A" w:themeColor="accent2" w:themeTint="90"/>
        <w:left w:val="single" w:sz="4" w:space="0" w:color="F4B58A" w:themeColor="accent2" w:themeTint="90"/>
        <w:bottom w:val="single" w:sz="4" w:space="0" w:color="F4B58A" w:themeColor="accent2" w:themeTint="90"/>
        <w:right w:val="single" w:sz="4" w:space="0" w:color="F4B58A" w:themeColor="accent2" w:themeTint="90"/>
        <w:insideH w:val="single" w:sz="4" w:space="0" w:color="F4B58A" w:themeColor="accent2" w:themeTint="90"/>
      </w:tblBorders>
    </w:tblPr>
    <w:tblStylePr w:type="firstRow">
      <w:rPr>
        <w:rFonts w:ascii="Arial" w:hAnsi="Arial"/>
        <w:b/>
        <w:color w:val="FFFFFF"/>
        <w:sz w:val="22"/>
      </w:rPr>
      <w:tblPr/>
      <w:tcPr>
        <w:shd w:val="clear" w:color="ED7D31" w:themeColor="accent2" w:fill="ED7D31"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ADECB" w:themeColor="accent2" w:themeTint="40" w:fill="FADECB" w:themeFill="accent2" w:themeFillTint="40"/>
      </w:tcPr>
    </w:tblStylePr>
    <w:tblStylePr w:type="band1Horz">
      <w:rPr>
        <w:rFonts w:ascii="Arial" w:hAnsi="Arial"/>
        <w:color w:val="404040"/>
        <w:sz w:val="22"/>
      </w:rPr>
      <w:tblPr/>
      <w:tcPr>
        <w:shd w:val="clear" w:color="FADECB" w:themeColor="accent2" w:themeTint="40" w:fill="FADECB" w:themeFill="accent2" w:themeFillTint="40"/>
      </w:tcPr>
    </w:tblStylePr>
  </w:style>
  <w:style w:type="table" w:styleId="ListTable4-Accent3">
    <w:name w:val="List Table 4 Accent 3"/>
    <w:basedOn w:val="TableNormal"/>
    <w:uiPriority w:val="99"/>
    <w:pPr>
      <w:spacing w:after="0" w:line="240" w:lineRule="auto"/>
    </w:pPr>
    <w:tblPr>
      <w:tblStyleRowBandSize w:val="1"/>
      <w:tblStyleColBandSize w:val="1"/>
      <w:tblBorders>
        <w:top w:val="single" w:sz="4" w:space="0" w:color="CCCCCC" w:themeColor="accent3" w:themeTint="90"/>
        <w:left w:val="single" w:sz="4" w:space="0" w:color="CCCCCC" w:themeColor="accent3" w:themeTint="90"/>
        <w:bottom w:val="single" w:sz="4" w:space="0" w:color="CCCCCC" w:themeColor="accent3" w:themeTint="90"/>
        <w:right w:val="single" w:sz="4" w:space="0" w:color="CCCCCC" w:themeColor="accent3" w:themeTint="90"/>
        <w:insideH w:val="single" w:sz="4" w:space="0" w:color="CCCCCC" w:themeColor="accent3" w:themeTint="90"/>
      </w:tblBorders>
    </w:tblPr>
    <w:tblStylePr w:type="firstRow">
      <w:rPr>
        <w:rFonts w:ascii="Arial" w:hAnsi="Arial"/>
        <w:b/>
        <w:color w:val="FFFFFF"/>
        <w:sz w:val="22"/>
      </w:rPr>
      <w:tblPr/>
      <w:tcPr>
        <w:shd w:val="clear" w:color="A5A5A5" w:themeColor="accent3" w:fill="A5A5A5"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8E8E8" w:themeColor="accent3" w:themeTint="40" w:fill="E8E8E8" w:themeFill="accent3" w:themeFillTint="40"/>
      </w:tcPr>
    </w:tblStylePr>
    <w:tblStylePr w:type="band1Horz">
      <w:rPr>
        <w:rFonts w:ascii="Arial" w:hAnsi="Arial"/>
        <w:color w:val="404040"/>
        <w:sz w:val="22"/>
      </w:rPr>
      <w:tblPr/>
      <w:tcPr>
        <w:shd w:val="clear" w:color="E8E8E8" w:themeColor="accent3" w:themeTint="40" w:fill="E8E8E8" w:themeFill="accent3" w:themeFillTint="40"/>
      </w:tcPr>
    </w:tblStylePr>
  </w:style>
  <w:style w:type="table" w:styleId="ListTable4-Accent4">
    <w:name w:val="List Table 4 Accent 4"/>
    <w:basedOn w:val="TableNormal"/>
    <w:uiPriority w:val="99"/>
    <w:pPr>
      <w:spacing w:after="0" w:line="240" w:lineRule="auto"/>
    </w:pPr>
    <w:tblPr>
      <w:tblStyleRowBandSize w:val="1"/>
      <w:tblStyleColBandSize w:val="1"/>
      <w:tblBorders>
        <w:top w:val="single" w:sz="4" w:space="0" w:color="FFDB6F" w:themeColor="accent4" w:themeTint="90"/>
        <w:left w:val="single" w:sz="4" w:space="0" w:color="FFDB6F" w:themeColor="accent4" w:themeTint="90"/>
        <w:bottom w:val="single" w:sz="4" w:space="0" w:color="FFDB6F" w:themeColor="accent4" w:themeTint="90"/>
        <w:right w:val="single" w:sz="4" w:space="0" w:color="FFDB6F" w:themeColor="accent4" w:themeTint="90"/>
        <w:insideH w:val="single" w:sz="4" w:space="0" w:color="FFDB6F" w:themeColor="accent4" w:themeTint="90"/>
      </w:tblBorders>
    </w:tblPr>
    <w:tblStylePr w:type="firstRow">
      <w:rPr>
        <w:rFonts w:ascii="Arial" w:hAnsi="Arial"/>
        <w:b/>
        <w:color w:val="FFFFFF"/>
        <w:sz w:val="22"/>
      </w:rPr>
      <w:tblPr/>
      <w:tcPr>
        <w:shd w:val="clear" w:color="FFC000" w:themeColor="accent4" w:fill="FFC000"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EFBF" w:themeColor="accent4" w:themeTint="40" w:fill="FFEFBF" w:themeFill="accent4" w:themeFillTint="40"/>
      </w:tcPr>
    </w:tblStylePr>
    <w:tblStylePr w:type="band1Horz">
      <w:rPr>
        <w:rFonts w:ascii="Arial" w:hAnsi="Arial"/>
        <w:color w:val="404040"/>
        <w:sz w:val="22"/>
      </w:rPr>
      <w:tblPr/>
      <w:tcPr>
        <w:shd w:val="clear" w:color="FFEFBF" w:themeColor="accent4" w:themeTint="40" w:fill="FFEFBF" w:themeFill="accent4" w:themeFillTint="40"/>
      </w:tcPr>
    </w:tblStylePr>
  </w:style>
  <w:style w:type="table" w:styleId="ListTable4-Accent5">
    <w:name w:val="List Table 4 Accent 5"/>
    <w:basedOn w:val="TableNormal"/>
    <w:uiPriority w:val="99"/>
    <w:pPr>
      <w:spacing w:after="0" w:line="240" w:lineRule="auto"/>
    </w:pPr>
    <w:tblPr>
      <w:tblStyleRowBandSize w:val="1"/>
      <w:tblStyleColBandSize w:val="1"/>
      <w:tblBorders>
        <w:top w:val="single" w:sz="4" w:space="0" w:color="95AFDD" w:themeColor="accent5" w:themeTint="90"/>
        <w:left w:val="single" w:sz="4" w:space="0" w:color="95AFDD" w:themeColor="accent5" w:themeTint="90"/>
        <w:bottom w:val="single" w:sz="4" w:space="0" w:color="95AFDD" w:themeColor="accent5" w:themeTint="90"/>
        <w:right w:val="single" w:sz="4" w:space="0" w:color="95AFDD" w:themeColor="accent5" w:themeTint="90"/>
        <w:insideH w:val="single" w:sz="4" w:space="0" w:color="95AFDD" w:themeColor="accent5" w:themeTint="90"/>
      </w:tblBorders>
    </w:tblPr>
    <w:tblStylePr w:type="firstRow">
      <w:rPr>
        <w:rFonts w:ascii="Arial" w:hAnsi="Arial"/>
        <w:b/>
        <w:color w:val="FFFFFF"/>
        <w:sz w:val="22"/>
      </w:rPr>
      <w:tblPr/>
      <w:tcPr>
        <w:shd w:val="clear" w:color="4472C4" w:themeColor="accent5" w:fill="4472C4"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FDBF0" w:themeColor="accent5" w:themeTint="40" w:fill="CFDBF0" w:themeFill="accent5" w:themeFillTint="40"/>
      </w:tcPr>
    </w:tblStylePr>
    <w:tblStylePr w:type="band1Horz">
      <w:rPr>
        <w:rFonts w:ascii="Arial" w:hAnsi="Arial"/>
        <w:color w:val="404040"/>
        <w:sz w:val="22"/>
      </w:rPr>
      <w:tblPr/>
      <w:tcPr>
        <w:shd w:val="clear" w:color="CFDBF0" w:themeColor="accent5" w:themeTint="40" w:fill="CFDBF0" w:themeFill="accent5" w:themeFillTint="40"/>
      </w:tcPr>
    </w:tblStylePr>
  </w:style>
  <w:style w:type="table" w:styleId="ListTable4-Accent6">
    <w:name w:val="List Table 4 Accent 6"/>
    <w:basedOn w:val="TableNormal"/>
    <w:uiPriority w:val="99"/>
    <w:pPr>
      <w:spacing w:after="0" w:line="240" w:lineRule="auto"/>
    </w:pPr>
    <w:tblPr>
      <w:tblStyleRowBandSize w:val="1"/>
      <w:tblStyleColBandSize w:val="1"/>
      <w:tblBorders>
        <w:top w:val="single" w:sz="4" w:space="0" w:color="ADD394" w:themeColor="accent6" w:themeTint="90"/>
        <w:left w:val="single" w:sz="4" w:space="0" w:color="ADD394" w:themeColor="accent6" w:themeTint="90"/>
        <w:bottom w:val="single" w:sz="4" w:space="0" w:color="ADD394" w:themeColor="accent6" w:themeTint="90"/>
        <w:right w:val="single" w:sz="4" w:space="0" w:color="ADD394" w:themeColor="accent6" w:themeTint="90"/>
        <w:insideH w:val="single" w:sz="4" w:space="0" w:color="ADD394" w:themeColor="accent6" w:themeTint="90"/>
      </w:tblBorders>
    </w:tblPr>
    <w:tblStylePr w:type="firstRow">
      <w:rPr>
        <w:rFonts w:ascii="Arial" w:hAnsi="Arial"/>
        <w:b/>
        <w:color w:val="FFFFFF"/>
        <w:sz w:val="22"/>
      </w:rPr>
      <w:tblPr/>
      <w:tcPr>
        <w:shd w:val="clear" w:color="70AD47" w:themeColor="accent6" w:fill="70AD47"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BCF" w:themeColor="accent6" w:themeTint="40" w:fill="DAEBCF" w:themeFill="accent6" w:themeFillTint="40"/>
      </w:tcPr>
    </w:tblStylePr>
    <w:tblStylePr w:type="band1Horz">
      <w:rPr>
        <w:rFonts w:ascii="Arial" w:hAnsi="Arial"/>
        <w:color w:val="404040"/>
        <w:sz w:val="22"/>
      </w:rPr>
      <w:tblPr/>
      <w:tcPr>
        <w:shd w:val="clear" w:color="DAEBCF" w:themeColor="accent6" w:themeTint="40" w:fill="DAEBCF" w:themeFill="accent6" w:themeFillTint="40"/>
      </w:tcPr>
    </w:tblStylePr>
  </w:style>
  <w:style w:type="table" w:styleId="ListTable5Dark-Accent1">
    <w:name w:val="List Table 5 Dark Accent 1"/>
    <w:basedOn w:val="TableNormal"/>
    <w:uiPriority w:val="99"/>
    <w:pPr>
      <w:spacing w:after="0" w:line="240" w:lineRule="auto"/>
    </w:pPr>
    <w:tblPr>
      <w:tblStyleRowBandSize w:val="1"/>
      <w:tblStyleColBandSize w:val="1"/>
      <w:tblBorders>
        <w:top w:val="single" w:sz="32" w:space="0" w:color="5B9BD5" w:themeColor="accent1"/>
        <w:left w:val="single" w:sz="32" w:space="0" w:color="5B9BD5" w:themeColor="accent1"/>
        <w:bottom w:val="single" w:sz="32" w:space="0" w:color="5B9BD5" w:themeColor="accent1"/>
        <w:right w:val="single" w:sz="32" w:space="0" w:color="5B9BD5" w:themeColor="accent1"/>
      </w:tblBorders>
      <w:shd w:val="clear" w:color="5B9BD5" w:themeColor="accent1" w:fill="5B9BD5" w:themeFill="accent1"/>
    </w:tblPr>
    <w:tblStylePr w:type="firstRow">
      <w:rPr>
        <w:rFonts w:ascii="Arial" w:hAnsi="Arial"/>
        <w:b/>
        <w:color w:val="FFFFFF" w:themeColor="light1"/>
        <w:sz w:val="22"/>
      </w:rPr>
      <w:tblPr/>
      <w:tcPr>
        <w:tcBorders>
          <w:top w:val="single" w:sz="32" w:space="0" w:color="5B9BD5" w:themeColor="accent1"/>
          <w:bottom w:val="single" w:sz="12" w:space="0" w:color="FFFFFF" w:themeColor="light1"/>
        </w:tcBorders>
        <w:shd w:val="clear" w:color="5B9BD5" w:themeColor="accent1" w:fill="5B9BD5"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5B9BD5" w:themeColor="accent1"/>
          <w:right w:val="single" w:sz="4" w:space="0" w:color="FFFFFF" w:themeColor="light1"/>
        </w:tcBorders>
      </w:tcPr>
    </w:tblStylePr>
    <w:tblStylePr w:type="lastCol">
      <w:tblPr/>
      <w:tcPr>
        <w:tcBorders>
          <w:left w:val="single" w:sz="4" w:space="0" w:color="FFFFFF" w:themeColor="light1"/>
          <w:right w:val="single" w:sz="32" w:space="0" w:color="5B9BD5" w:themeColor="accent1"/>
        </w:tcBorders>
      </w:tcPr>
    </w:tblStylePr>
    <w:tblStylePr w:type="band1Vert">
      <w:tblPr/>
      <w:tcPr>
        <w:tcBorders>
          <w:left w:val="single" w:sz="4" w:space="0" w:color="FFFFFF" w:themeColor="light1"/>
          <w:right w:val="single" w:sz="4" w:space="0" w:color="FFFFFF" w:themeColor="light1"/>
        </w:tcBorders>
        <w:shd w:val="clear" w:color="5B9BD5" w:themeColor="accent1" w:fill="5B9BD5" w:themeFill="accent1"/>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5B9BD5" w:themeColor="accent1" w:fill="5B9BD5" w:themeFill="accent1"/>
      </w:tcPr>
    </w:tblStylePr>
    <w:tblStylePr w:type="band2Horz">
      <w:tblPr/>
      <w:tcPr>
        <w:tcBorders>
          <w:top w:val="single" w:sz="4" w:space="0" w:color="FFFFFF" w:themeColor="light1"/>
          <w:bottom w:val="single" w:sz="4" w:space="0" w:color="FFFFFF" w:themeColor="light1"/>
        </w:tcBorders>
        <w:shd w:val="clear" w:color="5B9BD5" w:themeColor="accent1" w:fill="5B9BD5" w:themeFill="accent1"/>
      </w:tcPr>
    </w:tblStylePr>
  </w:style>
  <w:style w:type="table" w:styleId="ListTable5Dark-Accent2">
    <w:name w:val="List Table 5 Dark Accent 2"/>
    <w:basedOn w:val="TableNormal"/>
    <w:uiPriority w:val="99"/>
    <w:pPr>
      <w:spacing w:after="0" w:line="240" w:lineRule="auto"/>
    </w:pPr>
    <w:tblPr>
      <w:tblStyleRowBandSize w:val="1"/>
      <w:tblStyleColBandSize w:val="1"/>
      <w:tblBorders>
        <w:top w:val="single" w:sz="32" w:space="0" w:color="F4B184" w:themeColor="accent2" w:themeTint="97"/>
        <w:left w:val="single" w:sz="32" w:space="0" w:color="F4B184" w:themeColor="accent2" w:themeTint="97"/>
        <w:bottom w:val="single" w:sz="32" w:space="0" w:color="F4B184" w:themeColor="accent2" w:themeTint="97"/>
        <w:right w:val="single" w:sz="32" w:space="0" w:color="F4B184" w:themeColor="accent2" w:themeTint="97"/>
      </w:tblBorders>
      <w:shd w:val="clear" w:color="F4B184" w:themeColor="accent2" w:themeTint="97" w:fill="F4B184" w:themeFill="accent2" w:themeFillTint="97"/>
    </w:tblPr>
    <w:tblStylePr w:type="firstRow">
      <w:rPr>
        <w:rFonts w:ascii="Arial" w:hAnsi="Arial"/>
        <w:b/>
        <w:color w:val="FFFFFF" w:themeColor="light1"/>
        <w:sz w:val="22"/>
      </w:rPr>
      <w:tblPr/>
      <w:tcPr>
        <w:tcBorders>
          <w:top w:val="single" w:sz="32" w:space="0" w:color="F4B184" w:themeColor="accent2" w:themeTint="97"/>
          <w:bottom w:val="single" w:sz="12" w:space="0" w:color="FFFFFF" w:themeColor="light1"/>
        </w:tcBorders>
        <w:shd w:val="clear" w:color="F4B184" w:themeColor="accent2" w:themeTint="97" w:fill="F4B184"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4B184" w:themeColor="accent2" w:themeTint="97"/>
          <w:right w:val="single" w:sz="4" w:space="0" w:color="FFFFFF" w:themeColor="light1"/>
        </w:tcBorders>
      </w:tcPr>
    </w:tblStylePr>
    <w:tblStylePr w:type="lastCol">
      <w:tblPr/>
      <w:tcPr>
        <w:tcBorders>
          <w:left w:val="single" w:sz="4" w:space="0" w:color="FFFFFF" w:themeColor="light1"/>
          <w:right w:val="single" w:sz="32" w:space="0" w:color="F4B184" w:themeColor="accent2" w:themeTint="97"/>
        </w:tcBorders>
      </w:tcPr>
    </w:tblStylePr>
    <w:tblStylePr w:type="band1Vert">
      <w:tblPr/>
      <w:tcPr>
        <w:tcBorders>
          <w:left w:val="single" w:sz="4" w:space="0" w:color="FFFFFF" w:themeColor="light1"/>
          <w:right w:val="single" w:sz="4" w:space="0" w:color="FFFFFF" w:themeColor="light1"/>
        </w:tcBorders>
        <w:shd w:val="clear" w:color="F4B184" w:themeColor="accent2" w:themeTint="97" w:fill="F4B184" w:themeFill="accent2" w:themeFillTint="97"/>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4B184" w:themeColor="accent2" w:themeTint="97" w:fill="F4B184" w:themeFill="accent2" w:themeFillTint="97"/>
      </w:tcPr>
    </w:tblStylePr>
    <w:tblStylePr w:type="band2Horz">
      <w:tblPr/>
      <w:tcPr>
        <w:tcBorders>
          <w:top w:val="single" w:sz="4" w:space="0" w:color="FFFFFF" w:themeColor="light1"/>
          <w:bottom w:val="single" w:sz="4" w:space="0" w:color="FFFFFF" w:themeColor="light1"/>
        </w:tcBorders>
        <w:shd w:val="clear" w:color="F4B184" w:themeColor="accent2" w:themeTint="97" w:fill="F4B184" w:themeFill="accent2" w:themeFillTint="97"/>
      </w:tcPr>
    </w:tblStylePr>
  </w:style>
  <w:style w:type="table" w:styleId="ListTable5Dark-Accent3">
    <w:name w:val="List Table 5 Dark Accent 3"/>
    <w:basedOn w:val="TableNormal"/>
    <w:uiPriority w:val="99"/>
    <w:pPr>
      <w:spacing w:after="0" w:line="240" w:lineRule="auto"/>
    </w:pPr>
    <w:tblPr>
      <w:tblStyleRowBandSize w:val="1"/>
      <w:tblStyleColBandSize w:val="1"/>
      <w:tblBorders>
        <w:top w:val="single" w:sz="32" w:space="0" w:color="C9C9C9" w:themeColor="accent3" w:themeTint="98"/>
        <w:left w:val="single" w:sz="32" w:space="0" w:color="C9C9C9" w:themeColor="accent3" w:themeTint="98"/>
        <w:bottom w:val="single" w:sz="32" w:space="0" w:color="C9C9C9" w:themeColor="accent3" w:themeTint="98"/>
        <w:right w:val="single" w:sz="32" w:space="0" w:color="C9C9C9" w:themeColor="accent3" w:themeTint="98"/>
      </w:tblBorders>
      <w:shd w:val="clear" w:color="C9C9C9" w:themeColor="accent3" w:themeTint="98" w:fill="C9C9C9" w:themeFill="accent3" w:themeFillTint="98"/>
    </w:tblPr>
    <w:tblStylePr w:type="firstRow">
      <w:rPr>
        <w:rFonts w:ascii="Arial" w:hAnsi="Arial"/>
        <w:b/>
        <w:color w:val="FFFFFF" w:themeColor="light1"/>
        <w:sz w:val="22"/>
      </w:rPr>
      <w:tblPr/>
      <w:tcPr>
        <w:tcBorders>
          <w:top w:val="single" w:sz="32" w:space="0" w:color="C9C9C9" w:themeColor="accent3" w:themeTint="98"/>
          <w:bottom w:val="single" w:sz="12" w:space="0" w:color="FFFFFF" w:themeColor="light1"/>
        </w:tcBorders>
        <w:shd w:val="clear" w:color="C9C9C9" w:themeColor="accent3" w:themeTint="98" w:fill="C9C9C9"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C9C9C9" w:themeColor="accent3" w:themeTint="98"/>
          <w:right w:val="single" w:sz="4" w:space="0" w:color="FFFFFF" w:themeColor="light1"/>
        </w:tcBorders>
      </w:tcPr>
    </w:tblStylePr>
    <w:tblStylePr w:type="lastCol">
      <w:tblPr/>
      <w:tcPr>
        <w:tcBorders>
          <w:left w:val="single" w:sz="4" w:space="0" w:color="FFFFFF" w:themeColor="light1"/>
          <w:right w:val="single" w:sz="32" w:space="0" w:color="C9C9C9" w:themeColor="accent3" w:themeTint="98"/>
        </w:tcBorders>
      </w:tcPr>
    </w:tblStylePr>
    <w:tblStylePr w:type="band1Vert">
      <w:tblPr/>
      <w:tcPr>
        <w:tcBorders>
          <w:left w:val="single" w:sz="4" w:space="0" w:color="FFFFFF" w:themeColor="light1"/>
          <w:right w:val="single" w:sz="4" w:space="0" w:color="FFFFFF" w:themeColor="light1"/>
        </w:tcBorders>
        <w:shd w:val="clear" w:color="C9C9C9" w:themeColor="accent3" w:themeTint="98" w:fill="C9C9C9" w:themeFill="accent3"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C9C9C9" w:themeColor="accent3" w:themeTint="98" w:fill="C9C9C9" w:themeFill="accent3" w:themeFillTint="98"/>
      </w:tcPr>
    </w:tblStylePr>
    <w:tblStylePr w:type="band2Horz">
      <w:tblPr/>
      <w:tcPr>
        <w:tcBorders>
          <w:top w:val="single" w:sz="4" w:space="0" w:color="FFFFFF" w:themeColor="light1"/>
          <w:bottom w:val="single" w:sz="4" w:space="0" w:color="FFFFFF" w:themeColor="light1"/>
        </w:tcBorders>
        <w:shd w:val="clear" w:color="C9C9C9" w:themeColor="accent3" w:themeTint="98" w:fill="C9C9C9" w:themeFill="accent3" w:themeFillTint="98"/>
      </w:tcPr>
    </w:tblStylePr>
  </w:style>
  <w:style w:type="table" w:styleId="ListTable5Dark-Accent4">
    <w:name w:val="List Table 5 Dark Accent 4"/>
    <w:basedOn w:val="TableNormal"/>
    <w:uiPriority w:val="99"/>
    <w:pPr>
      <w:spacing w:after="0" w:line="240" w:lineRule="auto"/>
    </w:pPr>
    <w:tblPr>
      <w:tblStyleRowBandSize w:val="1"/>
      <w:tblStyleColBandSize w:val="1"/>
      <w:tblBorders>
        <w:top w:val="single" w:sz="32" w:space="0" w:color="FFD865" w:themeColor="accent4" w:themeTint="9A"/>
        <w:left w:val="single" w:sz="32" w:space="0" w:color="FFD865" w:themeColor="accent4" w:themeTint="9A"/>
        <w:bottom w:val="single" w:sz="32" w:space="0" w:color="FFD865" w:themeColor="accent4" w:themeTint="9A"/>
        <w:right w:val="single" w:sz="32" w:space="0" w:color="FFD865" w:themeColor="accent4" w:themeTint="9A"/>
      </w:tblBorders>
      <w:shd w:val="clear" w:color="FFD865" w:themeColor="accent4" w:themeTint="9A" w:fill="FFD865" w:themeFill="accent4" w:themeFillTint="9A"/>
    </w:tblPr>
    <w:tblStylePr w:type="firstRow">
      <w:rPr>
        <w:rFonts w:ascii="Arial" w:hAnsi="Arial"/>
        <w:b/>
        <w:color w:val="FFFFFF" w:themeColor="light1"/>
        <w:sz w:val="22"/>
      </w:rPr>
      <w:tblPr/>
      <w:tcPr>
        <w:tcBorders>
          <w:top w:val="single" w:sz="32" w:space="0" w:color="FFD865" w:themeColor="accent4" w:themeTint="9A"/>
          <w:bottom w:val="single" w:sz="12" w:space="0" w:color="FFFFFF" w:themeColor="light1"/>
        </w:tcBorders>
        <w:shd w:val="clear" w:color="FFD865" w:themeColor="accent4" w:themeTint="9A" w:fill="FFD865"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FD865" w:themeColor="accent4" w:themeTint="9A"/>
          <w:right w:val="single" w:sz="4" w:space="0" w:color="FFFFFF" w:themeColor="light1"/>
        </w:tcBorders>
      </w:tcPr>
    </w:tblStylePr>
    <w:tblStylePr w:type="lastCol">
      <w:tblPr/>
      <w:tcPr>
        <w:tcBorders>
          <w:left w:val="single" w:sz="4" w:space="0" w:color="FFFFFF" w:themeColor="light1"/>
          <w:right w:val="single" w:sz="32" w:space="0" w:color="FFD865" w:themeColor="accent4" w:themeTint="9A"/>
        </w:tcBorders>
      </w:tcPr>
    </w:tblStylePr>
    <w:tblStylePr w:type="band1Vert">
      <w:tblPr/>
      <w:tcPr>
        <w:tcBorders>
          <w:left w:val="single" w:sz="4" w:space="0" w:color="FFFFFF" w:themeColor="light1"/>
          <w:right w:val="single" w:sz="4" w:space="0" w:color="FFFFFF" w:themeColor="light1"/>
        </w:tcBorders>
        <w:shd w:val="clear" w:color="FFD865" w:themeColor="accent4" w:themeTint="9A" w:fill="FFD865" w:themeFill="accent4"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FD865" w:themeColor="accent4" w:themeTint="9A" w:fill="FFD865" w:themeFill="accent4" w:themeFillTint="9A"/>
      </w:tcPr>
    </w:tblStylePr>
    <w:tblStylePr w:type="band2Horz">
      <w:tblPr/>
      <w:tcPr>
        <w:tcBorders>
          <w:top w:val="single" w:sz="4" w:space="0" w:color="FFFFFF" w:themeColor="light1"/>
          <w:bottom w:val="single" w:sz="4" w:space="0" w:color="FFFFFF" w:themeColor="light1"/>
        </w:tcBorders>
        <w:shd w:val="clear" w:color="FFD865" w:themeColor="accent4" w:themeTint="9A" w:fill="FFD865" w:themeFill="accent4" w:themeFillTint="9A"/>
      </w:tcPr>
    </w:tblStylePr>
  </w:style>
  <w:style w:type="table" w:styleId="ListTable5Dark-Accent5">
    <w:name w:val="List Table 5 Dark Accent 5"/>
    <w:basedOn w:val="TableNormal"/>
    <w:uiPriority w:val="99"/>
    <w:pPr>
      <w:spacing w:after="0" w:line="240" w:lineRule="auto"/>
    </w:pPr>
    <w:tblPr>
      <w:tblStyleRowBandSize w:val="1"/>
      <w:tblStyleColBandSize w:val="1"/>
      <w:tblBorders>
        <w:top w:val="single" w:sz="32" w:space="0" w:color="8DA9DB" w:themeColor="accent5" w:themeTint="9A"/>
        <w:left w:val="single" w:sz="32" w:space="0" w:color="8DA9DB" w:themeColor="accent5" w:themeTint="9A"/>
        <w:bottom w:val="single" w:sz="32" w:space="0" w:color="8DA9DB" w:themeColor="accent5" w:themeTint="9A"/>
        <w:right w:val="single" w:sz="32" w:space="0" w:color="8DA9DB" w:themeColor="accent5" w:themeTint="9A"/>
      </w:tblBorders>
      <w:shd w:val="clear" w:color="8DA9DB" w:themeColor="accent5" w:themeTint="9A" w:fill="8DA9DB" w:themeFill="accent5" w:themeFillTint="9A"/>
    </w:tblPr>
    <w:tblStylePr w:type="firstRow">
      <w:rPr>
        <w:rFonts w:ascii="Arial" w:hAnsi="Arial"/>
        <w:b/>
        <w:color w:val="FFFFFF" w:themeColor="light1"/>
        <w:sz w:val="22"/>
      </w:rPr>
      <w:tblPr/>
      <w:tcPr>
        <w:tcBorders>
          <w:top w:val="single" w:sz="32" w:space="0" w:color="8DA9DB" w:themeColor="accent5" w:themeTint="9A"/>
          <w:bottom w:val="single" w:sz="12" w:space="0" w:color="FFFFFF" w:themeColor="light1"/>
        </w:tcBorders>
        <w:shd w:val="clear" w:color="8DA9DB" w:themeColor="accent5" w:themeTint="9A" w:fill="8DA9DB"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8DA9DB" w:themeColor="accent5" w:themeTint="9A"/>
          <w:right w:val="single" w:sz="4" w:space="0" w:color="FFFFFF" w:themeColor="light1"/>
        </w:tcBorders>
      </w:tcPr>
    </w:tblStylePr>
    <w:tblStylePr w:type="lastCol">
      <w:tblPr/>
      <w:tcPr>
        <w:tcBorders>
          <w:left w:val="single" w:sz="4" w:space="0" w:color="FFFFFF" w:themeColor="light1"/>
          <w:right w:val="single" w:sz="32" w:space="0" w:color="8DA9DB" w:themeColor="accent5" w:themeTint="9A"/>
        </w:tcBorders>
      </w:tcPr>
    </w:tblStylePr>
    <w:tblStylePr w:type="band1Vert">
      <w:tblPr/>
      <w:tcPr>
        <w:tcBorders>
          <w:left w:val="single" w:sz="4" w:space="0" w:color="FFFFFF" w:themeColor="light1"/>
          <w:right w:val="single" w:sz="4" w:space="0" w:color="FFFFFF" w:themeColor="light1"/>
        </w:tcBorders>
        <w:shd w:val="clear" w:color="8DA9DB" w:themeColor="accent5" w:themeTint="9A" w:fill="8DA9DB" w:themeFill="accent5"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8DA9DB" w:themeColor="accent5" w:themeTint="9A" w:fill="8DA9DB" w:themeFill="accent5" w:themeFillTint="9A"/>
      </w:tcPr>
    </w:tblStylePr>
    <w:tblStylePr w:type="band2Horz">
      <w:tblPr/>
      <w:tcPr>
        <w:tcBorders>
          <w:top w:val="single" w:sz="4" w:space="0" w:color="FFFFFF" w:themeColor="light1"/>
          <w:bottom w:val="single" w:sz="4" w:space="0" w:color="FFFFFF" w:themeColor="light1"/>
        </w:tcBorders>
        <w:shd w:val="clear" w:color="8DA9DB" w:themeColor="accent5" w:themeTint="9A" w:fill="8DA9DB" w:themeFill="accent5" w:themeFillTint="9A"/>
      </w:tcPr>
    </w:tblStylePr>
  </w:style>
  <w:style w:type="table" w:styleId="ListTable5Dark-Accent6">
    <w:name w:val="List Table 5 Dark Accent 6"/>
    <w:basedOn w:val="TableNormal"/>
    <w:uiPriority w:val="99"/>
    <w:pPr>
      <w:spacing w:after="0" w:line="240" w:lineRule="auto"/>
    </w:pPr>
    <w:tblPr>
      <w:tblStyleRowBandSize w:val="1"/>
      <w:tblStyleColBandSize w:val="1"/>
      <w:tblBorders>
        <w:top w:val="single" w:sz="32" w:space="0" w:color="A9D08E" w:themeColor="accent6" w:themeTint="98"/>
        <w:left w:val="single" w:sz="32" w:space="0" w:color="A9D08E" w:themeColor="accent6" w:themeTint="98"/>
        <w:bottom w:val="single" w:sz="32" w:space="0" w:color="A9D08E" w:themeColor="accent6" w:themeTint="98"/>
        <w:right w:val="single" w:sz="32" w:space="0" w:color="A9D08E" w:themeColor="accent6" w:themeTint="98"/>
      </w:tblBorders>
      <w:shd w:val="clear" w:color="A9D08E" w:themeColor="accent6" w:themeTint="98" w:fill="A9D08E" w:themeFill="accent6" w:themeFillTint="98"/>
    </w:tblPr>
    <w:tblStylePr w:type="firstRow">
      <w:rPr>
        <w:rFonts w:ascii="Arial" w:hAnsi="Arial"/>
        <w:b/>
        <w:color w:val="FFFFFF" w:themeColor="light1"/>
        <w:sz w:val="22"/>
      </w:rPr>
      <w:tblPr/>
      <w:tcPr>
        <w:tcBorders>
          <w:top w:val="single" w:sz="32" w:space="0" w:color="A9D08E" w:themeColor="accent6" w:themeTint="98"/>
          <w:bottom w:val="single" w:sz="12" w:space="0" w:color="FFFFFF" w:themeColor="light1"/>
        </w:tcBorders>
        <w:shd w:val="clear" w:color="A9D08E" w:themeColor="accent6" w:themeTint="98" w:fill="A9D08E"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A9D08E" w:themeColor="accent6" w:themeTint="98"/>
          <w:right w:val="single" w:sz="4" w:space="0" w:color="FFFFFF" w:themeColor="light1"/>
        </w:tcBorders>
      </w:tcPr>
    </w:tblStylePr>
    <w:tblStylePr w:type="lastCol">
      <w:tblPr/>
      <w:tcPr>
        <w:tcBorders>
          <w:left w:val="single" w:sz="4" w:space="0" w:color="FFFFFF" w:themeColor="light1"/>
          <w:right w:val="single" w:sz="32" w:space="0" w:color="A9D08E" w:themeColor="accent6" w:themeTint="98"/>
        </w:tcBorders>
      </w:tcPr>
    </w:tblStylePr>
    <w:tblStylePr w:type="band1Vert">
      <w:tblPr/>
      <w:tcPr>
        <w:tcBorders>
          <w:left w:val="single" w:sz="4" w:space="0" w:color="FFFFFF" w:themeColor="light1"/>
          <w:right w:val="single" w:sz="4" w:space="0" w:color="FFFFFF" w:themeColor="light1"/>
        </w:tcBorders>
        <w:shd w:val="clear" w:color="A9D08E" w:themeColor="accent6" w:themeTint="98" w:fill="A9D08E" w:themeFill="accent6"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9D08E" w:themeColor="accent6" w:themeTint="98" w:fill="A9D08E" w:themeFill="accent6" w:themeFillTint="98"/>
      </w:tcPr>
    </w:tblStylePr>
    <w:tblStylePr w:type="band2Horz">
      <w:tblPr/>
      <w:tcPr>
        <w:tcBorders>
          <w:top w:val="single" w:sz="4" w:space="0" w:color="FFFFFF" w:themeColor="light1"/>
          <w:bottom w:val="single" w:sz="4" w:space="0" w:color="FFFFFF" w:themeColor="light1"/>
        </w:tcBorders>
        <w:shd w:val="clear" w:color="A9D08E" w:themeColor="accent6" w:themeTint="98" w:fill="A9D08E" w:themeFill="accent6" w:themeFillTint="98"/>
      </w:tcPr>
    </w:tblStylePr>
  </w:style>
  <w:style w:type="paragraph" w:styleId="Title">
    <w:name w:val="Title"/>
    <w:basedOn w:val="Normal"/>
    <w:next w:val="Normal"/>
    <w:link w:val="TitleChar"/>
    <w:uiPriority w:val="10"/>
    <w:qFormat/>
    <w:pPr>
      <w:spacing w:before="0" w:after="0" w:line="240" w:lineRule="auto"/>
      <w:contextualSpacing/>
    </w:pPr>
    <w:rPr>
      <w:rFonts w:ascii="Roboto" w:eastAsiaTheme="majorEastAsia" w:hAnsi="Roboto" w:cstheme="majorBidi"/>
      <w:color w:val="543192"/>
      <w:spacing w:val="-10"/>
      <w:sz w:val="28"/>
      <w:szCs w:val="28"/>
      <w:shd w:val="clear" w:color="auto" w:fill="FFFFFF"/>
    </w:rPr>
  </w:style>
  <w:style w:type="table" w:styleId="TableGrid">
    <w:name w:val="Table Grid"/>
    <w:basedOn w:val="TableNormal"/>
    <w:uiPriority w:val="5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styleId="PlainTable1">
    <w:name w:val="Plain Table 1"/>
    <w:basedOn w:val="TableNormal"/>
    <w:uiPriority w:val="59"/>
    <w:pPr>
      <w:spacing w:after="0" w:line="240" w:lineRule="auto"/>
    </w:pPr>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themeColor="text1" w:themeTint="0D" w:fill="F2F2F2" w:themeFill="text1" w:themeFillTint="0D"/>
      </w:tcPr>
    </w:tblStylePr>
    <w:tblStylePr w:type="band1Horz">
      <w:tblPr/>
      <w:tcPr>
        <w:shd w:val="clear" w:color="F2F2F2" w:themeColor="text1" w:themeTint="0D" w:fill="F2F2F2" w:themeFill="text1" w:themeFillTint="0D"/>
      </w:tcPr>
    </w:tblStylePr>
  </w:style>
  <w:style w:type="table" w:styleId="PlainTable2">
    <w:name w:val="Plain Table 2"/>
    <w:basedOn w:val="TableNormal"/>
    <w:uiPriority w:val="59"/>
    <w:pPr>
      <w:spacing w:after="0" w:line="240" w:lineRule="auto"/>
    </w:pPr>
    <w:tblPr>
      <w:tblBorders>
        <w:top w:val="single" w:sz="4" w:space="0" w:color="000000" w:themeColor="text1"/>
        <w:left w:val="none" w:sz="4" w:space="0" w:color="000000" w:themeColor="text1"/>
        <w:bottom w:val="single" w:sz="4" w:space="0" w:color="000000" w:themeColor="text1"/>
        <w:right w:val="none" w:sz="4" w:space="0" w:color="000000" w:themeColor="text1"/>
      </w:tblBorders>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styleId="PlainTable3">
    <w:name w:val="Plain Table 3"/>
    <w:basedOn w:val="TableNormal"/>
    <w:uiPriority w:val="99"/>
    <w:pPr>
      <w:spacing w:after="0" w:line="240" w:lineRule="auto"/>
    </w:pPr>
    <w:tblPr>
      <w:tblStyleRowBandSize w:val="1"/>
      <w:tblStyleColBandSize w:val="1"/>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PlainTable4">
    <w:name w:val="Plain Table 4"/>
    <w:basedOn w:val="TableNormal"/>
    <w:uiPriority w:val="99"/>
    <w:pPr>
      <w:spacing w:after="0" w:line="240" w:lineRule="auto"/>
    </w:pPr>
    <w:tblPr>
      <w:tblStyleRowBandSize w:val="1"/>
      <w:tblStyleColBandSize w:val="1"/>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PlainTable5">
    <w:name w:val="Plain Table 5"/>
    <w:basedOn w:val="TableNormal"/>
    <w:uiPriority w:val="99"/>
    <w:pPr>
      <w:spacing w:after="0" w:line="240" w:lineRule="auto"/>
    </w:pPr>
    <w:tblPr>
      <w:tblStyleRowBandSize w:val="1"/>
      <w:tblStyleColBandSize w:val="1"/>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GridTable1Light">
    <w:name w:val="Grid Table 1 Light"/>
    <w:basedOn w:val="TableNormal"/>
    <w:uiPriority w:val="99"/>
    <w:pPr>
      <w:spacing w:after="0" w:line="240" w:lineRule="auto"/>
    </w:pPr>
    <w:tblPr>
      <w:tblStyleRowBandSize w:val="1"/>
      <w:tblStyleColBandSize w:val="1"/>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Pr>
    <w:tblStylePr w:type="firstRow">
      <w:rPr>
        <w:b/>
        <w:color w:val="404040"/>
      </w:rPr>
      <w:tblPr/>
      <w:tcPr>
        <w:tcBorders>
          <w:bottom w:val="single" w:sz="12" w:space="0" w:color="6A6A6A" w:themeColor="tex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tcBorders>
      </w:tcPr>
    </w:tblStylePr>
  </w:style>
  <w:style w:type="table" w:customStyle="1" w:styleId="GridTable1Light-Accent2">
    <w:name w:val="Grid Table 1 Light - Accent 2"/>
    <w:basedOn w:val="TableNormal"/>
    <w:uiPriority w:val="99"/>
    <w:pPr>
      <w:spacing w:after="0" w:line="240" w:lineRule="auto"/>
    </w:pPr>
    <w:tblPr>
      <w:tblStyleRowBandSize w:val="1"/>
      <w:tblStyleColBandSize w:val="1"/>
      <w:tbl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insideH w:val="single" w:sz="4" w:space="0" w:color="F7CAAB" w:themeColor="accent2" w:themeTint="67"/>
        <w:insideV w:val="single" w:sz="4" w:space="0" w:color="F7CAAB" w:themeColor="accent2" w:themeTint="67"/>
      </w:tblBorders>
    </w:tblPr>
    <w:tblStylePr w:type="firstRow">
      <w:rPr>
        <w:b/>
        <w:color w:val="404040"/>
      </w:rPr>
      <w:tblPr/>
      <w:tcPr>
        <w:tcBorders>
          <w:bottom w:val="single" w:sz="12" w:space="0" w:color="F4B286" w:themeColor="accent2"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tcBorders>
      </w:tcPr>
    </w:tblStylePr>
  </w:style>
  <w:style w:type="table" w:styleId="GridTable2">
    <w:name w:val="Grid Table 2"/>
    <w:basedOn w:val="TableNormal"/>
    <w:uiPriority w:val="99"/>
    <w:pPr>
      <w:spacing w:after="0" w:line="240" w:lineRule="auto"/>
    </w:pPr>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single" w:sz="12" w:space="0" w:color="6A6A6A" w:themeColor="text1" w:themeTint="95"/>
          <w:right w:val="none" w:sz="4" w:space="0" w:color="000000"/>
        </w:tcBorders>
        <w:shd w:val="clear" w:color="FFFFFF" w:fill="auto"/>
      </w:tcPr>
    </w:tblStylePr>
    <w:tblStylePr w:type="lastRow">
      <w:rPr>
        <w:b/>
        <w:color w:val="404040"/>
      </w:rPr>
      <w:tblPr/>
      <w:tcPr>
        <w:tcBorders>
          <w:top w:val="single" w:sz="4" w:space="0" w:color="6A6A6A" w:themeColor="text1" w:themeTint="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styleId="GridTable3">
    <w:name w:val="Grid Table 3"/>
    <w:basedOn w:val="TableNormal"/>
    <w:uiPriority w:val="99"/>
    <w:pPr>
      <w:spacing w:after="0" w:line="240" w:lineRule="auto"/>
    </w:pPr>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styleId="GridTable4">
    <w:name w:val="Grid Table 4"/>
    <w:basedOn w:val="TableNormal"/>
    <w:uiPriority w:val="59"/>
    <w:pPr>
      <w:spacing w:after="0" w:line="240" w:lineRule="auto"/>
    </w:pPr>
    <w:tblPr>
      <w:tblStyleRowBandSize w:val="1"/>
      <w:tblStyleColBandSize w:val="1"/>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themeColor="text1"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styleId="GridTable5Dark">
    <w:name w:val="Grid Table 5 Dark"/>
    <w:basedOn w:val="TableNormal"/>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BFBFBF" w:themeColor="text1" w:themeTint="40" w:fill="BFBFBF" w:themeFill="text1" w:themeFillTint="40"/>
    </w:tblPr>
    <w:tblStylePr w:type="firstRow">
      <w:rPr>
        <w:rFonts w:ascii="Arial" w:hAnsi="Arial"/>
        <w:b/>
        <w:color w:val="FFFFFF"/>
        <w:sz w:val="22"/>
      </w:rPr>
      <w:tblPr/>
      <w:tcPr>
        <w:shd w:val="clear" w:color="000000" w:themeColor="text1" w:fill="000000" w:themeFill="text1"/>
      </w:tcPr>
    </w:tblStylePr>
    <w:tblStylePr w:type="lastRow">
      <w:rPr>
        <w:rFonts w:ascii="Arial" w:hAnsi="Arial"/>
        <w:b/>
        <w:color w:val="FFFFFF"/>
        <w:sz w:val="22"/>
      </w:rPr>
      <w:tblPr/>
      <w:tcPr>
        <w:tcBorders>
          <w:top w:val="single" w:sz="4" w:space="0" w:color="FFFFFF" w:themeColor="light1"/>
        </w:tcBorders>
        <w:shd w:val="clear" w:color="000000" w:themeColor="text1" w:fill="000000" w:themeFill="text1"/>
      </w:tcPr>
    </w:tblStylePr>
    <w:tblStylePr w:type="firstCol">
      <w:rPr>
        <w:rFonts w:ascii="Arial" w:hAnsi="Arial"/>
        <w:b/>
        <w:color w:val="FFFFFF"/>
        <w:sz w:val="22"/>
      </w:rPr>
      <w:tblPr/>
      <w:tcPr>
        <w:shd w:val="clear" w:color="000000" w:themeColor="text1" w:fill="000000" w:themeFill="text1"/>
      </w:tcPr>
    </w:tblStylePr>
    <w:tblStylePr w:type="lastCol">
      <w:rPr>
        <w:rFonts w:ascii="Arial" w:hAnsi="Arial"/>
        <w:b/>
        <w:color w:val="FFFFFF"/>
        <w:sz w:val="22"/>
      </w:rPr>
      <w:tblPr/>
      <w:tcPr>
        <w:shd w:val="clear" w:color="000000" w:themeColor="text1" w:fill="000000" w:themeFill="text1"/>
      </w:tcPr>
    </w:tblStylePr>
    <w:tblStylePr w:type="band1Vert">
      <w:tblPr/>
      <w:tcPr>
        <w:shd w:val="clear" w:color="8A8A8A" w:themeColor="text1" w:themeTint="75" w:fill="8A8A8A" w:themeFill="text1" w:themeFillTint="75"/>
      </w:tcPr>
    </w:tblStylePr>
    <w:tblStylePr w:type="band1Horz">
      <w:tblPr/>
      <w:tcPr>
        <w:shd w:val="clear" w:color="8A8A8A" w:themeColor="text1" w:themeTint="75" w:fill="8A8A8A" w:themeFill="text1" w:themeFillTint="75"/>
      </w:tcPr>
    </w:tblStylePr>
  </w:style>
  <w:style w:type="table" w:customStyle="1" w:styleId="GridTable5Dark-Accent1">
    <w:name w:val="Grid Table 5 Dark- Accent 1"/>
    <w:basedOn w:val="TableNormal"/>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DEAF6" w:themeColor="accent1" w:themeTint="34" w:fill="DDEAF6" w:themeFill="accent1" w:themeFillTint="34"/>
    </w:tblPr>
    <w:tblStylePr w:type="firstRow">
      <w:rPr>
        <w:rFonts w:ascii="Arial" w:hAnsi="Arial"/>
        <w:b/>
        <w:color w:val="FFFFFF"/>
        <w:sz w:val="22"/>
      </w:rPr>
      <w:tblPr/>
      <w:tcPr>
        <w:shd w:val="clear" w:color="5B9BD5" w:themeColor="accent1" w:fill="5B9BD5" w:themeFill="accent1"/>
      </w:tcPr>
    </w:tblStylePr>
    <w:tblStylePr w:type="lastRow">
      <w:rPr>
        <w:rFonts w:ascii="Arial" w:hAnsi="Arial"/>
        <w:b/>
        <w:color w:val="FFFFFF"/>
        <w:sz w:val="22"/>
      </w:rPr>
      <w:tblPr/>
      <w:tcPr>
        <w:tcBorders>
          <w:top w:val="single" w:sz="4" w:space="0" w:color="FFFFFF" w:themeColor="light1"/>
        </w:tcBorders>
        <w:shd w:val="clear" w:color="5B9BD5" w:themeColor="accent1" w:fill="5B9BD5" w:themeFill="accent1"/>
      </w:tcPr>
    </w:tblStylePr>
    <w:tblStylePr w:type="firstCol">
      <w:rPr>
        <w:rFonts w:ascii="Arial" w:hAnsi="Arial"/>
        <w:b/>
        <w:color w:val="FFFFFF"/>
        <w:sz w:val="22"/>
      </w:rPr>
      <w:tblPr/>
      <w:tcPr>
        <w:shd w:val="clear" w:color="5B9BD5" w:themeColor="accent1" w:fill="5B9BD5" w:themeFill="accent1"/>
      </w:tcPr>
    </w:tblStylePr>
    <w:tblStylePr w:type="lastCol">
      <w:rPr>
        <w:rFonts w:ascii="Arial" w:hAnsi="Arial"/>
        <w:b/>
        <w:color w:val="FFFFFF"/>
        <w:sz w:val="22"/>
      </w:rPr>
      <w:tblPr/>
      <w:tcPr>
        <w:shd w:val="clear" w:color="5B9BD5" w:themeColor="accent1" w:fill="5B9BD5" w:themeFill="accent1"/>
      </w:tcPr>
    </w:tblStylePr>
    <w:tblStylePr w:type="band1Vert">
      <w:tblPr/>
      <w:tcPr>
        <w:shd w:val="clear" w:color="B3D0EB" w:themeColor="accent1" w:themeTint="75" w:fill="B3D0EB" w:themeFill="accent1" w:themeFillTint="75"/>
      </w:tcPr>
    </w:tblStylePr>
    <w:tblStylePr w:type="band1Horz">
      <w:tblPr/>
      <w:tcPr>
        <w:shd w:val="clear" w:color="B3D0EB" w:themeColor="accent1" w:themeTint="75" w:fill="B3D0EB" w:themeFill="accent1" w:themeFillTint="75"/>
      </w:tcPr>
    </w:tblStylePr>
  </w:style>
  <w:style w:type="table" w:customStyle="1" w:styleId="GridTable5Dark-Accent4">
    <w:name w:val="Grid Table 5 Dark- Accent 4"/>
    <w:basedOn w:val="TableNormal"/>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FF2CB" w:themeColor="accent4" w:themeTint="34" w:fill="FFF2CB" w:themeFill="accent4" w:themeFillTint="34"/>
    </w:tblPr>
    <w:tblStylePr w:type="firstRow">
      <w:rPr>
        <w:rFonts w:ascii="Arial" w:hAnsi="Arial"/>
        <w:b/>
        <w:color w:val="FFFFFF"/>
        <w:sz w:val="22"/>
      </w:rPr>
      <w:tblPr/>
      <w:tcPr>
        <w:shd w:val="clear" w:color="FFC000" w:themeColor="accent4" w:fill="FFC000" w:themeFill="accent4"/>
      </w:tcPr>
    </w:tblStylePr>
    <w:tblStylePr w:type="lastRow">
      <w:rPr>
        <w:rFonts w:ascii="Arial" w:hAnsi="Arial"/>
        <w:b/>
        <w:color w:val="FFFFFF"/>
        <w:sz w:val="22"/>
      </w:rPr>
      <w:tblPr/>
      <w:tcPr>
        <w:tcBorders>
          <w:top w:val="single" w:sz="4" w:space="0" w:color="FFFFFF" w:themeColor="light1"/>
        </w:tcBorders>
        <w:shd w:val="clear" w:color="FFC000" w:themeColor="accent4" w:fill="FFC000" w:themeFill="accent4"/>
      </w:tcPr>
    </w:tblStylePr>
    <w:tblStylePr w:type="firstCol">
      <w:rPr>
        <w:rFonts w:ascii="Arial" w:hAnsi="Arial"/>
        <w:b/>
        <w:color w:val="FFFFFF"/>
        <w:sz w:val="22"/>
      </w:rPr>
      <w:tblPr/>
      <w:tcPr>
        <w:shd w:val="clear" w:color="FFC000" w:themeColor="accent4" w:fill="FFC000" w:themeFill="accent4"/>
      </w:tcPr>
    </w:tblStylePr>
    <w:tblStylePr w:type="lastCol">
      <w:rPr>
        <w:rFonts w:ascii="Arial" w:hAnsi="Arial"/>
        <w:b/>
        <w:color w:val="FFFFFF"/>
        <w:sz w:val="22"/>
      </w:rPr>
      <w:tblPr/>
      <w:tcPr>
        <w:shd w:val="clear" w:color="FFC000" w:themeColor="accent4" w:fill="FFC000" w:themeFill="accent4"/>
      </w:tcPr>
    </w:tblStylePr>
    <w:tblStylePr w:type="band1Vert">
      <w:tblPr/>
      <w:tcPr>
        <w:shd w:val="clear" w:color="FFE28A" w:themeColor="accent4" w:themeTint="75" w:fill="FFE28A" w:themeFill="accent4" w:themeFillTint="75"/>
      </w:tcPr>
    </w:tblStylePr>
    <w:tblStylePr w:type="band1Horz">
      <w:tblPr/>
      <w:tcPr>
        <w:shd w:val="clear" w:color="FFE28A" w:themeColor="accent4" w:themeTint="75" w:fill="FFE28A" w:themeFill="accent4" w:themeFillTint="75"/>
      </w:tcPr>
    </w:tblStylePr>
  </w:style>
  <w:style w:type="table" w:styleId="GridTable6Colourful">
    <w:name w:val="Grid Table 6 Colorful"/>
    <w:basedOn w:val="TableNormal"/>
    <w:uiPriority w:val="99"/>
    <w:pPr>
      <w:spacing w:after="0" w:line="240" w:lineRule="auto"/>
    </w:pPr>
    <w:tblPr>
      <w:tblStyleRowBandSize w:val="1"/>
      <w:tblStyleColBandSize w:val="1"/>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b/>
        <w:color w:val="7F7F7F" w:themeColor="text1" w:themeTint="80" w:themeShade="95"/>
      </w:rPr>
      <w:tblPr/>
      <w:tcPr>
        <w:tcBorders>
          <w:bottom w:val="single" w:sz="12" w:space="0" w:color="7F7F7F" w:themeColor="text1" w:themeTint="80"/>
        </w:tcBorders>
      </w:tcPr>
    </w:tblStylePr>
    <w:tblStylePr w:type="lastRow">
      <w:rPr>
        <w:b/>
        <w:color w:val="7F7F7F" w:themeColor="text1" w:themeTint="80" w:themeShade="95"/>
      </w:rPr>
    </w:tblStylePr>
    <w:tblStylePr w:type="firstCol">
      <w:rPr>
        <w:b/>
        <w:color w:val="7F7F7F" w:themeColor="text1" w:themeTint="80" w:themeShade="95"/>
      </w:rPr>
    </w:tblStylePr>
    <w:tblStylePr w:type="lastCol">
      <w:rPr>
        <w:b/>
        <w:color w:val="7F7F7F" w:themeColor="text1" w:themeTint="80" w:themeShade="95"/>
      </w:rPr>
    </w:tblStylePr>
    <w:tblStylePr w:type="band1Vert">
      <w:tblPr/>
      <w:tcPr>
        <w:shd w:val="clear" w:color="CBCBCB" w:themeColor="text1" w:themeTint="34" w:fill="CBCBCB" w:themeFill="text1" w:themeFillTint="34"/>
      </w:tcPr>
    </w:tblStylePr>
    <w:tblStylePr w:type="band1Horz">
      <w:rPr>
        <w:rFonts w:ascii="Arial" w:hAnsi="Arial"/>
        <w:color w:val="7F7F7F" w:themeColor="text1" w:themeTint="80" w:themeShade="95"/>
        <w:sz w:val="22"/>
      </w:rPr>
      <w:tblPr/>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style>
  <w:style w:type="table" w:customStyle="1" w:styleId="GridTable6Colorful-Accent1">
    <w:name w:val="Grid Table 6 Colorful - Accent 1"/>
    <w:basedOn w:val="TableNormal"/>
    <w:uiPriority w:val="99"/>
    <w:pPr>
      <w:spacing w:after="0" w:line="240" w:lineRule="auto"/>
    </w:pPr>
    <w:tblPr>
      <w:tblStyleRowBandSize w:val="1"/>
      <w:tblStyleColBandSize w:val="1"/>
      <w:tblBorders>
        <w:top w:val="single" w:sz="4" w:space="0" w:color="ACCCEA" w:themeColor="accent1" w:themeTint="80"/>
        <w:left w:val="single" w:sz="4" w:space="0" w:color="ACCCEA" w:themeColor="accent1" w:themeTint="80"/>
        <w:bottom w:val="single" w:sz="4" w:space="0" w:color="ACCCEA" w:themeColor="accent1" w:themeTint="80"/>
        <w:right w:val="single" w:sz="4" w:space="0" w:color="ACCCEA" w:themeColor="accent1" w:themeTint="80"/>
        <w:insideH w:val="single" w:sz="4" w:space="0" w:color="ACCCEA" w:themeColor="accent1" w:themeTint="80"/>
        <w:insideV w:val="single" w:sz="4" w:space="0" w:color="ACCCEA" w:themeColor="accent1" w:themeTint="80"/>
      </w:tblBorders>
    </w:tblPr>
    <w:tblStylePr w:type="firstRow">
      <w:rPr>
        <w:b/>
        <w:color w:val="ACCCEA" w:themeColor="accent1" w:themeTint="80" w:themeShade="95"/>
      </w:rPr>
      <w:tblPr/>
      <w:tcPr>
        <w:tcBorders>
          <w:bottom w:val="single" w:sz="12" w:space="0" w:color="ACCCEA" w:themeColor="accent1" w:themeTint="80"/>
        </w:tcBorders>
      </w:tcPr>
    </w:tblStylePr>
    <w:tblStylePr w:type="lastRow">
      <w:rPr>
        <w:b/>
        <w:color w:val="ACCCEA" w:themeColor="accent1" w:themeTint="80" w:themeShade="95"/>
      </w:rPr>
    </w:tblStylePr>
    <w:tblStylePr w:type="firstCol">
      <w:rPr>
        <w:b/>
        <w:color w:val="ACCCEA" w:themeColor="accent1" w:themeTint="80" w:themeShade="95"/>
      </w:rPr>
    </w:tblStylePr>
    <w:tblStylePr w:type="lastCol">
      <w:rPr>
        <w:b/>
        <w:color w:val="ACCCEA" w:themeColor="accent1" w:themeTint="80" w:themeShade="95"/>
      </w:rPr>
    </w:tblStylePr>
    <w:tblStylePr w:type="band1Vert">
      <w:tblPr/>
      <w:tcPr>
        <w:shd w:val="clear" w:color="DDEAF6" w:themeColor="accent1" w:themeTint="34" w:fill="DDEAF6" w:themeFill="accent1" w:themeFillTint="34"/>
      </w:tcPr>
    </w:tblStylePr>
    <w:tblStylePr w:type="band1Horz">
      <w:rPr>
        <w:rFonts w:ascii="Arial" w:hAnsi="Arial"/>
        <w:color w:val="ACCCEA" w:themeColor="accent1" w:themeTint="80" w:themeShade="95"/>
        <w:sz w:val="22"/>
      </w:rPr>
      <w:tblPr/>
      <w:tcPr>
        <w:shd w:val="clear" w:color="DDEAF6" w:themeColor="accent1" w:themeTint="34" w:fill="DDEAF6" w:themeFill="accent1" w:themeFillTint="34"/>
      </w:tcPr>
    </w:tblStylePr>
    <w:tblStylePr w:type="band2Horz">
      <w:rPr>
        <w:rFonts w:ascii="Arial" w:hAnsi="Arial"/>
        <w:color w:val="ACCCEA" w:themeColor="accent1" w:themeTint="80" w:themeShade="95"/>
        <w:sz w:val="22"/>
      </w:rPr>
    </w:tblStylePr>
  </w:style>
  <w:style w:type="table" w:customStyle="1" w:styleId="GridTable6Colorful-Accent2">
    <w:name w:val="Grid Table 6 Colorful - Accent 2"/>
    <w:basedOn w:val="TableNormal"/>
    <w:uiPriority w:val="99"/>
    <w:pPr>
      <w:spacing w:after="0" w:line="240" w:lineRule="auto"/>
    </w:pPr>
    <w:tblPr>
      <w:tblStyleRowBandSize w:val="1"/>
      <w:tblStyleColBandSize w:val="1"/>
      <w:tbl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F4B184" w:themeColor="accent2" w:themeTint="97" w:themeShade="95"/>
      </w:rPr>
      <w:tblPr/>
      <w:tcPr>
        <w:tcBorders>
          <w:bottom w:val="single" w:sz="12" w:space="0" w:color="F4B184" w:themeColor="accent2" w:themeTint="97"/>
        </w:tcBorders>
      </w:tcPr>
    </w:tblStylePr>
    <w:tblStylePr w:type="lastRow">
      <w:rPr>
        <w:b/>
        <w:color w:val="F4B184" w:themeColor="accent2" w:themeTint="97" w:themeShade="95"/>
      </w:rPr>
    </w:tblStylePr>
    <w:tblStylePr w:type="firstCol">
      <w:rPr>
        <w:b/>
        <w:color w:val="F4B184" w:themeColor="accent2" w:themeTint="97" w:themeShade="95"/>
      </w:rPr>
    </w:tblStylePr>
    <w:tblStylePr w:type="lastCol">
      <w:rPr>
        <w:b/>
        <w:color w:val="F4B184" w:themeColor="accent2" w:themeTint="97" w:themeShade="95"/>
      </w:rPr>
    </w:tblStylePr>
    <w:tblStylePr w:type="band1Vert">
      <w:tblPr/>
      <w:tcPr>
        <w:shd w:val="clear" w:color="FBE5D6" w:themeColor="accent2" w:themeTint="32" w:fill="FBE5D6" w:themeFill="accent2" w:themeFillTint="32"/>
      </w:tcPr>
    </w:tblStylePr>
    <w:tblStylePr w:type="band1Horz">
      <w:rPr>
        <w:rFonts w:ascii="Arial" w:hAnsi="Arial"/>
        <w:color w:val="F4B184" w:themeColor="accent2" w:themeTint="97" w:themeShade="95"/>
        <w:sz w:val="22"/>
      </w:rPr>
      <w:tblPr/>
      <w:tcPr>
        <w:shd w:val="clear" w:color="FBE5D6" w:themeColor="accent2" w:themeTint="32" w:fill="FBE5D6" w:themeFill="accent2" w:themeFillTint="32"/>
      </w:tcPr>
    </w:tblStylePr>
    <w:tblStylePr w:type="band2Horz">
      <w:rPr>
        <w:rFonts w:ascii="Arial" w:hAnsi="Arial"/>
        <w:color w:val="F4B184" w:themeColor="accent2" w:themeTint="97" w:themeShade="95"/>
        <w:sz w:val="22"/>
      </w:rPr>
    </w:tblStylePr>
  </w:style>
  <w:style w:type="table" w:customStyle="1" w:styleId="GridTable6Colorful-Accent3">
    <w:name w:val="Grid Table 6 Colorful - Accent 3"/>
    <w:basedOn w:val="TableNormal"/>
    <w:uiPriority w:val="99"/>
    <w:pPr>
      <w:spacing w:after="0" w:line="240" w:lineRule="auto"/>
    </w:pPr>
    <w:tblPr>
      <w:tblStyleRowBandSize w:val="1"/>
      <w:tblStyleColBandSize w:val="1"/>
      <w:tblBorders>
        <w:top w:val="single" w:sz="4" w:space="0" w:color="A5A5A5" w:themeColor="accent3" w:themeTint="FE"/>
        <w:left w:val="single" w:sz="4" w:space="0" w:color="A5A5A5" w:themeColor="accent3" w:themeTint="FE"/>
        <w:bottom w:val="single" w:sz="4" w:space="0" w:color="A5A5A5" w:themeColor="accent3" w:themeTint="FE"/>
        <w:right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A5A5A5" w:themeColor="accent3" w:themeTint="FE" w:themeShade="95"/>
      </w:rPr>
      <w:tblPr/>
      <w:tcPr>
        <w:tcBorders>
          <w:bottom w:val="single" w:sz="12" w:space="0" w:color="A5A5A5" w:themeColor="accent3" w:themeTint="FE"/>
        </w:tcBorders>
      </w:tcPr>
    </w:tblStylePr>
    <w:tblStylePr w:type="lastRow">
      <w:rPr>
        <w:b/>
        <w:color w:val="A5A5A5" w:themeColor="accent3" w:themeTint="FE" w:themeShade="95"/>
      </w:rPr>
    </w:tblStylePr>
    <w:tblStylePr w:type="firstCol">
      <w:rPr>
        <w:b/>
        <w:color w:val="A5A5A5" w:themeColor="accent3" w:themeTint="FE" w:themeShade="95"/>
      </w:rPr>
    </w:tblStylePr>
    <w:tblStylePr w:type="lastCol">
      <w:rPr>
        <w:b/>
        <w:color w:val="A5A5A5" w:themeColor="accent3" w:themeTint="FE" w:themeShade="95"/>
      </w:rPr>
    </w:tblStylePr>
    <w:tblStylePr w:type="band1Vert">
      <w:tblPr/>
      <w:tcPr>
        <w:shd w:val="clear" w:color="ECECEC" w:themeColor="accent3" w:themeTint="34" w:fill="ECECEC" w:themeFill="accent3" w:themeFillTint="34"/>
      </w:tcPr>
    </w:tblStylePr>
    <w:tblStylePr w:type="band1Horz">
      <w:rPr>
        <w:rFonts w:ascii="Arial" w:hAnsi="Arial"/>
        <w:color w:val="A5A5A5" w:themeColor="accent3" w:themeTint="FE" w:themeShade="95"/>
        <w:sz w:val="22"/>
      </w:rPr>
      <w:tblPr/>
      <w:tcPr>
        <w:shd w:val="clear" w:color="ECECEC" w:themeColor="accent3" w:themeTint="34" w:fill="ECECEC" w:themeFill="accent3" w:themeFillTint="34"/>
      </w:tcPr>
    </w:tblStylePr>
    <w:tblStylePr w:type="band2Horz">
      <w:rPr>
        <w:rFonts w:ascii="Arial" w:hAnsi="Arial"/>
        <w:color w:val="A5A5A5" w:themeColor="accent3" w:themeTint="FE" w:themeShade="95"/>
        <w:sz w:val="22"/>
      </w:rPr>
    </w:tblStylePr>
  </w:style>
  <w:style w:type="table" w:customStyle="1" w:styleId="GridTable6Colorful-Accent4">
    <w:name w:val="Grid Table 6 Colorful - Accent 4"/>
    <w:basedOn w:val="TableNormal"/>
    <w:uiPriority w:val="99"/>
    <w:pPr>
      <w:spacing w:after="0" w:line="240" w:lineRule="auto"/>
    </w:pPr>
    <w:tblPr>
      <w:tblStyleRowBandSize w:val="1"/>
      <w:tblStyleColBandSize w:val="1"/>
      <w:tbl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FFD865" w:themeColor="accent4" w:themeTint="9A" w:themeShade="95"/>
      </w:rPr>
      <w:tblPr/>
      <w:tcPr>
        <w:tcBorders>
          <w:bottom w:val="single" w:sz="12" w:space="0" w:color="FFD865" w:themeColor="accent4" w:themeTint="9A"/>
        </w:tcBorders>
      </w:tcPr>
    </w:tblStylePr>
    <w:tblStylePr w:type="lastRow">
      <w:rPr>
        <w:b/>
        <w:color w:val="FFD865" w:themeColor="accent4" w:themeTint="9A" w:themeShade="95"/>
      </w:rPr>
    </w:tblStylePr>
    <w:tblStylePr w:type="firstCol">
      <w:rPr>
        <w:b/>
        <w:color w:val="FFD865" w:themeColor="accent4" w:themeTint="9A" w:themeShade="95"/>
      </w:rPr>
    </w:tblStylePr>
    <w:tblStylePr w:type="lastCol">
      <w:rPr>
        <w:b/>
        <w:color w:val="FFD865" w:themeColor="accent4" w:themeTint="9A" w:themeShade="95"/>
      </w:rPr>
    </w:tblStylePr>
    <w:tblStylePr w:type="band1Vert">
      <w:tblPr/>
      <w:tcPr>
        <w:shd w:val="clear" w:color="FFF2CB" w:themeColor="accent4" w:themeTint="34" w:fill="FFF2CB" w:themeFill="accent4" w:themeFillTint="34"/>
      </w:tcPr>
    </w:tblStylePr>
    <w:tblStylePr w:type="band1Horz">
      <w:rPr>
        <w:rFonts w:ascii="Arial" w:hAnsi="Arial"/>
        <w:color w:val="FFD865" w:themeColor="accent4" w:themeTint="9A" w:themeShade="95"/>
        <w:sz w:val="22"/>
      </w:rPr>
      <w:tblPr/>
      <w:tcPr>
        <w:shd w:val="clear" w:color="FFF2CB" w:themeColor="accent4" w:themeTint="34" w:fill="FFF2CB" w:themeFill="accent4" w:themeFillTint="34"/>
      </w:tcPr>
    </w:tblStylePr>
    <w:tblStylePr w:type="band2Horz">
      <w:rPr>
        <w:rFonts w:ascii="Arial" w:hAnsi="Arial"/>
        <w:color w:val="FFD865" w:themeColor="accent4" w:themeTint="9A" w:themeShade="95"/>
        <w:sz w:val="22"/>
      </w:rPr>
    </w:tblStylePr>
  </w:style>
  <w:style w:type="table" w:customStyle="1" w:styleId="GridTable6Colorful-Accent5">
    <w:name w:val="Grid Table 6 Colorful - Accent 5"/>
    <w:basedOn w:val="TableNormal"/>
    <w:uiPriority w:val="99"/>
    <w:pPr>
      <w:spacing w:after="0" w:line="240" w:lineRule="auto"/>
    </w:pPr>
    <w:tblPr>
      <w:tblStyleRowBandSize w:val="1"/>
      <w:tblStyleColBandSize w:val="1"/>
      <w:tblBorders>
        <w:top w:val="single" w:sz="4" w:space="0" w:color="4472C4" w:themeColor="accent5"/>
        <w:left w:val="single" w:sz="4" w:space="0" w:color="4472C4" w:themeColor="accent5"/>
        <w:bottom w:val="single" w:sz="4" w:space="0" w:color="4472C4" w:themeColor="accent5"/>
        <w:right w:val="single" w:sz="4" w:space="0" w:color="4472C4" w:themeColor="accent5"/>
        <w:insideH w:val="single" w:sz="4" w:space="0" w:color="4472C4" w:themeColor="accent5"/>
        <w:insideV w:val="single" w:sz="4" w:space="0" w:color="4472C4" w:themeColor="accent5"/>
      </w:tblBorders>
    </w:tblPr>
    <w:tblStylePr w:type="firstRow">
      <w:rPr>
        <w:b/>
        <w:color w:val="254175" w:themeColor="accent5" w:themeShade="95"/>
      </w:rPr>
      <w:tblPr/>
      <w:tcPr>
        <w:tcBorders>
          <w:bottom w:val="single" w:sz="12" w:space="0" w:color="4472C4" w:themeColor="accent5"/>
        </w:tcBorders>
      </w:tcPr>
    </w:tblStylePr>
    <w:tblStylePr w:type="lastRow">
      <w:rPr>
        <w:b/>
        <w:color w:val="254175" w:themeColor="accent5" w:themeShade="95"/>
      </w:rPr>
    </w:tblStylePr>
    <w:tblStylePr w:type="firstCol">
      <w:rPr>
        <w:b/>
        <w:color w:val="254175" w:themeColor="accent5" w:themeShade="95"/>
      </w:rPr>
    </w:tblStylePr>
    <w:tblStylePr w:type="lastCol">
      <w:rPr>
        <w:b/>
        <w:color w:val="254175" w:themeColor="accent5" w:themeShade="95"/>
      </w:rPr>
    </w:tblStylePr>
    <w:tblStylePr w:type="band1Vert">
      <w:tblPr/>
      <w:tcPr>
        <w:shd w:val="clear" w:color="D8E2F3" w:themeColor="accent5" w:themeTint="34" w:fill="D8E2F3" w:themeFill="accent5" w:themeFillTint="34"/>
      </w:tcPr>
    </w:tblStylePr>
    <w:tblStylePr w:type="band1Horz">
      <w:rPr>
        <w:rFonts w:ascii="Arial" w:hAnsi="Arial"/>
        <w:color w:val="254175" w:themeColor="accent5" w:themeShade="95"/>
        <w:sz w:val="22"/>
      </w:rPr>
      <w:tblPr/>
      <w:tcPr>
        <w:shd w:val="clear" w:color="D8E2F3" w:themeColor="accent5" w:themeTint="34" w:fill="D8E2F3" w:themeFill="accent5" w:themeFillTint="34"/>
      </w:tcPr>
    </w:tblStylePr>
    <w:tblStylePr w:type="band2Horz">
      <w:rPr>
        <w:rFonts w:ascii="Arial" w:hAnsi="Arial"/>
        <w:color w:val="254175" w:themeColor="accent5" w:themeShade="95"/>
        <w:sz w:val="22"/>
      </w:rPr>
    </w:tblStylePr>
  </w:style>
  <w:style w:type="table" w:customStyle="1" w:styleId="GridTable6Colorful-Accent6">
    <w:name w:val="Grid Table 6 Colorful - Accent 6"/>
    <w:basedOn w:val="TableNormal"/>
    <w:uiPriority w:val="99"/>
    <w:pPr>
      <w:spacing w:after="0" w:line="240" w:lineRule="auto"/>
    </w:pPr>
    <w:tblPr>
      <w:tblStyleRowBandSize w:val="1"/>
      <w:tblStyleColBandSize w:val="1"/>
      <w:tblBorders>
        <w:top w:val="single" w:sz="4" w:space="0" w:color="70AD47" w:themeColor="accent6"/>
        <w:left w:val="single" w:sz="4" w:space="0" w:color="70AD47" w:themeColor="accent6"/>
        <w:bottom w:val="single" w:sz="4" w:space="0" w:color="70AD47" w:themeColor="accent6"/>
        <w:right w:val="single" w:sz="4" w:space="0" w:color="70AD47" w:themeColor="accent6"/>
        <w:insideH w:val="single" w:sz="4" w:space="0" w:color="70AD47" w:themeColor="accent6"/>
        <w:insideV w:val="single" w:sz="4" w:space="0" w:color="70AD47" w:themeColor="accent6"/>
      </w:tblBorders>
    </w:tblPr>
    <w:tblStylePr w:type="firstRow">
      <w:rPr>
        <w:b/>
        <w:color w:val="254175" w:themeColor="accent5" w:themeShade="95"/>
      </w:rPr>
      <w:tblPr/>
      <w:tcPr>
        <w:tcBorders>
          <w:bottom w:val="single" w:sz="12" w:space="0" w:color="70AD47" w:themeColor="accent6"/>
        </w:tcBorders>
      </w:tcPr>
    </w:tblStylePr>
    <w:tblStylePr w:type="lastRow">
      <w:rPr>
        <w:b/>
        <w:color w:val="254175" w:themeColor="accent5" w:themeShade="95"/>
      </w:rPr>
    </w:tblStylePr>
    <w:tblStylePr w:type="firstCol">
      <w:rPr>
        <w:b/>
        <w:color w:val="254175" w:themeColor="accent5" w:themeShade="95"/>
      </w:rPr>
    </w:tblStylePr>
    <w:tblStylePr w:type="lastCol">
      <w:rPr>
        <w:b/>
        <w:color w:val="254175" w:themeColor="accent5" w:themeShade="95"/>
      </w:rPr>
    </w:tblStylePr>
    <w:tblStylePr w:type="band1Vert">
      <w:tblPr/>
      <w:tcPr>
        <w:shd w:val="clear" w:color="E1EFD8" w:themeColor="accent6" w:themeTint="34" w:fill="E1EFD8" w:themeFill="accent6" w:themeFillTint="34"/>
      </w:tcPr>
    </w:tblStylePr>
    <w:tblStylePr w:type="band1Horz">
      <w:rPr>
        <w:rFonts w:ascii="Arial" w:hAnsi="Arial"/>
        <w:color w:val="254175" w:themeColor="accent5" w:themeShade="95"/>
        <w:sz w:val="22"/>
      </w:rPr>
      <w:tblPr/>
      <w:tcPr>
        <w:shd w:val="clear" w:color="E1EFD8" w:themeColor="accent6" w:themeTint="34" w:fill="E1EFD8" w:themeFill="accent6" w:themeFillTint="34"/>
      </w:tcPr>
    </w:tblStylePr>
    <w:tblStylePr w:type="band2Horz">
      <w:rPr>
        <w:rFonts w:ascii="Arial" w:hAnsi="Arial"/>
        <w:color w:val="254175" w:themeColor="accent5" w:themeShade="95"/>
        <w:sz w:val="22"/>
      </w:rPr>
    </w:tblStylePr>
  </w:style>
  <w:style w:type="table" w:styleId="GridTable7Colourful">
    <w:name w:val="Grid Table 7 Colorful"/>
    <w:basedOn w:val="TableNormal"/>
    <w:uiPriority w:val="99"/>
    <w:pPr>
      <w:spacing w:after="0" w:line="240" w:lineRule="auto"/>
    </w:pPr>
    <w:tblPr>
      <w:tblStyleRowBandSize w:val="1"/>
      <w:tblStyleColBandSize w:val="1"/>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rFonts w:ascii="Arial" w:hAnsi="Arial"/>
        <w:b/>
        <w:color w:val="7F7F7F" w:themeColor="text1" w:themeTint="80" w:themeShade="95"/>
        <w:sz w:val="22"/>
      </w:rPr>
      <w:tblPr/>
      <w:tcPr>
        <w:tcBorders>
          <w:top w:val="none" w:sz="0" w:space="0" w:color="000000"/>
          <w:left w:val="none" w:sz="0" w:space="0" w:color="000000"/>
          <w:bottom w:val="single" w:sz="4" w:space="0" w:color="7F7F7F" w:themeColor="text1" w:themeTint="80"/>
          <w:right w:val="none" w:sz="0" w:space="0" w:color="000000"/>
        </w:tcBorders>
        <w:shd w:val="clear" w:color="FFFFFF" w:themeColor="light1" w:fill="FFFFFF" w:themeFill="light1"/>
      </w:tcPr>
    </w:tblStylePr>
    <w:tblStylePr w:type="lastRow">
      <w:rPr>
        <w:rFonts w:ascii="Arial" w:hAnsi="Arial"/>
        <w:b/>
        <w:color w:val="7F7F7F" w:themeColor="text1" w:themeTint="80" w:themeShade="95"/>
        <w:sz w:val="22"/>
      </w:rPr>
      <w:tblPr/>
      <w:tcPr>
        <w:tcBorders>
          <w:top w:val="single" w:sz="4" w:space="0" w:color="7F7F7F" w:themeColor="text1" w:themeTint="80"/>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0" w:space="0" w:color="000000"/>
          <w:left w:val="none" w:sz="0" w:space="0" w:color="000000"/>
          <w:bottom w:val="none" w:sz="0" w:space="0" w:color="000000"/>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0" w:space="0" w:color="000000"/>
          <w:left w:val="single" w:sz="4" w:space="0" w:color="7F7F7F" w:themeColor="text1" w:themeTint="80"/>
          <w:bottom w:val="none" w:sz="0" w:space="0" w:color="000000"/>
          <w:right w:val="none" w:sz="0" w:space="0" w:color="000000"/>
        </w:tcBorders>
        <w:shd w:val="clear" w:color="FFFFFF" w:fill="auto"/>
      </w:tcPr>
    </w:tblStylePr>
    <w:tblStylePr w:type="band1Vert">
      <w:tblPr/>
      <w:tcPr>
        <w:shd w:val="clear" w:color="F2F2F2" w:themeColor="text1" w:themeTint="0D" w:fill="F2F2F2" w:themeFill="text1" w:themeFillTint="0D"/>
      </w:tcPr>
    </w:tblStylePr>
    <w:tblStylePr w:type="band1Horz">
      <w:rPr>
        <w:rFonts w:ascii="Arial" w:hAnsi="Arial"/>
        <w:color w:val="7F7F7F" w:themeColor="text1" w:themeTint="80" w:themeShade="95"/>
        <w:sz w:val="22"/>
      </w:rPr>
      <w:tblPr/>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style>
  <w:style w:type="table" w:customStyle="1" w:styleId="GridTable7Colorful-Accent1">
    <w:name w:val="Grid Table 7 Colorful - Accent 1"/>
    <w:basedOn w:val="TableNormal"/>
    <w:uiPriority w:val="99"/>
    <w:pPr>
      <w:spacing w:after="0" w:line="240" w:lineRule="auto"/>
    </w:pPr>
    <w:tblPr>
      <w:tblStyleRowBandSize w:val="1"/>
      <w:tblStyleColBandSize w:val="1"/>
      <w:tblBorders>
        <w:bottom w:val="single" w:sz="4" w:space="0" w:color="ACCCEA" w:themeColor="accent1" w:themeTint="80"/>
        <w:right w:val="single" w:sz="4" w:space="0" w:color="ACCCEA" w:themeColor="accent1" w:themeTint="80"/>
        <w:insideH w:val="single" w:sz="4" w:space="0" w:color="ACCCEA" w:themeColor="accent1" w:themeTint="80"/>
        <w:insideV w:val="single" w:sz="4" w:space="0" w:color="ACCCEA" w:themeColor="accent1" w:themeTint="80"/>
      </w:tblBorders>
    </w:tblPr>
    <w:tblStylePr w:type="firstRow">
      <w:rPr>
        <w:rFonts w:ascii="Arial" w:hAnsi="Arial"/>
        <w:b/>
        <w:color w:val="ACCCEA" w:themeColor="accent1" w:themeTint="80" w:themeShade="95"/>
        <w:sz w:val="22"/>
      </w:rPr>
      <w:tblPr/>
      <w:tcPr>
        <w:tcBorders>
          <w:top w:val="none" w:sz="0" w:space="0" w:color="000000"/>
          <w:left w:val="none" w:sz="0" w:space="0" w:color="000000"/>
          <w:bottom w:val="single" w:sz="4" w:space="0" w:color="ACCCEA" w:themeColor="accent1" w:themeTint="80"/>
          <w:right w:val="none" w:sz="0" w:space="0" w:color="000000"/>
        </w:tcBorders>
        <w:shd w:val="clear" w:color="FFFFFF" w:themeColor="light1" w:fill="FFFFFF" w:themeFill="light1"/>
      </w:tcPr>
    </w:tblStylePr>
    <w:tblStylePr w:type="lastRow">
      <w:rPr>
        <w:rFonts w:ascii="Arial" w:hAnsi="Arial"/>
        <w:b/>
        <w:color w:val="ACCCEA" w:themeColor="accent1" w:themeTint="80" w:themeShade="95"/>
        <w:sz w:val="22"/>
      </w:rPr>
      <w:tblPr/>
      <w:tcPr>
        <w:tcBorders>
          <w:top w:val="single" w:sz="4" w:space="0" w:color="ACCCEA" w:themeColor="accent1" w:themeTint="80"/>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Arial" w:hAnsi="Arial"/>
        <w:i/>
        <w:color w:val="ACCCEA" w:themeColor="accent1" w:themeTint="80" w:themeShade="95"/>
        <w:sz w:val="22"/>
      </w:rPr>
      <w:tblPr/>
      <w:tcPr>
        <w:tcBorders>
          <w:top w:val="none" w:sz="0" w:space="0" w:color="000000"/>
          <w:left w:val="none" w:sz="0" w:space="0" w:color="000000"/>
          <w:bottom w:val="none" w:sz="0" w:space="0" w:color="000000"/>
          <w:right w:val="single" w:sz="4" w:space="0" w:color="ACCCEA" w:themeColor="accent1" w:themeTint="80"/>
        </w:tcBorders>
        <w:shd w:val="clear" w:color="FFFFFF" w:fill="auto"/>
      </w:tcPr>
    </w:tblStylePr>
    <w:tblStylePr w:type="lastCol">
      <w:rPr>
        <w:rFonts w:ascii="Arial" w:hAnsi="Arial"/>
        <w:i/>
        <w:color w:val="ACCCEA" w:themeColor="accent1" w:themeTint="80" w:themeShade="95"/>
        <w:sz w:val="22"/>
      </w:rPr>
      <w:tblPr/>
      <w:tcPr>
        <w:tcBorders>
          <w:top w:val="none" w:sz="0" w:space="0" w:color="000000"/>
          <w:left w:val="single" w:sz="4" w:space="0" w:color="ACCCEA" w:themeColor="accent1" w:themeTint="80"/>
          <w:bottom w:val="none" w:sz="0" w:space="0" w:color="000000"/>
          <w:right w:val="none" w:sz="0" w:space="0" w:color="000000"/>
        </w:tcBorders>
        <w:shd w:val="clear" w:color="FFFFFF" w:fill="auto"/>
      </w:tcPr>
    </w:tblStylePr>
    <w:tblStylePr w:type="band1Vert">
      <w:tblPr/>
      <w:tcPr>
        <w:shd w:val="clear" w:color="DDEAF6" w:themeColor="accent1" w:themeTint="34" w:fill="DDEAF6" w:themeFill="accent1" w:themeFillTint="34"/>
      </w:tcPr>
    </w:tblStylePr>
    <w:tblStylePr w:type="band1Horz">
      <w:rPr>
        <w:rFonts w:ascii="Arial" w:hAnsi="Arial"/>
        <w:color w:val="ACCCEA" w:themeColor="accent1" w:themeTint="80" w:themeShade="95"/>
        <w:sz w:val="22"/>
      </w:rPr>
      <w:tblPr/>
      <w:tcPr>
        <w:shd w:val="clear" w:color="DDEAF6" w:themeColor="accent1" w:themeTint="34" w:fill="DDEAF6" w:themeFill="accent1" w:themeFillTint="34"/>
      </w:tcPr>
    </w:tblStylePr>
    <w:tblStylePr w:type="band2Horz">
      <w:rPr>
        <w:rFonts w:ascii="Arial" w:hAnsi="Arial"/>
        <w:color w:val="ACCCEA" w:themeColor="accent1" w:themeTint="80" w:themeShade="95"/>
        <w:sz w:val="22"/>
      </w:rPr>
    </w:tblStylePr>
  </w:style>
  <w:style w:type="table" w:customStyle="1" w:styleId="GridTable7Colorful-Accent2">
    <w:name w:val="Grid Table 7 Colorful - Accent 2"/>
    <w:basedOn w:val="TableNormal"/>
    <w:uiPriority w:val="99"/>
    <w:pPr>
      <w:spacing w:after="0" w:line="240" w:lineRule="auto"/>
    </w:pPr>
    <w:tblPr>
      <w:tblStyleRowBandSize w:val="1"/>
      <w:tblStyleColBandSize w:val="1"/>
      <w:tblBorders>
        <w:bottom w:val="single" w:sz="4" w:space="0" w:color="F4B184" w:themeColor="accent2" w:themeTint="97"/>
        <w:right w:val="single" w:sz="4" w:space="0" w:color="F4B184" w:themeColor="accent2" w:themeTint="97"/>
        <w:insideH w:val="single" w:sz="4" w:space="0" w:color="F4B184" w:themeColor="accent2" w:themeTint="97"/>
        <w:insideV w:val="single" w:sz="4" w:space="0" w:color="F4B184" w:themeColor="accent2" w:themeTint="97"/>
      </w:tblBorders>
    </w:tblPr>
    <w:tblStylePr w:type="firstRow">
      <w:rPr>
        <w:rFonts w:ascii="Arial" w:hAnsi="Arial"/>
        <w:b/>
        <w:color w:val="F4B184" w:themeColor="accent2" w:themeTint="97" w:themeShade="95"/>
        <w:sz w:val="22"/>
      </w:rPr>
      <w:tblPr/>
      <w:tcPr>
        <w:tcBorders>
          <w:top w:val="none" w:sz="0" w:space="0" w:color="000000"/>
          <w:left w:val="none" w:sz="0" w:space="0" w:color="000000"/>
          <w:bottom w:val="single" w:sz="4" w:space="0" w:color="F4B184" w:themeColor="accent2" w:themeTint="97"/>
          <w:right w:val="none" w:sz="0" w:space="0" w:color="000000"/>
        </w:tcBorders>
        <w:shd w:val="clear" w:color="FFFFFF" w:themeColor="light1" w:fill="FFFFFF" w:themeFill="light1"/>
      </w:tcPr>
    </w:tblStylePr>
    <w:tblStylePr w:type="lastRow">
      <w:rPr>
        <w:rFonts w:ascii="Arial" w:hAnsi="Arial"/>
        <w:b/>
        <w:color w:val="F4B184" w:themeColor="accent2" w:themeTint="97" w:themeShade="95"/>
        <w:sz w:val="22"/>
      </w:rPr>
      <w:tblPr/>
      <w:tcPr>
        <w:tcBorders>
          <w:top w:val="single" w:sz="4" w:space="0" w:color="F4B184" w:themeColor="accent2" w:themeTint="97"/>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Arial" w:hAnsi="Arial"/>
        <w:i/>
        <w:color w:val="F4B184" w:themeColor="accent2" w:themeTint="97" w:themeShade="95"/>
        <w:sz w:val="22"/>
      </w:rPr>
      <w:tblPr/>
      <w:tcPr>
        <w:tcBorders>
          <w:top w:val="none" w:sz="0" w:space="0" w:color="000000"/>
          <w:left w:val="none" w:sz="0" w:space="0" w:color="000000"/>
          <w:bottom w:val="none" w:sz="0" w:space="0" w:color="000000"/>
          <w:right w:val="single" w:sz="4" w:space="0" w:color="F4B184" w:themeColor="accent2" w:themeTint="97"/>
        </w:tcBorders>
        <w:shd w:val="clear" w:color="FFFFFF" w:fill="auto"/>
      </w:tcPr>
    </w:tblStylePr>
    <w:tblStylePr w:type="lastCol">
      <w:rPr>
        <w:rFonts w:ascii="Arial" w:hAnsi="Arial"/>
        <w:i/>
        <w:color w:val="F4B184" w:themeColor="accent2" w:themeTint="97" w:themeShade="95"/>
        <w:sz w:val="22"/>
      </w:rPr>
      <w:tblPr/>
      <w:tcPr>
        <w:tcBorders>
          <w:top w:val="none" w:sz="0" w:space="0" w:color="000000"/>
          <w:left w:val="single" w:sz="4" w:space="0" w:color="F4B184" w:themeColor="accent2" w:themeTint="97"/>
          <w:bottom w:val="none" w:sz="0" w:space="0" w:color="000000"/>
          <w:right w:val="none" w:sz="0" w:space="0" w:color="000000"/>
        </w:tcBorders>
        <w:shd w:val="clear" w:color="FFFFFF" w:fill="auto"/>
      </w:tcPr>
    </w:tblStylePr>
    <w:tblStylePr w:type="band1Vert">
      <w:tblPr/>
      <w:tcPr>
        <w:shd w:val="clear" w:color="FBE5D6" w:themeColor="accent2" w:themeTint="32" w:fill="FBE5D6" w:themeFill="accent2" w:themeFillTint="32"/>
      </w:tcPr>
    </w:tblStylePr>
    <w:tblStylePr w:type="band1Horz">
      <w:rPr>
        <w:rFonts w:ascii="Arial" w:hAnsi="Arial"/>
        <w:color w:val="F4B184" w:themeColor="accent2" w:themeTint="97" w:themeShade="95"/>
        <w:sz w:val="22"/>
      </w:rPr>
      <w:tblPr/>
      <w:tcPr>
        <w:shd w:val="clear" w:color="FBE5D6" w:themeColor="accent2" w:themeTint="32" w:fill="FBE5D6" w:themeFill="accent2" w:themeFillTint="32"/>
      </w:tcPr>
    </w:tblStylePr>
    <w:tblStylePr w:type="band2Horz">
      <w:rPr>
        <w:rFonts w:ascii="Arial" w:hAnsi="Arial"/>
        <w:color w:val="F4B184" w:themeColor="accent2" w:themeTint="97" w:themeShade="95"/>
        <w:sz w:val="22"/>
      </w:rPr>
    </w:tblStylePr>
  </w:style>
  <w:style w:type="table" w:customStyle="1" w:styleId="GridTable7Colorful-Accent3">
    <w:name w:val="Grid Table 7 Colorful - Accent 3"/>
    <w:basedOn w:val="TableNormal"/>
    <w:uiPriority w:val="99"/>
    <w:pPr>
      <w:spacing w:after="0" w:line="240" w:lineRule="auto"/>
    </w:pPr>
    <w:tblPr>
      <w:tblStyleRowBandSize w:val="1"/>
      <w:tblStyleColBandSize w:val="1"/>
      <w:tblBorders>
        <w:bottom w:val="single" w:sz="4" w:space="0" w:color="A5A5A5" w:themeColor="accent3" w:themeTint="FE"/>
        <w:right w:val="single" w:sz="4" w:space="0" w:color="A5A5A5" w:themeColor="accent3" w:themeTint="FE"/>
        <w:insideH w:val="single" w:sz="4" w:space="0" w:color="A5A5A5" w:themeColor="accent3" w:themeTint="FE"/>
        <w:insideV w:val="single" w:sz="4" w:space="0" w:color="A5A5A5" w:themeColor="accent3" w:themeTint="FE"/>
      </w:tblBorders>
    </w:tblPr>
    <w:tblStylePr w:type="firstRow">
      <w:rPr>
        <w:rFonts w:ascii="Arial" w:hAnsi="Arial"/>
        <w:b/>
        <w:color w:val="A5A5A5" w:themeColor="accent3" w:themeTint="FE" w:themeShade="95"/>
        <w:sz w:val="22"/>
      </w:rPr>
      <w:tblPr/>
      <w:tcPr>
        <w:tcBorders>
          <w:top w:val="none" w:sz="0" w:space="0" w:color="000000"/>
          <w:left w:val="none" w:sz="0" w:space="0" w:color="000000"/>
          <w:bottom w:val="single" w:sz="4" w:space="0" w:color="A5A5A5" w:themeColor="accent3" w:themeTint="FE"/>
          <w:right w:val="none" w:sz="0" w:space="0" w:color="000000"/>
        </w:tcBorders>
        <w:shd w:val="clear" w:color="FFFFFF" w:themeColor="light1" w:fill="FFFFFF" w:themeFill="light1"/>
      </w:tcPr>
    </w:tblStylePr>
    <w:tblStylePr w:type="lastRow">
      <w:rPr>
        <w:rFonts w:ascii="Arial" w:hAnsi="Arial"/>
        <w:b/>
        <w:color w:val="A5A5A5" w:themeColor="accent3" w:themeTint="FE" w:themeShade="95"/>
        <w:sz w:val="22"/>
      </w:rPr>
      <w:tblPr/>
      <w:tcPr>
        <w:tcBorders>
          <w:top w:val="single" w:sz="4" w:space="0" w:color="A5A5A5" w:themeColor="accent3" w:themeTint="FE"/>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Arial" w:hAnsi="Arial"/>
        <w:i/>
        <w:color w:val="A5A5A5" w:themeColor="accent3" w:themeTint="FE" w:themeShade="95"/>
        <w:sz w:val="22"/>
      </w:rPr>
      <w:tblPr/>
      <w:tcPr>
        <w:tcBorders>
          <w:top w:val="none" w:sz="0" w:space="0" w:color="000000"/>
          <w:left w:val="none" w:sz="0" w:space="0" w:color="000000"/>
          <w:bottom w:val="none" w:sz="0" w:space="0" w:color="000000"/>
          <w:right w:val="single" w:sz="4" w:space="0" w:color="A5A5A5" w:themeColor="accent3" w:themeTint="FE"/>
        </w:tcBorders>
        <w:shd w:val="clear" w:color="FFFFFF" w:fill="auto"/>
      </w:tcPr>
    </w:tblStylePr>
    <w:tblStylePr w:type="lastCol">
      <w:rPr>
        <w:rFonts w:ascii="Arial" w:hAnsi="Arial"/>
        <w:i/>
        <w:color w:val="A5A5A5" w:themeColor="accent3" w:themeTint="FE" w:themeShade="95"/>
        <w:sz w:val="22"/>
      </w:rPr>
      <w:tblPr/>
      <w:tcPr>
        <w:tcBorders>
          <w:top w:val="none" w:sz="0" w:space="0" w:color="000000"/>
          <w:left w:val="single" w:sz="4" w:space="0" w:color="A5A5A5" w:themeColor="accent3" w:themeTint="FE"/>
          <w:bottom w:val="none" w:sz="0" w:space="0" w:color="000000"/>
          <w:right w:val="none" w:sz="0" w:space="0" w:color="000000"/>
        </w:tcBorders>
        <w:shd w:val="clear" w:color="FFFFFF" w:fill="auto"/>
      </w:tcPr>
    </w:tblStylePr>
    <w:tblStylePr w:type="band1Vert">
      <w:tblPr/>
      <w:tcPr>
        <w:shd w:val="clear" w:color="ECECEC" w:themeColor="accent3" w:themeTint="34" w:fill="ECECEC" w:themeFill="accent3" w:themeFillTint="34"/>
      </w:tcPr>
    </w:tblStylePr>
    <w:tblStylePr w:type="band1Horz">
      <w:rPr>
        <w:rFonts w:ascii="Arial" w:hAnsi="Arial"/>
        <w:color w:val="A5A5A5" w:themeColor="accent3" w:themeTint="FE" w:themeShade="95"/>
        <w:sz w:val="22"/>
      </w:rPr>
      <w:tblPr/>
      <w:tcPr>
        <w:shd w:val="clear" w:color="ECECEC" w:themeColor="accent3" w:themeTint="34" w:fill="ECECEC" w:themeFill="accent3" w:themeFillTint="34"/>
      </w:tcPr>
    </w:tblStylePr>
    <w:tblStylePr w:type="band2Horz">
      <w:rPr>
        <w:rFonts w:ascii="Arial" w:hAnsi="Arial"/>
        <w:color w:val="A5A5A5" w:themeColor="accent3" w:themeTint="FE" w:themeShade="95"/>
        <w:sz w:val="22"/>
      </w:rPr>
    </w:tblStylePr>
  </w:style>
  <w:style w:type="table" w:customStyle="1" w:styleId="GridTable7Colorful-Accent4">
    <w:name w:val="Grid Table 7 Colorful - Accent 4"/>
    <w:basedOn w:val="TableNormal"/>
    <w:uiPriority w:val="99"/>
    <w:pPr>
      <w:spacing w:after="0" w:line="240" w:lineRule="auto"/>
    </w:pPr>
    <w:tblPr>
      <w:tblStyleRowBandSize w:val="1"/>
      <w:tblStyleColBandSize w:val="1"/>
      <w:tblBorders>
        <w:bottom w:val="single" w:sz="4" w:space="0" w:color="FFD865" w:themeColor="accent4" w:themeTint="9A"/>
        <w:right w:val="single" w:sz="4" w:space="0" w:color="FFD865" w:themeColor="accent4" w:themeTint="9A"/>
        <w:insideH w:val="single" w:sz="4" w:space="0" w:color="FFD865" w:themeColor="accent4" w:themeTint="9A"/>
        <w:insideV w:val="single" w:sz="4" w:space="0" w:color="FFD865" w:themeColor="accent4" w:themeTint="9A"/>
      </w:tblBorders>
    </w:tblPr>
    <w:tblStylePr w:type="firstRow">
      <w:rPr>
        <w:rFonts w:ascii="Arial" w:hAnsi="Arial"/>
        <w:b/>
        <w:color w:val="FFD865" w:themeColor="accent4" w:themeTint="9A" w:themeShade="95"/>
        <w:sz w:val="22"/>
      </w:rPr>
      <w:tblPr/>
      <w:tcPr>
        <w:tcBorders>
          <w:top w:val="none" w:sz="0" w:space="0" w:color="000000"/>
          <w:left w:val="none" w:sz="0" w:space="0" w:color="000000"/>
          <w:bottom w:val="single" w:sz="4" w:space="0" w:color="FFD865" w:themeColor="accent4" w:themeTint="9A"/>
          <w:right w:val="none" w:sz="0" w:space="0" w:color="000000"/>
        </w:tcBorders>
        <w:shd w:val="clear" w:color="FFFFFF" w:themeColor="light1" w:fill="FFFFFF" w:themeFill="light1"/>
      </w:tcPr>
    </w:tblStylePr>
    <w:tblStylePr w:type="lastRow">
      <w:rPr>
        <w:rFonts w:ascii="Arial" w:hAnsi="Arial"/>
        <w:b/>
        <w:color w:val="FFD865" w:themeColor="accent4" w:themeTint="9A" w:themeShade="95"/>
        <w:sz w:val="22"/>
      </w:rPr>
      <w:tblPr/>
      <w:tcPr>
        <w:tcBorders>
          <w:top w:val="single" w:sz="4" w:space="0" w:color="FFD865" w:themeColor="accent4" w:themeTint="9A"/>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Arial" w:hAnsi="Arial"/>
        <w:i/>
        <w:color w:val="FFD865" w:themeColor="accent4" w:themeTint="9A" w:themeShade="95"/>
        <w:sz w:val="22"/>
      </w:rPr>
      <w:tblPr/>
      <w:tcPr>
        <w:tcBorders>
          <w:top w:val="none" w:sz="0" w:space="0" w:color="000000"/>
          <w:left w:val="none" w:sz="0" w:space="0" w:color="000000"/>
          <w:bottom w:val="none" w:sz="0" w:space="0" w:color="000000"/>
          <w:right w:val="single" w:sz="4" w:space="0" w:color="FFD865" w:themeColor="accent4" w:themeTint="9A"/>
        </w:tcBorders>
        <w:shd w:val="clear" w:color="FFFFFF" w:fill="auto"/>
      </w:tcPr>
    </w:tblStylePr>
    <w:tblStylePr w:type="lastCol">
      <w:rPr>
        <w:rFonts w:ascii="Arial" w:hAnsi="Arial"/>
        <w:i/>
        <w:color w:val="FFD865" w:themeColor="accent4" w:themeTint="9A" w:themeShade="95"/>
        <w:sz w:val="22"/>
      </w:rPr>
      <w:tblPr/>
      <w:tcPr>
        <w:tcBorders>
          <w:top w:val="none" w:sz="0" w:space="0" w:color="000000"/>
          <w:left w:val="single" w:sz="4" w:space="0" w:color="FFD865" w:themeColor="accent4" w:themeTint="9A"/>
          <w:bottom w:val="none" w:sz="0" w:space="0" w:color="000000"/>
          <w:right w:val="none" w:sz="0" w:space="0" w:color="000000"/>
        </w:tcBorders>
        <w:shd w:val="clear" w:color="FFFFFF" w:fill="auto"/>
      </w:tcPr>
    </w:tblStylePr>
    <w:tblStylePr w:type="band1Vert">
      <w:tblPr/>
      <w:tcPr>
        <w:shd w:val="clear" w:color="FFF2CB" w:themeColor="accent4" w:themeTint="34" w:fill="FFF2CB" w:themeFill="accent4" w:themeFillTint="34"/>
      </w:tcPr>
    </w:tblStylePr>
    <w:tblStylePr w:type="band1Horz">
      <w:rPr>
        <w:rFonts w:ascii="Arial" w:hAnsi="Arial"/>
        <w:color w:val="FFD865" w:themeColor="accent4" w:themeTint="9A" w:themeShade="95"/>
        <w:sz w:val="22"/>
      </w:rPr>
      <w:tblPr/>
      <w:tcPr>
        <w:shd w:val="clear" w:color="FFF2CB" w:themeColor="accent4" w:themeTint="34" w:fill="FFF2CB" w:themeFill="accent4" w:themeFillTint="34"/>
      </w:tcPr>
    </w:tblStylePr>
    <w:tblStylePr w:type="band2Horz">
      <w:rPr>
        <w:rFonts w:ascii="Arial" w:hAnsi="Arial"/>
        <w:color w:val="FFD865" w:themeColor="accent4" w:themeTint="9A" w:themeShade="95"/>
        <w:sz w:val="22"/>
      </w:rPr>
    </w:tblStylePr>
  </w:style>
  <w:style w:type="table" w:customStyle="1" w:styleId="GridTable7Colorful-Accent5">
    <w:name w:val="Grid Table 7 Colorful - Accent 5"/>
    <w:basedOn w:val="TableNormal"/>
    <w:uiPriority w:val="99"/>
    <w:pPr>
      <w:spacing w:after="0" w:line="240" w:lineRule="auto"/>
    </w:pPr>
    <w:tblPr>
      <w:tblStyleRowBandSize w:val="1"/>
      <w:tblStyleColBandSize w:val="1"/>
      <w:tblBorders>
        <w:bottom w:val="single" w:sz="4" w:space="0" w:color="95AFDD" w:themeColor="accent5" w:themeTint="90"/>
        <w:right w:val="single" w:sz="4" w:space="0" w:color="95AFDD" w:themeColor="accent5" w:themeTint="90"/>
        <w:insideH w:val="single" w:sz="4" w:space="0" w:color="95AFDD" w:themeColor="accent5" w:themeTint="90"/>
        <w:insideV w:val="single" w:sz="4" w:space="0" w:color="95AFDD" w:themeColor="accent5" w:themeTint="90"/>
      </w:tblBorders>
    </w:tblPr>
    <w:tblStylePr w:type="firstRow">
      <w:rPr>
        <w:rFonts w:ascii="Arial" w:hAnsi="Arial"/>
        <w:b/>
        <w:color w:val="254175" w:themeColor="accent5" w:themeShade="95"/>
        <w:sz w:val="22"/>
      </w:rPr>
      <w:tblPr/>
      <w:tcPr>
        <w:tcBorders>
          <w:top w:val="none" w:sz="0" w:space="0" w:color="000000"/>
          <w:left w:val="none" w:sz="0" w:space="0" w:color="000000"/>
          <w:bottom w:val="single" w:sz="4" w:space="0" w:color="95AFDD" w:themeColor="accent5" w:themeTint="90"/>
          <w:right w:val="none" w:sz="0" w:space="0" w:color="000000"/>
        </w:tcBorders>
        <w:shd w:val="clear" w:color="FFFFFF" w:themeColor="light1" w:fill="FFFFFF" w:themeFill="light1"/>
      </w:tcPr>
    </w:tblStylePr>
    <w:tblStylePr w:type="lastRow">
      <w:rPr>
        <w:rFonts w:ascii="Arial" w:hAnsi="Arial"/>
        <w:b/>
        <w:color w:val="254175" w:themeColor="accent5" w:themeShade="95"/>
        <w:sz w:val="22"/>
      </w:rPr>
      <w:tblPr/>
      <w:tcPr>
        <w:tcBorders>
          <w:top w:val="single" w:sz="4" w:space="0" w:color="95AFDD" w:themeColor="accent5" w:themeTint="90"/>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Arial" w:hAnsi="Arial"/>
        <w:i/>
        <w:color w:val="254175" w:themeColor="accent5" w:themeShade="95"/>
        <w:sz w:val="22"/>
      </w:rPr>
      <w:tblPr/>
      <w:tcPr>
        <w:tcBorders>
          <w:top w:val="none" w:sz="0" w:space="0" w:color="000000"/>
          <w:left w:val="none" w:sz="0" w:space="0" w:color="000000"/>
          <w:bottom w:val="none" w:sz="0" w:space="0" w:color="000000"/>
          <w:right w:val="single" w:sz="4" w:space="0" w:color="95AFDD" w:themeColor="accent5" w:themeTint="90"/>
        </w:tcBorders>
        <w:shd w:val="clear" w:color="FFFFFF" w:fill="auto"/>
      </w:tcPr>
    </w:tblStylePr>
    <w:tblStylePr w:type="lastCol">
      <w:rPr>
        <w:rFonts w:ascii="Arial" w:hAnsi="Arial"/>
        <w:i/>
        <w:color w:val="254175" w:themeColor="accent5" w:themeShade="95"/>
        <w:sz w:val="22"/>
      </w:rPr>
      <w:tblPr/>
      <w:tcPr>
        <w:tcBorders>
          <w:top w:val="none" w:sz="0" w:space="0" w:color="000000"/>
          <w:left w:val="single" w:sz="4" w:space="0" w:color="95AFDD" w:themeColor="accent5" w:themeTint="90"/>
          <w:bottom w:val="none" w:sz="0" w:space="0" w:color="000000"/>
          <w:right w:val="none" w:sz="0" w:space="0" w:color="000000"/>
        </w:tcBorders>
        <w:shd w:val="clear" w:color="FFFFFF" w:fill="auto"/>
      </w:tcPr>
    </w:tblStylePr>
    <w:tblStylePr w:type="band1Vert">
      <w:tblPr/>
      <w:tcPr>
        <w:shd w:val="clear" w:color="D8E2F3" w:themeColor="accent5" w:themeTint="34" w:fill="D8E2F3" w:themeFill="accent5" w:themeFillTint="34"/>
      </w:tcPr>
    </w:tblStylePr>
    <w:tblStylePr w:type="band1Horz">
      <w:rPr>
        <w:rFonts w:ascii="Arial" w:hAnsi="Arial"/>
        <w:color w:val="254175" w:themeColor="accent5" w:themeShade="95"/>
        <w:sz w:val="22"/>
      </w:rPr>
      <w:tblPr/>
      <w:tcPr>
        <w:shd w:val="clear" w:color="D8E2F3" w:themeColor="accent5" w:themeTint="34" w:fill="D8E2F3" w:themeFill="accent5" w:themeFillTint="34"/>
      </w:tcPr>
    </w:tblStylePr>
    <w:tblStylePr w:type="band2Horz">
      <w:rPr>
        <w:rFonts w:ascii="Arial" w:hAnsi="Arial"/>
        <w:color w:val="254175" w:themeColor="accent5" w:themeShade="95"/>
        <w:sz w:val="22"/>
      </w:rPr>
    </w:tblStylePr>
  </w:style>
  <w:style w:type="table" w:customStyle="1" w:styleId="GridTable7Colorful-Accent6">
    <w:name w:val="Grid Table 7 Colorful - Accent 6"/>
    <w:basedOn w:val="TableNormal"/>
    <w:uiPriority w:val="99"/>
    <w:pPr>
      <w:spacing w:after="0" w:line="240" w:lineRule="auto"/>
    </w:pPr>
    <w:tblPr>
      <w:tblStyleRowBandSize w:val="1"/>
      <w:tblStyleColBandSize w:val="1"/>
      <w:tblBorders>
        <w:bottom w:val="single" w:sz="4" w:space="0" w:color="ADD394" w:themeColor="accent6" w:themeTint="90"/>
        <w:right w:val="single" w:sz="4" w:space="0" w:color="ADD394" w:themeColor="accent6" w:themeTint="90"/>
        <w:insideH w:val="single" w:sz="4" w:space="0" w:color="ADD394" w:themeColor="accent6" w:themeTint="90"/>
        <w:insideV w:val="single" w:sz="4" w:space="0" w:color="ADD394" w:themeColor="accent6" w:themeTint="90"/>
      </w:tblBorders>
    </w:tblPr>
    <w:tblStylePr w:type="firstRow">
      <w:rPr>
        <w:rFonts w:ascii="Arial" w:hAnsi="Arial"/>
        <w:b/>
        <w:color w:val="416429" w:themeColor="accent6" w:themeShade="95"/>
        <w:sz w:val="22"/>
      </w:rPr>
      <w:tblPr/>
      <w:tcPr>
        <w:tcBorders>
          <w:top w:val="none" w:sz="0" w:space="0" w:color="000000"/>
          <w:left w:val="none" w:sz="0" w:space="0" w:color="000000"/>
          <w:bottom w:val="single" w:sz="4" w:space="0" w:color="ADD394" w:themeColor="accent6" w:themeTint="90"/>
          <w:right w:val="none" w:sz="0" w:space="0" w:color="000000"/>
        </w:tcBorders>
        <w:shd w:val="clear" w:color="FFFFFF" w:themeColor="light1" w:fill="FFFFFF" w:themeFill="light1"/>
      </w:tcPr>
    </w:tblStylePr>
    <w:tblStylePr w:type="lastRow">
      <w:rPr>
        <w:rFonts w:ascii="Arial" w:hAnsi="Arial"/>
        <w:b/>
        <w:color w:val="416429" w:themeColor="accent6" w:themeShade="95"/>
        <w:sz w:val="22"/>
      </w:rPr>
      <w:tblPr/>
      <w:tcPr>
        <w:tcBorders>
          <w:top w:val="single" w:sz="4" w:space="0" w:color="ADD394" w:themeColor="accent6" w:themeTint="90"/>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Arial" w:hAnsi="Arial"/>
        <w:i/>
        <w:color w:val="416429" w:themeColor="accent6" w:themeShade="95"/>
        <w:sz w:val="22"/>
      </w:rPr>
      <w:tblPr/>
      <w:tcPr>
        <w:tcBorders>
          <w:top w:val="none" w:sz="0" w:space="0" w:color="000000"/>
          <w:left w:val="none" w:sz="0" w:space="0" w:color="000000"/>
          <w:bottom w:val="none" w:sz="0" w:space="0" w:color="000000"/>
          <w:right w:val="single" w:sz="4" w:space="0" w:color="ADD394" w:themeColor="accent6" w:themeTint="90"/>
        </w:tcBorders>
        <w:shd w:val="clear" w:color="FFFFFF" w:fill="auto"/>
      </w:tcPr>
    </w:tblStylePr>
    <w:tblStylePr w:type="lastCol">
      <w:rPr>
        <w:rFonts w:ascii="Arial" w:hAnsi="Arial"/>
        <w:i/>
        <w:color w:val="416429" w:themeColor="accent6" w:themeShade="95"/>
        <w:sz w:val="22"/>
      </w:rPr>
      <w:tblPr/>
      <w:tcPr>
        <w:tcBorders>
          <w:top w:val="none" w:sz="0" w:space="0" w:color="000000"/>
          <w:left w:val="single" w:sz="4" w:space="0" w:color="ADD394" w:themeColor="accent6" w:themeTint="90"/>
          <w:bottom w:val="none" w:sz="0" w:space="0" w:color="000000"/>
          <w:right w:val="none" w:sz="0" w:space="0" w:color="000000"/>
        </w:tcBorders>
        <w:shd w:val="clear" w:color="FFFFFF" w:fill="auto"/>
      </w:tcPr>
    </w:tblStylePr>
    <w:tblStylePr w:type="band1Vert">
      <w:tblPr/>
      <w:tcPr>
        <w:shd w:val="clear" w:color="E1EFD8" w:themeColor="accent6" w:themeTint="34" w:fill="E1EFD8" w:themeFill="accent6" w:themeFillTint="34"/>
      </w:tcPr>
    </w:tblStylePr>
    <w:tblStylePr w:type="band1Horz">
      <w:rPr>
        <w:rFonts w:ascii="Arial" w:hAnsi="Arial"/>
        <w:color w:val="416429" w:themeColor="accent6" w:themeShade="95"/>
        <w:sz w:val="22"/>
      </w:rPr>
      <w:tblPr/>
      <w:tcPr>
        <w:shd w:val="clear" w:color="E1EFD8" w:themeColor="accent6" w:themeTint="34" w:fill="E1EFD8" w:themeFill="accent6" w:themeFillTint="34"/>
      </w:tcPr>
    </w:tblStylePr>
    <w:tblStylePr w:type="band2Horz">
      <w:rPr>
        <w:rFonts w:ascii="Arial" w:hAnsi="Arial"/>
        <w:color w:val="416429" w:themeColor="accent6" w:themeShade="95"/>
        <w:sz w:val="22"/>
      </w:rPr>
    </w:tblStylePr>
  </w:style>
  <w:style w:type="table" w:styleId="ListTable1Light">
    <w:name w:val="List Table 1 Light"/>
    <w:basedOn w:val="TableNormal"/>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000000" w:themeColor="text1"/>
          <w:right w:val="none" w:sz="4" w:space="0" w:color="000000"/>
        </w:tcBorders>
      </w:tcPr>
    </w:tblStylePr>
    <w:tblStylePr w:type="lastRow">
      <w:rPr>
        <w:b/>
        <w:color w:val="404040"/>
      </w:rPr>
      <w:tblPr/>
      <w:tcPr>
        <w:tcBorders>
          <w:top w:val="single" w:sz="4" w:space="0" w:color="000000" w:themeColor="tex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themeColor="text1" w:themeTint="40" w:fill="BFBFBF" w:themeFill="text1" w:themeFillTint="40"/>
      </w:tcPr>
    </w:tblStylePr>
    <w:tblStylePr w:type="band1Horz">
      <w:tblPr/>
      <w:tcPr>
        <w:shd w:val="clear" w:color="BFBFBF" w:themeColor="text1" w:themeTint="40" w:fill="BFBFBF" w:themeFill="text1" w:themeFillTint="40"/>
      </w:tcPr>
    </w:tblStylePr>
  </w:style>
  <w:style w:type="table" w:styleId="ListTable2">
    <w:name w:val="List Table 2"/>
    <w:basedOn w:val="TableNormal"/>
    <w:uiPriority w:val="99"/>
    <w:pPr>
      <w:spacing w:after="0" w:line="240" w:lineRule="auto"/>
    </w:pPr>
    <w:tblPr>
      <w:tblStyleRowBandSize w:val="1"/>
      <w:tblStyleColBandSize w:val="1"/>
      <w:tblBorders>
        <w:top w:val="single" w:sz="4" w:space="0" w:color="6F6F6F" w:themeColor="text1" w:themeTint="90"/>
        <w:bottom w:val="single" w:sz="4" w:space="0" w:color="6F6F6F" w:themeColor="text1" w:themeTint="90"/>
        <w:insideH w:val="single" w:sz="4" w:space="0" w:color="6F6F6F" w:themeColor="text1" w:themeTint="90"/>
      </w:tblBorders>
    </w:tblPr>
    <w:tblStylePr w:type="fir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la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styleId="ListTable3">
    <w:name w:val="List Table 3"/>
    <w:basedOn w:val="TableNormal"/>
    <w:uiPriority w:val="99"/>
    <w:pPr>
      <w:spacing w:after="0" w:line="240" w:lineRule="auto"/>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styleId="ListTable4">
    <w:name w:val="List Table 4"/>
    <w:basedOn w:val="TableNormal"/>
    <w:uiPriority w:val="99"/>
    <w:pPr>
      <w:spacing w:after="0" w:line="240" w:lineRule="auto"/>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styleId="ListTable5Dark">
    <w:name w:val="List Table 5 Dark"/>
    <w:basedOn w:val="TableNormal"/>
    <w:uiPriority w:val="99"/>
    <w:pPr>
      <w:spacing w:after="0" w:line="240" w:lineRule="auto"/>
    </w:pPr>
    <w:tblPr>
      <w:tblStyleRowBandSize w:val="1"/>
      <w:tblStyleColBandSize w:val="1"/>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shd w:val="clear" w:color="7F7F7F" w:themeColor="text1" w:themeTint="80" w:fill="7F7F7F" w:themeFill="text1" w:themeFillTint="80"/>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7F7F7F" w:themeColor="text1" w:themeTint="80" w:fill="7F7F7F"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7F7F7F" w:themeColor="text1" w:themeTint="80"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tblStylePr w:type="band2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style>
  <w:style w:type="table" w:styleId="ListTable6Colourful">
    <w:name w:val="List Table 6 Colorful"/>
    <w:basedOn w:val="TableNormal"/>
    <w:uiPriority w:val="99"/>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BFBFBF" w:themeColor="text1" w:themeTint="40" w:fill="BFBFBF" w:themeFill="text1" w:themeFillTint="40"/>
      </w:tcPr>
    </w:tblStylePr>
    <w:tblStylePr w:type="band1Horz">
      <w:rPr>
        <w:rFonts w:ascii="Arial" w:hAnsi="Arial"/>
        <w:color w:val="000000" w:themeColor="text1"/>
        <w:sz w:val="22"/>
      </w:rPr>
      <w:tblPr/>
      <w:tcPr>
        <w:shd w:val="clear" w:color="BFBFBF" w:themeColor="text1" w:themeTint="40" w:fill="BFBFBF" w:themeFill="text1" w:themeFillTint="40"/>
      </w:tcPr>
    </w:tblStylePr>
    <w:tblStylePr w:type="band2Horz">
      <w:rPr>
        <w:rFonts w:ascii="Arial" w:hAnsi="Arial"/>
        <w:color w:val="000000" w:themeColor="text1"/>
        <w:sz w:val="22"/>
      </w:rPr>
    </w:tblStylePr>
  </w:style>
  <w:style w:type="table" w:customStyle="1" w:styleId="ListTable6Colorful-Accent1">
    <w:name w:val="List Table 6 Colorful - Accent 1"/>
    <w:basedOn w:val="TableNormal"/>
    <w:uiPriority w:val="99"/>
    <w:pPr>
      <w:spacing w:after="0" w:line="240" w:lineRule="auto"/>
    </w:pPr>
    <w:tblPr>
      <w:tblStyleRowBandSize w:val="1"/>
      <w:tblStyleColBandSize w:val="1"/>
      <w:tblBorders>
        <w:top w:val="single" w:sz="4" w:space="0" w:color="5B9BD5" w:themeColor="accent1"/>
        <w:bottom w:val="single" w:sz="4" w:space="0" w:color="5B9BD5" w:themeColor="accent1"/>
      </w:tblBorders>
    </w:tblPr>
    <w:tblStylePr w:type="firstRow">
      <w:rPr>
        <w:b/>
        <w:color w:val="245A8D" w:themeColor="accent1" w:themeShade="95"/>
      </w:rPr>
      <w:tblPr/>
      <w:tcPr>
        <w:tcBorders>
          <w:bottom w:val="single" w:sz="4" w:space="0" w:color="5B9BD5" w:themeColor="accent1"/>
        </w:tcBorders>
      </w:tcPr>
    </w:tblStylePr>
    <w:tblStylePr w:type="lastRow">
      <w:rPr>
        <w:b/>
        <w:color w:val="245A8D" w:themeColor="accent1" w:themeShade="95"/>
      </w:rPr>
      <w:tblPr/>
      <w:tcPr>
        <w:tcBorders>
          <w:top w:val="single" w:sz="4" w:space="0" w:color="5B9BD5" w:themeColor="accent1"/>
        </w:tcBorders>
      </w:tcPr>
    </w:tblStylePr>
    <w:tblStylePr w:type="firstCol">
      <w:rPr>
        <w:b/>
        <w:color w:val="245A8D" w:themeColor="accent1" w:themeShade="95"/>
      </w:rPr>
    </w:tblStylePr>
    <w:tblStylePr w:type="lastCol">
      <w:rPr>
        <w:b/>
        <w:color w:val="245A8D" w:themeColor="accent1" w:themeShade="95"/>
      </w:rPr>
    </w:tblStylePr>
    <w:tblStylePr w:type="band1Vert">
      <w:tblPr/>
      <w:tcPr>
        <w:shd w:val="clear" w:color="D5E5F4" w:themeColor="accent1" w:themeTint="40" w:fill="D5E5F4" w:themeFill="accent1" w:themeFillTint="40"/>
      </w:tcPr>
    </w:tblStylePr>
    <w:tblStylePr w:type="band1Horz">
      <w:rPr>
        <w:rFonts w:ascii="Arial" w:hAnsi="Arial"/>
        <w:color w:val="245A8D" w:themeColor="accent1" w:themeShade="95"/>
        <w:sz w:val="22"/>
      </w:rPr>
      <w:tblPr/>
      <w:tcPr>
        <w:shd w:val="clear" w:color="D5E5F4" w:themeColor="accent1" w:themeTint="40" w:fill="D5E5F4" w:themeFill="accent1" w:themeFillTint="40"/>
      </w:tcPr>
    </w:tblStylePr>
    <w:tblStylePr w:type="band2Horz">
      <w:rPr>
        <w:rFonts w:ascii="Arial" w:hAnsi="Arial"/>
        <w:color w:val="245A8D" w:themeColor="accent1" w:themeShade="95"/>
        <w:sz w:val="22"/>
      </w:rPr>
    </w:tblStylePr>
  </w:style>
  <w:style w:type="table" w:customStyle="1" w:styleId="ListTable6Colorful-Accent2">
    <w:name w:val="List Table 6 Colorful - Accent 2"/>
    <w:basedOn w:val="TableNormal"/>
    <w:uiPriority w:val="99"/>
    <w:pPr>
      <w:spacing w:after="0" w:line="240" w:lineRule="auto"/>
    </w:pPr>
    <w:tblPr>
      <w:tblStyleRowBandSize w:val="1"/>
      <w:tblStyleColBandSize w:val="1"/>
      <w:tblBorders>
        <w:top w:val="single" w:sz="4" w:space="0" w:color="F4B184" w:themeColor="accent2" w:themeTint="97"/>
        <w:bottom w:val="single" w:sz="4" w:space="0" w:color="F4B184" w:themeColor="accent2" w:themeTint="97"/>
      </w:tblBorders>
    </w:tblPr>
    <w:tblStylePr w:type="firstRow">
      <w:rPr>
        <w:b/>
        <w:color w:val="F4B184" w:themeColor="accent2" w:themeTint="97" w:themeShade="95"/>
      </w:rPr>
      <w:tblPr/>
      <w:tcPr>
        <w:tcBorders>
          <w:bottom w:val="single" w:sz="4" w:space="0" w:color="F4B184" w:themeColor="accent2" w:themeTint="97"/>
        </w:tcBorders>
      </w:tcPr>
    </w:tblStylePr>
    <w:tblStylePr w:type="lastRow">
      <w:rPr>
        <w:b/>
        <w:color w:val="F4B184" w:themeColor="accent2" w:themeTint="97" w:themeShade="95"/>
      </w:rPr>
      <w:tblPr/>
      <w:tcPr>
        <w:tcBorders>
          <w:top w:val="single" w:sz="4" w:space="0" w:color="F4B184" w:themeColor="accent2" w:themeTint="97"/>
        </w:tcBorders>
      </w:tcPr>
    </w:tblStylePr>
    <w:tblStylePr w:type="firstCol">
      <w:rPr>
        <w:b/>
        <w:color w:val="F4B184" w:themeColor="accent2" w:themeTint="97" w:themeShade="95"/>
      </w:rPr>
    </w:tblStylePr>
    <w:tblStylePr w:type="lastCol">
      <w:rPr>
        <w:b/>
        <w:color w:val="F4B184" w:themeColor="accent2" w:themeTint="97" w:themeShade="95"/>
      </w:rPr>
    </w:tblStylePr>
    <w:tblStylePr w:type="band1Vert">
      <w:tblPr/>
      <w:tcPr>
        <w:shd w:val="clear" w:color="FADECB" w:themeColor="accent2" w:themeTint="40" w:fill="FADECB" w:themeFill="accent2" w:themeFillTint="40"/>
      </w:tcPr>
    </w:tblStylePr>
    <w:tblStylePr w:type="band1Horz">
      <w:rPr>
        <w:rFonts w:ascii="Arial" w:hAnsi="Arial"/>
        <w:color w:val="F4B184" w:themeColor="accent2" w:themeTint="97" w:themeShade="95"/>
        <w:sz w:val="22"/>
      </w:rPr>
      <w:tblPr/>
      <w:tcPr>
        <w:shd w:val="clear" w:color="FADECB" w:themeColor="accent2" w:themeTint="40" w:fill="FADECB" w:themeFill="accent2" w:themeFillTint="40"/>
      </w:tcPr>
    </w:tblStylePr>
    <w:tblStylePr w:type="band2Horz">
      <w:rPr>
        <w:rFonts w:ascii="Arial" w:hAnsi="Arial"/>
        <w:color w:val="F4B184" w:themeColor="accent2" w:themeTint="97" w:themeShade="95"/>
        <w:sz w:val="22"/>
      </w:rPr>
    </w:tblStylePr>
  </w:style>
  <w:style w:type="table" w:customStyle="1" w:styleId="ListTable6Colorful-Accent3">
    <w:name w:val="List Table 6 Colorful - Accent 3"/>
    <w:basedOn w:val="TableNormal"/>
    <w:uiPriority w:val="99"/>
    <w:pPr>
      <w:spacing w:after="0" w:line="240" w:lineRule="auto"/>
    </w:pPr>
    <w:tblPr>
      <w:tblStyleRowBandSize w:val="1"/>
      <w:tblStyleColBandSize w:val="1"/>
      <w:tblBorders>
        <w:top w:val="single" w:sz="4" w:space="0" w:color="C9C9C9" w:themeColor="accent3" w:themeTint="98"/>
        <w:bottom w:val="single" w:sz="4" w:space="0" w:color="C9C9C9" w:themeColor="accent3" w:themeTint="98"/>
      </w:tblBorders>
    </w:tblPr>
    <w:tblStylePr w:type="firstRow">
      <w:rPr>
        <w:b/>
        <w:color w:val="C9C9C9" w:themeColor="accent3" w:themeTint="98" w:themeShade="95"/>
      </w:rPr>
      <w:tblPr/>
      <w:tcPr>
        <w:tcBorders>
          <w:bottom w:val="single" w:sz="4" w:space="0" w:color="C9C9C9" w:themeColor="accent3" w:themeTint="98"/>
        </w:tcBorders>
      </w:tcPr>
    </w:tblStylePr>
    <w:tblStylePr w:type="lastRow">
      <w:rPr>
        <w:b/>
        <w:color w:val="C9C9C9" w:themeColor="accent3" w:themeTint="98" w:themeShade="95"/>
      </w:rPr>
      <w:tblPr/>
      <w:tcPr>
        <w:tcBorders>
          <w:top w:val="single" w:sz="4" w:space="0" w:color="C9C9C9" w:themeColor="accent3" w:themeTint="98"/>
        </w:tcBorders>
      </w:tcPr>
    </w:tblStylePr>
    <w:tblStylePr w:type="firstCol">
      <w:rPr>
        <w:b/>
        <w:color w:val="C9C9C9" w:themeColor="accent3" w:themeTint="98" w:themeShade="95"/>
      </w:rPr>
    </w:tblStylePr>
    <w:tblStylePr w:type="lastCol">
      <w:rPr>
        <w:b/>
        <w:color w:val="C9C9C9" w:themeColor="accent3" w:themeTint="98" w:themeShade="95"/>
      </w:rPr>
    </w:tblStylePr>
    <w:tblStylePr w:type="band1Vert">
      <w:tblPr/>
      <w:tcPr>
        <w:shd w:val="clear" w:color="E8E8E8" w:themeColor="accent3" w:themeTint="40" w:fill="E8E8E8" w:themeFill="accent3" w:themeFillTint="40"/>
      </w:tcPr>
    </w:tblStylePr>
    <w:tblStylePr w:type="band1Horz">
      <w:rPr>
        <w:rFonts w:ascii="Arial" w:hAnsi="Arial"/>
        <w:color w:val="C9C9C9" w:themeColor="accent3" w:themeTint="98" w:themeShade="95"/>
        <w:sz w:val="22"/>
      </w:rPr>
      <w:tblPr/>
      <w:tcPr>
        <w:shd w:val="clear" w:color="E8E8E8" w:themeColor="accent3" w:themeTint="40" w:fill="E8E8E8" w:themeFill="accent3" w:themeFillTint="40"/>
      </w:tcPr>
    </w:tblStylePr>
    <w:tblStylePr w:type="band2Horz">
      <w:rPr>
        <w:rFonts w:ascii="Arial" w:hAnsi="Arial"/>
        <w:color w:val="C9C9C9" w:themeColor="accent3" w:themeTint="98" w:themeShade="95"/>
        <w:sz w:val="22"/>
      </w:rPr>
    </w:tblStylePr>
  </w:style>
  <w:style w:type="table" w:customStyle="1" w:styleId="ListTable6Colorful-Accent4">
    <w:name w:val="List Table 6 Colorful - Accent 4"/>
    <w:basedOn w:val="TableNormal"/>
    <w:uiPriority w:val="99"/>
    <w:pPr>
      <w:spacing w:after="0" w:line="240" w:lineRule="auto"/>
    </w:pPr>
    <w:tblPr>
      <w:tblStyleRowBandSize w:val="1"/>
      <w:tblStyleColBandSize w:val="1"/>
      <w:tblBorders>
        <w:top w:val="single" w:sz="4" w:space="0" w:color="FFD865" w:themeColor="accent4" w:themeTint="9A"/>
        <w:bottom w:val="single" w:sz="4" w:space="0" w:color="FFD865" w:themeColor="accent4" w:themeTint="9A"/>
      </w:tblBorders>
    </w:tblPr>
    <w:tblStylePr w:type="firstRow">
      <w:rPr>
        <w:b/>
        <w:color w:val="FFD865" w:themeColor="accent4" w:themeTint="9A" w:themeShade="95"/>
      </w:rPr>
      <w:tblPr/>
      <w:tcPr>
        <w:tcBorders>
          <w:bottom w:val="single" w:sz="4" w:space="0" w:color="FFD865" w:themeColor="accent4" w:themeTint="9A"/>
        </w:tcBorders>
      </w:tcPr>
    </w:tblStylePr>
    <w:tblStylePr w:type="lastRow">
      <w:rPr>
        <w:b/>
        <w:color w:val="FFD865" w:themeColor="accent4" w:themeTint="9A" w:themeShade="95"/>
      </w:rPr>
      <w:tblPr/>
      <w:tcPr>
        <w:tcBorders>
          <w:top w:val="single" w:sz="4" w:space="0" w:color="FFD865" w:themeColor="accent4" w:themeTint="9A"/>
        </w:tcBorders>
      </w:tcPr>
    </w:tblStylePr>
    <w:tblStylePr w:type="firstCol">
      <w:rPr>
        <w:b/>
        <w:color w:val="FFD865" w:themeColor="accent4" w:themeTint="9A" w:themeShade="95"/>
      </w:rPr>
    </w:tblStylePr>
    <w:tblStylePr w:type="lastCol">
      <w:rPr>
        <w:b/>
        <w:color w:val="FFD865" w:themeColor="accent4" w:themeTint="9A" w:themeShade="95"/>
      </w:rPr>
    </w:tblStylePr>
    <w:tblStylePr w:type="band1Vert">
      <w:tblPr/>
      <w:tcPr>
        <w:shd w:val="clear" w:color="FFEFBF" w:themeColor="accent4" w:themeTint="40" w:fill="FFEFBF" w:themeFill="accent4" w:themeFillTint="40"/>
      </w:tcPr>
    </w:tblStylePr>
    <w:tblStylePr w:type="band1Horz">
      <w:rPr>
        <w:rFonts w:ascii="Arial" w:hAnsi="Arial"/>
        <w:color w:val="FFD865" w:themeColor="accent4" w:themeTint="9A" w:themeShade="95"/>
        <w:sz w:val="22"/>
      </w:rPr>
      <w:tblPr/>
      <w:tcPr>
        <w:shd w:val="clear" w:color="FFEFBF" w:themeColor="accent4" w:themeTint="40" w:fill="FFEFBF" w:themeFill="accent4" w:themeFillTint="40"/>
      </w:tcPr>
    </w:tblStylePr>
    <w:tblStylePr w:type="band2Horz">
      <w:rPr>
        <w:rFonts w:ascii="Arial" w:hAnsi="Arial"/>
        <w:color w:val="FFD865" w:themeColor="accent4" w:themeTint="9A" w:themeShade="95"/>
        <w:sz w:val="22"/>
      </w:rPr>
    </w:tblStylePr>
  </w:style>
  <w:style w:type="table" w:customStyle="1" w:styleId="ListTable6Colorful-Accent5">
    <w:name w:val="List Table 6 Colorful - Accent 5"/>
    <w:basedOn w:val="TableNormal"/>
    <w:uiPriority w:val="99"/>
    <w:pPr>
      <w:spacing w:after="0" w:line="240" w:lineRule="auto"/>
    </w:pPr>
    <w:tblPr>
      <w:tblStyleRowBandSize w:val="1"/>
      <w:tblStyleColBandSize w:val="1"/>
      <w:tblBorders>
        <w:top w:val="single" w:sz="4" w:space="0" w:color="8DA9DB" w:themeColor="accent5" w:themeTint="9A"/>
        <w:bottom w:val="single" w:sz="4" w:space="0" w:color="8DA9DB" w:themeColor="accent5" w:themeTint="9A"/>
      </w:tblBorders>
    </w:tblPr>
    <w:tblStylePr w:type="firstRow">
      <w:rPr>
        <w:b/>
        <w:color w:val="8DA9DB" w:themeColor="accent5" w:themeTint="9A" w:themeShade="95"/>
      </w:rPr>
      <w:tblPr/>
      <w:tcPr>
        <w:tcBorders>
          <w:bottom w:val="single" w:sz="4" w:space="0" w:color="8DA9DB" w:themeColor="accent5" w:themeTint="9A"/>
        </w:tcBorders>
      </w:tcPr>
    </w:tblStylePr>
    <w:tblStylePr w:type="lastRow">
      <w:rPr>
        <w:b/>
        <w:color w:val="8DA9DB" w:themeColor="accent5" w:themeTint="9A" w:themeShade="95"/>
      </w:rPr>
      <w:tblPr/>
      <w:tcPr>
        <w:tcBorders>
          <w:top w:val="single" w:sz="4" w:space="0" w:color="8DA9DB" w:themeColor="accent5" w:themeTint="9A"/>
        </w:tcBorders>
      </w:tcPr>
    </w:tblStylePr>
    <w:tblStylePr w:type="firstCol">
      <w:rPr>
        <w:b/>
        <w:color w:val="8DA9DB" w:themeColor="accent5" w:themeTint="9A" w:themeShade="95"/>
      </w:rPr>
    </w:tblStylePr>
    <w:tblStylePr w:type="lastCol">
      <w:rPr>
        <w:b/>
        <w:color w:val="8DA9DB" w:themeColor="accent5" w:themeTint="9A" w:themeShade="95"/>
      </w:rPr>
    </w:tblStylePr>
    <w:tblStylePr w:type="band1Vert">
      <w:tblPr/>
      <w:tcPr>
        <w:shd w:val="clear" w:color="CFDBF0" w:themeColor="accent5" w:themeTint="40" w:fill="CFDBF0" w:themeFill="accent5" w:themeFillTint="40"/>
      </w:tcPr>
    </w:tblStylePr>
    <w:tblStylePr w:type="band1Horz">
      <w:rPr>
        <w:rFonts w:ascii="Arial" w:hAnsi="Arial"/>
        <w:color w:val="8DA9DB" w:themeColor="accent5" w:themeTint="9A" w:themeShade="95"/>
        <w:sz w:val="22"/>
      </w:rPr>
      <w:tblPr/>
      <w:tcPr>
        <w:shd w:val="clear" w:color="CFDBF0" w:themeColor="accent5" w:themeTint="40" w:fill="CFDBF0" w:themeFill="accent5" w:themeFillTint="40"/>
      </w:tcPr>
    </w:tblStylePr>
    <w:tblStylePr w:type="band2Horz">
      <w:rPr>
        <w:rFonts w:ascii="Arial" w:hAnsi="Arial"/>
        <w:color w:val="8DA9DB" w:themeColor="accent5" w:themeTint="9A" w:themeShade="95"/>
        <w:sz w:val="22"/>
      </w:rPr>
    </w:tblStylePr>
  </w:style>
  <w:style w:type="table" w:customStyle="1" w:styleId="ListTable6Colorful-Accent6">
    <w:name w:val="List Table 6 Colorful - Accent 6"/>
    <w:basedOn w:val="TableNormal"/>
    <w:uiPriority w:val="99"/>
    <w:pPr>
      <w:spacing w:after="0" w:line="240" w:lineRule="auto"/>
    </w:pPr>
    <w:tblPr>
      <w:tblStyleRowBandSize w:val="1"/>
      <w:tblStyleColBandSize w:val="1"/>
      <w:tblBorders>
        <w:top w:val="single" w:sz="4" w:space="0" w:color="A9D08E" w:themeColor="accent6" w:themeTint="98"/>
        <w:bottom w:val="single" w:sz="4" w:space="0" w:color="A9D08E" w:themeColor="accent6" w:themeTint="98"/>
      </w:tblBorders>
    </w:tblPr>
    <w:tblStylePr w:type="firstRow">
      <w:rPr>
        <w:b/>
        <w:color w:val="A9D08E" w:themeColor="accent6" w:themeTint="98" w:themeShade="95"/>
      </w:rPr>
      <w:tblPr/>
      <w:tcPr>
        <w:tcBorders>
          <w:bottom w:val="single" w:sz="4" w:space="0" w:color="A9D08E" w:themeColor="accent6" w:themeTint="98"/>
        </w:tcBorders>
      </w:tcPr>
    </w:tblStylePr>
    <w:tblStylePr w:type="lastRow">
      <w:rPr>
        <w:b/>
        <w:color w:val="A9D08E" w:themeColor="accent6" w:themeTint="98" w:themeShade="95"/>
      </w:rPr>
      <w:tblPr/>
      <w:tcPr>
        <w:tcBorders>
          <w:top w:val="single" w:sz="4" w:space="0" w:color="A9D08E" w:themeColor="accent6" w:themeTint="98"/>
        </w:tcBorders>
      </w:tcPr>
    </w:tblStylePr>
    <w:tblStylePr w:type="firstCol">
      <w:rPr>
        <w:b/>
        <w:color w:val="A9D08E" w:themeColor="accent6" w:themeTint="98" w:themeShade="95"/>
      </w:rPr>
    </w:tblStylePr>
    <w:tblStylePr w:type="lastCol">
      <w:rPr>
        <w:b/>
        <w:color w:val="A9D08E" w:themeColor="accent6" w:themeTint="98" w:themeShade="95"/>
      </w:rPr>
    </w:tblStylePr>
    <w:tblStylePr w:type="band1Vert">
      <w:tblPr/>
      <w:tcPr>
        <w:shd w:val="clear" w:color="DAEBCF" w:themeColor="accent6" w:themeTint="40" w:fill="DAEBCF" w:themeFill="accent6" w:themeFillTint="40"/>
      </w:tcPr>
    </w:tblStylePr>
    <w:tblStylePr w:type="band1Horz">
      <w:rPr>
        <w:rFonts w:ascii="Arial" w:hAnsi="Arial"/>
        <w:color w:val="A9D08E" w:themeColor="accent6" w:themeTint="98" w:themeShade="95"/>
        <w:sz w:val="22"/>
      </w:rPr>
      <w:tblPr/>
      <w:tcPr>
        <w:shd w:val="clear" w:color="DAEBCF" w:themeColor="accent6" w:themeTint="40" w:fill="DAEBCF" w:themeFill="accent6" w:themeFillTint="40"/>
      </w:tcPr>
    </w:tblStylePr>
    <w:tblStylePr w:type="band2Horz">
      <w:rPr>
        <w:rFonts w:ascii="Arial" w:hAnsi="Arial"/>
        <w:color w:val="A9D08E" w:themeColor="accent6" w:themeTint="98" w:themeShade="95"/>
        <w:sz w:val="22"/>
      </w:rPr>
    </w:tblStylePr>
  </w:style>
  <w:style w:type="table" w:styleId="ListTable7Colourful">
    <w:name w:val="List Table 7 Colorful"/>
    <w:basedOn w:val="TableNormal"/>
    <w:uiPriority w:val="99"/>
    <w:pPr>
      <w:spacing w:after="0" w:line="240" w:lineRule="auto"/>
    </w:pPr>
    <w:tblPr>
      <w:tblStyleRowBandSize w:val="1"/>
      <w:tblStyleColBandSize w:val="1"/>
      <w:tblBorders>
        <w:right w:val="single" w:sz="4" w:space="0" w:color="7F7F7F" w:themeColor="text1" w:themeTint="80"/>
      </w:tblBorders>
    </w:tblPr>
    <w:tblStylePr w:type="firstRow">
      <w:rPr>
        <w:rFonts w:ascii="Arial" w:hAnsi="Arial"/>
        <w:i/>
        <w:color w:val="7F7F7F" w:themeColor="text1" w:themeTint="80" w:themeShade="95"/>
        <w:sz w:val="22"/>
      </w:rPr>
      <w:tblPr/>
      <w:tcPr>
        <w:tcBorders>
          <w:top w:val="none" w:sz="0" w:space="0" w:color="000000"/>
          <w:left w:val="none" w:sz="0" w:space="0" w:color="000000"/>
          <w:bottom w:val="single" w:sz="4" w:space="0" w:color="7F7F7F" w:themeColor="text1" w:themeTint="80"/>
          <w:right w:val="none" w:sz="0" w:space="0" w:color="000000"/>
        </w:tcBorders>
        <w:shd w:val="clear" w:color="FFFFFF" w:themeColor="light1" w:fill="FFFFFF" w:themeFill="light1"/>
      </w:tcPr>
    </w:tblStylePr>
    <w:tblStylePr w:type="lastRow">
      <w:rPr>
        <w:rFonts w:ascii="Arial" w:hAnsi="Arial"/>
        <w:i/>
        <w:color w:val="7F7F7F" w:themeColor="text1" w:themeTint="80" w:themeShade="95"/>
        <w:sz w:val="22"/>
      </w:rPr>
      <w:tblPr/>
      <w:tcPr>
        <w:tcBorders>
          <w:top w:val="single" w:sz="4" w:space="0" w:color="7F7F7F" w:themeColor="text1" w:themeTint="80"/>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0" w:space="0" w:color="000000"/>
          <w:left w:val="none" w:sz="0" w:space="0" w:color="000000"/>
          <w:bottom w:val="none" w:sz="0" w:space="0" w:color="000000"/>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0" w:space="0" w:color="000000"/>
          <w:left w:val="single" w:sz="4" w:space="0" w:color="7F7F7F" w:themeColor="text1" w:themeTint="80"/>
          <w:bottom w:val="none" w:sz="0" w:space="0" w:color="000000"/>
          <w:right w:val="none" w:sz="0" w:space="0" w:color="000000"/>
        </w:tcBorders>
        <w:shd w:val="clear" w:color="FFFFFF" w:fill="auto"/>
      </w:tcPr>
    </w:tblStylePr>
    <w:tblStylePr w:type="band1Vert">
      <w:tblPr/>
      <w:tcPr>
        <w:shd w:val="clear" w:color="BFBFBF" w:themeColor="text1" w:themeTint="40" w:fill="BFBFBF" w:themeFill="text1" w:themeFillTint="40"/>
      </w:tcPr>
    </w:tblStylePr>
    <w:tblStylePr w:type="band1Horz">
      <w:rPr>
        <w:rFonts w:ascii="Arial" w:hAnsi="Arial"/>
        <w:color w:val="7F7F7F" w:themeColor="text1" w:themeTint="80" w:themeShade="95"/>
        <w:sz w:val="22"/>
      </w:rPr>
      <w:tblPr/>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style>
  <w:style w:type="table" w:customStyle="1" w:styleId="ListTable7Colorful-Accent1">
    <w:name w:val="List Table 7 Colorful - Accent 1"/>
    <w:basedOn w:val="TableNormal"/>
    <w:uiPriority w:val="99"/>
    <w:pPr>
      <w:spacing w:after="0" w:line="240" w:lineRule="auto"/>
    </w:pPr>
    <w:tblPr>
      <w:tblStyleRowBandSize w:val="1"/>
      <w:tblStyleColBandSize w:val="1"/>
      <w:tblBorders>
        <w:right w:val="single" w:sz="4" w:space="0" w:color="5B9BD5" w:themeColor="accent1"/>
      </w:tblBorders>
    </w:tblPr>
    <w:tblStylePr w:type="firstRow">
      <w:rPr>
        <w:rFonts w:ascii="Arial" w:hAnsi="Arial"/>
        <w:i/>
        <w:color w:val="245A8D" w:themeColor="accent1" w:themeShade="95"/>
        <w:sz w:val="22"/>
      </w:rPr>
      <w:tblPr/>
      <w:tcPr>
        <w:tcBorders>
          <w:top w:val="none" w:sz="0" w:space="0" w:color="000000"/>
          <w:left w:val="none" w:sz="0" w:space="0" w:color="000000"/>
          <w:bottom w:val="single" w:sz="4" w:space="0" w:color="5B9BD5" w:themeColor="accent1"/>
          <w:right w:val="none" w:sz="0" w:space="0" w:color="000000"/>
        </w:tcBorders>
        <w:shd w:val="clear" w:color="FFFFFF" w:themeColor="light1" w:fill="FFFFFF" w:themeFill="light1"/>
      </w:tcPr>
    </w:tblStylePr>
    <w:tblStylePr w:type="lastRow">
      <w:rPr>
        <w:rFonts w:ascii="Arial" w:hAnsi="Arial"/>
        <w:i/>
        <w:color w:val="245A8D" w:themeColor="accent1" w:themeShade="95"/>
        <w:sz w:val="22"/>
      </w:rPr>
      <w:tblPr/>
      <w:tcPr>
        <w:tcBorders>
          <w:top w:val="single" w:sz="4" w:space="0" w:color="5B9BD5" w:themeColor="accent1"/>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Arial" w:hAnsi="Arial"/>
        <w:i/>
        <w:color w:val="245A8D" w:themeColor="accent1" w:themeShade="95"/>
        <w:sz w:val="22"/>
      </w:rPr>
      <w:tblPr/>
      <w:tcPr>
        <w:tcBorders>
          <w:top w:val="none" w:sz="0" w:space="0" w:color="000000"/>
          <w:left w:val="none" w:sz="0" w:space="0" w:color="000000"/>
          <w:bottom w:val="none" w:sz="0" w:space="0" w:color="000000"/>
          <w:right w:val="single" w:sz="4" w:space="0" w:color="5B9BD5" w:themeColor="accent1"/>
        </w:tcBorders>
        <w:shd w:val="clear" w:color="FFFFFF" w:fill="auto"/>
      </w:tcPr>
    </w:tblStylePr>
    <w:tblStylePr w:type="lastCol">
      <w:rPr>
        <w:rFonts w:ascii="Arial" w:hAnsi="Arial"/>
        <w:i/>
        <w:color w:val="245A8D" w:themeColor="accent1" w:themeShade="95"/>
        <w:sz w:val="22"/>
      </w:rPr>
      <w:tblPr/>
      <w:tcPr>
        <w:tcBorders>
          <w:top w:val="none" w:sz="0" w:space="0" w:color="000000"/>
          <w:left w:val="single" w:sz="4" w:space="0" w:color="5B9BD5" w:themeColor="accent1"/>
          <w:bottom w:val="none" w:sz="0" w:space="0" w:color="000000"/>
          <w:right w:val="none" w:sz="0" w:space="0" w:color="000000"/>
        </w:tcBorders>
        <w:shd w:val="clear" w:color="FFFFFF" w:fill="auto"/>
      </w:tcPr>
    </w:tblStylePr>
    <w:tblStylePr w:type="band1Vert">
      <w:tblPr/>
      <w:tcPr>
        <w:shd w:val="clear" w:color="D5E5F4" w:themeColor="accent1" w:themeTint="40" w:fill="D5E5F4" w:themeFill="accent1" w:themeFillTint="40"/>
      </w:tcPr>
    </w:tblStylePr>
    <w:tblStylePr w:type="band1Horz">
      <w:rPr>
        <w:rFonts w:ascii="Arial" w:hAnsi="Arial"/>
        <w:color w:val="245A8D" w:themeColor="accent1" w:themeShade="95"/>
        <w:sz w:val="22"/>
      </w:rPr>
      <w:tblPr/>
      <w:tcPr>
        <w:shd w:val="clear" w:color="D5E5F4" w:themeColor="accent1" w:themeTint="40" w:fill="D5E5F4" w:themeFill="accent1" w:themeFillTint="40"/>
      </w:tcPr>
    </w:tblStylePr>
    <w:tblStylePr w:type="band2Horz">
      <w:rPr>
        <w:rFonts w:ascii="Arial" w:hAnsi="Arial"/>
        <w:color w:val="245A8D" w:themeColor="accent1" w:themeShade="95"/>
        <w:sz w:val="22"/>
      </w:rPr>
    </w:tblStylePr>
  </w:style>
  <w:style w:type="table" w:customStyle="1" w:styleId="ListTable7Colorful-Accent2">
    <w:name w:val="List Table 7 Colorful - Accent 2"/>
    <w:basedOn w:val="TableNormal"/>
    <w:uiPriority w:val="99"/>
    <w:pPr>
      <w:spacing w:after="0" w:line="240" w:lineRule="auto"/>
    </w:pPr>
    <w:tblPr>
      <w:tblStyleRowBandSize w:val="1"/>
      <w:tblStyleColBandSize w:val="1"/>
      <w:tblBorders>
        <w:right w:val="single" w:sz="4" w:space="0" w:color="F4B184" w:themeColor="accent2" w:themeTint="97"/>
      </w:tblBorders>
    </w:tblPr>
    <w:tblStylePr w:type="firstRow">
      <w:rPr>
        <w:rFonts w:ascii="Arial" w:hAnsi="Arial"/>
        <w:i/>
        <w:color w:val="F4B184" w:themeColor="accent2" w:themeTint="97" w:themeShade="95"/>
        <w:sz w:val="22"/>
      </w:rPr>
      <w:tblPr/>
      <w:tcPr>
        <w:tcBorders>
          <w:top w:val="none" w:sz="0" w:space="0" w:color="000000"/>
          <w:left w:val="none" w:sz="0" w:space="0" w:color="000000"/>
          <w:bottom w:val="single" w:sz="4" w:space="0" w:color="F4B184" w:themeColor="accent2" w:themeTint="97"/>
          <w:right w:val="none" w:sz="0" w:space="0" w:color="000000"/>
        </w:tcBorders>
        <w:shd w:val="clear" w:color="FFFFFF" w:themeColor="light1" w:fill="FFFFFF" w:themeFill="light1"/>
      </w:tcPr>
    </w:tblStylePr>
    <w:tblStylePr w:type="lastRow">
      <w:rPr>
        <w:rFonts w:ascii="Arial" w:hAnsi="Arial"/>
        <w:i/>
        <w:color w:val="F4B184" w:themeColor="accent2" w:themeTint="97" w:themeShade="95"/>
        <w:sz w:val="22"/>
      </w:rPr>
      <w:tblPr/>
      <w:tcPr>
        <w:tcBorders>
          <w:top w:val="single" w:sz="4" w:space="0" w:color="F4B184" w:themeColor="accent2" w:themeTint="97"/>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Arial" w:hAnsi="Arial"/>
        <w:i/>
        <w:color w:val="F4B184" w:themeColor="accent2" w:themeTint="97" w:themeShade="95"/>
        <w:sz w:val="22"/>
      </w:rPr>
      <w:tblPr/>
      <w:tcPr>
        <w:tcBorders>
          <w:top w:val="none" w:sz="0" w:space="0" w:color="000000"/>
          <w:left w:val="none" w:sz="0" w:space="0" w:color="000000"/>
          <w:bottom w:val="none" w:sz="0" w:space="0" w:color="000000"/>
          <w:right w:val="single" w:sz="4" w:space="0" w:color="F4B184" w:themeColor="accent2" w:themeTint="97"/>
        </w:tcBorders>
        <w:shd w:val="clear" w:color="FFFFFF" w:fill="auto"/>
      </w:tcPr>
    </w:tblStylePr>
    <w:tblStylePr w:type="lastCol">
      <w:rPr>
        <w:rFonts w:ascii="Arial" w:hAnsi="Arial"/>
        <w:i/>
        <w:color w:val="F4B184" w:themeColor="accent2" w:themeTint="97" w:themeShade="95"/>
        <w:sz w:val="22"/>
      </w:rPr>
      <w:tblPr/>
      <w:tcPr>
        <w:tcBorders>
          <w:top w:val="none" w:sz="0" w:space="0" w:color="000000"/>
          <w:left w:val="single" w:sz="4" w:space="0" w:color="F4B184" w:themeColor="accent2" w:themeTint="97"/>
          <w:bottom w:val="none" w:sz="0" w:space="0" w:color="000000"/>
          <w:right w:val="none" w:sz="0" w:space="0" w:color="000000"/>
        </w:tcBorders>
        <w:shd w:val="clear" w:color="FFFFFF" w:fill="auto"/>
      </w:tcPr>
    </w:tblStylePr>
    <w:tblStylePr w:type="band1Vert">
      <w:tblPr/>
      <w:tcPr>
        <w:shd w:val="clear" w:color="FADECB" w:themeColor="accent2" w:themeTint="40" w:fill="FADECB" w:themeFill="accent2" w:themeFillTint="40"/>
      </w:tcPr>
    </w:tblStylePr>
    <w:tblStylePr w:type="band1Horz">
      <w:rPr>
        <w:rFonts w:ascii="Arial" w:hAnsi="Arial"/>
        <w:color w:val="F4B184" w:themeColor="accent2" w:themeTint="97" w:themeShade="95"/>
        <w:sz w:val="22"/>
      </w:rPr>
      <w:tblPr/>
      <w:tcPr>
        <w:shd w:val="clear" w:color="FADECB" w:themeColor="accent2" w:themeTint="40" w:fill="FADECB" w:themeFill="accent2" w:themeFillTint="40"/>
      </w:tcPr>
    </w:tblStylePr>
    <w:tblStylePr w:type="band2Horz">
      <w:rPr>
        <w:rFonts w:ascii="Arial" w:hAnsi="Arial"/>
        <w:color w:val="F4B184" w:themeColor="accent2" w:themeTint="97" w:themeShade="95"/>
        <w:sz w:val="22"/>
      </w:rPr>
    </w:tblStylePr>
  </w:style>
  <w:style w:type="table" w:customStyle="1" w:styleId="ListTable7Colorful-Accent3">
    <w:name w:val="List Table 7 Colorful - Accent 3"/>
    <w:basedOn w:val="TableNormal"/>
    <w:uiPriority w:val="99"/>
    <w:pPr>
      <w:spacing w:after="0" w:line="240" w:lineRule="auto"/>
    </w:pPr>
    <w:tblPr>
      <w:tblStyleRowBandSize w:val="1"/>
      <w:tblStyleColBandSize w:val="1"/>
      <w:tblBorders>
        <w:right w:val="single" w:sz="4" w:space="0" w:color="C9C9C9" w:themeColor="accent3" w:themeTint="98"/>
      </w:tblBorders>
    </w:tblPr>
    <w:tblStylePr w:type="firstRow">
      <w:rPr>
        <w:rFonts w:ascii="Arial" w:hAnsi="Arial"/>
        <w:i/>
        <w:color w:val="C9C9C9" w:themeColor="accent3" w:themeTint="98" w:themeShade="95"/>
        <w:sz w:val="22"/>
      </w:rPr>
      <w:tblPr/>
      <w:tcPr>
        <w:tcBorders>
          <w:top w:val="none" w:sz="0" w:space="0" w:color="000000"/>
          <w:left w:val="none" w:sz="0" w:space="0" w:color="000000"/>
          <w:bottom w:val="single" w:sz="4" w:space="0" w:color="C9C9C9" w:themeColor="accent3" w:themeTint="98"/>
          <w:right w:val="none" w:sz="0" w:space="0" w:color="000000"/>
        </w:tcBorders>
        <w:shd w:val="clear" w:color="FFFFFF" w:themeColor="light1" w:fill="FFFFFF" w:themeFill="light1"/>
      </w:tcPr>
    </w:tblStylePr>
    <w:tblStylePr w:type="lastRow">
      <w:rPr>
        <w:rFonts w:ascii="Arial" w:hAnsi="Arial"/>
        <w:i/>
        <w:color w:val="C9C9C9" w:themeColor="accent3" w:themeTint="98" w:themeShade="95"/>
        <w:sz w:val="22"/>
      </w:rPr>
      <w:tblPr/>
      <w:tcPr>
        <w:tcBorders>
          <w:top w:val="single" w:sz="4" w:space="0" w:color="C9C9C9" w:themeColor="accent3" w:themeTint="98"/>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Arial" w:hAnsi="Arial"/>
        <w:i/>
        <w:color w:val="C9C9C9" w:themeColor="accent3" w:themeTint="98" w:themeShade="95"/>
        <w:sz w:val="22"/>
      </w:rPr>
      <w:tblPr/>
      <w:tcPr>
        <w:tcBorders>
          <w:top w:val="none" w:sz="0" w:space="0" w:color="000000"/>
          <w:left w:val="none" w:sz="0" w:space="0" w:color="000000"/>
          <w:bottom w:val="none" w:sz="0" w:space="0" w:color="000000"/>
          <w:right w:val="single" w:sz="4" w:space="0" w:color="C9C9C9" w:themeColor="accent3" w:themeTint="98"/>
        </w:tcBorders>
        <w:shd w:val="clear" w:color="FFFFFF" w:fill="auto"/>
      </w:tcPr>
    </w:tblStylePr>
    <w:tblStylePr w:type="lastCol">
      <w:rPr>
        <w:rFonts w:ascii="Arial" w:hAnsi="Arial"/>
        <w:i/>
        <w:color w:val="C9C9C9" w:themeColor="accent3" w:themeTint="98" w:themeShade="95"/>
        <w:sz w:val="22"/>
      </w:rPr>
      <w:tblPr/>
      <w:tcPr>
        <w:tcBorders>
          <w:top w:val="none" w:sz="0" w:space="0" w:color="000000"/>
          <w:left w:val="single" w:sz="4" w:space="0" w:color="C9C9C9" w:themeColor="accent3" w:themeTint="98"/>
          <w:bottom w:val="none" w:sz="0" w:space="0" w:color="000000"/>
          <w:right w:val="none" w:sz="0" w:space="0" w:color="000000"/>
        </w:tcBorders>
        <w:shd w:val="clear" w:color="FFFFFF" w:fill="auto"/>
      </w:tcPr>
    </w:tblStylePr>
    <w:tblStylePr w:type="band1Vert">
      <w:tblPr/>
      <w:tcPr>
        <w:shd w:val="clear" w:color="E8E8E8" w:themeColor="accent3" w:themeTint="40" w:fill="E8E8E8" w:themeFill="accent3" w:themeFillTint="40"/>
      </w:tcPr>
    </w:tblStylePr>
    <w:tblStylePr w:type="band1Horz">
      <w:rPr>
        <w:rFonts w:ascii="Arial" w:hAnsi="Arial"/>
        <w:color w:val="C9C9C9" w:themeColor="accent3" w:themeTint="98" w:themeShade="95"/>
        <w:sz w:val="22"/>
      </w:rPr>
      <w:tblPr/>
      <w:tcPr>
        <w:shd w:val="clear" w:color="E8E8E8" w:themeColor="accent3" w:themeTint="40" w:fill="E8E8E8" w:themeFill="accent3" w:themeFillTint="40"/>
      </w:tcPr>
    </w:tblStylePr>
    <w:tblStylePr w:type="band2Horz">
      <w:rPr>
        <w:rFonts w:ascii="Arial" w:hAnsi="Arial"/>
        <w:color w:val="C9C9C9" w:themeColor="accent3" w:themeTint="98" w:themeShade="95"/>
        <w:sz w:val="22"/>
      </w:rPr>
    </w:tblStylePr>
  </w:style>
  <w:style w:type="table" w:customStyle="1" w:styleId="ListTable7Colorful-Accent4">
    <w:name w:val="List Table 7 Colorful - Accent 4"/>
    <w:basedOn w:val="TableNormal"/>
    <w:uiPriority w:val="99"/>
    <w:pPr>
      <w:spacing w:after="0" w:line="240" w:lineRule="auto"/>
    </w:pPr>
    <w:tblPr>
      <w:tblStyleRowBandSize w:val="1"/>
      <w:tblStyleColBandSize w:val="1"/>
      <w:tblBorders>
        <w:right w:val="single" w:sz="4" w:space="0" w:color="FFD865" w:themeColor="accent4" w:themeTint="9A"/>
      </w:tblBorders>
    </w:tblPr>
    <w:tblStylePr w:type="firstRow">
      <w:rPr>
        <w:rFonts w:ascii="Arial" w:hAnsi="Arial"/>
        <w:i/>
        <w:color w:val="FFD865" w:themeColor="accent4" w:themeTint="9A" w:themeShade="95"/>
        <w:sz w:val="22"/>
      </w:rPr>
      <w:tblPr/>
      <w:tcPr>
        <w:tcBorders>
          <w:top w:val="none" w:sz="0" w:space="0" w:color="000000"/>
          <w:left w:val="none" w:sz="0" w:space="0" w:color="000000"/>
          <w:bottom w:val="single" w:sz="4" w:space="0" w:color="FFD865" w:themeColor="accent4" w:themeTint="9A"/>
          <w:right w:val="none" w:sz="0" w:space="0" w:color="000000"/>
        </w:tcBorders>
        <w:shd w:val="clear" w:color="FFFFFF" w:themeColor="light1" w:fill="FFFFFF" w:themeFill="light1"/>
      </w:tcPr>
    </w:tblStylePr>
    <w:tblStylePr w:type="lastRow">
      <w:rPr>
        <w:rFonts w:ascii="Arial" w:hAnsi="Arial"/>
        <w:i/>
        <w:color w:val="FFD865" w:themeColor="accent4" w:themeTint="9A" w:themeShade="95"/>
        <w:sz w:val="22"/>
      </w:rPr>
      <w:tblPr/>
      <w:tcPr>
        <w:tcBorders>
          <w:top w:val="single" w:sz="4" w:space="0" w:color="FFD865" w:themeColor="accent4" w:themeTint="9A"/>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Arial" w:hAnsi="Arial"/>
        <w:i/>
        <w:color w:val="FFD865" w:themeColor="accent4" w:themeTint="9A" w:themeShade="95"/>
        <w:sz w:val="22"/>
      </w:rPr>
      <w:tblPr/>
      <w:tcPr>
        <w:tcBorders>
          <w:top w:val="none" w:sz="0" w:space="0" w:color="000000"/>
          <w:left w:val="none" w:sz="0" w:space="0" w:color="000000"/>
          <w:bottom w:val="none" w:sz="0" w:space="0" w:color="000000"/>
          <w:right w:val="single" w:sz="4" w:space="0" w:color="FFD865" w:themeColor="accent4" w:themeTint="9A"/>
        </w:tcBorders>
        <w:shd w:val="clear" w:color="FFFFFF" w:fill="auto"/>
      </w:tcPr>
    </w:tblStylePr>
    <w:tblStylePr w:type="lastCol">
      <w:rPr>
        <w:rFonts w:ascii="Arial" w:hAnsi="Arial"/>
        <w:i/>
        <w:color w:val="FFD865" w:themeColor="accent4" w:themeTint="9A" w:themeShade="95"/>
        <w:sz w:val="22"/>
      </w:rPr>
      <w:tblPr/>
      <w:tcPr>
        <w:tcBorders>
          <w:top w:val="none" w:sz="0" w:space="0" w:color="000000"/>
          <w:left w:val="single" w:sz="4" w:space="0" w:color="FFD865" w:themeColor="accent4" w:themeTint="9A"/>
          <w:bottom w:val="none" w:sz="0" w:space="0" w:color="000000"/>
          <w:right w:val="none" w:sz="0" w:space="0" w:color="000000"/>
        </w:tcBorders>
        <w:shd w:val="clear" w:color="FFFFFF" w:fill="auto"/>
      </w:tcPr>
    </w:tblStylePr>
    <w:tblStylePr w:type="band1Vert">
      <w:tblPr/>
      <w:tcPr>
        <w:shd w:val="clear" w:color="FFEFBF" w:themeColor="accent4" w:themeTint="40" w:fill="FFEFBF" w:themeFill="accent4" w:themeFillTint="40"/>
      </w:tcPr>
    </w:tblStylePr>
    <w:tblStylePr w:type="band1Horz">
      <w:rPr>
        <w:rFonts w:ascii="Arial" w:hAnsi="Arial"/>
        <w:color w:val="FFD865" w:themeColor="accent4" w:themeTint="9A" w:themeShade="95"/>
        <w:sz w:val="22"/>
      </w:rPr>
      <w:tblPr/>
      <w:tcPr>
        <w:shd w:val="clear" w:color="FFEFBF" w:themeColor="accent4" w:themeTint="40" w:fill="FFEFBF" w:themeFill="accent4" w:themeFillTint="40"/>
      </w:tcPr>
    </w:tblStylePr>
    <w:tblStylePr w:type="band2Horz">
      <w:rPr>
        <w:rFonts w:ascii="Arial" w:hAnsi="Arial"/>
        <w:color w:val="FFD865" w:themeColor="accent4" w:themeTint="9A" w:themeShade="95"/>
        <w:sz w:val="22"/>
      </w:rPr>
    </w:tblStylePr>
  </w:style>
  <w:style w:type="table" w:customStyle="1" w:styleId="ListTable7Colorful-Accent5">
    <w:name w:val="List Table 7 Colorful - Accent 5"/>
    <w:basedOn w:val="TableNormal"/>
    <w:uiPriority w:val="99"/>
    <w:pPr>
      <w:spacing w:after="0" w:line="240" w:lineRule="auto"/>
    </w:pPr>
    <w:tblPr>
      <w:tblStyleRowBandSize w:val="1"/>
      <w:tblStyleColBandSize w:val="1"/>
      <w:tblBorders>
        <w:right w:val="single" w:sz="4" w:space="0" w:color="8DA9DB" w:themeColor="accent5" w:themeTint="9A"/>
      </w:tblBorders>
    </w:tblPr>
    <w:tblStylePr w:type="firstRow">
      <w:rPr>
        <w:rFonts w:ascii="Arial" w:hAnsi="Arial"/>
        <w:i/>
        <w:color w:val="8DA9DB" w:themeColor="accent5" w:themeTint="9A" w:themeShade="95"/>
        <w:sz w:val="22"/>
      </w:rPr>
      <w:tblPr/>
      <w:tcPr>
        <w:tcBorders>
          <w:top w:val="none" w:sz="0" w:space="0" w:color="000000"/>
          <w:left w:val="none" w:sz="0" w:space="0" w:color="000000"/>
          <w:bottom w:val="single" w:sz="4" w:space="0" w:color="8DA9DB" w:themeColor="accent5" w:themeTint="9A"/>
          <w:right w:val="none" w:sz="0" w:space="0" w:color="000000"/>
        </w:tcBorders>
        <w:shd w:val="clear" w:color="FFFFFF" w:themeColor="light1" w:fill="FFFFFF" w:themeFill="light1"/>
      </w:tcPr>
    </w:tblStylePr>
    <w:tblStylePr w:type="lastRow">
      <w:rPr>
        <w:rFonts w:ascii="Arial" w:hAnsi="Arial"/>
        <w:i/>
        <w:color w:val="8DA9DB" w:themeColor="accent5" w:themeTint="9A" w:themeShade="95"/>
        <w:sz w:val="22"/>
      </w:rPr>
      <w:tblPr/>
      <w:tcPr>
        <w:tcBorders>
          <w:top w:val="single" w:sz="4" w:space="0" w:color="8DA9DB" w:themeColor="accent5" w:themeTint="9A"/>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Arial" w:hAnsi="Arial"/>
        <w:i/>
        <w:color w:val="8DA9DB" w:themeColor="accent5" w:themeTint="9A" w:themeShade="95"/>
        <w:sz w:val="22"/>
      </w:rPr>
      <w:tblPr/>
      <w:tcPr>
        <w:tcBorders>
          <w:top w:val="none" w:sz="0" w:space="0" w:color="000000"/>
          <w:left w:val="none" w:sz="0" w:space="0" w:color="000000"/>
          <w:bottom w:val="none" w:sz="0" w:space="0" w:color="000000"/>
          <w:right w:val="single" w:sz="4" w:space="0" w:color="8DA9DB" w:themeColor="accent5" w:themeTint="9A"/>
        </w:tcBorders>
        <w:shd w:val="clear" w:color="FFFFFF" w:fill="auto"/>
      </w:tcPr>
    </w:tblStylePr>
    <w:tblStylePr w:type="lastCol">
      <w:rPr>
        <w:rFonts w:ascii="Arial" w:hAnsi="Arial"/>
        <w:i/>
        <w:color w:val="8DA9DB" w:themeColor="accent5" w:themeTint="9A" w:themeShade="95"/>
        <w:sz w:val="22"/>
      </w:rPr>
      <w:tblPr/>
      <w:tcPr>
        <w:tcBorders>
          <w:top w:val="none" w:sz="0" w:space="0" w:color="000000"/>
          <w:left w:val="single" w:sz="4" w:space="0" w:color="8DA9DB" w:themeColor="accent5" w:themeTint="9A"/>
          <w:bottom w:val="none" w:sz="0" w:space="0" w:color="000000"/>
          <w:right w:val="none" w:sz="0" w:space="0" w:color="000000"/>
        </w:tcBorders>
        <w:shd w:val="clear" w:color="FFFFFF" w:fill="auto"/>
      </w:tcPr>
    </w:tblStylePr>
    <w:tblStylePr w:type="band1Vert">
      <w:tblPr/>
      <w:tcPr>
        <w:shd w:val="clear" w:color="CFDBF0" w:themeColor="accent5" w:themeTint="40" w:fill="CFDBF0" w:themeFill="accent5" w:themeFillTint="40"/>
      </w:tcPr>
    </w:tblStylePr>
    <w:tblStylePr w:type="band1Horz">
      <w:rPr>
        <w:rFonts w:ascii="Arial" w:hAnsi="Arial"/>
        <w:color w:val="8DA9DB" w:themeColor="accent5" w:themeTint="9A" w:themeShade="95"/>
        <w:sz w:val="22"/>
      </w:rPr>
      <w:tblPr/>
      <w:tcPr>
        <w:shd w:val="clear" w:color="CFDBF0" w:themeColor="accent5" w:themeTint="40" w:fill="CFDBF0" w:themeFill="accent5" w:themeFillTint="40"/>
      </w:tcPr>
    </w:tblStylePr>
    <w:tblStylePr w:type="band2Horz">
      <w:rPr>
        <w:rFonts w:ascii="Arial" w:hAnsi="Arial"/>
        <w:color w:val="8DA9DB" w:themeColor="accent5" w:themeTint="9A" w:themeShade="95"/>
        <w:sz w:val="22"/>
      </w:rPr>
    </w:tblStylePr>
  </w:style>
  <w:style w:type="table" w:customStyle="1" w:styleId="ListTable7Colorful-Accent6">
    <w:name w:val="List Table 7 Colorful - Accent 6"/>
    <w:basedOn w:val="TableNormal"/>
    <w:uiPriority w:val="99"/>
    <w:pPr>
      <w:spacing w:after="0" w:line="240" w:lineRule="auto"/>
    </w:pPr>
    <w:tblPr>
      <w:tblStyleRowBandSize w:val="1"/>
      <w:tblStyleColBandSize w:val="1"/>
      <w:tblBorders>
        <w:right w:val="single" w:sz="4" w:space="0" w:color="A9D08E" w:themeColor="accent6" w:themeTint="98"/>
      </w:tblBorders>
    </w:tblPr>
    <w:tblStylePr w:type="firstRow">
      <w:rPr>
        <w:rFonts w:ascii="Arial" w:hAnsi="Arial"/>
        <w:i/>
        <w:color w:val="A9D08E" w:themeColor="accent6" w:themeTint="98" w:themeShade="95"/>
        <w:sz w:val="22"/>
      </w:rPr>
      <w:tblPr/>
      <w:tcPr>
        <w:tcBorders>
          <w:top w:val="none" w:sz="0" w:space="0" w:color="000000"/>
          <w:left w:val="none" w:sz="0" w:space="0" w:color="000000"/>
          <w:bottom w:val="single" w:sz="4" w:space="0" w:color="A9D08E" w:themeColor="accent6" w:themeTint="98"/>
          <w:right w:val="none" w:sz="0" w:space="0" w:color="000000"/>
        </w:tcBorders>
        <w:shd w:val="clear" w:color="FFFFFF" w:themeColor="light1" w:fill="FFFFFF" w:themeFill="light1"/>
      </w:tcPr>
    </w:tblStylePr>
    <w:tblStylePr w:type="lastRow">
      <w:rPr>
        <w:rFonts w:ascii="Arial" w:hAnsi="Arial"/>
        <w:i/>
        <w:color w:val="A9D08E" w:themeColor="accent6" w:themeTint="98" w:themeShade="95"/>
        <w:sz w:val="22"/>
      </w:rPr>
      <w:tblPr/>
      <w:tcPr>
        <w:tcBorders>
          <w:top w:val="single" w:sz="4" w:space="0" w:color="A9D08E" w:themeColor="accent6" w:themeTint="98"/>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Arial" w:hAnsi="Arial"/>
        <w:i/>
        <w:color w:val="A9D08E" w:themeColor="accent6" w:themeTint="98" w:themeShade="95"/>
        <w:sz w:val="22"/>
      </w:rPr>
      <w:tblPr/>
      <w:tcPr>
        <w:tcBorders>
          <w:top w:val="none" w:sz="0" w:space="0" w:color="000000"/>
          <w:left w:val="none" w:sz="0" w:space="0" w:color="000000"/>
          <w:bottom w:val="none" w:sz="0" w:space="0" w:color="000000"/>
          <w:right w:val="single" w:sz="4" w:space="0" w:color="A9D08E" w:themeColor="accent6" w:themeTint="98"/>
        </w:tcBorders>
        <w:shd w:val="clear" w:color="FFFFFF" w:fill="auto"/>
      </w:tcPr>
    </w:tblStylePr>
    <w:tblStylePr w:type="lastCol">
      <w:rPr>
        <w:rFonts w:ascii="Arial" w:hAnsi="Arial"/>
        <w:i/>
        <w:color w:val="A9D08E" w:themeColor="accent6" w:themeTint="98" w:themeShade="95"/>
        <w:sz w:val="22"/>
      </w:rPr>
      <w:tblPr/>
      <w:tcPr>
        <w:tcBorders>
          <w:top w:val="none" w:sz="0" w:space="0" w:color="000000"/>
          <w:left w:val="single" w:sz="4" w:space="0" w:color="A9D08E" w:themeColor="accent6" w:themeTint="98"/>
          <w:bottom w:val="none" w:sz="0" w:space="0" w:color="000000"/>
          <w:right w:val="none" w:sz="0" w:space="0" w:color="000000"/>
        </w:tcBorders>
        <w:shd w:val="clear" w:color="FFFFFF" w:fill="auto"/>
      </w:tcPr>
    </w:tblStylePr>
    <w:tblStylePr w:type="band1Vert">
      <w:tblPr/>
      <w:tcPr>
        <w:shd w:val="clear" w:color="DAEBCF" w:themeColor="accent6" w:themeTint="40" w:fill="DAEBCF" w:themeFill="accent6" w:themeFillTint="40"/>
      </w:tcPr>
    </w:tblStylePr>
    <w:tblStylePr w:type="band1Horz">
      <w:rPr>
        <w:rFonts w:ascii="Arial" w:hAnsi="Arial"/>
        <w:color w:val="A9D08E" w:themeColor="accent6" w:themeTint="98" w:themeShade="95"/>
        <w:sz w:val="22"/>
      </w:rPr>
      <w:tblPr/>
      <w:tcPr>
        <w:shd w:val="clear" w:color="DAEBCF" w:themeColor="accent6" w:themeTint="40" w:fill="DAEBCF" w:themeFill="accent6" w:themeFillTint="40"/>
      </w:tcPr>
    </w:tblStylePr>
    <w:tblStylePr w:type="band2Horz">
      <w:rPr>
        <w:rFonts w:ascii="Arial" w:hAnsi="Arial"/>
        <w:color w:val="A9D08E" w:themeColor="accent6" w:themeTint="98" w:themeShade="95"/>
        <w:sz w:val="22"/>
      </w:rPr>
    </w:tblStylePr>
  </w:style>
  <w:style w:type="table" w:customStyle="1" w:styleId="Lined-Accent">
    <w:name w:val="Lined - Accent"/>
    <w:basedOn w:val="TableNormal"/>
    <w:uiPriority w:val="99"/>
    <w:pPr>
      <w:spacing w:after="0" w:line="240" w:lineRule="auto"/>
    </w:pPr>
    <w:rPr>
      <w:color w:val="404040"/>
      <w:sz w:val="20"/>
      <w:szCs w:val="20"/>
    </w:rPr>
    <w:tblPr>
      <w:tblStyleRowBandSize w:val="1"/>
      <w:tblStyleColBandSize w:val="1"/>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Lined-Accent1">
    <w:name w:val="Lined - Accent 1"/>
    <w:basedOn w:val="TableNormal"/>
    <w:uiPriority w:val="99"/>
    <w:pPr>
      <w:spacing w:after="0" w:line="240" w:lineRule="auto"/>
    </w:pPr>
    <w:rPr>
      <w:color w:val="404040"/>
      <w:sz w:val="20"/>
      <w:szCs w:val="20"/>
    </w:rPr>
    <w:tblPr>
      <w:tblStyleRowBandSize w:val="1"/>
      <w:tblStyleColBandSize w:val="1"/>
    </w:tblPr>
    <w:tblStylePr w:type="firstRow">
      <w:rPr>
        <w:rFonts w:ascii="Arial" w:hAnsi="Arial"/>
        <w:color w:val="F2F2F2"/>
        <w:sz w:val="22"/>
      </w:rPr>
      <w:tblPr/>
      <w:tcPr>
        <w:shd w:val="clear" w:color="68A2D8" w:themeColor="accent1" w:themeTint="EA" w:fill="68A2D8" w:themeFill="accent1" w:themeFillTint="EA"/>
      </w:tcPr>
    </w:tblStylePr>
    <w:tblStylePr w:type="lastRow">
      <w:rPr>
        <w:rFonts w:ascii="Arial" w:hAnsi="Arial"/>
        <w:color w:val="F2F2F2"/>
        <w:sz w:val="22"/>
      </w:rPr>
      <w:tblPr/>
      <w:tcPr>
        <w:shd w:val="clear" w:color="68A2D8" w:themeColor="accent1" w:themeTint="EA" w:fill="68A2D8" w:themeFill="accent1" w:themeFillTint="EA"/>
      </w:tcPr>
    </w:tblStylePr>
    <w:tblStylePr w:type="firstCol">
      <w:rPr>
        <w:rFonts w:ascii="Arial" w:hAnsi="Arial"/>
        <w:color w:val="F2F2F2"/>
        <w:sz w:val="22"/>
      </w:rPr>
      <w:tblPr/>
      <w:tcPr>
        <w:shd w:val="clear" w:color="68A2D8" w:themeColor="accent1" w:themeTint="EA" w:fill="68A2D8" w:themeFill="accent1" w:themeFillTint="EA"/>
      </w:tcPr>
    </w:tblStylePr>
    <w:tblStylePr w:type="lastCol">
      <w:rPr>
        <w:rFonts w:ascii="Arial" w:hAnsi="Arial"/>
        <w:color w:val="F2F2F2"/>
        <w:sz w:val="22"/>
      </w:rPr>
      <w:tblPr/>
      <w:tcPr>
        <w:shd w:val="clear" w:color="68A2D8" w:themeColor="accent1" w:themeTint="EA" w:fill="68A2D8"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BDFF1" w:themeColor="accent1" w:themeTint="50" w:fill="CBDFF1"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BDFF1" w:themeColor="accent1" w:themeTint="50" w:fill="CBDFF1" w:themeFill="accent1" w:themeFillTint="50"/>
      </w:tcPr>
    </w:tblStylePr>
  </w:style>
  <w:style w:type="table" w:customStyle="1" w:styleId="Lined-Accent2">
    <w:name w:val="Lined - Accent 2"/>
    <w:basedOn w:val="TableNormal"/>
    <w:uiPriority w:val="99"/>
    <w:pPr>
      <w:spacing w:after="0" w:line="240" w:lineRule="auto"/>
    </w:pPr>
    <w:rPr>
      <w:color w:val="404040"/>
      <w:sz w:val="20"/>
      <w:szCs w:val="20"/>
    </w:rPr>
    <w:tblPr>
      <w:tblStyleRowBandSize w:val="1"/>
      <w:tblStyleColBandSize w:val="1"/>
    </w:tblPr>
    <w:tblStylePr w:type="firstRow">
      <w:rPr>
        <w:rFonts w:ascii="Arial" w:hAnsi="Arial"/>
        <w:color w:val="F2F2F2"/>
        <w:sz w:val="22"/>
      </w:rPr>
      <w:tblPr/>
      <w:tcPr>
        <w:shd w:val="clear" w:color="F4B184" w:themeColor="accent2" w:themeTint="97" w:fill="F4B184" w:themeFill="accent2" w:themeFillTint="97"/>
      </w:tcPr>
    </w:tblStylePr>
    <w:tblStylePr w:type="lastRow">
      <w:rPr>
        <w:rFonts w:ascii="Arial" w:hAnsi="Arial"/>
        <w:color w:val="F2F2F2"/>
        <w:sz w:val="22"/>
      </w:rPr>
      <w:tblPr/>
      <w:tcPr>
        <w:shd w:val="clear" w:color="F4B184" w:themeColor="accent2" w:themeTint="97" w:fill="F4B184" w:themeFill="accent2" w:themeFillTint="97"/>
      </w:tcPr>
    </w:tblStylePr>
    <w:tblStylePr w:type="firstCol">
      <w:rPr>
        <w:rFonts w:ascii="Arial" w:hAnsi="Arial"/>
        <w:color w:val="F2F2F2"/>
        <w:sz w:val="22"/>
      </w:rPr>
      <w:tblPr/>
      <w:tcPr>
        <w:shd w:val="clear" w:color="F4B184" w:themeColor="accent2" w:themeTint="97" w:fill="F4B184" w:themeFill="accent2" w:themeFillTint="97"/>
      </w:tcPr>
    </w:tblStylePr>
    <w:tblStylePr w:type="lastCol">
      <w:rPr>
        <w:rFonts w:ascii="Arial" w:hAnsi="Arial"/>
        <w:color w:val="F2F2F2"/>
        <w:sz w:val="22"/>
      </w:rPr>
      <w:tblPr/>
      <w:tcPr>
        <w:shd w:val="clear" w:color="F4B184" w:themeColor="accent2" w:themeTint="97" w:fill="F4B184"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BE5D6" w:themeColor="accent2" w:themeTint="32" w:fill="FBE5D6" w:themeFill="accent2" w:themeFillTint="32"/>
      </w:tcPr>
    </w:tblStylePr>
  </w:style>
  <w:style w:type="table" w:customStyle="1" w:styleId="Lined-Accent3">
    <w:name w:val="Lined - Accent 3"/>
    <w:basedOn w:val="TableNormal"/>
    <w:uiPriority w:val="99"/>
    <w:pPr>
      <w:spacing w:after="0" w:line="240" w:lineRule="auto"/>
    </w:pPr>
    <w:rPr>
      <w:color w:val="404040"/>
      <w:sz w:val="20"/>
      <w:szCs w:val="20"/>
    </w:rPr>
    <w:tblPr>
      <w:tblStyleRowBandSize w:val="1"/>
      <w:tblStyleColBandSize w:val="1"/>
    </w:tblPr>
    <w:tblStylePr w:type="firstRow">
      <w:rPr>
        <w:rFonts w:ascii="Arial" w:hAnsi="Arial"/>
        <w:color w:val="F2F2F2"/>
        <w:sz w:val="22"/>
      </w:rPr>
      <w:tblPr/>
      <w:tcPr>
        <w:shd w:val="clear" w:color="A5A5A5" w:themeColor="accent3" w:themeTint="FE" w:fill="A5A5A5" w:themeFill="accent3" w:themeFillTint="FE"/>
      </w:tcPr>
    </w:tblStylePr>
    <w:tblStylePr w:type="lastRow">
      <w:rPr>
        <w:rFonts w:ascii="Arial" w:hAnsi="Arial"/>
        <w:color w:val="F2F2F2"/>
        <w:sz w:val="22"/>
      </w:rPr>
      <w:tblPr/>
      <w:tcPr>
        <w:shd w:val="clear" w:color="A5A5A5" w:themeColor="accent3" w:themeTint="FE" w:fill="A5A5A5" w:themeFill="accent3" w:themeFillTint="FE"/>
      </w:tcPr>
    </w:tblStylePr>
    <w:tblStylePr w:type="firstCol">
      <w:rPr>
        <w:rFonts w:ascii="Arial" w:hAnsi="Arial"/>
        <w:color w:val="F2F2F2"/>
        <w:sz w:val="22"/>
      </w:rPr>
      <w:tblPr/>
      <w:tcPr>
        <w:shd w:val="clear" w:color="A5A5A5" w:themeColor="accent3" w:themeTint="FE" w:fill="A5A5A5" w:themeFill="accent3" w:themeFillTint="FE"/>
      </w:tcPr>
    </w:tblStylePr>
    <w:tblStylePr w:type="lastCol">
      <w:rPr>
        <w:rFonts w:ascii="Arial" w:hAnsi="Arial"/>
        <w:color w:val="F2F2F2"/>
        <w:sz w:val="22"/>
      </w:rPr>
      <w:tbl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CECEC" w:themeColor="accent3" w:themeTint="34" w:fill="ECECEC" w:themeFill="accent3" w:themeFillTint="34"/>
      </w:tcPr>
    </w:tblStylePr>
  </w:style>
  <w:style w:type="table" w:customStyle="1" w:styleId="Lined-Accent4">
    <w:name w:val="Lined - Accent 4"/>
    <w:basedOn w:val="TableNormal"/>
    <w:uiPriority w:val="99"/>
    <w:pPr>
      <w:spacing w:after="0" w:line="240" w:lineRule="auto"/>
    </w:pPr>
    <w:rPr>
      <w:color w:val="404040"/>
      <w:sz w:val="20"/>
      <w:szCs w:val="20"/>
    </w:rPr>
    <w:tblPr>
      <w:tblStyleRowBandSize w:val="1"/>
      <w:tblStyleColBandSize w:val="1"/>
    </w:tblPr>
    <w:tblStylePr w:type="firstRow">
      <w:rPr>
        <w:rFonts w:ascii="Arial" w:hAnsi="Arial"/>
        <w:color w:val="F2F2F2"/>
        <w:sz w:val="22"/>
      </w:rPr>
      <w:tblPr/>
      <w:tcPr>
        <w:shd w:val="clear" w:color="FFD865" w:themeColor="accent4" w:themeTint="9A" w:fill="FFD865" w:themeFill="accent4" w:themeFillTint="9A"/>
      </w:tcPr>
    </w:tblStylePr>
    <w:tblStylePr w:type="lastRow">
      <w:rPr>
        <w:rFonts w:ascii="Arial" w:hAnsi="Arial"/>
        <w:color w:val="F2F2F2"/>
        <w:sz w:val="22"/>
      </w:rPr>
      <w:tblPr/>
      <w:tcPr>
        <w:shd w:val="clear" w:color="FFD865" w:themeColor="accent4" w:themeTint="9A" w:fill="FFD865" w:themeFill="accent4" w:themeFillTint="9A"/>
      </w:tcPr>
    </w:tblStylePr>
    <w:tblStylePr w:type="firstCol">
      <w:rPr>
        <w:rFonts w:ascii="Arial" w:hAnsi="Arial"/>
        <w:color w:val="F2F2F2"/>
        <w:sz w:val="22"/>
      </w:rPr>
      <w:tblPr/>
      <w:tcPr>
        <w:shd w:val="clear" w:color="FFD865" w:themeColor="accent4" w:themeTint="9A" w:fill="FFD865" w:themeFill="accent4" w:themeFillTint="9A"/>
      </w:tcPr>
    </w:tblStylePr>
    <w:tblStylePr w:type="lastCol">
      <w:rPr>
        <w:rFonts w:ascii="Arial" w:hAnsi="Arial"/>
        <w:color w:val="F2F2F2"/>
        <w:sz w:val="22"/>
      </w:rPr>
      <w:tblPr/>
      <w:tcPr>
        <w:shd w:val="clear" w:color="FFD865" w:themeColor="accent4" w:themeTint="9A" w:fill="FFD865"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FFF2CB" w:themeColor="accent4" w:themeTint="34" w:fill="FFF2CB" w:themeFill="accent4" w:themeFillTint="34"/>
      </w:tcPr>
    </w:tblStylePr>
  </w:style>
  <w:style w:type="table" w:customStyle="1" w:styleId="Lined-Accent5">
    <w:name w:val="Lined - Accent 5"/>
    <w:basedOn w:val="TableNormal"/>
    <w:uiPriority w:val="99"/>
    <w:pPr>
      <w:spacing w:after="0" w:line="240" w:lineRule="auto"/>
    </w:pPr>
    <w:rPr>
      <w:color w:val="404040"/>
      <w:sz w:val="20"/>
      <w:szCs w:val="20"/>
    </w:rPr>
    <w:tblPr>
      <w:tblStyleRowBandSize w:val="1"/>
      <w:tblStyleColBandSize w:val="1"/>
    </w:tblPr>
    <w:tblStylePr w:type="firstRow">
      <w:rPr>
        <w:rFonts w:ascii="Arial" w:hAnsi="Arial"/>
        <w:color w:val="F2F2F2"/>
        <w:sz w:val="22"/>
      </w:rPr>
      <w:tblPr/>
      <w:tcPr>
        <w:shd w:val="clear" w:color="4472C4" w:themeColor="accent5" w:fill="4472C4" w:themeFill="accent5"/>
      </w:tcPr>
    </w:tblStylePr>
    <w:tblStylePr w:type="lastRow">
      <w:rPr>
        <w:rFonts w:ascii="Arial" w:hAnsi="Arial"/>
        <w:color w:val="F2F2F2"/>
        <w:sz w:val="22"/>
      </w:rPr>
      <w:tblPr/>
      <w:tcPr>
        <w:shd w:val="clear" w:color="4472C4" w:themeColor="accent5" w:fill="4472C4" w:themeFill="accent5"/>
      </w:tcPr>
    </w:tblStylePr>
    <w:tblStylePr w:type="firstCol">
      <w:rPr>
        <w:rFonts w:ascii="Arial" w:hAnsi="Arial"/>
        <w:color w:val="F2F2F2"/>
        <w:sz w:val="22"/>
      </w:rPr>
      <w:tblPr/>
      <w:tcPr>
        <w:shd w:val="clear" w:color="4472C4" w:themeColor="accent5" w:fill="4472C4" w:themeFill="accent5"/>
      </w:tcPr>
    </w:tblStylePr>
    <w:tblStylePr w:type="lastCol">
      <w:rPr>
        <w:rFonts w:ascii="Arial" w:hAnsi="Arial"/>
        <w:color w:val="F2F2F2"/>
        <w:sz w:val="22"/>
      </w:rPr>
      <w:tblPr/>
      <w:tcPr>
        <w:shd w:val="clear" w:color="4472C4" w:themeColor="accent5" w:fill="4472C4"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8E2F3" w:themeColor="accent5" w:themeTint="34" w:fill="D8E2F3" w:themeFill="accent5" w:themeFillTint="34"/>
      </w:tcPr>
    </w:tblStylePr>
  </w:style>
  <w:style w:type="table" w:customStyle="1" w:styleId="Lined-Accent6">
    <w:name w:val="Lined - Accent 6"/>
    <w:basedOn w:val="TableNormal"/>
    <w:uiPriority w:val="99"/>
    <w:pPr>
      <w:spacing w:after="0" w:line="240" w:lineRule="auto"/>
    </w:pPr>
    <w:rPr>
      <w:color w:val="404040"/>
      <w:sz w:val="20"/>
      <w:szCs w:val="20"/>
    </w:rPr>
    <w:tblPr>
      <w:tblStyleRowBandSize w:val="1"/>
      <w:tblStyleColBandSize w:val="1"/>
    </w:tblPr>
    <w:tblStylePr w:type="firstRow">
      <w:rPr>
        <w:rFonts w:ascii="Arial" w:hAnsi="Arial"/>
        <w:color w:val="F2F2F2"/>
        <w:sz w:val="22"/>
      </w:rPr>
      <w:tblPr/>
      <w:tcPr>
        <w:shd w:val="clear" w:color="70AD47" w:themeColor="accent6" w:fill="70AD47" w:themeFill="accent6"/>
      </w:tcPr>
    </w:tblStylePr>
    <w:tblStylePr w:type="lastRow">
      <w:rPr>
        <w:rFonts w:ascii="Arial" w:hAnsi="Arial"/>
        <w:color w:val="F2F2F2"/>
        <w:sz w:val="22"/>
      </w:rPr>
      <w:tblPr/>
      <w:tcPr>
        <w:shd w:val="clear" w:color="70AD47" w:themeColor="accent6" w:fill="70AD47" w:themeFill="accent6"/>
      </w:tcPr>
    </w:tblStylePr>
    <w:tblStylePr w:type="firstCol">
      <w:rPr>
        <w:rFonts w:ascii="Arial" w:hAnsi="Arial"/>
        <w:color w:val="F2F2F2"/>
        <w:sz w:val="22"/>
      </w:rPr>
      <w:tblPr/>
      <w:tcPr>
        <w:shd w:val="clear" w:color="70AD47" w:themeColor="accent6" w:fill="70AD47" w:themeFill="accent6"/>
      </w:tcPr>
    </w:tblStylePr>
    <w:tblStylePr w:type="lastCol">
      <w:rPr>
        <w:rFonts w:ascii="Arial" w:hAnsi="Arial"/>
        <w:color w:val="F2F2F2"/>
        <w:sz w:val="22"/>
      </w:rPr>
      <w:tbl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E1EFD8" w:themeColor="accent6" w:themeTint="34" w:fill="E1EFD8" w:themeFill="accent6" w:themeFillTint="34"/>
      </w:tcPr>
    </w:tblStylePr>
  </w:style>
  <w:style w:type="table" w:customStyle="1" w:styleId="BorderedLined-Accent">
    <w:name w:val="Bordered &amp; Lined - Accent"/>
    <w:basedOn w:val="TableNormal"/>
    <w:uiPriority w:val="99"/>
    <w:pPr>
      <w:spacing w:after="0" w:line="240" w:lineRule="auto"/>
    </w:pPr>
    <w:rPr>
      <w:color w:val="404040"/>
      <w:sz w:val="20"/>
      <w:szCs w:val="20"/>
    </w:rPr>
    <w:tblPr>
      <w:tblStyleRowBandSize w:val="1"/>
      <w:tblStyleColBandSize w:val="1"/>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BorderedLined-Accent1">
    <w:name w:val="Bordered &amp; Lined - Accent 1"/>
    <w:basedOn w:val="TableNormal"/>
    <w:uiPriority w:val="99"/>
    <w:pPr>
      <w:spacing w:after="0" w:line="240" w:lineRule="auto"/>
    </w:pPr>
    <w:rPr>
      <w:color w:val="404040"/>
      <w:sz w:val="20"/>
      <w:szCs w:val="20"/>
    </w:rPr>
    <w:tblPr>
      <w:tblStyleRowBandSize w:val="1"/>
      <w:tblStyleColBandSize w:val="1"/>
      <w:tblBorders>
        <w:top w:val="single" w:sz="4" w:space="0" w:color="245A8D" w:themeColor="accent1" w:themeShade="95"/>
        <w:left w:val="single" w:sz="4" w:space="0" w:color="245A8D" w:themeColor="accent1" w:themeShade="95"/>
        <w:bottom w:val="single" w:sz="4" w:space="0" w:color="245A8D" w:themeColor="accent1" w:themeShade="95"/>
        <w:right w:val="single" w:sz="4" w:space="0" w:color="245A8D" w:themeColor="accent1" w:themeShade="95"/>
        <w:insideH w:val="single" w:sz="4" w:space="0" w:color="245A8D" w:themeColor="accent1" w:themeShade="95"/>
        <w:insideV w:val="single" w:sz="4" w:space="0" w:color="245A8D" w:themeColor="accent1" w:themeShade="95"/>
      </w:tblBorders>
    </w:tblPr>
    <w:tblStylePr w:type="firstRow">
      <w:rPr>
        <w:rFonts w:ascii="Arial" w:hAnsi="Arial"/>
        <w:color w:val="F2F2F2"/>
        <w:sz w:val="22"/>
      </w:rPr>
      <w:tblPr/>
      <w:tcPr>
        <w:shd w:val="clear" w:color="68A2D8" w:themeColor="accent1" w:themeTint="EA" w:fill="68A2D8" w:themeFill="accent1" w:themeFillTint="EA"/>
      </w:tcPr>
    </w:tblStylePr>
    <w:tblStylePr w:type="lastRow">
      <w:rPr>
        <w:rFonts w:ascii="Arial" w:hAnsi="Arial"/>
        <w:color w:val="F2F2F2"/>
        <w:sz w:val="22"/>
      </w:rPr>
      <w:tblPr/>
      <w:tcPr>
        <w:shd w:val="clear" w:color="68A2D8" w:themeColor="accent1" w:themeTint="EA" w:fill="68A2D8" w:themeFill="accent1" w:themeFillTint="EA"/>
      </w:tcPr>
    </w:tblStylePr>
    <w:tblStylePr w:type="firstCol">
      <w:rPr>
        <w:rFonts w:ascii="Arial" w:hAnsi="Arial"/>
        <w:color w:val="F2F2F2"/>
        <w:sz w:val="22"/>
      </w:rPr>
      <w:tblPr/>
      <w:tcPr>
        <w:shd w:val="clear" w:color="68A2D8" w:themeColor="accent1" w:themeTint="EA" w:fill="68A2D8" w:themeFill="accent1" w:themeFillTint="EA"/>
      </w:tcPr>
    </w:tblStylePr>
    <w:tblStylePr w:type="lastCol">
      <w:rPr>
        <w:rFonts w:ascii="Arial" w:hAnsi="Arial"/>
        <w:color w:val="F2F2F2"/>
        <w:sz w:val="22"/>
      </w:rPr>
      <w:tblPr/>
      <w:tcPr>
        <w:shd w:val="clear" w:color="68A2D8" w:themeColor="accent1" w:themeTint="EA" w:fill="68A2D8"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BDFF1" w:themeColor="accent1" w:themeTint="50" w:fill="CBDFF1"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BDFF1" w:themeColor="accent1" w:themeTint="50" w:fill="CBDFF1" w:themeFill="accent1" w:themeFillTint="50"/>
      </w:tcPr>
    </w:tblStylePr>
  </w:style>
  <w:style w:type="table" w:customStyle="1" w:styleId="BorderedLined-Accent2">
    <w:name w:val="Bordered &amp; Lined - Accent 2"/>
    <w:basedOn w:val="TableNormal"/>
    <w:uiPriority w:val="99"/>
    <w:pPr>
      <w:spacing w:after="0" w:line="240" w:lineRule="auto"/>
    </w:pPr>
    <w:rPr>
      <w:color w:val="404040"/>
      <w:sz w:val="20"/>
      <w:szCs w:val="20"/>
    </w:rPr>
    <w:tblPr>
      <w:tblStyleRowBandSize w:val="1"/>
      <w:tblStyleColBandSize w:val="1"/>
      <w:tblBorders>
        <w:top w:val="single" w:sz="4" w:space="0" w:color="99460D" w:themeColor="accent2" w:themeShade="95"/>
        <w:left w:val="single" w:sz="4" w:space="0" w:color="99460D" w:themeColor="accent2" w:themeShade="95"/>
        <w:bottom w:val="single" w:sz="4" w:space="0" w:color="99460D" w:themeColor="accent2" w:themeShade="95"/>
        <w:right w:val="single" w:sz="4" w:space="0" w:color="99460D" w:themeColor="accent2" w:themeShade="95"/>
        <w:insideH w:val="single" w:sz="4" w:space="0" w:color="99460D" w:themeColor="accent2" w:themeShade="95"/>
        <w:insideV w:val="single" w:sz="4" w:space="0" w:color="99460D" w:themeColor="accent2" w:themeShade="95"/>
      </w:tblBorders>
    </w:tblPr>
    <w:tblStylePr w:type="firstRow">
      <w:rPr>
        <w:rFonts w:ascii="Arial" w:hAnsi="Arial"/>
        <w:color w:val="F2F2F2"/>
        <w:sz w:val="22"/>
      </w:rPr>
      <w:tblPr/>
      <w:tcPr>
        <w:shd w:val="clear" w:color="F4B184" w:themeColor="accent2" w:themeTint="97" w:fill="F4B184" w:themeFill="accent2" w:themeFillTint="97"/>
      </w:tcPr>
    </w:tblStylePr>
    <w:tblStylePr w:type="lastRow">
      <w:rPr>
        <w:rFonts w:ascii="Arial" w:hAnsi="Arial"/>
        <w:color w:val="F2F2F2"/>
        <w:sz w:val="22"/>
      </w:rPr>
      <w:tblPr/>
      <w:tcPr>
        <w:shd w:val="clear" w:color="F4B184" w:themeColor="accent2" w:themeTint="97" w:fill="F4B184" w:themeFill="accent2" w:themeFillTint="97"/>
      </w:tcPr>
    </w:tblStylePr>
    <w:tblStylePr w:type="firstCol">
      <w:rPr>
        <w:rFonts w:ascii="Arial" w:hAnsi="Arial"/>
        <w:color w:val="F2F2F2"/>
        <w:sz w:val="22"/>
      </w:rPr>
      <w:tblPr/>
      <w:tcPr>
        <w:shd w:val="clear" w:color="F4B184" w:themeColor="accent2" w:themeTint="97" w:fill="F4B184" w:themeFill="accent2" w:themeFillTint="97"/>
      </w:tcPr>
    </w:tblStylePr>
    <w:tblStylePr w:type="lastCol">
      <w:rPr>
        <w:rFonts w:ascii="Arial" w:hAnsi="Arial"/>
        <w:color w:val="F2F2F2"/>
        <w:sz w:val="22"/>
      </w:rPr>
      <w:tblPr/>
      <w:tcPr>
        <w:shd w:val="clear" w:color="F4B184" w:themeColor="accent2" w:themeTint="97" w:fill="F4B184"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BE5D6" w:themeColor="accent2" w:themeTint="32" w:fill="FBE5D6" w:themeFill="accent2" w:themeFillTint="32"/>
      </w:tcPr>
    </w:tblStylePr>
  </w:style>
  <w:style w:type="table" w:customStyle="1" w:styleId="BorderedLined-Accent3">
    <w:name w:val="Bordered &amp; Lined - Accent 3"/>
    <w:basedOn w:val="TableNormal"/>
    <w:uiPriority w:val="99"/>
    <w:pPr>
      <w:spacing w:after="0" w:line="240" w:lineRule="auto"/>
    </w:pPr>
    <w:rPr>
      <w:color w:val="404040"/>
      <w:sz w:val="20"/>
      <w:szCs w:val="20"/>
    </w:rPr>
    <w:tblPr>
      <w:tblStyleRowBandSize w:val="1"/>
      <w:tblStyleColBandSize w:val="1"/>
      <w:tblBorders>
        <w:top w:val="single" w:sz="4" w:space="0" w:color="606060" w:themeColor="accent3" w:themeShade="95"/>
        <w:left w:val="single" w:sz="4" w:space="0" w:color="606060" w:themeColor="accent3" w:themeShade="95"/>
        <w:bottom w:val="single" w:sz="4" w:space="0" w:color="606060" w:themeColor="accent3" w:themeShade="95"/>
        <w:right w:val="single" w:sz="4" w:space="0" w:color="606060" w:themeColor="accent3" w:themeShade="95"/>
        <w:insideH w:val="single" w:sz="4" w:space="0" w:color="606060" w:themeColor="accent3" w:themeShade="95"/>
        <w:insideV w:val="single" w:sz="4" w:space="0" w:color="606060" w:themeColor="accent3" w:themeShade="95"/>
      </w:tblBorders>
    </w:tblPr>
    <w:tblStylePr w:type="firstRow">
      <w:rPr>
        <w:rFonts w:ascii="Arial" w:hAnsi="Arial"/>
        <w:color w:val="F2F2F2"/>
        <w:sz w:val="22"/>
      </w:rPr>
      <w:tblPr/>
      <w:tcPr>
        <w:shd w:val="clear" w:color="A5A5A5" w:themeColor="accent3" w:themeTint="FE" w:fill="A5A5A5" w:themeFill="accent3" w:themeFillTint="FE"/>
      </w:tcPr>
    </w:tblStylePr>
    <w:tblStylePr w:type="lastRow">
      <w:rPr>
        <w:rFonts w:ascii="Arial" w:hAnsi="Arial"/>
        <w:color w:val="F2F2F2"/>
        <w:sz w:val="22"/>
      </w:rPr>
      <w:tblPr/>
      <w:tcPr>
        <w:shd w:val="clear" w:color="A5A5A5" w:themeColor="accent3" w:themeTint="FE" w:fill="A5A5A5" w:themeFill="accent3" w:themeFillTint="FE"/>
      </w:tcPr>
    </w:tblStylePr>
    <w:tblStylePr w:type="firstCol">
      <w:rPr>
        <w:rFonts w:ascii="Arial" w:hAnsi="Arial"/>
        <w:color w:val="F2F2F2"/>
        <w:sz w:val="22"/>
      </w:rPr>
      <w:tblPr/>
      <w:tcPr>
        <w:shd w:val="clear" w:color="A5A5A5" w:themeColor="accent3" w:themeTint="FE" w:fill="A5A5A5" w:themeFill="accent3" w:themeFillTint="FE"/>
      </w:tcPr>
    </w:tblStylePr>
    <w:tblStylePr w:type="lastCol">
      <w:rPr>
        <w:rFonts w:ascii="Arial" w:hAnsi="Arial"/>
        <w:color w:val="F2F2F2"/>
        <w:sz w:val="22"/>
      </w:rPr>
      <w:tbl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CECEC" w:themeColor="accent3" w:themeTint="34" w:fill="ECECEC" w:themeFill="accent3" w:themeFillTint="34"/>
      </w:tcPr>
    </w:tblStylePr>
  </w:style>
  <w:style w:type="table" w:customStyle="1" w:styleId="BorderedLined-Accent4">
    <w:name w:val="Bordered &amp; Lined - Accent 4"/>
    <w:basedOn w:val="TableNormal"/>
    <w:uiPriority w:val="99"/>
    <w:pPr>
      <w:spacing w:after="0" w:line="240" w:lineRule="auto"/>
    </w:pPr>
    <w:rPr>
      <w:color w:val="404040"/>
      <w:sz w:val="20"/>
      <w:szCs w:val="20"/>
    </w:rPr>
    <w:tblPr>
      <w:tblStyleRowBandSize w:val="1"/>
      <w:tblStyleColBandSize w:val="1"/>
      <w:tblBorders>
        <w:top w:val="single" w:sz="4" w:space="0" w:color="957000" w:themeColor="accent4" w:themeShade="95"/>
        <w:left w:val="single" w:sz="4" w:space="0" w:color="957000" w:themeColor="accent4" w:themeShade="95"/>
        <w:bottom w:val="single" w:sz="4" w:space="0" w:color="957000" w:themeColor="accent4" w:themeShade="95"/>
        <w:right w:val="single" w:sz="4" w:space="0" w:color="957000" w:themeColor="accent4" w:themeShade="95"/>
        <w:insideH w:val="single" w:sz="4" w:space="0" w:color="957000" w:themeColor="accent4" w:themeShade="95"/>
        <w:insideV w:val="single" w:sz="4" w:space="0" w:color="957000" w:themeColor="accent4" w:themeShade="95"/>
      </w:tblBorders>
    </w:tblPr>
    <w:tblStylePr w:type="firstRow">
      <w:rPr>
        <w:rFonts w:ascii="Arial" w:hAnsi="Arial"/>
        <w:color w:val="F2F2F2"/>
        <w:sz w:val="22"/>
      </w:rPr>
      <w:tblPr/>
      <w:tcPr>
        <w:shd w:val="clear" w:color="FFD865" w:themeColor="accent4" w:themeTint="9A" w:fill="FFD865" w:themeFill="accent4" w:themeFillTint="9A"/>
      </w:tcPr>
    </w:tblStylePr>
    <w:tblStylePr w:type="lastRow">
      <w:rPr>
        <w:rFonts w:ascii="Arial" w:hAnsi="Arial"/>
        <w:color w:val="F2F2F2"/>
        <w:sz w:val="22"/>
      </w:rPr>
      <w:tblPr/>
      <w:tcPr>
        <w:shd w:val="clear" w:color="FFD865" w:themeColor="accent4" w:themeTint="9A" w:fill="FFD865" w:themeFill="accent4" w:themeFillTint="9A"/>
      </w:tcPr>
    </w:tblStylePr>
    <w:tblStylePr w:type="firstCol">
      <w:rPr>
        <w:rFonts w:ascii="Arial" w:hAnsi="Arial"/>
        <w:color w:val="F2F2F2"/>
        <w:sz w:val="22"/>
      </w:rPr>
      <w:tblPr/>
      <w:tcPr>
        <w:shd w:val="clear" w:color="FFD865" w:themeColor="accent4" w:themeTint="9A" w:fill="FFD865" w:themeFill="accent4" w:themeFillTint="9A"/>
      </w:tcPr>
    </w:tblStylePr>
    <w:tblStylePr w:type="lastCol">
      <w:rPr>
        <w:rFonts w:ascii="Arial" w:hAnsi="Arial"/>
        <w:color w:val="F2F2F2"/>
        <w:sz w:val="22"/>
      </w:rPr>
      <w:tblPr/>
      <w:tcPr>
        <w:shd w:val="clear" w:color="FFD865" w:themeColor="accent4" w:themeTint="9A" w:fill="FFD865"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FFF2CB" w:themeColor="accent4" w:themeTint="34" w:fill="FFF2CB" w:themeFill="accent4" w:themeFillTint="34"/>
      </w:tcPr>
    </w:tblStylePr>
  </w:style>
  <w:style w:type="table" w:customStyle="1" w:styleId="BorderedLined-Accent5">
    <w:name w:val="Bordered &amp; Lined - Accent 5"/>
    <w:basedOn w:val="TableNormal"/>
    <w:uiPriority w:val="99"/>
    <w:pPr>
      <w:spacing w:after="0" w:line="240" w:lineRule="auto"/>
    </w:pPr>
    <w:rPr>
      <w:color w:val="404040"/>
      <w:sz w:val="20"/>
      <w:szCs w:val="20"/>
    </w:rPr>
    <w:tblPr>
      <w:tblStyleRowBandSize w:val="1"/>
      <w:tblStyleColBandSize w:val="1"/>
      <w:tblBorders>
        <w:top w:val="single" w:sz="4" w:space="0" w:color="254175" w:themeColor="accent5" w:themeShade="95"/>
        <w:left w:val="single" w:sz="4" w:space="0" w:color="254175" w:themeColor="accent5" w:themeShade="95"/>
        <w:bottom w:val="single" w:sz="4" w:space="0" w:color="254175" w:themeColor="accent5" w:themeShade="95"/>
        <w:right w:val="single" w:sz="4" w:space="0" w:color="254175" w:themeColor="accent5" w:themeShade="95"/>
        <w:insideH w:val="single" w:sz="4" w:space="0" w:color="254175" w:themeColor="accent5" w:themeShade="95"/>
        <w:insideV w:val="single" w:sz="4" w:space="0" w:color="254175" w:themeColor="accent5" w:themeShade="95"/>
      </w:tblBorders>
    </w:tblPr>
    <w:tblStylePr w:type="firstRow">
      <w:rPr>
        <w:rFonts w:ascii="Arial" w:hAnsi="Arial"/>
        <w:color w:val="F2F2F2"/>
        <w:sz w:val="22"/>
      </w:rPr>
      <w:tblPr/>
      <w:tcPr>
        <w:shd w:val="clear" w:color="4472C4" w:themeColor="accent5" w:fill="4472C4" w:themeFill="accent5"/>
      </w:tcPr>
    </w:tblStylePr>
    <w:tblStylePr w:type="lastRow">
      <w:rPr>
        <w:rFonts w:ascii="Arial" w:hAnsi="Arial"/>
        <w:color w:val="F2F2F2"/>
        <w:sz w:val="22"/>
      </w:rPr>
      <w:tblPr/>
      <w:tcPr>
        <w:shd w:val="clear" w:color="4472C4" w:themeColor="accent5" w:fill="4472C4" w:themeFill="accent5"/>
      </w:tcPr>
    </w:tblStylePr>
    <w:tblStylePr w:type="firstCol">
      <w:rPr>
        <w:rFonts w:ascii="Arial" w:hAnsi="Arial"/>
        <w:color w:val="F2F2F2"/>
        <w:sz w:val="22"/>
      </w:rPr>
      <w:tblPr/>
      <w:tcPr>
        <w:shd w:val="clear" w:color="4472C4" w:themeColor="accent5" w:fill="4472C4" w:themeFill="accent5"/>
      </w:tcPr>
    </w:tblStylePr>
    <w:tblStylePr w:type="lastCol">
      <w:rPr>
        <w:rFonts w:ascii="Arial" w:hAnsi="Arial"/>
        <w:color w:val="F2F2F2"/>
        <w:sz w:val="22"/>
      </w:rPr>
      <w:tblPr/>
      <w:tcPr>
        <w:shd w:val="clear" w:color="4472C4" w:themeColor="accent5" w:fill="4472C4"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8E2F3" w:themeColor="accent5" w:themeTint="34" w:fill="D8E2F3" w:themeFill="accent5" w:themeFillTint="34"/>
      </w:tcPr>
    </w:tblStylePr>
  </w:style>
  <w:style w:type="table" w:customStyle="1" w:styleId="BorderedLined-Accent6">
    <w:name w:val="Bordered &amp; Lined - Accent 6"/>
    <w:basedOn w:val="TableNormal"/>
    <w:uiPriority w:val="99"/>
    <w:pPr>
      <w:spacing w:after="0" w:line="240" w:lineRule="auto"/>
    </w:pPr>
    <w:rPr>
      <w:color w:val="404040"/>
      <w:sz w:val="20"/>
      <w:szCs w:val="20"/>
    </w:rPr>
    <w:tblPr>
      <w:tblStyleRowBandSize w:val="1"/>
      <w:tblStyleColBandSize w:val="1"/>
      <w:tblBorders>
        <w:top w:val="single" w:sz="4" w:space="0" w:color="416429" w:themeColor="accent6" w:themeShade="95"/>
        <w:left w:val="single" w:sz="4" w:space="0" w:color="416429" w:themeColor="accent6" w:themeShade="95"/>
        <w:bottom w:val="single" w:sz="4" w:space="0" w:color="416429" w:themeColor="accent6" w:themeShade="95"/>
        <w:right w:val="single" w:sz="4" w:space="0" w:color="416429" w:themeColor="accent6" w:themeShade="95"/>
        <w:insideH w:val="single" w:sz="4" w:space="0" w:color="416429" w:themeColor="accent6" w:themeShade="95"/>
        <w:insideV w:val="single" w:sz="4" w:space="0" w:color="416429" w:themeColor="accent6" w:themeShade="95"/>
      </w:tblBorders>
    </w:tblPr>
    <w:tblStylePr w:type="firstRow">
      <w:rPr>
        <w:rFonts w:ascii="Arial" w:hAnsi="Arial"/>
        <w:color w:val="F2F2F2"/>
        <w:sz w:val="22"/>
      </w:rPr>
      <w:tblPr/>
      <w:tcPr>
        <w:shd w:val="clear" w:color="70AD47" w:themeColor="accent6" w:fill="70AD47" w:themeFill="accent6"/>
      </w:tcPr>
    </w:tblStylePr>
    <w:tblStylePr w:type="lastRow">
      <w:rPr>
        <w:rFonts w:ascii="Arial" w:hAnsi="Arial"/>
        <w:color w:val="F2F2F2"/>
        <w:sz w:val="22"/>
      </w:rPr>
      <w:tblPr/>
      <w:tcPr>
        <w:shd w:val="clear" w:color="70AD47" w:themeColor="accent6" w:fill="70AD47" w:themeFill="accent6"/>
      </w:tcPr>
    </w:tblStylePr>
    <w:tblStylePr w:type="firstCol">
      <w:rPr>
        <w:rFonts w:ascii="Arial" w:hAnsi="Arial"/>
        <w:color w:val="F2F2F2"/>
        <w:sz w:val="22"/>
      </w:rPr>
      <w:tblPr/>
      <w:tcPr>
        <w:shd w:val="clear" w:color="70AD47" w:themeColor="accent6" w:fill="70AD47" w:themeFill="accent6"/>
      </w:tcPr>
    </w:tblStylePr>
    <w:tblStylePr w:type="lastCol">
      <w:rPr>
        <w:rFonts w:ascii="Arial" w:hAnsi="Arial"/>
        <w:color w:val="F2F2F2"/>
        <w:sz w:val="22"/>
      </w:rPr>
      <w:tbl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E1EFD8" w:themeColor="accent6" w:themeTint="34" w:fill="E1EFD8" w:themeFill="accent6" w:themeFillTint="34"/>
      </w:tcPr>
    </w:tblStylePr>
  </w:style>
  <w:style w:type="table" w:customStyle="1" w:styleId="Bordered">
    <w:name w:val="Bordered"/>
    <w:basedOn w:val="TableNormal"/>
    <w:uiPriority w:val="99"/>
    <w:pPr>
      <w:spacing w:after="0" w:line="240" w:lineRule="auto"/>
    </w:pPr>
    <w:tblPr>
      <w:tblStyleRowBandSize w:val="1"/>
      <w:tblStyleColBandSize w:val="1"/>
      <w:tbl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insideH w:val="single" w:sz="4" w:space="0" w:color="D9D9D9" w:themeColor="text1" w:themeTint="26"/>
        <w:insideV w:val="single" w:sz="4" w:space="0" w:color="D9D9D9" w:themeColor="text1" w:themeTint="26"/>
      </w:tblBorders>
    </w:tblPr>
    <w:tblStylePr w:type="firstRow">
      <w:rPr>
        <w:rFonts w:ascii="Arial" w:hAnsi="Arial"/>
        <w:color w:val="404040"/>
        <w:sz w:val="22"/>
      </w:rPr>
      <w:tblPr/>
      <w:tcPr>
        <w:tcBorders>
          <w:bottom w:val="single" w:sz="12" w:space="0" w:color="7F7F7F" w:themeColor="text1" w:themeTint="80"/>
        </w:tcBorders>
      </w:tcPr>
    </w:tblStylePr>
    <w:tblStylePr w:type="lastRow">
      <w:rPr>
        <w:rFonts w:ascii="Arial" w:hAnsi="Arial"/>
        <w:color w:val="404040"/>
        <w:sz w:val="22"/>
      </w:rPr>
      <w:tblPr/>
      <w:tcPr>
        <w:tcBorders>
          <w:top w:val="single" w:sz="12" w:space="0" w:color="7F7F7F" w:themeColor="text1" w:themeTint="8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hemeColor="text1" w:themeTint="80"/>
        </w:tcBorders>
      </w:tcPr>
    </w:tblStylePr>
    <w:tblStylePr w:type="band1Horz">
      <w:rPr>
        <w:rFonts w:ascii="Arial" w:hAnsi="Arial"/>
        <w:color w:val="404040"/>
        <w:sz w:val="22"/>
      </w:rPr>
      <w:tblPr/>
      <w:tcPr>
        <w:tc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tcBorders>
      </w:tcPr>
    </w:tblStylePr>
  </w:style>
  <w:style w:type="table" w:customStyle="1" w:styleId="Bordered-Accent1">
    <w:name w:val="Bordered - Accent 1"/>
    <w:basedOn w:val="TableNormal"/>
    <w:uiPriority w:val="99"/>
    <w:pPr>
      <w:spacing w:after="0" w:line="240" w:lineRule="auto"/>
    </w:pPr>
    <w:tblPr>
      <w:tblStyleRowBandSize w:val="1"/>
      <w:tblStyleColBandSize w:val="1"/>
      <w:tbl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insideH w:val="single" w:sz="4" w:space="0" w:color="BCD6EE" w:themeColor="accent1" w:themeTint="67"/>
        <w:insideV w:val="single" w:sz="4" w:space="0" w:color="BCD6EE" w:themeColor="accent1" w:themeTint="67"/>
      </w:tblBorders>
    </w:tblPr>
    <w:tblStylePr w:type="firstRow">
      <w:rPr>
        <w:rFonts w:ascii="Arial" w:hAnsi="Arial"/>
        <w:color w:val="404040"/>
        <w:sz w:val="22"/>
      </w:rPr>
      <w:tblPr/>
      <w:tcPr>
        <w:tcBorders>
          <w:bottom w:val="single" w:sz="12" w:space="0" w:color="5B9BD5" w:themeColor="accent1"/>
        </w:tcBorders>
      </w:tcPr>
    </w:tblStylePr>
    <w:tblStylePr w:type="lastRow">
      <w:rPr>
        <w:rFonts w:ascii="Arial" w:hAnsi="Arial"/>
        <w:color w:val="404040"/>
        <w:sz w:val="22"/>
      </w:rPr>
      <w:tblPr/>
      <w:tcPr>
        <w:tcBorders>
          <w:top w:val="single" w:sz="12" w:space="0" w:color="5B9BD5" w:themeColor="accent1"/>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5B9BD5" w:themeColor="accent1"/>
        </w:tcBorders>
      </w:tcPr>
    </w:tblStylePr>
    <w:tblStylePr w:type="band1Horz">
      <w:rPr>
        <w:rFonts w:ascii="Arial" w:hAnsi="Arial"/>
        <w:color w:val="404040"/>
        <w:sz w:val="22"/>
      </w:rPr>
      <w:tblPr/>
      <w:tcPr>
        <w:tc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tcBorders>
      </w:tcPr>
    </w:tblStylePr>
  </w:style>
  <w:style w:type="table" w:customStyle="1" w:styleId="Bordered-Accent2">
    <w:name w:val="Bordered - Accent 2"/>
    <w:basedOn w:val="TableNormal"/>
    <w:uiPriority w:val="99"/>
    <w:pPr>
      <w:spacing w:after="0" w:line="240" w:lineRule="auto"/>
    </w:pPr>
    <w:tblPr>
      <w:tblStyleRowBandSize w:val="1"/>
      <w:tblStyleColBandSize w:val="1"/>
      <w:tbl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insideH w:val="single" w:sz="4" w:space="0" w:color="F7CAAB" w:themeColor="accent2" w:themeTint="67"/>
        <w:insideV w:val="single" w:sz="4" w:space="0" w:color="F7CAAB" w:themeColor="accent2" w:themeTint="67"/>
      </w:tblBorders>
    </w:tblPr>
    <w:tblStylePr w:type="firstRow">
      <w:rPr>
        <w:rFonts w:ascii="Arial" w:hAnsi="Arial"/>
        <w:color w:val="404040"/>
        <w:sz w:val="22"/>
      </w:rPr>
      <w:tblPr/>
      <w:tcPr>
        <w:tcBorders>
          <w:bottom w:val="single" w:sz="12" w:space="0" w:color="F4B184" w:themeColor="accent2" w:themeTint="97"/>
        </w:tcBorders>
      </w:tcPr>
    </w:tblStylePr>
    <w:tblStylePr w:type="lastRow">
      <w:rPr>
        <w:rFonts w:ascii="Arial" w:hAnsi="Arial"/>
        <w:color w:val="404040"/>
        <w:sz w:val="22"/>
      </w:rPr>
      <w:tblPr/>
      <w:tcPr>
        <w:tcBorders>
          <w:top w:val="single" w:sz="12" w:space="0" w:color="F4B184" w:themeColor="accent2" w:themeTint="97"/>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4B184" w:themeColor="accent2" w:themeTint="97"/>
        </w:tcBorders>
      </w:tcPr>
    </w:tblStylePr>
    <w:tblStylePr w:type="band1Horz">
      <w:rPr>
        <w:rFonts w:ascii="Arial" w:hAnsi="Arial"/>
        <w:color w:val="404040"/>
        <w:sz w:val="22"/>
      </w:rPr>
      <w:tblPr/>
      <w:tcPr>
        <w:tc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tcBorders>
      </w:tcPr>
    </w:tblStylePr>
  </w:style>
  <w:style w:type="table" w:customStyle="1" w:styleId="Bordered-Accent3">
    <w:name w:val="Bordered - Accent 3"/>
    <w:basedOn w:val="TableNormal"/>
    <w:uiPriority w:val="99"/>
    <w:pPr>
      <w:spacing w:after="0" w:line="240" w:lineRule="auto"/>
    </w:pPr>
    <w:tblPr>
      <w:tblStyleRowBandSize w:val="1"/>
      <w:tblStyleColBandSize w:val="1"/>
      <w:tbl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insideH w:val="single" w:sz="4" w:space="0" w:color="DADADA" w:themeColor="accent3" w:themeTint="67"/>
        <w:insideV w:val="single" w:sz="4" w:space="0" w:color="DADADA" w:themeColor="accent3" w:themeTint="67"/>
      </w:tblBorders>
    </w:tblPr>
    <w:tblStylePr w:type="firstRow">
      <w:rPr>
        <w:rFonts w:ascii="Arial" w:hAnsi="Arial"/>
        <w:color w:val="404040"/>
        <w:sz w:val="22"/>
      </w:rPr>
      <w:tblPr/>
      <w:tcPr>
        <w:tcBorders>
          <w:bottom w:val="single" w:sz="12" w:space="0" w:color="C9C9C9" w:themeColor="accent3" w:themeTint="98"/>
        </w:tcBorders>
      </w:tcPr>
    </w:tblStylePr>
    <w:tblStylePr w:type="lastRow">
      <w:rPr>
        <w:rFonts w:ascii="Arial" w:hAnsi="Arial"/>
        <w:color w:val="404040"/>
        <w:sz w:val="22"/>
      </w:rPr>
      <w:tblPr/>
      <w:tcPr>
        <w:tcBorders>
          <w:top w:val="single" w:sz="12" w:space="0" w:color="C9C9C9" w:themeColor="accent3"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9C9C9" w:themeColor="accent3" w:themeTint="98"/>
        </w:tcBorders>
      </w:tcPr>
    </w:tblStylePr>
    <w:tblStylePr w:type="band1Horz">
      <w:rPr>
        <w:rFonts w:ascii="Arial" w:hAnsi="Arial"/>
        <w:color w:val="404040"/>
        <w:sz w:val="22"/>
      </w:rPr>
      <w:tblPr/>
      <w:tcPr>
        <w:tc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tcBorders>
      </w:tcPr>
    </w:tblStylePr>
  </w:style>
  <w:style w:type="table" w:customStyle="1" w:styleId="Bordered-Accent4">
    <w:name w:val="Bordered - Accent 4"/>
    <w:basedOn w:val="TableNormal"/>
    <w:uiPriority w:val="99"/>
    <w:pPr>
      <w:spacing w:after="0" w:line="240" w:lineRule="auto"/>
    </w:pPr>
    <w:tblPr>
      <w:tblStyleRowBandSize w:val="1"/>
      <w:tblStyleColBandSize w:val="1"/>
      <w:tbl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insideH w:val="single" w:sz="4" w:space="0" w:color="FFE598" w:themeColor="accent4" w:themeTint="67"/>
        <w:insideV w:val="single" w:sz="4" w:space="0" w:color="FFE598" w:themeColor="accent4" w:themeTint="67"/>
      </w:tblBorders>
    </w:tblPr>
    <w:tblStylePr w:type="firstRow">
      <w:rPr>
        <w:rFonts w:ascii="Arial" w:hAnsi="Arial"/>
        <w:color w:val="404040"/>
        <w:sz w:val="22"/>
      </w:rPr>
      <w:tblPr/>
      <w:tcPr>
        <w:tcBorders>
          <w:bottom w:val="single" w:sz="12" w:space="0" w:color="FFD865" w:themeColor="accent4" w:themeTint="9A"/>
        </w:tcBorders>
      </w:tcPr>
    </w:tblStylePr>
    <w:tblStylePr w:type="lastRow">
      <w:rPr>
        <w:rFonts w:ascii="Arial" w:hAnsi="Arial"/>
        <w:color w:val="404040"/>
        <w:sz w:val="22"/>
      </w:rPr>
      <w:tblPr/>
      <w:tcPr>
        <w:tcBorders>
          <w:top w:val="single" w:sz="12" w:space="0" w:color="FFD865" w:themeColor="accent4"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FD865" w:themeColor="accent4" w:themeTint="9A"/>
        </w:tcBorders>
      </w:tcPr>
    </w:tblStylePr>
    <w:tblStylePr w:type="band1Horz">
      <w:rPr>
        <w:rFonts w:ascii="Arial" w:hAnsi="Arial"/>
        <w:color w:val="404040"/>
        <w:sz w:val="22"/>
      </w:rPr>
      <w:tblPr/>
      <w:tcPr>
        <w:tc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tcBorders>
      </w:tcPr>
    </w:tblStylePr>
  </w:style>
  <w:style w:type="table" w:customStyle="1" w:styleId="Bordered-Accent5">
    <w:name w:val="Bordered - Accent 5"/>
    <w:basedOn w:val="TableNormal"/>
    <w:uiPriority w:val="99"/>
    <w:pPr>
      <w:spacing w:after="0" w:line="240" w:lineRule="auto"/>
    </w:pPr>
    <w:tblPr>
      <w:tblStyleRowBandSize w:val="1"/>
      <w:tblStyleColBandSize w:val="1"/>
      <w:tbl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insideH w:val="single" w:sz="4" w:space="0" w:color="B3C5E7" w:themeColor="accent5" w:themeTint="67"/>
        <w:insideV w:val="single" w:sz="4" w:space="0" w:color="B3C5E7" w:themeColor="accent5" w:themeTint="67"/>
      </w:tblBorders>
    </w:tblPr>
    <w:tblStylePr w:type="firstRow">
      <w:rPr>
        <w:rFonts w:ascii="Arial" w:hAnsi="Arial"/>
        <w:color w:val="404040"/>
        <w:sz w:val="22"/>
      </w:rPr>
      <w:tblPr/>
      <w:tcPr>
        <w:tcBorders>
          <w:bottom w:val="single" w:sz="12" w:space="0" w:color="8DA9DB" w:themeColor="accent5" w:themeTint="9A"/>
        </w:tcBorders>
      </w:tcPr>
    </w:tblStylePr>
    <w:tblStylePr w:type="lastRow">
      <w:rPr>
        <w:rFonts w:ascii="Arial" w:hAnsi="Arial"/>
        <w:color w:val="404040"/>
        <w:sz w:val="22"/>
      </w:rPr>
      <w:tblPr/>
      <w:tcPr>
        <w:tcBorders>
          <w:top w:val="single" w:sz="12" w:space="0" w:color="8DA9DB" w:themeColor="accent5"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8DA9DB" w:themeColor="accent5" w:themeTint="9A"/>
        </w:tcBorders>
      </w:tcPr>
    </w:tblStylePr>
    <w:tblStylePr w:type="band1Horz">
      <w:rPr>
        <w:rFonts w:ascii="Arial" w:hAnsi="Arial"/>
        <w:color w:val="404040"/>
        <w:sz w:val="22"/>
      </w:rPr>
      <w:tblPr/>
      <w:tcPr>
        <w:tc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tcBorders>
      </w:tcPr>
    </w:tblStylePr>
  </w:style>
  <w:style w:type="table" w:customStyle="1" w:styleId="Bordered-Accent6">
    <w:name w:val="Bordered - Accent 6"/>
    <w:basedOn w:val="TableNormal"/>
    <w:uiPriority w:val="99"/>
    <w:pPr>
      <w:spacing w:after="0" w:line="240" w:lineRule="auto"/>
    </w:pPr>
    <w:tblPr>
      <w:tblStyleRowBandSize w:val="1"/>
      <w:tblStyleColBandSize w:val="1"/>
      <w:tbl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insideH w:val="single" w:sz="4" w:space="0" w:color="C4DFB2" w:themeColor="accent6" w:themeTint="67"/>
        <w:insideV w:val="single" w:sz="4" w:space="0" w:color="C4DFB2" w:themeColor="accent6" w:themeTint="67"/>
      </w:tblBorders>
    </w:tblPr>
    <w:tblStylePr w:type="firstRow">
      <w:rPr>
        <w:rFonts w:ascii="Arial" w:hAnsi="Arial"/>
        <w:color w:val="404040"/>
        <w:sz w:val="22"/>
      </w:rPr>
      <w:tblPr/>
      <w:tcPr>
        <w:tcBorders>
          <w:bottom w:val="single" w:sz="12" w:space="0" w:color="A9D08E" w:themeColor="accent6" w:themeTint="98"/>
        </w:tcBorders>
      </w:tcPr>
    </w:tblStylePr>
    <w:tblStylePr w:type="lastRow">
      <w:rPr>
        <w:rFonts w:ascii="Arial" w:hAnsi="Arial"/>
        <w:color w:val="404040"/>
        <w:sz w:val="22"/>
      </w:rPr>
      <w:tblPr/>
      <w:tcPr>
        <w:tcBorders>
          <w:top w:val="single" w:sz="12" w:space="0" w:color="A9D08E" w:themeColor="accent6"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A9D08E" w:themeColor="accent6" w:themeTint="98"/>
        </w:tcBorders>
      </w:tcPr>
    </w:tblStylePr>
    <w:tblStylePr w:type="band1Horz">
      <w:rPr>
        <w:rFonts w:ascii="Arial" w:hAnsi="Arial"/>
        <w:color w:val="404040"/>
        <w:sz w:val="22"/>
      </w:rPr>
      <w:tblPr/>
      <w:tcPr>
        <w:tc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tcBorders>
      </w:tcPr>
    </w:tblStylePr>
  </w:style>
  <w:style w:type="character" w:styleId="IntenseEmphasis">
    <w:name w:val="Intense Emphasis"/>
    <w:basedOn w:val="DefaultParagraphFont"/>
    <w:uiPriority w:val="21"/>
    <w:qFormat/>
    <w:rPr>
      <w:i/>
      <w:iCs/>
      <w:color w:val="2E74B5" w:themeColor="accent1" w:themeShade="BF"/>
    </w:rPr>
  </w:style>
  <w:style w:type="paragraph" w:styleId="IntenseQuote">
    <w:name w:val="Intense Quote"/>
    <w:basedOn w:val="Normal"/>
    <w:next w:val="Normal"/>
    <w:link w:val="IntenseQuoteChar"/>
    <w:uiPriority w:val="30"/>
    <w:qFormat/>
    <w:pPr>
      <w:pBdr>
        <w:top w:val="single" w:sz="4" w:space="10" w:color="2E74B5" w:themeColor="accent1" w:themeShade="BF"/>
        <w:bottom w:val="single" w:sz="4" w:space="10" w:color="2E74B5" w:themeColor="accent1" w:themeShade="BF"/>
      </w:pBdr>
      <w:spacing w:before="360" w:after="360"/>
      <w:ind w:left="864" w:right="864"/>
      <w:jc w:val="center"/>
    </w:pPr>
    <w:rPr>
      <w:i/>
      <w:iCs/>
      <w:color w:val="2E74B5" w:themeColor="accent1" w:themeShade="BF"/>
    </w:rPr>
  </w:style>
  <w:style w:type="character" w:customStyle="1" w:styleId="IntenseQuoteChar">
    <w:name w:val="Intense Quote Char"/>
    <w:basedOn w:val="DefaultParagraphFont"/>
    <w:link w:val="IntenseQuote"/>
    <w:uiPriority w:val="30"/>
    <w:rPr>
      <w:i/>
      <w:iCs/>
      <w:color w:val="2E74B5" w:themeColor="accent1" w:themeShade="BF"/>
    </w:rPr>
  </w:style>
  <w:style w:type="character" w:styleId="IntenseReference">
    <w:name w:val="Intense Reference"/>
    <w:basedOn w:val="DefaultParagraphFont"/>
    <w:uiPriority w:val="32"/>
    <w:qFormat/>
    <w:rPr>
      <w:b/>
      <w:bCs/>
      <w:smallCaps/>
      <w:color w:val="2E74B5" w:themeColor="accent1" w:themeShade="BF"/>
      <w:spacing w:val="5"/>
    </w:rPr>
  </w:style>
  <w:style w:type="character" w:styleId="BookTitle">
    <w:name w:val="Book Title"/>
    <w:basedOn w:val="DefaultParagraphFont"/>
    <w:uiPriority w:val="33"/>
    <w:qFormat/>
    <w:rPr>
      <w:b/>
      <w:bCs/>
      <w:i/>
      <w:iCs/>
      <w:spacing w:val="5"/>
    </w:rPr>
  </w:style>
  <w:style w:type="paragraph" w:styleId="Caption">
    <w:name w:val="caption"/>
    <w:basedOn w:val="Normal"/>
    <w:next w:val="Normal"/>
    <w:uiPriority w:val="35"/>
    <w:unhideWhenUsed/>
    <w:qFormat/>
    <w:pPr>
      <w:spacing w:after="200" w:line="240" w:lineRule="auto"/>
    </w:pPr>
    <w:rPr>
      <w:i/>
      <w:iCs/>
      <w:color w:val="44546A" w:themeColor="text2"/>
      <w:sz w:val="18"/>
      <w:szCs w:val="18"/>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customStyle="1" w:styleId="EndnoteTextChar">
    <w:name w:val="Endnote Text Char"/>
    <w:basedOn w:val="DefaultParagraphFont"/>
    <w:link w:val="EndnoteText"/>
    <w:uiPriority w:val="99"/>
    <w:semiHidden/>
    <w:rPr>
      <w:sz w:val="20"/>
      <w:szCs w:val="20"/>
    </w:rPr>
  </w:style>
  <w:style w:type="character" w:styleId="EndnoteReference">
    <w:name w:val="endnote reference"/>
    <w:basedOn w:val="DefaultParagraphFont"/>
    <w:uiPriority w:val="99"/>
    <w:semiHidden/>
    <w:unhideWhenUsed/>
    <w:rPr>
      <w:vertAlign w:val="superscript"/>
    </w:rPr>
  </w:style>
  <w:style w:type="character" w:styleId="FollowedHyperlink">
    <w:name w:val="FollowedHyperlink"/>
    <w:basedOn w:val="DefaultParagraphFont"/>
    <w:uiPriority w:val="99"/>
    <w:semiHidden/>
    <w:unhideWhenUsed/>
    <w:rPr>
      <w:color w:val="954F72" w:themeColor="followedHyperlink"/>
      <w:u w:val="single"/>
    </w:rPr>
  </w:style>
  <w:style w:type="paragraph" w:styleId="TableofFigures">
    <w:name w:val="table of figures"/>
    <w:basedOn w:val="Normal"/>
    <w:next w:val="Normal"/>
    <w:uiPriority w:val="99"/>
    <w:unhideWhenUsed/>
    <w:pPr>
      <w:spacing w:after="0"/>
    </w:pPr>
  </w:style>
  <w:style w:type="paragraph" w:styleId="Header">
    <w:name w:val="header"/>
    <w:basedOn w:val="Normal"/>
    <w:link w:val="HeaderChar"/>
    <w:uiPriority w:val="99"/>
    <w:unhideWhenUsed/>
    <w:pPr>
      <w:tabs>
        <w:tab w:val="center" w:pos="4536"/>
        <w:tab w:val="right" w:pos="9072"/>
      </w:tabs>
      <w:spacing w:after="0" w:line="240" w:lineRule="auto"/>
    </w:pPr>
  </w:style>
  <w:style w:type="character" w:customStyle="1" w:styleId="HeaderChar">
    <w:name w:val="Header Char"/>
    <w:basedOn w:val="DefaultParagraphFont"/>
    <w:link w:val="Header"/>
    <w:uiPriority w:val="99"/>
    <w:rPr>
      <w:lang w:val="en-GB"/>
    </w:rPr>
  </w:style>
  <w:style w:type="paragraph" w:styleId="Footer">
    <w:name w:val="footer"/>
    <w:basedOn w:val="Normal"/>
    <w:link w:val="FooterChar"/>
    <w:uiPriority w:val="99"/>
    <w:unhideWhenUsed/>
    <w:pPr>
      <w:tabs>
        <w:tab w:val="center" w:pos="4536"/>
        <w:tab w:val="right" w:pos="9072"/>
      </w:tabs>
      <w:spacing w:after="0" w:line="240" w:lineRule="auto"/>
    </w:pPr>
  </w:style>
  <w:style w:type="character" w:customStyle="1" w:styleId="FooterChar">
    <w:name w:val="Footer Char"/>
    <w:basedOn w:val="DefaultParagraphFont"/>
    <w:link w:val="Footer"/>
    <w:uiPriority w:val="99"/>
    <w:rPr>
      <w:lang w:val="en-GB"/>
    </w:rPr>
  </w:style>
  <w:style w:type="paragraph" w:styleId="NoSpacing">
    <w:name w:val="No Spacing"/>
    <w:link w:val="NoSpacingChar"/>
    <w:uiPriority w:val="1"/>
    <w:pPr>
      <w:spacing w:after="0" w:line="240" w:lineRule="auto"/>
    </w:pPr>
    <w:rPr>
      <w:rFonts w:eastAsiaTheme="minorEastAsia"/>
      <w:lang w:val="en-US"/>
    </w:rPr>
  </w:style>
  <w:style w:type="character" w:customStyle="1" w:styleId="NoSpacingChar">
    <w:name w:val="No Spacing Char"/>
    <w:basedOn w:val="DefaultParagraphFont"/>
    <w:link w:val="NoSpacing"/>
    <w:uiPriority w:val="1"/>
    <w:rPr>
      <w:rFonts w:eastAsiaTheme="minorEastAsia"/>
      <w:lang w:val="en-US"/>
    </w:rPr>
  </w:style>
  <w:style w:type="paragraph" w:customStyle="1" w:styleId="BasicParagraph">
    <w:name w:val="[Basic Paragraph]"/>
    <w:basedOn w:val="Normal"/>
    <w:uiPriority w:val="99"/>
    <w:pPr>
      <w:spacing w:after="0" w:line="288" w:lineRule="auto"/>
    </w:pPr>
    <w:rPr>
      <w:rFonts w:ascii="Minion Pro" w:hAnsi="Minion Pro" w:cs="Minion Pro"/>
      <w:color w:val="000000"/>
      <w:sz w:val="24"/>
      <w:szCs w:val="24"/>
    </w:rPr>
  </w:style>
  <w:style w:type="character" w:customStyle="1" w:styleId="Heading1Char">
    <w:name w:val="Heading 1 Char"/>
    <w:basedOn w:val="DefaultParagraphFont"/>
    <w:link w:val="Heading1"/>
    <w:uiPriority w:val="9"/>
    <w:rPr>
      <w:rFonts w:ascii="Roboto" w:eastAsiaTheme="majorEastAsia" w:hAnsi="Roboto" w:cstheme="majorBidi"/>
      <w:b/>
      <w:bCs/>
      <w:color w:val="543192"/>
      <w:sz w:val="48"/>
      <w:szCs w:val="48"/>
      <w:lang w:val="en-GB"/>
    </w:rPr>
  </w:style>
  <w:style w:type="paragraph" w:styleId="TOCHeading">
    <w:name w:val="TOC Heading"/>
    <w:basedOn w:val="Heading1"/>
    <w:next w:val="Normal"/>
    <w:uiPriority w:val="39"/>
    <w:unhideWhenUsed/>
    <w:pPr>
      <w:outlineLvl w:val="9"/>
    </w:pPr>
    <w:rPr>
      <w:lang w:val="en-US"/>
    </w:rPr>
  </w:style>
  <w:style w:type="paragraph" w:styleId="ListParagraph">
    <w:name w:val="List Paragraph"/>
    <w:basedOn w:val="Normal"/>
    <w:uiPriority w:val="34"/>
    <w:pPr>
      <w:ind w:left="720"/>
      <w:contextualSpacing/>
    </w:pPr>
  </w:style>
  <w:style w:type="character" w:styleId="Strong">
    <w:name w:val="Strong"/>
    <w:basedOn w:val="DefaultParagraphFont"/>
    <w:uiPriority w:val="22"/>
    <w:rPr>
      <w:rFonts w:ascii="Roboto" w:hAnsi="Roboto"/>
    </w:rPr>
  </w:style>
  <w:style w:type="character" w:customStyle="1" w:styleId="Heading2Char">
    <w:name w:val="Heading 2 Char"/>
    <w:basedOn w:val="DefaultParagraphFont"/>
    <w:link w:val="Heading2"/>
    <w:uiPriority w:val="9"/>
    <w:rPr>
      <w:rFonts w:ascii="Roboto" w:eastAsiaTheme="majorEastAsia" w:hAnsi="Roboto" w:cstheme="majorBidi"/>
      <w:b/>
      <w:bCs/>
      <w:color w:val="555656"/>
      <w:sz w:val="36"/>
      <w:szCs w:val="36"/>
      <w:lang w:val="en-GB"/>
    </w:rPr>
  </w:style>
  <w:style w:type="character" w:customStyle="1" w:styleId="Heading3Char">
    <w:name w:val="Heading 3 Char"/>
    <w:basedOn w:val="DefaultParagraphFont"/>
    <w:link w:val="Heading3"/>
    <w:uiPriority w:val="9"/>
    <w:rPr>
      <w:rFonts w:ascii="Roboto" w:eastAsiaTheme="majorEastAsia" w:hAnsi="Roboto" w:cstheme="majorBidi"/>
      <w:b/>
      <w:bCs/>
      <w:color w:val="949494"/>
      <w:sz w:val="28"/>
      <w:szCs w:val="28"/>
      <w:lang w:val="en-GB"/>
    </w:rPr>
  </w:style>
  <w:style w:type="paragraph" w:styleId="Subtitle">
    <w:name w:val="Subtitle"/>
    <w:basedOn w:val="Normal"/>
    <w:next w:val="Normal"/>
    <w:link w:val="SubtitleChar"/>
    <w:uiPriority w:val="11"/>
    <w:qFormat/>
    <w:pPr>
      <w:pBdr>
        <w:top w:val="single" w:sz="18" w:space="1" w:color="543192"/>
        <w:left w:val="single" w:sz="18" w:space="4" w:color="543192"/>
        <w:bottom w:val="single" w:sz="18" w:space="1" w:color="543192"/>
        <w:right w:val="single" w:sz="18" w:space="4" w:color="543192"/>
      </w:pBdr>
      <w:spacing w:line="360" w:lineRule="auto"/>
      <w:jc w:val="both"/>
    </w:pPr>
    <w:rPr>
      <w:rFonts w:ascii="Roboto" w:eastAsia="Roboto" w:hAnsi="Roboto" w:cs="Roboto"/>
      <w:color w:val="000000"/>
      <w:highlight w:val="white"/>
    </w:rPr>
  </w:style>
  <w:style w:type="character" w:customStyle="1" w:styleId="SubtitleChar">
    <w:name w:val="Subtitle Char"/>
    <w:basedOn w:val="DefaultParagraphFont"/>
    <w:link w:val="Subtitle"/>
    <w:uiPriority w:val="11"/>
    <w:rPr>
      <w:rFonts w:ascii="Roboto" w:hAnsi="Roboto" w:cs="Arial"/>
      <w:color w:val="000000"/>
      <w:lang w:val="en-GB"/>
    </w:rPr>
  </w:style>
  <w:style w:type="paragraph" w:styleId="TOC1">
    <w:name w:val="toc 1"/>
    <w:basedOn w:val="Normal"/>
    <w:next w:val="Normal"/>
    <w:uiPriority w:val="39"/>
    <w:unhideWhenUsed/>
    <w:pPr>
      <w:spacing w:after="100"/>
    </w:pPr>
  </w:style>
  <w:style w:type="paragraph" w:styleId="TOC2">
    <w:name w:val="toc 2"/>
    <w:basedOn w:val="Normal"/>
    <w:next w:val="Normal"/>
    <w:uiPriority w:val="39"/>
    <w:unhideWhenUsed/>
    <w:pPr>
      <w:spacing w:after="100"/>
      <w:ind w:left="220"/>
    </w:pPr>
  </w:style>
  <w:style w:type="paragraph" w:styleId="TOC3">
    <w:name w:val="toc 3"/>
    <w:basedOn w:val="Normal"/>
    <w:next w:val="Normal"/>
    <w:uiPriority w:val="39"/>
    <w:unhideWhenUsed/>
    <w:pPr>
      <w:tabs>
        <w:tab w:val="right" w:leader="dot" w:pos="9060"/>
      </w:tabs>
      <w:spacing w:after="100"/>
      <w:ind w:left="440"/>
    </w:pPr>
    <w:rPr>
      <w:rFonts w:ascii="Roboto" w:hAnsi="Roboto"/>
    </w:rPr>
  </w:style>
  <w:style w:type="character" w:styleId="Hyperlink">
    <w:name w:val="Hyperlink"/>
    <w:basedOn w:val="DefaultParagraphFont"/>
    <w:uiPriority w:val="99"/>
    <w:unhideWhenUsed/>
    <w:rPr>
      <w:color w:val="0563C1" w:themeColor="hyperlink"/>
      <w:u w:val="single"/>
    </w:rPr>
  </w:style>
  <w:style w:type="character" w:customStyle="1" w:styleId="Heading4Char">
    <w:name w:val="Heading 4 Char"/>
    <w:basedOn w:val="DefaultParagraphFont"/>
    <w:link w:val="Heading4"/>
    <w:uiPriority w:val="9"/>
    <w:semiHidden/>
    <w:rPr>
      <w:rFonts w:asciiTheme="majorHAnsi" w:eastAsiaTheme="majorEastAsia" w:hAnsiTheme="majorHAnsi" w:cstheme="majorBidi"/>
      <w:i/>
      <w:iCs/>
      <w:color w:val="2E74B5" w:themeColor="accent1" w:themeShade="BF"/>
      <w:lang w:val="en-GB"/>
    </w:rPr>
  </w:style>
  <w:style w:type="character" w:customStyle="1" w:styleId="Heading5Char">
    <w:name w:val="Heading 5 Char"/>
    <w:basedOn w:val="DefaultParagraphFont"/>
    <w:link w:val="Heading5"/>
    <w:uiPriority w:val="9"/>
    <w:semiHidden/>
    <w:rPr>
      <w:rFonts w:asciiTheme="majorHAnsi" w:eastAsiaTheme="majorEastAsia" w:hAnsiTheme="majorHAnsi" w:cstheme="majorBidi"/>
      <w:color w:val="2E74B5" w:themeColor="accent1" w:themeShade="BF"/>
      <w:lang w:val="en-GB"/>
    </w:rPr>
  </w:style>
  <w:style w:type="character" w:customStyle="1" w:styleId="Heading6Char">
    <w:name w:val="Heading 6 Char"/>
    <w:basedOn w:val="DefaultParagraphFont"/>
    <w:link w:val="Heading6"/>
    <w:uiPriority w:val="9"/>
    <w:semiHidden/>
    <w:rPr>
      <w:rFonts w:asciiTheme="majorHAnsi" w:eastAsiaTheme="majorEastAsia" w:hAnsiTheme="majorHAnsi" w:cstheme="majorBidi"/>
      <w:color w:val="1F4D78" w:themeColor="accent1" w:themeShade="7F"/>
      <w:lang w:val="en-GB"/>
    </w:rPr>
  </w:style>
  <w:style w:type="character" w:customStyle="1" w:styleId="Heading7Char">
    <w:name w:val="Heading 7 Char"/>
    <w:basedOn w:val="DefaultParagraphFont"/>
    <w:link w:val="Heading7"/>
    <w:uiPriority w:val="9"/>
    <w:semiHidden/>
    <w:rPr>
      <w:rFonts w:asciiTheme="majorHAnsi" w:eastAsiaTheme="majorEastAsia" w:hAnsiTheme="majorHAnsi" w:cstheme="majorBidi"/>
      <w:i/>
      <w:iCs/>
      <w:color w:val="1F4D78" w:themeColor="accent1" w:themeShade="7F"/>
      <w:lang w:val="en-GB"/>
    </w:rPr>
  </w:style>
  <w:style w:type="character" w:customStyle="1" w:styleId="Heading8Char">
    <w:name w:val="Heading 8 Char"/>
    <w:basedOn w:val="DefaultParagraphFont"/>
    <w:link w:val="Heading8"/>
    <w:uiPriority w:val="9"/>
    <w:semiHidden/>
    <w:rPr>
      <w:rFonts w:asciiTheme="majorHAnsi" w:eastAsiaTheme="majorEastAsia" w:hAnsiTheme="majorHAnsi" w:cstheme="majorBidi"/>
      <w:color w:val="272727" w:themeColor="text1" w:themeTint="D8"/>
      <w:sz w:val="21"/>
      <w:szCs w:val="21"/>
      <w:lang w:val="en-GB"/>
    </w:rPr>
  </w:style>
  <w:style w:type="character" w:customStyle="1" w:styleId="Heading9Char">
    <w:name w:val="Heading 9 Char"/>
    <w:basedOn w:val="DefaultParagraphFont"/>
    <w:link w:val="Heading9"/>
    <w:uiPriority w:val="9"/>
    <w:semiHidden/>
    <w:rPr>
      <w:rFonts w:asciiTheme="majorHAnsi" w:eastAsiaTheme="majorEastAsia" w:hAnsiTheme="majorHAnsi" w:cstheme="majorBidi"/>
      <w:i/>
      <w:iCs/>
      <w:color w:val="272727" w:themeColor="text1" w:themeTint="D8"/>
      <w:sz w:val="21"/>
      <w:szCs w:val="21"/>
      <w:lang w:val="en-GB"/>
    </w:rPr>
  </w:style>
  <w:style w:type="character" w:customStyle="1" w:styleId="TitleChar">
    <w:name w:val="Title Char"/>
    <w:basedOn w:val="DefaultParagraphFont"/>
    <w:link w:val="Title"/>
    <w:uiPriority w:val="10"/>
    <w:rPr>
      <w:rFonts w:ascii="Roboto" w:eastAsiaTheme="majorEastAsia" w:hAnsi="Roboto" w:cstheme="majorBidi"/>
      <w:color w:val="543192"/>
      <w:spacing w:val="-10"/>
      <w:sz w:val="28"/>
      <w:szCs w:val="28"/>
      <w:lang w:val="en-GB"/>
    </w:rPr>
  </w:style>
  <w:style w:type="character" w:styleId="Emphasis">
    <w:name w:val="Emphasis"/>
    <w:uiPriority w:val="20"/>
    <w:qFormat/>
    <w:rPr>
      <w:rFonts w:ascii="Roboto" w:hAnsi="Roboto"/>
      <w:i/>
      <w:iCs/>
      <w:color w:val="543192"/>
      <w:sz w:val="24"/>
      <w:szCs w:val="24"/>
    </w:rPr>
  </w:style>
  <w:style w:type="paragraph" w:styleId="FootnoteText">
    <w:name w:val="footnote text"/>
    <w:basedOn w:val="Normal"/>
    <w:link w:val="FootnoteTextChar"/>
    <w:uiPriority w:val="99"/>
    <w:semiHidden/>
    <w:unhideWhenUsed/>
    <w:pPr>
      <w:spacing w:before="0" w:after="0" w:line="240" w:lineRule="auto"/>
    </w:pPr>
    <w:rPr>
      <w:sz w:val="20"/>
      <w:szCs w:val="20"/>
    </w:rPr>
  </w:style>
  <w:style w:type="character" w:customStyle="1" w:styleId="FootnoteTextChar">
    <w:name w:val="Footnote Text Char"/>
    <w:basedOn w:val="DefaultParagraphFont"/>
    <w:link w:val="FootnoteText"/>
    <w:uiPriority w:val="99"/>
    <w:semiHidden/>
    <w:rPr>
      <w:sz w:val="20"/>
      <w:szCs w:val="20"/>
      <w:lang w:val="en-GB"/>
    </w:rPr>
  </w:style>
  <w:style w:type="character" w:styleId="FootnoteReference">
    <w:name w:val="footnote reference"/>
    <w:basedOn w:val="DefaultParagraphFont"/>
    <w:uiPriority w:val="99"/>
    <w:semiHidden/>
    <w:unhideWhenUsed/>
    <w:rPr>
      <w:vertAlign w:val="superscript"/>
    </w:rPr>
  </w:style>
  <w:style w:type="paragraph" w:styleId="Quote">
    <w:name w:val="Quote"/>
    <w:basedOn w:val="Normal"/>
    <w:next w:val="Normal"/>
    <w:link w:val="QuoteChar"/>
    <w:uiPriority w:val="29"/>
    <w:qFormat/>
    <w:pPr>
      <w:spacing w:before="200"/>
      <w:ind w:right="864"/>
    </w:pPr>
    <w:rPr>
      <w:rFonts w:ascii="Roboto" w:hAnsi="Roboto" w:cs="Arial"/>
      <w:color w:val="555656"/>
      <w:sz w:val="18"/>
      <w:szCs w:val="18"/>
      <w:shd w:val="clear" w:color="auto" w:fill="FFFFFF"/>
    </w:rPr>
  </w:style>
  <w:style w:type="character" w:customStyle="1" w:styleId="QuoteChar">
    <w:name w:val="Quote Char"/>
    <w:basedOn w:val="DefaultParagraphFont"/>
    <w:link w:val="Quote"/>
    <w:uiPriority w:val="29"/>
    <w:rPr>
      <w:rFonts w:ascii="Roboto" w:hAnsi="Roboto" w:cs="Arial"/>
      <w:color w:val="555656"/>
      <w:sz w:val="18"/>
      <w:szCs w:val="18"/>
      <w:lang w:val="en-GB"/>
    </w:rPr>
  </w:style>
  <w:style w:type="character" w:styleId="SubtleEmphasis">
    <w:name w:val="Subtle Emphasis"/>
    <w:basedOn w:val="DefaultParagraphFont"/>
    <w:uiPriority w:val="19"/>
    <w:qFormat/>
    <w:rPr>
      <w:rFonts w:ascii="Roboto" w:hAnsi="Roboto"/>
    </w:rPr>
  </w:style>
  <w:style w:type="character" w:styleId="SubtleReference">
    <w:name w:val="Subtle Reference"/>
    <w:basedOn w:val="DefaultParagraphFont"/>
    <w:uiPriority w:val="31"/>
    <w:qFormat/>
    <w:rPr>
      <w:smallCaps/>
      <w:color w:val="5A5A5A" w:themeColor="text1" w:themeTint="A5"/>
    </w:rPr>
  </w:style>
  <w:style w:type="character" w:styleId="UnresolvedMention">
    <w:name w:val="Unresolved Mention"/>
    <w:basedOn w:val="DefaultParagraphFont"/>
    <w:uiPriority w:val="99"/>
    <w:semiHidden/>
    <w:unhideWhenUsed/>
    <w:rPr>
      <w:color w:val="605E5C"/>
      <w:shd w:val="clear" w:color="auto" w:fill="E1DFDD"/>
    </w:rPr>
  </w:style>
  <w:style w:type="paragraph" w:styleId="CommentText">
    <w:name w:val="annotation text"/>
    <w:basedOn w:val="Normal"/>
    <w:link w:val="CommentTextChar"/>
    <w:uiPriority w:val="99"/>
    <w:semiHidden/>
    <w:unhideWhenUsed/>
    <w:pPr>
      <w:spacing w:line="240" w:lineRule="auto"/>
    </w:pPr>
    <w:rPr>
      <w:sz w:val="20"/>
      <w:szCs w:val="20"/>
    </w:rPr>
  </w:style>
  <w:style w:type="character" w:customStyle="1" w:styleId="CommentTextChar">
    <w:name w:val="Comment Text Char"/>
    <w:basedOn w:val="DefaultParagraphFont"/>
    <w:link w:val="CommentText"/>
    <w:uiPriority w:val="99"/>
    <w:semiHidden/>
    <w:rPr>
      <w:sz w:val="20"/>
      <w:szCs w:val="20"/>
    </w:rPr>
  </w:style>
  <w:style w:type="character" w:styleId="CommentReference">
    <w:name w:val="annotation reference"/>
    <w:basedOn w:val="DefaultParagraphFont"/>
    <w:uiPriority w:val="99"/>
    <w:semiHidden/>
    <w:unhideWhenUsed/>
    <w:rPr>
      <w:sz w:val="16"/>
      <w:szCs w:val="16"/>
    </w:rPr>
  </w:style>
  <w:style w:type="paragraph" w:styleId="Revision">
    <w:name w:val="Revision"/>
    <w:hidden/>
    <w:uiPriority w:val="99"/>
    <w:semiHidden/>
    <w:pPr>
      <w:spacing w:before="0"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8" Type="http://schemas.openxmlformats.org/officeDocument/2006/relationships/image" Target="media/image2.png"/><Relationship Id="rId26" Type="http://schemas.openxmlformats.org/officeDocument/2006/relationships/fontTable" Target="fontTable.xml"/><Relationship Id="rId3" Type="http://schemas.openxmlformats.org/officeDocument/2006/relationships/numbering" Target="numbering.xml"/><Relationship Id="rId21" Type="http://schemas.openxmlformats.org/officeDocument/2006/relationships/header" Target="header2.xml"/><Relationship Id="rId7" Type="http://schemas.openxmlformats.org/officeDocument/2006/relationships/footnotes" Target="footnotes.xml"/><Relationship Id="rId17" Type="http://schemas.openxmlformats.org/officeDocument/2006/relationships/image" Target="media/image5.jpg"/><Relationship Id="rId25" Type="http://schemas.openxmlformats.org/officeDocument/2006/relationships/footer" Target="footer3.xml"/><Relationship Id="rId2" Type="http://schemas.openxmlformats.org/officeDocument/2006/relationships/customXml" Target="../customXml/item2.xml"/><Relationship Id="rId20" Type="http://schemas.openxmlformats.org/officeDocument/2006/relationships/header" Target="header1.xml"/><Relationship Id="rId29" Type="http://schemas.openxmlformats.org/officeDocument/2006/relationships/customXml" Target="../customXml/item4.xml"/><Relationship Id="rId1" Type="http://schemas.openxmlformats.org/officeDocument/2006/relationships/customXml" Target="../customXml/item1.xml"/><Relationship Id="rId6" Type="http://schemas.openxmlformats.org/officeDocument/2006/relationships/webSettings" Target="webSettings.xml"/><Relationship Id="rId24" Type="http://schemas.openxmlformats.org/officeDocument/2006/relationships/header" Target="header3.xml"/><Relationship Id="rId5" Type="http://schemas.openxmlformats.org/officeDocument/2006/relationships/settings" Target="settings.xml"/><Relationship Id="rId23" Type="http://schemas.openxmlformats.org/officeDocument/2006/relationships/footer" Target="footer2.xml"/><Relationship Id="rId28" Type="http://schemas.openxmlformats.org/officeDocument/2006/relationships/customXml" Target="../customXml/item3.xml"/><Relationship Id="rId19" Type="http://schemas.openxmlformats.org/officeDocument/2006/relationships/image" Target="media/image3.png"/><Relationship Id="rId4" Type="http://schemas.openxmlformats.org/officeDocument/2006/relationships/styles" Target="styles.xml"/><Relationship Id="rId9" Type="http://schemas.openxmlformats.org/officeDocument/2006/relationships/image" Target="media/image1.jpg"/><Relationship Id="rId22" Type="http://schemas.openxmlformats.org/officeDocument/2006/relationships/footer" Target="footer1.xml"/><Relationship Id="rId27"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5.png"/></Relationships>
</file>

<file path=word/_rels/footnotes.xml.rels><?xml version="1.0" encoding="UTF-8" standalone="yes"?>
<Relationships xmlns="http://schemas.openxmlformats.org/package/2006/relationships"><Relationship Id="rId8" Type="http://schemas.openxmlformats.org/officeDocument/2006/relationships/hyperlink" Target="https://twitter.com/search?q=%23IAmMyOwnGuardian&amp;src=typd" TargetMode="External"/><Relationship Id="rId13" Type="http://schemas.openxmlformats.org/officeDocument/2006/relationships/hyperlink" Target="https://www.hrc.gov.sa/storage/reports-attachment/RmC6nMJb7eDRmnzayj30A1ZoOS0QC4K4oAzEUyu9.pdf" TargetMode="External"/><Relationship Id="rId18" Type="http://schemas.openxmlformats.org/officeDocument/2006/relationships/hyperlink" Target="https://twitter.com/HRCSaudi/status/1027202769458028544?s=20" TargetMode="External"/><Relationship Id="rId3" Type="http://schemas.openxmlformats.org/officeDocument/2006/relationships/hyperlink" Target="https://documents.un.org/doc/undoc/gen/n18/070/62/pdf/n1807062.pdf" TargetMode="External"/><Relationship Id="rId21" Type="http://schemas.openxmlformats.org/officeDocument/2006/relationships/hyperlink" Target="https://dawnmena.org/samha-saeed-alghamdi/" TargetMode="External"/><Relationship Id="rId7" Type="http://schemas.openxmlformats.org/officeDocument/2006/relationships/hyperlink" Target="https://spcommreports.ohchr.org/TMResultsBase/DownLoadPublicCommunicationFile?gId=23057" TargetMode="External"/><Relationship Id="rId12" Type="http://schemas.openxmlformats.org/officeDocument/2006/relationships/hyperlink" Target="https://menarights.org/sites/default/files/2023-11/mrg_shrc_report.pdf" TargetMode="External"/><Relationship Id="rId17" Type="http://schemas.openxmlformats.org/officeDocument/2006/relationships/hyperlink" Target="https://twitter.com/CanadaFP/status/1025383326960549889?s=20" TargetMode="External"/><Relationship Id="rId2" Type="http://schemas.openxmlformats.org/officeDocument/2006/relationships/hyperlink" Target="https://tbinternet.ohchr.org/_layouts/15/treatybodyexternal/SessionDetails1.aspx?SessionID=2715&amp;Lang=en" TargetMode="External"/><Relationship Id="rId16" Type="http://schemas.openxmlformats.org/officeDocument/2006/relationships/hyperlink" Target="https://twitter.com/CanadaFP/status/1025383326960549889?s=20" TargetMode="External"/><Relationship Id="rId20" Type="http://schemas.openxmlformats.org/officeDocument/2006/relationships/hyperlink" Target="https://dawnmena.org/samha-saeed-alghamdi/" TargetMode="External"/><Relationship Id="rId1" Type="http://schemas.openxmlformats.org/officeDocument/2006/relationships/hyperlink" Target="https://tbinternet.ohchr.org/_layouts/15/treatybodyexternal/SessionDetails1.aspx?SessionID=2715&amp;Lang=en" TargetMode="External"/><Relationship Id="rId6" Type="http://schemas.openxmlformats.org/officeDocument/2006/relationships/hyperlink" Target="https://spcommreports.ohchr.org/TMResultsBase/DownLoadPublicCommunicationFile?gId=23057" TargetMode="External"/><Relationship Id="rId11" Type="http://schemas.openxmlformats.org/officeDocument/2006/relationships/hyperlink" Target="https://alqst.org/uploads/the-soaring-fantasy-the-harsh-reality-human-rights-in-saudi-arabia-en.pdf" TargetMode="External"/><Relationship Id="rId5" Type="http://schemas.openxmlformats.org/officeDocument/2006/relationships/hyperlink" Target="https://menarights.org/sites/default/files/2016-12/KSA_CyberCrimeLaw_EN.pdf" TargetMode="External"/><Relationship Id="rId15" Type="http://schemas.openxmlformats.org/officeDocument/2006/relationships/hyperlink" Target="https://menarights.org/sites/default/files/2023-11/mrg_shrc_report.pdf" TargetMode="External"/><Relationship Id="rId10" Type="http://schemas.openxmlformats.org/officeDocument/2006/relationships/hyperlink" Target="https://alqst.org/wp-content/uploads/2019/02/Human-Rights-in-Saudi-Arabia-in-2018_En_Finel.pdf" TargetMode="External"/><Relationship Id="rId19" Type="http://schemas.openxmlformats.org/officeDocument/2006/relationships/hyperlink" Target="https://twitter.com/HRCSaudi/status/1027202769458028544?s=20" TargetMode="External"/><Relationship Id="rId4" Type="http://schemas.openxmlformats.org/officeDocument/2006/relationships/hyperlink" Target="https://menarights.org/en/documents/law-combating-crimes-terrorism-and-its-financing-2017" TargetMode="External"/><Relationship Id="rId9" Type="http://schemas.openxmlformats.org/officeDocument/2006/relationships/hyperlink" Target="https://twitter.com/search?q=%23IAmMyOwnGuardian&amp;src=typd" TargetMode="External"/><Relationship Id="rId14" Type="http://schemas.openxmlformats.org/officeDocument/2006/relationships/hyperlink" Target="https://www.hrc.gov.sa/storage/reports-attachment/RmC6nMJb7eDRmnzayj30A1ZoOS0QC4K4oAzEUyu9.pdf"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10.jpg"/><Relationship Id="rId1" Type="http://schemas.openxmlformats.org/officeDocument/2006/relationships/image" Target="media/image3.jpg"/></Relationships>
</file>

<file path=word/_rels/header2.xml.rels><?xml version="1.0" encoding="UTF-8" standalone="yes"?>
<Relationships xmlns="http://schemas.openxmlformats.org/package/2006/relationships"><Relationship Id="rId3" Type="http://schemas.openxmlformats.org/officeDocument/2006/relationships/image" Target="media/image4.jpg"/><Relationship Id="rId2" Type="http://schemas.openxmlformats.org/officeDocument/2006/relationships/image" Target="media/image10.jpg"/><Relationship Id="rId1" Type="http://schemas.openxmlformats.org/officeDocument/2006/relationships/image" Target="media/image3.jpg"/><Relationship Id="rId6" Type="http://schemas.openxmlformats.org/officeDocument/2006/relationships/image" Target="media/image3.png"/><Relationship Id="rId5" Type="http://schemas.openxmlformats.org/officeDocument/2006/relationships/image" Target="media/image2.png"/><Relationship Id="rId4" Type="http://schemas.openxmlformats.org/officeDocument/2006/relationships/image" Target="media/image2.jpg"/></Relationships>
</file>

<file path=word/_rels/header3.xml.rels><?xml version="1.0" encoding="UTF-8" standalone="yes"?>
<Relationships xmlns="http://schemas.openxmlformats.org/package/2006/relationships"><Relationship Id="rId2" Type="http://schemas.openxmlformats.org/officeDocument/2006/relationships/image" Target="media/image10.jpg"/><Relationship Id="rId1" Type="http://schemas.openxmlformats.org/officeDocument/2006/relationships/image" Target="media/image3.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jEmlldCKENvgomOWEbCawaORTOA==">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</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cument" ma:contentTypeID="0x010100A3CFA62B47352B44BFD11BEB9CD9FD5A" ma:contentTypeVersion="36" ma:contentTypeDescription="Create a new document." ma:contentTypeScope="" ma:versionID="fa29ee4251f035c08c37eb3e45c3ada1">
  <xsd:schema xmlns:xsd="http://www.w3.org/2001/XMLSchema" xmlns:xs="http://www.w3.org/2001/XMLSchema" xmlns:p="http://schemas.microsoft.com/office/2006/metadata/properties" xmlns:ns1="http://schemas.microsoft.com/sharepoint/v3" xmlns:ns3="985ec44e-1bab-4c0b-9df0-6ba128686fc9" xmlns:ns4="11a6fe0c-d8de-4390-afb3-d9c7c54181f0" xmlns:ns5="29926d6b-938b-4af7-b041-aee0d57e6e3d" targetNamespace="http://schemas.microsoft.com/office/2006/metadata/properties" ma:root="true" ma:fieldsID="ee51516891d9f309b1de461389a48f10" ns1:_="" ns3:_="" ns4:_="" ns5:_="">
    <xsd:import namespace="http://schemas.microsoft.com/sharepoint/v3"/>
    <xsd:import namespace="985ec44e-1bab-4c0b-9df0-6ba128686fc9"/>
    <xsd:import namespace="11a6fe0c-d8de-4390-afb3-d9c7c54181f0"/>
    <xsd:import namespace="29926d6b-938b-4af7-b041-aee0d57e6e3d"/>
    <xsd:element name="properties">
      <xsd:complexType>
        <xsd:sequence>
          <xsd:element name="documentManagement">
            <xsd:complexType>
              <xsd:all>
                <xsd:element ref="ns1:KpiDescription" minOccurs="0"/>
                <xsd:element ref="ns3:Security_x0020_Level" minOccurs="0"/>
                <xsd:element ref="ns3:Document_x0020_Type" minOccurs="0"/>
                <xsd:element ref="ns3:Document_x0020_Date" minOccurs="0"/>
                <xsd:element ref="ns3:UN_x0020_Official_x0020_Languag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Report_x0020_Type" minOccurs="0"/>
                <xsd:element ref="ns4:Treaty_x0020_Body" minOccurs="0"/>
                <xsd:element ref="ns4:Working_x0020_Group" minOccurs="0"/>
                <xsd:element ref="ns5:MediaServiceMetadata" minOccurs="0"/>
                <xsd:element ref="ns5:MediaServiceFastMetadata" minOccurs="0"/>
                <xsd:element ref="ns5:MediaServiceSearchProperties" minOccurs="0"/>
                <xsd:element ref="ns5:MediaServiceObjectDetectorVersions" minOccurs="0"/>
                <xsd:element ref="ns5:MediaServiceDateTaken" minOccurs="0"/>
                <xsd:element ref="ns5:MediaServiceGenerationTime" minOccurs="0"/>
                <xsd:element ref="ns5:MediaServiceEventHashCode" minOccurs="0"/>
                <xsd:element ref="ns5:MediaLengthInSeconds" minOccurs="0"/>
                <xsd:element ref="ns5:lcf76f155ced4ddcb4097134ff3c332f" minOccurs="0"/>
                <xsd:element ref="ns3:TaxCatchAll" minOccurs="0"/>
                <xsd:element ref="ns5: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KpiDescription" ma:index="10" nillable="true" ma:displayName="Description" ma:internalName="KpiDescription">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Security_x0020_Level" ma:index="11" nillable="true" ma:displayName="Security Level" ma:format="RadioButtons" ma:internalName="Security_x0020_Level">
      <xsd:simpleType>
        <xsd:restriction base="dms:Choice">
          <xsd:enumeration value="Unclassified"/>
          <xsd:enumeration value="Confidential"/>
          <xsd:enumeration value="Strictly Confidential"/>
        </xsd:restriction>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Document_x0020_Date" ma:index="13" nillable="true" ma:displayName="Document Date" ma:default="[today]" ma:description="The date when the file was drafted" ma:format="DateOnly" ma:internalName="Document_x0020_Date">
      <xsd:simpleType>
        <xsd:restriction base="dms:DateTime"/>
      </xsd:simpleType>
    </xsd:element>
    <xsd:element name="UN_x0020_Official_x0020_Language" ma:index="14"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enumeration value="Others"/>
        </xsd:restriction>
      </xsd:simpleType>
    </xsd:element>
    <xsd:element name="TaxCatchAll" ma:index="41" nillable="true" ma:displayName="Taxonomy Catch All Column" ma:hidden="true" ma:list="{f274aed0-69a4-4e1d-a03f-4a4dac4a7807}"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Report_x0020_Type" ma:index="27" nillable="true" ma:displayName="Report Type" ma:internalName="Report_x0020_Type">
      <xsd:simpleType>
        <xsd:restriction base="dms:Text">
          <xsd:maxLength value="255"/>
        </xsd:restriction>
      </xsd:simpleType>
    </xsd:element>
    <xsd:element name="Treaty_x0020_Body" ma:index="28" nillable="true" ma:displayName="Treaty Body" ma:internalName="Treaty_x0020_Body">
      <xsd:simpleType>
        <xsd:restriction base="dms:Text">
          <xsd:maxLength value="255"/>
        </xsd:restriction>
      </xsd:simpleType>
    </xsd:element>
    <xsd:element name="Working_x0020_Group" ma:index="29" nillable="true" ma:displayName="Working Group" ma:internalName="Working_x0020_Group">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29926d6b-938b-4af7-b041-aee0d57e6e3d" elementFormDefault="qualified">
    <xsd:import namespace="http://schemas.microsoft.com/office/2006/documentManagement/types"/>
    <xsd:import namespace="http://schemas.microsoft.com/office/infopath/2007/PartnerControls"/>
    <xsd:element name="MediaServiceMetadata" ma:index="31" nillable="true" ma:displayName="MediaServiceMetadata" ma:hidden="true" ma:internalName="MediaServiceMetadata" ma:readOnly="true">
      <xsd:simpleType>
        <xsd:restriction base="dms:Note"/>
      </xsd:simpleType>
    </xsd:element>
    <xsd:element name="MediaServiceFastMetadata" ma:index="32" nillable="true" ma:displayName="MediaServiceFastMetadata" ma:hidden="true" ma:internalName="MediaServiceFastMetadata" ma:readOnly="true">
      <xsd:simpleType>
        <xsd:restriction base="dms:Note"/>
      </xsd:simpleType>
    </xsd:element>
    <xsd:element name="MediaServiceSearchProperties" ma:index="33" nillable="true" ma:displayName="MediaServiceSearchProperties" ma:hidden="true" ma:internalName="MediaServiceSearchProperties" ma:readOnly="true">
      <xsd:simpleType>
        <xsd:restriction base="dms:Note"/>
      </xsd:simpleType>
    </xsd:element>
    <xsd:element name="MediaServiceObjectDetectorVersions" ma:index="34" nillable="true" ma:displayName="MediaServiceObjectDetectorVersions" ma:hidden="true" ma:indexed="true" ma:internalName="MediaServiceObjectDetectorVersions" ma:readOnly="true">
      <xsd:simpleType>
        <xsd:restriction base="dms:Text"/>
      </xsd:simpleType>
    </xsd:element>
    <xsd:element name="MediaServiceDateTaken" ma:index="35" nillable="true" ma:displayName="MediaServiceDateTaken" ma:description="" ma:hidden="true" ma:indexed="true" ma:internalName="MediaServiceDateTaken" ma:readOnly="true">
      <xsd:simpleType>
        <xsd:restriction base="dms:Text"/>
      </xsd:simpleType>
    </xsd:element>
    <xsd:element name="MediaServiceGenerationTime" ma:index="36" nillable="true" ma:displayName="MediaServiceGenerationTime" ma:hidden="true" ma:internalName="MediaServiceGenerationTime" ma:readOnly="true">
      <xsd:simpleType>
        <xsd:restriction base="dms:Text"/>
      </xsd:simpleType>
    </xsd:element>
    <xsd:element name="MediaServiceEventHashCode" ma:index="37" nillable="true" ma:displayName="MediaServiceEventHashCode" ma:hidden="true" ma:internalName="MediaServiceEventHashCode" ma:readOnly="true">
      <xsd:simpleType>
        <xsd:restriction base="dms:Text"/>
      </xsd:simpleType>
    </xsd:element>
    <xsd:element name="MediaLengthInSeconds" ma:index="38" nillable="true" ma:displayName="MediaLengthInSeconds" ma:hidden="true" ma:internalName="MediaLengthInSeconds" ma:readOnly="true">
      <xsd:simpleType>
        <xsd:restriction base="dms:Unknow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CR" ma:index="42"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8"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30" ma:displayName="Subject"/>
        <xsd:element ref="dc:description" minOccurs="0" maxOccurs="1"/>
        <xsd:element name="keywords" minOccurs="0" maxOccurs="1" type="xsd:string" ma:index="9"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8CBCE64A-07AB-E54A-A24D-36D16D10122C}">
  <ds:schemaRefs>
    <ds:schemaRef ds:uri="http://schemas.openxmlformats.org/officeDocument/2006/bibliography"/>
  </ds:schemaRefs>
</ds:datastoreItem>
</file>

<file path=customXml/itemProps3.xml><?xml version="1.0" encoding="utf-8"?>
<ds:datastoreItem xmlns:ds="http://schemas.openxmlformats.org/officeDocument/2006/customXml" ds:itemID="{BC207B0D-B452-4D18-B2C6-89370CDD0002}"/>
</file>

<file path=customXml/itemProps4.xml><?xml version="1.0" encoding="utf-8"?>
<ds:datastoreItem xmlns:ds="http://schemas.openxmlformats.org/officeDocument/2006/customXml" ds:itemID="{D6491B63-D645-4068-9BE6-17F42956EC57}"/>
</file>

<file path=docProps/app.xml><?xml version="1.0" encoding="utf-8"?>
<Properties xmlns="http://schemas.openxmlformats.org/officeDocument/2006/extended-properties" xmlns:vt="http://schemas.openxmlformats.org/officeDocument/2006/docPropsVTypes">
  <Template>Normal.dotm</Template>
  <TotalTime>14</TotalTime>
  <Pages>11</Pages>
  <Words>3633</Words>
  <Characters>20713</Characters>
  <Application>Microsoft Office Word</Application>
  <DocSecurity>0</DocSecurity>
  <Lines>172</Lines>
  <Paragraphs>48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24298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Catherine</dc:creator>
  <cp:lastModifiedBy>Falah Sayed</cp:lastModifiedBy>
  <cp:revision>14</cp:revision>
  <dcterms:created xsi:type="dcterms:W3CDTF">2024-09-05T12:00:00Z</dcterms:created>
  <dcterms:modified xsi:type="dcterms:W3CDTF">2024-10-04T11:24:00Z</dcterms:modified>
</cp:coreProperties>
</file>