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5C28FA" w14:textId="77777777" w:rsidR="00391271" w:rsidRPr="00391271" w:rsidRDefault="00391271" w:rsidP="00391271">
      <w:pPr>
        <w:jc w:val="both"/>
        <w:rPr>
          <w:rFonts w:ascii="Cambria" w:hAnsi="Cambria"/>
          <w:sz w:val="24"/>
          <w:szCs w:val="24"/>
        </w:rPr>
      </w:pPr>
    </w:p>
    <w:p w14:paraId="719CCB2B" w14:textId="77777777" w:rsidR="00391271" w:rsidRPr="00391271" w:rsidRDefault="00391271" w:rsidP="00391271">
      <w:pPr>
        <w:jc w:val="both"/>
        <w:rPr>
          <w:rFonts w:ascii="Cambria" w:hAnsi="Cambria"/>
          <w:sz w:val="24"/>
          <w:szCs w:val="24"/>
        </w:rPr>
      </w:pPr>
    </w:p>
    <w:p w14:paraId="272B3459" w14:textId="77777777" w:rsidR="00391271" w:rsidRPr="00391271" w:rsidRDefault="00391271" w:rsidP="00391271">
      <w:pPr>
        <w:jc w:val="both"/>
        <w:rPr>
          <w:rFonts w:ascii="Cambria" w:hAnsi="Cambria"/>
          <w:sz w:val="24"/>
          <w:szCs w:val="24"/>
        </w:rPr>
      </w:pPr>
    </w:p>
    <w:p w14:paraId="0A4CE8FA" w14:textId="77777777" w:rsidR="00391271" w:rsidRPr="00391271" w:rsidRDefault="00391271" w:rsidP="00391271">
      <w:pPr>
        <w:pStyle w:val="Heading1"/>
        <w:spacing w:before="0" w:line="276" w:lineRule="auto"/>
        <w:jc w:val="center"/>
        <w:rPr>
          <w:rFonts w:ascii="Cambria" w:hAnsi="Cambria"/>
          <w:sz w:val="24"/>
          <w:szCs w:val="24"/>
        </w:rPr>
      </w:pPr>
      <w:r w:rsidRPr="00391271">
        <w:rPr>
          <w:rFonts w:ascii="Cambria" w:hAnsi="Cambria"/>
          <w:sz w:val="24"/>
          <w:szCs w:val="24"/>
        </w:rPr>
        <w:t>Aportes del Comisionado Nacional de los Derechos de Humanos de Honduras a:</w:t>
      </w:r>
    </w:p>
    <w:p w14:paraId="439276F1" w14:textId="77777777" w:rsidR="00391271" w:rsidRPr="00391271" w:rsidRDefault="00391271" w:rsidP="00391271">
      <w:pPr>
        <w:pStyle w:val="Heading1"/>
        <w:spacing w:before="0" w:line="276" w:lineRule="auto"/>
        <w:jc w:val="center"/>
        <w:rPr>
          <w:rFonts w:ascii="Cambria" w:hAnsi="Cambria"/>
          <w:sz w:val="24"/>
          <w:szCs w:val="24"/>
        </w:rPr>
      </w:pPr>
      <w:r w:rsidRPr="00391271">
        <w:rPr>
          <w:rFonts w:ascii="Cambria" w:hAnsi="Cambria"/>
          <w:sz w:val="24"/>
          <w:szCs w:val="24"/>
        </w:rPr>
        <w:t>Observación General al artículo 35 de la</w:t>
      </w:r>
    </w:p>
    <w:p w14:paraId="64E9D743" w14:textId="77777777" w:rsidR="00391271" w:rsidRPr="00391271" w:rsidRDefault="00391271" w:rsidP="00391271">
      <w:pPr>
        <w:pStyle w:val="Heading1"/>
        <w:spacing w:before="0" w:line="276" w:lineRule="auto"/>
        <w:jc w:val="center"/>
        <w:rPr>
          <w:rFonts w:ascii="Cambria" w:hAnsi="Cambria"/>
          <w:sz w:val="24"/>
          <w:szCs w:val="24"/>
        </w:rPr>
      </w:pPr>
      <w:r w:rsidRPr="00391271">
        <w:rPr>
          <w:rFonts w:ascii="Cambria" w:hAnsi="Cambria"/>
          <w:sz w:val="24"/>
          <w:szCs w:val="24"/>
        </w:rPr>
        <w:t>Convención sobre los Derechos de las Personas con Discapacidad</w:t>
      </w:r>
    </w:p>
    <w:p w14:paraId="79F40BC3" w14:textId="77777777" w:rsidR="00391271" w:rsidRPr="00391271" w:rsidRDefault="00391271" w:rsidP="00391271">
      <w:pPr>
        <w:pStyle w:val="Heading1"/>
        <w:spacing w:before="0" w:line="276" w:lineRule="auto"/>
        <w:jc w:val="center"/>
        <w:rPr>
          <w:rFonts w:ascii="Cambria" w:hAnsi="Cambria"/>
          <w:sz w:val="24"/>
          <w:szCs w:val="24"/>
        </w:rPr>
      </w:pPr>
      <w:r w:rsidRPr="00391271">
        <w:rPr>
          <w:rFonts w:ascii="Cambria" w:hAnsi="Cambria"/>
          <w:sz w:val="24"/>
          <w:szCs w:val="24"/>
        </w:rPr>
        <w:t>Lista de preguntas del Segundo al Cuarto reporte combinado del Estado de Honduras</w:t>
      </w:r>
    </w:p>
    <w:p w14:paraId="227443A8" w14:textId="77777777" w:rsidR="00391271" w:rsidRPr="00391271" w:rsidRDefault="00391271" w:rsidP="00391271">
      <w:pPr>
        <w:jc w:val="both"/>
        <w:rPr>
          <w:sz w:val="24"/>
          <w:szCs w:val="24"/>
        </w:rPr>
      </w:pPr>
    </w:p>
    <w:p w14:paraId="61545BC5" w14:textId="77777777" w:rsidR="00391271" w:rsidRPr="00391271" w:rsidRDefault="009C414F" w:rsidP="00391271">
      <w:pPr>
        <w:numPr>
          <w:ilvl w:val="0"/>
          <w:numId w:val="2"/>
        </w:numPr>
        <w:spacing w:after="0" w:line="276" w:lineRule="auto"/>
        <w:jc w:val="both"/>
        <w:rPr>
          <w:rFonts w:ascii="Cambria" w:eastAsia="Cambria" w:hAnsi="Cambria" w:cs="Cambria"/>
          <w:sz w:val="24"/>
          <w:szCs w:val="24"/>
        </w:rPr>
      </w:pPr>
      <w:sdt>
        <w:sdtPr>
          <w:rPr>
            <w:sz w:val="24"/>
            <w:szCs w:val="24"/>
          </w:rPr>
          <w:tag w:val="goog_rdk_23"/>
          <w:id w:val="-985702698"/>
        </w:sdtPr>
        <w:sdtEndPr/>
        <w:sdtContent>
          <w:sdt>
            <w:sdtPr>
              <w:rPr>
                <w:sz w:val="24"/>
                <w:szCs w:val="24"/>
              </w:rPr>
              <w:tag w:val="goog_rdk_21"/>
              <w:id w:val="-443233719"/>
            </w:sdtPr>
            <w:sdtEndPr/>
            <w:sdtContent/>
          </w:sdt>
        </w:sdtContent>
      </w:sdt>
      <w:sdt>
        <w:sdtPr>
          <w:rPr>
            <w:b/>
            <w:bCs/>
            <w:sz w:val="24"/>
            <w:szCs w:val="24"/>
          </w:rPr>
          <w:tag w:val="goog_rdk_17"/>
          <w:id w:val="1938863080"/>
        </w:sdtPr>
        <w:sdtEndPr/>
        <w:sdtContent>
          <w:r w:rsidR="00391271" w:rsidRPr="00391271">
            <w:rPr>
              <w:rFonts w:ascii="Cambria" w:eastAsia="Cambria" w:hAnsi="Cambria" w:cs="Cambria"/>
              <w:b/>
              <w:bCs/>
              <w:sz w:val="24"/>
              <w:szCs w:val="24"/>
            </w:rPr>
            <w:t xml:space="preserve">Introducción </w:t>
          </w:r>
        </w:sdtContent>
      </w:sdt>
    </w:p>
    <w:p w14:paraId="7C51894D" w14:textId="24EF7750" w:rsidR="00391271" w:rsidRPr="00C8673A" w:rsidRDefault="00C8673A" w:rsidP="00391271">
      <w:pPr>
        <w:jc w:val="both"/>
        <w:rPr>
          <w:rFonts w:ascii="Cambria" w:hAnsi="Cambria"/>
          <w:sz w:val="24"/>
          <w:szCs w:val="24"/>
        </w:rPr>
      </w:pPr>
      <w:bookmarkStart w:id="0" w:name="_GoBack"/>
      <w:r w:rsidRPr="00C8673A">
        <w:rPr>
          <w:rFonts w:ascii="Cambria" w:hAnsi="Cambria"/>
          <w:sz w:val="24"/>
          <w:szCs w:val="24"/>
        </w:rPr>
        <w:t xml:space="preserve">El Comisionado Nacional de los Derechos Humanos (CONADEH </w:t>
      </w:r>
      <w:bookmarkEnd w:id="0"/>
      <w:r w:rsidRPr="00C8673A">
        <w:rPr>
          <w:rFonts w:ascii="Cambria" w:hAnsi="Cambria"/>
          <w:sz w:val="24"/>
          <w:szCs w:val="24"/>
        </w:rPr>
        <w:t>o el Comisionado), es la Institución Nacional de los Derechos Humanos (INDH) de Honduras que goza de independencia funcional, administrativa, técnica y de criterio. El CONADEH tiene el mandato de velar por la prevención, promoción, protección y la defensa de los derechos humanos y libertades fundamentales de las y los habitantes, y especialmente, los de las personas en situación de vulnerabilidad, mediante la supervisión de las acciones u omisiones de las instituciones del Estado en su conjunto y entidades privadas que prestan servicios públicos, a fin de que cumplan las obligaciones en materia de derechos humanos para lograr el respeto de la dignidad de la persona humana, el fortalecimiento del Estado de Derecho y la gobernabilidad democrática.</w:t>
      </w:r>
    </w:p>
    <w:p w14:paraId="5F0D4F06" w14:textId="77777777" w:rsidR="00391271" w:rsidRPr="00391271" w:rsidRDefault="00391271" w:rsidP="00391271">
      <w:pPr>
        <w:jc w:val="both"/>
        <w:rPr>
          <w:rFonts w:ascii="Cambria" w:hAnsi="Cambria"/>
          <w:sz w:val="24"/>
          <w:szCs w:val="24"/>
        </w:rPr>
      </w:pPr>
      <w:r w:rsidRPr="00391271">
        <w:rPr>
          <w:rFonts w:ascii="Cambria" w:hAnsi="Cambria"/>
          <w:sz w:val="24"/>
          <w:szCs w:val="24"/>
        </w:rPr>
        <w:t>En consecuencia, el CONADEH creó en 2015 la Defensoría de Personas con Discapacidad (Defensoría) con el objeto de brindar atención a las personas con discapacidad quienes se encuentran especialmente expuestos a violaciones de derechos humanos por su situación de vulnerabilidad y por la discriminación histórica de la cual han sido objeto. Adicionalmente, la Defensoría se encarga de fortalecer, impulsar y sistematizar el trabajo del propio CONADEH en ese tema.</w:t>
      </w:r>
    </w:p>
    <w:p w14:paraId="1C9D835B" w14:textId="77777777" w:rsidR="00391271" w:rsidRPr="00391271" w:rsidRDefault="00391271" w:rsidP="00391271">
      <w:pPr>
        <w:jc w:val="both"/>
        <w:rPr>
          <w:rFonts w:ascii="Cambria" w:hAnsi="Cambria"/>
          <w:sz w:val="24"/>
          <w:szCs w:val="24"/>
        </w:rPr>
      </w:pPr>
      <w:r w:rsidRPr="00391271">
        <w:rPr>
          <w:rFonts w:ascii="Cambria" w:hAnsi="Cambria"/>
          <w:sz w:val="24"/>
          <w:szCs w:val="24"/>
        </w:rPr>
        <w:t>En fecha 24 de enero de 2023, la Secretaría del Comité sobre los Derechos de las Personas con Discapacidad (CDPD) extendió una invitación formal al CONADEH con el objetivo de participar en la 17a Pre sesión del Grupo de Trabajo del Comité sobre los Derechos de las Personas con Discapacidad (CRPD) que se celebrará del 27 al 31 de marzo de 2023. Por lo tanto, el Comisionado se dirige al CDPD para remitir su contribución escrita al haberse efectuado la revisión y análisis de los Informes periódicos segundo y cuarto combinados que Honduras debía presentar en 2022 en virtud del artículo 35 de la Convención. Asimismo, el CONADEH ha preparado una “Lista de Preguntas” con el objetivo de que pueda ser considerada en la próxima consulta al Gobierno de Honduras.</w:t>
      </w:r>
    </w:p>
    <w:p w14:paraId="61C4FC4B" w14:textId="77777777" w:rsidR="00391271" w:rsidRPr="00391271" w:rsidRDefault="00391271" w:rsidP="00391271">
      <w:pPr>
        <w:jc w:val="both"/>
        <w:rPr>
          <w:rFonts w:ascii="Cambria" w:hAnsi="Cambria"/>
          <w:sz w:val="24"/>
          <w:szCs w:val="24"/>
        </w:rPr>
      </w:pPr>
      <w:r w:rsidRPr="00391271">
        <w:rPr>
          <w:rFonts w:ascii="Cambria" w:hAnsi="Cambria"/>
          <w:sz w:val="24"/>
          <w:szCs w:val="24"/>
        </w:rPr>
        <w:t xml:space="preserve">A tales efectos, se presentan las interrogantes siguientes: </w:t>
      </w:r>
    </w:p>
    <w:p w14:paraId="5D0FB8F6" w14:textId="77777777" w:rsidR="00391271" w:rsidRPr="00391271" w:rsidRDefault="00391271" w:rsidP="00391271">
      <w:pPr>
        <w:jc w:val="both"/>
        <w:rPr>
          <w:rFonts w:ascii="Cambria" w:hAnsi="Cambria"/>
          <w:sz w:val="24"/>
          <w:szCs w:val="24"/>
        </w:rPr>
      </w:pPr>
    </w:p>
    <w:p w14:paraId="3F37AEE7" w14:textId="77777777" w:rsidR="00391271" w:rsidRPr="00391271" w:rsidRDefault="00391271" w:rsidP="00391271">
      <w:pPr>
        <w:jc w:val="both"/>
        <w:rPr>
          <w:rFonts w:ascii="Cambria" w:hAnsi="Cambria"/>
          <w:sz w:val="24"/>
          <w:szCs w:val="24"/>
        </w:rPr>
      </w:pPr>
    </w:p>
    <w:p w14:paraId="563D9F38" w14:textId="77777777" w:rsidR="00391271" w:rsidRPr="00391271" w:rsidRDefault="00391271" w:rsidP="00391271">
      <w:pPr>
        <w:jc w:val="both"/>
        <w:rPr>
          <w:rFonts w:ascii="Cambria" w:hAnsi="Cambria"/>
          <w:sz w:val="24"/>
          <w:szCs w:val="24"/>
        </w:rPr>
      </w:pPr>
    </w:p>
    <w:p w14:paraId="0432690E" w14:textId="77777777" w:rsidR="00391271" w:rsidRPr="00391271" w:rsidRDefault="00391271" w:rsidP="00391271">
      <w:pPr>
        <w:jc w:val="both"/>
        <w:rPr>
          <w:rFonts w:ascii="Cambria" w:hAnsi="Cambria"/>
          <w:b/>
          <w:bCs/>
          <w:sz w:val="24"/>
          <w:szCs w:val="24"/>
        </w:rPr>
      </w:pPr>
      <w:r w:rsidRPr="00391271">
        <w:rPr>
          <w:rFonts w:ascii="Cambria" w:hAnsi="Cambria"/>
          <w:b/>
          <w:bCs/>
          <w:sz w:val="24"/>
          <w:szCs w:val="24"/>
        </w:rPr>
        <w:t>Marco normativo e institucionalidad de las personas con discapacidad (artículos 1 al 4 y recomendaciones 6,8,10,12)</w:t>
      </w:r>
    </w:p>
    <w:p w14:paraId="1CF502A6" w14:textId="77777777"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Explique la efectividad de las reformas legales, disposiciones y ratificaciones de instrumentos legales referidos en el apartado II “Disposiciones generales” numerales del 7 al 27 del Informe del Estado de Honduras. ¿Cómo impactan las mismas en la garantía protección y cumplimiento de los derechos de las personas con discapacidad a nivel nacional?</w:t>
      </w:r>
    </w:p>
    <w:p w14:paraId="7E73557F" w14:textId="77777777" w:rsidR="00391271" w:rsidRPr="00391271" w:rsidRDefault="00391271" w:rsidP="00391271">
      <w:pPr>
        <w:pStyle w:val="ListParagraph"/>
        <w:jc w:val="both"/>
        <w:rPr>
          <w:rFonts w:ascii="Cambria" w:hAnsi="Cambria"/>
          <w:sz w:val="24"/>
          <w:szCs w:val="24"/>
        </w:rPr>
      </w:pPr>
    </w:p>
    <w:p w14:paraId="29A3D602" w14:textId="77777777"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La Ley de Equidad y Desarrollo para las PcD señala que, la Dirección General de Desarrollo para las Personas con Discapacidad (DIGEDEPDI) estará adscrita a la Secretaría de Estado en el Despacho de Gobernación y Justicia; no obstante, dicha dirección se encuentra funcionando como una dependencia de la Secretaría de Estado en el Despacho de Desarrollo Social (SEDESOL). En ese sentido, ¿Cuál es el fundamento legal que motiva que la DIGEDEPDI esté adscrita a la SEDESOL?</w:t>
      </w:r>
    </w:p>
    <w:p w14:paraId="0D55E1B9" w14:textId="77777777" w:rsidR="00391271" w:rsidRPr="00391271" w:rsidRDefault="00391271" w:rsidP="00391271">
      <w:pPr>
        <w:pStyle w:val="ListParagraph"/>
        <w:jc w:val="both"/>
        <w:rPr>
          <w:rFonts w:ascii="Cambria" w:hAnsi="Cambria"/>
          <w:sz w:val="24"/>
          <w:szCs w:val="24"/>
        </w:rPr>
      </w:pPr>
    </w:p>
    <w:p w14:paraId="5477D995" w14:textId="77777777" w:rsidR="00E4226E" w:rsidRDefault="00391271" w:rsidP="00E4226E">
      <w:pPr>
        <w:pStyle w:val="ListParagraph"/>
        <w:numPr>
          <w:ilvl w:val="0"/>
          <w:numId w:val="3"/>
        </w:numPr>
        <w:jc w:val="both"/>
        <w:rPr>
          <w:rFonts w:ascii="Cambria" w:hAnsi="Cambria"/>
          <w:sz w:val="24"/>
          <w:szCs w:val="24"/>
        </w:rPr>
      </w:pPr>
      <w:r w:rsidRPr="00391271">
        <w:rPr>
          <w:rFonts w:ascii="Cambria" w:hAnsi="Cambria"/>
          <w:sz w:val="24"/>
          <w:szCs w:val="24"/>
        </w:rPr>
        <w:t xml:space="preserve">¿Qué acciones concretas ha adoptado el Gobierno de la República para impulsar y acelerar la aprobación de las iniciativas y reformas de ley referentes a: 1) La capacidad jurídica de las PcD; 2) Las reformas a marcos normativos que emplean términos peyorativos y discriminatorios para las PcD; 3)Proyecto de Ley de Transporte Escolar y, 4) La reforma del Decreto 160-2005? </w:t>
      </w:r>
    </w:p>
    <w:p w14:paraId="36BF57E1" w14:textId="6341200F" w:rsidR="00391271" w:rsidRPr="00E4226E" w:rsidRDefault="00391271" w:rsidP="00E4226E">
      <w:pPr>
        <w:ind w:left="360"/>
        <w:jc w:val="both"/>
        <w:rPr>
          <w:rFonts w:ascii="Cambria" w:hAnsi="Cambria"/>
          <w:sz w:val="24"/>
          <w:szCs w:val="24"/>
        </w:rPr>
      </w:pPr>
      <w:r w:rsidRPr="00E4226E">
        <w:rPr>
          <w:rFonts w:ascii="Cambria" w:hAnsi="Cambria"/>
          <w:sz w:val="24"/>
          <w:szCs w:val="24"/>
        </w:rPr>
        <w:t>Actualmente se cuenta con una Mesa Interinstitucional de Reforma de dicho decreto, por lo que es oportuno consultar al Estado de Honduras ¿En qué proceso se encuentra la citada reforma?</w:t>
      </w:r>
    </w:p>
    <w:p w14:paraId="659B12BA" w14:textId="77777777"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¿Cuál es la etapa de aprobación de propuestas legislativas y políticas públicas en materia de salud mental? ¿Podría brindar decretos o documentos análogos que indiquen la cantidad monetaria y presupuestaria asignada para brindar una atención integral a la salud mental? ¿El Estado prevé la desinstitucionalización de la atención de la salud mental?</w:t>
      </w:r>
    </w:p>
    <w:p w14:paraId="092A480F" w14:textId="77777777" w:rsidR="00391271" w:rsidRPr="00391271" w:rsidRDefault="00391271" w:rsidP="00391271">
      <w:pPr>
        <w:pStyle w:val="ListParagraph"/>
        <w:rPr>
          <w:rFonts w:ascii="Cambria" w:hAnsi="Cambria"/>
          <w:sz w:val="24"/>
          <w:szCs w:val="24"/>
        </w:rPr>
      </w:pPr>
    </w:p>
    <w:p w14:paraId="50B10139" w14:textId="28F306DE" w:rsidR="00391271" w:rsidRDefault="00391271" w:rsidP="00391271">
      <w:pPr>
        <w:pStyle w:val="ListParagraph"/>
        <w:numPr>
          <w:ilvl w:val="0"/>
          <w:numId w:val="3"/>
        </w:numPr>
        <w:jc w:val="both"/>
        <w:rPr>
          <w:rFonts w:ascii="Cambria" w:hAnsi="Cambria"/>
          <w:sz w:val="24"/>
          <w:szCs w:val="24"/>
        </w:rPr>
      </w:pPr>
      <w:r w:rsidRPr="00134159">
        <w:rPr>
          <w:rFonts w:ascii="Cambria" w:hAnsi="Cambria"/>
          <w:sz w:val="24"/>
          <w:szCs w:val="24"/>
        </w:rPr>
        <w:t xml:space="preserve">En seguimiento a la recomendación 10 del Comité al Estado sobre los criterios para </w:t>
      </w:r>
      <w:r w:rsidR="00D41EAE" w:rsidRPr="00134159">
        <w:rPr>
          <w:rFonts w:ascii="Cambria" w:hAnsi="Cambria"/>
          <w:sz w:val="24"/>
          <w:szCs w:val="24"/>
        </w:rPr>
        <w:t>la</w:t>
      </w:r>
      <w:r w:rsidRPr="00134159">
        <w:rPr>
          <w:rFonts w:ascii="Cambria" w:hAnsi="Cambria"/>
          <w:sz w:val="24"/>
          <w:szCs w:val="24"/>
        </w:rPr>
        <w:t xml:space="preserve"> certificación</w:t>
      </w:r>
      <w:r w:rsidR="00D41EAE" w:rsidRPr="00134159">
        <w:rPr>
          <w:rFonts w:ascii="Cambria" w:hAnsi="Cambria"/>
          <w:sz w:val="24"/>
          <w:szCs w:val="24"/>
        </w:rPr>
        <w:t xml:space="preserve"> de personas con discapacidad</w:t>
      </w:r>
      <w:r w:rsidRPr="00134159">
        <w:rPr>
          <w:rFonts w:ascii="Cambria" w:hAnsi="Cambria"/>
          <w:sz w:val="24"/>
          <w:szCs w:val="24"/>
        </w:rPr>
        <w:t xml:space="preserve"> que refleje un modelo basado en derechos humanos. DIGEDEPDI emite</w:t>
      </w:r>
      <w:r w:rsidR="00D41EAE" w:rsidRPr="00134159">
        <w:rPr>
          <w:rFonts w:ascii="Cambria" w:hAnsi="Cambria"/>
          <w:sz w:val="24"/>
          <w:szCs w:val="24"/>
        </w:rPr>
        <w:t xml:space="preserve"> un carnet que </w:t>
      </w:r>
      <w:r w:rsidRPr="00134159">
        <w:rPr>
          <w:rFonts w:ascii="Cambria" w:hAnsi="Cambria"/>
          <w:sz w:val="24"/>
          <w:szCs w:val="24"/>
        </w:rPr>
        <w:t xml:space="preserve">certifica a las </w:t>
      </w:r>
      <w:r w:rsidR="00134159" w:rsidRPr="00134159">
        <w:rPr>
          <w:rFonts w:ascii="Cambria" w:hAnsi="Cambria"/>
          <w:sz w:val="24"/>
          <w:szCs w:val="24"/>
        </w:rPr>
        <w:t>personas que</w:t>
      </w:r>
      <w:r w:rsidR="00D41EAE" w:rsidRPr="00134159">
        <w:rPr>
          <w:rFonts w:ascii="Cambria" w:hAnsi="Cambria"/>
          <w:sz w:val="24"/>
          <w:szCs w:val="24"/>
        </w:rPr>
        <w:t xml:space="preserve"> tienen una </w:t>
      </w:r>
      <w:r w:rsidRPr="00134159">
        <w:rPr>
          <w:rFonts w:ascii="Cambria" w:hAnsi="Cambria"/>
          <w:sz w:val="24"/>
          <w:szCs w:val="24"/>
        </w:rPr>
        <w:t>discapacidad</w:t>
      </w:r>
      <w:r w:rsidR="00D41EAE" w:rsidRPr="00134159">
        <w:rPr>
          <w:rFonts w:ascii="Cambria" w:hAnsi="Cambria"/>
          <w:sz w:val="24"/>
          <w:szCs w:val="24"/>
        </w:rPr>
        <w:t xml:space="preserve">, para lo cual lo </w:t>
      </w:r>
      <w:r w:rsidR="00134159" w:rsidRPr="00134159">
        <w:rPr>
          <w:rFonts w:ascii="Cambria" w:hAnsi="Cambria"/>
          <w:sz w:val="24"/>
          <w:szCs w:val="24"/>
        </w:rPr>
        <w:t>que solicitan</w:t>
      </w:r>
      <w:r w:rsidR="00D41EAE" w:rsidRPr="00134159">
        <w:rPr>
          <w:rFonts w:ascii="Cambria" w:hAnsi="Cambria"/>
          <w:sz w:val="24"/>
          <w:szCs w:val="24"/>
        </w:rPr>
        <w:t xml:space="preserve"> es un certificado médico</w:t>
      </w:r>
      <w:r w:rsidRPr="00134159">
        <w:rPr>
          <w:rFonts w:ascii="Cambria" w:hAnsi="Cambria"/>
          <w:sz w:val="24"/>
          <w:szCs w:val="24"/>
        </w:rPr>
        <w:t>. En ese sentido ¿Cuál es el nivel de compatibilidad de la certificación frente a los estándares internacionales por la CIF</w:t>
      </w:r>
      <w:r w:rsidRPr="00134159">
        <w:rPr>
          <w:rStyle w:val="FootnoteReference"/>
          <w:rFonts w:ascii="Cambria" w:hAnsi="Cambria"/>
          <w:sz w:val="24"/>
          <w:szCs w:val="24"/>
        </w:rPr>
        <w:footnoteReference w:id="1"/>
      </w:r>
      <w:r w:rsidRPr="00134159">
        <w:rPr>
          <w:rFonts w:ascii="Cambria" w:hAnsi="Cambria"/>
          <w:sz w:val="24"/>
          <w:szCs w:val="24"/>
        </w:rPr>
        <w:t xml:space="preserve"> y el cuestionario del Grupo de Washington?</w:t>
      </w:r>
    </w:p>
    <w:p w14:paraId="5E41D836" w14:textId="77777777" w:rsidR="00134159" w:rsidRPr="00134159" w:rsidRDefault="00134159" w:rsidP="00134159">
      <w:pPr>
        <w:pStyle w:val="ListParagraph"/>
        <w:rPr>
          <w:rFonts w:ascii="Cambria" w:hAnsi="Cambria"/>
          <w:sz w:val="24"/>
          <w:szCs w:val="24"/>
        </w:rPr>
      </w:pPr>
    </w:p>
    <w:p w14:paraId="0E5B43B9" w14:textId="77777777" w:rsidR="00134159" w:rsidRPr="00134159" w:rsidRDefault="00134159" w:rsidP="00134159">
      <w:pPr>
        <w:pStyle w:val="ListParagraph"/>
        <w:jc w:val="both"/>
        <w:rPr>
          <w:rFonts w:ascii="Cambria" w:hAnsi="Cambria"/>
          <w:sz w:val="24"/>
          <w:szCs w:val="24"/>
        </w:rPr>
      </w:pPr>
    </w:p>
    <w:p w14:paraId="55966493" w14:textId="77777777" w:rsidR="00134159" w:rsidRDefault="00134159" w:rsidP="00391271">
      <w:pPr>
        <w:ind w:left="360"/>
        <w:jc w:val="both"/>
        <w:rPr>
          <w:rFonts w:ascii="Cambria" w:hAnsi="Cambria"/>
          <w:b/>
          <w:bCs/>
          <w:sz w:val="24"/>
          <w:szCs w:val="24"/>
        </w:rPr>
      </w:pPr>
    </w:p>
    <w:p w14:paraId="661FAD69" w14:textId="0AB179B2" w:rsidR="00391271" w:rsidRPr="00391271" w:rsidRDefault="00391271" w:rsidP="00391271">
      <w:pPr>
        <w:ind w:left="360"/>
        <w:jc w:val="both"/>
        <w:rPr>
          <w:rFonts w:ascii="Cambria" w:hAnsi="Cambria"/>
          <w:b/>
          <w:bCs/>
          <w:sz w:val="24"/>
          <w:szCs w:val="24"/>
        </w:rPr>
      </w:pPr>
      <w:r w:rsidRPr="00391271">
        <w:rPr>
          <w:rFonts w:ascii="Cambria" w:hAnsi="Cambria"/>
          <w:b/>
          <w:bCs/>
          <w:sz w:val="24"/>
          <w:szCs w:val="24"/>
        </w:rPr>
        <w:t>Accesibilidad, Movilidad personal y participación en la vida cultural, las actividades recreativas, el esparcimiento y el deporte (artículos 9, 20 y 30; y recomendaciones 22, 64)</w:t>
      </w:r>
    </w:p>
    <w:p w14:paraId="684C7713" w14:textId="77777777"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Se sugiere reiterar la recomendación 22, en relación a la elaboración de Plan de Acción de accesibilidad: al transporte, servicios, entorno físico, información y comunicación, dado que no se observa ningún avance al respecto.</w:t>
      </w:r>
    </w:p>
    <w:p w14:paraId="5880FD40" w14:textId="77777777" w:rsidR="00391271" w:rsidRPr="00391271" w:rsidRDefault="00391271" w:rsidP="00391271">
      <w:pPr>
        <w:ind w:left="360"/>
        <w:jc w:val="both"/>
        <w:rPr>
          <w:rFonts w:ascii="Cambria" w:hAnsi="Cambria"/>
          <w:b/>
          <w:bCs/>
          <w:sz w:val="24"/>
          <w:szCs w:val="24"/>
        </w:rPr>
      </w:pPr>
      <w:r w:rsidRPr="00391271">
        <w:rPr>
          <w:rFonts w:ascii="Cambria" w:hAnsi="Cambria"/>
          <w:b/>
          <w:bCs/>
          <w:sz w:val="24"/>
          <w:szCs w:val="24"/>
        </w:rPr>
        <w:t>Situaciones de riesgo y emergencias (artículo 11 y recomendación 26)</w:t>
      </w:r>
    </w:p>
    <w:p w14:paraId="678068EC" w14:textId="77777777"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Sobre el art. 11, ver contribución escrita enviada por CONADEH al Comité sobre Derechos de las Personas con Discapacidad.</w:t>
      </w:r>
      <w:r w:rsidRPr="00391271">
        <w:rPr>
          <w:rStyle w:val="FootnoteReference"/>
          <w:rFonts w:ascii="Cambria" w:hAnsi="Cambria"/>
          <w:sz w:val="24"/>
          <w:szCs w:val="24"/>
        </w:rPr>
        <w:footnoteReference w:id="2"/>
      </w:r>
    </w:p>
    <w:p w14:paraId="44461C6C" w14:textId="77777777" w:rsidR="00391271" w:rsidRPr="00391271" w:rsidRDefault="00391271" w:rsidP="00391271">
      <w:pPr>
        <w:ind w:left="360"/>
        <w:jc w:val="both"/>
        <w:rPr>
          <w:rFonts w:ascii="Cambria" w:hAnsi="Cambria"/>
          <w:b/>
          <w:bCs/>
          <w:sz w:val="24"/>
          <w:szCs w:val="24"/>
        </w:rPr>
      </w:pPr>
      <w:r w:rsidRPr="00391271">
        <w:rPr>
          <w:rFonts w:ascii="Cambria" w:hAnsi="Cambria"/>
          <w:b/>
          <w:bCs/>
          <w:sz w:val="24"/>
          <w:szCs w:val="24"/>
        </w:rPr>
        <w:t>Igual reconocimiento como persona ante la ley (artículo 12 y recomendaciones 28,30 y 36)</w:t>
      </w:r>
    </w:p>
    <w:p w14:paraId="50BD2A48" w14:textId="77777777"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El CONADEH ha recibido múltiples quejas de personas ciegas indicando que se les ha impedido crear cuentas bancarias por ser una persona con discapacidad visual. Tomando en cuenta el numeral 83 del Informe respecto a las garantías de créditos y productos bancarios, el Comisionado motiva al Comité a consultar al Estado sobre qué acciones ha adoptado para compatibilizar las normas vigentes sobre incapacidades absolutas y relativas que generan discriminación.</w:t>
      </w:r>
    </w:p>
    <w:p w14:paraId="040BFE33" w14:textId="77777777" w:rsidR="00391271" w:rsidRPr="00391271" w:rsidRDefault="00391271" w:rsidP="00391271">
      <w:pPr>
        <w:ind w:left="360"/>
        <w:jc w:val="both"/>
        <w:rPr>
          <w:rFonts w:ascii="Cambria" w:hAnsi="Cambria"/>
          <w:b/>
          <w:bCs/>
          <w:sz w:val="24"/>
          <w:szCs w:val="24"/>
        </w:rPr>
      </w:pPr>
      <w:r w:rsidRPr="00391271">
        <w:rPr>
          <w:rFonts w:ascii="Cambria" w:hAnsi="Cambria"/>
          <w:b/>
          <w:bCs/>
          <w:sz w:val="24"/>
          <w:szCs w:val="24"/>
          <w:lang w:eastAsia="es-HN"/>
        </w:rPr>
        <w:t>Acceso a la justicia (artículo 13 y recomendaciones 32 y 34)</w:t>
      </w:r>
    </w:p>
    <w:p w14:paraId="5B23AF89" w14:textId="110A24D4"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En relación a lo indicado en el numeral 95, ¿Puede el Estado informar si el Poder Judicial cuenta con presupuesto normado, fijo o asignado para cubrir los costos de los intérpretes de LESHO</w:t>
      </w:r>
      <w:r w:rsidRPr="00391271">
        <w:rPr>
          <w:rStyle w:val="FootnoteReference"/>
          <w:rFonts w:ascii="Cambria" w:hAnsi="Cambria"/>
          <w:sz w:val="24"/>
          <w:szCs w:val="24"/>
        </w:rPr>
        <w:footnoteReference w:id="3"/>
      </w:r>
      <w:r w:rsidRPr="00391271">
        <w:rPr>
          <w:rFonts w:ascii="Cambria" w:hAnsi="Cambria"/>
          <w:sz w:val="24"/>
          <w:szCs w:val="24"/>
        </w:rPr>
        <w:t xml:space="preserve">?¿Cuál es la distribución geográfica y jurisdiccional de los intérpretes a nivel nacional? </w:t>
      </w:r>
    </w:p>
    <w:p w14:paraId="0311FFC7" w14:textId="77777777" w:rsidR="00391271" w:rsidRPr="00391271" w:rsidRDefault="00391271" w:rsidP="00391271">
      <w:pPr>
        <w:ind w:left="360"/>
        <w:jc w:val="both"/>
        <w:rPr>
          <w:rFonts w:ascii="Cambria" w:hAnsi="Cambria"/>
          <w:b/>
          <w:bCs/>
          <w:sz w:val="24"/>
          <w:szCs w:val="24"/>
        </w:rPr>
      </w:pPr>
      <w:r w:rsidRPr="00391271">
        <w:rPr>
          <w:rFonts w:ascii="Cambria" w:hAnsi="Cambria"/>
          <w:b/>
          <w:bCs/>
          <w:sz w:val="24"/>
          <w:szCs w:val="24"/>
        </w:rPr>
        <w:t>Protección contra la tortura y otros tratos o penas crueles, inhumanos o degradantes (artículo 15 y recomendaciones 38 y 40)</w:t>
      </w:r>
    </w:p>
    <w:p w14:paraId="648E2312" w14:textId="58B6B66F"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 xml:space="preserve">En el párrafo 112 el Estado informa la existencia de Juntas Locales de Prevención contra la Tortura. Actualmente no se cuenta con una para la atención a personas con discapacidad. Consultar al Estado si el MNP-CONAPREV </w:t>
      </w:r>
      <w:r w:rsidR="00E4226E" w:rsidRPr="00391271">
        <w:rPr>
          <w:rFonts w:ascii="Cambria" w:hAnsi="Cambria"/>
          <w:sz w:val="24"/>
          <w:szCs w:val="24"/>
        </w:rPr>
        <w:t>está</w:t>
      </w:r>
      <w:r w:rsidRPr="00391271">
        <w:rPr>
          <w:rFonts w:ascii="Cambria" w:hAnsi="Cambria"/>
          <w:sz w:val="24"/>
          <w:szCs w:val="24"/>
        </w:rPr>
        <w:t xml:space="preserve"> promoviendo la creación de esta junta local especial. </w:t>
      </w:r>
    </w:p>
    <w:p w14:paraId="3BE46912" w14:textId="77777777" w:rsidR="00391271" w:rsidRPr="00391271" w:rsidRDefault="00391271" w:rsidP="00391271">
      <w:pPr>
        <w:pStyle w:val="ListParagraph"/>
        <w:jc w:val="both"/>
        <w:rPr>
          <w:rFonts w:ascii="Cambria" w:hAnsi="Cambria"/>
          <w:sz w:val="24"/>
          <w:szCs w:val="24"/>
        </w:rPr>
      </w:pPr>
    </w:p>
    <w:p w14:paraId="449FA7DD" w14:textId="77777777" w:rsidR="00391271" w:rsidRPr="00391271" w:rsidRDefault="00391271" w:rsidP="00391271">
      <w:pPr>
        <w:pStyle w:val="ListParagraph"/>
        <w:jc w:val="both"/>
        <w:rPr>
          <w:rFonts w:ascii="Cambria" w:hAnsi="Cambria"/>
          <w:sz w:val="24"/>
          <w:szCs w:val="24"/>
        </w:rPr>
      </w:pPr>
    </w:p>
    <w:p w14:paraId="3BF79856" w14:textId="77777777" w:rsidR="00391271" w:rsidRPr="00391271" w:rsidRDefault="00391271" w:rsidP="00391271">
      <w:pPr>
        <w:pStyle w:val="ListParagraph"/>
        <w:jc w:val="both"/>
        <w:rPr>
          <w:rFonts w:ascii="Cambria" w:hAnsi="Cambria"/>
          <w:sz w:val="24"/>
          <w:szCs w:val="24"/>
        </w:rPr>
      </w:pPr>
    </w:p>
    <w:p w14:paraId="249BE6EC" w14:textId="77777777" w:rsidR="00391271" w:rsidRPr="00391271" w:rsidRDefault="00391271" w:rsidP="00391271">
      <w:pPr>
        <w:ind w:left="360"/>
        <w:jc w:val="both"/>
        <w:rPr>
          <w:rFonts w:ascii="Cambria" w:hAnsi="Cambria"/>
          <w:b/>
          <w:bCs/>
          <w:sz w:val="24"/>
          <w:szCs w:val="24"/>
        </w:rPr>
      </w:pPr>
    </w:p>
    <w:p w14:paraId="11E74E08" w14:textId="77777777" w:rsidR="00391271" w:rsidRPr="00391271" w:rsidRDefault="00391271" w:rsidP="00391271">
      <w:pPr>
        <w:ind w:left="360"/>
        <w:jc w:val="both"/>
        <w:rPr>
          <w:rFonts w:ascii="Cambria" w:hAnsi="Cambria"/>
          <w:b/>
          <w:bCs/>
          <w:sz w:val="24"/>
          <w:szCs w:val="24"/>
        </w:rPr>
      </w:pPr>
      <w:r w:rsidRPr="00391271">
        <w:rPr>
          <w:rFonts w:ascii="Cambria" w:hAnsi="Cambria"/>
          <w:b/>
          <w:bCs/>
          <w:sz w:val="24"/>
          <w:szCs w:val="24"/>
        </w:rPr>
        <w:t>Educación (artículo 24 y recomendación 52)</w:t>
      </w:r>
    </w:p>
    <w:p w14:paraId="0585EDB5" w14:textId="1B9D72E2" w:rsidR="00E4226E" w:rsidRPr="003562CF" w:rsidRDefault="00D41EAE" w:rsidP="003562CF">
      <w:pPr>
        <w:pStyle w:val="ListParagraph"/>
        <w:numPr>
          <w:ilvl w:val="0"/>
          <w:numId w:val="3"/>
        </w:numPr>
        <w:spacing w:line="276" w:lineRule="auto"/>
        <w:jc w:val="both"/>
        <w:rPr>
          <w:rFonts w:ascii="Cambria" w:hAnsi="Cambria" w:cs="Times New Roman"/>
          <w:sz w:val="24"/>
          <w:szCs w:val="24"/>
          <w:lang w:val="es-MX"/>
        </w:rPr>
      </w:pPr>
      <w:r w:rsidRPr="0054719C">
        <w:rPr>
          <w:rFonts w:ascii="Cambria" w:hAnsi="Cambria" w:cs="Times New Roman"/>
          <w:sz w:val="24"/>
          <w:szCs w:val="24"/>
          <w:lang w:val="es-MX"/>
        </w:rPr>
        <w:t xml:space="preserve">Sobre </w:t>
      </w:r>
      <w:r w:rsidR="00134159" w:rsidRPr="0054719C">
        <w:rPr>
          <w:rFonts w:ascii="Cambria" w:hAnsi="Cambria" w:cs="Times New Roman"/>
          <w:sz w:val="24"/>
          <w:szCs w:val="24"/>
          <w:lang w:val="es-MX"/>
        </w:rPr>
        <w:t>lo indicado en el párrafo</w:t>
      </w:r>
      <w:r w:rsidRPr="0054719C">
        <w:rPr>
          <w:rFonts w:ascii="Cambria" w:hAnsi="Cambria" w:cs="Times New Roman"/>
          <w:sz w:val="24"/>
          <w:szCs w:val="24"/>
          <w:lang w:val="es-MX"/>
        </w:rPr>
        <w:t xml:space="preserve"> 119 del Informe, se debe diferenciar que instituciones de las mencionadas son puntualmente relacionadas con el aprendizaje de LESHO y Braille</w:t>
      </w:r>
      <w:r w:rsidR="00134159" w:rsidRPr="0054719C">
        <w:rPr>
          <w:rFonts w:ascii="Cambria" w:hAnsi="Cambria" w:cs="Times New Roman"/>
          <w:sz w:val="24"/>
          <w:szCs w:val="24"/>
          <w:lang w:val="es-MX"/>
        </w:rPr>
        <w:t>.</w:t>
      </w:r>
      <w:r w:rsidR="0054719C" w:rsidRPr="0054719C">
        <w:rPr>
          <w:rFonts w:ascii="Cambria" w:hAnsi="Cambria" w:cs="Times New Roman"/>
          <w:sz w:val="24"/>
          <w:szCs w:val="24"/>
          <w:lang w:val="es-MX"/>
        </w:rPr>
        <w:t xml:space="preserve"> Ya que de las instituciones indicadas en el Informe no todas brindan esta enseñanza. </w:t>
      </w:r>
    </w:p>
    <w:p w14:paraId="03A3D71B" w14:textId="183D61E7" w:rsidR="00391271" w:rsidRPr="00391271" w:rsidRDefault="00391271" w:rsidP="00391271">
      <w:pPr>
        <w:ind w:left="360"/>
        <w:jc w:val="both"/>
        <w:rPr>
          <w:rFonts w:ascii="Cambria" w:hAnsi="Cambria"/>
          <w:b/>
          <w:bCs/>
          <w:sz w:val="24"/>
          <w:szCs w:val="24"/>
        </w:rPr>
      </w:pPr>
      <w:r w:rsidRPr="00391271">
        <w:rPr>
          <w:rFonts w:ascii="Cambria" w:hAnsi="Cambria"/>
          <w:b/>
          <w:bCs/>
          <w:sz w:val="24"/>
          <w:szCs w:val="24"/>
          <w:lang w:eastAsia="es-HN"/>
        </w:rPr>
        <w:t>Habilitación y rehabilitación (artículo 26 y recomendación 56)</w:t>
      </w:r>
    </w:p>
    <w:p w14:paraId="3F7FE047" w14:textId="4A27DC7E"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En relación a lo informado en el párrafo 156 del Informe del Estado, solicitar a la Secretaría de Salud presentar datos estadísticos que acrediten la atención brindada en los servicios de rehabilitación que indican se están brindando.</w:t>
      </w:r>
      <w:r w:rsidR="003562CF">
        <w:rPr>
          <w:rFonts w:ascii="Cambria" w:hAnsi="Cambria"/>
          <w:sz w:val="24"/>
          <w:szCs w:val="24"/>
        </w:rPr>
        <w:t xml:space="preserve"> Además, información sobre el personal con el que se cuenta para brindar esta atención. </w:t>
      </w:r>
      <w:r w:rsidRPr="00391271">
        <w:rPr>
          <w:rFonts w:ascii="Cambria" w:hAnsi="Cambria"/>
          <w:sz w:val="24"/>
          <w:szCs w:val="24"/>
        </w:rPr>
        <w:t xml:space="preserve">  </w:t>
      </w:r>
    </w:p>
    <w:p w14:paraId="27CBE9D9" w14:textId="77777777"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 xml:space="preserve">En el párrafo 160 se menciona la Clínica de tratamiento del Síndrome de Descompresión en la Zona de la Mosquitia. ¿Qué acciones ha implementado el Gobierno para asumir los costos de atención a los misquitos afectados? </w:t>
      </w:r>
    </w:p>
    <w:p w14:paraId="54D6EC71" w14:textId="77777777"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 xml:space="preserve">Respecto a lo informado en el párrafo 165 ¿Qué mecanismos utiliza el Estado para atender a personas con discapacidad en movilidad humana, desplazados por violencia y que datos tiene al respecto? </w:t>
      </w:r>
    </w:p>
    <w:p w14:paraId="5439973F" w14:textId="77777777" w:rsidR="00391271" w:rsidRPr="00391271" w:rsidRDefault="00391271" w:rsidP="00391271">
      <w:pPr>
        <w:ind w:left="360"/>
        <w:jc w:val="both"/>
        <w:rPr>
          <w:rFonts w:ascii="Cambria" w:hAnsi="Cambria"/>
          <w:b/>
          <w:bCs/>
          <w:sz w:val="24"/>
          <w:szCs w:val="24"/>
        </w:rPr>
      </w:pPr>
      <w:r w:rsidRPr="00391271">
        <w:rPr>
          <w:rFonts w:ascii="Cambria" w:hAnsi="Cambria"/>
          <w:b/>
          <w:bCs/>
          <w:sz w:val="24"/>
          <w:szCs w:val="24"/>
        </w:rPr>
        <w:t>Trabajo y empleo (artículo 27 y recomendación 58)</w:t>
      </w:r>
    </w:p>
    <w:p w14:paraId="406C30D1" w14:textId="77777777"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 xml:space="preserve"> ¿Qué avances ha habido en la implementación de la Bolsa Virtual de Empleo para PcD? ¿Son los medios de accesibilidad virtual una opción viable para las PcD a nivel nacional</w:t>
      </w:r>
      <w:r w:rsidRPr="00391271">
        <w:rPr>
          <w:rStyle w:val="FootnoteReference"/>
          <w:rFonts w:ascii="Cambria" w:hAnsi="Cambria"/>
          <w:sz w:val="24"/>
          <w:szCs w:val="24"/>
        </w:rPr>
        <w:footnoteReference w:id="4"/>
      </w:r>
      <w:r w:rsidRPr="00391271">
        <w:rPr>
          <w:rFonts w:ascii="Cambria" w:hAnsi="Cambria"/>
          <w:sz w:val="24"/>
          <w:szCs w:val="24"/>
        </w:rPr>
        <w:t>?</w:t>
      </w:r>
    </w:p>
    <w:p w14:paraId="11998F1B" w14:textId="77777777" w:rsidR="00391271" w:rsidRPr="00391271" w:rsidRDefault="00391271" w:rsidP="00391271">
      <w:pPr>
        <w:ind w:left="360"/>
        <w:jc w:val="both"/>
        <w:rPr>
          <w:rFonts w:ascii="Cambria" w:hAnsi="Cambria"/>
          <w:b/>
          <w:bCs/>
          <w:sz w:val="24"/>
          <w:szCs w:val="24"/>
        </w:rPr>
      </w:pPr>
      <w:r w:rsidRPr="00391271">
        <w:rPr>
          <w:rFonts w:ascii="Cambria" w:hAnsi="Cambria"/>
          <w:b/>
          <w:bCs/>
          <w:sz w:val="24"/>
          <w:szCs w:val="24"/>
        </w:rPr>
        <w:t>Situación de las mujeres y niñas con discapacidad (artículo 6 y recomendaciones 16 y 44)</w:t>
      </w:r>
    </w:p>
    <w:p w14:paraId="2DF8C3D0" w14:textId="0D11728C" w:rsidR="00E4226E" w:rsidRPr="003562CF" w:rsidRDefault="00391271" w:rsidP="003562CF">
      <w:pPr>
        <w:pStyle w:val="ListParagraph"/>
        <w:numPr>
          <w:ilvl w:val="0"/>
          <w:numId w:val="3"/>
        </w:numPr>
        <w:jc w:val="both"/>
        <w:rPr>
          <w:rFonts w:ascii="Cambria" w:hAnsi="Cambria"/>
          <w:sz w:val="24"/>
          <w:szCs w:val="24"/>
        </w:rPr>
      </w:pPr>
      <w:r w:rsidRPr="00391271">
        <w:rPr>
          <w:rFonts w:ascii="Cambria" w:hAnsi="Cambria"/>
          <w:sz w:val="24"/>
          <w:szCs w:val="24"/>
        </w:rPr>
        <w:t xml:space="preserve">Sobre el II Plan de Igualdad y Equidad de Género, solicitar al Estado informar de manera desagregada las acciones implementadas para mejorar las condiciones de vida de mujeres y niñas con discapacidad. Así como los resultados obtenidos de las 14 mesas de diálogo mencionadas en el párrafo 209. </w:t>
      </w:r>
    </w:p>
    <w:p w14:paraId="4E2FA63E" w14:textId="77777777"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 xml:space="preserve">Consultar si con la aprobación de la Ley de Casas Refugio ¿Se atenderá la necesidad de protección de las mujeres con discapacidad víctimas de violencia? </w:t>
      </w:r>
    </w:p>
    <w:p w14:paraId="1BB6E068" w14:textId="6FA3A0D1" w:rsidR="00391271" w:rsidRDefault="00391271" w:rsidP="00E4226E">
      <w:pPr>
        <w:pStyle w:val="ListParagraph"/>
        <w:numPr>
          <w:ilvl w:val="0"/>
          <w:numId w:val="3"/>
        </w:numPr>
        <w:jc w:val="both"/>
        <w:rPr>
          <w:rFonts w:ascii="Cambria" w:hAnsi="Cambria"/>
          <w:sz w:val="24"/>
          <w:szCs w:val="24"/>
        </w:rPr>
      </w:pPr>
      <w:r w:rsidRPr="00391271">
        <w:rPr>
          <w:rFonts w:ascii="Cambria" w:hAnsi="Cambria"/>
          <w:sz w:val="24"/>
          <w:szCs w:val="24"/>
        </w:rPr>
        <w:t>En el párrafo 214 se hace mención sobre el Protocolo de Atención de Planificación Familiar. Al respecto, CONADEH ha tenido conocimiento de reportes de mujeres con discapacidad que son forzadas a f</w:t>
      </w:r>
      <w:r w:rsidR="003562CF">
        <w:rPr>
          <w:rFonts w:ascii="Cambria" w:hAnsi="Cambria"/>
          <w:sz w:val="24"/>
          <w:szCs w:val="24"/>
        </w:rPr>
        <w:t>i</w:t>
      </w:r>
      <w:r w:rsidRPr="00391271">
        <w:rPr>
          <w:rFonts w:ascii="Cambria" w:hAnsi="Cambria"/>
          <w:sz w:val="24"/>
          <w:szCs w:val="24"/>
        </w:rPr>
        <w:t xml:space="preserve">rmar consentimiento para ser esterilizadas. ¿Qué medidas está implementando el Estado para eliminar esta mala práctica que limita los derechos sexuales y reproductivos de las mujeres con discapacidad? </w:t>
      </w:r>
    </w:p>
    <w:p w14:paraId="2AE36BF0" w14:textId="71B0A097" w:rsidR="003562CF" w:rsidRDefault="003562CF" w:rsidP="003562CF">
      <w:pPr>
        <w:pStyle w:val="ListParagraph"/>
        <w:ind w:left="360"/>
        <w:jc w:val="both"/>
        <w:rPr>
          <w:rFonts w:ascii="Cambria" w:hAnsi="Cambria"/>
          <w:sz w:val="24"/>
          <w:szCs w:val="24"/>
        </w:rPr>
      </w:pPr>
    </w:p>
    <w:p w14:paraId="200DA8DC" w14:textId="4713B7E5" w:rsidR="003562CF" w:rsidRDefault="003562CF" w:rsidP="003562CF">
      <w:pPr>
        <w:pStyle w:val="ListParagraph"/>
        <w:ind w:left="360"/>
        <w:jc w:val="both"/>
        <w:rPr>
          <w:rFonts w:ascii="Cambria" w:hAnsi="Cambria"/>
          <w:sz w:val="24"/>
          <w:szCs w:val="24"/>
        </w:rPr>
      </w:pPr>
    </w:p>
    <w:p w14:paraId="5A8299F7" w14:textId="5F598766" w:rsidR="003562CF" w:rsidRDefault="003562CF" w:rsidP="003562CF">
      <w:pPr>
        <w:pStyle w:val="ListParagraph"/>
        <w:ind w:left="360"/>
        <w:jc w:val="both"/>
        <w:rPr>
          <w:rFonts w:ascii="Cambria" w:hAnsi="Cambria"/>
          <w:sz w:val="24"/>
          <w:szCs w:val="24"/>
        </w:rPr>
      </w:pPr>
    </w:p>
    <w:p w14:paraId="08AC38C3" w14:textId="77777777" w:rsidR="003562CF" w:rsidRPr="00E4226E" w:rsidRDefault="003562CF" w:rsidP="003562CF">
      <w:pPr>
        <w:pStyle w:val="ListParagraph"/>
        <w:ind w:left="360"/>
        <w:jc w:val="both"/>
        <w:rPr>
          <w:rFonts w:ascii="Cambria" w:hAnsi="Cambria"/>
          <w:sz w:val="24"/>
          <w:szCs w:val="24"/>
        </w:rPr>
      </w:pPr>
    </w:p>
    <w:p w14:paraId="0E83A449" w14:textId="702157D2"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Solicitar al Estado que evidencie la existencia de equipos de trabajo conformado por dos profesionales especialistas y capacitados que apoyan el consentimiento libre e informado de las personas con discapacidad intelectual ante una intervención médica.</w:t>
      </w:r>
    </w:p>
    <w:p w14:paraId="68E366DB" w14:textId="77777777" w:rsidR="00391271" w:rsidRPr="00391271" w:rsidRDefault="00391271" w:rsidP="00391271">
      <w:pPr>
        <w:ind w:firstLine="360"/>
        <w:jc w:val="both"/>
        <w:rPr>
          <w:rFonts w:ascii="Cambria" w:hAnsi="Cambria"/>
          <w:b/>
          <w:bCs/>
          <w:sz w:val="24"/>
          <w:szCs w:val="24"/>
          <w:lang w:eastAsia="es-HN"/>
        </w:rPr>
      </w:pPr>
      <w:r w:rsidRPr="00391271">
        <w:rPr>
          <w:rFonts w:ascii="Cambria" w:hAnsi="Cambria"/>
          <w:b/>
          <w:bCs/>
          <w:sz w:val="24"/>
          <w:szCs w:val="24"/>
          <w:lang w:eastAsia="es-HN"/>
        </w:rPr>
        <w:t>Sobre el Mecanismo Nacional de Derechos Humanos (recomendación 70)</w:t>
      </w:r>
    </w:p>
    <w:p w14:paraId="76EDC72E" w14:textId="77777777" w:rsidR="00391271" w:rsidRPr="00391271" w:rsidRDefault="00391271" w:rsidP="00391271">
      <w:pPr>
        <w:pStyle w:val="ListParagraph"/>
        <w:numPr>
          <w:ilvl w:val="0"/>
          <w:numId w:val="3"/>
        </w:numPr>
        <w:jc w:val="both"/>
        <w:rPr>
          <w:rFonts w:ascii="Cambria" w:hAnsi="Cambria"/>
          <w:sz w:val="24"/>
          <w:szCs w:val="24"/>
        </w:rPr>
      </w:pPr>
      <w:r w:rsidRPr="00391271">
        <w:rPr>
          <w:rFonts w:ascii="Cambria" w:hAnsi="Cambria"/>
          <w:sz w:val="24"/>
          <w:szCs w:val="24"/>
        </w:rPr>
        <w:t>Sobre el Mecanismo Nacional de Derechos Humanos, recomendación 70, párrafo 239, el Estado informa que CONADEH “es la institución nacional de derechos humanos con rango constitucional que ajusta a los Principios París, por tanto, es el mecanismo idóneo para asegurar la supervisión de la Convención”. Para lo cual solicitamos se le consulte al Estado que acciones ha realizado para garantizar que se le asignen fondos adicionales a CONADEH para la creación de dicho mecanismo.</w:t>
      </w:r>
    </w:p>
    <w:p w14:paraId="0BC59B2F" w14:textId="11829BE1" w:rsidR="008A5365" w:rsidRPr="00391271" w:rsidRDefault="008A5365" w:rsidP="00391271">
      <w:pPr>
        <w:jc w:val="both"/>
        <w:rPr>
          <w:rFonts w:ascii="Cambria" w:hAnsi="Cambria"/>
          <w:sz w:val="24"/>
          <w:szCs w:val="24"/>
        </w:rPr>
      </w:pPr>
    </w:p>
    <w:sectPr w:rsidR="008A5365" w:rsidRPr="00391271" w:rsidSect="00391271">
      <w:head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D4451" w14:textId="77777777" w:rsidR="00B4093B" w:rsidRDefault="00B4093B" w:rsidP="00391271">
      <w:pPr>
        <w:spacing w:after="0" w:line="240" w:lineRule="auto"/>
      </w:pPr>
      <w:r>
        <w:separator/>
      </w:r>
    </w:p>
  </w:endnote>
  <w:endnote w:type="continuationSeparator" w:id="0">
    <w:p w14:paraId="7BA33C94" w14:textId="77777777" w:rsidR="00B4093B" w:rsidRDefault="00B4093B" w:rsidP="00391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2755E8" w14:textId="77777777" w:rsidR="00B4093B" w:rsidRDefault="00B4093B" w:rsidP="00391271">
      <w:pPr>
        <w:spacing w:after="0" w:line="240" w:lineRule="auto"/>
      </w:pPr>
      <w:r>
        <w:separator/>
      </w:r>
    </w:p>
  </w:footnote>
  <w:footnote w:type="continuationSeparator" w:id="0">
    <w:p w14:paraId="6282A244" w14:textId="77777777" w:rsidR="00B4093B" w:rsidRDefault="00B4093B" w:rsidP="00391271">
      <w:pPr>
        <w:spacing w:after="0" w:line="240" w:lineRule="auto"/>
      </w:pPr>
      <w:r>
        <w:continuationSeparator/>
      </w:r>
    </w:p>
  </w:footnote>
  <w:footnote w:id="1">
    <w:p w14:paraId="4C1187FE" w14:textId="77777777" w:rsidR="00391271" w:rsidRPr="002715E7" w:rsidRDefault="00391271" w:rsidP="00391271">
      <w:pPr>
        <w:pStyle w:val="FootnoteText"/>
        <w:jc w:val="both"/>
        <w:rPr>
          <w:rFonts w:ascii="Cambria" w:hAnsi="Cambria"/>
          <w:lang w:val="es-ES"/>
        </w:rPr>
      </w:pPr>
      <w:r w:rsidRPr="002715E7">
        <w:rPr>
          <w:rStyle w:val="FootnoteReference"/>
          <w:rFonts w:ascii="Cambria" w:hAnsi="Cambria"/>
        </w:rPr>
        <w:footnoteRef/>
      </w:r>
      <w:r w:rsidRPr="002715E7">
        <w:rPr>
          <w:rFonts w:ascii="Cambria" w:hAnsi="Cambria"/>
        </w:rPr>
        <w:t xml:space="preserve"> </w:t>
      </w:r>
      <w:r w:rsidRPr="002715E7">
        <w:rPr>
          <w:rStyle w:val="Strong"/>
          <w:rFonts w:ascii="Cambria" w:hAnsi="Cambria"/>
          <w:color w:val="111111"/>
          <w:shd w:val="clear" w:color="auto" w:fill="FFFFFF"/>
        </w:rPr>
        <w:t>Clasificación Internacional del Funcionamiento, de la Discapacidad y de la Salud</w:t>
      </w:r>
      <w:r w:rsidRPr="002715E7">
        <w:rPr>
          <w:rFonts w:ascii="Cambria" w:hAnsi="Cambria"/>
          <w:b/>
          <w:bCs/>
          <w:color w:val="111111"/>
          <w:shd w:val="clear" w:color="auto" w:fill="FFFFFF"/>
        </w:rPr>
        <w:t> (CIF)</w:t>
      </w:r>
    </w:p>
  </w:footnote>
  <w:footnote w:id="2">
    <w:p w14:paraId="579AEFA4" w14:textId="77777777" w:rsidR="00391271" w:rsidRPr="002715E7" w:rsidRDefault="00391271" w:rsidP="00391271">
      <w:pPr>
        <w:pStyle w:val="FootnoteText"/>
        <w:jc w:val="both"/>
        <w:rPr>
          <w:rFonts w:ascii="Cambria" w:hAnsi="Cambria"/>
          <w:lang w:val="es-ES"/>
        </w:rPr>
      </w:pPr>
      <w:r w:rsidRPr="002715E7">
        <w:rPr>
          <w:rStyle w:val="FootnoteReference"/>
          <w:rFonts w:ascii="Cambria" w:hAnsi="Cambria"/>
        </w:rPr>
        <w:footnoteRef/>
      </w:r>
      <w:r w:rsidRPr="002715E7">
        <w:rPr>
          <w:rFonts w:ascii="Cambria" w:hAnsi="Cambria"/>
        </w:rPr>
        <w:t xml:space="preserve"> </w:t>
      </w:r>
      <w:r w:rsidRPr="002715E7">
        <w:rPr>
          <w:rFonts w:ascii="Cambria" w:eastAsia="Times New Roman" w:hAnsi="Cambria" w:cs="Times New Roman"/>
          <w:color w:val="000000"/>
        </w:rPr>
        <w:t>Contribución Escrita del Comisionado Nacional de los Derechos Humanos al Comité sobre Derechos de las Personas con Discapacidad, para observación general al art. 11 de la Convención sobre los Derechos de las Personas con Discapacidad</w:t>
      </w:r>
    </w:p>
  </w:footnote>
  <w:footnote w:id="3">
    <w:p w14:paraId="6DE854A5" w14:textId="77777777" w:rsidR="00391271" w:rsidRPr="002715E7" w:rsidRDefault="00391271" w:rsidP="00391271">
      <w:pPr>
        <w:pStyle w:val="FootnoteText"/>
        <w:jc w:val="both"/>
        <w:rPr>
          <w:lang w:val="es-ES"/>
        </w:rPr>
      </w:pPr>
      <w:r w:rsidRPr="002715E7">
        <w:rPr>
          <w:rStyle w:val="FootnoteReference"/>
          <w:rFonts w:ascii="Cambria" w:hAnsi="Cambria"/>
        </w:rPr>
        <w:footnoteRef/>
      </w:r>
      <w:r w:rsidRPr="002715E7">
        <w:rPr>
          <w:rFonts w:ascii="Cambria" w:hAnsi="Cambria"/>
        </w:rPr>
        <w:t xml:space="preserve"> Lenguaje de Señas Hondureña (LESHO)</w:t>
      </w:r>
    </w:p>
  </w:footnote>
  <w:footnote w:id="4">
    <w:p w14:paraId="050437A1" w14:textId="77777777" w:rsidR="00391271" w:rsidRPr="00265A14" w:rsidRDefault="00391271" w:rsidP="00391271">
      <w:pPr>
        <w:pStyle w:val="FootnoteText"/>
        <w:rPr>
          <w:rFonts w:ascii="Cambria" w:hAnsi="Cambria"/>
          <w:lang w:val="es-ES"/>
        </w:rPr>
      </w:pPr>
      <w:r>
        <w:rPr>
          <w:rStyle w:val="FootnoteReference"/>
        </w:rPr>
        <w:footnoteRef/>
      </w:r>
      <w:r>
        <w:t xml:space="preserve"> C</w:t>
      </w:r>
      <w:r>
        <w:rPr>
          <w:rFonts w:ascii="Cambria" w:hAnsi="Cambria"/>
          <w:lang w:val="es-ES"/>
        </w:rPr>
        <w:t xml:space="preserve">onforme a lo indicado en el párrafo 183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BB703" w14:textId="7805104F" w:rsidR="00391271" w:rsidRDefault="00391271" w:rsidP="00391271">
    <w:pPr>
      <w:pStyle w:val="Header"/>
      <w:tabs>
        <w:tab w:val="clear" w:pos="4252"/>
        <w:tab w:val="clear" w:pos="8504"/>
        <w:tab w:val="left" w:pos="6835"/>
      </w:tabs>
    </w:pPr>
    <w:r>
      <w:rPr>
        <w:noProof/>
        <w:lang w:val="en-GB" w:eastAsia="en-GB"/>
      </w:rPr>
      <w:drawing>
        <wp:anchor distT="0" distB="0" distL="0" distR="0" simplePos="0" relativeHeight="251659264" behindDoc="1" locked="0" layoutInCell="1" hidden="0" allowOverlap="1" wp14:anchorId="28B3FC31" wp14:editId="589FBFF5">
          <wp:simplePos x="0" y="0"/>
          <wp:positionH relativeFrom="page">
            <wp:align>right</wp:align>
          </wp:positionH>
          <wp:positionV relativeFrom="paragraph">
            <wp:posOffset>-451011</wp:posOffset>
          </wp:positionV>
          <wp:extent cx="7765576" cy="10435590"/>
          <wp:effectExtent l="0" t="0" r="6985" b="381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65576" cy="10435590"/>
                  </a:xfrm>
                  <a:prstGeom prst="rect">
                    <a:avLst/>
                  </a:prstGeom>
                  <a:ln/>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C2C9D"/>
    <w:multiLevelType w:val="hybridMultilevel"/>
    <w:tmpl w:val="3FE8FD50"/>
    <w:lvl w:ilvl="0" w:tplc="A410A5E2">
      <w:start w:val="1"/>
      <w:numFmt w:val="decimal"/>
      <w:lvlText w:val="%1."/>
      <w:lvlJc w:val="left"/>
      <w:pPr>
        <w:ind w:left="360" w:hanging="360"/>
      </w:pPr>
      <w:rPr>
        <w:b/>
        <w:bCs/>
      </w:rPr>
    </w:lvl>
    <w:lvl w:ilvl="1" w:tplc="480A0019" w:tentative="1">
      <w:start w:val="1"/>
      <w:numFmt w:val="lowerLetter"/>
      <w:lvlText w:val="%2."/>
      <w:lvlJc w:val="left"/>
      <w:pPr>
        <w:ind w:left="1080" w:hanging="360"/>
      </w:pPr>
    </w:lvl>
    <w:lvl w:ilvl="2" w:tplc="480A001B" w:tentative="1">
      <w:start w:val="1"/>
      <w:numFmt w:val="lowerRoman"/>
      <w:lvlText w:val="%3."/>
      <w:lvlJc w:val="right"/>
      <w:pPr>
        <w:ind w:left="1800" w:hanging="180"/>
      </w:pPr>
    </w:lvl>
    <w:lvl w:ilvl="3" w:tplc="480A000F" w:tentative="1">
      <w:start w:val="1"/>
      <w:numFmt w:val="decimal"/>
      <w:lvlText w:val="%4."/>
      <w:lvlJc w:val="left"/>
      <w:pPr>
        <w:ind w:left="2520" w:hanging="360"/>
      </w:pPr>
    </w:lvl>
    <w:lvl w:ilvl="4" w:tplc="480A0019" w:tentative="1">
      <w:start w:val="1"/>
      <w:numFmt w:val="lowerLetter"/>
      <w:lvlText w:val="%5."/>
      <w:lvlJc w:val="left"/>
      <w:pPr>
        <w:ind w:left="3240" w:hanging="360"/>
      </w:pPr>
    </w:lvl>
    <w:lvl w:ilvl="5" w:tplc="480A001B" w:tentative="1">
      <w:start w:val="1"/>
      <w:numFmt w:val="lowerRoman"/>
      <w:lvlText w:val="%6."/>
      <w:lvlJc w:val="right"/>
      <w:pPr>
        <w:ind w:left="3960" w:hanging="180"/>
      </w:pPr>
    </w:lvl>
    <w:lvl w:ilvl="6" w:tplc="480A000F" w:tentative="1">
      <w:start w:val="1"/>
      <w:numFmt w:val="decimal"/>
      <w:lvlText w:val="%7."/>
      <w:lvlJc w:val="left"/>
      <w:pPr>
        <w:ind w:left="4680" w:hanging="360"/>
      </w:pPr>
    </w:lvl>
    <w:lvl w:ilvl="7" w:tplc="480A0019" w:tentative="1">
      <w:start w:val="1"/>
      <w:numFmt w:val="lowerLetter"/>
      <w:lvlText w:val="%8."/>
      <w:lvlJc w:val="left"/>
      <w:pPr>
        <w:ind w:left="5400" w:hanging="360"/>
      </w:pPr>
    </w:lvl>
    <w:lvl w:ilvl="8" w:tplc="480A001B" w:tentative="1">
      <w:start w:val="1"/>
      <w:numFmt w:val="lowerRoman"/>
      <w:lvlText w:val="%9."/>
      <w:lvlJc w:val="right"/>
      <w:pPr>
        <w:ind w:left="6120" w:hanging="180"/>
      </w:pPr>
    </w:lvl>
  </w:abstractNum>
  <w:abstractNum w:abstractNumId="1" w15:restartNumberingAfterBreak="0">
    <w:nsid w:val="0D081AB5"/>
    <w:multiLevelType w:val="multilevel"/>
    <w:tmpl w:val="1A6845CC"/>
    <w:lvl w:ilvl="0">
      <w:start w:val="1"/>
      <w:numFmt w:val="upperRoman"/>
      <w:lvlText w:val="%1."/>
      <w:lvlJc w:val="right"/>
      <w:pPr>
        <w:ind w:left="720" w:hanging="360"/>
      </w:pPr>
      <w:rPr>
        <w:b/>
        <w:bCs/>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73E2D9E"/>
    <w:multiLevelType w:val="hybridMultilevel"/>
    <w:tmpl w:val="79BC8F54"/>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 w15:restartNumberingAfterBreak="0">
    <w:nsid w:val="5AEC5A86"/>
    <w:multiLevelType w:val="hybridMultilevel"/>
    <w:tmpl w:val="F3D26296"/>
    <w:lvl w:ilvl="0" w:tplc="480A000F">
      <w:start w:val="1"/>
      <w:numFmt w:val="decimal"/>
      <w:lvlText w:val="%1."/>
      <w:lvlJc w:val="left"/>
      <w:pPr>
        <w:ind w:left="360" w:hanging="360"/>
      </w:pPr>
      <w:rPr>
        <w:rFonts w:hint="default"/>
      </w:rPr>
    </w:lvl>
    <w:lvl w:ilvl="1" w:tplc="480A0019" w:tentative="1">
      <w:start w:val="1"/>
      <w:numFmt w:val="lowerLetter"/>
      <w:lvlText w:val="%2."/>
      <w:lvlJc w:val="left"/>
      <w:pPr>
        <w:ind w:left="1080" w:hanging="360"/>
      </w:pPr>
    </w:lvl>
    <w:lvl w:ilvl="2" w:tplc="480A001B" w:tentative="1">
      <w:start w:val="1"/>
      <w:numFmt w:val="lowerRoman"/>
      <w:lvlText w:val="%3."/>
      <w:lvlJc w:val="right"/>
      <w:pPr>
        <w:ind w:left="1800" w:hanging="180"/>
      </w:pPr>
    </w:lvl>
    <w:lvl w:ilvl="3" w:tplc="480A000F" w:tentative="1">
      <w:start w:val="1"/>
      <w:numFmt w:val="decimal"/>
      <w:lvlText w:val="%4."/>
      <w:lvlJc w:val="left"/>
      <w:pPr>
        <w:ind w:left="2520" w:hanging="360"/>
      </w:pPr>
    </w:lvl>
    <w:lvl w:ilvl="4" w:tplc="480A0019" w:tentative="1">
      <w:start w:val="1"/>
      <w:numFmt w:val="lowerLetter"/>
      <w:lvlText w:val="%5."/>
      <w:lvlJc w:val="left"/>
      <w:pPr>
        <w:ind w:left="3240" w:hanging="360"/>
      </w:pPr>
    </w:lvl>
    <w:lvl w:ilvl="5" w:tplc="480A001B" w:tentative="1">
      <w:start w:val="1"/>
      <w:numFmt w:val="lowerRoman"/>
      <w:lvlText w:val="%6."/>
      <w:lvlJc w:val="right"/>
      <w:pPr>
        <w:ind w:left="3960" w:hanging="180"/>
      </w:pPr>
    </w:lvl>
    <w:lvl w:ilvl="6" w:tplc="480A000F" w:tentative="1">
      <w:start w:val="1"/>
      <w:numFmt w:val="decimal"/>
      <w:lvlText w:val="%7."/>
      <w:lvlJc w:val="left"/>
      <w:pPr>
        <w:ind w:left="4680" w:hanging="360"/>
      </w:pPr>
    </w:lvl>
    <w:lvl w:ilvl="7" w:tplc="480A0019" w:tentative="1">
      <w:start w:val="1"/>
      <w:numFmt w:val="lowerLetter"/>
      <w:lvlText w:val="%8."/>
      <w:lvlJc w:val="left"/>
      <w:pPr>
        <w:ind w:left="5400" w:hanging="360"/>
      </w:pPr>
    </w:lvl>
    <w:lvl w:ilvl="8" w:tplc="480A001B" w:tentative="1">
      <w:start w:val="1"/>
      <w:numFmt w:val="lowerRoman"/>
      <w:lvlText w:val="%9."/>
      <w:lvlJc w:val="right"/>
      <w:pPr>
        <w:ind w:left="612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271"/>
    <w:rsid w:val="00134159"/>
    <w:rsid w:val="00166A55"/>
    <w:rsid w:val="003562CF"/>
    <w:rsid w:val="003654FF"/>
    <w:rsid w:val="00391271"/>
    <w:rsid w:val="0054719C"/>
    <w:rsid w:val="008A5365"/>
    <w:rsid w:val="008C29B0"/>
    <w:rsid w:val="009C414F"/>
    <w:rsid w:val="00B4093B"/>
    <w:rsid w:val="00C8673A"/>
    <w:rsid w:val="00D41EAE"/>
    <w:rsid w:val="00E4226E"/>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ECB959"/>
  <w15:chartTrackingRefBased/>
  <w15:docId w15:val="{E112E141-BC4D-4B31-8FA7-C82F488C6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271"/>
  </w:style>
  <w:style w:type="paragraph" w:styleId="Heading1">
    <w:name w:val="heading 1"/>
    <w:basedOn w:val="Normal"/>
    <w:next w:val="Normal"/>
    <w:link w:val="Heading1Char"/>
    <w:uiPriority w:val="9"/>
    <w:qFormat/>
    <w:rsid w:val="003912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27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91271"/>
    <w:pPr>
      <w:tabs>
        <w:tab w:val="center" w:pos="4252"/>
        <w:tab w:val="right" w:pos="8504"/>
      </w:tabs>
      <w:spacing w:after="0" w:line="240" w:lineRule="auto"/>
    </w:pPr>
  </w:style>
  <w:style w:type="character" w:customStyle="1" w:styleId="HeaderChar">
    <w:name w:val="Header Char"/>
    <w:basedOn w:val="DefaultParagraphFont"/>
    <w:link w:val="Header"/>
    <w:uiPriority w:val="99"/>
    <w:rsid w:val="00391271"/>
  </w:style>
  <w:style w:type="paragraph" w:styleId="Footer">
    <w:name w:val="footer"/>
    <w:basedOn w:val="Normal"/>
    <w:link w:val="FooterChar"/>
    <w:uiPriority w:val="99"/>
    <w:unhideWhenUsed/>
    <w:rsid w:val="00391271"/>
    <w:pPr>
      <w:tabs>
        <w:tab w:val="center" w:pos="4252"/>
        <w:tab w:val="right" w:pos="8504"/>
      </w:tabs>
      <w:spacing w:after="0" w:line="240" w:lineRule="auto"/>
    </w:pPr>
  </w:style>
  <w:style w:type="character" w:customStyle="1" w:styleId="FooterChar">
    <w:name w:val="Footer Char"/>
    <w:basedOn w:val="DefaultParagraphFont"/>
    <w:link w:val="Footer"/>
    <w:uiPriority w:val="99"/>
    <w:rsid w:val="00391271"/>
  </w:style>
  <w:style w:type="paragraph" w:styleId="ListParagraph">
    <w:name w:val="List Paragraph"/>
    <w:basedOn w:val="Normal"/>
    <w:uiPriority w:val="34"/>
    <w:qFormat/>
    <w:rsid w:val="00391271"/>
    <w:pPr>
      <w:ind w:left="720"/>
      <w:contextualSpacing/>
    </w:pPr>
  </w:style>
  <w:style w:type="paragraph" w:styleId="FootnoteText">
    <w:name w:val="footnote text"/>
    <w:basedOn w:val="Normal"/>
    <w:link w:val="FootnoteTextChar"/>
    <w:uiPriority w:val="99"/>
    <w:semiHidden/>
    <w:unhideWhenUsed/>
    <w:rsid w:val="003912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1271"/>
    <w:rPr>
      <w:sz w:val="20"/>
      <w:szCs w:val="20"/>
    </w:rPr>
  </w:style>
  <w:style w:type="character" w:styleId="FootnoteReference">
    <w:name w:val="footnote reference"/>
    <w:basedOn w:val="DefaultParagraphFont"/>
    <w:uiPriority w:val="99"/>
    <w:semiHidden/>
    <w:unhideWhenUsed/>
    <w:rsid w:val="00391271"/>
    <w:rPr>
      <w:vertAlign w:val="superscript"/>
    </w:rPr>
  </w:style>
  <w:style w:type="character" w:styleId="Strong">
    <w:name w:val="Strong"/>
    <w:basedOn w:val="DefaultParagraphFont"/>
    <w:uiPriority w:val="22"/>
    <w:qFormat/>
    <w:rsid w:val="003912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91ADC-DC98-47C0-B209-A67EF8871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1446</Words>
  <Characters>8246</Characters>
  <Application>Microsoft Office Word</Application>
  <DocSecurity>4</DocSecurity>
  <Lines>68</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José Galvez</dc:creator>
  <cp:keywords/>
  <dc:description/>
  <cp:lastModifiedBy>OUKO Robert</cp:lastModifiedBy>
  <cp:revision>2</cp:revision>
  <dcterms:created xsi:type="dcterms:W3CDTF">2023-03-08T14:12:00Z</dcterms:created>
  <dcterms:modified xsi:type="dcterms:W3CDTF">2023-03-08T14:12:00Z</dcterms:modified>
</cp:coreProperties>
</file>