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FAE43" w14:textId="77777777" w:rsidR="00223900" w:rsidRDefault="00223900" w:rsidP="005D03AD">
      <w:pPr>
        <w:pStyle w:val="Header"/>
        <w:tabs>
          <w:tab w:val="left" w:pos="720"/>
        </w:tabs>
        <w:ind w:left="-1418" w:right="-1370"/>
        <w:jc w:val="center"/>
        <w:rPr>
          <w:lang w:val="fr-CH"/>
        </w:rPr>
      </w:pPr>
      <w:bookmarkStart w:id="0" w:name="_GoBack"/>
      <w:bookmarkEnd w:id="0"/>
    </w:p>
    <w:p w14:paraId="397D2053" w14:textId="77777777" w:rsidR="00223900" w:rsidRDefault="00223900" w:rsidP="005D03AD">
      <w:pPr>
        <w:pStyle w:val="Header"/>
        <w:tabs>
          <w:tab w:val="left" w:pos="720"/>
        </w:tabs>
        <w:ind w:left="-1418" w:right="-1370"/>
        <w:jc w:val="center"/>
        <w:rPr>
          <w:lang w:val="fr-CH"/>
        </w:rPr>
      </w:pPr>
    </w:p>
    <w:p w14:paraId="104DDDC8" w14:textId="77777777" w:rsidR="00DD03C2" w:rsidRPr="005D03AD" w:rsidRDefault="00CE407E" w:rsidP="005D03AD">
      <w:pPr>
        <w:pStyle w:val="Header"/>
        <w:tabs>
          <w:tab w:val="left" w:pos="720"/>
        </w:tabs>
        <w:ind w:left="-1418" w:right="-1370"/>
        <w:jc w:val="center"/>
        <w:rPr>
          <w:lang w:val="fr-CH"/>
        </w:rPr>
      </w:pPr>
      <w:r w:rsidRPr="009A108C">
        <w:rPr>
          <w:rFonts w:ascii="Courier New" w:hAnsi="Courier New" w:cs="Courier New"/>
          <w:noProof/>
          <w:lang w:val="en-GB" w:eastAsia="en-GB"/>
        </w:rPr>
        <w:drawing>
          <wp:inline distT="0" distB="0" distL="0" distR="0" wp14:anchorId="47A21D06" wp14:editId="31405921">
            <wp:extent cx="1343025" cy="1095375"/>
            <wp:effectExtent l="0" t="0" r="0" b="9525"/>
            <wp:docPr id="1" name="Picture 2" descr="C:\Users\RLO-MASHREQ\Desktop\Logo-Alkarama2016_200px_trans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LO-MASHREQ\Desktop\Logo-Alkarama2016_200px_transp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1FC07" w14:textId="77777777" w:rsidR="0031260E" w:rsidRDefault="0031260E"/>
    <w:p w14:paraId="7C6E5F1F" w14:textId="77777777" w:rsidR="0031260E" w:rsidRDefault="0031260E"/>
    <w:p w14:paraId="31442C83" w14:textId="77777777" w:rsidR="0031260E" w:rsidRDefault="0031260E"/>
    <w:p w14:paraId="1F6C67FF" w14:textId="77777777" w:rsidR="00E539D8" w:rsidRDefault="00E539D8"/>
    <w:p w14:paraId="1CDE6347" w14:textId="77777777" w:rsidR="00E539D8" w:rsidRDefault="00E539D8"/>
    <w:p w14:paraId="1A9352C4" w14:textId="77777777" w:rsidR="00E539D8" w:rsidRDefault="00E539D8"/>
    <w:p w14:paraId="20DAF6FB" w14:textId="77777777" w:rsidR="0031260E" w:rsidRDefault="0031260E"/>
    <w:p w14:paraId="0B41C37E" w14:textId="77777777" w:rsidR="00E539D8" w:rsidRPr="00E539D8" w:rsidRDefault="00DB2B5C" w:rsidP="00DB2B5C">
      <w:pPr>
        <w:jc w:val="center"/>
        <w:rPr>
          <w:b/>
          <w:bCs/>
          <w:sz w:val="40"/>
          <w:lang w:val="en-US"/>
        </w:rPr>
      </w:pPr>
      <w:r>
        <w:rPr>
          <w:b/>
          <w:bCs/>
          <w:sz w:val="40"/>
          <w:lang w:val="en-US"/>
        </w:rPr>
        <w:t>KUWAIT</w:t>
      </w:r>
    </w:p>
    <w:p w14:paraId="74F5771C" w14:textId="77777777" w:rsidR="0031260E" w:rsidRPr="00F5746D" w:rsidRDefault="0031260E" w:rsidP="0031260E">
      <w:pPr>
        <w:jc w:val="center"/>
        <w:rPr>
          <w:b/>
          <w:bCs/>
          <w:sz w:val="28"/>
          <w:lang w:val="en-US"/>
        </w:rPr>
      </w:pPr>
    </w:p>
    <w:p w14:paraId="07E7722C" w14:textId="77777777" w:rsidR="0031260E" w:rsidRPr="00F5746D" w:rsidRDefault="0031260E" w:rsidP="0031260E">
      <w:pPr>
        <w:jc w:val="center"/>
        <w:rPr>
          <w:b/>
          <w:bCs/>
          <w:sz w:val="28"/>
          <w:lang w:val="en-US"/>
        </w:rPr>
      </w:pPr>
    </w:p>
    <w:p w14:paraId="5513C558" w14:textId="77777777" w:rsidR="00C3036C" w:rsidRDefault="00C3036C" w:rsidP="0031260E">
      <w:pPr>
        <w:jc w:val="center"/>
        <w:rPr>
          <w:b/>
          <w:bCs/>
          <w:sz w:val="28"/>
          <w:lang w:val="en-US"/>
        </w:rPr>
      </w:pPr>
    </w:p>
    <w:p w14:paraId="7286A61F" w14:textId="77777777" w:rsidR="00E539D8" w:rsidRDefault="00E539D8" w:rsidP="00DB2B5C">
      <w:pPr>
        <w:ind w:left="708"/>
        <w:jc w:val="lowKashida"/>
        <w:rPr>
          <w:b/>
          <w:bCs/>
          <w:sz w:val="28"/>
          <w:lang w:val="en-US"/>
        </w:rPr>
      </w:pPr>
    </w:p>
    <w:p w14:paraId="329FD558" w14:textId="77777777" w:rsidR="00E539D8" w:rsidRPr="00F5746D" w:rsidRDefault="00DB2B5C" w:rsidP="00DB2B5C">
      <w:pPr>
        <w:jc w:val="lowKashida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Follow-up to the Committee against Torture’s recommendations</w:t>
      </w:r>
    </w:p>
    <w:p w14:paraId="38C861F8" w14:textId="77777777" w:rsidR="0031260E" w:rsidRDefault="0031260E" w:rsidP="0031260E">
      <w:pPr>
        <w:jc w:val="center"/>
        <w:rPr>
          <w:b/>
          <w:bCs/>
          <w:sz w:val="28"/>
          <w:lang w:val="en-US"/>
        </w:rPr>
      </w:pPr>
    </w:p>
    <w:p w14:paraId="7A632821" w14:textId="77777777" w:rsidR="00E539D8" w:rsidRDefault="00E539D8" w:rsidP="0031260E">
      <w:pPr>
        <w:jc w:val="center"/>
        <w:rPr>
          <w:b/>
          <w:bCs/>
          <w:sz w:val="28"/>
          <w:lang w:val="en-US"/>
        </w:rPr>
      </w:pPr>
    </w:p>
    <w:p w14:paraId="49076D4D" w14:textId="77777777" w:rsidR="00E539D8" w:rsidRDefault="00E539D8" w:rsidP="0031260E">
      <w:pPr>
        <w:jc w:val="center"/>
        <w:rPr>
          <w:b/>
          <w:bCs/>
          <w:sz w:val="28"/>
          <w:lang w:val="en-US"/>
        </w:rPr>
      </w:pPr>
    </w:p>
    <w:p w14:paraId="3CF911CB" w14:textId="77777777" w:rsidR="00E539D8" w:rsidRPr="00F5746D" w:rsidRDefault="00E539D8" w:rsidP="0031260E">
      <w:pPr>
        <w:jc w:val="center"/>
        <w:rPr>
          <w:b/>
          <w:bCs/>
          <w:sz w:val="28"/>
          <w:lang w:val="en-US"/>
        </w:rPr>
      </w:pPr>
    </w:p>
    <w:p w14:paraId="3A2C6506" w14:textId="1BCB30A6" w:rsidR="00E539D8" w:rsidRPr="00E63550" w:rsidRDefault="00E63550" w:rsidP="00A447BC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lang w:val="en-US"/>
        </w:rPr>
        <w:t xml:space="preserve"> </w:t>
      </w:r>
      <w:r w:rsidRPr="00E63550">
        <w:rPr>
          <w:b/>
          <w:bCs/>
          <w:sz w:val="24"/>
          <w:szCs w:val="24"/>
          <w:lang w:val="en-US"/>
        </w:rPr>
        <w:t xml:space="preserve">Alkarama Foundation – </w:t>
      </w:r>
      <w:r w:rsidR="00A447BC">
        <w:rPr>
          <w:b/>
          <w:bCs/>
          <w:sz w:val="24"/>
          <w:szCs w:val="24"/>
          <w:lang w:val="en-US"/>
        </w:rPr>
        <w:t>23</w:t>
      </w:r>
      <w:r w:rsidR="00A447BC" w:rsidRPr="00E63550">
        <w:rPr>
          <w:b/>
          <w:bCs/>
          <w:sz w:val="24"/>
          <w:szCs w:val="24"/>
          <w:lang w:val="en-US"/>
        </w:rPr>
        <w:t xml:space="preserve"> </w:t>
      </w:r>
      <w:r w:rsidR="00036102">
        <w:rPr>
          <w:b/>
          <w:bCs/>
          <w:sz w:val="24"/>
          <w:szCs w:val="24"/>
          <w:lang w:val="en-US"/>
        </w:rPr>
        <w:t>June</w:t>
      </w:r>
      <w:r w:rsidR="0031260E" w:rsidRPr="00E63550">
        <w:rPr>
          <w:b/>
          <w:bCs/>
          <w:sz w:val="24"/>
          <w:szCs w:val="24"/>
          <w:lang w:val="en-US"/>
        </w:rPr>
        <w:t xml:space="preserve"> </w:t>
      </w:r>
      <w:r w:rsidR="00036102">
        <w:rPr>
          <w:b/>
          <w:bCs/>
          <w:sz w:val="24"/>
          <w:szCs w:val="24"/>
          <w:lang w:val="en-US"/>
        </w:rPr>
        <w:t>2017</w:t>
      </w:r>
    </w:p>
    <w:p w14:paraId="542C6D92" w14:textId="77777777" w:rsidR="007B2E81" w:rsidRDefault="007B2E81" w:rsidP="0031260E">
      <w:pPr>
        <w:jc w:val="center"/>
        <w:rPr>
          <w:b/>
          <w:bCs/>
          <w:lang w:val="en-US"/>
        </w:rPr>
      </w:pPr>
    </w:p>
    <w:p w14:paraId="476C1411" w14:textId="6A759391" w:rsidR="00636331" w:rsidRDefault="00636331" w:rsidP="00C806C3">
      <w:pPr>
        <w:rPr>
          <w:lang w:val="en-US"/>
        </w:rPr>
      </w:pPr>
    </w:p>
    <w:p w14:paraId="354E6950" w14:textId="77777777" w:rsidR="00636331" w:rsidRDefault="00636331" w:rsidP="00C806C3">
      <w:pPr>
        <w:rPr>
          <w:lang w:val="en-US"/>
        </w:rPr>
      </w:pPr>
    </w:p>
    <w:p w14:paraId="2AD5EF16" w14:textId="77777777" w:rsidR="00636331" w:rsidRDefault="00636331" w:rsidP="00C806C3">
      <w:pPr>
        <w:rPr>
          <w:lang w:val="en-US"/>
        </w:rPr>
      </w:pPr>
    </w:p>
    <w:p w14:paraId="45BE4147" w14:textId="77777777" w:rsidR="00636331" w:rsidRDefault="00636331" w:rsidP="00C806C3">
      <w:pPr>
        <w:rPr>
          <w:lang w:val="en-US"/>
        </w:rPr>
      </w:pPr>
    </w:p>
    <w:p w14:paraId="47EFF867" w14:textId="77777777" w:rsidR="00636331" w:rsidRDefault="00636331" w:rsidP="00C806C3">
      <w:pPr>
        <w:rPr>
          <w:lang w:val="en-US"/>
        </w:rPr>
      </w:pPr>
    </w:p>
    <w:p w14:paraId="3FA3D8D8" w14:textId="77777777" w:rsidR="00636331" w:rsidRDefault="00636331" w:rsidP="00C806C3">
      <w:pPr>
        <w:rPr>
          <w:lang w:val="en-US"/>
        </w:rPr>
      </w:pPr>
    </w:p>
    <w:p w14:paraId="6925A160" w14:textId="77777777" w:rsidR="00636331" w:rsidRDefault="00636331" w:rsidP="00C806C3">
      <w:pPr>
        <w:rPr>
          <w:lang w:val="en-US"/>
        </w:rPr>
      </w:pPr>
    </w:p>
    <w:p w14:paraId="656ACD86" w14:textId="77777777" w:rsidR="00636331" w:rsidRDefault="00636331" w:rsidP="00C806C3">
      <w:pPr>
        <w:rPr>
          <w:lang w:val="en-US"/>
        </w:rPr>
      </w:pPr>
    </w:p>
    <w:p w14:paraId="531E5A35" w14:textId="77777777" w:rsidR="00636331" w:rsidRDefault="00636331" w:rsidP="00C806C3">
      <w:pPr>
        <w:rPr>
          <w:lang w:val="en-US"/>
        </w:rPr>
      </w:pPr>
    </w:p>
    <w:p w14:paraId="2FD27540" w14:textId="77777777" w:rsidR="00636331" w:rsidRDefault="00636331" w:rsidP="00C806C3">
      <w:pPr>
        <w:rPr>
          <w:lang w:val="en-US"/>
        </w:rPr>
      </w:pPr>
    </w:p>
    <w:p w14:paraId="1AFF7651" w14:textId="77777777" w:rsidR="00636331" w:rsidRDefault="00636331" w:rsidP="00C806C3">
      <w:pPr>
        <w:rPr>
          <w:lang w:val="en-US"/>
        </w:rPr>
      </w:pPr>
    </w:p>
    <w:p w14:paraId="4626B0C2" w14:textId="77777777" w:rsidR="00636331" w:rsidRDefault="00636331" w:rsidP="00C806C3">
      <w:pPr>
        <w:rPr>
          <w:lang w:val="en-US"/>
        </w:rPr>
      </w:pPr>
    </w:p>
    <w:p w14:paraId="684FCF7F" w14:textId="77777777" w:rsidR="00636331" w:rsidRDefault="00636331" w:rsidP="00C806C3">
      <w:pPr>
        <w:rPr>
          <w:lang w:val="en-US"/>
        </w:rPr>
      </w:pPr>
    </w:p>
    <w:p w14:paraId="2C41AADE" w14:textId="77777777" w:rsidR="00636331" w:rsidRDefault="00636331" w:rsidP="00C806C3">
      <w:pPr>
        <w:rPr>
          <w:lang w:val="en-US"/>
        </w:rPr>
      </w:pPr>
    </w:p>
    <w:p w14:paraId="27A61AA9" w14:textId="77777777" w:rsidR="00636331" w:rsidRDefault="00636331" w:rsidP="00C806C3">
      <w:pPr>
        <w:rPr>
          <w:lang w:val="en-US"/>
        </w:rPr>
      </w:pPr>
    </w:p>
    <w:p w14:paraId="49123794" w14:textId="77777777" w:rsidR="00636331" w:rsidRDefault="00636331" w:rsidP="00C806C3">
      <w:pPr>
        <w:rPr>
          <w:lang w:val="en-US"/>
        </w:rPr>
      </w:pPr>
    </w:p>
    <w:p w14:paraId="4F87C99C" w14:textId="77777777" w:rsidR="00636331" w:rsidRDefault="00636331" w:rsidP="00C806C3">
      <w:pPr>
        <w:rPr>
          <w:lang w:val="en-US"/>
        </w:rPr>
      </w:pPr>
    </w:p>
    <w:p w14:paraId="30569E7F" w14:textId="77777777" w:rsidR="00636331" w:rsidRDefault="00636331" w:rsidP="00C806C3">
      <w:pPr>
        <w:rPr>
          <w:lang w:val="en-US"/>
        </w:rPr>
      </w:pPr>
    </w:p>
    <w:p w14:paraId="5BDCB99C" w14:textId="77777777" w:rsidR="00636331" w:rsidRDefault="00636331" w:rsidP="00C806C3">
      <w:pPr>
        <w:rPr>
          <w:lang w:val="en-US"/>
        </w:rPr>
      </w:pPr>
    </w:p>
    <w:p w14:paraId="64EC3236" w14:textId="77777777" w:rsidR="00636331" w:rsidRDefault="00636331" w:rsidP="00C806C3">
      <w:pPr>
        <w:rPr>
          <w:lang w:val="en-US"/>
        </w:rPr>
      </w:pPr>
    </w:p>
    <w:p w14:paraId="34D1718E" w14:textId="77777777" w:rsidR="00636331" w:rsidRDefault="00636331" w:rsidP="00C806C3">
      <w:pPr>
        <w:rPr>
          <w:lang w:val="en-US"/>
        </w:rPr>
      </w:pPr>
    </w:p>
    <w:p w14:paraId="0E057D3B" w14:textId="77777777" w:rsidR="00636331" w:rsidRDefault="00636331" w:rsidP="00C806C3">
      <w:pPr>
        <w:rPr>
          <w:lang w:val="en-US"/>
        </w:rPr>
      </w:pPr>
    </w:p>
    <w:p w14:paraId="18C7F552" w14:textId="77777777" w:rsidR="00636331" w:rsidRPr="00C806C3" w:rsidRDefault="00636331" w:rsidP="00C806C3">
      <w:pPr>
        <w:rPr>
          <w:lang w:val="en-US"/>
        </w:rPr>
      </w:pPr>
    </w:p>
    <w:p w14:paraId="56DC90D2" w14:textId="77777777" w:rsidR="0031260E" w:rsidRPr="00CD72C7" w:rsidRDefault="00DB2B5C" w:rsidP="00990ABE">
      <w:pPr>
        <w:pStyle w:val="Heading1"/>
      </w:pPr>
      <w:bookmarkStart w:id="1" w:name="_Toc485744486"/>
      <w:r>
        <w:lastRenderedPageBreak/>
        <w:t>Introduction</w:t>
      </w:r>
      <w:bookmarkEnd w:id="1"/>
    </w:p>
    <w:p w14:paraId="66AC9C95" w14:textId="77777777" w:rsidR="00742D61" w:rsidRPr="00D112C4" w:rsidRDefault="00742D61" w:rsidP="00742D61">
      <w:pPr>
        <w:rPr>
          <w:lang w:val="en-US"/>
        </w:rPr>
      </w:pPr>
    </w:p>
    <w:p w14:paraId="225699E1" w14:textId="479739C3" w:rsidR="00742D61" w:rsidRPr="00DB2B5C" w:rsidRDefault="00187410" w:rsidP="00A74B72">
      <w:pPr>
        <w:rPr>
          <w:lang w:val="en-US" w:eastAsia="fr-FR"/>
        </w:rPr>
      </w:pPr>
      <w:r>
        <w:rPr>
          <w:lang w:val="en-US" w:eastAsia="fr-FR"/>
        </w:rPr>
        <w:t>In its Concluding O</w:t>
      </w:r>
      <w:r w:rsidR="00DB2B5C" w:rsidRPr="00DB2B5C">
        <w:rPr>
          <w:lang w:val="en-US" w:eastAsia="fr-FR"/>
        </w:rPr>
        <w:t xml:space="preserve">bservations to Kuwait’s </w:t>
      </w:r>
      <w:r w:rsidR="00DB2B5C">
        <w:rPr>
          <w:lang w:val="en-US" w:eastAsia="fr-FR"/>
        </w:rPr>
        <w:t xml:space="preserve">third periodic review, </w:t>
      </w:r>
      <w:r>
        <w:rPr>
          <w:lang w:val="en-US" w:eastAsia="fr-FR"/>
        </w:rPr>
        <w:t xml:space="preserve">the Committee against Torture (CAT) highlighted four priority recommendations namely the public condemnation of the use of torture and ill-treatment, conditions of detention, the imposition of the death penalty, and migrant workers. The Committee requested the </w:t>
      </w:r>
      <w:r w:rsidR="00787FAF">
        <w:rPr>
          <w:lang w:val="en-US" w:eastAsia="fr-FR"/>
        </w:rPr>
        <w:t>S</w:t>
      </w:r>
      <w:r>
        <w:rPr>
          <w:lang w:val="en-US" w:eastAsia="fr-FR"/>
        </w:rPr>
        <w:t xml:space="preserve">tate party to provide follow-up information on the implementation of these recommendations </w:t>
      </w:r>
      <w:r w:rsidR="00A55FD8">
        <w:rPr>
          <w:lang w:val="en-US" w:eastAsia="fr-FR"/>
        </w:rPr>
        <w:t>by 12 August 2017</w:t>
      </w:r>
      <w:r w:rsidR="00195E51">
        <w:rPr>
          <w:lang w:val="en-US" w:eastAsia="fr-FR"/>
        </w:rPr>
        <w:t>. The following report will address those recommendations that fall withi</w:t>
      </w:r>
      <w:r w:rsidR="00A74B72">
        <w:rPr>
          <w:lang w:val="en-US" w:eastAsia="fr-FR"/>
        </w:rPr>
        <w:t>n the mandate of Alkarama and on</w:t>
      </w:r>
      <w:r w:rsidR="00195E51">
        <w:rPr>
          <w:lang w:val="en-US" w:eastAsia="fr-FR"/>
        </w:rPr>
        <w:t xml:space="preserve"> which </w:t>
      </w:r>
      <w:r w:rsidR="00A74B72">
        <w:rPr>
          <w:lang w:val="en-US" w:eastAsia="fr-FR"/>
        </w:rPr>
        <w:t>our</w:t>
      </w:r>
      <w:r w:rsidR="00C264FC">
        <w:rPr>
          <w:lang w:val="en-US" w:eastAsia="fr-FR"/>
        </w:rPr>
        <w:t xml:space="preserve"> </w:t>
      </w:r>
      <w:proofErr w:type="spellStart"/>
      <w:r w:rsidR="00C264FC">
        <w:rPr>
          <w:lang w:val="en-US" w:eastAsia="fr-FR"/>
        </w:rPr>
        <w:t>organisation</w:t>
      </w:r>
      <w:proofErr w:type="spellEnd"/>
      <w:r w:rsidR="00195E51">
        <w:rPr>
          <w:lang w:val="en-US" w:eastAsia="fr-FR"/>
        </w:rPr>
        <w:t xml:space="preserve"> can provide accurate </w:t>
      </w:r>
      <w:r w:rsidR="00036102">
        <w:rPr>
          <w:lang w:val="en-US" w:eastAsia="fr-FR"/>
        </w:rPr>
        <w:t>information</w:t>
      </w:r>
      <w:r w:rsidR="00195E51">
        <w:rPr>
          <w:lang w:val="en-US" w:eastAsia="fr-FR"/>
        </w:rPr>
        <w:t>.</w:t>
      </w:r>
    </w:p>
    <w:p w14:paraId="6F59FF3D" w14:textId="77777777" w:rsidR="00742D61" w:rsidRPr="00DB2B5C" w:rsidRDefault="00742D61" w:rsidP="00742D61">
      <w:pPr>
        <w:rPr>
          <w:lang w:val="en-US"/>
        </w:rPr>
      </w:pPr>
    </w:p>
    <w:p w14:paraId="6AA1B155" w14:textId="77777777" w:rsidR="00742D61" w:rsidRPr="001377A0" w:rsidRDefault="00DB2B5C" w:rsidP="00DB2B5C">
      <w:pPr>
        <w:pStyle w:val="Heading1"/>
      </w:pPr>
      <w:bookmarkStart w:id="2" w:name="_Toc485744487"/>
      <w:r w:rsidRPr="00DB2B5C">
        <w:t>Torture and ill-treatment</w:t>
      </w:r>
      <w:bookmarkEnd w:id="2"/>
    </w:p>
    <w:p w14:paraId="581CF28D" w14:textId="77777777" w:rsidR="001377A0" w:rsidRPr="00E270D0" w:rsidRDefault="001377A0" w:rsidP="001377A0">
      <w:pPr>
        <w:rPr>
          <w:lang w:eastAsia="fr-FR"/>
        </w:rPr>
      </w:pPr>
    </w:p>
    <w:p w14:paraId="699201E8" w14:textId="6E61F41B" w:rsidR="001377A0" w:rsidRDefault="00195E51" w:rsidP="0096312A">
      <w:pPr>
        <w:rPr>
          <w:i/>
          <w:iCs/>
          <w:lang w:val="en-US" w:eastAsia="fr-FR"/>
        </w:rPr>
      </w:pPr>
      <w:r w:rsidRPr="00195E51">
        <w:rPr>
          <w:i/>
          <w:iCs/>
          <w:lang w:val="en-US" w:eastAsia="fr-FR"/>
        </w:rPr>
        <w:t xml:space="preserve">Publicly condemn the use of torture and ill-treatment with the clear message by the highest </w:t>
      </w:r>
      <w:r w:rsidR="00787FAF">
        <w:rPr>
          <w:i/>
          <w:iCs/>
          <w:lang w:val="en-US" w:eastAsia="fr-FR"/>
        </w:rPr>
        <w:t>S</w:t>
      </w:r>
      <w:r w:rsidRPr="00195E51">
        <w:rPr>
          <w:i/>
          <w:iCs/>
          <w:lang w:val="en-US" w:eastAsia="fr-FR"/>
        </w:rPr>
        <w:t xml:space="preserve">tate authority that it </w:t>
      </w:r>
      <w:r w:rsidR="00786279">
        <w:rPr>
          <w:i/>
          <w:iCs/>
          <w:lang w:val="en-US" w:eastAsia="fr-FR"/>
        </w:rPr>
        <w:t>will not be tolerated and that t</w:t>
      </w:r>
      <w:r w:rsidRPr="00195E51">
        <w:rPr>
          <w:i/>
          <w:iCs/>
          <w:lang w:val="en-US" w:eastAsia="fr-FR"/>
        </w:rPr>
        <w:t>hose responsible will be held accountable.</w:t>
      </w:r>
    </w:p>
    <w:p w14:paraId="216016B2" w14:textId="77777777" w:rsidR="00BF42B6" w:rsidRDefault="00BF42B6" w:rsidP="0096312A">
      <w:pPr>
        <w:rPr>
          <w:i/>
          <w:iCs/>
          <w:lang w:val="en-US" w:eastAsia="fr-FR"/>
        </w:rPr>
      </w:pPr>
    </w:p>
    <w:p w14:paraId="62EFD2FA" w14:textId="63CD2512" w:rsidR="00BF42B6" w:rsidRPr="007D510C" w:rsidRDefault="00A5234F" w:rsidP="00A74B72">
      <w:pPr>
        <w:rPr>
          <w:lang w:val="en-US" w:eastAsia="fr-FR" w:bidi="ar-LB"/>
        </w:rPr>
      </w:pPr>
      <w:r>
        <w:rPr>
          <w:lang w:val="en-US" w:eastAsia="fr-FR"/>
        </w:rPr>
        <w:t xml:space="preserve">In its response to the Committee’s recommendation, the </w:t>
      </w:r>
      <w:r w:rsidR="00787FAF">
        <w:rPr>
          <w:lang w:val="en-US" w:eastAsia="fr-FR"/>
        </w:rPr>
        <w:t>S</w:t>
      </w:r>
      <w:r>
        <w:rPr>
          <w:lang w:val="en-US" w:eastAsia="fr-FR"/>
        </w:rPr>
        <w:t xml:space="preserve">tate party reiterated the fact that the Constitution as well as various unrelated provisions within Kuwaiti national legislation </w:t>
      </w:r>
      <w:proofErr w:type="gramStart"/>
      <w:r>
        <w:rPr>
          <w:lang w:val="en-US" w:eastAsia="fr-FR"/>
        </w:rPr>
        <w:t>prohibit</w:t>
      </w:r>
      <w:proofErr w:type="gramEnd"/>
      <w:r>
        <w:rPr>
          <w:lang w:val="en-US" w:eastAsia="fr-FR"/>
        </w:rPr>
        <w:t xml:space="preserve"> acts that amount to torture</w:t>
      </w:r>
      <w:r w:rsidR="00A74B72">
        <w:rPr>
          <w:lang w:val="en-US" w:eastAsia="fr-FR"/>
        </w:rPr>
        <w:t>.</w:t>
      </w:r>
      <w:r w:rsidR="008E2682">
        <w:rPr>
          <w:rStyle w:val="FootnoteReference"/>
          <w:lang w:val="en-US" w:eastAsia="fr-FR"/>
        </w:rPr>
        <w:footnoteReference w:id="2"/>
      </w:r>
      <w:r>
        <w:rPr>
          <w:lang w:val="en-US" w:eastAsia="fr-FR"/>
        </w:rPr>
        <w:t xml:space="preserve"> </w:t>
      </w:r>
      <w:r w:rsidR="00786279">
        <w:rPr>
          <w:lang w:val="en-US" w:eastAsia="fr-FR"/>
        </w:rPr>
        <w:t>However, these provisions do not unequivocally prohibit torture as they refer to acts</w:t>
      </w:r>
      <w:r w:rsidR="008E2682">
        <w:rPr>
          <w:lang w:val="en-US" w:eastAsia="fr-FR"/>
        </w:rPr>
        <w:t xml:space="preserve"> that could amount to torture</w:t>
      </w:r>
      <w:r w:rsidR="00786279">
        <w:rPr>
          <w:lang w:val="en-US" w:eastAsia="fr-FR"/>
        </w:rPr>
        <w:t xml:space="preserve"> such as assault and battery or abuse of power. Furthermore, </w:t>
      </w:r>
      <w:r w:rsidR="008E2682">
        <w:rPr>
          <w:lang w:val="en-US" w:eastAsia="fr-FR"/>
        </w:rPr>
        <w:t>in its response, t</w:t>
      </w:r>
      <w:r>
        <w:rPr>
          <w:lang w:val="en-US" w:eastAsia="fr-FR"/>
        </w:rPr>
        <w:t xml:space="preserve">he </w:t>
      </w:r>
      <w:r w:rsidR="00787FAF">
        <w:rPr>
          <w:lang w:val="en-US" w:eastAsia="fr-FR"/>
        </w:rPr>
        <w:t>S</w:t>
      </w:r>
      <w:r>
        <w:rPr>
          <w:lang w:val="en-US" w:eastAsia="fr-FR"/>
        </w:rPr>
        <w:t xml:space="preserve">tate briefly mentioned </w:t>
      </w:r>
      <w:r w:rsidR="008E2682">
        <w:rPr>
          <w:lang w:val="en-US" w:eastAsia="fr-FR"/>
        </w:rPr>
        <w:t>the continuous</w:t>
      </w:r>
      <w:r>
        <w:rPr>
          <w:lang w:val="en-US" w:eastAsia="fr-FR"/>
        </w:rPr>
        <w:t xml:space="preserve"> media appearances </w:t>
      </w:r>
      <w:r w:rsidR="008E2682">
        <w:rPr>
          <w:lang w:val="en-US" w:eastAsia="fr-FR"/>
        </w:rPr>
        <w:t xml:space="preserve">of </w:t>
      </w:r>
      <w:r w:rsidR="005040AB">
        <w:rPr>
          <w:lang w:val="en-US" w:eastAsia="fr-FR"/>
        </w:rPr>
        <w:t>officials</w:t>
      </w:r>
      <w:r w:rsidR="008E2682">
        <w:rPr>
          <w:lang w:val="en-US" w:eastAsia="fr-FR"/>
        </w:rPr>
        <w:t xml:space="preserve"> </w:t>
      </w:r>
      <w:r w:rsidR="00A74B72">
        <w:rPr>
          <w:lang w:val="en-US" w:eastAsia="fr-FR"/>
        </w:rPr>
        <w:t xml:space="preserve">who </w:t>
      </w:r>
      <w:r w:rsidR="00786279">
        <w:rPr>
          <w:lang w:val="en-US" w:eastAsia="fr-FR"/>
        </w:rPr>
        <w:t>denounce human rights violations</w:t>
      </w:r>
      <w:r w:rsidR="00A74B72">
        <w:rPr>
          <w:lang w:val="en-US" w:eastAsia="fr-FR"/>
        </w:rPr>
        <w:t>,</w:t>
      </w:r>
      <w:r w:rsidR="00786279">
        <w:rPr>
          <w:lang w:val="en-US" w:eastAsia="fr-FR"/>
        </w:rPr>
        <w:t xml:space="preserve"> including torture</w:t>
      </w:r>
      <w:r w:rsidR="00A74B72">
        <w:rPr>
          <w:lang w:val="en-US" w:eastAsia="fr-FR"/>
        </w:rPr>
        <w:t>,</w:t>
      </w:r>
      <w:r w:rsidR="00C806C3">
        <w:rPr>
          <w:lang w:val="en-US" w:eastAsia="fr-FR"/>
        </w:rPr>
        <w:t xml:space="preserve"> and </w:t>
      </w:r>
      <w:proofErr w:type="gramStart"/>
      <w:r w:rsidR="00C806C3">
        <w:rPr>
          <w:lang w:val="en-US" w:eastAsia="fr-FR"/>
        </w:rPr>
        <w:t>explain</w:t>
      </w:r>
      <w:proofErr w:type="gramEnd"/>
      <w:r w:rsidR="00C806C3">
        <w:rPr>
          <w:lang w:val="en-US" w:eastAsia="fr-FR"/>
        </w:rPr>
        <w:t xml:space="preserve"> the procedure to hold perpetrators accountable by</w:t>
      </w:r>
      <w:r w:rsidR="00B51031">
        <w:rPr>
          <w:lang w:val="en-US" w:eastAsia="fr-FR"/>
        </w:rPr>
        <w:t xml:space="preserve"> “</w:t>
      </w:r>
      <w:proofErr w:type="spellStart"/>
      <w:r w:rsidR="00B51031">
        <w:rPr>
          <w:lang w:val="en-US" w:eastAsia="fr-FR"/>
        </w:rPr>
        <w:t>responsibilising</w:t>
      </w:r>
      <w:proofErr w:type="spellEnd"/>
      <w:r w:rsidR="00B51031">
        <w:rPr>
          <w:lang w:val="en-US" w:eastAsia="fr-FR"/>
        </w:rPr>
        <w:t xml:space="preserve"> </w:t>
      </w:r>
      <w:r w:rsidR="00C806C3">
        <w:rPr>
          <w:lang w:val="en-US" w:eastAsia="fr-FR" w:bidi="ar-LB"/>
        </w:rPr>
        <w:t xml:space="preserve">them </w:t>
      </w:r>
      <w:r w:rsidR="00B51031">
        <w:rPr>
          <w:lang w:val="en-US" w:eastAsia="fr-FR" w:bidi="ar-LB"/>
        </w:rPr>
        <w:t>or referring them to justice”</w:t>
      </w:r>
      <w:r w:rsidR="00A74B72">
        <w:rPr>
          <w:lang w:val="en-US" w:eastAsia="fr-FR" w:bidi="ar-LB"/>
        </w:rPr>
        <w:t>.</w:t>
      </w:r>
      <w:r w:rsidR="008E2682">
        <w:rPr>
          <w:rStyle w:val="FootnoteReference"/>
          <w:lang w:val="en-US" w:eastAsia="fr-FR"/>
        </w:rPr>
        <w:footnoteReference w:id="3"/>
      </w:r>
      <w:r w:rsidR="00786279">
        <w:rPr>
          <w:lang w:val="en-US" w:eastAsia="fr-FR"/>
        </w:rPr>
        <w:t xml:space="preserve"> Alkarama could n</w:t>
      </w:r>
      <w:r w:rsidR="00B51031">
        <w:rPr>
          <w:lang w:val="en-US" w:eastAsia="fr-FR"/>
        </w:rPr>
        <w:t>ot verify this information</w:t>
      </w:r>
      <w:r w:rsidR="00036102">
        <w:rPr>
          <w:lang w:val="en-US" w:eastAsia="fr-FR"/>
        </w:rPr>
        <w:t>,</w:t>
      </w:r>
      <w:r w:rsidR="00B51031">
        <w:rPr>
          <w:lang w:val="en-US" w:eastAsia="fr-FR"/>
        </w:rPr>
        <w:t xml:space="preserve"> but believes the explanation provided by the </w:t>
      </w:r>
      <w:r w:rsidR="00787FAF">
        <w:rPr>
          <w:lang w:val="en-US" w:eastAsia="fr-FR"/>
        </w:rPr>
        <w:t>S</w:t>
      </w:r>
      <w:r w:rsidR="00B51031">
        <w:rPr>
          <w:lang w:val="en-US" w:eastAsia="fr-FR"/>
        </w:rPr>
        <w:t xml:space="preserve">tate falls short of the recommendation made by the </w:t>
      </w:r>
      <w:r w:rsidR="00036102">
        <w:rPr>
          <w:lang w:val="en-US" w:eastAsia="fr-FR"/>
        </w:rPr>
        <w:t>C</w:t>
      </w:r>
      <w:r w:rsidR="00B51031">
        <w:rPr>
          <w:lang w:val="en-US" w:eastAsia="fr-FR"/>
        </w:rPr>
        <w:t>ommittee.</w:t>
      </w:r>
    </w:p>
    <w:p w14:paraId="257DA5E7" w14:textId="77777777" w:rsidR="00654BA6" w:rsidRDefault="00654BA6" w:rsidP="00654BA6">
      <w:pPr>
        <w:rPr>
          <w:lang w:val="en-US"/>
        </w:rPr>
      </w:pPr>
    </w:p>
    <w:p w14:paraId="605243AA" w14:textId="77777777" w:rsidR="00195E51" w:rsidRDefault="00195E51" w:rsidP="00195E51">
      <w:pPr>
        <w:pStyle w:val="Heading1"/>
      </w:pPr>
      <w:bookmarkStart w:id="3" w:name="_Toc485744488"/>
      <w:r>
        <w:t>Conditions of detention</w:t>
      </w:r>
      <w:bookmarkEnd w:id="3"/>
    </w:p>
    <w:p w14:paraId="4EFACC2A" w14:textId="77777777" w:rsidR="00195E51" w:rsidRDefault="00195E51" w:rsidP="00195E51">
      <w:pPr>
        <w:rPr>
          <w:lang w:val="en-US"/>
        </w:rPr>
      </w:pPr>
    </w:p>
    <w:p w14:paraId="06774752" w14:textId="77777777" w:rsidR="00195E51" w:rsidRDefault="00195E51" w:rsidP="00195E51">
      <w:pPr>
        <w:rPr>
          <w:i/>
          <w:iCs/>
          <w:lang w:val="en-US"/>
        </w:rPr>
      </w:pPr>
      <w:r w:rsidRPr="00195E51">
        <w:rPr>
          <w:i/>
          <w:iCs/>
          <w:lang w:val="en-US"/>
        </w:rPr>
        <w:t>Ensure that detained persons can complain about their conditions of detention to an independent complaints mechanism.</w:t>
      </w:r>
    </w:p>
    <w:p w14:paraId="28F7C306" w14:textId="77777777" w:rsidR="00F33F92" w:rsidRDefault="00F33F92" w:rsidP="00195E51">
      <w:pPr>
        <w:rPr>
          <w:i/>
          <w:iCs/>
          <w:lang w:val="en-US"/>
        </w:rPr>
      </w:pPr>
    </w:p>
    <w:p w14:paraId="4401736E" w14:textId="43E75D48" w:rsidR="00F33F92" w:rsidRDefault="002F662B" w:rsidP="00A74B72">
      <w:pPr>
        <w:rPr>
          <w:lang w:val="en-US"/>
        </w:rPr>
      </w:pPr>
      <w:r>
        <w:rPr>
          <w:lang w:val="en-US"/>
        </w:rPr>
        <w:t xml:space="preserve">In its reply to the Committee’s recommendation on independent complaint mechanisms in places of detention, Kuwait </w:t>
      </w:r>
      <w:r w:rsidR="00787FAF">
        <w:rPr>
          <w:lang w:val="en-US"/>
        </w:rPr>
        <w:t>S</w:t>
      </w:r>
      <w:r>
        <w:rPr>
          <w:lang w:val="en-US"/>
        </w:rPr>
        <w:t>tated that there is ongoing collaboration between the Ministry of Interior</w:t>
      </w:r>
      <w:r w:rsidR="00A74B72">
        <w:rPr>
          <w:lang w:val="en-US"/>
        </w:rPr>
        <w:t xml:space="preserve"> (</w:t>
      </w:r>
      <w:proofErr w:type="spellStart"/>
      <w:r w:rsidR="00A74B72">
        <w:rPr>
          <w:lang w:val="en-US"/>
        </w:rPr>
        <w:t>MoI</w:t>
      </w:r>
      <w:proofErr w:type="spellEnd"/>
      <w:r w:rsidR="00A74B72">
        <w:rPr>
          <w:lang w:val="en-US"/>
        </w:rPr>
        <w:t>)</w:t>
      </w:r>
      <w:r>
        <w:rPr>
          <w:lang w:val="en-US"/>
        </w:rPr>
        <w:t xml:space="preserve"> and all international instances and independent local entities to </w:t>
      </w:r>
      <w:proofErr w:type="spellStart"/>
      <w:r>
        <w:rPr>
          <w:lang w:val="en-US"/>
        </w:rPr>
        <w:t>organise</w:t>
      </w:r>
      <w:proofErr w:type="spellEnd"/>
      <w:r>
        <w:rPr>
          <w:lang w:val="en-US"/>
        </w:rPr>
        <w:t xml:space="preserve"> visits to police stations </w:t>
      </w:r>
      <w:r w:rsidR="00022079">
        <w:rPr>
          <w:lang w:val="en-US"/>
        </w:rPr>
        <w:t>without restriction</w:t>
      </w:r>
      <w:r w:rsidR="00A74B72">
        <w:rPr>
          <w:lang w:val="en-US"/>
        </w:rPr>
        <w:t>.</w:t>
      </w:r>
      <w:r w:rsidR="00E85969">
        <w:rPr>
          <w:rStyle w:val="FootnoteReference"/>
          <w:lang w:val="en-US"/>
        </w:rPr>
        <w:footnoteReference w:id="4"/>
      </w:r>
      <w:r>
        <w:rPr>
          <w:lang w:val="en-US"/>
        </w:rPr>
        <w:t xml:space="preserve"> However, the very fact that these visits are </w:t>
      </w:r>
      <w:proofErr w:type="spellStart"/>
      <w:r>
        <w:rPr>
          <w:lang w:val="en-US"/>
        </w:rPr>
        <w:t>organi</w:t>
      </w:r>
      <w:r w:rsidR="00A74B72">
        <w:rPr>
          <w:lang w:val="en-US"/>
        </w:rPr>
        <w:t>s</w:t>
      </w:r>
      <w:r>
        <w:rPr>
          <w:lang w:val="en-US"/>
        </w:rPr>
        <w:t>ed</w:t>
      </w:r>
      <w:proofErr w:type="spellEnd"/>
      <w:r>
        <w:rPr>
          <w:lang w:val="en-US"/>
        </w:rPr>
        <w:t xml:space="preserve"> and are not spontaneously conducted, deter</w:t>
      </w:r>
      <w:r w:rsidR="009A4609">
        <w:rPr>
          <w:lang w:val="en-US"/>
        </w:rPr>
        <w:t>s</w:t>
      </w:r>
      <w:r>
        <w:rPr>
          <w:lang w:val="en-US"/>
        </w:rPr>
        <w:t xml:space="preserve"> the</w:t>
      </w:r>
      <w:r w:rsidR="00A74B72">
        <w:rPr>
          <w:lang w:val="en-US"/>
        </w:rPr>
        <w:t>ir</w:t>
      </w:r>
      <w:r>
        <w:rPr>
          <w:lang w:val="en-US"/>
        </w:rPr>
        <w:t xml:space="preserve"> effectiveness</w:t>
      </w:r>
      <w:r w:rsidR="009A4609">
        <w:rPr>
          <w:lang w:val="en-US"/>
        </w:rPr>
        <w:t>.</w:t>
      </w:r>
    </w:p>
    <w:p w14:paraId="4DF054F2" w14:textId="77777777" w:rsidR="00A74B72" w:rsidRDefault="00A74B72" w:rsidP="00022079">
      <w:pPr>
        <w:rPr>
          <w:lang w:val="en-US"/>
        </w:rPr>
      </w:pPr>
    </w:p>
    <w:p w14:paraId="06B609EC" w14:textId="1DF268CD" w:rsidR="00292C87" w:rsidRPr="00E85969" w:rsidRDefault="00292C87" w:rsidP="003C1E3A">
      <w:pPr>
        <w:rPr>
          <w:lang w:val="en-US"/>
        </w:rPr>
      </w:pPr>
      <w:r>
        <w:rPr>
          <w:lang w:val="en-US"/>
        </w:rPr>
        <w:t xml:space="preserve">Furthermore, the </w:t>
      </w:r>
      <w:r w:rsidR="00787FAF">
        <w:rPr>
          <w:lang w:val="en-US"/>
        </w:rPr>
        <w:t>S</w:t>
      </w:r>
      <w:r>
        <w:rPr>
          <w:lang w:val="en-US"/>
        </w:rPr>
        <w:t xml:space="preserve">tate explains that all places of detention are routinely and </w:t>
      </w:r>
      <w:proofErr w:type="spellStart"/>
      <w:r>
        <w:rPr>
          <w:lang w:val="en-US"/>
        </w:rPr>
        <w:t>coutinuously</w:t>
      </w:r>
      <w:proofErr w:type="spellEnd"/>
      <w:r>
        <w:rPr>
          <w:lang w:val="en-US"/>
        </w:rPr>
        <w:t xml:space="preserve"> visited by the Public Prosecution or the General Department of Monitoring and Inspection</w:t>
      </w:r>
      <w:r w:rsidR="002C22ED">
        <w:rPr>
          <w:lang w:val="en-US"/>
        </w:rPr>
        <w:t>,</w:t>
      </w:r>
      <w:r>
        <w:rPr>
          <w:lang w:val="en-US"/>
        </w:rPr>
        <w:t xml:space="preserve"> whereby surprise </w:t>
      </w:r>
      <w:r w:rsidR="00E85969">
        <w:rPr>
          <w:lang w:val="en-US"/>
        </w:rPr>
        <w:t>inspections are carried out</w:t>
      </w:r>
      <w:r w:rsidR="00A74B72">
        <w:rPr>
          <w:lang w:val="en-US"/>
        </w:rPr>
        <w:t>,</w:t>
      </w:r>
      <w:r w:rsidR="00E85969">
        <w:rPr>
          <w:lang w:val="en-US"/>
        </w:rPr>
        <w:t xml:space="preserve"> but the report does not specify whether these bodies have unrestricted access to detainees</w:t>
      </w:r>
      <w:r w:rsidR="00A74B72">
        <w:rPr>
          <w:lang w:val="en-US"/>
        </w:rPr>
        <w:t>.</w:t>
      </w:r>
      <w:r w:rsidR="00E85969">
        <w:rPr>
          <w:rStyle w:val="FootnoteReference"/>
          <w:lang w:val="en-US"/>
        </w:rPr>
        <w:footnoteReference w:id="5"/>
      </w:r>
      <w:r w:rsidR="00E85969">
        <w:rPr>
          <w:lang w:val="en-US"/>
        </w:rPr>
        <w:t xml:space="preserve"> The General Department of Monitoring and Inspection </w:t>
      </w:r>
      <w:r w:rsidR="00E85969" w:rsidRPr="00E85969">
        <w:rPr>
          <w:lang w:val="en-US"/>
        </w:rPr>
        <w:t xml:space="preserve">is part of the Ministry of Interior and apart from receiving complaints to be forwarded to the competent </w:t>
      </w:r>
      <w:proofErr w:type="gramStart"/>
      <w:r w:rsidR="00E85969" w:rsidRPr="00E85969">
        <w:rPr>
          <w:lang w:val="en-US"/>
        </w:rPr>
        <w:t>authorities,</w:t>
      </w:r>
      <w:proofErr w:type="gramEnd"/>
      <w:r w:rsidR="00E85969" w:rsidRPr="00E85969">
        <w:rPr>
          <w:lang w:val="en-US"/>
        </w:rPr>
        <w:t xml:space="preserve"> one of its functions includes the responsibility to maintain the reputation of the police. The Department’s attachment to the </w:t>
      </w:r>
      <w:proofErr w:type="spellStart"/>
      <w:r w:rsidR="00E85969" w:rsidRPr="00E85969">
        <w:rPr>
          <w:lang w:val="en-US"/>
        </w:rPr>
        <w:t>MoI</w:t>
      </w:r>
      <w:proofErr w:type="spellEnd"/>
      <w:r w:rsidR="00E85969" w:rsidRPr="00E85969">
        <w:rPr>
          <w:lang w:val="en-US"/>
        </w:rPr>
        <w:t xml:space="preserve"> and the fact that the police is an agency of the </w:t>
      </w:r>
      <w:proofErr w:type="spellStart"/>
      <w:r w:rsidR="00E85969" w:rsidRPr="00E85969">
        <w:rPr>
          <w:lang w:val="en-US"/>
        </w:rPr>
        <w:t>MoI</w:t>
      </w:r>
      <w:proofErr w:type="spellEnd"/>
      <w:r w:rsidR="00E85969" w:rsidRPr="00E85969">
        <w:rPr>
          <w:lang w:val="en-US"/>
        </w:rPr>
        <w:t xml:space="preserve"> compromise the Department’s impartiality and illustrates the lack of an independent complaint mechanism.</w:t>
      </w:r>
    </w:p>
    <w:p w14:paraId="10A756BD" w14:textId="77777777" w:rsidR="00195E51" w:rsidRPr="00292C87" w:rsidRDefault="00195E51" w:rsidP="00195E51">
      <w:pPr>
        <w:rPr>
          <w:color w:val="FF0000"/>
          <w:lang w:val="en-US"/>
        </w:rPr>
      </w:pPr>
    </w:p>
    <w:p w14:paraId="7EB74661" w14:textId="77777777" w:rsidR="00742D61" w:rsidRDefault="00DB2B5C" w:rsidP="00990ABE">
      <w:pPr>
        <w:pStyle w:val="Heading1"/>
      </w:pPr>
      <w:bookmarkStart w:id="4" w:name="_Toc485744489"/>
      <w:r>
        <w:t>Imposition of the death penalty</w:t>
      </w:r>
      <w:bookmarkEnd w:id="4"/>
    </w:p>
    <w:p w14:paraId="58140081" w14:textId="77777777" w:rsidR="00696CAE" w:rsidRDefault="00696CAE" w:rsidP="00696CAE">
      <w:pPr>
        <w:rPr>
          <w:lang w:val="en-US"/>
        </w:rPr>
      </w:pPr>
    </w:p>
    <w:p w14:paraId="12644C14" w14:textId="2D58E7D6" w:rsidR="00195E51" w:rsidRDefault="00195E51" w:rsidP="00696CAE">
      <w:pPr>
        <w:rPr>
          <w:i/>
          <w:iCs/>
          <w:lang w:val="en-US"/>
        </w:rPr>
      </w:pPr>
      <w:r w:rsidRPr="00195E51">
        <w:rPr>
          <w:i/>
          <w:iCs/>
          <w:lang w:val="en-US"/>
        </w:rPr>
        <w:t xml:space="preserve">The </w:t>
      </w:r>
      <w:r w:rsidR="00787FAF">
        <w:rPr>
          <w:i/>
          <w:iCs/>
          <w:lang w:val="en-US"/>
        </w:rPr>
        <w:t>S</w:t>
      </w:r>
      <w:r w:rsidRPr="00195E51">
        <w:rPr>
          <w:i/>
          <w:iCs/>
          <w:lang w:val="en-US"/>
        </w:rPr>
        <w:t>tate should as a matter of urgency reinstate a de facto moratorium on the a</w:t>
      </w:r>
      <w:r w:rsidR="005F508A">
        <w:rPr>
          <w:i/>
          <w:iCs/>
          <w:lang w:val="en-US"/>
        </w:rPr>
        <w:t>pplication of the death penalty.</w:t>
      </w:r>
    </w:p>
    <w:p w14:paraId="2CC74E5E" w14:textId="77777777" w:rsidR="005F508A" w:rsidRDefault="005F508A" w:rsidP="00696CAE">
      <w:pPr>
        <w:rPr>
          <w:i/>
          <w:iCs/>
          <w:lang w:val="en-US"/>
        </w:rPr>
      </w:pPr>
    </w:p>
    <w:p w14:paraId="75164157" w14:textId="77AB4B8C" w:rsidR="005F508A" w:rsidRDefault="00927E51" w:rsidP="007B4ECF">
      <w:pPr>
        <w:rPr>
          <w:lang w:val="en-US" w:bidi="ar-LB"/>
        </w:rPr>
      </w:pPr>
      <w:r>
        <w:rPr>
          <w:lang w:val="en-US" w:bidi="ar-LB"/>
        </w:rPr>
        <w:lastRenderedPageBreak/>
        <w:t>Kuwait has failed to implement this r</w:t>
      </w:r>
      <w:r w:rsidR="00CA4D9B">
        <w:rPr>
          <w:lang w:val="en-US" w:bidi="ar-LB"/>
        </w:rPr>
        <w:t>ecommendation as it has, in Jan</w:t>
      </w:r>
      <w:r w:rsidR="007B4ECF">
        <w:rPr>
          <w:lang w:val="en-US" w:bidi="ar-LB"/>
        </w:rPr>
        <w:t xml:space="preserve">uary 2017, </w:t>
      </w:r>
      <w:r w:rsidR="008F6C65">
        <w:rPr>
          <w:lang w:val="en-US" w:bidi="ar-LB"/>
        </w:rPr>
        <w:t>executed seven individuals, five of wh</w:t>
      </w:r>
      <w:r w:rsidR="00A74B72">
        <w:rPr>
          <w:lang w:val="en-US" w:bidi="ar-LB"/>
        </w:rPr>
        <w:t>om</w:t>
      </w:r>
      <w:r w:rsidR="008F6C65">
        <w:rPr>
          <w:lang w:val="en-US" w:bidi="ar-LB"/>
        </w:rPr>
        <w:t xml:space="preserve"> were foreign nationals.</w:t>
      </w:r>
      <w:r w:rsidR="007B4ECF">
        <w:rPr>
          <w:rStyle w:val="FootnoteReference"/>
          <w:lang w:val="en-US" w:bidi="ar-LB"/>
        </w:rPr>
        <w:footnoteReference w:id="6"/>
      </w:r>
      <w:r w:rsidR="008F6C65">
        <w:rPr>
          <w:lang w:val="en-US" w:bidi="ar-LB"/>
        </w:rPr>
        <w:t xml:space="preserve"> </w:t>
      </w:r>
    </w:p>
    <w:p w14:paraId="753FA900" w14:textId="77777777" w:rsidR="00A74B72" w:rsidRDefault="00A74B72" w:rsidP="007B4ECF">
      <w:pPr>
        <w:rPr>
          <w:lang w:val="en-US" w:bidi="ar-LB"/>
        </w:rPr>
      </w:pPr>
    </w:p>
    <w:p w14:paraId="71D59499" w14:textId="628C094D" w:rsidR="00784007" w:rsidRPr="005F508A" w:rsidRDefault="00784007" w:rsidP="00022079">
      <w:pPr>
        <w:rPr>
          <w:lang w:val="en-US" w:bidi="ar-LB"/>
        </w:rPr>
      </w:pPr>
      <w:r>
        <w:rPr>
          <w:lang w:val="en-US" w:bidi="ar-LB"/>
        </w:rPr>
        <w:t xml:space="preserve">In its response to the Committee’s recommendation, Kuwait insisted on the fact that death penalty is a sentence allowed for by Sharia law and can therefore not be repealed from Kuwait’s legal system and its repeal would constitute a breach of the </w:t>
      </w:r>
      <w:r w:rsidR="002C22ED">
        <w:rPr>
          <w:lang w:val="en-US" w:bidi="ar-LB"/>
        </w:rPr>
        <w:t>S</w:t>
      </w:r>
      <w:r>
        <w:rPr>
          <w:lang w:val="en-US" w:bidi="ar-LB"/>
        </w:rPr>
        <w:t xml:space="preserve">tate’s </w:t>
      </w:r>
      <w:r w:rsidR="002C22ED">
        <w:rPr>
          <w:lang w:val="en-US" w:bidi="ar-LB"/>
        </w:rPr>
        <w:t>C</w:t>
      </w:r>
      <w:r>
        <w:rPr>
          <w:lang w:val="en-US" w:bidi="ar-LB"/>
        </w:rPr>
        <w:t>onstitution</w:t>
      </w:r>
      <w:r w:rsidR="00A74B72">
        <w:rPr>
          <w:lang w:val="en-US" w:bidi="ar-LB"/>
        </w:rPr>
        <w:t>.</w:t>
      </w:r>
      <w:r w:rsidR="00BF0EC8">
        <w:rPr>
          <w:rStyle w:val="FootnoteReference"/>
          <w:lang w:val="en-US" w:bidi="ar-LB"/>
        </w:rPr>
        <w:footnoteReference w:id="7"/>
      </w:r>
      <w:r>
        <w:rPr>
          <w:lang w:val="en-US" w:bidi="ar-LB"/>
        </w:rPr>
        <w:t xml:space="preserve"> The </w:t>
      </w:r>
      <w:r w:rsidR="002C22ED">
        <w:rPr>
          <w:lang w:val="en-US" w:bidi="ar-LB"/>
        </w:rPr>
        <w:t>S</w:t>
      </w:r>
      <w:r>
        <w:rPr>
          <w:lang w:val="en-US" w:bidi="ar-LB"/>
        </w:rPr>
        <w:t>tate</w:t>
      </w:r>
      <w:r w:rsidR="002C22ED">
        <w:rPr>
          <w:lang w:val="en-US" w:bidi="ar-LB"/>
        </w:rPr>
        <w:t xml:space="preserve"> party</w:t>
      </w:r>
      <w:r>
        <w:rPr>
          <w:lang w:val="en-US" w:bidi="ar-LB"/>
        </w:rPr>
        <w:t xml:space="preserve"> has also reiterated the fact that the death penalty applies to drug related offences, in rejection o</w:t>
      </w:r>
      <w:r w:rsidR="00585A55">
        <w:rPr>
          <w:lang w:val="en-US" w:bidi="ar-LB"/>
        </w:rPr>
        <w:t>f</w:t>
      </w:r>
      <w:r>
        <w:rPr>
          <w:lang w:val="en-US" w:bidi="ar-LB"/>
        </w:rPr>
        <w:t xml:space="preserve"> the </w:t>
      </w:r>
      <w:r w:rsidR="00022079">
        <w:rPr>
          <w:lang w:val="en-US" w:bidi="ar-LB"/>
        </w:rPr>
        <w:t>Human Rights Council’s and Human Rights Committee</w:t>
      </w:r>
      <w:r>
        <w:rPr>
          <w:lang w:val="en-US" w:bidi="ar-LB"/>
        </w:rPr>
        <w:t>’</w:t>
      </w:r>
      <w:r w:rsidR="00022079">
        <w:rPr>
          <w:lang w:val="en-US" w:bidi="ar-LB"/>
        </w:rPr>
        <w:t>s</w:t>
      </w:r>
      <w:r>
        <w:rPr>
          <w:lang w:val="en-US" w:bidi="ar-LB"/>
        </w:rPr>
        <w:t xml:space="preserve"> interpretation of what constitutes the gravest crimes</w:t>
      </w:r>
      <w:r w:rsidR="00A74B72">
        <w:rPr>
          <w:lang w:val="en-US" w:bidi="ar-LB"/>
        </w:rPr>
        <w:t>.</w:t>
      </w:r>
      <w:r w:rsidR="00BC5D2F">
        <w:rPr>
          <w:rStyle w:val="FootnoteReference"/>
          <w:lang w:val="en-US" w:bidi="ar-LB"/>
        </w:rPr>
        <w:footnoteReference w:id="8"/>
      </w:r>
    </w:p>
    <w:p w14:paraId="29B2A44D" w14:textId="77777777" w:rsidR="00195E51" w:rsidRPr="00195E51" w:rsidRDefault="00195E51" w:rsidP="00696CAE">
      <w:pPr>
        <w:rPr>
          <w:lang w:val="en-US"/>
        </w:rPr>
      </w:pPr>
    </w:p>
    <w:p w14:paraId="4555D50C" w14:textId="77777777" w:rsidR="0067211F" w:rsidRPr="00022079" w:rsidRDefault="0067211F" w:rsidP="00724EA7">
      <w:pPr>
        <w:rPr>
          <w:lang w:val="en-GB"/>
        </w:rPr>
      </w:pPr>
    </w:p>
    <w:p w14:paraId="08DAF43F" w14:textId="77777777" w:rsidR="005D1076" w:rsidRPr="00022079" w:rsidRDefault="005D1076" w:rsidP="00724EA7">
      <w:pPr>
        <w:rPr>
          <w:lang w:val="en-GB"/>
        </w:rPr>
      </w:pPr>
    </w:p>
    <w:p w14:paraId="52D8C1EB" w14:textId="77777777" w:rsidR="005D1076" w:rsidRPr="00022079" w:rsidRDefault="005D1076" w:rsidP="00724EA7">
      <w:pPr>
        <w:rPr>
          <w:lang w:val="en-GB"/>
        </w:rPr>
      </w:pPr>
    </w:p>
    <w:p w14:paraId="60943494" w14:textId="77777777" w:rsidR="005D1076" w:rsidRPr="003C1E3A" w:rsidRDefault="005D1076" w:rsidP="003C1E3A">
      <w:pPr>
        <w:rPr>
          <w:lang w:val="en-US"/>
        </w:rPr>
      </w:pPr>
    </w:p>
    <w:sectPr w:rsidR="005D1076" w:rsidRPr="003C1E3A" w:rsidSect="000A3F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567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03A75" w14:textId="77777777" w:rsidR="00A73F72" w:rsidRDefault="00A73F72" w:rsidP="00E539D8">
      <w:r>
        <w:separator/>
      </w:r>
    </w:p>
  </w:endnote>
  <w:endnote w:type="continuationSeparator" w:id="0">
    <w:p w14:paraId="1887C101" w14:textId="77777777" w:rsidR="00A73F72" w:rsidRDefault="00A73F72" w:rsidP="00E539D8">
      <w:r>
        <w:continuationSeparator/>
      </w:r>
    </w:p>
  </w:endnote>
  <w:endnote w:type="continuationNotice" w:id="1">
    <w:p w14:paraId="53D37440" w14:textId="77777777" w:rsidR="00A73F72" w:rsidRDefault="00A73F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769DC0" w14:textId="77777777" w:rsidR="00864C1B" w:rsidRDefault="00864C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634589" w14:textId="77777777" w:rsidR="00363E7D" w:rsidRDefault="00363E7D" w:rsidP="00B876E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44036">
      <w:rPr>
        <w:noProof/>
      </w:rPr>
      <w:t>3</w:t>
    </w:r>
    <w:r>
      <w:fldChar w:fldCharType="end"/>
    </w:r>
  </w:p>
  <w:p w14:paraId="096F7DDA" w14:textId="77777777" w:rsidR="00792A1C" w:rsidRDefault="00792A1C" w:rsidP="00792A1C">
    <w:pPr>
      <w:pStyle w:val="Header"/>
      <w:jc w:val="center"/>
      <w:rPr>
        <w:rFonts w:ascii="Arial" w:hAnsi="Arial" w:cs="Arial"/>
        <w:lang w:val="fr-CH"/>
      </w:rPr>
    </w:pPr>
    <w:r>
      <w:rPr>
        <w:rFonts w:ascii="Arial" w:hAnsi="Arial" w:cs="Arial"/>
        <w:lang w:val="fr-CH"/>
      </w:rPr>
      <w:t xml:space="preserve">Alkarama </w:t>
    </w:r>
    <w:proofErr w:type="spellStart"/>
    <w:r>
      <w:rPr>
        <w:rFonts w:ascii="Arial" w:hAnsi="Arial" w:cs="Arial"/>
        <w:lang w:val="fr-CH"/>
      </w:rPr>
      <w:t>Foundation</w:t>
    </w:r>
    <w:proofErr w:type="spellEnd"/>
    <w:r>
      <w:rPr>
        <w:rFonts w:ascii="Arial" w:hAnsi="Arial" w:cs="Arial"/>
        <w:lang w:val="fr-CH"/>
      </w:rPr>
      <w:t xml:space="preserve"> – 150 route de </w:t>
    </w:r>
    <w:proofErr w:type="spellStart"/>
    <w:r>
      <w:rPr>
        <w:rFonts w:ascii="Arial" w:hAnsi="Arial" w:cs="Arial"/>
        <w:lang w:val="fr-CH"/>
      </w:rPr>
      <w:t>Ferney</w:t>
    </w:r>
    <w:proofErr w:type="spellEnd"/>
    <w:r>
      <w:rPr>
        <w:rFonts w:ascii="Arial" w:hAnsi="Arial" w:cs="Arial"/>
        <w:lang w:val="fr-CH"/>
      </w:rPr>
      <w:t xml:space="preserve">, C.P. 2100 CH – 1211  Genève 2 – </w:t>
    </w:r>
    <w:proofErr w:type="spellStart"/>
    <w:r>
      <w:rPr>
        <w:rFonts w:ascii="Arial" w:hAnsi="Arial" w:cs="Arial"/>
        <w:lang w:val="fr-CH"/>
      </w:rPr>
      <w:t>Switzerland</w:t>
    </w:r>
    <w:proofErr w:type="spellEnd"/>
  </w:p>
  <w:p w14:paraId="153BC8F3" w14:textId="77777777" w:rsidR="00792A1C" w:rsidRDefault="00792A1C" w:rsidP="00E00C39">
    <w:pPr>
      <w:pStyle w:val="Header"/>
      <w:spacing w:before="20"/>
      <w:jc w:val="center"/>
      <w:rPr>
        <w:rFonts w:ascii="Arial" w:hAnsi="Arial"/>
        <w:lang w:val="fr-CH"/>
      </w:rPr>
    </w:pPr>
    <w:r>
      <w:rPr>
        <w:rFonts w:ascii="Arial Narrow" w:hAnsi="Arial Narrow"/>
        <w:lang w:val="en-US"/>
      </w:rPr>
      <w:sym w:font="Wingdings" w:char="0028"/>
    </w:r>
    <w:r>
      <w:rPr>
        <w:rFonts w:ascii="Arial" w:hAnsi="Arial"/>
        <w:lang w:val="fr-CH"/>
      </w:rPr>
      <w:t xml:space="preserve"> +41 22 734 10 06 – </w:t>
    </w:r>
    <w:r>
      <w:rPr>
        <w:rFonts w:ascii="Arial Narrow" w:hAnsi="Arial Narrow"/>
        <w:lang w:val="en-US"/>
      </w:rPr>
      <w:sym w:font="Wingdings 2" w:char="0037"/>
    </w:r>
    <w:r>
      <w:rPr>
        <w:rFonts w:ascii="Arial" w:hAnsi="Arial"/>
        <w:lang w:val="fr-CH"/>
      </w:rPr>
      <w:t xml:space="preserve"> +41 22 </w:t>
    </w:r>
    <w:r w:rsidR="00E00C39">
      <w:rPr>
        <w:rFonts w:ascii="Arial" w:hAnsi="Arial"/>
        <w:lang w:val="fr-CH"/>
      </w:rPr>
      <w:t>734</w:t>
    </w:r>
    <w:r>
      <w:rPr>
        <w:rFonts w:ascii="Arial" w:hAnsi="Arial"/>
        <w:lang w:val="fr-CH"/>
      </w:rPr>
      <w:t xml:space="preserve"> </w:t>
    </w:r>
    <w:r w:rsidR="00E00C39">
      <w:rPr>
        <w:rFonts w:ascii="Arial" w:hAnsi="Arial"/>
        <w:lang w:val="fr-CH"/>
      </w:rPr>
      <w:t>10</w:t>
    </w:r>
    <w:r>
      <w:rPr>
        <w:rFonts w:ascii="Arial" w:hAnsi="Arial"/>
        <w:lang w:val="fr-CH"/>
      </w:rPr>
      <w:t xml:space="preserve"> </w:t>
    </w:r>
    <w:r w:rsidR="00E00C39">
      <w:rPr>
        <w:rFonts w:ascii="Arial" w:hAnsi="Arial"/>
        <w:lang w:val="fr-CH"/>
      </w:rPr>
      <w:t>34</w:t>
    </w:r>
    <w:r>
      <w:rPr>
        <w:rFonts w:ascii="Arial" w:hAnsi="Arial"/>
        <w:lang w:val="fr-CH"/>
      </w:rPr>
      <w:t xml:space="preserve"> – </w:t>
    </w:r>
    <w:r>
      <w:rPr>
        <w:rFonts w:ascii="Arial" w:hAnsi="Arial"/>
        <w:lang w:val="en-US"/>
      </w:rPr>
      <w:sym w:font="Wingdings" w:char="002A"/>
    </w:r>
    <w:r>
      <w:rPr>
        <w:rFonts w:ascii="Arial" w:hAnsi="Arial"/>
        <w:lang w:val="fr-CH"/>
      </w:rPr>
      <w:t xml:space="preserve"> </w:t>
    </w:r>
    <w:r w:rsidR="00E00C39">
      <w:rPr>
        <w:rFonts w:ascii="Arial" w:hAnsi="Arial"/>
        <w:lang w:val="fr-CH"/>
      </w:rPr>
      <w:t>info</w:t>
    </w:r>
    <w:r>
      <w:rPr>
        <w:rFonts w:ascii="Arial" w:hAnsi="Arial"/>
        <w:lang w:val="fr-CH"/>
      </w:rPr>
      <w:t xml:space="preserve">@alkarama.org – </w:t>
    </w:r>
    <w:r>
      <w:rPr>
        <w:rFonts w:ascii="Arial" w:hAnsi="Arial"/>
        <w:lang w:val="en-US"/>
      </w:rPr>
      <w:sym w:font="Wingdings" w:char="0038"/>
    </w:r>
    <w:r>
      <w:rPr>
        <w:rFonts w:ascii="Arial" w:hAnsi="Arial"/>
        <w:lang w:val="fr-CH"/>
      </w:rPr>
      <w:t xml:space="preserve"> www.alkarama.org</w:t>
    </w:r>
  </w:p>
  <w:p w14:paraId="3198C0F5" w14:textId="77777777" w:rsidR="00B876E8" w:rsidRPr="00C8157E" w:rsidRDefault="00B876E8" w:rsidP="00B876E8">
    <w:pPr>
      <w:pStyle w:val="Header"/>
      <w:spacing w:before="20"/>
      <w:jc w:val="center"/>
      <w:rPr>
        <w:rFonts w:ascii="Arial" w:hAnsi="Arial"/>
        <w:lang w:val="fr-CH"/>
      </w:rPr>
    </w:pPr>
  </w:p>
  <w:p w14:paraId="4C2F5710" w14:textId="77777777" w:rsidR="00363E7D" w:rsidRPr="00B876E8" w:rsidRDefault="00363E7D">
    <w:pPr>
      <w:pStyle w:val="Footer"/>
      <w:rPr>
        <w:lang w:val="fr-CH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A20AAB" w14:textId="77777777" w:rsidR="00792A1C" w:rsidRDefault="00792A1C" w:rsidP="00792A1C">
    <w:pPr>
      <w:pStyle w:val="Header"/>
      <w:jc w:val="center"/>
      <w:rPr>
        <w:rFonts w:ascii="Arial" w:hAnsi="Arial" w:cs="Arial"/>
        <w:lang w:val="fr-CH"/>
      </w:rPr>
    </w:pPr>
    <w:r>
      <w:rPr>
        <w:rFonts w:ascii="Arial" w:hAnsi="Arial" w:cs="Arial"/>
        <w:lang w:val="fr-CH"/>
      </w:rPr>
      <w:t xml:space="preserve">Alkarama </w:t>
    </w:r>
    <w:proofErr w:type="spellStart"/>
    <w:r>
      <w:rPr>
        <w:rFonts w:ascii="Arial" w:hAnsi="Arial" w:cs="Arial"/>
        <w:lang w:val="fr-CH"/>
      </w:rPr>
      <w:t>Foundation</w:t>
    </w:r>
    <w:proofErr w:type="spellEnd"/>
    <w:r>
      <w:rPr>
        <w:rFonts w:ascii="Arial" w:hAnsi="Arial" w:cs="Arial"/>
        <w:lang w:val="fr-CH"/>
      </w:rPr>
      <w:t xml:space="preserve"> – 150 route de </w:t>
    </w:r>
    <w:proofErr w:type="spellStart"/>
    <w:r>
      <w:rPr>
        <w:rFonts w:ascii="Arial" w:hAnsi="Arial" w:cs="Arial"/>
        <w:lang w:val="fr-CH"/>
      </w:rPr>
      <w:t>Ferney</w:t>
    </w:r>
    <w:proofErr w:type="spellEnd"/>
    <w:r>
      <w:rPr>
        <w:rFonts w:ascii="Arial" w:hAnsi="Arial" w:cs="Arial"/>
        <w:lang w:val="fr-CH"/>
      </w:rPr>
      <w:t xml:space="preserve">, C.P. 2100 CH – 1211  Genève 2 – </w:t>
    </w:r>
    <w:proofErr w:type="spellStart"/>
    <w:r>
      <w:rPr>
        <w:rFonts w:ascii="Arial" w:hAnsi="Arial" w:cs="Arial"/>
        <w:lang w:val="fr-CH"/>
      </w:rPr>
      <w:t>Switzerland</w:t>
    </w:r>
    <w:proofErr w:type="spellEnd"/>
  </w:p>
  <w:p w14:paraId="68801E35" w14:textId="77777777" w:rsidR="00792A1C" w:rsidRDefault="00792A1C" w:rsidP="00864C1B">
    <w:pPr>
      <w:pStyle w:val="Header"/>
      <w:spacing w:before="20"/>
      <w:jc w:val="center"/>
      <w:rPr>
        <w:rFonts w:ascii="Arial" w:hAnsi="Arial"/>
        <w:lang w:val="fr-CH"/>
      </w:rPr>
    </w:pPr>
    <w:r>
      <w:rPr>
        <w:rFonts w:ascii="Arial Narrow" w:hAnsi="Arial Narrow"/>
        <w:lang w:val="en-US"/>
      </w:rPr>
      <w:sym w:font="Wingdings" w:char="0028"/>
    </w:r>
    <w:r>
      <w:rPr>
        <w:rFonts w:ascii="Arial" w:hAnsi="Arial"/>
        <w:lang w:val="fr-CH"/>
      </w:rPr>
      <w:t xml:space="preserve"> +41 22 734 10 06 – </w:t>
    </w:r>
    <w:r>
      <w:rPr>
        <w:rFonts w:ascii="Arial Narrow" w:hAnsi="Arial Narrow"/>
        <w:lang w:val="en-US"/>
      </w:rPr>
      <w:sym w:font="Wingdings 2" w:char="0037"/>
    </w:r>
    <w:r>
      <w:rPr>
        <w:rFonts w:ascii="Arial" w:hAnsi="Arial"/>
        <w:lang w:val="fr-CH"/>
      </w:rPr>
      <w:t xml:space="preserve"> +41 22 </w:t>
    </w:r>
    <w:r w:rsidR="00864C1B">
      <w:rPr>
        <w:rFonts w:ascii="Arial" w:hAnsi="Arial"/>
        <w:lang w:val="fr-CH"/>
      </w:rPr>
      <w:t>734</w:t>
    </w:r>
    <w:r>
      <w:rPr>
        <w:rFonts w:ascii="Arial" w:hAnsi="Arial"/>
        <w:lang w:val="fr-CH"/>
      </w:rPr>
      <w:t xml:space="preserve"> </w:t>
    </w:r>
    <w:r w:rsidR="00864C1B">
      <w:rPr>
        <w:rFonts w:ascii="Arial" w:hAnsi="Arial"/>
        <w:lang w:val="fr-CH"/>
      </w:rPr>
      <w:t>10</w:t>
    </w:r>
    <w:r>
      <w:rPr>
        <w:rFonts w:ascii="Arial" w:hAnsi="Arial"/>
        <w:lang w:val="fr-CH"/>
      </w:rPr>
      <w:t xml:space="preserve"> </w:t>
    </w:r>
    <w:r w:rsidR="00864C1B">
      <w:rPr>
        <w:rFonts w:ascii="Arial" w:hAnsi="Arial"/>
        <w:lang w:val="fr-CH"/>
      </w:rPr>
      <w:t>34</w:t>
    </w:r>
    <w:r>
      <w:rPr>
        <w:rFonts w:ascii="Arial" w:hAnsi="Arial"/>
        <w:lang w:val="fr-CH"/>
      </w:rPr>
      <w:t xml:space="preserve"> – </w:t>
    </w:r>
    <w:r>
      <w:rPr>
        <w:rFonts w:ascii="Arial" w:hAnsi="Arial"/>
        <w:lang w:val="en-US"/>
      </w:rPr>
      <w:sym w:font="Wingdings" w:char="002A"/>
    </w:r>
    <w:r>
      <w:rPr>
        <w:rFonts w:ascii="Arial" w:hAnsi="Arial"/>
        <w:lang w:val="fr-CH"/>
      </w:rPr>
      <w:t xml:space="preserve"> </w:t>
    </w:r>
    <w:r w:rsidR="00864C1B">
      <w:rPr>
        <w:rFonts w:ascii="Arial" w:hAnsi="Arial"/>
        <w:lang w:val="fr-CH"/>
      </w:rPr>
      <w:t>info</w:t>
    </w:r>
    <w:r>
      <w:rPr>
        <w:rFonts w:ascii="Arial" w:hAnsi="Arial"/>
        <w:lang w:val="fr-CH"/>
      </w:rPr>
      <w:t xml:space="preserve">@alkarama.org – </w:t>
    </w:r>
    <w:r>
      <w:rPr>
        <w:rFonts w:ascii="Arial" w:hAnsi="Arial"/>
        <w:lang w:val="en-US"/>
      </w:rPr>
      <w:sym w:font="Wingdings" w:char="0038"/>
    </w:r>
    <w:r>
      <w:rPr>
        <w:rFonts w:ascii="Arial" w:hAnsi="Arial"/>
        <w:lang w:val="fr-CH"/>
      </w:rPr>
      <w:t xml:space="preserve"> www.alkarama.org</w:t>
    </w:r>
  </w:p>
  <w:p w14:paraId="1613BA2A" w14:textId="77777777" w:rsidR="00363E7D" w:rsidRDefault="00363E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80606F" w14:textId="77777777" w:rsidR="00A73F72" w:rsidRDefault="00A73F72" w:rsidP="00E539D8">
      <w:r>
        <w:separator/>
      </w:r>
    </w:p>
  </w:footnote>
  <w:footnote w:type="continuationSeparator" w:id="0">
    <w:p w14:paraId="163BBBAF" w14:textId="77777777" w:rsidR="00A73F72" w:rsidRDefault="00A73F72" w:rsidP="00E539D8">
      <w:r>
        <w:continuationSeparator/>
      </w:r>
    </w:p>
  </w:footnote>
  <w:footnote w:type="continuationNotice" w:id="1">
    <w:p w14:paraId="55946B05" w14:textId="77777777" w:rsidR="00A73F72" w:rsidRDefault="00A73F72"/>
  </w:footnote>
  <w:footnote w:id="2">
    <w:p w14:paraId="4CC4599A" w14:textId="7E03F0E9" w:rsidR="008E2682" w:rsidRPr="008E2682" w:rsidRDefault="008E2682" w:rsidP="00A74B7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lang w:val="en-US"/>
        </w:rPr>
        <w:t xml:space="preserve">Committee </w:t>
      </w:r>
      <w:r w:rsidR="00022079">
        <w:rPr>
          <w:lang w:val="en-US"/>
        </w:rPr>
        <w:t>a</w:t>
      </w:r>
      <w:r>
        <w:rPr>
          <w:lang w:val="en-US"/>
        </w:rPr>
        <w:t xml:space="preserve">gainst Torture, </w:t>
      </w:r>
      <w:r w:rsidRPr="00022079">
        <w:rPr>
          <w:i/>
          <w:lang w:val="en-US"/>
        </w:rPr>
        <w:t xml:space="preserve">Follow-up </w:t>
      </w:r>
      <w:r w:rsidR="00787FAF">
        <w:rPr>
          <w:i/>
          <w:lang w:val="en-US"/>
        </w:rPr>
        <w:t>S</w:t>
      </w:r>
      <w:r w:rsidRPr="00022079">
        <w:rPr>
          <w:i/>
          <w:lang w:val="en-US"/>
        </w:rPr>
        <w:t>tate party’s report</w:t>
      </w:r>
      <w:r>
        <w:rPr>
          <w:lang w:val="en-US"/>
        </w:rPr>
        <w:t xml:space="preserve">, 2 May 2017, </w:t>
      </w:r>
      <w:r w:rsidR="00A74B72" w:rsidRPr="008E2682">
        <w:rPr>
          <w:lang w:val="en-US"/>
        </w:rPr>
        <w:t>CAT/C/KWT/CO/3/Add.1</w:t>
      </w:r>
      <w:r w:rsidR="00A74B72">
        <w:rPr>
          <w:lang w:val="en-US"/>
        </w:rPr>
        <w:t xml:space="preserve">, </w:t>
      </w:r>
      <w:r>
        <w:rPr>
          <w:lang w:val="en-US"/>
        </w:rPr>
        <w:t>p.5</w:t>
      </w:r>
      <w:r w:rsidR="00585A55">
        <w:rPr>
          <w:lang w:val="en-US"/>
        </w:rPr>
        <w:t>.</w:t>
      </w:r>
      <w:proofErr w:type="gramEnd"/>
    </w:p>
  </w:footnote>
  <w:footnote w:id="3">
    <w:p w14:paraId="23AE5704" w14:textId="77777777" w:rsidR="008E2682" w:rsidRPr="003C1E3A" w:rsidRDefault="008E2682">
      <w:pPr>
        <w:pStyle w:val="FootnoteText"/>
        <w:rPr>
          <w:lang w:val="en-US"/>
        </w:rPr>
      </w:pPr>
      <w:r w:rsidRPr="003C1E3A">
        <w:rPr>
          <w:rStyle w:val="FootnoteReference"/>
        </w:rPr>
        <w:footnoteRef/>
      </w:r>
      <w:r w:rsidRPr="003C1E3A">
        <w:t xml:space="preserve"> </w:t>
      </w:r>
      <w:proofErr w:type="gramStart"/>
      <w:r w:rsidRPr="00C806C3">
        <w:rPr>
          <w:i/>
          <w:iCs/>
          <w:lang w:val="en-US"/>
        </w:rPr>
        <w:t>Ibid</w:t>
      </w:r>
      <w:r w:rsidRPr="003C1E3A">
        <w:rPr>
          <w:lang w:val="en-US"/>
        </w:rPr>
        <w:t xml:space="preserve">, </w:t>
      </w:r>
      <w:r w:rsidR="003C1E3A" w:rsidRPr="003C1E3A">
        <w:rPr>
          <w:lang w:val="en-US"/>
        </w:rPr>
        <w:t>p. 6</w:t>
      </w:r>
      <w:r w:rsidR="00585A55">
        <w:rPr>
          <w:lang w:val="en-US"/>
        </w:rPr>
        <w:t>.</w:t>
      </w:r>
      <w:proofErr w:type="gramEnd"/>
    </w:p>
  </w:footnote>
  <w:footnote w:id="4">
    <w:p w14:paraId="724D07C5" w14:textId="77777777" w:rsidR="00E85969" w:rsidRPr="00E85969" w:rsidRDefault="00E85969">
      <w:pPr>
        <w:pStyle w:val="FootnoteText"/>
        <w:rPr>
          <w:lang w:val="en-US"/>
        </w:rPr>
      </w:pPr>
      <w:r w:rsidRPr="003C1E3A">
        <w:rPr>
          <w:rStyle w:val="FootnoteReference"/>
        </w:rPr>
        <w:footnoteRef/>
      </w:r>
      <w:r w:rsidRPr="003C1E3A">
        <w:t xml:space="preserve"> </w:t>
      </w:r>
      <w:proofErr w:type="gramStart"/>
      <w:r w:rsidR="003C1E3A" w:rsidRPr="00C806C3">
        <w:rPr>
          <w:i/>
          <w:iCs/>
          <w:lang w:val="en-US"/>
        </w:rPr>
        <w:t>Ibid</w:t>
      </w:r>
      <w:r w:rsidR="003C1E3A" w:rsidRPr="003C1E3A">
        <w:rPr>
          <w:lang w:val="en-US"/>
        </w:rPr>
        <w:t>, p.15</w:t>
      </w:r>
      <w:r w:rsidR="00585A55">
        <w:rPr>
          <w:lang w:val="en-US"/>
        </w:rPr>
        <w:t>.</w:t>
      </w:r>
      <w:proofErr w:type="gramEnd"/>
    </w:p>
  </w:footnote>
  <w:footnote w:id="5">
    <w:p w14:paraId="1030102C" w14:textId="77777777" w:rsidR="00E85969" w:rsidRPr="00E85969" w:rsidRDefault="00E8596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 w:rsidRPr="00C806C3">
        <w:rPr>
          <w:i/>
          <w:iCs/>
          <w:lang w:val="en-US"/>
        </w:rPr>
        <w:t>Ibid</w:t>
      </w:r>
      <w:r>
        <w:rPr>
          <w:lang w:val="en-US"/>
        </w:rPr>
        <w:t>, p.1</w:t>
      </w:r>
      <w:r w:rsidR="00585A55">
        <w:rPr>
          <w:lang w:val="en-US"/>
        </w:rPr>
        <w:t>.</w:t>
      </w:r>
      <w:proofErr w:type="gramEnd"/>
    </w:p>
  </w:footnote>
  <w:footnote w:id="6">
    <w:p w14:paraId="1EE9285A" w14:textId="62A211F0" w:rsidR="007B4ECF" w:rsidRPr="007B4ECF" w:rsidRDefault="007B4EC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The National, </w:t>
      </w:r>
      <w:r w:rsidRPr="00022079">
        <w:rPr>
          <w:i/>
          <w:lang w:val="en-US"/>
        </w:rPr>
        <w:t>Kuwait hangs seven people</w:t>
      </w:r>
      <w:r>
        <w:rPr>
          <w:lang w:val="en-US"/>
        </w:rPr>
        <w:t xml:space="preserve">, 25 January 2017, </w:t>
      </w:r>
      <w:hyperlink r:id="rId1" w:history="1">
        <w:r w:rsidR="00585A55" w:rsidRPr="003E7F1B">
          <w:rPr>
            <w:rStyle w:val="Hyperlink"/>
            <w:lang w:val="en-US"/>
          </w:rPr>
          <w:t>http://www.thenational.ae/world/middle-east/kuwait-hangs-seven-people</w:t>
        </w:r>
      </w:hyperlink>
      <w:r w:rsidR="00585A55">
        <w:rPr>
          <w:lang w:val="en-US"/>
        </w:rPr>
        <w:t xml:space="preserve"> (accessed on 22 June 2017).</w:t>
      </w:r>
    </w:p>
  </w:footnote>
  <w:footnote w:id="7">
    <w:p w14:paraId="71BDB94B" w14:textId="01CF6633" w:rsidR="00BF0EC8" w:rsidRPr="00BF0EC8" w:rsidRDefault="00BF0EC8" w:rsidP="00A74B7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lang w:val="en-US"/>
        </w:rPr>
        <w:t xml:space="preserve">Committee against Torture, </w:t>
      </w:r>
      <w:r w:rsidR="00787FAF">
        <w:rPr>
          <w:i/>
          <w:iCs/>
          <w:lang w:val="en-US"/>
        </w:rPr>
        <w:t>Follow-up S</w:t>
      </w:r>
      <w:r w:rsidR="00585A55" w:rsidRPr="00585A55">
        <w:rPr>
          <w:i/>
          <w:iCs/>
          <w:lang w:val="en-US"/>
        </w:rPr>
        <w:t>tate party’s report</w:t>
      </w:r>
      <w:r w:rsidR="00A74B72">
        <w:rPr>
          <w:lang w:val="en-US"/>
        </w:rPr>
        <w:t>,</w:t>
      </w:r>
      <w:r w:rsidR="00585A55" w:rsidRPr="00585A55">
        <w:rPr>
          <w:lang w:val="en-US"/>
        </w:rPr>
        <w:t xml:space="preserve"> </w:t>
      </w:r>
      <w:r w:rsidR="00A74B72">
        <w:rPr>
          <w:lang w:val="en-US"/>
        </w:rPr>
        <w:t xml:space="preserve">2 May 2017, </w:t>
      </w:r>
      <w:r w:rsidR="00A74B72" w:rsidRPr="008E2682">
        <w:rPr>
          <w:lang w:val="en-US"/>
        </w:rPr>
        <w:t>CAT/C/KWT/CO/3/Add.1</w:t>
      </w:r>
      <w:r w:rsidR="00A74B72">
        <w:rPr>
          <w:lang w:val="en-US"/>
        </w:rPr>
        <w:t>,</w:t>
      </w:r>
      <w:r w:rsidR="00A74B72" w:rsidRPr="00585A55" w:rsidDel="00A74B72">
        <w:rPr>
          <w:lang w:val="en-US"/>
        </w:rPr>
        <w:t xml:space="preserve"> </w:t>
      </w:r>
      <w:r>
        <w:rPr>
          <w:lang w:val="en-US"/>
        </w:rPr>
        <w:t>p.21</w:t>
      </w:r>
      <w:r w:rsidR="00585A55">
        <w:rPr>
          <w:lang w:val="en-US"/>
        </w:rPr>
        <w:t>.</w:t>
      </w:r>
      <w:proofErr w:type="gramEnd"/>
    </w:p>
  </w:footnote>
  <w:footnote w:id="8">
    <w:p w14:paraId="183B77B7" w14:textId="0C9071FF" w:rsidR="00BC5D2F" w:rsidRPr="00022079" w:rsidRDefault="00BC5D2F" w:rsidP="00A74B7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 w:rsidR="00022079">
        <w:rPr>
          <w:lang w:val="en-US"/>
        </w:rPr>
        <w:t>General Assembly, C</w:t>
      </w:r>
      <w:r w:rsidR="00022079" w:rsidRPr="00022079">
        <w:rPr>
          <w:lang w:val="en-US"/>
        </w:rPr>
        <w:t>ivil and political rights, including the questions of disappearances and summary executions</w:t>
      </w:r>
      <w:r w:rsidR="00022079">
        <w:rPr>
          <w:lang w:val="en-US"/>
        </w:rPr>
        <w:t xml:space="preserve">, Report </w:t>
      </w:r>
      <w:r w:rsidR="00022079" w:rsidRPr="00022079">
        <w:rPr>
          <w:lang w:val="en-US"/>
        </w:rPr>
        <w:t>of the Special Rapporteur on extrajudicial, summary or arbitrary executions, Philip Alston</w:t>
      </w:r>
      <w:r w:rsidR="00A74B72">
        <w:rPr>
          <w:lang w:val="en-US"/>
        </w:rPr>
        <w:t>,</w:t>
      </w:r>
      <w:r w:rsidR="00022079">
        <w:rPr>
          <w:lang w:val="en-US"/>
        </w:rPr>
        <w:t xml:space="preserve"> 29 January 2007, </w:t>
      </w:r>
      <w:r w:rsidR="00A74B72">
        <w:rPr>
          <w:lang w:val="en-US"/>
        </w:rPr>
        <w:t xml:space="preserve">A/HRC/4/20, </w:t>
      </w:r>
      <w:r w:rsidR="00022079">
        <w:rPr>
          <w:lang w:val="en-US"/>
        </w:rPr>
        <w:t>para.51.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61BBD" w14:textId="77777777" w:rsidR="00864C1B" w:rsidRDefault="00864C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EC55C1" w14:textId="77777777" w:rsidR="00363E7D" w:rsidRDefault="00363E7D">
    <w:pPr>
      <w:pStyle w:val="Header"/>
      <w:jc w:val="right"/>
    </w:pPr>
  </w:p>
  <w:p w14:paraId="5BA2A095" w14:textId="77777777" w:rsidR="00363E7D" w:rsidRPr="006F2A9F" w:rsidRDefault="00363E7D" w:rsidP="00B03317">
    <w:pPr>
      <w:pStyle w:val="Header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6D364" w14:textId="77777777" w:rsidR="00864C1B" w:rsidRDefault="00864C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142E3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6C222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62AED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30F3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FA297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CFC44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6AC7D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AE47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7C8A5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5C011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EA09B6"/>
    <w:multiLevelType w:val="hybridMultilevel"/>
    <w:tmpl w:val="191A6D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37978"/>
    <w:multiLevelType w:val="hybridMultilevel"/>
    <w:tmpl w:val="8208CC28"/>
    <w:lvl w:ilvl="0" w:tplc="50E827C8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F07A40"/>
    <w:multiLevelType w:val="multilevel"/>
    <w:tmpl w:val="3FDC648C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2"/>
      <w:numFmt w:val="decimal"/>
      <w:pStyle w:val="Heading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5C"/>
    <w:rsid w:val="000162D2"/>
    <w:rsid w:val="00022079"/>
    <w:rsid w:val="00036102"/>
    <w:rsid w:val="000373BF"/>
    <w:rsid w:val="00044036"/>
    <w:rsid w:val="000A3F6E"/>
    <w:rsid w:val="000E734A"/>
    <w:rsid w:val="00124E40"/>
    <w:rsid w:val="00136B8D"/>
    <w:rsid w:val="001377A0"/>
    <w:rsid w:val="00187410"/>
    <w:rsid w:val="00195E51"/>
    <w:rsid w:val="00214697"/>
    <w:rsid w:val="00223900"/>
    <w:rsid w:val="00227CBD"/>
    <w:rsid w:val="00231CCE"/>
    <w:rsid w:val="00261D85"/>
    <w:rsid w:val="00292C87"/>
    <w:rsid w:val="00295CD0"/>
    <w:rsid w:val="002C22ED"/>
    <w:rsid w:val="002C4DCB"/>
    <w:rsid w:val="002E3886"/>
    <w:rsid w:val="002F662B"/>
    <w:rsid w:val="0031260E"/>
    <w:rsid w:val="0033497B"/>
    <w:rsid w:val="00363E7D"/>
    <w:rsid w:val="00374BC6"/>
    <w:rsid w:val="003941AA"/>
    <w:rsid w:val="003C1E3A"/>
    <w:rsid w:val="003D0735"/>
    <w:rsid w:val="003D615C"/>
    <w:rsid w:val="003D7F13"/>
    <w:rsid w:val="00415C8B"/>
    <w:rsid w:val="004243DF"/>
    <w:rsid w:val="004504C9"/>
    <w:rsid w:val="00476DAC"/>
    <w:rsid w:val="004F3B87"/>
    <w:rsid w:val="005040AB"/>
    <w:rsid w:val="00536347"/>
    <w:rsid w:val="00563D71"/>
    <w:rsid w:val="00585A55"/>
    <w:rsid w:val="00596CFB"/>
    <w:rsid w:val="005B5783"/>
    <w:rsid w:val="005C4E8C"/>
    <w:rsid w:val="005D03AD"/>
    <w:rsid w:val="005D0546"/>
    <w:rsid w:val="005D1076"/>
    <w:rsid w:val="005F508A"/>
    <w:rsid w:val="006236F8"/>
    <w:rsid w:val="00636331"/>
    <w:rsid w:val="00654BA6"/>
    <w:rsid w:val="0067211F"/>
    <w:rsid w:val="00696CAE"/>
    <w:rsid w:val="006A0B96"/>
    <w:rsid w:val="006A5AC1"/>
    <w:rsid w:val="006C1EB2"/>
    <w:rsid w:val="006E0B6F"/>
    <w:rsid w:val="006F2A9F"/>
    <w:rsid w:val="0070663A"/>
    <w:rsid w:val="00724EA7"/>
    <w:rsid w:val="00736031"/>
    <w:rsid w:val="00742D61"/>
    <w:rsid w:val="0076739A"/>
    <w:rsid w:val="0077392A"/>
    <w:rsid w:val="00784007"/>
    <w:rsid w:val="00786279"/>
    <w:rsid w:val="00787FAF"/>
    <w:rsid w:val="00792A1C"/>
    <w:rsid w:val="007A2B35"/>
    <w:rsid w:val="007B2E81"/>
    <w:rsid w:val="007B4ECF"/>
    <w:rsid w:val="007C1E34"/>
    <w:rsid w:val="007D1A0F"/>
    <w:rsid w:val="007D510C"/>
    <w:rsid w:val="007F7062"/>
    <w:rsid w:val="00831445"/>
    <w:rsid w:val="00840DAE"/>
    <w:rsid w:val="00856AEF"/>
    <w:rsid w:val="00857140"/>
    <w:rsid w:val="00864C1B"/>
    <w:rsid w:val="008A144F"/>
    <w:rsid w:val="008C2424"/>
    <w:rsid w:val="008C2F0D"/>
    <w:rsid w:val="008E2682"/>
    <w:rsid w:val="008F6C65"/>
    <w:rsid w:val="00904875"/>
    <w:rsid w:val="00906A36"/>
    <w:rsid w:val="00915C03"/>
    <w:rsid w:val="00927E51"/>
    <w:rsid w:val="009425B8"/>
    <w:rsid w:val="0096312A"/>
    <w:rsid w:val="00984CCB"/>
    <w:rsid w:val="00990ABE"/>
    <w:rsid w:val="009A108C"/>
    <w:rsid w:val="009A4609"/>
    <w:rsid w:val="009C11E6"/>
    <w:rsid w:val="00A03778"/>
    <w:rsid w:val="00A447BC"/>
    <w:rsid w:val="00A5234F"/>
    <w:rsid w:val="00A55FD8"/>
    <w:rsid w:val="00A72910"/>
    <w:rsid w:val="00A73F72"/>
    <w:rsid w:val="00A74B72"/>
    <w:rsid w:val="00A82CBB"/>
    <w:rsid w:val="00AB1536"/>
    <w:rsid w:val="00AD3586"/>
    <w:rsid w:val="00B03317"/>
    <w:rsid w:val="00B4606A"/>
    <w:rsid w:val="00B51031"/>
    <w:rsid w:val="00B52F00"/>
    <w:rsid w:val="00B70351"/>
    <w:rsid w:val="00B85AE3"/>
    <w:rsid w:val="00B876E8"/>
    <w:rsid w:val="00B956EA"/>
    <w:rsid w:val="00BC5D2F"/>
    <w:rsid w:val="00BF0EC8"/>
    <w:rsid w:val="00BF42B6"/>
    <w:rsid w:val="00C264FC"/>
    <w:rsid w:val="00C3036C"/>
    <w:rsid w:val="00C66954"/>
    <w:rsid w:val="00C66EA0"/>
    <w:rsid w:val="00C806C3"/>
    <w:rsid w:val="00C8157E"/>
    <w:rsid w:val="00CA1F0D"/>
    <w:rsid w:val="00CA4D9B"/>
    <w:rsid w:val="00CD72C7"/>
    <w:rsid w:val="00CE407E"/>
    <w:rsid w:val="00CF25D5"/>
    <w:rsid w:val="00D112C4"/>
    <w:rsid w:val="00D1687D"/>
    <w:rsid w:val="00D536A6"/>
    <w:rsid w:val="00D72E53"/>
    <w:rsid w:val="00DB2B5C"/>
    <w:rsid w:val="00DC0DE8"/>
    <w:rsid w:val="00DC6FEC"/>
    <w:rsid w:val="00DC7208"/>
    <w:rsid w:val="00DD03C2"/>
    <w:rsid w:val="00DE3933"/>
    <w:rsid w:val="00E00C39"/>
    <w:rsid w:val="00E270D0"/>
    <w:rsid w:val="00E46A70"/>
    <w:rsid w:val="00E539D8"/>
    <w:rsid w:val="00E63550"/>
    <w:rsid w:val="00E759AE"/>
    <w:rsid w:val="00E85969"/>
    <w:rsid w:val="00F025C1"/>
    <w:rsid w:val="00F1221F"/>
    <w:rsid w:val="00F20B8D"/>
    <w:rsid w:val="00F219DB"/>
    <w:rsid w:val="00F33F92"/>
    <w:rsid w:val="00F46BF2"/>
    <w:rsid w:val="00F61E3B"/>
    <w:rsid w:val="00F677FF"/>
    <w:rsid w:val="00FA14CA"/>
    <w:rsid w:val="00FC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6EF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Helvetica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373BF"/>
    <w:pPr>
      <w:jc w:val="both"/>
    </w:pPr>
    <w:rPr>
      <w:rFonts w:ascii="Tahoma" w:hAnsi="Tahoma"/>
      <w:szCs w:val="22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ABE"/>
    <w:pPr>
      <w:keepNext/>
      <w:numPr>
        <w:numId w:val="2"/>
      </w:numPr>
      <w:pBdr>
        <w:bottom w:val="single" w:sz="12" w:space="1" w:color="auto"/>
      </w:pBdr>
      <w:shd w:val="clear" w:color="auto" w:fill="FFFFFF"/>
      <w:ind w:left="360"/>
      <w:outlineLvl w:val="0"/>
    </w:pPr>
    <w:rPr>
      <w:rFonts w:eastAsia="Times New Roman" w:cs="Times New Roman"/>
      <w:b/>
      <w:bCs/>
      <w:kern w:val="32"/>
      <w:sz w:val="24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0DAE"/>
    <w:pPr>
      <w:keepNext/>
      <w:numPr>
        <w:ilvl w:val="1"/>
        <w:numId w:val="2"/>
      </w:numPr>
      <w:shd w:val="clear" w:color="auto" w:fill="FFFFFF"/>
      <w:ind w:left="567" w:hanging="567"/>
      <w:outlineLvl w:val="1"/>
    </w:pPr>
    <w:rPr>
      <w:rFonts w:eastAsia="Times New Roman" w:cs="Times New Roman"/>
      <w:b/>
      <w:bCs/>
      <w:iCs/>
      <w:sz w:val="2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CD72C7"/>
    <w:pPr>
      <w:keepNext/>
      <w:numPr>
        <w:ilvl w:val="2"/>
        <w:numId w:val="2"/>
      </w:numPr>
      <w:ind w:left="720"/>
      <w:outlineLvl w:val="2"/>
    </w:pPr>
    <w:rPr>
      <w:b/>
      <w:szCs w:val="26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60E"/>
    <w:pPr>
      <w:tabs>
        <w:tab w:val="center" w:pos="4536"/>
        <w:tab w:val="right" w:pos="9072"/>
      </w:tabs>
    </w:pPr>
    <w:rPr>
      <w:rFonts w:cs="Times New Roman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1260E"/>
    <w:rPr>
      <w:rFonts w:ascii="Tahoma" w:eastAsia="Calibri" w:hAnsi="Tahoma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60E"/>
    <w:rPr>
      <w:rFonts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1260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31260E"/>
    <w:pPr>
      <w:suppressAutoHyphens/>
      <w:spacing w:before="100" w:after="100"/>
      <w:ind w:firstLine="284"/>
      <w:jc w:val="left"/>
    </w:pPr>
    <w:rPr>
      <w:rFonts w:eastAsia="Times New Roman" w:cs="Times New Roman"/>
      <w:szCs w:val="24"/>
      <w:lang w:val="de-DE" w:eastAsia="ar-SA"/>
    </w:rPr>
  </w:style>
  <w:style w:type="paragraph" w:customStyle="1" w:styleId="Default">
    <w:name w:val="Default"/>
    <w:rsid w:val="003D073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val="fr-FR" w:eastAsia="fr-FR"/>
    </w:rPr>
  </w:style>
  <w:style w:type="paragraph" w:styleId="Footer">
    <w:name w:val="footer"/>
    <w:basedOn w:val="Normal"/>
    <w:link w:val="FooterChar"/>
    <w:uiPriority w:val="99"/>
    <w:unhideWhenUsed/>
    <w:rsid w:val="00840DAE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FooterChar">
    <w:name w:val="Footer Char"/>
    <w:link w:val="Footer"/>
    <w:uiPriority w:val="99"/>
    <w:rsid w:val="00840DAE"/>
    <w:rPr>
      <w:rFonts w:ascii="Tahoma" w:hAnsi="Tahoma"/>
      <w:szCs w:val="22"/>
      <w:lang w:eastAsia="en-US"/>
    </w:rPr>
  </w:style>
  <w:style w:type="character" w:customStyle="1" w:styleId="Heading1Char">
    <w:name w:val="Heading 1 Char"/>
    <w:link w:val="Heading1"/>
    <w:uiPriority w:val="9"/>
    <w:rsid w:val="00990ABE"/>
    <w:rPr>
      <w:rFonts w:ascii="Tahoma" w:eastAsia="Times New Roman" w:hAnsi="Tahoma" w:cs="Times New Roman"/>
      <w:b/>
      <w:bCs/>
      <w:kern w:val="32"/>
      <w:sz w:val="24"/>
      <w:szCs w:val="32"/>
      <w:shd w:val="clear" w:color="auto" w:fill="FFFFFF"/>
      <w:lang w:val="en-US" w:eastAsia="en-US"/>
    </w:rPr>
  </w:style>
  <w:style w:type="character" w:customStyle="1" w:styleId="Heading2Char">
    <w:name w:val="Heading 2 Char"/>
    <w:link w:val="Heading2"/>
    <w:uiPriority w:val="9"/>
    <w:rsid w:val="00840DAE"/>
    <w:rPr>
      <w:rFonts w:ascii="Tahoma" w:eastAsia="Times New Roman" w:hAnsi="Tahoma" w:cs="Times New Roman"/>
      <w:b/>
      <w:bCs/>
      <w:iCs/>
      <w:sz w:val="22"/>
      <w:szCs w:val="28"/>
      <w:shd w:val="clear" w:color="auto" w:fill="FFFFFF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1377A0"/>
    <w:pPr>
      <w:keepLines/>
      <w:numPr>
        <w:numId w:val="0"/>
      </w:numPr>
      <w:pBdr>
        <w:bottom w:val="none" w:sz="0" w:space="0" w:color="auto"/>
      </w:pBdr>
      <w:spacing w:before="480" w:line="276" w:lineRule="auto"/>
      <w:jc w:val="left"/>
      <w:outlineLvl w:val="9"/>
    </w:pPr>
    <w:rPr>
      <w:rFonts w:ascii="Cambria" w:hAnsi="Cambria"/>
      <w:color w:val="365F91"/>
      <w:kern w:val="0"/>
      <w:szCs w:val="28"/>
      <w:lang w:val="fr-FR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377A0"/>
    <w:pPr>
      <w:spacing w:before="120" w:after="120"/>
      <w:jc w:val="left"/>
    </w:pPr>
    <w:rPr>
      <w:rFonts w:ascii="Calibri" w:hAnsi="Calibri" w:cs="Times New Roman"/>
      <w:b/>
      <w:bCs/>
      <w:caps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377A0"/>
    <w:pPr>
      <w:ind w:left="200"/>
      <w:jc w:val="left"/>
    </w:pPr>
    <w:rPr>
      <w:rFonts w:ascii="Calibri" w:hAnsi="Calibri" w:cs="Times New Roman"/>
      <w:smallCaps/>
      <w:szCs w:val="24"/>
    </w:rPr>
  </w:style>
  <w:style w:type="character" w:styleId="Hyperlink">
    <w:name w:val="Hyperlink"/>
    <w:uiPriority w:val="99"/>
    <w:unhideWhenUsed/>
    <w:rsid w:val="001377A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"/>
    <w:qFormat/>
    <w:rsid w:val="00840DAE"/>
    <w:rPr>
      <w:rFonts w:cs="Times New Roman"/>
      <w:sz w:val="16"/>
      <w:szCs w:val="20"/>
      <w:lang w:val="x-none"/>
    </w:rPr>
  </w:style>
  <w:style w:type="character" w:customStyle="1" w:styleId="FootnoteTextChar">
    <w:name w:val="Footnote Text Char"/>
    <w:link w:val="FootnoteText"/>
    <w:uiPriority w:val="9"/>
    <w:rsid w:val="000373BF"/>
    <w:rPr>
      <w:rFonts w:ascii="Tahoma" w:hAnsi="Tahoma"/>
      <w:sz w:val="16"/>
      <w:lang w:eastAsia="en-US"/>
    </w:rPr>
  </w:style>
  <w:style w:type="character" w:styleId="FootnoteReference">
    <w:name w:val="footnote reference"/>
    <w:uiPriority w:val="99"/>
    <w:semiHidden/>
    <w:unhideWhenUsed/>
    <w:rsid w:val="00B70351"/>
    <w:rPr>
      <w:vertAlign w:val="superscript"/>
    </w:rPr>
  </w:style>
  <w:style w:type="character" w:customStyle="1" w:styleId="Heading3Char">
    <w:name w:val="Heading 3 Char"/>
    <w:link w:val="Heading3"/>
    <w:uiPriority w:val="9"/>
    <w:rsid w:val="00CD72C7"/>
    <w:rPr>
      <w:rFonts w:ascii="Tahoma" w:hAnsi="Tahoma"/>
      <w:b/>
      <w:szCs w:val="26"/>
      <w:lang w:val="fr-FR" w:eastAsia="fr-FR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7D1A0F"/>
    <w:pPr>
      <w:ind w:left="400"/>
      <w:jc w:val="left"/>
    </w:pPr>
    <w:rPr>
      <w:rFonts w:ascii="Calibri" w:hAnsi="Calibri" w:cs="Times New Roman"/>
      <w:i/>
      <w:iCs/>
      <w:szCs w:val="24"/>
    </w:rPr>
  </w:style>
  <w:style w:type="paragraph" w:customStyle="1" w:styleId="Style1">
    <w:name w:val="Style1"/>
    <w:basedOn w:val="Heading1"/>
    <w:rsid w:val="00CD72C7"/>
    <w:rPr>
      <w:caps/>
    </w:rPr>
  </w:style>
  <w:style w:type="paragraph" w:styleId="TOC4">
    <w:name w:val="toc 4"/>
    <w:basedOn w:val="Normal"/>
    <w:next w:val="Normal"/>
    <w:autoRedefine/>
    <w:uiPriority w:val="39"/>
    <w:unhideWhenUsed/>
    <w:rsid w:val="00CA1F0D"/>
    <w:pPr>
      <w:ind w:left="600"/>
      <w:jc w:val="left"/>
    </w:pPr>
    <w:rPr>
      <w:rFonts w:ascii="Calibri" w:hAnsi="Calibri" w:cs="Times New Roman"/>
      <w:sz w:val="18"/>
      <w:szCs w:val="21"/>
    </w:rPr>
  </w:style>
  <w:style w:type="paragraph" w:styleId="TOC5">
    <w:name w:val="toc 5"/>
    <w:basedOn w:val="Normal"/>
    <w:next w:val="Normal"/>
    <w:autoRedefine/>
    <w:uiPriority w:val="39"/>
    <w:unhideWhenUsed/>
    <w:rsid w:val="00CA1F0D"/>
    <w:pPr>
      <w:ind w:left="800"/>
      <w:jc w:val="left"/>
    </w:pPr>
    <w:rPr>
      <w:rFonts w:ascii="Calibri" w:hAnsi="Calibri" w:cs="Times New Roman"/>
      <w:sz w:val="18"/>
      <w:szCs w:val="21"/>
    </w:rPr>
  </w:style>
  <w:style w:type="paragraph" w:styleId="TOC6">
    <w:name w:val="toc 6"/>
    <w:basedOn w:val="Normal"/>
    <w:next w:val="Normal"/>
    <w:autoRedefine/>
    <w:uiPriority w:val="39"/>
    <w:unhideWhenUsed/>
    <w:rsid w:val="00CA1F0D"/>
    <w:pPr>
      <w:ind w:left="1000"/>
      <w:jc w:val="left"/>
    </w:pPr>
    <w:rPr>
      <w:rFonts w:ascii="Calibri" w:hAnsi="Calibri" w:cs="Times New Roman"/>
      <w:sz w:val="18"/>
      <w:szCs w:val="21"/>
    </w:rPr>
  </w:style>
  <w:style w:type="paragraph" w:styleId="TOC7">
    <w:name w:val="toc 7"/>
    <w:basedOn w:val="Normal"/>
    <w:next w:val="Normal"/>
    <w:autoRedefine/>
    <w:uiPriority w:val="39"/>
    <w:unhideWhenUsed/>
    <w:rsid w:val="00CA1F0D"/>
    <w:pPr>
      <w:ind w:left="1200"/>
      <w:jc w:val="left"/>
    </w:pPr>
    <w:rPr>
      <w:rFonts w:ascii="Calibri" w:hAnsi="Calibri" w:cs="Times New Roman"/>
      <w:sz w:val="18"/>
      <w:szCs w:val="21"/>
    </w:rPr>
  </w:style>
  <w:style w:type="paragraph" w:styleId="TOC8">
    <w:name w:val="toc 8"/>
    <w:basedOn w:val="Normal"/>
    <w:next w:val="Normal"/>
    <w:autoRedefine/>
    <w:uiPriority w:val="39"/>
    <w:unhideWhenUsed/>
    <w:rsid w:val="00CA1F0D"/>
    <w:pPr>
      <w:ind w:left="1400"/>
      <w:jc w:val="left"/>
    </w:pPr>
    <w:rPr>
      <w:rFonts w:ascii="Calibri" w:hAnsi="Calibri" w:cs="Times New Roman"/>
      <w:sz w:val="18"/>
      <w:szCs w:val="21"/>
    </w:rPr>
  </w:style>
  <w:style w:type="paragraph" w:styleId="TOC9">
    <w:name w:val="toc 9"/>
    <w:basedOn w:val="Normal"/>
    <w:next w:val="Normal"/>
    <w:autoRedefine/>
    <w:uiPriority w:val="39"/>
    <w:unhideWhenUsed/>
    <w:rsid w:val="00CA1F0D"/>
    <w:pPr>
      <w:ind w:left="1600"/>
      <w:jc w:val="left"/>
    </w:pPr>
    <w:rPr>
      <w:rFonts w:ascii="Calibri" w:hAnsi="Calibri" w:cs="Times New Roman"/>
      <w:sz w:val="18"/>
      <w:szCs w:val="21"/>
    </w:rPr>
  </w:style>
  <w:style w:type="paragraph" w:styleId="ListParagraph">
    <w:name w:val="List Paragraph"/>
    <w:basedOn w:val="Normal"/>
    <w:uiPriority w:val="34"/>
    <w:qFormat/>
    <w:rsid w:val="005D107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6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610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6102"/>
    <w:rPr>
      <w:rFonts w:ascii="Tahoma" w:hAnsi="Tahoma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1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102"/>
    <w:rPr>
      <w:rFonts w:ascii="Tahoma" w:hAnsi="Tahoma"/>
      <w:b/>
      <w:bCs/>
      <w:lang w:val="fr-FR"/>
    </w:rPr>
  </w:style>
  <w:style w:type="paragraph" w:styleId="Revision">
    <w:name w:val="Revision"/>
    <w:hidden/>
    <w:uiPriority w:val="99"/>
    <w:semiHidden/>
    <w:rsid w:val="00585A55"/>
    <w:rPr>
      <w:rFonts w:ascii="Tahoma" w:hAnsi="Tahoma"/>
      <w:szCs w:val="22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Helvetica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373BF"/>
    <w:pPr>
      <w:jc w:val="both"/>
    </w:pPr>
    <w:rPr>
      <w:rFonts w:ascii="Tahoma" w:hAnsi="Tahoma"/>
      <w:szCs w:val="22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ABE"/>
    <w:pPr>
      <w:keepNext/>
      <w:numPr>
        <w:numId w:val="2"/>
      </w:numPr>
      <w:pBdr>
        <w:bottom w:val="single" w:sz="12" w:space="1" w:color="auto"/>
      </w:pBdr>
      <w:shd w:val="clear" w:color="auto" w:fill="FFFFFF"/>
      <w:ind w:left="360"/>
      <w:outlineLvl w:val="0"/>
    </w:pPr>
    <w:rPr>
      <w:rFonts w:eastAsia="Times New Roman" w:cs="Times New Roman"/>
      <w:b/>
      <w:bCs/>
      <w:kern w:val="32"/>
      <w:sz w:val="24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0DAE"/>
    <w:pPr>
      <w:keepNext/>
      <w:numPr>
        <w:ilvl w:val="1"/>
        <w:numId w:val="2"/>
      </w:numPr>
      <w:shd w:val="clear" w:color="auto" w:fill="FFFFFF"/>
      <w:ind w:left="567" w:hanging="567"/>
      <w:outlineLvl w:val="1"/>
    </w:pPr>
    <w:rPr>
      <w:rFonts w:eastAsia="Times New Roman" w:cs="Times New Roman"/>
      <w:b/>
      <w:bCs/>
      <w:iCs/>
      <w:sz w:val="2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CD72C7"/>
    <w:pPr>
      <w:keepNext/>
      <w:numPr>
        <w:ilvl w:val="2"/>
        <w:numId w:val="2"/>
      </w:numPr>
      <w:ind w:left="720"/>
      <w:outlineLvl w:val="2"/>
    </w:pPr>
    <w:rPr>
      <w:b/>
      <w:szCs w:val="26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60E"/>
    <w:pPr>
      <w:tabs>
        <w:tab w:val="center" w:pos="4536"/>
        <w:tab w:val="right" w:pos="9072"/>
      </w:tabs>
    </w:pPr>
    <w:rPr>
      <w:rFonts w:cs="Times New Roman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1260E"/>
    <w:rPr>
      <w:rFonts w:ascii="Tahoma" w:eastAsia="Calibri" w:hAnsi="Tahoma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60E"/>
    <w:rPr>
      <w:rFonts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1260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31260E"/>
    <w:pPr>
      <w:suppressAutoHyphens/>
      <w:spacing w:before="100" w:after="100"/>
      <w:ind w:firstLine="284"/>
      <w:jc w:val="left"/>
    </w:pPr>
    <w:rPr>
      <w:rFonts w:eastAsia="Times New Roman" w:cs="Times New Roman"/>
      <w:szCs w:val="24"/>
      <w:lang w:val="de-DE" w:eastAsia="ar-SA"/>
    </w:rPr>
  </w:style>
  <w:style w:type="paragraph" w:customStyle="1" w:styleId="Default">
    <w:name w:val="Default"/>
    <w:rsid w:val="003D073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val="fr-FR" w:eastAsia="fr-FR"/>
    </w:rPr>
  </w:style>
  <w:style w:type="paragraph" w:styleId="Footer">
    <w:name w:val="footer"/>
    <w:basedOn w:val="Normal"/>
    <w:link w:val="FooterChar"/>
    <w:uiPriority w:val="99"/>
    <w:unhideWhenUsed/>
    <w:rsid w:val="00840DAE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FooterChar">
    <w:name w:val="Footer Char"/>
    <w:link w:val="Footer"/>
    <w:uiPriority w:val="99"/>
    <w:rsid w:val="00840DAE"/>
    <w:rPr>
      <w:rFonts w:ascii="Tahoma" w:hAnsi="Tahoma"/>
      <w:szCs w:val="22"/>
      <w:lang w:eastAsia="en-US"/>
    </w:rPr>
  </w:style>
  <w:style w:type="character" w:customStyle="1" w:styleId="Heading1Char">
    <w:name w:val="Heading 1 Char"/>
    <w:link w:val="Heading1"/>
    <w:uiPriority w:val="9"/>
    <w:rsid w:val="00990ABE"/>
    <w:rPr>
      <w:rFonts w:ascii="Tahoma" w:eastAsia="Times New Roman" w:hAnsi="Tahoma" w:cs="Times New Roman"/>
      <w:b/>
      <w:bCs/>
      <w:kern w:val="32"/>
      <w:sz w:val="24"/>
      <w:szCs w:val="32"/>
      <w:shd w:val="clear" w:color="auto" w:fill="FFFFFF"/>
      <w:lang w:val="en-US" w:eastAsia="en-US"/>
    </w:rPr>
  </w:style>
  <w:style w:type="character" w:customStyle="1" w:styleId="Heading2Char">
    <w:name w:val="Heading 2 Char"/>
    <w:link w:val="Heading2"/>
    <w:uiPriority w:val="9"/>
    <w:rsid w:val="00840DAE"/>
    <w:rPr>
      <w:rFonts w:ascii="Tahoma" w:eastAsia="Times New Roman" w:hAnsi="Tahoma" w:cs="Times New Roman"/>
      <w:b/>
      <w:bCs/>
      <w:iCs/>
      <w:sz w:val="22"/>
      <w:szCs w:val="28"/>
      <w:shd w:val="clear" w:color="auto" w:fill="FFFFFF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1377A0"/>
    <w:pPr>
      <w:keepLines/>
      <w:numPr>
        <w:numId w:val="0"/>
      </w:numPr>
      <w:pBdr>
        <w:bottom w:val="none" w:sz="0" w:space="0" w:color="auto"/>
      </w:pBdr>
      <w:spacing w:before="480" w:line="276" w:lineRule="auto"/>
      <w:jc w:val="left"/>
      <w:outlineLvl w:val="9"/>
    </w:pPr>
    <w:rPr>
      <w:rFonts w:ascii="Cambria" w:hAnsi="Cambria"/>
      <w:color w:val="365F91"/>
      <w:kern w:val="0"/>
      <w:szCs w:val="28"/>
      <w:lang w:val="fr-FR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377A0"/>
    <w:pPr>
      <w:spacing w:before="120" w:after="120"/>
      <w:jc w:val="left"/>
    </w:pPr>
    <w:rPr>
      <w:rFonts w:ascii="Calibri" w:hAnsi="Calibri" w:cs="Times New Roman"/>
      <w:b/>
      <w:bCs/>
      <w:caps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377A0"/>
    <w:pPr>
      <w:ind w:left="200"/>
      <w:jc w:val="left"/>
    </w:pPr>
    <w:rPr>
      <w:rFonts w:ascii="Calibri" w:hAnsi="Calibri" w:cs="Times New Roman"/>
      <w:smallCaps/>
      <w:szCs w:val="24"/>
    </w:rPr>
  </w:style>
  <w:style w:type="character" w:styleId="Hyperlink">
    <w:name w:val="Hyperlink"/>
    <w:uiPriority w:val="99"/>
    <w:unhideWhenUsed/>
    <w:rsid w:val="001377A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"/>
    <w:qFormat/>
    <w:rsid w:val="00840DAE"/>
    <w:rPr>
      <w:rFonts w:cs="Times New Roman"/>
      <w:sz w:val="16"/>
      <w:szCs w:val="20"/>
      <w:lang w:val="x-none"/>
    </w:rPr>
  </w:style>
  <w:style w:type="character" w:customStyle="1" w:styleId="FootnoteTextChar">
    <w:name w:val="Footnote Text Char"/>
    <w:link w:val="FootnoteText"/>
    <w:uiPriority w:val="9"/>
    <w:rsid w:val="000373BF"/>
    <w:rPr>
      <w:rFonts w:ascii="Tahoma" w:hAnsi="Tahoma"/>
      <w:sz w:val="16"/>
      <w:lang w:eastAsia="en-US"/>
    </w:rPr>
  </w:style>
  <w:style w:type="character" w:styleId="FootnoteReference">
    <w:name w:val="footnote reference"/>
    <w:uiPriority w:val="99"/>
    <w:semiHidden/>
    <w:unhideWhenUsed/>
    <w:rsid w:val="00B70351"/>
    <w:rPr>
      <w:vertAlign w:val="superscript"/>
    </w:rPr>
  </w:style>
  <w:style w:type="character" w:customStyle="1" w:styleId="Heading3Char">
    <w:name w:val="Heading 3 Char"/>
    <w:link w:val="Heading3"/>
    <w:uiPriority w:val="9"/>
    <w:rsid w:val="00CD72C7"/>
    <w:rPr>
      <w:rFonts w:ascii="Tahoma" w:hAnsi="Tahoma"/>
      <w:b/>
      <w:szCs w:val="26"/>
      <w:lang w:val="fr-FR" w:eastAsia="fr-FR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7D1A0F"/>
    <w:pPr>
      <w:ind w:left="400"/>
      <w:jc w:val="left"/>
    </w:pPr>
    <w:rPr>
      <w:rFonts w:ascii="Calibri" w:hAnsi="Calibri" w:cs="Times New Roman"/>
      <w:i/>
      <w:iCs/>
      <w:szCs w:val="24"/>
    </w:rPr>
  </w:style>
  <w:style w:type="paragraph" w:customStyle="1" w:styleId="Style1">
    <w:name w:val="Style1"/>
    <w:basedOn w:val="Heading1"/>
    <w:rsid w:val="00CD72C7"/>
    <w:rPr>
      <w:caps/>
    </w:rPr>
  </w:style>
  <w:style w:type="paragraph" w:styleId="TOC4">
    <w:name w:val="toc 4"/>
    <w:basedOn w:val="Normal"/>
    <w:next w:val="Normal"/>
    <w:autoRedefine/>
    <w:uiPriority w:val="39"/>
    <w:unhideWhenUsed/>
    <w:rsid w:val="00CA1F0D"/>
    <w:pPr>
      <w:ind w:left="600"/>
      <w:jc w:val="left"/>
    </w:pPr>
    <w:rPr>
      <w:rFonts w:ascii="Calibri" w:hAnsi="Calibri" w:cs="Times New Roman"/>
      <w:sz w:val="18"/>
      <w:szCs w:val="21"/>
    </w:rPr>
  </w:style>
  <w:style w:type="paragraph" w:styleId="TOC5">
    <w:name w:val="toc 5"/>
    <w:basedOn w:val="Normal"/>
    <w:next w:val="Normal"/>
    <w:autoRedefine/>
    <w:uiPriority w:val="39"/>
    <w:unhideWhenUsed/>
    <w:rsid w:val="00CA1F0D"/>
    <w:pPr>
      <w:ind w:left="800"/>
      <w:jc w:val="left"/>
    </w:pPr>
    <w:rPr>
      <w:rFonts w:ascii="Calibri" w:hAnsi="Calibri" w:cs="Times New Roman"/>
      <w:sz w:val="18"/>
      <w:szCs w:val="21"/>
    </w:rPr>
  </w:style>
  <w:style w:type="paragraph" w:styleId="TOC6">
    <w:name w:val="toc 6"/>
    <w:basedOn w:val="Normal"/>
    <w:next w:val="Normal"/>
    <w:autoRedefine/>
    <w:uiPriority w:val="39"/>
    <w:unhideWhenUsed/>
    <w:rsid w:val="00CA1F0D"/>
    <w:pPr>
      <w:ind w:left="1000"/>
      <w:jc w:val="left"/>
    </w:pPr>
    <w:rPr>
      <w:rFonts w:ascii="Calibri" w:hAnsi="Calibri" w:cs="Times New Roman"/>
      <w:sz w:val="18"/>
      <w:szCs w:val="21"/>
    </w:rPr>
  </w:style>
  <w:style w:type="paragraph" w:styleId="TOC7">
    <w:name w:val="toc 7"/>
    <w:basedOn w:val="Normal"/>
    <w:next w:val="Normal"/>
    <w:autoRedefine/>
    <w:uiPriority w:val="39"/>
    <w:unhideWhenUsed/>
    <w:rsid w:val="00CA1F0D"/>
    <w:pPr>
      <w:ind w:left="1200"/>
      <w:jc w:val="left"/>
    </w:pPr>
    <w:rPr>
      <w:rFonts w:ascii="Calibri" w:hAnsi="Calibri" w:cs="Times New Roman"/>
      <w:sz w:val="18"/>
      <w:szCs w:val="21"/>
    </w:rPr>
  </w:style>
  <w:style w:type="paragraph" w:styleId="TOC8">
    <w:name w:val="toc 8"/>
    <w:basedOn w:val="Normal"/>
    <w:next w:val="Normal"/>
    <w:autoRedefine/>
    <w:uiPriority w:val="39"/>
    <w:unhideWhenUsed/>
    <w:rsid w:val="00CA1F0D"/>
    <w:pPr>
      <w:ind w:left="1400"/>
      <w:jc w:val="left"/>
    </w:pPr>
    <w:rPr>
      <w:rFonts w:ascii="Calibri" w:hAnsi="Calibri" w:cs="Times New Roman"/>
      <w:sz w:val="18"/>
      <w:szCs w:val="21"/>
    </w:rPr>
  </w:style>
  <w:style w:type="paragraph" w:styleId="TOC9">
    <w:name w:val="toc 9"/>
    <w:basedOn w:val="Normal"/>
    <w:next w:val="Normal"/>
    <w:autoRedefine/>
    <w:uiPriority w:val="39"/>
    <w:unhideWhenUsed/>
    <w:rsid w:val="00CA1F0D"/>
    <w:pPr>
      <w:ind w:left="1600"/>
      <w:jc w:val="left"/>
    </w:pPr>
    <w:rPr>
      <w:rFonts w:ascii="Calibri" w:hAnsi="Calibri" w:cs="Times New Roman"/>
      <w:sz w:val="18"/>
      <w:szCs w:val="21"/>
    </w:rPr>
  </w:style>
  <w:style w:type="paragraph" w:styleId="ListParagraph">
    <w:name w:val="List Paragraph"/>
    <w:basedOn w:val="Normal"/>
    <w:uiPriority w:val="34"/>
    <w:qFormat/>
    <w:rsid w:val="005D107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6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610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6102"/>
    <w:rPr>
      <w:rFonts w:ascii="Tahoma" w:hAnsi="Tahoma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1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102"/>
    <w:rPr>
      <w:rFonts w:ascii="Tahoma" w:hAnsi="Tahoma"/>
      <w:b/>
      <w:bCs/>
      <w:lang w:val="fr-FR"/>
    </w:rPr>
  </w:style>
  <w:style w:type="paragraph" w:styleId="Revision">
    <w:name w:val="Revision"/>
    <w:hidden/>
    <w:uiPriority w:val="99"/>
    <w:semiHidden/>
    <w:rsid w:val="00585A55"/>
    <w:rPr>
      <w:rFonts w:ascii="Tahoma" w:hAnsi="Tahoma"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2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henational.ae/world/middle-east/kuwait-hangs-seven-peopl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ZDrive\1.Shared\Questionnaires%20and%20templates\Templates\ENG\Reports\TB_Follow%20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56256B-46C2-454C-A135-804132B61761}"/>
</file>

<file path=customXml/itemProps2.xml><?xml version="1.0" encoding="utf-8"?>
<ds:datastoreItem xmlns:ds="http://schemas.openxmlformats.org/officeDocument/2006/customXml" ds:itemID="{83DFA810-70C9-41F4-8ADE-12249F8C13BB}"/>
</file>

<file path=customXml/itemProps3.xml><?xml version="1.0" encoding="utf-8"?>
<ds:datastoreItem xmlns:ds="http://schemas.openxmlformats.org/officeDocument/2006/customXml" ds:itemID="{B3CC15D9-1D48-4274-ADAE-5D122E6D89CC}"/>
</file>

<file path=customXml/itemProps4.xml><?xml version="1.0" encoding="utf-8"?>
<ds:datastoreItem xmlns:ds="http://schemas.openxmlformats.org/officeDocument/2006/customXml" ds:itemID="{80B6CF81-524C-4F9B-83C1-607373D158DC}"/>
</file>

<file path=docProps/app.xml><?xml version="1.0" encoding="utf-8"?>
<Properties xmlns="http://schemas.openxmlformats.org/officeDocument/2006/extended-properties" xmlns:vt="http://schemas.openxmlformats.org/officeDocument/2006/docPropsVTypes">
  <Template>TB_Follow Up.dot</Template>
  <TotalTime>0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3953</CharactersWithSpaces>
  <SharedDoc>false</SharedDoc>
  <HLinks>
    <vt:vector size="72" baseType="variant">
      <vt:variant>
        <vt:i4>1966141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_Toc222895468</vt:lpwstr>
      </vt:variant>
      <vt:variant>
        <vt:i4>1966141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_Toc222895467</vt:lpwstr>
      </vt:variant>
      <vt:variant>
        <vt:i4>1966141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_Toc222895466</vt:lpwstr>
      </vt:variant>
      <vt:variant>
        <vt:i4>1966141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_Toc222895465</vt:lpwstr>
      </vt:variant>
      <vt:variant>
        <vt:i4>1966141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_Toc222895464</vt:lpwstr>
      </vt:variant>
      <vt:variant>
        <vt:i4>1966141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_Toc222895463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_Toc222895462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_Toc222895461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_Toc222895460</vt:lpwstr>
      </vt:variant>
      <vt:variant>
        <vt:i4>1900605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_Toc222895459</vt:lpwstr>
      </vt:variant>
      <vt:variant>
        <vt:i4>1900605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_Toc222895458</vt:lpwstr>
      </vt:variant>
      <vt:variant>
        <vt:i4>1900605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_Toc222895457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United Nations</cp:lastModifiedBy>
  <cp:revision>2</cp:revision>
  <cp:lastPrinted>2017-06-28T08:24:00Z</cp:lastPrinted>
  <dcterms:created xsi:type="dcterms:W3CDTF">2017-06-28T08:25:00Z</dcterms:created>
  <dcterms:modified xsi:type="dcterms:W3CDTF">2017-06-28T08:25:00Z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