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34BF6" w:rsidRDefault="00834BF6">
      <w:pPr>
        <w:jc w:val="center"/>
        <w:rPr>
          <w:rFonts w:ascii="Times" w:eastAsia="Times" w:hAnsi="Times" w:cs="Times"/>
          <w:sz w:val="20"/>
          <w:szCs w:val="20"/>
        </w:rPr>
      </w:pPr>
    </w:p>
    <w:p w14:paraId="00000002" w14:textId="77777777" w:rsidR="00834BF6" w:rsidRDefault="00834BF6">
      <w:pPr>
        <w:jc w:val="center"/>
        <w:rPr>
          <w:rFonts w:ascii="Times" w:eastAsia="Times" w:hAnsi="Times" w:cs="Times"/>
          <w:sz w:val="20"/>
          <w:szCs w:val="20"/>
        </w:rPr>
      </w:pPr>
    </w:p>
    <w:p w14:paraId="00000003" w14:textId="77777777" w:rsidR="00834BF6" w:rsidRDefault="00834BF6">
      <w:pPr>
        <w:jc w:val="center"/>
        <w:rPr>
          <w:rFonts w:ascii="Times" w:eastAsia="Times" w:hAnsi="Times" w:cs="Times"/>
          <w:sz w:val="20"/>
          <w:szCs w:val="20"/>
        </w:rPr>
      </w:pPr>
    </w:p>
    <w:p w14:paraId="00000004" w14:textId="77777777" w:rsidR="00834BF6" w:rsidRDefault="00834BF6">
      <w:pPr>
        <w:jc w:val="center"/>
        <w:rPr>
          <w:rFonts w:ascii="Times" w:eastAsia="Times" w:hAnsi="Times" w:cs="Times"/>
          <w:sz w:val="20"/>
          <w:szCs w:val="20"/>
        </w:rPr>
      </w:pPr>
    </w:p>
    <w:p w14:paraId="00000005" w14:textId="77777777" w:rsidR="00834BF6" w:rsidRDefault="002D7342">
      <w:pPr>
        <w:jc w:val="center"/>
        <w:rPr>
          <w:rFonts w:ascii="Times" w:eastAsia="Times" w:hAnsi="Times" w:cs="Times"/>
          <w:b/>
          <w:sz w:val="20"/>
          <w:szCs w:val="20"/>
        </w:rPr>
      </w:pPr>
      <w:r>
        <w:rPr>
          <w:rFonts w:ascii="Times" w:eastAsia="Times" w:hAnsi="Times" w:cs="Times"/>
          <w:b/>
          <w:sz w:val="20"/>
          <w:szCs w:val="20"/>
        </w:rPr>
        <w:t xml:space="preserve">The United States of America’s Compliance with the </w:t>
      </w:r>
    </w:p>
    <w:p w14:paraId="00000006" w14:textId="77777777" w:rsidR="00834BF6" w:rsidRDefault="002D7342">
      <w:pPr>
        <w:jc w:val="center"/>
        <w:rPr>
          <w:rFonts w:ascii="Times" w:eastAsia="Times" w:hAnsi="Times" w:cs="Times"/>
          <w:b/>
          <w:sz w:val="20"/>
          <w:szCs w:val="20"/>
        </w:rPr>
      </w:pPr>
      <w:r>
        <w:rPr>
          <w:rFonts w:ascii="Times" w:eastAsia="Times" w:hAnsi="Times" w:cs="Times"/>
          <w:b/>
          <w:sz w:val="20"/>
          <w:szCs w:val="20"/>
        </w:rPr>
        <w:t>Convention on the Elimination of All Forms of Racial Discrimination</w:t>
      </w:r>
    </w:p>
    <w:p w14:paraId="00000007" w14:textId="77777777" w:rsidR="00834BF6" w:rsidRDefault="00834BF6">
      <w:pPr>
        <w:jc w:val="center"/>
        <w:rPr>
          <w:rFonts w:ascii="Times" w:eastAsia="Times" w:hAnsi="Times" w:cs="Times"/>
          <w:b/>
          <w:sz w:val="20"/>
          <w:szCs w:val="20"/>
        </w:rPr>
      </w:pPr>
    </w:p>
    <w:p w14:paraId="00000008" w14:textId="77777777" w:rsidR="00834BF6" w:rsidRDefault="002D7342">
      <w:pPr>
        <w:jc w:val="center"/>
        <w:rPr>
          <w:rFonts w:ascii="Times" w:eastAsia="Times" w:hAnsi="Times" w:cs="Times"/>
          <w:b/>
          <w:sz w:val="20"/>
          <w:szCs w:val="20"/>
        </w:rPr>
      </w:pPr>
      <w:r>
        <w:rPr>
          <w:rFonts w:ascii="Times" w:eastAsia="Times" w:hAnsi="Times" w:cs="Times"/>
          <w:b/>
          <w:sz w:val="20"/>
          <w:szCs w:val="20"/>
        </w:rPr>
        <w:t>Suggested List of Themes</w:t>
      </w:r>
    </w:p>
    <w:p w14:paraId="00000009" w14:textId="77777777" w:rsidR="00834BF6" w:rsidRDefault="00834BF6">
      <w:pPr>
        <w:jc w:val="center"/>
        <w:rPr>
          <w:rFonts w:ascii="Times" w:eastAsia="Times" w:hAnsi="Times" w:cs="Times"/>
          <w:b/>
          <w:sz w:val="20"/>
          <w:szCs w:val="20"/>
        </w:rPr>
      </w:pPr>
    </w:p>
    <w:p w14:paraId="0000000A" w14:textId="77777777" w:rsidR="00834BF6" w:rsidRDefault="002D7342">
      <w:pPr>
        <w:jc w:val="center"/>
        <w:rPr>
          <w:rFonts w:ascii="Times" w:eastAsia="Times" w:hAnsi="Times" w:cs="Times"/>
          <w:b/>
          <w:sz w:val="20"/>
          <w:szCs w:val="20"/>
        </w:rPr>
      </w:pPr>
      <w:r>
        <w:rPr>
          <w:rFonts w:ascii="Times" w:eastAsia="Times" w:hAnsi="Times" w:cs="Times"/>
          <w:b/>
          <w:sz w:val="20"/>
          <w:szCs w:val="20"/>
        </w:rPr>
        <w:t>Submitted by the Leadership Conference on Civil and Human Rights</w:t>
      </w:r>
    </w:p>
    <w:p w14:paraId="0000000B" w14:textId="77777777" w:rsidR="00834BF6" w:rsidRDefault="002D7342">
      <w:pPr>
        <w:jc w:val="center"/>
        <w:rPr>
          <w:rFonts w:ascii="Times" w:eastAsia="Times" w:hAnsi="Times" w:cs="Times"/>
          <w:b/>
          <w:sz w:val="20"/>
          <w:szCs w:val="20"/>
        </w:rPr>
      </w:pPr>
      <w:r>
        <w:rPr>
          <w:rFonts w:ascii="Times" w:eastAsia="Times" w:hAnsi="Times" w:cs="Times"/>
          <w:b/>
          <w:sz w:val="20"/>
          <w:szCs w:val="20"/>
        </w:rPr>
        <w:t>The Leadership Conference Education Fund</w:t>
      </w:r>
    </w:p>
    <w:p w14:paraId="0000000C" w14:textId="77777777" w:rsidR="00834BF6" w:rsidRDefault="00834BF6">
      <w:pPr>
        <w:jc w:val="both"/>
        <w:rPr>
          <w:rFonts w:ascii="Times" w:eastAsia="Times" w:hAnsi="Times" w:cs="Times"/>
          <w:b/>
          <w:sz w:val="20"/>
          <w:szCs w:val="20"/>
        </w:rPr>
      </w:pPr>
    </w:p>
    <w:p w14:paraId="0000000D" w14:textId="77777777" w:rsidR="00834BF6" w:rsidRDefault="002D7342">
      <w:pPr>
        <w:jc w:val="center"/>
        <w:rPr>
          <w:rFonts w:ascii="Times" w:eastAsia="Times" w:hAnsi="Times" w:cs="Times"/>
          <w:b/>
          <w:sz w:val="20"/>
          <w:szCs w:val="20"/>
        </w:rPr>
      </w:pPr>
      <w:r>
        <w:rPr>
          <w:rFonts w:ascii="Times" w:eastAsia="Times" w:hAnsi="Times" w:cs="Times"/>
          <w:b/>
          <w:sz w:val="20"/>
          <w:szCs w:val="20"/>
        </w:rPr>
        <w:t>107th Session of the Committee on the Elimination of All Forms of Racial Discrimination</w:t>
      </w:r>
    </w:p>
    <w:p w14:paraId="0000000E" w14:textId="77777777" w:rsidR="00834BF6" w:rsidRDefault="002D7342">
      <w:pPr>
        <w:jc w:val="center"/>
        <w:rPr>
          <w:rFonts w:ascii="Times" w:eastAsia="Times" w:hAnsi="Times" w:cs="Times"/>
          <w:b/>
          <w:sz w:val="20"/>
          <w:szCs w:val="20"/>
        </w:rPr>
      </w:pPr>
      <w:r>
        <w:rPr>
          <w:rFonts w:ascii="Times" w:eastAsia="Times" w:hAnsi="Times" w:cs="Times"/>
          <w:b/>
          <w:sz w:val="20"/>
          <w:szCs w:val="20"/>
        </w:rPr>
        <w:t>8-30 August 2022</w:t>
      </w:r>
    </w:p>
    <w:p w14:paraId="0000000F" w14:textId="77777777" w:rsidR="00834BF6" w:rsidRDefault="00834BF6">
      <w:pPr>
        <w:rPr>
          <w:rFonts w:ascii="Times" w:eastAsia="Times" w:hAnsi="Times" w:cs="Times"/>
          <w:b/>
          <w:sz w:val="20"/>
          <w:szCs w:val="20"/>
        </w:rPr>
      </w:pPr>
    </w:p>
    <w:p w14:paraId="00000010" w14:textId="461583DF" w:rsidR="00834BF6" w:rsidRDefault="002D7342">
      <w:pPr>
        <w:jc w:val="center"/>
        <w:rPr>
          <w:rFonts w:ascii="Times" w:eastAsia="Times" w:hAnsi="Times" w:cs="Times"/>
          <w:b/>
          <w:sz w:val="20"/>
          <w:szCs w:val="20"/>
        </w:rPr>
      </w:pPr>
      <w:r>
        <w:rPr>
          <w:rFonts w:ascii="Times" w:eastAsia="Times" w:hAnsi="Times" w:cs="Times"/>
          <w:b/>
          <w:sz w:val="20"/>
          <w:szCs w:val="20"/>
        </w:rPr>
        <w:t>Submitted May 17, 2022</w:t>
      </w:r>
    </w:p>
    <w:p w14:paraId="00000011" w14:textId="77777777" w:rsidR="00834BF6" w:rsidRDefault="00834BF6">
      <w:pPr>
        <w:rPr>
          <w:rFonts w:ascii="Times" w:eastAsia="Times" w:hAnsi="Times" w:cs="Times"/>
          <w:b/>
          <w:sz w:val="20"/>
          <w:szCs w:val="20"/>
          <w:u w:val="single"/>
        </w:rPr>
      </w:pPr>
    </w:p>
    <w:p w14:paraId="00000012" w14:textId="77777777" w:rsidR="00834BF6" w:rsidRDefault="002D7342">
      <w:pPr>
        <w:jc w:val="center"/>
        <w:rPr>
          <w:rFonts w:ascii="Times" w:eastAsia="Times" w:hAnsi="Times" w:cs="Times"/>
          <w:b/>
          <w:sz w:val="20"/>
          <w:szCs w:val="20"/>
        </w:rPr>
      </w:pPr>
      <w:r>
        <w:rPr>
          <w:rFonts w:ascii="Times" w:eastAsia="Times" w:hAnsi="Times" w:cs="Times"/>
          <w:b/>
          <w:i/>
          <w:sz w:val="20"/>
          <w:szCs w:val="20"/>
        </w:rPr>
        <w:t>The Leadership Conference on Civil and Human Rights is a coalition charged by its diverse membership of more than 230 national organizations to promote and protect the rights of all persons in the United States. The Leadership Conference works toward an America as good as its ideals.</w:t>
      </w:r>
    </w:p>
    <w:p w14:paraId="00000013" w14:textId="77777777" w:rsidR="00834BF6" w:rsidRDefault="00834BF6">
      <w:pPr>
        <w:jc w:val="center"/>
        <w:rPr>
          <w:rFonts w:ascii="Times" w:eastAsia="Times" w:hAnsi="Times" w:cs="Times"/>
          <w:b/>
          <w:sz w:val="20"/>
          <w:szCs w:val="20"/>
          <w:u w:val="single"/>
        </w:rPr>
      </w:pPr>
    </w:p>
    <w:p w14:paraId="00000014" w14:textId="77777777" w:rsidR="00834BF6" w:rsidRDefault="002D7342">
      <w:pPr>
        <w:jc w:val="center"/>
        <w:rPr>
          <w:rFonts w:ascii="Times" w:eastAsia="Times" w:hAnsi="Times" w:cs="Times"/>
          <w:b/>
          <w:sz w:val="20"/>
          <w:szCs w:val="20"/>
          <w:u w:val="single"/>
        </w:rPr>
      </w:pPr>
      <w:r>
        <w:rPr>
          <w:rFonts w:ascii="Times" w:eastAsia="Times" w:hAnsi="Times" w:cs="Times"/>
          <w:b/>
          <w:sz w:val="20"/>
          <w:szCs w:val="20"/>
          <w:u w:val="single"/>
        </w:rPr>
        <w:t xml:space="preserve">Suggested Themes </w:t>
      </w:r>
    </w:p>
    <w:p w14:paraId="00000015" w14:textId="77777777" w:rsidR="00834BF6" w:rsidRDefault="002D7342">
      <w:pPr>
        <w:rPr>
          <w:rFonts w:ascii="Times" w:eastAsia="Times" w:hAnsi="Times" w:cs="Times"/>
          <w:b/>
          <w:sz w:val="20"/>
          <w:szCs w:val="20"/>
          <w:u w:val="single"/>
        </w:rPr>
      </w:pPr>
      <w:r>
        <w:rPr>
          <w:rFonts w:ascii="Times" w:eastAsia="Times" w:hAnsi="Times" w:cs="Times"/>
          <w:b/>
          <w:i/>
          <w:color w:val="000000"/>
          <w:sz w:val="20"/>
          <w:szCs w:val="20"/>
          <w:u w:val="single"/>
        </w:rPr>
        <w:t>Discrimination in the Criminal Justice System</w:t>
      </w:r>
    </w:p>
    <w:p w14:paraId="00000016" w14:textId="24D86F69" w:rsidR="00834BF6" w:rsidRDefault="002D7342">
      <w:pPr>
        <w:spacing w:before="240" w:after="120"/>
        <w:ind w:right="1134"/>
        <w:rPr>
          <w:rFonts w:ascii="Times" w:eastAsia="Times" w:hAnsi="Times" w:cs="Times"/>
          <w:b/>
          <w:sz w:val="20"/>
          <w:szCs w:val="20"/>
        </w:rPr>
      </w:pPr>
      <w:r>
        <w:rPr>
          <w:rFonts w:ascii="Times" w:eastAsia="Times" w:hAnsi="Times" w:cs="Times"/>
          <w:b/>
          <w:sz w:val="20"/>
          <w:szCs w:val="20"/>
        </w:rPr>
        <w:t xml:space="preserve">Addressing </w:t>
      </w:r>
      <w:proofErr w:type="gramStart"/>
      <w:r>
        <w:rPr>
          <w:rFonts w:ascii="Times" w:eastAsia="Times" w:hAnsi="Times" w:cs="Times"/>
          <w:b/>
          <w:color w:val="000000"/>
          <w:sz w:val="20"/>
          <w:szCs w:val="20"/>
        </w:rPr>
        <w:t xml:space="preserve">CERD </w:t>
      </w:r>
      <w:r w:rsidR="00DD4A4A">
        <w:rPr>
          <w:rFonts w:ascii="Times" w:eastAsia="Times" w:hAnsi="Times" w:cs="Times"/>
          <w:b/>
          <w:color w:val="000000"/>
          <w:sz w:val="20"/>
          <w:szCs w:val="20"/>
        </w:rPr>
        <w:t xml:space="preserve"> Concluding</w:t>
      </w:r>
      <w:proofErr w:type="gramEnd"/>
      <w:r w:rsidR="00DD4A4A">
        <w:rPr>
          <w:rFonts w:ascii="Times" w:eastAsia="Times" w:hAnsi="Times" w:cs="Times"/>
          <w:b/>
          <w:color w:val="000000"/>
          <w:sz w:val="20"/>
          <w:szCs w:val="20"/>
        </w:rPr>
        <w:t xml:space="preserve"> Observations 17 and 20;  and </w:t>
      </w:r>
      <w:r>
        <w:rPr>
          <w:rFonts w:ascii="Times" w:eastAsia="Times" w:hAnsi="Times" w:cs="Times"/>
          <w:b/>
          <w:color w:val="000000"/>
          <w:sz w:val="20"/>
          <w:szCs w:val="20"/>
        </w:rPr>
        <w:t>Article</w:t>
      </w:r>
      <w:r>
        <w:rPr>
          <w:rFonts w:ascii="Times" w:eastAsia="Times" w:hAnsi="Times" w:cs="Times"/>
          <w:b/>
          <w:sz w:val="20"/>
          <w:szCs w:val="20"/>
        </w:rPr>
        <w:t>s 2(1), 2(1)(c), 2(1)(d), and  2(2);  and Articles 5(a) and 5(b) and Article 6</w:t>
      </w:r>
    </w:p>
    <w:p w14:paraId="00000017" w14:textId="77777777" w:rsidR="00834BF6" w:rsidRDefault="002D7342">
      <w:pPr>
        <w:spacing w:after="120"/>
        <w:ind w:right="1134"/>
        <w:jc w:val="both"/>
        <w:rPr>
          <w:rFonts w:ascii="Times" w:eastAsia="Times" w:hAnsi="Times" w:cs="Times"/>
          <w:b/>
          <w:sz w:val="20"/>
          <w:szCs w:val="20"/>
        </w:rPr>
      </w:pPr>
      <w:r>
        <w:rPr>
          <w:rFonts w:ascii="Times" w:eastAsia="Times" w:hAnsi="Times" w:cs="Times"/>
          <w:b/>
          <w:sz w:val="20"/>
          <w:szCs w:val="20"/>
        </w:rPr>
        <w:t>ISSUES:</w:t>
      </w:r>
    </w:p>
    <w:p w14:paraId="00000018" w14:textId="77777777" w:rsidR="00834BF6" w:rsidRDefault="002D7342">
      <w:pPr>
        <w:spacing w:after="120"/>
        <w:ind w:right="1134"/>
        <w:jc w:val="both"/>
        <w:rPr>
          <w:rFonts w:ascii="Times" w:eastAsia="Times" w:hAnsi="Times" w:cs="Times"/>
          <w:b/>
          <w:sz w:val="20"/>
          <w:szCs w:val="20"/>
        </w:rPr>
      </w:pPr>
      <w:r>
        <w:rPr>
          <w:rFonts w:ascii="Times" w:eastAsia="Times" w:hAnsi="Times" w:cs="Times"/>
          <w:b/>
          <w:sz w:val="20"/>
          <w:szCs w:val="20"/>
        </w:rPr>
        <w:t>Discriminatory Application of Law Enforcement Use of Force Against Black and Brown Communities</w:t>
      </w:r>
    </w:p>
    <w:p w14:paraId="00000019" w14:textId="77777777" w:rsidR="00834BF6" w:rsidRDefault="002D7342">
      <w:pPr>
        <w:rPr>
          <w:rFonts w:ascii="Times" w:eastAsia="Times" w:hAnsi="Times" w:cs="Times"/>
          <w:sz w:val="20"/>
          <w:szCs w:val="20"/>
        </w:rPr>
      </w:pPr>
      <w:r>
        <w:rPr>
          <w:rFonts w:ascii="Times" w:eastAsia="Times" w:hAnsi="Times" w:cs="Times"/>
          <w:i/>
          <w:sz w:val="20"/>
          <w:szCs w:val="20"/>
        </w:rPr>
        <w:br/>
      </w:r>
      <w:r>
        <w:rPr>
          <w:rFonts w:ascii="Times" w:eastAsia="Times" w:hAnsi="Times" w:cs="Times"/>
          <w:sz w:val="20"/>
          <w:szCs w:val="20"/>
        </w:rPr>
        <w:t>In the United States, Black and Brown people are more likely to be stopped by law enforcement for minor infractions, more likely to be arrested, and more likely to experience force during interactions with law enforcement than White people. This disparity is a result of over-policing in predominately Black and Brown neighborhoods, profiling and pretextual traffic stops and other racist policing practices. The consequences of this disparity affect entire communities as children are also direct victims of police use of force. AP news analyzed 3,000 incidents of police use of force against children under the age of 16 over the past 11 years. “Black children made up 50% of the victims who were handled forcibly, though they are only 15% of the US child population.”</w:t>
      </w:r>
      <w:r>
        <w:rPr>
          <w:rFonts w:ascii="Times" w:eastAsia="Times" w:hAnsi="Times" w:cs="Times"/>
          <w:sz w:val="20"/>
          <w:szCs w:val="20"/>
          <w:vertAlign w:val="superscript"/>
        </w:rPr>
        <w:footnoteReference w:id="1"/>
      </w:r>
    </w:p>
    <w:p w14:paraId="0000001A" w14:textId="77777777" w:rsidR="00834BF6" w:rsidRDefault="00834BF6">
      <w:pPr>
        <w:rPr>
          <w:rFonts w:ascii="Times" w:eastAsia="Times" w:hAnsi="Times" w:cs="Times"/>
          <w:i/>
          <w:sz w:val="20"/>
          <w:szCs w:val="20"/>
        </w:rPr>
      </w:pPr>
    </w:p>
    <w:p w14:paraId="0000001B" w14:textId="77777777" w:rsidR="00834BF6" w:rsidRDefault="002D7342">
      <w:pPr>
        <w:rPr>
          <w:rFonts w:ascii="Times" w:eastAsia="Times" w:hAnsi="Times" w:cs="Times"/>
          <w:b/>
          <w:sz w:val="20"/>
          <w:szCs w:val="20"/>
        </w:rPr>
      </w:pPr>
      <w:bookmarkStart w:id="0" w:name="_heading=h.gjdgxs" w:colFirst="0" w:colLast="0"/>
      <w:bookmarkEnd w:id="0"/>
      <w:r>
        <w:rPr>
          <w:rFonts w:ascii="Times" w:eastAsia="Times" w:hAnsi="Times" w:cs="Times"/>
          <w:b/>
          <w:sz w:val="20"/>
          <w:szCs w:val="20"/>
        </w:rPr>
        <w:t>Lack of Law Enforcement Accountability Particularly Harms Black and Brown Communities</w:t>
      </w:r>
    </w:p>
    <w:p w14:paraId="0000001C" w14:textId="77777777" w:rsidR="00834BF6" w:rsidRDefault="00834BF6">
      <w:pPr>
        <w:rPr>
          <w:rFonts w:ascii="Times" w:eastAsia="Times" w:hAnsi="Times" w:cs="Times"/>
          <w:b/>
          <w:sz w:val="20"/>
          <w:szCs w:val="20"/>
        </w:rPr>
      </w:pPr>
    </w:p>
    <w:p w14:paraId="0000001D" w14:textId="77777777" w:rsidR="00834BF6" w:rsidRDefault="002D7342">
      <w:pPr>
        <w:rPr>
          <w:rFonts w:ascii="Times" w:eastAsia="Times" w:hAnsi="Times" w:cs="Times"/>
          <w:b/>
          <w:color w:val="000000"/>
          <w:sz w:val="20"/>
          <w:szCs w:val="20"/>
        </w:rPr>
      </w:pPr>
      <w:r>
        <w:rPr>
          <w:rFonts w:ascii="Times" w:eastAsia="Times" w:hAnsi="Times" w:cs="Times"/>
          <w:sz w:val="20"/>
          <w:szCs w:val="20"/>
        </w:rPr>
        <w:t xml:space="preserve">The nation desperately needs a transformation of policing policies and practices. The only way to begin this process is with federal legislation or executive action that sets meaningful standards and removes legal impediments to holding officers accountable for unconstitutional policing practices. For example, qualified immunity must be ended, military grade equipment should no longer be given to police departments, and a national misconduct database must be created. In addition, a professional licensing structure should be created that would prevent officers from moving department-to-department after violating a person’s civil rights. </w:t>
      </w:r>
    </w:p>
    <w:p w14:paraId="0000001E" w14:textId="77777777" w:rsidR="00834BF6" w:rsidRDefault="00834BF6">
      <w:pPr>
        <w:pBdr>
          <w:top w:val="nil"/>
          <w:left w:val="nil"/>
          <w:bottom w:val="nil"/>
          <w:right w:val="nil"/>
          <w:between w:val="nil"/>
        </w:pBdr>
        <w:rPr>
          <w:rFonts w:ascii="Times" w:eastAsia="Times" w:hAnsi="Times" w:cs="Times"/>
          <w:b/>
          <w:color w:val="000000"/>
          <w:sz w:val="20"/>
          <w:szCs w:val="20"/>
        </w:rPr>
      </w:pPr>
    </w:p>
    <w:p w14:paraId="0000001F" w14:textId="77777777" w:rsidR="00834BF6" w:rsidRDefault="002D7342">
      <w:pPr>
        <w:pBdr>
          <w:top w:val="nil"/>
          <w:left w:val="nil"/>
          <w:bottom w:val="nil"/>
          <w:right w:val="nil"/>
          <w:between w:val="nil"/>
        </w:pBdr>
        <w:rPr>
          <w:rFonts w:ascii="Times" w:eastAsia="Times" w:hAnsi="Times" w:cs="Times"/>
          <w:color w:val="000000"/>
          <w:sz w:val="20"/>
          <w:szCs w:val="20"/>
        </w:rPr>
      </w:pPr>
      <w:r>
        <w:rPr>
          <w:rFonts w:ascii="Times" w:eastAsia="Times" w:hAnsi="Times" w:cs="Times"/>
          <w:b/>
          <w:color w:val="000000"/>
          <w:sz w:val="20"/>
          <w:szCs w:val="20"/>
        </w:rPr>
        <w:t xml:space="preserve">The </w:t>
      </w:r>
      <w:r>
        <w:rPr>
          <w:rFonts w:ascii="Times" w:eastAsia="Times" w:hAnsi="Times" w:cs="Times"/>
          <w:b/>
          <w:sz w:val="20"/>
          <w:szCs w:val="20"/>
        </w:rPr>
        <w:t>“</w:t>
      </w:r>
      <w:r>
        <w:rPr>
          <w:rFonts w:ascii="Times" w:eastAsia="Times" w:hAnsi="Times" w:cs="Times"/>
          <w:b/>
          <w:color w:val="000000"/>
          <w:sz w:val="20"/>
          <w:szCs w:val="20"/>
        </w:rPr>
        <w:t>War</w:t>
      </w:r>
      <w:r>
        <w:rPr>
          <w:rFonts w:ascii="Times" w:eastAsia="Times" w:hAnsi="Times" w:cs="Times"/>
          <w:b/>
          <w:sz w:val="20"/>
          <w:szCs w:val="20"/>
        </w:rPr>
        <w:t>”</w:t>
      </w:r>
      <w:r>
        <w:rPr>
          <w:rFonts w:ascii="Times" w:eastAsia="Times" w:hAnsi="Times" w:cs="Times"/>
          <w:b/>
          <w:color w:val="000000"/>
          <w:sz w:val="20"/>
          <w:szCs w:val="20"/>
        </w:rPr>
        <w:t xml:space="preserve"> on Drugs</w:t>
      </w:r>
      <w:r>
        <w:rPr>
          <w:rFonts w:ascii="Times" w:eastAsia="Times" w:hAnsi="Times" w:cs="Times"/>
          <w:color w:val="000000"/>
          <w:sz w:val="20"/>
          <w:szCs w:val="20"/>
        </w:rPr>
        <w:t xml:space="preserve"> </w:t>
      </w:r>
    </w:p>
    <w:p w14:paraId="00000020" w14:textId="77777777" w:rsidR="00834BF6" w:rsidRDefault="00834BF6">
      <w:pPr>
        <w:pBdr>
          <w:top w:val="nil"/>
          <w:left w:val="nil"/>
          <w:bottom w:val="nil"/>
          <w:right w:val="nil"/>
          <w:between w:val="nil"/>
        </w:pBdr>
        <w:rPr>
          <w:rFonts w:ascii="Times" w:eastAsia="Times" w:hAnsi="Times" w:cs="Times"/>
          <w:color w:val="000000"/>
          <w:sz w:val="20"/>
          <w:szCs w:val="20"/>
        </w:rPr>
      </w:pPr>
    </w:p>
    <w:p w14:paraId="00000021" w14:textId="77777777" w:rsidR="00834BF6" w:rsidRDefault="002D7342">
      <w:pPr>
        <w:pBdr>
          <w:top w:val="nil"/>
          <w:left w:val="nil"/>
          <w:bottom w:val="nil"/>
          <w:right w:val="nil"/>
          <w:between w:val="nil"/>
        </w:pBdr>
        <w:rPr>
          <w:rFonts w:ascii="Times" w:eastAsia="Times" w:hAnsi="Times" w:cs="Times"/>
          <w:color w:val="000000"/>
          <w:sz w:val="20"/>
          <w:szCs w:val="20"/>
        </w:rPr>
      </w:pPr>
      <w:r>
        <w:rPr>
          <w:rFonts w:ascii="Times" w:eastAsia="Times" w:hAnsi="Times" w:cs="Times"/>
          <w:color w:val="000000"/>
          <w:sz w:val="20"/>
          <w:szCs w:val="20"/>
        </w:rPr>
        <w:lastRenderedPageBreak/>
        <w:t>June 2021 marked the 50th anniversary of the so-called</w:t>
      </w:r>
      <w:hyperlink r:id="rId8">
        <w:r>
          <w:rPr>
            <w:rFonts w:ascii="Times" w:eastAsia="Times" w:hAnsi="Times" w:cs="Times"/>
            <w:color w:val="000000"/>
            <w:sz w:val="20"/>
            <w:szCs w:val="20"/>
          </w:rPr>
          <w:t xml:space="preserve"> </w:t>
        </w:r>
      </w:hyperlink>
      <w:r>
        <w:rPr>
          <w:rFonts w:ascii="Times" w:eastAsia="Times" w:hAnsi="Times" w:cs="Times"/>
          <w:color w:val="000000"/>
          <w:sz w:val="20"/>
          <w:szCs w:val="20"/>
        </w:rPr>
        <w:t>War on Drugs.</w:t>
      </w:r>
      <w:r>
        <w:rPr>
          <w:rFonts w:ascii="Times" w:eastAsia="Times" w:hAnsi="Times" w:cs="Times"/>
          <w:color w:val="000000"/>
          <w:sz w:val="20"/>
          <w:szCs w:val="20"/>
          <w:vertAlign w:val="superscript"/>
        </w:rPr>
        <w:footnoteReference w:id="2"/>
      </w:r>
      <w:r>
        <w:rPr>
          <w:rFonts w:ascii="Times" w:eastAsia="Times" w:hAnsi="Times" w:cs="Times"/>
          <w:color w:val="000000"/>
          <w:sz w:val="20"/>
          <w:szCs w:val="20"/>
        </w:rPr>
        <w:t xml:space="preserve"> This effort, which included massive increases in police budgets and the enactment of mandatory minimum sentences</w:t>
      </w:r>
      <w:hyperlink r:id="rId9">
        <w:r>
          <w:rPr>
            <w:rFonts w:ascii="Times" w:eastAsia="Times" w:hAnsi="Times" w:cs="Times"/>
            <w:color w:val="000000"/>
            <w:sz w:val="20"/>
            <w:szCs w:val="20"/>
          </w:rPr>
          <w:t xml:space="preserve"> </w:t>
        </w:r>
      </w:hyperlink>
      <w:r>
        <w:rPr>
          <w:rFonts w:ascii="Times" w:eastAsia="Times" w:hAnsi="Times" w:cs="Times"/>
          <w:color w:val="000000"/>
          <w:sz w:val="20"/>
          <w:szCs w:val="20"/>
        </w:rPr>
        <w:t>has devastated countless communities — especially Black, Brown, Indigenous, and low-income communities that were already subject to disproportionate policing practices and underinvestment. The proliferation of mandatory minimum penalties, particularly at the federal level, has fueled the country’s incarceration rates. For example, the U.S. Sentencing Commission found that as of September 2016, more than half (55.7%) of federal inmates in custody were convicted of an offense carrying a mandatory minimum penalty. Indeed, among individuals in federal prison as of September 30, 2016, 42.7 percent were convicted of an offense carrying a mandatory minimum penalty and remained subject to that penalty at sentencing, which compared to 40.4 percent as of September 30, 2010. Moreover, Latinos continued to represent the largest group of individuals (40.4%) convicted of an offense carrying a mandatory minimum penalty in fiscal year 2016. In those instances, in which relief from the mandatory minimum penalty occurred, it occurred least often for Black individuals. Moreover, despite similar usage rates,</w:t>
      </w:r>
      <w:hyperlink r:id="rId10">
        <w:r>
          <w:rPr>
            <w:rFonts w:ascii="Times" w:eastAsia="Times" w:hAnsi="Times" w:cs="Times"/>
            <w:color w:val="000000"/>
            <w:sz w:val="20"/>
            <w:szCs w:val="20"/>
          </w:rPr>
          <w:t xml:space="preserve"> </w:t>
        </w:r>
      </w:hyperlink>
      <w:r>
        <w:rPr>
          <w:rFonts w:ascii="Times" w:eastAsia="Times" w:hAnsi="Times" w:cs="Times"/>
          <w:color w:val="000000"/>
          <w:sz w:val="20"/>
          <w:szCs w:val="20"/>
        </w:rPr>
        <w:t>Black people are approximately four times as likely to be arrested for marijuana possession than White people.</w:t>
      </w:r>
      <w:r>
        <w:rPr>
          <w:rFonts w:ascii="Times" w:eastAsia="Times" w:hAnsi="Times" w:cs="Times"/>
          <w:color w:val="000000"/>
          <w:sz w:val="20"/>
          <w:szCs w:val="20"/>
          <w:vertAlign w:val="superscript"/>
        </w:rPr>
        <w:footnoteReference w:id="3"/>
      </w:r>
      <w:hyperlink r:id="rId11">
        <w:r>
          <w:rPr>
            <w:rFonts w:ascii="Times" w:eastAsia="Times" w:hAnsi="Times" w:cs="Times"/>
            <w:color w:val="000000"/>
            <w:sz w:val="20"/>
            <w:szCs w:val="20"/>
          </w:rPr>
          <w:t xml:space="preserve"> </w:t>
        </w:r>
      </w:hyperlink>
      <w:r>
        <w:rPr>
          <w:rFonts w:ascii="Times" w:eastAsia="Times" w:hAnsi="Times" w:cs="Times"/>
          <w:color w:val="000000"/>
          <w:sz w:val="20"/>
          <w:szCs w:val="20"/>
        </w:rPr>
        <w:t>And, nearly 80 percent of people in federal prison and almost 60 percent of people in state prison for drug offenses are Black or Latino.</w:t>
      </w:r>
      <w:r>
        <w:rPr>
          <w:rFonts w:ascii="Times" w:eastAsia="Times" w:hAnsi="Times" w:cs="Times"/>
          <w:color w:val="000000"/>
          <w:sz w:val="20"/>
          <w:szCs w:val="20"/>
          <w:vertAlign w:val="superscript"/>
        </w:rPr>
        <w:footnoteReference w:id="4"/>
      </w:r>
    </w:p>
    <w:p w14:paraId="00000022" w14:textId="77777777" w:rsidR="00834BF6" w:rsidRDefault="00834BF6">
      <w:pPr>
        <w:rPr>
          <w:rFonts w:ascii="Times" w:eastAsia="Times" w:hAnsi="Times" w:cs="Times"/>
          <w:b/>
          <w:sz w:val="20"/>
          <w:szCs w:val="20"/>
          <w:u w:val="single"/>
        </w:rPr>
      </w:pPr>
    </w:p>
    <w:p w14:paraId="00000023" w14:textId="77777777" w:rsidR="00834BF6" w:rsidRDefault="002D7342">
      <w:pPr>
        <w:rPr>
          <w:rFonts w:ascii="Times" w:eastAsia="Times" w:hAnsi="Times" w:cs="Times"/>
          <w:b/>
          <w:sz w:val="20"/>
          <w:szCs w:val="20"/>
        </w:rPr>
      </w:pPr>
      <w:r>
        <w:rPr>
          <w:rFonts w:ascii="Times" w:eastAsia="Times" w:hAnsi="Times" w:cs="Times"/>
          <w:b/>
          <w:sz w:val="20"/>
          <w:szCs w:val="20"/>
        </w:rPr>
        <w:t>Reentry</w:t>
      </w:r>
    </w:p>
    <w:p w14:paraId="00000024" w14:textId="77777777" w:rsidR="00834BF6" w:rsidRDefault="00834BF6">
      <w:pPr>
        <w:rPr>
          <w:rFonts w:ascii="Times" w:eastAsia="Times" w:hAnsi="Times" w:cs="Times"/>
          <w:b/>
          <w:sz w:val="20"/>
          <w:szCs w:val="20"/>
          <w:u w:val="single"/>
        </w:rPr>
      </w:pPr>
    </w:p>
    <w:p w14:paraId="00000025" w14:textId="77777777" w:rsidR="00834BF6" w:rsidRDefault="002D7342">
      <w:pPr>
        <w:jc w:val="both"/>
        <w:rPr>
          <w:rFonts w:ascii="Times" w:eastAsia="Times" w:hAnsi="Times" w:cs="Times"/>
          <w:sz w:val="20"/>
          <w:szCs w:val="20"/>
        </w:rPr>
      </w:pPr>
      <w:r>
        <w:rPr>
          <w:rFonts w:ascii="Times" w:eastAsia="Times" w:hAnsi="Times" w:cs="Times"/>
          <w:sz w:val="20"/>
          <w:szCs w:val="20"/>
        </w:rPr>
        <w:t>Every year,</w:t>
      </w:r>
      <w:hyperlink r:id="rId12">
        <w:r>
          <w:rPr>
            <w:rFonts w:ascii="Times" w:eastAsia="Times" w:hAnsi="Times" w:cs="Times"/>
            <w:sz w:val="20"/>
            <w:szCs w:val="20"/>
          </w:rPr>
          <w:t xml:space="preserve"> </w:t>
        </w:r>
      </w:hyperlink>
      <w:r>
        <w:rPr>
          <w:rFonts w:ascii="Times" w:eastAsia="Times" w:hAnsi="Times" w:cs="Times"/>
          <w:sz w:val="20"/>
          <w:szCs w:val="20"/>
        </w:rPr>
        <w:t>more than 600,000</w:t>
      </w:r>
      <w:r>
        <w:rPr>
          <w:rFonts w:ascii="Times" w:eastAsia="Times" w:hAnsi="Times" w:cs="Times"/>
          <w:sz w:val="20"/>
          <w:szCs w:val="20"/>
          <w:vertAlign w:val="superscript"/>
        </w:rPr>
        <w:footnoteReference w:id="5"/>
      </w:r>
      <w:r>
        <w:rPr>
          <w:rFonts w:ascii="Times" w:eastAsia="Times" w:hAnsi="Times" w:cs="Times"/>
          <w:sz w:val="20"/>
          <w:szCs w:val="20"/>
        </w:rPr>
        <w:t xml:space="preserve"> people return home from prison and</w:t>
      </w:r>
      <w:hyperlink r:id="rId13">
        <w:r>
          <w:rPr>
            <w:rFonts w:ascii="Times" w:eastAsia="Times" w:hAnsi="Times" w:cs="Times"/>
            <w:sz w:val="20"/>
            <w:szCs w:val="20"/>
          </w:rPr>
          <w:t xml:space="preserve"> approximately 9 million</w:t>
        </w:r>
      </w:hyperlink>
      <w:r>
        <w:rPr>
          <w:rFonts w:ascii="Times" w:eastAsia="Times" w:hAnsi="Times" w:cs="Times"/>
          <w:sz w:val="20"/>
          <w:szCs w:val="20"/>
          <w:vertAlign w:val="superscript"/>
        </w:rPr>
        <w:footnoteReference w:id="6"/>
      </w:r>
      <w:r>
        <w:rPr>
          <w:rFonts w:ascii="Times" w:eastAsia="Times" w:hAnsi="Times" w:cs="Times"/>
          <w:sz w:val="20"/>
          <w:szCs w:val="20"/>
        </w:rPr>
        <w:t xml:space="preserve"> leave local jails. Disproportionately Black, Brown, and low-income, these individuals face extraordinary barriers to success. Not only have they been removed from their families and communities for months or years, they are often barred from housing, employment and licensure, food, and educational benefits..</w:t>
      </w:r>
      <w:hyperlink r:id="rId14">
        <w:r>
          <w:rPr>
            <w:rFonts w:ascii="Times" w:eastAsia="Times" w:hAnsi="Times" w:cs="Times"/>
            <w:sz w:val="20"/>
            <w:szCs w:val="20"/>
          </w:rPr>
          <w:t xml:space="preserve"> </w:t>
        </w:r>
      </w:hyperlink>
      <w:r>
        <w:rPr>
          <w:rFonts w:ascii="Times" w:eastAsia="Times" w:hAnsi="Times" w:cs="Times"/>
          <w:sz w:val="20"/>
          <w:szCs w:val="20"/>
        </w:rPr>
        <w:t>When these resources are available, they require individuals to navigate the administrative, logistical, and digital complexities of various programs instead of having one holistic source of support.</w:t>
      </w:r>
      <w:r>
        <w:rPr>
          <w:rFonts w:ascii="Times" w:eastAsia="Times" w:hAnsi="Times" w:cs="Times"/>
          <w:sz w:val="20"/>
          <w:szCs w:val="20"/>
          <w:vertAlign w:val="superscript"/>
        </w:rPr>
        <w:footnoteReference w:id="7"/>
      </w:r>
      <w:r>
        <w:rPr>
          <w:rFonts w:ascii="Times" w:eastAsia="Times" w:hAnsi="Times" w:cs="Times"/>
          <w:sz w:val="20"/>
          <w:szCs w:val="20"/>
        </w:rPr>
        <w:t xml:space="preserve"> These barriers make it exceedingly difficult for returning citizens to thrive following a period of incarceration.</w:t>
      </w:r>
    </w:p>
    <w:p w14:paraId="00000026" w14:textId="77777777" w:rsidR="00834BF6" w:rsidRDefault="00834BF6">
      <w:pPr>
        <w:rPr>
          <w:rFonts w:ascii="Times" w:eastAsia="Times" w:hAnsi="Times" w:cs="Times"/>
          <w:b/>
          <w:sz w:val="20"/>
          <w:szCs w:val="20"/>
        </w:rPr>
      </w:pPr>
    </w:p>
    <w:p w14:paraId="00000027" w14:textId="77777777" w:rsidR="00834BF6" w:rsidRDefault="002D7342">
      <w:pPr>
        <w:rPr>
          <w:rFonts w:ascii="Times" w:eastAsia="Times" w:hAnsi="Times" w:cs="Times"/>
          <w:b/>
          <w:sz w:val="20"/>
          <w:szCs w:val="20"/>
        </w:rPr>
      </w:pPr>
      <w:r>
        <w:rPr>
          <w:rFonts w:ascii="Times" w:eastAsia="Times" w:hAnsi="Times" w:cs="Times"/>
          <w:b/>
          <w:sz w:val="20"/>
          <w:szCs w:val="20"/>
        </w:rPr>
        <w:t>Death Penalty</w:t>
      </w:r>
    </w:p>
    <w:p w14:paraId="00000028" w14:textId="77777777" w:rsidR="00834BF6" w:rsidRDefault="00834BF6">
      <w:pPr>
        <w:rPr>
          <w:rFonts w:ascii="Times" w:eastAsia="Times" w:hAnsi="Times" w:cs="Times"/>
          <w:b/>
          <w:sz w:val="20"/>
          <w:szCs w:val="20"/>
        </w:rPr>
      </w:pPr>
    </w:p>
    <w:p w14:paraId="00000029" w14:textId="77777777" w:rsidR="00834BF6" w:rsidRDefault="002D7342">
      <w:pPr>
        <w:rPr>
          <w:rFonts w:ascii="Times" w:eastAsia="Times" w:hAnsi="Times" w:cs="Times"/>
          <w:sz w:val="20"/>
          <w:szCs w:val="20"/>
        </w:rPr>
      </w:pPr>
      <w:r>
        <w:rPr>
          <w:rFonts w:ascii="Times" w:eastAsia="Times" w:hAnsi="Times" w:cs="Times"/>
          <w:sz w:val="20"/>
          <w:szCs w:val="20"/>
        </w:rPr>
        <w:t>Racial discrimination in the U.S. criminal-legal system has resulted in the disproportionate imposition of death sentences for people of color, especially African Americans. People of color have accounted for a disproportionate 43% of total executions since 1976 and 55 percent of those currently awaiting execution.</w:t>
      </w:r>
      <w:r>
        <w:rPr>
          <w:rFonts w:ascii="Times" w:eastAsia="Times" w:hAnsi="Times" w:cs="Times"/>
          <w:sz w:val="20"/>
          <w:szCs w:val="20"/>
          <w:vertAlign w:val="superscript"/>
        </w:rPr>
        <w:footnoteReference w:id="8"/>
      </w:r>
      <w:r>
        <w:rPr>
          <w:rFonts w:ascii="Times" w:eastAsia="Times" w:hAnsi="Times" w:cs="Times"/>
          <w:sz w:val="20"/>
          <w:szCs w:val="20"/>
        </w:rPr>
        <w:t xml:space="preserve"> Furthermore, data demonstrate the well-documented trend that the likelihood of receiving a death sentence increases exponentially if the victim is White.</w:t>
      </w:r>
      <w:r>
        <w:rPr>
          <w:rFonts w:ascii="Times" w:eastAsia="Times" w:hAnsi="Times" w:cs="Times"/>
          <w:sz w:val="20"/>
          <w:szCs w:val="20"/>
          <w:vertAlign w:val="superscript"/>
        </w:rPr>
        <w:footnoteReference w:id="9"/>
      </w:r>
      <w:r>
        <w:rPr>
          <w:rFonts w:ascii="Times" w:eastAsia="Times" w:hAnsi="Times" w:cs="Times"/>
          <w:sz w:val="20"/>
          <w:szCs w:val="20"/>
        </w:rPr>
        <w:t xml:space="preserve"> Moreover, data show that exonerations of African Americans for murder convictions are 22 percent more likely to be linked to police misconduct, and policing as we know disparately impacts communities of color.</w:t>
      </w:r>
      <w:r>
        <w:rPr>
          <w:rFonts w:ascii="Times" w:eastAsia="Times" w:hAnsi="Times" w:cs="Times"/>
          <w:sz w:val="20"/>
          <w:szCs w:val="20"/>
          <w:vertAlign w:val="superscript"/>
        </w:rPr>
        <w:footnoteReference w:id="10"/>
      </w:r>
      <w:r>
        <w:rPr>
          <w:rFonts w:ascii="Times" w:eastAsia="Times" w:hAnsi="Times" w:cs="Times"/>
          <w:sz w:val="20"/>
          <w:szCs w:val="20"/>
        </w:rPr>
        <w:t xml:space="preserve"> </w:t>
      </w:r>
    </w:p>
    <w:p w14:paraId="0000002A" w14:textId="77777777" w:rsidR="00834BF6" w:rsidRDefault="00834BF6">
      <w:pPr>
        <w:rPr>
          <w:rFonts w:ascii="Times" w:eastAsia="Times" w:hAnsi="Times" w:cs="Times"/>
          <w:sz w:val="20"/>
          <w:szCs w:val="20"/>
          <w:u w:val="single"/>
        </w:rPr>
      </w:pPr>
    </w:p>
    <w:p w14:paraId="0000002B" w14:textId="77777777" w:rsidR="00834BF6" w:rsidRDefault="002D7342">
      <w:pPr>
        <w:rPr>
          <w:rFonts w:ascii="Times" w:eastAsia="Times" w:hAnsi="Times" w:cs="Times"/>
          <w:b/>
          <w:sz w:val="20"/>
          <w:szCs w:val="20"/>
        </w:rPr>
      </w:pPr>
      <w:r>
        <w:rPr>
          <w:rFonts w:ascii="Times" w:eastAsia="Times" w:hAnsi="Times" w:cs="Times"/>
          <w:b/>
          <w:sz w:val="20"/>
          <w:szCs w:val="20"/>
        </w:rPr>
        <w:t xml:space="preserve">Risk Assessment Tools Harbor Bias Towards Black and Brown Individuals and Those with Criminal Histories </w:t>
      </w:r>
    </w:p>
    <w:p w14:paraId="0000002C" w14:textId="77777777" w:rsidR="00834BF6" w:rsidRDefault="00834BF6">
      <w:pPr>
        <w:rPr>
          <w:rFonts w:ascii="Times" w:eastAsia="Times" w:hAnsi="Times" w:cs="Times"/>
          <w:i/>
          <w:sz w:val="20"/>
          <w:szCs w:val="20"/>
        </w:rPr>
      </w:pPr>
    </w:p>
    <w:p w14:paraId="0000002D" w14:textId="77777777" w:rsidR="00834BF6" w:rsidRDefault="002D7342">
      <w:pPr>
        <w:rPr>
          <w:rFonts w:ascii="Times" w:eastAsia="Times" w:hAnsi="Times" w:cs="Times"/>
          <w:sz w:val="20"/>
          <w:szCs w:val="20"/>
        </w:rPr>
      </w:pPr>
      <w:r>
        <w:rPr>
          <w:rFonts w:ascii="Times" w:eastAsia="Times" w:hAnsi="Times" w:cs="Times"/>
          <w:sz w:val="20"/>
          <w:szCs w:val="20"/>
        </w:rPr>
        <w:t>Technologies like facial recognition, predictive policing technologies, and, importantly, algorithm-based decision-making tools</w:t>
      </w:r>
      <w:r>
        <w:rPr>
          <w:rFonts w:ascii="Times" w:eastAsia="Times" w:hAnsi="Times" w:cs="Times"/>
          <w:sz w:val="20"/>
          <w:szCs w:val="20"/>
          <w:vertAlign w:val="superscript"/>
        </w:rPr>
        <w:footnoteReference w:id="11"/>
      </w:r>
      <w:r>
        <w:rPr>
          <w:rFonts w:ascii="Times" w:eastAsia="Times" w:hAnsi="Times" w:cs="Times"/>
          <w:sz w:val="20"/>
          <w:szCs w:val="20"/>
        </w:rPr>
        <w:t xml:space="preserve"> further discriminate against Black, Brown, Indigenous, low-income, and other marginalized communities. This technology is utilized even when it hasn’t been tested for accuracy and when research clearly </w:t>
      </w:r>
      <w:r>
        <w:rPr>
          <w:rFonts w:ascii="Times" w:eastAsia="Times" w:hAnsi="Times" w:cs="Times"/>
          <w:sz w:val="20"/>
          <w:szCs w:val="20"/>
        </w:rPr>
        <w:lastRenderedPageBreak/>
        <w:t xml:space="preserve">demonstrates bias and increasing racial disparities due to implementation. </w:t>
      </w:r>
      <w:r>
        <w:rPr>
          <w:rFonts w:ascii="Times" w:eastAsia="Times" w:hAnsi="Times" w:cs="Times"/>
          <w:sz w:val="20"/>
          <w:szCs w:val="20"/>
          <w:highlight w:val="white"/>
        </w:rPr>
        <w:t xml:space="preserve">Risk assessment tools do not inherently provide new and reliable information; rather, they repackage historical information as a scientific conclusion, embedding historically racist and discriminatory law enforcement behavior under the guide of science, neutrality, and as a predictor of a person’s behavior—a practice that is </w:t>
      </w:r>
      <w:r>
        <w:rPr>
          <w:rFonts w:ascii="Times" w:eastAsia="Times" w:hAnsi="Times" w:cs="Times"/>
          <w:sz w:val="20"/>
          <w:szCs w:val="20"/>
        </w:rPr>
        <w:t xml:space="preserve">problematic, inaccurate, and dangerous. </w:t>
      </w:r>
    </w:p>
    <w:p w14:paraId="0000002E" w14:textId="77777777" w:rsidR="00834BF6" w:rsidRDefault="00834BF6">
      <w:pPr>
        <w:rPr>
          <w:rFonts w:ascii="Times" w:eastAsia="Times" w:hAnsi="Times" w:cs="Times"/>
          <w:sz w:val="20"/>
          <w:szCs w:val="20"/>
        </w:rPr>
      </w:pPr>
    </w:p>
    <w:p w14:paraId="0000002F" w14:textId="77777777" w:rsidR="00834BF6" w:rsidRDefault="002D7342">
      <w:pPr>
        <w:rPr>
          <w:rFonts w:ascii="Times" w:eastAsia="Times" w:hAnsi="Times" w:cs="Times"/>
          <w:b/>
          <w:sz w:val="20"/>
          <w:szCs w:val="20"/>
        </w:rPr>
      </w:pPr>
      <w:r>
        <w:rPr>
          <w:rFonts w:ascii="Times" w:eastAsia="Times" w:hAnsi="Times" w:cs="Times"/>
          <w:b/>
          <w:sz w:val="20"/>
          <w:szCs w:val="20"/>
        </w:rPr>
        <w:t>Wealth-Based Detention Disparately Impacts Black, Brown, and low-income individuals</w:t>
      </w:r>
    </w:p>
    <w:p w14:paraId="00000030" w14:textId="77777777" w:rsidR="00834BF6" w:rsidRDefault="00834BF6">
      <w:pPr>
        <w:rPr>
          <w:rFonts w:ascii="Times" w:eastAsia="Times" w:hAnsi="Times" w:cs="Times"/>
          <w:i/>
          <w:sz w:val="20"/>
          <w:szCs w:val="20"/>
        </w:rPr>
      </w:pPr>
    </w:p>
    <w:p w14:paraId="00000031" w14:textId="77777777" w:rsidR="00834BF6" w:rsidRDefault="002D7342">
      <w:pPr>
        <w:pBdr>
          <w:top w:val="nil"/>
          <w:left w:val="nil"/>
          <w:bottom w:val="nil"/>
          <w:right w:val="nil"/>
          <w:between w:val="nil"/>
        </w:pBdr>
        <w:rPr>
          <w:rFonts w:ascii="Times" w:eastAsia="Times" w:hAnsi="Times" w:cs="Times"/>
          <w:sz w:val="20"/>
          <w:szCs w:val="20"/>
        </w:rPr>
      </w:pPr>
      <w:r>
        <w:rPr>
          <w:rFonts w:ascii="Times" w:eastAsia="Times" w:hAnsi="Times" w:cs="Times"/>
          <w:sz w:val="20"/>
          <w:szCs w:val="20"/>
        </w:rPr>
        <w:t>Every night,</w:t>
      </w:r>
      <w:hyperlink r:id="rId15">
        <w:r>
          <w:rPr>
            <w:rFonts w:ascii="Times" w:eastAsia="Times" w:hAnsi="Times" w:cs="Times"/>
            <w:sz w:val="20"/>
            <w:szCs w:val="20"/>
          </w:rPr>
          <w:t xml:space="preserve"> nearly half a million people</w:t>
        </w:r>
      </w:hyperlink>
      <w:r>
        <w:rPr>
          <w:rFonts w:ascii="Times" w:eastAsia="Times" w:hAnsi="Times" w:cs="Times"/>
          <w:sz w:val="20"/>
          <w:szCs w:val="20"/>
          <w:vertAlign w:val="superscript"/>
        </w:rPr>
        <w:footnoteReference w:id="12"/>
      </w:r>
      <w:r>
        <w:rPr>
          <w:rFonts w:ascii="Times" w:eastAsia="Times" w:hAnsi="Times" w:cs="Times"/>
          <w:sz w:val="20"/>
          <w:szCs w:val="20"/>
        </w:rPr>
        <w:t xml:space="preserve"> sit in jail across America — and not because they’ve been convicted of any crime, but often because they can’t afford</w:t>
      </w:r>
      <w:hyperlink r:id="rId16">
        <w:r>
          <w:rPr>
            <w:rFonts w:ascii="Times" w:eastAsia="Times" w:hAnsi="Times" w:cs="Times"/>
            <w:sz w:val="20"/>
            <w:szCs w:val="20"/>
          </w:rPr>
          <w:t xml:space="preserve"> money bail</w:t>
        </w:r>
      </w:hyperlink>
      <w:r>
        <w:rPr>
          <w:rFonts w:ascii="Times" w:eastAsia="Times" w:hAnsi="Times" w:cs="Times"/>
          <w:sz w:val="20"/>
          <w:szCs w:val="20"/>
        </w:rPr>
        <w:t>.</w:t>
      </w:r>
      <w:r>
        <w:rPr>
          <w:rFonts w:ascii="Times" w:eastAsia="Times" w:hAnsi="Times" w:cs="Times"/>
          <w:sz w:val="20"/>
          <w:szCs w:val="20"/>
          <w:vertAlign w:val="superscript"/>
        </w:rPr>
        <w:footnoteReference w:id="13"/>
      </w:r>
      <w:r>
        <w:rPr>
          <w:rFonts w:ascii="Times" w:eastAsia="Times" w:hAnsi="Times" w:cs="Times"/>
          <w:sz w:val="20"/>
          <w:szCs w:val="20"/>
        </w:rPr>
        <w:t xml:space="preserve"> This profound injustice devastates families and communities. Being jailed before trial rips parents from their families. It</w:t>
      </w:r>
      <w:hyperlink r:id="rId17">
        <w:r>
          <w:rPr>
            <w:rFonts w:ascii="Times" w:eastAsia="Times" w:hAnsi="Times" w:cs="Times"/>
            <w:sz w:val="20"/>
            <w:szCs w:val="20"/>
          </w:rPr>
          <w:t xml:space="preserve"> increases people’s likelihood of conviction and of committing another crime</w:t>
        </w:r>
      </w:hyperlink>
      <w:r>
        <w:rPr>
          <w:rFonts w:ascii="Times" w:eastAsia="Times" w:hAnsi="Times" w:cs="Times"/>
          <w:sz w:val="20"/>
          <w:szCs w:val="20"/>
        </w:rPr>
        <w:t>.</w:t>
      </w:r>
      <w:r>
        <w:rPr>
          <w:rFonts w:ascii="Times" w:eastAsia="Times" w:hAnsi="Times" w:cs="Times"/>
          <w:sz w:val="20"/>
          <w:szCs w:val="20"/>
          <w:vertAlign w:val="superscript"/>
        </w:rPr>
        <w:footnoteReference w:id="14"/>
      </w:r>
      <w:r>
        <w:rPr>
          <w:rFonts w:ascii="Times" w:eastAsia="Times" w:hAnsi="Times" w:cs="Times"/>
          <w:sz w:val="20"/>
          <w:szCs w:val="20"/>
        </w:rPr>
        <w:t xml:space="preserve"> It causes people who are detained to lose their jobs and homes. It</w:t>
      </w:r>
      <w:hyperlink r:id="rId18">
        <w:r>
          <w:rPr>
            <w:rFonts w:ascii="Times" w:eastAsia="Times" w:hAnsi="Times" w:cs="Times"/>
            <w:sz w:val="20"/>
            <w:szCs w:val="20"/>
          </w:rPr>
          <w:t xml:space="preserve"> significantly increases the likelihood of future unemployment</w:t>
        </w:r>
      </w:hyperlink>
      <w:r>
        <w:rPr>
          <w:rFonts w:ascii="Times" w:eastAsia="Times" w:hAnsi="Times" w:cs="Times"/>
          <w:sz w:val="20"/>
          <w:szCs w:val="20"/>
        </w:rPr>
        <w:t xml:space="preserve"> for those detained.</w:t>
      </w:r>
      <w:r>
        <w:rPr>
          <w:rFonts w:ascii="Times" w:eastAsia="Times" w:hAnsi="Times" w:cs="Times"/>
          <w:sz w:val="20"/>
          <w:szCs w:val="20"/>
          <w:vertAlign w:val="superscript"/>
        </w:rPr>
        <w:footnoteReference w:id="15"/>
      </w:r>
      <w:r>
        <w:rPr>
          <w:rFonts w:ascii="Times" w:eastAsia="Times" w:hAnsi="Times" w:cs="Times"/>
          <w:sz w:val="20"/>
          <w:szCs w:val="20"/>
        </w:rPr>
        <w:t xml:space="preserve"> It exposes people to</w:t>
      </w:r>
      <w:hyperlink r:id="rId19">
        <w:r>
          <w:rPr>
            <w:rFonts w:ascii="Times" w:eastAsia="Times" w:hAnsi="Times" w:cs="Times"/>
            <w:sz w:val="20"/>
            <w:szCs w:val="20"/>
          </w:rPr>
          <w:t xml:space="preserve"> infectious disease</w:t>
        </w:r>
      </w:hyperlink>
      <w:r>
        <w:rPr>
          <w:rFonts w:ascii="Times" w:eastAsia="Times" w:hAnsi="Times" w:cs="Times"/>
          <w:sz w:val="20"/>
          <w:szCs w:val="20"/>
        </w:rPr>
        <w:t>,</w:t>
      </w:r>
      <w:r>
        <w:rPr>
          <w:rFonts w:ascii="Times" w:eastAsia="Times" w:hAnsi="Times" w:cs="Times"/>
          <w:sz w:val="20"/>
          <w:szCs w:val="20"/>
          <w:vertAlign w:val="superscript"/>
        </w:rPr>
        <w:footnoteReference w:id="16"/>
      </w:r>
      <w:hyperlink r:id="rId20">
        <w:r>
          <w:rPr>
            <w:rFonts w:ascii="Times" w:eastAsia="Times" w:hAnsi="Times" w:cs="Times"/>
            <w:sz w:val="20"/>
            <w:szCs w:val="20"/>
          </w:rPr>
          <w:t xml:space="preserve"> mental illness</w:t>
        </w:r>
      </w:hyperlink>
      <w:r>
        <w:rPr>
          <w:rFonts w:ascii="Times" w:eastAsia="Times" w:hAnsi="Times" w:cs="Times"/>
          <w:sz w:val="20"/>
          <w:szCs w:val="20"/>
        </w:rPr>
        <w:t>,</w:t>
      </w:r>
      <w:r>
        <w:rPr>
          <w:rFonts w:ascii="Times" w:eastAsia="Times" w:hAnsi="Times" w:cs="Times"/>
          <w:sz w:val="20"/>
          <w:szCs w:val="20"/>
          <w:vertAlign w:val="superscript"/>
        </w:rPr>
        <w:footnoteReference w:id="17"/>
      </w:r>
      <w:hyperlink r:id="rId21">
        <w:r>
          <w:rPr>
            <w:rFonts w:ascii="Times" w:eastAsia="Times" w:hAnsi="Times" w:cs="Times"/>
            <w:sz w:val="20"/>
            <w:szCs w:val="20"/>
          </w:rPr>
          <w:t xml:space="preserve"> unsanitary conditions</w:t>
        </w:r>
      </w:hyperlink>
      <w:r>
        <w:rPr>
          <w:rFonts w:ascii="Times" w:eastAsia="Times" w:hAnsi="Times" w:cs="Times"/>
          <w:sz w:val="20"/>
          <w:szCs w:val="20"/>
        </w:rPr>
        <w:t>,</w:t>
      </w:r>
      <w:r>
        <w:rPr>
          <w:rFonts w:ascii="Times" w:eastAsia="Times" w:hAnsi="Times" w:cs="Times"/>
          <w:sz w:val="20"/>
          <w:szCs w:val="20"/>
          <w:vertAlign w:val="superscript"/>
        </w:rPr>
        <w:footnoteReference w:id="18"/>
      </w:r>
      <w:hyperlink r:id="rId22">
        <w:r>
          <w:rPr>
            <w:rFonts w:ascii="Times" w:eastAsia="Times" w:hAnsi="Times" w:cs="Times"/>
            <w:sz w:val="20"/>
            <w:szCs w:val="20"/>
          </w:rPr>
          <w:t xml:space="preserve"> sexual assault</w:t>
        </w:r>
      </w:hyperlink>
      <w:r>
        <w:rPr>
          <w:rFonts w:ascii="Times" w:eastAsia="Times" w:hAnsi="Times" w:cs="Times"/>
          <w:sz w:val="20"/>
          <w:szCs w:val="20"/>
        </w:rPr>
        <w:t>,</w:t>
      </w:r>
      <w:r>
        <w:rPr>
          <w:rFonts w:ascii="Times" w:eastAsia="Times" w:hAnsi="Times" w:cs="Times"/>
          <w:sz w:val="20"/>
          <w:szCs w:val="20"/>
          <w:vertAlign w:val="superscript"/>
        </w:rPr>
        <w:footnoteReference w:id="19"/>
      </w:r>
      <w:r>
        <w:rPr>
          <w:rFonts w:ascii="Times" w:eastAsia="Times" w:hAnsi="Times" w:cs="Times"/>
          <w:sz w:val="20"/>
          <w:szCs w:val="20"/>
        </w:rPr>
        <w:t xml:space="preserve"> and even</w:t>
      </w:r>
      <w:hyperlink r:id="rId23">
        <w:r>
          <w:rPr>
            <w:rFonts w:ascii="Times" w:eastAsia="Times" w:hAnsi="Times" w:cs="Times"/>
            <w:sz w:val="20"/>
            <w:szCs w:val="20"/>
          </w:rPr>
          <w:t xml:space="preserve"> death</w:t>
        </w:r>
      </w:hyperlink>
      <w:r>
        <w:rPr>
          <w:rFonts w:ascii="Times" w:eastAsia="Times" w:hAnsi="Times" w:cs="Times"/>
          <w:sz w:val="20"/>
          <w:szCs w:val="20"/>
        </w:rPr>
        <w:t xml:space="preserve"> from suicide, violence, or medical inattention. Historically, Black and Brown defendants have been more likely to be jailed before trial than White defendants.</w:t>
      </w:r>
      <w:r>
        <w:rPr>
          <w:rFonts w:ascii="Times" w:eastAsia="Times" w:hAnsi="Times" w:cs="Times"/>
          <w:sz w:val="20"/>
          <w:szCs w:val="20"/>
          <w:vertAlign w:val="superscript"/>
        </w:rPr>
        <w:footnoteReference w:id="20"/>
      </w:r>
      <w:r>
        <w:rPr>
          <w:rFonts w:ascii="Times" w:eastAsia="Times" w:hAnsi="Times" w:cs="Times"/>
          <w:sz w:val="20"/>
          <w:szCs w:val="20"/>
        </w:rPr>
        <w:t xml:space="preserve"> And recent evidence from New Jersey and Kentucky shows that while some reforms have helped reduce pretrial populations, they’ve had little or no impact on reducing racial disparities.</w:t>
      </w:r>
    </w:p>
    <w:p w14:paraId="00000032" w14:textId="77777777" w:rsidR="00834BF6" w:rsidRDefault="00834BF6">
      <w:pPr>
        <w:pBdr>
          <w:top w:val="nil"/>
          <w:left w:val="nil"/>
          <w:bottom w:val="nil"/>
          <w:right w:val="nil"/>
          <w:between w:val="nil"/>
        </w:pBdr>
        <w:rPr>
          <w:rFonts w:ascii="Times" w:eastAsia="Times" w:hAnsi="Times" w:cs="Times"/>
          <w:sz w:val="20"/>
          <w:szCs w:val="20"/>
        </w:rPr>
      </w:pPr>
    </w:p>
    <w:p w14:paraId="00000033" w14:textId="77777777" w:rsidR="00834BF6" w:rsidRDefault="00834BF6">
      <w:pPr>
        <w:pBdr>
          <w:top w:val="nil"/>
          <w:left w:val="nil"/>
          <w:bottom w:val="nil"/>
          <w:right w:val="nil"/>
          <w:between w:val="nil"/>
        </w:pBdr>
        <w:rPr>
          <w:rFonts w:ascii="Times" w:eastAsia="Times" w:hAnsi="Times" w:cs="Times"/>
          <w:b/>
          <w:i/>
          <w:color w:val="000000"/>
          <w:sz w:val="20"/>
          <w:szCs w:val="20"/>
          <w:u w:val="single"/>
        </w:rPr>
      </w:pPr>
    </w:p>
    <w:p w14:paraId="00000034" w14:textId="77777777" w:rsidR="00834BF6" w:rsidRDefault="002D7342">
      <w:pPr>
        <w:pBdr>
          <w:top w:val="nil"/>
          <w:left w:val="nil"/>
          <w:bottom w:val="nil"/>
          <w:right w:val="nil"/>
          <w:between w:val="nil"/>
        </w:pBdr>
        <w:rPr>
          <w:rFonts w:ascii="Times" w:eastAsia="Times" w:hAnsi="Times" w:cs="Times"/>
          <w:i/>
          <w:color w:val="000000"/>
          <w:sz w:val="20"/>
          <w:szCs w:val="20"/>
        </w:rPr>
      </w:pPr>
      <w:r>
        <w:rPr>
          <w:rFonts w:ascii="Times" w:eastAsia="Times" w:hAnsi="Times" w:cs="Times"/>
          <w:b/>
          <w:i/>
          <w:color w:val="000000"/>
          <w:sz w:val="20"/>
          <w:szCs w:val="20"/>
          <w:u w:val="single"/>
        </w:rPr>
        <w:t>Hate Crimes</w:t>
      </w:r>
    </w:p>
    <w:p w14:paraId="00000035" w14:textId="1C92B6D7" w:rsidR="00834BF6" w:rsidRDefault="002D7342">
      <w:pPr>
        <w:pBdr>
          <w:top w:val="nil"/>
          <w:left w:val="nil"/>
          <w:bottom w:val="nil"/>
          <w:right w:val="nil"/>
          <w:between w:val="nil"/>
        </w:pBdr>
        <w:spacing w:before="240" w:after="120"/>
        <w:ind w:right="1134"/>
        <w:rPr>
          <w:rFonts w:ascii="Times" w:eastAsia="Times" w:hAnsi="Times" w:cs="Times"/>
          <w:color w:val="000000"/>
          <w:sz w:val="20"/>
          <w:szCs w:val="20"/>
        </w:rPr>
      </w:pPr>
      <w:r>
        <w:rPr>
          <w:rFonts w:ascii="Times" w:eastAsia="Times" w:hAnsi="Times" w:cs="Times"/>
          <w:b/>
          <w:sz w:val="20"/>
          <w:szCs w:val="20"/>
        </w:rPr>
        <w:t xml:space="preserve">ADDRESSING </w:t>
      </w:r>
      <w:r>
        <w:rPr>
          <w:rFonts w:ascii="Times" w:eastAsia="Times" w:hAnsi="Times" w:cs="Times"/>
          <w:b/>
          <w:color w:val="000000"/>
          <w:sz w:val="20"/>
          <w:szCs w:val="20"/>
        </w:rPr>
        <w:t>2014 CONCLUDING OBSERVATION</w:t>
      </w:r>
      <w:r w:rsidR="00DD4A4A">
        <w:rPr>
          <w:rFonts w:ascii="Times" w:eastAsia="Times" w:hAnsi="Times" w:cs="Times"/>
          <w:b/>
          <w:color w:val="000000"/>
          <w:sz w:val="20"/>
          <w:szCs w:val="20"/>
        </w:rPr>
        <w:t xml:space="preserve"> 9</w:t>
      </w:r>
    </w:p>
    <w:p w14:paraId="00000036" w14:textId="77777777" w:rsidR="00834BF6" w:rsidRDefault="00834BF6">
      <w:pPr>
        <w:pBdr>
          <w:top w:val="nil"/>
          <w:left w:val="nil"/>
          <w:bottom w:val="nil"/>
          <w:right w:val="nil"/>
          <w:between w:val="nil"/>
        </w:pBdr>
        <w:ind w:left="720"/>
        <w:rPr>
          <w:rFonts w:ascii="Times" w:eastAsia="Times" w:hAnsi="Times" w:cs="Times"/>
          <w:b/>
          <w:color w:val="000000"/>
          <w:sz w:val="20"/>
          <w:szCs w:val="20"/>
        </w:rPr>
      </w:pPr>
    </w:p>
    <w:p w14:paraId="00000037" w14:textId="77777777" w:rsidR="00834BF6" w:rsidRDefault="002D7342">
      <w:pPr>
        <w:pBdr>
          <w:top w:val="nil"/>
          <w:left w:val="nil"/>
          <w:bottom w:val="nil"/>
          <w:right w:val="nil"/>
          <w:between w:val="nil"/>
        </w:pBdr>
        <w:rPr>
          <w:rFonts w:ascii="Times" w:eastAsia="Times" w:hAnsi="Times" w:cs="Times"/>
          <w:b/>
          <w:color w:val="000000"/>
          <w:sz w:val="20"/>
          <w:szCs w:val="20"/>
        </w:rPr>
      </w:pPr>
      <w:r>
        <w:rPr>
          <w:rFonts w:ascii="Times" w:eastAsia="Times" w:hAnsi="Times" w:cs="Times"/>
          <w:b/>
          <w:color w:val="000000"/>
          <w:sz w:val="20"/>
          <w:szCs w:val="20"/>
        </w:rPr>
        <w:t>Progress and Steps Towards Resolution</w:t>
      </w:r>
    </w:p>
    <w:p w14:paraId="00000038" w14:textId="77777777" w:rsidR="00834BF6" w:rsidRDefault="002D7342">
      <w:pPr>
        <w:pBdr>
          <w:top w:val="nil"/>
          <w:left w:val="nil"/>
          <w:bottom w:val="nil"/>
          <w:right w:val="nil"/>
          <w:between w:val="nil"/>
        </w:pBdr>
        <w:rPr>
          <w:rFonts w:ascii="Times" w:eastAsia="Times" w:hAnsi="Times" w:cs="Times"/>
          <w:sz w:val="20"/>
          <w:szCs w:val="20"/>
        </w:rPr>
      </w:pPr>
      <w:r>
        <w:rPr>
          <w:rFonts w:ascii="Times" w:eastAsia="Times" w:hAnsi="Times" w:cs="Times"/>
          <w:b/>
          <w:color w:val="000000"/>
          <w:sz w:val="20"/>
          <w:szCs w:val="20"/>
        </w:rPr>
        <w:br/>
      </w:r>
      <w:r>
        <w:rPr>
          <w:rFonts w:ascii="Times" w:eastAsia="Times" w:hAnsi="Times" w:cs="Times"/>
          <w:color w:val="000000"/>
          <w:sz w:val="20"/>
          <w:szCs w:val="20"/>
        </w:rPr>
        <w:t>On May 20, 2021, President Biden signed the COVID-19 Hate Crimes Act into law. This law includes the Khalid Jabara and Heather Heyer NO HATE Act. This bill required a designated employee of Department of Justice (DOJ) to facilitate an expedited review of hate crimes related to the COVID-19 pandemic and required DOJ to issue guidance with the Department of Health and Human Services (HHS) aimed at raising awareness of hate crimes during the pandemic. The Jabara-Heyer NO HATE Act portion of the bill establishes grants for state-run hate crime reporting hotlines and authorizes grants for state and local governments to implement the National Incident-Based Reporting System (NIBRS). The law also allows a court to order educational classes or community service as a condition of supervised release.</w:t>
      </w:r>
      <w:r>
        <w:rPr>
          <w:rFonts w:ascii="Times" w:eastAsia="Times" w:hAnsi="Times" w:cs="Times"/>
          <w:color w:val="000000"/>
          <w:sz w:val="20"/>
          <w:szCs w:val="20"/>
          <w:vertAlign w:val="superscript"/>
        </w:rPr>
        <w:footnoteReference w:id="21"/>
      </w:r>
      <w:r>
        <w:rPr>
          <w:rFonts w:ascii="Times" w:eastAsia="Times" w:hAnsi="Times" w:cs="Times"/>
          <w:color w:val="000000"/>
          <w:sz w:val="20"/>
          <w:szCs w:val="20"/>
        </w:rPr>
        <w:t xml:space="preserve">   In February 2016, FBI Director James Comey signed a recommendation that the Uniform Crime Reporting (UCR) Program sunset its traditional Summary Reporting System (SRS) and transition to the National Incident-Based Reporting System (NIBRS) by January 1, 2021. NIBRS provides for more comprehensive data including better data on hate crime incidents and bias-motivations. As of May 2022, the FBI reports only 65 percent</w:t>
      </w:r>
      <w:r>
        <w:rPr>
          <w:rFonts w:ascii="Times" w:eastAsia="Times" w:hAnsi="Times" w:cs="Times"/>
          <w:color w:val="000000"/>
          <w:sz w:val="20"/>
          <w:szCs w:val="20"/>
          <w:vertAlign w:val="superscript"/>
        </w:rPr>
        <w:footnoteReference w:id="22"/>
      </w:r>
      <w:r>
        <w:rPr>
          <w:rFonts w:ascii="Times" w:eastAsia="Times" w:hAnsi="Times" w:cs="Times"/>
          <w:color w:val="000000"/>
          <w:sz w:val="20"/>
          <w:szCs w:val="20"/>
        </w:rPr>
        <w:t xml:space="preserve"> of law enforcement agencies in the United States contribute to NIBRS, including 31 states that are partial NIBRS reporting states.</w:t>
      </w:r>
      <w:r>
        <w:rPr>
          <w:rFonts w:ascii="Times" w:eastAsia="Times" w:hAnsi="Times" w:cs="Times"/>
          <w:color w:val="000000"/>
          <w:sz w:val="20"/>
          <w:szCs w:val="20"/>
          <w:vertAlign w:val="superscript"/>
        </w:rPr>
        <w:footnoteReference w:id="23"/>
      </w:r>
      <w:r>
        <w:rPr>
          <w:rFonts w:ascii="Times" w:eastAsia="Times" w:hAnsi="Times" w:cs="Times"/>
          <w:color w:val="000000"/>
          <w:sz w:val="20"/>
          <w:szCs w:val="20"/>
        </w:rPr>
        <w:t xml:space="preserve"> </w:t>
      </w:r>
      <w:r>
        <w:rPr>
          <w:rFonts w:ascii="Times" w:eastAsia="Times" w:hAnsi="Times" w:cs="Times"/>
          <w:sz w:val="20"/>
          <w:szCs w:val="20"/>
        </w:rPr>
        <w:t xml:space="preserve">Despite these efforts, the United States continues to experience horrific </w:t>
      </w:r>
      <w:r>
        <w:rPr>
          <w:rFonts w:ascii="Times" w:eastAsia="Times" w:hAnsi="Times" w:cs="Times"/>
          <w:sz w:val="20"/>
          <w:szCs w:val="20"/>
        </w:rPr>
        <w:lastRenderedPageBreak/>
        <w:t xml:space="preserve">hate crimes motivated by an ideology of white </w:t>
      </w:r>
      <w:proofErr w:type="gramStart"/>
      <w:r>
        <w:rPr>
          <w:rFonts w:ascii="Times" w:eastAsia="Times" w:hAnsi="Times" w:cs="Times"/>
          <w:sz w:val="20"/>
          <w:szCs w:val="20"/>
        </w:rPr>
        <w:t>nationalism,  racist</w:t>
      </w:r>
      <w:proofErr w:type="gramEnd"/>
      <w:r>
        <w:rPr>
          <w:rFonts w:ascii="Times" w:eastAsia="Times" w:hAnsi="Times" w:cs="Times"/>
          <w:sz w:val="20"/>
          <w:szCs w:val="20"/>
        </w:rPr>
        <w:t xml:space="preserve"> animus, and the easy availability of guns and assault weapons.</w:t>
      </w:r>
    </w:p>
    <w:p w14:paraId="00000039" w14:textId="77777777" w:rsidR="00834BF6" w:rsidRDefault="00834BF6">
      <w:pPr>
        <w:pBdr>
          <w:top w:val="nil"/>
          <w:left w:val="nil"/>
          <w:bottom w:val="nil"/>
          <w:right w:val="nil"/>
          <w:between w:val="nil"/>
        </w:pBdr>
        <w:rPr>
          <w:rFonts w:ascii="Times" w:eastAsia="Times" w:hAnsi="Times" w:cs="Times"/>
          <w:sz w:val="20"/>
          <w:szCs w:val="20"/>
        </w:rPr>
      </w:pPr>
    </w:p>
    <w:p w14:paraId="0000003A" w14:textId="77777777" w:rsidR="00834BF6" w:rsidRDefault="00834BF6">
      <w:pPr>
        <w:pBdr>
          <w:top w:val="nil"/>
          <w:left w:val="nil"/>
          <w:bottom w:val="nil"/>
          <w:right w:val="nil"/>
          <w:between w:val="nil"/>
        </w:pBdr>
        <w:rPr>
          <w:rFonts w:ascii="Times" w:eastAsia="Times" w:hAnsi="Times" w:cs="Times"/>
          <w:sz w:val="20"/>
          <w:szCs w:val="20"/>
        </w:rPr>
      </w:pPr>
    </w:p>
    <w:p w14:paraId="0000003B" w14:textId="77777777" w:rsidR="00834BF6" w:rsidRDefault="002D7342">
      <w:pPr>
        <w:pBdr>
          <w:top w:val="nil"/>
          <w:left w:val="nil"/>
          <w:bottom w:val="nil"/>
          <w:right w:val="nil"/>
          <w:between w:val="nil"/>
        </w:pBdr>
        <w:spacing w:before="240" w:after="120"/>
        <w:ind w:right="1134"/>
        <w:rPr>
          <w:rFonts w:ascii="Times" w:eastAsia="Times" w:hAnsi="Times" w:cs="Times"/>
          <w:b/>
          <w:i/>
          <w:color w:val="000000"/>
          <w:sz w:val="20"/>
          <w:szCs w:val="20"/>
          <w:u w:val="single"/>
        </w:rPr>
      </w:pPr>
      <w:r>
        <w:rPr>
          <w:rFonts w:ascii="Times" w:eastAsia="Times" w:hAnsi="Times" w:cs="Times"/>
          <w:b/>
          <w:i/>
          <w:color w:val="000000"/>
          <w:sz w:val="20"/>
          <w:szCs w:val="20"/>
          <w:u w:val="single"/>
        </w:rPr>
        <w:t>Discrimination in Education</w:t>
      </w:r>
    </w:p>
    <w:p w14:paraId="0000003C" w14:textId="40286ECD" w:rsidR="00834BF6" w:rsidRDefault="002D7342">
      <w:pPr>
        <w:spacing w:before="240" w:after="120"/>
        <w:ind w:right="1134"/>
        <w:rPr>
          <w:rFonts w:ascii="Times New Roman" w:eastAsia="Times New Roman" w:hAnsi="Times New Roman" w:cs="Times New Roman"/>
          <w:b/>
        </w:rPr>
      </w:pPr>
      <w:r>
        <w:rPr>
          <w:rFonts w:ascii="Times New Roman" w:eastAsia="Times New Roman" w:hAnsi="Times New Roman" w:cs="Times New Roman"/>
          <w:b/>
          <w:sz w:val="20"/>
          <w:szCs w:val="20"/>
        </w:rPr>
        <w:t xml:space="preserve">ADDRESSING </w:t>
      </w:r>
      <w:proofErr w:type="gramStart"/>
      <w:r w:rsidR="00DD4A4A">
        <w:rPr>
          <w:rFonts w:ascii="Times New Roman" w:eastAsia="Times New Roman" w:hAnsi="Times New Roman" w:cs="Times New Roman"/>
          <w:b/>
          <w:sz w:val="20"/>
          <w:szCs w:val="20"/>
        </w:rPr>
        <w:t>CERD  Concluding</w:t>
      </w:r>
      <w:proofErr w:type="gramEnd"/>
      <w:r w:rsidR="00DD4A4A">
        <w:rPr>
          <w:rFonts w:ascii="Times New Roman" w:eastAsia="Times New Roman" w:hAnsi="Times New Roman" w:cs="Times New Roman"/>
          <w:b/>
          <w:sz w:val="20"/>
          <w:szCs w:val="20"/>
        </w:rPr>
        <w:t xml:space="preserve"> Observation 14 and </w:t>
      </w:r>
      <w:r>
        <w:rPr>
          <w:rFonts w:ascii="Times New Roman" w:eastAsia="Times New Roman" w:hAnsi="Times New Roman" w:cs="Times New Roman"/>
          <w:b/>
          <w:sz w:val="20"/>
          <w:szCs w:val="20"/>
        </w:rPr>
        <w:t xml:space="preserve">ARTICLES 2(1), 2(1)(c), 2(1)(d), 2(2), 3, and 5(e) </w:t>
      </w:r>
    </w:p>
    <w:p w14:paraId="0000003D" w14:textId="77777777" w:rsidR="00834BF6" w:rsidRDefault="002D7342">
      <w:pPr>
        <w:pBdr>
          <w:top w:val="nil"/>
          <w:left w:val="nil"/>
          <w:bottom w:val="nil"/>
          <w:right w:val="nil"/>
          <w:between w:val="nil"/>
        </w:pBdr>
        <w:rPr>
          <w:rFonts w:ascii="Times" w:eastAsia="Times" w:hAnsi="Times" w:cs="Times"/>
          <w:color w:val="000000"/>
          <w:sz w:val="20"/>
          <w:szCs w:val="20"/>
        </w:rPr>
      </w:pPr>
      <w:r>
        <w:rPr>
          <w:rFonts w:ascii="Times" w:eastAsia="Times" w:hAnsi="Times" w:cs="Times"/>
          <w:b/>
          <w:color w:val="191617"/>
          <w:sz w:val="20"/>
          <w:szCs w:val="20"/>
        </w:rPr>
        <w:t>Criminalization in K-12 Schools</w:t>
      </w:r>
    </w:p>
    <w:p w14:paraId="0000003E"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Federal support for school-based law enforcement and other harmful policies and practices, such as corporal punishment, seclusion, and restraint, directly undermines academic success, criminalizes children, and interferes with proven and evidence-based efforts to build positive relationships in schools and climates conducive to learning and child well-being. Specifically, zero tolerance policies, in-school and out-of-school suspensions, expulsions, threat assessment teams, school-based law enforcement, referrals to law enforcement, and school-based arrests create and sustain a school-to-prison pipeline.</w:t>
      </w:r>
      <w:r>
        <w:rPr>
          <w:rFonts w:ascii="Times" w:eastAsia="Times" w:hAnsi="Times" w:cs="Times"/>
          <w:color w:val="191617"/>
          <w:sz w:val="20"/>
          <w:szCs w:val="20"/>
          <w:vertAlign w:val="superscript"/>
        </w:rPr>
        <w:footnoteReference w:id="24"/>
      </w:r>
      <w:r>
        <w:rPr>
          <w:rFonts w:ascii="Times" w:eastAsia="Times" w:hAnsi="Times" w:cs="Times"/>
          <w:color w:val="191617"/>
          <w:sz w:val="20"/>
          <w:szCs w:val="20"/>
        </w:rPr>
        <w:t xml:space="preserve"> Due to explicit and implicit bias ingrained in current school safety and discipline policies and enforcement of those policies, the behaviors of children of color, including those with disabilities or LGBT are disproportionately criminalized, while White students who engage in the same behavior are treated more leniently. </w:t>
      </w:r>
    </w:p>
    <w:p w14:paraId="0000003F"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0"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Increased police presence in schools has caused devastating harm to young people’s futures and educational outcomes. The direct consequence of police in schools, coupled with the systemic biases and failures of police departments across the country, is the criminalization of typical child and adolescent behavior,</w:t>
      </w:r>
      <w:r>
        <w:rPr>
          <w:rFonts w:ascii="Times" w:eastAsia="Times" w:hAnsi="Times" w:cs="Times"/>
          <w:color w:val="191617"/>
          <w:sz w:val="20"/>
          <w:szCs w:val="20"/>
          <w:vertAlign w:val="superscript"/>
        </w:rPr>
        <w:footnoteReference w:id="25"/>
      </w:r>
      <w:r>
        <w:rPr>
          <w:rFonts w:ascii="Times" w:eastAsia="Times" w:hAnsi="Times" w:cs="Times"/>
          <w:color w:val="191617"/>
          <w:sz w:val="20"/>
          <w:szCs w:val="20"/>
        </w:rPr>
        <w:t xml:space="preserve"> with deep and disturbing racial implications.</w:t>
      </w:r>
      <w:r>
        <w:rPr>
          <w:rFonts w:ascii="Times" w:eastAsia="Times" w:hAnsi="Times" w:cs="Times"/>
          <w:color w:val="191617"/>
          <w:sz w:val="20"/>
          <w:szCs w:val="20"/>
          <w:vertAlign w:val="superscript"/>
        </w:rPr>
        <w:footnoteReference w:id="26"/>
      </w:r>
      <w:r>
        <w:rPr>
          <w:rFonts w:ascii="Times" w:eastAsia="Times" w:hAnsi="Times" w:cs="Times"/>
          <w:color w:val="191617"/>
          <w:sz w:val="20"/>
          <w:szCs w:val="20"/>
        </w:rPr>
        <w:t xml:space="preserve"> While Black children are only 15 percent of all children in school nationwide, they make up 33 percent of the children arrested,</w:t>
      </w:r>
      <w:r>
        <w:rPr>
          <w:rFonts w:ascii="Times" w:eastAsia="Times" w:hAnsi="Times" w:cs="Times"/>
          <w:color w:val="191617"/>
          <w:sz w:val="20"/>
          <w:szCs w:val="20"/>
          <w:vertAlign w:val="superscript"/>
        </w:rPr>
        <w:footnoteReference w:id="27"/>
      </w:r>
      <w:r>
        <w:rPr>
          <w:rFonts w:ascii="Times" w:eastAsia="Times" w:hAnsi="Times" w:cs="Times"/>
          <w:color w:val="191617"/>
          <w:sz w:val="20"/>
          <w:szCs w:val="20"/>
        </w:rPr>
        <w:t xml:space="preserve"> despite research showing that children of color do not misbehave more than their white counterparts.</w:t>
      </w:r>
      <w:r>
        <w:rPr>
          <w:rFonts w:ascii="Times" w:eastAsia="Times" w:hAnsi="Times" w:cs="Times"/>
          <w:color w:val="191617"/>
          <w:sz w:val="20"/>
          <w:szCs w:val="20"/>
          <w:vertAlign w:val="superscript"/>
        </w:rPr>
        <w:footnoteReference w:id="28"/>
      </w:r>
      <w:r>
        <w:rPr>
          <w:rFonts w:ascii="Times" w:eastAsia="Times" w:hAnsi="Times" w:cs="Times"/>
          <w:color w:val="191617"/>
          <w:sz w:val="20"/>
          <w:szCs w:val="20"/>
        </w:rPr>
        <w:t xml:space="preserve"> A child may be disciplined both by the school and by law enforcement, and </w:t>
      </w:r>
      <w:r>
        <w:rPr>
          <w:rFonts w:ascii="Times" w:eastAsia="Times" w:hAnsi="Times" w:cs="Times"/>
          <w:color w:val="191617"/>
          <w:sz w:val="20"/>
          <w:szCs w:val="20"/>
        </w:rPr>
        <w:lastRenderedPageBreak/>
        <w:t>studies show that students who are suspended or expelled are then up to three times more likely to become involved with the juvenile legal system.</w:t>
      </w:r>
      <w:r>
        <w:rPr>
          <w:rFonts w:ascii="Times" w:eastAsia="Times" w:hAnsi="Times" w:cs="Times"/>
          <w:color w:val="191617"/>
          <w:sz w:val="20"/>
          <w:szCs w:val="20"/>
          <w:vertAlign w:val="superscript"/>
        </w:rPr>
        <w:footnoteReference w:id="29"/>
      </w:r>
      <w:r>
        <w:rPr>
          <w:rFonts w:ascii="Times" w:eastAsia="Times" w:hAnsi="Times" w:cs="Times"/>
          <w:color w:val="191617"/>
          <w:sz w:val="20"/>
          <w:szCs w:val="20"/>
        </w:rPr>
        <w:t xml:space="preserve"> Moreover, students who face arrests are less likely to graduate, succeed academically, and have stable employment.</w:t>
      </w:r>
      <w:r>
        <w:rPr>
          <w:rFonts w:ascii="Times" w:eastAsia="Times" w:hAnsi="Times" w:cs="Times"/>
          <w:color w:val="191617"/>
          <w:sz w:val="20"/>
          <w:szCs w:val="20"/>
          <w:vertAlign w:val="superscript"/>
        </w:rPr>
        <w:footnoteReference w:id="30"/>
      </w:r>
      <w:r>
        <w:rPr>
          <w:rFonts w:ascii="Times" w:eastAsia="Times" w:hAnsi="Times" w:cs="Times"/>
          <w:color w:val="191617"/>
          <w:sz w:val="20"/>
          <w:szCs w:val="20"/>
        </w:rPr>
        <w:t xml:space="preserve"> All of these factors then increase one’s likelihood of coming into contact with either the juvenile or criminal legal system.</w:t>
      </w:r>
      <w:r>
        <w:rPr>
          <w:rFonts w:ascii="Times" w:eastAsia="Times" w:hAnsi="Times" w:cs="Times"/>
          <w:color w:val="191617"/>
          <w:sz w:val="20"/>
          <w:szCs w:val="20"/>
          <w:vertAlign w:val="superscript"/>
        </w:rPr>
        <w:footnoteReference w:id="31"/>
      </w:r>
    </w:p>
    <w:p w14:paraId="00000041"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2"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Corporal punishment is a harmful and dangerous practice, which is explicitly allowed in 19 states</w:t>
      </w:r>
      <w:r>
        <w:rPr>
          <w:rFonts w:ascii="Times" w:eastAsia="Times" w:hAnsi="Times" w:cs="Times"/>
          <w:color w:val="191617"/>
          <w:sz w:val="20"/>
          <w:szCs w:val="20"/>
          <w:vertAlign w:val="superscript"/>
        </w:rPr>
        <w:footnoteReference w:id="32"/>
      </w:r>
      <w:r>
        <w:rPr>
          <w:rFonts w:ascii="Times" w:eastAsia="Times" w:hAnsi="Times" w:cs="Times"/>
          <w:color w:val="191617"/>
          <w:sz w:val="20"/>
          <w:szCs w:val="20"/>
        </w:rPr>
        <w:t xml:space="preserve"> and disproportionately harms Black children and children with disabilities.</w:t>
      </w:r>
      <w:r>
        <w:rPr>
          <w:rFonts w:ascii="Times" w:eastAsia="Times" w:hAnsi="Times" w:cs="Times"/>
          <w:color w:val="191617"/>
          <w:sz w:val="20"/>
          <w:szCs w:val="20"/>
          <w:vertAlign w:val="superscript"/>
        </w:rPr>
        <w:footnoteReference w:id="33"/>
      </w:r>
      <w:r>
        <w:rPr>
          <w:rFonts w:ascii="Times" w:eastAsia="Times" w:hAnsi="Times" w:cs="Times"/>
          <w:color w:val="191617"/>
          <w:sz w:val="20"/>
          <w:szCs w:val="20"/>
        </w:rPr>
        <w:t xml:space="preserve"> The use of corporal punishment has been most freely used in schools with students who have a larger percentage of students who are identified as Black.</w:t>
      </w:r>
      <w:r>
        <w:rPr>
          <w:rFonts w:ascii="Times" w:eastAsia="Times" w:hAnsi="Times" w:cs="Times"/>
          <w:color w:val="191617"/>
          <w:sz w:val="20"/>
          <w:szCs w:val="20"/>
          <w:vertAlign w:val="superscript"/>
        </w:rPr>
        <w:footnoteReference w:id="34"/>
      </w:r>
      <w:r>
        <w:rPr>
          <w:rFonts w:ascii="Times" w:eastAsia="Times" w:hAnsi="Times" w:cs="Times"/>
          <w:color w:val="191617"/>
          <w:sz w:val="20"/>
          <w:szCs w:val="20"/>
        </w:rPr>
        <w:t xml:space="preserve"> There is never an educational justification for hitting children. Even in those jurisdictions that generally prohibit corporal punishment usually allow the use of restraints, inclusive, and sometimes even aversive, on students with disabilities; these practices are disproportionately used on children with disabilities of color.</w:t>
      </w:r>
      <w:r>
        <w:rPr>
          <w:rFonts w:ascii="Times" w:eastAsia="Times" w:hAnsi="Times" w:cs="Times"/>
          <w:color w:val="191617"/>
          <w:sz w:val="20"/>
          <w:szCs w:val="20"/>
          <w:vertAlign w:val="superscript"/>
        </w:rPr>
        <w:footnoteReference w:id="35"/>
      </w:r>
    </w:p>
    <w:p w14:paraId="00000043"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4"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201F1E"/>
          <w:sz w:val="20"/>
          <w:szCs w:val="20"/>
          <w:highlight w:val="white"/>
        </w:rPr>
        <w:t>Students with disabilities in the United States are routinely subjected to dangerous, dehumanizing restraint and seclusion practices in public schools. No federal law governs the use of restraint and seclusion as of 2022. In 2009 the U.S. Government Accountability Office found that there was little to no oversight of these practices and that there were even student deaths that could be connected to their use.</w:t>
      </w:r>
      <w:r>
        <w:rPr>
          <w:rFonts w:ascii="Times" w:eastAsia="Times" w:hAnsi="Times" w:cs="Times"/>
          <w:color w:val="201F1E"/>
          <w:sz w:val="20"/>
          <w:szCs w:val="20"/>
          <w:highlight w:val="white"/>
          <w:vertAlign w:val="superscript"/>
        </w:rPr>
        <w:footnoteReference w:id="36"/>
      </w:r>
      <w:r>
        <w:rPr>
          <w:rFonts w:ascii="Times" w:eastAsia="Times" w:hAnsi="Times" w:cs="Times"/>
          <w:color w:val="201F1E"/>
          <w:sz w:val="20"/>
          <w:szCs w:val="20"/>
          <w:highlight w:val="white"/>
        </w:rPr>
        <w:t xml:space="preserve"> Public reports on seclusion by news media in the U.S. have revealed that it, too, both traumatizes and even can physically harm children.</w:t>
      </w:r>
      <w:r>
        <w:rPr>
          <w:rFonts w:ascii="Times" w:eastAsia="Times" w:hAnsi="Times" w:cs="Times"/>
          <w:color w:val="201F1E"/>
          <w:sz w:val="20"/>
          <w:szCs w:val="20"/>
          <w:highlight w:val="white"/>
          <w:vertAlign w:val="superscript"/>
        </w:rPr>
        <w:footnoteReference w:id="37"/>
      </w:r>
      <w:r>
        <w:rPr>
          <w:rFonts w:ascii="Times" w:eastAsia="Times" w:hAnsi="Times" w:cs="Times"/>
          <w:color w:val="201F1E"/>
          <w:sz w:val="20"/>
          <w:szCs w:val="20"/>
          <w:highlight w:val="white"/>
        </w:rPr>
        <w:t xml:space="preserve"> These practices are used more often and disproportionately on Black youth and youth of color with disabilities. For example, in the 2017-2018 school year, the U.S. Department of Education's Civil Rights Data Collection, a brief summarizing data collected on this issue by the federal government, reported that students with disabilities made up 80% of all students subjected to seclusion and restraint despite being only 13% of the student body.</w:t>
      </w:r>
      <w:r>
        <w:rPr>
          <w:rFonts w:ascii="Times" w:eastAsia="Times" w:hAnsi="Times" w:cs="Times"/>
          <w:color w:val="201F1E"/>
          <w:sz w:val="20"/>
          <w:szCs w:val="20"/>
          <w:highlight w:val="white"/>
          <w:vertAlign w:val="superscript"/>
        </w:rPr>
        <w:footnoteReference w:id="38"/>
      </w:r>
      <w:r>
        <w:rPr>
          <w:rFonts w:ascii="Times" w:eastAsia="Times" w:hAnsi="Times" w:cs="Times"/>
          <w:color w:val="201F1E"/>
          <w:sz w:val="20"/>
          <w:szCs w:val="20"/>
          <w:highlight w:val="white"/>
        </w:rPr>
        <w:t xml:space="preserve"> It additionally stated that Black students (for example) were 26% of those with disabilities subjected to physical restraint and 34% of those with disabilities subjected to mechanical restraint, despite making up only 18% of students with disabilities.</w:t>
      </w:r>
      <w:r>
        <w:rPr>
          <w:rFonts w:ascii="Times" w:eastAsia="Times" w:hAnsi="Times" w:cs="Times"/>
          <w:color w:val="201F1E"/>
          <w:sz w:val="20"/>
          <w:szCs w:val="20"/>
          <w:highlight w:val="white"/>
          <w:vertAlign w:val="superscript"/>
        </w:rPr>
        <w:footnoteReference w:id="39"/>
      </w:r>
    </w:p>
    <w:p w14:paraId="00000045"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6" w14:textId="77777777" w:rsidR="00834BF6" w:rsidRDefault="002D7342">
      <w:pPr>
        <w:pBdr>
          <w:top w:val="nil"/>
          <w:left w:val="nil"/>
          <w:bottom w:val="nil"/>
          <w:right w:val="nil"/>
          <w:between w:val="nil"/>
        </w:pBdr>
        <w:rPr>
          <w:rFonts w:ascii="Times" w:eastAsia="Times" w:hAnsi="Times" w:cs="Times"/>
          <w:color w:val="000000"/>
          <w:sz w:val="20"/>
          <w:szCs w:val="20"/>
        </w:rPr>
      </w:pPr>
      <w:r>
        <w:rPr>
          <w:rFonts w:ascii="Times" w:eastAsia="Times" w:hAnsi="Times" w:cs="Times"/>
          <w:b/>
          <w:color w:val="191617"/>
          <w:sz w:val="20"/>
          <w:szCs w:val="20"/>
        </w:rPr>
        <w:t>College Opportunity</w:t>
      </w:r>
    </w:p>
    <w:p w14:paraId="00000047"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Black and Hispanic families face enormous gaps in household wealth and income compared to White families. In 2019, White families had an average of $983,400 in family wealth, nearly six times that of Hispanic families ($165,000) and seven times that of Black families ($142,500).</w:t>
      </w:r>
      <w:r>
        <w:rPr>
          <w:rFonts w:ascii="Times" w:eastAsia="Times" w:hAnsi="Times" w:cs="Times"/>
          <w:color w:val="191617"/>
          <w:sz w:val="20"/>
          <w:szCs w:val="20"/>
          <w:vertAlign w:val="superscript"/>
        </w:rPr>
        <w:footnoteReference w:id="40"/>
      </w:r>
      <w:r>
        <w:rPr>
          <w:rFonts w:ascii="Times" w:eastAsia="Times" w:hAnsi="Times" w:cs="Times"/>
          <w:color w:val="191617"/>
          <w:sz w:val="20"/>
          <w:szCs w:val="20"/>
        </w:rPr>
        <w:t xml:space="preserve"> Due to these significant differences in wealth, Black and Latino students borrow significantly more money than their White peers to finance postsecondary education. This has a far-reaching impact on the future of these students, such as preventing them from purchasing cars, houses, </w:t>
      </w:r>
      <w:r>
        <w:rPr>
          <w:rFonts w:ascii="Times" w:eastAsia="Times" w:hAnsi="Times" w:cs="Times"/>
          <w:color w:val="191617"/>
          <w:sz w:val="20"/>
          <w:szCs w:val="20"/>
        </w:rPr>
        <w:lastRenderedPageBreak/>
        <w:t>and even starting families.</w:t>
      </w:r>
      <w:r>
        <w:rPr>
          <w:rFonts w:ascii="Times" w:eastAsia="Times" w:hAnsi="Times" w:cs="Times"/>
          <w:color w:val="191617"/>
          <w:sz w:val="20"/>
          <w:szCs w:val="20"/>
          <w:vertAlign w:val="superscript"/>
        </w:rPr>
        <w:footnoteReference w:id="41"/>
      </w:r>
      <w:r>
        <w:rPr>
          <w:rFonts w:ascii="Times" w:eastAsia="Times" w:hAnsi="Times" w:cs="Times"/>
          <w:color w:val="191617"/>
          <w:sz w:val="20"/>
          <w:szCs w:val="20"/>
        </w:rPr>
        <w:t xml:space="preserve"> Among these students there is nearly a 50 percent default rate, showing the </w:t>
      </w:r>
      <w:proofErr w:type="gramStart"/>
      <w:r>
        <w:rPr>
          <w:rFonts w:ascii="Times" w:eastAsia="Times" w:hAnsi="Times" w:cs="Times"/>
          <w:color w:val="191617"/>
          <w:sz w:val="20"/>
          <w:szCs w:val="20"/>
        </w:rPr>
        <w:t>long term</w:t>
      </w:r>
      <w:proofErr w:type="gramEnd"/>
      <w:r>
        <w:rPr>
          <w:rFonts w:ascii="Times" w:eastAsia="Times" w:hAnsi="Times" w:cs="Times"/>
          <w:color w:val="191617"/>
          <w:sz w:val="20"/>
          <w:szCs w:val="20"/>
        </w:rPr>
        <w:t xml:space="preserve"> consequences of student borrowing and the myriad economic barriers confronting Black and Latino students.</w:t>
      </w:r>
      <w:r>
        <w:rPr>
          <w:rFonts w:ascii="Times" w:eastAsia="Times" w:hAnsi="Times" w:cs="Times"/>
          <w:color w:val="191617"/>
          <w:sz w:val="20"/>
          <w:szCs w:val="20"/>
          <w:vertAlign w:val="superscript"/>
        </w:rPr>
        <w:footnoteReference w:id="42"/>
      </w:r>
      <w:r>
        <w:rPr>
          <w:rFonts w:ascii="Times" w:eastAsia="Times" w:hAnsi="Times" w:cs="Times"/>
          <w:color w:val="191617"/>
          <w:sz w:val="20"/>
          <w:szCs w:val="20"/>
        </w:rPr>
        <w:t xml:space="preserve"> </w:t>
      </w:r>
    </w:p>
    <w:p w14:paraId="00000048"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9"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A"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The $1.7 trillion student loan crisis in the U.S. is crushing individuals, families, and our economy, and the weight of this burden is disproportionately borne by women and Black and Latino</w:t>
      </w:r>
      <w:r>
        <w:rPr>
          <w:rFonts w:ascii="Times" w:eastAsia="Times" w:hAnsi="Times" w:cs="Times"/>
          <w:color w:val="191617"/>
          <w:sz w:val="20"/>
          <w:szCs w:val="20"/>
          <w:vertAlign w:val="superscript"/>
        </w:rPr>
        <w:footnoteReference w:id="43"/>
      </w:r>
      <w:r>
        <w:rPr>
          <w:rFonts w:ascii="Times" w:eastAsia="Times" w:hAnsi="Times" w:cs="Times"/>
          <w:color w:val="191617"/>
          <w:sz w:val="20"/>
          <w:szCs w:val="20"/>
        </w:rPr>
        <w:t xml:space="preserve"> borrowers.</w:t>
      </w:r>
      <w:r>
        <w:rPr>
          <w:rFonts w:ascii="Times" w:eastAsia="Times" w:hAnsi="Times" w:cs="Times"/>
          <w:color w:val="191617"/>
          <w:sz w:val="20"/>
          <w:szCs w:val="20"/>
          <w:vertAlign w:val="superscript"/>
        </w:rPr>
        <w:footnoteReference w:id="44"/>
      </w:r>
      <w:r>
        <w:rPr>
          <w:rFonts w:ascii="Times" w:eastAsia="Times" w:hAnsi="Times" w:cs="Times"/>
          <w:color w:val="191617"/>
          <w:sz w:val="20"/>
          <w:szCs w:val="20"/>
        </w:rPr>
        <w:t xml:space="preserve"> Policymakers intentionally shifted away from publicly funding our higher education system to a primarily debt-financed system just as students of color and women gained access,</w:t>
      </w:r>
      <w:r>
        <w:rPr>
          <w:rFonts w:ascii="Times" w:eastAsia="Times" w:hAnsi="Times" w:cs="Times"/>
          <w:color w:val="191617"/>
          <w:sz w:val="20"/>
          <w:szCs w:val="20"/>
          <w:vertAlign w:val="superscript"/>
        </w:rPr>
        <w:footnoteReference w:id="45"/>
      </w:r>
      <w:r>
        <w:rPr>
          <w:rFonts w:ascii="Times" w:eastAsia="Times" w:hAnsi="Times" w:cs="Times"/>
          <w:color w:val="191617"/>
          <w:sz w:val="20"/>
          <w:szCs w:val="20"/>
        </w:rPr>
        <w:t xml:space="preserve"> disregarding the rising cost of college for students and families, persistent racial wealth and income disparities, ongoing discrimination in the labor and credit markets, and many other societal and policy failures. These decisions have left a generation of borrowers on the brink of financial devastation simply because they sought economic security through higher education.</w:t>
      </w:r>
      <w:r>
        <w:rPr>
          <w:rFonts w:ascii="Times" w:eastAsia="Times" w:hAnsi="Times" w:cs="Times"/>
          <w:color w:val="191617"/>
          <w:sz w:val="20"/>
          <w:szCs w:val="20"/>
          <w:vertAlign w:val="superscript"/>
        </w:rPr>
        <w:footnoteReference w:id="46"/>
      </w:r>
      <w:r>
        <w:rPr>
          <w:rFonts w:ascii="Times" w:eastAsia="Times" w:hAnsi="Times" w:cs="Times"/>
          <w:color w:val="191617"/>
          <w:sz w:val="20"/>
          <w:szCs w:val="20"/>
        </w:rPr>
        <w:t xml:space="preserve"> A debt-financed higher education system in a society defined by dramatic racial, gender, disability, and wealth disparities will always be inherently flawed and inequitable.</w:t>
      </w:r>
      <w:r>
        <w:rPr>
          <w:rFonts w:ascii="Times" w:eastAsia="Times" w:hAnsi="Times" w:cs="Times"/>
          <w:color w:val="191617"/>
          <w:sz w:val="20"/>
          <w:szCs w:val="20"/>
          <w:vertAlign w:val="superscript"/>
        </w:rPr>
        <w:footnoteReference w:id="47"/>
      </w:r>
      <w:r>
        <w:rPr>
          <w:rFonts w:ascii="Times" w:eastAsia="Times" w:hAnsi="Times" w:cs="Times"/>
          <w:color w:val="191617"/>
          <w:sz w:val="20"/>
          <w:szCs w:val="20"/>
        </w:rPr>
        <w:t xml:space="preserve"> Though there are established programs intended to make student loan repayment manageable, the impediments to accessing relief through these programs are well documented.</w:t>
      </w:r>
      <w:r>
        <w:rPr>
          <w:rFonts w:ascii="Times" w:eastAsia="Times" w:hAnsi="Times" w:cs="Times"/>
          <w:color w:val="191617"/>
          <w:sz w:val="20"/>
          <w:szCs w:val="20"/>
          <w:vertAlign w:val="superscript"/>
        </w:rPr>
        <w:footnoteReference w:id="48"/>
      </w:r>
      <w:r>
        <w:rPr>
          <w:rFonts w:ascii="Times" w:eastAsia="Times" w:hAnsi="Times" w:cs="Times"/>
          <w:color w:val="191617"/>
          <w:sz w:val="20"/>
          <w:szCs w:val="20"/>
        </w:rPr>
        <w:t xml:space="preserve"> In fact, very few borrowers have been successful in obtaining relief through repayment programs and default and delinquency rates remain high despite their availability.</w:t>
      </w:r>
      <w:r>
        <w:rPr>
          <w:rFonts w:ascii="Times" w:eastAsia="Times" w:hAnsi="Times" w:cs="Times"/>
          <w:color w:val="191617"/>
          <w:sz w:val="20"/>
          <w:szCs w:val="20"/>
          <w:vertAlign w:val="superscript"/>
        </w:rPr>
        <w:footnoteReference w:id="49"/>
      </w:r>
    </w:p>
    <w:p w14:paraId="0000004B"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C"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lastRenderedPageBreak/>
        <w:t>Data and research show that the burden of student debt for people of color includes all loan types, at all education levels, and at all income levels.</w:t>
      </w:r>
      <w:r>
        <w:rPr>
          <w:rFonts w:ascii="Times" w:eastAsia="Times" w:hAnsi="Times" w:cs="Times"/>
          <w:color w:val="191617"/>
          <w:sz w:val="20"/>
          <w:szCs w:val="20"/>
          <w:vertAlign w:val="superscript"/>
        </w:rPr>
        <w:footnoteReference w:id="50"/>
      </w:r>
      <w:r>
        <w:rPr>
          <w:rFonts w:ascii="Times" w:eastAsia="Times" w:hAnsi="Times" w:cs="Times"/>
          <w:color w:val="191617"/>
          <w:sz w:val="20"/>
          <w:szCs w:val="20"/>
        </w:rPr>
        <w:t xml:space="preserve"> For every degree type, borrowers of color are more likely to borrow and to borrow more.</w:t>
      </w:r>
      <w:r>
        <w:rPr>
          <w:rFonts w:ascii="Times" w:eastAsia="Times" w:hAnsi="Times" w:cs="Times"/>
          <w:color w:val="191617"/>
          <w:sz w:val="20"/>
          <w:szCs w:val="20"/>
          <w:vertAlign w:val="superscript"/>
        </w:rPr>
        <w:footnoteReference w:id="51"/>
      </w:r>
      <w:r>
        <w:rPr>
          <w:rFonts w:ascii="Times" w:eastAsia="Times" w:hAnsi="Times" w:cs="Times"/>
          <w:color w:val="191617"/>
          <w:sz w:val="20"/>
          <w:szCs w:val="20"/>
        </w:rPr>
        <w:t xml:space="preserve"> According to recent research, upon graduating, Black borrowers typically owe 50 percent more than their White classmates, and four years later Black students owe 100 percent more.</w:t>
      </w:r>
      <w:r>
        <w:rPr>
          <w:rFonts w:ascii="Times" w:eastAsia="Times" w:hAnsi="Times" w:cs="Times"/>
          <w:color w:val="191617"/>
          <w:sz w:val="20"/>
          <w:szCs w:val="20"/>
          <w:vertAlign w:val="superscript"/>
        </w:rPr>
        <w:footnoteReference w:id="52"/>
      </w:r>
      <w:r>
        <w:rPr>
          <w:rFonts w:ascii="Times" w:eastAsia="Times" w:hAnsi="Times" w:cs="Times"/>
          <w:color w:val="191617"/>
          <w:sz w:val="20"/>
          <w:szCs w:val="20"/>
        </w:rPr>
        <w:t xml:space="preserve"> Data reveals that “student debt disproportionately harms wealth-poor households and, in particular, wealth-poor Black households.”</w:t>
      </w:r>
      <w:r>
        <w:rPr>
          <w:rFonts w:ascii="Times" w:eastAsia="Times" w:hAnsi="Times" w:cs="Times"/>
          <w:color w:val="191617"/>
          <w:sz w:val="20"/>
          <w:szCs w:val="20"/>
          <w:vertAlign w:val="superscript"/>
        </w:rPr>
        <w:footnoteReference w:id="53"/>
      </w:r>
      <w:r>
        <w:rPr>
          <w:rFonts w:ascii="Times" w:eastAsia="Times" w:hAnsi="Times" w:cs="Times"/>
          <w:color w:val="191617"/>
          <w:sz w:val="20"/>
          <w:szCs w:val="20"/>
        </w:rPr>
        <w:t xml:space="preserve"> In 2019, the median wealth for Black families was $24,100 and $36,100 for Latino families, considerably less than that of the median for White families at $188,200.</w:t>
      </w:r>
      <w:r>
        <w:rPr>
          <w:rFonts w:ascii="Times" w:eastAsia="Times" w:hAnsi="Times" w:cs="Times"/>
          <w:color w:val="191617"/>
          <w:sz w:val="20"/>
          <w:szCs w:val="20"/>
          <w:vertAlign w:val="superscript"/>
        </w:rPr>
        <w:footnoteReference w:id="54"/>
      </w:r>
      <w:r>
        <w:rPr>
          <w:rFonts w:ascii="Times" w:eastAsia="Times" w:hAnsi="Times" w:cs="Times"/>
          <w:color w:val="191617"/>
          <w:sz w:val="20"/>
          <w:szCs w:val="20"/>
        </w:rPr>
        <w:t xml:space="preserve"> Further, because wealth takes generations to build, student debt harms not just the student, but their parents as well; Parent PLUS debt is particularly burdensome for families of color and compounds an intergenerational crisis.</w:t>
      </w:r>
      <w:r>
        <w:rPr>
          <w:rFonts w:ascii="Times" w:eastAsia="Times" w:hAnsi="Times" w:cs="Times"/>
          <w:color w:val="191617"/>
          <w:sz w:val="20"/>
          <w:szCs w:val="20"/>
          <w:vertAlign w:val="superscript"/>
        </w:rPr>
        <w:footnoteReference w:id="55"/>
      </w:r>
      <w:r>
        <w:rPr>
          <w:rFonts w:ascii="Times" w:eastAsia="Times" w:hAnsi="Times" w:cs="Times"/>
          <w:color w:val="191617"/>
          <w:sz w:val="20"/>
          <w:szCs w:val="20"/>
        </w:rPr>
        <w:t xml:space="preserve"> In addition to borrowers of color, women are also burdened by student debt. Women hold two-thirds of the country’s student debt and on average borrow $3,000 more than men to attend college — yet because of the wealth and wage gap, women find it harder to repay their loans and the burden is heaviest on Black women.</w:t>
      </w:r>
      <w:r>
        <w:rPr>
          <w:rFonts w:ascii="Times" w:eastAsia="Times" w:hAnsi="Times" w:cs="Times"/>
          <w:color w:val="191617"/>
          <w:sz w:val="20"/>
          <w:szCs w:val="20"/>
          <w:vertAlign w:val="superscript"/>
        </w:rPr>
        <w:footnoteReference w:id="56"/>
      </w:r>
    </w:p>
    <w:p w14:paraId="0000004D"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4E"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Low-income students and students of color are over-represented at for-profit institutions which have historically preyed on students and families, particularly people of color, leaving them saddled with high debt loads and low-quality degrees, assuming a student manages to get a degree at all.</w:t>
      </w:r>
      <w:r>
        <w:rPr>
          <w:rFonts w:ascii="Times" w:eastAsia="Times" w:hAnsi="Times" w:cs="Times"/>
          <w:color w:val="191617"/>
          <w:sz w:val="20"/>
          <w:szCs w:val="20"/>
          <w:vertAlign w:val="superscript"/>
        </w:rPr>
        <w:footnoteReference w:id="57"/>
      </w:r>
      <w:r>
        <w:rPr>
          <w:rFonts w:ascii="Times" w:eastAsia="Times" w:hAnsi="Times" w:cs="Times"/>
          <w:color w:val="191617"/>
          <w:sz w:val="20"/>
          <w:szCs w:val="20"/>
        </w:rPr>
        <w:t xml:space="preserve"> These borrowers, with poor employment prospects and astronomical debt, face the toughest futures. For-profit colleges have large percentages of students who do not graduate and large numbers of students who default on their loans. For decades, the federal government has failed to take action to stop these institutions from exploiting students to gain access to their federal student loan and grant dollars.</w:t>
      </w:r>
    </w:p>
    <w:p w14:paraId="0000004F"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0"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 xml:space="preserve">Higher education </w:t>
      </w:r>
      <w:proofErr w:type="gramStart"/>
      <w:r>
        <w:rPr>
          <w:rFonts w:ascii="Times" w:eastAsia="Times" w:hAnsi="Times" w:cs="Times"/>
          <w:color w:val="191617"/>
          <w:sz w:val="20"/>
          <w:szCs w:val="20"/>
        </w:rPr>
        <w:t>still remains</w:t>
      </w:r>
      <w:proofErr w:type="gramEnd"/>
      <w:r>
        <w:rPr>
          <w:rFonts w:ascii="Times" w:eastAsia="Times" w:hAnsi="Times" w:cs="Times"/>
          <w:color w:val="191617"/>
          <w:sz w:val="20"/>
          <w:szCs w:val="20"/>
        </w:rPr>
        <w:t xml:space="preserve"> the surest path to social and economic mobility, which is why it is critically important for communities that have historically been excluded from these opportunities to be fully and affirmatively included. Without full inclusion in higher education opportunities, people of color are being locked out from fully participating in the economy. Moreover, not only does affirmative action promote equality in college admissions and lead to better wages for historically marginalized communities, </w:t>
      </w:r>
      <w:proofErr w:type="gramStart"/>
      <w:r>
        <w:rPr>
          <w:rFonts w:ascii="Times" w:eastAsia="Times" w:hAnsi="Times" w:cs="Times"/>
          <w:color w:val="191617"/>
          <w:sz w:val="20"/>
          <w:szCs w:val="20"/>
        </w:rPr>
        <w:t>it</w:t>
      </w:r>
      <w:proofErr w:type="gramEnd"/>
      <w:r>
        <w:rPr>
          <w:rFonts w:ascii="Times" w:eastAsia="Times" w:hAnsi="Times" w:cs="Times"/>
          <w:color w:val="191617"/>
          <w:sz w:val="20"/>
          <w:szCs w:val="20"/>
        </w:rPr>
        <w:t xml:space="preserve"> also benefits all the students who attend college </w:t>
      </w:r>
      <w:r>
        <w:rPr>
          <w:rFonts w:ascii="Times" w:eastAsia="Times" w:hAnsi="Times" w:cs="Times"/>
          <w:color w:val="191617"/>
          <w:sz w:val="20"/>
          <w:szCs w:val="20"/>
        </w:rPr>
        <w:lastRenderedPageBreak/>
        <w:t>and better prepares them for their future success in society by giving them an academic experience based in the diversity of our society.</w:t>
      </w:r>
    </w:p>
    <w:p w14:paraId="00000051"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2"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3"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4" w14:textId="77777777" w:rsidR="00834BF6" w:rsidRDefault="002D7342">
      <w:pPr>
        <w:pBdr>
          <w:top w:val="nil"/>
          <w:left w:val="nil"/>
          <w:bottom w:val="nil"/>
          <w:right w:val="nil"/>
          <w:between w:val="nil"/>
        </w:pBdr>
        <w:rPr>
          <w:rFonts w:ascii="Times" w:eastAsia="Times" w:hAnsi="Times" w:cs="Times"/>
          <w:b/>
          <w:color w:val="191617"/>
          <w:sz w:val="20"/>
          <w:szCs w:val="20"/>
        </w:rPr>
      </w:pPr>
      <w:r>
        <w:rPr>
          <w:rFonts w:ascii="Times" w:eastAsia="Times" w:hAnsi="Times" w:cs="Times"/>
          <w:b/>
          <w:color w:val="191617"/>
          <w:sz w:val="20"/>
          <w:szCs w:val="20"/>
        </w:rPr>
        <w:t>K12 Fiscal Equity</w:t>
      </w:r>
    </w:p>
    <w:p w14:paraId="00000055" w14:textId="77777777" w:rsidR="00834BF6" w:rsidRDefault="00834BF6">
      <w:pPr>
        <w:pBdr>
          <w:top w:val="nil"/>
          <w:left w:val="nil"/>
          <w:bottom w:val="nil"/>
          <w:right w:val="nil"/>
          <w:between w:val="nil"/>
        </w:pBdr>
        <w:rPr>
          <w:rFonts w:ascii="Times" w:eastAsia="Times" w:hAnsi="Times" w:cs="Times"/>
          <w:b/>
          <w:color w:val="191617"/>
          <w:sz w:val="20"/>
          <w:szCs w:val="20"/>
        </w:rPr>
      </w:pPr>
    </w:p>
    <w:p w14:paraId="00000056" w14:textId="77777777" w:rsidR="00834BF6" w:rsidRDefault="00834BF6">
      <w:pPr>
        <w:pBdr>
          <w:top w:val="nil"/>
          <w:left w:val="nil"/>
          <w:bottom w:val="nil"/>
          <w:right w:val="nil"/>
          <w:between w:val="nil"/>
        </w:pBdr>
        <w:rPr>
          <w:rFonts w:ascii="Times" w:eastAsia="Times" w:hAnsi="Times" w:cs="Times"/>
          <w:b/>
          <w:color w:val="191617"/>
          <w:sz w:val="20"/>
          <w:szCs w:val="20"/>
        </w:rPr>
      </w:pPr>
    </w:p>
    <w:p w14:paraId="00000057"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 xml:space="preserve">Prior to the COVID-19 public health crisis, public schools in the U.S. were among the most inequitably funded of any in the industrialized world and state and local education funds were routinely used in a way that provided greater funding to school districts with a higher concentration of White children than of children of color. COVID exacerbated existing resource inequities which placed marginalized children and their families at risk during the pandemic, including lack of access </w:t>
      </w:r>
      <w:proofErr w:type="gramStart"/>
      <w:r>
        <w:rPr>
          <w:rFonts w:ascii="Times" w:eastAsia="Times" w:hAnsi="Times" w:cs="Times"/>
          <w:color w:val="191617"/>
          <w:sz w:val="20"/>
          <w:szCs w:val="20"/>
        </w:rPr>
        <w:t>to:</w:t>
      </w:r>
      <w:proofErr w:type="gramEnd"/>
      <w:r>
        <w:rPr>
          <w:rFonts w:ascii="Times" w:eastAsia="Times" w:hAnsi="Times" w:cs="Times"/>
          <w:color w:val="191617"/>
          <w:sz w:val="20"/>
          <w:szCs w:val="20"/>
        </w:rPr>
        <w:t xml:space="preserve"> funding; prepared, compensated, and culturally sustaining staff; adequate facilities that could be retrofitted based on COVID safety protocols; school meals; appropriate instructional materials; instructional time; internet and connected devices; and much more. These inequities to resources during the pandemic have had catastrophic consequences for marginalized children who have lost significant educational opportunity during long-term school closures.</w:t>
      </w:r>
    </w:p>
    <w:p w14:paraId="00000058"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9"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Equitable access to prepared, compensated, and culturally sustaining staff is essential to ensuring educational equity for all students. Students of color, students in low-income communities, students with disabilities, English learners, and students at the intersection of these identities are especially susceptible to receiving instruction by out-of-field (or not trained in the subject they are teaching), ineffective, and inexperienced teachers.</w:t>
      </w:r>
      <w:r>
        <w:rPr>
          <w:rFonts w:ascii="Times" w:eastAsia="Times" w:hAnsi="Times" w:cs="Times"/>
          <w:color w:val="191617"/>
          <w:sz w:val="20"/>
          <w:szCs w:val="20"/>
          <w:vertAlign w:val="superscript"/>
        </w:rPr>
        <w:footnoteReference w:id="58"/>
      </w:r>
      <w:r>
        <w:rPr>
          <w:rFonts w:ascii="Times" w:eastAsia="Times" w:hAnsi="Times" w:cs="Times"/>
          <w:color w:val="191617"/>
          <w:sz w:val="20"/>
          <w:szCs w:val="20"/>
        </w:rPr>
        <w:t xml:space="preserve"> The pandemic has exacerbated teacher and staff shortages across the country,</w:t>
      </w:r>
      <w:r>
        <w:rPr>
          <w:rFonts w:ascii="Times" w:eastAsia="Times" w:hAnsi="Times" w:cs="Times"/>
          <w:color w:val="191617"/>
          <w:sz w:val="20"/>
          <w:szCs w:val="20"/>
          <w:vertAlign w:val="superscript"/>
        </w:rPr>
        <w:footnoteReference w:id="59"/>
      </w:r>
      <w:r>
        <w:rPr>
          <w:rFonts w:ascii="Times" w:eastAsia="Times" w:hAnsi="Times" w:cs="Times"/>
          <w:color w:val="191617"/>
          <w:sz w:val="20"/>
          <w:szCs w:val="20"/>
        </w:rPr>
        <w:t xml:space="preserve"> which only worsens the current inequities in accessing prepared, compensated, and culturally sustaining staff. </w:t>
      </w:r>
    </w:p>
    <w:p w14:paraId="0000005A"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B"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 xml:space="preserve">While the funding provided in ESSA is targeted to schools with high numbers or high percentages of children in low-income communities, this federal funding represents a small share of </w:t>
      </w:r>
      <w:proofErr w:type="gramStart"/>
      <w:r>
        <w:rPr>
          <w:rFonts w:ascii="Times" w:eastAsia="Times" w:hAnsi="Times" w:cs="Times"/>
          <w:color w:val="191617"/>
          <w:sz w:val="20"/>
          <w:szCs w:val="20"/>
        </w:rPr>
        <w:t>all of</w:t>
      </w:r>
      <w:proofErr w:type="gramEnd"/>
      <w:r>
        <w:rPr>
          <w:rFonts w:ascii="Times" w:eastAsia="Times" w:hAnsi="Times" w:cs="Times"/>
          <w:color w:val="191617"/>
          <w:sz w:val="20"/>
          <w:szCs w:val="20"/>
        </w:rPr>
        <w:t xml:space="preserve"> the money spent in public education. The overwhelming majority of funding is from the state and local government. Too often, </w:t>
      </w:r>
      <w:proofErr w:type="gramStart"/>
      <w:r>
        <w:rPr>
          <w:rFonts w:ascii="Times" w:eastAsia="Times" w:hAnsi="Times" w:cs="Times"/>
          <w:color w:val="191617"/>
          <w:sz w:val="20"/>
          <w:szCs w:val="20"/>
        </w:rPr>
        <w:t>state</w:t>
      </w:r>
      <w:proofErr w:type="gramEnd"/>
      <w:r>
        <w:rPr>
          <w:rFonts w:ascii="Times" w:eastAsia="Times" w:hAnsi="Times" w:cs="Times"/>
          <w:color w:val="191617"/>
          <w:sz w:val="20"/>
          <w:szCs w:val="20"/>
        </w:rPr>
        <w:t xml:space="preserve"> and local governments fail to provide educational resources equitably. As a result, high impact educational resources like effective and experienced teachers, safe, healthy, and inclusive school climates, and rigorous courses that prepare students for success after high school are more often available to White children, wealthier children, children whose first language is English, and children without disabilities. </w:t>
      </w:r>
    </w:p>
    <w:p w14:paraId="0000005C"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D"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 xml:space="preserve">State education funding does, at least to some extent, fill funding gaps created by regressive local school funding — structures in which districts in wealthier areas receive more money and other resources than districts with less property wealth. This is due to somewhat progressive state funding formulas that allocate greater state-level resources to high-poverty districts. In some states, such as Ohio, New Jersey, and Massachusetts, high-poverty school districts </w:t>
      </w:r>
      <w:proofErr w:type="gramStart"/>
      <w:r>
        <w:rPr>
          <w:rFonts w:ascii="Times" w:eastAsia="Times" w:hAnsi="Times" w:cs="Times"/>
          <w:color w:val="191617"/>
          <w:sz w:val="20"/>
          <w:szCs w:val="20"/>
        </w:rPr>
        <w:t>actually receive</w:t>
      </w:r>
      <w:proofErr w:type="gramEnd"/>
      <w:r>
        <w:rPr>
          <w:rFonts w:ascii="Times" w:eastAsia="Times" w:hAnsi="Times" w:cs="Times"/>
          <w:color w:val="191617"/>
          <w:sz w:val="20"/>
          <w:szCs w:val="20"/>
        </w:rPr>
        <w:t xml:space="preserve"> more funding per pupil than wealthy districts.</w:t>
      </w:r>
      <w:r>
        <w:rPr>
          <w:rFonts w:ascii="Times" w:eastAsia="Times" w:hAnsi="Times" w:cs="Times"/>
          <w:color w:val="191617"/>
          <w:sz w:val="20"/>
          <w:szCs w:val="20"/>
          <w:vertAlign w:val="superscript"/>
        </w:rPr>
        <w:footnoteReference w:id="60"/>
      </w:r>
      <w:r>
        <w:rPr>
          <w:rFonts w:ascii="Times" w:eastAsia="Times" w:hAnsi="Times" w:cs="Times"/>
          <w:color w:val="191617"/>
          <w:sz w:val="20"/>
          <w:szCs w:val="20"/>
        </w:rPr>
        <w:t xml:space="preserve"> A considerable and growing body of research clearly demonstrates that increasing funding in high-poverty school districts has profound positive outcomes on people while they are students and into their adulthood.</w:t>
      </w:r>
      <w:r>
        <w:rPr>
          <w:rFonts w:ascii="Times" w:eastAsia="Times" w:hAnsi="Times" w:cs="Times"/>
          <w:color w:val="191617"/>
          <w:sz w:val="20"/>
          <w:szCs w:val="20"/>
          <w:vertAlign w:val="superscript"/>
        </w:rPr>
        <w:footnoteReference w:id="61"/>
      </w:r>
      <w:r>
        <w:rPr>
          <w:rFonts w:ascii="Times" w:eastAsia="Times" w:hAnsi="Times" w:cs="Times"/>
          <w:color w:val="191617"/>
          <w:sz w:val="20"/>
          <w:szCs w:val="20"/>
        </w:rPr>
        <w:t xml:space="preserve"> And yet, despite state efforts to increase school finance equity, significant funding disparities exist across the county. School districts serving the largest </w:t>
      </w:r>
      <w:r>
        <w:rPr>
          <w:rFonts w:ascii="Times" w:eastAsia="Times" w:hAnsi="Times" w:cs="Times"/>
          <w:color w:val="191617"/>
          <w:sz w:val="20"/>
          <w:szCs w:val="20"/>
        </w:rPr>
        <w:lastRenderedPageBreak/>
        <w:t>populations of students from low-income families spend approximately $1,000 less per pupil per year than school districts serving the wealthiest communities.</w:t>
      </w:r>
      <w:r>
        <w:rPr>
          <w:rFonts w:ascii="Times" w:eastAsia="Times" w:hAnsi="Times" w:cs="Times"/>
          <w:color w:val="191617"/>
          <w:sz w:val="20"/>
          <w:szCs w:val="20"/>
          <w:vertAlign w:val="superscript"/>
        </w:rPr>
        <w:footnoteReference w:id="62"/>
      </w:r>
      <w:r>
        <w:rPr>
          <w:rFonts w:ascii="Times" w:eastAsia="Times" w:hAnsi="Times" w:cs="Times"/>
          <w:color w:val="191617"/>
          <w:sz w:val="20"/>
          <w:szCs w:val="20"/>
        </w:rPr>
        <w:t xml:space="preserve"> School districts serving mostly students of color receive about $1,800 less per pupil per year than those districts serving mostly White students.</w:t>
      </w:r>
      <w:r>
        <w:rPr>
          <w:rFonts w:ascii="Times" w:eastAsia="Times" w:hAnsi="Times" w:cs="Times"/>
          <w:color w:val="191617"/>
          <w:sz w:val="20"/>
          <w:szCs w:val="20"/>
          <w:vertAlign w:val="superscript"/>
        </w:rPr>
        <w:footnoteReference w:id="63"/>
      </w:r>
    </w:p>
    <w:p w14:paraId="0000005E" w14:textId="77777777" w:rsidR="00834BF6" w:rsidRDefault="00834BF6">
      <w:pPr>
        <w:pBdr>
          <w:top w:val="nil"/>
          <w:left w:val="nil"/>
          <w:bottom w:val="nil"/>
          <w:right w:val="nil"/>
          <w:between w:val="nil"/>
        </w:pBdr>
        <w:rPr>
          <w:rFonts w:ascii="Times" w:eastAsia="Times" w:hAnsi="Times" w:cs="Times"/>
          <w:color w:val="191617"/>
          <w:sz w:val="20"/>
          <w:szCs w:val="20"/>
        </w:rPr>
      </w:pPr>
    </w:p>
    <w:p w14:paraId="0000005F"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 xml:space="preserve">National progress was made to desegregate schools through efforts from the 1960s to the 1980s. These efforts were mandated by the 1954 Brown decision and built on by the Civil Rights Act of 1964, the Elementary and Secondary Education Act of 1965, and the domestic programs of the Great Society. </w:t>
      </w:r>
      <w:proofErr w:type="gramStart"/>
      <w:r>
        <w:rPr>
          <w:rFonts w:ascii="Times" w:eastAsia="Times" w:hAnsi="Times" w:cs="Times"/>
          <w:color w:val="191617"/>
          <w:sz w:val="20"/>
          <w:szCs w:val="20"/>
        </w:rPr>
        <w:t>The majority of</w:t>
      </w:r>
      <w:proofErr w:type="gramEnd"/>
      <w:r>
        <w:rPr>
          <w:rFonts w:ascii="Times" w:eastAsia="Times" w:hAnsi="Times" w:cs="Times"/>
          <w:color w:val="191617"/>
          <w:sz w:val="20"/>
          <w:szCs w:val="20"/>
        </w:rPr>
        <w:t xml:space="preserve"> the progress was made in the South, where in 1964 a mere 2.3 percent of Black students attended majority White schools. But by 1988, that figure skyrocketed to nearly 44 percent.</w:t>
      </w:r>
      <w:r>
        <w:rPr>
          <w:rFonts w:ascii="Times" w:eastAsia="Times" w:hAnsi="Times" w:cs="Times"/>
          <w:color w:val="191617"/>
          <w:sz w:val="20"/>
          <w:szCs w:val="20"/>
          <w:vertAlign w:val="superscript"/>
        </w:rPr>
        <w:footnoteReference w:id="64"/>
      </w:r>
      <w:r>
        <w:rPr>
          <w:rFonts w:ascii="Times" w:eastAsia="Times" w:hAnsi="Times" w:cs="Times"/>
          <w:color w:val="191617"/>
          <w:sz w:val="20"/>
          <w:szCs w:val="20"/>
        </w:rPr>
        <w:t xml:space="preserve"> Integration allowed access to resources and reduced barriers to high-quality education, leading to significant growth in academic achievement for Black and Latino students,</w:t>
      </w:r>
      <w:r>
        <w:rPr>
          <w:rFonts w:ascii="Times" w:eastAsia="Times" w:hAnsi="Times" w:cs="Times"/>
          <w:color w:val="191617"/>
          <w:sz w:val="20"/>
          <w:szCs w:val="20"/>
          <w:vertAlign w:val="superscript"/>
        </w:rPr>
        <w:footnoteReference w:id="65"/>
      </w:r>
      <w:r>
        <w:rPr>
          <w:rFonts w:ascii="Times" w:eastAsia="Times" w:hAnsi="Times" w:cs="Times"/>
          <w:color w:val="191617"/>
          <w:sz w:val="20"/>
          <w:szCs w:val="20"/>
        </w:rPr>
        <w:t xml:space="preserve"> increasing long-term educational attainment,</w:t>
      </w:r>
      <w:r>
        <w:rPr>
          <w:rFonts w:ascii="Times" w:eastAsia="Times" w:hAnsi="Times" w:cs="Times"/>
          <w:color w:val="191617"/>
          <w:sz w:val="20"/>
          <w:szCs w:val="20"/>
          <w:vertAlign w:val="superscript"/>
        </w:rPr>
        <w:footnoteReference w:id="66"/>
      </w:r>
      <w:r>
        <w:rPr>
          <w:rFonts w:ascii="Times" w:eastAsia="Times" w:hAnsi="Times" w:cs="Times"/>
          <w:color w:val="191617"/>
          <w:sz w:val="20"/>
          <w:szCs w:val="20"/>
        </w:rPr>
        <w:t xml:space="preserve"> health,</w:t>
      </w:r>
      <w:r>
        <w:rPr>
          <w:rFonts w:ascii="Times" w:eastAsia="Times" w:hAnsi="Times" w:cs="Times"/>
          <w:color w:val="191617"/>
          <w:sz w:val="20"/>
          <w:szCs w:val="20"/>
          <w:vertAlign w:val="superscript"/>
        </w:rPr>
        <w:footnoteReference w:id="67"/>
      </w:r>
      <w:r>
        <w:rPr>
          <w:rFonts w:ascii="Times" w:eastAsia="Times" w:hAnsi="Times" w:cs="Times"/>
          <w:color w:val="191617"/>
          <w:sz w:val="20"/>
          <w:szCs w:val="20"/>
        </w:rPr>
        <w:t xml:space="preserve"> and earnings.</w:t>
      </w:r>
      <w:r>
        <w:rPr>
          <w:rFonts w:ascii="Times" w:eastAsia="Times" w:hAnsi="Times" w:cs="Times"/>
          <w:color w:val="191617"/>
          <w:sz w:val="20"/>
          <w:szCs w:val="20"/>
          <w:vertAlign w:val="superscript"/>
        </w:rPr>
        <w:footnoteReference w:id="68"/>
      </w:r>
      <w:r>
        <w:rPr>
          <w:rFonts w:ascii="Times" w:eastAsia="Times" w:hAnsi="Times" w:cs="Times"/>
          <w:color w:val="191617"/>
          <w:sz w:val="20"/>
          <w:szCs w:val="20"/>
        </w:rPr>
        <w:t xml:space="preserve"> However, these integration efforts were short-lived, as courts chipped away at local desegregation efforts and court orders were allowed to lapse.</w:t>
      </w:r>
      <w:r>
        <w:rPr>
          <w:rFonts w:ascii="Times" w:eastAsia="Times" w:hAnsi="Times" w:cs="Times"/>
          <w:color w:val="191617"/>
          <w:sz w:val="20"/>
          <w:szCs w:val="20"/>
          <w:vertAlign w:val="superscript"/>
        </w:rPr>
        <w:footnoteReference w:id="69"/>
      </w:r>
    </w:p>
    <w:p w14:paraId="00000060" w14:textId="77777777" w:rsidR="00834BF6" w:rsidRDefault="002D7342">
      <w:pPr>
        <w:pBdr>
          <w:top w:val="nil"/>
          <w:left w:val="nil"/>
          <w:bottom w:val="nil"/>
          <w:right w:val="nil"/>
          <w:between w:val="nil"/>
        </w:pBdr>
        <w:rPr>
          <w:rFonts w:ascii="Times" w:eastAsia="Times" w:hAnsi="Times" w:cs="Times"/>
          <w:color w:val="191617"/>
          <w:sz w:val="20"/>
          <w:szCs w:val="20"/>
        </w:rPr>
      </w:pPr>
      <w:r>
        <w:rPr>
          <w:rFonts w:ascii="Times" w:eastAsia="Times" w:hAnsi="Times" w:cs="Times"/>
          <w:color w:val="191617"/>
          <w:sz w:val="20"/>
          <w:szCs w:val="20"/>
        </w:rPr>
        <w:t>Today, schools are as segregated and as inequitably resourced as they were 50 years ago, which directly connects to housing discrimination and school funding inequities.</w:t>
      </w:r>
      <w:r>
        <w:rPr>
          <w:rFonts w:ascii="Times" w:eastAsia="Times" w:hAnsi="Times" w:cs="Times"/>
          <w:color w:val="191617"/>
          <w:sz w:val="20"/>
          <w:szCs w:val="20"/>
          <w:vertAlign w:val="superscript"/>
        </w:rPr>
        <w:footnoteReference w:id="70"/>
      </w:r>
      <w:r>
        <w:rPr>
          <w:rFonts w:ascii="Times" w:eastAsia="Times" w:hAnsi="Times" w:cs="Times"/>
          <w:color w:val="191617"/>
          <w:sz w:val="20"/>
          <w:szCs w:val="20"/>
        </w:rPr>
        <w:t xml:space="preserve">  Overall, the reliance on local property and other taxes to finance </w:t>
      </w:r>
      <w:proofErr w:type="gramStart"/>
      <w:r>
        <w:rPr>
          <w:rFonts w:ascii="Times" w:eastAsia="Times" w:hAnsi="Times" w:cs="Times"/>
          <w:color w:val="191617"/>
          <w:sz w:val="20"/>
          <w:szCs w:val="20"/>
        </w:rPr>
        <w:t>schools</w:t>
      </w:r>
      <w:proofErr w:type="gramEnd"/>
      <w:r>
        <w:rPr>
          <w:rFonts w:ascii="Times" w:eastAsia="Times" w:hAnsi="Times" w:cs="Times"/>
          <w:color w:val="191617"/>
          <w:sz w:val="20"/>
          <w:szCs w:val="20"/>
        </w:rPr>
        <w:t xml:space="preserve"> results in significant funding inequities that disadvantage children of color and children from low-income communities.</w:t>
      </w:r>
      <w:r>
        <w:rPr>
          <w:rFonts w:ascii="Times" w:eastAsia="Times" w:hAnsi="Times" w:cs="Times"/>
          <w:color w:val="191617"/>
          <w:sz w:val="20"/>
          <w:szCs w:val="20"/>
          <w:vertAlign w:val="superscript"/>
        </w:rPr>
        <w:footnoteReference w:id="71"/>
      </w:r>
    </w:p>
    <w:p w14:paraId="00000061" w14:textId="77777777" w:rsidR="00834BF6" w:rsidRDefault="00834BF6">
      <w:pPr>
        <w:rPr>
          <w:rFonts w:ascii="Times" w:eastAsia="Times" w:hAnsi="Times" w:cs="Times"/>
          <w:b/>
          <w:sz w:val="20"/>
          <w:szCs w:val="20"/>
        </w:rPr>
      </w:pPr>
    </w:p>
    <w:p w14:paraId="00000062" w14:textId="77777777" w:rsidR="00834BF6" w:rsidRDefault="002D7342">
      <w:pPr>
        <w:rPr>
          <w:rFonts w:ascii="Times" w:eastAsia="Times" w:hAnsi="Times" w:cs="Times"/>
          <w:b/>
          <w:i/>
          <w:sz w:val="20"/>
          <w:szCs w:val="20"/>
          <w:u w:val="single"/>
        </w:rPr>
      </w:pPr>
      <w:r>
        <w:rPr>
          <w:rFonts w:ascii="Times" w:eastAsia="Times" w:hAnsi="Times" w:cs="Times"/>
          <w:b/>
          <w:i/>
          <w:sz w:val="20"/>
          <w:szCs w:val="20"/>
          <w:u w:val="single"/>
        </w:rPr>
        <w:t xml:space="preserve">Discrimination in Housing </w:t>
      </w:r>
    </w:p>
    <w:p w14:paraId="00000063" w14:textId="77777777" w:rsidR="00834BF6" w:rsidRDefault="00834BF6">
      <w:pPr>
        <w:keepNext/>
        <w:keepLines/>
        <w:pBdr>
          <w:top w:val="nil"/>
          <w:left w:val="nil"/>
          <w:bottom w:val="nil"/>
          <w:right w:val="nil"/>
          <w:between w:val="nil"/>
        </w:pBdr>
        <w:tabs>
          <w:tab w:val="right" w:pos="851"/>
        </w:tabs>
        <w:ind w:left="1134" w:right="1134" w:hanging="1134"/>
        <w:rPr>
          <w:rFonts w:ascii="Times" w:eastAsia="Times" w:hAnsi="Times" w:cs="Times"/>
          <w:b/>
          <w:color w:val="000000"/>
          <w:sz w:val="20"/>
          <w:szCs w:val="20"/>
        </w:rPr>
      </w:pPr>
    </w:p>
    <w:p w14:paraId="00000066" w14:textId="5D5F88B2" w:rsidR="00834BF6" w:rsidRPr="00DD4A4A" w:rsidRDefault="002D7342" w:rsidP="00DD4A4A">
      <w:pPr>
        <w:keepNext/>
        <w:keepLines/>
        <w:pBdr>
          <w:top w:val="nil"/>
          <w:left w:val="nil"/>
          <w:bottom w:val="nil"/>
          <w:right w:val="nil"/>
          <w:between w:val="nil"/>
        </w:pBdr>
        <w:tabs>
          <w:tab w:val="right" w:pos="851"/>
        </w:tabs>
        <w:ind w:left="1134" w:right="1134" w:hanging="1134"/>
        <w:rPr>
          <w:rFonts w:ascii="Times" w:eastAsia="Times" w:hAnsi="Times" w:cs="Times"/>
          <w:b/>
          <w:color w:val="000000"/>
          <w:sz w:val="20"/>
          <w:szCs w:val="20"/>
        </w:rPr>
      </w:pPr>
      <w:r>
        <w:rPr>
          <w:rFonts w:ascii="Times" w:eastAsia="Times" w:hAnsi="Times" w:cs="Times"/>
          <w:b/>
          <w:sz w:val="20"/>
          <w:szCs w:val="20"/>
        </w:rPr>
        <w:t xml:space="preserve">ADDRESSING </w:t>
      </w:r>
      <w:r w:rsidR="00DD4A4A">
        <w:rPr>
          <w:rFonts w:ascii="Times" w:eastAsia="Times" w:hAnsi="Times" w:cs="Times"/>
          <w:b/>
          <w:sz w:val="20"/>
          <w:szCs w:val="20"/>
        </w:rPr>
        <w:t xml:space="preserve">Concluding Observation 13 and </w:t>
      </w:r>
      <w:r>
        <w:rPr>
          <w:rFonts w:ascii="Times" w:eastAsia="Times" w:hAnsi="Times" w:cs="Times"/>
          <w:b/>
          <w:sz w:val="20"/>
          <w:szCs w:val="20"/>
        </w:rPr>
        <w:t>ARTICLES 2(1), 2(1)(c), 2(1)(d), 2(2), 5(a),</w:t>
      </w:r>
      <w:sdt>
        <w:sdtPr>
          <w:tag w:val="goog_rdk_0"/>
          <w:id w:val="1573474220"/>
        </w:sdtPr>
        <w:sdtEndPr/>
        <w:sdtContent>
          <w:r>
            <w:rPr>
              <w:rFonts w:ascii="Times" w:eastAsia="Times" w:hAnsi="Times" w:cs="Times"/>
              <w:b/>
              <w:sz w:val="20"/>
              <w:szCs w:val="20"/>
            </w:rPr>
            <w:t xml:space="preserve"> 5(e)(iii), and 6</w:t>
          </w:r>
        </w:sdtContent>
      </w:sdt>
    </w:p>
    <w:p w14:paraId="0000006B" w14:textId="17FE9FB6" w:rsidR="00834BF6" w:rsidRDefault="0011078B">
      <w:pPr>
        <w:spacing w:after="80"/>
        <w:rPr>
          <w:rFonts w:ascii="Times" w:eastAsia="Times" w:hAnsi="Times" w:cs="Times"/>
          <w:color w:val="211D1E"/>
          <w:sz w:val="20"/>
          <w:szCs w:val="20"/>
        </w:rPr>
      </w:pPr>
      <w:sdt>
        <w:sdtPr>
          <w:tag w:val="goog_rdk_6"/>
          <w:id w:val="2105603993"/>
          <w:showingPlcHdr/>
        </w:sdtPr>
        <w:sdtEndPr/>
        <w:sdtContent>
          <w:r w:rsidR="00DD4A4A">
            <w:t xml:space="preserve">     </w:t>
          </w:r>
        </w:sdtContent>
      </w:sdt>
      <w:sdt>
        <w:sdtPr>
          <w:tag w:val="goog_rdk_10"/>
          <w:id w:val="1939631898"/>
        </w:sdtPr>
        <w:sdtEndPr/>
        <w:sdtContent>
          <w:sdt>
            <w:sdtPr>
              <w:tag w:val="goog_rdk_9"/>
              <w:id w:val="710384663"/>
              <w:showingPlcHdr/>
            </w:sdtPr>
            <w:sdtEndPr/>
            <w:sdtContent>
              <w:r w:rsidR="00DD4A4A">
                <w:t xml:space="preserve">     </w:t>
              </w:r>
            </w:sdtContent>
          </w:sdt>
        </w:sdtContent>
      </w:sdt>
      <w:sdt>
        <w:sdtPr>
          <w:tag w:val="goog_rdk_12"/>
          <w:id w:val="2053882549"/>
        </w:sdtPr>
        <w:sdtEndPr/>
        <w:sdtContent>
          <w:sdt>
            <w:sdtPr>
              <w:tag w:val="goog_rdk_11"/>
              <w:id w:val="-1871756612"/>
              <w:showingPlcHdr/>
            </w:sdtPr>
            <w:sdtEndPr/>
            <w:sdtContent>
              <w:r w:rsidR="00DD4A4A">
                <w:t xml:space="preserve">     </w:t>
              </w:r>
            </w:sdtContent>
          </w:sdt>
        </w:sdtContent>
      </w:sdt>
      <w:sdt>
        <w:sdtPr>
          <w:tag w:val="goog_rdk_13"/>
          <w:id w:val="-187365813"/>
          <w:showingPlcHdr/>
        </w:sdtPr>
        <w:sdtEndPr/>
        <w:sdtContent>
          <w:r w:rsidR="00DD4A4A">
            <w:t xml:space="preserve">     </w:t>
          </w:r>
        </w:sdtContent>
      </w:sdt>
    </w:p>
    <w:p w14:paraId="0000006C" w14:textId="77777777" w:rsidR="00834BF6" w:rsidRDefault="002D7342">
      <w:pPr>
        <w:rPr>
          <w:rFonts w:ascii="Times" w:eastAsia="Times" w:hAnsi="Times" w:cs="Times"/>
          <w:b/>
          <w:color w:val="211D1E"/>
          <w:sz w:val="20"/>
          <w:szCs w:val="20"/>
        </w:rPr>
      </w:pPr>
      <w:r>
        <w:rPr>
          <w:rFonts w:ascii="Times" w:eastAsia="Times" w:hAnsi="Times" w:cs="Times"/>
          <w:b/>
          <w:color w:val="211D1E"/>
          <w:sz w:val="20"/>
          <w:szCs w:val="20"/>
        </w:rPr>
        <w:t xml:space="preserve">Introduction </w:t>
      </w:r>
    </w:p>
    <w:p w14:paraId="0000006D" w14:textId="77777777" w:rsidR="00834BF6" w:rsidRDefault="00834BF6">
      <w:pPr>
        <w:rPr>
          <w:rFonts w:ascii="Times" w:eastAsia="Times" w:hAnsi="Times" w:cs="Times"/>
          <w:b/>
          <w:color w:val="211D1E"/>
          <w:sz w:val="20"/>
          <w:szCs w:val="20"/>
        </w:rPr>
      </w:pPr>
    </w:p>
    <w:p w14:paraId="0000006E" w14:textId="77777777" w:rsidR="00834BF6" w:rsidRDefault="002D7342">
      <w:pPr>
        <w:rPr>
          <w:rFonts w:ascii="Times" w:eastAsia="Times" w:hAnsi="Times" w:cs="Times"/>
          <w:color w:val="211D1E"/>
          <w:sz w:val="20"/>
          <w:szCs w:val="20"/>
        </w:rPr>
      </w:pPr>
      <w:r>
        <w:rPr>
          <w:rFonts w:ascii="Times" w:eastAsia="Times" w:hAnsi="Times" w:cs="Times"/>
          <w:color w:val="211D1E"/>
          <w:sz w:val="20"/>
          <w:szCs w:val="20"/>
        </w:rPr>
        <w:t>U.S. constitutional protections fall short of meeting CERD’s definition of discrimination in that they, among other things, do not explicitly address practices with discriminatory effects that are not proven to be intentional.</w:t>
      </w:r>
      <w:r>
        <w:rPr>
          <w:rFonts w:ascii="Times" w:eastAsia="Times" w:hAnsi="Times" w:cs="Times"/>
          <w:color w:val="211D1E"/>
          <w:sz w:val="20"/>
          <w:szCs w:val="20"/>
          <w:vertAlign w:val="superscript"/>
        </w:rPr>
        <w:footnoteReference w:id="72"/>
      </w:r>
      <w:r>
        <w:rPr>
          <w:rFonts w:ascii="Times" w:eastAsia="Times" w:hAnsi="Times" w:cs="Times"/>
          <w:color w:val="211D1E"/>
          <w:sz w:val="20"/>
          <w:szCs w:val="20"/>
        </w:rPr>
        <w:t xml:space="preserve"> However, U.S. civil rights laws provide more specific protections from racial discrimination. The Fair Housing Act </w:t>
      </w:r>
      <w:r>
        <w:rPr>
          <w:rFonts w:ascii="Times" w:eastAsia="Times" w:hAnsi="Times" w:cs="Times"/>
          <w:color w:val="211D1E"/>
          <w:sz w:val="20"/>
          <w:szCs w:val="20"/>
        </w:rPr>
        <w:lastRenderedPageBreak/>
        <w:t>applies to both private and government actors, and it does encompass a discriminatory effects standard to allow remedies in cases where an intent to discriminate has not been established. The same is true of the Equal Credit Opportunity Act. The Fair Housing Act also requires that the government take affirmative measures to remediate discrimination and segregation in the implementation of its housing programs.</w:t>
      </w:r>
      <w:r>
        <w:rPr>
          <w:rFonts w:ascii="Times" w:eastAsia="Times" w:hAnsi="Times" w:cs="Times"/>
          <w:color w:val="211D1E"/>
          <w:sz w:val="20"/>
          <w:szCs w:val="20"/>
          <w:vertAlign w:val="superscript"/>
        </w:rPr>
        <w:footnoteReference w:id="73"/>
      </w:r>
      <w:r>
        <w:rPr>
          <w:rFonts w:ascii="Times" w:eastAsia="Times" w:hAnsi="Times" w:cs="Times"/>
          <w:color w:val="211D1E"/>
          <w:sz w:val="20"/>
          <w:szCs w:val="20"/>
        </w:rPr>
        <w:t xml:space="preserve"> While this law potentially provides a strong tool for CERD compliance, additional action remains necessary to ensure full enforcement and implementation (including through regulations, guidance, and program redesign). The Community Reinvestment Act of 1977 serves as another mechanism to remediate discriminatory “redlining” and segregation in mortgage lending and other financial services, by incentivizing banks to meet the needs of all communities – including low- and moderate-income neighborhoods – in the areas in which they operate. As is the case with the Fair Housing Act, the regulations implementing this law are essential, and are currently in the process of being revised.  Meanwhile, Title VI of the Civil Rights Act of 1964 prohibits discrimination in federally funded programs (including housing programs), but it falls short of its potential as a tool for CERD compliance. “Discriminatory effects” discrimination is not privately enforceable under Title VI. While federal agencies generally have regulations implementing Title VI, the Department of the Treasury (which runs the Low-Income Housing Tax Credit program) lacks any such civil rights regulations. </w:t>
      </w:r>
    </w:p>
    <w:p w14:paraId="0000006F" w14:textId="77777777" w:rsidR="00834BF6" w:rsidRDefault="00834BF6">
      <w:pPr>
        <w:ind w:left="360"/>
        <w:rPr>
          <w:rFonts w:ascii="Times" w:eastAsia="Times" w:hAnsi="Times" w:cs="Times"/>
          <w:sz w:val="20"/>
          <w:szCs w:val="20"/>
        </w:rPr>
      </w:pPr>
    </w:p>
    <w:p w14:paraId="00000070" w14:textId="77777777" w:rsidR="00834BF6" w:rsidRDefault="002D7342">
      <w:pPr>
        <w:rPr>
          <w:rFonts w:ascii="Times" w:eastAsia="Times" w:hAnsi="Times" w:cs="Times"/>
          <w:b/>
          <w:color w:val="211D1E"/>
          <w:sz w:val="20"/>
          <w:szCs w:val="20"/>
        </w:rPr>
      </w:pPr>
      <w:proofErr w:type="gramStart"/>
      <w:r>
        <w:rPr>
          <w:rFonts w:ascii="Times" w:eastAsia="Times" w:hAnsi="Times" w:cs="Times"/>
          <w:b/>
          <w:sz w:val="20"/>
          <w:szCs w:val="20"/>
        </w:rPr>
        <w:t>Lasting Legacy</w:t>
      </w:r>
      <w:proofErr w:type="gramEnd"/>
      <w:r>
        <w:rPr>
          <w:rFonts w:ascii="Times" w:eastAsia="Times" w:hAnsi="Times" w:cs="Times"/>
          <w:b/>
          <w:sz w:val="20"/>
          <w:szCs w:val="20"/>
        </w:rPr>
        <w:t xml:space="preserve"> of Housing Segregation</w:t>
      </w:r>
    </w:p>
    <w:p w14:paraId="00000071" w14:textId="77777777" w:rsidR="00834BF6" w:rsidRDefault="00834BF6">
      <w:pPr>
        <w:rPr>
          <w:rFonts w:ascii="Times" w:eastAsia="Times" w:hAnsi="Times" w:cs="Times"/>
          <w:b/>
          <w:color w:val="211D1E"/>
          <w:sz w:val="20"/>
          <w:szCs w:val="20"/>
        </w:rPr>
      </w:pPr>
    </w:p>
    <w:p w14:paraId="00000072" w14:textId="77777777" w:rsidR="00834BF6" w:rsidRDefault="002D7342">
      <w:pPr>
        <w:rPr>
          <w:rFonts w:ascii="Times" w:eastAsia="Times" w:hAnsi="Times" w:cs="Times"/>
          <w:b/>
          <w:color w:val="211D1E"/>
          <w:sz w:val="20"/>
          <w:szCs w:val="20"/>
        </w:rPr>
      </w:pPr>
      <w:r>
        <w:rPr>
          <w:rFonts w:ascii="Times" w:eastAsia="Times" w:hAnsi="Times" w:cs="Times"/>
          <w:color w:val="211D1E"/>
          <w:sz w:val="20"/>
          <w:szCs w:val="20"/>
        </w:rPr>
        <w:t xml:space="preserve">Access to housing is central to economic and personal security and to social </w:t>
      </w:r>
      <w:proofErr w:type="gramStart"/>
      <w:r>
        <w:rPr>
          <w:rFonts w:ascii="Times" w:eastAsia="Times" w:hAnsi="Times" w:cs="Times"/>
          <w:color w:val="211D1E"/>
          <w:sz w:val="20"/>
          <w:szCs w:val="20"/>
        </w:rPr>
        <w:t>inclusion, yet</w:t>
      </w:r>
      <w:proofErr w:type="gramEnd"/>
      <w:r>
        <w:rPr>
          <w:rFonts w:ascii="Times" w:eastAsia="Times" w:hAnsi="Times" w:cs="Times"/>
          <w:color w:val="211D1E"/>
          <w:sz w:val="20"/>
          <w:szCs w:val="20"/>
        </w:rPr>
        <w:t xml:space="preserve"> remains shaped by racial discrimination throughout the United States. Throughout the country, affordable housing – at least close to job opportunities, public transit, quality health care, and other essentials – is in critically short supply. Many communities throughout the United States remain marked by a high degree of racial segregation and concentrated poverty, creating inequality in access to education employment, and healthy public spaces, and perpetuating gaps in opportunity for successive generations. Other communities have experienced widespread displacement </w:t>
      </w:r>
      <w:proofErr w:type="gramStart"/>
      <w:r>
        <w:rPr>
          <w:rFonts w:ascii="Times" w:eastAsia="Times" w:hAnsi="Times" w:cs="Times"/>
          <w:color w:val="211D1E"/>
          <w:sz w:val="20"/>
          <w:szCs w:val="20"/>
        </w:rPr>
        <w:t>as a result of</w:t>
      </w:r>
      <w:proofErr w:type="gramEnd"/>
      <w:r>
        <w:rPr>
          <w:rFonts w:ascii="Times" w:eastAsia="Times" w:hAnsi="Times" w:cs="Times"/>
          <w:color w:val="211D1E"/>
          <w:sz w:val="20"/>
          <w:szCs w:val="20"/>
        </w:rPr>
        <w:t xml:space="preserve"> urban gentrification and inadequate supply that have priced many low- and moderate-income families out of neighborhoods. These inequities worsened were by the impact of predatory lending practices and widespread residential foreclosures on minority communities, and by the inadequate response by federal and state policymakers to prevent further economic losses. </w:t>
      </w:r>
    </w:p>
    <w:p w14:paraId="00000073" w14:textId="77777777" w:rsidR="00834BF6" w:rsidRDefault="00834BF6">
      <w:pPr>
        <w:rPr>
          <w:rFonts w:ascii="Times" w:eastAsia="Times" w:hAnsi="Times" w:cs="Times"/>
          <w:sz w:val="20"/>
          <w:szCs w:val="20"/>
        </w:rPr>
      </w:pPr>
    </w:p>
    <w:p w14:paraId="00000074" w14:textId="77777777" w:rsidR="00834BF6" w:rsidRDefault="002D7342">
      <w:pPr>
        <w:rPr>
          <w:rFonts w:ascii="Times" w:eastAsia="Times" w:hAnsi="Times" w:cs="Times"/>
          <w:sz w:val="20"/>
          <w:szCs w:val="20"/>
        </w:rPr>
      </w:pPr>
      <w:r>
        <w:rPr>
          <w:rFonts w:ascii="Times" w:eastAsia="Times" w:hAnsi="Times" w:cs="Times"/>
          <w:sz w:val="20"/>
          <w:szCs w:val="20"/>
        </w:rPr>
        <w:t xml:space="preserve">Well over a decade after the 2008 crisis, the gap between Black and White homeownership is as wide as it was when redlining and other racially discriminatory practices in housing were legal. And despite the enactment of fair housing and fair lending laws over the last 50 years, important components of these laws </w:t>
      </w:r>
      <w:proofErr w:type="gramStart"/>
      <w:r>
        <w:rPr>
          <w:rFonts w:ascii="Times" w:eastAsia="Times" w:hAnsi="Times" w:cs="Times"/>
          <w:sz w:val="20"/>
          <w:szCs w:val="20"/>
        </w:rPr>
        <w:t>still have</w:t>
      </w:r>
      <w:proofErr w:type="gramEnd"/>
      <w:r>
        <w:rPr>
          <w:rFonts w:ascii="Times" w:eastAsia="Times" w:hAnsi="Times" w:cs="Times"/>
          <w:sz w:val="20"/>
          <w:szCs w:val="20"/>
        </w:rPr>
        <w:t xml:space="preserve"> yet to be fully implemented or enforced. The COVID-19 pandemic and the resulting economic hardships in communities of color have only worsened racial homeownership and wealth disparities, as people of color have disproportionately experienced further setbacks in their income, savings levels, and other credit underwriting factors and have been unable to secure a mortgage or refinance their loans. </w:t>
      </w:r>
    </w:p>
    <w:p w14:paraId="00000075" w14:textId="77777777" w:rsidR="00834BF6" w:rsidRDefault="00834BF6">
      <w:pPr>
        <w:rPr>
          <w:rFonts w:ascii="Times" w:eastAsia="Times" w:hAnsi="Times" w:cs="Times"/>
          <w:color w:val="211D1E"/>
          <w:sz w:val="20"/>
          <w:szCs w:val="20"/>
        </w:rPr>
      </w:pPr>
    </w:p>
    <w:p w14:paraId="00000076" w14:textId="77777777" w:rsidR="00834BF6" w:rsidRDefault="002D7342">
      <w:pPr>
        <w:rPr>
          <w:rFonts w:ascii="Times" w:eastAsia="Times" w:hAnsi="Times" w:cs="Times"/>
          <w:b/>
          <w:color w:val="211D1E"/>
          <w:sz w:val="20"/>
          <w:szCs w:val="20"/>
        </w:rPr>
      </w:pPr>
      <w:r>
        <w:rPr>
          <w:rFonts w:ascii="Times" w:eastAsia="Times" w:hAnsi="Times" w:cs="Times"/>
          <w:b/>
          <w:color w:val="211D1E"/>
          <w:sz w:val="20"/>
          <w:szCs w:val="20"/>
        </w:rPr>
        <w:t>Housing Discrimination</w:t>
      </w:r>
    </w:p>
    <w:p w14:paraId="00000077" w14:textId="77777777" w:rsidR="00834BF6" w:rsidRDefault="00834BF6">
      <w:pPr>
        <w:rPr>
          <w:rFonts w:ascii="Times" w:eastAsia="Times" w:hAnsi="Times" w:cs="Times"/>
          <w:color w:val="211D1E"/>
          <w:sz w:val="20"/>
          <w:szCs w:val="20"/>
        </w:rPr>
      </w:pPr>
    </w:p>
    <w:p w14:paraId="00000078" w14:textId="77777777" w:rsidR="00834BF6" w:rsidRDefault="002D7342">
      <w:pPr>
        <w:rPr>
          <w:rFonts w:ascii="Times" w:eastAsia="Times" w:hAnsi="Times" w:cs="Times"/>
          <w:sz w:val="20"/>
          <w:szCs w:val="20"/>
        </w:rPr>
      </w:pPr>
      <w:r>
        <w:rPr>
          <w:rFonts w:ascii="Times" w:eastAsia="Times" w:hAnsi="Times" w:cs="Times"/>
          <w:color w:val="211D1E"/>
          <w:sz w:val="20"/>
          <w:szCs w:val="20"/>
        </w:rPr>
        <w:t>Housing discrimination remains a major barrier to home rental and ownership opportunities for people of color in the United States. In 2020, 7,268 complaints of housing discrimination based on race, color or national origin combined were filed with the Department of Housing and Urban Development (HUD) and affiliated fair housing organizations and agencies.</w:t>
      </w:r>
      <w:r>
        <w:rPr>
          <w:rFonts w:ascii="Times" w:eastAsia="Times" w:hAnsi="Times" w:cs="Times"/>
          <w:color w:val="211D1E"/>
          <w:sz w:val="20"/>
          <w:szCs w:val="20"/>
          <w:vertAlign w:val="superscript"/>
        </w:rPr>
        <w:footnoteReference w:id="74"/>
      </w:r>
      <w:r>
        <w:rPr>
          <w:rFonts w:ascii="Times" w:eastAsia="Times" w:hAnsi="Times" w:cs="Times"/>
          <w:color w:val="211D1E"/>
          <w:sz w:val="20"/>
          <w:szCs w:val="20"/>
        </w:rPr>
        <w:t xml:space="preserve"> In March 2022, a federally commissioned report confirmed the persistence of systemic racial bias in home appraisals, with homes in Black census tracts being significantly more likely to receive an appraisal value lower than the contract price than homes in White census tracts.</w:t>
      </w:r>
      <w:r>
        <w:rPr>
          <w:rFonts w:ascii="Times" w:eastAsia="Times" w:hAnsi="Times" w:cs="Times"/>
          <w:color w:val="211D1E"/>
          <w:sz w:val="20"/>
          <w:szCs w:val="20"/>
          <w:vertAlign w:val="superscript"/>
        </w:rPr>
        <w:footnoteReference w:id="75"/>
      </w:r>
    </w:p>
    <w:p w14:paraId="00000079" w14:textId="77777777" w:rsidR="00834BF6" w:rsidRDefault="00834BF6">
      <w:pPr>
        <w:rPr>
          <w:rFonts w:ascii="Times" w:eastAsia="Times" w:hAnsi="Times" w:cs="Times"/>
          <w:b/>
          <w:sz w:val="20"/>
          <w:szCs w:val="20"/>
        </w:rPr>
      </w:pPr>
    </w:p>
    <w:p w14:paraId="0000007A" w14:textId="77777777" w:rsidR="00834BF6" w:rsidRDefault="002D7342">
      <w:pPr>
        <w:rPr>
          <w:rFonts w:ascii="Times" w:eastAsia="Times" w:hAnsi="Times" w:cs="Times"/>
          <w:sz w:val="20"/>
          <w:szCs w:val="20"/>
        </w:rPr>
      </w:pPr>
      <w:r>
        <w:rPr>
          <w:rFonts w:ascii="Times" w:eastAsia="Times" w:hAnsi="Times" w:cs="Times"/>
          <w:sz w:val="20"/>
          <w:szCs w:val="20"/>
        </w:rPr>
        <w:t xml:space="preserve">The rulemaking, implementation, and enforcement relating to the Fair Housing Act has been in a tremendous amount of flux since the last periodic report. In 2015, the U.S. Supreme Court ruled that the Fair Housing Act could </w:t>
      </w:r>
      <w:r>
        <w:rPr>
          <w:rFonts w:ascii="Times" w:eastAsia="Times" w:hAnsi="Times" w:cs="Times"/>
          <w:sz w:val="20"/>
          <w:szCs w:val="20"/>
        </w:rPr>
        <w:lastRenderedPageBreak/>
        <w:t>be enforced in discrimination cases that relied on evidence showing a disparate impact rather than intentional discrimination.</w:t>
      </w:r>
      <w:r>
        <w:rPr>
          <w:rFonts w:ascii="Times" w:eastAsia="Times" w:hAnsi="Times" w:cs="Times"/>
          <w:sz w:val="20"/>
          <w:szCs w:val="20"/>
          <w:vertAlign w:val="superscript"/>
        </w:rPr>
        <w:footnoteReference w:id="76"/>
      </w:r>
      <w:r>
        <w:rPr>
          <w:rFonts w:ascii="Times" w:eastAsia="Times" w:hAnsi="Times" w:cs="Times"/>
          <w:sz w:val="20"/>
          <w:szCs w:val="20"/>
        </w:rPr>
        <w:t xml:space="preserve"> In 2019, however, HUD proposed a rule pursuant to the decision that would have placed a burden of proof on plaintiffs that was too high for most complaints to survive. Even </w:t>
      </w:r>
      <w:proofErr w:type="gramStart"/>
      <w:r>
        <w:rPr>
          <w:rFonts w:ascii="Times" w:eastAsia="Times" w:hAnsi="Times" w:cs="Times"/>
          <w:sz w:val="20"/>
          <w:szCs w:val="20"/>
        </w:rPr>
        <w:t>a number of</w:t>
      </w:r>
      <w:proofErr w:type="gramEnd"/>
      <w:r>
        <w:rPr>
          <w:rFonts w:ascii="Times" w:eastAsia="Times" w:hAnsi="Times" w:cs="Times"/>
          <w:sz w:val="20"/>
          <w:szCs w:val="20"/>
        </w:rPr>
        <w:t xml:space="preserve"> banks and other housing industry stakeholders urged HUD to not move forward with the rulemaking. In 2021, HUD under the current administration rescinded the proposal. </w:t>
      </w:r>
    </w:p>
    <w:p w14:paraId="0000007B" w14:textId="77777777" w:rsidR="00834BF6" w:rsidRDefault="00834BF6">
      <w:pPr>
        <w:rPr>
          <w:rFonts w:ascii="Times" w:eastAsia="Times" w:hAnsi="Times" w:cs="Times"/>
          <w:sz w:val="20"/>
          <w:szCs w:val="20"/>
        </w:rPr>
      </w:pPr>
    </w:p>
    <w:p w14:paraId="0000007C" w14:textId="77777777" w:rsidR="00834BF6" w:rsidRDefault="002D7342">
      <w:pPr>
        <w:rPr>
          <w:rFonts w:ascii="Times" w:eastAsia="Times" w:hAnsi="Times" w:cs="Times"/>
          <w:sz w:val="20"/>
          <w:szCs w:val="20"/>
        </w:rPr>
      </w:pPr>
      <w:r>
        <w:rPr>
          <w:rFonts w:ascii="Times" w:eastAsia="Times" w:hAnsi="Times" w:cs="Times"/>
          <w:sz w:val="20"/>
          <w:szCs w:val="20"/>
        </w:rPr>
        <w:t xml:space="preserve">Similarly, in 2015 HUD published a rule implementing the “affirmatively furthering fair housing” requirements of the Fair Housing Act. This was the first significant regulation that required the federal government and HUD fund recipients to outline and undertake meaningful actions to undo decades of housing discrimination. In 2018, however, HUD suspended this rule, and proposed a new version that would have severely undercut the goals of the law. In 2021, HUD began a new rulemaking process based substantially on the 2015 version of the rule. </w:t>
      </w:r>
    </w:p>
    <w:p w14:paraId="0000007D" w14:textId="77777777" w:rsidR="00834BF6" w:rsidRDefault="00834BF6">
      <w:pPr>
        <w:rPr>
          <w:rFonts w:ascii="Times" w:eastAsia="Times" w:hAnsi="Times" w:cs="Times"/>
          <w:sz w:val="20"/>
          <w:szCs w:val="20"/>
        </w:rPr>
      </w:pPr>
    </w:p>
    <w:p w14:paraId="0000007E" w14:textId="77777777" w:rsidR="00834BF6" w:rsidRDefault="002D7342">
      <w:pPr>
        <w:rPr>
          <w:rFonts w:ascii="Times" w:eastAsia="Times" w:hAnsi="Times" w:cs="Times"/>
          <w:sz w:val="20"/>
          <w:szCs w:val="20"/>
        </w:rPr>
      </w:pPr>
      <w:r>
        <w:rPr>
          <w:rFonts w:ascii="Times" w:eastAsia="Times" w:hAnsi="Times" w:cs="Times"/>
          <w:sz w:val="20"/>
          <w:szCs w:val="20"/>
        </w:rPr>
        <w:t xml:space="preserve">In 2020, the Office of the Comptroller of the Currency (OCC) proposed and rushed through regulations that would have significantly weakened the Community Reinvestment Act. It would have given banks CRA credit for lending and investments that had little if anything to do with serving communities of color. The other two banking regulators that oversee the CRA, the Federal Reserve and the Federal Deposit Insurance Corporation, declined to join in the rulemaking. In 2021, the rule was rescinded, and in May 2022 all three regulators have started the process over with a new jointly proposed regulation. </w:t>
      </w:r>
    </w:p>
    <w:p w14:paraId="0000007F" w14:textId="77777777" w:rsidR="00834BF6" w:rsidRDefault="00834BF6">
      <w:pPr>
        <w:rPr>
          <w:rFonts w:ascii="Times" w:eastAsia="Times" w:hAnsi="Times" w:cs="Times"/>
          <w:sz w:val="20"/>
          <w:szCs w:val="20"/>
        </w:rPr>
      </w:pPr>
    </w:p>
    <w:p w14:paraId="00000080" w14:textId="77777777" w:rsidR="00834BF6" w:rsidRDefault="002D7342">
      <w:pPr>
        <w:rPr>
          <w:rFonts w:ascii="Times" w:eastAsia="Times" w:hAnsi="Times" w:cs="Times"/>
          <w:sz w:val="20"/>
          <w:szCs w:val="20"/>
        </w:rPr>
      </w:pPr>
      <w:r>
        <w:rPr>
          <w:rFonts w:ascii="Times" w:eastAsia="Times" w:hAnsi="Times" w:cs="Times"/>
          <w:sz w:val="20"/>
          <w:szCs w:val="20"/>
        </w:rPr>
        <w:t xml:space="preserve">In 2021, HUD released a legal opinion and statement clarifying the instances under which Special Purpose Credit Programs (SPCPs) are permissible under the Fair Housing Act. SPCPs, allowed under federal law since 1976 but largely unused due to a lack of regulatory clarity, provide an important way for lenders to target and meet the credit needs of </w:t>
      </w:r>
      <w:proofErr w:type="gramStart"/>
      <w:r>
        <w:rPr>
          <w:rFonts w:ascii="Times" w:eastAsia="Times" w:hAnsi="Times" w:cs="Times"/>
          <w:sz w:val="20"/>
          <w:szCs w:val="20"/>
        </w:rPr>
        <w:t>economically disadvantaged</w:t>
      </w:r>
      <w:proofErr w:type="gramEnd"/>
      <w:r>
        <w:rPr>
          <w:rFonts w:ascii="Times" w:eastAsia="Times" w:hAnsi="Times" w:cs="Times"/>
          <w:sz w:val="20"/>
          <w:szCs w:val="20"/>
        </w:rPr>
        <w:t xml:space="preserve"> groups, including groups that share a common characteristic such as race, national origin, or sex. </w:t>
      </w:r>
    </w:p>
    <w:p w14:paraId="00000081" w14:textId="77777777" w:rsidR="00834BF6" w:rsidRDefault="00834BF6">
      <w:pPr>
        <w:rPr>
          <w:rFonts w:ascii="Times" w:eastAsia="Times" w:hAnsi="Times" w:cs="Times"/>
          <w:sz w:val="20"/>
          <w:szCs w:val="20"/>
        </w:rPr>
      </w:pPr>
    </w:p>
    <w:p w14:paraId="00000082" w14:textId="77777777" w:rsidR="00834BF6" w:rsidRDefault="002D7342">
      <w:pPr>
        <w:rPr>
          <w:rFonts w:ascii="Times" w:eastAsia="Times" w:hAnsi="Times" w:cs="Times"/>
          <w:sz w:val="20"/>
          <w:szCs w:val="20"/>
        </w:rPr>
      </w:pPr>
      <w:r>
        <w:rPr>
          <w:rFonts w:ascii="Times" w:eastAsia="Times" w:hAnsi="Times" w:cs="Times"/>
          <w:sz w:val="20"/>
          <w:szCs w:val="20"/>
        </w:rPr>
        <w:t xml:space="preserve">Since the last periodic report, the government-sponsored enterprises Fannie Mae and Freddie Mac have not lived up to their obligations to support a housing finance market for borrowers of color and other underserved groups. For example, while Black and Latino people represent 13.4 percent and 18.5 percent of the U.S. population respectively, less than 4 percent of Fannie Mae and Freddie Mac loan purchases for 2018 and 2019 were from Black borrowers and less than 10 percent were from Latino borrowers. </w:t>
      </w:r>
    </w:p>
    <w:p w14:paraId="00000083" w14:textId="77777777" w:rsidR="00834BF6" w:rsidRDefault="00834BF6">
      <w:pPr>
        <w:rPr>
          <w:rFonts w:ascii="Times" w:eastAsia="Times" w:hAnsi="Times" w:cs="Times"/>
          <w:color w:val="151D23"/>
          <w:sz w:val="20"/>
          <w:szCs w:val="20"/>
        </w:rPr>
      </w:pPr>
    </w:p>
    <w:p w14:paraId="00000084" w14:textId="77777777" w:rsidR="00834BF6" w:rsidRDefault="002D7342">
      <w:pPr>
        <w:rPr>
          <w:rFonts w:ascii="Times" w:eastAsia="Times" w:hAnsi="Times" w:cs="Times"/>
          <w:color w:val="000000"/>
          <w:sz w:val="20"/>
          <w:szCs w:val="20"/>
        </w:rPr>
      </w:pPr>
      <w:r>
        <w:rPr>
          <w:rFonts w:ascii="Times" w:eastAsia="Times" w:hAnsi="Times" w:cs="Times"/>
          <w:color w:val="000000"/>
          <w:sz w:val="20"/>
          <w:szCs w:val="20"/>
        </w:rPr>
        <w:t>During the COVID-19 crisis, Congress has provided significant emergency assistance to renters and homeowners who have been at risk of eviction or foreclosure. This assistance has proven in many cases to be an important lifeline to families of color. Yet in too many instances, the funds have been slow to reach those who most need it. At the same time, there is still a dire need for new investments in the supply of affordable housing, and for down payment assistance to help new potential homeowners.  </w:t>
      </w:r>
    </w:p>
    <w:p w14:paraId="00000085" w14:textId="77777777" w:rsidR="00834BF6" w:rsidRDefault="00834BF6">
      <w:pPr>
        <w:rPr>
          <w:rFonts w:ascii="Times" w:eastAsia="Times" w:hAnsi="Times" w:cs="Times"/>
          <w:sz w:val="20"/>
          <w:szCs w:val="20"/>
        </w:rPr>
      </w:pPr>
    </w:p>
    <w:p w14:paraId="00000086" w14:textId="77777777" w:rsidR="00834BF6" w:rsidRDefault="002D7342">
      <w:pPr>
        <w:rPr>
          <w:rFonts w:ascii="Times" w:eastAsia="Times" w:hAnsi="Times" w:cs="Times"/>
          <w:sz w:val="20"/>
          <w:szCs w:val="20"/>
        </w:rPr>
      </w:pPr>
      <w:r>
        <w:rPr>
          <w:rFonts w:ascii="Times" w:eastAsia="Times" w:hAnsi="Times" w:cs="Times"/>
          <w:sz w:val="20"/>
          <w:szCs w:val="20"/>
        </w:rPr>
        <w:t xml:space="preserve">In the past year, we have seen a key increase in the diversity of policymakers overseeing federal housing policy. For the first time in its history, the Federal Reserve has two Black members serving on the Board of Governors, and Black women simultaneously serve as the Secretary of HUD, Director of the Federal Housing Finance Agency, President of the Government National Mortgage Association (“Ginnie Mae”), and Director of the Office of Management and Budget. </w:t>
      </w:r>
    </w:p>
    <w:p w14:paraId="00000087" w14:textId="77777777" w:rsidR="00834BF6" w:rsidRDefault="00834BF6">
      <w:pPr>
        <w:rPr>
          <w:rFonts w:ascii="Times" w:eastAsia="Times" w:hAnsi="Times" w:cs="Times"/>
          <w:sz w:val="20"/>
          <w:szCs w:val="20"/>
        </w:rPr>
      </w:pPr>
    </w:p>
    <w:p w14:paraId="00000088" w14:textId="77777777" w:rsidR="00834BF6" w:rsidRDefault="002D7342">
      <w:pPr>
        <w:rPr>
          <w:rFonts w:ascii="Times" w:eastAsia="Times" w:hAnsi="Times" w:cs="Times"/>
          <w:sz w:val="20"/>
          <w:szCs w:val="20"/>
        </w:rPr>
      </w:pPr>
      <w:r>
        <w:rPr>
          <w:rFonts w:ascii="Times" w:eastAsia="Times" w:hAnsi="Times" w:cs="Times"/>
          <w:sz w:val="20"/>
          <w:szCs w:val="20"/>
        </w:rPr>
        <w:t xml:space="preserve">In the years since the 2008 housing crisis, efforts to hold responsible parties accountable have yielded mixed results. Some of the largest financial institutions </w:t>
      </w:r>
      <w:proofErr w:type="gramStart"/>
      <w:r>
        <w:rPr>
          <w:rFonts w:ascii="Times" w:eastAsia="Times" w:hAnsi="Times" w:cs="Times"/>
          <w:sz w:val="20"/>
          <w:szCs w:val="20"/>
        </w:rPr>
        <w:t>entered into</w:t>
      </w:r>
      <w:proofErr w:type="gramEnd"/>
      <w:r>
        <w:rPr>
          <w:rFonts w:ascii="Times" w:eastAsia="Times" w:hAnsi="Times" w:cs="Times"/>
          <w:sz w:val="20"/>
          <w:szCs w:val="20"/>
        </w:rPr>
        <w:t xml:space="preserve"> settlements and paid substantial fines for the contributions they or their subsidiary companies made to the wave of predatory lending practices. But given the complexity of the laws and the breadth of parties who played a part in the crisis, many other actors evaded responsibility. Efforts to keep borrowers in their homes yielded mixed results, saving some borrowers from foreclosure. Yet where those efforts </w:t>
      </w:r>
      <w:proofErr w:type="gramStart"/>
      <w:r>
        <w:rPr>
          <w:rFonts w:ascii="Times" w:eastAsia="Times" w:hAnsi="Times" w:cs="Times"/>
          <w:sz w:val="20"/>
          <w:szCs w:val="20"/>
        </w:rPr>
        <w:t>did not succeed</w:t>
      </w:r>
      <w:proofErr w:type="gramEnd"/>
      <w:r>
        <w:rPr>
          <w:rFonts w:ascii="Times" w:eastAsia="Times" w:hAnsi="Times" w:cs="Times"/>
          <w:sz w:val="20"/>
          <w:szCs w:val="20"/>
        </w:rPr>
        <w:t xml:space="preserve">, the results raised new concerns about discriminatory patterns in loan servicing and property maintenance and led to a significant nationwide increase in investor-owned housing that has made it more difficult for potential new homeowners, particularly those of color, to enter the market. To make matters worse, from the outset of the housing crisis, some political actors constructed and promulgated false narratives among policymakers and the public about what caused the crisis, attempting to pin the blame on federal policies aimed at increasing </w:t>
      </w:r>
      <w:r>
        <w:rPr>
          <w:rFonts w:ascii="Times" w:eastAsia="Times" w:hAnsi="Times" w:cs="Times"/>
          <w:sz w:val="20"/>
          <w:szCs w:val="20"/>
        </w:rPr>
        <w:lastRenderedPageBreak/>
        <w:t>minority homeownership (namely, the Community Reinvestment Act and the Affordable Housing Goals) that in fact could have promoted more sustainable homeownership had they been more fully utilized. While some federal regulators and other policymakers attempted to dispel such rumors, they persist to this day and are still invoked in response to new efforts to promote homeownership in underserved communities.</w:t>
      </w:r>
    </w:p>
    <w:p w14:paraId="00000089" w14:textId="350C0462" w:rsidR="00834BF6" w:rsidRDefault="002D7342">
      <w:pPr>
        <w:pBdr>
          <w:top w:val="nil"/>
          <w:left w:val="nil"/>
          <w:bottom w:val="nil"/>
          <w:right w:val="nil"/>
          <w:between w:val="nil"/>
        </w:pBdr>
        <w:spacing w:before="240" w:after="120"/>
        <w:ind w:right="1134"/>
        <w:rPr>
          <w:rFonts w:ascii="Times" w:eastAsia="Times" w:hAnsi="Times" w:cs="Times"/>
          <w:b/>
          <w:i/>
          <w:color w:val="000000"/>
          <w:sz w:val="20"/>
          <w:szCs w:val="20"/>
          <w:u w:val="single"/>
        </w:rPr>
      </w:pPr>
      <w:r>
        <w:rPr>
          <w:rFonts w:ascii="Times" w:eastAsia="Times" w:hAnsi="Times" w:cs="Times"/>
          <w:b/>
          <w:i/>
          <w:color w:val="000000"/>
          <w:sz w:val="20"/>
          <w:szCs w:val="20"/>
          <w:u w:val="single"/>
        </w:rPr>
        <w:t xml:space="preserve">Discrimination in Immigration </w:t>
      </w:r>
    </w:p>
    <w:p w14:paraId="0000008B" w14:textId="41EC01DC" w:rsidR="00834BF6" w:rsidRDefault="00DD4A4A">
      <w:pPr>
        <w:pBdr>
          <w:top w:val="nil"/>
          <w:left w:val="nil"/>
          <w:bottom w:val="nil"/>
          <w:right w:val="nil"/>
          <w:between w:val="nil"/>
        </w:pBdr>
        <w:spacing w:before="240" w:after="120"/>
        <w:ind w:right="1134" w:hanging="1134"/>
        <w:rPr>
          <w:rFonts w:ascii="Times" w:eastAsia="Times" w:hAnsi="Times" w:cs="Times"/>
          <w:i/>
          <w:color w:val="000000"/>
          <w:sz w:val="20"/>
          <w:szCs w:val="20"/>
        </w:rPr>
      </w:pPr>
      <w:r>
        <w:tab/>
        <w:t>Concluding observations 17 and 18 and Articles 2 (1), 2(1)(c)</w:t>
      </w:r>
      <w:sdt>
        <w:sdtPr>
          <w:tag w:val="goog_rdk_16"/>
          <w:id w:val="1087885788"/>
        </w:sdtPr>
        <w:sdtEndPr/>
        <w:sdtContent>
          <w:sdt>
            <w:sdtPr>
              <w:tag w:val="goog_rdk_15"/>
              <w:id w:val="-1757126115"/>
            </w:sdtPr>
            <w:sdtEndPr/>
            <w:sdtContent>
              <w:r>
                <w:t xml:space="preserve"> and 2 (1)(d)</w:t>
              </w:r>
            </w:sdtContent>
          </w:sdt>
        </w:sdtContent>
      </w:sdt>
      <w:sdt>
        <w:sdtPr>
          <w:tag w:val="goog_rdk_17"/>
          <w:id w:val="1164285515"/>
          <w:showingPlcHdr/>
        </w:sdtPr>
        <w:sdtEndPr/>
        <w:sdtContent>
          <w:r>
            <w:t xml:space="preserve">     </w:t>
          </w:r>
        </w:sdtContent>
      </w:sdt>
    </w:p>
    <w:p w14:paraId="00000094" w14:textId="1B57C89B" w:rsidR="00834BF6" w:rsidRDefault="0011078B" w:rsidP="00DD4A4A">
      <w:pPr>
        <w:pBdr>
          <w:top w:val="nil"/>
          <w:left w:val="nil"/>
          <w:bottom w:val="nil"/>
          <w:right w:val="nil"/>
          <w:between w:val="nil"/>
        </w:pBdr>
        <w:spacing w:after="120"/>
        <w:ind w:right="1134"/>
        <w:jc w:val="both"/>
        <w:rPr>
          <w:rFonts w:ascii="Times" w:eastAsia="Times" w:hAnsi="Times" w:cs="Times"/>
          <w:color w:val="211D1E"/>
          <w:sz w:val="20"/>
          <w:szCs w:val="20"/>
        </w:rPr>
      </w:pPr>
      <w:sdt>
        <w:sdtPr>
          <w:tag w:val="goog_rdk_20"/>
          <w:id w:val="-1305307723"/>
          <w:showingPlcHdr/>
        </w:sdtPr>
        <w:sdtEndPr/>
        <w:sdtContent>
          <w:r w:rsidR="00DC680A">
            <w:t xml:space="preserve">     </w:t>
          </w:r>
        </w:sdtContent>
      </w:sdt>
      <w:r w:rsidR="002D7342">
        <w:rPr>
          <w:rFonts w:ascii="Times" w:eastAsia="Times" w:hAnsi="Times" w:cs="Times"/>
          <w:color w:val="211D1E"/>
          <w:sz w:val="20"/>
          <w:szCs w:val="20"/>
        </w:rPr>
        <w:t xml:space="preserve"> </w:t>
      </w:r>
    </w:p>
    <w:p w14:paraId="00000095" w14:textId="77777777" w:rsidR="00834BF6" w:rsidRDefault="002D7342">
      <w:pPr>
        <w:spacing w:after="160"/>
        <w:rPr>
          <w:rFonts w:ascii="Times" w:eastAsia="Times" w:hAnsi="Times" w:cs="Times"/>
          <w:color w:val="000000"/>
          <w:sz w:val="20"/>
          <w:szCs w:val="20"/>
        </w:rPr>
      </w:pPr>
      <w:r>
        <w:rPr>
          <w:rFonts w:ascii="Times" w:eastAsia="Times" w:hAnsi="Times" w:cs="Times"/>
          <w:b/>
          <w:color w:val="000000"/>
          <w:sz w:val="20"/>
          <w:szCs w:val="20"/>
        </w:rPr>
        <w:t>The Muslim and African Travel Bans</w:t>
      </w:r>
    </w:p>
    <w:p w14:paraId="00000096" w14:textId="11B7ACA4" w:rsidR="00834BF6" w:rsidRDefault="002D7342">
      <w:pPr>
        <w:spacing w:after="160"/>
        <w:rPr>
          <w:rFonts w:ascii="Times" w:eastAsia="Times" w:hAnsi="Times" w:cs="Times"/>
          <w:sz w:val="20"/>
          <w:szCs w:val="20"/>
        </w:rPr>
      </w:pPr>
      <w:r>
        <w:rPr>
          <w:rFonts w:ascii="Times" w:eastAsia="Times" w:hAnsi="Times" w:cs="Times"/>
          <w:color w:val="000000"/>
          <w:sz w:val="20"/>
          <w:szCs w:val="20"/>
        </w:rPr>
        <w:t xml:space="preserve">On January 20, 2021, President Biden issued Proclamation 10141, Ending Discriminatory Bans on Entry to the United States, which revoked Executive Order 13780 and other proclamations that had prevented certain individuals from entering the United States from primarily Muslim and African countries. Since the issuance of this Executive Order, no further travel bans based solely on country of origin have been issued. However, advocates note that U.S. visa sanctions on so-called recalcitrant countries—countries who deny or delay accepting deported nationals—operate in a similar fashion to travel bans, and </w:t>
      </w:r>
      <w:proofErr w:type="gramStart"/>
      <w:r>
        <w:rPr>
          <w:rFonts w:ascii="Times" w:eastAsia="Times" w:hAnsi="Times" w:cs="Times"/>
          <w:color w:val="000000"/>
          <w:sz w:val="20"/>
          <w:szCs w:val="20"/>
        </w:rPr>
        <w:t>the majority of</w:t>
      </w:r>
      <w:proofErr w:type="gramEnd"/>
      <w:r>
        <w:rPr>
          <w:rFonts w:ascii="Times" w:eastAsia="Times" w:hAnsi="Times" w:cs="Times"/>
          <w:color w:val="000000"/>
          <w:sz w:val="20"/>
          <w:szCs w:val="20"/>
        </w:rPr>
        <w:t xml:space="preserve"> current visa sanctions affect countries in the Global South. </w:t>
      </w:r>
    </w:p>
    <w:p w14:paraId="00000097" w14:textId="77777777" w:rsidR="00834BF6" w:rsidRDefault="002D7342">
      <w:pPr>
        <w:spacing w:after="160"/>
        <w:rPr>
          <w:rFonts w:ascii="Times" w:eastAsia="Times" w:hAnsi="Times" w:cs="Times"/>
          <w:color w:val="000000"/>
          <w:sz w:val="20"/>
          <w:szCs w:val="20"/>
          <w:highlight w:val="white"/>
        </w:rPr>
      </w:pPr>
      <w:r>
        <w:rPr>
          <w:rFonts w:ascii="Times" w:eastAsia="Times" w:hAnsi="Times" w:cs="Times"/>
          <w:b/>
          <w:color w:val="000000"/>
          <w:sz w:val="20"/>
          <w:szCs w:val="20"/>
          <w:highlight w:val="white"/>
        </w:rPr>
        <w:t>The legacy of family separation and Zero Tolerance</w:t>
      </w:r>
    </w:p>
    <w:p w14:paraId="00000098" w14:textId="77777777" w:rsidR="00834BF6" w:rsidRDefault="002D7342">
      <w:pPr>
        <w:spacing w:after="160"/>
        <w:rPr>
          <w:rFonts w:ascii="Times" w:eastAsia="Times" w:hAnsi="Times" w:cs="Times"/>
          <w:color w:val="000000"/>
          <w:sz w:val="20"/>
          <w:szCs w:val="20"/>
          <w:highlight w:val="white"/>
        </w:rPr>
      </w:pPr>
      <w:r>
        <w:rPr>
          <w:rFonts w:ascii="Times" w:eastAsia="Times" w:hAnsi="Times" w:cs="Times"/>
          <w:color w:val="000000"/>
          <w:sz w:val="20"/>
          <w:szCs w:val="20"/>
          <w:highlight w:val="white"/>
        </w:rPr>
        <w:t xml:space="preserve"> On February 2, 2021, President Biden issued Executive Order 14011, Establishment of Interagency Task Force on the Reunification of Families, which condemned the intentional separation of children from their parents or legal guardians that occurred under the use of the Zero Tolerance Policy and established a Family Reunification Task Force to identify and reunite families. On March 1, 2021, the Secretary of Homeland Security announced the guiding principles of the Task Force, including, to the extent possible under the law, identifying opportunities for the families to pursue legal immigration status. Since 2021, the Department of Homeland Security (DHS) has published six progress reports on the activities of the Family Reunification Task Force, the most recent of which notes that the Task Force has reunited just 147 separated children with their families in the United States along with the provision of behavioral health services. So far, 1,075 potentially eligible families have registered with the U.S. government; families must affirmatively come forward and reveal their separated status </w:t>
      </w:r>
      <w:proofErr w:type="gramStart"/>
      <w:r>
        <w:rPr>
          <w:rFonts w:ascii="Times" w:eastAsia="Times" w:hAnsi="Times" w:cs="Times"/>
          <w:color w:val="000000"/>
          <w:sz w:val="20"/>
          <w:szCs w:val="20"/>
          <w:highlight w:val="white"/>
        </w:rPr>
        <w:t>in order to</w:t>
      </w:r>
      <w:proofErr w:type="gramEnd"/>
      <w:r>
        <w:rPr>
          <w:rFonts w:ascii="Times" w:eastAsia="Times" w:hAnsi="Times" w:cs="Times"/>
          <w:color w:val="000000"/>
          <w:sz w:val="20"/>
          <w:szCs w:val="20"/>
          <w:highlight w:val="white"/>
        </w:rPr>
        <w:t xml:space="preserve"> be assessed for eligibility. The Task Force has reached out to 129 families outside of the United </w:t>
      </w:r>
      <w:proofErr w:type="gramStart"/>
      <w:r>
        <w:rPr>
          <w:rFonts w:ascii="Times" w:eastAsia="Times" w:hAnsi="Times" w:cs="Times"/>
          <w:color w:val="000000"/>
          <w:sz w:val="20"/>
          <w:szCs w:val="20"/>
          <w:highlight w:val="white"/>
        </w:rPr>
        <w:t>States, and</w:t>
      </w:r>
      <w:proofErr w:type="gramEnd"/>
      <w:r>
        <w:rPr>
          <w:rFonts w:ascii="Times" w:eastAsia="Times" w:hAnsi="Times" w:cs="Times"/>
          <w:color w:val="000000"/>
          <w:sz w:val="20"/>
          <w:szCs w:val="20"/>
          <w:highlight w:val="white"/>
        </w:rPr>
        <w:t xml:space="preserve"> continues to re-assess families who were previously determined not to be eligible for reunification services.</w:t>
      </w:r>
    </w:p>
    <w:p w14:paraId="00000099" w14:textId="77777777" w:rsidR="00834BF6" w:rsidRDefault="002D7342">
      <w:pPr>
        <w:spacing w:after="160"/>
        <w:rPr>
          <w:rFonts w:ascii="Times" w:eastAsia="Times" w:hAnsi="Times" w:cs="Times"/>
          <w:color w:val="000000"/>
          <w:sz w:val="20"/>
          <w:szCs w:val="20"/>
        </w:rPr>
      </w:pPr>
      <w:r>
        <w:rPr>
          <w:rFonts w:ascii="Times" w:eastAsia="Times" w:hAnsi="Times" w:cs="Times"/>
          <w:b/>
          <w:color w:val="000000"/>
          <w:sz w:val="20"/>
          <w:szCs w:val="20"/>
        </w:rPr>
        <w:t>Title 42 Authority</w:t>
      </w:r>
    </w:p>
    <w:p w14:paraId="0000009A" w14:textId="70EA2161" w:rsidR="00834BF6" w:rsidRDefault="002D7342">
      <w:pPr>
        <w:spacing w:after="160"/>
        <w:rPr>
          <w:rFonts w:ascii="Times" w:eastAsia="Times" w:hAnsi="Times" w:cs="Times"/>
          <w:sz w:val="20"/>
          <w:szCs w:val="20"/>
        </w:rPr>
      </w:pPr>
      <w:r>
        <w:rPr>
          <w:rFonts w:ascii="Times" w:eastAsia="Times" w:hAnsi="Times" w:cs="Times"/>
          <w:color w:val="000000"/>
          <w:sz w:val="20"/>
          <w:szCs w:val="20"/>
        </w:rPr>
        <w:t xml:space="preserve"> In March 2020, the Centers for Disease Control and Prevention (CDC) utilized its Title 42 authority to require the expulsion of unauthorized single adults and family units arriving at land ports of entry, </w:t>
      </w:r>
      <w:proofErr w:type="gramStart"/>
      <w:r>
        <w:rPr>
          <w:rFonts w:ascii="Times" w:eastAsia="Times" w:hAnsi="Times" w:cs="Times"/>
          <w:color w:val="000000"/>
          <w:sz w:val="20"/>
          <w:szCs w:val="20"/>
        </w:rPr>
        <w:t>in an effort to</w:t>
      </w:r>
      <w:proofErr w:type="gramEnd"/>
      <w:r>
        <w:rPr>
          <w:rFonts w:ascii="Times" w:eastAsia="Times" w:hAnsi="Times" w:cs="Times"/>
          <w:color w:val="000000"/>
          <w:sz w:val="20"/>
          <w:szCs w:val="20"/>
        </w:rPr>
        <w:t xml:space="preserve"> control the spread of COVID-19. In March 2022, the CDC terminated this order with respect to unaccompanied noncitizen children, allowing unaccompanied noncitizen children to be processed at land ports of entry and, if applicable, to seek asylum in the United States. On April 1, 2022, the CDC announced its plans to terminate the Title 42 order with respect to single adults and family units on May 23, 2022. The Title 42 order and its announced termination is being actively litigated in federal court. According to advocates, expulsions under the Title 42 authority have led to more than 10,000 reported incidents of kidnapping, torture, rape, and other violent attacks on those expelled into Mexico. Furthermore, the Title 42 policy has a disproportionate impact on Black asylum seekers and migrants, who face widespread anti-Black violence and discrimination in Mexico. Since January 2021, DHS has removed more than 20,000 Haitian migrants on at least 208 expulsion and deportation flights to Haiti.</w:t>
      </w:r>
      <w:r w:rsidR="00DC680A">
        <w:rPr>
          <w:rFonts w:ascii="Times" w:eastAsia="Times" w:hAnsi="Times" w:cs="Times"/>
          <w:color w:val="000000"/>
          <w:sz w:val="20"/>
          <w:szCs w:val="20"/>
        </w:rPr>
        <w:t xml:space="preserve"> There is significant controversy over the repeal of Title 42 and expect further actions before the US review in August.</w:t>
      </w:r>
    </w:p>
    <w:p w14:paraId="000000A0" w14:textId="77777777" w:rsidR="00834BF6" w:rsidRDefault="002D7342">
      <w:pPr>
        <w:spacing w:after="160"/>
        <w:rPr>
          <w:rFonts w:ascii="Times" w:eastAsia="Times" w:hAnsi="Times" w:cs="Times"/>
          <w:color w:val="000000"/>
          <w:sz w:val="20"/>
          <w:szCs w:val="20"/>
          <w:highlight w:val="white"/>
        </w:rPr>
      </w:pPr>
      <w:r>
        <w:rPr>
          <w:rFonts w:ascii="Times" w:eastAsia="Times" w:hAnsi="Times" w:cs="Times"/>
          <w:b/>
          <w:color w:val="000000"/>
          <w:sz w:val="20"/>
          <w:szCs w:val="20"/>
          <w:highlight w:val="white"/>
        </w:rPr>
        <w:t>The Migrant Protection Protocols</w:t>
      </w:r>
    </w:p>
    <w:p w14:paraId="000000A1" w14:textId="77777777" w:rsidR="00834BF6" w:rsidRDefault="002D7342">
      <w:pPr>
        <w:spacing w:after="160"/>
        <w:rPr>
          <w:rFonts w:ascii="Times" w:eastAsia="Times" w:hAnsi="Times" w:cs="Times"/>
          <w:sz w:val="20"/>
          <w:szCs w:val="20"/>
        </w:rPr>
      </w:pPr>
      <w:r>
        <w:rPr>
          <w:rFonts w:ascii="Times" w:eastAsia="Times" w:hAnsi="Times" w:cs="Times"/>
          <w:color w:val="000000"/>
          <w:sz w:val="20"/>
          <w:szCs w:val="20"/>
          <w:highlight w:val="white"/>
        </w:rPr>
        <w:t xml:space="preserve">On February 19, 2021, DHS also began phase one in the effort to begin processing people who were forced to “remain in Mexico” while their asylum claims were adjudicated under the Migrant Protection Protocols (MPP). On June 1, 2021, the Secretary of Homeland Security terminated the Migrant Protection Protocols and issued a memorandum doing so. However, on August 13, 2021, a federal court in Texas determined that the DHS memo was not issued in compliance with the Administrative Procedure Act and the Immigration and Nationality </w:t>
      </w:r>
      <w:proofErr w:type="gramStart"/>
      <w:r>
        <w:rPr>
          <w:rFonts w:ascii="Times" w:eastAsia="Times" w:hAnsi="Times" w:cs="Times"/>
          <w:color w:val="000000"/>
          <w:sz w:val="20"/>
          <w:szCs w:val="20"/>
          <w:highlight w:val="white"/>
        </w:rPr>
        <w:t>Act, and</w:t>
      </w:r>
      <w:proofErr w:type="gramEnd"/>
      <w:r>
        <w:rPr>
          <w:rFonts w:ascii="Times" w:eastAsia="Times" w:hAnsi="Times" w:cs="Times"/>
          <w:color w:val="000000"/>
          <w:sz w:val="20"/>
          <w:szCs w:val="20"/>
          <w:highlight w:val="white"/>
        </w:rPr>
        <w:t xml:space="preserve"> ordered DHS to reinstate the Migrant Protection Protocols “in good faith.” On October 29, 2021, the Secretary of </w:t>
      </w:r>
      <w:r>
        <w:rPr>
          <w:rFonts w:ascii="Times" w:eastAsia="Times" w:hAnsi="Times" w:cs="Times"/>
          <w:color w:val="000000"/>
          <w:sz w:val="20"/>
          <w:szCs w:val="20"/>
          <w:highlight w:val="white"/>
        </w:rPr>
        <w:lastRenderedPageBreak/>
        <w:t xml:space="preserve">Homeland Security issued another memorandum terminating the Migrant Protection Protocols, which DHS plans to implement once a final decision is reached in the </w:t>
      </w:r>
      <w:r>
        <w:rPr>
          <w:rFonts w:ascii="Times" w:eastAsia="Times" w:hAnsi="Times" w:cs="Times"/>
          <w:i/>
          <w:color w:val="000000"/>
          <w:sz w:val="20"/>
          <w:szCs w:val="20"/>
          <w:highlight w:val="white"/>
        </w:rPr>
        <w:t>Texas v. Biden</w:t>
      </w:r>
      <w:r>
        <w:rPr>
          <w:rFonts w:ascii="Times" w:eastAsia="Times" w:hAnsi="Times" w:cs="Times"/>
          <w:color w:val="000000"/>
          <w:sz w:val="20"/>
          <w:szCs w:val="20"/>
          <w:highlight w:val="white"/>
        </w:rPr>
        <w:t xml:space="preserve"> case, which is currently before the Supreme Court of the United States. </w:t>
      </w:r>
    </w:p>
    <w:p w14:paraId="000000A3" w14:textId="77777777" w:rsidR="00834BF6" w:rsidRDefault="002D7342">
      <w:pPr>
        <w:spacing w:after="160"/>
        <w:rPr>
          <w:rFonts w:ascii="Times" w:eastAsia="Times" w:hAnsi="Times" w:cs="Times"/>
          <w:color w:val="000000"/>
          <w:sz w:val="20"/>
          <w:szCs w:val="20"/>
        </w:rPr>
      </w:pPr>
      <w:r>
        <w:rPr>
          <w:rFonts w:ascii="Times" w:eastAsia="Times" w:hAnsi="Times" w:cs="Times"/>
          <w:b/>
          <w:color w:val="000000"/>
          <w:sz w:val="20"/>
          <w:szCs w:val="20"/>
        </w:rPr>
        <w:t>Immigration Detention</w:t>
      </w:r>
    </w:p>
    <w:p w14:paraId="000000A5" w14:textId="4AABA763" w:rsidR="00834BF6" w:rsidRDefault="002D7342" w:rsidP="00DC680A">
      <w:pPr>
        <w:spacing w:after="160"/>
        <w:rPr>
          <w:rFonts w:ascii="Times" w:eastAsia="Times" w:hAnsi="Times" w:cs="Times"/>
          <w:color w:val="211D1E"/>
          <w:sz w:val="20"/>
          <w:szCs w:val="20"/>
        </w:rPr>
      </w:pPr>
      <w:r>
        <w:rPr>
          <w:rFonts w:ascii="Times" w:eastAsia="Times" w:hAnsi="Times" w:cs="Times"/>
          <w:color w:val="000000"/>
          <w:sz w:val="20"/>
          <w:szCs w:val="20"/>
        </w:rPr>
        <w:t xml:space="preserve"> In January 2021, President Biden issued an Executive Order directing the Department of Justice (DOJ) to phase out contracts with private prison companies and not to renew contracts with privately operated criminal detention facilities, including for the Bureau of Prisons and U.S. Marshals Service. However, this Executive Order did not apply to ICE detention facilities. According to advocates, in 2021 almost 80 percent of noncitizens detained in ICE custody were held at private detention facilities. In March 2022, ICE announced that it will close or scale back use of four detention facilities in Alabama, Florida, North Carolina, and Louisiana due to dangerous conditions for detainees including lack of adequate medical care, racial discrimination, excessive use of force, and other inhumane conditions. Advocates have called on the Biden administration to formally review and extend its Executive Order to private immigration detention facilities.</w:t>
      </w:r>
    </w:p>
    <w:p w14:paraId="000000A6" w14:textId="77777777" w:rsidR="00834BF6" w:rsidRDefault="002D7342">
      <w:pPr>
        <w:spacing w:after="80"/>
        <w:rPr>
          <w:rFonts w:ascii="Times" w:eastAsia="Times" w:hAnsi="Times" w:cs="Times"/>
          <w:color w:val="000000"/>
          <w:sz w:val="20"/>
          <w:szCs w:val="20"/>
        </w:rPr>
      </w:pPr>
      <w:r>
        <w:rPr>
          <w:rFonts w:ascii="Times" w:eastAsia="Times" w:hAnsi="Times" w:cs="Times"/>
          <w:b/>
          <w:color w:val="000000"/>
          <w:sz w:val="20"/>
          <w:szCs w:val="20"/>
        </w:rPr>
        <w:t>Noncitizen Labor Conditions and Human Trafficking</w:t>
      </w:r>
    </w:p>
    <w:p w14:paraId="000000A7" w14:textId="77777777" w:rsidR="00834BF6" w:rsidRDefault="002D7342">
      <w:pPr>
        <w:spacing w:after="80"/>
        <w:rPr>
          <w:rFonts w:ascii="Times" w:eastAsia="Times" w:hAnsi="Times" w:cs="Times"/>
          <w:color w:val="000000"/>
          <w:sz w:val="20"/>
          <w:szCs w:val="20"/>
        </w:rPr>
      </w:pPr>
      <w:r>
        <w:rPr>
          <w:rFonts w:ascii="Times" w:eastAsia="Times" w:hAnsi="Times" w:cs="Times"/>
          <w:color w:val="000000"/>
          <w:sz w:val="20"/>
          <w:szCs w:val="20"/>
        </w:rPr>
        <w:t>Although the Department of Labor’s Wage and Hour Division (WHD) purports to protect migrant workers from exploitative and abusive working conditions and to ensure appropriate protections for workers engaged in harvesting and hazardous work in agriculture, abuses of agricultural and other workers remain an issue. For example, in November 2021 the DOJ announced the indictments of 24 defendants accused of a human smuggling and labor trafficking operation that “illegally imported Mexican and Central American workers into brutal conditions on South Georgia farms.</w:t>
      </w:r>
    </w:p>
    <w:p w14:paraId="000000AA" w14:textId="77777777" w:rsidR="00834BF6" w:rsidRDefault="002D7342">
      <w:pPr>
        <w:rPr>
          <w:rFonts w:ascii="Times" w:eastAsia="Times" w:hAnsi="Times" w:cs="Times"/>
          <w:sz w:val="20"/>
          <w:szCs w:val="20"/>
        </w:rPr>
      </w:pPr>
      <w:r>
        <w:rPr>
          <w:rFonts w:ascii="Times" w:eastAsia="Times" w:hAnsi="Times" w:cs="Times"/>
          <w:b/>
          <w:sz w:val="20"/>
          <w:szCs w:val="20"/>
        </w:rPr>
        <w:t>Disparate treatment of Black migrants with no effective remedies</w:t>
      </w:r>
    </w:p>
    <w:p w14:paraId="000000AB" w14:textId="77777777" w:rsidR="00834BF6" w:rsidRDefault="00834BF6">
      <w:pPr>
        <w:rPr>
          <w:rFonts w:ascii="Times" w:eastAsia="Times" w:hAnsi="Times" w:cs="Times"/>
          <w:sz w:val="20"/>
          <w:szCs w:val="20"/>
        </w:rPr>
      </w:pPr>
    </w:p>
    <w:p w14:paraId="000000AC" w14:textId="36416824" w:rsidR="00834BF6" w:rsidRDefault="002D7342">
      <w:pPr>
        <w:rPr>
          <w:rFonts w:ascii="Times" w:eastAsia="Times" w:hAnsi="Times" w:cs="Times"/>
          <w:sz w:val="20"/>
          <w:szCs w:val="20"/>
        </w:rPr>
      </w:pPr>
      <w:r>
        <w:rPr>
          <w:rFonts w:ascii="Times" w:eastAsia="Times" w:hAnsi="Times" w:cs="Times"/>
          <w:sz w:val="20"/>
          <w:szCs w:val="20"/>
        </w:rPr>
        <w:t>From being blocked from access the U.S., experiencing higher rates of detention and solitary confinement, receiving higher bond amounts, and ultimately losing their cases requesting protection at higher rates. For example, in October 2021, US Customs and Border Protection (CBP) agents were photographed physically beating back Haitian migrants on the Mexico-U.S. border in order to prevent them from entering the U.S. to obtain asylum.</w:t>
      </w:r>
      <w:r>
        <w:rPr>
          <w:rFonts w:ascii="Times" w:eastAsia="Times" w:hAnsi="Times" w:cs="Times"/>
          <w:sz w:val="20"/>
          <w:szCs w:val="20"/>
          <w:vertAlign w:val="superscript"/>
        </w:rPr>
        <w:footnoteReference w:id="77"/>
      </w:r>
      <w:r>
        <w:rPr>
          <w:rFonts w:ascii="Times" w:eastAsia="Times" w:hAnsi="Times" w:cs="Times"/>
          <w:sz w:val="20"/>
          <w:szCs w:val="20"/>
        </w:rPr>
        <w:t xml:space="preserve"> By contrast, the U.S. recently opened special lanes for Ukrainians seeking safety at the Mexico-U.S. border.</w:t>
      </w:r>
      <w:r>
        <w:rPr>
          <w:rFonts w:ascii="Times" w:eastAsia="Times" w:hAnsi="Times" w:cs="Times"/>
          <w:sz w:val="20"/>
          <w:szCs w:val="20"/>
          <w:vertAlign w:val="superscript"/>
        </w:rPr>
        <w:footnoteReference w:id="78"/>
      </w:r>
      <w:r>
        <w:rPr>
          <w:rFonts w:ascii="Times" w:eastAsia="Times" w:hAnsi="Times" w:cs="Times"/>
          <w:sz w:val="20"/>
          <w:szCs w:val="20"/>
        </w:rPr>
        <w:t xml:space="preserve"> The U.S. has promised to investigate and punish those responsible for beating the Haitian migrants, but has not attempted to resolve overarching, systemic racism that accounts for the disparate treatment received by Haitians and other Black migrants at the border. </w:t>
      </w:r>
    </w:p>
    <w:p w14:paraId="06450B7E" w14:textId="77777777" w:rsidR="00DC680A" w:rsidRDefault="00DC680A">
      <w:pPr>
        <w:rPr>
          <w:rFonts w:ascii="Times" w:eastAsia="Times" w:hAnsi="Times" w:cs="Times"/>
          <w:sz w:val="20"/>
          <w:szCs w:val="20"/>
        </w:rPr>
      </w:pPr>
    </w:p>
    <w:p w14:paraId="000000AD" w14:textId="77777777" w:rsidR="00834BF6" w:rsidRDefault="00834BF6">
      <w:pPr>
        <w:rPr>
          <w:rFonts w:ascii="Times" w:eastAsia="Times" w:hAnsi="Times" w:cs="Times"/>
          <w:sz w:val="20"/>
          <w:szCs w:val="20"/>
        </w:rPr>
      </w:pPr>
    </w:p>
    <w:p w14:paraId="000000AE" w14:textId="77777777" w:rsidR="00834BF6" w:rsidRDefault="002D7342">
      <w:pPr>
        <w:rPr>
          <w:rFonts w:ascii="Times" w:eastAsia="Times" w:hAnsi="Times" w:cs="Times"/>
          <w:i/>
          <w:sz w:val="20"/>
          <w:szCs w:val="20"/>
        </w:rPr>
      </w:pPr>
      <w:r>
        <w:rPr>
          <w:rFonts w:ascii="Times" w:eastAsia="Times" w:hAnsi="Times" w:cs="Times"/>
          <w:b/>
          <w:i/>
          <w:color w:val="000000"/>
          <w:sz w:val="20"/>
          <w:szCs w:val="20"/>
          <w:u w:val="single"/>
        </w:rPr>
        <w:t>DISCRIMINATION IN VOTING</w:t>
      </w:r>
    </w:p>
    <w:p w14:paraId="000000AF" w14:textId="04DB0ED4" w:rsidR="00834BF6" w:rsidRDefault="002D7342">
      <w:pPr>
        <w:spacing w:before="240" w:after="120"/>
        <w:ind w:right="1134"/>
        <w:rPr>
          <w:rFonts w:ascii="Times" w:eastAsia="Times" w:hAnsi="Times" w:cs="Times"/>
          <w:sz w:val="20"/>
          <w:szCs w:val="20"/>
        </w:rPr>
      </w:pPr>
      <w:r>
        <w:rPr>
          <w:rFonts w:ascii="Times" w:eastAsia="Times" w:hAnsi="Times" w:cs="Times"/>
          <w:b/>
          <w:color w:val="000000"/>
          <w:sz w:val="20"/>
          <w:szCs w:val="20"/>
        </w:rPr>
        <w:t xml:space="preserve"> </w:t>
      </w:r>
      <w:r w:rsidR="00DC680A">
        <w:rPr>
          <w:rFonts w:ascii="Times" w:eastAsia="Times" w:hAnsi="Times" w:cs="Times"/>
          <w:b/>
          <w:color w:val="000000"/>
          <w:sz w:val="20"/>
          <w:szCs w:val="20"/>
        </w:rPr>
        <w:t xml:space="preserve">ADDRESSING </w:t>
      </w:r>
      <w:r>
        <w:rPr>
          <w:rFonts w:ascii="Times" w:eastAsia="Times" w:hAnsi="Times" w:cs="Times"/>
          <w:b/>
          <w:color w:val="000000"/>
          <w:sz w:val="20"/>
          <w:szCs w:val="20"/>
        </w:rPr>
        <w:t>CONCLUDING OBSERVATION</w:t>
      </w:r>
      <w:r w:rsidR="00DC680A">
        <w:rPr>
          <w:rFonts w:ascii="Times" w:eastAsia="Times" w:hAnsi="Times" w:cs="Times"/>
          <w:b/>
          <w:color w:val="000000"/>
          <w:sz w:val="20"/>
          <w:szCs w:val="20"/>
        </w:rPr>
        <w:t xml:space="preserve"> 11 and Articles 1, 1(c), 1(d), 2(1)(d), 2(2),5(a), 5(c) and 6.</w:t>
      </w:r>
    </w:p>
    <w:p w14:paraId="000000B6" w14:textId="77777777" w:rsidR="00834BF6" w:rsidRDefault="00834BF6">
      <w:pPr>
        <w:rPr>
          <w:rFonts w:ascii="Times" w:eastAsia="Times" w:hAnsi="Times" w:cs="Times"/>
          <w:b/>
          <w:sz w:val="20"/>
          <w:szCs w:val="20"/>
          <w:u w:val="single"/>
        </w:rPr>
      </w:pPr>
    </w:p>
    <w:p w14:paraId="000000C3" w14:textId="6BAFBC53" w:rsidR="00834BF6" w:rsidRDefault="002D7342" w:rsidP="00DC680A">
      <w:pPr>
        <w:spacing w:after="80"/>
        <w:rPr>
          <w:rFonts w:ascii="Times" w:eastAsia="Times" w:hAnsi="Times" w:cs="Times"/>
          <w:b/>
          <w:sz w:val="20"/>
          <w:szCs w:val="20"/>
        </w:rPr>
      </w:pPr>
      <w:r>
        <w:rPr>
          <w:rFonts w:ascii="Times" w:eastAsia="Times" w:hAnsi="Times" w:cs="Times"/>
          <w:color w:val="211D1E"/>
          <w:sz w:val="20"/>
          <w:szCs w:val="20"/>
        </w:rPr>
        <w:t xml:space="preserve"> </w:t>
      </w:r>
      <w:r>
        <w:rPr>
          <w:rFonts w:ascii="Times" w:eastAsia="Times" w:hAnsi="Times" w:cs="Times"/>
          <w:b/>
          <w:sz w:val="20"/>
          <w:szCs w:val="20"/>
        </w:rPr>
        <w:t xml:space="preserve">oting Discrimination Unleashed by </w:t>
      </w:r>
      <w:r>
        <w:rPr>
          <w:rFonts w:ascii="Times" w:eastAsia="Times" w:hAnsi="Times" w:cs="Times"/>
          <w:b/>
          <w:i/>
          <w:sz w:val="20"/>
          <w:szCs w:val="20"/>
        </w:rPr>
        <w:t>Shelby County</w:t>
      </w:r>
      <w:r>
        <w:rPr>
          <w:rFonts w:ascii="Times" w:eastAsia="Times" w:hAnsi="Times" w:cs="Times"/>
          <w:b/>
          <w:sz w:val="20"/>
          <w:szCs w:val="20"/>
        </w:rPr>
        <w:t xml:space="preserve"> Persists in Virulent Forms</w:t>
      </w:r>
    </w:p>
    <w:p w14:paraId="000000C4" w14:textId="77777777" w:rsidR="00834BF6" w:rsidRDefault="00834BF6">
      <w:pPr>
        <w:jc w:val="both"/>
        <w:rPr>
          <w:rFonts w:ascii="Times" w:eastAsia="Times" w:hAnsi="Times" w:cs="Times"/>
          <w:b/>
          <w:sz w:val="20"/>
          <w:szCs w:val="20"/>
        </w:rPr>
      </w:pPr>
    </w:p>
    <w:p w14:paraId="000000C5" w14:textId="4FD8A7D3" w:rsidR="00834BF6" w:rsidRDefault="002D7342">
      <w:pPr>
        <w:jc w:val="both"/>
        <w:rPr>
          <w:rFonts w:ascii="Times" w:eastAsia="Times" w:hAnsi="Times" w:cs="Times"/>
          <w:color w:val="201F1E"/>
          <w:sz w:val="20"/>
          <w:szCs w:val="20"/>
        </w:rPr>
      </w:pPr>
      <w:r>
        <w:rPr>
          <w:rFonts w:ascii="Times" w:eastAsia="Times" w:hAnsi="Times" w:cs="Times"/>
          <w:color w:val="201F1E"/>
          <w:sz w:val="20"/>
          <w:szCs w:val="20"/>
          <w:highlight w:val="white"/>
        </w:rPr>
        <w:t xml:space="preserve">The </w:t>
      </w:r>
      <w:r>
        <w:rPr>
          <w:rFonts w:ascii="Times" w:eastAsia="Times" w:hAnsi="Times" w:cs="Times"/>
          <w:i/>
          <w:color w:val="201F1E"/>
          <w:sz w:val="20"/>
          <w:szCs w:val="20"/>
          <w:highlight w:val="white"/>
        </w:rPr>
        <w:t>Shelby County</w:t>
      </w:r>
      <w:r>
        <w:rPr>
          <w:rFonts w:ascii="Times" w:eastAsia="Times" w:hAnsi="Times" w:cs="Times"/>
          <w:color w:val="201F1E"/>
          <w:sz w:val="20"/>
          <w:szCs w:val="20"/>
          <w:highlight w:val="white"/>
        </w:rPr>
        <w:t xml:space="preserve"> ruling effectively eliminating Section 5’s preclearance requirement opened the floodgates to voting discrimination that has continued to this day. In 2021, The Leadership Conference on Civil and Human Rights published reports on the state of voting rights in thirteen states across the country and introduced them into the Congressional record.</w:t>
      </w:r>
      <w:r>
        <w:rPr>
          <w:rFonts w:ascii="Times" w:eastAsia="Times" w:hAnsi="Times" w:cs="Times"/>
          <w:color w:val="201F1E"/>
          <w:sz w:val="20"/>
          <w:szCs w:val="20"/>
          <w:highlight w:val="white"/>
          <w:vertAlign w:val="superscript"/>
        </w:rPr>
        <w:footnoteReference w:id="79"/>
      </w:r>
      <w:r>
        <w:rPr>
          <w:rFonts w:ascii="Times" w:eastAsia="Times" w:hAnsi="Times" w:cs="Times"/>
          <w:color w:val="201F1E"/>
          <w:sz w:val="20"/>
          <w:szCs w:val="20"/>
          <w:highlight w:val="white"/>
        </w:rPr>
        <w:t xml:space="preserve"> They document the “current conditions” surrounding voting discrimination and highlight the pervasiveness and persistence of voting discrimination in the absence of Section 5’s preclearance requirement. </w:t>
      </w:r>
      <w:r>
        <w:rPr>
          <w:rFonts w:ascii="Times" w:eastAsia="Times" w:hAnsi="Times" w:cs="Times"/>
          <w:color w:val="201F1E"/>
          <w:sz w:val="20"/>
          <w:szCs w:val="20"/>
          <w:highlight w:val="white"/>
        </w:rPr>
        <w:lastRenderedPageBreak/>
        <w:t>Overall, the reports demonstrate the importance of reinstating Section 5 preclearance to stop discriminatory voting changes from going into effect and thereby ensuring that voters of color can fully participate in the political process and have their voices heard.</w:t>
      </w:r>
      <w:r>
        <w:rPr>
          <w:rFonts w:ascii="Times" w:eastAsia="Times" w:hAnsi="Times" w:cs="Times"/>
          <w:color w:val="201F1E"/>
          <w:sz w:val="20"/>
          <w:szCs w:val="20"/>
        </w:rPr>
        <w:t xml:space="preserve"> </w:t>
      </w:r>
    </w:p>
    <w:p w14:paraId="000000C6" w14:textId="77777777" w:rsidR="00834BF6" w:rsidRDefault="00834BF6">
      <w:pPr>
        <w:jc w:val="both"/>
        <w:rPr>
          <w:rFonts w:ascii="Times" w:eastAsia="Times" w:hAnsi="Times" w:cs="Times"/>
          <w:color w:val="201F1E"/>
          <w:sz w:val="20"/>
          <w:szCs w:val="20"/>
        </w:rPr>
      </w:pPr>
    </w:p>
    <w:p w14:paraId="000000C7" w14:textId="77777777" w:rsidR="00834BF6" w:rsidRDefault="002D7342">
      <w:pPr>
        <w:jc w:val="both"/>
        <w:rPr>
          <w:rFonts w:ascii="Times" w:eastAsia="Times" w:hAnsi="Times" w:cs="Times"/>
          <w:color w:val="201F1E"/>
          <w:sz w:val="20"/>
          <w:szCs w:val="20"/>
          <w:highlight w:val="white"/>
        </w:rPr>
      </w:pPr>
      <w:r>
        <w:rPr>
          <w:rFonts w:ascii="Times" w:eastAsia="Times" w:hAnsi="Times" w:cs="Times"/>
          <w:sz w:val="20"/>
          <w:szCs w:val="20"/>
          <w:highlight w:val="white"/>
        </w:rPr>
        <w:t xml:space="preserve">The voting restrictions adopted at the state and local level pursuant to the </w:t>
      </w:r>
      <w:r>
        <w:rPr>
          <w:rFonts w:ascii="Times" w:eastAsia="Times" w:hAnsi="Times" w:cs="Times"/>
          <w:i/>
          <w:sz w:val="20"/>
          <w:szCs w:val="20"/>
          <w:highlight w:val="white"/>
        </w:rPr>
        <w:t>Shelby County</w:t>
      </w:r>
      <w:r>
        <w:rPr>
          <w:rFonts w:ascii="Times" w:eastAsia="Times" w:hAnsi="Times" w:cs="Times"/>
          <w:sz w:val="20"/>
          <w:szCs w:val="20"/>
          <w:highlight w:val="white"/>
        </w:rPr>
        <w:t xml:space="preserve"> decision have come in all forms, </w:t>
      </w:r>
      <w:proofErr w:type="gramStart"/>
      <w:r>
        <w:rPr>
          <w:rFonts w:ascii="Times" w:eastAsia="Times" w:hAnsi="Times" w:cs="Times"/>
          <w:sz w:val="20"/>
          <w:szCs w:val="20"/>
          <w:highlight w:val="white"/>
        </w:rPr>
        <w:t>shapes</w:t>
      </w:r>
      <w:proofErr w:type="gramEnd"/>
      <w:r>
        <w:rPr>
          <w:rFonts w:ascii="Times" w:eastAsia="Times" w:hAnsi="Times" w:cs="Times"/>
          <w:sz w:val="20"/>
          <w:szCs w:val="20"/>
          <w:highlight w:val="white"/>
        </w:rPr>
        <w:t xml:space="preserve"> and sizes; the common theme behind these laws and practices has been a disparate impact on voters of color. For example, a </w:t>
      </w:r>
      <w:r>
        <w:rPr>
          <w:rFonts w:ascii="Times" w:eastAsia="Times" w:hAnsi="Times" w:cs="Times"/>
          <w:color w:val="201F1E"/>
          <w:sz w:val="20"/>
          <w:szCs w:val="20"/>
          <w:highlight w:val="white"/>
        </w:rPr>
        <w:t xml:space="preserve">report by The Leadership Conference Education Fund found that, </w:t>
      </w:r>
      <w:r>
        <w:rPr>
          <w:rFonts w:ascii="Times" w:eastAsia="Times" w:hAnsi="Times" w:cs="Times"/>
          <w:sz w:val="20"/>
          <w:szCs w:val="20"/>
          <w:highlight w:val="white"/>
        </w:rPr>
        <w:t xml:space="preserve">after </w:t>
      </w:r>
      <w:r>
        <w:rPr>
          <w:rFonts w:ascii="Times" w:eastAsia="Times" w:hAnsi="Times" w:cs="Times"/>
          <w:i/>
          <w:sz w:val="20"/>
          <w:szCs w:val="20"/>
          <w:highlight w:val="white"/>
        </w:rPr>
        <w:t>Shelby County</w:t>
      </w:r>
      <w:r>
        <w:rPr>
          <w:rFonts w:ascii="Times" w:eastAsia="Times" w:hAnsi="Times" w:cs="Times"/>
          <w:sz w:val="20"/>
          <w:szCs w:val="20"/>
          <w:highlight w:val="white"/>
        </w:rPr>
        <w:t>, thousands of polling places were shuttered or moved, primarily in states previously covered by Section 5 under the VRA.</w:t>
      </w:r>
      <w:r>
        <w:rPr>
          <w:rFonts w:ascii="Times" w:eastAsia="Times" w:hAnsi="Times" w:cs="Times"/>
          <w:color w:val="201F1E"/>
          <w:sz w:val="20"/>
          <w:szCs w:val="20"/>
          <w:highlight w:val="white"/>
          <w:vertAlign w:val="superscript"/>
        </w:rPr>
        <w:footnoteReference w:id="80"/>
      </w:r>
      <w:r>
        <w:rPr>
          <w:rFonts w:ascii="Times" w:eastAsia="Times" w:hAnsi="Times" w:cs="Times"/>
          <w:sz w:val="20"/>
          <w:szCs w:val="20"/>
          <w:highlight w:val="white"/>
        </w:rPr>
        <w:t xml:space="preserve"> </w:t>
      </w:r>
      <w:r>
        <w:rPr>
          <w:rFonts w:ascii="Times" w:eastAsia="Times" w:hAnsi="Times" w:cs="Times"/>
          <w:color w:val="201F1E"/>
          <w:sz w:val="20"/>
          <w:szCs w:val="20"/>
          <w:highlight w:val="white"/>
        </w:rPr>
        <w:t>Five of the six largest counties closing polling places were located in Texas and represented majority-minority jurisdictions with significant Latino and Black populations.</w:t>
      </w:r>
      <w:r>
        <w:rPr>
          <w:rFonts w:ascii="Times" w:eastAsia="Times" w:hAnsi="Times" w:cs="Times"/>
          <w:color w:val="201F1E"/>
          <w:sz w:val="20"/>
          <w:szCs w:val="20"/>
          <w:highlight w:val="white"/>
          <w:vertAlign w:val="superscript"/>
        </w:rPr>
        <w:footnoteReference w:id="81"/>
      </w:r>
      <w:r>
        <w:rPr>
          <w:rFonts w:ascii="Times" w:eastAsia="Times" w:hAnsi="Times" w:cs="Times"/>
          <w:color w:val="201F1E"/>
          <w:sz w:val="20"/>
          <w:szCs w:val="20"/>
          <w:highlight w:val="white"/>
        </w:rPr>
        <w:t xml:space="preserve"> Just this year, rural Lincoln County, Georgia attempted to consolidate seven polling locations into one centralized location, which would have forced voters to drive or walk 15 miles to cast a ballot in a county with no public transportation, taxi service or rideshare option.</w:t>
      </w:r>
      <w:r>
        <w:rPr>
          <w:rFonts w:ascii="Times" w:eastAsia="Times" w:hAnsi="Times" w:cs="Times"/>
          <w:color w:val="201F1E"/>
          <w:sz w:val="20"/>
          <w:szCs w:val="20"/>
          <w:highlight w:val="white"/>
          <w:vertAlign w:val="superscript"/>
        </w:rPr>
        <w:footnoteReference w:id="82"/>
      </w:r>
      <w:r>
        <w:rPr>
          <w:rFonts w:ascii="Times" w:eastAsia="Times" w:hAnsi="Times" w:cs="Times"/>
          <w:color w:val="201F1E"/>
          <w:sz w:val="20"/>
          <w:szCs w:val="20"/>
          <w:highlight w:val="white"/>
        </w:rPr>
        <w:t xml:space="preserve"> </w:t>
      </w:r>
    </w:p>
    <w:p w14:paraId="000000C8" w14:textId="77777777" w:rsidR="00834BF6" w:rsidRDefault="00834BF6">
      <w:pPr>
        <w:jc w:val="both"/>
        <w:rPr>
          <w:rFonts w:ascii="Times" w:eastAsia="Times" w:hAnsi="Times" w:cs="Times"/>
          <w:b/>
          <w:sz w:val="20"/>
          <w:szCs w:val="20"/>
        </w:rPr>
      </w:pPr>
    </w:p>
    <w:p w14:paraId="000000C9" w14:textId="77777777" w:rsidR="00834BF6" w:rsidRDefault="002D7342">
      <w:pPr>
        <w:jc w:val="both"/>
        <w:rPr>
          <w:rFonts w:ascii="Times" w:eastAsia="Times" w:hAnsi="Times" w:cs="Times"/>
          <w:b/>
          <w:sz w:val="20"/>
          <w:szCs w:val="20"/>
        </w:rPr>
      </w:pPr>
      <w:r>
        <w:rPr>
          <w:rFonts w:ascii="Times" w:eastAsia="Times" w:hAnsi="Times" w:cs="Times"/>
          <w:b/>
          <w:sz w:val="20"/>
          <w:szCs w:val="20"/>
        </w:rPr>
        <w:t xml:space="preserve">The Assault on Democracy Intensified After the 2020 Election  </w:t>
      </w:r>
    </w:p>
    <w:p w14:paraId="000000CA" w14:textId="77777777" w:rsidR="00834BF6" w:rsidRDefault="00834BF6">
      <w:pPr>
        <w:jc w:val="both"/>
        <w:rPr>
          <w:rFonts w:ascii="Times" w:eastAsia="Times" w:hAnsi="Times" w:cs="Times"/>
          <w:b/>
          <w:sz w:val="20"/>
          <w:szCs w:val="20"/>
        </w:rPr>
      </w:pPr>
    </w:p>
    <w:p w14:paraId="000000CD" w14:textId="2DC21124" w:rsidR="00834BF6" w:rsidRPr="005C7C7D" w:rsidRDefault="002D7342">
      <w:pPr>
        <w:jc w:val="both"/>
        <w:rPr>
          <w:rFonts w:ascii="Times" w:eastAsia="Times" w:hAnsi="Times" w:cs="Times"/>
          <w:color w:val="000000"/>
          <w:sz w:val="20"/>
          <w:szCs w:val="20"/>
        </w:rPr>
      </w:pPr>
      <w:r>
        <w:rPr>
          <w:rFonts w:ascii="Times" w:eastAsia="Times" w:hAnsi="Times" w:cs="Times"/>
          <w:sz w:val="20"/>
          <w:szCs w:val="20"/>
        </w:rPr>
        <w:t>The assault on democracy has significantly escalated since the 2020 presidential election. Across diverse backgrounds, this election witnessed the highest voter turnout of the 21st Century. In its aftermath</w:t>
      </w:r>
      <w:r w:rsidR="005C7C7D">
        <w:rPr>
          <w:rFonts w:ascii="Times" w:eastAsia="Times" w:hAnsi="Times" w:cs="Times"/>
          <w:sz w:val="20"/>
          <w:szCs w:val="20"/>
        </w:rPr>
        <w:t>,</w:t>
      </w:r>
      <w:r>
        <w:rPr>
          <w:rFonts w:ascii="Times" w:eastAsia="Times" w:hAnsi="Times" w:cs="Times"/>
          <w:sz w:val="20"/>
          <w:szCs w:val="20"/>
        </w:rPr>
        <w:t xml:space="preserve"> state and local officials have engaged in aggressive efforts to thwart the votes of people of color, perpetuate rampant disinformation, and challenge the validity of election results around the country</w:t>
      </w:r>
      <w:r w:rsidR="005C7C7D">
        <w:rPr>
          <w:rFonts w:ascii="Times" w:eastAsia="Times" w:hAnsi="Times" w:cs="Times"/>
          <w:sz w:val="20"/>
          <w:szCs w:val="20"/>
        </w:rPr>
        <w:t xml:space="preserve">. </w:t>
      </w:r>
      <w:r>
        <w:rPr>
          <w:rFonts w:ascii="Times" w:eastAsia="Times" w:hAnsi="Times" w:cs="Times"/>
          <w:color w:val="201F1E"/>
          <w:sz w:val="20"/>
          <w:szCs w:val="20"/>
          <w:highlight w:val="white"/>
        </w:rPr>
        <w:t>In 2021 alone,</w:t>
      </w:r>
      <w:r w:rsidR="005C7C7D">
        <w:rPr>
          <w:rFonts w:ascii="Times" w:eastAsia="Times" w:hAnsi="Times" w:cs="Times"/>
          <w:color w:val="201F1E"/>
          <w:sz w:val="20"/>
          <w:szCs w:val="20"/>
          <w:highlight w:val="white"/>
        </w:rPr>
        <w:t>.</w:t>
      </w:r>
      <w:r>
        <w:rPr>
          <w:rFonts w:ascii="Times" w:eastAsia="Times" w:hAnsi="Times" w:cs="Times"/>
          <w:sz w:val="20"/>
          <w:szCs w:val="20"/>
        </w:rPr>
        <w:t xml:space="preserve">State legislatures introduced </w:t>
      </w:r>
      <w:r>
        <w:rPr>
          <w:rFonts w:ascii="Times" w:eastAsia="Times" w:hAnsi="Times" w:cs="Times"/>
          <w:color w:val="000000"/>
          <w:sz w:val="20"/>
          <w:szCs w:val="20"/>
        </w:rPr>
        <w:t>440 voting bills that restricted the freedom to vote.</w:t>
      </w:r>
      <w:r>
        <w:rPr>
          <w:rFonts w:ascii="Times" w:eastAsia="Times" w:hAnsi="Times" w:cs="Times"/>
          <w:color w:val="000000"/>
          <w:sz w:val="20"/>
          <w:szCs w:val="20"/>
          <w:vertAlign w:val="superscript"/>
        </w:rPr>
        <w:footnoteReference w:id="83"/>
      </w:r>
      <w:r>
        <w:rPr>
          <w:rFonts w:ascii="Times" w:eastAsia="Times" w:hAnsi="Times" w:cs="Times"/>
          <w:color w:val="000000"/>
          <w:sz w:val="20"/>
          <w:szCs w:val="20"/>
        </w:rPr>
        <w:t xml:space="preserve"> Thirty-four laws were enacted in 19 states </w:t>
      </w:r>
      <w:r>
        <w:rPr>
          <w:rFonts w:ascii="Times" w:eastAsia="Times" w:hAnsi="Times" w:cs="Times"/>
          <w:color w:val="201F1E"/>
          <w:sz w:val="20"/>
          <w:szCs w:val="20"/>
          <w:highlight w:val="white"/>
        </w:rPr>
        <w:t>with anti-voter measures.</w:t>
      </w:r>
      <w:r>
        <w:rPr>
          <w:rFonts w:ascii="Times" w:eastAsia="Times" w:hAnsi="Times" w:cs="Times"/>
          <w:color w:val="000000"/>
          <w:sz w:val="20"/>
          <w:szCs w:val="20"/>
          <w:vertAlign w:val="superscript"/>
        </w:rPr>
        <w:footnoteReference w:id="84"/>
      </w:r>
      <w:r>
        <w:rPr>
          <w:rFonts w:ascii="Times" w:eastAsia="Times" w:hAnsi="Times" w:cs="Times"/>
          <w:color w:val="201F1E"/>
          <w:sz w:val="20"/>
          <w:szCs w:val="20"/>
          <w:highlight w:val="white"/>
        </w:rPr>
        <w:t xml:space="preserve"> These laws included dangerous provisions that roll back early voting, restrict mail-in voting, add new hurdles for voter registration, impose harsh voter identification requirements, increase barriers for voters with disabilities, strip power from state and local election officials, </w:t>
      </w:r>
      <w:r>
        <w:rPr>
          <w:rFonts w:ascii="Times" w:eastAsia="Times" w:hAnsi="Times" w:cs="Times"/>
          <w:color w:val="000000"/>
          <w:sz w:val="20"/>
          <w:szCs w:val="20"/>
        </w:rPr>
        <w:t>and allow partisan actors to interfere with election processes or even reject election results entirely.</w:t>
      </w:r>
      <w:r>
        <w:rPr>
          <w:rFonts w:ascii="Times" w:eastAsia="Times" w:hAnsi="Times" w:cs="Times"/>
          <w:color w:val="201F1E"/>
          <w:sz w:val="20"/>
          <w:szCs w:val="20"/>
          <w:highlight w:val="white"/>
          <w:vertAlign w:val="superscript"/>
        </w:rPr>
        <w:footnoteReference w:id="85"/>
      </w:r>
      <w:r>
        <w:rPr>
          <w:rFonts w:ascii="Times" w:eastAsia="Times" w:hAnsi="Times" w:cs="Times"/>
          <w:color w:val="000000"/>
          <w:sz w:val="20"/>
          <w:szCs w:val="20"/>
        </w:rPr>
        <w:t xml:space="preserve"> In early 2022, lawmakers introduced more restrictive voting legislation than last year, including bills designed to undermine the electoral process.</w:t>
      </w:r>
      <w:r>
        <w:rPr>
          <w:rFonts w:ascii="Times" w:eastAsia="Times" w:hAnsi="Times" w:cs="Times"/>
          <w:color w:val="000000"/>
          <w:sz w:val="20"/>
          <w:szCs w:val="20"/>
          <w:vertAlign w:val="superscript"/>
        </w:rPr>
        <w:footnoteReference w:id="86"/>
      </w:r>
      <w:r>
        <w:rPr>
          <w:rFonts w:ascii="Times" w:eastAsia="Times" w:hAnsi="Times" w:cs="Times"/>
          <w:color w:val="000000"/>
          <w:sz w:val="20"/>
          <w:szCs w:val="20"/>
        </w:rPr>
        <w:t xml:space="preserve"> </w:t>
      </w:r>
    </w:p>
    <w:p w14:paraId="000000CE" w14:textId="77777777" w:rsidR="00834BF6" w:rsidRDefault="00834BF6">
      <w:pPr>
        <w:ind w:firstLine="720"/>
        <w:jc w:val="both"/>
        <w:rPr>
          <w:rFonts w:ascii="Times" w:eastAsia="Times" w:hAnsi="Times" w:cs="Times"/>
          <w:color w:val="222222"/>
          <w:sz w:val="20"/>
          <w:szCs w:val="20"/>
        </w:rPr>
      </w:pPr>
    </w:p>
    <w:p w14:paraId="000000D2" w14:textId="77777777" w:rsidR="00834BF6" w:rsidRDefault="00834BF6">
      <w:pPr>
        <w:jc w:val="both"/>
        <w:rPr>
          <w:rFonts w:ascii="Times" w:eastAsia="Times" w:hAnsi="Times" w:cs="Times"/>
          <w:b/>
          <w:sz w:val="20"/>
          <w:szCs w:val="20"/>
        </w:rPr>
      </w:pPr>
    </w:p>
    <w:p w14:paraId="000000D3" w14:textId="77777777" w:rsidR="00834BF6" w:rsidRDefault="002D7342">
      <w:pPr>
        <w:jc w:val="both"/>
        <w:rPr>
          <w:rFonts w:ascii="Times" w:eastAsia="Times" w:hAnsi="Times" w:cs="Times"/>
          <w:b/>
          <w:sz w:val="20"/>
          <w:szCs w:val="20"/>
        </w:rPr>
      </w:pPr>
      <w:r>
        <w:rPr>
          <w:rFonts w:ascii="Times" w:eastAsia="Times" w:hAnsi="Times" w:cs="Times"/>
          <w:b/>
          <w:sz w:val="20"/>
          <w:szCs w:val="20"/>
        </w:rPr>
        <w:t>Election Officials and the Election Process</w:t>
      </w:r>
    </w:p>
    <w:p w14:paraId="000000D4" w14:textId="77777777" w:rsidR="00834BF6" w:rsidRDefault="00834BF6">
      <w:pPr>
        <w:jc w:val="both"/>
        <w:rPr>
          <w:rFonts w:ascii="Times" w:eastAsia="Times" w:hAnsi="Times" w:cs="Times"/>
          <w:sz w:val="20"/>
          <w:szCs w:val="20"/>
        </w:rPr>
      </w:pPr>
    </w:p>
    <w:p w14:paraId="000000D5" w14:textId="77777777" w:rsidR="00834BF6" w:rsidRDefault="002D7342">
      <w:pPr>
        <w:jc w:val="both"/>
        <w:rPr>
          <w:rFonts w:ascii="Times" w:eastAsia="Times" w:hAnsi="Times" w:cs="Times"/>
          <w:color w:val="000000"/>
          <w:sz w:val="20"/>
          <w:szCs w:val="20"/>
        </w:rPr>
      </w:pPr>
      <w:r>
        <w:rPr>
          <w:rFonts w:ascii="Times" w:eastAsia="Times" w:hAnsi="Times" w:cs="Times"/>
          <w:color w:val="000000"/>
          <w:sz w:val="20"/>
          <w:szCs w:val="20"/>
        </w:rPr>
        <w:t>There is an alarming rise in attacks on election officials and the election process itself, which threaten the operation and functioning of our democracy. The same conspiracy theories, falsehoods and violence that fueled a deadly attack on the U.S. Capitol now pose threats to democracy at the state and local level, targeting election officials from front-line poll workers to vote counters to secretaries of state. One recent study found that half of election officials are concerned about safety and nearly one in three know of a colleague who has quit partly due to safety concerns, increased threats, or intimidation.</w:t>
      </w:r>
      <w:r>
        <w:rPr>
          <w:rFonts w:ascii="Times" w:eastAsia="Times" w:hAnsi="Times" w:cs="Times"/>
          <w:color w:val="000000"/>
          <w:sz w:val="20"/>
          <w:szCs w:val="20"/>
          <w:vertAlign w:val="superscript"/>
        </w:rPr>
        <w:footnoteReference w:id="87"/>
      </w:r>
      <w:r>
        <w:rPr>
          <w:rFonts w:ascii="Times" w:eastAsia="Times" w:hAnsi="Times" w:cs="Times"/>
          <w:color w:val="000000"/>
          <w:sz w:val="20"/>
          <w:szCs w:val="20"/>
        </w:rPr>
        <w:t xml:space="preserve">  </w:t>
      </w:r>
    </w:p>
    <w:p w14:paraId="000000D6" w14:textId="77777777" w:rsidR="00834BF6" w:rsidRDefault="00834BF6">
      <w:pPr>
        <w:ind w:firstLine="720"/>
        <w:jc w:val="both"/>
        <w:rPr>
          <w:rFonts w:ascii="Times" w:eastAsia="Times" w:hAnsi="Times" w:cs="Times"/>
          <w:color w:val="000000"/>
          <w:sz w:val="20"/>
          <w:szCs w:val="20"/>
        </w:rPr>
      </w:pPr>
    </w:p>
    <w:p w14:paraId="000000D7" w14:textId="77777777" w:rsidR="00834BF6" w:rsidRDefault="002D7342">
      <w:pPr>
        <w:jc w:val="both"/>
        <w:rPr>
          <w:rFonts w:ascii="Times" w:eastAsia="Times" w:hAnsi="Times" w:cs="Times"/>
          <w:color w:val="000000"/>
          <w:sz w:val="20"/>
          <w:szCs w:val="20"/>
        </w:rPr>
      </w:pPr>
      <w:r>
        <w:rPr>
          <w:rFonts w:ascii="Times" w:eastAsia="Times" w:hAnsi="Times" w:cs="Times"/>
          <w:color w:val="000000"/>
          <w:sz w:val="20"/>
          <w:szCs w:val="20"/>
        </w:rPr>
        <w:t xml:space="preserve">Dangerous election subversion measures proliferating in the wake of the 2020 election represent an increasing threat to our democratic principles. Efforts to interfere with impartial election administration and to discount or challenge election results are on the rise with politicians working hard at the state and local levels to install partisan actors to interfere with election processes or even reject election results entirely. Georgia’s new law removed Secretary of State </w:t>
      </w:r>
      <w:r>
        <w:rPr>
          <w:rFonts w:ascii="Times" w:eastAsia="Times" w:hAnsi="Times" w:cs="Times"/>
          <w:color w:val="000000"/>
          <w:sz w:val="20"/>
          <w:szCs w:val="20"/>
        </w:rPr>
        <w:lastRenderedPageBreak/>
        <w:t>Brad Raffensperger—whom Donald Trump notoriously told to “find 11,780 votes” to nullify President Biden’s win—from his position as chair of the state election board and authorized the Republican-led legislature to appoint the chair.</w:t>
      </w:r>
      <w:r>
        <w:rPr>
          <w:rFonts w:ascii="Times" w:eastAsia="Times" w:hAnsi="Times" w:cs="Times"/>
          <w:color w:val="000000"/>
          <w:sz w:val="20"/>
          <w:szCs w:val="20"/>
          <w:vertAlign w:val="superscript"/>
        </w:rPr>
        <w:footnoteReference w:id="88"/>
      </w:r>
      <w:r>
        <w:rPr>
          <w:rFonts w:ascii="Times" w:eastAsia="Times" w:hAnsi="Times" w:cs="Times"/>
          <w:color w:val="000000"/>
          <w:sz w:val="20"/>
          <w:szCs w:val="20"/>
        </w:rPr>
        <w:t xml:space="preserve"> Arizona’s partisan, post-election review—which only confirmed original election results—was intended to intimidate communities of color growing in political strength and spread widespread distrust in our electoral system, and has become a model for adoption by other states.</w:t>
      </w:r>
      <w:r>
        <w:rPr>
          <w:rFonts w:ascii="Times" w:eastAsia="Times" w:hAnsi="Times" w:cs="Times"/>
          <w:color w:val="000000"/>
          <w:sz w:val="20"/>
          <w:szCs w:val="20"/>
          <w:vertAlign w:val="superscript"/>
        </w:rPr>
        <w:footnoteReference w:id="89"/>
      </w:r>
      <w:r>
        <w:rPr>
          <w:rFonts w:ascii="Times" w:eastAsia="Times" w:hAnsi="Times" w:cs="Times"/>
          <w:color w:val="000000"/>
          <w:sz w:val="20"/>
          <w:szCs w:val="20"/>
        </w:rPr>
        <w:t xml:space="preserve"> </w:t>
      </w:r>
    </w:p>
    <w:p w14:paraId="000000DC" w14:textId="77777777" w:rsidR="00834BF6" w:rsidRDefault="00834BF6">
      <w:pPr>
        <w:jc w:val="both"/>
        <w:rPr>
          <w:rFonts w:ascii="Times" w:eastAsia="Times" w:hAnsi="Times" w:cs="Times"/>
          <w:color w:val="000000"/>
          <w:sz w:val="20"/>
          <w:szCs w:val="20"/>
        </w:rPr>
      </w:pPr>
    </w:p>
    <w:p w14:paraId="000000DD" w14:textId="77777777" w:rsidR="00834BF6" w:rsidRDefault="002D7342">
      <w:pPr>
        <w:jc w:val="both"/>
        <w:rPr>
          <w:rFonts w:ascii="Times" w:eastAsia="Times" w:hAnsi="Times" w:cs="Times"/>
          <w:b/>
          <w:color w:val="000000"/>
          <w:sz w:val="20"/>
          <w:szCs w:val="20"/>
        </w:rPr>
      </w:pPr>
      <w:r>
        <w:rPr>
          <w:rFonts w:ascii="Times" w:eastAsia="Times" w:hAnsi="Times" w:cs="Times"/>
          <w:b/>
          <w:color w:val="000000"/>
          <w:sz w:val="20"/>
          <w:szCs w:val="20"/>
        </w:rPr>
        <w:t>Voting Rights for Residents of Washington, DC</w:t>
      </w:r>
    </w:p>
    <w:p w14:paraId="000000DE" w14:textId="77777777" w:rsidR="00834BF6" w:rsidRDefault="00834BF6">
      <w:pPr>
        <w:jc w:val="both"/>
        <w:rPr>
          <w:rFonts w:ascii="Times" w:eastAsia="Times" w:hAnsi="Times" w:cs="Times"/>
          <w:color w:val="000000"/>
          <w:sz w:val="20"/>
          <w:szCs w:val="20"/>
        </w:rPr>
      </w:pPr>
    </w:p>
    <w:p w14:paraId="000000DF" w14:textId="0BFBD6E6" w:rsidR="00834BF6" w:rsidRDefault="002D7342">
      <w:pPr>
        <w:jc w:val="both"/>
        <w:rPr>
          <w:rFonts w:ascii="Times" w:eastAsia="Times" w:hAnsi="Times" w:cs="Times"/>
          <w:sz w:val="20"/>
          <w:szCs w:val="20"/>
        </w:rPr>
      </w:pPr>
      <w:r>
        <w:rPr>
          <w:rFonts w:ascii="Times" w:eastAsia="Times" w:hAnsi="Times" w:cs="Times"/>
          <w:sz w:val="20"/>
          <w:szCs w:val="20"/>
        </w:rPr>
        <w:t xml:space="preserve">The disenfranchisement of Washington D.C.’s nearly 700,000 residents </w:t>
      </w:r>
      <w:proofErr w:type="gramStart"/>
      <w:r>
        <w:rPr>
          <w:rFonts w:ascii="Times" w:eastAsia="Times" w:hAnsi="Times" w:cs="Times"/>
          <w:sz w:val="20"/>
          <w:szCs w:val="20"/>
        </w:rPr>
        <w:t>continues</w:t>
      </w:r>
      <w:proofErr w:type="gramEnd"/>
      <w:r>
        <w:rPr>
          <w:rFonts w:ascii="Times" w:eastAsia="Times" w:hAnsi="Times" w:cs="Times"/>
          <w:sz w:val="20"/>
          <w:szCs w:val="20"/>
        </w:rPr>
        <w:t xml:space="preserve"> to be a stain on our democracy. For more than 200 years, residents of our nation’s capital have lacked representation in Congress.</w:t>
      </w:r>
      <w:r>
        <w:rPr>
          <w:rFonts w:ascii="Times" w:eastAsia="Times" w:hAnsi="Times" w:cs="Times"/>
          <w:sz w:val="20"/>
          <w:szCs w:val="20"/>
          <w:vertAlign w:val="superscript"/>
        </w:rPr>
        <w:footnoteReference w:id="90"/>
      </w:r>
      <w:r>
        <w:rPr>
          <w:rFonts w:ascii="Times" w:eastAsia="Times" w:hAnsi="Times" w:cs="Times"/>
          <w:sz w:val="20"/>
          <w:szCs w:val="20"/>
        </w:rPr>
        <w:t xml:space="preserve"> Although they pay federal taxes, fight courageously in wars, and fulfill their obligations of citizenship, these residents have denied a voice in federal legislative decision-making on taxes, spending, healthcare, justice reform, education, immigration, and the environment. The fact that </w:t>
      </w:r>
      <w:proofErr w:type="gramStart"/>
      <w:r>
        <w:rPr>
          <w:rFonts w:ascii="Times" w:eastAsia="Times" w:hAnsi="Times" w:cs="Times"/>
          <w:sz w:val="20"/>
          <w:szCs w:val="20"/>
        </w:rPr>
        <w:t>a majority of</w:t>
      </w:r>
      <w:proofErr w:type="gramEnd"/>
      <w:r>
        <w:rPr>
          <w:rFonts w:ascii="Times" w:eastAsia="Times" w:hAnsi="Times" w:cs="Times"/>
          <w:sz w:val="20"/>
          <w:szCs w:val="20"/>
        </w:rPr>
        <w:t xml:space="preserve"> the District of Columbia’s residents are people of color</w:t>
      </w:r>
      <w:r>
        <w:rPr>
          <w:rFonts w:ascii="Times" w:eastAsia="Times" w:hAnsi="Times" w:cs="Times"/>
          <w:sz w:val="20"/>
          <w:szCs w:val="20"/>
          <w:vertAlign w:val="superscript"/>
        </w:rPr>
        <w:footnoteReference w:id="91"/>
      </w:r>
      <w:r>
        <w:rPr>
          <w:rFonts w:ascii="Times" w:eastAsia="Times" w:hAnsi="Times" w:cs="Times"/>
          <w:sz w:val="20"/>
          <w:szCs w:val="20"/>
        </w:rPr>
        <w:t xml:space="preserve"> perpetuates the underlying racial animus toward </w:t>
      </w:r>
      <w:r w:rsidR="005C7C7D">
        <w:rPr>
          <w:rFonts w:ascii="Times" w:eastAsia="Times" w:hAnsi="Times" w:cs="Times"/>
          <w:sz w:val="20"/>
          <w:szCs w:val="20"/>
        </w:rPr>
        <w:t xml:space="preserve">DC </w:t>
      </w:r>
      <w:r>
        <w:rPr>
          <w:rFonts w:ascii="Times" w:eastAsia="Times" w:hAnsi="Times" w:cs="Times"/>
          <w:sz w:val="20"/>
          <w:szCs w:val="20"/>
        </w:rPr>
        <w:t xml:space="preserve">that has existed since its founding. Ultimately, the lack of voting representatives in Congress is a deprivation of the fundamental right to vote. </w:t>
      </w:r>
    </w:p>
    <w:p w14:paraId="000000E0" w14:textId="77777777" w:rsidR="00834BF6" w:rsidRDefault="00834BF6">
      <w:pPr>
        <w:jc w:val="both"/>
        <w:rPr>
          <w:rFonts w:ascii="Times" w:eastAsia="Times" w:hAnsi="Times" w:cs="Times"/>
          <w:b/>
          <w:sz w:val="20"/>
          <w:szCs w:val="20"/>
        </w:rPr>
      </w:pPr>
    </w:p>
    <w:p w14:paraId="000000E1" w14:textId="77777777" w:rsidR="00834BF6" w:rsidRDefault="002D7342">
      <w:pPr>
        <w:jc w:val="both"/>
        <w:rPr>
          <w:rFonts w:ascii="Times" w:eastAsia="Times" w:hAnsi="Times" w:cs="Times"/>
          <w:b/>
          <w:sz w:val="20"/>
          <w:szCs w:val="20"/>
        </w:rPr>
      </w:pPr>
      <w:r>
        <w:rPr>
          <w:rFonts w:ascii="Times" w:eastAsia="Times" w:hAnsi="Times" w:cs="Times"/>
          <w:b/>
          <w:sz w:val="20"/>
          <w:szCs w:val="20"/>
        </w:rPr>
        <w:t>Protecting Democracy at the Federal Level</w:t>
      </w:r>
    </w:p>
    <w:p w14:paraId="000000E2" w14:textId="77777777" w:rsidR="00834BF6" w:rsidRDefault="00834BF6">
      <w:pPr>
        <w:jc w:val="both"/>
        <w:rPr>
          <w:rFonts w:ascii="Times" w:eastAsia="Times" w:hAnsi="Times" w:cs="Times"/>
          <w:b/>
          <w:sz w:val="20"/>
          <w:szCs w:val="20"/>
        </w:rPr>
      </w:pPr>
    </w:p>
    <w:p w14:paraId="000000E5" w14:textId="7C261FBF" w:rsidR="00834BF6" w:rsidRDefault="002D7342">
      <w:pPr>
        <w:jc w:val="both"/>
        <w:rPr>
          <w:rFonts w:ascii="Times" w:eastAsia="Times" w:hAnsi="Times" w:cs="Times"/>
          <w:sz w:val="20"/>
          <w:szCs w:val="20"/>
        </w:rPr>
      </w:pPr>
      <w:r>
        <w:rPr>
          <w:rFonts w:ascii="Times" w:eastAsia="Times" w:hAnsi="Times" w:cs="Times"/>
          <w:sz w:val="20"/>
          <w:szCs w:val="20"/>
        </w:rPr>
        <w:t>For democracy to work for all of us, it must include all of us. The ability of all eligible citizens to participate in our political process has been severely threatened by restrictive voting laws and a dangerous set of practices which jeopardize the functioning and outcome of our elections. Congress attempted to address these grave threats to democracy with comprehensive voting legislation. Last year, the U.S. House of Representatives passed the John R. Lewis Voting Rights Advancement Act of 2021 to update, restore and strengthen essential provisions of the Voting Rights Act. The House also passed the For the People Act of 2021, which expanded access to the ballot box by creating automatic voter registration, restoring the voting rights of formerly incarcerated person, modernizing the nation’s voting systems, and adopting other democracy-reform measures.</w:t>
      </w:r>
    </w:p>
    <w:p w14:paraId="000000E6" w14:textId="77777777" w:rsidR="00834BF6" w:rsidRDefault="00834BF6">
      <w:pPr>
        <w:jc w:val="both"/>
        <w:rPr>
          <w:rFonts w:ascii="Times" w:eastAsia="Times" w:hAnsi="Times" w:cs="Times"/>
          <w:sz w:val="20"/>
          <w:szCs w:val="20"/>
        </w:rPr>
      </w:pPr>
    </w:p>
    <w:p w14:paraId="22AABDD6" w14:textId="77777777" w:rsidR="005C7C7D" w:rsidRDefault="002D7342">
      <w:pPr>
        <w:jc w:val="both"/>
        <w:rPr>
          <w:rFonts w:ascii="Times" w:eastAsia="Times" w:hAnsi="Times" w:cs="Times"/>
          <w:sz w:val="20"/>
          <w:szCs w:val="20"/>
        </w:rPr>
      </w:pPr>
      <w:r>
        <w:rPr>
          <w:rFonts w:ascii="Times" w:eastAsia="Times" w:hAnsi="Times" w:cs="Times"/>
          <w:sz w:val="20"/>
          <w:szCs w:val="20"/>
        </w:rPr>
        <w:t xml:space="preserve">Earlier this year, the Senate considered the Freedom to Vote: John R. Lewis Act, which combined substantial portions of the two bills passed by the House. This legislation would have restored and strengthened essential provisions of the Voting Rights Act to eliminate barriers to political participation for communities of color, including preventing the adoption of discriminatory voting practices before they go into effect. Additionally, the bill would have set basic federal foundation for voting access for all Americans. It would require states to modernize voter registration by instituting automatic and same-day registration; strengthen voting by mail, early </w:t>
      </w:r>
      <w:proofErr w:type="gramStart"/>
      <w:r>
        <w:rPr>
          <w:rFonts w:ascii="Times" w:eastAsia="Times" w:hAnsi="Times" w:cs="Times"/>
          <w:sz w:val="20"/>
          <w:szCs w:val="20"/>
        </w:rPr>
        <w:t>voting</w:t>
      </w:r>
      <w:proofErr w:type="gramEnd"/>
      <w:r>
        <w:rPr>
          <w:rFonts w:ascii="Times" w:eastAsia="Times" w:hAnsi="Times" w:cs="Times"/>
          <w:sz w:val="20"/>
          <w:szCs w:val="20"/>
        </w:rPr>
        <w:t xml:space="preserve"> and ballot access; protect against discriminatory purges; restore voting rights to citizens with past convictions once their term of incarceration is completed; ban partisan gerrymandering; and prevent state election subversion. The bill also included the Native American Voting Rights Act, which protects voting rights for Indigenous communities who face myriad challenges to fully participating in our democracy. </w:t>
      </w:r>
      <w:r w:rsidR="005C7C7D">
        <w:rPr>
          <w:rFonts w:ascii="Times" w:eastAsia="Times" w:hAnsi="Times" w:cs="Times"/>
          <w:sz w:val="20"/>
          <w:szCs w:val="20"/>
        </w:rPr>
        <w:t>U</w:t>
      </w:r>
      <w:r>
        <w:rPr>
          <w:rFonts w:ascii="Times" w:eastAsia="Times" w:hAnsi="Times" w:cs="Times"/>
          <w:sz w:val="20"/>
          <w:szCs w:val="20"/>
        </w:rPr>
        <w:t xml:space="preserve">nfortunately, the Freedom to Vote: John R. Lewis </w:t>
      </w:r>
      <w:proofErr w:type="gramStart"/>
      <w:r>
        <w:rPr>
          <w:rFonts w:ascii="Times" w:eastAsia="Times" w:hAnsi="Times" w:cs="Times"/>
          <w:sz w:val="20"/>
          <w:szCs w:val="20"/>
        </w:rPr>
        <w:t>Act  failed</w:t>
      </w:r>
      <w:proofErr w:type="gramEnd"/>
      <w:r>
        <w:rPr>
          <w:rFonts w:ascii="Times" w:eastAsia="Times" w:hAnsi="Times" w:cs="Times"/>
          <w:sz w:val="20"/>
          <w:szCs w:val="20"/>
        </w:rPr>
        <w:t xml:space="preserve"> even to receive an up-or-down vote, leaving the state of federal voting rights legislation in America unchanged.</w:t>
      </w:r>
    </w:p>
    <w:p w14:paraId="6AFFAB8D" w14:textId="77777777" w:rsidR="005C7C7D" w:rsidRDefault="005C7C7D">
      <w:pPr>
        <w:jc w:val="both"/>
        <w:rPr>
          <w:rFonts w:ascii="Times" w:eastAsia="Times" w:hAnsi="Times" w:cs="Times"/>
          <w:sz w:val="20"/>
          <w:szCs w:val="20"/>
        </w:rPr>
      </w:pPr>
    </w:p>
    <w:p w14:paraId="000000E9" w14:textId="0B418107" w:rsidR="00834BF6" w:rsidRDefault="002D7342">
      <w:pPr>
        <w:jc w:val="both"/>
        <w:rPr>
          <w:rFonts w:ascii="Times" w:eastAsia="Times" w:hAnsi="Times" w:cs="Times"/>
          <w:sz w:val="20"/>
          <w:szCs w:val="20"/>
        </w:rPr>
      </w:pPr>
      <w:r>
        <w:rPr>
          <w:rFonts w:ascii="Times" w:eastAsia="Times" w:hAnsi="Times" w:cs="Times"/>
          <w:sz w:val="20"/>
          <w:szCs w:val="20"/>
        </w:rPr>
        <w:t xml:space="preserve"> In the wake of failed legislation to restore our democracy, it becomes even more imperative that the Biden-Harris administration use its full authority to enforce federal voting rights laws and require federal agencies to do everything within their power to protect and promote the fundamental right to vote. For example, President Biden’s Executive Order Promoting Access to Voting, issued on March 7, 2021, is an unprecedented opportunity for agencies to further </w:t>
      </w:r>
      <w:r>
        <w:rPr>
          <w:rFonts w:ascii="Times" w:eastAsia="Times" w:hAnsi="Times" w:cs="Times"/>
          <w:sz w:val="20"/>
          <w:szCs w:val="20"/>
        </w:rPr>
        <w:lastRenderedPageBreak/>
        <w:t xml:space="preserve">that goal and it should be implemented through strong, meaningful actions to ensure all eligible Americans are able to engage in the democratic process. </w:t>
      </w:r>
    </w:p>
    <w:p w14:paraId="000000EA" w14:textId="77777777" w:rsidR="00834BF6" w:rsidRDefault="00834BF6">
      <w:pPr>
        <w:rPr>
          <w:rFonts w:ascii="Times" w:eastAsia="Times" w:hAnsi="Times" w:cs="Times"/>
          <w:b/>
          <w:sz w:val="20"/>
          <w:szCs w:val="20"/>
          <w:u w:val="single"/>
        </w:rPr>
      </w:pPr>
    </w:p>
    <w:p w14:paraId="000000EB" w14:textId="77777777" w:rsidR="00834BF6" w:rsidRDefault="00834BF6">
      <w:pPr>
        <w:spacing w:after="160"/>
        <w:rPr>
          <w:rFonts w:ascii="Times" w:eastAsia="Times" w:hAnsi="Times" w:cs="Times"/>
          <w:sz w:val="20"/>
          <w:szCs w:val="20"/>
        </w:rPr>
      </w:pPr>
    </w:p>
    <w:p w14:paraId="000000EC" w14:textId="77777777" w:rsidR="00834BF6" w:rsidRDefault="00834BF6">
      <w:pPr>
        <w:rPr>
          <w:rFonts w:ascii="Times" w:eastAsia="Times" w:hAnsi="Times" w:cs="Times"/>
          <w:b/>
          <w:sz w:val="20"/>
          <w:szCs w:val="20"/>
          <w:u w:val="single"/>
        </w:rPr>
      </w:pPr>
    </w:p>
    <w:sectPr w:rsidR="00834BF6">
      <w:footerReference w:type="even" r:id="rId24"/>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DBB2D" w14:textId="77777777" w:rsidR="0011078B" w:rsidRDefault="0011078B">
      <w:r>
        <w:separator/>
      </w:r>
    </w:p>
  </w:endnote>
  <w:endnote w:type="continuationSeparator" w:id="0">
    <w:p w14:paraId="21D524EE" w14:textId="77777777" w:rsidR="0011078B" w:rsidRDefault="0011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0" w14:textId="77777777" w:rsidR="00834BF6" w:rsidRDefault="002D7342">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11078B">
      <w:rPr>
        <w:color w:val="000000"/>
      </w:rPr>
      <w:fldChar w:fldCharType="separate"/>
    </w:r>
    <w:r>
      <w:rPr>
        <w:color w:val="000000"/>
      </w:rPr>
      <w:fldChar w:fldCharType="end"/>
    </w:r>
  </w:p>
  <w:p w14:paraId="00000151" w14:textId="77777777" w:rsidR="00834BF6" w:rsidRDefault="00834BF6">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E" w14:textId="4728EAAC" w:rsidR="00834BF6" w:rsidRDefault="002D7342">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C83ED9">
      <w:rPr>
        <w:noProof/>
        <w:color w:val="000000"/>
      </w:rPr>
      <w:t>1</w:t>
    </w:r>
    <w:r>
      <w:rPr>
        <w:color w:val="000000"/>
      </w:rPr>
      <w:fldChar w:fldCharType="end"/>
    </w:r>
  </w:p>
  <w:p w14:paraId="0000014F" w14:textId="77777777" w:rsidR="00834BF6" w:rsidRDefault="00834BF6">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ACA24" w14:textId="77777777" w:rsidR="0011078B" w:rsidRDefault="0011078B">
      <w:r>
        <w:separator/>
      </w:r>
    </w:p>
  </w:footnote>
  <w:footnote w:type="continuationSeparator" w:id="0">
    <w:p w14:paraId="78B0CFD6" w14:textId="77777777" w:rsidR="0011078B" w:rsidRDefault="0011078B">
      <w:r>
        <w:continuationSeparator/>
      </w:r>
    </w:p>
  </w:footnote>
  <w:footnote w:id="1">
    <w:p w14:paraId="00000102"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1">
        <w:r>
          <w:rPr>
            <w:rFonts w:ascii="Times" w:eastAsia="Times" w:hAnsi="Times" w:cs="Times"/>
            <w:color w:val="0000FF"/>
            <w:sz w:val="18"/>
            <w:szCs w:val="18"/>
            <w:u w:val="single"/>
          </w:rPr>
          <w:t>https://www.npr.org/2021/10/20/1047618263/tiny-wrists-in-cuffs-how-police-use-force-against-children</w:t>
        </w:r>
      </w:hyperlink>
      <w:r>
        <w:rPr>
          <w:rFonts w:ascii="Times" w:eastAsia="Times" w:hAnsi="Times" w:cs="Times"/>
          <w:color w:val="000000"/>
          <w:sz w:val="18"/>
          <w:szCs w:val="18"/>
        </w:rPr>
        <w:t xml:space="preserve"> </w:t>
      </w:r>
    </w:p>
  </w:footnote>
  <w:footnote w:id="2">
    <w:p w14:paraId="00000103"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2">
        <w:r>
          <w:rPr>
            <w:rFonts w:ascii="Times" w:eastAsia="Times" w:hAnsi="Times" w:cs="Times"/>
            <w:color w:val="0000FF"/>
            <w:sz w:val="18"/>
            <w:szCs w:val="18"/>
            <w:u w:val="single"/>
          </w:rPr>
          <w:t>http://www.drugpolicy.org/issues/brief-history-drug-war</w:t>
        </w:r>
      </w:hyperlink>
      <w:r>
        <w:rPr>
          <w:rFonts w:ascii="Times" w:eastAsia="Times" w:hAnsi="Times" w:cs="Times"/>
          <w:color w:val="000000"/>
          <w:sz w:val="18"/>
          <w:szCs w:val="18"/>
        </w:rPr>
        <w:t xml:space="preserve"> </w:t>
      </w:r>
    </w:p>
  </w:footnote>
  <w:footnote w:id="3">
    <w:p w14:paraId="00000104"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3">
        <w:r>
          <w:rPr>
            <w:rFonts w:ascii="Times" w:eastAsia="Times" w:hAnsi="Times" w:cs="Times"/>
            <w:color w:val="0000FF"/>
            <w:sz w:val="18"/>
            <w:szCs w:val="18"/>
            <w:u w:val="single"/>
          </w:rPr>
          <w:t>https://www.fordfoundation.org/just-matters/just-matters/posts/the-war-on-drugs-has-failed-what-s-next/</w:t>
        </w:r>
      </w:hyperlink>
      <w:r>
        <w:rPr>
          <w:rFonts w:ascii="Times" w:eastAsia="Times" w:hAnsi="Times" w:cs="Times"/>
          <w:color w:val="000000"/>
          <w:sz w:val="18"/>
          <w:szCs w:val="18"/>
        </w:rPr>
        <w:t xml:space="preserve"> </w:t>
      </w:r>
    </w:p>
  </w:footnote>
  <w:footnote w:id="4">
    <w:p w14:paraId="0000010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4">
        <w:r>
          <w:rPr>
            <w:rFonts w:ascii="Times" w:eastAsia="Times" w:hAnsi="Times" w:cs="Times"/>
            <w:color w:val="0000FF"/>
            <w:sz w:val="18"/>
            <w:szCs w:val="18"/>
            <w:u w:val="single"/>
          </w:rPr>
          <w:t>https://drugpolicy.org/issues/race-and-drug-war</w:t>
        </w:r>
      </w:hyperlink>
      <w:r>
        <w:rPr>
          <w:rFonts w:ascii="Times" w:eastAsia="Times" w:hAnsi="Times" w:cs="Times"/>
          <w:color w:val="000000"/>
          <w:sz w:val="18"/>
          <w:szCs w:val="18"/>
        </w:rPr>
        <w:t xml:space="preserve"> </w:t>
      </w:r>
    </w:p>
  </w:footnote>
  <w:footnote w:id="5">
    <w:p w14:paraId="0000010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5">
        <w:r>
          <w:rPr>
            <w:rFonts w:ascii="Times" w:eastAsia="Times" w:hAnsi="Times" w:cs="Times"/>
            <w:color w:val="0000FF"/>
            <w:sz w:val="18"/>
            <w:szCs w:val="18"/>
            <w:u w:val="single"/>
          </w:rPr>
          <w:t>https://bjs.ojp.gov/content/pub/pdf/p18.pdf</w:t>
        </w:r>
      </w:hyperlink>
      <w:r>
        <w:rPr>
          <w:rFonts w:ascii="Times" w:eastAsia="Times" w:hAnsi="Times" w:cs="Times"/>
          <w:color w:val="000000"/>
          <w:sz w:val="18"/>
          <w:szCs w:val="18"/>
        </w:rPr>
        <w:t xml:space="preserve">; see also </w:t>
      </w:r>
      <w:hyperlink r:id="rId6">
        <w:r>
          <w:rPr>
            <w:rFonts w:ascii="Times" w:eastAsia="Times" w:hAnsi="Times" w:cs="Times"/>
            <w:color w:val="0000FF"/>
            <w:sz w:val="18"/>
            <w:szCs w:val="18"/>
            <w:u w:val="single"/>
          </w:rPr>
          <w:t>https://aspe.hhs.gov/topics/human-services/incarceration-reentry-0</w:t>
        </w:r>
      </w:hyperlink>
      <w:r>
        <w:rPr>
          <w:rFonts w:ascii="Times" w:eastAsia="Times" w:hAnsi="Times" w:cs="Times"/>
          <w:color w:val="000000"/>
          <w:sz w:val="18"/>
          <w:szCs w:val="18"/>
        </w:rPr>
        <w:t xml:space="preserve"> </w:t>
      </w:r>
    </w:p>
  </w:footnote>
  <w:footnote w:id="6">
    <w:p w14:paraId="00000107"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7">
        <w:r>
          <w:rPr>
            <w:rFonts w:ascii="Times" w:eastAsia="Times" w:hAnsi="Times" w:cs="Times"/>
            <w:color w:val="0000FF"/>
            <w:sz w:val="18"/>
            <w:szCs w:val="18"/>
            <w:u w:val="single"/>
          </w:rPr>
          <w:t>https://csgjusticecenter.org/nrrc/facts-and-trends/</w:t>
        </w:r>
      </w:hyperlink>
    </w:p>
  </w:footnote>
  <w:footnote w:id="7">
    <w:p w14:paraId="00000108"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https://justiceroundtable.org/wp-content/uploads/2020/11/Transformative-Justice.pdf</w:t>
      </w:r>
    </w:p>
  </w:footnote>
  <w:footnote w:id="8">
    <w:p w14:paraId="00000109"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8">
        <w:r>
          <w:rPr>
            <w:rFonts w:ascii="Times" w:eastAsia="Times" w:hAnsi="Times" w:cs="Times"/>
            <w:color w:val="1155CC"/>
            <w:sz w:val="18"/>
            <w:szCs w:val="18"/>
            <w:u w:val="single"/>
          </w:rPr>
          <w:t>https://www.aclu.org/other/race-and-death-penalty</w:t>
        </w:r>
      </w:hyperlink>
      <w:r>
        <w:rPr>
          <w:rFonts w:ascii="Times" w:eastAsia="Times" w:hAnsi="Times" w:cs="Times"/>
          <w:sz w:val="18"/>
          <w:szCs w:val="18"/>
        </w:rPr>
        <w:t xml:space="preserve"> </w:t>
      </w:r>
    </w:p>
  </w:footnote>
  <w:footnote w:id="9">
    <w:p w14:paraId="0000010A"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9">
        <w:r>
          <w:rPr>
            <w:rFonts w:ascii="Times" w:eastAsia="Times" w:hAnsi="Times" w:cs="Times"/>
            <w:color w:val="1155CC"/>
            <w:sz w:val="18"/>
            <w:szCs w:val="18"/>
            <w:u w:val="single"/>
          </w:rPr>
          <w:t>https://documents.deathpenaltyinfo.org/pdf/FactSheet.pdf</w:t>
        </w:r>
      </w:hyperlink>
      <w:r>
        <w:rPr>
          <w:rFonts w:ascii="Times" w:eastAsia="Times" w:hAnsi="Times" w:cs="Times"/>
          <w:sz w:val="18"/>
          <w:szCs w:val="18"/>
        </w:rPr>
        <w:t>. More than 75% of the murder victims in cases resulting in an execution were White, even though nationally only 50% of murder victims generally are White.</w:t>
      </w:r>
    </w:p>
  </w:footnote>
  <w:footnote w:id="10">
    <w:p w14:paraId="0000010B"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0">
        <w:r>
          <w:rPr>
            <w:rFonts w:ascii="Times" w:eastAsia="Times" w:hAnsi="Times" w:cs="Times"/>
            <w:color w:val="1155CC"/>
            <w:sz w:val="18"/>
            <w:szCs w:val="18"/>
            <w:u w:val="single"/>
          </w:rPr>
          <w:t>https://deathpenaltyinfo.org/news/dpic-releases-major-new-report-on-race-and-the-u-s-death-penalty</w:t>
        </w:r>
      </w:hyperlink>
      <w:r>
        <w:rPr>
          <w:rFonts w:ascii="Times" w:eastAsia="Times" w:hAnsi="Times" w:cs="Times"/>
          <w:sz w:val="18"/>
          <w:szCs w:val="18"/>
        </w:rPr>
        <w:t xml:space="preserve"> </w:t>
      </w:r>
    </w:p>
  </w:footnote>
  <w:footnote w:id="11">
    <w:p w14:paraId="0000010C"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1">
        <w:r>
          <w:rPr>
            <w:rFonts w:ascii="Times" w:eastAsia="Times" w:hAnsi="Times" w:cs="Times"/>
            <w:color w:val="1155CC"/>
            <w:sz w:val="18"/>
            <w:szCs w:val="18"/>
            <w:u w:val="single"/>
          </w:rPr>
          <w:t>https://www.yalelawjournal.org/pdf/Mayson_p5g2tz2m.pdf</w:t>
        </w:r>
      </w:hyperlink>
      <w:r>
        <w:rPr>
          <w:rFonts w:ascii="Times" w:eastAsia="Times" w:hAnsi="Times" w:cs="Times"/>
          <w:sz w:val="18"/>
          <w:szCs w:val="18"/>
        </w:rPr>
        <w:t xml:space="preserve"> </w:t>
      </w:r>
    </w:p>
  </w:footnote>
  <w:footnote w:id="12">
    <w:p w14:paraId="0000010D"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2">
        <w:r>
          <w:rPr>
            <w:rFonts w:ascii="Times" w:eastAsia="Times" w:hAnsi="Times" w:cs="Times"/>
            <w:color w:val="1155CC"/>
            <w:sz w:val="18"/>
            <w:szCs w:val="18"/>
            <w:u w:val="single"/>
          </w:rPr>
          <w:t>https://www.prisonpolicy.org/reports/pie2020.html</w:t>
        </w:r>
      </w:hyperlink>
      <w:r>
        <w:rPr>
          <w:rFonts w:ascii="Times" w:eastAsia="Times" w:hAnsi="Times" w:cs="Times"/>
          <w:sz w:val="18"/>
          <w:szCs w:val="18"/>
        </w:rPr>
        <w:t xml:space="preserve"> </w:t>
      </w:r>
    </w:p>
  </w:footnote>
  <w:footnote w:id="13">
    <w:p w14:paraId="0000010E"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3">
        <w:r>
          <w:rPr>
            <w:rFonts w:ascii="Times" w:eastAsia="Times" w:hAnsi="Times" w:cs="Times"/>
            <w:color w:val="1155CC"/>
            <w:sz w:val="18"/>
            <w:szCs w:val="18"/>
            <w:u w:val="single"/>
          </w:rPr>
          <w:t>https://www.hrw.org/news/2018/06/01/q-pretrial-incarceration-bail-and-profile-based-risk-assessment-united-states</w:t>
        </w:r>
      </w:hyperlink>
      <w:r>
        <w:rPr>
          <w:rFonts w:ascii="Times" w:eastAsia="Times" w:hAnsi="Times" w:cs="Times"/>
          <w:sz w:val="18"/>
          <w:szCs w:val="18"/>
        </w:rPr>
        <w:t xml:space="preserve"> </w:t>
      </w:r>
    </w:p>
  </w:footnote>
  <w:footnote w:id="14">
    <w:p w14:paraId="0000010F"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4">
        <w:r>
          <w:rPr>
            <w:rFonts w:ascii="Times" w:eastAsia="Times" w:hAnsi="Times" w:cs="Times"/>
            <w:color w:val="1155CC"/>
            <w:sz w:val="18"/>
            <w:szCs w:val="18"/>
            <w:u w:val="single"/>
          </w:rPr>
          <w:t>https://pubs.aeaweb.org/doi/pdf/10.1257/aer.20161503</w:t>
        </w:r>
      </w:hyperlink>
      <w:r>
        <w:rPr>
          <w:rFonts w:ascii="Times" w:eastAsia="Times" w:hAnsi="Times" w:cs="Times"/>
          <w:sz w:val="18"/>
          <w:szCs w:val="18"/>
        </w:rPr>
        <w:t xml:space="preserve"> </w:t>
      </w:r>
    </w:p>
  </w:footnote>
  <w:footnote w:id="15">
    <w:p w14:paraId="00000110"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5">
        <w:r>
          <w:rPr>
            <w:rFonts w:ascii="Times" w:eastAsia="Times" w:hAnsi="Times" w:cs="Times"/>
            <w:color w:val="1155CC"/>
            <w:sz w:val="18"/>
            <w:szCs w:val="18"/>
            <w:u w:val="single"/>
          </w:rPr>
          <w:t>https://scholar.harvard.edu/files/cyang/files/dgy_bail_aug2017.pdf?m=1504036081</w:t>
        </w:r>
      </w:hyperlink>
      <w:r>
        <w:rPr>
          <w:rFonts w:ascii="Times" w:eastAsia="Times" w:hAnsi="Times" w:cs="Times"/>
          <w:sz w:val="18"/>
          <w:szCs w:val="18"/>
        </w:rPr>
        <w:t xml:space="preserve"> </w:t>
      </w:r>
    </w:p>
  </w:footnote>
  <w:footnote w:id="16">
    <w:p w14:paraId="00000111"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6">
        <w:r>
          <w:rPr>
            <w:rFonts w:ascii="Times" w:eastAsia="Times" w:hAnsi="Times" w:cs="Times"/>
            <w:color w:val="1155CC"/>
            <w:sz w:val="18"/>
            <w:szCs w:val="18"/>
            <w:u w:val="single"/>
          </w:rPr>
          <w:t>https://www.ncbi.nlm.nih.gov/pmc/articles/PMC5119815/</w:t>
        </w:r>
      </w:hyperlink>
      <w:r>
        <w:rPr>
          <w:rFonts w:ascii="Times" w:eastAsia="Times" w:hAnsi="Times" w:cs="Times"/>
          <w:sz w:val="18"/>
          <w:szCs w:val="18"/>
        </w:rPr>
        <w:t xml:space="preserve"> </w:t>
      </w:r>
    </w:p>
  </w:footnote>
  <w:footnote w:id="17">
    <w:p w14:paraId="00000112"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7">
        <w:r>
          <w:rPr>
            <w:rFonts w:ascii="Times" w:eastAsia="Times" w:hAnsi="Times" w:cs="Times"/>
            <w:color w:val="1155CC"/>
            <w:sz w:val="18"/>
            <w:szCs w:val="18"/>
            <w:u w:val="single"/>
          </w:rPr>
          <w:t>https://www.treatmentadvocacycenter.org/evidence-and-research/learn-more-about/3695</w:t>
        </w:r>
      </w:hyperlink>
      <w:r>
        <w:rPr>
          <w:rFonts w:ascii="Times" w:eastAsia="Times" w:hAnsi="Times" w:cs="Times"/>
          <w:sz w:val="18"/>
          <w:szCs w:val="18"/>
        </w:rPr>
        <w:t xml:space="preserve"> </w:t>
      </w:r>
    </w:p>
  </w:footnote>
  <w:footnote w:id="18">
    <w:p w14:paraId="00000113"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8">
        <w:r>
          <w:rPr>
            <w:rFonts w:ascii="Times" w:eastAsia="Times" w:hAnsi="Times" w:cs="Times"/>
            <w:color w:val="1155CC"/>
            <w:sz w:val="18"/>
            <w:szCs w:val="18"/>
            <w:u w:val="single"/>
          </w:rPr>
          <w:t>https://dcist.com/story/19/03/01/conditions-in-the-d-c-jail-are-unsafe-and-unsanitary-d-c-auditor-says/</w:t>
        </w:r>
      </w:hyperlink>
      <w:r>
        <w:rPr>
          <w:rFonts w:ascii="Times" w:eastAsia="Times" w:hAnsi="Times" w:cs="Times"/>
          <w:sz w:val="18"/>
          <w:szCs w:val="18"/>
        </w:rPr>
        <w:t xml:space="preserve"> </w:t>
      </w:r>
    </w:p>
  </w:footnote>
  <w:footnote w:id="19">
    <w:p w14:paraId="00000114" w14:textId="77777777" w:rsidR="00834BF6" w:rsidRDefault="002D7342">
      <w:pPr>
        <w:rPr>
          <w:rFonts w:ascii="Times" w:eastAsia="Times" w:hAnsi="Times" w:cs="Times"/>
          <w:sz w:val="18"/>
          <w:szCs w:val="18"/>
        </w:rPr>
      </w:pPr>
      <w:r>
        <w:rPr>
          <w:rStyle w:val="FootnoteReference"/>
        </w:rPr>
        <w:footnoteRef/>
      </w:r>
      <w:r>
        <w:rPr>
          <w:rFonts w:ascii="Times" w:eastAsia="Times" w:hAnsi="Times" w:cs="Times"/>
          <w:sz w:val="18"/>
          <w:szCs w:val="18"/>
        </w:rPr>
        <w:t xml:space="preserve"> </w:t>
      </w:r>
      <w:hyperlink r:id="rId19">
        <w:r>
          <w:rPr>
            <w:rFonts w:ascii="Times" w:eastAsia="Times" w:hAnsi="Times" w:cs="Times"/>
            <w:color w:val="1155CC"/>
            <w:sz w:val="18"/>
            <w:szCs w:val="18"/>
            <w:u w:val="single"/>
          </w:rPr>
          <w:t>https://justdetention.org/wp-content/uploads/2015/10/Addressing-Sexual-Abuse-in-U.S.-Detention-Facilities.pdf</w:t>
        </w:r>
      </w:hyperlink>
      <w:r>
        <w:rPr>
          <w:rFonts w:ascii="Times" w:eastAsia="Times" w:hAnsi="Times" w:cs="Times"/>
          <w:sz w:val="18"/>
          <w:szCs w:val="18"/>
        </w:rPr>
        <w:t xml:space="preserve"> </w:t>
      </w:r>
    </w:p>
  </w:footnote>
  <w:footnote w:id="20">
    <w:p w14:paraId="0000011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20">
        <w:r>
          <w:rPr>
            <w:rFonts w:ascii="Times" w:eastAsia="Times" w:hAnsi="Times" w:cs="Times"/>
            <w:color w:val="0000FF"/>
            <w:sz w:val="18"/>
            <w:szCs w:val="18"/>
            <w:u w:val="single"/>
          </w:rPr>
          <w:t>https://www.prisonpolicy.org/blog/2019/10/09/pretrial_race/</w:t>
        </w:r>
      </w:hyperlink>
      <w:r>
        <w:rPr>
          <w:rFonts w:ascii="Times" w:eastAsia="Times" w:hAnsi="Times" w:cs="Times"/>
          <w:color w:val="000000"/>
          <w:sz w:val="18"/>
          <w:szCs w:val="18"/>
        </w:rPr>
        <w:t xml:space="preserve"> </w:t>
      </w:r>
    </w:p>
  </w:footnote>
  <w:footnote w:id="21">
    <w:p w14:paraId="0000011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https://www.congress.gov/bill/117th-congress/senate-bill/937</w:t>
      </w:r>
    </w:p>
  </w:footnote>
  <w:footnote w:id="22">
    <w:p w14:paraId="00000117"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https://crime-data-explorer.fr.cloud.gov/pages/home</w:t>
      </w:r>
    </w:p>
  </w:footnote>
  <w:footnote w:id="23">
    <w:p w14:paraId="00000118"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chrome-extension://efaidnbmnnnibpcajpcglclefindmkaj/https://s3-us-gov-west-1.amazonaws.com/cg-d4b776d0-d898-4153-90c8-8336f86bdfec/Map_NIBRS_Participation_MAR_2022.pdf</w:t>
      </w:r>
    </w:p>
  </w:footnote>
  <w:footnote w:id="24">
    <w:p w14:paraId="00000119"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Whitaker, Amir et al. “Cops and No Counselors: How the Lack of School Mental Health Staff is Harming Students.” American Civil Liberties Union. 2019. </w:t>
      </w:r>
      <w:hyperlink r:id="rId21">
        <w:r>
          <w:rPr>
            <w:rFonts w:ascii="Times" w:eastAsia="Times" w:hAnsi="Times" w:cs="Times"/>
            <w:color w:val="0000FF"/>
            <w:sz w:val="18"/>
            <w:szCs w:val="18"/>
            <w:u w:val="single"/>
          </w:rPr>
          <w:t>https://www.aclu.org/sites/default/files/field_document/030419-acluschooldisciplinereport.pdf</w:t>
        </w:r>
      </w:hyperlink>
      <w:r>
        <w:rPr>
          <w:rFonts w:ascii="Times" w:eastAsia="Times" w:hAnsi="Times" w:cs="Times"/>
          <w:color w:val="000000"/>
          <w:sz w:val="18"/>
          <w:szCs w:val="18"/>
        </w:rPr>
        <w:t xml:space="preserve">; U.S. Commission on Civil Rights. “Beyond Suspensions: Examining School Discipline Policies and Connections to the School-to-Prison Pipeline for Students of Color with Disabilities.” U.S. Commission on Civil Rights. July 2019. </w:t>
      </w:r>
      <w:hyperlink r:id="rId22">
        <w:r>
          <w:rPr>
            <w:rFonts w:ascii="Times" w:eastAsia="Times" w:hAnsi="Times" w:cs="Times"/>
            <w:color w:val="0000FF"/>
            <w:sz w:val="18"/>
            <w:szCs w:val="18"/>
            <w:u w:val="single"/>
          </w:rPr>
          <w:t>https://www.usccr.gov/pubs/2019/07-23-Beyond-Suspensions.pdf</w:t>
        </w:r>
      </w:hyperlink>
      <w:r>
        <w:rPr>
          <w:rFonts w:ascii="Times" w:eastAsia="Times" w:hAnsi="Times" w:cs="Times"/>
          <w:color w:val="000000"/>
          <w:sz w:val="18"/>
          <w:szCs w:val="18"/>
        </w:rPr>
        <w:t xml:space="preserve">; Okonofua, Jason A. and Eberhardt, Jennifer L. "Two Strikes: Race and the Disciplining of Young Students.” Psychological Science. 2015. 26(5). Pgs. 617-624. </w:t>
      </w:r>
      <w:hyperlink r:id="rId23">
        <w:r>
          <w:rPr>
            <w:rFonts w:ascii="Times" w:eastAsia="Times" w:hAnsi="Times" w:cs="Times"/>
            <w:color w:val="0000FF"/>
            <w:sz w:val="18"/>
            <w:szCs w:val="18"/>
            <w:u w:val="single"/>
          </w:rPr>
          <w:t>https://journals.sagepub.com/doi/abs/10.1177/0956797615570365</w:t>
        </w:r>
      </w:hyperlink>
      <w:r>
        <w:rPr>
          <w:rFonts w:ascii="Times" w:eastAsia="Times" w:hAnsi="Times" w:cs="Times"/>
          <w:color w:val="000000"/>
          <w:sz w:val="18"/>
          <w:szCs w:val="18"/>
        </w:rPr>
        <w:t xml:space="preserve">; U.S. Government Accountability Office. “K-12 Education: Discipline disparities for black students, boys, and students with disabilities.” U.S. Government Accountability Office. March 2018. </w:t>
      </w:r>
      <w:hyperlink r:id="rId24">
        <w:r>
          <w:rPr>
            <w:rFonts w:ascii="Times" w:eastAsia="Times" w:hAnsi="Times" w:cs="Times"/>
            <w:color w:val="0000FF"/>
            <w:sz w:val="18"/>
            <w:szCs w:val="18"/>
            <w:u w:val="single"/>
          </w:rPr>
          <w:t>https://www.gao.gov/assets/700/690828.pdf</w:t>
        </w:r>
      </w:hyperlink>
      <w:r>
        <w:rPr>
          <w:rFonts w:ascii="Times" w:eastAsia="Times" w:hAnsi="Times" w:cs="Times"/>
          <w:color w:val="000000"/>
          <w:sz w:val="18"/>
          <w:szCs w:val="18"/>
        </w:rPr>
        <w:t xml:space="preserve">; Marquez, Nikki and Prandini, Rachel. “The School to Prison to Deportation Pipeline: The Relationship Between School Delinquency and Deportation Explained.” Immigrant Legal Resource Center. February 2018. </w:t>
      </w:r>
      <w:hyperlink r:id="rId25">
        <w:r>
          <w:rPr>
            <w:rFonts w:ascii="Times" w:eastAsia="Times" w:hAnsi="Times" w:cs="Times"/>
            <w:color w:val="0000FF"/>
            <w:sz w:val="18"/>
            <w:szCs w:val="18"/>
            <w:u w:val="single"/>
          </w:rPr>
          <w:t>https://www.ilrc.org/sites/default/files/resources/school_delinq_faq_nat-rp-20180212.pdf</w:t>
        </w:r>
      </w:hyperlink>
      <w:r>
        <w:rPr>
          <w:rFonts w:ascii="Times" w:eastAsia="Times" w:hAnsi="Times" w:cs="Times"/>
          <w:color w:val="000000"/>
          <w:sz w:val="18"/>
          <w:szCs w:val="18"/>
        </w:rPr>
        <w:t xml:space="preserve">; Movement Advancement Project, Center for American Progress, and Youth First. “Unjust: LGBTQ Youth Incarcerated in the Juvenile Justice System.” Movement Advancement Project, Center for American Progress, and Youth First. June 2017. </w:t>
      </w:r>
      <w:hyperlink r:id="rId26">
        <w:r>
          <w:rPr>
            <w:rFonts w:ascii="Times" w:eastAsia="Times" w:hAnsi="Times" w:cs="Times"/>
            <w:color w:val="0000FF"/>
            <w:sz w:val="18"/>
            <w:szCs w:val="18"/>
            <w:u w:val="single"/>
          </w:rPr>
          <w:t>https://www.lgbtmap.org/criminal-justice-youth-detention</w:t>
        </w:r>
      </w:hyperlink>
      <w:r>
        <w:rPr>
          <w:rFonts w:ascii="Times" w:eastAsia="Times" w:hAnsi="Times" w:cs="Times"/>
          <w:color w:val="000000"/>
          <w:sz w:val="18"/>
          <w:szCs w:val="18"/>
        </w:rPr>
        <w:t xml:space="preserve">. </w:t>
      </w:r>
    </w:p>
  </w:footnote>
  <w:footnote w:id="25">
    <w:p w14:paraId="0000011A"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See American Civil Liberties Union. (2019). Cops and No Counselors How the Lack of School Mental Health Staff Is Harming Students. https://www.aclu.org/sites/default/files/field_document/030419-acluschooldisciplinereport.pdf (listing 25 most common behaviors that lead to school arrest and criminal charges. The number one criminal charge is “disrupting school” for “spraying perfume, fake burping, fake </w:t>
      </w:r>
      <w:proofErr w:type="gramStart"/>
      <w:r>
        <w:rPr>
          <w:rFonts w:ascii="Times" w:eastAsia="Times" w:hAnsi="Times" w:cs="Times"/>
          <w:color w:val="000000"/>
          <w:sz w:val="18"/>
          <w:szCs w:val="18"/>
        </w:rPr>
        <w:t>fart</w:t>
      </w:r>
      <w:proofErr w:type="gramEnd"/>
      <w:r>
        <w:rPr>
          <w:rFonts w:ascii="Times" w:eastAsia="Times" w:hAnsi="Times" w:cs="Times"/>
          <w:color w:val="000000"/>
          <w:sz w:val="18"/>
          <w:szCs w:val="18"/>
        </w:rPr>
        <w:t xml:space="preserve"> spray, refusing to change a t-shirt, and criticizing an officer”); see also Advancement Project, et al. (Mar. 2018 re-release). Police In Schools Are Not </w:t>
      </w:r>
      <w:proofErr w:type="gramStart"/>
      <w:r>
        <w:rPr>
          <w:rFonts w:ascii="Times" w:eastAsia="Times" w:hAnsi="Times" w:cs="Times"/>
          <w:color w:val="000000"/>
          <w:sz w:val="18"/>
          <w:szCs w:val="18"/>
        </w:rPr>
        <w:t>The</w:t>
      </w:r>
      <w:proofErr w:type="gramEnd"/>
      <w:r>
        <w:rPr>
          <w:rFonts w:ascii="Times" w:eastAsia="Times" w:hAnsi="Times" w:cs="Times"/>
          <w:color w:val="000000"/>
          <w:sz w:val="18"/>
          <w:szCs w:val="18"/>
        </w:rPr>
        <w:t xml:space="preserve"> Answer To The Newtown Shooting. </w:t>
      </w:r>
      <w:hyperlink r:id="rId27">
        <w:r>
          <w:rPr>
            <w:rFonts w:ascii="Times" w:eastAsia="Times" w:hAnsi="Times" w:cs="Times"/>
            <w:color w:val="0000FF"/>
            <w:sz w:val="18"/>
            <w:szCs w:val="18"/>
            <w:u w:val="single"/>
          </w:rPr>
          <w:t>http://dignityinschools.org/wp-content/uploads/2018/03/Police-In-Schools-2018-FINAL.pdf</w:t>
        </w:r>
      </w:hyperlink>
      <w:r>
        <w:rPr>
          <w:rFonts w:ascii="Times" w:eastAsia="Times" w:hAnsi="Times" w:cs="Times"/>
          <w:color w:val="000000"/>
          <w:sz w:val="18"/>
          <w:szCs w:val="18"/>
        </w:rPr>
        <w:t xml:space="preserve">. </w:t>
      </w:r>
    </w:p>
  </w:footnote>
  <w:footnote w:id="26">
    <w:p w14:paraId="0000011B"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Theriot, Matthew T. (2009). School Resource Officers and the Criminalization of Student Behavior. Journal of Criminal Justice, 37, 280–287. See also Nance, Jason P. (2016). Students, Police, and the </w:t>
      </w:r>
      <w:proofErr w:type="gramStart"/>
      <w:r>
        <w:rPr>
          <w:rFonts w:ascii="Times" w:eastAsia="Times" w:hAnsi="Times" w:cs="Times"/>
          <w:color w:val="000000"/>
          <w:sz w:val="18"/>
          <w:szCs w:val="18"/>
        </w:rPr>
        <w:t>School</w:t>
      </w:r>
      <w:proofErr w:type="gramEnd"/>
      <w:r>
        <w:rPr>
          <w:rFonts w:ascii="Times" w:eastAsia="Times" w:hAnsi="Times" w:cs="Times"/>
          <w:color w:val="000000"/>
          <w:sz w:val="18"/>
          <w:szCs w:val="18"/>
        </w:rPr>
        <w:t>-to-Prison Pipeline,” University of Washington Law Review, 93(919).</w:t>
      </w:r>
    </w:p>
  </w:footnote>
  <w:footnote w:id="27">
    <w:p w14:paraId="0000011C"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Education Week. (2017). Which Students Are Arrested the Most? </w:t>
      </w:r>
      <w:hyperlink r:id="rId28" w:anchor="/overview">
        <w:r>
          <w:rPr>
            <w:rFonts w:ascii="Times" w:eastAsia="Times" w:hAnsi="Times" w:cs="Times"/>
            <w:color w:val="0000FF"/>
            <w:sz w:val="18"/>
            <w:szCs w:val="18"/>
            <w:u w:val="single"/>
          </w:rPr>
          <w:t>https://www.edweek.org/ew/projects/2017/policingamericas-schools/student-arrests.html#/overview</w:t>
        </w:r>
      </w:hyperlink>
      <w:r>
        <w:rPr>
          <w:rFonts w:ascii="Times" w:eastAsia="Times" w:hAnsi="Times" w:cs="Times"/>
          <w:color w:val="000000"/>
          <w:sz w:val="18"/>
          <w:szCs w:val="18"/>
        </w:rPr>
        <w:t xml:space="preserve">. </w:t>
      </w:r>
    </w:p>
  </w:footnote>
  <w:footnote w:id="28">
    <w:p w14:paraId="0000011D"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Advancement Project, et al. (Mar. 2018 re-release). Police In Schools Are Not </w:t>
      </w:r>
      <w:proofErr w:type="gramStart"/>
      <w:r>
        <w:rPr>
          <w:rFonts w:ascii="Times" w:eastAsia="Times" w:hAnsi="Times" w:cs="Times"/>
          <w:color w:val="000000"/>
          <w:sz w:val="18"/>
          <w:szCs w:val="18"/>
        </w:rPr>
        <w:t>The</w:t>
      </w:r>
      <w:proofErr w:type="gramEnd"/>
      <w:r>
        <w:rPr>
          <w:rFonts w:ascii="Times" w:eastAsia="Times" w:hAnsi="Times" w:cs="Times"/>
          <w:color w:val="000000"/>
          <w:sz w:val="18"/>
          <w:szCs w:val="18"/>
        </w:rPr>
        <w:t xml:space="preserve"> Answer To The Newtown Shooting. </w:t>
      </w:r>
      <w:hyperlink r:id="rId29">
        <w:r>
          <w:rPr>
            <w:rFonts w:ascii="Times" w:eastAsia="Times" w:hAnsi="Times" w:cs="Times"/>
            <w:color w:val="0000FF"/>
            <w:sz w:val="18"/>
            <w:szCs w:val="18"/>
            <w:u w:val="single"/>
          </w:rPr>
          <w:t>http://dignityinschools.org/wp-content/uploads/2018/03/Police-In-Schools-2018-FINAL.pdf</w:t>
        </w:r>
      </w:hyperlink>
      <w:r>
        <w:rPr>
          <w:rFonts w:ascii="Times" w:eastAsia="Times" w:hAnsi="Times" w:cs="Times"/>
          <w:color w:val="000000"/>
          <w:sz w:val="18"/>
          <w:szCs w:val="18"/>
        </w:rPr>
        <w:t>, (“[P]olice officers perceive Black youth differently than they do white youth, and this bias, not any actual difference in behavior, leads to the over-criminalization of students of color. Police see Black children as less ‘childlike’ than their White peers and overestimate the age and culpability of Black children accused of an offense more than they do for white children accused of an offense.”)</w:t>
      </w:r>
    </w:p>
  </w:footnote>
  <w:footnote w:id="29">
    <w:p w14:paraId="0000011E"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hyperlink r:id="rId30">
        <w:r>
          <w:rPr>
            <w:rFonts w:ascii="Times" w:eastAsia="Times" w:hAnsi="Times" w:cs="Times"/>
            <w:color w:val="0000FF"/>
            <w:sz w:val="18"/>
            <w:szCs w:val="18"/>
            <w:u w:val="single"/>
          </w:rPr>
          <w:t>https://www.aclu.org/issues/juvenile-justice/school-prison-pipeline/school-prison-pipeline-infographic</w:t>
        </w:r>
      </w:hyperlink>
      <w:r>
        <w:rPr>
          <w:rFonts w:ascii="Times" w:eastAsia="Times" w:hAnsi="Times" w:cs="Times"/>
          <w:color w:val="000000"/>
          <w:sz w:val="18"/>
          <w:szCs w:val="18"/>
        </w:rPr>
        <w:t xml:space="preserve"> </w:t>
      </w:r>
    </w:p>
  </w:footnote>
  <w:footnote w:id="30">
    <w:p w14:paraId="0000011F"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Jason Nance, Students, Police, and the School-to-Prison Pipeline, 93 Wash. L. Rev. 919, 926 (2016), available at </w:t>
      </w:r>
      <w:hyperlink r:id="rId31">
        <w:r>
          <w:rPr>
            <w:rFonts w:ascii="Times" w:eastAsia="Times" w:hAnsi="Times" w:cs="Times"/>
            <w:color w:val="0000FF"/>
            <w:sz w:val="18"/>
            <w:szCs w:val="18"/>
            <w:u w:val="single"/>
          </w:rPr>
          <w:t>https://scholarship.law.ufl.edu/cgi/viewcontent.cgi?article=1782&amp;context=facultypub</w:t>
        </w:r>
      </w:hyperlink>
      <w:r>
        <w:rPr>
          <w:rFonts w:ascii="Times" w:eastAsia="Times" w:hAnsi="Times" w:cs="Times"/>
          <w:color w:val="000000"/>
          <w:sz w:val="18"/>
          <w:szCs w:val="18"/>
        </w:rPr>
        <w:t xml:space="preserve"> </w:t>
      </w:r>
    </w:p>
  </w:footnote>
  <w:footnote w:id="31">
    <w:p w14:paraId="00000120"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Jason Nance, Students, Police, and the School-to-Prison Pipeline, 93 Wash. L. Rev. 919, 926 (2016), available at </w:t>
      </w:r>
      <w:hyperlink r:id="rId32">
        <w:r>
          <w:rPr>
            <w:rFonts w:ascii="Times" w:eastAsia="Times" w:hAnsi="Times" w:cs="Times"/>
            <w:color w:val="0000FF"/>
            <w:sz w:val="18"/>
            <w:szCs w:val="18"/>
            <w:u w:val="single"/>
          </w:rPr>
          <w:t>https://scholarship.law.ufl.edu/cgi/viewcontent.cgi?article=1782&amp;context=facultypub</w:t>
        </w:r>
      </w:hyperlink>
      <w:r>
        <w:rPr>
          <w:rFonts w:ascii="Times" w:eastAsia="Times" w:hAnsi="Times" w:cs="Times"/>
          <w:color w:val="000000"/>
          <w:sz w:val="18"/>
          <w:szCs w:val="18"/>
        </w:rPr>
        <w:t xml:space="preserve">. </w:t>
      </w:r>
    </w:p>
  </w:footnote>
  <w:footnote w:id="32">
    <w:p w14:paraId="00000121"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Gershoff, E. T., &amp; Font, S. A. (2016). Corporal Punishment in U.S. Public Schools: Prevalence, Disparities in Use, and Status in State and Federal Policy. Social policy report, 30, 1. Source: </w:t>
      </w:r>
      <w:hyperlink r:id="rId33">
        <w:r>
          <w:rPr>
            <w:rFonts w:ascii="Times" w:eastAsia="Times" w:hAnsi="Times" w:cs="Times"/>
            <w:color w:val="0000FF"/>
            <w:sz w:val="18"/>
            <w:szCs w:val="18"/>
            <w:u w:val="single"/>
          </w:rPr>
          <w:t>https://www.ncbi.nlm.nih.gov/pmc/articles/PMC5766273/</w:t>
        </w:r>
      </w:hyperlink>
      <w:r>
        <w:rPr>
          <w:rFonts w:ascii="Times" w:eastAsia="Times" w:hAnsi="Times" w:cs="Times"/>
          <w:color w:val="000000"/>
          <w:sz w:val="18"/>
          <w:szCs w:val="18"/>
        </w:rPr>
        <w:t xml:space="preserve">. </w:t>
      </w:r>
    </w:p>
  </w:footnote>
  <w:footnote w:id="33">
    <w:p w14:paraId="00000122"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34">
    <w:p w14:paraId="00000123"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35">
    <w:p w14:paraId="00000124"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36">
    <w:p w14:paraId="0000012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color w:val="201F1E"/>
          <w:sz w:val="18"/>
          <w:szCs w:val="18"/>
          <w:highlight w:val="white"/>
        </w:rPr>
        <w:t>Government Accountability Office, GAO-09-719T, Seclusions and Restraints: Selected Cases of Death and Abuse at Public and Private Schools and Treatment Centers 3 (2009).</w:t>
      </w:r>
    </w:p>
  </w:footnote>
  <w:footnote w:id="37">
    <w:p w14:paraId="0000012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color w:val="201F1E"/>
          <w:sz w:val="18"/>
          <w:szCs w:val="18"/>
          <w:highlight w:val="white"/>
        </w:rPr>
        <w:t>Jennifer Smith Richards, Jodi S. Cohen and Lakeidra Chavis, </w:t>
      </w:r>
      <w:r>
        <w:rPr>
          <w:rFonts w:ascii="Times" w:eastAsia="Times" w:hAnsi="Times" w:cs="Times"/>
          <w:i/>
          <w:color w:val="201F1E"/>
          <w:sz w:val="18"/>
          <w:szCs w:val="18"/>
          <w:highlight w:val="white"/>
        </w:rPr>
        <w:t>The Quiet Rooms</w:t>
      </w:r>
      <w:r>
        <w:rPr>
          <w:rFonts w:ascii="Times" w:eastAsia="Times" w:hAnsi="Times" w:cs="Times"/>
          <w:color w:val="201F1E"/>
          <w:sz w:val="18"/>
          <w:szCs w:val="18"/>
          <w:highlight w:val="white"/>
        </w:rPr>
        <w:t>, ProPublica (Nov. 19, 2019). </w:t>
      </w:r>
      <w:hyperlink r:id="rId34">
        <w:r>
          <w:rPr>
            <w:rFonts w:ascii="Times" w:eastAsia="Times" w:hAnsi="Times" w:cs="Times"/>
            <w:color w:val="0000FF"/>
            <w:sz w:val="18"/>
            <w:szCs w:val="18"/>
            <w:highlight w:val="white"/>
            <w:u w:val="single"/>
          </w:rPr>
          <w:t>https://features.propublica.org/illinois-seclusion-rooms/school-students-put-in-isolated-timeouts/</w:t>
        </w:r>
      </w:hyperlink>
      <w:r>
        <w:rPr>
          <w:rFonts w:ascii="Times" w:eastAsia="Times" w:hAnsi="Times" w:cs="Times"/>
          <w:color w:val="201F1E"/>
          <w:sz w:val="18"/>
          <w:szCs w:val="18"/>
          <w:highlight w:val="white"/>
        </w:rPr>
        <w:t xml:space="preserve"> </w:t>
      </w:r>
    </w:p>
  </w:footnote>
  <w:footnote w:id="38">
    <w:p w14:paraId="00000127"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Civil Rights Data Collection: The Use of Restraint and Seclusion on Children with Disabilities in K-12 Schools 6-11 (Oct. 2020), </w:t>
      </w:r>
      <w:r>
        <w:rPr>
          <w:rFonts w:ascii="Times" w:eastAsia="Times" w:hAnsi="Times" w:cs="Times"/>
          <w:i/>
          <w:color w:val="000000"/>
          <w:sz w:val="18"/>
          <w:szCs w:val="18"/>
        </w:rPr>
        <w:t xml:space="preserve">available at </w:t>
      </w:r>
      <w:hyperlink r:id="rId35">
        <w:r>
          <w:rPr>
            <w:rFonts w:ascii="Times" w:eastAsia="Times" w:hAnsi="Times" w:cs="Times"/>
            <w:color w:val="0000FF"/>
            <w:sz w:val="18"/>
            <w:szCs w:val="18"/>
            <w:u w:val="single"/>
          </w:rPr>
          <w:t>https://www2.ed.gov/about/offices/list/ocr/docs/restraint-and-seclusion.pdf</w:t>
        </w:r>
      </w:hyperlink>
      <w:r>
        <w:rPr>
          <w:rFonts w:ascii="Times" w:eastAsia="Times" w:hAnsi="Times" w:cs="Times"/>
          <w:color w:val="000000"/>
          <w:sz w:val="18"/>
          <w:szCs w:val="18"/>
        </w:rPr>
        <w:t xml:space="preserve"> </w:t>
      </w:r>
    </w:p>
  </w:footnote>
  <w:footnote w:id="39">
    <w:p w14:paraId="00000128"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40">
    <w:p w14:paraId="00000129"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Federal Reserve. “Disparities in Wealth by Race and Ethnicity in the 2019 Survey of Consumer Finances.” September 28, 2020. </w:t>
      </w:r>
      <w:hyperlink r:id="rId36">
        <w:r>
          <w:rPr>
            <w:rFonts w:ascii="Times" w:eastAsia="Times" w:hAnsi="Times" w:cs="Times"/>
            <w:color w:val="0000FF"/>
            <w:sz w:val="18"/>
            <w:szCs w:val="18"/>
            <w:u w:val="single"/>
          </w:rPr>
          <w:t>https://www.federalreserve.gov/econres/notes/feds-notes/disparities-in-wealth-by-race-and-ethnicity-in-the-2019-survey-of-consumer-finances-20200928.htm</w:t>
        </w:r>
      </w:hyperlink>
      <w:r>
        <w:rPr>
          <w:rFonts w:ascii="Times" w:eastAsia="Times" w:hAnsi="Times" w:cs="Times"/>
          <w:color w:val="000000"/>
          <w:sz w:val="18"/>
          <w:szCs w:val="18"/>
        </w:rPr>
        <w:t xml:space="preserve"> </w:t>
      </w:r>
    </w:p>
  </w:footnote>
  <w:footnote w:id="41">
    <w:p w14:paraId="0000012A"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Smith, Kelly A. “Survey: Student Loan Debt Delays Major Financial Milestones for Millions.” Bankrate. February 27, 2019. </w:t>
      </w:r>
      <w:hyperlink r:id="rId37">
        <w:r>
          <w:rPr>
            <w:rFonts w:ascii="Times" w:eastAsia="Times" w:hAnsi="Times" w:cs="Times"/>
            <w:color w:val="0000FF"/>
            <w:sz w:val="18"/>
            <w:szCs w:val="18"/>
            <w:u w:val="single"/>
          </w:rPr>
          <w:t>https://www.bankrate.com/loans/student-loans/rates/</w:t>
        </w:r>
      </w:hyperlink>
      <w:r>
        <w:rPr>
          <w:rFonts w:ascii="Times" w:eastAsia="Times" w:hAnsi="Times" w:cs="Times"/>
          <w:color w:val="000000"/>
          <w:sz w:val="18"/>
          <w:szCs w:val="18"/>
        </w:rPr>
        <w:t xml:space="preserve">. </w:t>
      </w:r>
    </w:p>
  </w:footnote>
  <w:footnote w:id="42">
    <w:p w14:paraId="0000012B"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Miller, Ben. “New Federal Data Show a Student Loan Crisis for African American Borrowers.” Center for American Progress. October 16, 2017. </w:t>
      </w:r>
      <w:hyperlink r:id="rId38">
        <w:r>
          <w:rPr>
            <w:rFonts w:ascii="Times" w:eastAsia="Times" w:hAnsi="Times" w:cs="Times"/>
            <w:color w:val="0000FF"/>
            <w:sz w:val="18"/>
            <w:szCs w:val="18"/>
            <w:u w:val="single"/>
          </w:rPr>
          <w:t>https://www.americanprogress.org/article/new-federal-data-show-student-loan-crisis-african-american-borrowers/</w:t>
        </w:r>
      </w:hyperlink>
      <w:r>
        <w:rPr>
          <w:rFonts w:ascii="Times" w:eastAsia="Times" w:hAnsi="Times" w:cs="Times"/>
          <w:color w:val="000000"/>
          <w:sz w:val="18"/>
          <w:szCs w:val="18"/>
        </w:rPr>
        <w:t>.</w:t>
      </w:r>
    </w:p>
  </w:footnote>
  <w:footnote w:id="43">
    <w:p w14:paraId="0000012C"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Because of inadequate data disaggregation, there is insufficient data about specifically marginalized groups of Asian American Pacific Islander students including Southeast Asian American students. For instance, more than half of Vietnamese American, Hmong American, Cambodian American, and Laotian Americans have not attended college and these Southeast Asian American households are more likely to live below the poverty line than the national average. See Southeast Asia Resource Action Center. February 2013. Fact Sheet: Why Are Southeast Asians Not Going to College? Available at </w:t>
      </w:r>
      <w:hyperlink r:id="rId39">
        <w:r>
          <w:rPr>
            <w:rFonts w:ascii="Times" w:eastAsia="Times" w:hAnsi="Times" w:cs="Times"/>
            <w:color w:val="0000FF"/>
            <w:sz w:val="18"/>
            <w:szCs w:val="18"/>
            <w:u w:val="single"/>
          </w:rPr>
          <w:t>http://www.searac.org/wp-content/uploads/2018/04/Increase-Access-to-Higher-Education-Why-Are-Southeast-Asian-Americans-Not-Going-to-College.pdf</w:t>
        </w:r>
      </w:hyperlink>
      <w:r>
        <w:rPr>
          <w:rFonts w:ascii="Times" w:eastAsia="Times" w:hAnsi="Times" w:cs="Times"/>
          <w:color w:val="000000"/>
          <w:sz w:val="18"/>
          <w:szCs w:val="18"/>
        </w:rPr>
        <w:t>.  Students in any of these categories may also face barriers to college access, degree attainment, and student loan repayment because of marginalization they experience as people with disabilities or because they are LGBTQ.</w:t>
      </w:r>
    </w:p>
  </w:footnote>
  <w:footnote w:id="44">
    <w:p w14:paraId="0000012D"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Center for Responsible Lending, UnidosUS, the National Association for the Advancement of Colored People, the National Urban League, and the Leadership Conference Education Fund. September 2019. Quicksand: Borrowers of Color and the Student Debt Crisis. Available at </w:t>
      </w:r>
      <w:hyperlink r:id="rId40">
        <w:r>
          <w:rPr>
            <w:rFonts w:ascii="Times" w:eastAsia="Times" w:hAnsi="Times" w:cs="Times"/>
            <w:color w:val="0000FF"/>
            <w:sz w:val="18"/>
            <w:szCs w:val="18"/>
            <w:u w:val="single"/>
          </w:rPr>
          <w:t>https://www.responsiblelending.org/sites/default/files/nodes/files/research-publication/crl-quicksand-student-debt-crisis-jul2019.pdf</w:t>
        </w:r>
      </w:hyperlink>
      <w:r>
        <w:rPr>
          <w:rFonts w:ascii="Times" w:eastAsia="Times" w:hAnsi="Times" w:cs="Times"/>
          <w:color w:val="000000"/>
          <w:sz w:val="18"/>
          <w:szCs w:val="18"/>
        </w:rPr>
        <w:t xml:space="preserve">.   </w:t>
      </w:r>
    </w:p>
  </w:footnote>
  <w:footnote w:id="45">
    <w:p w14:paraId="0000012E"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Harrington, A and Huelsman, M. 2020 “Introduction: The Urgency and Equity of Student Debt Cancellation.” Delivering on Debt Relief: Proposals, Ideas, and Actions to Cancel Student Debt on Day One and Beyond. Student Borrower Protection Center, Demos, and University of California at Irvine School of Law. Available at </w:t>
      </w:r>
      <w:hyperlink r:id="rId41">
        <w:r>
          <w:rPr>
            <w:rFonts w:ascii="Times" w:eastAsia="Times" w:hAnsi="Times" w:cs="Times"/>
            <w:color w:val="0000FF"/>
            <w:sz w:val="18"/>
            <w:szCs w:val="18"/>
            <w:u w:val="single"/>
          </w:rPr>
          <w:t>https://protectborrowers.org/wp-content/uploads/2020/12/Delivering-on-Debt-Relief.pdf</w:t>
        </w:r>
      </w:hyperlink>
      <w:r>
        <w:rPr>
          <w:rFonts w:ascii="Times" w:eastAsia="Times" w:hAnsi="Times" w:cs="Times"/>
          <w:color w:val="000000"/>
          <w:sz w:val="18"/>
          <w:szCs w:val="18"/>
        </w:rPr>
        <w:t xml:space="preserve">. </w:t>
      </w:r>
    </w:p>
  </w:footnote>
  <w:footnote w:id="46">
    <w:p w14:paraId="0000012F"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Hamilton, D., Darity, W., Price, A.E., Sridharan, V., &amp; Tippett, R. 2015. “Umbrellas Don’t Make It Rain: Why Studying and Working Hard Isn’t Enough for Black Americans.” The New School, the Duke Center for Social Equality, and Insight: Center for Community Economic Development. Available at </w:t>
      </w:r>
      <w:hyperlink r:id="rId42">
        <w:r>
          <w:rPr>
            <w:rFonts w:ascii="Times" w:eastAsia="Times" w:hAnsi="Times" w:cs="Times"/>
            <w:color w:val="0000FF"/>
            <w:sz w:val="18"/>
            <w:szCs w:val="18"/>
            <w:u w:val="single"/>
          </w:rPr>
          <w:t>https://socialequity.duke.edu/portfolio-item/umbrellas-dont-make-it-rain-why-studying-and-wor king-hard-isnt-enough-for-black-americans/</w:t>
        </w:r>
      </w:hyperlink>
      <w:r>
        <w:rPr>
          <w:rFonts w:ascii="Times" w:eastAsia="Times" w:hAnsi="Times" w:cs="Times"/>
          <w:color w:val="000000"/>
          <w:sz w:val="18"/>
          <w:szCs w:val="18"/>
        </w:rPr>
        <w:t xml:space="preserve">. </w:t>
      </w:r>
    </w:p>
  </w:footnote>
  <w:footnote w:id="47">
    <w:p w14:paraId="00000130"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Huelsman, M. 2019. “Debt to Society: The Case for Bold, Equitable Student Loan Cancellation and Reform.” Demos. Available at </w:t>
      </w:r>
      <w:hyperlink r:id="rId43">
        <w:r>
          <w:rPr>
            <w:rFonts w:ascii="Times" w:eastAsia="Times" w:hAnsi="Times" w:cs="Times"/>
            <w:color w:val="0000FF"/>
            <w:sz w:val="18"/>
            <w:szCs w:val="18"/>
            <w:u w:val="single"/>
          </w:rPr>
          <w:t>https://www.demos.org/research/debt-to-society</w:t>
        </w:r>
      </w:hyperlink>
      <w:r>
        <w:rPr>
          <w:rFonts w:ascii="Times" w:eastAsia="Times" w:hAnsi="Times" w:cs="Times"/>
          <w:color w:val="000000"/>
          <w:sz w:val="18"/>
          <w:szCs w:val="18"/>
        </w:rPr>
        <w:t>.</w:t>
      </w:r>
    </w:p>
  </w:footnote>
  <w:footnote w:id="48">
    <w:p w14:paraId="00000131"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National Consumer Law Center. September 2019. Testimony of Persis SiChing Yu Before the United States House Committee on Financial Services: A $1.5 Trillion Crisis: Protecting Student Borrowers and Holding Student Loan Servicers Accountable. Available at </w:t>
      </w:r>
      <w:hyperlink r:id="rId44">
        <w:r>
          <w:rPr>
            <w:rFonts w:ascii="Times" w:eastAsia="Times" w:hAnsi="Times" w:cs="Times"/>
            <w:color w:val="0000FF"/>
            <w:sz w:val="18"/>
            <w:szCs w:val="18"/>
            <w:u w:val="single"/>
          </w:rPr>
          <w:t>https://financialservices.house.gov/uploadedfiles/hhrg-116-ba00-wstate-yup-20190910.pdf</w:t>
        </w:r>
      </w:hyperlink>
      <w:r>
        <w:rPr>
          <w:rFonts w:ascii="Times" w:eastAsia="Times" w:hAnsi="Times" w:cs="Times"/>
          <w:color w:val="000000"/>
          <w:sz w:val="18"/>
          <w:szCs w:val="18"/>
        </w:rPr>
        <w:t>.</w:t>
      </w:r>
    </w:p>
  </w:footnote>
  <w:footnote w:id="49">
    <w:p w14:paraId="00000132"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As a result, Black borrowers who earned a bachelor’s degree had a default rate nearly four times higher than their similarly situated White peers, exposing these borrowers to harsh collection tactics such as the seizure of wages and tax refunds (including the Earned Income Tax Credit and Child Tax Credit). Miller, B., Campbell, C., Cohen, B.J., Hancock, C. June 2019. “Addressing the $1.5 Trillion in Federal Student Loan Debt.” Center for American Progress. Available at </w:t>
      </w:r>
      <w:hyperlink r:id="rId45">
        <w:r>
          <w:rPr>
            <w:rFonts w:ascii="Times" w:eastAsia="Times" w:hAnsi="Times" w:cs="Times"/>
            <w:color w:val="0000FF"/>
            <w:sz w:val="18"/>
            <w:szCs w:val="18"/>
            <w:u w:val="single"/>
          </w:rPr>
          <w:t>https://www.americanprogress.org/issues/education-postsecondary/reports/2019/06/12/470893/addressing-1-5-trillion-federal-student-loan-debt/</w:t>
        </w:r>
      </w:hyperlink>
      <w:r>
        <w:rPr>
          <w:rFonts w:ascii="Times" w:eastAsia="Times" w:hAnsi="Times" w:cs="Times"/>
          <w:color w:val="000000"/>
          <w:sz w:val="18"/>
          <w:szCs w:val="18"/>
        </w:rPr>
        <w:t xml:space="preserve">.    </w:t>
      </w:r>
    </w:p>
  </w:footnote>
  <w:footnote w:id="50">
    <w:p w14:paraId="00000133"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Scott-Clayton, J. 2018. “The looming student loan default crisis is worse than we thought.” Brookings Institution. Available at </w:t>
      </w:r>
      <w:hyperlink r:id="rId46">
        <w:r>
          <w:rPr>
            <w:rFonts w:ascii="Times" w:eastAsia="Times" w:hAnsi="Times" w:cs="Times"/>
            <w:color w:val="0000FF"/>
            <w:sz w:val="18"/>
            <w:szCs w:val="18"/>
            <w:u w:val="single"/>
          </w:rPr>
          <w:t>https://www.brookings.edu/research/the-looming-studentloan-default-crisis-is-worse-than-we-thought/</w:t>
        </w:r>
      </w:hyperlink>
      <w:r>
        <w:rPr>
          <w:rFonts w:ascii="Times" w:eastAsia="Times" w:hAnsi="Times" w:cs="Times"/>
          <w:color w:val="000000"/>
          <w:sz w:val="18"/>
          <w:szCs w:val="18"/>
        </w:rPr>
        <w:t xml:space="preserve">. </w:t>
      </w:r>
    </w:p>
  </w:footnote>
  <w:footnote w:id="51">
    <w:p w14:paraId="00000134"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For instance, 68 percent of Black graduate students and 57.9 percent of Latino graduate students borrow federal loans annually compared with 43 percent of White graduate students. For the 2015-2016 class, 81 percent of Black master’s degree holders borrowed an average of $51,699 and 73 percent of Hispanic master’s degree holders borrowed an average of $42,411, compared with 57.3 percent of White master’s degree graduates borrowing an average of $41,506. White students borrowed less on average for master’s degrees than all other groups. See Espinosa, Lorelle L., Jonathan M. Turk, Morgan Taylor, and Hollie M. Chessman. 2019. “How Students Finance Graduate Study.” Race and Ethnicity in Higher Education: A Status Report. Washington, DC: American Council on Education. Available at </w:t>
      </w:r>
      <w:hyperlink r:id="rId47">
        <w:r>
          <w:rPr>
            <w:rFonts w:ascii="Times" w:eastAsia="Times" w:hAnsi="Times" w:cs="Times"/>
            <w:color w:val="0000FF"/>
            <w:sz w:val="18"/>
            <w:szCs w:val="18"/>
            <w:u w:val="single"/>
          </w:rPr>
          <w:t>https://www.equityinhighered.org/indicators/how-studentsfinance-graduate-study/</w:t>
        </w:r>
      </w:hyperlink>
      <w:r>
        <w:rPr>
          <w:rFonts w:ascii="Times" w:eastAsia="Times" w:hAnsi="Times" w:cs="Times"/>
          <w:color w:val="000000"/>
          <w:sz w:val="18"/>
          <w:szCs w:val="18"/>
        </w:rPr>
        <w:t>.</w:t>
      </w:r>
    </w:p>
  </w:footnote>
  <w:footnote w:id="52">
    <w:p w14:paraId="0000013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Perry, A &amp; Romer, C. 2021. “Student debt cancellation should consider wealth, not income.” Brookings Institution. Available at </w:t>
      </w:r>
      <w:hyperlink r:id="rId48">
        <w:r>
          <w:rPr>
            <w:rFonts w:ascii="Times" w:eastAsia="Times" w:hAnsi="Times" w:cs="Times"/>
            <w:color w:val="0000FF"/>
            <w:sz w:val="18"/>
            <w:szCs w:val="18"/>
            <w:u w:val="single"/>
          </w:rPr>
          <w:t>https://www.brookings.edu/essay/student-debt-cancellationshould-consider-wealth-not-income/</w:t>
        </w:r>
      </w:hyperlink>
      <w:r>
        <w:rPr>
          <w:rFonts w:ascii="Times" w:eastAsia="Times" w:hAnsi="Times" w:cs="Times"/>
          <w:color w:val="000000"/>
          <w:sz w:val="18"/>
          <w:szCs w:val="18"/>
        </w:rPr>
        <w:t>.</w:t>
      </w:r>
    </w:p>
  </w:footnote>
  <w:footnote w:id="53">
    <w:p w14:paraId="0000013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54">
    <w:p w14:paraId="00000137"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Bhutta, N., Andrew C.C., Dettling, L.J., &amp; Hsu, J.W. 2020. "Disparities in Wealth by Race and Ethnicity in the 2019 Survey of Consumer Finances." Board of Governors of the Federal Reserve System. Available at </w:t>
      </w:r>
      <w:hyperlink r:id="rId49">
        <w:r>
          <w:rPr>
            <w:rFonts w:ascii="Times" w:eastAsia="Times" w:hAnsi="Times" w:cs="Times"/>
            <w:color w:val="0070C0"/>
            <w:sz w:val="18"/>
            <w:szCs w:val="18"/>
            <w:u w:val="single"/>
          </w:rPr>
          <w:t>https://doi.org/10.17016/2380-7172.2797</w:t>
        </w:r>
      </w:hyperlink>
      <w:r>
        <w:rPr>
          <w:rFonts w:ascii="Times" w:eastAsia="Times" w:hAnsi="Times" w:cs="Times"/>
          <w:color w:val="000000"/>
          <w:sz w:val="18"/>
          <w:szCs w:val="18"/>
        </w:rPr>
        <w:t xml:space="preserve">. </w:t>
      </w:r>
    </w:p>
  </w:footnote>
  <w:footnote w:id="55">
    <w:p w14:paraId="00000138"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Baum, S., Blagg, K., &amp; Fishman, R. April 2019. “Reshaping Parent PLUS Loans: Recommendations for Reforming the Parent PLUS Program.” Urban Institute. Available at </w:t>
      </w:r>
      <w:hyperlink r:id="rId50">
        <w:r>
          <w:rPr>
            <w:rFonts w:ascii="Times" w:eastAsia="Times" w:hAnsi="Times" w:cs="Times"/>
            <w:color w:val="0000FF"/>
            <w:sz w:val="18"/>
            <w:szCs w:val="18"/>
            <w:u w:val="single"/>
          </w:rPr>
          <w:t>https://www.urban.org/research/publication/reshaping-parent-plus-loans-recommendations-reforming-parent-plus-program/view/full_report</w:t>
        </w:r>
      </w:hyperlink>
      <w:r>
        <w:rPr>
          <w:rFonts w:ascii="Times" w:eastAsia="Times" w:hAnsi="Times" w:cs="Times"/>
          <w:color w:val="000000"/>
          <w:sz w:val="18"/>
          <w:szCs w:val="18"/>
        </w:rPr>
        <w:t xml:space="preserve">; William Darity, Jr, et al. April 2018. “What We Get Wrong About Closing the Racial Wealth Gap.” Samuel DuBois Cook Center on Social Equity and Insight Center for Community Economic Development. Available at </w:t>
      </w:r>
      <w:hyperlink r:id="rId51">
        <w:r>
          <w:rPr>
            <w:rFonts w:ascii="Times" w:eastAsia="Times" w:hAnsi="Times" w:cs="Times"/>
            <w:color w:val="0000FF"/>
            <w:sz w:val="18"/>
            <w:szCs w:val="18"/>
            <w:u w:val="single"/>
          </w:rPr>
          <w:t>https://socialequity.duke.edu/portfolio-item/what-we-get-wrong-about-closing-the-racial-wealth-gap/</w:t>
        </w:r>
      </w:hyperlink>
      <w:r>
        <w:rPr>
          <w:rFonts w:ascii="Times" w:eastAsia="Times" w:hAnsi="Times" w:cs="Times"/>
          <w:color w:val="000000"/>
          <w:sz w:val="18"/>
          <w:szCs w:val="18"/>
        </w:rPr>
        <w:t xml:space="preserve">; Yunju Nam, et al. September 2015. “Bootstraps are for Black Kids: Race, Wealth and the Impact of Intergenerational Transfers on Adult Outcomes.” Insight Center for Community and Economic Development. Available at </w:t>
      </w:r>
      <w:hyperlink r:id="rId52">
        <w:r>
          <w:rPr>
            <w:rFonts w:ascii="Times" w:eastAsia="Times" w:hAnsi="Times" w:cs="Times"/>
            <w:color w:val="0000FF"/>
            <w:sz w:val="18"/>
            <w:szCs w:val="18"/>
            <w:u w:val="single"/>
          </w:rPr>
          <w:t>http://www.insightcced.org/wp-content/uploads/2015/07/Bootstraps-are-for-BlackKids-Sept.pdf</w:t>
        </w:r>
      </w:hyperlink>
      <w:r>
        <w:rPr>
          <w:rFonts w:ascii="Times" w:eastAsia="Times" w:hAnsi="Times" w:cs="Times"/>
          <w:color w:val="000000"/>
          <w:sz w:val="18"/>
          <w:szCs w:val="18"/>
        </w:rPr>
        <w:t xml:space="preserve">.   </w:t>
      </w:r>
    </w:p>
  </w:footnote>
  <w:footnote w:id="56">
    <w:p w14:paraId="00000139"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National Women’s Law Center. April 2020. Higher Education, Recession, and COVID-19: What Students and Student Borrowers Need from a Federal Stimulus Package. Available at </w:t>
      </w:r>
      <w:hyperlink r:id="rId53">
        <w:r>
          <w:rPr>
            <w:rFonts w:ascii="Times" w:eastAsia="Times" w:hAnsi="Times" w:cs="Times"/>
            <w:color w:val="0000FF"/>
            <w:sz w:val="18"/>
            <w:szCs w:val="18"/>
            <w:u w:val="single"/>
          </w:rPr>
          <w:t>https://nwlc-ciw49tixgw5lbab.stackpathdns.com/wp-content/uploads/2020/04/COVID-Stimulus-and-Higher-Ed-Factsheet.pdf</w:t>
        </w:r>
      </w:hyperlink>
      <w:r>
        <w:rPr>
          <w:rFonts w:ascii="Times" w:eastAsia="Times" w:hAnsi="Times" w:cs="Times"/>
          <w:color w:val="000000"/>
          <w:sz w:val="18"/>
          <w:szCs w:val="18"/>
        </w:rPr>
        <w:t xml:space="preserve">. </w:t>
      </w:r>
    </w:p>
  </w:footnote>
  <w:footnote w:id="57">
    <w:p w14:paraId="0000013A"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Center for Responsible Lending. 2019. State of For-Profit Colleges. Available at </w:t>
      </w:r>
      <w:hyperlink r:id="rId54">
        <w:r>
          <w:rPr>
            <w:rFonts w:ascii="Times" w:eastAsia="Times" w:hAnsi="Times" w:cs="Times"/>
            <w:color w:val="0000FF"/>
            <w:sz w:val="18"/>
            <w:szCs w:val="18"/>
            <w:u w:val="single"/>
          </w:rPr>
          <w:t>https://www.responsiblelending.org/research-publication/state-profit-colleges</w:t>
        </w:r>
      </w:hyperlink>
      <w:r>
        <w:rPr>
          <w:rFonts w:ascii="Times" w:eastAsia="Times" w:hAnsi="Times" w:cs="Times"/>
          <w:color w:val="000000"/>
          <w:sz w:val="18"/>
          <w:szCs w:val="18"/>
        </w:rPr>
        <w:t xml:space="preserve">.  </w:t>
      </w:r>
    </w:p>
  </w:footnote>
  <w:footnote w:id="58">
    <w:p w14:paraId="0000013B"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Cardichon, J., Darling-Hammond, L., Yang, M., Scott, C., Shields, P. M., &amp; Burns, D. (2020). </w:t>
      </w:r>
      <w:r>
        <w:rPr>
          <w:rFonts w:ascii="Times" w:eastAsia="Times" w:hAnsi="Times" w:cs="Times"/>
          <w:i/>
          <w:color w:val="000000"/>
          <w:sz w:val="18"/>
          <w:szCs w:val="18"/>
        </w:rPr>
        <w:t>Inequitable opportunity to learn: Student access to certified and experienced teachers</w:t>
      </w:r>
      <w:r>
        <w:rPr>
          <w:rFonts w:ascii="Times" w:eastAsia="Times" w:hAnsi="Times" w:cs="Times"/>
          <w:color w:val="000000"/>
          <w:sz w:val="18"/>
          <w:szCs w:val="18"/>
        </w:rPr>
        <w:t>. Palo Alto, CA: Learning Policy Institute; Goldhaber, D., Lavery, L., &amp; Theobald, R. (2015). Uneven playing field? Assessing the teacher quality gap between advantaged and disadvantaged students. Educational Researcher, 44(5), 293–307; Lankford, H., Loeb, S., &amp; Wyckoff, J. (2002). Teacher sorting and the plight of urban schools: A descriptive analysis. Educational Evaluation and Policy Analysis, 24(1), 37–62.</w:t>
      </w:r>
    </w:p>
  </w:footnote>
  <w:footnote w:id="59">
    <w:p w14:paraId="0000013C"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PBS News Hour (November 2021). “Schools across the country are struggling to find staff. Here’s why.” November 23, 2021. </w:t>
      </w:r>
      <w:hyperlink r:id="rId55">
        <w:r>
          <w:rPr>
            <w:rFonts w:ascii="Times" w:eastAsia="Times" w:hAnsi="Times" w:cs="Times"/>
            <w:color w:val="0000FF"/>
            <w:sz w:val="18"/>
            <w:szCs w:val="18"/>
            <w:u w:val="single"/>
          </w:rPr>
          <w:t>https://www.pbs.org/newshour/education/schools-across-the-country-are-struggling-to-find-staff-heres-why</w:t>
        </w:r>
      </w:hyperlink>
      <w:r>
        <w:rPr>
          <w:rFonts w:ascii="Times" w:eastAsia="Times" w:hAnsi="Times" w:cs="Times"/>
          <w:color w:val="000000"/>
          <w:sz w:val="18"/>
          <w:szCs w:val="18"/>
        </w:rPr>
        <w:t xml:space="preserve">; Education Week (October 2021). </w:t>
      </w:r>
      <w:hyperlink r:id="rId56">
        <w:r>
          <w:rPr>
            <w:rFonts w:ascii="Times" w:eastAsia="Times" w:hAnsi="Times" w:cs="Times"/>
            <w:color w:val="0000FF"/>
            <w:sz w:val="18"/>
            <w:szCs w:val="18"/>
            <w:u w:val="single"/>
          </w:rPr>
          <w:t>https://www.edweek.org/leadership/how-bad-are-school-staffing-shortages-what-we-learned-by-asking-administrators/2021/10</w:t>
        </w:r>
      </w:hyperlink>
      <w:r>
        <w:rPr>
          <w:rFonts w:ascii="Times" w:eastAsia="Times" w:hAnsi="Times" w:cs="Times"/>
          <w:color w:val="000000"/>
          <w:sz w:val="18"/>
          <w:szCs w:val="18"/>
        </w:rPr>
        <w:t xml:space="preserve">; </w:t>
      </w:r>
      <w:r>
        <w:rPr>
          <w:rFonts w:ascii="Times" w:eastAsia="Times" w:hAnsi="Times" w:cs="Times"/>
          <w:color w:val="333333"/>
          <w:sz w:val="18"/>
          <w:szCs w:val="18"/>
          <w:highlight w:val="white"/>
        </w:rPr>
        <w:t xml:space="preserve">Steiner, Elizabeth D. and Ashley Woo, Job-Related Stress Threatens the Teacher Supply: Key Findings from the 2021 State of the U.S. Teacher Survey. Santa Monica, CA: RAND Corporation, 2021. </w:t>
      </w:r>
      <w:hyperlink r:id="rId57">
        <w:r>
          <w:rPr>
            <w:rFonts w:ascii="Times" w:eastAsia="Times" w:hAnsi="Times" w:cs="Times"/>
            <w:color w:val="0000FF"/>
            <w:sz w:val="18"/>
            <w:szCs w:val="18"/>
            <w:highlight w:val="white"/>
            <w:u w:val="single"/>
          </w:rPr>
          <w:t>https://www.rand.org/pubs/research_reports/RRA1108-1.html</w:t>
        </w:r>
      </w:hyperlink>
      <w:r>
        <w:rPr>
          <w:rFonts w:ascii="Times" w:eastAsia="Times" w:hAnsi="Times" w:cs="Times"/>
          <w:color w:val="333333"/>
          <w:sz w:val="18"/>
          <w:szCs w:val="18"/>
          <w:highlight w:val="white"/>
        </w:rPr>
        <w:t>.</w:t>
      </w:r>
    </w:p>
  </w:footnote>
  <w:footnote w:id="60">
    <w:p w14:paraId="0000013D"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Baker, Bruce D., Farrie, Danielle, and Sciarra, David. 2018.</w:t>
      </w:r>
    </w:p>
  </w:footnote>
  <w:footnote w:id="61">
    <w:p w14:paraId="0000013E"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Johnson, Rucker C. 2015; Jackson, C. Kirabo, Johnson, Rucker, and Persico, Claudia. 2014.</w:t>
      </w:r>
    </w:p>
  </w:footnote>
  <w:footnote w:id="62">
    <w:p w14:paraId="0000013F"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Morgan, Ivy and Amerikaner, Ary. 2018.</w:t>
      </w:r>
    </w:p>
  </w:footnote>
  <w:footnote w:id="63">
    <w:p w14:paraId="00000140"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Ibid.</w:t>
      </w:r>
    </w:p>
  </w:footnote>
  <w:footnote w:id="64">
    <w:p w14:paraId="00000141"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Orfield, Gary et al. “Brown at 60: Great Progress, a Long Retreat and an Uncertain Future.” The Civil Rights Project. 2014. </w:t>
      </w:r>
      <w:hyperlink r:id="rId58">
        <w:r>
          <w:rPr>
            <w:rFonts w:ascii="Times" w:eastAsia="Times" w:hAnsi="Times" w:cs="Times"/>
            <w:color w:val="0000FF"/>
            <w:sz w:val="18"/>
            <w:szCs w:val="18"/>
            <w:u w:val="single"/>
          </w:rPr>
          <w:t>https://www.civilrightsproject.ucla.edu/research/k-12-education/integration-and-diversity/brown-at-60-great -progress-a-long-retreat-and-an-uncertain-future/Brown-at-60-051814.pdf</w:t>
        </w:r>
      </w:hyperlink>
      <w:r>
        <w:rPr>
          <w:rFonts w:ascii="Times" w:eastAsia="Times" w:hAnsi="Times" w:cs="Times"/>
          <w:color w:val="000000"/>
          <w:sz w:val="18"/>
          <w:szCs w:val="18"/>
        </w:rPr>
        <w:t xml:space="preserve">. </w:t>
      </w:r>
    </w:p>
  </w:footnote>
  <w:footnote w:id="65">
    <w:p w14:paraId="00000142"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Johnson, Rucker. “The Grandchildren of Brown: The Long Legacy of School Desegregation.” University of California, Berkeley. March 15, 2012. </w:t>
      </w:r>
      <w:hyperlink r:id="rId59">
        <w:r>
          <w:rPr>
            <w:rFonts w:ascii="Times" w:eastAsia="Times" w:hAnsi="Times" w:cs="Times"/>
            <w:color w:val="0000FF"/>
            <w:sz w:val="18"/>
            <w:szCs w:val="18"/>
            <w:u w:val="single"/>
          </w:rPr>
          <w:t>https://gsppi.berkeley.edu/~ruckerj/RJabstract_BrownDeseg_Grandkids.pdf</w:t>
        </w:r>
      </w:hyperlink>
      <w:r>
        <w:rPr>
          <w:rFonts w:ascii="Times" w:eastAsia="Times" w:hAnsi="Times" w:cs="Times"/>
          <w:color w:val="000000"/>
          <w:sz w:val="18"/>
          <w:szCs w:val="18"/>
        </w:rPr>
        <w:t xml:space="preserve">; Johnson, Rucker C. “Children of the Dream: Why School Integration Works.” New York: Basic Books. 2019; Reber, Sarah J. “School Desegregation and Educational Attainment for Blacks.” National Bureau of Economic Research. June 2007. </w:t>
      </w:r>
      <w:hyperlink r:id="rId60">
        <w:r>
          <w:rPr>
            <w:rFonts w:ascii="Times" w:eastAsia="Times" w:hAnsi="Times" w:cs="Times"/>
            <w:color w:val="0000FF"/>
            <w:sz w:val="18"/>
            <w:szCs w:val="18"/>
            <w:u w:val="single"/>
          </w:rPr>
          <w:t>https://www.nber.org/papers/w13193</w:t>
        </w:r>
      </w:hyperlink>
      <w:r>
        <w:rPr>
          <w:rFonts w:ascii="Times" w:eastAsia="Times" w:hAnsi="Times" w:cs="Times"/>
          <w:color w:val="000000"/>
          <w:sz w:val="18"/>
          <w:szCs w:val="18"/>
        </w:rPr>
        <w:t xml:space="preserve">. </w:t>
      </w:r>
    </w:p>
  </w:footnote>
  <w:footnote w:id="66">
    <w:p w14:paraId="00000143"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Reber, Sarah J. 2007; Johnson, Rucker C. “Long-run Impacts of School Desegregation &amp; School Quality on Adult Attainments.” National Bureau of Economic Research. September 2015. </w:t>
      </w:r>
      <w:hyperlink r:id="rId61">
        <w:r>
          <w:rPr>
            <w:rFonts w:ascii="Times" w:eastAsia="Times" w:hAnsi="Times" w:cs="Times"/>
            <w:color w:val="0000FF"/>
            <w:sz w:val="18"/>
            <w:szCs w:val="18"/>
            <w:u w:val="single"/>
          </w:rPr>
          <w:t>https://www.nber.org/papers/w16664</w:t>
        </w:r>
      </w:hyperlink>
      <w:r>
        <w:rPr>
          <w:rFonts w:ascii="Times" w:eastAsia="Times" w:hAnsi="Times" w:cs="Times"/>
          <w:color w:val="000000"/>
          <w:sz w:val="18"/>
          <w:szCs w:val="18"/>
        </w:rPr>
        <w:t xml:space="preserve">. </w:t>
      </w:r>
    </w:p>
  </w:footnote>
  <w:footnote w:id="67">
    <w:p w14:paraId="00000144"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Johnson, Rucker C. 2015.</w:t>
      </w:r>
    </w:p>
  </w:footnote>
  <w:footnote w:id="68">
    <w:p w14:paraId="0000014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Johnson, Rucker C. 2015; Tuttle, Cody. “The Long-run Economic Effects of School Desegregation.” October 17, 2019. </w:t>
      </w:r>
      <w:hyperlink r:id="rId62">
        <w:r>
          <w:rPr>
            <w:rFonts w:ascii="Times" w:eastAsia="Times" w:hAnsi="Times" w:cs="Times"/>
            <w:color w:val="0000FF"/>
            <w:sz w:val="18"/>
            <w:szCs w:val="18"/>
            <w:u w:val="single"/>
          </w:rPr>
          <w:t>http://econweb.umd.edu/~tuttle/files/tuttle_busing.pdf</w:t>
        </w:r>
      </w:hyperlink>
      <w:r>
        <w:rPr>
          <w:rFonts w:ascii="Times" w:eastAsia="Times" w:hAnsi="Times" w:cs="Times"/>
          <w:color w:val="000000"/>
          <w:sz w:val="18"/>
          <w:szCs w:val="18"/>
        </w:rPr>
        <w:t>.</w:t>
      </w:r>
    </w:p>
  </w:footnote>
  <w:footnote w:id="69">
    <w:p w14:paraId="0000014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Reardon, Sean F. et al. “Brown Fades: The End of Court-Ordered School Desegregation and the Resegregation of American Public Schools.” Journal of Policy Analysis and Management. Fall 2012. 31(4). Pgs. 876-904. </w:t>
      </w:r>
      <w:hyperlink r:id="rId63">
        <w:r>
          <w:rPr>
            <w:rFonts w:ascii="Times" w:eastAsia="Times" w:hAnsi="Times" w:cs="Times"/>
            <w:color w:val="0000FF"/>
            <w:sz w:val="18"/>
            <w:szCs w:val="18"/>
            <w:u w:val="single"/>
          </w:rPr>
          <w:t>https://www.jstor.org/stable/41653800?seq=1</w:t>
        </w:r>
      </w:hyperlink>
      <w:r>
        <w:rPr>
          <w:rFonts w:ascii="Times" w:eastAsia="Times" w:hAnsi="Times" w:cs="Times"/>
          <w:color w:val="000000"/>
          <w:sz w:val="18"/>
          <w:szCs w:val="18"/>
        </w:rPr>
        <w:t xml:space="preserve">. </w:t>
      </w:r>
    </w:p>
  </w:footnote>
  <w:footnote w:id="70">
    <w:p w14:paraId="00000147"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Orfield, Gary et al. 2014; Ed Build. “Nonwhite School Districts Get $23 Billion Less Than White Districts Despite Serving </w:t>
      </w:r>
      <w:proofErr w:type="gramStart"/>
      <w:r>
        <w:rPr>
          <w:rFonts w:ascii="Times" w:eastAsia="Times" w:hAnsi="Times" w:cs="Times"/>
          <w:color w:val="000000"/>
          <w:sz w:val="18"/>
          <w:szCs w:val="18"/>
        </w:rPr>
        <w:t>The</w:t>
      </w:r>
      <w:proofErr w:type="gramEnd"/>
      <w:r>
        <w:rPr>
          <w:rFonts w:ascii="Times" w:eastAsia="Times" w:hAnsi="Times" w:cs="Times"/>
          <w:color w:val="000000"/>
          <w:sz w:val="18"/>
          <w:szCs w:val="18"/>
        </w:rPr>
        <w:t xml:space="preserve"> Same Number of Students.” Ed Build. </w:t>
      </w:r>
      <w:hyperlink r:id="rId64">
        <w:r>
          <w:rPr>
            <w:rFonts w:ascii="Times" w:eastAsia="Times" w:hAnsi="Times" w:cs="Times"/>
            <w:color w:val="0000FF"/>
            <w:sz w:val="18"/>
            <w:szCs w:val="18"/>
            <w:u w:val="single"/>
          </w:rPr>
          <w:t>https://edbuild.org/content/23-billion</w:t>
        </w:r>
      </w:hyperlink>
      <w:r>
        <w:rPr>
          <w:rFonts w:ascii="Times" w:eastAsia="Times" w:hAnsi="Times" w:cs="Times"/>
          <w:color w:val="000000"/>
          <w:sz w:val="18"/>
          <w:szCs w:val="18"/>
        </w:rPr>
        <w:t xml:space="preserve"> ; Chang, </w:t>
      </w:r>
      <w:proofErr w:type="gramStart"/>
      <w:r>
        <w:rPr>
          <w:rFonts w:ascii="Times" w:eastAsia="Times" w:hAnsi="Times" w:cs="Times"/>
          <w:color w:val="000000"/>
          <w:sz w:val="18"/>
          <w:szCs w:val="18"/>
        </w:rPr>
        <w:t>Ailsa</w:t>
      </w:r>
      <w:proofErr w:type="gramEnd"/>
      <w:r>
        <w:rPr>
          <w:rFonts w:ascii="Times" w:eastAsia="Times" w:hAnsi="Times" w:cs="Times"/>
          <w:color w:val="000000"/>
          <w:sz w:val="18"/>
          <w:szCs w:val="18"/>
        </w:rPr>
        <w:t xml:space="preserve"> and Mehta, Jonaki. “Why U.S. Schools Are Still Segregated – And One Idea </w:t>
      </w:r>
      <w:proofErr w:type="gramStart"/>
      <w:r>
        <w:rPr>
          <w:rFonts w:ascii="Times" w:eastAsia="Times" w:hAnsi="Times" w:cs="Times"/>
          <w:color w:val="000000"/>
          <w:sz w:val="18"/>
          <w:szCs w:val="18"/>
        </w:rPr>
        <w:t>To</w:t>
      </w:r>
      <w:proofErr w:type="gramEnd"/>
      <w:r>
        <w:rPr>
          <w:rFonts w:ascii="Times" w:eastAsia="Times" w:hAnsi="Times" w:cs="Times"/>
          <w:color w:val="000000"/>
          <w:sz w:val="18"/>
          <w:szCs w:val="18"/>
        </w:rPr>
        <w:t xml:space="preserve"> Help Change That.” National Public Radio. July 7, 2020. </w:t>
      </w:r>
      <w:hyperlink r:id="rId65">
        <w:r>
          <w:rPr>
            <w:rFonts w:ascii="Times" w:eastAsia="Times" w:hAnsi="Times" w:cs="Times"/>
            <w:color w:val="0000FF"/>
            <w:sz w:val="18"/>
            <w:szCs w:val="18"/>
            <w:u w:val="single"/>
          </w:rPr>
          <w:t>https://www.npr.org/sections/live-updates-protests-for-racial-justice/2020/07/07/888469809/how-fundingmodel-preserves-racial-segregation-in-public-schools</w:t>
        </w:r>
      </w:hyperlink>
      <w:r>
        <w:rPr>
          <w:rFonts w:ascii="Times" w:eastAsia="Times" w:hAnsi="Times" w:cs="Times"/>
          <w:color w:val="000000"/>
          <w:sz w:val="18"/>
          <w:szCs w:val="18"/>
        </w:rPr>
        <w:t>; U.S. Commission on Civil Rights. 2018.</w:t>
      </w:r>
    </w:p>
  </w:footnote>
  <w:footnote w:id="71">
    <w:p w14:paraId="00000148" w14:textId="77777777" w:rsidR="00834BF6" w:rsidRDefault="002D7342">
      <w:pPr>
        <w:pBdr>
          <w:top w:val="nil"/>
          <w:left w:val="nil"/>
          <w:bottom w:val="nil"/>
          <w:right w:val="nil"/>
          <w:between w:val="nil"/>
        </w:pBdr>
        <w:rPr>
          <w:rFonts w:ascii="Times New Roman" w:eastAsia="Times New Roman" w:hAnsi="Times New Roman" w:cs="Times New Roman"/>
          <w:color w:val="000000"/>
          <w:sz w:val="18"/>
          <w:szCs w:val="18"/>
        </w:rPr>
      </w:pPr>
      <w:r>
        <w:rPr>
          <w:rStyle w:val="FootnoteReference"/>
        </w:rPr>
        <w:footnoteRef/>
      </w:r>
      <w:r>
        <w:rPr>
          <w:rFonts w:ascii="Times" w:eastAsia="Times" w:hAnsi="Times" w:cs="Times"/>
          <w:color w:val="000000"/>
          <w:sz w:val="18"/>
          <w:szCs w:val="18"/>
        </w:rPr>
        <w:t xml:space="preserve"> Baker, Bruce D. and Corcoran, Sean P. 2012; Urban Institute. “School Funding: Do Poor Kids Get Their Fair Share?” Urban Institute. May 2017. </w:t>
      </w:r>
      <w:hyperlink r:id="rId66">
        <w:r>
          <w:rPr>
            <w:rFonts w:ascii="Times" w:eastAsia="Times" w:hAnsi="Times" w:cs="Times"/>
            <w:color w:val="0000FF"/>
            <w:sz w:val="18"/>
            <w:szCs w:val="18"/>
            <w:u w:val="single"/>
          </w:rPr>
          <w:t>https://apps.urban.org/features/school-funding-do-poor-kids-get-fair-share/</w:t>
        </w:r>
      </w:hyperlink>
      <w:r>
        <w:rPr>
          <w:rFonts w:ascii="Times" w:eastAsia="Times" w:hAnsi="Times" w:cs="Times"/>
          <w:color w:val="000000"/>
          <w:sz w:val="18"/>
          <w:szCs w:val="18"/>
        </w:rPr>
        <w:t>.</w:t>
      </w:r>
    </w:p>
  </w:footnote>
  <w:footnote w:id="72">
    <w:p w14:paraId="00000149" w14:textId="77777777" w:rsidR="00834BF6" w:rsidRDefault="002D7342">
      <w:pPr>
        <w:pBdr>
          <w:top w:val="nil"/>
          <w:left w:val="nil"/>
          <w:bottom w:val="nil"/>
          <w:right w:val="nil"/>
          <w:between w:val="nil"/>
        </w:pBdr>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18"/>
          <w:szCs w:val="18"/>
        </w:rPr>
        <w:t>Village of Arlington Heights v. Metropolitan Housing Development Corp, 429 U.S. 252 (1977).</w:t>
      </w:r>
    </w:p>
  </w:footnote>
  <w:footnote w:id="73">
    <w:p w14:paraId="0000014A" w14:textId="77777777" w:rsidR="00834BF6" w:rsidRDefault="002D7342">
      <w:pPr>
        <w:pBdr>
          <w:top w:val="nil"/>
          <w:left w:val="nil"/>
          <w:bottom w:val="nil"/>
          <w:right w:val="nil"/>
          <w:between w:val="nil"/>
        </w:pBdr>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42 U.S.C. § 3608.</w:t>
      </w:r>
    </w:p>
  </w:footnote>
  <w:footnote w:id="74">
    <w:p w14:paraId="0000014B" w14:textId="77777777" w:rsidR="00834BF6" w:rsidRDefault="002D7342">
      <w:pPr>
        <w:pBdr>
          <w:top w:val="nil"/>
          <w:left w:val="nil"/>
          <w:bottom w:val="nil"/>
          <w:right w:val="nil"/>
          <w:between w:val="nil"/>
        </w:pBdr>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National Fair Housing Alliance, 2021 Fair Housing Trends Report, at 9; available at https://nationalfairhousing.org/wp-content/uploads/2021/07/2021-Fair-Housing-Trends-Report_FINAL.pdf</w:t>
      </w:r>
    </w:p>
  </w:footnote>
  <w:footnote w:id="75">
    <w:p w14:paraId="0000014C" w14:textId="77777777" w:rsidR="00834BF6" w:rsidRDefault="002D7342">
      <w:pPr>
        <w:pBdr>
          <w:top w:val="nil"/>
          <w:left w:val="nil"/>
          <w:bottom w:val="nil"/>
          <w:right w:val="nil"/>
          <w:between w:val="nil"/>
        </w:pBdr>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Federal Financial Institutions Examination Council, Appraisal Subcommittee, “Identifying Bias and Barriers, Promoting Equity: An Analysis of the USPAP Standards and Appraiser Qualifications Criteria,” at 18, available at https://www.asc.gov/Documents/OtherCorrespondence/2022-01-14%20NFHA%20et%20al_Analysis.pdf</w:t>
      </w:r>
    </w:p>
  </w:footnote>
  <w:footnote w:id="76">
    <w:p w14:paraId="0000014D" w14:textId="77777777" w:rsidR="00834BF6" w:rsidRDefault="002D7342">
      <w:pPr>
        <w:pBdr>
          <w:top w:val="nil"/>
          <w:left w:val="nil"/>
          <w:bottom w:val="nil"/>
          <w:right w:val="nil"/>
          <w:between w:val="nil"/>
        </w:pBdr>
        <w:rPr>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Texas Dept. of Housing and Community Affairs v. Inclusive Communities Project, Inc.</w:t>
      </w:r>
      <w:r>
        <w:rPr>
          <w:rFonts w:ascii="Times New Roman" w:eastAsia="Times New Roman" w:hAnsi="Times New Roman" w:cs="Times New Roman"/>
          <w:color w:val="000000"/>
          <w:sz w:val="18"/>
          <w:szCs w:val="18"/>
        </w:rPr>
        <w:t>, 576 U.S. 519 (2015).</w:t>
      </w:r>
    </w:p>
  </w:footnote>
  <w:footnote w:id="77">
    <w:p w14:paraId="000000ED" w14:textId="77777777" w:rsidR="00834BF6" w:rsidRDefault="002D7342">
      <w:pPr>
        <w:rPr>
          <w:rFonts w:ascii="Times" w:eastAsia="Times" w:hAnsi="Times" w:cs="Times"/>
          <w:sz w:val="18"/>
          <w:szCs w:val="18"/>
          <w:highlight w:val="yellow"/>
        </w:rPr>
      </w:pPr>
      <w:r>
        <w:rPr>
          <w:rStyle w:val="FootnoteReference"/>
        </w:rPr>
        <w:footnoteRef/>
      </w:r>
      <w:r>
        <w:rPr>
          <w:rFonts w:ascii="Times" w:eastAsia="Times" w:hAnsi="Times" w:cs="Times"/>
          <w:sz w:val="18"/>
          <w:szCs w:val="18"/>
        </w:rPr>
        <w:t xml:space="preserve"> </w:t>
      </w:r>
      <w:hyperlink r:id="rId67">
        <w:r>
          <w:rPr>
            <w:rFonts w:ascii="Times" w:eastAsia="Times" w:hAnsi="Times" w:cs="Times"/>
            <w:color w:val="0000FF"/>
            <w:sz w:val="18"/>
            <w:szCs w:val="18"/>
            <w:u w:val="single"/>
          </w:rPr>
          <w:t>https://www.npr.org/2021/11/06/1052786254/border-patrol-agents-horseback-investigation-haitian-immigrants</w:t>
        </w:r>
      </w:hyperlink>
    </w:p>
  </w:footnote>
  <w:footnote w:id="78">
    <w:p w14:paraId="000000EE" w14:textId="77777777" w:rsidR="00834BF6" w:rsidRDefault="002D7342">
      <w:pPr>
        <w:pBdr>
          <w:top w:val="nil"/>
          <w:left w:val="nil"/>
          <w:bottom w:val="nil"/>
          <w:right w:val="nil"/>
          <w:between w:val="nil"/>
        </w:pBdr>
        <w:rPr>
          <w:rFonts w:ascii="Times New Roman" w:eastAsia="Times New Roman" w:hAnsi="Times New Roman" w:cs="Times New Roman"/>
          <w:color w:val="000000"/>
          <w:sz w:val="20"/>
          <w:szCs w:val="20"/>
          <w:highlight w:val="yellow"/>
        </w:rPr>
      </w:pPr>
      <w:r>
        <w:rPr>
          <w:rStyle w:val="FootnoteReference"/>
        </w:rPr>
        <w:footnoteRef/>
      </w:r>
      <w:r>
        <w:rPr>
          <w:rFonts w:ascii="Times New Roman" w:eastAsia="Times New Roman" w:hAnsi="Times New Roman" w:cs="Times New Roman"/>
          <w:color w:val="000000"/>
          <w:sz w:val="20"/>
          <w:szCs w:val="20"/>
        </w:rPr>
        <w:t xml:space="preserve"> https://www.sandiegouniontribune.com/news/border-baja-california/story/2022-04-06/cbp-ukrainians-pedwest</w:t>
      </w:r>
    </w:p>
  </w:footnote>
  <w:footnote w:id="79">
    <w:p w14:paraId="000000EF"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Testimony of Wade Henderson, The Leadership Conference on Civil and Human Rights, Hearing on Oversight of the Voting Rights Act: Potential Legislative Reforms, Aug. 16, 2021, U.S. House Committee on the Judiciary, Subcommittee on the Constitution, Civil Rights, and Civil Liberties, </w:t>
      </w:r>
      <w:hyperlink r:id="rId68">
        <w:r>
          <w:rPr>
            <w:rFonts w:ascii="Times" w:eastAsia="Times" w:hAnsi="Times" w:cs="Times"/>
            <w:color w:val="0000FF"/>
            <w:sz w:val="18"/>
            <w:szCs w:val="18"/>
            <w:u w:val="single"/>
          </w:rPr>
          <w:t>https://docs.house.gov/meetings/JU/JU10/20210816/114010/HHRG-117-JU10-Wstate-HendersonW-20210816.pdf</w:t>
        </w:r>
      </w:hyperlink>
    </w:p>
  </w:footnote>
  <w:footnote w:id="80">
    <w:p w14:paraId="000000F0"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i/>
          <w:color w:val="000000"/>
          <w:sz w:val="18"/>
          <w:szCs w:val="18"/>
        </w:rPr>
        <w:t xml:space="preserve">Democracy Diverted: Polling Closures and the Right to Vote, </w:t>
      </w:r>
      <w:r>
        <w:rPr>
          <w:rFonts w:ascii="Times" w:eastAsia="Times" w:hAnsi="Times" w:cs="Times"/>
          <w:smallCaps/>
          <w:color w:val="000000"/>
          <w:sz w:val="18"/>
          <w:szCs w:val="18"/>
        </w:rPr>
        <w:t>The Leadership Conference Education Fund</w:t>
      </w:r>
      <w:r>
        <w:rPr>
          <w:rFonts w:ascii="Times" w:eastAsia="Times" w:hAnsi="Times" w:cs="Times"/>
          <w:color w:val="000000"/>
          <w:sz w:val="18"/>
          <w:szCs w:val="18"/>
        </w:rPr>
        <w:t xml:space="preserve"> (Sept. 2019).</w:t>
      </w:r>
    </w:p>
  </w:footnote>
  <w:footnote w:id="81">
    <w:p w14:paraId="000000F1" w14:textId="77777777" w:rsidR="00834BF6" w:rsidRDefault="002D7342">
      <w:pPr>
        <w:pBdr>
          <w:top w:val="nil"/>
          <w:left w:val="nil"/>
          <w:bottom w:val="nil"/>
          <w:right w:val="nil"/>
          <w:between w:val="nil"/>
        </w:pBdr>
        <w:rPr>
          <w:rFonts w:ascii="Times" w:eastAsia="Times" w:hAnsi="Times" w:cs="Times"/>
          <w:i/>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i/>
          <w:color w:val="000000"/>
          <w:sz w:val="18"/>
          <w:szCs w:val="18"/>
        </w:rPr>
        <w:t>Id.</w:t>
      </w:r>
    </w:p>
  </w:footnote>
  <w:footnote w:id="82">
    <w:p w14:paraId="000000F2" w14:textId="77777777" w:rsidR="00834BF6" w:rsidRDefault="002D7342">
      <w:pPr>
        <w:pBdr>
          <w:top w:val="nil"/>
          <w:left w:val="nil"/>
          <w:bottom w:val="nil"/>
          <w:right w:val="nil"/>
          <w:between w:val="nil"/>
        </w:pBdr>
        <w:rPr>
          <w:color w:val="000000"/>
          <w:sz w:val="20"/>
          <w:szCs w:val="20"/>
        </w:rPr>
      </w:pPr>
      <w:r>
        <w:rPr>
          <w:rStyle w:val="FootnoteReference"/>
        </w:rPr>
        <w:footnoteRef/>
      </w:r>
      <w:r>
        <w:rPr>
          <w:rFonts w:ascii="Times" w:eastAsia="Times" w:hAnsi="Times" w:cs="Times"/>
          <w:color w:val="000000"/>
          <w:sz w:val="18"/>
          <w:szCs w:val="18"/>
        </w:rPr>
        <w:t xml:space="preserve"> Fredreka Schouten, </w:t>
      </w:r>
      <w:r>
        <w:rPr>
          <w:rFonts w:ascii="Times" w:eastAsia="Times" w:hAnsi="Times" w:cs="Times"/>
          <w:i/>
          <w:color w:val="000000"/>
          <w:sz w:val="18"/>
          <w:szCs w:val="18"/>
        </w:rPr>
        <w:t>Plans to Close All but One Polling Place in a Rural Georgia County Reverberate Though Battleground State</w:t>
      </w:r>
      <w:r>
        <w:rPr>
          <w:rFonts w:ascii="Times" w:eastAsia="Times" w:hAnsi="Times" w:cs="Times"/>
          <w:color w:val="000000"/>
          <w:sz w:val="18"/>
          <w:szCs w:val="18"/>
        </w:rPr>
        <w:t xml:space="preserve">, </w:t>
      </w:r>
      <w:r>
        <w:rPr>
          <w:rFonts w:ascii="Times" w:eastAsia="Times" w:hAnsi="Times" w:cs="Times"/>
          <w:smallCaps/>
          <w:color w:val="000000"/>
          <w:sz w:val="18"/>
          <w:szCs w:val="18"/>
        </w:rPr>
        <w:t>CNN</w:t>
      </w:r>
      <w:r>
        <w:rPr>
          <w:rFonts w:ascii="Times" w:eastAsia="Times" w:hAnsi="Times" w:cs="Times"/>
          <w:color w:val="000000"/>
          <w:sz w:val="18"/>
          <w:szCs w:val="18"/>
        </w:rPr>
        <w:t xml:space="preserve">, Jan. 2, 2022, </w:t>
      </w:r>
      <w:hyperlink r:id="rId69">
        <w:r>
          <w:rPr>
            <w:rFonts w:ascii="Times" w:eastAsia="Times" w:hAnsi="Times" w:cs="Times"/>
            <w:color w:val="0000FF"/>
            <w:sz w:val="18"/>
            <w:szCs w:val="18"/>
            <w:u w:val="single"/>
          </w:rPr>
          <w:t>https://www.cnn.com/2022/01/19/politics/poll-closures-rural-lincoln-county-georgia/index.html</w:t>
        </w:r>
      </w:hyperlink>
    </w:p>
  </w:footnote>
  <w:footnote w:id="83">
    <w:p w14:paraId="000000F3"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color w:val="000000"/>
          <w:sz w:val="20"/>
          <w:szCs w:val="20"/>
        </w:rPr>
        <w:t xml:space="preserve"> </w:t>
      </w:r>
      <w:r>
        <w:rPr>
          <w:rFonts w:ascii="Times" w:eastAsia="Times" w:hAnsi="Times" w:cs="Times"/>
          <w:color w:val="000000"/>
          <w:sz w:val="18"/>
          <w:szCs w:val="18"/>
        </w:rPr>
        <w:t xml:space="preserve">Brennan Center for Justice, Voting Laws Roundup, December 2021, </w:t>
      </w:r>
      <w:hyperlink r:id="rId70">
        <w:r>
          <w:rPr>
            <w:rFonts w:ascii="Times" w:eastAsia="Times" w:hAnsi="Times" w:cs="Times"/>
            <w:color w:val="0000FF"/>
            <w:sz w:val="18"/>
            <w:szCs w:val="18"/>
            <w:u w:val="single"/>
          </w:rPr>
          <w:t>https://www.brennancenter.org/our-work/research-reports/voting-laws-roundup-december-2021</w:t>
        </w:r>
      </w:hyperlink>
    </w:p>
  </w:footnote>
  <w:footnote w:id="84">
    <w:p w14:paraId="000000F4"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i/>
          <w:color w:val="000000"/>
          <w:sz w:val="18"/>
          <w:szCs w:val="18"/>
        </w:rPr>
        <w:t>Id.</w:t>
      </w:r>
      <w:r>
        <w:rPr>
          <w:rFonts w:ascii="Times" w:eastAsia="Times" w:hAnsi="Times" w:cs="Times"/>
          <w:color w:val="000000"/>
          <w:sz w:val="18"/>
          <w:szCs w:val="18"/>
        </w:rPr>
        <w:t xml:space="preserve"> </w:t>
      </w:r>
    </w:p>
  </w:footnote>
  <w:footnote w:id="85">
    <w:p w14:paraId="000000F5"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w:t>
      </w:r>
      <w:r>
        <w:rPr>
          <w:rFonts w:ascii="Times" w:eastAsia="Times" w:hAnsi="Times" w:cs="Times"/>
          <w:i/>
          <w:color w:val="000000"/>
          <w:sz w:val="18"/>
          <w:szCs w:val="18"/>
        </w:rPr>
        <w:t>Id.</w:t>
      </w:r>
    </w:p>
  </w:footnote>
  <w:footnote w:id="86">
    <w:p w14:paraId="000000F6"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Brennan Center for Justice, Voting Laws Roundup, February 2022, </w:t>
      </w:r>
      <w:hyperlink r:id="rId71">
        <w:r>
          <w:rPr>
            <w:rFonts w:ascii="Times" w:eastAsia="Times" w:hAnsi="Times" w:cs="Times"/>
            <w:color w:val="0000FF"/>
            <w:sz w:val="18"/>
            <w:szCs w:val="18"/>
            <w:u w:val="single"/>
          </w:rPr>
          <w:t>https://www.brennancenter.org/our-work/research-reports/voting-laws-roundup-february-2022</w:t>
        </w:r>
      </w:hyperlink>
      <w:r>
        <w:rPr>
          <w:rFonts w:ascii="Times" w:eastAsia="Times" w:hAnsi="Times" w:cs="Times"/>
          <w:color w:val="000000"/>
          <w:sz w:val="18"/>
          <w:szCs w:val="18"/>
        </w:rPr>
        <w:t>. NOTE: Brennan says there are updating this tracker so it will likely be available by the time this report is finalized.</w:t>
      </w:r>
    </w:p>
  </w:footnote>
  <w:footnote w:id="87">
    <w:p w14:paraId="000000F8"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Brennan Center for Justice, Local Election Officials Survey (March 2022), </w:t>
      </w:r>
      <w:hyperlink r:id="rId72">
        <w:r>
          <w:rPr>
            <w:rFonts w:ascii="Times" w:eastAsia="Times" w:hAnsi="Times" w:cs="Times"/>
            <w:color w:val="0000FF"/>
            <w:sz w:val="18"/>
            <w:szCs w:val="18"/>
            <w:u w:val="single"/>
          </w:rPr>
          <w:t>https://www.brennancenter.org/our-work/research-reports/local-election-officials-survey-march-2022</w:t>
        </w:r>
      </w:hyperlink>
    </w:p>
  </w:footnote>
  <w:footnote w:id="88">
    <w:p w14:paraId="000000F9"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Ari Berman, </w:t>
      </w:r>
      <w:r>
        <w:rPr>
          <w:rFonts w:ascii="Times" w:eastAsia="Times" w:hAnsi="Times" w:cs="Times"/>
          <w:i/>
          <w:color w:val="000000"/>
          <w:sz w:val="18"/>
          <w:szCs w:val="18"/>
        </w:rPr>
        <w:t>The Coming Coup: How Republicans are Laying the Groundwork to Steal Future Elections</w:t>
      </w:r>
      <w:r>
        <w:rPr>
          <w:rFonts w:ascii="Times" w:eastAsia="Times" w:hAnsi="Times" w:cs="Times"/>
          <w:color w:val="000000"/>
          <w:sz w:val="18"/>
          <w:szCs w:val="18"/>
        </w:rPr>
        <w:t xml:space="preserve">, </w:t>
      </w:r>
      <w:r>
        <w:rPr>
          <w:rFonts w:ascii="Times" w:eastAsia="Times" w:hAnsi="Times" w:cs="Times"/>
          <w:smallCaps/>
          <w:color w:val="000000"/>
          <w:sz w:val="18"/>
          <w:szCs w:val="18"/>
        </w:rPr>
        <w:t>Mother Jones</w:t>
      </w:r>
      <w:r>
        <w:rPr>
          <w:rFonts w:ascii="Times" w:eastAsia="Times" w:hAnsi="Times" w:cs="Times"/>
          <w:color w:val="000000"/>
          <w:sz w:val="18"/>
          <w:szCs w:val="18"/>
        </w:rPr>
        <w:t xml:space="preserve">, Jan. 13, 2022, </w:t>
      </w:r>
      <w:hyperlink r:id="rId73">
        <w:r>
          <w:rPr>
            <w:rFonts w:ascii="Times" w:eastAsia="Times" w:hAnsi="Times" w:cs="Times"/>
            <w:color w:val="0000FF"/>
            <w:sz w:val="18"/>
            <w:szCs w:val="18"/>
            <w:u w:val="single"/>
          </w:rPr>
          <w:t>https://www.motherjones.com/politics/2022/01/how-republicans-are-taking-over-election-system-big-lie/</w:t>
        </w:r>
      </w:hyperlink>
    </w:p>
  </w:footnote>
  <w:footnote w:id="89">
    <w:p w14:paraId="000000FA"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Laurel White &amp; Sam Dunklau, </w:t>
      </w:r>
      <w:r>
        <w:rPr>
          <w:rFonts w:ascii="Times" w:eastAsia="Times" w:hAnsi="Times" w:cs="Times"/>
          <w:i/>
          <w:color w:val="000000"/>
          <w:sz w:val="18"/>
          <w:szCs w:val="18"/>
        </w:rPr>
        <w:t>Republican-Led Election Reviews Take Shape in Pennsylvania and Wisconsin</w:t>
      </w:r>
      <w:r>
        <w:rPr>
          <w:rFonts w:ascii="Times" w:eastAsia="Times" w:hAnsi="Times" w:cs="Times"/>
          <w:color w:val="000000"/>
          <w:sz w:val="18"/>
          <w:szCs w:val="18"/>
        </w:rPr>
        <w:t xml:space="preserve">, </w:t>
      </w:r>
      <w:r>
        <w:rPr>
          <w:rFonts w:ascii="Times" w:eastAsia="Times" w:hAnsi="Times" w:cs="Times"/>
          <w:smallCaps/>
          <w:color w:val="000000"/>
          <w:sz w:val="18"/>
          <w:szCs w:val="18"/>
        </w:rPr>
        <w:t>NPR</w:t>
      </w:r>
      <w:r>
        <w:rPr>
          <w:rFonts w:ascii="Times" w:eastAsia="Times" w:hAnsi="Times" w:cs="Times"/>
          <w:color w:val="000000"/>
          <w:sz w:val="18"/>
          <w:szCs w:val="18"/>
        </w:rPr>
        <w:t xml:space="preserve">, Sept. 23, 2021, </w:t>
      </w:r>
      <w:hyperlink r:id="rId74">
        <w:r>
          <w:rPr>
            <w:rFonts w:ascii="Times" w:eastAsia="Times" w:hAnsi="Times" w:cs="Times"/>
            <w:color w:val="0000FF"/>
            <w:sz w:val="18"/>
            <w:szCs w:val="18"/>
            <w:u w:val="single"/>
          </w:rPr>
          <w:t>https://www.npr.org/2021/09/23/1039451858/republican-led-election-reviews-take-shape-in-pennsylvania-and-wisconsin</w:t>
        </w:r>
      </w:hyperlink>
    </w:p>
  </w:footnote>
  <w:footnote w:id="90">
    <w:p w14:paraId="000000FF"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Statement of Wade Henderson, The Leadership Conference on Civil and Human Rights, Hearing on H.R. 51, The “Washington, D.C. Admission Act,” U.S. House of Representatives, Committee on Oversight &amp; Reform, March 22, 2021, </w:t>
      </w:r>
      <w:hyperlink r:id="rId75">
        <w:r>
          <w:rPr>
            <w:rFonts w:ascii="Times" w:eastAsia="Times" w:hAnsi="Times" w:cs="Times"/>
            <w:color w:val="0000FF"/>
            <w:sz w:val="18"/>
            <w:szCs w:val="18"/>
            <w:u w:val="single"/>
          </w:rPr>
          <w:t>http://civilrightsdocs.info/pdf/testimony/Testimony-Henderson-HR51-HCOR-3.22.21.pdf</w:t>
        </w:r>
      </w:hyperlink>
      <w:r>
        <w:rPr>
          <w:rFonts w:ascii="Times" w:eastAsia="Times" w:hAnsi="Times" w:cs="Times"/>
          <w:color w:val="000000"/>
          <w:sz w:val="18"/>
          <w:szCs w:val="18"/>
        </w:rPr>
        <w:t xml:space="preserve">  </w:t>
      </w:r>
    </w:p>
  </w:footnote>
  <w:footnote w:id="91">
    <w:p w14:paraId="00000100" w14:textId="77777777" w:rsidR="00834BF6" w:rsidRDefault="002D7342">
      <w:pPr>
        <w:pBdr>
          <w:top w:val="nil"/>
          <w:left w:val="nil"/>
          <w:bottom w:val="nil"/>
          <w:right w:val="nil"/>
          <w:between w:val="nil"/>
        </w:pBdr>
        <w:rPr>
          <w:rFonts w:ascii="Times" w:eastAsia="Times" w:hAnsi="Times" w:cs="Times"/>
          <w:color w:val="000000"/>
          <w:sz w:val="18"/>
          <w:szCs w:val="18"/>
        </w:rPr>
      </w:pPr>
      <w:r>
        <w:rPr>
          <w:rStyle w:val="FootnoteReference"/>
        </w:rPr>
        <w:footnoteRef/>
      </w:r>
      <w:r>
        <w:rPr>
          <w:rFonts w:ascii="Times" w:eastAsia="Times" w:hAnsi="Times" w:cs="Times"/>
          <w:color w:val="000000"/>
          <w:sz w:val="18"/>
          <w:szCs w:val="18"/>
        </w:rPr>
        <w:t xml:space="preserve"> U.S. Census Bureau, QuickFacts, District of Columbia, Population Estimates, July 1, 2021, </w:t>
      </w:r>
      <w:hyperlink r:id="rId76">
        <w:r>
          <w:rPr>
            <w:rFonts w:ascii="Times" w:eastAsia="Times" w:hAnsi="Times" w:cs="Times"/>
            <w:color w:val="0000FF"/>
            <w:sz w:val="18"/>
            <w:szCs w:val="18"/>
            <w:u w:val="single"/>
          </w:rPr>
          <w:t>https://www.census.gov/quickfacts/DC</w:t>
        </w:r>
      </w:hyperlink>
    </w:p>
    <w:p w14:paraId="00000101" w14:textId="77777777" w:rsidR="00834BF6" w:rsidRDefault="002D7342">
      <w:pPr>
        <w:pBdr>
          <w:top w:val="nil"/>
          <w:left w:val="nil"/>
          <w:bottom w:val="nil"/>
          <w:right w:val="nil"/>
          <w:between w:val="nil"/>
        </w:pBdr>
        <w:rPr>
          <w:rFonts w:ascii="Times" w:eastAsia="Times" w:hAnsi="Times" w:cs="Times"/>
          <w:color w:val="000000"/>
          <w:sz w:val="18"/>
          <w:szCs w:val="18"/>
        </w:rPr>
      </w:pPr>
      <w:r>
        <w:rPr>
          <w:rFonts w:ascii="Times" w:eastAsia="Times" w:hAnsi="Times" w:cs="Times"/>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07AAF"/>
    <w:multiLevelType w:val="multilevel"/>
    <w:tmpl w:val="B6462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E3D74AA"/>
    <w:multiLevelType w:val="multilevel"/>
    <w:tmpl w:val="016CD4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A97CC1"/>
    <w:multiLevelType w:val="multilevel"/>
    <w:tmpl w:val="A61E77DA"/>
    <w:lvl w:ilvl="0">
      <w:start w:val="1"/>
      <w:numFmt w:val="bullet"/>
      <w:lvlText w:val="●"/>
      <w:lvlJc w:val="left"/>
      <w:pPr>
        <w:ind w:left="630" w:hanging="360"/>
      </w:pPr>
      <w:rPr>
        <w:rFonts w:ascii="Noto Sans Symbols" w:eastAsia="Noto Sans Symbols" w:hAnsi="Noto Sans Symbols" w:cs="Noto Sans Symbols"/>
      </w:rPr>
    </w:lvl>
    <w:lvl w:ilvl="1">
      <w:start w:val="1"/>
      <w:numFmt w:val="bullet"/>
      <w:lvlText w:val="o"/>
      <w:lvlJc w:val="left"/>
      <w:pPr>
        <w:ind w:left="1350" w:hanging="360"/>
      </w:pPr>
      <w:rPr>
        <w:rFonts w:ascii="Courier New" w:eastAsia="Courier New" w:hAnsi="Courier New" w:cs="Courier New"/>
      </w:rPr>
    </w:lvl>
    <w:lvl w:ilvl="2">
      <w:start w:val="1"/>
      <w:numFmt w:val="bullet"/>
      <w:lvlText w:val="▪"/>
      <w:lvlJc w:val="left"/>
      <w:pPr>
        <w:ind w:left="2070" w:hanging="360"/>
      </w:pPr>
      <w:rPr>
        <w:rFonts w:ascii="Noto Sans Symbols" w:eastAsia="Noto Sans Symbols" w:hAnsi="Noto Sans Symbols" w:cs="Noto Sans Symbols"/>
      </w:rPr>
    </w:lvl>
    <w:lvl w:ilvl="3">
      <w:start w:val="1"/>
      <w:numFmt w:val="bullet"/>
      <w:lvlText w:val="●"/>
      <w:lvlJc w:val="left"/>
      <w:pPr>
        <w:ind w:left="2790" w:hanging="360"/>
      </w:pPr>
      <w:rPr>
        <w:rFonts w:ascii="Noto Sans Symbols" w:eastAsia="Noto Sans Symbols" w:hAnsi="Noto Sans Symbols" w:cs="Noto Sans Symbols"/>
      </w:rPr>
    </w:lvl>
    <w:lvl w:ilvl="4">
      <w:start w:val="1"/>
      <w:numFmt w:val="bullet"/>
      <w:lvlText w:val="o"/>
      <w:lvlJc w:val="left"/>
      <w:pPr>
        <w:ind w:left="3510" w:hanging="360"/>
      </w:pPr>
      <w:rPr>
        <w:rFonts w:ascii="Courier New" w:eastAsia="Courier New" w:hAnsi="Courier New" w:cs="Courier New"/>
      </w:rPr>
    </w:lvl>
    <w:lvl w:ilvl="5">
      <w:start w:val="1"/>
      <w:numFmt w:val="bullet"/>
      <w:lvlText w:val="▪"/>
      <w:lvlJc w:val="left"/>
      <w:pPr>
        <w:ind w:left="4230" w:hanging="360"/>
      </w:pPr>
      <w:rPr>
        <w:rFonts w:ascii="Noto Sans Symbols" w:eastAsia="Noto Sans Symbols" w:hAnsi="Noto Sans Symbols" w:cs="Noto Sans Symbols"/>
      </w:rPr>
    </w:lvl>
    <w:lvl w:ilvl="6">
      <w:start w:val="1"/>
      <w:numFmt w:val="bullet"/>
      <w:lvlText w:val="●"/>
      <w:lvlJc w:val="left"/>
      <w:pPr>
        <w:ind w:left="4950" w:hanging="360"/>
      </w:pPr>
      <w:rPr>
        <w:rFonts w:ascii="Noto Sans Symbols" w:eastAsia="Noto Sans Symbols" w:hAnsi="Noto Sans Symbols" w:cs="Noto Sans Symbols"/>
      </w:rPr>
    </w:lvl>
    <w:lvl w:ilvl="7">
      <w:start w:val="1"/>
      <w:numFmt w:val="bullet"/>
      <w:lvlText w:val="o"/>
      <w:lvlJc w:val="left"/>
      <w:pPr>
        <w:ind w:left="5670" w:hanging="360"/>
      </w:pPr>
      <w:rPr>
        <w:rFonts w:ascii="Courier New" w:eastAsia="Courier New" w:hAnsi="Courier New" w:cs="Courier New"/>
      </w:rPr>
    </w:lvl>
    <w:lvl w:ilvl="8">
      <w:start w:val="1"/>
      <w:numFmt w:val="bullet"/>
      <w:lvlText w:val="▪"/>
      <w:lvlJc w:val="left"/>
      <w:pPr>
        <w:ind w:left="6390" w:hanging="360"/>
      </w:pPr>
      <w:rPr>
        <w:rFonts w:ascii="Noto Sans Symbols" w:eastAsia="Noto Sans Symbols" w:hAnsi="Noto Sans Symbols" w:cs="Noto Sans Symbols"/>
      </w:rPr>
    </w:lvl>
  </w:abstractNum>
  <w:abstractNum w:abstractNumId="3" w15:restartNumberingAfterBreak="0">
    <w:nsid w:val="4AFD0F3B"/>
    <w:multiLevelType w:val="multilevel"/>
    <w:tmpl w:val="F5DEDA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C0221CA"/>
    <w:multiLevelType w:val="multilevel"/>
    <w:tmpl w:val="FDA662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61F241E3"/>
    <w:multiLevelType w:val="multilevel"/>
    <w:tmpl w:val="B1F6BF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BF6"/>
    <w:rsid w:val="0011078B"/>
    <w:rsid w:val="002D7342"/>
    <w:rsid w:val="005C7C7D"/>
    <w:rsid w:val="00834BF6"/>
    <w:rsid w:val="00A7537D"/>
    <w:rsid w:val="00C83ED9"/>
    <w:rsid w:val="00DC4135"/>
    <w:rsid w:val="00DC680A"/>
    <w:rsid w:val="00DD4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A3A7"/>
  <w15:docId w15:val="{77ED5C20-1521-40C6-9919-46EE46DF1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D3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080D3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18772F"/>
  </w:style>
  <w:style w:type="character" w:customStyle="1" w:styleId="markedcontent">
    <w:name w:val="markedcontent"/>
    <w:basedOn w:val="DefaultParagraphFont"/>
    <w:rsid w:val="0018772F"/>
  </w:style>
  <w:style w:type="paragraph" w:styleId="ListParagraph">
    <w:name w:val="List Paragraph"/>
    <w:basedOn w:val="Normal"/>
    <w:uiPriority w:val="34"/>
    <w:qFormat/>
    <w:rsid w:val="003B1A3F"/>
    <w:pPr>
      <w:ind w:left="720"/>
      <w:contextualSpacing/>
    </w:pPr>
  </w:style>
  <w:style w:type="character" w:styleId="Hyperlink">
    <w:name w:val="Hyperlink"/>
    <w:uiPriority w:val="99"/>
    <w:rsid w:val="006B2F14"/>
    <w:rPr>
      <w:color w:val="0000FF"/>
      <w:u w:val="single"/>
    </w:rPr>
  </w:style>
  <w:style w:type="paragraph" w:styleId="FootnoteText">
    <w:name w:val="footnote text"/>
    <w:basedOn w:val="Normal"/>
    <w:link w:val="FootnoteTextChar"/>
    <w:uiPriority w:val="99"/>
    <w:rsid w:val="006B2F14"/>
    <w:rPr>
      <w:rFonts w:ascii="Times New Roman" w:eastAsia="Times New Roman" w:hAnsi="Times New Roman" w:cs="Times New Roman"/>
      <w:color w:val="000000"/>
      <w:kern w:val="28"/>
      <w:sz w:val="20"/>
      <w:szCs w:val="20"/>
    </w:rPr>
  </w:style>
  <w:style w:type="character" w:customStyle="1" w:styleId="FootnoteTextChar">
    <w:name w:val="Footnote Text Char"/>
    <w:basedOn w:val="DefaultParagraphFont"/>
    <w:link w:val="FootnoteText"/>
    <w:uiPriority w:val="99"/>
    <w:rsid w:val="006B2F14"/>
    <w:rPr>
      <w:rFonts w:ascii="Times New Roman" w:eastAsia="Times New Roman" w:hAnsi="Times New Roman" w:cs="Times New Roman"/>
      <w:color w:val="000000"/>
      <w:kern w:val="28"/>
      <w:sz w:val="20"/>
      <w:szCs w:val="20"/>
    </w:rPr>
  </w:style>
  <w:style w:type="character" w:styleId="FootnoteReference">
    <w:name w:val="footnote reference"/>
    <w:uiPriority w:val="99"/>
    <w:rsid w:val="006B2F14"/>
    <w:rPr>
      <w:vertAlign w:val="superscript"/>
    </w:rPr>
  </w:style>
  <w:style w:type="character" w:styleId="CommentReference">
    <w:name w:val="annotation reference"/>
    <w:basedOn w:val="DefaultParagraphFont"/>
    <w:uiPriority w:val="99"/>
    <w:semiHidden/>
    <w:unhideWhenUsed/>
    <w:rsid w:val="0057038B"/>
    <w:rPr>
      <w:sz w:val="16"/>
      <w:szCs w:val="16"/>
    </w:rPr>
  </w:style>
  <w:style w:type="paragraph" w:styleId="CommentText">
    <w:name w:val="annotation text"/>
    <w:basedOn w:val="Normal"/>
    <w:link w:val="CommentTextChar"/>
    <w:uiPriority w:val="99"/>
    <w:unhideWhenUsed/>
    <w:rsid w:val="0057038B"/>
    <w:rPr>
      <w:sz w:val="20"/>
      <w:szCs w:val="20"/>
    </w:rPr>
  </w:style>
  <w:style w:type="character" w:customStyle="1" w:styleId="CommentTextChar">
    <w:name w:val="Comment Text Char"/>
    <w:basedOn w:val="DefaultParagraphFont"/>
    <w:link w:val="CommentText"/>
    <w:uiPriority w:val="99"/>
    <w:rsid w:val="0057038B"/>
    <w:rPr>
      <w:sz w:val="20"/>
      <w:szCs w:val="20"/>
    </w:rPr>
  </w:style>
  <w:style w:type="paragraph" w:styleId="CommentSubject">
    <w:name w:val="annotation subject"/>
    <w:basedOn w:val="CommentText"/>
    <w:next w:val="CommentText"/>
    <w:link w:val="CommentSubjectChar"/>
    <w:uiPriority w:val="99"/>
    <w:semiHidden/>
    <w:unhideWhenUsed/>
    <w:rsid w:val="0057038B"/>
    <w:rPr>
      <w:b/>
      <w:bCs/>
    </w:rPr>
  </w:style>
  <w:style w:type="character" w:customStyle="1" w:styleId="CommentSubjectChar">
    <w:name w:val="Comment Subject Char"/>
    <w:basedOn w:val="CommentTextChar"/>
    <w:link w:val="CommentSubject"/>
    <w:uiPriority w:val="99"/>
    <w:semiHidden/>
    <w:rsid w:val="0057038B"/>
    <w:rPr>
      <w:b/>
      <w:bCs/>
      <w:sz w:val="20"/>
      <w:szCs w:val="20"/>
    </w:rPr>
  </w:style>
  <w:style w:type="paragraph" w:styleId="EndnoteText">
    <w:name w:val="endnote text"/>
    <w:basedOn w:val="Normal"/>
    <w:link w:val="EndnoteTextChar"/>
    <w:uiPriority w:val="99"/>
    <w:semiHidden/>
    <w:unhideWhenUsed/>
    <w:rsid w:val="00943E90"/>
    <w:rPr>
      <w:sz w:val="20"/>
      <w:szCs w:val="20"/>
    </w:rPr>
  </w:style>
  <w:style w:type="character" w:customStyle="1" w:styleId="EndnoteTextChar">
    <w:name w:val="Endnote Text Char"/>
    <w:basedOn w:val="DefaultParagraphFont"/>
    <w:link w:val="EndnoteText"/>
    <w:uiPriority w:val="99"/>
    <w:semiHidden/>
    <w:rsid w:val="00943E90"/>
    <w:rPr>
      <w:sz w:val="20"/>
      <w:szCs w:val="20"/>
    </w:rPr>
  </w:style>
  <w:style w:type="character" w:styleId="EndnoteReference">
    <w:name w:val="endnote reference"/>
    <w:basedOn w:val="DefaultParagraphFont"/>
    <w:uiPriority w:val="99"/>
    <w:semiHidden/>
    <w:unhideWhenUsed/>
    <w:rsid w:val="00943E90"/>
    <w:rPr>
      <w:vertAlign w:val="superscript"/>
    </w:rPr>
  </w:style>
  <w:style w:type="character" w:styleId="FollowedHyperlink">
    <w:name w:val="FollowedHyperlink"/>
    <w:basedOn w:val="DefaultParagraphFont"/>
    <w:uiPriority w:val="99"/>
    <w:semiHidden/>
    <w:unhideWhenUsed/>
    <w:rsid w:val="00020E18"/>
    <w:rPr>
      <w:color w:val="954F72" w:themeColor="followedHyperlink"/>
      <w:u w:val="single"/>
    </w:rPr>
  </w:style>
  <w:style w:type="paragraph" w:customStyle="1" w:styleId="SingleTxtG">
    <w:name w:val="_ Single Txt_G"/>
    <w:basedOn w:val="Normal"/>
    <w:link w:val="SingleTxtGChar"/>
    <w:qFormat/>
    <w:rsid w:val="00020E1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020E18"/>
    <w:rPr>
      <w:rFonts w:ascii="Times New Roman" w:hAnsi="Times New Roman" w:cs="Times New Roman"/>
      <w:sz w:val="20"/>
      <w:szCs w:val="20"/>
      <w:lang w:val="en-GB"/>
    </w:rPr>
  </w:style>
  <w:style w:type="paragraph" w:customStyle="1" w:styleId="H23G">
    <w:name w:val="_ H_2/3_G"/>
    <w:basedOn w:val="Normal"/>
    <w:next w:val="Normal"/>
    <w:rsid w:val="00020E1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Revision">
    <w:name w:val="Revision"/>
    <w:hidden/>
    <w:uiPriority w:val="99"/>
    <w:semiHidden/>
    <w:rsid w:val="000B56CF"/>
  </w:style>
  <w:style w:type="paragraph" w:styleId="Footer">
    <w:name w:val="footer"/>
    <w:basedOn w:val="Normal"/>
    <w:link w:val="FooterChar"/>
    <w:uiPriority w:val="99"/>
    <w:unhideWhenUsed/>
    <w:rsid w:val="00195840"/>
    <w:pPr>
      <w:tabs>
        <w:tab w:val="center" w:pos="4680"/>
        <w:tab w:val="right" w:pos="9360"/>
      </w:tabs>
    </w:pPr>
  </w:style>
  <w:style w:type="character" w:customStyle="1" w:styleId="FooterChar">
    <w:name w:val="Footer Char"/>
    <w:basedOn w:val="DefaultParagraphFont"/>
    <w:link w:val="Footer"/>
    <w:uiPriority w:val="99"/>
    <w:rsid w:val="00195840"/>
  </w:style>
  <w:style w:type="character" w:styleId="PageNumber">
    <w:name w:val="page number"/>
    <w:basedOn w:val="DefaultParagraphFont"/>
    <w:uiPriority w:val="99"/>
    <w:semiHidden/>
    <w:unhideWhenUsed/>
    <w:rsid w:val="0019584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ugpolicy.org/issues/brief-history-drug-war" TargetMode="External"/><Relationship Id="rId13" Type="http://schemas.openxmlformats.org/officeDocument/2006/relationships/hyperlink" Target="https://csgjusticecenter.org/nrrc/facts-and-trends/" TargetMode="External"/><Relationship Id="rId18" Type="http://schemas.openxmlformats.org/officeDocument/2006/relationships/hyperlink" Target="https://scholar.harvard.edu/files/cyang/files/dgy_bail_aug2017.pdf?m=150403608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cist.com/story/19/03/01/conditions-in-the-d-c-jail-are-unsafe-and-unsanitary-d-c-auditor-says/" TargetMode="External"/><Relationship Id="rId7" Type="http://schemas.openxmlformats.org/officeDocument/2006/relationships/endnotes" Target="endnotes.xml"/><Relationship Id="rId12" Type="http://schemas.openxmlformats.org/officeDocument/2006/relationships/hyperlink" Target="https://bjs.ojp.gov/content/pub/pdf/p18.pdf" TargetMode="External"/><Relationship Id="rId17" Type="http://schemas.openxmlformats.org/officeDocument/2006/relationships/hyperlink" Target="https://pubs.aeaweb.org/doi/pdf/10.1257/aer.20161503"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rw.org/news/2018/06/01/q-pretrial-incarceration-bail-and-profile-based-risk-assessment-united-states" TargetMode="External"/><Relationship Id="rId20" Type="http://schemas.openxmlformats.org/officeDocument/2006/relationships/hyperlink" Target="https://www.treatmentadvocacycenter.org/evidence-and-research/learn-more-about/3695"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ugpolicy.org/issues/race-and-drug-wa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risonpolicy.org/reports/pie2020.html" TargetMode="External"/><Relationship Id="rId23" Type="http://schemas.openxmlformats.org/officeDocument/2006/relationships/hyperlink" Target="https://www.bjs.gov/content/pub/pdf/mlj0014_sum.pdf" TargetMode="External"/><Relationship Id="rId28" Type="http://schemas.openxmlformats.org/officeDocument/2006/relationships/customXml" Target="../customXml/item2.xml"/><Relationship Id="rId10" Type="http://schemas.openxmlformats.org/officeDocument/2006/relationships/hyperlink" Target="https://www.fordfoundation.org/just-matters/just-matters/posts/the-war-on-drugs-has-failed-what-s-next/" TargetMode="External"/><Relationship Id="rId19" Type="http://schemas.openxmlformats.org/officeDocument/2006/relationships/hyperlink" Target="https://www.ncbi.nlm.nih.gov/pmc/articles/PMC5119815/" TargetMode="External"/><Relationship Id="rId4" Type="http://schemas.openxmlformats.org/officeDocument/2006/relationships/settings" Target="settings.xml"/><Relationship Id="rId9" Type="http://schemas.openxmlformats.org/officeDocument/2006/relationships/hyperlink" Target="https://www.americanprogress.org/issues/criminal-justice/reports/2018/06/27/452819/ending-war-drugs-numbers/" TargetMode="External"/><Relationship Id="rId14" Type="http://schemas.openxmlformats.org/officeDocument/2006/relationships/hyperlink" Target="https://justiceroundtable.org/wp-content/uploads/2020/11/Transformative-Justice.pdf" TargetMode="External"/><Relationship Id="rId22" Type="http://schemas.openxmlformats.org/officeDocument/2006/relationships/hyperlink" Target="https://justdetention.org/wp-content/uploads/2015/10/Addressing-Sexual-Abuse-in-U.S.-Detention-Facilities.pdf" TargetMode="Externa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18/06/01/q-pretrial-incarceration-bail-and-profile-based-risk-assessment-united-states" TargetMode="External"/><Relationship Id="rId18" Type="http://schemas.openxmlformats.org/officeDocument/2006/relationships/hyperlink" Target="https://dcist.com/story/19/03/01/conditions-in-the-d-c-jail-are-unsafe-and-unsanitary-d-c-auditor-says/" TargetMode="External"/><Relationship Id="rId26" Type="http://schemas.openxmlformats.org/officeDocument/2006/relationships/hyperlink" Target="https://www.lgbtmap.org/criminal-justice-youth-detention" TargetMode="External"/><Relationship Id="rId39" Type="http://schemas.openxmlformats.org/officeDocument/2006/relationships/hyperlink" Target="http://www.searac.org/wp-content/uploads/2018/04/Increase-Access-to-Higher-Education-Why-Are-Southeast-Asian-Americans-Not-Going-to-College.pdf" TargetMode="External"/><Relationship Id="rId21" Type="http://schemas.openxmlformats.org/officeDocument/2006/relationships/hyperlink" Target="https://www.aclu.org/sites/default/files/field_document/030419-acluschooldisciplinereport.pdf" TargetMode="External"/><Relationship Id="rId34" Type="http://schemas.openxmlformats.org/officeDocument/2006/relationships/hyperlink" Target="https://features.propublica.org/illinois-seclusion-rooms/school-students-put-in-isolated-timeouts/" TargetMode="External"/><Relationship Id="rId42" Type="http://schemas.openxmlformats.org/officeDocument/2006/relationships/hyperlink" Target="https://socialequity.duke.edu/portfolio-item/umbrellas-dont-make-it-rain-why-studying-and-wor%20king-hard-isnt-enough-for-black-americans/" TargetMode="External"/><Relationship Id="rId47" Type="http://schemas.openxmlformats.org/officeDocument/2006/relationships/hyperlink" Target="https://www.equityinhighered.org/indicators/how-studentsfinance-graduate-study/" TargetMode="External"/><Relationship Id="rId50" Type="http://schemas.openxmlformats.org/officeDocument/2006/relationships/hyperlink" Target="https://www.urban.org/research/publication/reshaping-parent-plus-loans-recommendations-reforming-parent-plus-program/view/full_report" TargetMode="External"/><Relationship Id="rId55" Type="http://schemas.openxmlformats.org/officeDocument/2006/relationships/hyperlink" Target="https://www.pbs.org/newshour/education/schools-across-the-country-are-struggling-to-find-staff-heres-why" TargetMode="External"/><Relationship Id="rId63" Type="http://schemas.openxmlformats.org/officeDocument/2006/relationships/hyperlink" Target="https://www.jstor.org/stable/41653800?seq=1" TargetMode="External"/><Relationship Id="rId68" Type="http://schemas.openxmlformats.org/officeDocument/2006/relationships/hyperlink" Target="https://docs.house.gov/meetings/JU/JU10/20210816/114010/HHRG-117-JU10-Wstate-HendersonW-20210816.pdf" TargetMode="External"/><Relationship Id="rId76" Type="http://schemas.openxmlformats.org/officeDocument/2006/relationships/hyperlink" Target="https://www.census.gov/quickfacts/DC" TargetMode="External"/><Relationship Id="rId7" Type="http://schemas.openxmlformats.org/officeDocument/2006/relationships/hyperlink" Target="https://csgjusticecenter.org/nrrc/facts-and-trends/" TargetMode="External"/><Relationship Id="rId71" Type="http://schemas.openxmlformats.org/officeDocument/2006/relationships/hyperlink" Target="https://www.brennancenter.org/our-work/research-reports/voting-laws-roundup-february-2022" TargetMode="External"/><Relationship Id="rId2" Type="http://schemas.openxmlformats.org/officeDocument/2006/relationships/hyperlink" Target="http://www.drugpolicy.org/issues/brief-history-drug-war" TargetMode="External"/><Relationship Id="rId16" Type="http://schemas.openxmlformats.org/officeDocument/2006/relationships/hyperlink" Target="https://www.ncbi.nlm.nih.gov/pmc/articles/PMC5119815/" TargetMode="External"/><Relationship Id="rId29" Type="http://schemas.openxmlformats.org/officeDocument/2006/relationships/hyperlink" Target="http://dignityinschools.org/wp-content/uploads/2018/03/Police-In-Schools-2018-FINAL.pdf" TargetMode="External"/><Relationship Id="rId11" Type="http://schemas.openxmlformats.org/officeDocument/2006/relationships/hyperlink" Target="https://www.yalelawjournal.org/pdf/Mayson_p5g2tz2m.pdf" TargetMode="External"/><Relationship Id="rId24" Type="http://schemas.openxmlformats.org/officeDocument/2006/relationships/hyperlink" Target="https://www.gao.gov/assets/700/690828.pdf" TargetMode="External"/><Relationship Id="rId32" Type="http://schemas.openxmlformats.org/officeDocument/2006/relationships/hyperlink" Target="https://scholarship.law.ufl.edu/cgi/viewcontent.cgi?article=1782&amp;context=facultypub" TargetMode="External"/><Relationship Id="rId37" Type="http://schemas.openxmlformats.org/officeDocument/2006/relationships/hyperlink" Target="https://www.bankrate.com/loans/student-loans/rates/" TargetMode="External"/><Relationship Id="rId40" Type="http://schemas.openxmlformats.org/officeDocument/2006/relationships/hyperlink" Target="https://www.responsiblelending.org/sites/default/files/nodes/files/research-publication/crl-quicksand-student-debt-crisis-jul2019.pdf" TargetMode="External"/><Relationship Id="rId45" Type="http://schemas.openxmlformats.org/officeDocument/2006/relationships/hyperlink" Target="https://www.americanprogress.org/issues/education-postsecondary/reports/2019/06/12/470893/addressing-1-5-trillion-federal-student-loan-debt/" TargetMode="External"/><Relationship Id="rId53" Type="http://schemas.openxmlformats.org/officeDocument/2006/relationships/hyperlink" Target="https://nwlc-ciw49tixgw5lbab.stackpathdns.com/wp-content/uploads/2020/04/COVID-Stimulus-and-Higher-Ed-Factsheet.pdf" TargetMode="External"/><Relationship Id="rId58" Type="http://schemas.openxmlformats.org/officeDocument/2006/relationships/hyperlink" Target="https://www.civilrightsproject.ucla.edu/research/k-12-education/integration-and-diversity/brown-at-60-great%20-progress-a-long-retreat-and-an-uncertain-future/Brown-at-60-051814.pdf" TargetMode="External"/><Relationship Id="rId66" Type="http://schemas.openxmlformats.org/officeDocument/2006/relationships/hyperlink" Target="https://apps.urban.org/features/school-funding-do-poor-kids-get-fair-share/" TargetMode="External"/><Relationship Id="rId74" Type="http://schemas.openxmlformats.org/officeDocument/2006/relationships/hyperlink" Target="https://www.npr.org/2021/09/23/1039451858/republican-led-election-reviews-take-shape-in-pennsylvania-and-wisconsin" TargetMode="External"/><Relationship Id="rId5" Type="http://schemas.openxmlformats.org/officeDocument/2006/relationships/hyperlink" Target="https://bjs.ojp.gov/content/pub/pdf/p18.pdf" TargetMode="External"/><Relationship Id="rId15" Type="http://schemas.openxmlformats.org/officeDocument/2006/relationships/hyperlink" Target="https://scholar.harvard.edu/files/cyang/files/dgy_bail_aug2017.pdf?m=1504036081" TargetMode="External"/><Relationship Id="rId23" Type="http://schemas.openxmlformats.org/officeDocument/2006/relationships/hyperlink" Target="https://journals.sagepub.com/doi/abs/10.1177/0956797615570365" TargetMode="External"/><Relationship Id="rId28" Type="http://schemas.openxmlformats.org/officeDocument/2006/relationships/hyperlink" Target="https://www.edweek.org/ew/projects/2017/policingamericas-schools/student-arrests.html" TargetMode="External"/><Relationship Id="rId36" Type="http://schemas.openxmlformats.org/officeDocument/2006/relationships/hyperlink" Target="https://www.federalreserve.gov/econres/notes/feds-notes/disparities-in-wealth-by-race-and-ethnicity-in-the-2019-survey-of-consumer-finances-20200928.htm" TargetMode="External"/><Relationship Id="rId49" Type="http://schemas.openxmlformats.org/officeDocument/2006/relationships/hyperlink" Target="https://doi.org/10.17016/2380-7172.2797" TargetMode="External"/><Relationship Id="rId57" Type="http://schemas.openxmlformats.org/officeDocument/2006/relationships/hyperlink" Target="https://www.rand.org/pubs/research_reports/RRA1108-1.html" TargetMode="External"/><Relationship Id="rId61" Type="http://schemas.openxmlformats.org/officeDocument/2006/relationships/hyperlink" Target="https://www.nber.org/papers/w16664" TargetMode="External"/><Relationship Id="rId10" Type="http://schemas.openxmlformats.org/officeDocument/2006/relationships/hyperlink" Target="https://deathpenaltyinfo.org/news/dpic-releases-major-new-report-on-race-and-the-u-s-death-penalty" TargetMode="External"/><Relationship Id="rId19" Type="http://schemas.openxmlformats.org/officeDocument/2006/relationships/hyperlink" Target="https://justdetention.org/wp-content/uploads/2015/10/Addressing-Sexual-Abuse-in-U.S.-Detention-Facilities.pdf" TargetMode="External"/><Relationship Id="rId31" Type="http://schemas.openxmlformats.org/officeDocument/2006/relationships/hyperlink" Target="https://scholarship.law.ufl.edu/cgi/viewcontent.cgi?article=1782&amp;context=facultypub" TargetMode="External"/><Relationship Id="rId44" Type="http://schemas.openxmlformats.org/officeDocument/2006/relationships/hyperlink" Target="https://financialservices.house.gov/uploadedfiles/hhrg-116-ba00-wstate-yup-20190910.pdf" TargetMode="External"/><Relationship Id="rId52" Type="http://schemas.openxmlformats.org/officeDocument/2006/relationships/hyperlink" Target="http://www.insightcced.org/wp-content/uploads/2015/07/Bootstraps-are-for-BlackKids-Sept.pdf" TargetMode="External"/><Relationship Id="rId60" Type="http://schemas.openxmlformats.org/officeDocument/2006/relationships/hyperlink" Target="https://www.nber.org/papers/w13193" TargetMode="External"/><Relationship Id="rId65" Type="http://schemas.openxmlformats.org/officeDocument/2006/relationships/hyperlink" Target="https://www.npr.org/sections/live-updates-protests-for-racial-justice/2020/07/07/888469809/how-fundingmodel-preserves-racial-segregation-in-public-schools" TargetMode="External"/><Relationship Id="rId73" Type="http://schemas.openxmlformats.org/officeDocument/2006/relationships/hyperlink" Target="https://www.motherjones.com/politics/2022/01/how-republicans-are-taking-over-election-system-big-lie/" TargetMode="External"/><Relationship Id="rId4" Type="http://schemas.openxmlformats.org/officeDocument/2006/relationships/hyperlink" Target="https://drugpolicy.org/issues/race-and-drug-war" TargetMode="External"/><Relationship Id="rId9" Type="http://schemas.openxmlformats.org/officeDocument/2006/relationships/hyperlink" Target="https://documents.deathpenaltyinfo.org/pdf/FactSheet.pdf" TargetMode="External"/><Relationship Id="rId14" Type="http://schemas.openxmlformats.org/officeDocument/2006/relationships/hyperlink" Target="https://pubs.aeaweb.org/doi/pdf/10.1257/aer.20161503" TargetMode="External"/><Relationship Id="rId22" Type="http://schemas.openxmlformats.org/officeDocument/2006/relationships/hyperlink" Target="https://www.usccr.gov/pubs/2019/07-23-Beyond-Suspensions.pdf" TargetMode="External"/><Relationship Id="rId27" Type="http://schemas.openxmlformats.org/officeDocument/2006/relationships/hyperlink" Target="http://dignityinschools.org/wp-content/uploads/2018/03/Police-In-Schools-2018-FINAL.pdf" TargetMode="External"/><Relationship Id="rId30" Type="http://schemas.openxmlformats.org/officeDocument/2006/relationships/hyperlink" Target="https://www.aclu.org/issues/juvenile-justice/school-prison-pipeline/school-prison-pipeline-infographic" TargetMode="External"/><Relationship Id="rId35" Type="http://schemas.openxmlformats.org/officeDocument/2006/relationships/hyperlink" Target="https://www2.ed.gov/about/offices/list/ocr/docs/restraint-and-seclusion.pdf" TargetMode="External"/><Relationship Id="rId43" Type="http://schemas.openxmlformats.org/officeDocument/2006/relationships/hyperlink" Target="https://www.demos.org/research/debt-to-society" TargetMode="External"/><Relationship Id="rId48" Type="http://schemas.openxmlformats.org/officeDocument/2006/relationships/hyperlink" Target="https://www.brookings.edu/essay/student-debt-cancellationshould-consider-wealth-not-income/" TargetMode="External"/><Relationship Id="rId56" Type="http://schemas.openxmlformats.org/officeDocument/2006/relationships/hyperlink" Target="https://www.edweek.org/leadership/how-bad-are-school-staffing-shortages-what-we-learned-by-asking-administrators/2021/10" TargetMode="External"/><Relationship Id="rId64" Type="http://schemas.openxmlformats.org/officeDocument/2006/relationships/hyperlink" Target="https://edbuild.org/content/23-billion" TargetMode="External"/><Relationship Id="rId69" Type="http://schemas.openxmlformats.org/officeDocument/2006/relationships/hyperlink" Target="https://www.cnn.com/2022/01/19/politics/poll-closures-rural-lincoln-county-georgia/index.html" TargetMode="External"/><Relationship Id="rId8" Type="http://schemas.openxmlformats.org/officeDocument/2006/relationships/hyperlink" Target="https://www.aclu.org/other/race-and-death-penalty" TargetMode="External"/><Relationship Id="rId51" Type="http://schemas.openxmlformats.org/officeDocument/2006/relationships/hyperlink" Target="https://socialequity.duke.edu/portfolio-item/what-we-get-wrong-about-closing-the-racial-wealth-gap/" TargetMode="External"/><Relationship Id="rId72" Type="http://schemas.openxmlformats.org/officeDocument/2006/relationships/hyperlink" Target="https://www.brennancenter.org/our-work/research-reports/local-election-officials-survey-march-2022" TargetMode="External"/><Relationship Id="rId3" Type="http://schemas.openxmlformats.org/officeDocument/2006/relationships/hyperlink" Target="https://www.fordfoundation.org/just-matters/just-matters/posts/the-war-on-drugs-has-failed-what-s-next/" TargetMode="External"/><Relationship Id="rId12" Type="http://schemas.openxmlformats.org/officeDocument/2006/relationships/hyperlink" Target="https://www.prisonpolicy.org/reports/pie2020.html" TargetMode="External"/><Relationship Id="rId17" Type="http://schemas.openxmlformats.org/officeDocument/2006/relationships/hyperlink" Target="https://www.treatmentadvocacycenter.org/evidence-and-research/learn-more-about/3695" TargetMode="External"/><Relationship Id="rId25" Type="http://schemas.openxmlformats.org/officeDocument/2006/relationships/hyperlink" Target="https://www.ilrc.org/sites/default/files/resources/school_delinq_faq_nat-rp-20180212.pdf" TargetMode="External"/><Relationship Id="rId33" Type="http://schemas.openxmlformats.org/officeDocument/2006/relationships/hyperlink" Target="https://www.ncbi.nlm.nih.gov/pmc/articles/PMC5766273/" TargetMode="External"/><Relationship Id="rId38" Type="http://schemas.openxmlformats.org/officeDocument/2006/relationships/hyperlink" Target="https://www.americanprogress.org/article/new-federal-data-show-student-loan-crisis-african-american-borrowers/" TargetMode="External"/><Relationship Id="rId46" Type="http://schemas.openxmlformats.org/officeDocument/2006/relationships/hyperlink" Target="https://www.brookings.edu/research/the-looming-studentloan-default-crisis-is-worse-than-we-thought/" TargetMode="External"/><Relationship Id="rId59" Type="http://schemas.openxmlformats.org/officeDocument/2006/relationships/hyperlink" Target="https://gsppi.berkeley.edu/~ruckerj/RJabstract_BrownDeseg_Grandkids.pdf" TargetMode="External"/><Relationship Id="rId67" Type="http://schemas.openxmlformats.org/officeDocument/2006/relationships/hyperlink" Target="https://www.npr.org/2021/11/06/1052786254/border-patrol-agents-horseback-investigation-haitian-immigrants" TargetMode="External"/><Relationship Id="rId20" Type="http://schemas.openxmlformats.org/officeDocument/2006/relationships/hyperlink" Target="https://www.prisonpolicy.org/blog/2019/10/09/pretrial_race/" TargetMode="External"/><Relationship Id="rId41" Type="http://schemas.openxmlformats.org/officeDocument/2006/relationships/hyperlink" Target="https://protectborrowers.org/wp-content/uploads/2020/12/Delivering-on-Debt-Relief.pdf" TargetMode="External"/><Relationship Id="rId54" Type="http://schemas.openxmlformats.org/officeDocument/2006/relationships/hyperlink" Target="https://www.responsiblelending.org/research-publication/state-profit-colleges" TargetMode="External"/><Relationship Id="rId62" Type="http://schemas.openxmlformats.org/officeDocument/2006/relationships/hyperlink" Target="http://econweb.umd.edu/~tuttle/files/tuttle_busing.pdf" TargetMode="External"/><Relationship Id="rId70" Type="http://schemas.openxmlformats.org/officeDocument/2006/relationships/hyperlink" Target="https://www.brennancenter.org/our-work/research-reports/voting-laws-roundup-december-2021" TargetMode="External"/><Relationship Id="rId75" Type="http://schemas.openxmlformats.org/officeDocument/2006/relationships/hyperlink" Target="http://civilrightsdocs.info/pdf/testimony/Testimony-Henderson-HR51-HCOR-3.22.21.pdf" TargetMode="External"/><Relationship Id="rId1" Type="http://schemas.openxmlformats.org/officeDocument/2006/relationships/hyperlink" Target="https://www.npr.org/2021/10/20/1047618263/tiny-wrists-in-cuffs-how-police-use-force-against-children" TargetMode="External"/><Relationship Id="rId6" Type="http://schemas.openxmlformats.org/officeDocument/2006/relationships/hyperlink" Target="https://aspe.hhs.gov/topics/human-services/incarceration-reentr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OKfLO1ybbYKov6YoPONjQV9lg==">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473AD7-DCE0-411C-B705-4DC7462DAA52}"/>
</file>

<file path=customXml/itemProps3.xml><?xml version="1.0" encoding="utf-8"?>
<ds:datastoreItem xmlns:ds="http://schemas.openxmlformats.org/officeDocument/2006/customXml" ds:itemID="{C097C6ED-111F-4334-93F4-CCD30F9B7DE2}"/>
</file>

<file path=customXml/itemProps4.xml><?xml version="1.0" encoding="utf-8"?>
<ds:datastoreItem xmlns:ds="http://schemas.openxmlformats.org/officeDocument/2006/customXml" ds:itemID="{BE3299EE-6830-4CC6-BC1C-5CF462581C29}"/>
</file>

<file path=docProps/app.xml><?xml version="1.0" encoding="utf-8"?>
<Properties xmlns="http://schemas.openxmlformats.org/officeDocument/2006/extended-properties" xmlns:vt="http://schemas.openxmlformats.org/officeDocument/2006/docPropsVTypes">
  <Template>Normal.dotm</Template>
  <TotalTime>3</TotalTime>
  <Pages>1</Pages>
  <Words>7413</Words>
  <Characters>42257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csmithhu csmithhu</dc:creator>
  <cp:lastModifiedBy>June Zeitlin</cp:lastModifiedBy>
  <cp:revision>4</cp:revision>
  <dcterms:created xsi:type="dcterms:W3CDTF">2022-05-17T13:42:00Z</dcterms:created>
  <dcterms:modified xsi:type="dcterms:W3CDTF">2022-05-17T13:44:00Z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