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25C8A2" w14:textId="77777777" w:rsidR="00B24007" w:rsidRDefault="00B24007" w:rsidP="00B24007">
      <w:r w:rsidRPr="00DE6159">
        <w:rPr>
          <w:rFonts w:ascii="MetaPro-Norm" w:hAnsi="MetaPro-Norm"/>
          <w:b/>
          <w:noProof/>
          <w:lang w:val="en-US"/>
        </w:rPr>
        <w:drawing>
          <wp:anchor distT="0" distB="0" distL="114300" distR="114300" simplePos="0" relativeHeight="251659264" behindDoc="1" locked="0" layoutInCell="1" allowOverlap="1" wp14:anchorId="7096B5A2" wp14:editId="34718E2C">
            <wp:simplePos x="0" y="0"/>
            <wp:positionH relativeFrom="margin">
              <wp:align>center</wp:align>
            </wp:positionH>
            <wp:positionV relativeFrom="paragraph">
              <wp:posOffset>0</wp:posOffset>
            </wp:positionV>
            <wp:extent cx="1341120" cy="1341120"/>
            <wp:effectExtent l="0" t="0" r="0" b="0"/>
            <wp:wrapTight wrapText="bothSides">
              <wp:wrapPolygon edited="0">
                <wp:start x="0" y="0"/>
                <wp:lineTo x="0" y="21170"/>
                <wp:lineTo x="21170" y="21170"/>
                <wp:lineTo x="21170" y="0"/>
                <wp:lineTo x="0" y="0"/>
              </wp:wrapPolygon>
            </wp:wrapTight>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8E9896" w14:textId="77777777" w:rsidR="00B24007" w:rsidRPr="00E44B66" w:rsidRDefault="00B24007" w:rsidP="00B24007"/>
    <w:p w14:paraId="08809302" w14:textId="77777777" w:rsidR="00B24007" w:rsidRPr="00E44B66" w:rsidRDefault="00B24007" w:rsidP="00B24007"/>
    <w:p w14:paraId="4794560B" w14:textId="77777777" w:rsidR="00B24007" w:rsidRPr="00E44B66" w:rsidRDefault="00B24007" w:rsidP="00B24007"/>
    <w:p w14:paraId="20B5C52E" w14:textId="77777777" w:rsidR="00B24007" w:rsidRPr="00E44B66" w:rsidRDefault="00B24007" w:rsidP="00B24007"/>
    <w:p w14:paraId="785A3FBD" w14:textId="77777777" w:rsidR="00B24007" w:rsidRDefault="00B24007" w:rsidP="00B24007"/>
    <w:p w14:paraId="4EB6F54E" w14:textId="77777777" w:rsidR="00B24007" w:rsidRDefault="00B24007" w:rsidP="00B24007">
      <w:pPr>
        <w:jc w:val="center"/>
        <w:rPr>
          <w:rFonts w:ascii="MetaPro-Norm" w:hAnsi="MetaPro-Norm"/>
          <w:b/>
          <w:sz w:val="24"/>
          <w:szCs w:val="24"/>
        </w:rPr>
      </w:pPr>
    </w:p>
    <w:p w14:paraId="41D33C99" w14:textId="77777777" w:rsidR="00B24007" w:rsidRDefault="00B24007" w:rsidP="00B24007">
      <w:pPr>
        <w:jc w:val="center"/>
        <w:rPr>
          <w:rFonts w:ascii="MetaPro-Norm" w:hAnsi="MetaPro-Norm"/>
          <w:b/>
          <w:sz w:val="24"/>
          <w:szCs w:val="24"/>
        </w:rPr>
      </w:pPr>
    </w:p>
    <w:p w14:paraId="2DDADD8B" w14:textId="77777777" w:rsidR="00B24007" w:rsidRDefault="00B24007" w:rsidP="00B24007">
      <w:pPr>
        <w:rPr>
          <w:rFonts w:ascii="MetaPro-Norm" w:hAnsi="MetaPro-Norm"/>
          <w:b/>
          <w:i/>
          <w:sz w:val="24"/>
          <w:szCs w:val="24"/>
        </w:rPr>
      </w:pPr>
    </w:p>
    <w:p w14:paraId="20A3220D" w14:textId="52837EA7" w:rsidR="00B24007" w:rsidRDefault="00B24007" w:rsidP="00B24007">
      <w:pPr>
        <w:jc w:val="center"/>
        <w:rPr>
          <w:rFonts w:ascii="MetaPro-Norm" w:hAnsi="MetaPro-Norm"/>
          <w:b/>
          <w:sz w:val="24"/>
          <w:szCs w:val="24"/>
        </w:rPr>
      </w:pPr>
      <w:r w:rsidRPr="00983708">
        <w:rPr>
          <w:rFonts w:ascii="MetaPro-Norm" w:hAnsi="MetaPro-Norm"/>
          <w:b/>
          <w:sz w:val="24"/>
          <w:szCs w:val="24"/>
        </w:rPr>
        <w:t xml:space="preserve">Submission by Human Rights Watch to the Committee </w:t>
      </w:r>
      <w:r>
        <w:rPr>
          <w:rFonts w:ascii="MetaPro-Norm" w:hAnsi="MetaPro-Norm"/>
          <w:b/>
          <w:sz w:val="24"/>
          <w:szCs w:val="24"/>
        </w:rPr>
        <w:t>on Economic, Social</w:t>
      </w:r>
      <w:bookmarkStart w:id="0" w:name="_GoBack"/>
      <w:bookmarkEnd w:id="0"/>
      <w:r>
        <w:rPr>
          <w:rFonts w:ascii="MetaPro-Norm" w:hAnsi="MetaPro-Norm"/>
          <w:b/>
          <w:sz w:val="24"/>
          <w:szCs w:val="24"/>
        </w:rPr>
        <w:t xml:space="preserve"> and Cultural Rights on Switzerland</w:t>
      </w:r>
    </w:p>
    <w:p w14:paraId="07144CD6" w14:textId="77777777" w:rsidR="00B24007" w:rsidRDefault="00B24007" w:rsidP="00B24007">
      <w:pPr>
        <w:jc w:val="center"/>
        <w:rPr>
          <w:rFonts w:ascii="MetaPro-Norm" w:hAnsi="MetaPro-Norm"/>
          <w:b/>
          <w:sz w:val="24"/>
          <w:szCs w:val="24"/>
        </w:rPr>
      </w:pPr>
    </w:p>
    <w:p w14:paraId="2D5E05D2" w14:textId="385DA1DA" w:rsidR="00B24007" w:rsidRDefault="00B24007" w:rsidP="00B24007">
      <w:pPr>
        <w:jc w:val="center"/>
        <w:rPr>
          <w:rFonts w:ascii="MetaPro-Norm" w:hAnsi="MetaPro-Norm"/>
          <w:b/>
          <w:i/>
          <w:sz w:val="24"/>
          <w:szCs w:val="24"/>
        </w:rPr>
      </w:pPr>
      <w:r>
        <w:rPr>
          <w:rFonts w:ascii="MetaPro-Norm" w:hAnsi="MetaPro-Norm"/>
          <w:b/>
          <w:i/>
          <w:sz w:val="24"/>
          <w:szCs w:val="24"/>
        </w:rPr>
        <w:t>6</w:t>
      </w:r>
      <w:r w:rsidR="00C03FF0">
        <w:rPr>
          <w:rFonts w:ascii="MetaPro-Norm" w:hAnsi="MetaPro-Norm"/>
          <w:b/>
          <w:i/>
          <w:sz w:val="24"/>
          <w:szCs w:val="24"/>
        </w:rPr>
        <w:t>6</w:t>
      </w:r>
      <w:r w:rsidRPr="000A1BC6">
        <w:rPr>
          <w:rFonts w:ascii="MetaPro-Norm" w:hAnsi="MetaPro-Norm"/>
          <w:b/>
          <w:i/>
          <w:sz w:val="24"/>
          <w:szCs w:val="24"/>
          <w:vertAlign w:val="superscript"/>
        </w:rPr>
        <w:t>th</w:t>
      </w:r>
      <w:r>
        <w:rPr>
          <w:rFonts w:ascii="MetaPro-Norm" w:hAnsi="MetaPro-Norm"/>
          <w:b/>
          <w:i/>
          <w:sz w:val="24"/>
          <w:szCs w:val="24"/>
        </w:rPr>
        <w:t xml:space="preserve"> session</w:t>
      </w:r>
      <w:r w:rsidRPr="00983708">
        <w:rPr>
          <w:rFonts w:ascii="MetaPro-Norm" w:hAnsi="MetaPro-Norm"/>
          <w:b/>
          <w:i/>
          <w:sz w:val="24"/>
          <w:szCs w:val="24"/>
        </w:rPr>
        <w:t>, 201</w:t>
      </w:r>
      <w:r>
        <w:rPr>
          <w:rFonts w:ascii="MetaPro-Norm" w:hAnsi="MetaPro-Norm"/>
          <w:b/>
          <w:i/>
          <w:sz w:val="24"/>
          <w:szCs w:val="24"/>
        </w:rPr>
        <w:t>9</w:t>
      </w:r>
    </w:p>
    <w:p w14:paraId="5DC7FCD8" w14:textId="77777777" w:rsidR="00B24007" w:rsidRPr="00983708" w:rsidRDefault="00B24007" w:rsidP="00B24007">
      <w:pPr>
        <w:jc w:val="center"/>
        <w:rPr>
          <w:rFonts w:ascii="MetaPro-Norm" w:hAnsi="MetaPro-Norm"/>
          <w:b/>
          <w:i/>
          <w:sz w:val="24"/>
          <w:szCs w:val="24"/>
        </w:rPr>
      </w:pPr>
    </w:p>
    <w:p w14:paraId="0B121801" w14:textId="116F30E9" w:rsidR="00B24007" w:rsidRPr="004156B4" w:rsidRDefault="00B24007" w:rsidP="00B24007">
      <w:pPr>
        <w:rPr>
          <w:rFonts w:ascii="MetaPro-Norm" w:hAnsi="MetaPro-Norm"/>
          <w:sz w:val="24"/>
          <w:szCs w:val="24"/>
        </w:rPr>
      </w:pPr>
      <w:r w:rsidRPr="00E0336D">
        <w:rPr>
          <w:rFonts w:ascii="MetaPro-Norm" w:hAnsi="MetaPro-Norm"/>
          <w:sz w:val="24"/>
          <w:szCs w:val="24"/>
        </w:rPr>
        <w:t xml:space="preserve">This submission relates to the review of </w:t>
      </w:r>
      <w:r w:rsidRPr="00B24007">
        <w:rPr>
          <w:rFonts w:ascii="MetaPro-Norm" w:hAnsi="MetaPro-Norm"/>
          <w:sz w:val="24"/>
          <w:szCs w:val="24"/>
        </w:rPr>
        <w:t xml:space="preserve">Switzerland </w:t>
      </w:r>
      <w:r w:rsidRPr="00E0336D">
        <w:rPr>
          <w:rFonts w:ascii="MetaPro-Norm" w:hAnsi="MetaPro-Norm"/>
          <w:sz w:val="24"/>
          <w:szCs w:val="24"/>
        </w:rPr>
        <w:t xml:space="preserve">under the </w:t>
      </w:r>
      <w:r w:rsidR="009E7716">
        <w:rPr>
          <w:rFonts w:ascii="MetaPro-Norm" w:hAnsi="MetaPro-Norm"/>
          <w:sz w:val="24"/>
          <w:szCs w:val="24"/>
        </w:rPr>
        <w:t>Convention</w:t>
      </w:r>
      <w:r w:rsidR="009E7716" w:rsidRPr="003D1BEE">
        <w:rPr>
          <w:rFonts w:ascii="MetaPro-Norm" w:hAnsi="MetaPro-Norm"/>
          <w:sz w:val="24"/>
          <w:szCs w:val="24"/>
        </w:rPr>
        <w:t xml:space="preserve"> </w:t>
      </w:r>
      <w:r w:rsidRPr="003D1BEE">
        <w:rPr>
          <w:rFonts w:ascii="MetaPro-Norm" w:hAnsi="MetaPro-Norm"/>
          <w:sz w:val="24"/>
          <w:szCs w:val="24"/>
        </w:rPr>
        <w:t>on Economic, Social</w:t>
      </w:r>
      <w:r w:rsidR="009E7716">
        <w:rPr>
          <w:rFonts w:ascii="MetaPro-Norm" w:hAnsi="MetaPro-Norm"/>
          <w:sz w:val="24"/>
          <w:szCs w:val="24"/>
        </w:rPr>
        <w:t>,</w:t>
      </w:r>
      <w:r w:rsidRPr="003D1BEE">
        <w:rPr>
          <w:rFonts w:ascii="MetaPro-Norm" w:hAnsi="MetaPro-Norm"/>
          <w:sz w:val="24"/>
          <w:szCs w:val="24"/>
        </w:rPr>
        <w:t xml:space="preserve"> and Cultural Rights</w:t>
      </w:r>
      <w:r>
        <w:rPr>
          <w:rFonts w:ascii="MetaPro-Norm" w:hAnsi="MetaPro-Norm"/>
          <w:sz w:val="24"/>
          <w:szCs w:val="24"/>
        </w:rPr>
        <w:t>.</w:t>
      </w:r>
      <w:r w:rsidRPr="00B24007">
        <w:t xml:space="preserve"> </w:t>
      </w:r>
      <w:r>
        <w:rPr>
          <w:rFonts w:ascii="MetaPro-Norm" w:hAnsi="MetaPro-Norm"/>
          <w:sz w:val="24"/>
          <w:szCs w:val="24"/>
        </w:rPr>
        <w:t xml:space="preserve">It </w:t>
      </w:r>
      <w:r w:rsidRPr="00B24007">
        <w:rPr>
          <w:rFonts w:ascii="MetaPro-Norm" w:hAnsi="MetaPro-Norm"/>
          <w:sz w:val="24"/>
          <w:szCs w:val="24"/>
        </w:rPr>
        <w:t>focuses on the protection of students, teachers, and schools during armed conflict and immigration detention of children.</w:t>
      </w:r>
    </w:p>
    <w:p w14:paraId="1FE5E2D9" w14:textId="04C0FD89" w:rsidR="00B24007" w:rsidRPr="00FF566B" w:rsidRDefault="00B24007" w:rsidP="00B24007">
      <w:pPr>
        <w:shd w:val="clear" w:color="auto" w:fill="FFFFFF"/>
        <w:spacing w:before="100" w:beforeAutospacing="1" w:after="100" w:afterAutospacing="1"/>
        <w:rPr>
          <w:rFonts w:ascii="MetaPro-Norm" w:eastAsia="Times New Roman" w:hAnsi="MetaPro-Norm" w:cs="Times New Roman"/>
          <w:b/>
          <w:i/>
          <w:color w:val="000000" w:themeColor="text1"/>
          <w:sz w:val="24"/>
          <w:szCs w:val="24"/>
        </w:rPr>
      </w:pPr>
      <w:r w:rsidRPr="00FF566B">
        <w:rPr>
          <w:rFonts w:ascii="MetaPro-Norm" w:hAnsi="MetaPro-Norm"/>
          <w:b/>
          <w:i/>
          <w:sz w:val="24"/>
          <w:szCs w:val="24"/>
        </w:rPr>
        <w:t xml:space="preserve">Protection of Education During Armed Conflict (article </w:t>
      </w:r>
      <w:r w:rsidR="00885C7C">
        <w:rPr>
          <w:rFonts w:ascii="MetaPro-Norm" w:hAnsi="MetaPro-Norm"/>
          <w:b/>
          <w:i/>
          <w:sz w:val="24"/>
          <w:szCs w:val="24"/>
        </w:rPr>
        <w:t>13</w:t>
      </w:r>
      <w:r w:rsidRPr="00FF566B">
        <w:rPr>
          <w:rFonts w:ascii="MetaPro-Norm" w:hAnsi="MetaPro-Norm"/>
          <w:b/>
          <w:i/>
          <w:sz w:val="24"/>
          <w:szCs w:val="24"/>
        </w:rPr>
        <w:t>)</w:t>
      </w:r>
    </w:p>
    <w:p w14:paraId="120ED3CC" w14:textId="65CC3AE3" w:rsidR="00B24007" w:rsidRDefault="00B24007" w:rsidP="00B24007">
      <w:pPr>
        <w:rPr>
          <w:rFonts w:ascii="MetaPro-Norm" w:hAnsi="MetaPro-Norm"/>
          <w:color w:val="000000" w:themeColor="text1"/>
          <w:sz w:val="24"/>
          <w:szCs w:val="24"/>
        </w:rPr>
      </w:pPr>
      <w:r w:rsidRPr="001F6A9C">
        <w:rPr>
          <w:rFonts w:ascii="MetaPro-Norm" w:hAnsi="MetaPro-Norm"/>
          <w:color w:val="000000" w:themeColor="text1"/>
          <w:sz w:val="24"/>
          <w:szCs w:val="24"/>
        </w:rPr>
        <w:t xml:space="preserve">The Swiss Armed Forces </w:t>
      </w:r>
      <w:r>
        <w:rPr>
          <w:rFonts w:ascii="MetaPro-Norm" w:hAnsi="MetaPro-Norm"/>
          <w:color w:val="000000" w:themeColor="text1"/>
          <w:sz w:val="24"/>
          <w:szCs w:val="24"/>
        </w:rPr>
        <w:t xml:space="preserve">recently finalized an addition to </w:t>
      </w:r>
      <w:r w:rsidRPr="001F6A9C">
        <w:rPr>
          <w:rFonts w:ascii="MetaPro-Norm" w:hAnsi="MetaPro-Norm"/>
          <w:color w:val="000000" w:themeColor="text1"/>
          <w:sz w:val="24"/>
          <w:szCs w:val="24"/>
        </w:rPr>
        <w:t>their manual on the legal principles applicable in military operations (</w:t>
      </w:r>
      <w:r>
        <w:rPr>
          <w:rFonts w:ascii="MetaPro-Norm" w:hAnsi="MetaPro-Norm"/>
          <w:color w:val="000000" w:themeColor="text1"/>
          <w:sz w:val="24"/>
          <w:szCs w:val="24"/>
        </w:rPr>
        <w:t>“</w:t>
      </w:r>
      <w:r w:rsidRPr="001F6A9C">
        <w:rPr>
          <w:rFonts w:ascii="MetaPro-Norm" w:hAnsi="MetaPro-Norm"/>
          <w:color w:val="000000" w:themeColor="text1"/>
          <w:sz w:val="24"/>
          <w:szCs w:val="24"/>
        </w:rPr>
        <w:t>Rechtliche Grundlagen für das Verhalten im Einsatz</w:t>
      </w:r>
      <w:r>
        <w:rPr>
          <w:rFonts w:ascii="MetaPro-Norm" w:hAnsi="MetaPro-Norm"/>
          <w:color w:val="000000" w:themeColor="text1"/>
          <w:sz w:val="24"/>
          <w:szCs w:val="24"/>
        </w:rPr>
        <w:t>”</w:t>
      </w:r>
      <w:r w:rsidRPr="001F6A9C">
        <w:rPr>
          <w:rFonts w:ascii="MetaPro-Norm" w:hAnsi="MetaPro-Norm"/>
          <w:color w:val="000000" w:themeColor="text1"/>
          <w:sz w:val="24"/>
          <w:szCs w:val="24"/>
        </w:rPr>
        <w:t>)</w:t>
      </w:r>
      <w:r>
        <w:rPr>
          <w:rFonts w:ascii="MetaPro-Norm" w:hAnsi="MetaPro-Norm"/>
          <w:color w:val="000000" w:themeColor="text1"/>
          <w:sz w:val="24"/>
          <w:szCs w:val="24"/>
        </w:rPr>
        <w:t>, that incorporates new explicit protections for schools and universities from military use, reflecting their commitments upon endorsing the Safe Schools Declaration</w:t>
      </w:r>
      <w:r w:rsidR="00210813">
        <w:rPr>
          <w:rFonts w:ascii="MetaPro-Norm" w:hAnsi="MetaPro-Norm"/>
          <w:color w:val="000000" w:themeColor="text1"/>
          <w:sz w:val="24"/>
          <w:szCs w:val="24"/>
        </w:rPr>
        <w:t xml:space="preserve">, which </w:t>
      </w:r>
      <w:r w:rsidR="00210813" w:rsidRPr="00210813">
        <w:rPr>
          <w:rFonts w:ascii="MetaPro-Norm" w:hAnsi="MetaPro-Norm"/>
          <w:color w:val="000000" w:themeColor="text1"/>
          <w:sz w:val="24"/>
          <w:szCs w:val="24"/>
        </w:rPr>
        <w:t>Switzerland endorsed in May 2015</w:t>
      </w:r>
      <w:r w:rsidRPr="001F6A9C">
        <w:rPr>
          <w:rFonts w:ascii="MetaPro-Norm" w:hAnsi="MetaPro-Norm"/>
          <w:color w:val="000000" w:themeColor="text1"/>
          <w:sz w:val="24"/>
          <w:szCs w:val="24"/>
        </w:rPr>
        <w:t>.</w:t>
      </w:r>
      <w:r w:rsidR="00210813">
        <w:rPr>
          <w:rStyle w:val="FootnoteReference"/>
          <w:rFonts w:ascii="MetaPro-Norm" w:hAnsi="MetaPro-Norm"/>
          <w:color w:val="000000" w:themeColor="text1"/>
          <w:sz w:val="24"/>
          <w:szCs w:val="24"/>
        </w:rPr>
        <w:footnoteReference w:id="1"/>
      </w:r>
      <w:r w:rsidRPr="001F6A9C">
        <w:rPr>
          <w:rFonts w:ascii="MetaPro-Norm" w:hAnsi="MetaPro-Norm"/>
          <w:color w:val="000000" w:themeColor="text1"/>
          <w:sz w:val="24"/>
          <w:szCs w:val="24"/>
        </w:rPr>
        <w:t xml:space="preserve"> The revision enter</w:t>
      </w:r>
      <w:r>
        <w:rPr>
          <w:rFonts w:ascii="MetaPro-Norm" w:hAnsi="MetaPro-Norm"/>
          <w:color w:val="000000" w:themeColor="text1"/>
          <w:sz w:val="24"/>
          <w:szCs w:val="24"/>
        </w:rPr>
        <w:t>ed</w:t>
      </w:r>
      <w:r w:rsidRPr="001F6A9C">
        <w:rPr>
          <w:rFonts w:ascii="MetaPro-Norm" w:hAnsi="MetaPro-Norm"/>
          <w:color w:val="000000" w:themeColor="text1"/>
          <w:sz w:val="24"/>
          <w:szCs w:val="24"/>
        </w:rPr>
        <w:t xml:space="preserve"> into force on May</w:t>
      </w:r>
      <w:r>
        <w:rPr>
          <w:rFonts w:ascii="MetaPro-Norm" w:hAnsi="MetaPro-Norm"/>
          <w:color w:val="000000" w:themeColor="text1"/>
          <w:sz w:val="24"/>
          <w:szCs w:val="24"/>
        </w:rPr>
        <w:t xml:space="preserve"> 1,</w:t>
      </w:r>
      <w:r w:rsidRPr="001F6A9C">
        <w:rPr>
          <w:rFonts w:ascii="MetaPro-Norm" w:hAnsi="MetaPro-Norm"/>
          <w:color w:val="000000" w:themeColor="text1"/>
          <w:sz w:val="24"/>
          <w:szCs w:val="24"/>
        </w:rPr>
        <w:t xml:space="preserve"> 2019.</w:t>
      </w:r>
    </w:p>
    <w:p w14:paraId="34BD78EC" w14:textId="77777777" w:rsidR="00B24007" w:rsidRPr="001F6A9C" w:rsidRDefault="00B24007" w:rsidP="00B24007">
      <w:pPr>
        <w:rPr>
          <w:rFonts w:ascii="MetaPro-Norm" w:hAnsi="MetaPro-Norm"/>
          <w:color w:val="000000" w:themeColor="text1"/>
          <w:sz w:val="24"/>
          <w:szCs w:val="24"/>
        </w:rPr>
      </w:pPr>
    </w:p>
    <w:p w14:paraId="5DDFF31A" w14:textId="63D4C8FA" w:rsidR="00B24007" w:rsidRDefault="00B24007" w:rsidP="00B24007">
      <w:pPr>
        <w:rPr>
          <w:rFonts w:ascii="MetaPro-Norm" w:hAnsi="MetaPro-Norm"/>
          <w:color w:val="000000" w:themeColor="text1"/>
          <w:sz w:val="24"/>
          <w:szCs w:val="24"/>
        </w:rPr>
      </w:pPr>
      <w:r w:rsidRPr="001F6A9C">
        <w:rPr>
          <w:rFonts w:ascii="MetaPro-Norm" w:hAnsi="MetaPro-Norm"/>
          <w:color w:val="000000" w:themeColor="text1"/>
          <w:sz w:val="24"/>
          <w:szCs w:val="24"/>
        </w:rPr>
        <w:t xml:space="preserve">In the chapter on the law of armed conflict, the manual </w:t>
      </w:r>
      <w:r>
        <w:rPr>
          <w:rFonts w:ascii="MetaPro-Norm" w:hAnsi="MetaPro-Norm"/>
          <w:color w:val="000000" w:themeColor="text1"/>
          <w:sz w:val="24"/>
          <w:szCs w:val="24"/>
        </w:rPr>
        <w:t>now states:</w:t>
      </w:r>
    </w:p>
    <w:p w14:paraId="752F1774" w14:textId="77777777" w:rsidR="00B24007" w:rsidRPr="001F6A9C" w:rsidRDefault="00B24007" w:rsidP="00B24007">
      <w:pPr>
        <w:rPr>
          <w:rFonts w:ascii="MetaPro-Norm" w:hAnsi="MetaPro-Norm"/>
          <w:color w:val="000000" w:themeColor="text1"/>
          <w:sz w:val="24"/>
          <w:szCs w:val="24"/>
        </w:rPr>
      </w:pPr>
    </w:p>
    <w:p w14:paraId="737E1CE9" w14:textId="2AA3A7EA" w:rsidR="00B24007" w:rsidRDefault="00B24007" w:rsidP="00B24007">
      <w:pPr>
        <w:ind w:left="720" w:right="746"/>
        <w:rPr>
          <w:rFonts w:ascii="MetaPro-Norm" w:hAnsi="MetaPro-Norm"/>
          <w:iCs/>
          <w:color w:val="000000" w:themeColor="text1"/>
          <w:sz w:val="24"/>
          <w:szCs w:val="24"/>
        </w:rPr>
      </w:pPr>
      <w:r w:rsidRPr="00514295">
        <w:rPr>
          <w:rFonts w:ascii="MetaPro-Norm" w:hAnsi="MetaPro-Norm"/>
          <w:iCs/>
          <w:color w:val="000000" w:themeColor="text1"/>
          <w:sz w:val="24"/>
          <w:szCs w:val="24"/>
        </w:rPr>
        <w:t xml:space="preserve">Particular caution is required regarding educational institutions. Their destruction can bring particularly serious disadvantages for a people and the future of a country. Schools are also home to many children who are to be protected because of their vulnerability, while universities and other higher education establishments regularly house or display significant cultural assets. Educational institutions must therefore be </w:t>
      </w:r>
      <w:r w:rsidRPr="00514295">
        <w:rPr>
          <w:rFonts w:ascii="MetaPro-Norm" w:hAnsi="MetaPro-Norm"/>
          <w:iCs/>
          <w:color w:val="000000" w:themeColor="text1"/>
          <w:sz w:val="24"/>
          <w:szCs w:val="24"/>
        </w:rPr>
        <w:lastRenderedPageBreak/>
        <w:t>accorded special importance in the context of precautionary measures and proportionality. Their military use is to be avoided.</w:t>
      </w:r>
    </w:p>
    <w:p w14:paraId="636D8FB3" w14:textId="77777777" w:rsidR="00B24007" w:rsidRPr="000C601A" w:rsidRDefault="00B24007" w:rsidP="00B24007">
      <w:pPr>
        <w:ind w:left="720" w:right="746"/>
        <w:rPr>
          <w:rFonts w:ascii="MetaPro-Norm" w:hAnsi="MetaPro-Norm"/>
          <w:i/>
          <w:iCs/>
          <w:color w:val="000000" w:themeColor="text1"/>
          <w:sz w:val="24"/>
          <w:szCs w:val="24"/>
        </w:rPr>
      </w:pPr>
    </w:p>
    <w:p w14:paraId="48280923" w14:textId="7D2EC21B" w:rsidR="00B24007" w:rsidRDefault="00B24007" w:rsidP="00B24007">
      <w:pPr>
        <w:rPr>
          <w:rFonts w:ascii="MetaPro-Norm" w:hAnsi="MetaPro-Norm"/>
          <w:i/>
          <w:sz w:val="24"/>
          <w:szCs w:val="24"/>
        </w:rPr>
      </w:pPr>
      <w:r w:rsidRPr="00DE6159">
        <w:rPr>
          <w:rFonts w:ascii="MetaPro-Norm" w:hAnsi="MetaPro-Norm"/>
          <w:i/>
          <w:sz w:val="24"/>
          <w:szCs w:val="24"/>
        </w:rPr>
        <w:t>Human Rights Watch recommends that the Committee</w:t>
      </w:r>
      <w:r>
        <w:rPr>
          <w:rFonts w:ascii="MetaPro-Norm" w:hAnsi="MetaPro-Norm"/>
          <w:i/>
          <w:sz w:val="24"/>
          <w:szCs w:val="24"/>
        </w:rPr>
        <w:t>:</w:t>
      </w:r>
    </w:p>
    <w:p w14:paraId="05D97E39" w14:textId="77777777" w:rsidR="00B24007" w:rsidRDefault="00B24007" w:rsidP="00B24007">
      <w:pPr>
        <w:rPr>
          <w:rFonts w:ascii="MetaPro-Norm" w:hAnsi="MetaPro-Norm"/>
          <w:i/>
          <w:sz w:val="24"/>
          <w:szCs w:val="24"/>
        </w:rPr>
      </w:pPr>
    </w:p>
    <w:p w14:paraId="42F34C2C" w14:textId="472B15E6" w:rsidR="00B24007" w:rsidRPr="00B24007" w:rsidRDefault="00B24007" w:rsidP="00B24007">
      <w:pPr>
        <w:pStyle w:val="ListParagraph"/>
        <w:numPr>
          <w:ilvl w:val="0"/>
          <w:numId w:val="1"/>
        </w:numPr>
        <w:rPr>
          <w:rFonts w:ascii="MetaPro-Norm" w:hAnsi="MetaPro-Norm"/>
          <w:iCs/>
          <w:color w:val="000000" w:themeColor="text1"/>
          <w:sz w:val="24"/>
          <w:szCs w:val="24"/>
        </w:rPr>
      </w:pPr>
      <w:r>
        <w:rPr>
          <w:rFonts w:ascii="MetaPro-Norm" w:hAnsi="MetaPro-Norm"/>
          <w:iCs/>
          <w:color w:val="000000" w:themeColor="text1"/>
          <w:sz w:val="24"/>
          <w:szCs w:val="24"/>
        </w:rPr>
        <w:t xml:space="preserve">Congratulate Switzerland on </w:t>
      </w:r>
      <w:r w:rsidR="00210813">
        <w:rPr>
          <w:rFonts w:ascii="MetaPro-Norm" w:hAnsi="MetaPro-Norm"/>
          <w:iCs/>
          <w:color w:val="000000" w:themeColor="text1"/>
          <w:sz w:val="24"/>
          <w:szCs w:val="24"/>
        </w:rPr>
        <w:t xml:space="preserve">endorsing the Safe Schools Declaration, and for </w:t>
      </w:r>
      <w:r>
        <w:rPr>
          <w:rFonts w:ascii="MetaPro-Norm" w:hAnsi="MetaPro-Norm"/>
          <w:iCs/>
          <w:color w:val="000000" w:themeColor="text1"/>
          <w:sz w:val="24"/>
          <w:szCs w:val="24"/>
        </w:rPr>
        <w:t xml:space="preserve">their recent </w:t>
      </w:r>
      <w:r>
        <w:rPr>
          <w:rFonts w:ascii="MetaPro-Norm" w:hAnsi="MetaPro-Norm"/>
          <w:color w:val="000000" w:themeColor="text1"/>
          <w:sz w:val="24"/>
          <w:szCs w:val="24"/>
        </w:rPr>
        <w:t>addition to t</w:t>
      </w:r>
      <w:r w:rsidRPr="001F6A9C">
        <w:rPr>
          <w:rFonts w:ascii="MetaPro-Norm" w:hAnsi="MetaPro-Norm"/>
          <w:color w:val="000000" w:themeColor="text1"/>
          <w:sz w:val="24"/>
          <w:szCs w:val="24"/>
        </w:rPr>
        <w:t>he Swiss Armed Forces</w:t>
      </w:r>
      <w:r>
        <w:rPr>
          <w:rFonts w:ascii="MetaPro-Norm" w:hAnsi="MetaPro-Norm"/>
          <w:color w:val="000000" w:themeColor="text1"/>
          <w:sz w:val="24"/>
          <w:szCs w:val="24"/>
        </w:rPr>
        <w:t xml:space="preserve"> </w:t>
      </w:r>
      <w:r w:rsidRPr="001F6A9C">
        <w:rPr>
          <w:rFonts w:ascii="MetaPro-Norm" w:hAnsi="MetaPro-Norm"/>
          <w:color w:val="000000" w:themeColor="text1"/>
          <w:sz w:val="24"/>
          <w:szCs w:val="24"/>
        </w:rPr>
        <w:t>manual</w:t>
      </w:r>
      <w:r>
        <w:rPr>
          <w:rFonts w:ascii="MetaPro-Norm" w:hAnsi="MetaPro-Norm"/>
          <w:color w:val="000000" w:themeColor="text1"/>
          <w:sz w:val="24"/>
          <w:szCs w:val="24"/>
        </w:rPr>
        <w:t xml:space="preserve"> recognizing the importance of protecting educational institutions during armed conflicts, including from their use for military purposes. </w:t>
      </w:r>
    </w:p>
    <w:p w14:paraId="4433D779" w14:textId="77777777" w:rsidR="00B24007" w:rsidRPr="00F8375F" w:rsidRDefault="00B24007" w:rsidP="00B24007">
      <w:pPr>
        <w:pStyle w:val="ListParagraph"/>
        <w:rPr>
          <w:rFonts w:ascii="MetaPro-Norm" w:hAnsi="MetaPro-Norm"/>
          <w:iCs/>
          <w:color w:val="000000" w:themeColor="text1"/>
          <w:sz w:val="24"/>
          <w:szCs w:val="24"/>
        </w:rPr>
      </w:pPr>
    </w:p>
    <w:p w14:paraId="0ABE0044" w14:textId="5B3A1E44" w:rsidR="00B24007" w:rsidRPr="00700675" w:rsidRDefault="00B24007" w:rsidP="00B24007">
      <w:pPr>
        <w:pStyle w:val="ListParagraph"/>
        <w:numPr>
          <w:ilvl w:val="0"/>
          <w:numId w:val="1"/>
        </w:numPr>
        <w:rPr>
          <w:rFonts w:ascii="MetaPro-Norm" w:hAnsi="MetaPro-Norm"/>
          <w:iCs/>
          <w:color w:val="000000" w:themeColor="text1"/>
          <w:sz w:val="24"/>
          <w:szCs w:val="24"/>
        </w:rPr>
      </w:pPr>
      <w:r>
        <w:rPr>
          <w:rFonts w:ascii="MetaPro-Norm" w:hAnsi="MetaPro-Norm"/>
          <w:color w:val="000000" w:themeColor="text1"/>
          <w:sz w:val="24"/>
          <w:szCs w:val="24"/>
        </w:rPr>
        <w:t>Encourage Switzerland to share their good practices with other countries</w:t>
      </w:r>
      <w:r w:rsidR="00210813">
        <w:rPr>
          <w:rFonts w:ascii="MetaPro-Norm" w:hAnsi="MetaPro-Norm"/>
          <w:color w:val="000000" w:themeColor="text1"/>
          <w:sz w:val="24"/>
          <w:szCs w:val="24"/>
        </w:rPr>
        <w:t>, including</w:t>
      </w:r>
      <w:r>
        <w:rPr>
          <w:rFonts w:ascii="MetaPro-Norm" w:hAnsi="MetaPro-Norm"/>
          <w:color w:val="000000" w:themeColor="text1"/>
          <w:sz w:val="24"/>
          <w:szCs w:val="24"/>
        </w:rPr>
        <w:t xml:space="preserve"> </w:t>
      </w:r>
      <w:r w:rsidRPr="008B0568">
        <w:rPr>
          <w:rFonts w:ascii="MetaPro-Norm" w:hAnsi="MetaPro-Norm"/>
          <w:color w:val="000000" w:themeColor="text1"/>
          <w:sz w:val="24"/>
          <w:szCs w:val="24"/>
        </w:rPr>
        <w:t>any humanitarian aid or development assistance recipients who have</w:t>
      </w:r>
      <w:r>
        <w:rPr>
          <w:rFonts w:ascii="MetaPro-Norm" w:hAnsi="MetaPro-Norm"/>
          <w:color w:val="000000" w:themeColor="text1"/>
          <w:sz w:val="24"/>
          <w:szCs w:val="24"/>
        </w:rPr>
        <w:t xml:space="preserve"> </w:t>
      </w:r>
      <w:r w:rsidRPr="008B0568">
        <w:rPr>
          <w:rFonts w:ascii="MetaPro-Norm" w:hAnsi="MetaPro-Norm"/>
          <w:color w:val="000000" w:themeColor="text1"/>
          <w:sz w:val="24"/>
          <w:szCs w:val="24"/>
        </w:rPr>
        <w:t>endorsed</w:t>
      </w:r>
      <w:r>
        <w:rPr>
          <w:rFonts w:ascii="MetaPro-Norm" w:hAnsi="MetaPro-Norm"/>
          <w:color w:val="000000" w:themeColor="text1"/>
          <w:sz w:val="24"/>
          <w:szCs w:val="24"/>
        </w:rPr>
        <w:t xml:space="preserve"> the declaration. </w:t>
      </w:r>
      <w:r w:rsidR="00210813">
        <w:rPr>
          <w:rFonts w:ascii="MetaPro-Norm" w:hAnsi="MetaPro-Norm"/>
          <w:color w:val="000000" w:themeColor="text1"/>
          <w:sz w:val="24"/>
          <w:szCs w:val="24"/>
        </w:rPr>
        <w:br/>
      </w:r>
    </w:p>
    <w:p w14:paraId="361CE0BC" w14:textId="2F199401" w:rsidR="00B24007" w:rsidRDefault="00B24007" w:rsidP="00B24007">
      <w:pPr>
        <w:rPr>
          <w:rFonts w:ascii="MetaPro-Norm" w:hAnsi="MetaPro-Norm"/>
          <w:b/>
          <w:bCs/>
          <w:i/>
          <w:iCs/>
          <w:color w:val="000000" w:themeColor="text1"/>
          <w:sz w:val="24"/>
          <w:szCs w:val="24"/>
        </w:rPr>
      </w:pPr>
      <w:r>
        <w:rPr>
          <w:rFonts w:ascii="MetaPro-Norm" w:hAnsi="MetaPro-Norm"/>
          <w:b/>
          <w:bCs/>
          <w:i/>
          <w:iCs/>
          <w:color w:val="000000" w:themeColor="text1"/>
          <w:sz w:val="24"/>
          <w:szCs w:val="24"/>
        </w:rPr>
        <w:t xml:space="preserve">Immigration </w:t>
      </w:r>
      <w:r w:rsidRPr="00700675">
        <w:rPr>
          <w:rFonts w:ascii="MetaPro-Norm" w:hAnsi="MetaPro-Norm"/>
          <w:b/>
          <w:bCs/>
          <w:i/>
          <w:iCs/>
          <w:color w:val="000000" w:themeColor="text1"/>
          <w:sz w:val="24"/>
          <w:szCs w:val="24"/>
        </w:rPr>
        <w:t xml:space="preserve">Detention of Children (article </w:t>
      </w:r>
      <w:r w:rsidR="00885C7C">
        <w:rPr>
          <w:rFonts w:ascii="MetaPro-Norm" w:hAnsi="MetaPro-Norm"/>
          <w:b/>
          <w:bCs/>
          <w:i/>
          <w:iCs/>
          <w:color w:val="000000" w:themeColor="text1"/>
          <w:sz w:val="24"/>
          <w:szCs w:val="24"/>
        </w:rPr>
        <w:t>10</w:t>
      </w:r>
      <w:r w:rsidR="00E2641B">
        <w:rPr>
          <w:rFonts w:ascii="MetaPro-Norm" w:hAnsi="MetaPro-Norm"/>
          <w:b/>
          <w:bCs/>
          <w:i/>
          <w:iCs/>
          <w:color w:val="000000" w:themeColor="text1"/>
          <w:sz w:val="24"/>
          <w:szCs w:val="24"/>
        </w:rPr>
        <w:t xml:space="preserve"> and 12</w:t>
      </w:r>
      <w:r w:rsidRPr="00700675">
        <w:rPr>
          <w:rFonts w:ascii="MetaPro-Norm" w:hAnsi="MetaPro-Norm"/>
          <w:b/>
          <w:bCs/>
          <w:i/>
          <w:iCs/>
          <w:color w:val="000000" w:themeColor="text1"/>
          <w:sz w:val="24"/>
          <w:szCs w:val="24"/>
        </w:rPr>
        <w:t>)</w:t>
      </w:r>
    </w:p>
    <w:p w14:paraId="4EFC5CB6" w14:textId="77777777" w:rsidR="005A3EC8" w:rsidRDefault="005A3EC8" w:rsidP="005A3EC8">
      <w:pPr>
        <w:rPr>
          <w:rFonts w:ascii="MetaPro-Norm" w:hAnsi="MetaPro-Norm"/>
          <w:b/>
          <w:bCs/>
          <w:i/>
          <w:iCs/>
          <w:color w:val="000000" w:themeColor="text1"/>
          <w:sz w:val="24"/>
          <w:szCs w:val="24"/>
        </w:rPr>
      </w:pPr>
    </w:p>
    <w:p w14:paraId="0E21466D" w14:textId="42237886" w:rsidR="005A3EC8" w:rsidRPr="005A3EC8" w:rsidRDefault="00210813" w:rsidP="005A3EC8">
      <w:pPr>
        <w:rPr>
          <w:rFonts w:ascii="MetaPro-Norm" w:hAnsi="MetaPro-Norm"/>
          <w:color w:val="000000" w:themeColor="text1"/>
          <w:sz w:val="24"/>
          <w:szCs w:val="24"/>
        </w:rPr>
      </w:pPr>
      <w:r>
        <w:rPr>
          <w:rFonts w:ascii="MetaPro-Norm" w:hAnsi="MetaPro-Norm"/>
          <w:color w:val="000000" w:themeColor="text1"/>
          <w:sz w:val="24"/>
          <w:szCs w:val="24"/>
        </w:rPr>
        <w:t xml:space="preserve">Under </w:t>
      </w:r>
      <w:r w:rsidR="00B24007" w:rsidRPr="00AB5642">
        <w:rPr>
          <w:rFonts w:ascii="MetaPro-Norm" w:hAnsi="MetaPro-Norm"/>
          <w:color w:val="000000" w:themeColor="text1"/>
          <w:sz w:val="24"/>
          <w:szCs w:val="24"/>
        </w:rPr>
        <w:t>Switzerland</w:t>
      </w:r>
      <w:r>
        <w:rPr>
          <w:rFonts w:ascii="MetaPro-Norm" w:hAnsi="MetaPro-Norm"/>
          <w:color w:val="000000" w:themeColor="text1"/>
          <w:sz w:val="24"/>
          <w:szCs w:val="24"/>
        </w:rPr>
        <w:t xml:space="preserve">’s </w:t>
      </w:r>
      <w:r w:rsidRPr="00AB5642">
        <w:rPr>
          <w:rFonts w:ascii="MetaPro-Norm" w:hAnsi="MetaPro-Norm"/>
          <w:color w:val="000000" w:themeColor="text1"/>
          <w:sz w:val="24"/>
          <w:szCs w:val="24"/>
        </w:rPr>
        <w:t>Foreign Nationals Act</w:t>
      </w:r>
      <w:r w:rsidR="00B24007" w:rsidRPr="00AB5642">
        <w:rPr>
          <w:rFonts w:ascii="MetaPro-Norm" w:hAnsi="MetaPro-Norm"/>
          <w:color w:val="000000" w:themeColor="text1"/>
          <w:sz w:val="24"/>
          <w:szCs w:val="24"/>
        </w:rPr>
        <w:t xml:space="preserve">, youths between 15 and 18 years of age can be </w:t>
      </w:r>
      <w:r w:rsidR="005A3EC8" w:rsidRPr="00AB5642">
        <w:rPr>
          <w:rFonts w:ascii="MetaPro-Norm" w:hAnsi="MetaPro-Norm"/>
          <w:color w:val="000000" w:themeColor="text1"/>
          <w:sz w:val="24"/>
          <w:szCs w:val="24"/>
        </w:rPr>
        <w:t>detained</w:t>
      </w:r>
      <w:r w:rsidR="005A3EC8">
        <w:rPr>
          <w:rFonts w:ascii="MetaPro-Norm" w:hAnsi="MetaPro-Norm"/>
          <w:color w:val="000000" w:themeColor="text1"/>
          <w:sz w:val="24"/>
          <w:szCs w:val="24"/>
        </w:rPr>
        <w:t xml:space="preserve"> under </w:t>
      </w:r>
      <w:r w:rsidR="00982202">
        <w:rPr>
          <w:rFonts w:ascii="MetaPro-Norm" w:hAnsi="MetaPro-Norm"/>
          <w:color w:val="000000" w:themeColor="text1"/>
          <w:sz w:val="24"/>
          <w:szCs w:val="24"/>
        </w:rPr>
        <w:t xml:space="preserve">a number of different </w:t>
      </w:r>
      <w:r w:rsidR="005A3EC8">
        <w:rPr>
          <w:rFonts w:ascii="MetaPro-Norm" w:hAnsi="MetaPro-Norm"/>
          <w:color w:val="000000" w:themeColor="text1"/>
          <w:sz w:val="24"/>
          <w:szCs w:val="24"/>
        </w:rPr>
        <w:t>circumstances. This includes if they r</w:t>
      </w:r>
      <w:r w:rsidR="005A3EC8" w:rsidRPr="005A3EC8">
        <w:rPr>
          <w:rFonts w:ascii="MetaPro-Norm" w:hAnsi="MetaPro-Norm"/>
          <w:color w:val="000000" w:themeColor="text1"/>
          <w:sz w:val="24"/>
          <w:szCs w:val="24"/>
        </w:rPr>
        <w:t>efuse</w:t>
      </w:r>
      <w:r w:rsidR="005A3EC8">
        <w:rPr>
          <w:rFonts w:ascii="MetaPro-Norm" w:hAnsi="MetaPro-Norm"/>
          <w:color w:val="000000" w:themeColor="text1"/>
          <w:sz w:val="24"/>
          <w:szCs w:val="24"/>
        </w:rPr>
        <w:t xml:space="preserve"> </w:t>
      </w:r>
      <w:r w:rsidR="005A3EC8" w:rsidRPr="005A3EC8">
        <w:rPr>
          <w:rFonts w:ascii="MetaPro-Norm" w:hAnsi="MetaPro-Norm"/>
          <w:color w:val="000000" w:themeColor="text1"/>
          <w:sz w:val="24"/>
          <w:szCs w:val="24"/>
        </w:rPr>
        <w:t>during asylum proceedings, removal proceedings or criminal proceedings to disclose their identity</w:t>
      </w:r>
      <w:r w:rsidR="005A3EC8">
        <w:rPr>
          <w:rFonts w:ascii="MetaPro-Norm" w:hAnsi="MetaPro-Norm"/>
          <w:color w:val="000000" w:themeColor="text1"/>
          <w:sz w:val="24"/>
          <w:szCs w:val="24"/>
        </w:rPr>
        <w:t>;</w:t>
      </w:r>
      <w:r w:rsidR="005A3EC8" w:rsidRPr="005A3EC8">
        <w:rPr>
          <w:rFonts w:ascii="MetaPro-Norm" w:hAnsi="MetaPro-Norm"/>
          <w:color w:val="000000" w:themeColor="text1"/>
          <w:sz w:val="24"/>
          <w:szCs w:val="24"/>
        </w:rPr>
        <w:t xml:space="preserve"> leave an area allocated to them</w:t>
      </w:r>
      <w:r w:rsidR="005A3EC8">
        <w:rPr>
          <w:rFonts w:ascii="MetaPro-Norm" w:hAnsi="MetaPro-Norm"/>
          <w:color w:val="000000" w:themeColor="text1"/>
          <w:sz w:val="24"/>
          <w:szCs w:val="24"/>
        </w:rPr>
        <w:t xml:space="preserve"> </w:t>
      </w:r>
      <w:r w:rsidR="005A3EC8" w:rsidRPr="005A3EC8">
        <w:rPr>
          <w:rFonts w:ascii="MetaPro-Norm" w:hAnsi="MetaPro-Norm"/>
          <w:color w:val="000000" w:themeColor="text1"/>
          <w:sz w:val="24"/>
          <w:szCs w:val="24"/>
        </w:rPr>
        <w:t>or enter an area from which they are excluded;</w:t>
      </w:r>
      <w:r w:rsidR="005A3EC8">
        <w:rPr>
          <w:rFonts w:ascii="MetaPro-Norm" w:hAnsi="MetaPro-Norm"/>
          <w:color w:val="000000" w:themeColor="text1"/>
          <w:sz w:val="24"/>
          <w:szCs w:val="24"/>
        </w:rPr>
        <w:t xml:space="preserve"> </w:t>
      </w:r>
      <w:r w:rsidR="005A3EC8" w:rsidRPr="005A3EC8">
        <w:rPr>
          <w:rFonts w:ascii="MetaPro-Norm" w:hAnsi="MetaPro-Norm"/>
          <w:color w:val="000000" w:themeColor="text1"/>
          <w:sz w:val="24"/>
          <w:szCs w:val="24"/>
        </w:rPr>
        <w:t>enter Swiss territory despite a ban on entry;</w:t>
      </w:r>
      <w:r w:rsidR="005A3EC8">
        <w:rPr>
          <w:rFonts w:ascii="MetaPro-Norm" w:hAnsi="MetaPro-Norm"/>
          <w:color w:val="000000" w:themeColor="text1"/>
          <w:sz w:val="24"/>
          <w:szCs w:val="24"/>
        </w:rPr>
        <w:t xml:space="preserve"> </w:t>
      </w:r>
      <w:r w:rsidR="005A3EC8" w:rsidRPr="005A3EC8">
        <w:rPr>
          <w:rFonts w:ascii="MetaPro-Norm" w:hAnsi="MetaPro-Norm"/>
          <w:color w:val="000000" w:themeColor="text1"/>
          <w:sz w:val="24"/>
          <w:szCs w:val="24"/>
        </w:rPr>
        <w:t>submit an application for asylum after expulsion</w:t>
      </w:r>
      <w:r w:rsidR="005A3EC8">
        <w:rPr>
          <w:rFonts w:ascii="MetaPro-Norm" w:hAnsi="MetaPro-Norm"/>
          <w:color w:val="000000" w:themeColor="text1"/>
          <w:sz w:val="24"/>
          <w:szCs w:val="24"/>
        </w:rPr>
        <w:t xml:space="preserve">; </w:t>
      </w:r>
      <w:r w:rsidR="005A3EC8" w:rsidRPr="005A3EC8">
        <w:rPr>
          <w:rFonts w:ascii="MetaPro-Norm" w:hAnsi="MetaPro-Norm"/>
          <w:color w:val="000000" w:themeColor="text1"/>
          <w:sz w:val="24"/>
          <w:szCs w:val="24"/>
        </w:rPr>
        <w:t>stay unlawfully in Switzerland and submit an application for asylum with the obvious intention of avoiding the imminent enforcement of a removal or expulsion order; seriously threaten other persons or considerably endanger the life and limb of other persons and are therefore being prosecuted or have been convicted;</w:t>
      </w:r>
    </w:p>
    <w:p w14:paraId="4A21D95A" w14:textId="70B47B66" w:rsidR="005A3EC8" w:rsidRDefault="005A3EC8" w:rsidP="005A3EC8">
      <w:pPr>
        <w:rPr>
          <w:rFonts w:ascii="MetaPro-Norm" w:hAnsi="MetaPro-Norm"/>
          <w:color w:val="000000" w:themeColor="text1"/>
          <w:sz w:val="24"/>
          <w:szCs w:val="24"/>
        </w:rPr>
      </w:pPr>
      <w:r>
        <w:rPr>
          <w:rFonts w:ascii="MetaPro-Norm" w:hAnsi="MetaPro-Norm"/>
          <w:color w:val="000000" w:themeColor="text1"/>
          <w:sz w:val="24"/>
          <w:szCs w:val="24"/>
        </w:rPr>
        <w:t xml:space="preserve">or </w:t>
      </w:r>
      <w:r w:rsidRPr="005A3EC8">
        <w:rPr>
          <w:rFonts w:ascii="MetaPro-Norm" w:hAnsi="MetaPro-Norm"/>
          <w:color w:val="000000" w:themeColor="text1"/>
          <w:sz w:val="24"/>
          <w:szCs w:val="24"/>
        </w:rPr>
        <w:t>have been convicted of a felony.</w:t>
      </w:r>
      <w:r>
        <w:rPr>
          <w:rStyle w:val="FootnoteReference"/>
          <w:rFonts w:ascii="MetaPro-Norm" w:hAnsi="MetaPro-Norm"/>
          <w:color w:val="000000" w:themeColor="text1"/>
          <w:sz w:val="24"/>
          <w:szCs w:val="24"/>
        </w:rPr>
        <w:footnoteReference w:id="2"/>
      </w:r>
    </w:p>
    <w:p w14:paraId="55667B56" w14:textId="77777777" w:rsidR="00885C7C" w:rsidRDefault="00885C7C" w:rsidP="00B24007">
      <w:pPr>
        <w:rPr>
          <w:rFonts w:ascii="MetaPro-Norm" w:hAnsi="MetaPro-Norm"/>
          <w:color w:val="000000" w:themeColor="text1"/>
          <w:sz w:val="24"/>
          <w:szCs w:val="24"/>
        </w:rPr>
      </w:pPr>
    </w:p>
    <w:p w14:paraId="49D4BFC7" w14:textId="7FB1D151" w:rsidR="00D5772D" w:rsidRDefault="00B24007" w:rsidP="004C62FE">
      <w:pPr>
        <w:rPr>
          <w:rFonts w:ascii="MetaPro-Norm" w:hAnsi="MetaPro-Norm"/>
          <w:color w:val="000000" w:themeColor="text1"/>
          <w:sz w:val="24"/>
          <w:szCs w:val="24"/>
        </w:rPr>
      </w:pPr>
      <w:r>
        <w:rPr>
          <w:rFonts w:ascii="MetaPro-Norm" w:hAnsi="MetaPro-Norm"/>
          <w:color w:val="000000" w:themeColor="text1"/>
          <w:sz w:val="24"/>
          <w:szCs w:val="24"/>
        </w:rPr>
        <w:t>Terre Des Hommes published a report in 2016 that found that w</w:t>
      </w:r>
      <w:r w:rsidRPr="00351C1B">
        <w:rPr>
          <w:rFonts w:ascii="MetaPro-Norm" w:hAnsi="MetaPro-Norm"/>
          <w:color w:val="000000" w:themeColor="text1"/>
          <w:sz w:val="24"/>
          <w:szCs w:val="24"/>
        </w:rPr>
        <w:t>hile Swiss</w:t>
      </w:r>
      <w:r>
        <w:rPr>
          <w:rFonts w:ascii="MetaPro-Norm" w:hAnsi="MetaPro-Norm"/>
          <w:color w:val="000000" w:themeColor="text1"/>
          <w:sz w:val="24"/>
          <w:szCs w:val="24"/>
        </w:rPr>
        <w:t xml:space="preserve"> </w:t>
      </w:r>
      <w:r w:rsidRPr="00351C1B">
        <w:rPr>
          <w:rFonts w:ascii="MetaPro-Norm" w:hAnsi="MetaPro-Norm"/>
          <w:color w:val="000000" w:themeColor="text1"/>
          <w:sz w:val="24"/>
          <w:szCs w:val="24"/>
        </w:rPr>
        <w:t>federal law forbids immigration detention of children under the age of 15, the detention of children between the ages of 15 to 18 years</w:t>
      </w:r>
      <w:r>
        <w:rPr>
          <w:rFonts w:ascii="MetaPro-Norm" w:hAnsi="MetaPro-Norm"/>
          <w:color w:val="000000" w:themeColor="text1"/>
          <w:sz w:val="24"/>
          <w:szCs w:val="24"/>
        </w:rPr>
        <w:t xml:space="preserve"> for migration-related reasons</w:t>
      </w:r>
      <w:r w:rsidRPr="00351C1B">
        <w:rPr>
          <w:rFonts w:ascii="MetaPro-Norm" w:hAnsi="MetaPro-Norm"/>
          <w:color w:val="000000" w:themeColor="text1"/>
          <w:sz w:val="24"/>
          <w:szCs w:val="24"/>
        </w:rPr>
        <w:t xml:space="preserve"> appears</w:t>
      </w:r>
      <w:r>
        <w:rPr>
          <w:rFonts w:ascii="MetaPro-Norm" w:hAnsi="MetaPro-Norm"/>
          <w:color w:val="000000" w:themeColor="text1"/>
          <w:sz w:val="24"/>
          <w:szCs w:val="24"/>
        </w:rPr>
        <w:t xml:space="preserve"> </w:t>
      </w:r>
      <w:r w:rsidRPr="00351C1B">
        <w:rPr>
          <w:rFonts w:ascii="MetaPro-Norm" w:hAnsi="MetaPro-Norm"/>
          <w:color w:val="000000" w:themeColor="text1"/>
          <w:sz w:val="24"/>
          <w:szCs w:val="24"/>
        </w:rPr>
        <w:t>to be widespread across the Swiss Confederation,</w:t>
      </w:r>
      <w:r>
        <w:rPr>
          <w:rFonts w:ascii="MetaPro-Norm" w:hAnsi="MetaPro-Norm"/>
          <w:color w:val="000000" w:themeColor="text1"/>
          <w:sz w:val="24"/>
          <w:szCs w:val="24"/>
        </w:rPr>
        <w:t xml:space="preserve"> </w:t>
      </w:r>
      <w:r w:rsidRPr="00351C1B">
        <w:rPr>
          <w:rFonts w:ascii="MetaPro-Norm" w:hAnsi="MetaPro-Norm"/>
          <w:color w:val="000000" w:themeColor="text1"/>
          <w:sz w:val="24"/>
          <w:szCs w:val="24"/>
        </w:rPr>
        <w:t xml:space="preserve">with 142 </w:t>
      </w:r>
      <w:r>
        <w:rPr>
          <w:rFonts w:ascii="MetaPro-Norm" w:hAnsi="MetaPro-Norm"/>
          <w:color w:val="000000" w:themeColor="text1"/>
          <w:sz w:val="24"/>
          <w:szCs w:val="24"/>
        </w:rPr>
        <w:t>children of these ages</w:t>
      </w:r>
      <w:r w:rsidRPr="00351C1B">
        <w:rPr>
          <w:rFonts w:ascii="MetaPro-Norm" w:hAnsi="MetaPro-Norm"/>
          <w:color w:val="000000" w:themeColor="text1"/>
          <w:sz w:val="24"/>
          <w:szCs w:val="24"/>
        </w:rPr>
        <w:t xml:space="preserve"> reportedly detained in 2015</w:t>
      </w:r>
      <w:r>
        <w:rPr>
          <w:rFonts w:ascii="MetaPro-Norm" w:hAnsi="MetaPro-Norm"/>
          <w:color w:val="000000" w:themeColor="text1"/>
          <w:sz w:val="24"/>
          <w:szCs w:val="24"/>
        </w:rPr>
        <w:t>.</w:t>
      </w:r>
      <w:r>
        <w:rPr>
          <w:rStyle w:val="FootnoteReference"/>
          <w:rFonts w:ascii="MetaPro-Norm" w:hAnsi="MetaPro-Norm"/>
          <w:color w:val="000000" w:themeColor="text1"/>
          <w:sz w:val="24"/>
          <w:szCs w:val="24"/>
        </w:rPr>
        <w:footnoteReference w:id="3"/>
      </w:r>
      <w:r>
        <w:rPr>
          <w:rFonts w:ascii="MetaPro-Norm" w:hAnsi="MetaPro-Norm"/>
          <w:color w:val="000000" w:themeColor="text1"/>
          <w:sz w:val="24"/>
          <w:szCs w:val="24"/>
        </w:rPr>
        <w:t xml:space="preserve"> </w:t>
      </w:r>
      <w:r w:rsidR="00675261">
        <w:rPr>
          <w:rFonts w:ascii="MetaPro-Norm" w:hAnsi="MetaPro-Norm"/>
          <w:color w:val="000000" w:themeColor="text1"/>
          <w:sz w:val="24"/>
          <w:szCs w:val="24"/>
        </w:rPr>
        <w:t>Also</w:t>
      </w:r>
      <w:r>
        <w:rPr>
          <w:rFonts w:ascii="MetaPro-Norm" w:hAnsi="MetaPro-Norm"/>
          <w:color w:val="000000" w:themeColor="text1"/>
          <w:sz w:val="24"/>
          <w:szCs w:val="24"/>
        </w:rPr>
        <w:t>, a</w:t>
      </w:r>
      <w:r w:rsidRPr="00AB5642">
        <w:rPr>
          <w:rFonts w:ascii="MetaPro-Norm" w:hAnsi="MetaPro-Norm"/>
          <w:color w:val="000000" w:themeColor="text1"/>
          <w:sz w:val="24"/>
          <w:szCs w:val="24"/>
        </w:rPr>
        <w:t xml:space="preserve">ccording to a report from June 2018 by the National Council Control Committee (CC-N), even </w:t>
      </w:r>
      <w:r w:rsidR="00210813">
        <w:rPr>
          <w:rFonts w:ascii="MetaPro-Norm" w:hAnsi="MetaPro-Norm"/>
          <w:color w:val="000000" w:themeColor="text1"/>
          <w:sz w:val="24"/>
          <w:szCs w:val="24"/>
        </w:rPr>
        <w:t xml:space="preserve">children </w:t>
      </w:r>
      <w:r w:rsidRPr="00AB5642">
        <w:rPr>
          <w:rFonts w:ascii="MetaPro-Norm" w:hAnsi="MetaPro-Norm"/>
          <w:color w:val="000000" w:themeColor="text1"/>
          <w:sz w:val="24"/>
          <w:szCs w:val="24"/>
        </w:rPr>
        <w:t>who are not yet 15 are detained</w:t>
      </w:r>
      <w:r>
        <w:rPr>
          <w:rFonts w:ascii="MetaPro-Norm" w:hAnsi="MetaPro-Norm"/>
          <w:color w:val="000000" w:themeColor="text1"/>
          <w:sz w:val="24"/>
          <w:szCs w:val="24"/>
        </w:rPr>
        <w:t xml:space="preserve"> for migration-</w:t>
      </w:r>
      <w:r>
        <w:rPr>
          <w:rFonts w:ascii="MetaPro-Norm" w:hAnsi="MetaPro-Norm"/>
          <w:color w:val="000000" w:themeColor="text1"/>
          <w:sz w:val="24"/>
          <w:szCs w:val="24"/>
        </w:rPr>
        <w:lastRenderedPageBreak/>
        <w:t>related reasons</w:t>
      </w:r>
      <w:r w:rsidRPr="00AB5642">
        <w:rPr>
          <w:rFonts w:ascii="MetaPro-Norm" w:hAnsi="MetaPro-Norm"/>
          <w:color w:val="000000" w:themeColor="text1"/>
          <w:sz w:val="24"/>
          <w:szCs w:val="24"/>
        </w:rPr>
        <w:t xml:space="preserve"> in some cantons.</w:t>
      </w:r>
      <w:r>
        <w:rPr>
          <w:rStyle w:val="FootnoteReference"/>
          <w:rFonts w:ascii="MetaPro-Norm" w:hAnsi="MetaPro-Norm"/>
          <w:color w:val="000000" w:themeColor="text1"/>
          <w:sz w:val="24"/>
          <w:szCs w:val="24"/>
        </w:rPr>
        <w:footnoteReference w:id="4"/>
      </w:r>
      <w:r w:rsidR="00675261">
        <w:rPr>
          <w:rFonts w:ascii="MetaPro-Norm" w:hAnsi="MetaPro-Norm"/>
          <w:color w:val="000000" w:themeColor="text1"/>
          <w:sz w:val="24"/>
          <w:szCs w:val="24"/>
        </w:rPr>
        <w:t xml:space="preserve"> </w:t>
      </w:r>
      <w:r w:rsidR="00210813">
        <w:rPr>
          <w:rFonts w:ascii="MetaPro-Norm" w:hAnsi="MetaPro-Norm"/>
          <w:color w:val="000000" w:themeColor="text1"/>
          <w:sz w:val="24"/>
          <w:szCs w:val="24"/>
        </w:rPr>
        <w:t>I</w:t>
      </w:r>
      <w:r w:rsidR="00675261" w:rsidRPr="00675261">
        <w:rPr>
          <w:rFonts w:ascii="MetaPro-Norm" w:hAnsi="MetaPro-Norm"/>
          <w:color w:val="000000" w:themeColor="text1"/>
          <w:sz w:val="24"/>
          <w:szCs w:val="24"/>
        </w:rPr>
        <w:t>mmigration detention has</w:t>
      </w:r>
      <w:r w:rsidR="00675261">
        <w:rPr>
          <w:rFonts w:ascii="MetaPro-Norm" w:hAnsi="MetaPro-Norm"/>
          <w:color w:val="000000" w:themeColor="text1"/>
          <w:sz w:val="24"/>
          <w:szCs w:val="24"/>
        </w:rPr>
        <w:t xml:space="preserve"> been proven to have an adverse effect on </w:t>
      </w:r>
      <w:r w:rsidR="00D5772D">
        <w:rPr>
          <w:rFonts w:ascii="MetaPro-Norm" w:hAnsi="MetaPro-Norm"/>
          <w:color w:val="000000" w:themeColor="text1"/>
          <w:sz w:val="24"/>
          <w:szCs w:val="24"/>
        </w:rPr>
        <w:t xml:space="preserve">the </w:t>
      </w:r>
      <w:r w:rsidR="00675261">
        <w:rPr>
          <w:rFonts w:ascii="MetaPro-Norm" w:hAnsi="MetaPro-Norm"/>
          <w:color w:val="000000" w:themeColor="text1"/>
          <w:sz w:val="24"/>
          <w:szCs w:val="24"/>
        </w:rPr>
        <w:t>mental health</w:t>
      </w:r>
      <w:r w:rsidR="00675261" w:rsidRPr="00675261">
        <w:rPr>
          <w:rFonts w:ascii="MetaPro-Norm" w:hAnsi="MetaPro-Norm"/>
          <w:color w:val="000000" w:themeColor="text1"/>
          <w:sz w:val="24"/>
          <w:szCs w:val="24"/>
        </w:rPr>
        <w:t xml:space="preserve"> </w:t>
      </w:r>
      <w:r w:rsidR="00D5772D">
        <w:rPr>
          <w:rFonts w:ascii="MetaPro-Norm" w:hAnsi="MetaPro-Norm"/>
          <w:color w:val="000000" w:themeColor="text1"/>
          <w:sz w:val="24"/>
          <w:szCs w:val="24"/>
        </w:rPr>
        <w:t>of children. Research from the United States, Canada, Australia and Europe has shown that it can be incredibly destructive and that children react to even short periods</w:t>
      </w:r>
      <w:r w:rsidR="00982202">
        <w:rPr>
          <w:rFonts w:ascii="MetaPro-Norm" w:hAnsi="MetaPro-Norm"/>
          <w:color w:val="000000" w:themeColor="text1"/>
          <w:sz w:val="24"/>
          <w:szCs w:val="24"/>
        </w:rPr>
        <w:t xml:space="preserve"> of detention</w:t>
      </w:r>
      <w:r w:rsidR="00D5772D">
        <w:rPr>
          <w:rFonts w:ascii="MetaPro-Norm" w:hAnsi="MetaPro-Norm"/>
          <w:color w:val="000000" w:themeColor="text1"/>
          <w:sz w:val="24"/>
          <w:szCs w:val="24"/>
        </w:rPr>
        <w:t xml:space="preserve"> with “extreme distress,” becoming aggressive, suffering a loss of appetite</w:t>
      </w:r>
      <w:r w:rsidR="00F66624">
        <w:rPr>
          <w:rFonts w:ascii="MetaPro-Norm" w:hAnsi="MetaPro-Norm"/>
          <w:color w:val="000000" w:themeColor="text1"/>
          <w:sz w:val="24"/>
          <w:szCs w:val="24"/>
        </w:rPr>
        <w:t>,</w:t>
      </w:r>
      <w:r w:rsidR="00D5772D">
        <w:rPr>
          <w:rFonts w:ascii="MetaPro-Norm" w:hAnsi="MetaPro-Norm"/>
          <w:color w:val="000000" w:themeColor="text1"/>
          <w:sz w:val="24"/>
          <w:szCs w:val="24"/>
        </w:rPr>
        <w:t xml:space="preserve"> and having trouble sleeping.</w:t>
      </w:r>
      <w:r w:rsidR="00F66624">
        <w:rPr>
          <w:rStyle w:val="FootnoteReference"/>
          <w:rFonts w:ascii="MetaPro-Norm" w:hAnsi="MetaPro-Norm"/>
          <w:color w:val="000000" w:themeColor="text1"/>
          <w:sz w:val="24"/>
          <w:szCs w:val="24"/>
        </w:rPr>
        <w:footnoteReference w:id="5"/>
      </w:r>
      <w:r w:rsidR="00F66624">
        <w:rPr>
          <w:rFonts w:ascii="MetaPro-Norm" w:hAnsi="MetaPro-Norm"/>
          <w:color w:val="000000" w:themeColor="text1"/>
          <w:sz w:val="24"/>
          <w:szCs w:val="24"/>
        </w:rPr>
        <w:t xml:space="preserve"> </w:t>
      </w:r>
      <w:r w:rsidR="00D5772D">
        <w:rPr>
          <w:rFonts w:ascii="MetaPro-Norm" w:hAnsi="MetaPro-Norm"/>
          <w:color w:val="000000" w:themeColor="text1"/>
          <w:sz w:val="24"/>
          <w:szCs w:val="24"/>
        </w:rPr>
        <w:t xml:space="preserve">This distress often then continues for months afterwards. </w:t>
      </w:r>
    </w:p>
    <w:p w14:paraId="4B3C44E7" w14:textId="77777777" w:rsidR="00D5772D" w:rsidRDefault="00D5772D" w:rsidP="009C02A0">
      <w:pPr>
        <w:rPr>
          <w:rFonts w:ascii="MetaPro-Norm" w:hAnsi="MetaPro-Norm"/>
          <w:color w:val="000000" w:themeColor="text1"/>
          <w:sz w:val="24"/>
          <w:szCs w:val="24"/>
        </w:rPr>
      </w:pPr>
    </w:p>
    <w:p w14:paraId="1935372D" w14:textId="35EFFE24" w:rsidR="00B24007" w:rsidRPr="009C02A0" w:rsidRDefault="00B24007" w:rsidP="009C02A0">
      <w:pPr>
        <w:rPr>
          <w:rFonts w:ascii="MetaPro-Norm" w:hAnsi="MetaPro-Norm"/>
          <w:color w:val="000000" w:themeColor="text1"/>
          <w:sz w:val="24"/>
          <w:szCs w:val="24"/>
        </w:rPr>
      </w:pPr>
      <w:r w:rsidRPr="00DE6159">
        <w:rPr>
          <w:rFonts w:ascii="MetaPro-Norm" w:hAnsi="MetaPro-Norm"/>
          <w:i/>
          <w:sz w:val="24"/>
          <w:szCs w:val="24"/>
        </w:rPr>
        <w:t>Human Rights Watch recommends that the Committee</w:t>
      </w:r>
      <w:r>
        <w:rPr>
          <w:rFonts w:ascii="MetaPro-Norm" w:hAnsi="MetaPro-Norm"/>
          <w:i/>
          <w:sz w:val="24"/>
          <w:szCs w:val="24"/>
        </w:rPr>
        <w:t>:</w:t>
      </w:r>
    </w:p>
    <w:p w14:paraId="31761F20" w14:textId="77777777" w:rsidR="00B24007" w:rsidRDefault="00B24007" w:rsidP="00B24007">
      <w:pPr>
        <w:rPr>
          <w:rFonts w:ascii="MetaPro-Norm" w:hAnsi="MetaPro-Norm"/>
          <w:i/>
          <w:sz w:val="24"/>
          <w:szCs w:val="24"/>
        </w:rPr>
      </w:pPr>
    </w:p>
    <w:p w14:paraId="2992676E" w14:textId="0FD60046" w:rsidR="00B24007" w:rsidRPr="00F071FD" w:rsidRDefault="00B24007" w:rsidP="00B24007">
      <w:pPr>
        <w:pStyle w:val="ListParagraph"/>
        <w:numPr>
          <w:ilvl w:val="0"/>
          <w:numId w:val="2"/>
        </w:numPr>
        <w:rPr>
          <w:rFonts w:ascii="MetaPro-Norm" w:hAnsi="MetaPro-Norm"/>
          <w:color w:val="000000" w:themeColor="text1"/>
          <w:sz w:val="24"/>
          <w:szCs w:val="24"/>
        </w:rPr>
      </w:pPr>
      <w:r w:rsidRPr="00F071FD">
        <w:rPr>
          <w:rFonts w:ascii="MetaPro-Norm" w:hAnsi="MetaPro-Norm"/>
          <w:color w:val="000000" w:themeColor="text1"/>
          <w:sz w:val="24"/>
          <w:szCs w:val="24"/>
        </w:rPr>
        <w:t xml:space="preserve">Call on the Swiss Confederation to amend the Foreign Nationals Act to provide that no children under the age of 18 </w:t>
      </w:r>
      <w:r w:rsidR="00210813">
        <w:rPr>
          <w:rFonts w:ascii="MetaPro-Norm" w:hAnsi="MetaPro-Norm"/>
          <w:color w:val="000000" w:themeColor="text1"/>
          <w:sz w:val="24"/>
          <w:szCs w:val="24"/>
        </w:rPr>
        <w:t xml:space="preserve">may be </w:t>
      </w:r>
      <w:r w:rsidRPr="00F071FD">
        <w:rPr>
          <w:rFonts w:ascii="MetaPro-Norm" w:hAnsi="MetaPro-Norm"/>
          <w:color w:val="000000" w:themeColor="text1"/>
          <w:sz w:val="24"/>
          <w:szCs w:val="24"/>
        </w:rPr>
        <w:t>detained because of their migration status</w:t>
      </w:r>
      <w:r>
        <w:rPr>
          <w:rFonts w:ascii="MetaPro-Norm" w:hAnsi="MetaPro-Norm"/>
          <w:color w:val="000000" w:themeColor="text1"/>
          <w:sz w:val="24"/>
          <w:szCs w:val="24"/>
        </w:rPr>
        <w:t>, in line with the guidance of this Committee and the Committee on Migrant Workers in Joint General Comment No. 4/23</w:t>
      </w:r>
      <w:r w:rsidRPr="00F071FD">
        <w:rPr>
          <w:rFonts w:ascii="MetaPro-Norm" w:hAnsi="MetaPro-Norm"/>
          <w:color w:val="000000" w:themeColor="text1"/>
          <w:sz w:val="24"/>
          <w:szCs w:val="24"/>
        </w:rPr>
        <w:t>.</w:t>
      </w:r>
    </w:p>
    <w:p w14:paraId="2D30ECD4" w14:textId="77777777" w:rsidR="00B24007" w:rsidRPr="00B24007" w:rsidRDefault="00B24007" w:rsidP="00DB5142">
      <w:pPr>
        <w:spacing w:after="240"/>
        <w:rPr>
          <w:rFonts w:eastAsia="Times New Roman"/>
          <w:b/>
          <w:bCs/>
        </w:rPr>
      </w:pPr>
    </w:p>
    <w:p w14:paraId="2D8DD4E5" w14:textId="78C03653" w:rsidR="00E2641B" w:rsidRPr="00E2641B" w:rsidRDefault="00E2641B" w:rsidP="00E2641B"/>
    <w:sectPr w:rsidR="00E2641B" w:rsidRPr="00E264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7E1F7" w14:textId="77777777" w:rsidR="000B4E87" w:rsidRDefault="000B4E87" w:rsidP="00B24007">
      <w:r>
        <w:separator/>
      </w:r>
    </w:p>
  </w:endnote>
  <w:endnote w:type="continuationSeparator" w:id="0">
    <w:p w14:paraId="3707B44A" w14:textId="77777777" w:rsidR="000B4E87" w:rsidRDefault="000B4E87" w:rsidP="00B24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1B97D" w14:textId="77777777" w:rsidR="000B4E87" w:rsidRDefault="000B4E87" w:rsidP="00B24007">
      <w:r>
        <w:separator/>
      </w:r>
    </w:p>
  </w:footnote>
  <w:footnote w:type="continuationSeparator" w:id="0">
    <w:p w14:paraId="4FF4401D" w14:textId="77777777" w:rsidR="000B4E87" w:rsidRDefault="000B4E87" w:rsidP="00B24007">
      <w:r>
        <w:continuationSeparator/>
      </w:r>
    </w:p>
  </w:footnote>
  <w:footnote w:id="1">
    <w:p w14:paraId="542D928D" w14:textId="2BD0AD45" w:rsidR="00210813" w:rsidRPr="00210813" w:rsidRDefault="00210813" w:rsidP="00210813">
      <w:pPr>
        <w:rPr>
          <w:rFonts w:asciiTheme="minorHAnsi" w:hAnsiTheme="minorHAnsi" w:cstheme="minorBidi"/>
          <w:sz w:val="20"/>
          <w:szCs w:val="20"/>
          <w:lang w:eastAsia="en-US"/>
        </w:rPr>
      </w:pPr>
      <w:r>
        <w:rPr>
          <w:rStyle w:val="FootnoteReference"/>
        </w:rPr>
        <w:footnoteRef/>
      </w:r>
      <w:r>
        <w:t xml:space="preserve"> </w:t>
      </w:r>
      <w:r w:rsidRPr="00210813">
        <w:rPr>
          <w:rFonts w:asciiTheme="minorHAnsi" w:hAnsiTheme="minorHAnsi" w:cstheme="minorBidi"/>
          <w:sz w:val="20"/>
          <w:szCs w:val="20"/>
          <w:lang w:eastAsia="en-US"/>
        </w:rPr>
        <w:t xml:space="preserve">The Safe Schools Declaration is an inter-governmental political commitment that provides countries the opportunity to express political support for the protection of students, teachers, and schools during times of armed conflict ; the importance of the continuation of education during armed conflict; and the implementation of the Guidelines for Protecting Schools and Universities from Military Use during Armed Conflict.  </w:t>
      </w:r>
    </w:p>
    <w:p w14:paraId="2D618646" w14:textId="02C89317" w:rsidR="00210813" w:rsidRPr="00210813" w:rsidRDefault="00210813">
      <w:pPr>
        <w:pStyle w:val="FootnoteText"/>
      </w:pPr>
    </w:p>
  </w:footnote>
  <w:footnote w:id="2">
    <w:p w14:paraId="56EEEA78" w14:textId="7B18E388" w:rsidR="005A3EC8" w:rsidRPr="005A3EC8" w:rsidRDefault="005A3EC8">
      <w:pPr>
        <w:pStyle w:val="FootnoteText"/>
        <w:rPr>
          <w:rFonts w:ascii="MetaPro-Norm" w:hAnsi="MetaPro-Norm"/>
          <w:lang w:val="en-US"/>
        </w:rPr>
      </w:pPr>
      <w:r w:rsidRPr="005A3EC8">
        <w:rPr>
          <w:rStyle w:val="FootnoteReference"/>
          <w:rFonts w:ascii="MetaPro-Norm" w:hAnsi="MetaPro-Norm"/>
          <w:sz w:val="18"/>
          <w:szCs w:val="18"/>
        </w:rPr>
        <w:footnoteRef/>
      </w:r>
      <w:r w:rsidRPr="005A3EC8">
        <w:rPr>
          <w:rFonts w:ascii="MetaPro-Norm" w:hAnsi="MetaPro-Norm"/>
          <w:sz w:val="18"/>
          <w:szCs w:val="18"/>
        </w:rPr>
        <w:t xml:space="preserve"> Federal Act on Foreign Nationals of 16. December 2005 (RS 142.20) - Foreign Nationals Act or FNA, art. 80, al. 4.</w:t>
      </w:r>
    </w:p>
  </w:footnote>
  <w:footnote w:id="3">
    <w:p w14:paraId="7DC340F8" w14:textId="77777777" w:rsidR="00B24007" w:rsidRPr="009D0749" w:rsidRDefault="00B24007" w:rsidP="00B24007">
      <w:pPr>
        <w:pStyle w:val="FootnoteText"/>
        <w:rPr>
          <w:rFonts w:ascii="MetaPro-Norm" w:hAnsi="MetaPro-Norm"/>
          <w:sz w:val="18"/>
          <w:szCs w:val="18"/>
        </w:rPr>
      </w:pPr>
      <w:r w:rsidRPr="009D0749">
        <w:rPr>
          <w:rStyle w:val="FootnoteReference"/>
          <w:rFonts w:ascii="MetaPro-Norm" w:hAnsi="MetaPro-Norm"/>
          <w:sz w:val="18"/>
          <w:szCs w:val="18"/>
        </w:rPr>
        <w:footnoteRef/>
      </w:r>
      <w:r w:rsidRPr="009D0749">
        <w:rPr>
          <w:rFonts w:ascii="MetaPro-Norm" w:hAnsi="MetaPro-Norm"/>
          <w:sz w:val="18"/>
          <w:szCs w:val="18"/>
        </w:rPr>
        <w:t xml:space="preserve"> “Illegal detention of migrant children in Switzerland: a status report,” Terre De Hommes, June 2016, </w:t>
      </w:r>
      <w:hyperlink r:id="rId1" w:history="1">
        <w:r w:rsidRPr="009D0749">
          <w:rPr>
            <w:rStyle w:val="Hyperlink"/>
            <w:rFonts w:ascii="MetaPro-Norm" w:hAnsi="MetaPro-Norm"/>
            <w:sz w:val="18"/>
            <w:szCs w:val="18"/>
          </w:rPr>
          <w:t>https://www.tdh.ch/sites/default/files/tdh_plaidoyer-ch_en_web_0.pdf</w:t>
        </w:r>
      </w:hyperlink>
    </w:p>
  </w:footnote>
  <w:footnote w:id="4">
    <w:p w14:paraId="46A05DEF" w14:textId="77777777" w:rsidR="00B24007" w:rsidRPr="009D0749" w:rsidRDefault="00B24007" w:rsidP="00B24007">
      <w:pPr>
        <w:pStyle w:val="FootnoteText"/>
        <w:rPr>
          <w:rFonts w:ascii="MetaPro-Norm" w:hAnsi="MetaPro-Norm"/>
          <w:sz w:val="18"/>
          <w:szCs w:val="18"/>
          <w:lang w:val="en-US"/>
        </w:rPr>
      </w:pPr>
      <w:r w:rsidRPr="009D0749">
        <w:rPr>
          <w:rStyle w:val="FootnoteReference"/>
          <w:rFonts w:ascii="MetaPro-Norm" w:hAnsi="MetaPro-Norm"/>
          <w:sz w:val="18"/>
          <w:szCs w:val="18"/>
        </w:rPr>
        <w:footnoteRef/>
      </w:r>
      <w:r w:rsidRPr="009D0749">
        <w:rPr>
          <w:rFonts w:ascii="MetaPro-Norm" w:hAnsi="MetaPro-Norm"/>
          <w:sz w:val="18"/>
          <w:szCs w:val="18"/>
        </w:rPr>
        <w:t xml:space="preserve"> “Administrativhaft im Asylbereich Bericht der Geschäftsprüfungskommission des Nationalrates,” 26. Juni 2018, </w:t>
      </w:r>
      <w:hyperlink r:id="rId2" w:history="1">
        <w:r w:rsidRPr="009D0749">
          <w:rPr>
            <w:rStyle w:val="Hyperlink"/>
            <w:rFonts w:ascii="MetaPro-Norm" w:hAnsi="MetaPro-Norm"/>
            <w:sz w:val="18"/>
            <w:szCs w:val="18"/>
          </w:rPr>
          <w:t>https://www.parlament.ch/centers/documents/de/bericht-gpk-n-admin-haft-asylbereich-2018-06-26-d.pdf</w:t>
        </w:r>
      </w:hyperlink>
    </w:p>
  </w:footnote>
  <w:footnote w:id="5">
    <w:p w14:paraId="3DA534F5" w14:textId="669F7188" w:rsidR="00F66624" w:rsidRPr="00982202" w:rsidRDefault="00F66624" w:rsidP="00F66624">
      <w:pPr>
        <w:pStyle w:val="FootnoteText"/>
        <w:rPr>
          <w:rFonts w:ascii="MetaPro-Norm" w:hAnsi="MetaPro-Norm"/>
          <w:sz w:val="18"/>
          <w:szCs w:val="18"/>
        </w:rPr>
      </w:pPr>
      <w:r w:rsidRPr="00982202">
        <w:rPr>
          <w:rStyle w:val="FootnoteReference"/>
          <w:rFonts w:ascii="MetaPro-Norm" w:hAnsi="MetaPro-Norm"/>
          <w:sz w:val="18"/>
          <w:szCs w:val="18"/>
        </w:rPr>
        <w:footnoteRef/>
      </w:r>
      <w:r w:rsidRPr="00982202">
        <w:rPr>
          <w:rFonts w:ascii="MetaPro-Norm" w:hAnsi="MetaPro-Norm"/>
          <w:sz w:val="18"/>
          <w:szCs w:val="18"/>
        </w:rPr>
        <w:t xml:space="preserve"> “US: Trauma in Family Immigration Detention: Release Asylum-Seeking Mothers, Children” Human Rights Watch News Release, May 15, 2015, </w:t>
      </w:r>
      <w:hyperlink r:id="rId3" w:history="1">
        <w:r w:rsidR="004C62FE" w:rsidRPr="00982202">
          <w:rPr>
            <w:rStyle w:val="Hyperlink"/>
            <w:rFonts w:ascii="MetaPro-Norm" w:hAnsi="MetaPro-Norm"/>
            <w:sz w:val="18"/>
            <w:szCs w:val="18"/>
          </w:rPr>
          <w:t>https://www.hrw.org/news/2015/05/15/us-trauma-family-immigration-detention-0</w:t>
        </w:r>
      </w:hyperlink>
    </w:p>
    <w:p w14:paraId="337C8CBF" w14:textId="432F1F2A" w:rsidR="004C62FE" w:rsidRPr="00982202" w:rsidRDefault="004C62FE" w:rsidP="004C62FE">
      <w:pPr>
        <w:pStyle w:val="FootnoteText"/>
        <w:rPr>
          <w:rFonts w:ascii="MetaPro-Norm" w:hAnsi="MetaPro-Norm"/>
          <w:sz w:val="18"/>
          <w:szCs w:val="18"/>
        </w:rPr>
      </w:pPr>
      <w:r w:rsidRPr="00982202">
        <w:rPr>
          <w:rFonts w:ascii="MetaPro-Norm" w:hAnsi="MetaPro-Norm"/>
          <w:sz w:val="18"/>
          <w:szCs w:val="18"/>
        </w:rPr>
        <w:t xml:space="preserve">“Major Findings and Recommendations of the Inquiry,” Australian Human Rights Commission, https://www.humanrights.gov.au/our-work/17-major-findings-and-recommendations-inquiry </w:t>
      </w:r>
    </w:p>
    <w:p w14:paraId="05ED778B" w14:textId="13AA3359" w:rsidR="00F66624" w:rsidRPr="00982202" w:rsidRDefault="00F66624" w:rsidP="00F66624">
      <w:pPr>
        <w:pStyle w:val="FootnoteText"/>
        <w:rPr>
          <w:rFonts w:ascii="MetaPro-Norm" w:hAnsi="MetaPro-Norm"/>
          <w:sz w:val="18"/>
          <w:szCs w:val="18"/>
        </w:rPr>
      </w:pPr>
      <w:r w:rsidRPr="00982202">
        <w:rPr>
          <w:rFonts w:ascii="MetaPro-Norm" w:hAnsi="MetaPro-Norm"/>
          <w:sz w:val="18"/>
          <w:szCs w:val="18"/>
        </w:rPr>
        <w:t>R Kronick, C Rousseau, and J Cleveland, “Asylum-seeking children's experiences of detention in Canada: A qualitative study,” American Journal of Orthopsychiatry 85 (2015) accessed August 9, 2019, doi: 10.1037/ort0000061.</w:t>
      </w:r>
    </w:p>
    <w:p w14:paraId="751DD3EE" w14:textId="26CE76BD" w:rsidR="004C62FE" w:rsidRPr="00982202" w:rsidRDefault="004C62FE" w:rsidP="004C62FE">
      <w:pPr>
        <w:pStyle w:val="FootnoteText"/>
        <w:rPr>
          <w:rFonts w:ascii="MetaPro-Norm" w:hAnsi="MetaPro-Norm"/>
          <w:sz w:val="18"/>
          <w:szCs w:val="18"/>
        </w:rPr>
      </w:pPr>
      <w:r w:rsidRPr="00982202">
        <w:rPr>
          <w:rFonts w:ascii="MetaPro-Norm" w:hAnsi="MetaPro-Norm"/>
          <w:sz w:val="18"/>
          <w:szCs w:val="18"/>
        </w:rPr>
        <w:t xml:space="preserve">M. von Werthern, K. Robjant, Z. Chui, R. Schon, L. Ottisova, C. Mason and C. Katona, “The impact of immigration detention on mental health: a systematic review,” BMC Psychiatry 18 (2018) accessed August 8, 2019, </w:t>
      </w:r>
      <w:hyperlink r:id="rId4" w:history="1">
        <w:r w:rsidRPr="00982202">
          <w:rPr>
            <w:rStyle w:val="Hyperlink"/>
            <w:rFonts w:ascii="MetaPro-Norm" w:hAnsi="MetaPro-Norm"/>
            <w:sz w:val="18"/>
            <w:szCs w:val="18"/>
          </w:rPr>
          <w:t>https://bmcpsychiatry.biomedcentral.com/articles/10.1186/s12888-018-1945-y</w:t>
        </w:r>
      </w:hyperlink>
    </w:p>
    <w:p w14:paraId="0380893E" w14:textId="18372A31" w:rsidR="004C62FE" w:rsidRPr="004C62FE" w:rsidRDefault="004C62FE" w:rsidP="004C62FE">
      <w:pPr>
        <w:pStyle w:val="FootnoteText"/>
      </w:pPr>
      <w:r w:rsidRPr="00982202">
        <w:rPr>
          <w:rFonts w:ascii="MetaPro-Norm" w:hAnsi="MetaPro-Norm"/>
          <w:sz w:val="18"/>
          <w:szCs w:val="18"/>
        </w:rPr>
        <w:t>Katy Robjant, Rita Hassan, and Cornelius Katona, “Mental health implications of detaining asylum seekers: systematic review,” The British Journal of Psychiatry 194 (2009) accessed August 8, 2019, DOI: https://doi.org/10.1192/bjp.bp.108.053223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F6048"/>
    <w:multiLevelType w:val="hybridMultilevel"/>
    <w:tmpl w:val="DB944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1F78AE"/>
    <w:multiLevelType w:val="hybridMultilevel"/>
    <w:tmpl w:val="1F8EE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142"/>
    <w:rsid w:val="000B4E87"/>
    <w:rsid w:val="00141136"/>
    <w:rsid w:val="00184490"/>
    <w:rsid w:val="001A1371"/>
    <w:rsid w:val="00210813"/>
    <w:rsid w:val="004C62FE"/>
    <w:rsid w:val="005A3EC8"/>
    <w:rsid w:val="005D7C2C"/>
    <w:rsid w:val="00675261"/>
    <w:rsid w:val="00735E5F"/>
    <w:rsid w:val="00885C7C"/>
    <w:rsid w:val="00982202"/>
    <w:rsid w:val="009C02A0"/>
    <w:rsid w:val="009D0749"/>
    <w:rsid w:val="009E7716"/>
    <w:rsid w:val="00A97EED"/>
    <w:rsid w:val="00B24007"/>
    <w:rsid w:val="00B82CAE"/>
    <w:rsid w:val="00BD01F6"/>
    <w:rsid w:val="00C03FF0"/>
    <w:rsid w:val="00D5772D"/>
    <w:rsid w:val="00DB5142"/>
    <w:rsid w:val="00E2641B"/>
    <w:rsid w:val="00E403BD"/>
    <w:rsid w:val="00F659C5"/>
    <w:rsid w:val="00F6662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39078"/>
  <w15:chartTrackingRefBased/>
  <w15:docId w15:val="{78163A77-1BCF-4D1A-A455-EEDCADA90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142"/>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007"/>
    <w:pPr>
      <w:spacing w:after="160" w:line="259" w:lineRule="auto"/>
      <w:ind w:left="720"/>
      <w:contextualSpacing/>
    </w:pPr>
    <w:rPr>
      <w:rFonts w:asciiTheme="minorHAnsi" w:hAnsiTheme="minorHAnsi" w:cstheme="minorBidi"/>
      <w:lang w:val="en-US" w:eastAsia="en-US"/>
    </w:rPr>
  </w:style>
  <w:style w:type="character" w:styleId="FootnoteReference">
    <w:name w:val="footnote reference"/>
    <w:basedOn w:val="DefaultParagraphFont"/>
    <w:uiPriority w:val="99"/>
    <w:semiHidden/>
    <w:unhideWhenUsed/>
    <w:rsid w:val="00B24007"/>
    <w:rPr>
      <w:vertAlign w:val="superscript"/>
    </w:rPr>
  </w:style>
  <w:style w:type="character" w:styleId="Hyperlink">
    <w:name w:val="Hyperlink"/>
    <w:basedOn w:val="DefaultParagraphFont"/>
    <w:uiPriority w:val="99"/>
    <w:unhideWhenUsed/>
    <w:rsid w:val="00B24007"/>
    <w:rPr>
      <w:color w:val="0563C1" w:themeColor="hyperlink"/>
      <w:u w:val="single"/>
    </w:rPr>
  </w:style>
  <w:style w:type="paragraph" w:styleId="NoSpacing">
    <w:name w:val="No Spacing"/>
    <w:uiPriority w:val="1"/>
    <w:qFormat/>
    <w:rsid w:val="00B24007"/>
    <w:pPr>
      <w:spacing w:after="0" w:line="240" w:lineRule="auto"/>
    </w:pPr>
  </w:style>
  <w:style w:type="paragraph" w:styleId="FootnoteText">
    <w:name w:val="footnote text"/>
    <w:basedOn w:val="Normal"/>
    <w:link w:val="FootnoteTextChar"/>
    <w:uiPriority w:val="99"/>
    <w:unhideWhenUsed/>
    <w:rsid w:val="00B24007"/>
    <w:rPr>
      <w:rFonts w:ascii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B24007"/>
    <w:rPr>
      <w:sz w:val="20"/>
      <w:szCs w:val="20"/>
    </w:rPr>
  </w:style>
  <w:style w:type="character" w:styleId="UnresolvedMention">
    <w:name w:val="Unresolved Mention"/>
    <w:basedOn w:val="DefaultParagraphFont"/>
    <w:uiPriority w:val="99"/>
    <w:semiHidden/>
    <w:unhideWhenUsed/>
    <w:rsid w:val="00E2641B"/>
    <w:rPr>
      <w:color w:val="605E5C"/>
      <w:shd w:val="clear" w:color="auto" w:fill="E1DFDD"/>
    </w:rPr>
  </w:style>
  <w:style w:type="paragraph" w:styleId="BalloonText">
    <w:name w:val="Balloon Text"/>
    <w:basedOn w:val="Normal"/>
    <w:link w:val="BalloonTextChar"/>
    <w:uiPriority w:val="99"/>
    <w:semiHidden/>
    <w:unhideWhenUsed/>
    <w:rsid w:val="002108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0813"/>
    <w:rPr>
      <w:rFonts w:ascii="Segoe UI" w:hAnsi="Segoe UI" w:cs="Segoe UI"/>
      <w:sz w:val="18"/>
      <w:szCs w:val="18"/>
      <w:lang w:eastAsia="en-GB"/>
    </w:rPr>
  </w:style>
  <w:style w:type="character" w:styleId="FollowedHyperlink">
    <w:name w:val="FollowedHyperlink"/>
    <w:basedOn w:val="DefaultParagraphFont"/>
    <w:uiPriority w:val="99"/>
    <w:semiHidden/>
    <w:unhideWhenUsed/>
    <w:rsid w:val="00D577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477271">
      <w:bodyDiv w:val="1"/>
      <w:marLeft w:val="0"/>
      <w:marRight w:val="0"/>
      <w:marTop w:val="0"/>
      <w:marBottom w:val="0"/>
      <w:divBdr>
        <w:top w:val="none" w:sz="0" w:space="0" w:color="auto"/>
        <w:left w:val="none" w:sz="0" w:space="0" w:color="auto"/>
        <w:bottom w:val="none" w:sz="0" w:space="0" w:color="auto"/>
        <w:right w:val="none" w:sz="0" w:space="0" w:color="auto"/>
      </w:divBdr>
    </w:div>
    <w:div w:id="136920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hrw.org/news/2015/05/15/us-trauma-family-immigration-detention-0" TargetMode="External"/><Relationship Id="rId2" Type="http://schemas.openxmlformats.org/officeDocument/2006/relationships/hyperlink" Target="https://www.parlament.ch/centers/documents/de/bericht-gpk-n-admin-haft-asylbereich-2018-06-26-d.pdf" TargetMode="External"/><Relationship Id="rId1" Type="http://schemas.openxmlformats.org/officeDocument/2006/relationships/hyperlink" Target="https://www.tdh.ch/sites/default/files/tdh_plaidoyer-ch_en_web_0.pdf" TargetMode="External"/><Relationship Id="rId4" Type="http://schemas.openxmlformats.org/officeDocument/2006/relationships/hyperlink" Target="https://bmcpsychiatry.biomedcentral.com/articles/10.1186/s12888-018-1945-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4E9213-FECD-4118-B697-98A75FE01F18}">
  <ds:schemaRefs>
    <ds:schemaRef ds:uri="http://schemas.openxmlformats.org/officeDocument/2006/bibliography"/>
  </ds:schemaRefs>
</ds:datastoreItem>
</file>

<file path=customXml/itemProps2.xml><?xml version="1.0" encoding="utf-8"?>
<ds:datastoreItem xmlns:ds="http://schemas.openxmlformats.org/officeDocument/2006/customXml" ds:itemID="{475BC093-F278-4548-B303-2668F736B3E2}"/>
</file>

<file path=customXml/itemProps3.xml><?xml version="1.0" encoding="utf-8"?>
<ds:datastoreItem xmlns:ds="http://schemas.openxmlformats.org/officeDocument/2006/customXml" ds:itemID="{C0E49517-DD1B-49B7-80BD-892BB3C74411}"/>
</file>

<file path=customXml/itemProps4.xml><?xml version="1.0" encoding="utf-8"?>
<ds:datastoreItem xmlns:ds="http://schemas.openxmlformats.org/officeDocument/2006/customXml" ds:itemID="{ECB232B8-14F3-452A-85D1-A93B15311BBB}"/>
</file>

<file path=docProps/app.xml><?xml version="1.0" encoding="utf-8"?>
<Properties xmlns="http://schemas.openxmlformats.org/officeDocument/2006/extended-properties" xmlns:vt="http://schemas.openxmlformats.org/officeDocument/2006/docPropsVTypes">
  <Template>Normal</Template>
  <TotalTime>1</TotalTime>
  <Pages>3</Pages>
  <Words>617</Words>
  <Characters>3548</Characters>
  <Application>Microsoft Office Word</Application>
  <DocSecurity>0</DocSecurity>
  <Lines>118</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Alex Firth</cp:lastModifiedBy>
  <cp:revision>3</cp:revision>
  <dcterms:created xsi:type="dcterms:W3CDTF">2019-08-09T13:45:00Z</dcterms:created>
  <dcterms:modified xsi:type="dcterms:W3CDTF">2019-09-06T13:41:00Z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