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214A1" w14:textId="32AA0A38" w:rsidR="00ED6FCB" w:rsidRPr="00FC38A1" w:rsidRDefault="00ED6FCB" w:rsidP="00ED6FCB">
      <w:pPr>
        <w:jc w:val="center"/>
        <w:rPr>
          <w:rFonts w:ascii="Arial Narrow" w:hAnsi="Arial Narrow"/>
          <w:b/>
          <w:bCs/>
          <w:sz w:val="24"/>
          <w:szCs w:val="24"/>
        </w:rPr>
      </w:pPr>
      <w:r w:rsidRPr="00FC38A1">
        <w:rPr>
          <w:rFonts w:ascii="Arial Narrow" w:hAnsi="Arial Narrow"/>
          <w:b/>
          <w:bCs/>
          <w:sz w:val="24"/>
          <w:szCs w:val="24"/>
        </w:rPr>
        <w:t>Contribuciones Fundación Nydia Erika Bautista para los Derechos Humanos – FUNEB “</w:t>
      </w:r>
      <w:r w:rsidR="00D00E76" w:rsidRPr="00FC38A1">
        <w:rPr>
          <w:rFonts w:ascii="Arial Narrow" w:hAnsi="Arial Narrow"/>
          <w:b/>
          <w:bCs/>
          <w:sz w:val="24"/>
          <w:szCs w:val="24"/>
        </w:rPr>
        <w:t>30 PERIODO DE SESIONES: CED”</w:t>
      </w:r>
    </w:p>
    <w:p w14:paraId="3D5E5136" w14:textId="4405555B" w:rsidR="00ED6FCB" w:rsidRPr="00FC38A1" w:rsidRDefault="00ED6FCB" w:rsidP="00ED6FCB">
      <w:pPr>
        <w:jc w:val="both"/>
        <w:rPr>
          <w:rFonts w:ascii="Arial Narrow" w:hAnsi="Arial Narrow"/>
          <w:sz w:val="24"/>
          <w:szCs w:val="24"/>
        </w:rPr>
      </w:pPr>
      <w:r w:rsidRPr="00FC38A1">
        <w:rPr>
          <w:rFonts w:ascii="Arial Narrow" w:hAnsi="Arial Narrow"/>
          <w:sz w:val="24"/>
          <w:szCs w:val="24"/>
        </w:rPr>
        <w:t>La Fundación Nydia Erika para los Derechos Humanos -FUNEB, como Organización No Gubernamental del Estado Colombiano, conformada por familiares víctimas de desaparición forzada y de otras graves violaciones a derechos humanos. Se permite hacer las siguientes contribuciones</w:t>
      </w:r>
      <w:r w:rsidR="00D00E76" w:rsidRPr="00FC38A1">
        <w:rPr>
          <w:rFonts w:ascii="Arial Narrow" w:hAnsi="Arial Narrow"/>
          <w:sz w:val="24"/>
          <w:szCs w:val="24"/>
        </w:rPr>
        <w:t xml:space="preserve"> como actor de la sociedad civil</w:t>
      </w:r>
      <w:r w:rsidRPr="00FC38A1">
        <w:rPr>
          <w:rFonts w:ascii="Arial Narrow" w:hAnsi="Arial Narrow"/>
          <w:sz w:val="24"/>
          <w:szCs w:val="24"/>
        </w:rPr>
        <w:t xml:space="preserve"> al </w:t>
      </w:r>
      <w:r w:rsidR="00D00E76" w:rsidRPr="00FC38A1">
        <w:rPr>
          <w:rFonts w:ascii="Arial Narrow" w:hAnsi="Arial Narrow"/>
          <w:sz w:val="24"/>
          <w:szCs w:val="24"/>
        </w:rPr>
        <w:t>para el 30 periodo de sesiones del CED respecto del Estado Colombiano:</w:t>
      </w:r>
    </w:p>
    <w:p w14:paraId="26FD2E86" w14:textId="77777777" w:rsidR="00D00E76" w:rsidRPr="00FC38A1" w:rsidRDefault="00D00E76" w:rsidP="00ED6FCB">
      <w:pPr>
        <w:jc w:val="both"/>
        <w:rPr>
          <w:rFonts w:ascii="Arial Narrow" w:hAnsi="Arial Narrow"/>
          <w:sz w:val="24"/>
          <w:szCs w:val="24"/>
        </w:rPr>
      </w:pPr>
    </w:p>
    <w:p w14:paraId="31D16382" w14:textId="056B5A67" w:rsidR="00D00E76" w:rsidRPr="005B4661" w:rsidRDefault="00D00E76" w:rsidP="005B4661">
      <w:pPr>
        <w:pStyle w:val="ListParagraph"/>
        <w:numPr>
          <w:ilvl w:val="0"/>
          <w:numId w:val="2"/>
        </w:numPr>
        <w:jc w:val="center"/>
        <w:rPr>
          <w:rFonts w:ascii="Arial Narrow" w:hAnsi="Arial Narrow"/>
          <w:b/>
          <w:bCs/>
          <w:sz w:val="24"/>
          <w:szCs w:val="24"/>
        </w:rPr>
      </w:pPr>
      <w:r w:rsidRPr="005B4661">
        <w:rPr>
          <w:rFonts w:ascii="Arial Narrow" w:hAnsi="Arial Narrow"/>
          <w:b/>
          <w:bCs/>
          <w:sz w:val="24"/>
          <w:szCs w:val="24"/>
        </w:rPr>
        <w:t>Antecedentes</w:t>
      </w:r>
    </w:p>
    <w:p w14:paraId="26CABF59" w14:textId="6F3D872F" w:rsidR="00D00E76" w:rsidRPr="00FC38A1" w:rsidRDefault="00D00E76" w:rsidP="00ED6FCB">
      <w:pPr>
        <w:jc w:val="both"/>
        <w:rPr>
          <w:rFonts w:ascii="Arial Narrow" w:hAnsi="Arial Narrow"/>
          <w:sz w:val="24"/>
          <w:szCs w:val="24"/>
        </w:rPr>
      </w:pPr>
      <w:r w:rsidRPr="00FC38A1">
        <w:rPr>
          <w:rFonts w:ascii="Arial Narrow" w:hAnsi="Arial Narrow"/>
          <w:sz w:val="24"/>
          <w:szCs w:val="24"/>
        </w:rPr>
        <w:t xml:space="preserve">Con arreglo al Art. 29(3) y (4) de la Convención Internacional para la protección de todas las personas contra las desapariciones forzadas la FUNEB se permite hacer contribuciones para que el CED elaboré el listado de cuestiones y pueda posteriormente continuar con el diálogo constructivo con el Estado Colombiano, haciendo seguimiento a las recomendaciones del último informe del CED (Información complementaria presentada por Colombia con arreglo al artículo 29, párrafo 4, de la Convención el 25 de junio de 2024) y los hallazgos preliminares de la Visita del Comité contra la Desaparición Forzada a Colombia el 5 de junio de 2024. </w:t>
      </w:r>
    </w:p>
    <w:p w14:paraId="666345E7" w14:textId="17B0C846" w:rsidR="00D00E76" w:rsidRPr="00FC38A1" w:rsidRDefault="00D00E76" w:rsidP="00ED6FCB">
      <w:pPr>
        <w:jc w:val="both"/>
        <w:rPr>
          <w:rFonts w:ascii="Arial Narrow" w:hAnsi="Arial Narrow"/>
          <w:sz w:val="24"/>
          <w:szCs w:val="24"/>
        </w:rPr>
      </w:pPr>
      <w:r w:rsidRPr="00FC38A1">
        <w:rPr>
          <w:rFonts w:ascii="Arial Narrow" w:hAnsi="Arial Narrow"/>
          <w:sz w:val="24"/>
          <w:szCs w:val="24"/>
        </w:rPr>
        <w:t xml:space="preserve">Lo anterior teniendo en cuenta que el CED informó que </w:t>
      </w:r>
      <w:r w:rsidR="00391F6B" w:rsidRPr="00FC38A1">
        <w:rPr>
          <w:rFonts w:ascii="Arial Narrow" w:hAnsi="Arial Narrow"/>
          <w:sz w:val="24"/>
          <w:szCs w:val="24"/>
        </w:rPr>
        <w:t>“La CED lamenta informar que, debido a las actuales restricciones presupuestarias de la ONU, se ve obligada a posponer la adopción de la lista de temas para Colombia. Se siguen recibiendo contribuciones, las cuales serán debidamente tomadas en cuenta”.</w:t>
      </w:r>
    </w:p>
    <w:p w14:paraId="398FE9B0" w14:textId="77777777" w:rsidR="00391F6B" w:rsidRPr="00FC38A1" w:rsidRDefault="00391F6B" w:rsidP="00ED6FCB">
      <w:pPr>
        <w:jc w:val="both"/>
        <w:rPr>
          <w:rFonts w:ascii="Arial Narrow" w:hAnsi="Arial Narrow"/>
          <w:sz w:val="24"/>
          <w:szCs w:val="24"/>
        </w:rPr>
      </w:pPr>
    </w:p>
    <w:p w14:paraId="0FB2EEB2" w14:textId="6CCBB61F" w:rsidR="00391F6B" w:rsidRPr="005B4661" w:rsidRDefault="00391F6B" w:rsidP="005B4661">
      <w:pPr>
        <w:pStyle w:val="ListParagraph"/>
        <w:numPr>
          <w:ilvl w:val="0"/>
          <w:numId w:val="2"/>
        </w:numPr>
        <w:jc w:val="center"/>
        <w:rPr>
          <w:rFonts w:ascii="Arial Narrow" w:hAnsi="Arial Narrow"/>
          <w:b/>
          <w:bCs/>
          <w:sz w:val="24"/>
          <w:szCs w:val="24"/>
        </w:rPr>
      </w:pPr>
      <w:r w:rsidRPr="005B4661">
        <w:rPr>
          <w:rFonts w:ascii="Arial Narrow" w:hAnsi="Arial Narrow"/>
          <w:b/>
          <w:bCs/>
          <w:sz w:val="24"/>
          <w:szCs w:val="24"/>
        </w:rPr>
        <w:t>Listado de temas propuestos</w:t>
      </w:r>
    </w:p>
    <w:p w14:paraId="76961A60" w14:textId="380935F9" w:rsidR="00391F6B" w:rsidRPr="00FC38A1" w:rsidRDefault="00391F6B" w:rsidP="005B4661">
      <w:pPr>
        <w:pStyle w:val="H1G"/>
        <w:numPr>
          <w:ilvl w:val="0"/>
          <w:numId w:val="3"/>
        </w:numPr>
        <w:rPr>
          <w:rFonts w:ascii="Arial Narrow" w:hAnsi="Arial Narrow"/>
          <w:szCs w:val="24"/>
        </w:rPr>
      </w:pPr>
      <w:r w:rsidRPr="00FC38A1">
        <w:rPr>
          <w:rFonts w:ascii="Arial Narrow" w:hAnsi="Arial Narrow"/>
          <w:szCs w:val="24"/>
        </w:rPr>
        <w:t>Investigación de casos de desaparición forzada</w:t>
      </w:r>
    </w:p>
    <w:p w14:paraId="110A6E8E" w14:textId="77777777" w:rsidR="00FA2ACC" w:rsidRPr="00FC38A1" w:rsidRDefault="00FA2ACC" w:rsidP="00FA2ACC">
      <w:pPr>
        <w:rPr>
          <w:rFonts w:ascii="Arial Narrow" w:hAnsi="Arial Narrow"/>
          <w:sz w:val="24"/>
          <w:szCs w:val="24"/>
          <w:lang w:val="es-ES" w:eastAsia="es-ES"/>
        </w:rPr>
      </w:pPr>
    </w:p>
    <w:p w14:paraId="56791BC9" w14:textId="6B212F6E" w:rsidR="00FA2ACC" w:rsidRPr="00FC38A1" w:rsidRDefault="00FA2ACC" w:rsidP="00FA2ACC">
      <w:pPr>
        <w:spacing w:after="0" w:line="240" w:lineRule="auto"/>
        <w:jc w:val="both"/>
        <w:rPr>
          <w:rFonts w:ascii="Arial Narrow" w:eastAsia="Times New Roman" w:hAnsi="Arial Narrow" w:cs="Segoe UI"/>
          <w:bCs/>
          <w:kern w:val="0"/>
          <w:sz w:val="24"/>
          <w:szCs w:val="24"/>
          <w:lang w:eastAsia="de-DE"/>
        </w:rPr>
      </w:pPr>
      <w:r w:rsidRPr="00FC38A1">
        <w:rPr>
          <w:rFonts w:ascii="Arial Narrow" w:eastAsia="Times New Roman" w:hAnsi="Arial Narrow" w:cs="Segoe UI"/>
          <w:bCs/>
          <w:kern w:val="0"/>
          <w:sz w:val="24"/>
          <w:szCs w:val="24"/>
          <w:lang w:eastAsia="de-DE"/>
        </w:rPr>
        <w:t>En Colombia el fenómeno de las desapariciones forzadas</w:t>
      </w:r>
      <w:r w:rsidRPr="00FC38A1">
        <w:rPr>
          <w:rStyle w:val="FootnoteReference"/>
          <w:rFonts w:ascii="Arial Narrow" w:eastAsia="Times New Roman" w:hAnsi="Arial Narrow" w:cs="Segoe UI"/>
          <w:bCs/>
          <w:kern w:val="0"/>
          <w:sz w:val="24"/>
          <w:szCs w:val="24"/>
          <w:lang w:eastAsia="de-DE"/>
        </w:rPr>
        <w:footnoteReference w:id="1"/>
      </w:r>
      <w:r w:rsidRPr="00FC38A1">
        <w:rPr>
          <w:rFonts w:ascii="Arial Narrow" w:eastAsia="Times New Roman" w:hAnsi="Arial Narrow" w:cs="Segoe UI"/>
          <w:bCs/>
          <w:kern w:val="0"/>
          <w:sz w:val="24"/>
          <w:szCs w:val="24"/>
          <w:lang w:eastAsia="de-DE"/>
        </w:rPr>
        <w:t xml:space="preserve"> sigue presentándose en diversas regiones del país, y en contextos rurales y urbanos.  Se tienen casos asociados a Grupos Armados Organizados ilegales y a Grupos de Delincuencia Organizada, así como otros grupos delincuenciales. </w:t>
      </w:r>
    </w:p>
    <w:p w14:paraId="7F2BCFDF" w14:textId="77777777" w:rsidR="00FA2ACC" w:rsidRPr="00FC38A1" w:rsidRDefault="00FA2ACC" w:rsidP="00FA2ACC">
      <w:pPr>
        <w:spacing w:after="0" w:line="240" w:lineRule="auto"/>
        <w:jc w:val="both"/>
        <w:rPr>
          <w:rFonts w:ascii="Arial Narrow" w:eastAsia="Times New Roman" w:hAnsi="Arial Narrow" w:cs="Segoe UI"/>
          <w:bCs/>
          <w:kern w:val="0"/>
          <w:sz w:val="24"/>
          <w:szCs w:val="24"/>
          <w:lang w:eastAsia="de-DE"/>
        </w:rPr>
      </w:pPr>
    </w:p>
    <w:p w14:paraId="4ED2A6C1" w14:textId="77777777" w:rsidR="00FA2ACC" w:rsidRPr="00FC38A1" w:rsidRDefault="00FA2ACC" w:rsidP="00FA2ACC">
      <w:pPr>
        <w:spacing w:after="0" w:line="240" w:lineRule="auto"/>
        <w:jc w:val="both"/>
        <w:rPr>
          <w:rFonts w:ascii="Arial Narrow" w:eastAsia="Times New Roman" w:hAnsi="Arial Narrow" w:cs="Segoe UI"/>
          <w:bCs/>
          <w:kern w:val="0"/>
          <w:sz w:val="24"/>
          <w:szCs w:val="24"/>
          <w:lang w:eastAsia="de-DE"/>
        </w:rPr>
      </w:pPr>
      <w:r w:rsidRPr="00FC38A1">
        <w:rPr>
          <w:rFonts w:ascii="Arial Narrow" w:eastAsia="Times New Roman" w:hAnsi="Arial Narrow" w:cs="Segoe UI"/>
          <w:bCs/>
          <w:kern w:val="0"/>
          <w:sz w:val="24"/>
          <w:szCs w:val="24"/>
          <w:lang w:eastAsia="de-DE"/>
        </w:rPr>
        <w:t xml:space="preserve">Nada más en el año 2024 el </w:t>
      </w:r>
      <w:proofErr w:type="spellStart"/>
      <w:r w:rsidRPr="00FC38A1">
        <w:rPr>
          <w:rFonts w:ascii="Arial Narrow" w:eastAsia="Times New Roman" w:hAnsi="Arial Narrow" w:cs="Segoe UI"/>
          <w:bCs/>
          <w:kern w:val="0"/>
          <w:sz w:val="24"/>
          <w:szCs w:val="24"/>
          <w:lang w:eastAsia="de-DE"/>
        </w:rPr>
        <w:t>INMLyCF</w:t>
      </w:r>
      <w:proofErr w:type="spellEnd"/>
      <w:r w:rsidRPr="00FC38A1">
        <w:rPr>
          <w:rFonts w:ascii="Arial Narrow" w:eastAsia="Times New Roman" w:hAnsi="Arial Narrow" w:cs="Segoe UI"/>
          <w:bCs/>
          <w:kern w:val="0"/>
          <w:sz w:val="24"/>
          <w:szCs w:val="24"/>
          <w:lang w:eastAsia="de-DE"/>
        </w:rPr>
        <w:t xml:space="preserve"> como administrador del Registro Nacional de Desaparecidos reportó la ocurrencia de 195 desapariciones presuntamente forzadas y 3226 casos de desaparición sin clasificar</w:t>
      </w:r>
      <w:r w:rsidRPr="00FC38A1">
        <w:rPr>
          <w:rStyle w:val="FootnoteReference"/>
          <w:rFonts w:ascii="Arial Narrow" w:eastAsia="Times New Roman" w:hAnsi="Arial Narrow" w:cs="Segoe UI"/>
          <w:bCs/>
          <w:kern w:val="0"/>
          <w:sz w:val="24"/>
          <w:szCs w:val="24"/>
          <w:lang w:eastAsia="de-DE"/>
        </w:rPr>
        <w:footnoteReference w:id="2"/>
      </w:r>
      <w:r w:rsidRPr="00FC38A1">
        <w:rPr>
          <w:rFonts w:ascii="Arial Narrow" w:eastAsia="Times New Roman" w:hAnsi="Arial Narrow" w:cs="Segoe UI"/>
          <w:bCs/>
          <w:kern w:val="0"/>
          <w:sz w:val="24"/>
          <w:szCs w:val="24"/>
          <w:lang w:eastAsia="de-DE"/>
        </w:rPr>
        <w:t xml:space="preserve"> en los cuales las personas continúan desaparecidas</w:t>
      </w:r>
      <w:r w:rsidRPr="00FC38A1">
        <w:rPr>
          <w:rStyle w:val="FootnoteReference"/>
          <w:rFonts w:ascii="Arial Narrow" w:eastAsia="Times New Roman" w:hAnsi="Arial Narrow" w:cs="Segoe UI"/>
          <w:bCs/>
          <w:kern w:val="0"/>
          <w:sz w:val="24"/>
          <w:szCs w:val="24"/>
          <w:lang w:eastAsia="de-DE"/>
        </w:rPr>
        <w:footnoteReference w:id="3"/>
      </w:r>
      <w:r w:rsidRPr="00FC38A1">
        <w:rPr>
          <w:rFonts w:ascii="Arial Narrow" w:eastAsia="Times New Roman" w:hAnsi="Arial Narrow" w:cs="Segoe UI"/>
          <w:bCs/>
          <w:kern w:val="0"/>
          <w:sz w:val="24"/>
          <w:szCs w:val="24"/>
          <w:lang w:eastAsia="de-DE"/>
        </w:rPr>
        <w:t>. Es de anotar que existe una gran cantidad de casos que no han sido reportados -subregistro-, lo que obedece a diversas razones como barreras de acceso institucional (desconocimiento, falta de presencia o poca presencia institucional), miedo o amenazas.</w:t>
      </w:r>
    </w:p>
    <w:p w14:paraId="025426FD" w14:textId="77777777" w:rsidR="00FA2ACC" w:rsidRPr="00FC38A1" w:rsidRDefault="00FA2ACC" w:rsidP="00FA2ACC">
      <w:pPr>
        <w:rPr>
          <w:rFonts w:ascii="Arial Narrow" w:hAnsi="Arial Narrow"/>
          <w:sz w:val="24"/>
          <w:szCs w:val="24"/>
        </w:rPr>
      </w:pPr>
    </w:p>
    <w:p w14:paraId="71686876" w14:textId="7EEE6777" w:rsidR="00FA2ACC" w:rsidRPr="005B4661" w:rsidRDefault="00FA2ACC" w:rsidP="005B4661">
      <w:pPr>
        <w:pStyle w:val="ListParagraph"/>
        <w:numPr>
          <w:ilvl w:val="0"/>
          <w:numId w:val="4"/>
        </w:numPr>
        <w:rPr>
          <w:rFonts w:ascii="Arial Narrow" w:hAnsi="Arial Narrow"/>
          <w:b/>
          <w:bCs/>
          <w:sz w:val="24"/>
          <w:szCs w:val="24"/>
        </w:rPr>
      </w:pPr>
      <w:r w:rsidRPr="005B4661">
        <w:rPr>
          <w:rFonts w:ascii="Arial Narrow" w:hAnsi="Arial Narrow"/>
          <w:b/>
          <w:bCs/>
          <w:sz w:val="24"/>
          <w:szCs w:val="24"/>
        </w:rPr>
        <w:t>Desapariciones forzadas asociadas a grupos armados organizados</w:t>
      </w:r>
    </w:p>
    <w:p w14:paraId="4D7C6BAF" w14:textId="77777777" w:rsidR="00FA2ACC" w:rsidRPr="00FC38A1" w:rsidRDefault="00FA2ACC" w:rsidP="00FA2ACC">
      <w:pPr>
        <w:jc w:val="both"/>
        <w:rPr>
          <w:rFonts w:ascii="Arial Narrow" w:eastAsia="Arial" w:hAnsi="Arial Narrow" w:cs="Arial"/>
          <w:sz w:val="24"/>
          <w:szCs w:val="24"/>
        </w:rPr>
      </w:pPr>
      <w:r w:rsidRPr="00FC38A1">
        <w:rPr>
          <w:rFonts w:ascii="Arial Narrow" w:eastAsia="Arial" w:hAnsi="Arial Narrow" w:cs="Arial"/>
          <w:sz w:val="24"/>
          <w:szCs w:val="24"/>
        </w:rPr>
        <w:t xml:space="preserve">Los grupos armados organizados despliegan diversos mecanismos de regulación sobre la población civil, lo que involucra distintos repertorios de violencia, como la desaparición forzada. Dichas desapariciones forzadas en muchos casos no son denunciadas o investigadas, por el control absoluto </w:t>
      </w:r>
      <w:r w:rsidRPr="00FC38A1">
        <w:rPr>
          <w:rFonts w:ascii="Arial Narrow" w:eastAsia="Arial" w:hAnsi="Arial Narrow" w:cs="Arial"/>
          <w:sz w:val="24"/>
          <w:szCs w:val="24"/>
        </w:rPr>
        <w:lastRenderedPageBreak/>
        <w:t>que ejercen dichos grupos en los territorios, particularmente en las zonas rurales dispersas donde no hay presencia de instituciones del Estado. Por ejemplo, se tiene el caso del joven David Estiven Fernández Soler, de 24 años, quien se desempeñó como activista social, nombrado como Consejero de Juventudes de la Localidad de Kennedy en enero de 2023. Durante el 2021, habría hecho parte de la Primera Línea de la zona Portal Américas en la ciudad de Bogotá. En circunstancias que aún se investigan, dicho joven se vinculó al Estado Mayor Central de las FARC-EP, pero el día 7 de junio de 2022 cuando intentó escapar de un campamento del grupo armado fue retenido en el caserío de Veracruz del municipio de San Vicente del Caguán (Caquetá), desconociéndose su suerte y paradero</w:t>
      </w:r>
      <w:r w:rsidRPr="00FC38A1">
        <w:rPr>
          <w:rStyle w:val="FootnoteReference"/>
          <w:rFonts w:ascii="Arial Narrow" w:eastAsia="Arial" w:hAnsi="Arial Narrow" w:cs="Arial"/>
          <w:sz w:val="24"/>
          <w:szCs w:val="24"/>
        </w:rPr>
        <w:footnoteReference w:id="4"/>
      </w:r>
      <w:r w:rsidRPr="00FC38A1">
        <w:rPr>
          <w:rFonts w:ascii="Arial Narrow" w:eastAsia="Arial" w:hAnsi="Arial Narrow" w:cs="Arial"/>
          <w:sz w:val="24"/>
          <w:szCs w:val="24"/>
        </w:rPr>
        <w:t>. Posteriormente, alias Iván Mordisco (máximo comandante del EMC), indicó que el joven había sido asesinado por órdenes de alias Calarcá (antiguo comandante del EMC y actual comandante del Estado Mayor de Bloques y Frentes EMBF)</w:t>
      </w:r>
      <w:r w:rsidRPr="00FC38A1">
        <w:rPr>
          <w:rStyle w:val="FootnoteReference"/>
          <w:rFonts w:ascii="Arial Narrow" w:eastAsia="Arial" w:hAnsi="Arial Narrow" w:cs="Arial"/>
          <w:sz w:val="24"/>
          <w:szCs w:val="24"/>
        </w:rPr>
        <w:footnoteReference w:id="5"/>
      </w:r>
      <w:r w:rsidRPr="00FC38A1">
        <w:rPr>
          <w:rFonts w:ascii="Arial Narrow" w:eastAsia="Arial" w:hAnsi="Arial Narrow" w:cs="Arial"/>
          <w:sz w:val="24"/>
          <w:szCs w:val="24"/>
        </w:rPr>
        <w:t>; sin que a la fecha su cuerpo haya sido recuperado/entregado a su familia.</w:t>
      </w:r>
    </w:p>
    <w:p w14:paraId="393BE9DF" w14:textId="77777777" w:rsidR="00FA2ACC" w:rsidRPr="00FC38A1" w:rsidRDefault="00FA2ACC" w:rsidP="00FA2ACC">
      <w:pPr>
        <w:jc w:val="both"/>
        <w:rPr>
          <w:rFonts w:ascii="Arial Narrow" w:eastAsia="Arial" w:hAnsi="Arial Narrow" w:cs="Arial"/>
          <w:sz w:val="24"/>
          <w:szCs w:val="24"/>
        </w:rPr>
      </w:pPr>
      <w:r w:rsidRPr="00FC38A1">
        <w:rPr>
          <w:rFonts w:ascii="Arial Narrow" w:eastAsia="Arial" w:hAnsi="Arial Narrow" w:cs="Arial"/>
          <w:sz w:val="24"/>
          <w:szCs w:val="24"/>
        </w:rPr>
        <w:t xml:space="preserve">Recientemente se han conocido los casos de Luis Carlos Vallejo Román, quien fue representante legal del consejo comunitario La </w:t>
      </w:r>
      <w:proofErr w:type="spellStart"/>
      <w:r w:rsidRPr="00FC38A1">
        <w:rPr>
          <w:rFonts w:ascii="Arial Narrow" w:eastAsia="Arial" w:hAnsi="Arial Narrow" w:cs="Arial"/>
          <w:sz w:val="24"/>
          <w:szCs w:val="24"/>
        </w:rPr>
        <w:t>Mamuncia</w:t>
      </w:r>
      <w:proofErr w:type="spellEnd"/>
      <w:r w:rsidRPr="00FC38A1">
        <w:rPr>
          <w:rFonts w:ascii="Arial Narrow" w:eastAsia="Arial" w:hAnsi="Arial Narrow" w:cs="Arial"/>
          <w:sz w:val="24"/>
          <w:szCs w:val="24"/>
        </w:rPr>
        <w:t>, luego se desempeñó como concejal en López de Micay y, posteriormente, como diputado en la Asamblea Departamental del Cauca. Desaparecido forzadamente por un grupo armado ilegal el 8 de marzo de 2026 en el municipio de López de Micay (Cauca) y cuyo homicidio se confirmó el pasado 1 de abril de 2026</w:t>
      </w:r>
      <w:r w:rsidRPr="00FC38A1">
        <w:rPr>
          <w:rStyle w:val="FootnoteReference"/>
          <w:rFonts w:ascii="Arial Narrow" w:eastAsia="Arial" w:hAnsi="Arial Narrow" w:cs="Arial"/>
          <w:sz w:val="24"/>
          <w:szCs w:val="24"/>
        </w:rPr>
        <w:footnoteReference w:id="6"/>
      </w:r>
      <w:r w:rsidRPr="00FC38A1">
        <w:rPr>
          <w:rFonts w:ascii="Arial Narrow" w:eastAsia="Arial" w:hAnsi="Arial Narrow" w:cs="Arial"/>
          <w:sz w:val="24"/>
          <w:szCs w:val="24"/>
        </w:rPr>
        <w:t>, luego que su cuerpo fuera encontrado en zona rural de dicho municipio. También se conoció el caso del joven periodista Mateo Pérez Rueda, de 25 años, quien fue retenido en zona rural del municipio de Briceño (Antioquia), asesinado y su cuerpo recuperado el pasado 8 de mayo de 2026; hechos que se atribuyen al Frente 36 de las disidencias de las FARC del EMBF al mando de alias Calarcá</w:t>
      </w:r>
      <w:r w:rsidRPr="00FC38A1">
        <w:rPr>
          <w:rStyle w:val="FootnoteReference"/>
          <w:rFonts w:ascii="Arial Narrow" w:eastAsia="Arial" w:hAnsi="Arial Narrow" w:cs="Arial"/>
          <w:sz w:val="24"/>
          <w:szCs w:val="24"/>
        </w:rPr>
        <w:footnoteReference w:id="7"/>
      </w:r>
      <w:r w:rsidRPr="00FC38A1">
        <w:rPr>
          <w:rFonts w:ascii="Arial Narrow" w:eastAsia="Arial" w:hAnsi="Arial Narrow" w:cs="Arial"/>
          <w:sz w:val="24"/>
          <w:szCs w:val="24"/>
        </w:rPr>
        <w:t>.</w:t>
      </w:r>
    </w:p>
    <w:p w14:paraId="4A87ECEC" w14:textId="77777777" w:rsidR="00FA2ACC" w:rsidRPr="00FC38A1" w:rsidRDefault="00FA2ACC" w:rsidP="00FA2ACC">
      <w:pPr>
        <w:jc w:val="both"/>
        <w:rPr>
          <w:rFonts w:ascii="Arial Narrow" w:eastAsia="Arial" w:hAnsi="Arial Narrow" w:cs="Arial"/>
          <w:sz w:val="24"/>
          <w:szCs w:val="24"/>
        </w:rPr>
      </w:pPr>
    </w:p>
    <w:p w14:paraId="5B98FC90" w14:textId="3665A1C7" w:rsidR="00FA2ACC" w:rsidRPr="005B4661" w:rsidRDefault="00FA2ACC" w:rsidP="005B4661">
      <w:pPr>
        <w:pStyle w:val="ListParagraph"/>
        <w:numPr>
          <w:ilvl w:val="0"/>
          <w:numId w:val="4"/>
        </w:numPr>
        <w:rPr>
          <w:rFonts w:ascii="Arial Narrow" w:hAnsi="Arial Narrow"/>
          <w:b/>
          <w:bCs/>
          <w:sz w:val="24"/>
          <w:szCs w:val="24"/>
        </w:rPr>
      </w:pPr>
      <w:r w:rsidRPr="005B4661">
        <w:rPr>
          <w:rFonts w:ascii="Arial Narrow" w:hAnsi="Arial Narrow"/>
          <w:b/>
          <w:bCs/>
          <w:sz w:val="24"/>
          <w:szCs w:val="24"/>
        </w:rPr>
        <w:t>Desapariciones forzadas asociadas a grupos de delincuencia organizada</w:t>
      </w:r>
    </w:p>
    <w:p w14:paraId="171E108F" w14:textId="77777777" w:rsidR="00FA2ACC" w:rsidRPr="00FC38A1" w:rsidRDefault="00FA2ACC" w:rsidP="00FA2ACC">
      <w:pPr>
        <w:jc w:val="both"/>
        <w:rPr>
          <w:rFonts w:ascii="Arial Narrow" w:hAnsi="Arial Narrow"/>
          <w:sz w:val="24"/>
          <w:szCs w:val="24"/>
        </w:rPr>
      </w:pPr>
      <w:r w:rsidRPr="00FC38A1">
        <w:rPr>
          <w:rFonts w:ascii="Arial Narrow" w:hAnsi="Arial Narrow"/>
          <w:sz w:val="24"/>
          <w:szCs w:val="24"/>
        </w:rPr>
        <w:t>También se tiene el registro de varios casos de desapariciones forzadas perpetrados por grupos de delincuencia organizada o bandas criminales. Dichas desapariciones forzadas suelen ocurrir principalmente en contextos urbanos o semiurbanos, y al igual que en los casos de los grupos armados organizados, están asociadas a dinámicas de control social sobre la población civil. A diferencia de los casos asociados a GAO, dichas desapariciones forzadas ocurren en lugares con bastante presencia institucional (Fiscalía, Fuerza Pública, Procuraduría, Defensoría, Personarías, Alcaldías, entre otras); sin embargo, son pocas las acciones adelantadas por dichas entidades para prevenir o atender dichos casos. Al respecto el caso más emblemático son las desapariciones forzadas ocurridas en el municipio de Cartago y la subregión del Norte del Valle del Cauca, que incluye algunos municipios y sectores del departamento de Risaralda (como en La Virginia, Dosquebradas y el sector de Puerto Caldas de la ciudad de Pereira).</w:t>
      </w:r>
    </w:p>
    <w:p w14:paraId="776DF52B" w14:textId="77777777" w:rsidR="00FA2ACC" w:rsidRPr="00FC38A1" w:rsidRDefault="00FA2ACC" w:rsidP="00FA2ACC">
      <w:pPr>
        <w:jc w:val="both"/>
        <w:rPr>
          <w:rFonts w:ascii="Arial Narrow" w:hAnsi="Arial Narrow"/>
          <w:sz w:val="24"/>
          <w:szCs w:val="24"/>
        </w:rPr>
      </w:pPr>
      <w:r w:rsidRPr="00FC38A1">
        <w:rPr>
          <w:rFonts w:ascii="Arial Narrow" w:hAnsi="Arial Narrow"/>
          <w:sz w:val="24"/>
          <w:szCs w:val="24"/>
        </w:rPr>
        <w:t>Según cifras del Instituto Nacional de Medicina Legal y Ciencias Forenses (INML y CF), en la región del norte del departamento del Valle del Cauca24, entre 2020 y 2024 al menos 130 personas han sido víctimas de desaparición forzada</w:t>
      </w:r>
      <w:r w:rsidRPr="00FC38A1">
        <w:rPr>
          <w:rStyle w:val="FootnoteReference"/>
          <w:rFonts w:ascii="Arial Narrow" w:hAnsi="Arial Narrow"/>
          <w:sz w:val="24"/>
          <w:szCs w:val="24"/>
        </w:rPr>
        <w:footnoteReference w:id="8"/>
      </w:r>
      <w:r w:rsidRPr="00FC38A1">
        <w:rPr>
          <w:rFonts w:ascii="Arial Narrow" w:hAnsi="Arial Narrow"/>
          <w:sz w:val="24"/>
          <w:szCs w:val="24"/>
        </w:rPr>
        <w:t xml:space="preserve">. En el caso del municipio de Cartago, a raíz de las disputas entre los GDO “Los Flacos” y “La Nueva Generación” desde 2021 al menos 80 personas han sido víctimas de desaparición forzada en este último municipio, entre los casos qué mayor impacto han generado en la opinión pública, conviene reseñar las desapariciones forzadas Daniel Cano Rodríguez y Keine Jiménez Rodríguez, ocurridas en septiembre de 2021; Luz Esneda Roa Osorio, el 23 de septiembre de 2021; Daniel Esteban Gazo y Jhonier Fernando Cortes el 25 de septiembre de 2021; Jose Daniel </w:t>
      </w:r>
      <w:r w:rsidRPr="00FC38A1">
        <w:rPr>
          <w:rFonts w:ascii="Arial Narrow" w:hAnsi="Arial Narrow"/>
          <w:sz w:val="24"/>
          <w:szCs w:val="24"/>
        </w:rPr>
        <w:lastRenderedPageBreak/>
        <w:t xml:space="preserve">García López desaparecido el 12 de enero de 2022; Yanis Sierra </w:t>
      </w:r>
      <w:proofErr w:type="spellStart"/>
      <w:r w:rsidRPr="00FC38A1">
        <w:rPr>
          <w:rFonts w:ascii="Arial Narrow" w:hAnsi="Arial Narrow"/>
          <w:sz w:val="24"/>
          <w:szCs w:val="24"/>
        </w:rPr>
        <w:t>Florez</w:t>
      </w:r>
      <w:proofErr w:type="spellEnd"/>
      <w:r w:rsidRPr="00FC38A1">
        <w:rPr>
          <w:rFonts w:ascii="Arial Narrow" w:hAnsi="Arial Narrow"/>
          <w:sz w:val="24"/>
          <w:szCs w:val="24"/>
        </w:rPr>
        <w:t xml:space="preserve"> el 18 de diciembre de 2022; Jeison </w:t>
      </w:r>
      <w:proofErr w:type="spellStart"/>
      <w:r w:rsidRPr="00FC38A1">
        <w:rPr>
          <w:rFonts w:ascii="Arial Narrow" w:hAnsi="Arial Narrow"/>
          <w:sz w:val="24"/>
          <w:szCs w:val="24"/>
        </w:rPr>
        <w:t>Stiven</w:t>
      </w:r>
      <w:proofErr w:type="spellEnd"/>
      <w:r w:rsidRPr="00FC38A1">
        <w:rPr>
          <w:rFonts w:ascii="Arial Narrow" w:hAnsi="Arial Narrow"/>
          <w:sz w:val="24"/>
          <w:szCs w:val="24"/>
        </w:rPr>
        <w:t xml:space="preserve"> Estrada Gómez el 13 de enero de 2023; Nasly Daniela Santiago Díaz y Nicolás De Jesús Aristizábal Gómez, en hechos ocurridos el 3 de junio de 2023; Andrés Felipe Hoyos Gallego el 19 de septiembre de 2023; Lisandro Mosquera y </w:t>
      </w:r>
      <w:proofErr w:type="spellStart"/>
      <w:r w:rsidRPr="00FC38A1">
        <w:rPr>
          <w:rFonts w:ascii="Arial Narrow" w:hAnsi="Arial Narrow"/>
          <w:sz w:val="24"/>
          <w:szCs w:val="24"/>
        </w:rPr>
        <w:t>Dioner</w:t>
      </w:r>
      <w:proofErr w:type="spellEnd"/>
      <w:r w:rsidRPr="00FC38A1">
        <w:rPr>
          <w:rFonts w:ascii="Arial Narrow" w:hAnsi="Arial Narrow"/>
          <w:sz w:val="24"/>
          <w:szCs w:val="24"/>
        </w:rPr>
        <w:t xml:space="preserve"> Mazo el 12 de octubre de 2023. El pasado 25 de agosto de 2024, Jairo Alejandro Osorio Alarcón, de 25 años, y Geovanny Esteban Grajales González, de 20 años, fueron desaparecidos, y sus cuerpos fueron encontrados tres días después, flotando en las aguas del río La Vieja, cerca del corregimiento de Piedras de Moler, en la zona limítrofe entre Cartago y Alcalá</w:t>
      </w:r>
      <w:r w:rsidRPr="00FC38A1">
        <w:rPr>
          <w:rStyle w:val="FootnoteReference"/>
          <w:rFonts w:ascii="Arial Narrow" w:hAnsi="Arial Narrow"/>
          <w:sz w:val="24"/>
          <w:szCs w:val="24"/>
        </w:rPr>
        <w:footnoteReference w:id="9"/>
      </w:r>
      <w:r w:rsidRPr="00FC38A1">
        <w:rPr>
          <w:rFonts w:ascii="Arial Narrow" w:hAnsi="Arial Narrow"/>
          <w:sz w:val="24"/>
          <w:szCs w:val="24"/>
        </w:rPr>
        <w:t>. Recientemente, el pasado 19 de mayo de 2026 se encontró un cuerpo en el río la Vieja (Sector de Puerto Caldas, Pereira), que correspondería al del ciudadano Daniel Varela Vallejo quien desapareció el pasado 13 de mayo en el municipio de Cartago</w:t>
      </w:r>
      <w:r w:rsidRPr="00FC38A1">
        <w:rPr>
          <w:rStyle w:val="FootnoteReference"/>
          <w:rFonts w:ascii="Arial Narrow" w:hAnsi="Arial Narrow"/>
          <w:sz w:val="24"/>
          <w:szCs w:val="24"/>
        </w:rPr>
        <w:footnoteReference w:id="10"/>
      </w:r>
      <w:r w:rsidRPr="00FC38A1">
        <w:rPr>
          <w:rFonts w:ascii="Arial Narrow" w:hAnsi="Arial Narrow"/>
          <w:sz w:val="24"/>
          <w:szCs w:val="24"/>
        </w:rPr>
        <w:t xml:space="preserve">. </w:t>
      </w:r>
    </w:p>
    <w:p w14:paraId="50636DCD" w14:textId="77777777" w:rsidR="00FA2ACC" w:rsidRPr="00FC38A1" w:rsidRDefault="00FA2ACC" w:rsidP="00FA2ACC">
      <w:pPr>
        <w:jc w:val="both"/>
        <w:rPr>
          <w:rFonts w:ascii="Arial Narrow" w:hAnsi="Arial Narrow"/>
          <w:sz w:val="24"/>
          <w:szCs w:val="24"/>
        </w:rPr>
      </w:pPr>
      <w:r w:rsidRPr="00FC38A1">
        <w:rPr>
          <w:rFonts w:ascii="Arial Narrow" w:hAnsi="Arial Narrow"/>
          <w:sz w:val="24"/>
          <w:szCs w:val="24"/>
        </w:rPr>
        <w:t>Para el departamento de Risaralda, se puede hacer mención a los casos de MARISOL HERNÁNDEZ ALZÁTE quien el día 03 de enero de 2023, salió de su casa ubicada en el barrio Primavera Azul de la comuna 8 del municipio de Dosquebradas (Risaralda) con rumbo desconocido y cuyo cuerpo fue encontrado en octubre de 2023, en un guadual del barrio Primavera Azul del municipio de Dosquebradas (Risaralda). Su identificación se realizó en el mes de febrero de 2024, luego de culminar la realización de los cotejos genéticos. También se destaca el caso Juan Camilo Castaño Gutiérrez quien fue desaparecido forzadamente el 25 de marzo del 2025 en la Virginia (Risaralda), cuando habría sido interceptado por cuatro hombres armados, conocidos con los alias de “Candado”, “</w:t>
      </w:r>
      <w:proofErr w:type="spellStart"/>
      <w:r w:rsidRPr="00FC38A1">
        <w:rPr>
          <w:rFonts w:ascii="Arial Narrow" w:hAnsi="Arial Narrow"/>
          <w:sz w:val="24"/>
          <w:szCs w:val="24"/>
        </w:rPr>
        <w:t>Membeiro</w:t>
      </w:r>
      <w:proofErr w:type="spellEnd"/>
      <w:r w:rsidRPr="00FC38A1">
        <w:rPr>
          <w:rFonts w:ascii="Arial Narrow" w:hAnsi="Arial Narrow"/>
          <w:sz w:val="24"/>
          <w:szCs w:val="24"/>
        </w:rPr>
        <w:t>”, “Carbón” y “Caliche”, quienes lo abordaron y se lo llevaron con rumbo desconocido por la fuerza</w:t>
      </w:r>
      <w:r w:rsidRPr="00FC38A1">
        <w:rPr>
          <w:rStyle w:val="FootnoteReference"/>
          <w:rFonts w:ascii="Arial Narrow" w:hAnsi="Arial Narrow"/>
          <w:sz w:val="24"/>
          <w:szCs w:val="24"/>
        </w:rPr>
        <w:footnoteReference w:id="11"/>
      </w:r>
      <w:r w:rsidRPr="00FC38A1">
        <w:rPr>
          <w:rFonts w:ascii="Arial Narrow" w:hAnsi="Arial Narrow"/>
          <w:sz w:val="24"/>
          <w:szCs w:val="24"/>
        </w:rPr>
        <w:t>. En ambos casos, los perpetradores son bandas delincuenciales que actúan en dichos municipios, y que prestan sus servicios al GDO La Codillera</w:t>
      </w:r>
      <w:r w:rsidRPr="00FC38A1">
        <w:rPr>
          <w:rStyle w:val="FootnoteReference"/>
          <w:rFonts w:ascii="Arial Narrow" w:hAnsi="Arial Narrow"/>
          <w:sz w:val="24"/>
          <w:szCs w:val="24"/>
        </w:rPr>
        <w:footnoteReference w:id="12"/>
      </w:r>
      <w:r w:rsidRPr="00FC38A1">
        <w:rPr>
          <w:rFonts w:ascii="Arial Narrow" w:hAnsi="Arial Narrow"/>
          <w:sz w:val="24"/>
          <w:szCs w:val="24"/>
        </w:rPr>
        <w:t>.</w:t>
      </w:r>
    </w:p>
    <w:p w14:paraId="117842FE" w14:textId="77777777" w:rsidR="00FA2ACC" w:rsidRPr="00FC38A1" w:rsidRDefault="00FA2ACC" w:rsidP="00FA2ACC">
      <w:pPr>
        <w:jc w:val="both"/>
        <w:rPr>
          <w:rFonts w:ascii="Arial Narrow" w:hAnsi="Arial Narrow"/>
          <w:sz w:val="24"/>
          <w:szCs w:val="24"/>
        </w:rPr>
      </w:pPr>
      <w:r w:rsidRPr="00FC38A1">
        <w:rPr>
          <w:rFonts w:ascii="Arial Narrow" w:hAnsi="Arial Narrow"/>
          <w:sz w:val="24"/>
          <w:szCs w:val="24"/>
        </w:rPr>
        <w:t>Para el caso de la ciudad de Bogotá, se destaca la desaparición forzada del adolescente de 16 años Harold Aroca, quien fue desaparecido forzadamente, torturado y asesinado por una banda delincuencial que operaba en el barrio Los Laches de la localidad de Santafé; su cuerpo fue encontrado el 9 de agosto de 2025, días después que fuera retenido en un parque de dicho barrio. En dicho caso se cuestionan las actuaciones negligentes tanto de la Alcaldía de Bogotá como de la Fuerza Pública</w:t>
      </w:r>
      <w:r w:rsidRPr="00FC38A1">
        <w:rPr>
          <w:rStyle w:val="FootnoteReference"/>
          <w:rFonts w:ascii="Arial Narrow" w:hAnsi="Arial Narrow"/>
          <w:sz w:val="24"/>
          <w:szCs w:val="24"/>
        </w:rPr>
        <w:footnoteReference w:id="13"/>
      </w:r>
      <w:r w:rsidRPr="00FC38A1">
        <w:rPr>
          <w:rFonts w:ascii="Arial Narrow" w:hAnsi="Arial Narrow"/>
          <w:sz w:val="24"/>
          <w:szCs w:val="24"/>
        </w:rPr>
        <w:t>, cuando tuvieron conocimiento del hecho.</w:t>
      </w:r>
    </w:p>
    <w:p w14:paraId="2B0C6216" w14:textId="779CB114" w:rsidR="00FA2ACC" w:rsidRDefault="00FA2ACC" w:rsidP="005B4661">
      <w:pPr>
        <w:pStyle w:val="ListParagraph"/>
        <w:numPr>
          <w:ilvl w:val="0"/>
          <w:numId w:val="3"/>
        </w:numPr>
        <w:jc w:val="both"/>
        <w:rPr>
          <w:rFonts w:ascii="Arial Narrow" w:hAnsi="Arial Narrow"/>
          <w:b/>
          <w:bCs/>
          <w:sz w:val="24"/>
          <w:szCs w:val="24"/>
          <w:lang w:val="es-ES" w:eastAsia="es-ES"/>
        </w:rPr>
      </w:pPr>
      <w:r w:rsidRPr="005B4661">
        <w:rPr>
          <w:rFonts w:ascii="Arial Narrow" w:hAnsi="Arial Narrow"/>
          <w:b/>
          <w:bCs/>
          <w:sz w:val="24"/>
          <w:szCs w:val="24"/>
          <w:lang w:val="es-ES" w:eastAsia="es-ES"/>
        </w:rPr>
        <w:t>Protección de las personas que denuncian y/o participan en la investigación de una desaparición forzada (miedo a represalias)</w:t>
      </w:r>
    </w:p>
    <w:p w14:paraId="7A0842D0" w14:textId="77777777" w:rsidR="005B4661" w:rsidRPr="005B4661" w:rsidRDefault="005B4661" w:rsidP="005B4661">
      <w:pPr>
        <w:pStyle w:val="ListParagraph"/>
        <w:jc w:val="both"/>
        <w:rPr>
          <w:rFonts w:ascii="Arial Narrow" w:hAnsi="Arial Narrow"/>
          <w:b/>
          <w:bCs/>
          <w:sz w:val="24"/>
          <w:szCs w:val="24"/>
          <w:lang w:val="es-ES" w:eastAsia="es-ES"/>
        </w:rPr>
      </w:pPr>
    </w:p>
    <w:p w14:paraId="62CCFB9E" w14:textId="3210F149" w:rsidR="00FA2ACC" w:rsidRPr="005B4661" w:rsidRDefault="00FA2ACC" w:rsidP="005B4661">
      <w:pPr>
        <w:pStyle w:val="ListParagraph"/>
        <w:numPr>
          <w:ilvl w:val="0"/>
          <w:numId w:val="5"/>
        </w:numPr>
        <w:rPr>
          <w:rFonts w:ascii="Arial Narrow" w:hAnsi="Arial Narrow"/>
          <w:b/>
          <w:bCs/>
          <w:sz w:val="24"/>
          <w:szCs w:val="24"/>
          <w:lang w:val="es-ES" w:eastAsia="es-ES"/>
        </w:rPr>
      </w:pPr>
      <w:r w:rsidRPr="005B4661">
        <w:rPr>
          <w:rFonts w:ascii="Arial Narrow" w:hAnsi="Arial Narrow"/>
          <w:b/>
          <w:bCs/>
          <w:sz w:val="24"/>
          <w:szCs w:val="24"/>
          <w:lang w:val="es-ES" w:eastAsia="es-ES"/>
        </w:rPr>
        <w:t>Ley de mujeres buscadoras y ausencia de implementación</w:t>
      </w:r>
    </w:p>
    <w:p w14:paraId="2F4FF64D" w14:textId="724B73FB" w:rsidR="001C2CDB" w:rsidRPr="00FC38A1" w:rsidRDefault="00682310" w:rsidP="001C2CDB">
      <w:pPr>
        <w:jc w:val="both"/>
        <w:rPr>
          <w:rFonts w:ascii="Arial Narrow" w:hAnsi="Arial Narrow"/>
          <w:b/>
          <w:bCs/>
          <w:i/>
          <w:iCs/>
          <w:sz w:val="24"/>
          <w:szCs w:val="24"/>
          <w:lang w:val="es-MX" w:eastAsia="es-ES"/>
        </w:rPr>
      </w:pPr>
      <w:r w:rsidRPr="00FC38A1">
        <w:rPr>
          <w:rFonts w:ascii="Arial Narrow" w:hAnsi="Arial Narrow"/>
          <w:sz w:val="24"/>
          <w:szCs w:val="24"/>
          <w:lang w:val="es-ES" w:eastAsia="es-ES"/>
        </w:rPr>
        <w:t>El Estado Colombiano reconociendo las especiales afectaciones que históricamente han padecido las mujeres que buscan a sus familiares desaparecidos forzadamente</w:t>
      </w:r>
      <w:r w:rsidR="001C2CDB" w:rsidRPr="00FC38A1">
        <w:rPr>
          <w:rStyle w:val="FootnoteReference"/>
          <w:rFonts w:ascii="Arial Narrow" w:hAnsi="Arial Narrow"/>
          <w:sz w:val="24"/>
          <w:szCs w:val="24"/>
          <w:lang w:val="es-ES" w:eastAsia="es-ES"/>
        </w:rPr>
        <w:footnoteReference w:id="14"/>
      </w:r>
      <w:r w:rsidRPr="00FC38A1">
        <w:rPr>
          <w:rFonts w:ascii="Arial Narrow" w:hAnsi="Arial Narrow"/>
          <w:sz w:val="24"/>
          <w:szCs w:val="24"/>
          <w:lang w:val="es-ES" w:eastAsia="es-ES"/>
        </w:rPr>
        <w:t xml:space="preserve"> </w:t>
      </w:r>
      <w:r w:rsidR="001C2CDB" w:rsidRPr="00FC38A1">
        <w:rPr>
          <w:rFonts w:ascii="Arial Narrow" w:hAnsi="Arial Narrow"/>
          <w:sz w:val="24"/>
          <w:szCs w:val="24"/>
          <w:lang w:val="es-ES" w:eastAsia="es-ES"/>
        </w:rPr>
        <w:t xml:space="preserve">expidió la Ley 2364 de 2024 </w:t>
      </w:r>
      <w:r w:rsidR="001C2CDB" w:rsidRPr="00FC38A1">
        <w:rPr>
          <w:rFonts w:ascii="Arial Narrow" w:hAnsi="Arial Narrow"/>
          <w:b/>
          <w:bCs/>
          <w:sz w:val="24"/>
          <w:szCs w:val="24"/>
          <w:lang w:val="es-ES" w:eastAsia="es-ES"/>
        </w:rPr>
        <w:t>“</w:t>
      </w:r>
      <w:r w:rsidR="001C2CDB" w:rsidRPr="00FC38A1">
        <w:rPr>
          <w:rFonts w:ascii="Arial Narrow" w:hAnsi="Arial Narrow"/>
          <w:sz w:val="24"/>
          <w:szCs w:val="24"/>
          <w:lang w:eastAsia="es-ES"/>
        </w:rPr>
        <w:t>por medio de la cual se reconoce y protege de forma integral la labor y los derechos de las mujeres buscadoras de víctimas de desaparición forzada”; y posteriormente el Decreto 063 del 26 de enero de 2026 “</w:t>
      </w:r>
      <w:r w:rsidR="001C2CDB" w:rsidRPr="00FC38A1">
        <w:rPr>
          <w:rFonts w:ascii="Arial Narrow" w:hAnsi="Arial Narrow"/>
          <w:sz w:val="24"/>
          <w:szCs w:val="24"/>
          <w:lang w:val="es-MX" w:eastAsia="es-ES"/>
        </w:rPr>
        <w:t>Por el cual se adiciona el Capítulo 10 al Título 5 de la Parte 2 del Libro 2 del Decreto 1069 de 2015, Único Reglamentario del Sector Justicia y del Derecho, para reglamentar la Ley 2364 de 2024 por medio de la cual se reconoce y protege de forma integral la labor y los derechos de las mujeres buscadoras”.</w:t>
      </w:r>
    </w:p>
    <w:p w14:paraId="7672CB26" w14:textId="47F19805" w:rsidR="001C2CDB" w:rsidRPr="00FC38A1" w:rsidRDefault="001C2CDB" w:rsidP="001C2CDB">
      <w:pPr>
        <w:jc w:val="both"/>
        <w:rPr>
          <w:rFonts w:ascii="Arial Narrow" w:hAnsi="Arial Narrow"/>
          <w:sz w:val="24"/>
          <w:szCs w:val="24"/>
          <w:lang w:val="es-ES" w:eastAsia="es-ES"/>
        </w:rPr>
      </w:pPr>
      <w:r w:rsidRPr="00FC38A1">
        <w:rPr>
          <w:rFonts w:ascii="Arial Narrow" w:hAnsi="Arial Narrow"/>
          <w:sz w:val="24"/>
          <w:szCs w:val="24"/>
          <w:lang w:val="es-ES" w:eastAsia="es-ES"/>
        </w:rPr>
        <w:lastRenderedPageBreak/>
        <w:t xml:space="preserve">Ahora bien, preocupa que transcurridos más de cinco (5) meses de expedido el decreto de reglamentación, y que para </w:t>
      </w:r>
      <w:r w:rsidR="00C835D7" w:rsidRPr="00FC38A1">
        <w:rPr>
          <w:rFonts w:ascii="Arial Narrow" w:hAnsi="Arial Narrow"/>
          <w:sz w:val="24"/>
          <w:szCs w:val="24"/>
          <w:lang w:val="es-ES" w:eastAsia="es-ES"/>
        </w:rPr>
        <w:t>algunas medidas se estableció su adopción inmediata</w:t>
      </w:r>
      <w:r w:rsidR="00C835D7" w:rsidRPr="00FC38A1">
        <w:rPr>
          <w:rStyle w:val="FootnoteReference"/>
          <w:rFonts w:ascii="Arial Narrow" w:hAnsi="Arial Narrow"/>
          <w:sz w:val="24"/>
          <w:szCs w:val="24"/>
          <w:lang w:val="es-ES" w:eastAsia="es-ES"/>
        </w:rPr>
        <w:footnoteReference w:id="15"/>
      </w:r>
      <w:r w:rsidR="00C835D7" w:rsidRPr="00FC38A1">
        <w:rPr>
          <w:rFonts w:ascii="Arial Narrow" w:hAnsi="Arial Narrow"/>
          <w:sz w:val="24"/>
          <w:szCs w:val="24"/>
          <w:lang w:val="es-ES" w:eastAsia="es-ES"/>
        </w:rPr>
        <w:t xml:space="preserve">. Y para otras </w:t>
      </w:r>
      <w:r w:rsidRPr="00FC38A1">
        <w:rPr>
          <w:rFonts w:ascii="Arial Narrow" w:hAnsi="Arial Narrow"/>
          <w:sz w:val="24"/>
          <w:szCs w:val="24"/>
          <w:lang w:val="es-ES" w:eastAsia="es-ES"/>
        </w:rPr>
        <w:t xml:space="preserve">medidas se establecieron términos </w:t>
      </w:r>
      <w:r w:rsidR="00C835D7" w:rsidRPr="00FC38A1">
        <w:rPr>
          <w:rFonts w:ascii="Arial Narrow" w:hAnsi="Arial Narrow"/>
          <w:sz w:val="24"/>
          <w:szCs w:val="24"/>
          <w:lang w:val="es-ES" w:eastAsia="es-ES"/>
        </w:rPr>
        <w:t xml:space="preserve">perentorios </w:t>
      </w:r>
      <w:r w:rsidRPr="00FC38A1">
        <w:rPr>
          <w:rFonts w:ascii="Arial Narrow" w:hAnsi="Arial Narrow"/>
          <w:sz w:val="24"/>
          <w:szCs w:val="24"/>
          <w:lang w:val="es-ES" w:eastAsia="es-ES"/>
        </w:rPr>
        <w:t>de seis (6) meses</w:t>
      </w:r>
      <w:r w:rsidRPr="00FC38A1">
        <w:rPr>
          <w:rStyle w:val="FootnoteReference"/>
          <w:rFonts w:ascii="Arial Narrow" w:hAnsi="Arial Narrow"/>
          <w:sz w:val="24"/>
          <w:szCs w:val="24"/>
          <w:lang w:val="es-ES" w:eastAsia="es-ES"/>
        </w:rPr>
        <w:footnoteReference w:id="16"/>
      </w:r>
      <w:r w:rsidR="00C835D7" w:rsidRPr="00FC38A1">
        <w:rPr>
          <w:rFonts w:ascii="Arial Narrow" w:hAnsi="Arial Narrow"/>
          <w:sz w:val="24"/>
          <w:szCs w:val="24"/>
          <w:lang w:val="es-ES" w:eastAsia="es-ES"/>
        </w:rPr>
        <w:t>;</w:t>
      </w:r>
      <w:r w:rsidRPr="00FC38A1">
        <w:rPr>
          <w:rFonts w:ascii="Arial Narrow" w:hAnsi="Arial Narrow"/>
          <w:sz w:val="24"/>
          <w:szCs w:val="24"/>
          <w:lang w:val="es-ES" w:eastAsia="es-ES"/>
        </w:rPr>
        <w:t xml:space="preserve"> diez (10) meses</w:t>
      </w:r>
      <w:r w:rsidR="00C835D7" w:rsidRPr="00FC38A1">
        <w:rPr>
          <w:rStyle w:val="FootnoteReference"/>
          <w:rFonts w:ascii="Arial Narrow" w:hAnsi="Arial Narrow"/>
          <w:sz w:val="24"/>
          <w:szCs w:val="24"/>
          <w:lang w:val="es-ES" w:eastAsia="es-ES"/>
        </w:rPr>
        <w:footnoteReference w:id="17"/>
      </w:r>
      <w:r w:rsidR="00C835D7" w:rsidRPr="00FC38A1">
        <w:rPr>
          <w:rFonts w:ascii="Arial Narrow" w:hAnsi="Arial Narrow"/>
          <w:sz w:val="24"/>
          <w:szCs w:val="24"/>
          <w:lang w:val="es-ES" w:eastAsia="es-ES"/>
        </w:rPr>
        <w:t>;</w:t>
      </w:r>
      <w:r w:rsidRPr="00FC38A1">
        <w:rPr>
          <w:rFonts w:ascii="Arial Narrow" w:hAnsi="Arial Narrow"/>
          <w:sz w:val="24"/>
          <w:szCs w:val="24"/>
          <w:lang w:val="es-ES" w:eastAsia="es-ES"/>
        </w:rPr>
        <w:t xml:space="preserve"> un (1) año</w:t>
      </w:r>
      <w:r w:rsidR="00C835D7" w:rsidRPr="00FC38A1">
        <w:rPr>
          <w:rFonts w:ascii="Arial Narrow" w:hAnsi="Arial Narrow"/>
          <w:sz w:val="24"/>
          <w:szCs w:val="24"/>
          <w:lang w:val="es-ES" w:eastAsia="es-ES"/>
        </w:rPr>
        <w:t xml:space="preserve">; y para otras se establecieron términos </w:t>
      </w:r>
      <w:r w:rsidR="00C835D7" w:rsidRPr="00FC38A1">
        <w:rPr>
          <w:rFonts w:ascii="Arial Narrow" w:hAnsi="Arial Narrow"/>
          <w:sz w:val="24"/>
          <w:szCs w:val="24"/>
          <w:lang w:eastAsia="es-ES"/>
        </w:rPr>
        <w:t>a partir de la entrada en vigor del decreto que adopte la política pública integral del Sistema Nacional de Búsqueda</w:t>
      </w:r>
      <w:r w:rsidR="00C835D7" w:rsidRPr="00FC38A1">
        <w:rPr>
          <w:rStyle w:val="FootnoteReference"/>
          <w:rFonts w:ascii="Arial Narrow" w:hAnsi="Arial Narrow"/>
          <w:sz w:val="24"/>
          <w:szCs w:val="24"/>
          <w:lang w:eastAsia="es-ES"/>
        </w:rPr>
        <w:footnoteReference w:id="18"/>
      </w:r>
      <w:r w:rsidRPr="00FC38A1">
        <w:rPr>
          <w:rFonts w:ascii="Arial Narrow" w:hAnsi="Arial Narrow"/>
          <w:sz w:val="24"/>
          <w:szCs w:val="24"/>
          <w:lang w:val="es-ES" w:eastAsia="es-ES"/>
        </w:rPr>
        <w:t>.</w:t>
      </w:r>
      <w:r w:rsidR="00C835D7" w:rsidRPr="00FC38A1">
        <w:rPr>
          <w:rFonts w:ascii="Arial Narrow" w:hAnsi="Arial Narrow"/>
          <w:sz w:val="24"/>
          <w:szCs w:val="24"/>
          <w:lang w:val="es-ES" w:eastAsia="es-ES"/>
        </w:rPr>
        <w:t xml:space="preserve"> A la fecha son pocos los avances que se conocen por parte de las entidades en la reglamentación concreta, </w:t>
      </w:r>
      <w:r w:rsidR="00143C62" w:rsidRPr="00FC38A1">
        <w:rPr>
          <w:rFonts w:ascii="Arial Narrow" w:hAnsi="Arial Narrow"/>
          <w:sz w:val="24"/>
          <w:szCs w:val="24"/>
          <w:lang w:val="es-ES" w:eastAsia="es-ES"/>
        </w:rPr>
        <w:t>lo que se aúna al hecho que no se ha llamado a las organizaciones de mujeres buscadoras a concertar el diseño e implementación de las medidas especificas señaladas en el decreto reglamentario.</w:t>
      </w:r>
    </w:p>
    <w:p w14:paraId="114C1BBB" w14:textId="3F07DD37" w:rsidR="00FA2ACC" w:rsidRPr="005B4661" w:rsidRDefault="008539CE" w:rsidP="005B4661">
      <w:pPr>
        <w:pStyle w:val="ListParagraph"/>
        <w:numPr>
          <w:ilvl w:val="0"/>
          <w:numId w:val="5"/>
        </w:numPr>
        <w:jc w:val="both"/>
        <w:rPr>
          <w:rFonts w:ascii="Arial Narrow" w:hAnsi="Arial Narrow"/>
          <w:b/>
          <w:bCs/>
          <w:sz w:val="24"/>
          <w:szCs w:val="24"/>
          <w:lang w:val="es-ES" w:eastAsia="es-ES"/>
        </w:rPr>
      </w:pPr>
      <w:r>
        <w:rPr>
          <w:rFonts w:ascii="Arial Narrow" w:hAnsi="Arial Narrow"/>
          <w:b/>
          <w:bCs/>
          <w:sz w:val="24"/>
          <w:szCs w:val="24"/>
          <w:lang w:val="es-ES" w:eastAsia="es-ES"/>
        </w:rPr>
        <w:t xml:space="preserve">Homicidios, </w:t>
      </w:r>
      <w:r w:rsidR="001C2CDB" w:rsidRPr="005B4661">
        <w:rPr>
          <w:rFonts w:ascii="Arial Narrow" w:hAnsi="Arial Narrow"/>
          <w:b/>
          <w:bCs/>
          <w:sz w:val="24"/>
          <w:szCs w:val="24"/>
          <w:lang w:val="es-ES" w:eastAsia="es-ES"/>
        </w:rPr>
        <w:t>A</w:t>
      </w:r>
      <w:r w:rsidR="00FA2ACC" w:rsidRPr="005B4661">
        <w:rPr>
          <w:rFonts w:ascii="Arial Narrow" w:hAnsi="Arial Narrow"/>
          <w:b/>
          <w:bCs/>
          <w:sz w:val="24"/>
          <w:szCs w:val="24"/>
          <w:lang w:val="es-ES" w:eastAsia="es-ES"/>
        </w:rPr>
        <w:t>taques</w:t>
      </w:r>
      <w:r>
        <w:rPr>
          <w:rFonts w:ascii="Arial Narrow" w:hAnsi="Arial Narrow"/>
          <w:b/>
          <w:bCs/>
          <w:sz w:val="24"/>
          <w:szCs w:val="24"/>
          <w:lang w:val="es-ES" w:eastAsia="es-ES"/>
        </w:rPr>
        <w:t xml:space="preserve"> y amenazas</w:t>
      </w:r>
      <w:r w:rsidR="00FA2ACC" w:rsidRPr="005B4661">
        <w:rPr>
          <w:rFonts w:ascii="Arial Narrow" w:hAnsi="Arial Narrow"/>
          <w:b/>
          <w:bCs/>
          <w:sz w:val="24"/>
          <w:szCs w:val="24"/>
          <w:lang w:val="es-ES" w:eastAsia="es-ES"/>
        </w:rPr>
        <w:t xml:space="preserve"> en contra de mujeres buscadoras</w:t>
      </w:r>
    </w:p>
    <w:p w14:paraId="36A92062" w14:textId="2BBE53B5" w:rsidR="00FA2ACC" w:rsidRPr="00FC38A1" w:rsidRDefault="00A87773" w:rsidP="00A87773">
      <w:pPr>
        <w:jc w:val="both"/>
        <w:rPr>
          <w:rFonts w:ascii="Arial Narrow" w:hAnsi="Arial Narrow"/>
          <w:sz w:val="24"/>
          <w:szCs w:val="24"/>
          <w:lang w:eastAsia="es-ES"/>
        </w:rPr>
      </w:pPr>
      <w:r w:rsidRPr="00FC38A1">
        <w:rPr>
          <w:rFonts w:ascii="Arial Narrow" w:hAnsi="Arial Narrow"/>
          <w:sz w:val="24"/>
          <w:szCs w:val="24"/>
          <w:lang w:eastAsia="es-ES"/>
        </w:rPr>
        <w:t>El 13 de mayo de 2026 Claribel Moreno Castillo, mujer buscadora de su hija Natalia Buitrago Moreno, joven desaparecida en Cartagena el 18 de agosto de 2021</w:t>
      </w:r>
      <w:r w:rsidR="008539CE">
        <w:rPr>
          <w:rFonts w:ascii="Arial Narrow" w:hAnsi="Arial Narrow"/>
          <w:sz w:val="24"/>
          <w:szCs w:val="24"/>
          <w:lang w:eastAsia="es-ES"/>
        </w:rPr>
        <w:t>,</w:t>
      </w:r>
      <w:r w:rsidRPr="00FC38A1">
        <w:rPr>
          <w:rFonts w:ascii="Arial Narrow" w:hAnsi="Arial Narrow"/>
          <w:sz w:val="24"/>
          <w:szCs w:val="24"/>
          <w:lang w:eastAsia="es-ES"/>
        </w:rPr>
        <w:t xml:space="preserve"> fue asesinada en zona rural del municipio de Jamundí, Valle del Cauca. Según informó la Defensoría del Pueblo la víctima “En el marco de esa búsqueda denunció, además, amenazas reiteradas contra ella y su familia, un atentado previo en el que resultó herida una de sus hijas y la necesidad de que otra de sus hijas saliera del país por razones de seguridad”</w:t>
      </w:r>
      <w:r w:rsidRPr="00FC38A1">
        <w:rPr>
          <w:rStyle w:val="FootnoteReference"/>
          <w:rFonts w:ascii="Arial Narrow" w:hAnsi="Arial Narrow"/>
          <w:sz w:val="24"/>
          <w:szCs w:val="24"/>
          <w:lang w:eastAsia="es-ES"/>
        </w:rPr>
        <w:footnoteReference w:id="19"/>
      </w:r>
    </w:p>
    <w:p w14:paraId="364406C6" w14:textId="12E9B091" w:rsidR="00A87773" w:rsidRPr="00FC38A1" w:rsidRDefault="00A87773" w:rsidP="00A87773">
      <w:pPr>
        <w:jc w:val="both"/>
        <w:rPr>
          <w:rFonts w:ascii="Arial Narrow" w:hAnsi="Arial Narrow"/>
          <w:sz w:val="24"/>
          <w:szCs w:val="24"/>
          <w:lang w:val="es-ES" w:eastAsia="es-ES"/>
        </w:rPr>
      </w:pPr>
      <w:r w:rsidRPr="00FC38A1">
        <w:rPr>
          <w:rFonts w:ascii="Arial Narrow" w:hAnsi="Arial Narrow"/>
          <w:sz w:val="24"/>
          <w:szCs w:val="24"/>
          <w:lang w:eastAsia="es-ES"/>
        </w:rPr>
        <w:t xml:space="preserve">De otra parte, el pasado 8 de junio de 2026 en Turbaco (Bolívar) la defensora de derechos humanos, mujer buscadora y directora de la organización “Mujer Sigue mis Pasos” </w:t>
      </w:r>
      <w:proofErr w:type="spellStart"/>
      <w:r w:rsidRPr="00FC38A1">
        <w:rPr>
          <w:rFonts w:ascii="Arial Narrow" w:hAnsi="Arial Narrow"/>
          <w:sz w:val="24"/>
          <w:szCs w:val="24"/>
          <w:lang w:eastAsia="es-ES"/>
        </w:rPr>
        <w:t>Cleiner</w:t>
      </w:r>
      <w:proofErr w:type="spellEnd"/>
      <w:r w:rsidRPr="00FC38A1">
        <w:rPr>
          <w:rFonts w:ascii="Arial Narrow" w:hAnsi="Arial Narrow"/>
          <w:sz w:val="24"/>
          <w:szCs w:val="24"/>
          <w:lang w:eastAsia="es-ES"/>
        </w:rPr>
        <w:t xml:space="preserve"> María Almanza Blanco</w:t>
      </w:r>
      <w:r w:rsidR="00682310" w:rsidRPr="00FC38A1">
        <w:rPr>
          <w:rStyle w:val="FootnoteReference"/>
          <w:rFonts w:ascii="Arial Narrow" w:hAnsi="Arial Narrow"/>
          <w:sz w:val="24"/>
          <w:szCs w:val="24"/>
          <w:lang w:eastAsia="es-ES"/>
        </w:rPr>
        <w:footnoteReference w:id="20"/>
      </w:r>
      <w:r w:rsidR="00682310" w:rsidRPr="00FC38A1">
        <w:rPr>
          <w:rFonts w:ascii="Arial Narrow" w:hAnsi="Arial Narrow"/>
          <w:sz w:val="24"/>
          <w:szCs w:val="24"/>
          <w:lang w:eastAsia="es-ES"/>
        </w:rPr>
        <w:t xml:space="preserve"> e integrante de la Fundación Nydia Erika Bautista para los Derechos Humanos</w:t>
      </w:r>
      <w:r w:rsidRPr="00FC38A1">
        <w:rPr>
          <w:rFonts w:ascii="Arial Narrow" w:hAnsi="Arial Narrow"/>
          <w:sz w:val="24"/>
          <w:szCs w:val="24"/>
          <w:lang w:eastAsia="es-ES"/>
        </w:rPr>
        <w:t xml:space="preserve"> fue víctima de múltiples agresiones en su contra perpetrad</w:t>
      </w:r>
      <w:r w:rsidR="00682310" w:rsidRPr="00FC38A1">
        <w:rPr>
          <w:rFonts w:ascii="Arial Narrow" w:hAnsi="Arial Narrow"/>
          <w:sz w:val="24"/>
          <w:szCs w:val="24"/>
          <w:lang w:eastAsia="es-ES"/>
        </w:rPr>
        <w:t>as</w:t>
      </w:r>
      <w:r w:rsidRPr="00FC38A1">
        <w:rPr>
          <w:rFonts w:ascii="Arial Narrow" w:hAnsi="Arial Narrow"/>
          <w:sz w:val="24"/>
          <w:szCs w:val="24"/>
          <w:lang w:eastAsia="es-ES"/>
        </w:rPr>
        <w:t xml:space="preserve"> por presuntos integrantes del Clan del Golfo.  </w:t>
      </w:r>
      <w:r w:rsidR="00682310" w:rsidRPr="00FC38A1">
        <w:rPr>
          <w:rFonts w:ascii="Arial Narrow" w:hAnsi="Arial Narrow"/>
          <w:sz w:val="24"/>
          <w:szCs w:val="24"/>
          <w:lang w:eastAsia="es-ES"/>
        </w:rPr>
        <w:t xml:space="preserve">Cleiner y su familia venían siendo víctima de amenazas y extorsiones por parte de dicho Grupo Armado Organizado, incluso una de sus hijas el año pasado ya había sido atacada por miembros de dicha agrupación. El ataque se realizó pese a que la víctima había interpuesto varias denuncias en la Fiscalía General de la Nación y que contaba con medidas de protección individual de la Unidad Nacional de Protección -UNP. </w:t>
      </w:r>
    </w:p>
    <w:p w14:paraId="6DDDFBA5" w14:textId="65F33D0E" w:rsidR="00FA2ACC" w:rsidRDefault="00934A24" w:rsidP="00934A24">
      <w:pPr>
        <w:jc w:val="both"/>
        <w:rPr>
          <w:rFonts w:ascii="Arial Narrow" w:hAnsi="Arial Narrow"/>
          <w:sz w:val="24"/>
          <w:szCs w:val="24"/>
        </w:rPr>
      </w:pPr>
      <w:r w:rsidRPr="00FC38A1">
        <w:rPr>
          <w:rFonts w:ascii="Arial Narrow" w:hAnsi="Arial Narrow"/>
          <w:sz w:val="24"/>
          <w:szCs w:val="24"/>
          <w:lang w:val="es-ES" w:eastAsia="es-ES"/>
        </w:rPr>
        <w:t>Asimismo,</w:t>
      </w:r>
      <w:r w:rsidR="00143C62" w:rsidRPr="00FC38A1">
        <w:rPr>
          <w:rFonts w:ascii="Arial Narrow" w:hAnsi="Arial Narrow"/>
          <w:sz w:val="24"/>
          <w:szCs w:val="24"/>
          <w:lang w:val="es-ES" w:eastAsia="es-ES"/>
        </w:rPr>
        <w:t xml:space="preserve"> la FUNEB ha venido documentando otros casos de amenazas en contra de mujeres buscadoras, tales como el de la señora </w:t>
      </w:r>
      <w:r w:rsidRPr="00FC38A1">
        <w:rPr>
          <w:rFonts w:ascii="Arial Narrow" w:hAnsi="Arial Narrow"/>
          <w:sz w:val="24"/>
          <w:szCs w:val="24"/>
          <w:lang w:val="es-ES" w:eastAsia="es-ES"/>
        </w:rPr>
        <w:t>Lina María Gómez Castrillón (mujer buscadora de su hijo Nicolás Aristizábal Gómez)</w:t>
      </w:r>
      <w:r w:rsidRPr="00FC38A1">
        <w:rPr>
          <w:rStyle w:val="FootnoteReference"/>
          <w:rFonts w:ascii="Arial Narrow" w:hAnsi="Arial Narrow"/>
          <w:sz w:val="24"/>
          <w:szCs w:val="24"/>
          <w:lang w:val="es-ES" w:eastAsia="es-ES"/>
        </w:rPr>
        <w:footnoteReference w:id="21"/>
      </w:r>
      <w:r w:rsidRPr="00FC38A1">
        <w:rPr>
          <w:rFonts w:ascii="Arial Narrow" w:hAnsi="Arial Narrow"/>
          <w:sz w:val="24"/>
          <w:szCs w:val="24"/>
          <w:lang w:val="es-ES" w:eastAsia="es-ES"/>
        </w:rPr>
        <w:t xml:space="preserve">; el de la señora </w:t>
      </w:r>
      <w:r w:rsidRPr="00FC38A1">
        <w:rPr>
          <w:rFonts w:ascii="Arial Narrow" w:hAnsi="Arial Narrow"/>
          <w:bCs/>
          <w:sz w:val="24"/>
          <w:szCs w:val="24"/>
        </w:rPr>
        <w:t>Gloria Nancy Gutiérrez Sánchez (mujer buscadora de su hijo</w:t>
      </w:r>
      <w:r w:rsidRPr="00FC38A1">
        <w:rPr>
          <w:rFonts w:ascii="Arial Narrow" w:hAnsi="Arial Narrow"/>
          <w:b/>
          <w:sz w:val="24"/>
          <w:szCs w:val="24"/>
        </w:rPr>
        <w:t xml:space="preserve"> </w:t>
      </w:r>
      <w:r w:rsidRPr="00FC38A1">
        <w:rPr>
          <w:rFonts w:ascii="Arial Narrow" w:hAnsi="Arial Narrow"/>
          <w:sz w:val="24"/>
          <w:szCs w:val="24"/>
        </w:rPr>
        <w:t>Juan Camilo Castaño Gutiérrez)</w:t>
      </w:r>
      <w:r w:rsidRPr="00FC38A1">
        <w:rPr>
          <w:rStyle w:val="FootnoteReference"/>
          <w:rFonts w:ascii="Arial Narrow" w:hAnsi="Arial Narrow"/>
          <w:sz w:val="24"/>
          <w:szCs w:val="24"/>
        </w:rPr>
        <w:footnoteReference w:id="22"/>
      </w:r>
      <w:r w:rsidR="008539CE">
        <w:rPr>
          <w:rFonts w:ascii="Arial Narrow" w:hAnsi="Arial Narrow"/>
          <w:sz w:val="24"/>
          <w:szCs w:val="24"/>
        </w:rPr>
        <w:t xml:space="preserve">; y el de la señora </w:t>
      </w:r>
      <w:r w:rsidR="008539CE" w:rsidRPr="008539CE">
        <w:rPr>
          <w:rFonts w:ascii="Arial Narrow" w:hAnsi="Arial Narrow"/>
          <w:sz w:val="24"/>
          <w:szCs w:val="24"/>
        </w:rPr>
        <w:t>MIRTA MIREYA CUBILLOS POVEDA</w:t>
      </w:r>
      <w:r w:rsidR="008539CE">
        <w:rPr>
          <w:rStyle w:val="FootnoteReference"/>
          <w:rFonts w:ascii="Arial Narrow" w:hAnsi="Arial Narrow"/>
          <w:sz w:val="24"/>
          <w:szCs w:val="24"/>
        </w:rPr>
        <w:footnoteReference w:id="23"/>
      </w:r>
      <w:r w:rsidR="008539CE">
        <w:rPr>
          <w:rFonts w:ascii="Arial Narrow" w:hAnsi="Arial Narrow"/>
          <w:sz w:val="24"/>
          <w:szCs w:val="24"/>
        </w:rPr>
        <w:t xml:space="preserve"> (mujer </w:t>
      </w:r>
      <w:r w:rsidR="008539CE">
        <w:rPr>
          <w:rFonts w:ascii="Arial Narrow" w:hAnsi="Arial Narrow"/>
          <w:sz w:val="24"/>
          <w:szCs w:val="24"/>
        </w:rPr>
        <w:lastRenderedPageBreak/>
        <w:t xml:space="preserve">buscadora </w:t>
      </w:r>
      <w:r w:rsidR="008539CE" w:rsidRPr="008539CE">
        <w:rPr>
          <w:rFonts w:ascii="Arial Narrow" w:hAnsi="Arial Narrow"/>
          <w:sz w:val="24"/>
          <w:szCs w:val="24"/>
        </w:rPr>
        <w:t>BRAYAN ANDRÉS MÉNDEZ CUBILLOS</w:t>
      </w:r>
      <w:r w:rsidR="008539CE">
        <w:rPr>
          <w:rStyle w:val="FootnoteReference"/>
          <w:rFonts w:ascii="Arial Narrow" w:hAnsi="Arial Narrow"/>
          <w:sz w:val="24"/>
          <w:szCs w:val="24"/>
        </w:rPr>
        <w:footnoteReference w:id="24"/>
      </w:r>
      <w:r w:rsidR="008539CE">
        <w:rPr>
          <w:rFonts w:ascii="Arial Narrow" w:hAnsi="Arial Narrow"/>
          <w:sz w:val="24"/>
          <w:szCs w:val="24"/>
        </w:rPr>
        <w:t>), quien salió exiliada del país con su hijo menor de edad en razón a los seguimientos y amenazas.</w:t>
      </w:r>
    </w:p>
    <w:p w14:paraId="65EB67B9" w14:textId="77777777" w:rsidR="00C37796" w:rsidRDefault="00C37796" w:rsidP="00934A24">
      <w:pPr>
        <w:jc w:val="both"/>
        <w:rPr>
          <w:rFonts w:ascii="Arial Narrow" w:hAnsi="Arial Narrow"/>
          <w:sz w:val="24"/>
          <w:szCs w:val="24"/>
        </w:rPr>
      </w:pPr>
    </w:p>
    <w:p w14:paraId="2C11DAC7" w14:textId="77777777" w:rsidR="00C37796" w:rsidRPr="00FC38A1" w:rsidRDefault="00C37796" w:rsidP="00934A24">
      <w:pPr>
        <w:jc w:val="both"/>
        <w:rPr>
          <w:rFonts w:ascii="Arial Narrow" w:hAnsi="Arial Narrow"/>
          <w:sz w:val="24"/>
          <w:szCs w:val="24"/>
        </w:rPr>
      </w:pPr>
    </w:p>
    <w:p w14:paraId="5036B193" w14:textId="1B2E9379" w:rsidR="00494C72" w:rsidRPr="005B4661" w:rsidRDefault="00494C72" w:rsidP="005B4661">
      <w:pPr>
        <w:pStyle w:val="ListParagraph"/>
        <w:numPr>
          <w:ilvl w:val="0"/>
          <w:numId w:val="3"/>
        </w:numPr>
        <w:jc w:val="both"/>
        <w:rPr>
          <w:rFonts w:ascii="Arial Narrow" w:hAnsi="Arial Narrow"/>
          <w:b/>
          <w:bCs/>
          <w:sz w:val="24"/>
          <w:szCs w:val="24"/>
        </w:rPr>
      </w:pPr>
      <w:r w:rsidRPr="005B4661">
        <w:rPr>
          <w:rFonts w:ascii="Arial Narrow" w:hAnsi="Arial Narrow"/>
          <w:b/>
          <w:bCs/>
          <w:sz w:val="24"/>
          <w:szCs w:val="24"/>
        </w:rPr>
        <w:t>Reparación y lucha contra la impunidad</w:t>
      </w:r>
    </w:p>
    <w:p w14:paraId="10D0FAA9" w14:textId="631B800B" w:rsidR="00494C72" w:rsidRPr="00FC38A1" w:rsidRDefault="00194801" w:rsidP="00934A24">
      <w:pPr>
        <w:jc w:val="both"/>
        <w:rPr>
          <w:rFonts w:ascii="Arial Narrow" w:hAnsi="Arial Narrow"/>
          <w:sz w:val="24"/>
          <w:szCs w:val="24"/>
        </w:rPr>
      </w:pPr>
      <w:r w:rsidRPr="00FC38A1">
        <w:rPr>
          <w:rFonts w:ascii="Arial Narrow" w:hAnsi="Arial Narrow"/>
          <w:sz w:val="24"/>
          <w:szCs w:val="24"/>
        </w:rPr>
        <w:t>Si bien el artículo 3° del Acto Legislativo 01 de 2017 señala que “Tanto los criterios de priorización como los de selección son inherentes a los instrumentos de justicia transicional”; y que dicha facultad de selección y priorización de casos fue desarrollada para la JEP en el artículo 19 de la ley Estatutaria 1957 de 2019. A la fecha existe enorme incertidumbre por parte de las víctimas y sus organizaciones sobre el tratamiento jurídico a los casos No Seleccionados y a los Casos Seleccionado y No Priorizados, particularmente en los casos de desaparición forzada.</w:t>
      </w:r>
      <w:r w:rsidR="003525A0" w:rsidRPr="00FC38A1">
        <w:rPr>
          <w:rFonts w:ascii="Arial Narrow" w:hAnsi="Arial Narrow"/>
          <w:sz w:val="24"/>
          <w:szCs w:val="24"/>
        </w:rPr>
        <w:t xml:space="preserve"> Y si en todos estos casos habrá renuncia a la persecución penal de los integrantes de la fuerza pública, agentes estatales no integrantes de la fuerza pública y terceros civiles sometidos a la JEP.</w:t>
      </w:r>
    </w:p>
    <w:p w14:paraId="52B44C4B" w14:textId="4E9A9516" w:rsidR="00194801" w:rsidRPr="00FC38A1" w:rsidRDefault="00194801" w:rsidP="00194801">
      <w:pPr>
        <w:jc w:val="both"/>
        <w:rPr>
          <w:rFonts w:ascii="Arial Narrow" w:hAnsi="Arial Narrow"/>
          <w:sz w:val="24"/>
          <w:szCs w:val="24"/>
        </w:rPr>
      </w:pPr>
      <w:r w:rsidRPr="00FC38A1">
        <w:rPr>
          <w:rFonts w:ascii="Arial Narrow" w:hAnsi="Arial Narrow"/>
          <w:sz w:val="24"/>
          <w:szCs w:val="24"/>
        </w:rPr>
        <w:t xml:space="preserve">Es así que en el Macrocaso 08 que adelanta la SRVR de la JEP “Crímenes cometidos por la fuerza pública, agentes del Estado en asociación con grupos paramilitares, o terceros civiles en el conflicto armado”, preocupa que regiones como Putumayo y Casanare con un elevado número de casos de desaparición forzada cometidos por grupos paramilitares en connivencia con la fuerza pública no fueron priorizadas; y que en otras regiones como Montes de María solamente se están seleccionando y priorizando casos de las masacres ocurridas en el año 1999 y 2000, lo cual deja por fuera un sinnúmero de casos de desaparición forzada ocurridos en los picos de la violencia paramilitar en la región entre los años 1996 a 2005. </w:t>
      </w:r>
    </w:p>
    <w:p w14:paraId="73B321B4" w14:textId="4D2E6A50" w:rsidR="00934A24" w:rsidRPr="00FC38A1" w:rsidRDefault="00194801" w:rsidP="00934A24">
      <w:pPr>
        <w:jc w:val="both"/>
        <w:rPr>
          <w:rFonts w:ascii="Arial Narrow" w:hAnsi="Arial Narrow"/>
          <w:sz w:val="24"/>
          <w:szCs w:val="24"/>
        </w:rPr>
      </w:pPr>
      <w:r w:rsidRPr="00FC38A1">
        <w:rPr>
          <w:rFonts w:ascii="Arial Narrow" w:hAnsi="Arial Narrow"/>
          <w:sz w:val="24"/>
          <w:szCs w:val="24"/>
        </w:rPr>
        <w:t>En el Macrocaso 06 de “Genocidio contra el partido político Unión Patriótica” si bien se priorizaron varias regiones como el Ariari-Guayabero, Magdalena Medio, Urabá, Cundinamarca-Sumapaz y Tolima.</w:t>
      </w:r>
      <w:r w:rsidR="003525A0" w:rsidRPr="00FC38A1">
        <w:rPr>
          <w:rFonts w:ascii="Arial Narrow" w:hAnsi="Arial Narrow"/>
          <w:sz w:val="24"/>
          <w:szCs w:val="24"/>
        </w:rPr>
        <w:t xml:space="preserve"> Únicamente se ha emitido un Auto de Determinación de Hechos y Conductas para la región del Urabá (año 1996), sin que exista claridad sobre la selección y priorización de casos de las otras regiones. Situación que se agrava teniendo en cuenta que conforme al artículo 15 transitorio del acto legislativo 01 de 2017 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totalidad de salas y secciones de la JEP; por lo cual Unidad de Investigación y Acusación solamente recibirá comparecientes para una eventual acusación hasta el 31 de diciembre de 2026</w:t>
      </w:r>
      <w:r w:rsidR="003525A0" w:rsidRPr="00FC38A1">
        <w:rPr>
          <w:rStyle w:val="FootnoteReference"/>
          <w:rFonts w:ascii="Arial Narrow" w:hAnsi="Arial Narrow"/>
          <w:sz w:val="24"/>
          <w:szCs w:val="24"/>
        </w:rPr>
        <w:footnoteReference w:id="25"/>
      </w:r>
      <w:r w:rsidR="003525A0" w:rsidRPr="00FC38A1">
        <w:rPr>
          <w:rFonts w:ascii="Arial Narrow" w:hAnsi="Arial Narrow"/>
          <w:sz w:val="24"/>
          <w:szCs w:val="24"/>
        </w:rPr>
        <w:t>, esto es, quedan menos de seis meses.</w:t>
      </w:r>
    </w:p>
    <w:p w14:paraId="62FDD124" w14:textId="0D9F74CF" w:rsidR="003525A0" w:rsidRPr="00FC38A1" w:rsidRDefault="003525A0" w:rsidP="00934A24">
      <w:pPr>
        <w:jc w:val="both"/>
        <w:rPr>
          <w:rFonts w:ascii="Arial Narrow" w:hAnsi="Arial Narrow"/>
          <w:sz w:val="24"/>
          <w:szCs w:val="24"/>
        </w:rPr>
      </w:pPr>
      <w:r w:rsidRPr="00FC38A1">
        <w:rPr>
          <w:rFonts w:ascii="Arial Narrow" w:hAnsi="Arial Narrow"/>
          <w:sz w:val="24"/>
          <w:szCs w:val="24"/>
        </w:rPr>
        <w:t>Lo anterior genera seria preocupación que los casos de desaparición forzada que no fueron objeto de selección y priorización queden en la impunidad</w:t>
      </w:r>
      <w:r w:rsidR="00D078B6" w:rsidRPr="00FC38A1">
        <w:rPr>
          <w:rFonts w:ascii="Arial Narrow" w:hAnsi="Arial Narrow"/>
          <w:sz w:val="24"/>
          <w:szCs w:val="24"/>
        </w:rPr>
        <w:t>, y si seguirían siendo objeto de investigación en la justicia ordinaria (respecto a presuntos responsables que no son competencia de la JEP), y en esa medida cual seria la articulación entre la JEP y la Fiscalía General de la Nación respecto de dichos casos.</w:t>
      </w:r>
    </w:p>
    <w:p w14:paraId="6E204B2A" w14:textId="1384F6E6" w:rsidR="00D078B6" w:rsidRPr="005B4661" w:rsidRDefault="005B4661" w:rsidP="005B4661">
      <w:pPr>
        <w:pStyle w:val="ListParagraph"/>
        <w:numPr>
          <w:ilvl w:val="0"/>
          <w:numId w:val="3"/>
        </w:numPr>
        <w:jc w:val="both"/>
        <w:rPr>
          <w:rFonts w:ascii="Arial Narrow" w:hAnsi="Arial Narrow"/>
          <w:b/>
          <w:bCs/>
          <w:sz w:val="24"/>
          <w:szCs w:val="24"/>
        </w:rPr>
      </w:pPr>
      <w:r w:rsidRPr="005B4661">
        <w:rPr>
          <w:rFonts w:ascii="Arial Narrow" w:hAnsi="Arial Narrow"/>
          <w:sz w:val="24"/>
          <w:szCs w:val="24"/>
        </w:rPr>
        <w:t xml:space="preserve"> </w:t>
      </w:r>
      <w:r w:rsidR="00D078B6" w:rsidRPr="005B4661">
        <w:rPr>
          <w:rFonts w:ascii="Arial Narrow" w:hAnsi="Arial Narrow"/>
          <w:b/>
          <w:bCs/>
          <w:sz w:val="24"/>
          <w:szCs w:val="24"/>
        </w:rPr>
        <w:t>Seguimiento a las acciones urgentes del CED</w:t>
      </w:r>
    </w:p>
    <w:p w14:paraId="61B8C223" w14:textId="05843913" w:rsidR="00D078B6" w:rsidRPr="00FC38A1" w:rsidRDefault="00D078B6" w:rsidP="00D078B6">
      <w:pPr>
        <w:spacing w:line="240" w:lineRule="auto"/>
        <w:jc w:val="both"/>
        <w:rPr>
          <w:rFonts w:ascii="Arial Narrow" w:eastAsia="Times New Roman" w:hAnsi="Arial Narrow" w:cs="Times New Roman"/>
          <w:sz w:val="24"/>
          <w:szCs w:val="24"/>
        </w:rPr>
      </w:pPr>
      <w:r w:rsidRPr="00FC38A1">
        <w:rPr>
          <w:rFonts w:ascii="Arial Narrow" w:eastAsia="Times New Roman" w:hAnsi="Arial Narrow" w:cs="Times New Roman"/>
          <w:sz w:val="24"/>
          <w:szCs w:val="24"/>
        </w:rPr>
        <w:t xml:space="preserve">A la fecha el Estado Colombiano carece de un mecanismo de seguimiento específico frente a las recomendaciones del CED, quedando simplemente en la solicitud de oficios a entidades, y la recopilación de las respuestas en un solo escrito. La ausencia de un mecanismo de seguimiento </w:t>
      </w:r>
      <w:r w:rsidRPr="00FC38A1">
        <w:rPr>
          <w:rFonts w:ascii="Arial Narrow" w:eastAsia="Times New Roman" w:hAnsi="Arial Narrow" w:cs="Times New Roman"/>
          <w:sz w:val="24"/>
          <w:szCs w:val="24"/>
        </w:rPr>
        <w:lastRenderedPageBreak/>
        <w:t xml:space="preserve">idóneo y efectivo de las recomendaciones del CED vulnera la obligación del Pacta Sunt </w:t>
      </w:r>
      <w:proofErr w:type="spellStart"/>
      <w:r w:rsidRPr="00FC38A1">
        <w:rPr>
          <w:rFonts w:ascii="Arial Narrow" w:eastAsia="Times New Roman" w:hAnsi="Arial Narrow" w:cs="Times New Roman"/>
          <w:sz w:val="24"/>
          <w:szCs w:val="24"/>
        </w:rPr>
        <w:t>Servanda</w:t>
      </w:r>
      <w:proofErr w:type="spellEnd"/>
      <w:r w:rsidRPr="00FC38A1">
        <w:rPr>
          <w:rFonts w:ascii="Arial Narrow" w:eastAsia="Times New Roman" w:hAnsi="Arial Narrow" w:cs="Times New Roman"/>
          <w:sz w:val="24"/>
          <w:szCs w:val="24"/>
        </w:rPr>
        <w:t xml:space="preserve"> por parte del Estado Colombiano frente al artículo 30 de la Convención Internacional para la Protección de Todas las Personas contra las Desapariciones Forzadas, pues no se estaría cumpliendo la obligación contraída en virtud de dicho artículo -acciones urgentes- de buena fe.</w:t>
      </w:r>
    </w:p>
    <w:p w14:paraId="4BECBB37" w14:textId="0FA2DB74" w:rsidR="00D078B6" w:rsidRPr="00FC38A1" w:rsidRDefault="00D078B6" w:rsidP="00D078B6">
      <w:pPr>
        <w:spacing w:line="240" w:lineRule="auto"/>
        <w:jc w:val="both"/>
        <w:rPr>
          <w:rFonts w:ascii="Arial Narrow" w:eastAsia="Times New Roman" w:hAnsi="Arial Narrow" w:cs="Times New Roman"/>
          <w:sz w:val="24"/>
          <w:szCs w:val="24"/>
        </w:rPr>
      </w:pPr>
      <w:r w:rsidRPr="00FC38A1">
        <w:rPr>
          <w:rFonts w:ascii="Arial Narrow" w:eastAsia="Times New Roman" w:hAnsi="Arial Narrow" w:cs="Times New Roman"/>
          <w:sz w:val="24"/>
          <w:szCs w:val="24"/>
        </w:rPr>
        <w:t xml:space="preserve">Por ejemplo, en las once (11) acciones urgentes </w:t>
      </w:r>
      <w:r w:rsidRPr="00FC38A1">
        <w:rPr>
          <w:rFonts w:ascii="Arial Narrow" w:eastAsia="Times New Roman" w:hAnsi="Arial Narrow" w:cs="Times New Roman"/>
          <w:sz w:val="24"/>
          <w:szCs w:val="24"/>
          <w:lang w:val="es-ES"/>
        </w:rPr>
        <w:t>activadas por el CED por solicitud de la FUNEB</w:t>
      </w:r>
      <w:r w:rsidR="00C63742" w:rsidRPr="00FC38A1">
        <w:rPr>
          <w:rStyle w:val="FootnoteReference"/>
          <w:rFonts w:ascii="Arial Narrow" w:eastAsia="Times New Roman" w:hAnsi="Arial Narrow" w:cs="Times New Roman"/>
          <w:sz w:val="24"/>
          <w:szCs w:val="24"/>
          <w:lang w:val="es-ES"/>
        </w:rPr>
        <w:footnoteReference w:id="26"/>
      </w:r>
      <w:r w:rsidRPr="00FC38A1">
        <w:rPr>
          <w:rFonts w:ascii="Arial Narrow" w:eastAsia="Times New Roman" w:hAnsi="Arial Narrow" w:cs="Times New Roman"/>
          <w:sz w:val="24"/>
          <w:szCs w:val="24"/>
          <w:lang w:val="es-ES"/>
        </w:rPr>
        <w:t>, correspondientes a casos de desaparición forzada ocurridos entre 2019 y 2025 en siete regiones del país, en las cuales se pidió que se requiera al Estado colombiano para que adopte medidas inmediatas para la búsqueda y localización de las personas desaparecidas, la protección de sus familiares, en particular de las mujeres buscadoras solicitantes</w:t>
      </w:r>
      <w:r w:rsidRPr="00FC38A1">
        <w:rPr>
          <w:rFonts w:ascii="Arial Narrow" w:eastAsia="Times New Roman" w:hAnsi="Arial Narrow" w:cs="Times New Roman"/>
          <w:sz w:val="24"/>
          <w:szCs w:val="24"/>
        </w:rPr>
        <w:t xml:space="preserve">. Y pese a que el CED </w:t>
      </w:r>
      <w:r w:rsidRPr="00FC38A1">
        <w:rPr>
          <w:rFonts w:ascii="Arial Narrow" w:eastAsia="Times New Roman" w:hAnsi="Arial Narrow" w:cs="Times New Roman"/>
          <w:sz w:val="24"/>
          <w:szCs w:val="24"/>
          <w:lang w:val="es-ES"/>
        </w:rPr>
        <w:t>luego de realizar el estudio de los casos de desaparición forzada puestos en su conocimiento, y trasladar al Estado colombiano un conjunto de recomendaciones orientadas a garantizar la búsqueda y localización de las víctimas</w:t>
      </w:r>
      <w:r w:rsidR="00C63742" w:rsidRPr="00FC38A1">
        <w:rPr>
          <w:rStyle w:val="FootnoteReference"/>
          <w:rFonts w:ascii="Arial Narrow" w:eastAsia="Times New Roman" w:hAnsi="Arial Narrow" w:cs="Times New Roman"/>
          <w:sz w:val="24"/>
          <w:szCs w:val="24"/>
          <w:lang w:val="es-ES"/>
        </w:rPr>
        <w:footnoteReference w:id="27"/>
      </w:r>
      <w:r w:rsidRPr="00FC38A1">
        <w:rPr>
          <w:rFonts w:ascii="Arial Narrow" w:eastAsia="Times New Roman" w:hAnsi="Arial Narrow" w:cs="Times New Roman"/>
          <w:sz w:val="24"/>
          <w:szCs w:val="24"/>
          <w:lang w:val="es-ES"/>
        </w:rPr>
        <w:t>.</w:t>
      </w:r>
      <w:r w:rsidR="00C63742" w:rsidRPr="00FC38A1">
        <w:rPr>
          <w:rFonts w:ascii="Arial Narrow" w:eastAsia="Times New Roman" w:hAnsi="Arial Narrow" w:cs="Times New Roman"/>
          <w:sz w:val="24"/>
          <w:szCs w:val="24"/>
          <w:lang w:val="es-ES"/>
        </w:rPr>
        <w:t>; y de r</w:t>
      </w:r>
      <w:r w:rsidRPr="00FC38A1">
        <w:rPr>
          <w:rFonts w:ascii="Arial Narrow" w:eastAsia="Times New Roman" w:hAnsi="Arial Narrow" w:cs="Times New Roman"/>
          <w:sz w:val="24"/>
          <w:szCs w:val="24"/>
          <w:lang w:val="es-ES"/>
        </w:rPr>
        <w:t>equeri</w:t>
      </w:r>
      <w:r w:rsidR="00C63742" w:rsidRPr="00FC38A1">
        <w:rPr>
          <w:rFonts w:ascii="Arial Narrow" w:eastAsia="Times New Roman" w:hAnsi="Arial Narrow" w:cs="Times New Roman"/>
          <w:sz w:val="24"/>
          <w:szCs w:val="24"/>
          <w:lang w:val="es-ES"/>
        </w:rPr>
        <w:t>r</w:t>
      </w:r>
      <w:r w:rsidRPr="00FC38A1">
        <w:rPr>
          <w:rFonts w:ascii="Arial Narrow" w:eastAsia="Times New Roman" w:hAnsi="Arial Narrow" w:cs="Times New Roman"/>
          <w:sz w:val="24"/>
          <w:szCs w:val="24"/>
          <w:lang w:val="es-ES"/>
        </w:rPr>
        <w:t xml:space="preserve"> al Estado colombiano la adopción e implementación de medidas cautelares de protección en favor de las mujeres buscadoras, atendiendo a los riesgos y afectaciones derivados de su labor de búsqueda</w:t>
      </w:r>
      <w:r w:rsidR="00C63742" w:rsidRPr="00FC38A1">
        <w:rPr>
          <w:rFonts w:ascii="Arial Narrow" w:eastAsia="Times New Roman" w:hAnsi="Arial Narrow" w:cs="Times New Roman"/>
          <w:sz w:val="24"/>
          <w:szCs w:val="24"/>
          <w:lang w:val="es-ES"/>
        </w:rPr>
        <w:t xml:space="preserve">. Muchas de dichas recomendaciones -particularmente en materia de búsqueda e investigación- siguen sin ser atendidas, sin que se </w:t>
      </w:r>
      <w:r w:rsidR="00C63742" w:rsidRPr="00FC38A1">
        <w:rPr>
          <w:rFonts w:ascii="Arial Narrow" w:eastAsia="Times New Roman" w:hAnsi="Arial Narrow" w:cs="Times New Roman"/>
          <w:sz w:val="24"/>
          <w:szCs w:val="24"/>
        </w:rPr>
        <w:t>indique por parte del Estado cuáles acoge y cuál no acoge o el grado de avance con razones claras y objetivas que puedan ser contrastadas por los beneficiarios. Situación que obedece, entre otros, a la falta del mecanismo de seguimiento antes referido.</w:t>
      </w:r>
    </w:p>
    <w:p w14:paraId="27E30969" w14:textId="5D9E1351" w:rsidR="00D078B6" w:rsidRPr="00FC38A1" w:rsidRDefault="00FC38A1" w:rsidP="00934A24">
      <w:pPr>
        <w:jc w:val="both"/>
        <w:rPr>
          <w:rFonts w:ascii="Arial Narrow" w:hAnsi="Arial Narrow"/>
          <w:sz w:val="24"/>
          <w:szCs w:val="24"/>
        </w:rPr>
      </w:pPr>
      <w:r w:rsidRPr="00FC38A1">
        <w:rPr>
          <w:rFonts w:ascii="Arial Narrow" w:hAnsi="Arial Narrow"/>
          <w:sz w:val="24"/>
          <w:szCs w:val="24"/>
        </w:rPr>
        <w:t>Si bien la JEP, mediante el Auto SAR AT 334 del 13 de abril de dos 2026, dispuso “ORDENAR a la Secretaría Judicial de la SAR que remita al Sistema Nacional de Búsqueda (SNB) la petición presentada por la Fundación Nydia Erika Bautista, para que estudie la viabilidad técnica de diseñar un mecanismo que permita integrar las acciones urgentes del CED dentro de las dinámicas institucionales existentes, garantizando su trazabilidad y seguimiento”. Se desconoce los resultados del cumplimiento de dicha orden; y particularmente, se duda de la capacidad del Sistema Nacional de Búsqueda (SNB) para hacer seguimiento a las acciones urgentes del CED, cuando dicho Sistema está enfocado principalmente en las desapariciones ocurridas en el contexto y en razón del conflicto armado antes del 1 de diciembre de 2016 (fecha de entrada en vigencia del Acuerdo Final para la Terminación del Conflicto Armado y Construcción de una Paz Estable y Duradera), tanto que el SNB es liderado por la Unidad de Búsqueda de Personas dadas por desaparecidas en el contexto y en razón del conflicto armado en coordinación con el Ministerio de Justicia y el Derecho, mecanismo del Sistema Integral para la Paz, que no tiene competencia para conocer de los casos de desaparición forzada ocurridos luego del 1 de diciembre de 2016</w:t>
      </w:r>
      <w:r w:rsidR="00AB6F42">
        <w:rPr>
          <w:rFonts w:ascii="Arial Narrow" w:hAnsi="Arial Narrow"/>
          <w:sz w:val="24"/>
          <w:szCs w:val="24"/>
        </w:rPr>
        <w:t xml:space="preserve"> o que no se dan en el contexto del conflicto armado (como los atribuid</w:t>
      </w:r>
      <w:r w:rsidR="00442237">
        <w:rPr>
          <w:rFonts w:ascii="Arial Narrow" w:hAnsi="Arial Narrow"/>
          <w:sz w:val="24"/>
          <w:szCs w:val="24"/>
        </w:rPr>
        <w:t>a</w:t>
      </w:r>
      <w:r w:rsidR="00AB6F42">
        <w:rPr>
          <w:rFonts w:ascii="Arial Narrow" w:hAnsi="Arial Narrow"/>
          <w:sz w:val="24"/>
          <w:szCs w:val="24"/>
        </w:rPr>
        <w:t>s a grupos de delincuencia organizada)</w:t>
      </w:r>
      <w:r w:rsidRPr="00FC38A1">
        <w:rPr>
          <w:rFonts w:ascii="Arial Narrow" w:hAnsi="Arial Narrow"/>
          <w:sz w:val="24"/>
          <w:szCs w:val="24"/>
        </w:rPr>
        <w:t>, que son la mayor cantidad de acciones urgentes conocidos por el Comité.</w:t>
      </w:r>
    </w:p>
    <w:p w14:paraId="767A4ED0" w14:textId="77777777" w:rsidR="003525A0" w:rsidRPr="00FC38A1" w:rsidRDefault="003525A0" w:rsidP="00934A24">
      <w:pPr>
        <w:jc w:val="both"/>
        <w:rPr>
          <w:rFonts w:ascii="Arial Narrow" w:hAnsi="Arial Narrow"/>
          <w:sz w:val="24"/>
          <w:szCs w:val="24"/>
        </w:rPr>
      </w:pPr>
    </w:p>
    <w:p w14:paraId="2783C473" w14:textId="77777777" w:rsidR="00391F6B" w:rsidRPr="00FC38A1" w:rsidRDefault="00391F6B" w:rsidP="00ED6FCB">
      <w:pPr>
        <w:jc w:val="both"/>
        <w:rPr>
          <w:rFonts w:ascii="Arial Narrow" w:hAnsi="Arial Narrow"/>
          <w:sz w:val="24"/>
          <w:szCs w:val="24"/>
        </w:rPr>
      </w:pPr>
    </w:p>
    <w:sectPr w:rsidR="00391F6B" w:rsidRPr="00FC38A1" w:rsidSect="00ED6FCB">
      <w:headerReference w:type="default" r:id="rId8"/>
      <w:footerReference w:type="default" r:id="rId9"/>
      <w:pgSz w:w="12240" w:h="20160" w:code="5"/>
      <w:pgMar w:top="1417" w:right="1701" w:bottom="1417" w:left="1701" w:header="18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C4F3F" w14:textId="77777777" w:rsidR="007A2062" w:rsidRDefault="007A2062" w:rsidP="00ED6FCB">
      <w:pPr>
        <w:spacing w:after="0" w:line="240" w:lineRule="auto"/>
      </w:pPr>
      <w:r>
        <w:separator/>
      </w:r>
    </w:p>
  </w:endnote>
  <w:endnote w:type="continuationSeparator" w:id="0">
    <w:p w14:paraId="17C4C3CC" w14:textId="77777777" w:rsidR="007A2062" w:rsidRDefault="007A2062" w:rsidP="00ED6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57D46" w14:textId="77777777" w:rsidR="00AB081C" w:rsidRPr="00820A63" w:rsidRDefault="007A2062" w:rsidP="00650AED">
    <w:pPr>
      <w:jc w:val="both"/>
      <w:rPr>
        <w:b/>
        <w:i/>
        <w:noProof/>
        <w:color w:val="3366FF"/>
        <w:sz w:val="20"/>
        <w:szCs w:val="20"/>
      </w:rPr>
    </w:pPr>
    <w:r w:rsidRPr="00820A63">
      <w:rPr>
        <w:b/>
        <w:i/>
        <w:noProof/>
        <w:color w:val="3366FF"/>
        <w:sz w:val="20"/>
        <w:szCs w:val="20"/>
      </w:rPr>
      <w:t>Miembro de la Alianza de Organizaciones Sociales y Afines, de la Mesa de Víctimas de Organizaciones Sociales y de la Mesa Interinstitucional de Apoyo Psicosocial a Víctimas de Desaparición Forzada</w:t>
    </w:r>
  </w:p>
  <w:p w14:paraId="6923A9B7" w14:textId="77777777" w:rsidR="00AB081C" w:rsidRDefault="00AB0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53E6" w14:textId="77777777" w:rsidR="007A2062" w:rsidRDefault="007A2062" w:rsidP="00ED6FCB">
      <w:pPr>
        <w:spacing w:after="0" w:line="240" w:lineRule="auto"/>
      </w:pPr>
      <w:r>
        <w:separator/>
      </w:r>
    </w:p>
  </w:footnote>
  <w:footnote w:type="continuationSeparator" w:id="0">
    <w:p w14:paraId="09FEBCF0" w14:textId="77777777" w:rsidR="007A2062" w:rsidRDefault="007A2062" w:rsidP="00ED6FCB">
      <w:pPr>
        <w:spacing w:after="0" w:line="240" w:lineRule="auto"/>
      </w:pPr>
      <w:r>
        <w:continuationSeparator/>
      </w:r>
    </w:p>
  </w:footnote>
  <w:footnote w:id="1">
    <w:p w14:paraId="4DAEC4DE"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Conforme a la definición contenida en el artículo 165 de la Ley 599 de 2000 y los artículos 2° y 3° de la Convención Internacional para la Protección de Todas las Personas contra las desapariciones forzadas</w:t>
      </w:r>
    </w:p>
  </w:footnote>
  <w:footnote w:id="2">
    <w:p w14:paraId="44C35423"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Debido a la falta de información y avances investigativos en dichos casos no ha sido posible determinar si son desapariciones forzadas, desapariciones asociadas a otros fenómenos delictivos (como secuestro, reclutamiento forzado, trata de personas, etc.) o ausencias voluntarias.</w:t>
      </w:r>
    </w:p>
  </w:footnote>
  <w:footnote w:id="3">
    <w:p w14:paraId="147F943D"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w:t>
      </w:r>
      <w:proofErr w:type="spellStart"/>
      <w:r w:rsidRPr="008539CE">
        <w:rPr>
          <w:rFonts w:ascii="Arial Narrow" w:hAnsi="Arial Narrow"/>
          <w:sz w:val="16"/>
          <w:szCs w:val="16"/>
        </w:rPr>
        <w:t>INMLyCF</w:t>
      </w:r>
      <w:proofErr w:type="spellEnd"/>
      <w:r w:rsidRPr="008539CE">
        <w:rPr>
          <w:rFonts w:ascii="Arial Narrow" w:hAnsi="Arial Narrow"/>
          <w:sz w:val="16"/>
          <w:szCs w:val="16"/>
        </w:rPr>
        <w:t>. FORENSIS 2024 DATOS PARA LA VIDA.</w:t>
      </w:r>
    </w:p>
  </w:footnote>
  <w:footnote w:id="4">
    <w:p w14:paraId="7D66B39C"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CIDH. RESOLUCIÓN 43/2023 Medidas Cautelares No. 532-23.</w:t>
      </w:r>
    </w:p>
  </w:footnote>
  <w:footnote w:id="5">
    <w:p w14:paraId="68056480"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https://www.elcolombiano.com/colombia/madre-david-fernandez-primera-linea-entrega-cuerpo-gustavo-petro-disidencias-LN31697936</w:t>
      </w:r>
    </w:p>
  </w:footnote>
  <w:footnote w:id="6">
    <w:p w14:paraId="31ED7404"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https://www.defensoria.gov.co/-/defensoria-del-pueblo-lamenta-el-asesinato-del-lider-luis-carlos-vallejo-roman-en-lopez-de-micay-cauca</w:t>
      </w:r>
    </w:p>
  </w:footnote>
  <w:footnote w:id="7">
    <w:p w14:paraId="7D889E68"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https://www.lasillavacia.com/en-vivo/cinco-datos-del-periodista-asesinado-mateo-perez/</w:t>
      </w:r>
    </w:p>
  </w:footnote>
  <w:footnote w:id="8">
    <w:p w14:paraId="7D31FDA1"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INML y CF. Observatorio de Violencia. [En Línea] Consultado el 3 de febrero de 2025, en:   https://www.medicinalegal.gov.co/cifras-de-lesiones-de-causa-externa</w:t>
      </w:r>
    </w:p>
  </w:footnote>
  <w:footnote w:id="9">
    <w:p w14:paraId="01DC0174"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1 Ciudad Región. Encuentran sin vida a jóvenes desaparecidos en Cartago: hallaron sus cuerpos en el río La Vieja. [En Línea] Consultado el 3 de febrero de 2025, en:  https://ciudadregion.com/regiones/valle-del-cauca/cartago/encuentran-sinvida-a-jovenes-desaparecidos-en-cartago-hallaron-sus-cuerpos-en-el-rio-la-vieja</w:t>
      </w:r>
    </w:p>
  </w:footnote>
  <w:footnote w:id="10">
    <w:p w14:paraId="70306B45"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https://elnortehoy.com/cuerpo-hallado-en-rio-la-vieja-seria-de-hombre-desaparecido/</w:t>
      </w:r>
    </w:p>
  </w:footnote>
  <w:footnote w:id="11">
    <w:p w14:paraId="0C9035C0"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CIDH. RESOLUCIÓN 58/2025 Medidas Cautelares No. 813-25  </w:t>
      </w:r>
    </w:p>
  </w:footnote>
  <w:footnote w:id="12">
    <w:p w14:paraId="136ABEB9"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Grupo sucesor del paramilitarismo.</w:t>
      </w:r>
    </w:p>
  </w:footnote>
  <w:footnote w:id="13">
    <w:p w14:paraId="01238CFD" w14:textId="77777777" w:rsidR="00FA2ACC" w:rsidRPr="008539CE" w:rsidRDefault="00FA2ACC"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https://concejodebogota.gov.co/bogota-camina-insegura-y-con-miedo-conclusion-del-debate-sobre-el/cbogota/2026-01-24/140342.php</w:t>
      </w:r>
    </w:p>
  </w:footnote>
  <w:footnote w:id="14">
    <w:p w14:paraId="0F123B9D" w14:textId="30B50B71" w:rsidR="001C2CDB" w:rsidRPr="008539CE" w:rsidRDefault="001C2CDB"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Lo que incluye todas las Personas</w:t>
      </w:r>
      <w:r w:rsidRPr="008539CE">
        <w:rPr>
          <w:rFonts w:ascii="Arial Narrow" w:hAnsi="Arial Narrow"/>
          <w:sz w:val="16"/>
          <w:szCs w:val="16"/>
          <w:lang w:val="es-ES" w:eastAsia="es-ES"/>
        </w:rPr>
        <w:t xml:space="preserve"> Personas dadas por desaparecidas en el contexto y en razón del conflicto armado, o desapariciones asociadas a otros delitos como secuestro, reclutamiento forzado, trata de personas, entre otros.</w:t>
      </w:r>
    </w:p>
  </w:footnote>
  <w:footnote w:id="15">
    <w:p w14:paraId="27CA3010" w14:textId="2209130F" w:rsidR="00C835D7" w:rsidRPr="008539CE" w:rsidRDefault="00C835D7"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Mesa Interinstitucional de Ruta para la Inclusión Económica de las Mujeres Buscadoras. Será un espacio transitorio que tendrá el objetivo de construir criterios y procedimientos para la inclusión productiva en la fuerza laboral y autonomía económica de las mujeres buscadoras</w:t>
      </w:r>
    </w:p>
  </w:footnote>
  <w:footnote w:id="16">
    <w:p w14:paraId="675396AF" w14:textId="7E4D6523" w:rsidR="001C2CDB" w:rsidRPr="008539CE" w:rsidRDefault="001C2CDB"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w:t>
      </w:r>
      <w:r w:rsidR="00C835D7" w:rsidRPr="008539CE">
        <w:rPr>
          <w:rFonts w:ascii="Arial Narrow" w:hAnsi="Arial Narrow"/>
          <w:sz w:val="16"/>
          <w:szCs w:val="16"/>
        </w:rPr>
        <w:t>I</w:t>
      </w:r>
      <w:r w:rsidRPr="008539CE">
        <w:rPr>
          <w:rFonts w:ascii="Arial Narrow" w:hAnsi="Arial Narrow"/>
          <w:sz w:val="16"/>
          <w:szCs w:val="16"/>
        </w:rPr>
        <w:t>nstrumento técnico para la acreditación al RUMB, en el cual se establezcan los mecanismos de verificación de los criterios de acreditación que sean accesibles y razonables para las mujeres buscadoras; poner en marcha programas, cursos o capacitaciones de sensibilización el cual será obligatorio</w:t>
      </w:r>
      <w:r w:rsidR="00C835D7" w:rsidRPr="008539CE">
        <w:rPr>
          <w:rFonts w:ascii="Arial Narrow" w:hAnsi="Arial Narrow"/>
          <w:sz w:val="16"/>
          <w:szCs w:val="16"/>
        </w:rPr>
        <w:t xml:space="preserve"> para funcionarios y colaboradores a cargo de la atención de mujeres buscadoras o la implementación de alguna de las medidas establecidas en la Ley; el Ministerio de Agricultura y Desarrollo Rural en sus programas, así como sus entidades adscritas, establecerán lineamientos y ajustes de adecuación interna necesarios para garantizar la atención prioritaria a las mujeres buscadoras en reconocimiento de su labor. Señalando la norma, que deberán incorporar metas verificables, progresivas, con resultados cuantitativos y cualitativos sustanciales, tales como el número de mujeres buscadoras atendidas y/o beneficiadas por año, y estarán alineadas con los planes y subsistemas del Sistema Nacional de Reforma Agraria (SNRA), en especial, los subsistemas 1, 2, 3 Y 8. La implementación de este artículo deberá sujetarse a las disposiciones presupuestales, al Marco de Gasto y Marco Fiscal de Mediano Plazo.</w:t>
      </w:r>
    </w:p>
  </w:footnote>
  <w:footnote w:id="17">
    <w:p w14:paraId="09E3E66C" w14:textId="6CBBF634" w:rsidR="00C835D7" w:rsidRPr="008539CE" w:rsidRDefault="00C835D7"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Implementación, diseño, administración, operación y puesta en funcionamiento del Registro Único de Mujeres Buscadoras-RUMB</w:t>
      </w:r>
    </w:p>
  </w:footnote>
  <w:footnote w:id="18">
    <w:p w14:paraId="4BB106D3" w14:textId="74F0F9CC" w:rsidR="00C835D7" w:rsidRPr="008539CE" w:rsidRDefault="00C835D7"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Plan de Acción para la sensibilización a Servidores Públicos encargados de implementar medidas de prevención, atención, protección integral, investigación, judicialización, y reparación en casos de desaparición; herramienta dirigida a las mujeres buscadoras, para socializar las rutas de acceso a la protección, atención integral y acciones afirmativas para atender y superar las violencias basadas en género y/o violencias por prejuicio en el marco de la búsqueda, que incorpore el enfoque de género, los enfoques diferenciales y enfoque interseccional, el cual deberá ir acompañado de una estrategia interinstitucional para la garantía de sus derechos; </w:t>
      </w:r>
    </w:p>
  </w:footnote>
  <w:footnote w:id="19">
    <w:p w14:paraId="5426EB52" w14:textId="22340512" w:rsidR="00A87773" w:rsidRPr="008539CE" w:rsidRDefault="00A87773"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https://www.defensoria.gov.co/-/nos-duele-el-asesinato-de-claribel-moreno-castillo-madre-buscadora-de-natalia-buitrago-moreno</w:t>
      </w:r>
    </w:p>
  </w:footnote>
  <w:footnote w:id="20">
    <w:p w14:paraId="2A276B57" w14:textId="78C2C2A4" w:rsidR="00682310" w:rsidRPr="008539CE" w:rsidRDefault="00682310"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https://www.defensoria.gov.co/-/solicitamos-medidas-urgentes-de-proteccion-para-cleiner-almanza-blanco-mujer-buscadora-y-defensora-de-derechos-humanos-agredida-en-bolivar</w:t>
      </w:r>
    </w:p>
  </w:footnote>
  <w:footnote w:id="21">
    <w:p w14:paraId="7E2F7F7B" w14:textId="123DC1B9" w:rsidR="00934A24" w:rsidRPr="008539CE" w:rsidRDefault="00934A24"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Resolución No. 73/23 MC 737-23 - Familiares identificados de Daniela Santiago Díaz y Nicolás Aristizábal Gómez, Colombia. https://www.oas.org/es/CIDH/decisiones/MC/cautelares.asp?Year=2023&amp;Country=COL</w:t>
      </w:r>
    </w:p>
  </w:footnote>
  <w:footnote w:id="22">
    <w:p w14:paraId="64698292" w14:textId="77777777" w:rsidR="00934A24" w:rsidRPr="008539CE" w:rsidRDefault="00934A24"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Acción Urgente </w:t>
      </w:r>
      <w:r w:rsidRPr="008539CE">
        <w:rPr>
          <w:rFonts w:ascii="Arial Narrow" w:eastAsia="Times New Roman" w:hAnsi="Arial Narrow" w:cs="Times New Roman"/>
          <w:sz w:val="16"/>
          <w:szCs w:val="16"/>
        </w:rPr>
        <w:t>CED-UA CO 2065/2025</w:t>
      </w:r>
      <w:r w:rsidRPr="008539CE">
        <w:rPr>
          <w:rFonts w:ascii="Arial Narrow" w:hAnsi="Arial Narrow"/>
          <w:sz w:val="16"/>
          <w:szCs w:val="16"/>
        </w:rPr>
        <w:t xml:space="preserve"> </w:t>
      </w:r>
    </w:p>
    <w:p w14:paraId="19D34E0F" w14:textId="3EC2F57A" w:rsidR="00934A24" w:rsidRPr="008539CE" w:rsidRDefault="00934A24" w:rsidP="005B4661">
      <w:pPr>
        <w:pStyle w:val="FootnoteText"/>
        <w:jc w:val="both"/>
        <w:rPr>
          <w:rFonts w:ascii="Arial Narrow" w:hAnsi="Arial Narrow"/>
          <w:sz w:val="16"/>
          <w:szCs w:val="16"/>
        </w:rPr>
      </w:pPr>
    </w:p>
  </w:footnote>
  <w:footnote w:id="23">
    <w:p w14:paraId="0285E156" w14:textId="4D890EBB" w:rsidR="008539CE" w:rsidRPr="008539CE" w:rsidRDefault="008539CE">
      <w:pPr>
        <w:pStyle w:val="FootnoteText"/>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CED AU No. 1649/2023</w:t>
      </w:r>
    </w:p>
  </w:footnote>
  <w:footnote w:id="24">
    <w:p w14:paraId="3F7A407E" w14:textId="7D431D63" w:rsidR="008539CE" w:rsidRPr="00417F28" w:rsidRDefault="008539CE">
      <w:pPr>
        <w:pStyle w:val="FootnoteText"/>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Cuyo cuerpo fue recuperado </w:t>
      </w:r>
      <w:r w:rsidRPr="008539CE">
        <w:rPr>
          <w:rFonts w:ascii="Arial Narrow" w:eastAsia="Times New Roman" w:hAnsi="Arial Narrow" w:cs="Times New Roman"/>
          <w:sz w:val="16"/>
          <w:szCs w:val="16"/>
        </w:rPr>
        <w:t>el 11 de octubre de 2024</w:t>
      </w:r>
      <w:r w:rsidR="00417F28">
        <w:rPr>
          <w:rFonts w:ascii="Times New Roman" w:eastAsia="Times New Roman" w:hAnsi="Times New Roman" w:cs="Times New Roman"/>
          <w:sz w:val="23"/>
          <w:szCs w:val="23"/>
        </w:rPr>
        <w:t xml:space="preserve"> </w:t>
      </w:r>
      <w:r w:rsidR="00417F28" w:rsidRPr="00417F28">
        <w:rPr>
          <w:rFonts w:ascii="Arial Narrow" w:eastAsia="Times New Roman" w:hAnsi="Arial Narrow" w:cs="Times New Roman"/>
          <w:sz w:val="16"/>
          <w:szCs w:val="16"/>
        </w:rPr>
        <w:t>en zona rural del municipio de Solano, departamento de Caquetá</w:t>
      </w:r>
    </w:p>
  </w:footnote>
  <w:footnote w:id="25">
    <w:p w14:paraId="08B15682" w14:textId="36AC724F" w:rsidR="003525A0" w:rsidRPr="008539CE" w:rsidRDefault="003525A0"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Pues el plazo para presentar acusaciones sería hasta finales de 2017</w:t>
      </w:r>
    </w:p>
  </w:footnote>
  <w:footnote w:id="26">
    <w:p w14:paraId="75C9B087" w14:textId="4626E80E" w:rsidR="00C63742" w:rsidRPr="008539CE" w:rsidRDefault="00C63742"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No. 548/2018; UR/CED-UA/22/COL/9; UR/CED-UA/22/COL/10; No. 781/2019; No. 1912/2024; No. 1922/2024; No. 1931/2024; No. 1933/2024; No. 2065/2025; No. 1793/2024; No. 1794/2024.</w:t>
      </w:r>
    </w:p>
  </w:footnote>
  <w:footnote w:id="27">
    <w:p w14:paraId="59269C53" w14:textId="442FBBA7" w:rsidR="00C63742" w:rsidRPr="008539CE" w:rsidRDefault="00C63742" w:rsidP="005B4661">
      <w:pPr>
        <w:pStyle w:val="FootnoteText"/>
        <w:jc w:val="both"/>
        <w:rPr>
          <w:rFonts w:ascii="Arial Narrow" w:hAnsi="Arial Narrow"/>
          <w:sz w:val="16"/>
          <w:szCs w:val="16"/>
        </w:rPr>
      </w:pPr>
      <w:r w:rsidRPr="008539CE">
        <w:rPr>
          <w:rStyle w:val="FootnoteReference"/>
          <w:rFonts w:ascii="Arial Narrow" w:hAnsi="Arial Narrow"/>
          <w:sz w:val="16"/>
          <w:szCs w:val="16"/>
        </w:rPr>
        <w:footnoteRef/>
      </w:r>
      <w:r w:rsidRPr="008539CE">
        <w:rPr>
          <w:rFonts w:ascii="Arial Narrow" w:hAnsi="Arial Narrow"/>
          <w:sz w:val="16"/>
          <w:szCs w:val="16"/>
        </w:rPr>
        <w:t xml:space="preserve"> </w:t>
      </w:r>
      <w:r w:rsidRPr="008539CE">
        <w:rPr>
          <w:rFonts w:ascii="Arial Narrow" w:eastAsia="Times New Roman" w:hAnsi="Arial Narrow" w:cs="Times New Roman"/>
          <w:sz w:val="16"/>
          <w:szCs w:val="16"/>
          <w:lang w:val="es-ES"/>
        </w:rPr>
        <w:t>En particular, formuló doce recomendaciones dirigidas a fortalecer las acciones de búsqueda y cuatro recomendaciones encaminadas a garantizar la participación efectiva de los familiares en dichas acciones, con especial atención a las mujeres buscadoras.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F86C9" w14:textId="77777777" w:rsidR="00AB081C" w:rsidRDefault="007A2062" w:rsidP="00650AED">
    <w:pPr>
      <w:pStyle w:val="Header"/>
      <w:pBdr>
        <w:bottom w:val="single" w:sz="6" w:space="1" w:color="auto"/>
      </w:pBdr>
      <w:jc w:val="right"/>
      <w:rPr>
        <w:b/>
        <w:color w:val="808080"/>
        <w:sz w:val="32"/>
      </w:rPr>
    </w:pPr>
    <w:r w:rsidRPr="009F4635">
      <w:rPr>
        <w:b/>
        <w:color w:val="808080"/>
        <w:sz w:val="32"/>
      </w:rPr>
      <w:t>Fundación Nydia Erika Bautista</w:t>
    </w:r>
  </w:p>
  <w:p w14:paraId="6DA2854A" w14:textId="77777777" w:rsidR="00AB081C" w:rsidRDefault="00AB081C" w:rsidP="00650AED">
    <w:pPr>
      <w:pStyle w:val="Header"/>
    </w:pPr>
  </w:p>
  <w:p w14:paraId="0EE05189" w14:textId="77777777" w:rsidR="00AB081C" w:rsidRDefault="007A2062" w:rsidP="00650AED">
    <w:pPr>
      <w:ind w:left="2126" w:hanging="2126"/>
      <w:jc w:val="center"/>
      <w:rPr>
        <w:noProof/>
      </w:rPr>
    </w:pPr>
    <w:r w:rsidRPr="009D6777">
      <w:rPr>
        <w:noProof/>
      </w:rPr>
      <w:drawing>
        <wp:inline distT="0" distB="0" distL="0" distR="0" wp14:anchorId="6B89F2F5" wp14:editId="263A97EB">
          <wp:extent cx="5400675" cy="1104900"/>
          <wp:effectExtent l="0" t="0" r="9525" b="0"/>
          <wp:docPr id="736476122" name="Imagen 736476122" descr="img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mg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r w:rsidRPr="002D1D94">
      <w:rPr>
        <w:noProof/>
      </w:rPr>
      <w:t xml:space="preserve"> </w:t>
    </w:r>
  </w:p>
  <w:p w14:paraId="4EA4ACBE" w14:textId="77777777" w:rsidR="00AB081C" w:rsidRDefault="007A2062" w:rsidP="00650AED">
    <w:pPr>
      <w:pBdr>
        <w:bottom w:val="single" w:sz="6" w:space="1" w:color="auto"/>
      </w:pBdr>
      <w:jc w:val="center"/>
      <w:rPr>
        <w:noProof/>
      </w:rPr>
    </w:pPr>
    <w:r w:rsidRPr="001F642F">
      <w:rPr>
        <w:sz w:val="16"/>
        <w:szCs w:val="16"/>
      </w:rPr>
      <w:t xml:space="preserve"> Bogotá, Colombia</w:t>
    </w:r>
    <w:r>
      <w:rPr>
        <w:sz w:val="16"/>
        <w:szCs w:val="16"/>
      </w:rPr>
      <w:t xml:space="preserve">, </w:t>
    </w:r>
    <w:proofErr w:type="spellStart"/>
    <w:r>
      <w:rPr>
        <w:sz w:val="16"/>
        <w:szCs w:val="16"/>
      </w:rPr>
      <w:t>Nit</w:t>
    </w:r>
    <w:proofErr w:type="spellEnd"/>
    <w:r>
      <w:rPr>
        <w:sz w:val="16"/>
        <w:szCs w:val="16"/>
      </w:rPr>
      <w:t xml:space="preserve"> 900.173.909-6,  </w:t>
    </w:r>
    <w:hyperlink r:id="rId2" w:history="1">
      <w:r w:rsidR="00AB081C" w:rsidRPr="001C0AD8">
        <w:rPr>
          <w:rStyle w:val="Hyperlink"/>
          <w:rFonts w:eastAsiaTheme="majorEastAsia"/>
          <w:sz w:val="16"/>
          <w:szCs w:val="16"/>
        </w:rPr>
        <w:t>fundacion@nydia-erika-bautista.org</w:t>
      </w:r>
    </w:hyperlink>
    <w:r w:rsidRPr="001F642F">
      <w:rPr>
        <w:sz w:val="16"/>
        <w:szCs w:val="16"/>
      </w:rPr>
      <w:t>,</w:t>
    </w:r>
  </w:p>
  <w:p w14:paraId="1E83C2CD" w14:textId="77777777" w:rsidR="00AB081C" w:rsidRDefault="00AB081C" w:rsidP="00650AED">
    <w:pPr>
      <w:pStyle w:val="Header"/>
    </w:pPr>
  </w:p>
  <w:p w14:paraId="3FD4FAC7" w14:textId="77777777" w:rsidR="00AB081C" w:rsidRPr="00650AED" w:rsidRDefault="00AB081C">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1FB7"/>
    <w:multiLevelType w:val="hybridMultilevel"/>
    <w:tmpl w:val="6706C95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BC0B81"/>
    <w:multiLevelType w:val="hybridMultilevel"/>
    <w:tmpl w:val="07E09B08"/>
    <w:lvl w:ilvl="0" w:tplc="56A0D2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201DCD"/>
    <w:multiLevelType w:val="hybridMultilevel"/>
    <w:tmpl w:val="FA1A81E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8CA2823"/>
    <w:multiLevelType w:val="hybridMultilevel"/>
    <w:tmpl w:val="937EB9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B408FE"/>
    <w:multiLevelType w:val="hybridMultilevel"/>
    <w:tmpl w:val="5DF878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765619">
    <w:abstractNumId w:val="4"/>
  </w:num>
  <w:num w:numId="2" w16cid:durableId="207575183">
    <w:abstractNumId w:val="1"/>
  </w:num>
  <w:num w:numId="3" w16cid:durableId="814227392">
    <w:abstractNumId w:val="0"/>
  </w:num>
  <w:num w:numId="4" w16cid:durableId="854920804">
    <w:abstractNumId w:val="3"/>
  </w:num>
  <w:num w:numId="5" w16cid:durableId="714499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FCB"/>
    <w:rsid w:val="00143C62"/>
    <w:rsid w:val="00194801"/>
    <w:rsid w:val="001C2CDB"/>
    <w:rsid w:val="002C6D0B"/>
    <w:rsid w:val="00302422"/>
    <w:rsid w:val="003525A0"/>
    <w:rsid w:val="00391F6B"/>
    <w:rsid w:val="00397E2E"/>
    <w:rsid w:val="003F2B7F"/>
    <w:rsid w:val="00417F28"/>
    <w:rsid w:val="00442237"/>
    <w:rsid w:val="00494C72"/>
    <w:rsid w:val="004A4A72"/>
    <w:rsid w:val="005B4661"/>
    <w:rsid w:val="006064F9"/>
    <w:rsid w:val="00682310"/>
    <w:rsid w:val="00694D5E"/>
    <w:rsid w:val="007A2062"/>
    <w:rsid w:val="00834940"/>
    <w:rsid w:val="008539CE"/>
    <w:rsid w:val="009026DA"/>
    <w:rsid w:val="00934A24"/>
    <w:rsid w:val="00A87773"/>
    <w:rsid w:val="00AB081C"/>
    <w:rsid w:val="00AB6F42"/>
    <w:rsid w:val="00AD6E9B"/>
    <w:rsid w:val="00C37796"/>
    <w:rsid w:val="00C63742"/>
    <w:rsid w:val="00C67BF5"/>
    <w:rsid w:val="00C835D7"/>
    <w:rsid w:val="00D00E76"/>
    <w:rsid w:val="00D078B6"/>
    <w:rsid w:val="00D85FB2"/>
    <w:rsid w:val="00DF4736"/>
    <w:rsid w:val="00E8292C"/>
    <w:rsid w:val="00ED6FCB"/>
    <w:rsid w:val="00FA2ACC"/>
    <w:rsid w:val="00FC38A1"/>
    <w:rsid w:val="00FD7C74"/>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B6A85"/>
  <w15:chartTrackingRefBased/>
  <w15:docId w15:val="{B5CC1B1B-734D-4070-A958-AF9E269E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FCB"/>
  </w:style>
  <w:style w:type="paragraph" w:styleId="Heading1">
    <w:name w:val="heading 1"/>
    <w:basedOn w:val="Normal"/>
    <w:next w:val="Normal"/>
    <w:link w:val="Heading1Char"/>
    <w:uiPriority w:val="9"/>
    <w:qFormat/>
    <w:rsid w:val="00ED6F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F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6F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F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F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6F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FCB"/>
    <w:rPr>
      <w:rFonts w:eastAsiaTheme="majorEastAsia" w:cstheme="majorBidi"/>
      <w:color w:val="272727" w:themeColor="text1" w:themeTint="D8"/>
    </w:rPr>
  </w:style>
  <w:style w:type="paragraph" w:styleId="Title">
    <w:name w:val="Title"/>
    <w:basedOn w:val="Normal"/>
    <w:next w:val="Normal"/>
    <w:link w:val="TitleChar"/>
    <w:uiPriority w:val="10"/>
    <w:qFormat/>
    <w:rsid w:val="00ED6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FCB"/>
    <w:pPr>
      <w:spacing w:before="160"/>
      <w:jc w:val="center"/>
    </w:pPr>
    <w:rPr>
      <w:i/>
      <w:iCs/>
      <w:color w:val="404040" w:themeColor="text1" w:themeTint="BF"/>
    </w:rPr>
  </w:style>
  <w:style w:type="character" w:customStyle="1" w:styleId="QuoteChar">
    <w:name w:val="Quote Char"/>
    <w:basedOn w:val="DefaultParagraphFont"/>
    <w:link w:val="Quote"/>
    <w:uiPriority w:val="29"/>
    <w:rsid w:val="00ED6FCB"/>
    <w:rPr>
      <w:i/>
      <w:iCs/>
      <w:color w:val="404040" w:themeColor="text1" w:themeTint="BF"/>
    </w:rPr>
  </w:style>
  <w:style w:type="paragraph" w:styleId="ListParagraph">
    <w:name w:val="List Paragraph"/>
    <w:basedOn w:val="Normal"/>
    <w:uiPriority w:val="34"/>
    <w:qFormat/>
    <w:rsid w:val="00ED6FCB"/>
    <w:pPr>
      <w:ind w:left="720"/>
      <w:contextualSpacing/>
    </w:pPr>
  </w:style>
  <w:style w:type="character" w:styleId="IntenseEmphasis">
    <w:name w:val="Intense Emphasis"/>
    <w:basedOn w:val="DefaultParagraphFont"/>
    <w:uiPriority w:val="21"/>
    <w:qFormat/>
    <w:rsid w:val="00ED6FCB"/>
    <w:rPr>
      <w:i/>
      <w:iCs/>
      <w:color w:val="0F4761" w:themeColor="accent1" w:themeShade="BF"/>
    </w:rPr>
  </w:style>
  <w:style w:type="paragraph" w:styleId="IntenseQuote">
    <w:name w:val="Intense Quote"/>
    <w:basedOn w:val="Normal"/>
    <w:next w:val="Normal"/>
    <w:link w:val="IntenseQuoteChar"/>
    <w:uiPriority w:val="30"/>
    <w:qFormat/>
    <w:rsid w:val="00ED6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FCB"/>
    <w:rPr>
      <w:i/>
      <w:iCs/>
      <w:color w:val="0F4761" w:themeColor="accent1" w:themeShade="BF"/>
    </w:rPr>
  </w:style>
  <w:style w:type="character" w:styleId="IntenseReference">
    <w:name w:val="Intense Reference"/>
    <w:basedOn w:val="DefaultParagraphFont"/>
    <w:uiPriority w:val="32"/>
    <w:qFormat/>
    <w:rsid w:val="00ED6FCB"/>
    <w:rPr>
      <w:b/>
      <w:bCs/>
      <w:smallCaps/>
      <w:color w:val="0F4761" w:themeColor="accent1" w:themeShade="BF"/>
      <w:spacing w:val="5"/>
    </w:rPr>
  </w:style>
  <w:style w:type="paragraph" w:styleId="Header">
    <w:name w:val="header"/>
    <w:basedOn w:val="Normal"/>
    <w:link w:val="HeaderChar"/>
    <w:uiPriority w:val="99"/>
    <w:semiHidden/>
    <w:unhideWhenUsed/>
    <w:rsid w:val="00ED6FCB"/>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ED6FCB"/>
  </w:style>
  <w:style w:type="paragraph" w:styleId="Footer">
    <w:name w:val="footer"/>
    <w:basedOn w:val="Normal"/>
    <w:link w:val="FooterChar"/>
    <w:uiPriority w:val="99"/>
    <w:semiHidden/>
    <w:unhideWhenUsed/>
    <w:rsid w:val="00ED6FCB"/>
    <w:pPr>
      <w:tabs>
        <w:tab w:val="center" w:pos="4419"/>
        <w:tab w:val="right" w:pos="8838"/>
      </w:tabs>
      <w:spacing w:after="0" w:line="240" w:lineRule="auto"/>
    </w:pPr>
  </w:style>
  <w:style w:type="character" w:customStyle="1" w:styleId="FooterChar">
    <w:name w:val="Footer Char"/>
    <w:basedOn w:val="DefaultParagraphFont"/>
    <w:link w:val="Footer"/>
    <w:uiPriority w:val="99"/>
    <w:semiHidden/>
    <w:rsid w:val="00ED6FCB"/>
  </w:style>
  <w:style w:type="character" w:styleId="Hyperlink">
    <w:name w:val="Hyperlink"/>
    <w:unhideWhenUsed/>
    <w:rsid w:val="00ED6FCB"/>
    <w:rPr>
      <w:color w:val="0000FF"/>
      <w:u w:val="single"/>
    </w:rPr>
  </w:style>
  <w:style w:type="paragraph" w:styleId="FootnoteText">
    <w:name w:val="footnote text"/>
    <w:basedOn w:val="Normal"/>
    <w:link w:val="FootnoteTextChar"/>
    <w:uiPriority w:val="99"/>
    <w:semiHidden/>
    <w:unhideWhenUsed/>
    <w:rsid w:val="00ED6F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FCB"/>
    <w:rPr>
      <w:sz w:val="20"/>
      <w:szCs w:val="20"/>
    </w:rPr>
  </w:style>
  <w:style w:type="character" w:styleId="FootnoteReference">
    <w:name w:val="footnote reference"/>
    <w:basedOn w:val="DefaultParagraphFont"/>
    <w:uiPriority w:val="99"/>
    <w:semiHidden/>
    <w:unhideWhenUsed/>
    <w:rsid w:val="00ED6FCB"/>
    <w:rPr>
      <w:vertAlign w:val="superscript"/>
    </w:rPr>
  </w:style>
  <w:style w:type="paragraph" w:customStyle="1" w:styleId="H1G">
    <w:name w:val="_ H_1_G"/>
    <w:basedOn w:val="Normal"/>
    <w:next w:val="Normal"/>
    <w:qFormat/>
    <w:rsid w:val="00391F6B"/>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lang w:val="es-ES" w:eastAsia="es-ES"/>
    </w:rPr>
  </w:style>
  <w:style w:type="character" w:styleId="UnresolvedMention">
    <w:name w:val="Unresolved Mention"/>
    <w:basedOn w:val="DefaultParagraphFont"/>
    <w:uiPriority w:val="99"/>
    <w:semiHidden/>
    <w:unhideWhenUsed/>
    <w:rsid w:val="001C2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99714">
      <w:bodyDiv w:val="1"/>
      <w:marLeft w:val="0"/>
      <w:marRight w:val="0"/>
      <w:marTop w:val="0"/>
      <w:marBottom w:val="0"/>
      <w:divBdr>
        <w:top w:val="none" w:sz="0" w:space="0" w:color="auto"/>
        <w:left w:val="none" w:sz="0" w:space="0" w:color="auto"/>
        <w:bottom w:val="none" w:sz="0" w:space="0" w:color="auto"/>
        <w:right w:val="none" w:sz="0" w:space="0" w:color="auto"/>
      </w:divBdr>
    </w:div>
    <w:div w:id="418526238">
      <w:bodyDiv w:val="1"/>
      <w:marLeft w:val="0"/>
      <w:marRight w:val="0"/>
      <w:marTop w:val="0"/>
      <w:marBottom w:val="0"/>
      <w:divBdr>
        <w:top w:val="none" w:sz="0" w:space="0" w:color="auto"/>
        <w:left w:val="none" w:sz="0" w:space="0" w:color="auto"/>
        <w:bottom w:val="none" w:sz="0" w:space="0" w:color="auto"/>
        <w:right w:val="none" w:sz="0" w:space="0" w:color="auto"/>
      </w:divBdr>
    </w:div>
    <w:div w:id="987440718">
      <w:bodyDiv w:val="1"/>
      <w:marLeft w:val="0"/>
      <w:marRight w:val="0"/>
      <w:marTop w:val="0"/>
      <w:marBottom w:val="0"/>
      <w:divBdr>
        <w:top w:val="none" w:sz="0" w:space="0" w:color="auto"/>
        <w:left w:val="none" w:sz="0" w:space="0" w:color="auto"/>
        <w:bottom w:val="none" w:sz="0" w:space="0" w:color="auto"/>
        <w:right w:val="none" w:sz="0" w:space="0" w:color="auto"/>
      </w:divBdr>
    </w:div>
    <w:div w:id="1403138710">
      <w:bodyDiv w:val="1"/>
      <w:marLeft w:val="0"/>
      <w:marRight w:val="0"/>
      <w:marTop w:val="0"/>
      <w:marBottom w:val="0"/>
      <w:divBdr>
        <w:top w:val="none" w:sz="0" w:space="0" w:color="auto"/>
        <w:left w:val="none" w:sz="0" w:space="0" w:color="auto"/>
        <w:bottom w:val="none" w:sz="0" w:space="0" w:color="auto"/>
        <w:right w:val="none" w:sz="0" w:space="0" w:color="auto"/>
      </w:divBdr>
    </w:div>
    <w:div w:id="1533765430">
      <w:bodyDiv w:val="1"/>
      <w:marLeft w:val="0"/>
      <w:marRight w:val="0"/>
      <w:marTop w:val="0"/>
      <w:marBottom w:val="0"/>
      <w:divBdr>
        <w:top w:val="none" w:sz="0" w:space="0" w:color="auto"/>
        <w:left w:val="none" w:sz="0" w:space="0" w:color="auto"/>
        <w:bottom w:val="none" w:sz="0" w:space="0" w:color="auto"/>
        <w:right w:val="none" w:sz="0" w:space="0" w:color="auto"/>
      </w:divBdr>
    </w:div>
    <w:div w:id="1604992774">
      <w:bodyDiv w:val="1"/>
      <w:marLeft w:val="0"/>
      <w:marRight w:val="0"/>
      <w:marTop w:val="0"/>
      <w:marBottom w:val="0"/>
      <w:divBdr>
        <w:top w:val="none" w:sz="0" w:space="0" w:color="auto"/>
        <w:left w:val="none" w:sz="0" w:space="0" w:color="auto"/>
        <w:bottom w:val="none" w:sz="0" w:space="0" w:color="auto"/>
        <w:right w:val="none" w:sz="0" w:space="0" w:color="auto"/>
      </w:divBdr>
    </w:div>
    <w:div w:id="1666203078">
      <w:bodyDiv w:val="1"/>
      <w:marLeft w:val="0"/>
      <w:marRight w:val="0"/>
      <w:marTop w:val="0"/>
      <w:marBottom w:val="0"/>
      <w:divBdr>
        <w:top w:val="none" w:sz="0" w:space="0" w:color="auto"/>
        <w:left w:val="none" w:sz="0" w:space="0" w:color="auto"/>
        <w:bottom w:val="none" w:sz="0" w:space="0" w:color="auto"/>
        <w:right w:val="none" w:sz="0" w:space="0" w:color="auto"/>
      </w:divBdr>
    </w:div>
    <w:div w:id="193994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fundacion@nydia-erika-bautista.or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F7638-5954-49CE-9322-EAE8C7F6C16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2833</Words>
  <Characters>16149</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López Morales</dc:creator>
  <cp:keywords/>
  <dc:description/>
  <cp:lastModifiedBy>Perrine Deja</cp:lastModifiedBy>
  <cp:revision>2</cp:revision>
  <dcterms:created xsi:type="dcterms:W3CDTF">2026-07-01T09:26:00Z</dcterms:created>
  <dcterms:modified xsi:type="dcterms:W3CDTF">2026-07-01T09:26:00Z</dcterms:modified>
</cp:coreProperties>
</file>