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8E9B09" w14:textId="2E47BA04" w:rsidR="00D210F5" w:rsidRPr="00EC4AFA" w:rsidRDefault="00EC4AFA" w:rsidP="00D80144">
      <w:pPr>
        <w:jc w:val="center"/>
        <w:rPr>
          <w:rFonts w:ascii="Calibri" w:hAnsi="Calibri" w:cs="Calibri"/>
          <w:b/>
          <w:bCs/>
          <w:color w:val="000000"/>
          <w:sz w:val="36"/>
          <w:szCs w:val="36"/>
          <w:lang w:val="es-ES"/>
        </w:rPr>
      </w:pPr>
      <w:bookmarkStart w:id="0" w:name="_GoBack"/>
      <w:bookmarkEnd w:id="0"/>
      <w:r w:rsidRPr="00EC4AFA">
        <w:rPr>
          <w:rFonts w:ascii="Calibri" w:hAnsi="Calibri" w:cs="Calibri"/>
          <w:b/>
          <w:bCs/>
          <w:color w:val="000000"/>
          <w:sz w:val="36"/>
          <w:szCs w:val="36"/>
          <w:lang w:val="es-ES"/>
        </w:rPr>
        <w:t>Comité para la Eliminación de la Discriminación Racial</w:t>
      </w:r>
    </w:p>
    <w:p w14:paraId="7B86DB05" w14:textId="77777777" w:rsidR="00EC4AFA" w:rsidRPr="00EC4AFA" w:rsidRDefault="00EC4AFA" w:rsidP="00D80144">
      <w:pPr>
        <w:jc w:val="center"/>
        <w:rPr>
          <w:rFonts w:ascii="Calibri" w:eastAsia="Calibri" w:hAnsi="Calibri" w:cs="Calibri"/>
          <w:b/>
          <w:sz w:val="36"/>
          <w:szCs w:val="36"/>
          <w:lang w:val="es-ES"/>
        </w:rPr>
      </w:pPr>
    </w:p>
    <w:p w14:paraId="79D13782" w14:textId="13D5F3E9" w:rsidR="00251F6A" w:rsidRPr="00251F6A" w:rsidRDefault="00D80144" w:rsidP="00251F6A">
      <w:pPr>
        <w:jc w:val="center"/>
        <w:rPr>
          <w:rFonts w:ascii="Calibri" w:eastAsia="Calibri" w:hAnsi="Calibri" w:cs="Calibri"/>
          <w:b/>
          <w:sz w:val="36"/>
          <w:szCs w:val="36"/>
          <w:lang w:val="es-ES"/>
        </w:rPr>
      </w:pPr>
      <w:r w:rsidRPr="00610460">
        <w:rPr>
          <w:rFonts w:ascii="Calibri" w:eastAsia="Calibri" w:hAnsi="Calibri" w:cs="Calibri"/>
          <w:b/>
          <w:sz w:val="36"/>
          <w:szCs w:val="36"/>
          <w:lang w:val="es-ES"/>
        </w:rPr>
        <w:t>Examen de Guatemala</w:t>
      </w:r>
      <w:r w:rsidR="00251F6A">
        <w:rPr>
          <w:rFonts w:ascii="Calibri" w:eastAsia="Calibri" w:hAnsi="Calibri" w:cs="Calibri"/>
          <w:b/>
          <w:sz w:val="36"/>
          <w:szCs w:val="36"/>
          <w:lang w:val="es-ES"/>
        </w:rPr>
        <w:t>, L</w:t>
      </w:r>
      <w:r w:rsidR="00251F6A" w:rsidRPr="00251F6A">
        <w:rPr>
          <w:rFonts w:ascii="Calibri" w:hAnsi="Calibri" w:cs="Calibri"/>
          <w:b/>
          <w:color w:val="000000"/>
          <w:sz w:val="36"/>
          <w:szCs w:val="36"/>
          <w:lang w:val="es-ES"/>
        </w:rPr>
        <w:t xml:space="preserve">os informes periódicos 18º a 20º combinados </w:t>
      </w:r>
    </w:p>
    <w:p w14:paraId="6DDE0243" w14:textId="77777777" w:rsidR="00D80144" w:rsidRPr="00610460" w:rsidRDefault="00D80144" w:rsidP="00D80144">
      <w:pPr>
        <w:jc w:val="center"/>
        <w:rPr>
          <w:rFonts w:ascii="Calibri" w:eastAsia="Calibri" w:hAnsi="Calibri" w:cs="Calibri"/>
          <w:b/>
          <w:sz w:val="32"/>
          <w:szCs w:val="32"/>
          <w:lang w:val="es-ES"/>
        </w:rPr>
      </w:pPr>
      <w:r w:rsidRPr="00610460">
        <w:rPr>
          <w:rFonts w:ascii="Calibri" w:eastAsia="Calibri" w:hAnsi="Calibri" w:cs="Calibri"/>
          <w:b/>
          <w:sz w:val="32"/>
          <w:szCs w:val="32"/>
          <w:lang w:val="es-ES"/>
        </w:rPr>
        <w:t>__________________________________________________________</w:t>
      </w:r>
    </w:p>
    <w:p w14:paraId="4DF8E058" w14:textId="77777777" w:rsidR="00D80144" w:rsidRPr="00610460" w:rsidRDefault="00D80144" w:rsidP="00D80144">
      <w:pPr>
        <w:spacing w:after="120"/>
        <w:jc w:val="center"/>
        <w:rPr>
          <w:rFonts w:ascii="Calibri" w:eastAsia="Calibri" w:hAnsi="Calibri" w:cs="Calibri"/>
          <w:b/>
          <w:sz w:val="16"/>
          <w:szCs w:val="16"/>
          <w:lang w:val="es-ES"/>
        </w:rPr>
      </w:pPr>
    </w:p>
    <w:p w14:paraId="5FC37173" w14:textId="77777777" w:rsidR="00D80144" w:rsidRPr="00251F6A" w:rsidRDefault="00D80144" w:rsidP="00251F6A">
      <w:pPr>
        <w:jc w:val="center"/>
        <w:rPr>
          <w:rFonts w:ascii="Calibri" w:eastAsia="Calibri" w:hAnsi="Calibri" w:cs="Calibri"/>
          <w:b/>
          <w:sz w:val="36"/>
          <w:szCs w:val="36"/>
          <w:lang w:val="es-ES"/>
        </w:rPr>
      </w:pPr>
      <w:r w:rsidRPr="00251F6A">
        <w:rPr>
          <w:rFonts w:ascii="Calibri" w:eastAsia="Calibri" w:hAnsi="Calibri" w:cs="Calibri"/>
          <w:b/>
          <w:sz w:val="36"/>
          <w:szCs w:val="36"/>
          <w:lang w:val="es-ES"/>
        </w:rPr>
        <w:t>Informe alternativo</w:t>
      </w:r>
    </w:p>
    <w:p w14:paraId="1086BDE3" w14:textId="77777777" w:rsidR="00251F6A" w:rsidRDefault="00251F6A" w:rsidP="00251F6A">
      <w:pPr>
        <w:jc w:val="center"/>
        <w:rPr>
          <w:rFonts w:ascii="Calibri" w:eastAsia="Calibri" w:hAnsi="Calibri" w:cs="Calibri"/>
          <w:b/>
          <w:sz w:val="28"/>
          <w:szCs w:val="28"/>
          <w:lang w:val="es-ES"/>
        </w:rPr>
      </w:pPr>
    </w:p>
    <w:p w14:paraId="67E42EAD" w14:textId="29C0BC26" w:rsidR="00D80144" w:rsidRPr="00610460" w:rsidRDefault="00251F6A" w:rsidP="00251F6A">
      <w:pPr>
        <w:jc w:val="center"/>
        <w:rPr>
          <w:rFonts w:ascii="Calibri" w:eastAsia="Calibri" w:hAnsi="Calibri" w:cs="Calibri"/>
          <w:b/>
          <w:sz w:val="28"/>
          <w:szCs w:val="28"/>
          <w:lang w:val="es-ES"/>
        </w:rPr>
      </w:pPr>
      <w:r>
        <w:rPr>
          <w:rFonts w:ascii="Calibri" w:eastAsia="Calibri" w:hAnsi="Calibri" w:cs="Calibri"/>
          <w:b/>
          <w:sz w:val="28"/>
          <w:szCs w:val="28"/>
          <w:lang w:val="es-ES"/>
        </w:rPr>
        <w:t>Presentado</w:t>
      </w:r>
      <w:r w:rsidR="00D80144" w:rsidRPr="00610460">
        <w:rPr>
          <w:rFonts w:ascii="Calibri" w:eastAsia="Calibri" w:hAnsi="Calibri" w:cs="Calibri"/>
          <w:b/>
          <w:sz w:val="28"/>
          <w:szCs w:val="28"/>
          <w:lang w:val="es-ES"/>
        </w:rPr>
        <w:t xml:space="preserve"> por </w:t>
      </w:r>
    </w:p>
    <w:p w14:paraId="43AC7FAC" w14:textId="7095372A" w:rsidR="00A666DC" w:rsidRPr="00610460" w:rsidRDefault="008572C8" w:rsidP="00251F6A">
      <w:pPr>
        <w:pBdr>
          <w:bottom w:val="single" w:sz="12" w:space="31" w:color="auto"/>
        </w:pBdr>
        <w:jc w:val="center"/>
        <w:rPr>
          <w:rFonts w:ascii="Calibri" w:hAnsi="Calibri" w:cs="Calibri"/>
          <w:bCs/>
          <w:color w:val="000000" w:themeColor="text1"/>
          <w:sz w:val="28"/>
          <w:szCs w:val="28"/>
          <w:lang w:val="es-ES"/>
        </w:rPr>
      </w:pPr>
      <w:r w:rsidRPr="00610460">
        <w:rPr>
          <w:rFonts w:ascii="Calibri" w:hAnsi="Calibri" w:cs="Calibri"/>
          <w:bCs/>
          <w:color w:val="000000" w:themeColor="text1"/>
          <w:sz w:val="28"/>
          <w:szCs w:val="28"/>
          <w:lang w:val="es-ES"/>
        </w:rPr>
        <w:t xml:space="preserve">Maya Kaqchikel de Sumpango </w:t>
      </w:r>
    </w:p>
    <w:p w14:paraId="28645D90" w14:textId="597A4B6D" w:rsidR="00A666DC" w:rsidRPr="00C6051E" w:rsidRDefault="008572C8" w:rsidP="00251F6A">
      <w:pPr>
        <w:pBdr>
          <w:bottom w:val="single" w:sz="12" w:space="31" w:color="auto"/>
        </w:pBdr>
        <w:jc w:val="center"/>
        <w:rPr>
          <w:rFonts w:ascii="Calibri" w:hAnsi="Calibri" w:cs="Calibri"/>
          <w:bCs/>
          <w:color w:val="000000" w:themeColor="text1"/>
          <w:sz w:val="28"/>
          <w:szCs w:val="28"/>
          <w:lang w:val="es-ES"/>
        </w:rPr>
      </w:pPr>
      <w:r w:rsidRPr="00610460">
        <w:rPr>
          <w:rFonts w:ascii="Calibri" w:hAnsi="Calibri" w:cs="Calibri"/>
          <w:bCs/>
          <w:color w:val="000000" w:themeColor="text1"/>
          <w:sz w:val="28"/>
          <w:szCs w:val="28"/>
          <w:lang w:val="es-ES"/>
        </w:rPr>
        <w:t>Maya Achí Chicaj</w:t>
      </w:r>
    </w:p>
    <w:p w14:paraId="6E9315A9" w14:textId="77777777" w:rsidR="00A666DC" w:rsidRPr="00C6051E" w:rsidRDefault="008572C8" w:rsidP="00251F6A">
      <w:pPr>
        <w:pBdr>
          <w:bottom w:val="single" w:sz="12" w:space="31" w:color="auto"/>
        </w:pBdr>
        <w:jc w:val="center"/>
        <w:rPr>
          <w:rFonts w:ascii="Calibri" w:hAnsi="Calibri" w:cs="Calibri"/>
          <w:bCs/>
          <w:color w:val="000000" w:themeColor="text1"/>
          <w:sz w:val="28"/>
          <w:szCs w:val="28"/>
          <w:lang w:val="es-ES"/>
        </w:rPr>
      </w:pPr>
      <w:proofErr w:type="spellStart"/>
      <w:r w:rsidRPr="00610460">
        <w:rPr>
          <w:rFonts w:ascii="Calibri" w:hAnsi="Calibri" w:cs="Calibri"/>
          <w:bCs/>
          <w:color w:val="000000" w:themeColor="text1"/>
          <w:sz w:val="28"/>
          <w:szCs w:val="28"/>
          <w:lang w:val="es-ES"/>
        </w:rPr>
        <w:t>Mam</w:t>
      </w:r>
      <w:proofErr w:type="spellEnd"/>
      <w:r w:rsidRPr="00610460">
        <w:rPr>
          <w:rFonts w:ascii="Calibri" w:hAnsi="Calibri" w:cs="Calibri"/>
          <w:bCs/>
          <w:color w:val="000000" w:themeColor="text1"/>
          <w:sz w:val="28"/>
          <w:szCs w:val="28"/>
          <w:lang w:val="es-ES"/>
        </w:rPr>
        <w:t xml:space="preserve"> de </w:t>
      </w:r>
      <w:proofErr w:type="spellStart"/>
      <w:r w:rsidRPr="00610460">
        <w:rPr>
          <w:rFonts w:ascii="Calibri" w:hAnsi="Calibri" w:cs="Calibri"/>
          <w:bCs/>
          <w:color w:val="000000" w:themeColor="text1"/>
          <w:sz w:val="28"/>
          <w:szCs w:val="28"/>
          <w:lang w:val="es-ES"/>
        </w:rPr>
        <w:t>Cajolá</w:t>
      </w:r>
      <w:proofErr w:type="spellEnd"/>
    </w:p>
    <w:p w14:paraId="11B7CB5D" w14:textId="72C6487D" w:rsidR="00A666DC" w:rsidRPr="00C6051E" w:rsidRDefault="008572C8" w:rsidP="00251F6A">
      <w:pPr>
        <w:pBdr>
          <w:bottom w:val="single" w:sz="12" w:space="31" w:color="auto"/>
        </w:pBdr>
        <w:jc w:val="center"/>
        <w:rPr>
          <w:rFonts w:ascii="Calibri" w:hAnsi="Calibri" w:cs="Calibri"/>
          <w:bCs/>
          <w:color w:val="000000" w:themeColor="text1"/>
          <w:sz w:val="28"/>
          <w:szCs w:val="28"/>
          <w:lang w:val="es-ES"/>
        </w:rPr>
      </w:pPr>
      <w:r w:rsidRPr="00610460">
        <w:rPr>
          <w:rFonts w:ascii="Calibri" w:hAnsi="Calibri" w:cs="Calibri"/>
          <w:bCs/>
          <w:color w:val="000000" w:themeColor="text1"/>
          <w:sz w:val="28"/>
          <w:szCs w:val="28"/>
          <w:lang w:val="es-ES"/>
        </w:rPr>
        <w:t xml:space="preserve"> Maya </w:t>
      </w:r>
      <w:proofErr w:type="spellStart"/>
      <w:r w:rsidRPr="00610460">
        <w:rPr>
          <w:rFonts w:ascii="Calibri" w:hAnsi="Calibri" w:cs="Calibri"/>
          <w:bCs/>
          <w:color w:val="000000" w:themeColor="text1"/>
          <w:sz w:val="28"/>
          <w:szCs w:val="28"/>
          <w:lang w:val="es-ES"/>
        </w:rPr>
        <w:t>Mam</w:t>
      </w:r>
      <w:proofErr w:type="spellEnd"/>
      <w:r w:rsidRPr="00610460">
        <w:rPr>
          <w:rFonts w:ascii="Calibri" w:hAnsi="Calibri" w:cs="Calibri"/>
          <w:bCs/>
          <w:color w:val="000000" w:themeColor="text1"/>
          <w:sz w:val="28"/>
          <w:szCs w:val="28"/>
          <w:lang w:val="es-ES"/>
        </w:rPr>
        <w:t xml:space="preserve"> de Todos Santos </w:t>
      </w:r>
      <w:proofErr w:type="spellStart"/>
      <w:r w:rsidRPr="00610460">
        <w:rPr>
          <w:rFonts w:ascii="Calibri" w:hAnsi="Calibri" w:cs="Calibri"/>
          <w:bCs/>
          <w:color w:val="000000" w:themeColor="text1"/>
          <w:sz w:val="28"/>
          <w:szCs w:val="28"/>
          <w:lang w:val="es-ES"/>
        </w:rPr>
        <w:t>Cuchumatan</w:t>
      </w:r>
      <w:proofErr w:type="spellEnd"/>
    </w:p>
    <w:p w14:paraId="2B371E0F" w14:textId="77777777" w:rsidR="00C6051E" w:rsidRPr="00610460" w:rsidRDefault="00C6051E" w:rsidP="00251F6A">
      <w:pPr>
        <w:pBdr>
          <w:bottom w:val="single" w:sz="12" w:space="31" w:color="auto"/>
        </w:pBdr>
        <w:jc w:val="center"/>
        <w:rPr>
          <w:rFonts w:ascii="Calibri" w:eastAsia="Calibri" w:hAnsi="Calibri" w:cs="Calibri"/>
          <w:b/>
          <w:sz w:val="28"/>
          <w:szCs w:val="28"/>
          <w:lang w:val="es-ES"/>
        </w:rPr>
      </w:pPr>
    </w:p>
    <w:p w14:paraId="49CA4B32" w14:textId="4582EEA0" w:rsidR="00251F6A" w:rsidRDefault="00C6051E" w:rsidP="00251F6A">
      <w:pPr>
        <w:pBdr>
          <w:bottom w:val="single" w:sz="12" w:space="31" w:color="auto"/>
        </w:pBdr>
        <w:jc w:val="center"/>
        <w:rPr>
          <w:rFonts w:ascii="Calibri" w:eastAsia="Calibri" w:hAnsi="Calibri" w:cs="Calibri"/>
          <w:b/>
          <w:sz w:val="28"/>
          <w:szCs w:val="28"/>
          <w:lang w:val="es-ES"/>
        </w:rPr>
      </w:pPr>
      <w:r w:rsidRPr="00610460">
        <w:rPr>
          <w:rFonts w:ascii="Calibri" w:eastAsia="Calibri" w:hAnsi="Calibri" w:cs="Calibri"/>
          <w:b/>
          <w:sz w:val="28"/>
          <w:szCs w:val="28"/>
          <w:lang w:val="es-ES"/>
        </w:rPr>
        <w:t>Con el apoyo de</w:t>
      </w:r>
    </w:p>
    <w:p w14:paraId="607F5DA3" w14:textId="1D90744C" w:rsidR="00C6051E" w:rsidRPr="00610460" w:rsidRDefault="00C6051E" w:rsidP="00251F6A">
      <w:pPr>
        <w:pBdr>
          <w:bottom w:val="single" w:sz="12" w:space="31" w:color="auto"/>
        </w:pBdr>
        <w:jc w:val="center"/>
        <w:rPr>
          <w:rFonts w:ascii="Calibri" w:hAnsi="Calibri" w:cs="Calibri"/>
          <w:bCs/>
          <w:color w:val="000000" w:themeColor="text1"/>
          <w:sz w:val="28"/>
          <w:szCs w:val="28"/>
          <w:highlight w:val="cyan"/>
          <w:lang w:val="es-ES"/>
        </w:rPr>
      </w:pPr>
      <w:r w:rsidRPr="00610460">
        <w:rPr>
          <w:rFonts w:ascii="Calibri" w:hAnsi="Calibri" w:cs="Calibri"/>
          <w:bCs/>
          <w:color w:val="000000" w:themeColor="text1"/>
          <w:sz w:val="28"/>
          <w:szCs w:val="28"/>
          <w:lang w:val="es-ES"/>
        </w:rPr>
        <w:t>Cultural Survival</w:t>
      </w:r>
    </w:p>
    <w:p w14:paraId="19ACF954" w14:textId="6CDB7471" w:rsidR="00D80144" w:rsidRPr="00610460" w:rsidRDefault="004A6382" w:rsidP="00A666DC">
      <w:pPr>
        <w:pBdr>
          <w:bottom w:val="single" w:sz="12" w:space="1" w:color="auto"/>
        </w:pBdr>
        <w:spacing w:after="120"/>
        <w:jc w:val="center"/>
        <w:rPr>
          <w:rFonts w:ascii="Calibri" w:eastAsia="Calibri" w:hAnsi="Calibri" w:cs="Calibri"/>
          <w:b/>
          <w:sz w:val="32"/>
          <w:szCs w:val="32"/>
          <w:lang w:val="es-ES"/>
        </w:rPr>
      </w:pPr>
      <w:r w:rsidRPr="00610460">
        <w:rPr>
          <w:rFonts w:ascii="Calibri" w:eastAsia="Calibri" w:hAnsi="Calibri" w:cs="Calibri"/>
          <w:b/>
          <w:bCs/>
          <w:sz w:val="32"/>
          <w:szCs w:val="32"/>
          <w:lang w:val="es-ES"/>
        </w:rPr>
        <w:t>20</w:t>
      </w:r>
      <w:r w:rsidR="00B9778D">
        <w:rPr>
          <w:rFonts w:ascii="Calibri" w:eastAsia="Calibri" w:hAnsi="Calibri" w:cs="Calibri"/>
          <w:b/>
          <w:bCs/>
          <w:sz w:val="32"/>
          <w:szCs w:val="32"/>
          <w:lang w:val="es-ES"/>
        </w:rPr>
        <w:t xml:space="preserve"> </w:t>
      </w:r>
      <w:r w:rsidR="00D210F5">
        <w:rPr>
          <w:rFonts w:ascii="Calibri" w:eastAsia="Calibri" w:hAnsi="Calibri" w:cs="Calibri"/>
          <w:b/>
          <w:bCs/>
          <w:sz w:val="32"/>
          <w:szCs w:val="32"/>
          <w:lang w:val="es-ES"/>
        </w:rPr>
        <w:t xml:space="preserve">de </w:t>
      </w:r>
      <w:r w:rsidR="00B9778D">
        <w:rPr>
          <w:rFonts w:ascii="Calibri" w:eastAsia="Calibri" w:hAnsi="Calibri" w:cs="Calibri"/>
          <w:b/>
          <w:bCs/>
          <w:sz w:val="32"/>
          <w:szCs w:val="32"/>
          <w:lang w:val="es-ES"/>
        </w:rPr>
        <w:t>oct</w:t>
      </w:r>
      <w:r w:rsidR="00D210F5">
        <w:rPr>
          <w:rFonts w:ascii="Calibri" w:eastAsia="Calibri" w:hAnsi="Calibri" w:cs="Calibri"/>
          <w:b/>
          <w:bCs/>
          <w:sz w:val="32"/>
          <w:szCs w:val="32"/>
          <w:lang w:val="es-ES"/>
        </w:rPr>
        <w:t>u</w:t>
      </w:r>
      <w:r w:rsidR="00B9778D">
        <w:rPr>
          <w:rFonts w:ascii="Calibri" w:eastAsia="Calibri" w:hAnsi="Calibri" w:cs="Calibri"/>
          <w:b/>
          <w:bCs/>
          <w:sz w:val="32"/>
          <w:szCs w:val="32"/>
          <w:lang w:val="es-ES"/>
        </w:rPr>
        <w:t>bre</w:t>
      </w:r>
      <w:r w:rsidRPr="00610460">
        <w:rPr>
          <w:rFonts w:ascii="Calibri" w:eastAsia="Calibri" w:hAnsi="Calibri" w:cs="Calibri"/>
          <w:b/>
          <w:bCs/>
          <w:sz w:val="32"/>
          <w:szCs w:val="32"/>
          <w:lang w:val="es-ES"/>
        </w:rPr>
        <w:t xml:space="preserve"> </w:t>
      </w:r>
      <w:r w:rsidR="00D210F5">
        <w:rPr>
          <w:rFonts w:ascii="Calibri" w:eastAsia="Calibri" w:hAnsi="Calibri" w:cs="Calibri"/>
          <w:b/>
          <w:bCs/>
          <w:sz w:val="32"/>
          <w:szCs w:val="32"/>
          <w:lang w:val="es-ES"/>
        </w:rPr>
        <w:t xml:space="preserve">de </w:t>
      </w:r>
      <w:r w:rsidRPr="00610460">
        <w:rPr>
          <w:rFonts w:ascii="Calibri" w:eastAsia="Calibri" w:hAnsi="Calibri" w:cs="Calibri"/>
          <w:b/>
          <w:bCs/>
          <w:sz w:val="32"/>
          <w:szCs w:val="32"/>
          <w:lang w:val="es-ES"/>
        </w:rPr>
        <w:t>2025</w:t>
      </w:r>
    </w:p>
    <w:p w14:paraId="5680E9DD" w14:textId="11FAE187" w:rsidR="00F65E43" w:rsidRDefault="00F65E43" w:rsidP="038AF55E">
      <w:pPr>
        <w:jc w:val="right"/>
        <w:rPr>
          <w:rFonts w:ascii="Calibri" w:eastAsia="Calibri" w:hAnsi="Calibri" w:cs="Calibri"/>
          <w:b/>
          <w:bCs/>
          <w:sz w:val="24"/>
          <w:lang w:val="es-ES"/>
        </w:rPr>
      </w:pPr>
    </w:p>
    <w:p w14:paraId="60AAAE24" w14:textId="0EE77A77" w:rsidR="00251F6A" w:rsidRDefault="00251F6A" w:rsidP="038AF55E">
      <w:pPr>
        <w:jc w:val="right"/>
        <w:rPr>
          <w:rFonts w:ascii="Calibri" w:eastAsia="Calibri" w:hAnsi="Calibri" w:cs="Calibri"/>
          <w:b/>
          <w:bCs/>
          <w:sz w:val="24"/>
          <w:lang w:val="es-ES"/>
        </w:rPr>
      </w:pPr>
    </w:p>
    <w:p w14:paraId="6151E379" w14:textId="77777777" w:rsidR="00251F6A" w:rsidRPr="00610460" w:rsidRDefault="00251F6A" w:rsidP="038AF55E">
      <w:pPr>
        <w:jc w:val="right"/>
        <w:rPr>
          <w:rFonts w:ascii="Calibri" w:eastAsia="Calibri" w:hAnsi="Calibri" w:cs="Calibri"/>
          <w:b/>
          <w:bCs/>
          <w:sz w:val="24"/>
          <w:lang w:val="es-ES"/>
        </w:rPr>
      </w:pPr>
    </w:p>
    <w:p w14:paraId="17821F6B" w14:textId="726773E0" w:rsidR="038AF55E" w:rsidRPr="00610460" w:rsidRDefault="038AF55E" w:rsidP="038AF55E">
      <w:pPr>
        <w:jc w:val="right"/>
        <w:rPr>
          <w:rFonts w:ascii="Calibri" w:eastAsia="Calibri" w:hAnsi="Calibri" w:cs="Calibri"/>
          <w:b/>
          <w:bCs/>
          <w:sz w:val="24"/>
          <w:lang w:val="es-ES"/>
        </w:rPr>
        <w:sectPr w:rsidR="038AF55E" w:rsidRPr="00610460" w:rsidSect="00A666DC">
          <w:footerReference w:type="default" r:id="rId11"/>
          <w:type w:val="continuous"/>
          <w:pgSz w:w="12240" w:h="15840"/>
          <w:pgMar w:top="1440" w:right="1440" w:bottom="1440" w:left="1440" w:header="720" w:footer="720" w:gutter="0"/>
          <w:cols w:space="720"/>
          <w:docGrid w:linePitch="360"/>
        </w:sectPr>
      </w:pPr>
    </w:p>
    <w:p w14:paraId="0B99843D" w14:textId="218716C3" w:rsidR="00D80144" w:rsidRPr="00610460" w:rsidRDefault="00D80144" w:rsidP="00F65E43">
      <w:pPr>
        <w:rPr>
          <w:rFonts w:ascii="Calibri" w:eastAsia="Calibri" w:hAnsi="Calibri" w:cs="Calibri"/>
          <w:b/>
          <w:bCs/>
          <w:sz w:val="24"/>
          <w:lang w:val="es-ES"/>
        </w:rPr>
      </w:pPr>
      <w:r w:rsidRPr="00610460">
        <w:rPr>
          <w:rFonts w:ascii="Calibri" w:eastAsia="Calibri" w:hAnsi="Calibri" w:cs="Calibri"/>
          <w:b/>
          <w:bCs/>
          <w:sz w:val="24"/>
          <w:lang w:val="es-ES"/>
        </w:rPr>
        <w:t>Preparado por y Contacto:</w:t>
      </w:r>
    </w:p>
    <w:p w14:paraId="7E1CF39B" w14:textId="77777777" w:rsidR="00F65E43" w:rsidRPr="006678D8" w:rsidRDefault="00F65E43" w:rsidP="00F65E43">
      <w:pPr>
        <w:rPr>
          <w:rFonts w:ascii="Calibri" w:hAnsi="Calibri" w:cs="Calibri"/>
          <w:sz w:val="24"/>
          <w:lang w:val="es-ES"/>
        </w:rPr>
      </w:pPr>
      <w:r w:rsidRPr="00F65E43">
        <w:rPr>
          <w:rFonts w:ascii="Calibri" w:hAnsi="Calibri" w:cs="Calibri"/>
          <w:noProof/>
          <w:sz w:val="24"/>
        </w:rPr>
        <w:drawing>
          <wp:inline distT="0" distB="0" distL="0" distR="0" wp14:anchorId="6A3F9ABF" wp14:editId="25206F6C">
            <wp:extent cx="1714500" cy="449916"/>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4500" cy="449916"/>
                    </a:xfrm>
                    <a:prstGeom prst="rect">
                      <a:avLst/>
                    </a:prstGeom>
                    <a:noFill/>
                    <a:ln>
                      <a:noFill/>
                    </a:ln>
                  </pic:spPr>
                </pic:pic>
              </a:graphicData>
            </a:graphic>
          </wp:inline>
        </w:drawing>
      </w:r>
      <w:r w:rsidRPr="00610460">
        <w:rPr>
          <w:rFonts w:ascii="Calibri" w:hAnsi="Calibri" w:cs="Calibri"/>
          <w:sz w:val="24"/>
          <w:lang w:val="es-ES"/>
        </w:rPr>
        <w:t xml:space="preserve"> </w:t>
      </w:r>
    </w:p>
    <w:p w14:paraId="551F696E" w14:textId="4A6E220C" w:rsidR="00F65E43" w:rsidRPr="007A4D91" w:rsidRDefault="00F65E43" w:rsidP="00F65E43">
      <w:pPr>
        <w:rPr>
          <w:rFonts w:ascii="Calibri" w:hAnsi="Calibri" w:cs="Calibri"/>
          <w:sz w:val="24"/>
          <w:lang w:val="es-ES"/>
        </w:rPr>
      </w:pPr>
      <w:r w:rsidRPr="00610460">
        <w:rPr>
          <w:rFonts w:ascii="Calibri" w:hAnsi="Calibri" w:cs="Calibri"/>
          <w:sz w:val="24"/>
          <w:lang w:val="es-ES"/>
        </w:rPr>
        <w:t>Nicole Friederichs</w:t>
      </w:r>
    </w:p>
    <w:p w14:paraId="36B895D8" w14:textId="1E2C9F31" w:rsidR="00F65E43" w:rsidRPr="00F65E43" w:rsidRDefault="00F65E43" w:rsidP="00F65E43">
      <w:pPr>
        <w:rPr>
          <w:rFonts w:ascii="Calibri" w:hAnsi="Calibri" w:cs="Calibri"/>
          <w:b/>
          <w:bCs/>
          <w:color w:val="000000"/>
          <w:sz w:val="24"/>
          <w:lang w:val="es-ES"/>
        </w:rPr>
      </w:pPr>
      <w:r w:rsidRPr="00610460">
        <w:rPr>
          <w:rFonts w:ascii="Calibri" w:hAnsi="Calibri" w:cs="Calibri"/>
          <w:b/>
          <w:bCs/>
          <w:color w:val="000000"/>
          <w:sz w:val="24"/>
          <w:lang w:val="es-ES"/>
        </w:rPr>
        <w:t>Representante Legal</w:t>
      </w:r>
    </w:p>
    <w:p w14:paraId="00B5259E" w14:textId="77777777" w:rsidR="00F65E43" w:rsidRDefault="00F65E43" w:rsidP="00F65E43">
      <w:pPr>
        <w:rPr>
          <w:rFonts w:ascii="Calibri" w:eastAsia="Calibri" w:hAnsi="Calibri" w:cs="Calibri"/>
          <w:sz w:val="24"/>
          <w:lang w:val="es-ES"/>
        </w:rPr>
      </w:pPr>
    </w:p>
    <w:p w14:paraId="56C4ED81" w14:textId="16BA35F8" w:rsidR="00F65E43" w:rsidRPr="00F65E43" w:rsidRDefault="00F65E43" w:rsidP="00F65E43">
      <w:pPr>
        <w:rPr>
          <w:rFonts w:ascii="Calibri" w:eastAsia="Calibri" w:hAnsi="Calibri" w:cs="Calibri"/>
          <w:sz w:val="24"/>
          <w:lang w:val="es-ES"/>
        </w:rPr>
      </w:pPr>
      <w:r w:rsidRPr="00610460">
        <w:rPr>
          <w:rFonts w:ascii="Calibri" w:eastAsia="Calibri" w:hAnsi="Calibri" w:cs="Calibri"/>
          <w:sz w:val="24"/>
          <w:lang w:val="es-ES"/>
        </w:rPr>
        <w:t xml:space="preserve">Omar </w:t>
      </w:r>
      <w:proofErr w:type="spellStart"/>
      <w:r w:rsidRPr="00610460">
        <w:rPr>
          <w:rFonts w:ascii="Calibri" w:eastAsia="Calibri" w:hAnsi="Calibri" w:cs="Calibri"/>
          <w:sz w:val="24"/>
          <w:lang w:val="es-ES"/>
        </w:rPr>
        <w:t>Harajra</w:t>
      </w:r>
      <w:proofErr w:type="spellEnd"/>
      <w:r w:rsidRPr="00610460">
        <w:rPr>
          <w:rFonts w:ascii="Calibri" w:eastAsia="Calibri" w:hAnsi="Calibri" w:cs="Calibri"/>
          <w:sz w:val="24"/>
          <w:lang w:val="es-ES"/>
        </w:rPr>
        <w:t xml:space="preserve"> y Sarah Ortiz </w:t>
      </w:r>
    </w:p>
    <w:p w14:paraId="0DCF48A4" w14:textId="30E3DD1D" w:rsidR="00F65E43" w:rsidRPr="00F65E43" w:rsidRDefault="00F65E43" w:rsidP="00F65E43">
      <w:pPr>
        <w:rPr>
          <w:rFonts w:ascii="Calibri" w:hAnsi="Calibri" w:cs="Calibri"/>
          <w:b/>
          <w:bCs/>
          <w:color w:val="000000"/>
          <w:sz w:val="24"/>
          <w:lang w:val="es-ES"/>
        </w:rPr>
      </w:pPr>
      <w:r w:rsidRPr="00610460">
        <w:rPr>
          <w:rFonts w:ascii="Calibri" w:hAnsi="Calibri" w:cs="Calibri"/>
          <w:b/>
          <w:bCs/>
          <w:color w:val="000000"/>
          <w:sz w:val="24"/>
          <w:lang w:val="es-ES"/>
        </w:rPr>
        <w:t>Estudiante</w:t>
      </w:r>
      <w:r w:rsidR="00644A97">
        <w:rPr>
          <w:rFonts w:ascii="Calibri" w:hAnsi="Calibri" w:cs="Calibri"/>
          <w:b/>
          <w:bCs/>
          <w:color w:val="000000"/>
          <w:sz w:val="24"/>
          <w:lang w:val="es-ES"/>
        </w:rPr>
        <w:t>s</w:t>
      </w:r>
      <w:r w:rsidRPr="00610460">
        <w:rPr>
          <w:rFonts w:ascii="Calibri" w:hAnsi="Calibri" w:cs="Calibri"/>
          <w:b/>
          <w:bCs/>
          <w:color w:val="000000"/>
          <w:sz w:val="24"/>
          <w:lang w:val="es-ES"/>
        </w:rPr>
        <w:t xml:space="preserve"> de la </w:t>
      </w:r>
    </w:p>
    <w:p w14:paraId="64227ABE" w14:textId="77777777" w:rsidR="00F65E43" w:rsidRPr="00610460" w:rsidRDefault="00F65E43" w:rsidP="00F65E43">
      <w:pPr>
        <w:rPr>
          <w:rFonts w:ascii="Calibri" w:hAnsi="Calibri" w:cs="Calibri"/>
          <w:sz w:val="24"/>
          <w:lang w:val="es-ES"/>
        </w:rPr>
      </w:pPr>
      <w:r w:rsidRPr="00610460">
        <w:rPr>
          <w:rFonts w:ascii="Calibri" w:hAnsi="Calibri" w:cs="Calibri"/>
          <w:b/>
          <w:bCs/>
          <w:color w:val="000000"/>
          <w:sz w:val="24"/>
          <w:lang w:val="es-ES"/>
        </w:rPr>
        <w:t>Clínica Jurídica</w:t>
      </w:r>
    </w:p>
    <w:p w14:paraId="1AF58E9C" w14:textId="77777777" w:rsidR="007A4D91" w:rsidRPr="00610460" w:rsidRDefault="007A4D91" w:rsidP="00F65E43">
      <w:pPr>
        <w:rPr>
          <w:rFonts w:ascii="Calibri" w:hAnsi="Calibri" w:cs="Calibri"/>
          <w:sz w:val="24"/>
          <w:lang w:val="es-ES"/>
        </w:rPr>
      </w:pPr>
    </w:p>
    <w:p w14:paraId="3D5A30D7" w14:textId="77777777" w:rsidR="007A4D91" w:rsidRPr="00610460" w:rsidRDefault="007A4D91" w:rsidP="00F65E43">
      <w:pPr>
        <w:rPr>
          <w:rFonts w:ascii="Calibri" w:hAnsi="Calibri" w:cs="Calibri"/>
          <w:b/>
          <w:sz w:val="24"/>
          <w:lang w:val="es-ES"/>
        </w:rPr>
      </w:pPr>
    </w:p>
    <w:p w14:paraId="029FD260" w14:textId="596CC8A4" w:rsidR="00F65E43" w:rsidRPr="00610460" w:rsidRDefault="00F65E43" w:rsidP="00F65E43">
      <w:pPr>
        <w:rPr>
          <w:rFonts w:ascii="Calibri" w:hAnsi="Calibri" w:cs="Calibri"/>
          <w:b/>
          <w:sz w:val="24"/>
          <w:lang w:val="es-ES"/>
        </w:rPr>
      </w:pPr>
      <w:r w:rsidRPr="00610460">
        <w:rPr>
          <w:rFonts w:ascii="Calibri" w:hAnsi="Calibri" w:cs="Calibri"/>
          <w:b/>
          <w:sz w:val="24"/>
          <w:lang w:val="es-ES"/>
        </w:rPr>
        <w:t>Clínica de Derechos Humanos y Pueblos Indígenas</w:t>
      </w:r>
    </w:p>
    <w:p w14:paraId="485658DC" w14:textId="77777777" w:rsidR="00F65E43" w:rsidRPr="00F65E43" w:rsidRDefault="00F65E43" w:rsidP="00F65E43">
      <w:pPr>
        <w:rPr>
          <w:rFonts w:ascii="Calibri" w:hAnsi="Calibri" w:cs="Calibri"/>
          <w:b/>
          <w:sz w:val="24"/>
          <w:lang w:val="es-ES"/>
        </w:rPr>
      </w:pPr>
      <w:r w:rsidRPr="00610460">
        <w:rPr>
          <w:rFonts w:ascii="Calibri" w:hAnsi="Calibri" w:cs="Calibri"/>
          <w:color w:val="000000"/>
          <w:sz w:val="24"/>
          <w:lang w:val="es-ES"/>
        </w:rPr>
        <w:t xml:space="preserve"> (Clínica Jurídica de Derechos Humanos y Pueblos Indígenas)</w:t>
      </w:r>
    </w:p>
    <w:p w14:paraId="339BBB4E" w14:textId="77777777" w:rsidR="00F65E43" w:rsidRPr="00610460" w:rsidRDefault="00F65E43" w:rsidP="00F65E43">
      <w:pPr>
        <w:rPr>
          <w:rFonts w:ascii="Calibri" w:hAnsi="Calibri" w:cs="Calibri"/>
          <w:b/>
          <w:sz w:val="24"/>
          <w:lang w:val="es-ES"/>
        </w:rPr>
      </w:pPr>
      <w:r w:rsidRPr="00610460">
        <w:rPr>
          <w:rFonts w:ascii="Calibri" w:hAnsi="Calibri" w:cs="Calibri"/>
          <w:b/>
          <w:sz w:val="24"/>
          <w:lang w:val="es-ES"/>
        </w:rPr>
        <w:t>Facultad de Derecho de la Universidad de Suffolk</w:t>
      </w:r>
    </w:p>
    <w:p w14:paraId="786D5F79" w14:textId="26B039D6" w:rsidR="00F65E43" w:rsidRPr="00EC4AFA" w:rsidRDefault="00B16FB7" w:rsidP="00F65E43">
      <w:pPr>
        <w:rPr>
          <w:rFonts w:ascii="Calibri" w:hAnsi="Calibri" w:cs="Calibri"/>
          <w:sz w:val="24"/>
        </w:rPr>
      </w:pPr>
      <w:r w:rsidRPr="00EC4AFA">
        <w:rPr>
          <w:rFonts w:ascii="Calibri" w:hAnsi="Calibri" w:cs="Calibri"/>
          <w:sz w:val="24"/>
        </w:rPr>
        <w:t>120 Tremont Street</w:t>
      </w:r>
    </w:p>
    <w:p w14:paraId="16F49162" w14:textId="77777777" w:rsidR="00F65E43" w:rsidRPr="00EC4AFA" w:rsidRDefault="00F65E43" w:rsidP="00F65E43">
      <w:pPr>
        <w:rPr>
          <w:rFonts w:ascii="Calibri" w:hAnsi="Calibri" w:cs="Calibri"/>
          <w:sz w:val="24"/>
        </w:rPr>
      </w:pPr>
      <w:r w:rsidRPr="00EC4AFA">
        <w:rPr>
          <w:rFonts w:ascii="Calibri" w:hAnsi="Calibri" w:cs="Calibri"/>
          <w:sz w:val="24"/>
        </w:rPr>
        <w:t>Boston, MA 02108</w:t>
      </w:r>
    </w:p>
    <w:p w14:paraId="3F7A09C9" w14:textId="4DF47D21" w:rsidR="00F65E43" w:rsidRPr="00EC4AFA" w:rsidRDefault="00B16FB7" w:rsidP="00F65E43">
      <w:pPr>
        <w:rPr>
          <w:rFonts w:ascii="Calibri" w:hAnsi="Calibri" w:cs="Calibri"/>
          <w:sz w:val="24"/>
        </w:rPr>
      </w:pPr>
      <w:r w:rsidRPr="00EC4AFA">
        <w:rPr>
          <w:rFonts w:ascii="Calibri" w:hAnsi="Calibri" w:cs="Calibri"/>
          <w:sz w:val="24"/>
        </w:rPr>
        <w:t>United States of America</w:t>
      </w:r>
    </w:p>
    <w:p w14:paraId="7E5B31C2" w14:textId="646D0B6E" w:rsidR="00F65E43" w:rsidRPr="00F65E43" w:rsidRDefault="00F65E43" w:rsidP="038AF55E">
      <w:pPr>
        <w:rPr>
          <w:rFonts w:ascii="Calibri" w:hAnsi="Calibri" w:cs="Calibri"/>
          <w:sz w:val="24"/>
          <w:lang w:val="es-ES"/>
        </w:rPr>
      </w:pPr>
      <w:proofErr w:type="spellStart"/>
      <w:r w:rsidRPr="038AF55E">
        <w:rPr>
          <w:rFonts w:ascii="Calibri" w:hAnsi="Calibri" w:cs="Calibri"/>
          <w:sz w:val="24"/>
        </w:rPr>
        <w:t>Teléfono</w:t>
      </w:r>
      <w:proofErr w:type="spellEnd"/>
      <w:r w:rsidRPr="038AF55E">
        <w:rPr>
          <w:rFonts w:ascii="Calibri" w:hAnsi="Calibri" w:cs="Calibri"/>
          <w:sz w:val="24"/>
        </w:rPr>
        <w:t xml:space="preserve">: 1-617-305-1682 </w:t>
      </w:r>
      <w:hyperlink r:id="rId13">
        <w:r w:rsidRPr="038AF55E">
          <w:rPr>
            <w:rStyle w:val="Hyperlink"/>
            <w:rFonts w:ascii="Calibri" w:hAnsi="Calibri" w:cs="Calibri"/>
            <w:sz w:val="24"/>
          </w:rPr>
          <w:t>nfriederichs@suffolk.edu</w:t>
        </w:r>
      </w:hyperlink>
      <w:r w:rsidRPr="038AF55E">
        <w:rPr>
          <w:rFonts w:ascii="Calibri" w:hAnsi="Calibri" w:cs="Calibri"/>
          <w:sz w:val="24"/>
        </w:rPr>
        <w:t xml:space="preserve"> </w:t>
      </w:r>
    </w:p>
    <w:p w14:paraId="5B45FBDB" w14:textId="20123B5F" w:rsidR="038AF55E" w:rsidRDefault="038AF55E" w:rsidP="038AF55E">
      <w:pPr>
        <w:rPr>
          <w:rFonts w:ascii="Calibri" w:hAnsi="Calibri" w:cs="Calibri"/>
          <w:sz w:val="24"/>
          <w:lang w:val="es-ES"/>
        </w:rPr>
      </w:pPr>
    </w:p>
    <w:p w14:paraId="3FD2D821" w14:textId="77777777" w:rsidR="00F65E43" w:rsidRDefault="00F65E43" w:rsidP="00C6051E">
      <w:pPr>
        <w:jc w:val="right"/>
        <w:rPr>
          <w:rFonts w:ascii="Calibri" w:eastAsia="Calibri" w:hAnsi="Calibri" w:cs="Calibri"/>
          <w:b/>
          <w:bCs/>
          <w:sz w:val="24"/>
        </w:rPr>
        <w:sectPr w:rsidR="00F65E43" w:rsidSect="00F65E43">
          <w:type w:val="continuous"/>
          <w:pgSz w:w="12240" w:h="15840"/>
          <w:pgMar w:top="1440" w:right="1440" w:bottom="1440" w:left="1440" w:header="720" w:footer="720" w:gutter="0"/>
          <w:cols w:num="2" w:space="360"/>
          <w:docGrid w:linePitch="360"/>
        </w:sectPr>
      </w:pPr>
    </w:p>
    <w:p w14:paraId="403C749A" w14:textId="5823C20D" w:rsidR="00CB0E64" w:rsidRPr="00AA4B77" w:rsidRDefault="00AA4B77" w:rsidP="00AA4B77">
      <w:pPr>
        <w:pStyle w:val="ListParagraph"/>
        <w:numPr>
          <w:ilvl w:val="0"/>
          <w:numId w:val="30"/>
        </w:numPr>
        <w:ind w:left="720"/>
        <w:rPr>
          <w:rFonts w:ascii="Calibri" w:hAnsi="Calibri" w:cs="Calibri"/>
          <w:b/>
          <w:bCs/>
          <w:color w:val="000000" w:themeColor="text1"/>
          <w:sz w:val="24"/>
        </w:rPr>
      </w:pPr>
      <w:r w:rsidRPr="00AA4B77">
        <w:rPr>
          <w:rFonts w:ascii="Calibri" w:hAnsi="Calibri" w:cs="Calibri"/>
          <w:b/>
          <w:bCs/>
          <w:color w:val="000000" w:themeColor="text1"/>
          <w:sz w:val="24"/>
        </w:rPr>
        <w:br w:type="column"/>
      </w:r>
      <w:r w:rsidR="00CB0E64" w:rsidRPr="00AA4B77">
        <w:rPr>
          <w:rFonts w:ascii="Calibri" w:hAnsi="Calibri" w:cs="Calibri"/>
          <w:b/>
          <w:bCs/>
          <w:color w:val="000000" w:themeColor="text1"/>
          <w:sz w:val="24"/>
        </w:rPr>
        <w:lastRenderedPageBreak/>
        <w:t>INTRODUCCIÓN</w:t>
      </w:r>
    </w:p>
    <w:p w14:paraId="1B6B72E8" w14:textId="77777777" w:rsidR="00CB0E64" w:rsidRPr="00C6051E" w:rsidRDefault="00CB0E64" w:rsidP="008E73FF">
      <w:pPr>
        <w:pStyle w:val="ListParagraph"/>
        <w:ind w:left="0"/>
        <w:rPr>
          <w:rFonts w:ascii="Calibri" w:hAnsi="Calibri" w:cs="Calibri"/>
          <w:b/>
          <w:bCs/>
          <w:color w:val="000000" w:themeColor="text1"/>
          <w:sz w:val="24"/>
        </w:rPr>
      </w:pPr>
    </w:p>
    <w:p w14:paraId="1C1876A2" w14:textId="30A671DC" w:rsidR="00CB0E64" w:rsidRPr="00610460" w:rsidRDefault="00CB0E64" w:rsidP="00C6051E">
      <w:pPr>
        <w:pStyle w:val="ListParagraph"/>
        <w:numPr>
          <w:ilvl w:val="0"/>
          <w:numId w:val="27"/>
        </w:numPr>
        <w:rPr>
          <w:rFonts w:ascii="Calibri" w:hAnsi="Calibri" w:cs="Calibri"/>
          <w:color w:val="000000" w:themeColor="text1"/>
          <w:sz w:val="24"/>
          <w:lang w:val="es-ES"/>
        </w:rPr>
      </w:pPr>
      <w:r w:rsidRPr="00610460">
        <w:rPr>
          <w:rFonts w:ascii="Calibri" w:hAnsi="Calibri" w:cs="Calibri"/>
          <w:color w:val="000000" w:themeColor="text1"/>
          <w:sz w:val="24"/>
          <w:lang w:val="es-ES"/>
        </w:rPr>
        <w:t xml:space="preserve">En diciembre de 2021, la Corte Interamericana de Derechos Humanos ("Corte IDH") emitió su sentencia sobre el fondo en el </w:t>
      </w:r>
      <w:r w:rsidR="00AF17C3" w:rsidRPr="00610460">
        <w:rPr>
          <w:rFonts w:ascii="Calibri" w:hAnsi="Calibri" w:cs="Calibri"/>
          <w:i/>
          <w:color w:val="000000" w:themeColor="text1"/>
          <w:sz w:val="24"/>
          <w:lang w:val="es-ES"/>
        </w:rPr>
        <w:t xml:space="preserve">Caso de </w:t>
      </w:r>
      <w:r w:rsidR="00BD3DBE" w:rsidRPr="00610460">
        <w:rPr>
          <w:rFonts w:ascii="Calibri" w:hAnsi="Calibri" w:cs="Calibri"/>
          <w:i/>
          <w:iCs/>
          <w:color w:val="000000" w:themeColor="text1"/>
          <w:sz w:val="24"/>
          <w:lang w:val="es-ES"/>
        </w:rPr>
        <w:t>los Pueblos Indígenas Maya Kaqchikel de Sumpango y otros vs. Guatemala.</w:t>
      </w:r>
      <w:r w:rsidR="00FA0918" w:rsidRPr="00C6051E">
        <w:rPr>
          <w:rStyle w:val="FootnoteReference"/>
          <w:rFonts w:ascii="Calibri" w:hAnsi="Calibri" w:cs="Calibri"/>
          <w:color w:val="000000" w:themeColor="text1"/>
          <w:sz w:val="24"/>
        </w:rPr>
        <w:footnoteReference w:id="1"/>
      </w:r>
      <w:r w:rsidR="00485D8D" w:rsidRPr="00610460">
        <w:rPr>
          <w:rFonts w:ascii="Calibri" w:hAnsi="Calibri" w:cs="Calibri"/>
          <w:i/>
          <w:iCs/>
          <w:color w:val="000000" w:themeColor="text1"/>
          <w:sz w:val="24"/>
          <w:lang w:val="es-ES"/>
        </w:rPr>
        <w:t xml:space="preserve"> </w:t>
      </w:r>
      <w:r w:rsidR="00AF17C3" w:rsidRPr="00610460">
        <w:rPr>
          <w:rFonts w:ascii="Calibri" w:hAnsi="Calibri" w:cs="Calibri"/>
          <w:color w:val="000000" w:themeColor="text1"/>
          <w:sz w:val="24"/>
          <w:lang w:val="es-ES"/>
        </w:rPr>
        <w:t xml:space="preserve">El caso aborda, por primera vez, los derechos de los pueblos indígenas a la libertad de opinión y expresión, los medios de comunicación, así como la cultura, y la igualdad ante la ley. El caso surgió de una </w:t>
      </w:r>
      <w:r w:rsidRPr="00610460">
        <w:rPr>
          <w:rFonts w:ascii="Calibri" w:hAnsi="Calibri" w:cs="Calibri"/>
          <w:i/>
          <w:iCs/>
          <w:color w:val="000000" w:themeColor="text1"/>
          <w:sz w:val="24"/>
          <w:lang w:val="es-ES"/>
        </w:rPr>
        <w:t>prohibición de facto</w:t>
      </w:r>
      <w:r w:rsidRPr="00610460">
        <w:rPr>
          <w:rFonts w:ascii="Calibri" w:hAnsi="Calibri" w:cs="Calibri"/>
          <w:color w:val="000000" w:themeColor="text1"/>
          <w:sz w:val="24"/>
          <w:lang w:val="es-ES"/>
        </w:rPr>
        <w:t xml:space="preserve"> de las radios comunitarias indígenas en Guatemala, años de procesos penales contra las comunidades indígenas por operar estaciones de radio comunitarias y un movimiento en curso para cambiar la ley que regula el espectro de frecuencias de radio. Al concluir que Guatemala discriminaba y violaba los derechos de las comunidades indígenas, la Corte Interamericana emitió varias reparaciones para remediar las violaciones. En los casi cuatro años transcurridos desde la publicación de la sentencia, el Estado de Guatemala ha logrado avances mínimos en la implementación de reparaciones, lo que ha impedido que la población indígena de Guatemala ejerza plenamente sus derechos a la expresión, la opinión y los medios de comunicación a través de la radio comunitaria.</w:t>
      </w:r>
    </w:p>
    <w:p w14:paraId="0D927702" w14:textId="46EC4B33" w:rsidR="004F0825" w:rsidRPr="00610460" w:rsidRDefault="004F0825" w:rsidP="5088DC67">
      <w:pPr>
        <w:pStyle w:val="ListParagraph"/>
        <w:ind w:left="0"/>
        <w:rPr>
          <w:rFonts w:ascii="Calibri" w:hAnsi="Calibri" w:cs="Calibri"/>
          <w:color w:val="000000" w:themeColor="text1"/>
          <w:sz w:val="24"/>
          <w:lang w:val="es-ES"/>
        </w:rPr>
      </w:pPr>
    </w:p>
    <w:p w14:paraId="1DA7A60C" w14:textId="33D4DD71" w:rsidR="00C6051E" w:rsidRPr="00610460" w:rsidRDefault="00B360A3" w:rsidP="00C6051E">
      <w:pPr>
        <w:pStyle w:val="ListParagraph"/>
        <w:numPr>
          <w:ilvl w:val="0"/>
          <w:numId w:val="27"/>
        </w:numPr>
        <w:rPr>
          <w:rFonts w:ascii="Calibri" w:hAnsi="Calibri" w:cs="Calibri"/>
          <w:color w:val="000000" w:themeColor="text1"/>
          <w:sz w:val="24"/>
          <w:lang w:val="es-ES"/>
        </w:rPr>
      </w:pPr>
      <w:r w:rsidRPr="00610460">
        <w:rPr>
          <w:rFonts w:ascii="Calibri" w:hAnsi="Calibri" w:cs="Calibri"/>
          <w:sz w:val="24"/>
          <w:lang w:val="es-ES"/>
        </w:rPr>
        <w:t>Entre la lista de temas del Comité para la Eliminación de la Discriminación Racial para este examen periódico de Guatemala se encuentra:</w:t>
      </w:r>
    </w:p>
    <w:p w14:paraId="028662C2" w14:textId="1FFC3141" w:rsidR="00C6051E" w:rsidRPr="003A3BF9" w:rsidRDefault="003A3BF9" w:rsidP="038AF55E">
      <w:pPr>
        <w:ind w:left="1440" w:right="1440"/>
        <w:rPr>
          <w:rFonts w:ascii="Calibri" w:hAnsi="Calibri" w:cs="Calibri"/>
          <w:sz w:val="24"/>
          <w:lang w:val="es-ES"/>
        </w:rPr>
      </w:pPr>
      <w:r w:rsidRPr="003A3BF9">
        <w:rPr>
          <w:rFonts w:ascii="Calibri" w:hAnsi="Calibri" w:cs="Calibri"/>
          <w:color w:val="000000"/>
          <w:sz w:val="24"/>
          <w:lang w:val="es-ES"/>
        </w:rPr>
        <w:t>Información actualizada sobre las medidas para garantizar el ejercicio del derecho a la libertad de expresión por parte de miembros de Pueblos Indígenas y afrodescendientes, incluida la adopción de un marco legal sobre los medios de comunicación comunitarios, de conformidad con la sentencia de fecha 6 de octubre de 2021 de la Corte Interamericana de Derechos Humanos sobre el caso </w:t>
      </w:r>
      <w:r w:rsidRPr="003A3BF9">
        <w:rPr>
          <w:rFonts w:ascii="Calibri" w:hAnsi="Calibri" w:cs="Calibri"/>
          <w:i/>
          <w:iCs/>
          <w:color w:val="000000"/>
          <w:sz w:val="24"/>
          <w:lang w:val="es-ES"/>
        </w:rPr>
        <w:t>Pueblos Indígenas Maya Kaqchikel de Sumpango y otros vs. Guatemala</w:t>
      </w:r>
      <w:r w:rsidR="008F7631" w:rsidRPr="003A3BF9">
        <w:rPr>
          <w:rFonts w:ascii="Calibri" w:hAnsi="Calibri" w:cs="Calibri"/>
          <w:sz w:val="24"/>
          <w:lang w:val="es-ES"/>
        </w:rPr>
        <w:t>.</w:t>
      </w:r>
      <w:r w:rsidR="00CB0E64" w:rsidRPr="003A3BF9">
        <w:rPr>
          <w:rFonts w:ascii="Calibri" w:hAnsi="Calibri" w:cs="Calibri"/>
          <w:sz w:val="24"/>
          <w:vertAlign w:val="superscript"/>
        </w:rPr>
        <w:footnoteReference w:id="2"/>
      </w:r>
      <w:r w:rsidR="008F7631" w:rsidRPr="003A3BF9">
        <w:rPr>
          <w:rFonts w:ascii="Calibri" w:hAnsi="Calibri" w:cs="Calibri"/>
          <w:sz w:val="24"/>
          <w:lang w:val="es-ES"/>
        </w:rPr>
        <w:t xml:space="preserve"> </w:t>
      </w:r>
    </w:p>
    <w:p w14:paraId="55A1E7BD" w14:textId="6714DADF" w:rsidR="00CB0E64" w:rsidRPr="00610460" w:rsidRDefault="008F7631" w:rsidP="038AF55E">
      <w:pPr>
        <w:ind w:left="450"/>
        <w:rPr>
          <w:rFonts w:ascii="Calibri" w:hAnsi="Calibri" w:cs="Calibri"/>
          <w:color w:val="000000" w:themeColor="text1"/>
          <w:sz w:val="24"/>
          <w:lang w:val="es-ES"/>
        </w:rPr>
      </w:pPr>
      <w:r w:rsidRPr="003A3BF9">
        <w:rPr>
          <w:rFonts w:ascii="Calibri" w:hAnsi="Calibri" w:cs="Calibri"/>
          <w:sz w:val="24"/>
          <w:lang w:val="es-ES"/>
        </w:rPr>
        <w:t>Presentado por las víctimas en ese caso y redactado por sus representantes legales, este informe proporciona a</w:t>
      </w:r>
      <w:r w:rsidRPr="00610460">
        <w:rPr>
          <w:rFonts w:ascii="Calibri" w:hAnsi="Calibri" w:cs="Calibri"/>
          <w:sz w:val="24"/>
          <w:lang w:val="es-ES"/>
        </w:rPr>
        <w:t xml:space="preserve"> este Comité información relacionada con la implementación de ese caso. A pesar de la recomendación del Comité en 2019 para que Guatemala reforme sus leyes para garantizar que los pueblos indígenas tengan acceso a esta forma de medios y para abordar el enjuiciamiento penal de los operadores de radios comunitarias</w:t>
      </w:r>
      <w:r w:rsidR="006C6ECE" w:rsidRPr="038AF55E">
        <w:rPr>
          <w:rStyle w:val="FootnoteReference"/>
          <w:rFonts w:ascii="Calibri" w:hAnsi="Calibri" w:cs="Calibri"/>
          <w:sz w:val="24"/>
        </w:rPr>
        <w:footnoteReference w:id="3"/>
      </w:r>
      <w:r w:rsidRPr="00610460">
        <w:rPr>
          <w:rFonts w:ascii="Calibri" w:hAnsi="Calibri" w:cs="Calibri"/>
          <w:sz w:val="24"/>
          <w:lang w:val="es-ES"/>
        </w:rPr>
        <w:t xml:space="preserve">, y a pesar de una decisión de la corte internacional de 2021 que requiere que Guatemala haga precisamente eso, el Estado no ha implementado esos cambios. Las comunidades </w:t>
      </w:r>
      <w:r w:rsidRPr="00610460">
        <w:rPr>
          <w:rFonts w:ascii="Calibri" w:hAnsi="Calibri" w:cs="Calibri"/>
          <w:sz w:val="24"/>
          <w:lang w:val="es-ES"/>
        </w:rPr>
        <w:lastRenderedPageBreak/>
        <w:t>informantes solicitan la in</w:t>
      </w:r>
      <w:r w:rsidR="00644A97">
        <w:rPr>
          <w:rFonts w:ascii="Calibri" w:hAnsi="Calibri" w:cs="Calibri"/>
          <w:sz w:val="24"/>
          <w:lang w:val="es-ES"/>
        </w:rPr>
        <w:t>ter</w:t>
      </w:r>
      <w:r w:rsidRPr="00610460">
        <w:rPr>
          <w:rFonts w:ascii="Calibri" w:hAnsi="Calibri" w:cs="Calibri"/>
          <w:sz w:val="24"/>
          <w:lang w:val="es-ES"/>
        </w:rPr>
        <w:t xml:space="preserve">vención del Comité, brindando orientación al Estado sobre el proceso de consulta y </w:t>
      </w:r>
      <w:r w:rsidR="00C670E2" w:rsidRPr="00610460">
        <w:rPr>
          <w:rFonts w:ascii="Calibri" w:hAnsi="Calibri" w:cs="Calibri"/>
          <w:color w:val="000000" w:themeColor="text1"/>
          <w:sz w:val="24"/>
          <w:lang w:val="es-ES"/>
        </w:rPr>
        <w:t>recomendando la reforma legal que debe llevarse a cabo para que los Pueblos Indígenas tengan acceso igualitario al espectro radioeléctrico para operar radios comunitarias, para que puedan ejercer sus derechos fundamentales a la expresión y la cultura.</w:t>
      </w:r>
    </w:p>
    <w:p w14:paraId="79A1E53D" w14:textId="77777777" w:rsidR="00CD076F" w:rsidRPr="00610460" w:rsidRDefault="00CD076F" w:rsidP="038AF55E">
      <w:pPr>
        <w:ind w:left="450"/>
        <w:rPr>
          <w:rFonts w:ascii="Calibri" w:hAnsi="Calibri" w:cs="Calibri"/>
          <w:color w:val="000000" w:themeColor="text1"/>
          <w:sz w:val="24"/>
          <w:lang w:val="es-ES"/>
        </w:rPr>
      </w:pPr>
    </w:p>
    <w:p w14:paraId="6A521587" w14:textId="05314113" w:rsidR="00CB0E64" w:rsidRPr="00610460" w:rsidRDefault="00CB0E64" w:rsidP="00AA4B77">
      <w:pPr>
        <w:pStyle w:val="ListParagraph"/>
        <w:numPr>
          <w:ilvl w:val="0"/>
          <w:numId w:val="31"/>
        </w:numPr>
        <w:rPr>
          <w:rFonts w:ascii="Calibri" w:hAnsi="Calibri" w:cs="Calibri"/>
          <w:b/>
          <w:bCs/>
          <w:color w:val="000000" w:themeColor="text1"/>
          <w:sz w:val="24"/>
          <w:lang w:val="es-ES"/>
        </w:rPr>
      </w:pPr>
      <w:r w:rsidRPr="00610460">
        <w:rPr>
          <w:rFonts w:ascii="Calibri" w:hAnsi="Calibri" w:cs="Calibri"/>
          <w:b/>
          <w:bCs/>
          <w:color w:val="000000" w:themeColor="text1"/>
          <w:sz w:val="24"/>
          <w:lang w:val="es-ES"/>
        </w:rPr>
        <w:t>PREGUNTAS SUGERIDAS PARA LA REPÚBLICA DE GUATEMALA</w:t>
      </w:r>
    </w:p>
    <w:p w14:paraId="7D93EA67" w14:textId="6CD66601" w:rsidR="00C670E2" w:rsidRPr="00610460" w:rsidRDefault="00C670E2" w:rsidP="00C670E2">
      <w:pPr>
        <w:ind w:left="60"/>
        <w:rPr>
          <w:rFonts w:ascii="Calibri" w:hAnsi="Calibri" w:cs="Calibri"/>
          <w:b/>
          <w:bCs/>
          <w:color w:val="000000" w:themeColor="text1"/>
          <w:sz w:val="24"/>
          <w:lang w:val="es-ES"/>
        </w:rPr>
      </w:pPr>
    </w:p>
    <w:p w14:paraId="7814219B" w14:textId="7BD231CA" w:rsidR="00C670E2" w:rsidRPr="00610460" w:rsidRDefault="00C670E2" w:rsidP="00C670E2">
      <w:pPr>
        <w:ind w:left="60"/>
        <w:rPr>
          <w:rFonts w:ascii="Calibri" w:hAnsi="Calibri" w:cs="Calibri"/>
          <w:b/>
          <w:bCs/>
          <w:color w:val="000000" w:themeColor="text1"/>
          <w:sz w:val="24"/>
          <w:lang w:val="es-ES"/>
        </w:rPr>
      </w:pPr>
      <w:r w:rsidRPr="00610460">
        <w:rPr>
          <w:rFonts w:ascii="Calibri" w:hAnsi="Calibri" w:cs="Calibri"/>
          <w:spacing w:val="3"/>
          <w:sz w:val="24"/>
          <w:lang w:val="es-ES"/>
        </w:rPr>
        <w:t>Instamos al Comité a que formule las siguientes preguntas a Guatemala:</w:t>
      </w:r>
    </w:p>
    <w:p w14:paraId="5D96A8B2" w14:textId="77777777" w:rsidR="008E73FF" w:rsidRPr="00610460" w:rsidRDefault="008E73FF" w:rsidP="008E73FF">
      <w:pPr>
        <w:pStyle w:val="ListParagraph"/>
        <w:ind w:left="0"/>
        <w:rPr>
          <w:rFonts w:ascii="Calibri" w:hAnsi="Calibri" w:cs="Calibri"/>
          <w:b/>
          <w:bCs/>
          <w:color w:val="000000" w:themeColor="text1"/>
          <w:sz w:val="24"/>
          <w:lang w:val="es-ES"/>
        </w:rPr>
      </w:pPr>
    </w:p>
    <w:p w14:paraId="3508CB59" w14:textId="5CAE375A" w:rsidR="008F7631" w:rsidRPr="00610460" w:rsidRDefault="001D312F" w:rsidP="00AA4B77">
      <w:pPr>
        <w:pStyle w:val="ListParagraph"/>
        <w:numPr>
          <w:ilvl w:val="0"/>
          <w:numId w:val="27"/>
        </w:numPr>
        <w:rPr>
          <w:rFonts w:ascii="Calibri" w:hAnsi="Calibri" w:cs="Calibri"/>
          <w:color w:val="000000" w:themeColor="text1"/>
          <w:sz w:val="24"/>
          <w:lang w:val="es-ES"/>
        </w:rPr>
      </w:pPr>
      <w:r w:rsidRPr="00610460">
        <w:rPr>
          <w:rFonts w:ascii="Calibri" w:hAnsi="Calibri" w:cs="Calibri"/>
          <w:color w:val="000000" w:themeColor="text1"/>
          <w:sz w:val="24"/>
          <w:lang w:val="es-ES"/>
        </w:rPr>
        <w:t>En 2021, la Corte Interamericana ordenó a Guatemala adaptar la normativa nacional "para reconocer a las radios comunitarias como medios de comunicación distintos" en un plazo razonable y debe hacerlo en consulta con los pueblos indígenas. Sin embargo, han transcurrido cuatro años desde la emisión de la Sentencia y Guatemala no ha ad</w:t>
      </w:r>
      <w:r w:rsidR="00644A97">
        <w:rPr>
          <w:rFonts w:ascii="Calibri" w:hAnsi="Calibri" w:cs="Calibri"/>
          <w:color w:val="000000" w:themeColor="text1"/>
          <w:sz w:val="24"/>
          <w:lang w:val="es-ES"/>
        </w:rPr>
        <w:t>o</w:t>
      </w:r>
      <w:r w:rsidRPr="00610460">
        <w:rPr>
          <w:rFonts w:ascii="Calibri" w:hAnsi="Calibri" w:cs="Calibri"/>
          <w:color w:val="000000" w:themeColor="text1"/>
          <w:sz w:val="24"/>
          <w:lang w:val="es-ES"/>
        </w:rPr>
        <w:t>ptado ninguna reforma legal. ¿Qué medidas específicas tomará Guatemala para garantizar que los pueblos indígenas puedan operar medios comunitarios? ¿Qué tomará Guatemala específicamente para consulta</w:t>
      </w:r>
      <w:r w:rsidR="00644A97">
        <w:rPr>
          <w:rFonts w:ascii="Calibri" w:hAnsi="Calibri" w:cs="Calibri"/>
          <w:color w:val="000000" w:themeColor="text1"/>
          <w:sz w:val="24"/>
          <w:lang w:val="es-ES"/>
        </w:rPr>
        <w:t>r</w:t>
      </w:r>
      <w:r w:rsidRPr="00610460">
        <w:rPr>
          <w:rFonts w:ascii="Calibri" w:hAnsi="Calibri" w:cs="Calibri"/>
          <w:color w:val="000000" w:themeColor="text1"/>
          <w:sz w:val="24"/>
          <w:lang w:val="es-ES"/>
        </w:rPr>
        <w:t xml:space="preserve"> con los Pueblos Indígenas como parte de ese proceso?</w:t>
      </w:r>
    </w:p>
    <w:p w14:paraId="2A870C79" w14:textId="68FFD861" w:rsidR="008F7631" w:rsidRPr="00610460" w:rsidRDefault="00CF136C" w:rsidP="00AA4B77">
      <w:pPr>
        <w:pStyle w:val="ListParagraph"/>
        <w:numPr>
          <w:ilvl w:val="0"/>
          <w:numId w:val="27"/>
        </w:numPr>
        <w:spacing w:after="160" w:line="259" w:lineRule="auto"/>
        <w:rPr>
          <w:rFonts w:ascii="Calibri" w:hAnsi="Calibri" w:cs="Calibri"/>
          <w:color w:val="000000" w:themeColor="text1"/>
          <w:sz w:val="24"/>
          <w:lang w:val="es-ES"/>
        </w:rPr>
      </w:pPr>
      <w:r w:rsidRPr="00610460">
        <w:rPr>
          <w:rFonts w:ascii="Calibri" w:hAnsi="Calibri" w:cs="Calibri"/>
          <w:color w:val="000000" w:themeColor="text1"/>
          <w:sz w:val="24"/>
          <w:lang w:val="es-ES"/>
        </w:rPr>
        <w:t>La Corte IDH también ordenó a Guatemala reservar una parte del espectro radioeléctrico para las radios comunitarias indígenas. El Estado ha alegado que la saturación del espectro de frecuencias radioeléctricas es un obstáculo importante para la implementación de la Sentencia. Dada la supuesta saturación del espectro de frecuencias radioeléctricas, ¿qué pasos ha tomado Guatemala para crear espacio y garantizar prácticas transparentes, inclusivas y equitativas para la gestión del espectro?</w:t>
      </w:r>
    </w:p>
    <w:p w14:paraId="74855BA1" w14:textId="66AAB3C1" w:rsidR="003C3793" w:rsidRPr="00610460" w:rsidRDefault="005215E1" w:rsidP="00AA4B77">
      <w:pPr>
        <w:pStyle w:val="ListParagraph"/>
        <w:numPr>
          <w:ilvl w:val="0"/>
          <w:numId w:val="27"/>
        </w:numPr>
        <w:spacing w:after="160" w:line="259" w:lineRule="auto"/>
        <w:rPr>
          <w:rFonts w:ascii="Calibri" w:hAnsi="Calibri" w:cs="Calibri"/>
          <w:color w:val="000000" w:themeColor="text1"/>
          <w:sz w:val="24"/>
          <w:lang w:val="es-ES"/>
        </w:rPr>
      </w:pPr>
      <w:r w:rsidRPr="00610460">
        <w:rPr>
          <w:rFonts w:ascii="Calibri" w:hAnsi="Calibri" w:cs="Calibri"/>
          <w:color w:val="000000" w:themeColor="text1"/>
          <w:sz w:val="24"/>
          <w:lang w:val="es-ES"/>
        </w:rPr>
        <w:t xml:space="preserve">¿Qué medidas específicas para anular los procesos penales anteriores del personal de las radios comunitarias indígenas? </w:t>
      </w:r>
    </w:p>
    <w:p w14:paraId="26FACBBF" w14:textId="790993C9" w:rsidR="003C3793" w:rsidRPr="00610460" w:rsidRDefault="003C3793" w:rsidP="00AA4B77">
      <w:pPr>
        <w:pStyle w:val="ListParagraph"/>
        <w:numPr>
          <w:ilvl w:val="0"/>
          <w:numId w:val="27"/>
        </w:numPr>
        <w:spacing w:after="160" w:line="259" w:lineRule="auto"/>
        <w:rPr>
          <w:rFonts w:ascii="Calibri" w:hAnsi="Calibri" w:cs="Calibri"/>
          <w:color w:val="000000" w:themeColor="text1"/>
          <w:sz w:val="24"/>
          <w:lang w:val="es-ES"/>
        </w:rPr>
      </w:pPr>
      <w:r w:rsidRPr="00610460">
        <w:rPr>
          <w:rFonts w:ascii="Calibri" w:hAnsi="Calibri" w:cs="Calibri"/>
          <w:color w:val="000000" w:themeColor="text1"/>
          <w:sz w:val="24"/>
          <w:lang w:val="es-ES"/>
        </w:rPr>
        <w:t xml:space="preserve">¿Qué medidas concretas se adoptan para adoptar una política oficial sobre </w:t>
      </w:r>
      <w:r w:rsidR="00644A97">
        <w:rPr>
          <w:rFonts w:ascii="Calibri" w:hAnsi="Calibri" w:cs="Calibri"/>
          <w:bCs/>
          <w:color w:val="000000"/>
          <w:sz w:val="24"/>
          <w:lang w:val="es-ES"/>
        </w:rPr>
        <w:t>“</w:t>
      </w:r>
      <w:r w:rsidRPr="00610460">
        <w:rPr>
          <w:rFonts w:ascii="Calibri" w:hAnsi="Calibri" w:cs="Calibri"/>
          <w:bCs/>
          <w:color w:val="000000"/>
          <w:sz w:val="24"/>
          <w:lang w:val="es-ES"/>
        </w:rPr>
        <w:t>las medidas necesarias para evitar el uso arbitrario de las disposiciones del Código Penal para perseguir a los operadores de radios comunitarias indígenas</w:t>
      </w:r>
      <w:r w:rsidR="00644A97">
        <w:rPr>
          <w:rFonts w:ascii="Calibri" w:hAnsi="Calibri" w:cs="Calibri"/>
          <w:bCs/>
          <w:color w:val="000000"/>
          <w:sz w:val="24"/>
          <w:lang w:val="es-ES"/>
        </w:rPr>
        <w:t>”</w:t>
      </w:r>
      <w:r w:rsidRPr="00610460">
        <w:rPr>
          <w:rFonts w:ascii="Calibri" w:hAnsi="Calibri" w:cs="Calibri"/>
          <w:bCs/>
          <w:color w:val="000000"/>
          <w:sz w:val="24"/>
          <w:lang w:val="es-ES"/>
        </w:rPr>
        <w:t>?</w:t>
      </w:r>
    </w:p>
    <w:p w14:paraId="2720B936" w14:textId="77777777" w:rsidR="004E5E64" w:rsidRPr="00610460" w:rsidRDefault="004E5E64" w:rsidP="008E73FF">
      <w:pPr>
        <w:pStyle w:val="ListParagraph"/>
        <w:ind w:left="0"/>
        <w:rPr>
          <w:rFonts w:ascii="Calibri" w:hAnsi="Calibri" w:cs="Calibri"/>
          <w:b/>
          <w:bCs/>
          <w:color w:val="000000" w:themeColor="text1"/>
          <w:sz w:val="24"/>
          <w:lang w:val="es-ES"/>
        </w:rPr>
      </w:pPr>
    </w:p>
    <w:p w14:paraId="413F46AA" w14:textId="1248974F" w:rsidR="00CB0E64" w:rsidRPr="00610460" w:rsidRDefault="00CB0E64" w:rsidP="00AA4B77">
      <w:pPr>
        <w:pStyle w:val="ListParagraph"/>
        <w:numPr>
          <w:ilvl w:val="0"/>
          <w:numId w:val="31"/>
        </w:numPr>
        <w:ind w:left="450"/>
        <w:rPr>
          <w:rFonts w:ascii="Calibri" w:hAnsi="Calibri" w:cs="Calibri"/>
          <w:b/>
          <w:bCs/>
          <w:color w:val="000000" w:themeColor="text1"/>
          <w:sz w:val="24"/>
          <w:lang w:val="es-ES"/>
        </w:rPr>
      </w:pPr>
      <w:r w:rsidRPr="00610460">
        <w:rPr>
          <w:rFonts w:ascii="Calibri" w:hAnsi="Calibri" w:cs="Calibri"/>
          <w:b/>
          <w:bCs/>
          <w:color w:val="000000" w:themeColor="text1"/>
          <w:sz w:val="24"/>
          <w:lang w:val="es-ES"/>
        </w:rPr>
        <w:t>RECOMENDACIONES SUGERIDAS PARA LA REPÚBLICA DE GUATEMALA</w:t>
      </w:r>
    </w:p>
    <w:p w14:paraId="05E17A3C" w14:textId="6732650A" w:rsidR="00C670E2" w:rsidRPr="00610460" w:rsidRDefault="00C670E2" w:rsidP="00C670E2">
      <w:pPr>
        <w:rPr>
          <w:rFonts w:ascii="Calibri" w:hAnsi="Calibri" w:cs="Calibri"/>
          <w:b/>
          <w:bCs/>
          <w:color w:val="000000" w:themeColor="text1"/>
          <w:sz w:val="24"/>
          <w:lang w:val="es-ES"/>
        </w:rPr>
      </w:pPr>
    </w:p>
    <w:p w14:paraId="135B2CA4" w14:textId="10954B1D" w:rsidR="00C670E2" w:rsidRPr="00610460" w:rsidRDefault="00C670E2" w:rsidP="00C670E2">
      <w:pPr>
        <w:rPr>
          <w:rFonts w:ascii="Calibri" w:hAnsi="Calibri" w:cs="Calibri"/>
          <w:b/>
          <w:bCs/>
          <w:sz w:val="24"/>
          <w:lang w:val="es-ES"/>
        </w:rPr>
      </w:pPr>
      <w:r w:rsidRPr="00610460">
        <w:rPr>
          <w:rFonts w:ascii="Calibri" w:hAnsi="Calibri" w:cs="Calibri"/>
          <w:spacing w:val="3"/>
          <w:sz w:val="24"/>
          <w:lang w:val="es-ES"/>
        </w:rPr>
        <w:t>Instamos al Comité a que formule las siguientes recomendaciones a Guatemala:</w:t>
      </w:r>
    </w:p>
    <w:p w14:paraId="6A4F2895" w14:textId="77777777" w:rsidR="008E73FF" w:rsidRPr="00610460" w:rsidRDefault="008E73FF" w:rsidP="008E73FF">
      <w:pPr>
        <w:pStyle w:val="ListParagraph"/>
        <w:ind w:left="0"/>
        <w:rPr>
          <w:rFonts w:ascii="Calibri" w:hAnsi="Calibri" w:cs="Calibri"/>
          <w:bCs/>
          <w:color w:val="000000" w:themeColor="text1"/>
          <w:sz w:val="24"/>
          <w:lang w:val="es-ES"/>
        </w:rPr>
      </w:pPr>
    </w:p>
    <w:p w14:paraId="052F44BB" w14:textId="23AAB564" w:rsidR="00CF756E" w:rsidRPr="00610460" w:rsidRDefault="00CF756E" w:rsidP="00AA4B77">
      <w:pPr>
        <w:pStyle w:val="ListParagraph"/>
        <w:numPr>
          <w:ilvl w:val="0"/>
          <w:numId w:val="27"/>
        </w:numPr>
        <w:spacing w:after="160" w:line="259" w:lineRule="auto"/>
        <w:rPr>
          <w:rFonts w:ascii="Calibri" w:hAnsi="Calibri" w:cs="Calibri"/>
          <w:color w:val="000000" w:themeColor="text1"/>
          <w:sz w:val="24"/>
          <w:lang w:val="es-ES"/>
        </w:rPr>
      </w:pPr>
      <w:r w:rsidRPr="00610460">
        <w:rPr>
          <w:rFonts w:ascii="Calibri" w:hAnsi="Calibri" w:cs="Calibri"/>
          <w:color w:val="000000" w:themeColor="text1"/>
          <w:sz w:val="24"/>
          <w:lang w:val="es-ES"/>
        </w:rPr>
        <w:t>El Comité recomienda que el Estado ad</w:t>
      </w:r>
      <w:r w:rsidR="00644A97">
        <w:rPr>
          <w:rFonts w:ascii="Calibri" w:hAnsi="Calibri" w:cs="Calibri"/>
          <w:color w:val="000000" w:themeColor="text1"/>
          <w:sz w:val="24"/>
          <w:lang w:val="es-ES"/>
        </w:rPr>
        <w:t>o</w:t>
      </w:r>
      <w:r w:rsidRPr="00610460">
        <w:rPr>
          <w:rFonts w:ascii="Calibri" w:hAnsi="Calibri" w:cs="Calibri"/>
          <w:color w:val="000000" w:themeColor="text1"/>
          <w:sz w:val="24"/>
          <w:lang w:val="es-ES"/>
        </w:rPr>
        <w:t>pte un marco legal para reconocer a las radios comunitarias indígenas como un medio de comunicación distinto.</w:t>
      </w:r>
    </w:p>
    <w:p w14:paraId="759B1E60" w14:textId="070C59FD" w:rsidR="003C3793" w:rsidRPr="00610460" w:rsidRDefault="006C6ECE" w:rsidP="00AA4B77">
      <w:pPr>
        <w:pStyle w:val="ListParagraph"/>
        <w:numPr>
          <w:ilvl w:val="0"/>
          <w:numId w:val="27"/>
        </w:numPr>
        <w:spacing w:after="160" w:line="259" w:lineRule="auto"/>
        <w:rPr>
          <w:rFonts w:ascii="Calibri" w:hAnsi="Calibri" w:cs="Calibri"/>
          <w:color w:val="000000" w:themeColor="text1"/>
          <w:sz w:val="24"/>
          <w:lang w:val="es-ES"/>
        </w:rPr>
      </w:pPr>
      <w:r w:rsidRPr="00610460">
        <w:rPr>
          <w:rFonts w:ascii="Calibri" w:hAnsi="Calibri" w:cs="Calibri"/>
          <w:color w:val="000000" w:themeColor="text1"/>
          <w:sz w:val="24"/>
          <w:lang w:val="es-ES"/>
        </w:rPr>
        <w:t>El Comité recomienda que el Estado desarrolle un proceso de consulta claro y significativo para garantizar la plena participación de los pueblos indígenas en la reforma de las leyes nacionales para garantizar que los pueblos indígenas tengan igualdad de acceso al espectro de frecuencias radioeléctricas.</w:t>
      </w:r>
    </w:p>
    <w:p w14:paraId="39C0F86D" w14:textId="1A4828A9" w:rsidR="006C6ECE" w:rsidRPr="00B9778D" w:rsidRDefault="00A45E24" w:rsidP="00AA4B77">
      <w:pPr>
        <w:pStyle w:val="ListParagraph"/>
        <w:numPr>
          <w:ilvl w:val="0"/>
          <w:numId w:val="27"/>
        </w:numPr>
        <w:rPr>
          <w:rFonts w:ascii="Calibri" w:hAnsi="Calibri" w:cs="Calibri"/>
          <w:color w:val="000000" w:themeColor="text1"/>
          <w:sz w:val="24"/>
          <w:lang w:val="es-ES"/>
        </w:rPr>
      </w:pPr>
      <w:r w:rsidRPr="00610460">
        <w:rPr>
          <w:rFonts w:ascii="Calibri" w:hAnsi="Calibri" w:cs="Calibri"/>
          <w:bCs/>
          <w:color w:val="000000" w:themeColor="text1"/>
          <w:sz w:val="24"/>
          <w:lang w:val="es-ES"/>
        </w:rPr>
        <w:t xml:space="preserve">El Comité recomienda a los Estados que </w:t>
      </w:r>
      <w:r w:rsidR="00C670E2" w:rsidRPr="00610460">
        <w:rPr>
          <w:rFonts w:ascii="Calibri" w:hAnsi="Calibri" w:cs="Calibri"/>
          <w:color w:val="000000"/>
          <w:sz w:val="24"/>
          <w:lang w:val="es-ES"/>
        </w:rPr>
        <w:t xml:space="preserve">adopten medidas inmediatas y afirmativas para reconocer legalmente las radios comunitarias de las cuatro comunidades víctimas a fin de que puedan operar libremente sus radios comunitarias, sin injerencias ni persecución penal </w:t>
      </w:r>
      <w:r w:rsidR="00C670E2" w:rsidRPr="00610460">
        <w:rPr>
          <w:rFonts w:ascii="Calibri" w:hAnsi="Calibri" w:cs="Calibri"/>
          <w:color w:val="000000"/>
          <w:sz w:val="24"/>
          <w:lang w:val="es-ES"/>
        </w:rPr>
        <w:lastRenderedPageBreak/>
        <w:t>y en las frecuencias en las que operan actualmente, hasta que se adecue la normativa interna del país.</w:t>
      </w:r>
    </w:p>
    <w:p w14:paraId="5D4C9A7C" w14:textId="77777777" w:rsidR="00B9778D" w:rsidRPr="00610460" w:rsidRDefault="00B9778D" w:rsidP="00B9778D">
      <w:pPr>
        <w:pStyle w:val="ListParagraph"/>
        <w:ind w:left="420"/>
        <w:rPr>
          <w:rFonts w:ascii="Calibri" w:hAnsi="Calibri" w:cs="Calibri"/>
          <w:color w:val="000000" w:themeColor="text1"/>
          <w:sz w:val="24"/>
          <w:lang w:val="es-ES"/>
        </w:rPr>
      </w:pPr>
    </w:p>
    <w:p w14:paraId="5457977A" w14:textId="605EBF87" w:rsidR="003C3793" w:rsidRPr="00862872" w:rsidRDefault="006C6ECE" w:rsidP="00AA4B77">
      <w:pPr>
        <w:pStyle w:val="ListParagraph"/>
        <w:numPr>
          <w:ilvl w:val="0"/>
          <w:numId w:val="27"/>
        </w:numPr>
        <w:rPr>
          <w:rFonts w:ascii="Calibri" w:hAnsi="Calibri" w:cs="Calibri"/>
          <w:color w:val="000000" w:themeColor="text1"/>
          <w:sz w:val="24"/>
          <w:lang w:val="es-ES"/>
        </w:rPr>
      </w:pPr>
      <w:r w:rsidRPr="00610460">
        <w:rPr>
          <w:rFonts w:ascii="Calibri" w:hAnsi="Calibri" w:cs="Calibri"/>
          <w:color w:val="000000" w:themeColor="text1"/>
          <w:sz w:val="24"/>
          <w:lang w:val="es-ES"/>
        </w:rPr>
        <w:t xml:space="preserve">El Comité recomienda que el Estado anule todos los procesos penales anteriores contra el personal de las radios comunitarias indígenas y </w:t>
      </w:r>
      <w:r w:rsidR="00C670E2" w:rsidRPr="00610460">
        <w:rPr>
          <w:rFonts w:ascii="Calibri" w:hAnsi="Calibri" w:cs="Calibri"/>
          <w:color w:val="000000"/>
          <w:sz w:val="24"/>
          <w:lang w:val="es-ES"/>
        </w:rPr>
        <w:t>emita una instrucción general que ordene expresamente a los fiscales que se abstengan de allanar las radios comunitarias e iniciar procesos penales contra las emisoras, y que determinen claramente las consecuencias legales si los funcionarios no cumplen con la orden.</w:t>
      </w:r>
    </w:p>
    <w:p w14:paraId="2DE6878B" w14:textId="77777777" w:rsidR="00862872" w:rsidRPr="00610460" w:rsidRDefault="00862872" w:rsidP="00862872">
      <w:pPr>
        <w:pStyle w:val="ListParagraph"/>
        <w:ind w:left="420"/>
        <w:rPr>
          <w:rFonts w:ascii="Calibri" w:hAnsi="Calibri" w:cs="Calibri"/>
          <w:color w:val="000000" w:themeColor="text1"/>
          <w:sz w:val="24"/>
          <w:lang w:val="es-ES"/>
        </w:rPr>
      </w:pPr>
    </w:p>
    <w:p w14:paraId="5BA1FB1C" w14:textId="66FD90DF" w:rsidR="005215E1" w:rsidRPr="00610460" w:rsidRDefault="00C670E2" w:rsidP="00AA4B77">
      <w:pPr>
        <w:pStyle w:val="ListParagraph"/>
        <w:numPr>
          <w:ilvl w:val="0"/>
          <w:numId w:val="27"/>
        </w:numPr>
        <w:spacing w:after="160" w:line="259" w:lineRule="auto"/>
        <w:rPr>
          <w:rFonts w:ascii="Calibri" w:hAnsi="Calibri" w:cs="Calibri"/>
          <w:color w:val="000000" w:themeColor="text1"/>
          <w:sz w:val="24"/>
          <w:lang w:val="es-ES"/>
        </w:rPr>
      </w:pPr>
      <w:r w:rsidRPr="00610460">
        <w:rPr>
          <w:rFonts w:ascii="Calibri" w:hAnsi="Calibri" w:cs="Calibri"/>
          <w:color w:val="000000"/>
          <w:sz w:val="24"/>
          <w:lang w:val="es-ES"/>
        </w:rPr>
        <w:t xml:space="preserve">El Comité recomienda al Estado que </w:t>
      </w:r>
      <w:r w:rsidRPr="00610460">
        <w:rPr>
          <w:rFonts w:ascii="Calibri" w:hAnsi="Calibri" w:cs="Calibri"/>
          <w:color w:val="000000" w:themeColor="text1"/>
          <w:sz w:val="24"/>
          <w:lang w:val="es-ES"/>
        </w:rPr>
        <w:t xml:space="preserve">cree una gestión transparente y justa del espectro de frecuencias radioeléctricas, incluyendo </w:t>
      </w:r>
      <w:r w:rsidR="005D5508" w:rsidRPr="00610460">
        <w:rPr>
          <w:rFonts w:ascii="Calibri" w:hAnsi="Calibri" w:cs="Calibri"/>
          <w:color w:val="000000"/>
          <w:sz w:val="24"/>
          <w:lang w:val="es-ES"/>
        </w:rPr>
        <w:t>el mapeo del espectro radioeléctrico para obtener datos claros y precisos sobre el estado actual de las frecuencias moduladas por FM en cada municipio y departamento del país, con el objetivo de promover la reserva de frecuencias para las radios comunitarias indígenas</w:t>
      </w:r>
      <w:r w:rsidR="00644A97">
        <w:rPr>
          <w:rFonts w:ascii="Calibri" w:hAnsi="Calibri" w:cs="Calibri"/>
          <w:color w:val="000000"/>
          <w:sz w:val="24"/>
          <w:lang w:val="es-ES"/>
        </w:rPr>
        <w:t>.</w:t>
      </w:r>
    </w:p>
    <w:p w14:paraId="53FD1968" w14:textId="77777777" w:rsidR="00CB0E64" w:rsidRPr="00610460" w:rsidRDefault="00CB0E64" w:rsidP="008E73FF">
      <w:pPr>
        <w:rPr>
          <w:rFonts w:ascii="Calibri" w:hAnsi="Calibri" w:cs="Calibri"/>
          <w:bCs/>
          <w:color w:val="000000" w:themeColor="text1"/>
          <w:sz w:val="24"/>
          <w:lang w:val="es-ES"/>
        </w:rPr>
      </w:pPr>
    </w:p>
    <w:p w14:paraId="4E341326" w14:textId="0CAA509B" w:rsidR="00771699" w:rsidRPr="00C6051E" w:rsidRDefault="00CB0E64" w:rsidP="00AA4B77">
      <w:pPr>
        <w:pStyle w:val="ListParagraph"/>
        <w:numPr>
          <w:ilvl w:val="0"/>
          <w:numId w:val="31"/>
        </w:numPr>
        <w:rPr>
          <w:rFonts w:ascii="Calibri" w:hAnsi="Calibri" w:cs="Calibri"/>
          <w:b/>
          <w:bCs/>
          <w:color w:val="000000" w:themeColor="text1"/>
          <w:sz w:val="24"/>
        </w:rPr>
      </w:pPr>
      <w:r w:rsidRPr="038AF55E">
        <w:rPr>
          <w:rFonts w:ascii="Calibri" w:hAnsi="Calibri" w:cs="Calibri"/>
          <w:b/>
          <w:bCs/>
          <w:color w:val="000000" w:themeColor="text1"/>
          <w:sz w:val="24"/>
        </w:rPr>
        <w:t xml:space="preserve">COMUNIDADES Y ORGANIZACIONES DENUNCIANTES </w:t>
      </w:r>
    </w:p>
    <w:p w14:paraId="765857EA" w14:textId="77777777" w:rsidR="00771699" w:rsidRPr="00C6051E" w:rsidRDefault="00771699" w:rsidP="008E73FF">
      <w:pPr>
        <w:pStyle w:val="ListParagraph"/>
        <w:ind w:left="0"/>
        <w:rPr>
          <w:rFonts w:ascii="Calibri" w:hAnsi="Calibri" w:cs="Calibri"/>
          <w:b/>
          <w:bCs/>
          <w:color w:val="000000" w:themeColor="text1"/>
          <w:sz w:val="24"/>
        </w:rPr>
      </w:pPr>
    </w:p>
    <w:p w14:paraId="18EE93BA" w14:textId="68D22CBC" w:rsidR="00CB0E64" w:rsidRPr="00AA4B77" w:rsidRDefault="00771699" w:rsidP="00AA4B77">
      <w:pPr>
        <w:pStyle w:val="ListParagraph"/>
        <w:numPr>
          <w:ilvl w:val="0"/>
          <w:numId w:val="27"/>
        </w:numPr>
        <w:rPr>
          <w:rFonts w:ascii="Calibri" w:hAnsi="Calibri" w:cs="Calibri"/>
          <w:bCs/>
          <w:color w:val="000000" w:themeColor="text1"/>
          <w:sz w:val="24"/>
          <w:lang w:val="es-ES"/>
        </w:rPr>
      </w:pPr>
      <w:r w:rsidRPr="00AA4B77">
        <w:rPr>
          <w:rFonts w:ascii="Calibri" w:hAnsi="Calibri" w:cs="Calibri"/>
          <w:bCs/>
          <w:color w:val="000000" w:themeColor="text1"/>
          <w:sz w:val="24"/>
          <w:lang w:val="es-ES"/>
        </w:rPr>
        <w:t xml:space="preserve">Las cuatro comunidades indígenas víctimas, Maya Kaqchikel de Sumpango, Maya Achí Chicaj, </w:t>
      </w:r>
      <w:proofErr w:type="spellStart"/>
      <w:r w:rsidRPr="00AA4B77">
        <w:rPr>
          <w:rFonts w:ascii="Calibri" w:hAnsi="Calibri" w:cs="Calibri"/>
          <w:bCs/>
          <w:color w:val="000000" w:themeColor="text1"/>
          <w:sz w:val="24"/>
          <w:lang w:val="es-ES"/>
        </w:rPr>
        <w:t>Mam</w:t>
      </w:r>
      <w:proofErr w:type="spellEnd"/>
      <w:r w:rsidRPr="00AA4B77">
        <w:rPr>
          <w:rFonts w:ascii="Calibri" w:hAnsi="Calibri" w:cs="Calibri"/>
          <w:bCs/>
          <w:color w:val="000000" w:themeColor="text1"/>
          <w:sz w:val="24"/>
          <w:lang w:val="es-ES"/>
        </w:rPr>
        <w:t xml:space="preserve"> de </w:t>
      </w:r>
      <w:proofErr w:type="spellStart"/>
      <w:r w:rsidRPr="00AA4B77">
        <w:rPr>
          <w:rFonts w:ascii="Calibri" w:hAnsi="Calibri" w:cs="Calibri"/>
          <w:bCs/>
          <w:color w:val="000000" w:themeColor="text1"/>
          <w:sz w:val="24"/>
          <w:lang w:val="es-ES"/>
        </w:rPr>
        <w:t>Cajolá</w:t>
      </w:r>
      <w:proofErr w:type="spellEnd"/>
      <w:r w:rsidRPr="00AA4B77">
        <w:rPr>
          <w:rFonts w:ascii="Calibri" w:hAnsi="Calibri" w:cs="Calibri"/>
          <w:bCs/>
          <w:color w:val="000000" w:themeColor="text1"/>
          <w:sz w:val="24"/>
          <w:lang w:val="es-ES"/>
        </w:rPr>
        <w:t xml:space="preserve"> y Maya </w:t>
      </w:r>
      <w:proofErr w:type="spellStart"/>
      <w:r w:rsidRPr="00AA4B77">
        <w:rPr>
          <w:rFonts w:ascii="Calibri" w:hAnsi="Calibri" w:cs="Calibri"/>
          <w:bCs/>
          <w:color w:val="000000" w:themeColor="text1"/>
          <w:sz w:val="24"/>
          <w:lang w:val="es-ES"/>
        </w:rPr>
        <w:t>Mam</w:t>
      </w:r>
      <w:proofErr w:type="spellEnd"/>
      <w:r w:rsidRPr="00AA4B77">
        <w:rPr>
          <w:rFonts w:ascii="Calibri" w:hAnsi="Calibri" w:cs="Calibri"/>
          <w:bCs/>
          <w:color w:val="000000" w:themeColor="text1"/>
          <w:sz w:val="24"/>
          <w:lang w:val="es-ES"/>
        </w:rPr>
        <w:t xml:space="preserve"> de Todos Santos </w:t>
      </w:r>
      <w:proofErr w:type="spellStart"/>
      <w:r w:rsidRPr="00AA4B77">
        <w:rPr>
          <w:rFonts w:ascii="Calibri" w:hAnsi="Calibri" w:cs="Calibri"/>
          <w:bCs/>
          <w:color w:val="000000" w:themeColor="text1"/>
          <w:sz w:val="24"/>
          <w:lang w:val="es-ES"/>
        </w:rPr>
        <w:t>Cuchumatan</w:t>
      </w:r>
      <w:proofErr w:type="spellEnd"/>
      <w:r w:rsidRPr="00AA4B77">
        <w:rPr>
          <w:rFonts w:ascii="Calibri" w:hAnsi="Calibri" w:cs="Calibri"/>
          <w:bCs/>
          <w:color w:val="000000" w:themeColor="text1"/>
          <w:sz w:val="24"/>
          <w:lang w:val="es-ES"/>
        </w:rPr>
        <w:t xml:space="preserve"> son las organizaciones denunciantes que presentan esta comunicación en nombre de todos los Pueblos Indígenas de Guatemala. Además, una organización que apoya esta presentación es Cultural Survival</w:t>
      </w:r>
      <w:r w:rsidR="00B9778D">
        <w:rPr>
          <w:rFonts w:ascii="Calibri" w:hAnsi="Calibri" w:cs="Calibri"/>
          <w:bCs/>
          <w:color w:val="000000" w:themeColor="text1"/>
          <w:sz w:val="24"/>
          <w:lang w:val="es-ES"/>
        </w:rPr>
        <w:t>.</w:t>
      </w:r>
    </w:p>
    <w:p w14:paraId="021AD789" w14:textId="77777777" w:rsidR="005E2F35" w:rsidRPr="00610460" w:rsidRDefault="005E2F35" w:rsidP="008E73FF">
      <w:pPr>
        <w:rPr>
          <w:rFonts w:ascii="Calibri" w:hAnsi="Calibri" w:cs="Calibri"/>
          <w:bCs/>
          <w:color w:val="000000" w:themeColor="text1"/>
          <w:sz w:val="24"/>
          <w:lang w:val="es-ES"/>
        </w:rPr>
      </w:pPr>
    </w:p>
    <w:p w14:paraId="7D1052B9" w14:textId="05BC4DA0" w:rsidR="00A54BFD" w:rsidRPr="00610460" w:rsidRDefault="00A262AA" w:rsidP="00AA4B77">
      <w:pPr>
        <w:pStyle w:val="ListParagraph"/>
        <w:numPr>
          <w:ilvl w:val="0"/>
          <w:numId w:val="31"/>
        </w:numPr>
        <w:rPr>
          <w:rFonts w:ascii="Calibri" w:hAnsi="Calibri" w:cs="Calibri"/>
          <w:b/>
          <w:bCs/>
          <w:color w:val="000000" w:themeColor="text1"/>
          <w:sz w:val="24"/>
          <w:lang w:val="es-ES"/>
        </w:rPr>
      </w:pPr>
      <w:r w:rsidRPr="00610460">
        <w:rPr>
          <w:rFonts w:ascii="Calibri" w:hAnsi="Calibri" w:cs="Calibri"/>
          <w:b/>
          <w:bCs/>
          <w:color w:val="000000" w:themeColor="text1"/>
          <w:sz w:val="24"/>
          <w:lang w:val="es-ES"/>
        </w:rPr>
        <w:t>PANORAMA POLÍTICO E HISTÓRICO, RADIO COMUNITARIA Y PLURALISMO EN LOS MEDIOS</w:t>
      </w:r>
    </w:p>
    <w:p w14:paraId="23FA9C56" w14:textId="77777777" w:rsidR="00A262AA" w:rsidRPr="00610460" w:rsidRDefault="00A262AA" w:rsidP="00A262AA">
      <w:pPr>
        <w:pStyle w:val="ListParagraph"/>
        <w:rPr>
          <w:rFonts w:ascii="Calibri" w:hAnsi="Calibri" w:cs="Calibri"/>
          <w:b/>
          <w:bCs/>
          <w:color w:val="000000" w:themeColor="text1"/>
          <w:sz w:val="24"/>
          <w:lang w:val="es-ES"/>
        </w:rPr>
      </w:pPr>
    </w:p>
    <w:p w14:paraId="00DD355C" w14:textId="12A91ED3" w:rsidR="002F751C" w:rsidRPr="00610460" w:rsidRDefault="002F751C" w:rsidP="00A54BFD">
      <w:pPr>
        <w:pStyle w:val="ListParagraph"/>
        <w:numPr>
          <w:ilvl w:val="1"/>
          <w:numId w:val="29"/>
        </w:numPr>
        <w:rPr>
          <w:rFonts w:ascii="Calibri" w:hAnsi="Calibri" w:cs="Calibri"/>
          <w:b/>
          <w:bCs/>
          <w:color w:val="000000" w:themeColor="text1"/>
          <w:sz w:val="24"/>
          <w:lang w:val="es-ES"/>
        </w:rPr>
      </w:pPr>
      <w:r w:rsidRPr="00610460">
        <w:rPr>
          <w:rFonts w:ascii="Calibri" w:hAnsi="Calibri" w:cs="Calibri"/>
          <w:b/>
          <w:bCs/>
          <w:color w:val="000000" w:themeColor="text1"/>
          <w:sz w:val="24"/>
          <w:lang w:val="es-ES"/>
        </w:rPr>
        <w:t xml:space="preserve">Antecedentes y estadísticas de los pueblos indígenas en Guatemala </w:t>
      </w:r>
    </w:p>
    <w:p w14:paraId="073BA572" w14:textId="7BEA632A" w:rsidR="00884D58" w:rsidRPr="00610460" w:rsidRDefault="00884D58" w:rsidP="008E73FF">
      <w:pPr>
        <w:rPr>
          <w:rFonts w:ascii="Calibri" w:hAnsi="Calibri" w:cs="Calibri"/>
          <w:color w:val="000000" w:themeColor="text1"/>
          <w:sz w:val="24"/>
          <w:lang w:val="es-ES"/>
        </w:rPr>
      </w:pPr>
    </w:p>
    <w:p w14:paraId="36F5DBD4" w14:textId="3B392AF0" w:rsidR="006C6ECE" w:rsidRPr="00AA4B77" w:rsidRDefault="00884D58" w:rsidP="00AA4B77">
      <w:pPr>
        <w:pStyle w:val="ListParagraph"/>
        <w:numPr>
          <w:ilvl w:val="0"/>
          <w:numId w:val="27"/>
        </w:numPr>
        <w:rPr>
          <w:rFonts w:ascii="Calibri" w:hAnsi="Calibri" w:cs="Calibri"/>
          <w:iCs/>
          <w:color w:val="000000" w:themeColor="text1"/>
          <w:sz w:val="24"/>
          <w:lang w:val="es-ES"/>
        </w:rPr>
      </w:pPr>
      <w:r w:rsidRPr="00AA4B77">
        <w:rPr>
          <w:rFonts w:ascii="Calibri" w:hAnsi="Calibri" w:cs="Calibri"/>
          <w:color w:val="000000" w:themeColor="text1"/>
          <w:sz w:val="24"/>
          <w:lang w:val="es-ES"/>
        </w:rPr>
        <w:t>Guatemala es un país de diversos orígenes étnicos y culturales, y cada grupo contribuye a una variedad de tradiciones, idiomas e historias.</w:t>
      </w:r>
      <w:r w:rsidRPr="00C6051E">
        <w:rPr>
          <w:rStyle w:val="FootnoteReference"/>
          <w:rFonts w:ascii="Calibri" w:hAnsi="Calibri" w:cs="Calibri"/>
          <w:color w:val="000000" w:themeColor="text1"/>
          <w:sz w:val="24"/>
        </w:rPr>
        <w:footnoteReference w:id="4"/>
      </w:r>
      <w:r w:rsidR="009600AC" w:rsidRPr="00AA4B77">
        <w:rPr>
          <w:rFonts w:ascii="Calibri" w:hAnsi="Calibri" w:cs="Calibri"/>
          <w:color w:val="000000" w:themeColor="text1"/>
          <w:sz w:val="24"/>
          <w:lang w:val="es-ES"/>
        </w:rPr>
        <w:t xml:space="preserve"> Según un censo de 2023, la población de Guatemala es de alrededor de 17,6 millones, </w:t>
      </w:r>
      <w:r w:rsidR="00644A97">
        <w:rPr>
          <w:rFonts w:ascii="Calibri" w:hAnsi="Calibri" w:cs="Calibri"/>
          <w:color w:val="000000" w:themeColor="text1"/>
          <w:sz w:val="24"/>
          <w:lang w:val="es-ES"/>
        </w:rPr>
        <w:t xml:space="preserve">de los </w:t>
      </w:r>
      <w:r w:rsidR="009600AC" w:rsidRPr="00AA4B77">
        <w:rPr>
          <w:rFonts w:ascii="Calibri" w:hAnsi="Calibri" w:cs="Calibri"/>
          <w:color w:val="000000" w:themeColor="text1"/>
          <w:sz w:val="24"/>
          <w:lang w:val="es-ES"/>
        </w:rPr>
        <w:t>el 43,75% pertenece a pueblos indígenas y otros grupos étnicos.</w:t>
      </w:r>
      <w:r w:rsidR="009600AC" w:rsidRPr="00C6051E">
        <w:rPr>
          <w:rStyle w:val="FootnoteReference"/>
          <w:rFonts w:ascii="Calibri" w:hAnsi="Calibri" w:cs="Calibri"/>
          <w:color w:val="000000" w:themeColor="text1"/>
          <w:sz w:val="24"/>
        </w:rPr>
        <w:footnoteReference w:id="5"/>
      </w:r>
      <w:r w:rsidR="004D5FDC" w:rsidRPr="00AA4B77">
        <w:rPr>
          <w:rFonts w:ascii="Calibri" w:hAnsi="Calibri" w:cs="Calibri"/>
          <w:color w:val="000000" w:themeColor="text1"/>
          <w:sz w:val="24"/>
          <w:lang w:val="es-ES"/>
        </w:rPr>
        <w:t xml:space="preserve"> Los pueblos indígenas en Guatemala incluyen a los pueblos </w:t>
      </w:r>
      <w:r w:rsidR="002E13F4" w:rsidRPr="00AA4B77">
        <w:rPr>
          <w:rFonts w:ascii="Calibri" w:hAnsi="Calibri" w:cs="Calibri"/>
          <w:color w:val="000000" w:themeColor="text1"/>
          <w:sz w:val="24"/>
          <w:lang w:val="es-ES"/>
        </w:rPr>
        <w:t>M</w:t>
      </w:r>
      <w:r w:rsidR="004D5FDC" w:rsidRPr="00AA4B77">
        <w:rPr>
          <w:rFonts w:ascii="Calibri" w:hAnsi="Calibri" w:cs="Calibri"/>
          <w:color w:val="000000" w:themeColor="text1"/>
          <w:sz w:val="24"/>
          <w:lang w:val="es-ES"/>
        </w:rPr>
        <w:t xml:space="preserve">aya, </w:t>
      </w:r>
      <w:proofErr w:type="spellStart"/>
      <w:r w:rsidR="002E13F4" w:rsidRPr="00AA4B77">
        <w:rPr>
          <w:rFonts w:ascii="Calibri" w:hAnsi="Calibri" w:cs="Calibri"/>
          <w:color w:val="000000" w:themeColor="text1"/>
          <w:sz w:val="24"/>
          <w:lang w:val="es-ES"/>
        </w:rPr>
        <w:t>X</w:t>
      </w:r>
      <w:r w:rsidR="004D5FDC" w:rsidRPr="00AA4B77">
        <w:rPr>
          <w:rFonts w:ascii="Calibri" w:hAnsi="Calibri" w:cs="Calibri"/>
          <w:color w:val="000000" w:themeColor="text1"/>
          <w:sz w:val="24"/>
          <w:lang w:val="es-ES"/>
        </w:rPr>
        <w:t>inká</w:t>
      </w:r>
      <w:proofErr w:type="spellEnd"/>
      <w:r w:rsidR="004D5FDC" w:rsidRPr="00AA4B77">
        <w:rPr>
          <w:rFonts w:ascii="Calibri" w:hAnsi="Calibri" w:cs="Calibri"/>
          <w:color w:val="000000" w:themeColor="text1"/>
          <w:sz w:val="24"/>
          <w:lang w:val="es-ES"/>
        </w:rPr>
        <w:t xml:space="preserve">, </w:t>
      </w:r>
      <w:r w:rsidR="002E13F4" w:rsidRPr="00AA4B77">
        <w:rPr>
          <w:rFonts w:ascii="Calibri" w:hAnsi="Calibri" w:cs="Calibri"/>
          <w:color w:val="000000" w:themeColor="text1"/>
          <w:sz w:val="24"/>
          <w:lang w:val="es-ES"/>
        </w:rPr>
        <w:t>G</w:t>
      </w:r>
      <w:r w:rsidR="004D5FDC" w:rsidRPr="00AA4B77">
        <w:rPr>
          <w:rFonts w:ascii="Calibri" w:hAnsi="Calibri" w:cs="Calibri"/>
          <w:color w:val="000000" w:themeColor="text1"/>
          <w:sz w:val="24"/>
          <w:lang w:val="es-ES"/>
        </w:rPr>
        <w:t xml:space="preserve">arífuna y </w:t>
      </w:r>
      <w:r w:rsidR="002E13F4" w:rsidRPr="00AA4B77">
        <w:rPr>
          <w:rFonts w:ascii="Calibri" w:hAnsi="Calibri" w:cs="Calibri"/>
          <w:color w:val="000000" w:themeColor="text1"/>
          <w:sz w:val="24"/>
          <w:lang w:val="es-ES"/>
        </w:rPr>
        <w:t>C</w:t>
      </w:r>
      <w:r w:rsidR="004D5FDC" w:rsidRPr="00AA4B77">
        <w:rPr>
          <w:rFonts w:ascii="Calibri" w:hAnsi="Calibri" w:cs="Calibri"/>
          <w:color w:val="000000" w:themeColor="text1"/>
          <w:sz w:val="24"/>
          <w:lang w:val="es-ES"/>
        </w:rPr>
        <w:t xml:space="preserve">riollo o </w:t>
      </w:r>
      <w:r w:rsidR="002E13F4" w:rsidRPr="00AA4B77">
        <w:rPr>
          <w:rFonts w:ascii="Calibri" w:hAnsi="Calibri" w:cs="Calibri"/>
          <w:color w:val="000000" w:themeColor="text1"/>
          <w:sz w:val="24"/>
          <w:lang w:val="es-ES"/>
        </w:rPr>
        <w:t>A</w:t>
      </w:r>
      <w:r w:rsidR="004D5FDC" w:rsidRPr="00AA4B77">
        <w:rPr>
          <w:rFonts w:ascii="Calibri" w:hAnsi="Calibri" w:cs="Calibri"/>
          <w:color w:val="000000" w:themeColor="text1"/>
          <w:sz w:val="24"/>
          <w:lang w:val="es-ES"/>
        </w:rPr>
        <w:t>frodescendiente.</w:t>
      </w:r>
      <w:r w:rsidR="00B45D1E" w:rsidRPr="00C6051E">
        <w:rPr>
          <w:rStyle w:val="FootnoteReference"/>
          <w:rFonts w:ascii="Calibri" w:hAnsi="Calibri" w:cs="Calibri"/>
          <w:color w:val="000000" w:themeColor="text1"/>
          <w:sz w:val="24"/>
        </w:rPr>
        <w:footnoteReference w:id="6"/>
      </w:r>
      <w:r w:rsidR="00B45D1E" w:rsidRPr="00AA4B77">
        <w:rPr>
          <w:rFonts w:ascii="Calibri" w:hAnsi="Calibri" w:cs="Calibri"/>
          <w:color w:val="000000" w:themeColor="text1"/>
          <w:sz w:val="24"/>
          <w:lang w:val="es-ES"/>
        </w:rPr>
        <w:t xml:space="preserve"> A pesar de que las comunidades indígenas comprenden una parte significativa de la población de Guatemala, continúan enfrentando desafíos sociales, económicos y políticos en comparación con los grupos no indígenas.</w:t>
      </w:r>
      <w:r w:rsidR="00923A0B" w:rsidRPr="00C6051E">
        <w:rPr>
          <w:rStyle w:val="FootnoteReference"/>
          <w:rFonts w:ascii="Calibri" w:hAnsi="Calibri" w:cs="Calibri"/>
          <w:color w:val="000000" w:themeColor="text1"/>
          <w:sz w:val="24"/>
        </w:rPr>
        <w:footnoteReference w:id="7"/>
      </w:r>
    </w:p>
    <w:p w14:paraId="5F4D67D1" w14:textId="30E43F55" w:rsidR="006C6ECE" w:rsidRPr="00610460" w:rsidRDefault="004D5FDC" w:rsidP="00AA4B77">
      <w:pPr>
        <w:pStyle w:val="ListParagraph"/>
        <w:numPr>
          <w:ilvl w:val="0"/>
          <w:numId w:val="27"/>
        </w:numPr>
        <w:rPr>
          <w:rFonts w:ascii="Calibri" w:hAnsi="Calibri" w:cs="Calibri"/>
          <w:iCs/>
          <w:color w:val="000000" w:themeColor="text1"/>
          <w:sz w:val="24"/>
          <w:lang w:val="es-ES"/>
        </w:rPr>
      </w:pPr>
      <w:r w:rsidRPr="00610460">
        <w:rPr>
          <w:rFonts w:ascii="Calibri" w:hAnsi="Calibri" w:cs="Calibri"/>
          <w:color w:val="000000" w:themeColor="text1"/>
          <w:sz w:val="24"/>
          <w:lang w:val="es-ES"/>
        </w:rPr>
        <w:lastRenderedPageBreak/>
        <w:t>Las comunidades indígenas en Guatemala han sido históricamente sometidas a una extensa historia de marginación política y violencia, lo que ha contribuido a las luchas en curso que enfrentan los pueblos indígenas en la actualidad. De 1960 a 1996, la Guerra Civil Guatemalteca provocó violencia generalizada, desplazamientos forzados y abusos de los derechos humanos contra las comunidades indígenas.</w:t>
      </w:r>
      <w:r w:rsidRPr="00C6051E">
        <w:rPr>
          <w:rStyle w:val="FootnoteReference"/>
          <w:rFonts w:ascii="Calibri" w:hAnsi="Calibri" w:cs="Calibri"/>
          <w:color w:val="000000" w:themeColor="text1"/>
          <w:sz w:val="24"/>
        </w:rPr>
        <w:footnoteReference w:id="8"/>
      </w:r>
      <w:r w:rsidRPr="00610460">
        <w:rPr>
          <w:rFonts w:ascii="Calibri" w:hAnsi="Calibri" w:cs="Calibri"/>
          <w:color w:val="000000" w:themeColor="text1"/>
          <w:sz w:val="24"/>
          <w:lang w:val="es-ES"/>
        </w:rPr>
        <w:t xml:space="preserve"> De las 200.000 personas asesinadas durante el período de 36 años, "alrededor del 83 por ciento de los asesinados eran mayas</w:t>
      </w:r>
      <w:r w:rsidR="002E13F4">
        <w:rPr>
          <w:rFonts w:ascii="Calibri" w:hAnsi="Calibri" w:cs="Calibri"/>
          <w:color w:val="000000" w:themeColor="text1"/>
          <w:sz w:val="24"/>
          <w:lang w:val="es-ES"/>
        </w:rPr>
        <w:t>.”</w:t>
      </w:r>
      <w:r w:rsidR="00E54B30" w:rsidRPr="00C6051E">
        <w:rPr>
          <w:rStyle w:val="FootnoteReference"/>
          <w:rFonts w:ascii="Calibri" w:hAnsi="Calibri" w:cs="Calibri"/>
          <w:color w:val="000000" w:themeColor="text1"/>
          <w:sz w:val="24"/>
        </w:rPr>
        <w:footnoteReference w:id="9"/>
      </w:r>
      <w:r w:rsidR="00E54B30" w:rsidRPr="00610460">
        <w:rPr>
          <w:rFonts w:ascii="Calibri" w:hAnsi="Calibri" w:cs="Calibri"/>
          <w:color w:val="000000" w:themeColor="text1"/>
          <w:sz w:val="24"/>
          <w:lang w:val="es-ES"/>
        </w:rPr>
        <w:t xml:space="preserve"> Además, en los años posteriores a la guerra, la violencia del gobierno continuó, con el ataque a grupos guerrilleros y comunidades indígenas que se consideraban simpatizantes de la rebelión contra el Estado.</w:t>
      </w:r>
      <w:r w:rsidR="007F4647" w:rsidRPr="00C6051E">
        <w:rPr>
          <w:rStyle w:val="FootnoteReference"/>
          <w:rFonts w:ascii="Calibri" w:hAnsi="Calibri" w:cs="Calibri"/>
          <w:color w:val="000000" w:themeColor="text1"/>
          <w:sz w:val="24"/>
        </w:rPr>
        <w:footnoteReference w:id="10"/>
      </w:r>
      <w:r w:rsidR="00E54B30" w:rsidRPr="00610460">
        <w:rPr>
          <w:rFonts w:ascii="Calibri" w:hAnsi="Calibri" w:cs="Calibri"/>
          <w:color w:val="000000" w:themeColor="text1"/>
          <w:sz w:val="24"/>
          <w:lang w:val="es-ES"/>
        </w:rPr>
        <w:t xml:space="preserve"> Esta escalada de violencia estatal contra las comunidades indígenas provocó un sufrimiento aún mayor, ya que las fuerzas militares continuaron llevando a cabo ataques y violaciones de derechos humanos contra las comunidades indígenas, fomentando así un legado de trauma e injusticias para los pueblos indígenas en Guatemala.</w:t>
      </w:r>
      <w:r w:rsidR="007F4647" w:rsidRPr="00C6051E">
        <w:rPr>
          <w:rStyle w:val="FootnoteReference"/>
          <w:rFonts w:ascii="Calibri" w:hAnsi="Calibri" w:cs="Calibri"/>
          <w:color w:val="000000" w:themeColor="text1"/>
          <w:sz w:val="24"/>
        </w:rPr>
        <w:footnoteReference w:id="11"/>
      </w:r>
    </w:p>
    <w:p w14:paraId="37949EEF" w14:textId="77777777" w:rsidR="006C6ECE" w:rsidRPr="00610460" w:rsidRDefault="006C6ECE" w:rsidP="006C6ECE">
      <w:pPr>
        <w:pStyle w:val="ListParagraph"/>
        <w:rPr>
          <w:rFonts w:ascii="Calibri" w:hAnsi="Calibri" w:cs="Calibri"/>
          <w:color w:val="000000" w:themeColor="text1"/>
          <w:sz w:val="24"/>
          <w:lang w:val="es-ES"/>
        </w:rPr>
      </w:pPr>
    </w:p>
    <w:p w14:paraId="05919B0D" w14:textId="54C9DDC3" w:rsidR="00DD5C68" w:rsidRPr="00610460" w:rsidRDefault="000722CA" w:rsidP="00AA4B77">
      <w:pPr>
        <w:pStyle w:val="ListParagraph"/>
        <w:numPr>
          <w:ilvl w:val="0"/>
          <w:numId w:val="27"/>
        </w:numPr>
        <w:rPr>
          <w:rFonts w:ascii="Calibri" w:hAnsi="Calibri" w:cs="Calibri"/>
          <w:iCs/>
          <w:color w:val="000000" w:themeColor="text1"/>
          <w:sz w:val="24"/>
          <w:lang w:val="es-ES"/>
        </w:rPr>
      </w:pPr>
      <w:r w:rsidRPr="00610460">
        <w:rPr>
          <w:rFonts w:ascii="Calibri" w:hAnsi="Calibri" w:cs="Calibri"/>
          <w:color w:val="000000" w:themeColor="text1"/>
          <w:sz w:val="24"/>
          <w:lang w:val="es-ES"/>
        </w:rPr>
        <w:t>Hoy en día, los Pueblos Indígenas en Guatemala están reconocidos por la Constitución Política de la República de Guatemala. A pesar de este reconocimiento, la discriminación y el racismo continúan ocurriendo contra las comunidades indígenas, lo que lleva a su exclusión de la participación política, el empleo, la vivienda, los ingresos y las oportunidades educativas.</w:t>
      </w:r>
      <w:r w:rsidR="00BC5EA1" w:rsidRPr="00C6051E">
        <w:rPr>
          <w:rStyle w:val="FootnoteReference"/>
          <w:rFonts w:ascii="Calibri" w:hAnsi="Calibri" w:cs="Calibri"/>
          <w:color w:val="000000" w:themeColor="text1"/>
          <w:sz w:val="24"/>
        </w:rPr>
        <w:footnoteReference w:id="12"/>
      </w:r>
      <w:r w:rsidR="00067F8D" w:rsidRPr="00610460">
        <w:rPr>
          <w:rFonts w:ascii="Calibri" w:hAnsi="Calibri" w:cs="Calibri"/>
          <w:color w:val="000000" w:themeColor="text1"/>
          <w:sz w:val="24"/>
          <w:lang w:val="es-ES"/>
        </w:rPr>
        <w:t xml:space="preserve"> La representación política de los pueblos indígenas no supera el 15%.</w:t>
      </w:r>
      <w:r w:rsidR="00067F8D" w:rsidRPr="00C6051E">
        <w:rPr>
          <w:rStyle w:val="FootnoteReference"/>
          <w:rFonts w:ascii="Calibri" w:hAnsi="Calibri" w:cs="Calibri"/>
          <w:color w:val="000000" w:themeColor="text1"/>
          <w:sz w:val="24"/>
        </w:rPr>
        <w:footnoteReference w:id="13"/>
      </w:r>
      <w:r w:rsidR="00067F8D" w:rsidRPr="00610460">
        <w:rPr>
          <w:rFonts w:ascii="Calibri" w:hAnsi="Calibri" w:cs="Calibri"/>
          <w:color w:val="000000" w:themeColor="text1"/>
          <w:sz w:val="24"/>
          <w:lang w:val="es-ES"/>
        </w:rPr>
        <w:t xml:space="preserve"> Además, las estadísticas demuestran que la pobreza afecta a alrededor del 75% de los pueblos indígenas y la desnutrición afecta al 58% de las comunidades indígenas.</w:t>
      </w:r>
      <w:r w:rsidR="00067F8D" w:rsidRPr="00C6051E">
        <w:rPr>
          <w:rStyle w:val="FootnoteReference"/>
          <w:rFonts w:ascii="Calibri" w:hAnsi="Calibri" w:cs="Calibri"/>
          <w:color w:val="000000" w:themeColor="text1"/>
          <w:sz w:val="24"/>
        </w:rPr>
        <w:footnoteReference w:id="14"/>
      </w:r>
      <w:r w:rsidR="00067F8D" w:rsidRPr="00610460">
        <w:rPr>
          <w:rFonts w:ascii="Calibri" w:hAnsi="Calibri" w:cs="Calibri"/>
          <w:color w:val="000000" w:themeColor="text1"/>
          <w:sz w:val="24"/>
          <w:lang w:val="es-ES"/>
        </w:rPr>
        <w:t xml:space="preserve"> Tales exclusiones sistemáticas contra los pueblos indígenas en Guatemala obstaculizan su capacidad para florecer plenamente y participar de manera significativa en su derecho a la autodeterminación.</w:t>
      </w:r>
    </w:p>
    <w:p w14:paraId="44E00F03" w14:textId="77777777" w:rsidR="00DD5C68" w:rsidRPr="00610460" w:rsidRDefault="00DD5C68" w:rsidP="008E73FF">
      <w:pPr>
        <w:rPr>
          <w:rFonts w:ascii="Calibri" w:hAnsi="Calibri" w:cs="Calibri"/>
          <w:bCs/>
          <w:color w:val="000000" w:themeColor="text1"/>
          <w:sz w:val="24"/>
          <w:lang w:val="es-ES"/>
        </w:rPr>
      </w:pPr>
    </w:p>
    <w:p w14:paraId="62ACC88B" w14:textId="292B3B0E" w:rsidR="00DD5C68" w:rsidRPr="00610460" w:rsidRDefault="00DD5C68" w:rsidP="00B9778D">
      <w:pPr>
        <w:pStyle w:val="ListParagraph"/>
        <w:numPr>
          <w:ilvl w:val="1"/>
          <w:numId w:val="29"/>
        </w:numPr>
        <w:ind w:left="990"/>
        <w:rPr>
          <w:rFonts w:ascii="Calibri" w:hAnsi="Calibri" w:cs="Calibri"/>
          <w:b/>
          <w:bCs/>
          <w:color w:val="000000" w:themeColor="text1"/>
          <w:sz w:val="24"/>
          <w:lang w:val="es-ES"/>
        </w:rPr>
      </w:pPr>
      <w:r w:rsidRPr="00610460">
        <w:rPr>
          <w:rFonts w:ascii="Calibri" w:hAnsi="Calibri" w:cs="Calibri"/>
          <w:b/>
          <w:bCs/>
          <w:color w:val="000000" w:themeColor="text1"/>
          <w:sz w:val="24"/>
          <w:lang w:val="es-ES"/>
        </w:rPr>
        <w:t>Historia de la Radio Comunitaria en Guatemala</w:t>
      </w:r>
    </w:p>
    <w:p w14:paraId="104C0793" w14:textId="77777777" w:rsidR="008E73FF" w:rsidRPr="00610460" w:rsidRDefault="008E73FF" w:rsidP="008E73FF">
      <w:pPr>
        <w:pStyle w:val="ListParagraph"/>
        <w:ind w:left="270"/>
        <w:rPr>
          <w:rFonts w:ascii="Calibri" w:hAnsi="Calibri" w:cs="Calibri"/>
          <w:b/>
          <w:bCs/>
          <w:color w:val="000000" w:themeColor="text1"/>
          <w:sz w:val="24"/>
          <w:lang w:val="es-ES"/>
        </w:rPr>
      </w:pPr>
    </w:p>
    <w:p w14:paraId="2F060795" w14:textId="0CD60B02" w:rsidR="001007F6" w:rsidRPr="00A262AA" w:rsidRDefault="00DD5C68" w:rsidP="00B9778D">
      <w:pPr>
        <w:pStyle w:val="ListParagraph"/>
        <w:numPr>
          <w:ilvl w:val="3"/>
          <w:numId w:val="29"/>
        </w:numPr>
        <w:ind w:left="1440"/>
        <w:rPr>
          <w:rFonts w:ascii="Calibri" w:hAnsi="Calibri" w:cs="Calibri"/>
          <w:b/>
          <w:bCs/>
          <w:color w:val="000000" w:themeColor="text1"/>
          <w:sz w:val="24"/>
        </w:rPr>
      </w:pPr>
      <w:proofErr w:type="spellStart"/>
      <w:r w:rsidRPr="00A262AA">
        <w:rPr>
          <w:rFonts w:ascii="Calibri" w:hAnsi="Calibri" w:cs="Calibri"/>
          <w:b/>
          <w:bCs/>
          <w:color w:val="000000" w:themeColor="text1"/>
          <w:sz w:val="24"/>
        </w:rPr>
        <w:t>Importancia</w:t>
      </w:r>
      <w:proofErr w:type="spellEnd"/>
      <w:r w:rsidRPr="00A262AA">
        <w:rPr>
          <w:rFonts w:ascii="Calibri" w:hAnsi="Calibri" w:cs="Calibri"/>
          <w:b/>
          <w:bCs/>
          <w:color w:val="000000" w:themeColor="text1"/>
          <w:sz w:val="24"/>
        </w:rPr>
        <w:t xml:space="preserve"> de la radio </w:t>
      </w:r>
      <w:proofErr w:type="spellStart"/>
      <w:r w:rsidRPr="00A262AA">
        <w:rPr>
          <w:rFonts w:ascii="Calibri" w:hAnsi="Calibri" w:cs="Calibri"/>
          <w:b/>
          <w:bCs/>
          <w:color w:val="000000" w:themeColor="text1"/>
          <w:sz w:val="24"/>
        </w:rPr>
        <w:t>comunitaria</w:t>
      </w:r>
      <w:proofErr w:type="spellEnd"/>
      <w:r w:rsidRPr="00A262AA">
        <w:rPr>
          <w:rFonts w:ascii="Calibri" w:hAnsi="Calibri" w:cs="Calibri"/>
          <w:b/>
          <w:bCs/>
          <w:color w:val="000000" w:themeColor="text1"/>
          <w:sz w:val="24"/>
        </w:rPr>
        <w:t xml:space="preserve"> </w:t>
      </w:r>
    </w:p>
    <w:p w14:paraId="35D6986C" w14:textId="77777777" w:rsidR="001007F6" w:rsidRPr="00C6051E" w:rsidRDefault="001007F6" w:rsidP="008E73FF">
      <w:pPr>
        <w:pStyle w:val="ListParagraph"/>
        <w:ind w:left="0"/>
        <w:rPr>
          <w:rFonts w:ascii="Calibri" w:hAnsi="Calibri" w:cs="Calibri"/>
          <w:b/>
          <w:bCs/>
          <w:color w:val="000000" w:themeColor="text1"/>
          <w:sz w:val="24"/>
        </w:rPr>
      </w:pPr>
    </w:p>
    <w:p w14:paraId="15004803" w14:textId="6F0DFA5C" w:rsidR="008A0037" w:rsidRPr="00610460" w:rsidRDefault="008A0037" w:rsidP="00AA4B77">
      <w:pPr>
        <w:pStyle w:val="ListParagraph"/>
        <w:numPr>
          <w:ilvl w:val="0"/>
          <w:numId w:val="27"/>
        </w:numPr>
        <w:rPr>
          <w:rFonts w:ascii="Calibri" w:hAnsi="Calibri" w:cs="Calibri"/>
          <w:color w:val="000000" w:themeColor="text1"/>
          <w:sz w:val="24"/>
          <w:shd w:val="clear" w:color="auto" w:fill="FFFFFF"/>
          <w:lang w:val="es-ES"/>
        </w:rPr>
      </w:pPr>
      <w:r w:rsidRPr="00610460">
        <w:rPr>
          <w:rFonts w:ascii="Calibri" w:hAnsi="Calibri" w:cs="Calibri"/>
          <w:color w:val="000000" w:themeColor="text1"/>
          <w:sz w:val="24"/>
          <w:lang w:val="es-ES"/>
        </w:rPr>
        <w:t xml:space="preserve">La radio comunitaria se define como "medios independientes, de propiedad y gestión comunitaria. . .  [que es] un medio alternativo a los medios públicos y comerciales y, por lo tanto, importante para una ecología pluralista de los medios, ya que ayuda a prevenir la concentración de la propiedad de los medios y permite a las personas ejercer su derecho a </w:t>
      </w:r>
      <w:r w:rsidRPr="00610460">
        <w:rPr>
          <w:rFonts w:ascii="Calibri" w:hAnsi="Calibri" w:cs="Calibri"/>
          <w:color w:val="000000" w:themeColor="text1"/>
          <w:sz w:val="24"/>
          <w:lang w:val="es-ES"/>
        </w:rPr>
        <w:lastRenderedPageBreak/>
        <w:t>la libertad de expresión".</w:t>
      </w:r>
      <w:r w:rsidRPr="00C6051E">
        <w:rPr>
          <w:rStyle w:val="FootnoteReference"/>
          <w:rFonts w:ascii="Calibri" w:hAnsi="Calibri" w:cs="Calibri"/>
          <w:color w:val="000000" w:themeColor="text1"/>
          <w:sz w:val="24"/>
          <w:shd w:val="clear" w:color="auto" w:fill="FFFFFF"/>
        </w:rPr>
        <w:footnoteReference w:id="15"/>
      </w:r>
      <w:r w:rsidRPr="00610460">
        <w:rPr>
          <w:rFonts w:ascii="Calibri" w:hAnsi="Calibri" w:cs="Calibri"/>
          <w:color w:val="000000" w:themeColor="text1"/>
          <w:sz w:val="24"/>
          <w:shd w:val="clear" w:color="auto" w:fill="FFFFFF"/>
          <w:lang w:val="es-ES"/>
        </w:rPr>
        <w:t xml:space="preserve"> En Guatemala, donde casi el 45% de la población está compuesta por pueblos indígenas y muchos viven en comunidades rurales, la radio es un medio importante para la comunicación. Las comunidades indígenas utilizan la radio comunitaria como herramienta de comunicación para proporcionar noticias y actualizaciones dentro de sus comunidades.</w:t>
      </w:r>
      <w:r w:rsidR="00DD5C68" w:rsidRPr="00C6051E">
        <w:rPr>
          <w:rStyle w:val="FootnoteReference"/>
          <w:rFonts w:ascii="Calibri" w:hAnsi="Calibri" w:cs="Calibri"/>
          <w:color w:val="000000" w:themeColor="text1"/>
          <w:sz w:val="24"/>
          <w:shd w:val="clear" w:color="auto" w:fill="FFFFFF"/>
        </w:rPr>
        <w:footnoteReference w:id="16"/>
      </w:r>
      <w:r w:rsidR="00DD5C68" w:rsidRPr="00610460">
        <w:rPr>
          <w:rFonts w:ascii="Calibri" w:hAnsi="Calibri" w:cs="Calibri"/>
          <w:color w:val="000000" w:themeColor="text1"/>
          <w:sz w:val="24"/>
          <w:shd w:val="clear" w:color="auto" w:fill="FFFFFF"/>
          <w:lang w:val="es-ES"/>
        </w:rPr>
        <w:t xml:space="preserve"> Además, la radio comunitaria se utiliza para preservar y mantener las culturas, idiomas e historias indígenas.</w:t>
      </w:r>
      <w:r w:rsidR="00DD5C68" w:rsidRPr="00C6051E">
        <w:rPr>
          <w:rStyle w:val="FootnoteReference"/>
          <w:rFonts w:ascii="Calibri" w:hAnsi="Calibri" w:cs="Calibri"/>
          <w:color w:val="000000" w:themeColor="text1"/>
          <w:sz w:val="24"/>
          <w:shd w:val="clear" w:color="auto" w:fill="FFFFFF"/>
        </w:rPr>
        <w:footnoteReference w:id="17"/>
      </w:r>
      <w:r w:rsidRPr="00610460">
        <w:rPr>
          <w:rFonts w:ascii="Calibri" w:hAnsi="Calibri" w:cs="Calibri"/>
          <w:color w:val="000000" w:themeColor="text1"/>
          <w:sz w:val="24"/>
          <w:shd w:val="clear" w:color="auto" w:fill="FFFFFF"/>
          <w:lang w:val="es-ES"/>
        </w:rPr>
        <w:t xml:space="preserve"> El uso de la radio sirve esencialmente como un recurso para que los pueblos indígenas mantengan viva su identidad cultural y sus recuerdos para las generaciones futuras. A pesar de la importancia que juega la radio comunitaria en la preservación de las culturas indígenas, muchas comunidades históricamente han enfrentado desafíos para operar y mantener su radio comunitaria. </w:t>
      </w:r>
    </w:p>
    <w:p w14:paraId="06DE9067" w14:textId="77777777" w:rsidR="008A0037" w:rsidRPr="00610460" w:rsidRDefault="008A0037" w:rsidP="008E73FF">
      <w:pPr>
        <w:rPr>
          <w:rFonts w:ascii="Calibri" w:hAnsi="Calibri" w:cs="Calibri"/>
          <w:b/>
          <w:bCs/>
          <w:color w:val="000000" w:themeColor="text1"/>
          <w:sz w:val="24"/>
          <w:lang w:val="es-ES"/>
        </w:rPr>
      </w:pPr>
    </w:p>
    <w:p w14:paraId="51F02448" w14:textId="183282AE" w:rsidR="001007F6" w:rsidRPr="00610460" w:rsidRDefault="008A0037" w:rsidP="00B9778D">
      <w:pPr>
        <w:pStyle w:val="ListParagraph"/>
        <w:numPr>
          <w:ilvl w:val="3"/>
          <w:numId w:val="29"/>
        </w:numPr>
        <w:ind w:left="1440"/>
        <w:rPr>
          <w:rFonts w:ascii="Calibri" w:hAnsi="Calibri" w:cs="Calibri"/>
          <w:b/>
          <w:bCs/>
          <w:color w:val="000000" w:themeColor="text1"/>
          <w:sz w:val="24"/>
          <w:lang w:val="es-ES"/>
        </w:rPr>
      </w:pPr>
      <w:r w:rsidRPr="00610460">
        <w:rPr>
          <w:rFonts w:ascii="Calibri" w:hAnsi="Calibri" w:cs="Calibri"/>
          <w:b/>
          <w:bCs/>
          <w:color w:val="000000" w:themeColor="text1"/>
          <w:sz w:val="24"/>
          <w:lang w:val="es-ES"/>
        </w:rPr>
        <w:t xml:space="preserve">Funcionamiento de la Radio Comunitaria Indígena </w:t>
      </w:r>
    </w:p>
    <w:p w14:paraId="0DF30112" w14:textId="77777777" w:rsidR="00826781" w:rsidRPr="00610460" w:rsidRDefault="00826781" w:rsidP="008E73FF">
      <w:pPr>
        <w:pStyle w:val="ListParagraph"/>
        <w:ind w:left="0"/>
        <w:rPr>
          <w:rFonts w:ascii="Calibri" w:hAnsi="Calibri" w:cs="Calibri"/>
          <w:b/>
          <w:bCs/>
          <w:color w:val="000000" w:themeColor="text1"/>
          <w:sz w:val="24"/>
          <w:lang w:val="es-ES"/>
        </w:rPr>
      </w:pPr>
    </w:p>
    <w:p w14:paraId="1805020D" w14:textId="74503688" w:rsidR="00DE2693" w:rsidRPr="00610460" w:rsidRDefault="007D3D57" w:rsidP="00AA4B77">
      <w:pPr>
        <w:pStyle w:val="ListParagraph"/>
        <w:numPr>
          <w:ilvl w:val="0"/>
          <w:numId w:val="27"/>
        </w:numPr>
        <w:rPr>
          <w:rFonts w:ascii="Calibri" w:hAnsi="Calibri" w:cs="Calibri"/>
          <w:bCs/>
          <w:color w:val="000000" w:themeColor="text1"/>
          <w:sz w:val="24"/>
          <w:lang w:val="es-ES"/>
        </w:rPr>
      </w:pPr>
      <w:r>
        <w:rPr>
          <w:rFonts w:ascii="Calibri" w:hAnsi="Calibri" w:cs="Calibri"/>
          <w:color w:val="000000" w:themeColor="text1"/>
          <w:sz w:val="24"/>
          <w:lang w:val="es-ES"/>
        </w:rPr>
        <w:t>L</w:t>
      </w:r>
      <w:r w:rsidR="00A82E73" w:rsidRPr="00610460">
        <w:rPr>
          <w:rFonts w:ascii="Calibri" w:hAnsi="Calibri" w:cs="Calibri"/>
          <w:color w:val="000000" w:themeColor="text1"/>
          <w:sz w:val="24"/>
          <w:lang w:val="es-ES"/>
        </w:rPr>
        <w:t>as radios comunitarias indígenas aún enfrentan una gran discriminación y numerosas barreras para operar.</w:t>
      </w:r>
      <w:r w:rsidR="009570AC" w:rsidRPr="00C6051E">
        <w:rPr>
          <w:rStyle w:val="FootnoteReference"/>
          <w:rFonts w:ascii="Calibri" w:hAnsi="Calibri" w:cs="Calibri"/>
          <w:color w:val="000000" w:themeColor="text1"/>
          <w:sz w:val="24"/>
        </w:rPr>
        <w:footnoteReference w:id="18"/>
      </w:r>
      <w:r w:rsidR="00DE2693" w:rsidRPr="00610460">
        <w:rPr>
          <w:rFonts w:ascii="Calibri" w:hAnsi="Calibri" w:cs="Calibri"/>
          <w:color w:val="000000" w:themeColor="text1"/>
          <w:sz w:val="24"/>
          <w:lang w:val="es-ES"/>
        </w:rPr>
        <w:t xml:space="preserve"> En 1995, el Acuerdo sobre Identidad y Derechos de los Pueblos Indígenas ("AIDPI") buscó solidificar la igualdad de acceso de la población indígena a los medios de comunicación, particularmente a la radio, a través de obligaciones positivas y negativas para el gobierno nacional. En primer lugar, al firmar este documento, Guatemala acordó "</w:t>
      </w:r>
      <w:proofErr w:type="spellStart"/>
      <w:r w:rsidR="00DE2693" w:rsidRPr="00610460">
        <w:rPr>
          <w:rFonts w:ascii="Calibri" w:hAnsi="Calibri" w:cs="Calibri"/>
          <w:color w:val="000000" w:themeColor="text1"/>
          <w:sz w:val="24"/>
          <w:lang w:val="es-ES"/>
        </w:rPr>
        <w:t>promotear</w:t>
      </w:r>
      <w:proofErr w:type="spellEnd"/>
      <w:r w:rsidR="00DE2693" w:rsidRPr="00610460">
        <w:rPr>
          <w:rFonts w:ascii="Calibri" w:hAnsi="Calibri" w:cs="Calibri"/>
          <w:color w:val="000000" w:themeColor="text1"/>
          <w:sz w:val="24"/>
          <w:lang w:val="es-ES"/>
        </w:rPr>
        <w:t>, en el Congreso de Guatemala, las reformas a la Ley de Radiocomunicaciones vigente que se requieren para poner a disposición frecuencias para proyectos indígenas y garantizar el respeto del principio de no discriminación en el uso de los medios de comunicación".</w:t>
      </w:r>
      <w:r w:rsidR="00A16890" w:rsidRPr="00C6051E">
        <w:rPr>
          <w:rStyle w:val="FootnoteReference"/>
          <w:rFonts w:ascii="Calibri" w:hAnsi="Calibri" w:cs="Calibri"/>
          <w:color w:val="000000" w:themeColor="text1"/>
          <w:sz w:val="24"/>
        </w:rPr>
        <w:footnoteReference w:id="19"/>
      </w:r>
      <w:r w:rsidR="00294C11" w:rsidRPr="00610460">
        <w:rPr>
          <w:rFonts w:ascii="Calibri" w:hAnsi="Calibri" w:cs="Calibri"/>
          <w:color w:val="000000" w:themeColor="text1"/>
          <w:sz w:val="24"/>
          <w:lang w:val="es-ES"/>
        </w:rPr>
        <w:t xml:space="preserve"> Asimismo, Guatemala acordó "[p]</w:t>
      </w:r>
      <w:proofErr w:type="spellStart"/>
      <w:r w:rsidR="00294C11" w:rsidRPr="00610460">
        <w:rPr>
          <w:rFonts w:ascii="Calibri" w:hAnsi="Calibri" w:cs="Calibri"/>
          <w:color w:val="000000" w:themeColor="text1"/>
          <w:sz w:val="24"/>
          <w:lang w:val="es-ES"/>
        </w:rPr>
        <w:t>romote</w:t>
      </w:r>
      <w:proofErr w:type="spellEnd"/>
      <w:r w:rsidR="00294C11" w:rsidRPr="00610460">
        <w:rPr>
          <w:rFonts w:ascii="Calibri" w:hAnsi="Calibri" w:cs="Calibri"/>
          <w:color w:val="000000" w:themeColor="text1"/>
          <w:sz w:val="24"/>
          <w:lang w:val="es-ES"/>
        </w:rPr>
        <w:t>... la abolición de cualquier disposición de la legislación nacional que sea un obstáculo para el derecho de los pueblos indígenas a tener sus propios medios de comunicación para el desarrollo de su identidad".</w:t>
      </w:r>
      <w:r w:rsidR="00636DB3" w:rsidRPr="00C6051E">
        <w:rPr>
          <w:rStyle w:val="FootnoteReference"/>
          <w:rFonts w:ascii="Calibri" w:hAnsi="Calibri" w:cs="Calibri"/>
          <w:color w:val="000000" w:themeColor="text1"/>
          <w:sz w:val="24"/>
        </w:rPr>
        <w:footnoteReference w:id="20"/>
      </w:r>
      <w:r w:rsidR="00636DB3" w:rsidRPr="00610460">
        <w:rPr>
          <w:rStyle w:val="FootnoteReference"/>
          <w:rFonts w:ascii="Calibri" w:hAnsi="Calibri" w:cs="Calibri"/>
          <w:color w:val="000000" w:themeColor="text1"/>
          <w:sz w:val="24"/>
          <w:lang w:val="es-ES"/>
        </w:rPr>
        <w:t xml:space="preserve">  </w:t>
      </w:r>
      <w:r w:rsidR="00DE2693" w:rsidRPr="00610460">
        <w:rPr>
          <w:rFonts w:ascii="Calibri" w:hAnsi="Calibri" w:cs="Calibri"/>
          <w:color w:val="000000" w:themeColor="text1"/>
          <w:sz w:val="24"/>
          <w:lang w:val="es-ES"/>
        </w:rPr>
        <w:t>Al año siguiente, Guatemala adoptó la Ley General de Telecomunicaciones, Decreto 94-96 ("LGT") para regular el espectro radioeléctrico.</w:t>
      </w:r>
      <w:r w:rsidR="00DE2693" w:rsidRPr="00C6051E">
        <w:rPr>
          <w:rStyle w:val="FootnoteReference"/>
          <w:rFonts w:ascii="Calibri" w:hAnsi="Calibri" w:cs="Calibri"/>
          <w:color w:val="000000" w:themeColor="text1"/>
          <w:sz w:val="24"/>
        </w:rPr>
        <w:footnoteReference w:id="21"/>
      </w:r>
      <w:r w:rsidR="00DE2693" w:rsidRPr="00610460">
        <w:rPr>
          <w:rStyle w:val="FootnoteReference"/>
          <w:rFonts w:ascii="Calibri" w:hAnsi="Calibri" w:cs="Calibri"/>
          <w:color w:val="000000" w:themeColor="text1"/>
          <w:sz w:val="24"/>
          <w:lang w:val="es-ES"/>
        </w:rPr>
        <w:t xml:space="preserve"> </w:t>
      </w:r>
    </w:p>
    <w:p w14:paraId="132C799A" w14:textId="77777777" w:rsidR="00DE2693" w:rsidRPr="00610460" w:rsidRDefault="00DE2693" w:rsidP="008E73FF">
      <w:pPr>
        <w:pStyle w:val="ListParagraph"/>
        <w:ind w:left="0"/>
        <w:rPr>
          <w:rFonts w:ascii="Calibri" w:hAnsi="Calibri" w:cs="Calibri"/>
          <w:bCs/>
          <w:color w:val="000000" w:themeColor="text1"/>
          <w:sz w:val="24"/>
          <w:lang w:val="es-ES"/>
        </w:rPr>
      </w:pPr>
    </w:p>
    <w:p w14:paraId="44907323" w14:textId="170CB4B3" w:rsidR="00C34238" w:rsidRPr="00610460" w:rsidRDefault="00DE2693" w:rsidP="00AA4B77">
      <w:pPr>
        <w:pStyle w:val="ListParagraph"/>
        <w:numPr>
          <w:ilvl w:val="0"/>
          <w:numId w:val="27"/>
        </w:numPr>
        <w:rPr>
          <w:rFonts w:ascii="Calibri" w:hAnsi="Calibri" w:cs="Calibri"/>
          <w:bCs/>
          <w:color w:val="000000" w:themeColor="text1"/>
          <w:sz w:val="24"/>
          <w:lang w:val="es-ES"/>
        </w:rPr>
      </w:pPr>
      <w:r w:rsidRPr="00610460">
        <w:rPr>
          <w:rFonts w:ascii="Calibri" w:hAnsi="Calibri" w:cs="Calibri"/>
          <w:color w:val="000000" w:themeColor="text1"/>
          <w:sz w:val="24"/>
          <w:lang w:val="es-ES"/>
        </w:rPr>
        <w:t>Los artículos 61 y 62 de la LGT se refieren a la concesión de licencias del espectro de radiofrecuencias.</w:t>
      </w:r>
      <w:r w:rsidRPr="00C6051E">
        <w:rPr>
          <w:rStyle w:val="FootnoteReference"/>
          <w:rFonts w:ascii="Calibri" w:hAnsi="Calibri" w:cs="Calibri"/>
          <w:color w:val="000000" w:themeColor="text1"/>
          <w:sz w:val="24"/>
        </w:rPr>
        <w:footnoteReference w:id="22"/>
      </w:r>
      <w:r w:rsidRPr="00610460">
        <w:rPr>
          <w:rStyle w:val="FootnoteReference"/>
          <w:rFonts w:ascii="Calibri" w:hAnsi="Calibri" w:cs="Calibri"/>
          <w:color w:val="000000" w:themeColor="text1"/>
          <w:sz w:val="24"/>
          <w:lang w:val="es-ES"/>
        </w:rPr>
        <w:t xml:space="preserve"> </w:t>
      </w:r>
      <w:r w:rsidRPr="00610460">
        <w:rPr>
          <w:rFonts w:ascii="Calibri" w:hAnsi="Calibri" w:cs="Calibri"/>
          <w:color w:val="000000" w:themeColor="text1"/>
          <w:sz w:val="24"/>
          <w:lang w:val="es-ES"/>
        </w:rPr>
        <w:t xml:space="preserve">El artículo 61 de la LGT prevé un proceso de subasta pública como </w:t>
      </w:r>
      <w:r w:rsidRPr="00610460">
        <w:rPr>
          <w:rFonts w:ascii="Calibri" w:hAnsi="Calibri" w:cs="Calibri"/>
          <w:color w:val="000000" w:themeColor="text1"/>
          <w:sz w:val="24"/>
          <w:lang w:val="es-ES"/>
        </w:rPr>
        <w:lastRenderedPageBreak/>
        <w:t>medio para adjudicar los derechos de uso de las radiofrecuencias.</w:t>
      </w:r>
      <w:r w:rsidR="00C3387C" w:rsidRPr="00C6051E">
        <w:rPr>
          <w:rStyle w:val="FootnoteReference"/>
          <w:rFonts w:ascii="Calibri" w:hAnsi="Calibri" w:cs="Calibri"/>
          <w:color w:val="000000" w:themeColor="text1"/>
          <w:sz w:val="24"/>
        </w:rPr>
        <w:footnoteReference w:id="23"/>
      </w:r>
      <w:r w:rsidRPr="00610460">
        <w:rPr>
          <w:rFonts w:ascii="Calibri" w:hAnsi="Calibri" w:cs="Calibri"/>
          <w:color w:val="000000" w:themeColor="text1"/>
          <w:sz w:val="24"/>
          <w:lang w:val="es-ES"/>
        </w:rPr>
        <w:t xml:space="preserve"> El artículo 62 de la LGT describe este proceso y establece que "[l]a banda de frecuencias se adjudicará siempre a la persona que ofrezca el precio más alto".</w:t>
      </w:r>
      <w:r w:rsidRPr="00C6051E">
        <w:rPr>
          <w:rStyle w:val="FootnoteReference"/>
          <w:rFonts w:ascii="Calibri" w:hAnsi="Calibri" w:cs="Calibri"/>
          <w:color w:val="000000" w:themeColor="text1"/>
          <w:sz w:val="24"/>
        </w:rPr>
        <w:footnoteReference w:id="24"/>
      </w:r>
      <w:r w:rsidRPr="00610460">
        <w:rPr>
          <w:rStyle w:val="FootnoteReference"/>
          <w:rFonts w:ascii="Calibri" w:hAnsi="Calibri" w:cs="Calibri"/>
          <w:color w:val="000000" w:themeColor="text1"/>
          <w:sz w:val="24"/>
          <w:lang w:val="es-ES"/>
        </w:rPr>
        <w:t xml:space="preserve"> </w:t>
      </w:r>
      <w:r w:rsidRPr="00610460">
        <w:rPr>
          <w:rFonts w:ascii="Calibri" w:hAnsi="Calibri" w:cs="Calibri"/>
          <w:color w:val="000000" w:themeColor="text1"/>
          <w:sz w:val="24"/>
          <w:lang w:val="es-ES"/>
        </w:rPr>
        <w:t xml:space="preserve">La LGT no contempla la posible operación de radios comunitarias o cualquier otra forma de radio sin fines de lucro, lo que hace prácticamente imposible que los pueblos indígenas obtengan acceso legal a las frecuencias de radio o compitan en un proceso de licitación; una </w:t>
      </w:r>
      <w:r w:rsidRPr="00610460">
        <w:rPr>
          <w:rFonts w:ascii="Calibri" w:hAnsi="Calibri" w:cs="Calibri"/>
          <w:i/>
          <w:iCs/>
          <w:color w:val="000000" w:themeColor="text1"/>
          <w:sz w:val="24"/>
          <w:lang w:val="es-ES"/>
        </w:rPr>
        <w:t xml:space="preserve"> prohibición de facto</w:t>
      </w:r>
      <w:r w:rsidRPr="00610460">
        <w:rPr>
          <w:rFonts w:ascii="Calibri" w:hAnsi="Calibri" w:cs="Calibri"/>
          <w:color w:val="000000" w:themeColor="text1"/>
          <w:sz w:val="24"/>
          <w:lang w:val="es-ES"/>
        </w:rPr>
        <w:t xml:space="preserve"> de la radio comunitaria.</w:t>
      </w:r>
      <w:r w:rsidR="00CE4894" w:rsidRPr="00C6051E">
        <w:rPr>
          <w:rStyle w:val="FootnoteReference"/>
          <w:rFonts w:ascii="Calibri" w:hAnsi="Calibri" w:cs="Calibri"/>
          <w:color w:val="000000" w:themeColor="text1"/>
          <w:sz w:val="24"/>
        </w:rPr>
        <w:footnoteReference w:id="25"/>
      </w:r>
    </w:p>
    <w:p w14:paraId="6925AA48" w14:textId="77777777" w:rsidR="00C34238" w:rsidRPr="00610460" w:rsidRDefault="00C34238" w:rsidP="008E73FF">
      <w:pPr>
        <w:rPr>
          <w:rFonts w:ascii="Calibri" w:hAnsi="Calibri" w:cs="Calibri"/>
          <w:bCs/>
          <w:color w:val="000000" w:themeColor="text1"/>
          <w:sz w:val="24"/>
          <w:lang w:val="es-ES"/>
        </w:rPr>
      </w:pPr>
    </w:p>
    <w:p w14:paraId="02F843DB" w14:textId="1F10ED20" w:rsidR="00C34238" w:rsidRPr="00B9778D" w:rsidRDefault="00B9778D" w:rsidP="00B9778D">
      <w:pPr>
        <w:numPr>
          <w:ilvl w:val="0"/>
          <w:numId w:val="27"/>
        </w:numPr>
        <w:shd w:val="clear" w:color="auto" w:fill="FFFFFF"/>
        <w:spacing w:before="48" w:after="48"/>
        <w:rPr>
          <w:rFonts w:ascii="Calibri" w:eastAsia="Times New Roman" w:hAnsi="Calibri" w:cs="Calibri"/>
          <w:color w:val="31333F"/>
          <w:sz w:val="24"/>
          <w:lang w:val="es-ES"/>
        </w:rPr>
      </w:pPr>
      <w:r w:rsidRPr="00B9778D">
        <w:rPr>
          <w:rFonts w:ascii="Calibri" w:eastAsia="Times New Roman" w:hAnsi="Calibri" w:cs="Calibri"/>
          <w:color w:val="31333F"/>
          <w:sz w:val="24"/>
          <w:lang w:val="es-ES"/>
        </w:rPr>
        <w:t>El Gobierno trató a las estaciones de radio comunitarias indígenas como ilegales bajo las leyes nacionales. Las estaciones de radio comunitarias que sirven a las comunidades indígenas eran frecuentemente asaltadas por las fuerzas policiales y militares guatemaltecas, quienes detenían a los locutores y confiscaban el equipo de radio</w:t>
      </w:r>
      <w:r w:rsidRPr="00B9778D">
        <w:rPr>
          <w:rFonts w:ascii="Calibri" w:hAnsi="Calibri" w:cs="Calibri"/>
          <w:color w:val="000000" w:themeColor="text1"/>
          <w:sz w:val="24"/>
          <w:lang w:val="es-ES"/>
        </w:rPr>
        <w:t>.</w:t>
      </w:r>
      <w:r w:rsidR="00DE2693" w:rsidRPr="00B9778D">
        <w:rPr>
          <w:rFonts w:ascii="Calibri" w:hAnsi="Calibri" w:cs="Calibri"/>
          <w:color w:val="000000" w:themeColor="text1"/>
          <w:sz w:val="24"/>
          <w:lang w:val="es-ES"/>
        </w:rPr>
        <w:t xml:space="preserve"> </w:t>
      </w:r>
      <w:r w:rsidR="005134CF" w:rsidRPr="00B9778D">
        <w:rPr>
          <w:rStyle w:val="FootnoteReference"/>
          <w:rFonts w:ascii="Calibri" w:hAnsi="Calibri" w:cs="Calibri"/>
          <w:color w:val="000000" w:themeColor="text1"/>
          <w:sz w:val="24"/>
        </w:rPr>
        <w:footnoteReference w:id="26"/>
      </w:r>
      <w:r w:rsidR="00DE2693" w:rsidRPr="00B9778D">
        <w:rPr>
          <w:rFonts w:ascii="Calibri" w:hAnsi="Calibri" w:cs="Calibri"/>
          <w:color w:val="000000" w:themeColor="text1"/>
          <w:sz w:val="24"/>
          <w:lang w:val="es-ES"/>
        </w:rPr>
        <w:t xml:space="preserve"> </w:t>
      </w:r>
      <w:r w:rsidRPr="00B9778D">
        <w:rPr>
          <w:rFonts w:ascii="Calibri" w:hAnsi="Calibri" w:cs="Calibri"/>
          <w:color w:val="000000" w:themeColor="text1"/>
          <w:sz w:val="24"/>
          <w:lang w:val="es-ES"/>
        </w:rPr>
        <w:t xml:space="preserve">Las </w:t>
      </w:r>
      <w:r w:rsidR="00DE2693" w:rsidRPr="00B9778D">
        <w:rPr>
          <w:rFonts w:ascii="Calibri" w:hAnsi="Calibri" w:cs="Calibri"/>
          <w:color w:val="000000" w:themeColor="text1"/>
          <w:sz w:val="24"/>
          <w:lang w:val="es-ES"/>
        </w:rPr>
        <w:t xml:space="preserve">estaciones de radio comunitarias que sirven a las comunidades indígenas han sido frecuentemente allanadas por las fuerzas policiales guatemaltecas </w:t>
      </w:r>
      <w:r w:rsidRPr="00B9778D">
        <w:rPr>
          <w:rFonts w:ascii="Calibri" w:hAnsi="Calibri" w:cs="Calibri"/>
          <w:color w:val="000000" w:themeColor="text1"/>
          <w:sz w:val="24"/>
          <w:lang w:val="es-ES"/>
        </w:rPr>
        <w:t xml:space="preserve">y militares </w:t>
      </w:r>
      <w:r w:rsidR="00DE2693" w:rsidRPr="00B9778D">
        <w:rPr>
          <w:rFonts w:ascii="Calibri" w:hAnsi="Calibri" w:cs="Calibri"/>
          <w:color w:val="000000" w:themeColor="text1"/>
          <w:sz w:val="24"/>
          <w:lang w:val="es-ES"/>
        </w:rPr>
        <w:t xml:space="preserve">que detienen a </w:t>
      </w:r>
      <w:r w:rsidR="00644A97">
        <w:rPr>
          <w:rFonts w:ascii="Calibri" w:hAnsi="Calibri" w:cs="Calibri"/>
          <w:color w:val="000000" w:themeColor="text1"/>
          <w:sz w:val="24"/>
          <w:lang w:val="es-ES"/>
        </w:rPr>
        <w:t xml:space="preserve">sus trabajadores </w:t>
      </w:r>
      <w:r w:rsidR="00DE2693" w:rsidRPr="00B9778D">
        <w:rPr>
          <w:rFonts w:ascii="Calibri" w:hAnsi="Calibri" w:cs="Calibri"/>
          <w:color w:val="000000" w:themeColor="text1"/>
          <w:sz w:val="24"/>
          <w:lang w:val="es-ES"/>
        </w:rPr>
        <w:t>confiscan equipos de radio.</w:t>
      </w:r>
      <w:r w:rsidR="005D294F" w:rsidRPr="00B9778D">
        <w:rPr>
          <w:rStyle w:val="FootnoteReference"/>
          <w:rFonts w:ascii="Calibri" w:hAnsi="Calibri" w:cs="Calibri"/>
          <w:color w:val="000000" w:themeColor="text1"/>
          <w:sz w:val="24"/>
        </w:rPr>
        <w:footnoteReference w:id="27"/>
      </w:r>
      <w:r w:rsidR="00C34238" w:rsidRPr="00B9778D">
        <w:rPr>
          <w:rFonts w:ascii="Calibri" w:hAnsi="Calibri" w:cs="Calibri"/>
          <w:color w:val="000000" w:themeColor="text1"/>
          <w:sz w:val="24"/>
          <w:lang w:val="es-ES"/>
        </w:rPr>
        <w:t xml:space="preserve"> Entre 2012 y 2019, el gobierno allanó 15 radios comunitarias indígenas por no tener la licencia necesaria. Las redadas siguieron un patrón similar: un órgano judicial emite una orden judicial, la </w:t>
      </w:r>
      <w:proofErr w:type="spellStart"/>
      <w:r w:rsidR="00862872" w:rsidRPr="00B9778D">
        <w:rPr>
          <w:rFonts w:ascii="Calibri" w:hAnsi="Calibri" w:cs="Calibri"/>
          <w:sz w:val="24"/>
          <w:lang w:val="es-GT"/>
        </w:rPr>
        <w:t>Policia</w:t>
      </w:r>
      <w:proofErr w:type="spellEnd"/>
      <w:r w:rsidR="00862872" w:rsidRPr="00B9778D">
        <w:rPr>
          <w:rFonts w:ascii="Calibri" w:hAnsi="Calibri" w:cs="Calibri"/>
          <w:sz w:val="24"/>
          <w:lang w:val="es-GT"/>
        </w:rPr>
        <w:t xml:space="preserve"> Nacional Civil </w:t>
      </w:r>
      <w:r w:rsidR="00C34238" w:rsidRPr="00B9778D">
        <w:rPr>
          <w:rFonts w:ascii="Calibri" w:hAnsi="Calibri" w:cs="Calibri"/>
          <w:color w:val="000000" w:themeColor="text1"/>
          <w:sz w:val="24"/>
          <w:lang w:val="es-ES"/>
        </w:rPr>
        <w:t xml:space="preserve">realiza la redada, generalmente cuando la estación está abierta, a menudo dañando o confiscando equipos de radio, y siempre infundiendo miedo a los presentes y al resto de la comunidad. </w:t>
      </w:r>
      <w:r w:rsidR="00862872" w:rsidRPr="00B9778D">
        <w:rPr>
          <w:rFonts w:ascii="Calibri" w:hAnsi="Calibri" w:cs="Calibri"/>
          <w:sz w:val="24"/>
          <w:lang w:val="es-GT"/>
        </w:rPr>
        <w:t>La presencia masiva de elementos de la policía y el ejercito es lo que causa temor en los operadores de las radios comunitarias y la c comunidad.</w:t>
      </w:r>
    </w:p>
    <w:p w14:paraId="59CCDF04" w14:textId="77777777" w:rsidR="00C34238" w:rsidRPr="00610460" w:rsidRDefault="00C34238" w:rsidP="008E73FF">
      <w:pPr>
        <w:rPr>
          <w:rFonts w:ascii="Calibri" w:hAnsi="Calibri" w:cs="Calibri"/>
          <w:bCs/>
          <w:color w:val="000000" w:themeColor="text1"/>
          <w:sz w:val="24"/>
          <w:lang w:val="es-ES"/>
        </w:rPr>
      </w:pPr>
    </w:p>
    <w:p w14:paraId="6D4A2955" w14:textId="07B8F75B" w:rsidR="00DE2693" w:rsidRPr="00610460" w:rsidRDefault="00DE2693" w:rsidP="00AA4B77">
      <w:pPr>
        <w:pStyle w:val="ListParagraph"/>
        <w:numPr>
          <w:ilvl w:val="0"/>
          <w:numId w:val="27"/>
        </w:numPr>
        <w:rPr>
          <w:rFonts w:ascii="Calibri" w:hAnsi="Calibri" w:cs="Calibri"/>
          <w:bCs/>
          <w:color w:val="000000" w:themeColor="text1"/>
          <w:sz w:val="24"/>
          <w:lang w:val="es-ES"/>
        </w:rPr>
      </w:pPr>
      <w:r w:rsidRPr="00610460">
        <w:rPr>
          <w:rFonts w:ascii="Calibri" w:hAnsi="Calibri" w:cs="Calibri"/>
          <w:bCs/>
          <w:color w:val="000000" w:themeColor="text1"/>
          <w:sz w:val="24"/>
          <w:lang w:val="es-ES"/>
        </w:rPr>
        <w:t xml:space="preserve">El impacto de las redadas y los procesos penales en las comunidades indígenas ha tenido un impacto perjudicial: las radios comunitarias han cerrado debido a equipos incautados o dañados durante las redadas, y sigue existiendo un temor constante de que los trabajadores voluntarios puedan ser arrestados, lo que resulta en la autocensura y la falta de representación de los pueblos indígenas en los medios de comunicación. Los efectos a largo plazo son perjudiciales para la promoción y preservación de las identidades culturales de las comunidades indígenas y sus lenguas nativas. La protección de los derechos culturales de los pueblos indígenas es un aspecto importante de la supervivencia de los pueblos indígenas como pueblos distintos y la radio comunitaria es una forma esencial de medios de comunicación en la preservación y el ejercicio de su cultura.  </w:t>
      </w:r>
    </w:p>
    <w:p w14:paraId="632EDDEF" w14:textId="77777777" w:rsidR="00DE2693" w:rsidRPr="00610460" w:rsidRDefault="00DE2693" w:rsidP="008E73FF">
      <w:pPr>
        <w:rPr>
          <w:rFonts w:ascii="Calibri" w:hAnsi="Calibri" w:cs="Calibri"/>
          <w:color w:val="000000" w:themeColor="text1"/>
          <w:sz w:val="24"/>
          <w:lang w:val="es-ES"/>
        </w:rPr>
      </w:pPr>
    </w:p>
    <w:p w14:paraId="3178C2A5" w14:textId="116B3339" w:rsidR="009D0A9A" w:rsidRDefault="005954F4" w:rsidP="00B9778D">
      <w:pPr>
        <w:pStyle w:val="ListParagraph"/>
        <w:numPr>
          <w:ilvl w:val="3"/>
          <w:numId w:val="29"/>
        </w:numPr>
        <w:ind w:left="1440"/>
        <w:rPr>
          <w:rFonts w:ascii="Calibri" w:hAnsi="Calibri" w:cs="Calibri"/>
          <w:b/>
          <w:bCs/>
          <w:color w:val="000000" w:themeColor="text1"/>
          <w:sz w:val="24"/>
          <w:lang w:val="es-ES"/>
        </w:rPr>
      </w:pPr>
      <w:r w:rsidRPr="00610460">
        <w:rPr>
          <w:rFonts w:ascii="Calibri" w:hAnsi="Calibri" w:cs="Calibri"/>
          <w:b/>
          <w:bCs/>
          <w:color w:val="000000" w:themeColor="text1"/>
          <w:sz w:val="24"/>
          <w:lang w:val="es-ES"/>
        </w:rPr>
        <w:t>Importancia del pluralismo en los medios de comunicación</w:t>
      </w:r>
    </w:p>
    <w:p w14:paraId="5898C58E" w14:textId="77777777" w:rsidR="00F4172D" w:rsidRPr="00610460" w:rsidRDefault="00F4172D" w:rsidP="00F4172D">
      <w:pPr>
        <w:pStyle w:val="ListParagraph"/>
        <w:ind w:left="1440"/>
        <w:rPr>
          <w:rFonts w:ascii="Calibri" w:hAnsi="Calibri" w:cs="Calibri"/>
          <w:b/>
          <w:bCs/>
          <w:color w:val="000000" w:themeColor="text1"/>
          <w:sz w:val="24"/>
          <w:lang w:val="es-ES"/>
        </w:rPr>
      </w:pPr>
    </w:p>
    <w:p w14:paraId="4950909D" w14:textId="1B870617" w:rsidR="00AA4B77" w:rsidRDefault="009D0A9A" w:rsidP="00AA4B77">
      <w:pPr>
        <w:pStyle w:val="NormalWeb"/>
        <w:numPr>
          <w:ilvl w:val="0"/>
          <w:numId w:val="27"/>
        </w:numPr>
        <w:spacing w:before="0" w:beforeAutospacing="0" w:after="0" w:afterAutospacing="0"/>
        <w:ind w:left="418"/>
        <w:rPr>
          <w:rFonts w:ascii="Calibri" w:hAnsi="Calibri" w:cs="Calibri"/>
          <w:color w:val="000000" w:themeColor="text1"/>
          <w:lang w:val="es-ES"/>
        </w:rPr>
      </w:pPr>
      <w:r w:rsidRPr="00610460">
        <w:rPr>
          <w:rFonts w:ascii="Calibri" w:hAnsi="Calibri" w:cs="Calibri"/>
          <w:color w:val="000000" w:themeColor="text1"/>
          <w:lang w:val="es-ES"/>
        </w:rPr>
        <w:lastRenderedPageBreak/>
        <w:t>El pluralismo es un principio fundamental en las sociedades democráticas y un elemento reconocido del derecho internacional de los derechos humanos. Implica la existencia de fuentes de información diversas e independientes que reflejan la multiplicidad de perspectivas dentro de una población. Esto incluye garantizar que los grupos históricamente marginados, como los pueblos indígenas, tengan un acceso equitativo a las plataformas de medios. Las normas internacionales afirman que "los medios de comunicación gratuitos e independientes son fundamentales para la democracia, para la promoción del pluralismo, la tolerancia y la libertad de pensamiento y expresión y para facilitar el diálogo y el debate libres y abiertos en todos los sectores de la sociedad, sin discriminación de ningún tipo".</w:t>
      </w:r>
      <w:r w:rsidRPr="00C6051E">
        <w:rPr>
          <w:rStyle w:val="FootnoteReference"/>
          <w:rFonts w:ascii="Calibri" w:hAnsi="Calibri" w:cs="Calibri"/>
          <w:color w:val="000000" w:themeColor="text1"/>
        </w:rPr>
        <w:footnoteReference w:id="28"/>
      </w:r>
    </w:p>
    <w:p w14:paraId="26014F30" w14:textId="77777777" w:rsidR="00AA4B77" w:rsidRPr="00AA4B77" w:rsidRDefault="00AA4B77" w:rsidP="00AA4B77">
      <w:pPr>
        <w:pStyle w:val="NormalWeb"/>
        <w:spacing w:before="0" w:beforeAutospacing="0" w:after="0" w:afterAutospacing="0"/>
        <w:ind w:left="418"/>
        <w:rPr>
          <w:rFonts w:ascii="Calibri" w:hAnsi="Calibri" w:cs="Calibri"/>
          <w:color w:val="000000" w:themeColor="text1"/>
          <w:lang w:val="es-ES"/>
        </w:rPr>
      </w:pPr>
    </w:p>
    <w:p w14:paraId="33266E73" w14:textId="1B47AC12" w:rsidR="00645814" w:rsidRDefault="009D0A9A" w:rsidP="00AA4B77">
      <w:pPr>
        <w:pStyle w:val="NormalWeb"/>
        <w:numPr>
          <w:ilvl w:val="0"/>
          <w:numId w:val="27"/>
        </w:numPr>
        <w:spacing w:before="0" w:beforeAutospacing="0" w:after="0" w:afterAutospacing="0"/>
        <w:ind w:left="418"/>
        <w:rPr>
          <w:rFonts w:ascii="Calibri" w:hAnsi="Calibri" w:cs="Calibri"/>
          <w:color w:val="000000" w:themeColor="text1"/>
          <w:lang w:val="es-ES"/>
        </w:rPr>
      </w:pPr>
      <w:r w:rsidRPr="00610460">
        <w:rPr>
          <w:rFonts w:ascii="Calibri" w:hAnsi="Calibri" w:cs="Calibri"/>
          <w:color w:val="000000" w:themeColor="text1"/>
          <w:lang w:val="es-ES"/>
        </w:rPr>
        <w:t>En Guatemala, las comunidades indígenas han estado subrepresentadas durante mucho tiempo en los medios nacionales. A pesar de los limitados recursos financieros y el riesgo de enjuiciamiento penal, las comunidades afectadas en el caso Kaqchikel han realizado esfuerzos sostenidos para operar estaciones de radio comunitarias como un medio de expresión cultural y lingüística. Su persistencia refleja una brecha en la política estatal con respecto al pluralismo de los medios. Por lo tanto, garantizar el acceso al espectro radioeléctrico para las emisoras comunitarias indígenas no solo es una obligación legal en virtud de la sentencia de la Corte Interamericana, sino también un paso importante hacia la realización del pluralismo en el entorno de los medios de comunicación de Guatemala. Esto incluye establecer un marco regulatorio que facilite, en lugar de restringir, la participación de los pueblos indígenas en la comunicación pública.</w:t>
      </w:r>
    </w:p>
    <w:p w14:paraId="27A0FAE5" w14:textId="77777777" w:rsidR="00AA4B77" w:rsidRPr="00610460" w:rsidRDefault="00AA4B77" w:rsidP="00AA4B77">
      <w:pPr>
        <w:pStyle w:val="NormalWeb"/>
        <w:spacing w:before="0" w:beforeAutospacing="0" w:after="0" w:afterAutospacing="0"/>
        <w:rPr>
          <w:rFonts w:ascii="Calibri" w:hAnsi="Calibri" w:cs="Calibri"/>
          <w:color w:val="000000" w:themeColor="text1"/>
          <w:lang w:val="es-ES"/>
        </w:rPr>
      </w:pPr>
    </w:p>
    <w:p w14:paraId="009EEC3D" w14:textId="3D7FDEFE" w:rsidR="00D94220" w:rsidRPr="00F4172D" w:rsidRDefault="00DE2693" w:rsidP="00F4172D">
      <w:pPr>
        <w:pStyle w:val="ListParagraph"/>
        <w:numPr>
          <w:ilvl w:val="0"/>
          <w:numId w:val="31"/>
        </w:numPr>
        <w:tabs>
          <w:tab w:val="left" w:pos="3600"/>
        </w:tabs>
        <w:rPr>
          <w:rFonts w:ascii="Calibri" w:hAnsi="Calibri" w:cs="Calibri"/>
          <w:b/>
          <w:bCs/>
          <w:i/>
          <w:iCs/>
          <w:color w:val="000000" w:themeColor="text1"/>
          <w:sz w:val="24"/>
          <w:lang w:val="es-ES"/>
        </w:rPr>
      </w:pPr>
      <w:r w:rsidRPr="00F4172D">
        <w:rPr>
          <w:rFonts w:ascii="Calibri" w:hAnsi="Calibri" w:cs="Calibri"/>
          <w:b/>
          <w:bCs/>
          <w:color w:val="000000" w:themeColor="text1"/>
          <w:sz w:val="24"/>
          <w:lang w:val="es-ES"/>
        </w:rPr>
        <w:t>RESUMEN DE LA CUESTIÓN: DERECHOS DE LOS PUEBLOS INDÍGENAS A LA LIBERTAD DE EXPRESIÓN, CULTURA Y MEDIOS DE COMUNICACIÓN</w:t>
      </w:r>
    </w:p>
    <w:p w14:paraId="14F7B1D5" w14:textId="77777777" w:rsidR="00CF1AE8" w:rsidRPr="00610460" w:rsidRDefault="00CF1AE8" w:rsidP="008E73FF">
      <w:pPr>
        <w:rPr>
          <w:rFonts w:ascii="Calibri" w:hAnsi="Calibri" w:cs="Calibri"/>
          <w:b/>
          <w:bCs/>
          <w:color w:val="000000" w:themeColor="text1"/>
          <w:sz w:val="24"/>
          <w:lang w:val="es-ES"/>
        </w:rPr>
      </w:pPr>
    </w:p>
    <w:p w14:paraId="0026A2B4" w14:textId="7BEA4D30" w:rsidR="00614927" w:rsidRPr="00610460" w:rsidRDefault="00614927" w:rsidP="00614927">
      <w:pPr>
        <w:pStyle w:val="ListParagraph"/>
        <w:numPr>
          <w:ilvl w:val="0"/>
          <w:numId w:val="23"/>
        </w:numPr>
        <w:rPr>
          <w:rFonts w:ascii="Calibri" w:hAnsi="Calibri" w:cs="Calibri"/>
          <w:b/>
          <w:color w:val="000000" w:themeColor="text1"/>
          <w:sz w:val="24"/>
          <w:lang w:val="es-ES"/>
        </w:rPr>
      </w:pPr>
      <w:r w:rsidRPr="00610460">
        <w:rPr>
          <w:rFonts w:ascii="Calibri" w:hAnsi="Calibri" w:cs="Calibri"/>
          <w:b/>
          <w:bCs/>
          <w:i/>
          <w:color w:val="000000" w:themeColor="text1"/>
          <w:sz w:val="24"/>
          <w:lang w:val="es-ES"/>
        </w:rPr>
        <w:t xml:space="preserve">Caso de los pueblos indígenas mayas </w:t>
      </w:r>
      <w:proofErr w:type="spellStart"/>
      <w:r w:rsidRPr="00610460">
        <w:rPr>
          <w:rFonts w:ascii="Calibri" w:hAnsi="Calibri" w:cs="Calibri"/>
          <w:b/>
          <w:bCs/>
          <w:i/>
          <w:color w:val="000000" w:themeColor="text1"/>
          <w:sz w:val="24"/>
          <w:lang w:val="es-ES"/>
        </w:rPr>
        <w:t>kaqchikeles</w:t>
      </w:r>
      <w:proofErr w:type="spellEnd"/>
      <w:r w:rsidRPr="00610460">
        <w:rPr>
          <w:rFonts w:ascii="Calibri" w:hAnsi="Calibri" w:cs="Calibri"/>
          <w:b/>
          <w:bCs/>
          <w:i/>
          <w:color w:val="000000" w:themeColor="text1"/>
          <w:sz w:val="24"/>
          <w:lang w:val="es-ES"/>
        </w:rPr>
        <w:t xml:space="preserve"> de Sumpango, </w:t>
      </w:r>
      <w:r w:rsidR="00DB31C9" w:rsidRPr="00610460">
        <w:rPr>
          <w:rFonts w:ascii="Calibri" w:hAnsi="Calibri" w:cs="Calibri"/>
          <w:b/>
          <w:bCs/>
          <w:color w:val="000000" w:themeColor="text1"/>
          <w:sz w:val="24"/>
          <w:lang w:val="es-ES"/>
        </w:rPr>
        <w:t xml:space="preserve">et al. </w:t>
      </w:r>
      <w:r w:rsidR="00DB31C9" w:rsidRPr="00610460">
        <w:rPr>
          <w:rFonts w:ascii="Calibri" w:hAnsi="Calibri" w:cs="Calibri"/>
          <w:b/>
          <w:bCs/>
          <w:i/>
          <w:color w:val="000000" w:themeColor="text1"/>
          <w:sz w:val="24"/>
          <w:lang w:val="es-ES"/>
        </w:rPr>
        <w:t>c. Guatemala</w:t>
      </w:r>
    </w:p>
    <w:p w14:paraId="77A6F773" w14:textId="77777777" w:rsidR="00F4172D" w:rsidRDefault="00F4172D" w:rsidP="00F4172D">
      <w:pPr>
        <w:rPr>
          <w:rFonts w:ascii="Calibri" w:hAnsi="Calibri" w:cs="Calibri"/>
          <w:color w:val="000000" w:themeColor="text1"/>
          <w:sz w:val="24"/>
          <w:lang w:val="es-ES"/>
        </w:rPr>
      </w:pPr>
    </w:p>
    <w:p w14:paraId="27E3F91D" w14:textId="33BDB15C" w:rsidR="006C6ECE" w:rsidRPr="00F4172D" w:rsidRDefault="00CF1AE8" w:rsidP="00F4172D">
      <w:pPr>
        <w:pStyle w:val="ListParagraph"/>
        <w:numPr>
          <w:ilvl w:val="0"/>
          <w:numId w:val="27"/>
        </w:numPr>
        <w:rPr>
          <w:rFonts w:ascii="Calibri" w:hAnsi="Calibri" w:cs="Calibri"/>
          <w:color w:val="000000" w:themeColor="text1"/>
          <w:sz w:val="24"/>
          <w:lang w:val="es-ES"/>
        </w:rPr>
      </w:pPr>
      <w:r w:rsidRPr="00F4172D">
        <w:rPr>
          <w:rFonts w:ascii="Calibri" w:hAnsi="Calibri" w:cs="Calibri"/>
          <w:color w:val="000000" w:themeColor="text1"/>
          <w:sz w:val="24"/>
          <w:lang w:val="es-ES"/>
        </w:rPr>
        <w:t xml:space="preserve">Frustrada por la falta de progreso en la implementación de los Acuerdos de Paz, Cultural Survival presentó una demanda ante la Corte de Constitucionalidad de Guatemala en 2011, alegando que las leyes y regulaciones actuales de licencias de radio no permiten a las comunidades indígenas un acceso real al espectro radioeléctrico. Lamentablemente, en 2012, el </w:t>
      </w:r>
      <w:r w:rsidR="00CD711E" w:rsidRPr="00F4172D">
        <w:rPr>
          <w:rFonts w:ascii="Calibri" w:hAnsi="Calibri" w:cs="Calibri"/>
          <w:color w:val="000000" w:themeColor="text1"/>
          <w:sz w:val="24"/>
          <w:lang w:val="es-ES"/>
        </w:rPr>
        <w:t xml:space="preserve">Corte </w:t>
      </w:r>
      <w:r w:rsidRPr="00F4172D">
        <w:rPr>
          <w:rFonts w:ascii="Calibri" w:hAnsi="Calibri" w:cs="Calibri"/>
          <w:color w:val="000000" w:themeColor="text1"/>
          <w:sz w:val="24"/>
          <w:lang w:val="es-ES"/>
        </w:rPr>
        <w:t>Constitucional declaró constitucional la LGT.</w:t>
      </w:r>
      <w:r w:rsidRPr="00C6051E">
        <w:rPr>
          <w:rStyle w:val="FootnoteReference"/>
          <w:rFonts w:ascii="Calibri" w:hAnsi="Calibri" w:cs="Calibri"/>
          <w:color w:val="000000" w:themeColor="text1"/>
          <w:sz w:val="24"/>
        </w:rPr>
        <w:footnoteReference w:id="29"/>
      </w:r>
      <w:r w:rsidRPr="00F4172D">
        <w:rPr>
          <w:rFonts w:ascii="Calibri" w:hAnsi="Calibri" w:cs="Calibri"/>
          <w:color w:val="000000" w:themeColor="text1"/>
          <w:sz w:val="24"/>
          <w:lang w:val="es-ES"/>
        </w:rPr>
        <w:t xml:space="preserve"> Habiendo agotado los recursos internos disponibles, las ONG y cuatro comunidades indígenas, Maya Kaqchikel de Sumpango, Maya Achí de San Miguel Chicaj, Maya </w:t>
      </w:r>
      <w:proofErr w:type="spellStart"/>
      <w:r w:rsidRPr="00F4172D">
        <w:rPr>
          <w:rFonts w:ascii="Calibri" w:hAnsi="Calibri" w:cs="Calibri"/>
          <w:color w:val="000000" w:themeColor="text1"/>
          <w:sz w:val="24"/>
          <w:lang w:val="es-ES"/>
        </w:rPr>
        <w:t>Mam</w:t>
      </w:r>
      <w:proofErr w:type="spellEnd"/>
      <w:r w:rsidRPr="00F4172D">
        <w:rPr>
          <w:rFonts w:ascii="Calibri" w:hAnsi="Calibri" w:cs="Calibri"/>
          <w:color w:val="000000" w:themeColor="text1"/>
          <w:sz w:val="24"/>
          <w:lang w:val="es-ES"/>
        </w:rPr>
        <w:t xml:space="preserve"> de </w:t>
      </w:r>
      <w:proofErr w:type="spellStart"/>
      <w:r w:rsidRPr="00F4172D">
        <w:rPr>
          <w:rFonts w:ascii="Calibri" w:hAnsi="Calibri" w:cs="Calibri"/>
          <w:color w:val="000000" w:themeColor="text1"/>
          <w:sz w:val="24"/>
          <w:lang w:val="es-ES"/>
        </w:rPr>
        <w:t>Cajolá</w:t>
      </w:r>
      <w:proofErr w:type="spellEnd"/>
      <w:r w:rsidRPr="00F4172D">
        <w:rPr>
          <w:rFonts w:ascii="Calibri" w:hAnsi="Calibri" w:cs="Calibri"/>
          <w:color w:val="000000" w:themeColor="text1"/>
          <w:sz w:val="24"/>
          <w:lang w:val="es-ES"/>
        </w:rPr>
        <w:t xml:space="preserve"> y Maya </w:t>
      </w:r>
      <w:proofErr w:type="spellStart"/>
      <w:r w:rsidRPr="00F4172D">
        <w:rPr>
          <w:rFonts w:ascii="Calibri" w:hAnsi="Calibri" w:cs="Calibri"/>
          <w:color w:val="000000" w:themeColor="text1"/>
          <w:sz w:val="24"/>
          <w:lang w:val="es-ES"/>
        </w:rPr>
        <w:t>Mam</w:t>
      </w:r>
      <w:proofErr w:type="spellEnd"/>
      <w:r w:rsidRPr="00F4172D">
        <w:rPr>
          <w:rFonts w:ascii="Calibri" w:hAnsi="Calibri" w:cs="Calibri"/>
          <w:color w:val="000000" w:themeColor="text1"/>
          <w:sz w:val="24"/>
          <w:lang w:val="es-ES"/>
        </w:rPr>
        <w:t xml:space="preserve"> de Todos </w:t>
      </w:r>
      <w:r w:rsidRPr="00F4172D">
        <w:rPr>
          <w:rFonts w:ascii="Calibri" w:hAnsi="Calibri" w:cs="Calibri"/>
          <w:color w:val="000000" w:themeColor="text1"/>
          <w:sz w:val="24"/>
          <w:lang w:val="es-ES"/>
        </w:rPr>
        <w:lastRenderedPageBreak/>
        <w:t xml:space="preserve">Santos </w:t>
      </w:r>
      <w:proofErr w:type="spellStart"/>
      <w:r w:rsidRPr="00F4172D">
        <w:rPr>
          <w:rFonts w:ascii="Calibri" w:hAnsi="Calibri" w:cs="Calibri"/>
          <w:color w:val="000000" w:themeColor="text1"/>
          <w:sz w:val="24"/>
          <w:lang w:val="es-ES"/>
        </w:rPr>
        <w:t>Cuchumatán</w:t>
      </w:r>
      <w:proofErr w:type="spellEnd"/>
      <w:r w:rsidRPr="00F4172D">
        <w:rPr>
          <w:rFonts w:ascii="Calibri" w:hAnsi="Calibri" w:cs="Calibri"/>
          <w:color w:val="000000" w:themeColor="text1"/>
          <w:sz w:val="24"/>
          <w:lang w:val="es-ES"/>
        </w:rPr>
        <w:t>, recurrieron al sistema interamericano de derechos humanos para hacer valer su caso.</w:t>
      </w:r>
      <w:r w:rsidR="00B02E68" w:rsidRPr="00C6051E">
        <w:rPr>
          <w:rStyle w:val="FootnoteReference"/>
          <w:rFonts w:ascii="Calibri" w:hAnsi="Calibri" w:cs="Calibri"/>
          <w:color w:val="000000" w:themeColor="text1"/>
          <w:sz w:val="24"/>
        </w:rPr>
        <w:footnoteReference w:id="30"/>
      </w:r>
    </w:p>
    <w:p w14:paraId="62162806" w14:textId="77777777" w:rsidR="006C6ECE" w:rsidRPr="00610460" w:rsidRDefault="006C6ECE" w:rsidP="006C6ECE">
      <w:pPr>
        <w:pStyle w:val="ListParagraph"/>
        <w:ind w:left="420"/>
        <w:rPr>
          <w:rFonts w:ascii="Calibri" w:hAnsi="Calibri" w:cs="Calibri"/>
          <w:color w:val="000000" w:themeColor="text1"/>
          <w:sz w:val="24"/>
          <w:lang w:val="es-ES"/>
        </w:rPr>
      </w:pPr>
    </w:p>
    <w:p w14:paraId="48F44598" w14:textId="6FD88FEB" w:rsidR="00826781" w:rsidRPr="00610460" w:rsidRDefault="00CF1AE8" w:rsidP="00F4172D">
      <w:pPr>
        <w:pStyle w:val="ListParagraph"/>
        <w:numPr>
          <w:ilvl w:val="0"/>
          <w:numId w:val="27"/>
        </w:numPr>
        <w:rPr>
          <w:rFonts w:ascii="Calibri" w:hAnsi="Calibri" w:cs="Calibri"/>
          <w:color w:val="000000" w:themeColor="text1"/>
          <w:sz w:val="24"/>
          <w:lang w:val="es-ES"/>
        </w:rPr>
      </w:pPr>
      <w:r w:rsidRPr="00610460">
        <w:rPr>
          <w:rFonts w:ascii="Calibri" w:hAnsi="Calibri" w:cs="Calibri"/>
          <w:color w:val="000000" w:themeColor="text1"/>
          <w:sz w:val="24"/>
          <w:lang w:val="es-ES"/>
        </w:rPr>
        <w:t>Las ONG presentaron una petición ante la Comisión Interamericana de Derechos Humanos en 2012, en nombre de las cuatro comunidades indígenas, alegando violaciones de los derechos a la libertad de expresión, cultura e igualdad ante la ley. En abril de 2020, la Comisión emitió su informe de fondo en el que concluyó que el Estado había violado los derechos de las comunidades víctimas.</w:t>
      </w:r>
      <w:r w:rsidRPr="00C6051E">
        <w:rPr>
          <w:rStyle w:val="FootnoteReference"/>
          <w:rFonts w:ascii="Calibri" w:hAnsi="Calibri" w:cs="Calibri"/>
          <w:color w:val="000000" w:themeColor="text1"/>
          <w:sz w:val="24"/>
        </w:rPr>
        <w:footnoteReference w:id="31"/>
      </w:r>
      <w:r w:rsidRPr="00610460">
        <w:rPr>
          <w:rFonts w:ascii="Calibri" w:hAnsi="Calibri" w:cs="Calibri"/>
          <w:color w:val="000000" w:themeColor="text1"/>
          <w:sz w:val="24"/>
          <w:lang w:val="es-ES"/>
        </w:rPr>
        <w:t xml:space="preserve"> La Comisión remitió el asunto a la Corte Interamericana. El 17 de diciembre de 2021, la Corte Interamericana emitió una sentencia en el caso, declarando que la República de Guatemala había violado los derechos a la libertad de expresión, cultura e igualdad ante la ley consagrados en la Convención Americana sobre Derechos Humanos.</w:t>
      </w:r>
      <w:r w:rsidRPr="00C6051E">
        <w:rPr>
          <w:rStyle w:val="FootnoteReference"/>
          <w:rFonts w:ascii="Calibri" w:hAnsi="Calibri" w:cs="Calibri"/>
          <w:color w:val="000000" w:themeColor="text1"/>
          <w:sz w:val="24"/>
        </w:rPr>
        <w:footnoteReference w:id="32"/>
      </w:r>
      <w:r w:rsidRPr="00610460">
        <w:rPr>
          <w:rFonts w:ascii="Calibri" w:hAnsi="Calibri" w:cs="Calibri"/>
          <w:color w:val="000000" w:themeColor="text1"/>
          <w:sz w:val="24"/>
          <w:lang w:val="es-ES"/>
        </w:rPr>
        <w:t xml:space="preserve"> </w:t>
      </w:r>
    </w:p>
    <w:p w14:paraId="29D547D2" w14:textId="77777777" w:rsidR="00826781" w:rsidRPr="00610460" w:rsidRDefault="00826781" w:rsidP="008E73FF">
      <w:pPr>
        <w:rPr>
          <w:rFonts w:ascii="Calibri" w:hAnsi="Calibri" w:cs="Calibri"/>
          <w:color w:val="000000" w:themeColor="text1"/>
          <w:sz w:val="24"/>
          <w:lang w:val="es-ES"/>
        </w:rPr>
      </w:pPr>
    </w:p>
    <w:p w14:paraId="02A3836E" w14:textId="47348F00" w:rsidR="00826781" w:rsidRPr="00610460" w:rsidRDefault="00C34238" w:rsidP="00614927">
      <w:pPr>
        <w:pStyle w:val="ListParagraph"/>
        <w:numPr>
          <w:ilvl w:val="0"/>
          <w:numId w:val="23"/>
        </w:numPr>
        <w:rPr>
          <w:rFonts w:ascii="Calibri" w:hAnsi="Calibri" w:cs="Calibri"/>
          <w:b/>
          <w:bCs/>
          <w:color w:val="000000" w:themeColor="text1"/>
          <w:sz w:val="24"/>
          <w:lang w:val="es-ES"/>
        </w:rPr>
      </w:pPr>
      <w:r w:rsidRPr="00610460">
        <w:rPr>
          <w:rFonts w:ascii="Calibri" w:hAnsi="Calibri" w:cs="Calibri"/>
          <w:b/>
          <w:bCs/>
          <w:color w:val="000000" w:themeColor="text1"/>
          <w:sz w:val="24"/>
          <w:lang w:val="es-ES"/>
        </w:rPr>
        <w:t xml:space="preserve">Reparaciones ordenadas por la Corte Interamericana </w:t>
      </w:r>
    </w:p>
    <w:p w14:paraId="5552DF27" w14:textId="77777777" w:rsidR="00826781" w:rsidRPr="00610460" w:rsidRDefault="00826781" w:rsidP="008E73FF">
      <w:pPr>
        <w:pStyle w:val="ListParagraph"/>
        <w:ind w:left="0"/>
        <w:rPr>
          <w:rFonts w:ascii="Calibri" w:hAnsi="Calibri" w:cs="Calibri"/>
          <w:b/>
          <w:bCs/>
          <w:color w:val="000000" w:themeColor="text1"/>
          <w:sz w:val="24"/>
          <w:lang w:val="es-ES"/>
        </w:rPr>
      </w:pPr>
    </w:p>
    <w:p w14:paraId="4EB0AFC3" w14:textId="3B3E0A78" w:rsidR="00AA4B77" w:rsidRDefault="00C245FE" w:rsidP="00F4172D">
      <w:pPr>
        <w:pStyle w:val="ListParagraph"/>
        <w:numPr>
          <w:ilvl w:val="0"/>
          <w:numId w:val="27"/>
        </w:numPr>
        <w:rPr>
          <w:rFonts w:ascii="Calibri" w:hAnsi="Calibri" w:cs="Calibri"/>
          <w:color w:val="000000" w:themeColor="text1"/>
          <w:sz w:val="24"/>
          <w:lang w:val="es-ES"/>
        </w:rPr>
      </w:pPr>
      <w:r w:rsidRPr="00610460">
        <w:rPr>
          <w:rFonts w:ascii="Calibri" w:hAnsi="Calibri" w:cs="Calibri"/>
          <w:color w:val="000000" w:themeColor="text1"/>
          <w:sz w:val="24"/>
          <w:lang w:val="es-ES"/>
        </w:rPr>
        <w:t xml:space="preserve">La Corte Interamericana ordenó a Guatemala implementar varias reparaciones (que se describen a continuación). Hasta la fecha, sólo se han completado dos de las reparaciones, a saber, la publicación de la sentencia y el pago de reparaciones financieras. Cada reparación es </w:t>
      </w:r>
      <w:r w:rsidR="00644A97">
        <w:rPr>
          <w:rFonts w:ascii="Calibri" w:hAnsi="Calibri" w:cs="Calibri"/>
          <w:color w:val="000000" w:themeColor="text1"/>
          <w:sz w:val="24"/>
          <w:lang w:val="es-ES"/>
        </w:rPr>
        <w:t>independiente</w:t>
      </w:r>
      <w:r w:rsidRPr="00610460">
        <w:rPr>
          <w:rFonts w:ascii="Calibri" w:hAnsi="Calibri" w:cs="Calibri"/>
          <w:color w:val="000000" w:themeColor="text1"/>
          <w:sz w:val="24"/>
          <w:lang w:val="es-ES"/>
        </w:rPr>
        <w:t xml:space="preserve"> y distinta entre sí, sin embargo, cada una trabaja colectivamente para, no solo reparar el daño causado por las violaciones de los derechos de las comunidades víctimas en Guatemala, sino también para garantizar que estas violaciones no se repitan y que todas las comunidades indígenas en Guatemala puedan ejercer plenamente sus derechos humanos.</w:t>
      </w:r>
    </w:p>
    <w:p w14:paraId="0D28C900" w14:textId="22EFBB0A" w:rsidR="00F76E65" w:rsidRPr="00AA4B77" w:rsidRDefault="00F76E65" w:rsidP="00AA4B77">
      <w:pPr>
        <w:rPr>
          <w:rFonts w:ascii="Calibri" w:hAnsi="Calibri" w:cs="Calibri"/>
          <w:color w:val="000000" w:themeColor="text1"/>
          <w:sz w:val="24"/>
          <w:lang w:val="es-ES"/>
        </w:rPr>
      </w:pPr>
    </w:p>
    <w:p w14:paraId="036BD4AB" w14:textId="61E7257B" w:rsidR="009D0A9A" w:rsidRPr="00610460" w:rsidRDefault="00AA4B77" w:rsidP="008E73FF">
      <w:pPr>
        <w:rPr>
          <w:rFonts w:ascii="Calibri" w:hAnsi="Calibri" w:cs="Calibri"/>
          <w:color w:val="000000" w:themeColor="text1"/>
          <w:sz w:val="24"/>
          <w:lang w:val="es-ES"/>
        </w:rPr>
      </w:pPr>
      <w:r>
        <w:rPr>
          <w:rFonts w:ascii="Calibri" w:hAnsi="Calibri" w:cs="Calibri"/>
          <w:color w:val="000000" w:themeColor="text1"/>
          <w:sz w:val="24"/>
          <w:lang w:val="es-ES"/>
        </w:rPr>
        <w:br w:type="column"/>
      </w:r>
    </w:p>
    <w:tbl>
      <w:tblPr>
        <w:tblStyle w:val="GridTable4-Accent1"/>
        <w:tblW w:w="9805" w:type="dxa"/>
        <w:tblLook w:val="04A0" w:firstRow="1" w:lastRow="0" w:firstColumn="1" w:lastColumn="0" w:noHBand="0" w:noVBand="1"/>
      </w:tblPr>
      <w:tblGrid>
        <w:gridCol w:w="1075"/>
        <w:gridCol w:w="3780"/>
        <w:gridCol w:w="2160"/>
        <w:gridCol w:w="2790"/>
      </w:tblGrid>
      <w:tr w:rsidR="00DC43FA" w:rsidRPr="00EC4AFA" w14:paraId="6DFBA5AE" w14:textId="77777777" w:rsidTr="00F65E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Pr>
          <w:p w14:paraId="0B5C7ED2" w14:textId="77777777" w:rsidR="00F76E65" w:rsidRPr="00610460" w:rsidRDefault="00F76E65" w:rsidP="008E73FF">
            <w:pPr>
              <w:pStyle w:val="HTMLPreformatted"/>
              <w:tabs>
                <w:tab w:val="left" w:pos="450"/>
                <w:tab w:val="left" w:pos="540"/>
              </w:tabs>
              <w:contextualSpacing/>
              <w:rPr>
                <w:rFonts w:ascii="Calibri" w:hAnsi="Calibri" w:cs="Calibri"/>
                <w:color w:val="000000" w:themeColor="text1"/>
                <w:sz w:val="24"/>
                <w:szCs w:val="24"/>
                <w:lang w:val="es-ES"/>
              </w:rPr>
            </w:pPr>
          </w:p>
        </w:tc>
        <w:tc>
          <w:tcPr>
            <w:tcW w:w="3780" w:type="dxa"/>
          </w:tcPr>
          <w:p w14:paraId="7679E673" w14:textId="77777777" w:rsidR="00F76E65" w:rsidRPr="00610460" w:rsidRDefault="00F76E65" w:rsidP="008E73FF">
            <w:pPr>
              <w:pStyle w:val="HTMLPreformatted"/>
              <w:tabs>
                <w:tab w:val="left" w:pos="450"/>
                <w:tab w:val="left" w:pos="540"/>
              </w:tabs>
              <w:contextualSpacing/>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sz w:val="24"/>
                <w:szCs w:val="24"/>
                <w:lang w:val="es-ES"/>
              </w:rPr>
            </w:pPr>
          </w:p>
        </w:tc>
        <w:tc>
          <w:tcPr>
            <w:tcW w:w="2160" w:type="dxa"/>
          </w:tcPr>
          <w:p w14:paraId="3D8AB167" w14:textId="77777777" w:rsidR="00F76E65" w:rsidRPr="00610460" w:rsidRDefault="00F76E65" w:rsidP="008E73FF">
            <w:pPr>
              <w:pStyle w:val="HTMLPreformatted"/>
              <w:tabs>
                <w:tab w:val="left" w:pos="450"/>
                <w:tab w:val="left" w:pos="540"/>
              </w:tabs>
              <w:contextualSpacing/>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sz w:val="24"/>
                <w:szCs w:val="24"/>
                <w:lang w:val="es-ES"/>
              </w:rPr>
            </w:pPr>
          </w:p>
        </w:tc>
        <w:tc>
          <w:tcPr>
            <w:tcW w:w="2790" w:type="dxa"/>
          </w:tcPr>
          <w:p w14:paraId="0CC49E5A" w14:textId="77777777" w:rsidR="00F76E65" w:rsidRPr="00610460" w:rsidRDefault="00F76E65" w:rsidP="008E73FF">
            <w:pPr>
              <w:pStyle w:val="HTMLPreformatted"/>
              <w:tabs>
                <w:tab w:val="left" w:pos="450"/>
                <w:tab w:val="left" w:pos="540"/>
              </w:tabs>
              <w:contextualSpacing/>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sz w:val="24"/>
                <w:szCs w:val="24"/>
                <w:lang w:val="es-ES"/>
              </w:rPr>
            </w:pPr>
          </w:p>
        </w:tc>
      </w:tr>
      <w:tr w:rsidR="00DC43FA" w:rsidRPr="00C6051E" w14:paraId="3D72B593" w14:textId="77777777" w:rsidTr="00F65E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5" w:type="dxa"/>
            <w:gridSpan w:val="2"/>
            <w:vAlign w:val="center"/>
          </w:tcPr>
          <w:p w14:paraId="13B3C285" w14:textId="6BBB2872" w:rsidR="00F76E65" w:rsidRPr="00610460" w:rsidRDefault="00F76E65" w:rsidP="00F65E43">
            <w:pPr>
              <w:pStyle w:val="HTMLPreformatted"/>
              <w:tabs>
                <w:tab w:val="left" w:pos="450"/>
                <w:tab w:val="left" w:pos="540"/>
              </w:tabs>
              <w:contextualSpacing/>
              <w:jc w:val="center"/>
              <w:rPr>
                <w:rFonts w:ascii="Calibri" w:hAnsi="Calibri" w:cs="Calibri"/>
                <w:b w:val="0"/>
                <w:bCs w:val="0"/>
                <w:color w:val="000000" w:themeColor="text1"/>
                <w:sz w:val="24"/>
                <w:szCs w:val="24"/>
                <w:lang w:val="es-ES"/>
              </w:rPr>
            </w:pPr>
            <w:r w:rsidRPr="00610460">
              <w:rPr>
                <w:rFonts w:ascii="Calibri" w:hAnsi="Calibri" w:cs="Calibri"/>
                <w:color w:val="000000" w:themeColor="text1"/>
                <w:sz w:val="24"/>
                <w:szCs w:val="24"/>
                <w:lang w:val="es-ES"/>
              </w:rPr>
              <w:t xml:space="preserve">Reparaciones ordenadas por </w:t>
            </w:r>
            <w:r w:rsidR="00644A97">
              <w:rPr>
                <w:rFonts w:ascii="Calibri" w:hAnsi="Calibri" w:cs="Calibri"/>
                <w:color w:val="000000" w:themeColor="text1"/>
                <w:sz w:val="24"/>
                <w:szCs w:val="24"/>
                <w:lang w:val="es-ES"/>
              </w:rPr>
              <w:t>Corte</w:t>
            </w:r>
          </w:p>
          <w:p w14:paraId="738E6513" w14:textId="23489309" w:rsidR="00F76E65" w:rsidRPr="00610460" w:rsidRDefault="00644A97" w:rsidP="00F65E43">
            <w:pPr>
              <w:pStyle w:val="HTMLPreformatted"/>
              <w:tabs>
                <w:tab w:val="left" w:pos="450"/>
                <w:tab w:val="left" w:pos="540"/>
              </w:tabs>
              <w:contextualSpacing/>
              <w:jc w:val="center"/>
              <w:rPr>
                <w:rFonts w:ascii="Calibri" w:hAnsi="Calibri" w:cs="Calibri"/>
                <w:b w:val="0"/>
                <w:bCs w:val="0"/>
                <w:color w:val="000000" w:themeColor="text1"/>
                <w:sz w:val="24"/>
                <w:szCs w:val="24"/>
                <w:lang w:val="es-ES"/>
              </w:rPr>
            </w:pPr>
            <w:proofErr w:type="spellStart"/>
            <w:r>
              <w:rPr>
                <w:rFonts w:ascii="Calibri" w:hAnsi="Calibri" w:cs="Calibri"/>
                <w:color w:val="000000" w:themeColor="text1"/>
                <w:sz w:val="24"/>
                <w:szCs w:val="24"/>
                <w:lang w:val="es-ES"/>
              </w:rPr>
              <w:t>segun</w:t>
            </w:r>
            <w:proofErr w:type="spellEnd"/>
            <w:r w:rsidR="00F76E65" w:rsidRPr="00610460">
              <w:rPr>
                <w:rFonts w:ascii="Calibri" w:hAnsi="Calibri" w:cs="Calibri"/>
                <w:color w:val="000000" w:themeColor="text1"/>
                <w:sz w:val="24"/>
                <w:szCs w:val="24"/>
                <w:lang w:val="es-ES"/>
              </w:rPr>
              <w:t xml:space="preserve"> el párrafo resolutivo</w:t>
            </w:r>
          </w:p>
          <w:p w14:paraId="6A0FECE2" w14:textId="40115248" w:rsidR="00F65E43" w:rsidRPr="00610460" w:rsidRDefault="00F65E43" w:rsidP="00F65E43">
            <w:pPr>
              <w:pStyle w:val="HTMLPreformatted"/>
              <w:tabs>
                <w:tab w:val="left" w:pos="450"/>
                <w:tab w:val="left" w:pos="540"/>
              </w:tabs>
              <w:contextualSpacing/>
              <w:jc w:val="center"/>
              <w:rPr>
                <w:rFonts w:ascii="Calibri" w:hAnsi="Calibri" w:cs="Calibri"/>
                <w:color w:val="000000" w:themeColor="text1"/>
                <w:sz w:val="24"/>
                <w:szCs w:val="24"/>
                <w:lang w:val="es-ES"/>
              </w:rPr>
            </w:pPr>
          </w:p>
        </w:tc>
        <w:tc>
          <w:tcPr>
            <w:tcW w:w="2160" w:type="dxa"/>
            <w:vAlign w:val="center"/>
          </w:tcPr>
          <w:p w14:paraId="7FFF90DC" w14:textId="77777777" w:rsidR="00F76E65" w:rsidRPr="00C6051E" w:rsidRDefault="00F76E65" w:rsidP="00F65E43">
            <w:pPr>
              <w:pStyle w:val="HTMLPreformatted"/>
              <w:tabs>
                <w:tab w:val="left" w:pos="450"/>
                <w:tab w:val="left" w:pos="540"/>
              </w:tabs>
              <w:contextualSpacing/>
              <w:jc w:val="center"/>
              <w:cnfStyle w:val="000000100000" w:firstRow="0" w:lastRow="0" w:firstColumn="0" w:lastColumn="0" w:oddVBand="0" w:evenVBand="0" w:oddHBand="1" w:evenHBand="0" w:firstRowFirstColumn="0" w:firstRowLastColumn="0" w:lastRowFirstColumn="0" w:lastRowLastColumn="0"/>
              <w:rPr>
                <w:rFonts w:ascii="Calibri" w:hAnsi="Calibri" w:cs="Calibri"/>
                <w:b/>
                <w:color w:val="000000" w:themeColor="text1"/>
                <w:sz w:val="24"/>
                <w:szCs w:val="24"/>
              </w:rPr>
            </w:pPr>
            <w:proofErr w:type="spellStart"/>
            <w:r w:rsidRPr="00C6051E">
              <w:rPr>
                <w:rFonts w:ascii="Calibri" w:hAnsi="Calibri" w:cs="Calibri"/>
                <w:b/>
                <w:color w:val="000000" w:themeColor="text1"/>
                <w:sz w:val="24"/>
                <w:szCs w:val="24"/>
              </w:rPr>
              <w:t>Fecha</w:t>
            </w:r>
            <w:proofErr w:type="spellEnd"/>
            <w:r w:rsidRPr="00C6051E">
              <w:rPr>
                <w:rFonts w:ascii="Calibri" w:hAnsi="Calibri" w:cs="Calibri"/>
                <w:b/>
                <w:color w:val="000000" w:themeColor="text1"/>
                <w:sz w:val="24"/>
                <w:szCs w:val="24"/>
              </w:rPr>
              <w:t xml:space="preserve"> tope</w:t>
            </w:r>
          </w:p>
        </w:tc>
        <w:tc>
          <w:tcPr>
            <w:tcW w:w="2790" w:type="dxa"/>
            <w:vAlign w:val="center"/>
          </w:tcPr>
          <w:p w14:paraId="0A65444E" w14:textId="4B90DD85" w:rsidR="00F76E65" w:rsidRPr="00C6051E" w:rsidRDefault="00F76E65" w:rsidP="00F65E43">
            <w:pPr>
              <w:pStyle w:val="HTMLPreformatted"/>
              <w:tabs>
                <w:tab w:val="left" w:pos="450"/>
                <w:tab w:val="left" w:pos="540"/>
              </w:tabs>
              <w:contextualSpacing/>
              <w:jc w:val="center"/>
              <w:cnfStyle w:val="000000100000" w:firstRow="0" w:lastRow="0" w:firstColumn="0" w:lastColumn="0" w:oddVBand="0" w:evenVBand="0" w:oddHBand="1" w:evenHBand="0" w:firstRowFirstColumn="0" w:firstRowLastColumn="0" w:lastRowFirstColumn="0" w:lastRowLastColumn="0"/>
              <w:rPr>
                <w:rFonts w:ascii="Calibri" w:hAnsi="Calibri" w:cs="Calibri"/>
                <w:b/>
                <w:color w:val="000000" w:themeColor="text1"/>
                <w:sz w:val="24"/>
                <w:szCs w:val="24"/>
              </w:rPr>
            </w:pPr>
            <w:proofErr w:type="spellStart"/>
            <w:r w:rsidRPr="00C6051E">
              <w:rPr>
                <w:rFonts w:ascii="Calibri" w:hAnsi="Calibri" w:cs="Calibri"/>
                <w:b/>
                <w:color w:val="000000" w:themeColor="text1"/>
                <w:sz w:val="24"/>
                <w:szCs w:val="24"/>
              </w:rPr>
              <w:t>Situación</w:t>
            </w:r>
            <w:proofErr w:type="spellEnd"/>
            <w:r w:rsidRPr="00C6051E">
              <w:rPr>
                <w:rFonts w:ascii="Calibri" w:hAnsi="Calibri" w:cs="Calibri"/>
                <w:b/>
                <w:color w:val="000000" w:themeColor="text1"/>
                <w:sz w:val="24"/>
                <w:szCs w:val="24"/>
              </w:rPr>
              <w:t xml:space="preserve"> </w:t>
            </w:r>
            <w:proofErr w:type="spellStart"/>
            <w:r w:rsidRPr="00C6051E">
              <w:rPr>
                <w:rFonts w:ascii="Calibri" w:hAnsi="Calibri" w:cs="Calibri"/>
                <w:b/>
                <w:color w:val="000000" w:themeColor="text1"/>
                <w:sz w:val="24"/>
                <w:szCs w:val="24"/>
              </w:rPr>
              <w:t>en</w:t>
            </w:r>
            <w:proofErr w:type="spellEnd"/>
            <w:r w:rsidRPr="00C6051E">
              <w:rPr>
                <w:rFonts w:ascii="Calibri" w:hAnsi="Calibri" w:cs="Calibri"/>
                <w:b/>
                <w:color w:val="000000" w:themeColor="text1"/>
                <w:sz w:val="24"/>
                <w:szCs w:val="24"/>
              </w:rPr>
              <w:t xml:space="preserve"> </w:t>
            </w:r>
            <w:proofErr w:type="spellStart"/>
            <w:r w:rsidRPr="00C6051E">
              <w:rPr>
                <w:rFonts w:ascii="Calibri" w:hAnsi="Calibri" w:cs="Calibri"/>
                <w:b/>
                <w:color w:val="000000" w:themeColor="text1"/>
                <w:sz w:val="24"/>
                <w:szCs w:val="24"/>
              </w:rPr>
              <w:t>abril</w:t>
            </w:r>
            <w:proofErr w:type="spellEnd"/>
            <w:r w:rsidRPr="00C6051E">
              <w:rPr>
                <w:rFonts w:ascii="Calibri" w:hAnsi="Calibri" w:cs="Calibri"/>
                <w:b/>
                <w:color w:val="000000" w:themeColor="text1"/>
                <w:sz w:val="24"/>
                <w:szCs w:val="24"/>
              </w:rPr>
              <w:t xml:space="preserve"> de 2025</w:t>
            </w:r>
          </w:p>
          <w:p w14:paraId="69FA2BE4" w14:textId="77777777" w:rsidR="00F76E65" w:rsidRPr="00C6051E" w:rsidRDefault="00F76E65" w:rsidP="00F65E43">
            <w:pPr>
              <w:pStyle w:val="HTMLPreformatted"/>
              <w:tabs>
                <w:tab w:val="left" w:pos="450"/>
                <w:tab w:val="left" w:pos="540"/>
              </w:tabs>
              <w:contextualSpacing/>
              <w:jc w:val="center"/>
              <w:cnfStyle w:val="000000100000" w:firstRow="0" w:lastRow="0" w:firstColumn="0" w:lastColumn="0" w:oddVBand="0" w:evenVBand="0" w:oddHBand="1" w:evenHBand="0" w:firstRowFirstColumn="0" w:firstRowLastColumn="0" w:lastRowFirstColumn="0" w:lastRowLastColumn="0"/>
              <w:rPr>
                <w:rFonts w:ascii="Calibri" w:hAnsi="Calibri" w:cs="Calibri"/>
                <w:b/>
                <w:color w:val="000000" w:themeColor="text1"/>
                <w:sz w:val="24"/>
                <w:szCs w:val="24"/>
              </w:rPr>
            </w:pPr>
          </w:p>
        </w:tc>
      </w:tr>
      <w:tr w:rsidR="00E30915" w:rsidRPr="00C6051E" w14:paraId="316184F4" w14:textId="77777777" w:rsidTr="00F65E43">
        <w:tc>
          <w:tcPr>
            <w:cnfStyle w:val="001000000000" w:firstRow="0" w:lastRow="0" w:firstColumn="1" w:lastColumn="0" w:oddVBand="0" w:evenVBand="0" w:oddHBand="0" w:evenHBand="0" w:firstRowFirstColumn="0" w:firstRowLastColumn="0" w:lastRowFirstColumn="0" w:lastRowLastColumn="0"/>
            <w:tcW w:w="4855" w:type="dxa"/>
            <w:gridSpan w:val="2"/>
          </w:tcPr>
          <w:p w14:paraId="1EFE2902" w14:textId="5CBE40DC" w:rsidR="00E30915" w:rsidRPr="00610460" w:rsidRDefault="00E30915" w:rsidP="00E30915">
            <w:pPr>
              <w:pStyle w:val="HTMLPreformatted"/>
              <w:tabs>
                <w:tab w:val="left" w:pos="450"/>
                <w:tab w:val="left" w:pos="540"/>
              </w:tabs>
              <w:contextualSpacing/>
              <w:rPr>
                <w:rFonts w:ascii="Calibri" w:hAnsi="Calibri" w:cs="Calibri"/>
                <w:b w:val="0"/>
                <w:color w:val="000000" w:themeColor="text1"/>
                <w:sz w:val="24"/>
                <w:szCs w:val="24"/>
                <w:lang w:val="es-ES"/>
              </w:rPr>
            </w:pPr>
            <w:r w:rsidRPr="00610460">
              <w:rPr>
                <w:rFonts w:ascii="Calibri" w:hAnsi="Calibri" w:cs="Calibri"/>
                <w:b w:val="0"/>
                <w:bCs w:val="0"/>
                <w:color w:val="000000" w:themeColor="text1"/>
                <w:sz w:val="24"/>
                <w:szCs w:val="24"/>
                <w:lang w:val="es-ES"/>
              </w:rPr>
              <w:t xml:space="preserve">4. </w:t>
            </w:r>
            <w:r w:rsidRPr="00610460">
              <w:rPr>
                <w:rFonts w:ascii="Calibri" w:hAnsi="Calibri" w:cs="Calibri"/>
                <w:b w:val="0"/>
                <w:color w:val="000000" w:themeColor="text1"/>
                <w:sz w:val="24"/>
                <w:szCs w:val="24"/>
                <w:lang w:val="es-ES"/>
              </w:rPr>
              <w:t>Adoptar las medidas necesarias para permitir que las comunidades víctimas operen libremente sus radios comunitarias</w:t>
            </w:r>
          </w:p>
        </w:tc>
        <w:tc>
          <w:tcPr>
            <w:tcW w:w="2160" w:type="dxa"/>
          </w:tcPr>
          <w:p w14:paraId="1777E667" w14:textId="77777777" w:rsidR="00E30915" w:rsidRPr="00C6051E" w:rsidRDefault="00E30915" w:rsidP="008E73FF">
            <w:pPr>
              <w:pStyle w:val="HTMLPreformatted"/>
              <w:tabs>
                <w:tab w:val="left" w:pos="450"/>
                <w:tab w:val="left" w:pos="540"/>
              </w:tabs>
              <w:contextualSpacing/>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24"/>
                <w:szCs w:val="24"/>
              </w:rPr>
            </w:pPr>
            <w:r w:rsidRPr="00C6051E">
              <w:rPr>
                <w:rFonts w:ascii="Calibri" w:hAnsi="Calibri" w:cs="Calibri"/>
                <w:color w:val="000000" w:themeColor="text1"/>
                <w:sz w:val="24"/>
                <w:szCs w:val="24"/>
              </w:rPr>
              <w:t xml:space="preserve">17 de </w:t>
            </w:r>
            <w:proofErr w:type="spellStart"/>
            <w:r w:rsidRPr="00C6051E">
              <w:rPr>
                <w:rFonts w:ascii="Calibri" w:hAnsi="Calibri" w:cs="Calibri"/>
                <w:color w:val="000000" w:themeColor="text1"/>
                <w:sz w:val="24"/>
                <w:szCs w:val="24"/>
              </w:rPr>
              <w:t>diciembre</w:t>
            </w:r>
            <w:proofErr w:type="spellEnd"/>
            <w:r w:rsidRPr="00C6051E">
              <w:rPr>
                <w:rFonts w:ascii="Calibri" w:hAnsi="Calibri" w:cs="Calibri"/>
                <w:color w:val="000000" w:themeColor="text1"/>
                <w:sz w:val="24"/>
                <w:szCs w:val="24"/>
              </w:rPr>
              <w:t xml:space="preserve"> de 2022</w:t>
            </w:r>
          </w:p>
        </w:tc>
        <w:tc>
          <w:tcPr>
            <w:tcW w:w="2790" w:type="dxa"/>
          </w:tcPr>
          <w:p w14:paraId="6DCECB7E" w14:textId="53315EBE" w:rsidR="00E30915" w:rsidRPr="00C6051E" w:rsidRDefault="00E30915" w:rsidP="008E73FF">
            <w:pPr>
              <w:pStyle w:val="HTMLPreformatted"/>
              <w:tabs>
                <w:tab w:val="left" w:pos="450"/>
                <w:tab w:val="left" w:pos="540"/>
              </w:tabs>
              <w:contextualSpacing/>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24"/>
                <w:szCs w:val="24"/>
              </w:rPr>
            </w:pPr>
            <w:r w:rsidRPr="00C6051E">
              <w:rPr>
                <w:rFonts w:ascii="Calibri" w:hAnsi="Calibri" w:cs="Calibri"/>
                <w:color w:val="000000" w:themeColor="text1"/>
                <w:sz w:val="24"/>
                <w:szCs w:val="24"/>
              </w:rPr>
              <w:t xml:space="preserve">No </w:t>
            </w:r>
            <w:proofErr w:type="spellStart"/>
            <w:r w:rsidRPr="00C6051E">
              <w:rPr>
                <w:rFonts w:ascii="Calibri" w:hAnsi="Calibri" w:cs="Calibri"/>
                <w:color w:val="000000" w:themeColor="text1"/>
                <w:sz w:val="24"/>
                <w:szCs w:val="24"/>
              </w:rPr>
              <w:t>completo</w:t>
            </w:r>
            <w:proofErr w:type="spellEnd"/>
            <w:r w:rsidRPr="00C6051E">
              <w:rPr>
                <w:rFonts w:ascii="Calibri" w:hAnsi="Calibri" w:cs="Calibri"/>
                <w:color w:val="000000" w:themeColor="text1"/>
                <w:sz w:val="24"/>
                <w:szCs w:val="24"/>
              </w:rPr>
              <w:t>.</w:t>
            </w:r>
          </w:p>
        </w:tc>
      </w:tr>
      <w:tr w:rsidR="00E30915" w:rsidRPr="00EC4AFA" w14:paraId="6C1CACCF" w14:textId="77777777" w:rsidTr="00F65E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5" w:type="dxa"/>
            <w:gridSpan w:val="2"/>
          </w:tcPr>
          <w:p w14:paraId="10FEAFEE" w14:textId="6BDBA350" w:rsidR="00E30915" w:rsidRPr="00C6051E" w:rsidRDefault="00E30915" w:rsidP="00E30915">
            <w:pPr>
              <w:pStyle w:val="HTMLPreformatted"/>
              <w:tabs>
                <w:tab w:val="left" w:pos="450"/>
                <w:tab w:val="left" w:pos="540"/>
              </w:tabs>
              <w:contextualSpacing/>
              <w:rPr>
                <w:rFonts w:ascii="Calibri" w:hAnsi="Calibri" w:cs="Calibri"/>
                <w:b w:val="0"/>
                <w:color w:val="000000" w:themeColor="text1"/>
                <w:sz w:val="24"/>
                <w:szCs w:val="24"/>
              </w:rPr>
            </w:pPr>
            <w:r w:rsidRPr="00C6051E">
              <w:rPr>
                <w:rFonts w:ascii="Calibri" w:hAnsi="Calibri" w:cs="Calibri"/>
                <w:b w:val="0"/>
                <w:color w:val="000000" w:themeColor="text1"/>
                <w:sz w:val="24"/>
                <w:szCs w:val="24"/>
              </w:rPr>
              <w:t xml:space="preserve">5. </w:t>
            </w:r>
            <w:proofErr w:type="spellStart"/>
            <w:r w:rsidRPr="00C6051E">
              <w:rPr>
                <w:rFonts w:ascii="Calibri" w:hAnsi="Calibri" w:cs="Calibri"/>
                <w:b w:val="0"/>
                <w:color w:val="000000" w:themeColor="text1"/>
                <w:sz w:val="24"/>
                <w:szCs w:val="24"/>
              </w:rPr>
              <w:t>Publicación</w:t>
            </w:r>
            <w:proofErr w:type="spellEnd"/>
            <w:r w:rsidRPr="00C6051E">
              <w:rPr>
                <w:rFonts w:ascii="Calibri" w:hAnsi="Calibri" w:cs="Calibri"/>
                <w:b w:val="0"/>
                <w:color w:val="000000" w:themeColor="text1"/>
                <w:sz w:val="24"/>
                <w:szCs w:val="24"/>
              </w:rPr>
              <w:t xml:space="preserve"> de la </w:t>
            </w:r>
            <w:proofErr w:type="spellStart"/>
            <w:r w:rsidRPr="00C6051E">
              <w:rPr>
                <w:rFonts w:ascii="Calibri" w:hAnsi="Calibri" w:cs="Calibri"/>
                <w:b w:val="0"/>
                <w:color w:val="000000" w:themeColor="text1"/>
                <w:sz w:val="24"/>
                <w:szCs w:val="24"/>
              </w:rPr>
              <w:t>sentencia</w:t>
            </w:r>
            <w:proofErr w:type="spellEnd"/>
          </w:p>
        </w:tc>
        <w:tc>
          <w:tcPr>
            <w:tcW w:w="2160" w:type="dxa"/>
          </w:tcPr>
          <w:p w14:paraId="15AFEE8B" w14:textId="77777777" w:rsidR="00E30915" w:rsidRPr="00C6051E" w:rsidRDefault="00E30915" w:rsidP="008E73FF">
            <w:pPr>
              <w:pStyle w:val="HTMLPreformatted"/>
              <w:tabs>
                <w:tab w:val="left" w:pos="450"/>
                <w:tab w:val="left" w:pos="540"/>
              </w:tabs>
              <w:contextual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sz w:val="24"/>
                <w:szCs w:val="24"/>
              </w:rPr>
            </w:pPr>
            <w:r w:rsidRPr="00C6051E">
              <w:rPr>
                <w:rFonts w:ascii="Calibri" w:hAnsi="Calibri" w:cs="Calibri"/>
                <w:color w:val="000000" w:themeColor="text1"/>
                <w:sz w:val="24"/>
                <w:szCs w:val="24"/>
              </w:rPr>
              <w:t xml:space="preserve">17 de </w:t>
            </w:r>
            <w:proofErr w:type="spellStart"/>
            <w:r w:rsidRPr="00C6051E">
              <w:rPr>
                <w:rFonts w:ascii="Calibri" w:hAnsi="Calibri" w:cs="Calibri"/>
                <w:color w:val="000000" w:themeColor="text1"/>
                <w:sz w:val="24"/>
                <w:szCs w:val="24"/>
              </w:rPr>
              <w:t>junio</w:t>
            </w:r>
            <w:proofErr w:type="spellEnd"/>
            <w:r w:rsidRPr="00C6051E">
              <w:rPr>
                <w:rFonts w:ascii="Calibri" w:hAnsi="Calibri" w:cs="Calibri"/>
                <w:color w:val="000000" w:themeColor="text1"/>
                <w:sz w:val="24"/>
                <w:szCs w:val="24"/>
              </w:rPr>
              <w:t xml:space="preserve"> de 2022</w:t>
            </w:r>
          </w:p>
        </w:tc>
        <w:tc>
          <w:tcPr>
            <w:tcW w:w="2790" w:type="dxa"/>
          </w:tcPr>
          <w:p w14:paraId="195EFD00" w14:textId="165787D7" w:rsidR="00E30915" w:rsidRPr="00610460" w:rsidRDefault="00E30915" w:rsidP="008E73FF">
            <w:pPr>
              <w:pStyle w:val="HTMLPreformatted"/>
              <w:tabs>
                <w:tab w:val="left" w:pos="450"/>
                <w:tab w:val="left" w:pos="540"/>
              </w:tabs>
              <w:contextual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sz w:val="24"/>
                <w:szCs w:val="24"/>
                <w:lang w:val="es-ES"/>
              </w:rPr>
            </w:pPr>
            <w:r w:rsidRPr="00610460">
              <w:rPr>
                <w:rFonts w:ascii="Calibri" w:hAnsi="Calibri" w:cs="Calibri"/>
                <w:color w:val="000000" w:themeColor="text1"/>
                <w:sz w:val="24"/>
                <w:szCs w:val="24"/>
                <w:lang w:val="es-ES"/>
              </w:rPr>
              <w:t>Completado a partir de marzo de 2025.</w:t>
            </w:r>
          </w:p>
        </w:tc>
      </w:tr>
      <w:tr w:rsidR="00E30915" w:rsidRPr="00EC4AFA" w14:paraId="4CCF11D5" w14:textId="77777777" w:rsidTr="00F65E43">
        <w:tc>
          <w:tcPr>
            <w:cnfStyle w:val="001000000000" w:firstRow="0" w:lastRow="0" w:firstColumn="1" w:lastColumn="0" w:oddVBand="0" w:evenVBand="0" w:oddHBand="0" w:evenHBand="0" w:firstRowFirstColumn="0" w:firstRowLastColumn="0" w:lastRowFirstColumn="0" w:lastRowLastColumn="0"/>
            <w:tcW w:w="4855" w:type="dxa"/>
            <w:gridSpan w:val="2"/>
          </w:tcPr>
          <w:p w14:paraId="60CDA6D3" w14:textId="798A62C0" w:rsidR="00E30915" w:rsidRPr="00610460" w:rsidRDefault="00E30915" w:rsidP="00F4172D">
            <w:pPr>
              <w:pStyle w:val="HTMLPreformatted"/>
              <w:contextualSpacing/>
              <w:rPr>
                <w:rFonts w:ascii="Calibri" w:hAnsi="Calibri" w:cs="Calibri"/>
                <w:b w:val="0"/>
                <w:color w:val="000000" w:themeColor="text1"/>
                <w:sz w:val="24"/>
                <w:szCs w:val="24"/>
                <w:lang w:val="es-ES"/>
              </w:rPr>
            </w:pPr>
            <w:r w:rsidRPr="00610460">
              <w:rPr>
                <w:rFonts w:ascii="Calibri" w:hAnsi="Calibri" w:cs="Calibri"/>
                <w:b w:val="0"/>
                <w:color w:val="000000" w:themeColor="text1"/>
                <w:sz w:val="24"/>
                <w:szCs w:val="24"/>
                <w:lang w:val="es-ES"/>
              </w:rPr>
              <w:t>6. Adaptar su normativa nacional para reconocer y regular las radios comunitarias indígenas</w:t>
            </w:r>
          </w:p>
        </w:tc>
        <w:tc>
          <w:tcPr>
            <w:tcW w:w="2160" w:type="dxa"/>
          </w:tcPr>
          <w:p w14:paraId="4C85E630" w14:textId="77777777" w:rsidR="00E30915" w:rsidRPr="00610460" w:rsidRDefault="00E30915" w:rsidP="008E73FF">
            <w:pPr>
              <w:pStyle w:val="HTMLPreformatted"/>
              <w:tabs>
                <w:tab w:val="left" w:pos="450"/>
                <w:tab w:val="left" w:pos="540"/>
              </w:tabs>
              <w:contextualSpacing/>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24"/>
                <w:szCs w:val="24"/>
                <w:lang w:val="es-ES"/>
              </w:rPr>
            </w:pPr>
            <w:r w:rsidRPr="00610460">
              <w:rPr>
                <w:rFonts w:ascii="Calibri" w:hAnsi="Calibri" w:cs="Calibri"/>
                <w:color w:val="000000" w:themeColor="text1"/>
                <w:sz w:val="24"/>
                <w:szCs w:val="24"/>
                <w:lang w:val="es-ES"/>
              </w:rPr>
              <w:t>Dentro de un período de tiempo razonable</w:t>
            </w:r>
          </w:p>
        </w:tc>
        <w:tc>
          <w:tcPr>
            <w:tcW w:w="2790" w:type="dxa"/>
          </w:tcPr>
          <w:p w14:paraId="47DC8ABE" w14:textId="3E281CE0" w:rsidR="00E30915" w:rsidRPr="00610460" w:rsidRDefault="00E30915" w:rsidP="008E73FF">
            <w:pPr>
              <w:pStyle w:val="HTMLPreformatted"/>
              <w:tabs>
                <w:tab w:val="left" w:pos="450"/>
                <w:tab w:val="left" w:pos="540"/>
              </w:tabs>
              <w:contextualSpacing/>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24"/>
                <w:szCs w:val="24"/>
                <w:lang w:val="es-ES"/>
              </w:rPr>
            </w:pPr>
            <w:r w:rsidRPr="00610460">
              <w:rPr>
                <w:rFonts w:ascii="Calibri" w:hAnsi="Calibri" w:cs="Calibri"/>
                <w:color w:val="000000" w:themeColor="text1"/>
                <w:sz w:val="24"/>
                <w:szCs w:val="24"/>
                <w:lang w:val="es-ES"/>
              </w:rPr>
              <w:t>No hay progreso.</w:t>
            </w:r>
          </w:p>
          <w:p w14:paraId="72C3638D" w14:textId="20AF7141" w:rsidR="00E30915" w:rsidRPr="00610460" w:rsidRDefault="00E30915" w:rsidP="008E73FF">
            <w:pPr>
              <w:pStyle w:val="HTMLPreformatted"/>
              <w:tabs>
                <w:tab w:val="left" w:pos="450"/>
                <w:tab w:val="left" w:pos="540"/>
              </w:tabs>
              <w:contextualSpacing/>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24"/>
                <w:szCs w:val="24"/>
                <w:lang w:val="es-ES"/>
              </w:rPr>
            </w:pPr>
            <w:r w:rsidRPr="00610460">
              <w:rPr>
                <w:rFonts w:ascii="Calibri" w:hAnsi="Calibri" w:cs="Calibri"/>
                <w:color w:val="000000" w:themeColor="text1"/>
                <w:sz w:val="24"/>
                <w:szCs w:val="24"/>
                <w:lang w:val="es-ES"/>
              </w:rPr>
              <w:t>El Estado no inició ninguna consulta.</w:t>
            </w:r>
          </w:p>
        </w:tc>
      </w:tr>
      <w:tr w:rsidR="00E30915" w:rsidRPr="00EC4AFA" w14:paraId="79985562" w14:textId="77777777" w:rsidTr="00F65E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5" w:type="dxa"/>
            <w:gridSpan w:val="2"/>
          </w:tcPr>
          <w:p w14:paraId="7B98ACF2" w14:textId="08DC2B88" w:rsidR="00E30915" w:rsidRPr="00610460" w:rsidRDefault="00E30915" w:rsidP="00F4172D">
            <w:pPr>
              <w:pStyle w:val="HTMLPreformatted"/>
              <w:tabs>
                <w:tab w:val="left" w:pos="450"/>
                <w:tab w:val="left" w:pos="540"/>
              </w:tabs>
              <w:contextualSpacing/>
              <w:rPr>
                <w:rFonts w:ascii="Calibri" w:hAnsi="Calibri" w:cs="Calibri"/>
                <w:b w:val="0"/>
                <w:color w:val="000000" w:themeColor="text1"/>
                <w:sz w:val="24"/>
                <w:szCs w:val="24"/>
                <w:lang w:val="es-ES"/>
              </w:rPr>
            </w:pPr>
            <w:r w:rsidRPr="00610460">
              <w:rPr>
                <w:rFonts w:ascii="Calibri" w:hAnsi="Calibri" w:cs="Calibri"/>
                <w:b w:val="0"/>
                <w:color w:val="000000" w:themeColor="text1"/>
                <w:sz w:val="24"/>
                <w:szCs w:val="24"/>
                <w:lang w:val="es-ES"/>
              </w:rPr>
              <w:t>7. Abstenerse inmediatamente de enjuiciar penalmente y realizar redadas</w:t>
            </w:r>
          </w:p>
        </w:tc>
        <w:tc>
          <w:tcPr>
            <w:tcW w:w="2160" w:type="dxa"/>
          </w:tcPr>
          <w:p w14:paraId="2B2FB5C7" w14:textId="77777777" w:rsidR="00E30915" w:rsidRPr="00C6051E" w:rsidRDefault="00E30915" w:rsidP="008E73FF">
            <w:pPr>
              <w:pStyle w:val="HTMLPreformatted"/>
              <w:tabs>
                <w:tab w:val="left" w:pos="450"/>
                <w:tab w:val="left" w:pos="540"/>
              </w:tabs>
              <w:contextual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sz w:val="24"/>
                <w:szCs w:val="24"/>
              </w:rPr>
            </w:pPr>
            <w:proofErr w:type="spellStart"/>
            <w:r w:rsidRPr="00C6051E">
              <w:rPr>
                <w:rFonts w:ascii="Calibri" w:hAnsi="Calibri" w:cs="Calibri"/>
                <w:color w:val="000000" w:themeColor="text1"/>
                <w:sz w:val="24"/>
                <w:szCs w:val="24"/>
              </w:rPr>
              <w:t>Inmediatamente</w:t>
            </w:r>
            <w:proofErr w:type="spellEnd"/>
            <w:r w:rsidRPr="00C6051E">
              <w:rPr>
                <w:rFonts w:ascii="Calibri" w:hAnsi="Calibri" w:cs="Calibri"/>
                <w:color w:val="000000" w:themeColor="text1"/>
                <w:sz w:val="24"/>
                <w:szCs w:val="24"/>
              </w:rPr>
              <w:t xml:space="preserve"> </w:t>
            </w:r>
          </w:p>
        </w:tc>
        <w:tc>
          <w:tcPr>
            <w:tcW w:w="2790" w:type="dxa"/>
          </w:tcPr>
          <w:p w14:paraId="605D627E" w14:textId="10B54CFF" w:rsidR="00E30915" w:rsidRPr="00610460" w:rsidRDefault="00E30915" w:rsidP="008E73FF">
            <w:pPr>
              <w:pStyle w:val="HTMLPreformatted"/>
              <w:tabs>
                <w:tab w:val="left" w:pos="450"/>
                <w:tab w:val="left" w:pos="540"/>
              </w:tabs>
              <w:contextual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sz w:val="24"/>
                <w:szCs w:val="24"/>
                <w:lang w:val="es-ES"/>
              </w:rPr>
            </w:pPr>
            <w:r w:rsidRPr="00610460">
              <w:rPr>
                <w:rFonts w:ascii="Calibri" w:hAnsi="Calibri" w:cs="Calibri"/>
                <w:color w:val="000000" w:themeColor="text1"/>
                <w:sz w:val="24"/>
                <w:szCs w:val="24"/>
                <w:lang w:val="es-ES"/>
              </w:rPr>
              <w:t>No se conocen incursiones. Sin embargo, Guatemala no ha hecho ningún anuncio oficial de política.</w:t>
            </w:r>
          </w:p>
        </w:tc>
      </w:tr>
      <w:tr w:rsidR="00E30915" w:rsidRPr="00C6051E" w14:paraId="06120AD7" w14:textId="77777777" w:rsidTr="00F65E43">
        <w:tc>
          <w:tcPr>
            <w:cnfStyle w:val="001000000000" w:firstRow="0" w:lastRow="0" w:firstColumn="1" w:lastColumn="0" w:oddVBand="0" w:evenVBand="0" w:oddHBand="0" w:evenHBand="0" w:firstRowFirstColumn="0" w:firstRowLastColumn="0" w:lastRowFirstColumn="0" w:lastRowLastColumn="0"/>
            <w:tcW w:w="4855" w:type="dxa"/>
            <w:gridSpan w:val="2"/>
          </w:tcPr>
          <w:p w14:paraId="6BF4708B" w14:textId="08CC02AE" w:rsidR="00E30915" w:rsidRPr="00610460" w:rsidRDefault="00E30915" w:rsidP="00F4172D">
            <w:pPr>
              <w:pStyle w:val="HTMLPreformatted"/>
              <w:tabs>
                <w:tab w:val="left" w:pos="450"/>
                <w:tab w:val="left" w:pos="540"/>
              </w:tabs>
              <w:contextualSpacing/>
              <w:rPr>
                <w:rFonts w:ascii="Calibri" w:hAnsi="Calibri" w:cs="Calibri"/>
                <w:b w:val="0"/>
                <w:color w:val="000000" w:themeColor="text1"/>
                <w:sz w:val="24"/>
                <w:szCs w:val="24"/>
                <w:lang w:val="es-ES"/>
              </w:rPr>
            </w:pPr>
            <w:r w:rsidRPr="00610460">
              <w:rPr>
                <w:rFonts w:ascii="Calibri" w:hAnsi="Calibri" w:cs="Calibri"/>
                <w:b w:val="0"/>
                <w:color w:val="000000" w:themeColor="text1"/>
                <w:sz w:val="24"/>
                <w:szCs w:val="24"/>
                <w:lang w:val="es-ES"/>
              </w:rPr>
              <w:t xml:space="preserve">8. Anular las condenas del personal voluntario de la radio </w:t>
            </w:r>
          </w:p>
        </w:tc>
        <w:tc>
          <w:tcPr>
            <w:tcW w:w="2160" w:type="dxa"/>
          </w:tcPr>
          <w:p w14:paraId="1B8E7EEE" w14:textId="77777777" w:rsidR="00E30915" w:rsidRPr="00C6051E" w:rsidRDefault="00E30915" w:rsidP="008E73FF">
            <w:pPr>
              <w:pStyle w:val="HTMLPreformatted"/>
              <w:tabs>
                <w:tab w:val="left" w:pos="450"/>
                <w:tab w:val="left" w:pos="540"/>
              </w:tabs>
              <w:contextualSpacing/>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24"/>
                <w:szCs w:val="24"/>
              </w:rPr>
            </w:pPr>
            <w:r w:rsidRPr="00C6051E">
              <w:rPr>
                <w:rFonts w:ascii="Calibri" w:hAnsi="Calibri" w:cs="Calibri"/>
                <w:color w:val="000000" w:themeColor="text1"/>
                <w:sz w:val="24"/>
                <w:szCs w:val="24"/>
              </w:rPr>
              <w:t xml:space="preserve">17 de </w:t>
            </w:r>
            <w:proofErr w:type="spellStart"/>
            <w:r w:rsidRPr="00C6051E">
              <w:rPr>
                <w:rFonts w:ascii="Calibri" w:hAnsi="Calibri" w:cs="Calibri"/>
                <w:color w:val="000000" w:themeColor="text1"/>
                <w:sz w:val="24"/>
                <w:szCs w:val="24"/>
              </w:rPr>
              <w:t>diciembre</w:t>
            </w:r>
            <w:proofErr w:type="spellEnd"/>
            <w:r w:rsidRPr="00C6051E">
              <w:rPr>
                <w:rFonts w:ascii="Calibri" w:hAnsi="Calibri" w:cs="Calibri"/>
                <w:color w:val="000000" w:themeColor="text1"/>
                <w:sz w:val="24"/>
                <w:szCs w:val="24"/>
              </w:rPr>
              <w:t xml:space="preserve"> de 2022</w:t>
            </w:r>
          </w:p>
        </w:tc>
        <w:tc>
          <w:tcPr>
            <w:tcW w:w="2790" w:type="dxa"/>
          </w:tcPr>
          <w:p w14:paraId="44A842A8" w14:textId="7BB153B7" w:rsidR="00E30915" w:rsidRPr="00C6051E" w:rsidRDefault="00E30915" w:rsidP="008E73FF">
            <w:pPr>
              <w:pStyle w:val="HTMLPreformatted"/>
              <w:tabs>
                <w:tab w:val="left" w:pos="450"/>
                <w:tab w:val="left" w:pos="540"/>
              </w:tabs>
              <w:contextualSpacing/>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24"/>
                <w:szCs w:val="24"/>
              </w:rPr>
            </w:pPr>
            <w:r w:rsidRPr="00C6051E">
              <w:rPr>
                <w:rFonts w:ascii="Calibri" w:hAnsi="Calibri" w:cs="Calibri"/>
                <w:color w:val="000000" w:themeColor="text1"/>
                <w:sz w:val="24"/>
                <w:szCs w:val="24"/>
              </w:rPr>
              <w:t xml:space="preserve">No </w:t>
            </w:r>
            <w:proofErr w:type="spellStart"/>
            <w:r w:rsidRPr="00C6051E">
              <w:rPr>
                <w:rFonts w:ascii="Calibri" w:hAnsi="Calibri" w:cs="Calibri"/>
                <w:color w:val="000000" w:themeColor="text1"/>
                <w:sz w:val="24"/>
                <w:szCs w:val="24"/>
              </w:rPr>
              <w:t>completo</w:t>
            </w:r>
            <w:proofErr w:type="spellEnd"/>
            <w:r w:rsidRPr="00C6051E">
              <w:rPr>
                <w:rFonts w:ascii="Calibri" w:hAnsi="Calibri" w:cs="Calibri"/>
                <w:color w:val="000000" w:themeColor="text1"/>
                <w:sz w:val="24"/>
                <w:szCs w:val="24"/>
              </w:rPr>
              <w:t xml:space="preserve">. </w:t>
            </w:r>
          </w:p>
        </w:tc>
      </w:tr>
      <w:tr w:rsidR="00E30915" w:rsidRPr="00EC4AFA" w14:paraId="085D4A04" w14:textId="77777777" w:rsidTr="00F65E43">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55" w:type="dxa"/>
            <w:gridSpan w:val="2"/>
          </w:tcPr>
          <w:p w14:paraId="3091E26C" w14:textId="0B450CFF" w:rsidR="00E30915" w:rsidRPr="00610460" w:rsidRDefault="00E30915" w:rsidP="00F4172D">
            <w:pPr>
              <w:pStyle w:val="HTMLPreformatted"/>
              <w:tabs>
                <w:tab w:val="left" w:pos="450"/>
                <w:tab w:val="left" w:pos="540"/>
              </w:tabs>
              <w:contextualSpacing/>
              <w:rPr>
                <w:rFonts w:ascii="Calibri" w:hAnsi="Calibri" w:cs="Calibri"/>
                <w:b w:val="0"/>
                <w:color w:val="000000" w:themeColor="text1"/>
                <w:sz w:val="24"/>
                <w:szCs w:val="24"/>
                <w:lang w:val="es-ES"/>
              </w:rPr>
            </w:pPr>
            <w:r w:rsidRPr="00610460">
              <w:rPr>
                <w:rFonts w:ascii="Calibri" w:hAnsi="Calibri" w:cs="Calibri"/>
                <w:b w:val="0"/>
                <w:color w:val="000000" w:themeColor="text1"/>
                <w:sz w:val="24"/>
                <w:szCs w:val="24"/>
                <w:lang w:val="es-ES"/>
              </w:rPr>
              <w:t xml:space="preserve">9. Pago de reparaciones económicas a las víctimas y costas judiciales, más intereses. </w:t>
            </w:r>
          </w:p>
        </w:tc>
        <w:tc>
          <w:tcPr>
            <w:tcW w:w="2160" w:type="dxa"/>
          </w:tcPr>
          <w:p w14:paraId="67A822EC" w14:textId="77777777" w:rsidR="00E30915" w:rsidRPr="00C6051E" w:rsidRDefault="00E30915" w:rsidP="008E73FF">
            <w:pPr>
              <w:pStyle w:val="HTMLPreformatted"/>
              <w:tabs>
                <w:tab w:val="left" w:pos="450"/>
                <w:tab w:val="left" w:pos="540"/>
              </w:tabs>
              <w:contextual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sz w:val="24"/>
                <w:szCs w:val="24"/>
              </w:rPr>
            </w:pPr>
            <w:r w:rsidRPr="00C6051E">
              <w:rPr>
                <w:rFonts w:ascii="Calibri" w:hAnsi="Calibri" w:cs="Calibri"/>
                <w:color w:val="000000" w:themeColor="text1"/>
                <w:sz w:val="24"/>
                <w:szCs w:val="24"/>
              </w:rPr>
              <w:t xml:space="preserve">17 de </w:t>
            </w:r>
            <w:proofErr w:type="spellStart"/>
            <w:r w:rsidRPr="00C6051E">
              <w:rPr>
                <w:rFonts w:ascii="Calibri" w:hAnsi="Calibri" w:cs="Calibri"/>
                <w:color w:val="000000" w:themeColor="text1"/>
                <w:sz w:val="24"/>
                <w:szCs w:val="24"/>
              </w:rPr>
              <w:t>diciembre</w:t>
            </w:r>
            <w:proofErr w:type="spellEnd"/>
            <w:r w:rsidRPr="00C6051E">
              <w:rPr>
                <w:rFonts w:ascii="Calibri" w:hAnsi="Calibri" w:cs="Calibri"/>
                <w:color w:val="000000" w:themeColor="text1"/>
                <w:sz w:val="24"/>
                <w:szCs w:val="24"/>
              </w:rPr>
              <w:t xml:space="preserve"> de 2022</w:t>
            </w:r>
          </w:p>
        </w:tc>
        <w:tc>
          <w:tcPr>
            <w:tcW w:w="2790" w:type="dxa"/>
          </w:tcPr>
          <w:p w14:paraId="3850A1D5" w14:textId="3744D7EC" w:rsidR="00E30915" w:rsidRPr="00610460" w:rsidRDefault="00E30915" w:rsidP="008E73FF">
            <w:pPr>
              <w:pStyle w:val="HTMLPreformatted"/>
              <w:tabs>
                <w:tab w:val="left" w:pos="450"/>
                <w:tab w:val="left" w:pos="540"/>
              </w:tabs>
              <w:contextual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sz w:val="24"/>
                <w:szCs w:val="24"/>
                <w:lang w:val="es-ES"/>
              </w:rPr>
            </w:pPr>
            <w:r w:rsidRPr="00610460">
              <w:rPr>
                <w:rFonts w:ascii="Calibri" w:hAnsi="Calibri" w:cs="Calibri"/>
                <w:color w:val="000000" w:themeColor="text1"/>
                <w:sz w:val="24"/>
                <w:szCs w:val="24"/>
                <w:lang w:val="es-ES"/>
              </w:rPr>
              <w:t>Completo, espere el pago de intereses.</w:t>
            </w:r>
          </w:p>
        </w:tc>
      </w:tr>
    </w:tbl>
    <w:p w14:paraId="38CA2506" w14:textId="77777777" w:rsidR="00B6387A" w:rsidRPr="00610460" w:rsidRDefault="00B6387A" w:rsidP="00B6387A">
      <w:pPr>
        <w:pStyle w:val="ListParagraph"/>
        <w:ind w:left="1080"/>
        <w:rPr>
          <w:rFonts w:ascii="Calibri" w:hAnsi="Calibri" w:cs="Calibri"/>
          <w:b/>
          <w:color w:val="000000" w:themeColor="text1"/>
          <w:sz w:val="24"/>
          <w:lang w:val="es-ES"/>
        </w:rPr>
      </w:pPr>
    </w:p>
    <w:p w14:paraId="65014B9F" w14:textId="62A3964E" w:rsidR="00747A40" w:rsidRPr="00610460" w:rsidRDefault="001555D6" w:rsidP="00614927">
      <w:pPr>
        <w:pStyle w:val="ListParagraph"/>
        <w:numPr>
          <w:ilvl w:val="0"/>
          <w:numId w:val="23"/>
        </w:numPr>
        <w:rPr>
          <w:rFonts w:ascii="Calibri" w:hAnsi="Calibri" w:cs="Calibri"/>
          <w:b/>
          <w:color w:val="000000" w:themeColor="text1"/>
          <w:sz w:val="24"/>
          <w:lang w:val="es-ES"/>
        </w:rPr>
      </w:pPr>
      <w:r w:rsidRPr="00610460">
        <w:rPr>
          <w:rFonts w:ascii="Calibri" w:hAnsi="Calibri" w:cs="Calibri"/>
          <w:b/>
          <w:color w:val="000000" w:themeColor="text1"/>
          <w:sz w:val="24"/>
          <w:lang w:val="es-ES"/>
        </w:rPr>
        <w:t xml:space="preserve">Marco jurídico internacional de derechos humanos: libertad de expresión, medios de comunicación, cultura y no discriminación  </w:t>
      </w:r>
    </w:p>
    <w:p w14:paraId="75984C71" w14:textId="77777777" w:rsidR="00B3732C" w:rsidRPr="00610460" w:rsidRDefault="00B3732C" w:rsidP="008E73FF">
      <w:pPr>
        <w:pStyle w:val="ListParagraph"/>
        <w:ind w:left="0"/>
        <w:rPr>
          <w:rFonts w:ascii="Calibri" w:hAnsi="Calibri" w:cs="Calibri"/>
          <w:b/>
          <w:color w:val="000000" w:themeColor="text1"/>
          <w:sz w:val="24"/>
          <w:lang w:val="es-ES"/>
        </w:rPr>
      </w:pPr>
    </w:p>
    <w:p w14:paraId="37DF88A1" w14:textId="77777777" w:rsidR="008A7385" w:rsidRPr="00610460" w:rsidRDefault="00FF5ACE" w:rsidP="00F4172D">
      <w:pPr>
        <w:pStyle w:val="ListParagraph"/>
        <w:numPr>
          <w:ilvl w:val="0"/>
          <w:numId w:val="27"/>
        </w:numPr>
        <w:rPr>
          <w:rFonts w:ascii="Calibri" w:hAnsi="Calibri" w:cs="Calibri"/>
          <w:color w:val="000000" w:themeColor="text1"/>
          <w:sz w:val="24"/>
          <w:lang w:val="es-ES"/>
        </w:rPr>
      </w:pPr>
      <w:r w:rsidRPr="00610460">
        <w:rPr>
          <w:rFonts w:ascii="Calibri" w:hAnsi="Calibri" w:cs="Calibri"/>
          <w:color w:val="000000" w:themeColor="text1"/>
          <w:sz w:val="24"/>
          <w:lang w:val="es-ES"/>
        </w:rPr>
        <w:t>Las comunidades indígenas utilizan los medios de comunicación como una forma de intercambiar sus ideas, historia, tradiciones, cultura e identidad, en su propio idioma. La restricción y exclusión de los pueblos indígenas de poder acceder o utilizar los medios de comunicación, como las frecuencias de radio, contradice el principio de no discriminación en el uso de los medios de comunicación. Como reconoció la Corte Interamericana en su sentencia, el derecho de los pueblos indígenas a establecer y operar sus propios medios de comunicación en sus idiomas nativos, y a acceder a medios no indígenas a través del principio de no discriminación, es imperativo para la plena realización de los derechos culturales y la libertad de expresión de los pueblos indígenas.</w:t>
      </w:r>
      <w:r w:rsidR="0032362B" w:rsidRPr="00C6051E">
        <w:rPr>
          <w:rStyle w:val="FootnoteReference"/>
          <w:rFonts w:ascii="Calibri" w:hAnsi="Calibri" w:cs="Calibri"/>
          <w:color w:val="000000" w:themeColor="text1"/>
          <w:sz w:val="24"/>
        </w:rPr>
        <w:footnoteReference w:id="33"/>
      </w:r>
      <w:r w:rsidRPr="00610460">
        <w:rPr>
          <w:rFonts w:ascii="Calibri" w:hAnsi="Calibri" w:cs="Calibri"/>
          <w:color w:val="000000" w:themeColor="text1"/>
          <w:sz w:val="24"/>
          <w:lang w:val="es-ES"/>
        </w:rPr>
        <w:t xml:space="preserve"> </w:t>
      </w:r>
    </w:p>
    <w:p w14:paraId="2672A0AD" w14:textId="77777777" w:rsidR="008A7385" w:rsidRPr="00610460" w:rsidRDefault="008A7385" w:rsidP="008A7385">
      <w:pPr>
        <w:pStyle w:val="ListParagraph"/>
        <w:ind w:left="420"/>
        <w:rPr>
          <w:rFonts w:ascii="Calibri" w:hAnsi="Calibri" w:cs="Calibri"/>
          <w:color w:val="000000" w:themeColor="text1"/>
          <w:sz w:val="24"/>
          <w:lang w:val="es-ES"/>
        </w:rPr>
      </w:pPr>
    </w:p>
    <w:p w14:paraId="51D681E1" w14:textId="36B3AFF8" w:rsidR="00215EE3" w:rsidRPr="00610460" w:rsidRDefault="00AF3A7B" w:rsidP="00F4172D">
      <w:pPr>
        <w:pStyle w:val="ListParagraph"/>
        <w:numPr>
          <w:ilvl w:val="0"/>
          <w:numId w:val="27"/>
        </w:numPr>
        <w:rPr>
          <w:rFonts w:ascii="Calibri" w:hAnsi="Calibri" w:cs="Calibri"/>
          <w:color w:val="000000" w:themeColor="text1"/>
          <w:sz w:val="24"/>
          <w:lang w:val="es-ES"/>
        </w:rPr>
      </w:pPr>
      <w:r w:rsidRPr="00610460">
        <w:rPr>
          <w:rFonts w:ascii="Calibri" w:hAnsi="Calibri" w:cs="Calibri"/>
          <w:color w:val="000000" w:themeColor="text1"/>
          <w:sz w:val="24"/>
          <w:lang w:val="es-ES"/>
        </w:rPr>
        <w:lastRenderedPageBreak/>
        <w:t>Estos principios también están consagrados en el artículo 16 de la Declaración de las Naciones Unidas sobre los Derechos de los Pueblos Indígenas ("DNUDPI")</w:t>
      </w:r>
      <w:r w:rsidR="00B6387A" w:rsidRPr="00C6051E">
        <w:rPr>
          <w:rStyle w:val="FootnoteReference"/>
          <w:rFonts w:ascii="Calibri" w:hAnsi="Calibri" w:cs="Calibri"/>
          <w:color w:val="000000" w:themeColor="text1"/>
          <w:sz w:val="24"/>
        </w:rPr>
        <w:footnoteReference w:id="34"/>
      </w:r>
      <w:r w:rsidR="00692A7D" w:rsidRPr="00610460">
        <w:rPr>
          <w:rFonts w:ascii="Calibri" w:hAnsi="Calibri" w:cs="Calibri"/>
          <w:color w:val="000000" w:themeColor="text1"/>
          <w:sz w:val="24"/>
          <w:lang w:val="es-ES"/>
        </w:rPr>
        <w:t xml:space="preserve"> y en el artículo 5 (d) (</w:t>
      </w:r>
      <w:proofErr w:type="spellStart"/>
      <w:r w:rsidR="00692A7D" w:rsidRPr="00610460">
        <w:rPr>
          <w:rFonts w:ascii="Calibri" w:hAnsi="Calibri" w:cs="Calibri"/>
          <w:color w:val="000000" w:themeColor="text1"/>
          <w:sz w:val="24"/>
          <w:lang w:val="es-ES"/>
        </w:rPr>
        <w:t>viii</w:t>
      </w:r>
      <w:proofErr w:type="spellEnd"/>
      <w:r w:rsidR="00692A7D" w:rsidRPr="00610460">
        <w:rPr>
          <w:rFonts w:ascii="Calibri" w:hAnsi="Calibri" w:cs="Calibri"/>
          <w:color w:val="000000" w:themeColor="text1"/>
          <w:sz w:val="24"/>
          <w:lang w:val="es-ES"/>
        </w:rPr>
        <w:t xml:space="preserve">) de la Convención Internacional sobre la Eliminación de todas las Formas de Discriminación Racial ("ICERD"), </w:t>
      </w:r>
      <w:r w:rsidR="007B2263" w:rsidRPr="00C6051E">
        <w:rPr>
          <w:rStyle w:val="FootnoteReference"/>
          <w:rFonts w:ascii="Calibri" w:hAnsi="Calibri" w:cs="Calibri"/>
          <w:color w:val="000000" w:themeColor="text1"/>
          <w:sz w:val="24"/>
        </w:rPr>
        <w:footnoteReference w:id="35"/>
      </w:r>
      <w:r w:rsidR="00B3732C" w:rsidRPr="00610460">
        <w:rPr>
          <w:rFonts w:ascii="Calibri" w:hAnsi="Calibri" w:cs="Calibri"/>
          <w:color w:val="000000" w:themeColor="text1"/>
          <w:sz w:val="24"/>
          <w:lang w:val="es-ES"/>
        </w:rPr>
        <w:t xml:space="preserve">que garantizan el derecho a la libertad de opinión y expresión. El artículo 5 d) </w:t>
      </w:r>
      <w:proofErr w:type="spellStart"/>
      <w:r w:rsidR="00B3732C" w:rsidRPr="00610460">
        <w:rPr>
          <w:rFonts w:ascii="Calibri" w:hAnsi="Calibri" w:cs="Calibri"/>
          <w:color w:val="000000" w:themeColor="text1"/>
          <w:sz w:val="24"/>
          <w:lang w:val="es-ES"/>
        </w:rPr>
        <w:t>vii</w:t>
      </w:r>
      <w:proofErr w:type="spellEnd"/>
      <w:r w:rsidR="00B3732C" w:rsidRPr="00610460">
        <w:rPr>
          <w:rFonts w:ascii="Calibri" w:hAnsi="Calibri" w:cs="Calibri"/>
          <w:color w:val="000000" w:themeColor="text1"/>
          <w:sz w:val="24"/>
          <w:lang w:val="es-ES"/>
        </w:rPr>
        <w:t>) de la Convención Internacional sobre la Eliminación de todas las Formas de Discriminación Racial garantiza el derecho de los pueblos indígenas a la participación cultural.</w:t>
      </w:r>
      <w:r w:rsidR="00587145" w:rsidRPr="00C6051E">
        <w:rPr>
          <w:rStyle w:val="FootnoteReference"/>
          <w:rFonts w:ascii="Calibri" w:hAnsi="Calibri" w:cs="Calibri"/>
          <w:color w:val="000000" w:themeColor="text1"/>
          <w:sz w:val="24"/>
        </w:rPr>
        <w:footnoteReference w:id="36"/>
      </w:r>
      <w:r w:rsidR="00B15C08" w:rsidRPr="00610460">
        <w:rPr>
          <w:rFonts w:ascii="Calibri" w:hAnsi="Calibri" w:cs="Calibri"/>
          <w:color w:val="000000" w:themeColor="text1"/>
          <w:sz w:val="24"/>
          <w:lang w:val="es-ES"/>
        </w:rPr>
        <w:t xml:space="preserve"> Además, en virtud de los artículos 2(1)(c) y 2(1)(d) de la Convención Internacional sobre la Eliminación de todas las Formas de Discriminación Racial, los Estados están obligados a revisar, enmendar o anular todas las leyes y reglamentos que perpetúen cualquier discriminación racial existente.  </w:t>
      </w:r>
    </w:p>
    <w:p w14:paraId="2840F449" w14:textId="5EE857E1" w:rsidR="00614927" w:rsidRPr="00610460" w:rsidRDefault="00614927" w:rsidP="008E73FF">
      <w:pPr>
        <w:rPr>
          <w:rFonts w:ascii="Calibri" w:hAnsi="Calibri" w:cs="Calibri"/>
          <w:color w:val="000000" w:themeColor="text1"/>
          <w:sz w:val="24"/>
          <w:lang w:val="es-ES"/>
        </w:rPr>
      </w:pPr>
    </w:p>
    <w:p w14:paraId="0A565DA5" w14:textId="447CAF1D" w:rsidR="00DB31C9" w:rsidRPr="00610460" w:rsidRDefault="00EF5E99" w:rsidP="00844686">
      <w:pPr>
        <w:pStyle w:val="ListParagraph"/>
        <w:numPr>
          <w:ilvl w:val="0"/>
          <w:numId w:val="23"/>
        </w:numPr>
        <w:rPr>
          <w:rFonts w:ascii="Calibri" w:hAnsi="Calibri" w:cs="Calibri"/>
          <w:b/>
          <w:color w:val="000000" w:themeColor="text1"/>
          <w:sz w:val="24"/>
          <w:lang w:val="es-ES"/>
        </w:rPr>
      </w:pPr>
      <w:r w:rsidRPr="00610460">
        <w:rPr>
          <w:rFonts w:ascii="Calibri" w:hAnsi="Calibri" w:cs="Calibri"/>
          <w:b/>
          <w:bCs/>
          <w:color w:val="000000" w:themeColor="text1"/>
          <w:sz w:val="24"/>
          <w:lang w:val="es-ES"/>
        </w:rPr>
        <w:t xml:space="preserve">Aplicabilidad y obligaciones en virtud de la Unión Internacional de Telecomunicaciones </w:t>
      </w:r>
    </w:p>
    <w:p w14:paraId="7E56B9C2" w14:textId="77777777" w:rsidR="00A54BFD" w:rsidRPr="00610460" w:rsidRDefault="00A54BFD" w:rsidP="00A54BFD">
      <w:pPr>
        <w:pStyle w:val="ListParagraph"/>
        <w:ind w:left="1080"/>
        <w:rPr>
          <w:rFonts w:ascii="Calibri" w:hAnsi="Calibri" w:cs="Calibri"/>
          <w:b/>
          <w:color w:val="000000" w:themeColor="text1"/>
          <w:sz w:val="24"/>
          <w:lang w:val="es-ES"/>
        </w:rPr>
      </w:pPr>
    </w:p>
    <w:p w14:paraId="2B127BCB" w14:textId="77777777" w:rsidR="00644A97" w:rsidRDefault="00DB31C9" w:rsidP="00644A97">
      <w:pPr>
        <w:pStyle w:val="NormalWeb"/>
        <w:numPr>
          <w:ilvl w:val="0"/>
          <w:numId w:val="27"/>
        </w:numPr>
        <w:spacing w:before="0" w:beforeAutospacing="0" w:after="0" w:afterAutospacing="0"/>
        <w:rPr>
          <w:rFonts w:ascii="Calibri" w:hAnsi="Calibri" w:cs="Calibri"/>
          <w:color w:val="000000" w:themeColor="text1"/>
          <w:lang w:val="es-ES"/>
        </w:rPr>
      </w:pPr>
      <w:r w:rsidRPr="00610460">
        <w:rPr>
          <w:rFonts w:ascii="Calibri" w:hAnsi="Calibri" w:cs="Calibri"/>
          <w:color w:val="000000" w:themeColor="text1"/>
          <w:lang w:val="es-ES"/>
        </w:rPr>
        <w:t>Como miembro de la Unión Internacional de Telecomunicaciones ("UIT") de las Naciones Unidas, Guatemala está obligada por las disposiciones de la Constitución, el Convenio y su Reglamento Administrativo de la UIT.</w:t>
      </w:r>
      <w:r w:rsidRPr="00C6051E">
        <w:rPr>
          <w:rStyle w:val="FootnoteReference"/>
          <w:rFonts w:ascii="Calibri" w:hAnsi="Calibri" w:cs="Calibri"/>
          <w:color w:val="000000" w:themeColor="text1"/>
        </w:rPr>
        <w:footnoteReference w:id="37"/>
      </w:r>
      <w:r w:rsidRPr="00610460">
        <w:rPr>
          <w:rFonts w:ascii="Calibri" w:hAnsi="Calibri" w:cs="Calibri"/>
          <w:color w:val="000000" w:themeColor="text1"/>
          <w:lang w:val="es-ES"/>
        </w:rPr>
        <w:t xml:space="preserve"> La ratificación de estos instrumentos por parte de un Estado tiene fuerza de derecho internacional y obliga a Guatemala a cumplir con los estándares globales en materia de gestión y asignación del espectro de frecuencias radioeléctricas. Las obligaciones de Guatemala en virtud de la UIT son especialmente relevantes a la luz de la sentencia de la Corte Interamericana y las reparaciones que ordenó. Como se indica a continuación, para garantizar la aplicación efectiva de las reparaciones, Guatemala también debe cumplir sus obligaciones en virtud del marco de la UIT, que establece prácticas transparentes, inclusivas y equitativas para la gestión del espectro. </w:t>
      </w:r>
    </w:p>
    <w:p w14:paraId="400305FC" w14:textId="77777777" w:rsidR="00644A97" w:rsidRDefault="00644A97" w:rsidP="00644A97">
      <w:pPr>
        <w:pStyle w:val="NormalWeb"/>
        <w:spacing w:before="0" w:beforeAutospacing="0" w:after="0" w:afterAutospacing="0"/>
        <w:ind w:left="60"/>
        <w:rPr>
          <w:rFonts w:ascii="Calibri" w:hAnsi="Calibri" w:cs="Calibri"/>
          <w:color w:val="000000" w:themeColor="text1"/>
          <w:lang w:val="es-ES"/>
        </w:rPr>
      </w:pPr>
    </w:p>
    <w:p w14:paraId="4286955A" w14:textId="2F252BB7" w:rsidR="00DB31C9" w:rsidRPr="00644A97" w:rsidRDefault="00A54BFD" w:rsidP="00644A97">
      <w:pPr>
        <w:pStyle w:val="NormalWeb"/>
        <w:numPr>
          <w:ilvl w:val="1"/>
          <w:numId w:val="27"/>
        </w:numPr>
        <w:spacing w:before="0" w:beforeAutospacing="0" w:after="0" w:afterAutospacing="0"/>
        <w:rPr>
          <w:rFonts w:ascii="Calibri" w:hAnsi="Calibri" w:cs="Calibri"/>
          <w:color w:val="000000" w:themeColor="text1"/>
          <w:lang w:val="es-ES"/>
        </w:rPr>
      </w:pPr>
      <w:r w:rsidRPr="00644A97">
        <w:rPr>
          <w:rFonts w:ascii="Calibri" w:hAnsi="Calibri" w:cs="Calibri"/>
          <w:b/>
          <w:bCs/>
          <w:color w:val="000000" w:themeColor="text1"/>
          <w:lang w:val="es-ES"/>
        </w:rPr>
        <w:t>Transparencia y participación en la asignación de espectro</w:t>
      </w:r>
    </w:p>
    <w:p w14:paraId="06213F0E" w14:textId="77777777" w:rsidR="00A54BFD" w:rsidRPr="00610460" w:rsidRDefault="00A54BFD" w:rsidP="00A54BFD">
      <w:pPr>
        <w:pStyle w:val="NormalWeb"/>
        <w:spacing w:before="0" w:beforeAutospacing="0" w:after="0" w:afterAutospacing="0"/>
        <w:ind w:left="780"/>
        <w:rPr>
          <w:rFonts w:ascii="Calibri" w:hAnsi="Calibri" w:cs="Calibri"/>
          <w:b/>
          <w:bCs/>
          <w:color w:val="000000" w:themeColor="text1"/>
          <w:lang w:val="es-ES"/>
        </w:rPr>
      </w:pPr>
    </w:p>
    <w:p w14:paraId="5C5296DC" w14:textId="26E67097" w:rsidR="00844686" w:rsidRPr="00610460" w:rsidRDefault="00A55EC0" w:rsidP="00F4172D">
      <w:pPr>
        <w:pStyle w:val="NormalWeb"/>
        <w:numPr>
          <w:ilvl w:val="0"/>
          <w:numId w:val="27"/>
        </w:numPr>
        <w:spacing w:before="0" w:beforeAutospacing="0" w:after="0" w:afterAutospacing="0"/>
        <w:rPr>
          <w:rFonts w:ascii="Calibri" w:hAnsi="Calibri" w:cs="Calibri"/>
          <w:b/>
          <w:i/>
          <w:color w:val="000000" w:themeColor="text1"/>
          <w:lang w:val="es-ES"/>
        </w:rPr>
      </w:pPr>
      <w:r w:rsidRPr="00610460">
        <w:rPr>
          <w:rFonts w:ascii="Calibri" w:hAnsi="Calibri" w:cs="Calibri"/>
          <w:color w:val="000000" w:themeColor="text1"/>
          <w:lang w:val="es-ES"/>
        </w:rPr>
        <w:t xml:space="preserve">El Manual de la UIT </w:t>
      </w:r>
      <w:r w:rsidRPr="00610460">
        <w:rPr>
          <w:rFonts w:ascii="Calibri" w:hAnsi="Calibri" w:cs="Calibri"/>
          <w:i/>
          <w:iCs/>
          <w:color w:val="000000" w:themeColor="text1"/>
          <w:lang w:val="es-ES"/>
        </w:rPr>
        <w:t>sobre gestión nacional del espectro</w:t>
      </w:r>
      <w:r w:rsidRPr="00610460">
        <w:rPr>
          <w:rFonts w:ascii="Calibri" w:hAnsi="Calibri" w:cs="Calibri"/>
          <w:color w:val="000000" w:themeColor="text1"/>
          <w:lang w:val="es-ES"/>
        </w:rPr>
        <w:t xml:space="preserve"> (2015) hace hincapié en la transparencia y la participación pública en la atribución de frecuencias, recomendando que se publiquen planes nacionales y se </w:t>
      </w:r>
      <w:r w:rsidR="00B16FB7">
        <w:rPr>
          <w:rFonts w:ascii="Calibri" w:hAnsi="Calibri" w:cs="Calibri"/>
          <w:color w:val="000000" w:themeColor="text1"/>
          <w:lang w:val="es-ES"/>
        </w:rPr>
        <w:t>realicen</w:t>
      </w:r>
      <w:r w:rsidRPr="00610460">
        <w:rPr>
          <w:rFonts w:ascii="Calibri" w:hAnsi="Calibri" w:cs="Calibri"/>
          <w:color w:val="000000" w:themeColor="text1"/>
          <w:lang w:val="es-ES"/>
        </w:rPr>
        <w:t xml:space="preserve"> consultas sobre los cambios que afectan a los proveedores de servicios.</w:t>
      </w:r>
      <w:r w:rsidR="00180F74" w:rsidRPr="00C6051E">
        <w:rPr>
          <w:rStyle w:val="FootnoteReference"/>
          <w:rFonts w:ascii="Calibri" w:hAnsi="Calibri" w:cs="Calibri"/>
          <w:color w:val="000000" w:themeColor="text1"/>
        </w:rPr>
        <w:footnoteReference w:id="38"/>
      </w:r>
      <w:r w:rsidRPr="00610460">
        <w:rPr>
          <w:rFonts w:ascii="Calibri" w:hAnsi="Calibri" w:cs="Calibri"/>
          <w:color w:val="000000" w:themeColor="text1"/>
          <w:lang w:val="es-ES"/>
        </w:rPr>
        <w:t xml:space="preserve"> Esto se alinea con la directiva de la Corte Interamericana de Derechos Humanos que exige que las comunidades indígenas sean incluidas en los </w:t>
      </w:r>
      <w:r w:rsidRPr="00610460">
        <w:rPr>
          <w:rFonts w:ascii="Calibri" w:hAnsi="Calibri" w:cs="Calibri"/>
          <w:color w:val="000000" w:themeColor="text1"/>
          <w:lang w:val="es-ES"/>
        </w:rPr>
        <w:lastRenderedPageBreak/>
        <w:t>procesos regulatorios que afectan el acceso a la radio comunitaria.</w:t>
      </w:r>
      <w:r w:rsidR="00891251" w:rsidRPr="00C6051E">
        <w:rPr>
          <w:rStyle w:val="FootnoteReference"/>
          <w:rFonts w:ascii="Calibri" w:hAnsi="Calibri" w:cs="Calibri"/>
          <w:color w:val="000000" w:themeColor="text1"/>
        </w:rPr>
        <w:footnoteReference w:id="39"/>
      </w:r>
      <w:r w:rsidRPr="00610460">
        <w:rPr>
          <w:rFonts w:ascii="Calibri" w:hAnsi="Calibri" w:cs="Calibri"/>
          <w:color w:val="000000" w:themeColor="text1"/>
          <w:lang w:val="es-ES"/>
        </w:rPr>
        <w:t xml:space="preserve"> Por lo tanto, Guatemala debe garantizar que las comunidades indígenas tengan la información y la oportunidad de participar en las decisiones de asignación de espectro.</w:t>
      </w:r>
    </w:p>
    <w:p w14:paraId="2DB7A9F5" w14:textId="77777777" w:rsidR="00A54BFD" w:rsidRPr="00610460" w:rsidRDefault="00A54BFD" w:rsidP="00A54BFD">
      <w:pPr>
        <w:pStyle w:val="NormalWeb"/>
        <w:spacing w:before="0" w:beforeAutospacing="0" w:after="0" w:afterAutospacing="0"/>
        <w:ind w:left="420"/>
        <w:rPr>
          <w:rFonts w:ascii="Calibri" w:hAnsi="Calibri" w:cs="Calibri"/>
          <w:b/>
          <w:i/>
          <w:color w:val="000000" w:themeColor="text1"/>
          <w:lang w:val="es-ES"/>
        </w:rPr>
      </w:pPr>
    </w:p>
    <w:p w14:paraId="08D7C451" w14:textId="0E291D0D" w:rsidR="00DB31C9" w:rsidRPr="00610460" w:rsidRDefault="00DB31C9" w:rsidP="000D34BE">
      <w:pPr>
        <w:pStyle w:val="NormalWeb"/>
        <w:numPr>
          <w:ilvl w:val="0"/>
          <w:numId w:val="34"/>
        </w:numPr>
        <w:spacing w:before="0" w:beforeAutospacing="0" w:after="0" w:afterAutospacing="0"/>
        <w:rPr>
          <w:rFonts w:ascii="Calibri" w:hAnsi="Calibri" w:cs="Calibri"/>
          <w:b/>
          <w:bCs/>
          <w:color w:val="000000" w:themeColor="text1"/>
          <w:lang w:val="es-ES"/>
        </w:rPr>
      </w:pPr>
      <w:r w:rsidRPr="00610460">
        <w:rPr>
          <w:rFonts w:ascii="Calibri" w:hAnsi="Calibri" w:cs="Calibri"/>
          <w:b/>
          <w:bCs/>
          <w:color w:val="000000" w:themeColor="text1"/>
          <w:lang w:val="es-ES"/>
        </w:rPr>
        <w:t>Acceso equitativo y procesos de concesión de licencias justos</w:t>
      </w:r>
    </w:p>
    <w:p w14:paraId="0BF32CA6" w14:textId="77777777" w:rsidR="00A54BFD" w:rsidRPr="00610460" w:rsidRDefault="00A54BFD" w:rsidP="00A54BFD">
      <w:pPr>
        <w:pStyle w:val="NormalWeb"/>
        <w:spacing w:before="0" w:beforeAutospacing="0" w:after="0" w:afterAutospacing="0"/>
        <w:ind w:left="1140"/>
        <w:rPr>
          <w:rFonts w:ascii="Calibri" w:hAnsi="Calibri" w:cs="Calibri"/>
          <w:b/>
          <w:bCs/>
          <w:color w:val="000000" w:themeColor="text1"/>
          <w:lang w:val="es-ES"/>
        </w:rPr>
      </w:pPr>
    </w:p>
    <w:p w14:paraId="53690BCA" w14:textId="09F5A630" w:rsidR="00A54BFD" w:rsidRPr="00610460" w:rsidRDefault="00DB31C9" w:rsidP="00F4172D">
      <w:pPr>
        <w:pStyle w:val="NormalWeb"/>
        <w:numPr>
          <w:ilvl w:val="0"/>
          <w:numId w:val="27"/>
        </w:numPr>
        <w:spacing w:before="0" w:beforeAutospacing="0" w:after="0" w:afterAutospacing="0"/>
        <w:rPr>
          <w:rFonts w:ascii="Calibri" w:hAnsi="Calibri" w:cs="Calibri"/>
          <w:color w:val="000000" w:themeColor="text1"/>
          <w:lang w:val="es-ES"/>
        </w:rPr>
      </w:pPr>
      <w:r w:rsidRPr="00610460">
        <w:rPr>
          <w:rFonts w:ascii="Calibri" w:hAnsi="Calibri" w:cs="Calibri"/>
          <w:color w:val="000000" w:themeColor="text1"/>
          <w:lang w:val="es-ES"/>
        </w:rPr>
        <w:t xml:space="preserve">El </w:t>
      </w:r>
      <w:r w:rsidRPr="00610460">
        <w:rPr>
          <w:rFonts w:ascii="Calibri" w:hAnsi="Calibri" w:cs="Calibri"/>
          <w:i/>
          <w:iCs/>
          <w:color w:val="000000" w:themeColor="text1"/>
          <w:lang w:val="es-ES"/>
        </w:rPr>
        <w:t>Enfoque normalizado de la UIT para evaluar las necesidades de gestión del espectro de los países en desarrollo</w:t>
      </w:r>
      <w:r w:rsidRPr="00610460">
        <w:rPr>
          <w:rFonts w:ascii="Calibri" w:hAnsi="Calibri" w:cs="Calibri"/>
          <w:color w:val="000000" w:themeColor="text1"/>
          <w:lang w:val="es-ES"/>
        </w:rPr>
        <w:t xml:space="preserve"> (2016) hace hincapié en la necesidad de procesos justos y transparentes en la gestión del espectro, incluida la concesión de licencias y la toma de decisiones sobre el uso del espectro.</w:t>
      </w:r>
      <w:r w:rsidR="00CD7824" w:rsidRPr="00C6051E">
        <w:rPr>
          <w:rStyle w:val="FootnoteReference"/>
          <w:rFonts w:ascii="Calibri" w:hAnsi="Calibri" w:cs="Calibri"/>
          <w:color w:val="000000" w:themeColor="text1"/>
        </w:rPr>
        <w:footnoteReference w:id="40"/>
      </w:r>
      <w:r w:rsidRPr="00610460">
        <w:rPr>
          <w:rFonts w:ascii="Calibri" w:hAnsi="Calibri" w:cs="Calibri"/>
          <w:color w:val="000000" w:themeColor="text1"/>
          <w:lang w:val="es-ES"/>
        </w:rPr>
        <w:t xml:space="preserve"> En particular, la UIT pide la creación de marcos reglamentarios que garanticen que todos los grupos, especialmente aquellos que históricamente han sido excluidos, puedan acceder al espectro.</w:t>
      </w:r>
      <w:r w:rsidR="00CD7824" w:rsidRPr="00C6051E">
        <w:rPr>
          <w:rStyle w:val="FootnoteReference"/>
          <w:rFonts w:ascii="Calibri" w:hAnsi="Calibri" w:cs="Calibri"/>
          <w:color w:val="000000" w:themeColor="text1"/>
        </w:rPr>
        <w:footnoteReference w:id="41"/>
      </w:r>
      <w:r w:rsidR="00EC3985" w:rsidRPr="00610460">
        <w:rPr>
          <w:rFonts w:ascii="Calibri" w:hAnsi="Calibri" w:cs="Calibri"/>
          <w:color w:val="000000" w:themeColor="text1"/>
          <w:lang w:val="es-ES"/>
        </w:rPr>
        <w:t xml:space="preserve"> Por lo tanto, Guatemala debe diseñar un marco regulatorio que no solo simplifique el proceso de concesión de licencias para las radios comunitarias indígenas, sino que también garantice que estas comunidades no estén sujetas a barreras discriminatorias. </w:t>
      </w:r>
    </w:p>
    <w:p w14:paraId="2FF53862" w14:textId="77777777" w:rsidR="00A262AA" w:rsidRPr="00610460" w:rsidRDefault="00A262AA" w:rsidP="00A262AA">
      <w:pPr>
        <w:pStyle w:val="NormalWeb"/>
        <w:spacing w:before="0" w:beforeAutospacing="0" w:after="0" w:afterAutospacing="0"/>
        <w:ind w:left="420"/>
        <w:rPr>
          <w:rFonts w:ascii="Calibri" w:hAnsi="Calibri" w:cs="Calibri"/>
          <w:color w:val="000000" w:themeColor="text1"/>
          <w:lang w:val="es-ES"/>
        </w:rPr>
      </w:pPr>
    </w:p>
    <w:p w14:paraId="7DC0133C" w14:textId="47C2471D" w:rsidR="00A54BFD" w:rsidRPr="00610460" w:rsidRDefault="00DB31C9" w:rsidP="000D34BE">
      <w:pPr>
        <w:pStyle w:val="NormalWeb"/>
        <w:numPr>
          <w:ilvl w:val="0"/>
          <w:numId w:val="35"/>
        </w:numPr>
        <w:spacing w:before="0" w:beforeAutospacing="0" w:after="0" w:afterAutospacing="0"/>
        <w:rPr>
          <w:rFonts w:ascii="Calibri" w:hAnsi="Calibri" w:cs="Calibri"/>
          <w:b/>
          <w:bCs/>
          <w:color w:val="000000" w:themeColor="text1"/>
          <w:lang w:val="es-ES"/>
        </w:rPr>
      </w:pPr>
      <w:r w:rsidRPr="00610460">
        <w:rPr>
          <w:rFonts w:ascii="Calibri" w:hAnsi="Calibri" w:cs="Calibri"/>
          <w:b/>
          <w:bCs/>
          <w:color w:val="000000" w:themeColor="text1"/>
          <w:lang w:val="es-ES"/>
        </w:rPr>
        <w:t>Comprobación técnica y atribución del espectro</w:t>
      </w:r>
    </w:p>
    <w:p w14:paraId="211A550F" w14:textId="77777777" w:rsidR="00A54BFD" w:rsidRPr="00610460" w:rsidRDefault="00A54BFD" w:rsidP="00A54BFD">
      <w:pPr>
        <w:pStyle w:val="NormalWeb"/>
        <w:spacing w:before="0" w:beforeAutospacing="0" w:after="0" w:afterAutospacing="0"/>
        <w:ind w:left="1140"/>
        <w:rPr>
          <w:rFonts w:ascii="Calibri" w:hAnsi="Calibri" w:cs="Calibri"/>
          <w:b/>
          <w:bCs/>
          <w:color w:val="000000" w:themeColor="text1"/>
          <w:lang w:val="es-ES"/>
        </w:rPr>
      </w:pPr>
    </w:p>
    <w:p w14:paraId="1F388CC8" w14:textId="3DF896A8" w:rsidR="00A262AA" w:rsidRPr="00610460" w:rsidRDefault="00DB31C9" w:rsidP="00F4172D">
      <w:pPr>
        <w:pStyle w:val="NormalWeb"/>
        <w:numPr>
          <w:ilvl w:val="0"/>
          <w:numId w:val="27"/>
        </w:numPr>
        <w:spacing w:before="0" w:beforeAutospacing="0" w:after="0" w:afterAutospacing="0"/>
        <w:rPr>
          <w:rFonts w:ascii="Calibri" w:hAnsi="Calibri" w:cs="Calibri"/>
          <w:color w:val="000000" w:themeColor="text1"/>
          <w:lang w:val="es-ES"/>
        </w:rPr>
      </w:pPr>
      <w:r w:rsidRPr="00610460">
        <w:rPr>
          <w:rFonts w:ascii="Calibri" w:hAnsi="Calibri" w:cs="Calibri"/>
          <w:color w:val="000000" w:themeColor="text1"/>
          <w:lang w:val="es-ES"/>
        </w:rPr>
        <w:t xml:space="preserve">La </w:t>
      </w:r>
      <w:r w:rsidRPr="00610460">
        <w:rPr>
          <w:rFonts w:ascii="Calibri" w:hAnsi="Calibri" w:cs="Calibri"/>
          <w:i/>
          <w:iCs/>
          <w:color w:val="000000" w:themeColor="text1"/>
          <w:lang w:val="es-ES"/>
        </w:rPr>
        <w:t>Recomendación SM.1392-3 (</w:t>
      </w:r>
      <w:r w:rsidRPr="00610460">
        <w:rPr>
          <w:rFonts w:ascii="Calibri" w:hAnsi="Calibri" w:cs="Calibri"/>
          <w:color w:val="000000" w:themeColor="text1"/>
          <w:lang w:val="es-ES"/>
        </w:rPr>
        <w:t xml:space="preserve"> 2021) de la UIT y otros documentos conexos de la UIT hacen hincapié en la necesidad de que las administraciones nacionales supervisen eficazmente la utilización del espectro y atribuyan frecuencias de manera que se favorezca un acceso diverso y equitativo.</w:t>
      </w:r>
      <w:r w:rsidR="008C5721" w:rsidRPr="00C6051E">
        <w:rPr>
          <w:rStyle w:val="FootnoteReference"/>
          <w:rFonts w:ascii="Calibri" w:hAnsi="Calibri" w:cs="Calibri"/>
          <w:color w:val="000000" w:themeColor="text1"/>
        </w:rPr>
        <w:footnoteReference w:id="42"/>
      </w:r>
      <w:r w:rsidRPr="00610460">
        <w:rPr>
          <w:rFonts w:ascii="Calibri" w:hAnsi="Calibri" w:cs="Calibri"/>
          <w:color w:val="000000" w:themeColor="text1"/>
          <w:lang w:val="es-ES"/>
        </w:rPr>
        <w:t xml:space="preserve"> Específicamente, estas recomendaciones destacan la importancia de identificar las categorías de usuarios y garantizar una asignación transparente de espectro a todos los usuarios, incluidas las emisoras de las comunidades indígenas. En este contexto, Guatemala debe garantizar que una parte adecuada del espectro radioeléctrico se reserve para las radios comunitarias indígenas.</w:t>
      </w:r>
    </w:p>
    <w:p w14:paraId="0163F42E" w14:textId="77777777" w:rsidR="00F65E43" w:rsidRPr="00610460" w:rsidRDefault="00F65E43" w:rsidP="00F65E43">
      <w:pPr>
        <w:pStyle w:val="NormalWeb"/>
        <w:spacing w:before="0" w:beforeAutospacing="0" w:after="0" w:afterAutospacing="0"/>
        <w:ind w:left="60"/>
        <w:rPr>
          <w:rFonts w:ascii="Calibri" w:hAnsi="Calibri" w:cs="Calibri"/>
          <w:color w:val="000000" w:themeColor="text1"/>
          <w:lang w:val="es-ES"/>
        </w:rPr>
      </w:pPr>
    </w:p>
    <w:p w14:paraId="4F811D8D" w14:textId="77777777" w:rsidR="000D34BE" w:rsidRDefault="00DB31C9" w:rsidP="000D34BE">
      <w:pPr>
        <w:pStyle w:val="NormalWeb"/>
        <w:numPr>
          <w:ilvl w:val="0"/>
          <w:numId w:val="27"/>
        </w:numPr>
        <w:spacing w:before="0" w:beforeAutospacing="0" w:after="0" w:afterAutospacing="0"/>
        <w:rPr>
          <w:rFonts w:ascii="Calibri" w:hAnsi="Calibri" w:cs="Calibri"/>
          <w:color w:val="000000" w:themeColor="text1"/>
          <w:lang w:val="es-ES"/>
        </w:rPr>
      </w:pPr>
      <w:r w:rsidRPr="00610460">
        <w:rPr>
          <w:rFonts w:ascii="Calibri" w:hAnsi="Calibri" w:cs="Calibri"/>
          <w:color w:val="000000" w:themeColor="text1"/>
          <w:lang w:val="es-ES"/>
        </w:rPr>
        <w:t xml:space="preserve">Al adherirse a estos estándares internacionales, así como a lo que exige el derecho internacional de los derechos humanos, Guatemala garantiza que las comunidades indígenas tengan acceso al espectro radioeléctrico, con el fin de cumplir con sus derechos a la libertad de expresión, medios de comunicación y cultura. Se insta a Guatemala a priorizar el establecimiento de un proceso simplificado de concesión de licencias para las radios comunitarias indígenas, la reserva de espectro adecuado y la gestión transparente </w:t>
      </w:r>
      <w:r w:rsidRPr="00610460">
        <w:rPr>
          <w:rFonts w:ascii="Calibri" w:hAnsi="Calibri" w:cs="Calibri"/>
          <w:color w:val="000000" w:themeColor="text1"/>
          <w:lang w:val="es-ES"/>
        </w:rPr>
        <w:lastRenderedPageBreak/>
        <w:t xml:space="preserve">del espectro de frecuencias radioeléctricas para cumplir tanto con el marco de la UIT como con la sentencia de la Corte Interamericana. </w:t>
      </w:r>
    </w:p>
    <w:p w14:paraId="27577AB3" w14:textId="77777777" w:rsidR="000D34BE" w:rsidRDefault="000D34BE" w:rsidP="000D34BE">
      <w:pPr>
        <w:pStyle w:val="ListParagraph"/>
        <w:rPr>
          <w:rFonts w:ascii="Calibri" w:hAnsi="Calibri" w:cs="Calibri"/>
          <w:b/>
          <w:bCs/>
          <w:color w:val="000000" w:themeColor="text1"/>
          <w:lang w:val="es-ES"/>
        </w:rPr>
      </w:pPr>
    </w:p>
    <w:p w14:paraId="485EF146" w14:textId="61DFDA3E" w:rsidR="00456ED5" w:rsidRPr="000D34BE" w:rsidRDefault="0032795C" w:rsidP="000D34BE">
      <w:pPr>
        <w:pStyle w:val="NormalWeb"/>
        <w:numPr>
          <w:ilvl w:val="0"/>
          <w:numId w:val="31"/>
        </w:numPr>
        <w:spacing w:before="0" w:beforeAutospacing="0" w:after="0" w:afterAutospacing="0"/>
        <w:ind w:left="810"/>
        <w:rPr>
          <w:rFonts w:ascii="Calibri" w:hAnsi="Calibri" w:cs="Calibri"/>
          <w:color w:val="000000" w:themeColor="text1"/>
          <w:lang w:val="es-ES"/>
        </w:rPr>
      </w:pPr>
      <w:r w:rsidRPr="000D34BE">
        <w:rPr>
          <w:rFonts w:ascii="Calibri" w:hAnsi="Calibri" w:cs="Calibri"/>
          <w:b/>
          <w:bCs/>
          <w:color w:val="000000" w:themeColor="text1"/>
          <w:lang w:val="es-ES"/>
        </w:rPr>
        <w:t xml:space="preserve">EL INCUMPLIMIENTO DE GUATEMALA DE GARANTIZAR A LOS PUEBLOS INDÍGENAS EL DERECHO A LA LIBERTAD DE EXPRESIÓN Y CULTURA </w:t>
      </w:r>
    </w:p>
    <w:p w14:paraId="39C34FEC" w14:textId="77777777" w:rsidR="00D52F4F" w:rsidRPr="00610460" w:rsidRDefault="00D52F4F" w:rsidP="008E73FF">
      <w:pPr>
        <w:pStyle w:val="ListParagraph"/>
        <w:ind w:left="0"/>
        <w:rPr>
          <w:rFonts w:ascii="Calibri" w:hAnsi="Calibri" w:cs="Calibri"/>
          <w:b/>
          <w:color w:val="000000" w:themeColor="text1"/>
          <w:sz w:val="24"/>
          <w:lang w:val="es-ES"/>
        </w:rPr>
      </w:pPr>
    </w:p>
    <w:p w14:paraId="747B17F9" w14:textId="658AB70B" w:rsidR="000D34BE" w:rsidRDefault="00EB748D" w:rsidP="000D34BE">
      <w:pPr>
        <w:pStyle w:val="ListParagraph"/>
        <w:numPr>
          <w:ilvl w:val="0"/>
          <w:numId w:val="10"/>
        </w:numPr>
        <w:rPr>
          <w:rFonts w:ascii="Calibri" w:hAnsi="Calibri" w:cs="Calibri"/>
          <w:b/>
          <w:color w:val="000000" w:themeColor="text1"/>
          <w:sz w:val="24"/>
          <w:lang w:val="es-ES"/>
        </w:rPr>
      </w:pPr>
      <w:r w:rsidRPr="00610460">
        <w:rPr>
          <w:rFonts w:ascii="Calibri" w:hAnsi="Calibri" w:cs="Calibri"/>
          <w:b/>
          <w:color w:val="000000" w:themeColor="text1"/>
          <w:sz w:val="24"/>
          <w:lang w:val="es-ES"/>
        </w:rPr>
        <w:t xml:space="preserve"> Guatemala no ha adoptado las medidas necesarias para permitir que las comunidades víctimas operen libremente sus radios comunitarias </w:t>
      </w:r>
    </w:p>
    <w:p w14:paraId="159D0E8B" w14:textId="77777777" w:rsidR="000D34BE" w:rsidRDefault="000D34BE" w:rsidP="000D34BE">
      <w:pPr>
        <w:pStyle w:val="ListParagraph"/>
        <w:ind w:left="1080"/>
        <w:rPr>
          <w:rFonts w:ascii="Calibri" w:hAnsi="Calibri" w:cs="Calibri"/>
          <w:b/>
          <w:color w:val="000000" w:themeColor="text1"/>
          <w:sz w:val="24"/>
          <w:lang w:val="es-ES"/>
        </w:rPr>
      </w:pPr>
    </w:p>
    <w:p w14:paraId="066F4A95" w14:textId="77777777" w:rsidR="000D34BE" w:rsidRPr="000D34BE" w:rsidRDefault="00EE5337" w:rsidP="000D34BE">
      <w:pPr>
        <w:pStyle w:val="ListParagraph"/>
        <w:numPr>
          <w:ilvl w:val="0"/>
          <w:numId w:val="27"/>
        </w:numPr>
        <w:rPr>
          <w:rFonts w:ascii="Calibri" w:hAnsi="Calibri" w:cs="Calibri"/>
          <w:b/>
          <w:color w:val="000000" w:themeColor="text1"/>
          <w:sz w:val="24"/>
          <w:lang w:val="es-ES"/>
        </w:rPr>
      </w:pPr>
      <w:r w:rsidRPr="000D34BE">
        <w:rPr>
          <w:rFonts w:ascii="Calibri" w:hAnsi="Calibri" w:cs="Calibri"/>
          <w:color w:val="000000" w:themeColor="text1"/>
          <w:sz w:val="24"/>
          <w:lang w:val="es-ES"/>
        </w:rPr>
        <w:t>La Corte Interamericana ordenó al Estado adoptar las medidas necesarias para permitir que las cuatro comunidades indígenas víctimas operen sus radios comunitarias libremente, sin injerencias ni enjuiciamientos penales.</w:t>
      </w:r>
      <w:r w:rsidRPr="00C6051E">
        <w:rPr>
          <w:rStyle w:val="FootnoteReference"/>
          <w:rFonts w:ascii="Calibri" w:hAnsi="Calibri" w:cs="Calibri"/>
          <w:color w:val="000000" w:themeColor="text1"/>
          <w:sz w:val="24"/>
        </w:rPr>
        <w:footnoteReference w:id="43"/>
      </w:r>
      <w:r w:rsidRPr="000D34BE">
        <w:rPr>
          <w:rFonts w:ascii="Calibri" w:hAnsi="Calibri" w:cs="Calibri"/>
          <w:color w:val="000000" w:themeColor="text1"/>
          <w:sz w:val="24"/>
          <w:lang w:val="es-ES"/>
        </w:rPr>
        <w:t xml:space="preserve"> La Corte ordenó esta medida como un primer paso para garantizar que las comunidades víctimas cuenten con protección legal mientras se emprende una reforma de la legislación estatal para garantizar que las comunidades indígenas de Guatemala accedan al espectro radioeléctrico.</w:t>
      </w:r>
      <w:r w:rsidRPr="00C6051E">
        <w:rPr>
          <w:rStyle w:val="FootnoteReference"/>
          <w:rFonts w:ascii="Calibri" w:hAnsi="Calibri" w:cs="Calibri"/>
          <w:color w:val="000000" w:themeColor="text1"/>
          <w:sz w:val="24"/>
        </w:rPr>
        <w:footnoteReference w:id="44"/>
      </w:r>
      <w:r w:rsidRPr="000D34BE">
        <w:rPr>
          <w:rFonts w:ascii="Calibri" w:hAnsi="Calibri" w:cs="Calibri"/>
          <w:color w:val="000000" w:themeColor="text1"/>
          <w:sz w:val="24"/>
          <w:lang w:val="es-ES"/>
        </w:rPr>
        <w:t xml:space="preserve"> A día de hoy, esta reparación sigue sin cumplirse. </w:t>
      </w:r>
    </w:p>
    <w:p w14:paraId="19CA8FE0" w14:textId="77777777" w:rsidR="000D34BE" w:rsidRPr="000D34BE" w:rsidRDefault="000D34BE" w:rsidP="000D34BE">
      <w:pPr>
        <w:pStyle w:val="ListParagraph"/>
        <w:ind w:left="420"/>
        <w:rPr>
          <w:rFonts w:ascii="Calibri" w:hAnsi="Calibri" w:cs="Calibri"/>
          <w:b/>
          <w:color w:val="000000" w:themeColor="text1"/>
          <w:sz w:val="24"/>
          <w:lang w:val="es-ES"/>
        </w:rPr>
      </w:pPr>
    </w:p>
    <w:p w14:paraId="1B73613B" w14:textId="77777777" w:rsidR="000D34BE" w:rsidRPr="000D34BE" w:rsidRDefault="0062051C" w:rsidP="000D34BE">
      <w:pPr>
        <w:pStyle w:val="ListParagraph"/>
        <w:numPr>
          <w:ilvl w:val="0"/>
          <w:numId w:val="27"/>
        </w:numPr>
        <w:rPr>
          <w:rFonts w:ascii="Calibri" w:hAnsi="Calibri" w:cs="Calibri"/>
          <w:b/>
          <w:color w:val="000000" w:themeColor="text1"/>
          <w:sz w:val="24"/>
          <w:lang w:val="es-ES"/>
        </w:rPr>
      </w:pPr>
      <w:r w:rsidRPr="000D34BE">
        <w:rPr>
          <w:rFonts w:ascii="Calibri" w:hAnsi="Calibri" w:cs="Calibri"/>
          <w:sz w:val="24"/>
          <w:lang w:val="es-ES"/>
        </w:rPr>
        <w:t>En octubre de 2024, tres años después de la sentencia, el Estado presentó su primera propuesta para abordar esta reparación, ofreciendo a las comunidades víctimas un "derecho de uso" limitado de dos frecuencias FM gubernamentales. Sin embargo, los términos eran muy restrictivos: limitaban el uso a un año, permitían la cancelación unilateral por parte del Estado e imponían controles de contenido. Las comunidades indígenas víctimas plantearon estas preocupaciones por escrito y entablaron negociaciones durante unos seis meses. A pesar de los esfuerzos de buena fe de las comunidades víctimas, el Estado se negó a extender el período de uso más allá de la licencia temporal de dos años o a resolver la interferencia ilegal que afectaba a una de las frecuencias, y en su lugar ordenó a las comunidades que resolvieran el problema por sí mismas. Las conversaciones finalmente se rompieron en abril de 2025, cuando el Estado desestimó las preocupaciones restantes y sugirió que las comunidades eran desagradecidas. El acuerdo propuesto no se firmó y, hasta la fecha, el Estado no ha hecho ningún esfuerzo adicional para permitir que las comunidades operen sus estaciones libremente y sin interferencias.</w:t>
      </w:r>
    </w:p>
    <w:p w14:paraId="3FD585C4" w14:textId="77777777" w:rsidR="000D34BE" w:rsidRPr="000D34BE" w:rsidRDefault="000D34BE" w:rsidP="000D34BE">
      <w:pPr>
        <w:pStyle w:val="ListParagraph"/>
        <w:ind w:left="420"/>
        <w:rPr>
          <w:rFonts w:ascii="Calibri" w:hAnsi="Calibri" w:cs="Calibri"/>
          <w:b/>
          <w:color w:val="000000" w:themeColor="text1"/>
          <w:sz w:val="24"/>
          <w:lang w:val="es-ES"/>
        </w:rPr>
      </w:pPr>
    </w:p>
    <w:p w14:paraId="6E297E57" w14:textId="5C4FAF19" w:rsidR="000D34BE" w:rsidRPr="000D34BE" w:rsidRDefault="001375AA" w:rsidP="000D34BE">
      <w:pPr>
        <w:pStyle w:val="ListParagraph"/>
        <w:numPr>
          <w:ilvl w:val="0"/>
          <w:numId w:val="27"/>
        </w:numPr>
        <w:rPr>
          <w:rFonts w:ascii="Calibri" w:hAnsi="Calibri" w:cs="Calibri"/>
          <w:b/>
          <w:color w:val="000000" w:themeColor="text1"/>
          <w:sz w:val="24"/>
          <w:lang w:val="es-ES"/>
        </w:rPr>
      </w:pPr>
      <w:r w:rsidRPr="000D34BE">
        <w:rPr>
          <w:rFonts w:ascii="Calibri" w:hAnsi="Calibri" w:cs="Calibri"/>
          <w:color w:val="000000" w:themeColor="text1"/>
          <w:sz w:val="24"/>
          <w:lang w:val="es-ES"/>
        </w:rPr>
        <w:t>Al no implementar esta reparación ordenada por la Corte Interamericana, el Estado también continúa violando sus obligaciones internacionales en virtud de la Convención Internacional sobre la Eliminación de todas las Formas de Discriminación Racial y la DNUDPI. Este incumplimiento entra en conflicto con el artículo 5 (d) (</w:t>
      </w:r>
      <w:proofErr w:type="spellStart"/>
      <w:r w:rsidRPr="000D34BE">
        <w:rPr>
          <w:rFonts w:ascii="Calibri" w:hAnsi="Calibri" w:cs="Calibri"/>
          <w:color w:val="000000" w:themeColor="text1"/>
          <w:sz w:val="24"/>
          <w:lang w:val="es-ES"/>
        </w:rPr>
        <w:t>vii</w:t>
      </w:r>
      <w:proofErr w:type="spellEnd"/>
      <w:r w:rsidRPr="000D34BE">
        <w:rPr>
          <w:rFonts w:ascii="Calibri" w:hAnsi="Calibri" w:cs="Calibri"/>
          <w:color w:val="000000" w:themeColor="text1"/>
          <w:sz w:val="24"/>
          <w:lang w:val="es-ES"/>
        </w:rPr>
        <w:t>) y 5 (d) (</w:t>
      </w:r>
      <w:proofErr w:type="spellStart"/>
      <w:r w:rsidRPr="000D34BE">
        <w:rPr>
          <w:rFonts w:ascii="Calibri" w:hAnsi="Calibri" w:cs="Calibri"/>
          <w:color w:val="000000" w:themeColor="text1"/>
          <w:sz w:val="24"/>
          <w:lang w:val="es-ES"/>
        </w:rPr>
        <w:t>viii</w:t>
      </w:r>
      <w:proofErr w:type="spellEnd"/>
      <w:r w:rsidRPr="000D34BE">
        <w:rPr>
          <w:rFonts w:ascii="Calibri" w:hAnsi="Calibri" w:cs="Calibri"/>
          <w:color w:val="000000" w:themeColor="text1"/>
          <w:sz w:val="24"/>
          <w:lang w:val="es-ES"/>
        </w:rPr>
        <w:t xml:space="preserve">) de la ICERD, que garantiza a los pueblos indígenas el derecho a la libertad de expresión y participación cultural. Además, la inacción de Guatemala en esta reforma de la ley y reparación entra en conflicto con el artículo 2(1)(c) y 2(1)(d) de la Convención Internacional sobre la Eliminación de todas las Formas de Discriminación Racial, que requieren que los Estados modifiquen las leyes que perpetúan la discriminación racial. La incapacidad del </w:t>
      </w:r>
      <w:r w:rsidRPr="000D34BE">
        <w:rPr>
          <w:rFonts w:ascii="Calibri" w:hAnsi="Calibri" w:cs="Calibri"/>
          <w:color w:val="000000" w:themeColor="text1"/>
          <w:sz w:val="24"/>
          <w:lang w:val="es-ES"/>
        </w:rPr>
        <w:lastRenderedPageBreak/>
        <w:t xml:space="preserve">Estado para cumplir con sus obligaciones demuestra la continuación de la discriminación racial contra los pueblos indígenas en los medios de comunicación, especialmente dada la importancia de la radio comunitaria como recurso para que las comunidades indígenas ejerzan su derecho a la cultura y la libertad de expresión. A pesar de la importancia de la radio comunitaria en la preservación de la cultura de los pueblos indígenas, el Estado sigue sin adoptar ninguna solución factible que permita a las comunidades víctimas operar libremente sus radios comunitarias.    </w:t>
      </w:r>
    </w:p>
    <w:p w14:paraId="77FD4924" w14:textId="77777777" w:rsidR="000D34BE" w:rsidRPr="000D34BE" w:rsidRDefault="000D34BE" w:rsidP="000D34BE">
      <w:pPr>
        <w:pStyle w:val="ListParagraph"/>
        <w:ind w:left="420"/>
        <w:rPr>
          <w:rFonts w:ascii="Calibri" w:hAnsi="Calibri" w:cs="Calibri"/>
          <w:b/>
          <w:color w:val="000000" w:themeColor="text1"/>
          <w:sz w:val="24"/>
          <w:lang w:val="es-ES"/>
        </w:rPr>
      </w:pPr>
    </w:p>
    <w:p w14:paraId="3888984A" w14:textId="685E882E" w:rsidR="000D34BE" w:rsidRDefault="00A315DF" w:rsidP="000D34BE">
      <w:pPr>
        <w:pStyle w:val="ListParagraph"/>
        <w:numPr>
          <w:ilvl w:val="0"/>
          <w:numId w:val="10"/>
        </w:numPr>
        <w:rPr>
          <w:rFonts w:ascii="Calibri" w:hAnsi="Calibri" w:cs="Calibri"/>
          <w:b/>
          <w:color w:val="000000" w:themeColor="text1"/>
          <w:sz w:val="24"/>
          <w:lang w:val="es-ES"/>
        </w:rPr>
      </w:pPr>
      <w:r w:rsidRPr="000D34BE">
        <w:rPr>
          <w:rFonts w:ascii="Calibri" w:hAnsi="Calibri" w:cs="Calibri"/>
          <w:b/>
          <w:color w:val="000000" w:themeColor="text1"/>
          <w:sz w:val="24"/>
          <w:lang w:val="es-ES"/>
        </w:rPr>
        <w:t xml:space="preserve">La falta de adopción por parte del Estado de un marco legal para reconocer y regular los medios comunitarios  </w:t>
      </w:r>
    </w:p>
    <w:p w14:paraId="0D9B298D" w14:textId="77777777" w:rsidR="000D34BE" w:rsidRPr="000D34BE" w:rsidRDefault="000D34BE" w:rsidP="000D34BE">
      <w:pPr>
        <w:pStyle w:val="ListParagraph"/>
        <w:ind w:left="1080"/>
        <w:rPr>
          <w:rFonts w:ascii="Calibri" w:hAnsi="Calibri" w:cs="Calibri"/>
          <w:b/>
          <w:color w:val="000000" w:themeColor="text1"/>
          <w:sz w:val="24"/>
          <w:lang w:val="es-ES"/>
        </w:rPr>
      </w:pPr>
    </w:p>
    <w:p w14:paraId="7FCD5F25" w14:textId="77777777" w:rsidR="000D34BE" w:rsidRPr="000D34BE" w:rsidRDefault="00275A52" w:rsidP="000D34BE">
      <w:pPr>
        <w:pStyle w:val="ListParagraph"/>
        <w:numPr>
          <w:ilvl w:val="0"/>
          <w:numId w:val="27"/>
        </w:numPr>
        <w:rPr>
          <w:rFonts w:ascii="Calibri" w:hAnsi="Calibri" w:cs="Calibri"/>
          <w:b/>
          <w:color w:val="000000" w:themeColor="text1"/>
          <w:sz w:val="24"/>
          <w:lang w:val="es-ES"/>
        </w:rPr>
      </w:pPr>
      <w:r w:rsidRPr="000D34BE">
        <w:rPr>
          <w:rFonts w:ascii="Calibri" w:hAnsi="Calibri" w:cs="Calibri"/>
          <w:color w:val="000000" w:themeColor="text1"/>
          <w:sz w:val="24"/>
          <w:lang w:val="es-ES"/>
        </w:rPr>
        <w:t>En su sentencia, la Corte Interamericana también ordenó al Estado adecuar su normativa interna para reconocer y regular las radios comunitarias indígenas y reservar una parte del espectro radioeléctrico para las radios comunitarias indígenas.</w:t>
      </w:r>
      <w:r w:rsidR="009C2824" w:rsidRPr="00C6051E">
        <w:rPr>
          <w:rStyle w:val="FootnoteReference"/>
          <w:rFonts w:ascii="Calibri" w:hAnsi="Calibri" w:cs="Calibri"/>
          <w:color w:val="000000" w:themeColor="text1"/>
          <w:sz w:val="24"/>
        </w:rPr>
        <w:footnoteReference w:id="45"/>
      </w:r>
      <w:r w:rsidR="00DD38AD" w:rsidRPr="000D34BE">
        <w:rPr>
          <w:rFonts w:ascii="Calibri" w:hAnsi="Calibri" w:cs="Calibri"/>
          <w:color w:val="000000" w:themeColor="text1"/>
          <w:sz w:val="24"/>
          <w:lang w:val="es-ES"/>
        </w:rPr>
        <w:t xml:space="preserve"> Esta garantía de no repetición es una obligación permanente y requiere que el Estado consulte con los pueblos indígenas. La falta de un marco legal de este tipo no es una preocupación nueva. El CERD ya revisó este tema con Guatemala en 2019, señalando que seguía "preocupado por la falta de progreso hacia la adopción de un marco legal sobre los medios comunitarios indígenas".</w:t>
      </w:r>
      <w:r w:rsidR="00D64E88" w:rsidRPr="00C6051E">
        <w:rPr>
          <w:rStyle w:val="FootnoteReference"/>
          <w:rFonts w:ascii="Calibri" w:hAnsi="Calibri" w:cs="Calibri"/>
          <w:color w:val="000000" w:themeColor="text1"/>
          <w:sz w:val="24"/>
        </w:rPr>
        <w:footnoteReference w:id="46"/>
      </w:r>
      <w:r w:rsidR="00141B9C" w:rsidRPr="000D34BE">
        <w:rPr>
          <w:rFonts w:ascii="Calibri" w:hAnsi="Calibri" w:cs="Calibri"/>
          <w:color w:val="000000" w:themeColor="text1"/>
          <w:sz w:val="24"/>
          <w:lang w:val="es-ES"/>
        </w:rPr>
        <w:t xml:space="preserve"> El Comité también instó a Guatemala a "tomar las medidas necesarias para evitar el uso arbitrario de las disposiciones del Código Penal para enjuiciar a los operadores de radios comunitarias indígenas".</w:t>
      </w:r>
      <w:r w:rsidR="005D7667" w:rsidRPr="00C6051E">
        <w:rPr>
          <w:rStyle w:val="FootnoteReference"/>
          <w:rFonts w:ascii="Calibri" w:hAnsi="Calibri" w:cs="Calibri"/>
          <w:color w:val="000000" w:themeColor="text1"/>
          <w:sz w:val="24"/>
        </w:rPr>
        <w:footnoteReference w:id="47"/>
      </w:r>
    </w:p>
    <w:p w14:paraId="07C75A36" w14:textId="77777777" w:rsidR="000D34BE" w:rsidRPr="000D34BE" w:rsidRDefault="000D34BE" w:rsidP="000D34BE">
      <w:pPr>
        <w:pStyle w:val="ListParagraph"/>
        <w:ind w:left="420"/>
        <w:rPr>
          <w:rFonts w:ascii="Calibri" w:hAnsi="Calibri" w:cs="Calibri"/>
          <w:b/>
          <w:color w:val="000000" w:themeColor="text1"/>
          <w:sz w:val="24"/>
          <w:lang w:val="es-ES"/>
        </w:rPr>
      </w:pPr>
    </w:p>
    <w:p w14:paraId="6C4AB419" w14:textId="1495BBB9" w:rsidR="000D34BE" w:rsidRPr="000D34BE" w:rsidRDefault="00F70A8F" w:rsidP="000D34BE">
      <w:pPr>
        <w:pStyle w:val="ListParagraph"/>
        <w:numPr>
          <w:ilvl w:val="0"/>
          <w:numId w:val="27"/>
        </w:numPr>
        <w:rPr>
          <w:rFonts w:ascii="Calibri" w:hAnsi="Calibri" w:cs="Calibri"/>
          <w:b/>
          <w:color w:val="000000" w:themeColor="text1"/>
          <w:sz w:val="24"/>
          <w:lang w:val="es-ES"/>
        </w:rPr>
      </w:pPr>
      <w:r w:rsidRPr="000D34BE">
        <w:rPr>
          <w:rFonts w:ascii="Calibri" w:hAnsi="Calibri" w:cs="Calibri"/>
          <w:color w:val="000000" w:themeColor="text1"/>
          <w:sz w:val="24"/>
          <w:lang w:val="es-ES"/>
        </w:rPr>
        <w:t>Aunque la Corte Interamericana otorgó al Estado un "plazo razonable" para enmendar sus leyes internas, no se han dado pasos sustantivos en los últimos cuatro años. En enero de 2022, poco después de la sentencia, el Congreso guatemalteco presentó una propuesta legislativa, el Proyecto de Ley No. 5965, para enmendar la LGT como una forma de regular los medios comunitarios.</w:t>
      </w:r>
      <w:r w:rsidR="004213D6" w:rsidRPr="00C6051E">
        <w:rPr>
          <w:rStyle w:val="FootnoteReference"/>
          <w:rFonts w:ascii="Calibri" w:hAnsi="Calibri" w:cs="Calibri"/>
          <w:color w:val="000000" w:themeColor="text1"/>
          <w:sz w:val="24"/>
        </w:rPr>
        <w:footnoteReference w:id="48"/>
      </w:r>
      <w:r w:rsidR="006678D8" w:rsidRPr="000D34BE">
        <w:rPr>
          <w:rFonts w:ascii="Calibri" w:hAnsi="Calibri" w:cs="Calibri"/>
          <w:color w:val="000000" w:themeColor="text1"/>
          <w:sz w:val="24"/>
          <w:lang w:val="es-ES"/>
        </w:rPr>
        <w:t xml:space="preserve"> Las comunidades informantes solo se enteraron de esta iniciativa más tarde e inmediatamente expresaron sus objeciones a la misma. No solo no hubo consulta con las comunidades indígenas, sino que la legislación propuesta no definió claramente la radio comunitaria indígena, tenía procedimientos ambiguos para obtener licencias de radio y no puso a disposición espacio del espectro radioeléctrico para la radio comunitaria indígena, todo lo cual fue requerido por la Corte Interamericana. </w:t>
      </w:r>
      <w:r w:rsidR="00CA7373" w:rsidRPr="000D34BE">
        <w:rPr>
          <w:rFonts w:ascii="Calibri" w:eastAsia="Times New Roman" w:hAnsi="Calibri" w:cs="Calibri"/>
          <w:sz w:val="24"/>
          <w:lang w:val="es-ES"/>
        </w:rPr>
        <w:t xml:space="preserve">Un ejemplo aún más reciente del enfoque lento del Estado hacia la reforma de la ley ocurrió durante una reunión a fines de 2024 cuando un representante del Estado compartió que podría presentar una nueva legislación para abordar este aspecto de la sentencia. Esto fue </w:t>
      </w:r>
      <w:r w:rsidR="00CA7373" w:rsidRPr="000D34BE">
        <w:rPr>
          <w:rFonts w:ascii="Calibri" w:eastAsia="Times New Roman" w:hAnsi="Calibri" w:cs="Calibri"/>
          <w:sz w:val="24"/>
          <w:lang w:val="es-ES"/>
        </w:rPr>
        <w:lastRenderedPageBreak/>
        <w:t>primero que las víctimas se enteraron de esto y no se dieron otros detalles, ni se mencionó un proceso de consulta.</w:t>
      </w:r>
    </w:p>
    <w:p w14:paraId="4F4F7635" w14:textId="77777777" w:rsidR="000D34BE" w:rsidRPr="000D34BE" w:rsidRDefault="000D34BE" w:rsidP="000D34BE">
      <w:pPr>
        <w:pStyle w:val="ListParagraph"/>
        <w:ind w:left="420"/>
        <w:rPr>
          <w:rFonts w:ascii="Calibri" w:hAnsi="Calibri" w:cs="Calibri"/>
          <w:b/>
          <w:color w:val="000000" w:themeColor="text1"/>
          <w:sz w:val="24"/>
          <w:lang w:val="es-ES"/>
        </w:rPr>
      </w:pPr>
    </w:p>
    <w:p w14:paraId="6540A188" w14:textId="77777777" w:rsidR="000D34BE" w:rsidRPr="000D34BE" w:rsidRDefault="004F3882" w:rsidP="000D34BE">
      <w:pPr>
        <w:pStyle w:val="ListParagraph"/>
        <w:numPr>
          <w:ilvl w:val="0"/>
          <w:numId w:val="27"/>
        </w:numPr>
        <w:rPr>
          <w:rFonts w:ascii="Calibri" w:hAnsi="Calibri" w:cs="Calibri"/>
          <w:b/>
          <w:color w:val="000000" w:themeColor="text1"/>
          <w:sz w:val="24"/>
          <w:lang w:val="es-ES"/>
        </w:rPr>
      </w:pPr>
      <w:r w:rsidRPr="000D34BE">
        <w:rPr>
          <w:rFonts w:ascii="Calibri" w:hAnsi="Calibri" w:cs="Calibri"/>
          <w:color w:val="000000" w:themeColor="text1"/>
          <w:sz w:val="24"/>
          <w:lang w:val="es-ES"/>
        </w:rPr>
        <w:t>El único esfuerzo legislativo significativo para enmendar la ley de telecomunicaciones de Guatemala para incluir la radio comunitaria ocurrió antes del caso. Presentada en 2009, la Iniciativa 4087 pretendía lograr el reconocimiento legal de las radios comunitarias y fue apoyada por las comunidades indígenas.</w:t>
      </w:r>
      <w:r w:rsidR="00C76B0E" w:rsidRPr="00C6051E">
        <w:rPr>
          <w:rStyle w:val="FootnoteReference"/>
          <w:rFonts w:ascii="Calibri" w:hAnsi="Calibri" w:cs="Calibri"/>
          <w:color w:val="000000" w:themeColor="text1"/>
          <w:sz w:val="24"/>
        </w:rPr>
        <w:footnoteReference w:id="49"/>
      </w:r>
      <w:r w:rsidRPr="000D34BE">
        <w:rPr>
          <w:rFonts w:ascii="Calibri" w:hAnsi="Calibri" w:cs="Calibri"/>
          <w:color w:val="000000" w:themeColor="text1"/>
          <w:sz w:val="24"/>
          <w:lang w:val="es-ES"/>
        </w:rPr>
        <w:t xml:space="preserve"> Sin embargo, la iniciativa se estancó en el Congreso guatemalteco y no se ha producido ninguna acción adicional desde principios de 2016.</w:t>
      </w:r>
      <w:r w:rsidRPr="00C6051E">
        <w:rPr>
          <w:rStyle w:val="FootnoteReference"/>
          <w:rFonts w:ascii="Calibri" w:hAnsi="Calibri" w:cs="Calibri"/>
          <w:color w:val="000000" w:themeColor="text1"/>
          <w:sz w:val="24"/>
        </w:rPr>
        <w:footnoteReference w:id="50"/>
      </w:r>
      <w:r w:rsidRPr="000D34BE">
        <w:rPr>
          <w:rFonts w:ascii="Calibri" w:hAnsi="Calibri" w:cs="Calibri"/>
          <w:color w:val="000000" w:themeColor="text1"/>
          <w:sz w:val="24"/>
          <w:lang w:val="es-ES"/>
        </w:rPr>
        <w:t xml:space="preserve"> Desde 2023, las comunidades indígenas víctimas, sus representantes y las ONG socias han participado en un proceso de examen y discusión de la viabilidad de las opciones disponibles con respecto a la reforma de la ley y la Iniciativa 4087. Estas discusiones han incluido la revisión de qué enmiendas se necesitan para que la Iniciativa 4087 sea una opción viable y </w:t>
      </w:r>
      <w:r w:rsidR="00B16FB7" w:rsidRPr="000D34BE">
        <w:rPr>
          <w:rFonts w:ascii="Calibri" w:hAnsi="Calibri" w:cs="Calibri"/>
          <w:color w:val="000000" w:themeColor="text1"/>
          <w:sz w:val="24"/>
          <w:lang w:val="es-ES"/>
        </w:rPr>
        <w:t>evaluar</w:t>
      </w:r>
      <w:r w:rsidRPr="000D34BE">
        <w:rPr>
          <w:rFonts w:ascii="Calibri" w:hAnsi="Calibri" w:cs="Calibri"/>
          <w:color w:val="000000" w:themeColor="text1"/>
          <w:sz w:val="24"/>
          <w:lang w:val="es-ES"/>
        </w:rPr>
        <w:t xml:space="preserve"> si el Estado y las comunidades indígenas pueden aceptar. A pesar del esfuerzo activo de las comunidades víctimas para examinar la viabilidad de la Iniciativa 4087, el Estado ha omitido repetidamente consulta</w:t>
      </w:r>
      <w:r w:rsidR="00B16FB7" w:rsidRPr="000D34BE">
        <w:rPr>
          <w:rFonts w:ascii="Calibri" w:hAnsi="Calibri" w:cs="Calibri"/>
          <w:color w:val="000000" w:themeColor="text1"/>
          <w:sz w:val="24"/>
          <w:lang w:val="es-ES"/>
        </w:rPr>
        <w:t>r a</w:t>
      </w:r>
      <w:r w:rsidRPr="000D34BE">
        <w:rPr>
          <w:rFonts w:ascii="Calibri" w:hAnsi="Calibri" w:cs="Calibri"/>
          <w:color w:val="000000" w:themeColor="text1"/>
          <w:sz w:val="24"/>
          <w:lang w:val="es-ES"/>
        </w:rPr>
        <w:t xml:space="preserve"> las comunidades indígenas sobre la reforma de sus leyes internas.</w:t>
      </w:r>
    </w:p>
    <w:p w14:paraId="3E2C5087" w14:textId="77777777" w:rsidR="000D34BE" w:rsidRPr="000D34BE" w:rsidRDefault="000D34BE" w:rsidP="000D34BE">
      <w:pPr>
        <w:pStyle w:val="ListParagraph"/>
        <w:ind w:left="420"/>
        <w:rPr>
          <w:rFonts w:ascii="Calibri" w:hAnsi="Calibri" w:cs="Calibri"/>
          <w:b/>
          <w:color w:val="000000" w:themeColor="text1"/>
          <w:sz w:val="24"/>
          <w:lang w:val="es-ES"/>
        </w:rPr>
      </w:pPr>
    </w:p>
    <w:p w14:paraId="21FCDE67" w14:textId="77777777" w:rsidR="000D34BE" w:rsidRPr="000D34BE" w:rsidRDefault="004F3882" w:rsidP="000D34BE">
      <w:pPr>
        <w:pStyle w:val="ListParagraph"/>
        <w:numPr>
          <w:ilvl w:val="0"/>
          <w:numId w:val="27"/>
        </w:numPr>
        <w:rPr>
          <w:rFonts w:ascii="Calibri" w:hAnsi="Calibri" w:cs="Calibri"/>
          <w:b/>
          <w:color w:val="000000" w:themeColor="text1"/>
          <w:sz w:val="24"/>
          <w:lang w:val="es-ES"/>
        </w:rPr>
      </w:pPr>
      <w:r w:rsidRPr="000D34BE">
        <w:rPr>
          <w:rFonts w:ascii="Calibri" w:hAnsi="Calibri" w:cs="Calibri"/>
          <w:color w:val="000000" w:themeColor="text1"/>
          <w:sz w:val="24"/>
          <w:lang w:val="es-ES"/>
        </w:rPr>
        <w:t>En consecuencia, las comunidades indígenas continúan siendo excluidas de su acceso a la libertad de expresión, medios de comunicación y cultura, en violación de la CERD, los tratados de derechos humanos y la sentencia de la Corte Interamericana. Como se señaló anteriormente, las prácticas de telecomunicaciones de Guatemala violan los artículos 2(1)(c), 2(1)(d) y 5(d)(</w:t>
      </w:r>
      <w:proofErr w:type="spellStart"/>
      <w:r w:rsidRPr="000D34BE">
        <w:rPr>
          <w:rFonts w:ascii="Calibri" w:hAnsi="Calibri" w:cs="Calibri"/>
          <w:color w:val="000000" w:themeColor="text1"/>
          <w:sz w:val="24"/>
          <w:lang w:val="es-ES"/>
        </w:rPr>
        <w:t>viii</w:t>
      </w:r>
      <w:proofErr w:type="spellEnd"/>
      <w:r w:rsidRPr="000D34BE">
        <w:rPr>
          <w:rFonts w:ascii="Calibri" w:hAnsi="Calibri" w:cs="Calibri"/>
          <w:color w:val="000000" w:themeColor="text1"/>
          <w:sz w:val="24"/>
          <w:lang w:val="es-ES"/>
        </w:rPr>
        <w:t xml:space="preserve">) de la Convención Internacional sobre la Eliminación de todas las Formas de Discriminación Racial, que protegen individualmente el derecho de los pueblos indígenas a participar en la cultura y el derecho a la libertad de expresión sin discriminación. </w:t>
      </w:r>
    </w:p>
    <w:p w14:paraId="7CECE1EB" w14:textId="77777777" w:rsidR="000D34BE" w:rsidRPr="000D34BE" w:rsidRDefault="000D34BE" w:rsidP="000D34BE">
      <w:pPr>
        <w:pStyle w:val="ListParagraph"/>
        <w:rPr>
          <w:rFonts w:ascii="Calibri" w:hAnsi="Calibri" w:cs="Calibri"/>
          <w:color w:val="000000" w:themeColor="text1"/>
          <w:sz w:val="24"/>
          <w:lang w:val="es-ES"/>
        </w:rPr>
      </w:pPr>
    </w:p>
    <w:p w14:paraId="18165A4C" w14:textId="77777777" w:rsidR="000D34BE" w:rsidRPr="000D34BE" w:rsidRDefault="00564C0C" w:rsidP="000D34BE">
      <w:pPr>
        <w:pStyle w:val="ListParagraph"/>
        <w:numPr>
          <w:ilvl w:val="0"/>
          <w:numId w:val="27"/>
        </w:numPr>
        <w:rPr>
          <w:rFonts w:ascii="Calibri" w:hAnsi="Calibri" w:cs="Calibri"/>
          <w:b/>
          <w:color w:val="000000" w:themeColor="text1"/>
          <w:sz w:val="24"/>
          <w:lang w:val="es-ES"/>
        </w:rPr>
      </w:pPr>
      <w:r w:rsidRPr="000D34BE">
        <w:rPr>
          <w:rFonts w:ascii="Calibri" w:hAnsi="Calibri" w:cs="Calibri"/>
          <w:color w:val="000000" w:themeColor="text1"/>
          <w:sz w:val="24"/>
          <w:lang w:val="es-ES"/>
        </w:rPr>
        <w:t>La radio comunitaria es una parte esencial de la preservación cultural, especialmente en áreas indígenas remotas donde la radio es a veces la única forma de comunicación disponible para las comunidades.  El Estado tiene la obligación legal no solo de abstenerse de leyes y políticas discriminatorias, sino también de garantizar activamente que las comunidades indígenas tengan igualdad de acceso a los medios de comunicación. Al no reformar su actual marco de LGT, el Estado continúa perpetuando la discriminación racial contra los pueblos indígenas al excluir sistemáticamente a las comunidades del acceso a los medios de comunicación. Al no adoptar un marco legal que reconozca y regule las radios comunitarias, el Estado tampoco garantiza el ejercicio del derecho a la libertad de expresión y cultura a los pueblos indígenas.</w:t>
      </w:r>
    </w:p>
    <w:p w14:paraId="2C92D7EC" w14:textId="77777777" w:rsidR="000D34BE" w:rsidRPr="000D34BE" w:rsidRDefault="000D34BE" w:rsidP="000D34BE">
      <w:pPr>
        <w:pStyle w:val="ListParagraph"/>
        <w:rPr>
          <w:rFonts w:ascii="Calibri" w:hAnsi="Calibri" w:cs="Calibri"/>
          <w:b/>
          <w:bCs/>
          <w:color w:val="000000" w:themeColor="text1"/>
          <w:sz w:val="24"/>
          <w:lang w:val="es-ES"/>
        </w:rPr>
      </w:pPr>
    </w:p>
    <w:p w14:paraId="4C0C0333" w14:textId="77777777" w:rsidR="000D34BE" w:rsidRPr="000D34BE" w:rsidRDefault="00C94F47" w:rsidP="000D34BE">
      <w:pPr>
        <w:pStyle w:val="ListParagraph"/>
        <w:numPr>
          <w:ilvl w:val="0"/>
          <w:numId w:val="10"/>
        </w:numPr>
        <w:rPr>
          <w:rFonts w:ascii="Calibri" w:hAnsi="Calibri" w:cs="Calibri"/>
          <w:b/>
          <w:color w:val="000000" w:themeColor="text1"/>
          <w:sz w:val="24"/>
          <w:lang w:val="es-ES"/>
        </w:rPr>
      </w:pPr>
      <w:r w:rsidRPr="000D34BE">
        <w:rPr>
          <w:rFonts w:ascii="Calibri" w:hAnsi="Calibri" w:cs="Calibri"/>
          <w:b/>
          <w:bCs/>
          <w:color w:val="000000" w:themeColor="text1"/>
          <w:sz w:val="24"/>
          <w:lang w:val="es-ES"/>
        </w:rPr>
        <w:t xml:space="preserve">El Estado no ha cumplido adecuadamente con sus obligaciones legales de consultar con las comunidades indígenas </w:t>
      </w:r>
    </w:p>
    <w:p w14:paraId="662FD1B8" w14:textId="2ECE16D0" w:rsidR="000D34BE" w:rsidRPr="000D34BE" w:rsidRDefault="00930B30" w:rsidP="000D34BE">
      <w:pPr>
        <w:pStyle w:val="ListParagraph"/>
        <w:numPr>
          <w:ilvl w:val="0"/>
          <w:numId w:val="27"/>
        </w:numPr>
        <w:rPr>
          <w:rFonts w:ascii="Calibri" w:hAnsi="Calibri" w:cs="Calibri"/>
          <w:b/>
          <w:color w:val="000000" w:themeColor="text1"/>
          <w:sz w:val="24"/>
          <w:lang w:val="es-ES"/>
        </w:rPr>
      </w:pPr>
      <w:r w:rsidRPr="000D34BE">
        <w:rPr>
          <w:rFonts w:ascii="Calibri" w:hAnsi="Calibri" w:cs="Calibri"/>
          <w:color w:val="000000" w:themeColor="text1"/>
          <w:sz w:val="24"/>
          <w:lang w:val="es-ES"/>
        </w:rPr>
        <w:lastRenderedPageBreak/>
        <w:t>Según el derecho internacional de los derechos humanos, Guatemala debe consultar con las comunidades indígenas sobre la reforma de las leyes internas del Estado sobre los asuntos que les afectan, incluso en lo que respecta a las radios comunitarias indígenas. Como se señaló anteriormente, Guatemala aún no ha iniciado ninguna consulta con los pueblos indígenas sobre la reforma de sus leyes. El Estado ha argumentado que no puede iniciar el proceso de consulta porque no existe una ley interna que regule la consulta. Sin embargo, esta posición es incompatible con la jurisprudencia internacional y regional. El Estado no ha propuesto un cronograma, metodología o compromiso para iniciar las consultas según lo ordenado. Esta continua inacción constituye una violación de las obligaciones internacionales del Estado y socava el derecho de los pueblos indígenas a participar en las decisiones que los afectan. También retrasa las reformas legislativas más amplias necesarias para garantizar su libertad de expresión, particularmente en relación con la radiodifusión comunitaria.</w:t>
      </w:r>
    </w:p>
    <w:p w14:paraId="334E02E1" w14:textId="77777777" w:rsidR="000D34BE" w:rsidRPr="000D34BE" w:rsidRDefault="000D34BE" w:rsidP="000D34BE">
      <w:pPr>
        <w:pStyle w:val="ListParagraph"/>
        <w:ind w:left="420"/>
        <w:rPr>
          <w:rFonts w:ascii="Calibri" w:hAnsi="Calibri" w:cs="Calibri"/>
          <w:b/>
          <w:color w:val="000000" w:themeColor="text1"/>
          <w:sz w:val="24"/>
          <w:lang w:val="es-ES"/>
        </w:rPr>
      </w:pPr>
    </w:p>
    <w:p w14:paraId="43220242" w14:textId="7CDBD868" w:rsidR="000D34BE" w:rsidRPr="000D34BE" w:rsidRDefault="00AF2926" w:rsidP="000D34BE">
      <w:pPr>
        <w:pStyle w:val="ListParagraph"/>
        <w:numPr>
          <w:ilvl w:val="0"/>
          <w:numId w:val="10"/>
        </w:numPr>
        <w:rPr>
          <w:rFonts w:ascii="Calibri" w:hAnsi="Calibri" w:cs="Calibri"/>
          <w:b/>
          <w:color w:val="000000" w:themeColor="text1"/>
          <w:sz w:val="24"/>
          <w:lang w:val="es-ES"/>
        </w:rPr>
      </w:pPr>
      <w:r w:rsidRPr="000D34BE">
        <w:rPr>
          <w:rFonts w:ascii="Calibri" w:hAnsi="Calibri" w:cs="Calibri"/>
          <w:b/>
          <w:bCs/>
          <w:color w:val="000000" w:themeColor="text1"/>
          <w:sz w:val="24"/>
          <w:lang w:val="es-ES"/>
        </w:rPr>
        <w:t>El Estado no ha tomado medidas oficiales para prevenir allanamientos y enjuiciamientos penales, y para anular las condenas de los operadores de radios comunitarias indígenas</w:t>
      </w:r>
    </w:p>
    <w:p w14:paraId="190A0033" w14:textId="77777777" w:rsidR="000D34BE" w:rsidRPr="000D34BE" w:rsidRDefault="000D34BE" w:rsidP="000D34BE">
      <w:pPr>
        <w:pStyle w:val="ListParagraph"/>
        <w:ind w:left="1080"/>
        <w:rPr>
          <w:rFonts w:ascii="Calibri" w:hAnsi="Calibri" w:cs="Calibri"/>
          <w:b/>
          <w:color w:val="000000" w:themeColor="text1"/>
          <w:sz w:val="24"/>
          <w:lang w:val="es-ES"/>
        </w:rPr>
      </w:pPr>
    </w:p>
    <w:p w14:paraId="05BEBAA0" w14:textId="77777777" w:rsidR="000D34BE" w:rsidRPr="000D34BE" w:rsidRDefault="007B5C93" w:rsidP="000D34BE">
      <w:pPr>
        <w:pStyle w:val="ListParagraph"/>
        <w:numPr>
          <w:ilvl w:val="0"/>
          <w:numId w:val="27"/>
        </w:numPr>
        <w:rPr>
          <w:rFonts w:ascii="Calibri" w:hAnsi="Calibri" w:cs="Calibri"/>
          <w:b/>
          <w:color w:val="000000" w:themeColor="text1"/>
          <w:sz w:val="24"/>
          <w:lang w:val="es-ES"/>
        </w:rPr>
      </w:pPr>
      <w:r w:rsidRPr="000D34BE">
        <w:rPr>
          <w:rFonts w:ascii="Calibri" w:hAnsi="Calibri" w:cs="Calibri"/>
          <w:color w:val="000000" w:themeColor="text1"/>
          <w:sz w:val="24"/>
          <w:lang w:val="es-ES"/>
        </w:rPr>
        <w:t>La Corte Interamericana ordenó al Estado (1) anular todas las condenas penales contra miembros de la comunidad indígena por operar estaciones de radio sin licencia y (2) abstenerse inmediatamente de procesar la radiodifusión comunitaria indígena.</w:t>
      </w:r>
      <w:r w:rsidR="00476B9F" w:rsidRPr="000D34BE">
        <w:rPr>
          <w:rStyle w:val="FootnoteReference"/>
          <w:rFonts w:ascii="Calibri" w:hAnsi="Calibri" w:cs="Calibri"/>
          <w:color w:val="000000" w:themeColor="text1"/>
          <w:sz w:val="24"/>
        </w:rPr>
        <w:footnoteReference w:id="51"/>
      </w:r>
      <w:r w:rsidR="00476B9F" w:rsidRPr="000D34BE">
        <w:rPr>
          <w:rFonts w:ascii="Calibri" w:hAnsi="Calibri" w:cs="Calibri"/>
          <w:color w:val="000000" w:themeColor="text1"/>
          <w:sz w:val="24"/>
          <w:lang w:val="es-ES"/>
        </w:rPr>
        <w:t xml:space="preserve"> Estas reparaciones se emitieron en respuesta a la criminalización por parte del Estado de la operación de radios comunitarias indígenas, que la Corte consideró discriminatoria tanto en su intención como en sus efectos. </w:t>
      </w:r>
    </w:p>
    <w:p w14:paraId="0195A45B" w14:textId="77777777" w:rsidR="000D34BE" w:rsidRPr="000D34BE" w:rsidRDefault="000D34BE" w:rsidP="000D34BE">
      <w:pPr>
        <w:pStyle w:val="ListParagraph"/>
        <w:ind w:left="420"/>
        <w:rPr>
          <w:rFonts w:ascii="Calibri" w:hAnsi="Calibri" w:cs="Calibri"/>
          <w:b/>
          <w:color w:val="000000" w:themeColor="text1"/>
          <w:sz w:val="24"/>
          <w:lang w:val="es-ES"/>
        </w:rPr>
      </w:pPr>
    </w:p>
    <w:p w14:paraId="437C02C2" w14:textId="77777777" w:rsidR="000D34BE" w:rsidRPr="000D34BE" w:rsidRDefault="00DF4ADB" w:rsidP="000D34BE">
      <w:pPr>
        <w:pStyle w:val="ListParagraph"/>
        <w:numPr>
          <w:ilvl w:val="0"/>
          <w:numId w:val="27"/>
        </w:numPr>
        <w:rPr>
          <w:rFonts w:ascii="Calibri" w:hAnsi="Calibri" w:cs="Calibri"/>
          <w:b/>
          <w:color w:val="000000" w:themeColor="text1"/>
          <w:sz w:val="24"/>
          <w:lang w:val="es-ES"/>
        </w:rPr>
      </w:pPr>
      <w:r w:rsidRPr="000D34BE">
        <w:rPr>
          <w:rFonts w:ascii="Calibri" w:hAnsi="Calibri" w:cs="Calibri"/>
          <w:sz w:val="24"/>
          <w:lang w:val="es-ES"/>
        </w:rPr>
        <w:t>No se ha avanzado en la anulación de los antecedentes penales de los operadores de radio indígenas, a pesar del fallo de la Corte Interamericana. El Estado argumenta que carece de autoridad legal para anular condenas. Sus instituciones gubernamentales se han pasado la responsabilidad entre sí, y la Superintendencia de Telecomunicaciones (SIT) argumenta</w:t>
      </w:r>
      <w:r w:rsidR="00B16FB7" w:rsidRPr="000D34BE">
        <w:rPr>
          <w:rFonts w:ascii="Calibri" w:hAnsi="Calibri" w:cs="Calibri"/>
          <w:sz w:val="24"/>
          <w:lang w:val="es-ES"/>
        </w:rPr>
        <w:t>ndo</w:t>
      </w:r>
      <w:r w:rsidRPr="000D34BE">
        <w:rPr>
          <w:rFonts w:ascii="Calibri" w:hAnsi="Calibri" w:cs="Calibri"/>
          <w:sz w:val="24"/>
          <w:lang w:val="es-ES"/>
        </w:rPr>
        <w:t xml:space="preserve"> que la anulación es competencia exclusiva del Ministeri</w:t>
      </w:r>
      <w:r w:rsidR="00CD711E" w:rsidRPr="000D34BE">
        <w:rPr>
          <w:rFonts w:ascii="Calibri" w:hAnsi="Calibri" w:cs="Calibri"/>
          <w:sz w:val="24"/>
          <w:lang w:val="es-ES"/>
        </w:rPr>
        <w:t>o</w:t>
      </w:r>
      <w:r w:rsidRPr="000D34BE">
        <w:rPr>
          <w:rFonts w:ascii="Calibri" w:hAnsi="Calibri" w:cs="Calibri"/>
          <w:sz w:val="24"/>
          <w:lang w:val="es-ES"/>
        </w:rPr>
        <w:t xml:space="preserve"> de </w:t>
      </w:r>
      <w:proofErr w:type="spellStart"/>
      <w:r w:rsidRPr="000D34BE">
        <w:rPr>
          <w:rFonts w:ascii="Calibri" w:hAnsi="Calibri" w:cs="Calibri"/>
          <w:sz w:val="24"/>
          <w:lang w:val="es-ES"/>
        </w:rPr>
        <w:t>Public</w:t>
      </w:r>
      <w:r w:rsidR="00B16FB7" w:rsidRPr="000D34BE">
        <w:rPr>
          <w:rFonts w:ascii="Calibri" w:hAnsi="Calibri" w:cs="Calibri"/>
          <w:sz w:val="24"/>
          <w:lang w:val="es-ES"/>
        </w:rPr>
        <w:t>lo</w:t>
      </w:r>
      <w:proofErr w:type="spellEnd"/>
      <w:r w:rsidRPr="000D34BE">
        <w:rPr>
          <w:rFonts w:ascii="Calibri" w:hAnsi="Calibri" w:cs="Calibri"/>
          <w:sz w:val="24"/>
          <w:lang w:val="es-ES"/>
        </w:rPr>
        <w:t xml:space="preserve">, ignorando su propio papel en la implementación de las reformas necesarias. </w:t>
      </w:r>
      <w:r w:rsidR="004E16A0" w:rsidRPr="000D34BE">
        <w:rPr>
          <w:rFonts w:ascii="Calibri" w:hAnsi="Calibri" w:cs="Calibri"/>
          <w:sz w:val="24"/>
          <w:lang w:val="es-ES"/>
        </w:rPr>
        <w:t xml:space="preserve">Mientras tanto, los esfuerzos de las comunidades indígenas para involucrar al poder judicial no han llevado a ninguna parte. Aunque hubo un acuerdo para discutir la anulación de las condenas, no se ha producido ningún seguimiento ni se han establecido mecanismos concretos de revisión. </w:t>
      </w:r>
    </w:p>
    <w:p w14:paraId="0782B53B" w14:textId="77777777" w:rsidR="000D34BE" w:rsidRPr="000D34BE" w:rsidRDefault="000D34BE" w:rsidP="000D34BE">
      <w:pPr>
        <w:pStyle w:val="ListParagraph"/>
        <w:rPr>
          <w:rFonts w:ascii="Calibri" w:hAnsi="Calibri" w:cs="Calibri"/>
          <w:sz w:val="24"/>
          <w:lang w:val="es-ES"/>
        </w:rPr>
      </w:pPr>
    </w:p>
    <w:p w14:paraId="4B628A44" w14:textId="1EB5E76D" w:rsidR="00AF2926" w:rsidRPr="000D34BE" w:rsidRDefault="001F3776" w:rsidP="000D34BE">
      <w:pPr>
        <w:pStyle w:val="ListParagraph"/>
        <w:numPr>
          <w:ilvl w:val="0"/>
          <w:numId w:val="27"/>
        </w:numPr>
        <w:rPr>
          <w:rFonts w:ascii="Calibri" w:hAnsi="Calibri" w:cs="Calibri"/>
          <w:b/>
          <w:color w:val="000000" w:themeColor="text1"/>
          <w:sz w:val="24"/>
          <w:lang w:val="es-ES"/>
        </w:rPr>
      </w:pPr>
      <w:r w:rsidRPr="000D34BE">
        <w:rPr>
          <w:rFonts w:ascii="Calibri" w:hAnsi="Calibri" w:cs="Calibri"/>
          <w:sz w:val="24"/>
          <w:lang w:val="es-ES"/>
        </w:rPr>
        <w:t xml:space="preserve">Lo mismo ocurre con la abstención de enjuiciamientos penales. Aunque no ha habido redadas en las estaciones de radio comunitarias indígenas desde la sentencia, las emisoras indígenas siguen teniendo miedo. Las comunidades denunciantes solicitan una instrucción general formal y pública </w:t>
      </w:r>
      <w:r w:rsidRPr="000D34BE">
        <w:rPr>
          <w:rFonts w:ascii="Calibri" w:hAnsi="Calibri" w:cs="Calibri"/>
          <w:color w:val="000000"/>
          <w:sz w:val="24"/>
          <w:lang w:val="es-ES"/>
        </w:rPr>
        <w:t xml:space="preserve">del Estado que anuncie el fin de los procesos penales de las radios comunitarias indígenas. </w:t>
      </w:r>
      <w:r w:rsidR="00AF2926" w:rsidRPr="000D34BE">
        <w:rPr>
          <w:rFonts w:ascii="Calibri" w:hAnsi="Calibri" w:cs="Calibri"/>
          <w:color w:val="000000" w:themeColor="text1"/>
          <w:sz w:val="24"/>
          <w:lang w:val="es-ES"/>
        </w:rPr>
        <w:t xml:space="preserve">Esta situación implica directamente las preocupaciones planteadas por el Comité con respecto a la protección de periodistas, defensores de derechos humanos y líderes de comunidades indígenas contra la criminalización y la intimidación. El </w:t>
      </w:r>
      <w:r w:rsidR="00AF2926" w:rsidRPr="000D34BE">
        <w:rPr>
          <w:rFonts w:ascii="Calibri" w:hAnsi="Calibri" w:cs="Calibri"/>
          <w:color w:val="000000" w:themeColor="text1"/>
          <w:sz w:val="24"/>
          <w:lang w:val="es-ES"/>
        </w:rPr>
        <w:lastRenderedPageBreak/>
        <w:t xml:space="preserve">Estado debe hacer más para remediar el uso pasado de las leyes penales para castigar a los operadores de radios comunitarios indígenas y evitar que se dependa de tales leyes penales en el futuro. </w:t>
      </w:r>
    </w:p>
    <w:p w14:paraId="64A615A2" w14:textId="2FB66617" w:rsidR="001152CB" w:rsidRDefault="001152CB" w:rsidP="008E73FF">
      <w:pPr>
        <w:rPr>
          <w:rFonts w:ascii="Calibri" w:hAnsi="Calibri" w:cs="Calibri"/>
          <w:b/>
          <w:bCs/>
          <w:color w:val="000000" w:themeColor="text1"/>
          <w:sz w:val="24"/>
          <w:lang w:val="es-ES"/>
        </w:rPr>
      </w:pPr>
    </w:p>
    <w:p w14:paraId="7ED83332" w14:textId="77777777" w:rsidR="000D34BE" w:rsidRPr="000D34BE" w:rsidRDefault="00CB1DC7" w:rsidP="000D34BE">
      <w:pPr>
        <w:pStyle w:val="ListParagraph"/>
        <w:numPr>
          <w:ilvl w:val="0"/>
          <w:numId w:val="31"/>
        </w:numPr>
        <w:ind w:left="720"/>
        <w:rPr>
          <w:rFonts w:ascii="Calibri" w:hAnsi="Calibri" w:cs="Calibri"/>
          <w:b/>
          <w:bCs/>
          <w:color w:val="000000" w:themeColor="text1"/>
          <w:sz w:val="24"/>
        </w:rPr>
      </w:pPr>
      <w:r w:rsidRPr="000D34BE">
        <w:rPr>
          <w:rFonts w:ascii="Calibri" w:hAnsi="Calibri" w:cs="Calibri"/>
          <w:b/>
          <w:bCs/>
          <w:color w:val="000000" w:themeColor="text1"/>
          <w:sz w:val="24"/>
          <w:lang w:val="es-ES"/>
        </w:rPr>
        <w:t>CONCLUSIÓN</w:t>
      </w:r>
    </w:p>
    <w:p w14:paraId="647D8C43" w14:textId="77777777" w:rsidR="000D34BE" w:rsidRDefault="000D34BE" w:rsidP="000D34BE">
      <w:pPr>
        <w:rPr>
          <w:rFonts w:ascii="Calibri" w:hAnsi="Calibri" w:cs="Calibri"/>
          <w:bCs/>
          <w:color w:val="000000" w:themeColor="text1"/>
          <w:sz w:val="24"/>
          <w:lang w:val="es-ES"/>
        </w:rPr>
      </w:pPr>
    </w:p>
    <w:p w14:paraId="63D7384C" w14:textId="15A89E13" w:rsidR="00F65E43" w:rsidRPr="000D34BE" w:rsidRDefault="00CD076F" w:rsidP="000D34BE">
      <w:pPr>
        <w:pStyle w:val="ListParagraph"/>
        <w:numPr>
          <w:ilvl w:val="0"/>
          <w:numId w:val="27"/>
        </w:numPr>
        <w:rPr>
          <w:rFonts w:ascii="Calibri" w:hAnsi="Calibri" w:cs="Calibri"/>
          <w:b/>
          <w:bCs/>
          <w:color w:val="000000" w:themeColor="text1"/>
          <w:sz w:val="24"/>
        </w:rPr>
      </w:pPr>
      <w:r w:rsidRPr="000D34BE">
        <w:rPr>
          <w:rFonts w:ascii="Calibri" w:hAnsi="Calibri" w:cs="Calibri"/>
          <w:bCs/>
          <w:color w:val="000000" w:themeColor="text1"/>
          <w:sz w:val="24"/>
          <w:lang w:val="es-ES"/>
        </w:rPr>
        <w:t xml:space="preserve">Si bien el Estado ha dado algunos pequeños pasos hacia la implementación de la decisión de la Corte Interamericana en </w:t>
      </w:r>
      <w:r w:rsidR="005D5508" w:rsidRPr="000D34BE">
        <w:rPr>
          <w:rFonts w:ascii="Calibri" w:hAnsi="Calibri" w:cs="Calibri"/>
          <w:color w:val="000000" w:themeColor="text1"/>
          <w:sz w:val="24"/>
          <w:lang w:val="es-ES"/>
        </w:rPr>
        <w:t xml:space="preserve">el </w:t>
      </w:r>
      <w:r w:rsidR="005D5508" w:rsidRPr="000D34BE">
        <w:rPr>
          <w:rFonts w:ascii="Calibri" w:hAnsi="Calibri" w:cs="Calibri"/>
          <w:i/>
          <w:color w:val="000000" w:themeColor="text1"/>
          <w:sz w:val="24"/>
          <w:lang w:val="es-ES"/>
        </w:rPr>
        <w:t xml:space="preserve">Caso de </w:t>
      </w:r>
      <w:r w:rsidR="005D5508" w:rsidRPr="000D34BE">
        <w:rPr>
          <w:rFonts w:ascii="Calibri" w:hAnsi="Calibri" w:cs="Calibri"/>
          <w:i/>
          <w:iCs/>
          <w:color w:val="000000" w:themeColor="text1"/>
          <w:sz w:val="24"/>
          <w:lang w:val="es-ES"/>
        </w:rPr>
        <w:t>los Pueblos Indígenas Maya Kaqchikel de Sumpango y otros vs. Guatemala</w:t>
      </w:r>
      <w:r w:rsidR="005D5508" w:rsidRPr="000D34BE">
        <w:rPr>
          <w:rFonts w:ascii="Calibri" w:hAnsi="Calibri" w:cs="Calibri"/>
          <w:bCs/>
          <w:color w:val="000000" w:themeColor="text1"/>
          <w:sz w:val="24"/>
          <w:lang w:val="es-ES"/>
        </w:rPr>
        <w:t>, a saber, la publicación de la sentencia escrita y el pago de las principales reparaciones financieras a las comunidades víctimas, las reparaciones sustantivas para evitar que este tipo de violaciones de derechos humanos se repitan, aún no se han implementado. Las comunidades informantes solicitan que el Comité para la Eliminación de la Discriminación Racial aborde una vez más este problema de derechos humanos de décadas recomendando que el Estado tome medidas inmediatas para proteger a las estaciones de radio comunitarias indígenas y a los voluntarios que operan esos estados comunitari</w:t>
      </w:r>
      <w:r w:rsidR="00B16FB7" w:rsidRPr="000D34BE">
        <w:rPr>
          <w:rFonts w:ascii="Calibri" w:hAnsi="Calibri" w:cs="Calibri"/>
          <w:bCs/>
          <w:color w:val="000000" w:themeColor="text1"/>
          <w:sz w:val="24"/>
          <w:lang w:val="es-ES"/>
        </w:rPr>
        <w:t>a</w:t>
      </w:r>
      <w:r w:rsidR="005D5508" w:rsidRPr="000D34BE">
        <w:rPr>
          <w:rFonts w:ascii="Calibri" w:hAnsi="Calibri" w:cs="Calibri"/>
          <w:bCs/>
          <w:color w:val="000000" w:themeColor="text1"/>
          <w:sz w:val="24"/>
          <w:lang w:val="es-ES"/>
        </w:rPr>
        <w:t xml:space="preserve">s de futuros enjuiciamientos penales y promulgando leyes que reconozca el uso de dichos medios por parte de los pueblos indígenas como un medio para ejercer su libertad de expresión.  los medios de comunicación y los derechos culturales. </w:t>
      </w:r>
    </w:p>
    <w:sectPr w:rsidR="00F65E43" w:rsidRPr="000D34BE" w:rsidSect="00A666DC">
      <w:type w:val="continuous"/>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E7B0D8D" w16cex:dateUtc="2025-09-16T01:43:00Z"/>
  <w16cex:commentExtensible w16cex:durableId="412C5FE3" w16cex:dateUtc="2025-09-16T03:38:00Z"/>
  <w16cex:commentExtensible w16cex:durableId="02897B4A" w16cex:dateUtc="2025-09-16T04:2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C0C15" w14:textId="77777777" w:rsidR="00D76C0F" w:rsidRDefault="00D76C0F" w:rsidP="00CB0E64">
      <w:r>
        <w:separator/>
      </w:r>
    </w:p>
  </w:endnote>
  <w:endnote w:type="continuationSeparator" w:id="0">
    <w:p w14:paraId="76FBC987" w14:textId="77777777" w:rsidR="00D76C0F" w:rsidRDefault="00D76C0F" w:rsidP="00CB0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charset w:val="00"/>
    <w:family w:val="roman"/>
    <w:pitch w:val="default"/>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rPr>
      <w:id w:val="-1219810654"/>
      <w:docPartObj>
        <w:docPartGallery w:val="Page Numbers (Bottom of Page)"/>
        <w:docPartUnique/>
      </w:docPartObj>
    </w:sdtPr>
    <w:sdtEndPr>
      <w:rPr>
        <w:noProof/>
      </w:rPr>
    </w:sdtEndPr>
    <w:sdtContent>
      <w:p w14:paraId="7811966D" w14:textId="7C03C586" w:rsidR="00645814" w:rsidRPr="00EC3985" w:rsidRDefault="00645814">
        <w:pPr>
          <w:pStyle w:val="Footer"/>
          <w:jc w:val="right"/>
          <w:rPr>
            <w:rFonts w:ascii="Times New Roman" w:hAnsi="Times New Roman" w:cs="Times New Roman"/>
            <w:sz w:val="24"/>
          </w:rPr>
        </w:pPr>
        <w:r w:rsidRPr="00EC3985">
          <w:rPr>
            <w:rFonts w:ascii="Times New Roman" w:hAnsi="Times New Roman" w:cs="Times New Roman"/>
            <w:sz w:val="24"/>
          </w:rPr>
          <w:fldChar w:fldCharType="begin"/>
        </w:r>
        <w:r w:rsidRPr="00EC3985">
          <w:rPr>
            <w:rFonts w:ascii="Times New Roman" w:hAnsi="Times New Roman" w:cs="Times New Roman"/>
            <w:sz w:val="24"/>
          </w:rPr>
          <w:instrText xml:space="preserve"> PAGE   \* MERGEFORMAT </w:instrText>
        </w:r>
        <w:r w:rsidRPr="00EC3985">
          <w:rPr>
            <w:rFonts w:ascii="Times New Roman" w:hAnsi="Times New Roman" w:cs="Times New Roman"/>
            <w:sz w:val="24"/>
          </w:rPr>
          <w:fldChar w:fldCharType="separate"/>
        </w:r>
        <w:r w:rsidRPr="00EC3985">
          <w:rPr>
            <w:rFonts w:ascii="Times New Roman" w:hAnsi="Times New Roman" w:cs="Times New Roman"/>
            <w:noProof/>
            <w:sz w:val="24"/>
          </w:rPr>
          <w:t>2</w:t>
        </w:r>
        <w:r w:rsidRPr="00EC3985">
          <w:rPr>
            <w:rFonts w:ascii="Times New Roman" w:hAnsi="Times New Roman" w:cs="Times New Roman"/>
            <w:noProof/>
            <w:sz w:val="24"/>
          </w:rPr>
          <w:fldChar w:fldCharType="end"/>
        </w:r>
      </w:p>
    </w:sdtContent>
  </w:sdt>
  <w:p w14:paraId="7904FCEC" w14:textId="77777777" w:rsidR="00645814" w:rsidRPr="00EC3985" w:rsidRDefault="00645814">
    <w:pPr>
      <w:pStyle w:val="Footer"/>
      <w:rPr>
        <w:rFonts w:ascii="Times New Roman" w:hAnsi="Times New Roman" w:cs="Times New Roman"/>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F2952B" w14:textId="77777777" w:rsidR="00D76C0F" w:rsidRDefault="00D76C0F" w:rsidP="00CB0E64">
      <w:r>
        <w:separator/>
      </w:r>
    </w:p>
  </w:footnote>
  <w:footnote w:type="continuationSeparator" w:id="0">
    <w:p w14:paraId="67DD3AFC" w14:textId="77777777" w:rsidR="00D76C0F" w:rsidRDefault="00D76C0F" w:rsidP="00CB0E64">
      <w:r>
        <w:continuationSeparator/>
      </w:r>
    </w:p>
  </w:footnote>
  <w:footnote w:id="1">
    <w:p w14:paraId="23A305ED" w14:textId="5062A594" w:rsidR="00645814" w:rsidRPr="00AA4B77" w:rsidRDefault="00645814" w:rsidP="003A3BF9">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Corte Interamericana de Derechos Humanos. </w:t>
      </w:r>
      <w:r w:rsidRPr="00AA4B77">
        <w:rPr>
          <w:rFonts w:ascii="Calibri" w:eastAsia="Arial" w:hAnsi="Calibri" w:cs="Calibri"/>
          <w:i/>
          <w:iCs/>
          <w:color w:val="000000" w:themeColor="text1"/>
          <w:lang w:val="es-ES"/>
        </w:rPr>
        <w:t xml:space="preserve">Caso </w:t>
      </w:r>
      <w:r w:rsidRPr="00AA4B77">
        <w:rPr>
          <w:rFonts w:ascii="Calibri" w:hAnsi="Calibri" w:cs="Calibri"/>
          <w:i/>
          <w:iCs/>
          <w:color w:val="000000" w:themeColor="text1"/>
          <w:kern w:val="0"/>
          <w:lang w:val="es-ES"/>
        </w:rPr>
        <w:t>de los Pueblos Indígenas Maya Kaqchikel de Sumpango y otros vs. Guatemala</w:t>
      </w:r>
      <w:r w:rsidRPr="00AA4B77">
        <w:rPr>
          <w:rFonts w:ascii="Calibri" w:eastAsia="Arial" w:hAnsi="Calibri" w:cs="Calibri"/>
          <w:i/>
          <w:iCs/>
          <w:color w:val="000000" w:themeColor="text1"/>
          <w:lang w:val="es-ES"/>
        </w:rPr>
        <w:t>.</w:t>
      </w:r>
      <w:r w:rsidRPr="00AA4B77">
        <w:rPr>
          <w:rFonts w:ascii="Calibri" w:eastAsia="Arial" w:hAnsi="Calibri" w:cs="Calibri"/>
          <w:color w:val="000000" w:themeColor="text1"/>
          <w:lang w:val="es-ES"/>
        </w:rPr>
        <w:t xml:space="preserve"> Fondo, reparaciones y costas. Sentencia de 6 de octubre de 2021, Serie C No. 440, </w:t>
      </w:r>
      <w:r w:rsidRPr="00AA4B77">
        <w:rPr>
          <w:rFonts w:ascii="Calibri" w:hAnsi="Calibri" w:cs="Calibri"/>
          <w:color w:val="000000" w:themeColor="text1"/>
          <w:lang w:val="es-ES"/>
        </w:rPr>
        <w:t>párr. 228(1) ("</w:t>
      </w:r>
      <w:r w:rsidRPr="00AA4B77">
        <w:rPr>
          <w:rFonts w:ascii="Calibri" w:hAnsi="Calibri" w:cs="Calibri"/>
          <w:i/>
          <w:iCs/>
          <w:color w:val="000000" w:themeColor="text1"/>
          <w:kern w:val="0"/>
          <w:lang w:val="es-ES"/>
        </w:rPr>
        <w:t>Caso Maya Kaqchikel</w:t>
      </w:r>
      <w:r w:rsidRPr="00AA4B77">
        <w:rPr>
          <w:rFonts w:ascii="Calibri" w:hAnsi="Calibri" w:cs="Calibri"/>
          <w:color w:val="000000" w:themeColor="text1"/>
          <w:kern w:val="0"/>
          <w:lang w:val="es-ES"/>
        </w:rPr>
        <w:t>")</w:t>
      </w:r>
      <w:r w:rsidRPr="00AA4B77">
        <w:rPr>
          <w:rFonts w:ascii="Calibri" w:hAnsi="Calibri" w:cs="Calibri"/>
          <w:i/>
          <w:iCs/>
          <w:color w:val="000000" w:themeColor="text1"/>
          <w:kern w:val="0"/>
          <w:lang w:val="es-ES"/>
        </w:rPr>
        <w:t xml:space="preserve">, </w:t>
      </w:r>
      <w:r w:rsidRPr="00AA4B77">
        <w:rPr>
          <w:rFonts w:ascii="Calibri" w:hAnsi="Calibri" w:cs="Calibri"/>
          <w:color w:val="000000" w:themeColor="text1"/>
          <w:kern w:val="0"/>
          <w:lang w:val="es-ES"/>
        </w:rPr>
        <w:t xml:space="preserve">disponible en </w:t>
      </w:r>
      <w:hyperlink r:id="rId1" w:history="1">
        <w:r w:rsidRPr="00AA4B77">
          <w:rPr>
            <w:rStyle w:val="Hyperlink"/>
            <w:rFonts w:ascii="Calibri" w:hAnsi="Calibri" w:cs="Calibri"/>
            <w:color w:val="000000" w:themeColor="text1"/>
            <w:lang w:val="es-ES"/>
          </w:rPr>
          <w:t>https://www.corteidh.or.cr/docs/casos/articulos/seriec_440_ing.pdf</w:t>
        </w:r>
      </w:hyperlink>
      <w:r w:rsidR="003A3BF9" w:rsidRPr="00AA4B77">
        <w:rPr>
          <w:rStyle w:val="Hyperlink"/>
          <w:rFonts w:ascii="Calibri" w:hAnsi="Calibri" w:cs="Calibri"/>
          <w:color w:val="000000" w:themeColor="text1"/>
          <w:lang w:val="es-ES"/>
        </w:rPr>
        <w:t>.</w:t>
      </w:r>
      <w:r w:rsidRPr="00AA4B77">
        <w:rPr>
          <w:rFonts w:ascii="Calibri" w:hAnsi="Calibri" w:cs="Calibri"/>
          <w:color w:val="000000" w:themeColor="text1"/>
          <w:lang w:val="es-ES"/>
        </w:rPr>
        <w:t xml:space="preserve"> </w:t>
      </w:r>
    </w:p>
  </w:footnote>
  <w:footnote w:id="2">
    <w:p w14:paraId="4F19DD37" w14:textId="73CD81D0" w:rsidR="00645814" w:rsidRPr="00AA4B77" w:rsidRDefault="00645814" w:rsidP="003A3BF9">
      <w:pPr>
        <w:pStyle w:val="FootnoteText"/>
        <w:rPr>
          <w:rFonts w:ascii="Calibri" w:hAnsi="Calibri" w:cs="Calibri"/>
          <w:lang w:val="es-ES"/>
        </w:rPr>
      </w:pPr>
      <w:r w:rsidRPr="00AA4B77">
        <w:rPr>
          <w:rFonts w:ascii="Calibri" w:hAnsi="Calibri" w:cs="Calibri"/>
          <w:vertAlign w:val="superscript"/>
        </w:rPr>
        <w:footnoteRef/>
      </w:r>
      <w:r w:rsidRPr="00AA4B77">
        <w:rPr>
          <w:rFonts w:ascii="Calibri" w:hAnsi="Calibri" w:cs="Calibri"/>
        </w:rPr>
        <w:t xml:space="preserve"> </w:t>
      </w:r>
      <w:r w:rsidR="003A3BF9" w:rsidRPr="00AA4B77">
        <w:rPr>
          <w:rFonts w:ascii="Calibri" w:hAnsi="Calibri" w:cs="Calibri"/>
          <w:color w:val="000000"/>
        </w:rPr>
        <w:t>Concluding observations on the combined sixteenth and seventeenth periodic reports of Guatemala</w:t>
      </w:r>
      <w:r w:rsidR="003A3BF9" w:rsidRPr="00AA4B77">
        <w:rPr>
          <w:rFonts w:ascii="Calibri" w:hAnsi="Calibri" w:cs="Calibri"/>
        </w:rPr>
        <w:t xml:space="preserve"> </w:t>
      </w:r>
      <w:r w:rsidR="00976422" w:rsidRPr="00AA4B77">
        <w:rPr>
          <w:rFonts w:ascii="Calibri" w:hAnsi="Calibri" w:cs="Calibri"/>
          <w:color w:val="000000" w:themeColor="text1"/>
        </w:rPr>
        <w:t xml:space="preserve">párr. </w:t>
      </w:r>
      <w:r w:rsidR="003A3BF9" w:rsidRPr="00AA4B77">
        <w:rPr>
          <w:rFonts w:ascii="Calibri" w:hAnsi="Calibri" w:cs="Calibri"/>
          <w:lang w:val="es-ES"/>
        </w:rPr>
        <w:t xml:space="preserve">25-26, UN DOc. No. </w:t>
      </w:r>
      <w:r w:rsidR="003A3BF9" w:rsidRPr="00AA4B77">
        <w:rPr>
          <w:rFonts w:ascii="Calibri" w:hAnsi="Calibri" w:cs="Calibri"/>
          <w:color w:val="000000"/>
          <w:lang w:val="es-ES"/>
        </w:rPr>
        <w:t xml:space="preserve">CERD/C/GTM/CO/16-17 (27 May 2019) </w:t>
      </w:r>
      <w:r w:rsidR="003A3BF9" w:rsidRPr="00AA4B77">
        <w:rPr>
          <w:rFonts w:ascii="Calibri" w:hAnsi="Calibri" w:cs="Calibri"/>
          <w:color w:val="000000" w:themeColor="text1"/>
          <w:kern w:val="0"/>
          <w:lang w:val="es-ES"/>
        </w:rPr>
        <w:t xml:space="preserve">disponible en </w:t>
      </w:r>
      <w:r w:rsidR="00EC4AFA">
        <w:fldChar w:fldCharType="begin"/>
      </w:r>
      <w:r w:rsidR="00EC4AFA" w:rsidRPr="00EC4AFA">
        <w:rPr>
          <w:lang w:val="es-ES"/>
        </w:rPr>
        <w:instrText xml:space="preserve"> HYPERLINK "https://docstore.ohchr.org/SelfServices/FilesHandler.ashx?enc=fxxVW1mMG40ZPI7M8syKVbi9mGMHYdTjLiCDiNquJ%2FKxQ3FQxEawXotgWuLq3tzpjvokq1Rx7X%2Bh05RjSvL1hqXH2uPmDeL4luee2PzB60A%3</w:instrText>
      </w:r>
      <w:r w:rsidR="00EC4AFA" w:rsidRPr="00EC4AFA">
        <w:rPr>
          <w:lang w:val="es-ES"/>
        </w:rPr>
        <w:instrText xml:space="preserve">D" </w:instrText>
      </w:r>
      <w:r w:rsidR="00EC4AFA">
        <w:fldChar w:fldCharType="separate"/>
      </w:r>
      <w:r w:rsidRPr="00AA4B77">
        <w:rPr>
          <w:rStyle w:val="Hyperlink"/>
          <w:rFonts w:ascii="Calibri" w:hAnsi="Calibri" w:cs="Calibri"/>
          <w:lang w:val="es-ES"/>
        </w:rPr>
        <w:t>https://docstore.ohchr.org/SelfServices/FilesHandler.ashx?enc=fxxVW1mMG40ZPI7M8syKVbi9mGMHYdTjLiCDiNquJ%2FKxQ3FQxEawXotgWuLq3tzpjvokq1Rx7X%2Bh05RjSvL1hqXH2uPmDeL4luee2PzB60A%3D</w:t>
      </w:r>
      <w:r w:rsidR="00EC4AFA">
        <w:rPr>
          <w:rStyle w:val="Hyperlink"/>
          <w:rFonts w:ascii="Calibri" w:hAnsi="Calibri" w:cs="Calibri"/>
          <w:lang w:val="es-ES"/>
        </w:rPr>
        <w:fldChar w:fldCharType="end"/>
      </w:r>
    </w:p>
  </w:footnote>
  <w:footnote w:id="3">
    <w:p w14:paraId="1DEE7EC3" w14:textId="6A7FEC59" w:rsidR="00645814" w:rsidRPr="00AA4B77" w:rsidRDefault="00645814" w:rsidP="003A3BF9">
      <w:pPr>
        <w:pStyle w:val="Heading2"/>
        <w:spacing w:before="0" w:after="0"/>
        <w:rPr>
          <w:rFonts w:ascii="Calibri" w:hAnsi="Calibri" w:cs="Calibri"/>
          <w:color w:val="000000"/>
          <w:sz w:val="20"/>
          <w:szCs w:val="20"/>
          <w:lang w:val="es-ES"/>
        </w:rPr>
      </w:pPr>
      <w:r w:rsidRPr="00AA4B77">
        <w:rPr>
          <w:rStyle w:val="FootnoteReference"/>
          <w:rFonts w:ascii="Calibri" w:hAnsi="Calibri" w:cs="Calibri"/>
          <w:sz w:val="20"/>
          <w:szCs w:val="20"/>
        </w:rPr>
        <w:footnoteRef/>
      </w:r>
      <w:r w:rsidRPr="00AA4B77">
        <w:rPr>
          <w:rFonts w:ascii="Calibri" w:hAnsi="Calibri" w:cs="Calibri"/>
          <w:sz w:val="20"/>
          <w:szCs w:val="20"/>
          <w:lang w:val="es-ES"/>
        </w:rPr>
        <w:t xml:space="preserve"> </w:t>
      </w:r>
      <w:r w:rsidR="003A3BF9" w:rsidRPr="00AA4B77">
        <w:rPr>
          <w:rFonts w:ascii="Calibri" w:hAnsi="Calibri" w:cs="Calibri"/>
          <w:color w:val="000000"/>
          <w:sz w:val="20"/>
          <w:szCs w:val="20"/>
          <w:lang w:val="es-ES"/>
        </w:rPr>
        <w:t>Lista de temas relativa a los informes periódicos 18º a 20º combinados de Guatemala</w:t>
      </w:r>
      <w:r w:rsidRPr="00AA4B77">
        <w:rPr>
          <w:rFonts w:ascii="Calibri" w:hAnsi="Calibri" w:cs="Calibri"/>
          <w:sz w:val="20"/>
          <w:szCs w:val="20"/>
          <w:lang w:val="es-ES"/>
        </w:rPr>
        <w:t xml:space="preserve">, </w:t>
      </w:r>
      <w:r w:rsidR="00976422" w:rsidRPr="00AA4B77">
        <w:rPr>
          <w:rFonts w:ascii="Calibri" w:hAnsi="Calibri" w:cs="Calibri"/>
          <w:color w:val="000000" w:themeColor="text1"/>
          <w:sz w:val="20"/>
          <w:szCs w:val="20"/>
          <w:lang w:val="es-ES"/>
        </w:rPr>
        <w:t xml:space="preserve">párr. </w:t>
      </w:r>
      <w:r w:rsidR="003A3BF9" w:rsidRPr="00AA4B77">
        <w:rPr>
          <w:rFonts w:ascii="Calibri" w:hAnsi="Calibri" w:cs="Calibri"/>
          <w:sz w:val="20"/>
          <w:szCs w:val="20"/>
          <w:lang w:val="es-ES"/>
        </w:rPr>
        <w:t xml:space="preserve">13, UN Doc. </w:t>
      </w:r>
      <w:r w:rsidR="003A3BF9" w:rsidRPr="00AA4B77">
        <w:rPr>
          <w:rFonts w:ascii="Calibri" w:hAnsi="Calibri" w:cs="Calibri"/>
          <w:color w:val="000000"/>
          <w:sz w:val="20"/>
          <w:szCs w:val="20"/>
          <w:lang w:val="es-ES"/>
        </w:rPr>
        <w:t>CERD/C/GTM/Q/18-20</w:t>
      </w:r>
      <w:r w:rsidR="003A3BF9" w:rsidRPr="00AA4B77">
        <w:rPr>
          <w:rFonts w:ascii="Calibri" w:hAnsi="Calibri" w:cs="Calibri"/>
          <w:sz w:val="20"/>
          <w:szCs w:val="20"/>
          <w:lang w:val="es-ES"/>
        </w:rPr>
        <w:t xml:space="preserve"> (</w:t>
      </w:r>
      <w:r w:rsidR="003A3BF9" w:rsidRPr="00AA4B77">
        <w:rPr>
          <w:rFonts w:ascii="Calibri" w:hAnsi="Calibri" w:cs="Calibri"/>
          <w:color w:val="000000"/>
          <w:sz w:val="20"/>
          <w:szCs w:val="20"/>
          <w:lang w:val="es-ES"/>
        </w:rPr>
        <w:t>5 de marzo de 2025</w:t>
      </w:r>
      <w:r w:rsidR="003A3BF9" w:rsidRPr="00AA4B77">
        <w:rPr>
          <w:rFonts w:ascii="Calibri" w:hAnsi="Calibri" w:cs="Calibri"/>
          <w:sz w:val="20"/>
          <w:szCs w:val="20"/>
          <w:lang w:val="es-ES"/>
        </w:rPr>
        <w:t xml:space="preserve"> ) </w:t>
      </w:r>
      <w:r w:rsidR="003A3BF9" w:rsidRPr="00AA4B77">
        <w:rPr>
          <w:rFonts w:ascii="Calibri" w:hAnsi="Calibri" w:cs="Calibri"/>
          <w:color w:val="000000" w:themeColor="text1"/>
          <w:sz w:val="20"/>
          <w:szCs w:val="20"/>
          <w:lang w:val="es-ES"/>
        </w:rPr>
        <w:t xml:space="preserve">disponible en </w:t>
      </w:r>
      <w:r w:rsidR="00EC4AFA">
        <w:fldChar w:fldCharType="begin"/>
      </w:r>
      <w:r w:rsidR="00EC4AFA" w:rsidRPr="00EC4AFA">
        <w:rPr>
          <w:lang w:val="es-ES"/>
        </w:rPr>
        <w:instrText xml:space="preserve"> HYPERLINK "https://docstore.ohchr.org/SelfServices/FilesHandler.ashx?enc=MIk8C1Hl6HvHpmRlVnom8y7hksne9NWuDGOmqihY1YaxXCJJzeeZGPGyppAogG4gxPiuBLHWJyjsS91%2BcptW5sG3z0qtGiuD3BPYROClnZE%3D" </w:instrText>
      </w:r>
      <w:r w:rsidR="00EC4AFA">
        <w:fldChar w:fldCharType="separate"/>
      </w:r>
      <w:r w:rsidR="003A3BF9" w:rsidRPr="00AA4B77">
        <w:rPr>
          <w:rStyle w:val="Hyperlink"/>
          <w:rFonts w:ascii="Calibri" w:hAnsi="Calibri" w:cs="Calibri"/>
          <w:sz w:val="20"/>
          <w:szCs w:val="20"/>
          <w:lang w:val="es-ES"/>
        </w:rPr>
        <w:t>https://docstore.ohchr.org/SelfServices/FilesHandler.ashx?enc=MIk8C1Hl6HvHpmRlVnom8y7hksne9NWuDGOmqihY1YaxXCJJzeeZGPGyppAogG4gxPiuBLHWJyjsS91%2BcptW5sG3z0qtGiuD3BPYROClnZE%3D</w:t>
      </w:r>
      <w:r w:rsidR="00EC4AFA">
        <w:rPr>
          <w:rStyle w:val="Hyperlink"/>
          <w:rFonts w:ascii="Calibri" w:hAnsi="Calibri" w:cs="Calibri"/>
          <w:sz w:val="20"/>
          <w:szCs w:val="20"/>
          <w:lang w:val="es-ES"/>
        </w:rPr>
        <w:fldChar w:fldCharType="end"/>
      </w:r>
      <w:r w:rsidRPr="00AA4B77">
        <w:rPr>
          <w:rFonts w:ascii="Calibri" w:hAnsi="Calibri" w:cs="Calibri"/>
          <w:sz w:val="20"/>
          <w:szCs w:val="20"/>
          <w:lang w:val="es-ES"/>
        </w:rPr>
        <w:t xml:space="preserve"> </w:t>
      </w:r>
    </w:p>
  </w:footnote>
  <w:footnote w:id="4">
    <w:p w14:paraId="699D05B6" w14:textId="5A982914"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iCs/>
          <w:color w:val="000000" w:themeColor="text1"/>
          <w:lang w:val="es-ES"/>
        </w:rPr>
        <w:t>Ver Explorando la rica diversidad de las culturas étnicas de Guatemala</w:t>
      </w:r>
      <w:r w:rsidRPr="00AA4B77">
        <w:rPr>
          <w:rFonts w:ascii="Calibri" w:hAnsi="Calibri" w:cs="Calibri"/>
          <w:color w:val="000000" w:themeColor="text1"/>
          <w:lang w:val="es-ES"/>
        </w:rPr>
        <w:t xml:space="preserve">, </w:t>
      </w:r>
      <w:r w:rsidRPr="00AA4B77">
        <w:rPr>
          <w:rFonts w:ascii="Calibri" w:hAnsi="Calibri" w:cs="Calibri"/>
          <w:smallCaps/>
          <w:color w:val="000000" w:themeColor="text1"/>
          <w:lang w:val="es-ES"/>
        </w:rPr>
        <w:t>Ixchel</w:t>
      </w:r>
      <w:r w:rsidRPr="00AA4B77">
        <w:rPr>
          <w:rFonts w:ascii="Calibri" w:hAnsi="Calibri" w:cs="Calibri"/>
          <w:color w:val="000000" w:themeColor="text1"/>
          <w:lang w:val="es-ES"/>
        </w:rPr>
        <w:t xml:space="preserve">, https://ixchelschool.com/exploring-the-rich-diversity-of-guatemalan-ethnic-cultures/ (última visita el 6 de marzo de 2025) (discutiendo la diversidad étnica y cultural en Guatemala). </w:t>
      </w:r>
    </w:p>
  </w:footnote>
  <w:footnote w:id="5">
    <w:p w14:paraId="7199D033" w14:textId="41C1DE9F"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iCs/>
          <w:color w:val="000000" w:themeColor="text1"/>
          <w:lang w:val="es-ES"/>
        </w:rPr>
        <w:t xml:space="preserve">Véase </w:t>
      </w:r>
      <w:r w:rsidRPr="00AA4B77">
        <w:rPr>
          <w:rFonts w:ascii="Calibri" w:hAnsi="Calibri" w:cs="Calibri"/>
          <w:color w:val="000000" w:themeColor="text1"/>
          <w:lang w:val="es-ES"/>
        </w:rPr>
        <w:t xml:space="preserve">Silvel Elías, </w:t>
      </w:r>
      <w:r w:rsidRPr="00AA4B77">
        <w:rPr>
          <w:rFonts w:ascii="Calibri" w:hAnsi="Calibri" w:cs="Calibri"/>
          <w:i/>
          <w:iCs/>
          <w:color w:val="000000" w:themeColor="text1"/>
          <w:lang w:val="es-ES"/>
        </w:rPr>
        <w:t>The Indiegnous World 2024: Guatemala</w:t>
      </w:r>
      <w:r w:rsidRPr="00AA4B77">
        <w:rPr>
          <w:rFonts w:ascii="Calibri" w:hAnsi="Calibri" w:cs="Calibri"/>
          <w:color w:val="000000" w:themeColor="text1"/>
          <w:lang w:val="es-ES"/>
        </w:rPr>
        <w:t xml:space="preserve">, </w:t>
      </w:r>
      <w:r w:rsidRPr="00AA4B77">
        <w:rPr>
          <w:rFonts w:ascii="Calibri" w:hAnsi="Calibri" w:cs="Calibri"/>
          <w:smallCaps/>
          <w:color w:val="000000" w:themeColor="text1"/>
          <w:lang w:val="es-ES"/>
        </w:rPr>
        <w:t>IWGIA (</w:t>
      </w:r>
      <w:r w:rsidRPr="00AA4B77">
        <w:rPr>
          <w:rFonts w:ascii="Calibri" w:hAnsi="Calibri" w:cs="Calibri"/>
          <w:color w:val="000000" w:themeColor="text1"/>
          <w:lang w:val="es-ES"/>
        </w:rPr>
        <w:t xml:space="preserve">22 de marzo de 2024), https://iwgia.org/en/guatemala/5384-iw-2024-guatemala.html (que informa sobre la población indígena de Guatemala). </w:t>
      </w:r>
    </w:p>
  </w:footnote>
  <w:footnote w:id="6">
    <w:p w14:paraId="1B5C2CC1" w14:textId="6F63ABB8" w:rsidR="00645814" w:rsidRPr="00AA4B77" w:rsidRDefault="00645814">
      <w:pPr>
        <w:pStyle w:val="FootnoteText"/>
        <w:rPr>
          <w:rFonts w:ascii="Calibri" w:hAnsi="Calibri" w:cs="Calibri"/>
          <w:i/>
          <w:iCs/>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iCs/>
          <w:color w:val="000000" w:themeColor="text1"/>
          <w:lang w:val="es-ES"/>
        </w:rPr>
        <w:t>Ibíd.</w:t>
      </w:r>
    </w:p>
  </w:footnote>
  <w:footnote w:id="7">
    <w:p w14:paraId="202CB666" w14:textId="18217DBF" w:rsidR="00645814" w:rsidRPr="00AA4B77" w:rsidRDefault="00645814">
      <w:pPr>
        <w:pStyle w:val="FootnoteText"/>
        <w:rPr>
          <w:rFonts w:ascii="Calibri" w:hAnsi="Calibri" w:cs="Calibri"/>
          <w:i/>
          <w:iCs/>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iCs/>
          <w:color w:val="000000" w:themeColor="text1"/>
          <w:lang w:val="es-ES"/>
        </w:rPr>
        <w:t>Ibíd.</w:t>
      </w:r>
    </w:p>
  </w:footnote>
  <w:footnote w:id="8">
    <w:p w14:paraId="19793B72" w14:textId="51FD80A1"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iCs/>
          <w:color w:val="000000" w:themeColor="text1"/>
          <w:lang w:val="es-ES"/>
        </w:rPr>
        <w:t>Ver Cronología: La brutal guerra civil de Guatemala</w:t>
      </w:r>
      <w:r w:rsidRPr="00AA4B77">
        <w:rPr>
          <w:rFonts w:ascii="Calibri" w:hAnsi="Calibri" w:cs="Calibri"/>
          <w:color w:val="000000" w:themeColor="text1"/>
          <w:lang w:val="es-ES"/>
        </w:rPr>
        <w:t xml:space="preserve">, </w:t>
      </w:r>
      <w:r w:rsidRPr="00AA4B77">
        <w:rPr>
          <w:rFonts w:ascii="Calibri" w:hAnsi="Calibri" w:cs="Calibri"/>
          <w:smallCaps/>
          <w:color w:val="000000" w:themeColor="text1"/>
          <w:lang w:val="es-ES"/>
        </w:rPr>
        <w:t>PBS News</w:t>
      </w:r>
      <w:r w:rsidR="00976422" w:rsidRPr="00AA4B77">
        <w:rPr>
          <w:rFonts w:ascii="Calibri" w:hAnsi="Calibri" w:cs="Calibri"/>
          <w:smallCaps/>
          <w:color w:val="000000" w:themeColor="text1"/>
          <w:lang w:val="es-ES"/>
        </w:rPr>
        <w:t xml:space="preserve">, </w:t>
      </w:r>
      <w:r w:rsidR="00976422" w:rsidRPr="00AA4B77">
        <w:rPr>
          <w:rFonts w:ascii="Calibri" w:hAnsi="Calibri" w:cs="Calibri"/>
          <w:color w:val="000000" w:themeColor="text1"/>
          <w:lang w:val="es-ES"/>
        </w:rPr>
        <w:t xml:space="preserve">disponible en </w:t>
      </w:r>
      <w:r w:rsidRPr="00AA4B77">
        <w:rPr>
          <w:rFonts w:ascii="Calibri" w:hAnsi="Calibri" w:cs="Calibri"/>
          <w:color w:val="000000" w:themeColor="text1"/>
          <w:lang w:val="es-ES"/>
        </w:rPr>
        <w:t xml:space="preserve">https://www.pbs.org/newshour/health/latin_america-jan-june11-timeline_03-07 </w:t>
      </w:r>
    </w:p>
  </w:footnote>
  <w:footnote w:id="9">
    <w:p w14:paraId="6AF9AF5F" w14:textId="0AE813D7" w:rsidR="00645814" w:rsidRPr="00AA4B77" w:rsidRDefault="00645814">
      <w:pPr>
        <w:pStyle w:val="FootnoteText"/>
        <w:rPr>
          <w:rFonts w:ascii="Calibri" w:hAnsi="Calibri" w:cs="Calibri"/>
          <w:i/>
          <w:iCs/>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iCs/>
          <w:color w:val="000000" w:themeColor="text1"/>
          <w:lang w:val="es-ES"/>
        </w:rPr>
        <w:t>Ibíd.</w:t>
      </w:r>
    </w:p>
  </w:footnote>
  <w:footnote w:id="10">
    <w:p w14:paraId="378DEBC2" w14:textId="3724805B" w:rsidR="00645814" w:rsidRPr="00AA4B77" w:rsidRDefault="00645814">
      <w:pPr>
        <w:pStyle w:val="FootnoteText"/>
        <w:rPr>
          <w:rFonts w:ascii="Calibri" w:hAnsi="Calibri" w:cs="Calibri"/>
          <w:i/>
          <w:iCs/>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iCs/>
          <w:color w:val="000000" w:themeColor="text1"/>
          <w:lang w:val="es-ES"/>
        </w:rPr>
        <w:t>Ibíd.</w:t>
      </w:r>
    </w:p>
  </w:footnote>
  <w:footnote w:id="11">
    <w:p w14:paraId="0A82F4DE" w14:textId="1EDDA68F" w:rsidR="00645814" w:rsidRPr="00AA4B77" w:rsidRDefault="00645814">
      <w:pPr>
        <w:pStyle w:val="FootnoteText"/>
        <w:rPr>
          <w:rFonts w:ascii="Calibri" w:hAnsi="Calibri" w:cs="Calibri"/>
          <w:i/>
          <w:iCs/>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iCs/>
          <w:color w:val="000000" w:themeColor="text1"/>
          <w:lang w:val="es-ES"/>
        </w:rPr>
        <w:t>Ibíd.</w:t>
      </w:r>
    </w:p>
  </w:footnote>
  <w:footnote w:id="12">
    <w:p w14:paraId="1BE4401C" w14:textId="622FA366"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iCs/>
          <w:color w:val="000000" w:themeColor="text1"/>
          <w:lang w:val="es-ES"/>
        </w:rPr>
        <w:t>Véase Pueblos indígenas en Guatemala</w:t>
      </w:r>
      <w:r w:rsidRPr="00AA4B77">
        <w:rPr>
          <w:rFonts w:ascii="Calibri" w:hAnsi="Calibri" w:cs="Calibri"/>
          <w:color w:val="000000" w:themeColor="text1"/>
          <w:lang w:val="es-ES"/>
        </w:rPr>
        <w:t xml:space="preserve">, </w:t>
      </w:r>
      <w:r w:rsidRPr="00AA4B77">
        <w:rPr>
          <w:rFonts w:ascii="Calibri" w:hAnsi="Calibri" w:cs="Calibri"/>
          <w:smallCaps/>
          <w:color w:val="000000" w:themeColor="text1"/>
          <w:lang w:val="es-ES"/>
        </w:rPr>
        <w:t xml:space="preserve">IWGIA, </w:t>
      </w:r>
      <w:r w:rsidR="00976422" w:rsidRPr="00AA4B77">
        <w:rPr>
          <w:rFonts w:ascii="Calibri" w:hAnsi="Calibri" w:cs="Calibri"/>
          <w:color w:val="000000" w:themeColor="text1"/>
          <w:lang w:val="es-ES"/>
        </w:rPr>
        <w:t xml:space="preserve">disponible en </w:t>
      </w:r>
      <w:r w:rsidRPr="00AA4B77">
        <w:rPr>
          <w:rFonts w:ascii="Calibri" w:hAnsi="Calibri" w:cs="Calibri"/>
          <w:color w:val="000000" w:themeColor="text1"/>
          <w:lang w:val="es-ES"/>
        </w:rPr>
        <w:t>https://iwgia.org/en/guatemala?__hstc=25938786.baec4bcdf2034558f60f34b14c1dd07e.1475107200045.1475107200047.1475107200048.2&amp;__hssc=25938786.1.1475107200048&amp;__hsfp=1773666937&amp;start=4.</w:t>
      </w:r>
    </w:p>
  </w:footnote>
  <w:footnote w:id="13">
    <w:p w14:paraId="658C6360" w14:textId="43836264" w:rsidR="00645814" w:rsidRPr="00AA4B77" w:rsidRDefault="00645814">
      <w:pPr>
        <w:pStyle w:val="FootnoteText"/>
        <w:rPr>
          <w:rFonts w:ascii="Calibri" w:hAnsi="Calibri" w:cs="Calibri"/>
          <w:i/>
          <w:iCs/>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iCs/>
          <w:color w:val="000000" w:themeColor="text1"/>
          <w:lang w:val="es-ES"/>
        </w:rPr>
        <w:t>Ibí</w:t>
      </w:r>
      <w:r w:rsidR="00976422" w:rsidRPr="00AA4B77">
        <w:rPr>
          <w:rFonts w:ascii="Calibri" w:hAnsi="Calibri" w:cs="Calibri"/>
          <w:i/>
          <w:iCs/>
          <w:color w:val="000000" w:themeColor="text1"/>
          <w:lang w:val="es-ES"/>
        </w:rPr>
        <w:t>d</w:t>
      </w:r>
      <w:r w:rsidRPr="00AA4B77">
        <w:rPr>
          <w:rFonts w:ascii="Calibri" w:hAnsi="Calibri" w:cs="Calibri"/>
          <w:i/>
          <w:iCs/>
          <w:color w:val="000000" w:themeColor="text1"/>
          <w:lang w:val="es-ES"/>
        </w:rPr>
        <w:t>.</w:t>
      </w:r>
    </w:p>
  </w:footnote>
  <w:footnote w:id="14">
    <w:p w14:paraId="1AEC9C4C" w14:textId="354DB51B" w:rsidR="00645814" w:rsidRPr="00AA4B77" w:rsidRDefault="00645814">
      <w:pPr>
        <w:pStyle w:val="FootnoteText"/>
        <w:rPr>
          <w:rFonts w:ascii="Calibri" w:hAnsi="Calibri" w:cs="Calibri"/>
          <w:i/>
          <w:iCs/>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i/>
          <w:iCs/>
          <w:color w:val="000000" w:themeColor="text1"/>
          <w:lang w:val="es-ES"/>
        </w:rPr>
        <w:t>Ibíd.</w:t>
      </w:r>
    </w:p>
  </w:footnote>
  <w:footnote w:id="15">
    <w:p w14:paraId="0DE6BED8" w14:textId="44525560"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iCs/>
          <w:color w:val="000000" w:themeColor="text1"/>
          <w:lang w:val="es-ES"/>
        </w:rPr>
        <w:t>Véase Radio comunitaria</w:t>
      </w:r>
      <w:r w:rsidRPr="00AA4B77">
        <w:rPr>
          <w:rFonts w:ascii="Calibri" w:hAnsi="Calibri" w:cs="Calibri"/>
          <w:color w:val="000000" w:themeColor="text1"/>
          <w:lang w:val="es-ES"/>
        </w:rPr>
        <w:t xml:space="preserve">, </w:t>
      </w:r>
      <w:r w:rsidRPr="00AA4B77">
        <w:rPr>
          <w:rFonts w:ascii="Calibri" w:hAnsi="Calibri" w:cs="Calibri"/>
          <w:smallCaps/>
          <w:color w:val="000000" w:themeColor="text1"/>
          <w:lang w:val="es-ES"/>
        </w:rPr>
        <w:t xml:space="preserve">UNESCO, </w:t>
      </w:r>
      <w:r w:rsidRPr="00AA4B77">
        <w:rPr>
          <w:rFonts w:ascii="Calibri" w:hAnsi="Calibri" w:cs="Calibri"/>
          <w:color w:val="000000" w:themeColor="text1"/>
          <w:lang w:val="es-ES"/>
        </w:rPr>
        <w:t>https://www.unesco.org/en/media-pluralism-diversity/community-media (última visita el 13 de marzo de 2025) (definición de radio comunitaria).</w:t>
      </w:r>
    </w:p>
  </w:footnote>
  <w:footnote w:id="16">
    <w:p w14:paraId="2C0D86A0" w14:textId="2DE5C126"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iCs/>
          <w:color w:val="000000" w:themeColor="text1"/>
          <w:lang w:val="es-ES"/>
        </w:rPr>
        <w:t xml:space="preserve">Ver </w:t>
      </w:r>
      <w:r w:rsidRPr="00AA4B77">
        <w:rPr>
          <w:rFonts w:ascii="Calibri" w:hAnsi="Calibri" w:cs="Calibri"/>
          <w:color w:val="000000" w:themeColor="text1"/>
          <w:lang w:val="es-ES"/>
        </w:rPr>
        <w:t xml:space="preserve">Ali Rae y Elizabeth </w:t>
      </w:r>
      <w:r w:rsidRPr="00AA4B77">
        <w:rPr>
          <w:rFonts w:ascii="Calibri" w:hAnsi="Calibri" w:cs="Calibri"/>
          <w:color w:val="000000" w:themeColor="text1"/>
          <w:lang w:val="es-ES"/>
        </w:rPr>
        <w:t xml:space="preserve">Melimopoulous, </w:t>
      </w:r>
      <w:r w:rsidRPr="00AA4B77">
        <w:rPr>
          <w:rFonts w:ascii="Calibri" w:hAnsi="Calibri" w:cs="Calibri"/>
          <w:i/>
          <w:iCs/>
          <w:color w:val="000000" w:themeColor="text1"/>
          <w:lang w:val="es-ES"/>
        </w:rPr>
        <w:t>¿Por qué es importante la radio comunitaria en Guatemala?</w:t>
      </w:r>
      <w:r w:rsidRPr="00AA4B77">
        <w:rPr>
          <w:rFonts w:ascii="Calibri" w:hAnsi="Calibri" w:cs="Calibri"/>
          <w:color w:val="000000" w:themeColor="text1"/>
          <w:lang w:val="es-ES"/>
        </w:rPr>
        <w:t>, Al Jazeera (14 de febrero de 2018), https://www.aljazeera.com/features/2018/2/14/why-is-community-radio-in-guatemala-important</w:t>
      </w:r>
      <w:r w:rsidR="00976422" w:rsidRPr="00AA4B77">
        <w:rPr>
          <w:rFonts w:ascii="Calibri" w:hAnsi="Calibri" w:cs="Calibri"/>
          <w:color w:val="000000" w:themeColor="text1"/>
          <w:lang w:val="es-ES"/>
        </w:rPr>
        <w:t>.</w:t>
      </w:r>
    </w:p>
  </w:footnote>
  <w:footnote w:id="17">
    <w:p w14:paraId="528DE631" w14:textId="32FFA19A" w:rsidR="00645814" w:rsidRPr="00AA4B77" w:rsidRDefault="00645814">
      <w:pPr>
        <w:pStyle w:val="FootnoteText"/>
        <w:rPr>
          <w:rFonts w:ascii="Calibri" w:hAnsi="Calibri" w:cs="Calibri"/>
          <w:i/>
          <w:iCs/>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iCs/>
          <w:color w:val="000000" w:themeColor="text1"/>
          <w:lang w:val="es-ES"/>
        </w:rPr>
        <w:t>Ibíd.</w:t>
      </w:r>
    </w:p>
  </w:footnote>
  <w:footnote w:id="18">
    <w:p w14:paraId="619EEC27" w14:textId="097DAF3B"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iCs/>
          <w:color w:val="000000" w:themeColor="text1"/>
          <w:lang w:val="es-ES"/>
        </w:rPr>
        <w:t>Ibí</w:t>
      </w:r>
      <w:r w:rsidR="00976422" w:rsidRPr="00AA4B77">
        <w:rPr>
          <w:rFonts w:ascii="Calibri" w:hAnsi="Calibri" w:cs="Calibri"/>
          <w:i/>
          <w:iCs/>
          <w:color w:val="000000" w:themeColor="text1"/>
          <w:lang w:val="es-ES"/>
        </w:rPr>
        <w:t>d</w:t>
      </w:r>
      <w:r w:rsidRPr="00AA4B77">
        <w:rPr>
          <w:rFonts w:ascii="Calibri" w:hAnsi="Calibri" w:cs="Calibri"/>
          <w:i/>
          <w:iCs/>
          <w:color w:val="000000" w:themeColor="text1"/>
          <w:lang w:val="es-ES"/>
        </w:rPr>
        <w:t>.</w:t>
      </w:r>
    </w:p>
  </w:footnote>
  <w:footnote w:id="19">
    <w:p w14:paraId="78FE287B" w14:textId="28B6CB93" w:rsidR="00645814" w:rsidRPr="00AA4B77" w:rsidRDefault="00645814" w:rsidP="00A16890">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El Acuerdo sobre la Identidad y los Derechos de los Pueblos Indígenas, GT, 31 de marzo de 1995, UN Doc. A/49/882S/1995/256, de 10 de abril de 1995, disponible en </w:t>
      </w:r>
      <w:r w:rsidR="00EC4AFA">
        <w:fldChar w:fldCharType="begin"/>
      </w:r>
      <w:r w:rsidR="00EC4AFA" w:rsidRPr="00EC4AFA">
        <w:rPr>
          <w:lang w:val="es-ES"/>
        </w:rPr>
        <w:instrText xml:space="preserve"> HYPERLINK "https://peacemaker.un.org/sites/default/files/document/files/2024/05/gt950331agreementidentityandrightsofindigenouspeoples.pdf" </w:instrText>
      </w:r>
      <w:r w:rsidR="00EC4AFA">
        <w:fldChar w:fldCharType="separate"/>
      </w:r>
      <w:r w:rsidRPr="00AA4B77">
        <w:rPr>
          <w:rStyle w:val="Hyperlink"/>
          <w:rFonts w:ascii="Calibri" w:hAnsi="Calibri" w:cs="Calibri"/>
          <w:color w:val="000000" w:themeColor="text1"/>
          <w:lang w:val="es-ES"/>
        </w:rPr>
        <w:t>https://peacemaker.un.org/sites/default/files/document/files/2024/05/gt950331agreementidentityandrightsofindigenouspeoples.pdf</w:t>
      </w:r>
      <w:r w:rsidR="00EC4AFA">
        <w:rPr>
          <w:rStyle w:val="Hyperlink"/>
          <w:rFonts w:ascii="Calibri" w:hAnsi="Calibri" w:cs="Calibri"/>
          <w:color w:val="000000" w:themeColor="text1"/>
          <w:lang w:val="es-ES"/>
        </w:rPr>
        <w:fldChar w:fldCharType="end"/>
      </w:r>
      <w:r w:rsidRPr="00AA4B77">
        <w:rPr>
          <w:rFonts w:ascii="Calibri" w:hAnsi="Calibri" w:cs="Calibri"/>
          <w:color w:val="000000" w:themeColor="text1"/>
          <w:lang w:val="es-ES"/>
        </w:rPr>
        <w:t>.</w:t>
      </w:r>
    </w:p>
  </w:footnote>
  <w:footnote w:id="20">
    <w:p w14:paraId="0C365DF5" w14:textId="4DF0C361" w:rsidR="00645814" w:rsidRPr="00AA4B77" w:rsidRDefault="00645814" w:rsidP="00636DB3">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iCs/>
          <w:color w:val="000000" w:themeColor="text1"/>
          <w:lang w:val="es-ES"/>
        </w:rPr>
        <w:t>Ibíd</w:t>
      </w:r>
      <w:r w:rsidRPr="00AA4B77">
        <w:rPr>
          <w:rFonts w:ascii="Calibri" w:hAnsi="Calibri" w:cs="Calibri"/>
          <w:color w:val="000000" w:themeColor="text1"/>
          <w:lang w:val="es-ES"/>
        </w:rPr>
        <w:t>.</w:t>
      </w:r>
    </w:p>
  </w:footnote>
  <w:footnote w:id="21">
    <w:p w14:paraId="692DF172" w14:textId="7EF81FA5" w:rsidR="00645814" w:rsidRPr="00AA4B77" w:rsidRDefault="00645814" w:rsidP="00DE2693">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Ley General de Telecomunicaciones, art. 62, D.C.A. (18 de noviembre de 1996), disponible en </w:t>
      </w:r>
      <w:r w:rsidR="00EC4AFA">
        <w:fldChar w:fldCharType="begin"/>
      </w:r>
      <w:r w:rsidR="00EC4AFA" w:rsidRPr="00EC4AFA">
        <w:rPr>
          <w:lang w:val="es-ES"/>
        </w:rPr>
        <w:instrText xml:space="preserve"> HYPERLINK "https://www.congreso.gob.gt/detalle_pdf/decretos/897" </w:instrText>
      </w:r>
      <w:r w:rsidR="00EC4AFA">
        <w:fldChar w:fldCharType="separate"/>
      </w:r>
      <w:r w:rsidRPr="00AA4B77">
        <w:rPr>
          <w:rStyle w:val="Hyperlink"/>
          <w:rFonts w:ascii="Calibri" w:hAnsi="Calibri" w:cs="Calibri"/>
          <w:color w:val="000000" w:themeColor="text1"/>
          <w:lang w:val="es-ES"/>
        </w:rPr>
        <w:t>https://www.congreso.gob.gt/detalle_pdf/decretos/897</w:t>
      </w:r>
      <w:r w:rsidR="00EC4AFA">
        <w:rPr>
          <w:rStyle w:val="Hyperlink"/>
          <w:rFonts w:ascii="Calibri" w:hAnsi="Calibri" w:cs="Calibri"/>
          <w:color w:val="000000" w:themeColor="text1"/>
          <w:lang w:val="es-ES"/>
        </w:rPr>
        <w:fldChar w:fldCharType="end"/>
      </w:r>
      <w:r w:rsidRPr="00AA4B77">
        <w:rPr>
          <w:rFonts w:ascii="Calibri" w:hAnsi="Calibri" w:cs="Calibri"/>
          <w:color w:val="000000" w:themeColor="text1"/>
          <w:lang w:val="es-ES"/>
        </w:rPr>
        <w:t xml:space="preserve">. </w:t>
      </w:r>
    </w:p>
  </w:footnote>
  <w:footnote w:id="22">
    <w:p w14:paraId="22949B5A" w14:textId="7C8401C5" w:rsidR="00645814" w:rsidRPr="00AA4B77" w:rsidRDefault="00645814" w:rsidP="00DE2693">
      <w:pPr>
        <w:pStyle w:val="FootnoteText"/>
        <w:rPr>
          <w:rFonts w:ascii="Calibri" w:hAnsi="Calibri" w:cs="Calibri"/>
          <w:color w:val="000000" w:themeColor="text1"/>
        </w:rPr>
      </w:pPr>
      <w:r w:rsidRPr="00AA4B77">
        <w:rPr>
          <w:rStyle w:val="FootnoteReference"/>
          <w:rFonts w:ascii="Calibri" w:hAnsi="Calibri" w:cs="Calibri"/>
          <w:color w:val="000000" w:themeColor="text1"/>
        </w:rPr>
        <w:footnoteRef/>
      </w:r>
      <w:r w:rsidRPr="00AA4B77">
        <w:rPr>
          <w:rFonts w:ascii="Calibri" w:hAnsi="Calibri" w:cs="Calibri"/>
          <w:color w:val="000000" w:themeColor="text1"/>
        </w:rPr>
        <w:t xml:space="preserve"> </w:t>
      </w:r>
      <w:r w:rsidRPr="00AA4B77">
        <w:rPr>
          <w:rFonts w:ascii="Calibri" w:hAnsi="Calibri" w:cs="Calibri"/>
          <w:i/>
          <w:color w:val="000000" w:themeColor="text1"/>
        </w:rPr>
        <w:t>Ibíd.</w:t>
      </w:r>
    </w:p>
  </w:footnote>
  <w:footnote w:id="23">
    <w:p w14:paraId="21BA8D69" w14:textId="68036927" w:rsidR="00645814" w:rsidRPr="00AA4B77" w:rsidRDefault="00645814">
      <w:pPr>
        <w:pStyle w:val="FootnoteText"/>
        <w:rPr>
          <w:rFonts w:ascii="Calibri" w:hAnsi="Calibri" w:cs="Calibri"/>
          <w:color w:val="000000" w:themeColor="text1"/>
        </w:rPr>
      </w:pPr>
      <w:r w:rsidRPr="00AA4B77">
        <w:rPr>
          <w:rStyle w:val="FootnoteReference"/>
          <w:rFonts w:ascii="Calibri" w:hAnsi="Calibri" w:cs="Calibri"/>
          <w:color w:val="000000" w:themeColor="text1"/>
        </w:rPr>
        <w:footnoteRef/>
      </w:r>
      <w:r w:rsidRPr="00AA4B77">
        <w:rPr>
          <w:rFonts w:ascii="Calibri" w:hAnsi="Calibri" w:cs="Calibri"/>
          <w:color w:val="000000" w:themeColor="text1"/>
        </w:rPr>
        <w:t xml:space="preserve"> </w:t>
      </w:r>
      <w:r w:rsidRPr="00AA4B77">
        <w:rPr>
          <w:rFonts w:ascii="Calibri" w:hAnsi="Calibri" w:cs="Calibri"/>
          <w:i/>
          <w:color w:val="000000" w:themeColor="text1"/>
        </w:rPr>
        <w:t>Ibíd</w:t>
      </w:r>
      <w:r w:rsidRPr="00AA4B77">
        <w:rPr>
          <w:rFonts w:ascii="Calibri" w:hAnsi="Calibri" w:cs="Calibri"/>
          <w:color w:val="000000" w:themeColor="text1"/>
        </w:rPr>
        <w:t>., art. 61.</w:t>
      </w:r>
    </w:p>
  </w:footnote>
  <w:footnote w:id="24">
    <w:p w14:paraId="3A18859E" w14:textId="77777777" w:rsidR="00645814" w:rsidRPr="00AA4B77" w:rsidRDefault="00645814" w:rsidP="00DE2693">
      <w:pPr>
        <w:pStyle w:val="FootnoteText"/>
        <w:rPr>
          <w:rFonts w:ascii="Calibri" w:hAnsi="Calibri" w:cs="Calibri"/>
          <w:color w:val="000000" w:themeColor="text1"/>
        </w:rPr>
      </w:pPr>
      <w:r w:rsidRPr="00AA4B77">
        <w:rPr>
          <w:rStyle w:val="FootnoteReference"/>
          <w:rFonts w:ascii="Calibri" w:hAnsi="Calibri" w:cs="Calibri"/>
          <w:color w:val="000000" w:themeColor="text1"/>
        </w:rPr>
        <w:footnoteRef/>
      </w:r>
      <w:r w:rsidRPr="00AA4B77">
        <w:rPr>
          <w:rFonts w:ascii="Calibri" w:hAnsi="Calibri" w:cs="Calibri"/>
          <w:color w:val="000000" w:themeColor="text1"/>
        </w:rPr>
        <w:t xml:space="preserve"> </w:t>
      </w:r>
      <w:r w:rsidRPr="00AA4B77">
        <w:rPr>
          <w:rFonts w:ascii="Calibri" w:hAnsi="Calibri" w:cs="Calibri"/>
          <w:i/>
          <w:iCs/>
          <w:color w:val="000000" w:themeColor="text1"/>
        </w:rPr>
        <w:t xml:space="preserve">Ibíd., </w:t>
      </w:r>
      <w:r w:rsidRPr="00AA4B77">
        <w:rPr>
          <w:rFonts w:ascii="Calibri" w:hAnsi="Calibri" w:cs="Calibri"/>
          <w:color w:val="000000" w:themeColor="text1"/>
        </w:rPr>
        <w:t>art. 62.</w:t>
      </w:r>
    </w:p>
  </w:footnote>
  <w:footnote w:id="25">
    <w:p w14:paraId="06F53F21" w14:textId="12CF8005"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Véase </w:t>
      </w:r>
      <w:r w:rsidRPr="00AA4B77">
        <w:rPr>
          <w:rFonts w:ascii="Calibri" w:hAnsi="Calibri" w:cs="Calibri"/>
          <w:i/>
          <w:iCs/>
          <w:color w:val="000000" w:themeColor="text1"/>
          <w:kern w:val="0"/>
          <w:lang w:val="es-ES"/>
        </w:rPr>
        <w:t xml:space="preserve">el </w:t>
      </w:r>
      <w:r w:rsidR="00976422" w:rsidRPr="00AA4B77">
        <w:rPr>
          <w:rFonts w:ascii="Calibri" w:hAnsi="Calibri" w:cs="Calibri"/>
          <w:i/>
          <w:iCs/>
          <w:color w:val="000000" w:themeColor="text1"/>
          <w:kern w:val="0"/>
          <w:lang w:val="es-ES"/>
        </w:rPr>
        <w:t>C</w:t>
      </w:r>
      <w:r w:rsidRPr="00AA4B77">
        <w:rPr>
          <w:rFonts w:ascii="Calibri" w:hAnsi="Calibri" w:cs="Calibri"/>
          <w:i/>
          <w:iCs/>
          <w:color w:val="000000" w:themeColor="text1"/>
          <w:kern w:val="0"/>
          <w:lang w:val="es-ES"/>
        </w:rPr>
        <w:t>aso Maya Kaqchikel,</w:t>
      </w:r>
      <w:r w:rsidR="002F1720" w:rsidRPr="00AA4B77">
        <w:rPr>
          <w:rFonts w:ascii="Calibri" w:hAnsi="Calibri" w:cs="Calibri"/>
          <w:color w:val="000000" w:themeColor="text1"/>
          <w:lang w:val="es-ES"/>
        </w:rPr>
        <w:t xml:space="preserve"> párr. 146.</w:t>
      </w:r>
      <w:r w:rsidRPr="00AA4B77">
        <w:rPr>
          <w:rFonts w:ascii="Calibri" w:hAnsi="Calibri" w:cs="Calibri"/>
          <w:i/>
          <w:iCs/>
          <w:color w:val="000000" w:themeColor="text1"/>
          <w:kern w:val="0"/>
          <w:lang w:val="es-ES"/>
        </w:rPr>
        <w:t xml:space="preserve"> </w:t>
      </w:r>
      <w:r w:rsidR="002F1720" w:rsidRPr="00AA4B77">
        <w:rPr>
          <w:rFonts w:ascii="Calibri" w:hAnsi="Calibri" w:cs="Calibri"/>
          <w:i/>
          <w:iCs/>
          <w:color w:val="000000" w:themeColor="text1"/>
          <w:kern w:val="0"/>
          <w:lang w:val="es-ES"/>
        </w:rPr>
        <w:t xml:space="preserve">nota 1, </w:t>
      </w:r>
      <w:r w:rsidRPr="00AA4B77">
        <w:rPr>
          <w:rFonts w:ascii="Calibri" w:hAnsi="Calibri" w:cs="Calibri"/>
          <w:i/>
          <w:iCs/>
          <w:color w:val="000000" w:themeColor="text1"/>
          <w:kern w:val="0"/>
          <w:lang w:val="es-ES"/>
        </w:rPr>
        <w:t>supra</w:t>
      </w:r>
      <w:r w:rsidR="002F1720" w:rsidRPr="00AA4B77">
        <w:rPr>
          <w:rFonts w:ascii="Calibri" w:hAnsi="Calibri" w:cs="Calibri"/>
          <w:i/>
          <w:iCs/>
          <w:color w:val="000000" w:themeColor="text1"/>
          <w:kern w:val="0"/>
          <w:lang w:val="es-ES"/>
        </w:rPr>
        <w:t>.</w:t>
      </w:r>
      <w:r w:rsidRPr="00AA4B77">
        <w:rPr>
          <w:rFonts w:ascii="Calibri" w:hAnsi="Calibri" w:cs="Calibri"/>
          <w:color w:val="000000" w:themeColor="text1"/>
          <w:kern w:val="0"/>
          <w:lang w:val="es-ES"/>
        </w:rPr>
        <w:t xml:space="preserve"> </w:t>
      </w:r>
    </w:p>
  </w:footnote>
  <w:footnote w:id="26">
    <w:p w14:paraId="544125E2" w14:textId="5A3F9A61" w:rsidR="00645814" w:rsidRPr="00AA4B77" w:rsidRDefault="00645814" w:rsidP="005D294F">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Véase </w:t>
      </w:r>
      <w:r w:rsidRPr="00AA4B77">
        <w:rPr>
          <w:rFonts w:ascii="Calibri" w:hAnsi="Calibri" w:cs="Calibri"/>
          <w:i/>
          <w:iCs/>
          <w:color w:val="000000" w:themeColor="text1"/>
          <w:kern w:val="0"/>
          <w:lang w:val="es-ES"/>
        </w:rPr>
        <w:t xml:space="preserve">el </w:t>
      </w:r>
      <w:r w:rsidR="00976422" w:rsidRPr="00AA4B77">
        <w:rPr>
          <w:rFonts w:ascii="Calibri" w:hAnsi="Calibri" w:cs="Calibri"/>
          <w:i/>
          <w:iCs/>
          <w:color w:val="000000" w:themeColor="text1"/>
          <w:kern w:val="0"/>
          <w:lang w:val="es-ES"/>
        </w:rPr>
        <w:t>C</w:t>
      </w:r>
      <w:r w:rsidRPr="00AA4B77">
        <w:rPr>
          <w:rFonts w:ascii="Calibri" w:hAnsi="Calibri" w:cs="Calibri"/>
          <w:i/>
          <w:iCs/>
          <w:color w:val="000000" w:themeColor="text1"/>
          <w:kern w:val="0"/>
          <w:lang w:val="es-ES"/>
        </w:rPr>
        <w:t xml:space="preserve">aso Maya Kaqchikel, </w:t>
      </w:r>
      <w:r w:rsidR="002F1720" w:rsidRPr="00AA4B77">
        <w:rPr>
          <w:rFonts w:ascii="Calibri" w:hAnsi="Calibri" w:cs="Calibri"/>
          <w:color w:val="000000" w:themeColor="text1"/>
          <w:lang w:val="es-ES"/>
        </w:rPr>
        <w:t xml:space="preserve">párr. 55, </w:t>
      </w:r>
      <w:r w:rsidR="002F1720" w:rsidRPr="00AA4B77">
        <w:rPr>
          <w:rFonts w:ascii="Calibri" w:hAnsi="Calibri" w:cs="Calibri"/>
          <w:i/>
          <w:color w:val="000000" w:themeColor="text1"/>
          <w:lang w:val="es-ES"/>
        </w:rPr>
        <w:t xml:space="preserve">nota 1, </w:t>
      </w:r>
      <w:r w:rsidRPr="00AA4B77">
        <w:rPr>
          <w:rFonts w:ascii="Calibri" w:hAnsi="Calibri" w:cs="Calibri"/>
          <w:i/>
          <w:iCs/>
          <w:color w:val="000000" w:themeColor="text1"/>
          <w:kern w:val="0"/>
          <w:lang w:val="es-ES"/>
        </w:rPr>
        <w:t>supra</w:t>
      </w:r>
      <w:r w:rsidR="002F1720" w:rsidRPr="00AA4B77">
        <w:rPr>
          <w:rFonts w:ascii="Calibri" w:hAnsi="Calibri" w:cs="Calibri"/>
          <w:i/>
          <w:iCs/>
          <w:color w:val="000000" w:themeColor="text1"/>
          <w:kern w:val="0"/>
          <w:lang w:val="es-ES"/>
        </w:rPr>
        <w:t>.</w:t>
      </w:r>
    </w:p>
  </w:footnote>
  <w:footnote w:id="27">
    <w:p w14:paraId="29D7BDFC" w14:textId="7AEE5465"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André </w:t>
      </w:r>
      <w:r w:rsidRPr="00AA4B77">
        <w:rPr>
          <w:rFonts w:ascii="Calibri" w:hAnsi="Calibri" w:cs="Calibri"/>
          <w:color w:val="000000" w:themeColor="text1"/>
          <w:lang w:val="es-ES"/>
        </w:rPr>
        <w:t xml:space="preserve">Duchiade, </w:t>
      </w:r>
      <w:r w:rsidRPr="00AA4B77">
        <w:rPr>
          <w:rFonts w:ascii="Calibri" w:hAnsi="Calibri" w:cs="Calibri"/>
          <w:i/>
          <w:iCs/>
          <w:color w:val="000000" w:themeColor="text1"/>
          <w:lang w:val="es-ES"/>
        </w:rPr>
        <w:t>radios comunitarias centroamericanas, enfrentando criminalización y persecución, luchan por el reconocimiento y la protección</w:t>
      </w:r>
      <w:r w:rsidRPr="00AA4B77">
        <w:rPr>
          <w:rFonts w:ascii="Calibri" w:hAnsi="Calibri" w:cs="Calibri"/>
          <w:color w:val="000000" w:themeColor="text1"/>
          <w:lang w:val="es-ES"/>
        </w:rPr>
        <w:t xml:space="preserve">, Cultural Survival (4 de octubre de 2024), disponible en </w:t>
      </w:r>
      <w:r w:rsidR="00EC4AFA">
        <w:fldChar w:fldCharType="begin"/>
      </w:r>
      <w:r w:rsidR="00EC4AFA" w:rsidRPr="00EC4AFA">
        <w:rPr>
          <w:lang w:val="es-ES"/>
        </w:rPr>
        <w:instrText xml:space="preserve"> HYPERLINK "https://latamjournalismreview.org/articles/central-american-community-radio-stations-facing-criminalization-and-persecution-are-fighting-for-recognition-and-protection/" </w:instrText>
      </w:r>
      <w:r w:rsidR="00EC4AFA">
        <w:fldChar w:fldCharType="separate"/>
      </w:r>
      <w:r w:rsidRPr="00AA4B77">
        <w:rPr>
          <w:rStyle w:val="Hyperlink"/>
          <w:rFonts w:ascii="Calibri" w:hAnsi="Calibri" w:cs="Calibri"/>
          <w:color w:val="000000" w:themeColor="text1"/>
          <w:lang w:val="es-ES"/>
        </w:rPr>
        <w:t>https://latamjournalismreview.org/articles/central-american-community-radio-stations-facing-criminalization-and-persecution-are-fighting-for-recognition-and-protection/</w:t>
      </w:r>
      <w:r w:rsidR="00EC4AFA">
        <w:rPr>
          <w:rStyle w:val="Hyperlink"/>
          <w:rFonts w:ascii="Calibri" w:hAnsi="Calibri" w:cs="Calibri"/>
          <w:color w:val="000000" w:themeColor="text1"/>
          <w:lang w:val="es-ES"/>
        </w:rPr>
        <w:fldChar w:fldCharType="end"/>
      </w:r>
      <w:r w:rsidRPr="00AA4B77">
        <w:rPr>
          <w:rFonts w:ascii="Calibri" w:hAnsi="Calibri" w:cs="Calibri"/>
          <w:color w:val="000000" w:themeColor="text1"/>
          <w:lang w:val="es-ES"/>
        </w:rPr>
        <w:t xml:space="preserve"> </w:t>
      </w:r>
    </w:p>
  </w:footnote>
  <w:footnote w:id="28">
    <w:p w14:paraId="6022CBE1" w14:textId="77777777" w:rsidR="00645814" w:rsidRPr="00AA4B77" w:rsidRDefault="00645814" w:rsidP="009D0A9A">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Véase Relatoría Especial para la Libertad de Expresión, </w:t>
      </w:r>
      <w:r w:rsidRPr="00AA4B77">
        <w:rPr>
          <w:rFonts w:ascii="Calibri" w:hAnsi="Calibri" w:cs="Calibri"/>
          <w:i/>
          <w:iCs/>
          <w:color w:val="000000" w:themeColor="text1"/>
          <w:lang w:val="es-ES"/>
        </w:rPr>
        <w:t>Estándares de Libertad de Expresión para una Radiodifusión Libre e Inclusiva</w:t>
      </w:r>
      <w:r w:rsidRPr="00AA4B77">
        <w:rPr>
          <w:rFonts w:ascii="Calibri" w:hAnsi="Calibri" w:cs="Calibri"/>
          <w:color w:val="000000" w:themeColor="text1"/>
          <w:lang w:val="es-ES"/>
        </w:rPr>
        <w:t xml:space="preserve"> (2010), disponible en </w:t>
      </w:r>
      <w:r w:rsidR="00EC4AFA">
        <w:fldChar w:fldCharType="begin"/>
      </w:r>
      <w:r w:rsidR="00EC4AFA" w:rsidRPr="00EC4AFA">
        <w:rPr>
          <w:lang w:val="es-ES"/>
        </w:rPr>
        <w:instrText xml:space="preserve"> HYPERLINK "https://Www.Oas.Org/Es/Cidh/Expresion/Docs/Cd/Sistema_Interamericano_De_Derechos_Humanos/Index_FESFIB.Html" </w:instrText>
      </w:r>
      <w:r w:rsidR="00EC4AFA">
        <w:fldChar w:fldCharType="separate"/>
      </w:r>
      <w:r w:rsidRPr="00AA4B77">
        <w:rPr>
          <w:rStyle w:val="Hyperlink"/>
          <w:rFonts w:ascii="Calibri" w:hAnsi="Calibri" w:cs="Calibri"/>
          <w:color w:val="000000" w:themeColor="text1"/>
          <w:lang w:val="es-ES"/>
        </w:rPr>
        <w:t>https://Www.Oas.Org/Es/Cidh/Expresion/Docs/Cd/Sistema_Interamericano_De_Derechos_Humanos/Index_FESFIB.Html</w:t>
      </w:r>
      <w:r w:rsidR="00EC4AFA">
        <w:rPr>
          <w:rStyle w:val="Hyperlink"/>
          <w:rFonts w:ascii="Calibri" w:hAnsi="Calibri" w:cs="Calibri"/>
          <w:color w:val="000000" w:themeColor="text1"/>
          <w:lang w:val="es-ES"/>
        </w:rPr>
        <w:fldChar w:fldCharType="end"/>
      </w:r>
      <w:r w:rsidRPr="00AA4B77">
        <w:rPr>
          <w:rFonts w:ascii="Calibri" w:hAnsi="Calibri" w:cs="Calibri"/>
          <w:color w:val="000000" w:themeColor="text1"/>
          <w:lang w:val="es-ES"/>
        </w:rPr>
        <w:t xml:space="preserve"> </w:t>
      </w:r>
    </w:p>
  </w:footnote>
  <w:footnote w:id="29">
    <w:p w14:paraId="3DFFFC4E" w14:textId="5051EFC9" w:rsidR="00645814" w:rsidRPr="00AA4B77" w:rsidRDefault="00645814" w:rsidP="00CF1AE8">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iCs/>
          <w:color w:val="000000" w:themeColor="text1"/>
          <w:lang w:val="es-ES"/>
        </w:rPr>
        <w:t>Ibíd.</w:t>
      </w:r>
      <w:r w:rsidRPr="00AA4B77">
        <w:rPr>
          <w:rFonts w:ascii="Calibri" w:hAnsi="Calibri" w:cs="Calibri"/>
          <w:color w:val="000000" w:themeColor="text1"/>
          <w:lang w:val="es-ES"/>
        </w:rPr>
        <w:t>, 16 nota 68: Aunque la Corte consideró que las disposiciones eran constitucionales, alentó al Estado a crear legislación para regular el acceso a los pueblos indígenas.</w:t>
      </w:r>
    </w:p>
  </w:footnote>
  <w:footnote w:id="30">
    <w:p w14:paraId="2BD13238" w14:textId="283D3D25"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eastAsia="Arial" w:hAnsi="Calibri" w:cs="Calibri"/>
          <w:i/>
          <w:iCs/>
          <w:color w:val="000000" w:themeColor="text1"/>
          <w:lang w:val="es-ES"/>
        </w:rPr>
        <w:t xml:space="preserve">Caso </w:t>
      </w:r>
      <w:r w:rsidRPr="00AA4B77">
        <w:rPr>
          <w:rFonts w:ascii="Calibri" w:hAnsi="Calibri" w:cs="Calibri"/>
          <w:i/>
          <w:iCs/>
          <w:color w:val="000000" w:themeColor="text1"/>
          <w:kern w:val="0"/>
          <w:lang w:val="es-ES"/>
        </w:rPr>
        <w:t>Maya Kaqchikel</w:t>
      </w:r>
      <w:r w:rsidR="00976422" w:rsidRPr="00AA4B77">
        <w:rPr>
          <w:rFonts w:ascii="Calibri" w:hAnsi="Calibri" w:cs="Calibri"/>
          <w:i/>
          <w:iCs/>
          <w:color w:val="000000" w:themeColor="text1"/>
          <w:kern w:val="0"/>
          <w:lang w:val="es-ES"/>
        </w:rPr>
        <w:t xml:space="preserve">, </w:t>
      </w:r>
      <w:r w:rsidR="002F1720" w:rsidRPr="00AA4B77">
        <w:rPr>
          <w:rFonts w:ascii="Calibri" w:hAnsi="Calibri" w:cs="Calibri"/>
          <w:color w:val="000000" w:themeColor="text1"/>
          <w:kern w:val="0"/>
          <w:lang w:val="es-ES"/>
        </w:rPr>
        <w:t>nota 1, supra.</w:t>
      </w:r>
    </w:p>
  </w:footnote>
  <w:footnote w:id="31">
    <w:p w14:paraId="207F1042" w14:textId="508B04C4" w:rsidR="00645814" w:rsidRPr="00AA4B77" w:rsidRDefault="00645814" w:rsidP="00CF1AE8">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Artículos 1, 2, 13, 24 y 26, </w:t>
      </w:r>
      <w:r w:rsidRPr="00AA4B77">
        <w:rPr>
          <w:rStyle w:val="markedcontent"/>
          <w:rFonts w:ascii="Calibri" w:hAnsi="Calibri" w:cs="Calibri"/>
          <w:color w:val="000000" w:themeColor="text1"/>
          <w:shd w:val="clear" w:color="auto" w:fill="FFFFFF"/>
          <w:lang w:val="es-ES"/>
        </w:rPr>
        <w:t xml:space="preserve">Organización de los Estados Americanos (OEA), Convención Americana sobre Derechos Humanos, "Pacto de San José", Costa Rica, 22 de noviembre de 1969, </w:t>
      </w:r>
      <w:r w:rsidRPr="00AA4B77">
        <w:rPr>
          <w:rStyle w:val="markedcontent"/>
          <w:rFonts w:ascii="Calibri" w:hAnsi="Calibri" w:cs="Calibri"/>
          <w:iCs/>
          <w:color w:val="000000" w:themeColor="text1"/>
          <w:shd w:val="clear" w:color="auto" w:fill="FFFFFF"/>
          <w:lang w:val="es-ES"/>
        </w:rPr>
        <w:t>disponible en</w:t>
      </w:r>
      <w:r w:rsidRPr="00AA4B77">
        <w:rPr>
          <w:rStyle w:val="markedcontent"/>
          <w:rFonts w:ascii="Calibri" w:hAnsi="Calibri" w:cs="Calibri"/>
          <w:color w:val="000000" w:themeColor="text1"/>
          <w:shd w:val="clear" w:color="auto" w:fill="FFFFFF"/>
          <w:lang w:val="es-ES"/>
        </w:rPr>
        <w:t xml:space="preserve"> </w:t>
      </w:r>
      <w:r w:rsidR="00EC4AFA">
        <w:fldChar w:fldCharType="begin"/>
      </w:r>
      <w:r w:rsidR="00EC4AFA" w:rsidRPr="00EC4AFA">
        <w:rPr>
          <w:lang w:val="es-ES"/>
        </w:rPr>
        <w:instrText xml:space="preserve"> HYPERLINK "https://www.oas.org/dil/access_to_information_American_Convention_on_Human_Righ</w:instrText>
      </w:r>
      <w:r w:rsidR="00EC4AFA" w:rsidRPr="00EC4AFA">
        <w:rPr>
          <w:lang w:val="es-ES"/>
        </w:rPr>
        <w:instrText xml:space="preserve">ts.pdf" </w:instrText>
      </w:r>
      <w:r w:rsidR="00EC4AFA">
        <w:fldChar w:fldCharType="separate"/>
      </w:r>
      <w:r w:rsidR="00976422" w:rsidRPr="00AA4B77">
        <w:rPr>
          <w:rStyle w:val="Hyperlink"/>
          <w:rFonts w:ascii="Calibri" w:hAnsi="Calibri" w:cs="Calibri"/>
          <w:shd w:val="clear" w:color="auto" w:fill="FFFFFF"/>
          <w:lang w:val="es-ES"/>
        </w:rPr>
        <w:t>https://www.oas.org/dil/access_to_information_American_Convention_on_Human_Rights.pdf</w:t>
      </w:r>
      <w:r w:rsidR="00EC4AFA">
        <w:rPr>
          <w:rStyle w:val="Hyperlink"/>
          <w:rFonts w:ascii="Calibri" w:hAnsi="Calibri" w:cs="Calibri"/>
          <w:shd w:val="clear" w:color="auto" w:fill="FFFFFF"/>
          <w:lang w:val="es-ES"/>
        </w:rPr>
        <w:fldChar w:fldCharType="end"/>
      </w:r>
      <w:r w:rsidR="00976422" w:rsidRPr="00AA4B77">
        <w:rPr>
          <w:rStyle w:val="markedcontent"/>
          <w:rFonts w:ascii="Calibri" w:hAnsi="Calibri" w:cs="Calibri"/>
          <w:color w:val="000000" w:themeColor="text1"/>
          <w:shd w:val="clear" w:color="auto" w:fill="FFFFFF"/>
          <w:lang w:val="es-ES"/>
        </w:rPr>
        <w:t xml:space="preserve">. </w:t>
      </w:r>
    </w:p>
  </w:footnote>
  <w:footnote w:id="32">
    <w:p w14:paraId="459F783C" w14:textId="315CE869" w:rsidR="00645814" w:rsidRPr="00AA4B77" w:rsidRDefault="00645814" w:rsidP="00CF1AE8">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00976422" w:rsidRPr="00AA4B77">
        <w:rPr>
          <w:rFonts w:ascii="Calibri" w:hAnsi="Calibri" w:cs="Calibri"/>
          <w:i/>
          <w:iCs/>
          <w:color w:val="000000" w:themeColor="text1"/>
          <w:kern w:val="0"/>
          <w:lang w:val="es-ES"/>
        </w:rPr>
        <w:t>Caso Maya Kaqchikel</w:t>
      </w:r>
      <w:r w:rsidRPr="00AA4B77">
        <w:rPr>
          <w:rFonts w:ascii="Calibri" w:eastAsia="Arial" w:hAnsi="Calibri" w:cs="Calibri"/>
          <w:color w:val="000000" w:themeColor="text1"/>
          <w:lang w:val="es-ES"/>
        </w:rPr>
        <w:t xml:space="preserve">, </w:t>
      </w:r>
      <w:r w:rsidRPr="00AA4B77">
        <w:rPr>
          <w:rFonts w:ascii="Calibri" w:hAnsi="Calibri" w:cs="Calibri"/>
          <w:color w:val="000000" w:themeColor="text1"/>
          <w:lang w:val="es-ES"/>
        </w:rPr>
        <w:t>párr. 228(1)</w:t>
      </w:r>
      <w:r w:rsidR="002F1720" w:rsidRPr="00AA4B77">
        <w:rPr>
          <w:rFonts w:ascii="Calibri" w:hAnsi="Calibri" w:cs="Calibri"/>
          <w:color w:val="000000" w:themeColor="text1"/>
          <w:lang w:val="es-ES"/>
        </w:rPr>
        <w:t xml:space="preserve"> </w:t>
      </w:r>
      <w:r w:rsidR="002F1720" w:rsidRPr="00AA4B77">
        <w:rPr>
          <w:rFonts w:ascii="Calibri" w:hAnsi="Calibri" w:cs="Calibri"/>
          <w:color w:val="000000" w:themeColor="text1"/>
          <w:kern w:val="0"/>
          <w:lang w:val="es-ES"/>
        </w:rPr>
        <w:t>nota 1, supra.</w:t>
      </w:r>
    </w:p>
  </w:footnote>
  <w:footnote w:id="33">
    <w:p w14:paraId="101D8F5F" w14:textId="7271E73D"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Declaración de las Naciones Unidas sobre los Derechos de los Pueblos Indígenas, adoptada el 26 de junio de 2006</w:t>
      </w:r>
      <w:r w:rsidR="00976422" w:rsidRPr="00AA4B77">
        <w:rPr>
          <w:rFonts w:ascii="Calibri" w:hAnsi="Calibri" w:cs="Calibri"/>
          <w:color w:val="000000" w:themeColor="text1"/>
          <w:lang w:val="es-ES"/>
        </w:rPr>
        <w:t xml:space="preserve">, </w:t>
      </w:r>
      <w:r w:rsidR="00976422" w:rsidRPr="00B16FB7">
        <w:rPr>
          <w:rFonts w:ascii="Calibri" w:hAnsi="Calibri" w:cs="Calibri"/>
          <w:color w:val="000000" w:themeColor="text1"/>
          <w:lang w:val="es-ES"/>
        </w:rPr>
        <w:t>d</w:t>
      </w:r>
      <w:r w:rsidRPr="00B16FB7">
        <w:rPr>
          <w:rFonts w:ascii="Calibri" w:hAnsi="Calibri" w:cs="Calibri"/>
          <w:iCs/>
          <w:color w:val="000000" w:themeColor="text1"/>
          <w:lang w:val="es-ES"/>
        </w:rPr>
        <w:t>isponible en</w:t>
      </w:r>
      <w:r w:rsidRPr="00B16FB7">
        <w:rPr>
          <w:rFonts w:ascii="Calibri" w:hAnsi="Calibri" w:cs="Calibri"/>
          <w:color w:val="000000" w:themeColor="text1"/>
          <w:lang w:val="es-ES"/>
        </w:rPr>
        <w:t xml:space="preserve"> </w:t>
      </w:r>
      <w:r w:rsidR="00EC4AFA">
        <w:fldChar w:fldCharType="begin"/>
      </w:r>
      <w:r w:rsidR="00EC4AFA" w:rsidRPr="00EC4AFA">
        <w:rPr>
          <w:lang w:val="es-ES"/>
        </w:rPr>
        <w:instrText xml:space="preserve"> HYPERLINK "https://www.un.org/development/desa/indigenouspeoples/wpcontent/uploads/sites/19/2018/11/UNDRIPS_web.pdf" </w:instrText>
      </w:r>
      <w:r w:rsidR="00EC4AFA">
        <w:fldChar w:fldCharType="separate"/>
      </w:r>
      <w:r w:rsidR="00B16FB7" w:rsidRPr="009C1FF8">
        <w:rPr>
          <w:rStyle w:val="Hyperlink"/>
          <w:rFonts w:ascii="Calibri" w:hAnsi="Calibri" w:cs="Calibri"/>
          <w:lang w:val="es-ES"/>
        </w:rPr>
        <w:t>https://www.un.org/development/desa/indigenouspeoples/wpcontent/uploads/sites/19/2018/11/UNDRIPS_web.pdf</w:t>
      </w:r>
      <w:r w:rsidR="00EC4AFA">
        <w:rPr>
          <w:rStyle w:val="Hyperlink"/>
          <w:rFonts w:ascii="Calibri" w:hAnsi="Calibri" w:cs="Calibri"/>
          <w:lang w:val="es-ES"/>
        </w:rPr>
        <w:fldChar w:fldCharType="end"/>
      </w:r>
      <w:r w:rsidR="00B16FB7">
        <w:rPr>
          <w:rFonts w:ascii="Calibri" w:hAnsi="Calibri" w:cs="Calibri"/>
          <w:color w:val="000000" w:themeColor="text1"/>
          <w:lang w:val="es-ES"/>
        </w:rPr>
        <w:t xml:space="preserve"> .</w:t>
      </w:r>
    </w:p>
  </w:footnote>
  <w:footnote w:id="34">
    <w:p w14:paraId="0D258628" w14:textId="01F94362"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Asamblea General de las Naciones Unidas, </w:t>
      </w:r>
      <w:r w:rsidRPr="00AA4B77">
        <w:rPr>
          <w:rFonts w:ascii="Calibri" w:hAnsi="Calibri" w:cs="Calibri"/>
          <w:i/>
          <w:iCs/>
          <w:color w:val="000000" w:themeColor="text1"/>
          <w:lang w:val="es-ES"/>
        </w:rPr>
        <w:t>Declaración de las Naciones Unidas sobre los Derechos de los Pueblos Indígenas</w:t>
      </w:r>
      <w:r w:rsidRPr="00AA4B77">
        <w:rPr>
          <w:rFonts w:ascii="Calibri" w:hAnsi="Calibri" w:cs="Calibri"/>
          <w:color w:val="000000" w:themeColor="text1"/>
          <w:lang w:val="es-ES"/>
        </w:rPr>
        <w:t xml:space="preserve">: resolución aprobada por la Asamblea General, A/RES/61/295 (2 de octubre de 2007), disponible en </w:t>
      </w:r>
      <w:r w:rsidR="00EC4AFA">
        <w:fldChar w:fldCharType="begin"/>
      </w:r>
      <w:r w:rsidR="00EC4AFA" w:rsidRPr="00EC4AFA">
        <w:rPr>
          <w:lang w:val="es-ES"/>
        </w:rPr>
        <w:instrText xml:space="preserve"> HYPERLINK "https://www.refworld.org/legal/resolution/unga/2007/en/49353" </w:instrText>
      </w:r>
      <w:r w:rsidR="00EC4AFA">
        <w:fldChar w:fldCharType="separate"/>
      </w:r>
      <w:r w:rsidRPr="00AA4B77">
        <w:rPr>
          <w:rStyle w:val="Hyperlink"/>
          <w:rFonts w:ascii="Calibri" w:hAnsi="Calibri" w:cs="Calibri"/>
          <w:color w:val="000000" w:themeColor="text1"/>
          <w:lang w:val="es-ES"/>
        </w:rPr>
        <w:t>https://www.refworld.org/legal/resolution/unga/2007/en/49353</w:t>
      </w:r>
      <w:r w:rsidR="00EC4AFA">
        <w:rPr>
          <w:rStyle w:val="Hyperlink"/>
          <w:rFonts w:ascii="Calibri" w:hAnsi="Calibri" w:cs="Calibri"/>
          <w:color w:val="000000" w:themeColor="text1"/>
          <w:lang w:val="es-ES"/>
        </w:rPr>
        <w:fldChar w:fldCharType="end"/>
      </w:r>
      <w:r w:rsidRPr="00AA4B77">
        <w:rPr>
          <w:rFonts w:ascii="Calibri" w:hAnsi="Calibri" w:cs="Calibri"/>
          <w:color w:val="000000" w:themeColor="text1"/>
          <w:lang w:val="es-ES"/>
        </w:rPr>
        <w:t xml:space="preserve">. </w:t>
      </w:r>
    </w:p>
  </w:footnote>
  <w:footnote w:id="35">
    <w:p w14:paraId="550FD89E" w14:textId="7D502192"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Asamblea General de las Naciones Unidas, Convención Internacional sobre la Eliminación de todas las Formas de Discriminación Racial, (21 de diciembre de 1965), disponible en </w:t>
      </w:r>
      <w:r w:rsidR="00EC4AFA">
        <w:fldChar w:fldCharType="begin"/>
      </w:r>
      <w:r w:rsidR="00EC4AFA" w:rsidRPr="00EC4AFA">
        <w:rPr>
          <w:lang w:val="es-ES"/>
        </w:rPr>
        <w:instrText xml:space="preserve"> HYPERLINK "https://www.ohchr.org/en/instruments-mechanisms/instruments/international-convention-elimination-all-forms-racia</w:instrText>
      </w:r>
      <w:r w:rsidR="00EC4AFA" w:rsidRPr="00EC4AFA">
        <w:rPr>
          <w:lang w:val="es-ES"/>
        </w:rPr>
        <w:instrText xml:space="preserve">l" </w:instrText>
      </w:r>
      <w:r w:rsidR="00EC4AFA">
        <w:fldChar w:fldCharType="separate"/>
      </w:r>
      <w:r w:rsidRPr="00AA4B77">
        <w:rPr>
          <w:rStyle w:val="Hyperlink"/>
          <w:rFonts w:ascii="Calibri" w:hAnsi="Calibri" w:cs="Calibri"/>
          <w:color w:val="000000" w:themeColor="text1"/>
          <w:lang w:val="es-ES"/>
        </w:rPr>
        <w:t>https://www.ohchr.org/en/instruments-mechanisms/instruments/international-convention-elimination-all-forms-racial</w:t>
      </w:r>
      <w:r w:rsidR="00EC4AFA">
        <w:rPr>
          <w:rStyle w:val="Hyperlink"/>
          <w:rFonts w:ascii="Calibri" w:hAnsi="Calibri" w:cs="Calibri"/>
          <w:color w:val="000000" w:themeColor="text1"/>
          <w:lang w:val="es-ES"/>
        </w:rPr>
        <w:fldChar w:fldCharType="end"/>
      </w:r>
      <w:r w:rsidRPr="00AA4B77">
        <w:rPr>
          <w:rFonts w:ascii="Calibri" w:hAnsi="Calibri" w:cs="Calibri"/>
          <w:color w:val="000000" w:themeColor="text1"/>
          <w:lang w:val="es-ES"/>
        </w:rPr>
        <w:t xml:space="preserve">. </w:t>
      </w:r>
    </w:p>
  </w:footnote>
  <w:footnote w:id="36">
    <w:p w14:paraId="5DB9E106" w14:textId="09A71B4B"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Comité de Derechos Humanos de las Naciones Unidas, Observación general </w:t>
      </w:r>
      <w:r w:rsidRPr="00AA4B77">
        <w:rPr>
          <w:rFonts w:ascii="Calibri" w:hAnsi="Calibri" w:cs="Calibri"/>
          <w:color w:val="000000" w:themeColor="text1"/>
          <w:lang w:val="es-ES"/>
        </w:rPr>
        <w:t xml:space="preserve">Nº 23 del Pacto Internacional de Derechos Civiles y Políticos: Artículo 27 (Derechos de las minorías), CCPR/C/21/Rev.1/Add.5 (8 de abril de 1994), disponible en </w:t>
      </w:r>
      <w:r w:rsidR="00EC4AFA">
        <w:fldChar w:fldCharType="begin"/>
      </w:r>
      <w:r w:rsidR="00EC4AFA" w:rsidRPr="00EC4AFA">
        <w:rPr>
          <w:lang w:val="es-ES"/>
        </w:rPr>
        <w:instrText xml:space="preserve"> HYPERLINK "https://www.refworld.org/legal/general/hrc/1994/en/26900" </w:instrText>
      </w:r>
      <w:r w:rsidR="00EC4AFA">
        <w:fldChar w:fldCharType="separate"/>
      </w:r>
      <w:r w:rsidRPr="00AA4B77">
        <w:rPr>
          <w:rStyle w:val="Hyperlink"/>
          <w:rFonts w:ascii="Calibri" w:hAnsi="Calibri" w:cs="Calibri"/>
          <w:color w:val="000000" w:themeColor="text1"/>
          <w:lang w:val="es-ES"/>
        </w:rPr>
        <w:t>https://www.refworld.org/legal/general/hrc/1994/en/26900</w:t>
      </w:r>
      <w:r w:rsidR="00EC4AFA">
        <w:rPr>
          <w:rStyle w:val="Hyperlink"/>
          <w:rFonts w:ascii="Calibri" w:hAnsi="Calibri" w:cs="Calibri"/>
          <w:color w:val="000000" w:themeColor="text1"/>
          <w:lang w:val="es-ES"/>
        </w:rPr>
        <w:fldChar w:fldCharType="end"/>
      </w:r>
      <w:r w:rsidRPr="00AA4B77">
        <w:rPr>
          <w:rFonts w:ascii="Calibri" w:hAnsi="Calibri" w:cs="Calibri"/>
          <w:color w:val="000000" w:themeColor="text1"/>
          <w:lang w:val="es-ES"/>
        </w:rPr>
        <w:t xml:space="preserve">. </w:t>
      </w:r>
    </w:p>
  </w:footnote>
  <w:footnote w:id="37">
    <w:p w14:paraId="5647AAB1" w14:textId="04528BA7" w:rsidR="00645814" w:rsidRPr="00AA4B77" w:rsidRDefault="00645814" w:rsidP="00DB31C9">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B16FB7">
        <w:rPr>
          <w:rFonts w:ascii="Calibri" w:hAnsi="Calibri" w:cs="Calibri"/>
          <w:i/>
          <w:color w:val="000000" w:themeColor="text1"/>
          <w:lang w:val="es-ES"/>
        </w:rPr>
        <w:t>Caso Maya Kaqchikel</w:t>
      </w:r>
      <w:r w:rsidR="00B16FB7">
        <w:rPr>
          <w:rFonts w:ascii="Calibri" w:hAnsi="Calibri" w:cs="Calibri"/>
          <w:color w:val="000000" w:themeColor="text1"/>
          <w:lang w:val="es-ES"/>
        </w:rPr>
        <w:t xml:space="preserve">, </w:t>
      </w:r>
      <w:r w:rsidR="00B16FB7" w:rsidRPr="00AA4B77">
        <w:rPr>
          <w:rFonts w:ascii="Calibri" w:hAnsi="Calibri" w:cs="Calibri"/>
          <w:color w:val="000000" w:themeColor="text1"/>
          <w:lang w:val="es-ES"/>
        </w:rPr>
        <w:t>nota 162</w:t>
      </w:r>
      <w:r w:rsidR="00B16FB7">
        <w:rPr>
          <w:rFonts w:ascii="Calibri" w:hAnsi="Calibri" w:cs="Calibri"/>
          <w:color w:val="000000" w:themeColor="text1"/>
          <w:lang w:val="es-ES"/>
        </w:rPr>
        <w:t>, supra.</w:t>
      </w:r>
    </w:p>
  </w:footnote>
  <w:footnote w:id="38">
    <w:p w14:paraId="169CFE67" w14:textId="0629538E"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Unión Internacional de Telecomunicaciones, </w:t>
      </w:r>
      <w:r w:rsidRPr="00AA4B77">
        <w:rPr>
          <w:rFonts w:ascii="Calibri" w:hAnsi="Calibri" w:cs="Calibri"/>
          <w:i/>
          <w:iCs/>
          <w:color w:val="000000" w:themeColor="text1"/>
          <w:lang w:val="es-ES"/>
        </w:rPr>
        <w:t>Gestión Nacional del Espectro</w:t>
      </w:r>
      <w:r w:rsidRPr="00AA4B77">
        <w:rPr>
          <w:rFonts w:ascii="Calibri" w:hAnsi="Calibri" w:cs="Calibri"/>
          <w:color w:val="000000" w:themeColor="text1"/>
          <w:lang w:val="es-ES"/>
        </w:rPr>
        <w:t xml:space="preserve"> (2015), disponible en </w:t>
      </w:r>
      <w:r w:rsidR="00EC4AFA">
        <w:fldChar w:fldCharType="begin"/>
      </w:r>
      <w:r w:rsidR="00EC4AFA" w:rsidRPr="00EC4AFA">
        <w:rPr>
          <w:lang w:val="es-ES"/>
        </w:rPr>
        <w:instrText xml:space="preserve"> HYPERLINK "http://handle.itu.int/11.1002/pub/80c5a2ed-en" </w:instrText>
      </w:r>
      <w:r w:rsidR="00EC4AFA">
        <w:fldChar w:fldCharType="separate"/>
      </w:r>
      <w:r w:rsidRPr="00AA4B77">
        <w:rPr>
          <w:rStyle w:val="Hyperlink"/>
          <w:rFonts w:ascii="Calibri" w:hAnsi="Calibri" w:cs="Calibri"/>
          <w:color w:val="000000" w:themeColor="text1"/>
          <w:lang w:val="es-ES"/>
        </w:rPr>
        <w:t>http://handle.itu.int/11.1002/pub/80c5a2ed-en</w:t>
      </w:r>
      <w:r w:rsidR="00EC4AFA">
        <w:rPr>
          <w:rStyle w:val="Hyperlink"/>
          <w:rFonts w:ascii="Calibri" w:hAnsi="Calibri" w:cs="Calibri"/>
          <w:color w:val="000000" w:themeColor="text1"/>
          <w:lang w:val="es-ES"/>
        </w:rPr>
        <w:fldChar w:fldCharType="end"/>
      </w:r>
      <w:r w:rsidRPr="00AA4B77">
        <w:rPr>
          <w:rFonts w:ascii="Calibri" w:hAnsi="Calibri" w:cs="Calibri"/>
          <w:color w:val="000000" w:themeColor="text1"/>
          <w:lang w:val="es-ES"/>
        </w:rPr>
        <w:t xml:space="preserve"> </w:t>
      </w:r>
    </w:p>
  </w:footnote>
  <w:footnote w:id="39">
    <w:p w14:paraId="2105A349" w14:textId="43A62B46"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Corte Interamericana de Derechos Humanos, </w:t>
      </w:r>
      <w:r w:rsidRPr="00AA4B77">
        <w:rPr>
          <w:rFonts w:ascii="Calibri" w:hAnsi="Calibri" w:cs="Calibri"/>
          <w:i/>
          <w:iCs/>
          <w:color w:val="000000" w:themeColor="text1"/>
          <w:lang w:val="es-ES"/>
        </w:rPr>
        <w:t>Sentencia en el Caso de los Pueblos Indígenas Maya Kaqchikel de Sumpango y otros vs. Guatemala: El Estado es responsable por la violación de la libertad de expresión y los derechos culturales de cuatro Comunidades Indígenas que operan Radios Comunitarias</w:t>
      </w:r>
      <w:r w:rsidRPr="00AA4B77">
        <w:rPr>
          <w:rFonts w:ascii="Calibri" w:hAnsi="Calibri" w:cs="Calibri"/>
          <w:color w:val="000000" w:themeColor="text1"/>
          <w:lang w:val="es-ES"/>
        </w:rPr>
        <w:t xml:space="preserve"> (17 de diciembre de 2021), disponible en </w:t>
      </w:r>
      <w:r w:rsidR="00EC4AFA">
        <w:fldChar w:fldCharType="begin"/>
      </w:r>
      <w:r w:rsidR="00EC4AFA" w:rsidRPr="00EC4AFA">
        <w:rPr>
          <w:lang w:val="es-ES"/>
        </w:rPr>
        <w:instrText xml:space="preserve"> HYPERLINK "https://www.corteidh.or.cr/comunicados_prensa.cfm?lang=en&amp;n=1782" </w:instrText>
      </w:r>
      <w:r w:rsidR="00EC4AFA">
        <w:fldChar w:fldCharType="separate"/>
      </w:r>
      <w:r w:rsidRPr="00AA4B77">
        <w:rPr>
          <w:rStyle w:val="Hyperlink"/>
          <w:rFonts w:ascii="Calibri" w:hAnsi="Calibri" w:cs="Calibri"/>
          <w:color w:val="000000" w:themeColor="text1"/>
          <w:lang w:val="es-ES"/>
        </w:rPr>
        <w:t>https://www.corteidh.or.cr/comunicados_prensa.cfm?lang=en&amp;n=1782</w:t>
      </w:r>
      <w:r w:rsidR="00EC4AFA">
        <w:rPr>
          <w:rStyle w:val="Hyperlink"/>
          <w:rFonts w:ascii="Calibri" w:hAnsi="Calibri" w:cs="Calibri"/>
          <w:color w:val="000000" w:themeColor="text1"/>
          <w:lang w:val="es-ES"/>
        </w:rPr>
        <w:fldChar w:fldCharType="end"/>
      </w:r>
      <w:r w:rsidRPr="00AA4B77">
        <w:rPr>
          <w:rFonts w:ascii="Calibri" w:hAnsi="Calibri" w:cs="Calibri"/>
          <w:color w:val="000000" w:themeColor="text1"/>
          <w:lang w:val="es-ES"/>
        </w:rPr>
        <w:t xml:space="preserve"> </w:t>
      </w:r>
    </w:p>
  </w:footnote>
  <w:footnote w:id="40">
    <w:p w14:paraId="08844AFE" w14:textId="26D26FB1"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Unión Internacional de Telecomunicaciones, </w:t>
      </w:r>
      <w:r w:rsidRPr="00AA4B77">
        <w:rPr>
          <w:rFonts w:ascii="Calibri" w:hAnsi="Calibri" w:cs="Calibri"/>
          <w:i/>
          <w:iCs/>
          <w:color w:val="000000" w:themeColor="text1"/>
          <w:lang w:val="es-ES"/>
        </w:rPr>
        <w:t>Sector de Desarrollo de las Telecomunicaciones</w:t>
      </w:r>
      <w:r w:rsidRPr="00AA4B77">
        <w:rPr>
          <w:rFonts w:ascii="Calibri" w:hAnsi="Calibri" w:cs="Calibri"/>
          <w:color w:val="000000" w:themeColor="text1"/>
          <w:lang w:val="es-ES"/>
        </w:rPr>
        <w:t xml:space="preserve"> (2016), disponible en </w:t>
      </w:r>
      <w:r w:rsidR="00EC4AFA">
        <w:fldChar w:fldCharType="begin"/>
      </w:r>
      <w:r w:rsidR="00EC4AFA" w:rsidRPr="00EC4AFA">
        <w:rPr>
          <w:lang w:val="es-ES"/>
        </w:rPr>
        <w:instrText xml:space="preserve"> HYPERLINK "https://www.itu.int/en/ITU-D/Technology/Documents/Publications/PUB_BroadcastingSpectrum/Administration%20Assessement-E.pdf" </w:instrText>
      </w:r>
      <w:r w:rsidR="00EC4AFA">
        <w:fldChar w:fldCharType="separate"/>
      </w:r>
      <w:r w:rsidRPr="00AA4B77">
        <w:rPr>
          <w:rStyle w:val="Hyperlink"/>
          <w:rFonts w:ascii="Calibri" w:hAnsi="Calibri" w:cs="Calibri"/>
          <w:color w:val="000000" w:themeColor="text1"/>
          <w:lang w:val="es-ES"/>
        </w:rPr>
        <w:t>https://www.itu.int/en/ITU-D/Technology/Documents/Publications/PUB_BroadcastingSpectrum/Administration%20Assessement-E.pdf</w:t>
      </w:r>
      <w:r w:rsidR="00EC4AFA">
        <w:rPr>
          <w:rStyle w:val="Hyperlink"/>
          <w:rFonts w:ascii="Calibri" w:hAnsi="Calibri" w:cs="Calibri"/>
          <w:color w:val="000000" w:themeColor="text1"/>
          <w:lang w:val="es-ES"/>
        </w:rPr>
        <w:fldChar w:fldCharType="end"/>
      </w:r>
      <w:r w:rsidRPr="00AA4B77">
        <w:rPr>
          <w:rFonts w:ascii="Calibri" w:hAnsi="Calibri" w:cs="Calibri"/>
          <w:color w:val="000000" w:themeColor="text1"/>
          <w:lang w:val="es-ES"/>
        </w:rPr>
        <w:t xml:space="preserve"> </w:t>
      </w:r>
    </w:p>
  </w:footnote>
  <w:footnote w:id="41">
    <w:p w14:paraId="07651C7E" w14:textId="6DA58984"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color w:val="000000" w:themeColor="text1"/>
          <w:lang w:val="es-ES"/>
        </w:rPr>
        <w:t>Ibíd.</w:t>
      </w:r>
    </w:p>
  </w:footnote>
  <w:footnote w:id="42">
    <w:p w14:paraId="2EEB79FE" w14:textId="39F26FF0" w:rsidR="00645814" w:rsidRPr="00AA4B77" w:rsidRDefault="00645814" w:rsidP="008C5721">
      <w:pPr>
        <w:rPr>
          <w:rFonts w:ascii="Calibri" w:hAnsi="Calibri" w:cs="Calibri"/>
          <w:color w:val="000000" w:themeColor="text1"/>
          <w:sz w:val="20"/>
          <w:szCs w:val="20"/>
          <w:lang w:val="es-ES"/>
        </w:rPr>
      </w:pPr>
      <w:r w:rsidRPr="00AA4B77">
        <w:rPr>
          <w:rStyle w:val="FootnoteReference"/>
          <w:rFonts w:ascii="Calibri" w:hAnsi="Calibri" w:cs="Calibri"/>
          <w:color w:val="000000" w:themeColor="text1"/>
          <w:sz w:val="20"/>
          <w:szCs w:val="20"/>
        </w:rPr>
        <w:footnoteRef/>
      </w:r>
      <w:r w:rsidRPr="00AA4B77">
        <w:rPr>
          <w:rFonts w:ascii="Calibri" w:hAnsi="Calibri" w:cs="Calibri"/>
          <w:color w:val="000000" w:themeColor="text1"/>
          <w:sz w:val="20"/>
          <w:szCs w:val="20"/>
          <w:lang w:val="es-ES"/>
        </w:rPr>
        <w:t xml:space="preserve"> Unión Internacional de Telecomunicaciones, Sector de Radiocomunicaciones, Requisitos esenciales para un sistema de comprobación técnica del espectro para los países en desarrollo Rec. UIT-R SM.1392-3 (febrero de 2021), disponible en </w:t>
      </w:r>
      <w:r w:rsidR="00EC4AFA">
        <w:fldChar w:fldCharType="begin"/>
      </w:r>
      <w:r w:rsidR="00EC4AFA" w:rsidRPr="00EC4AFA">
        <w:rPr>
          <w:lang w:val="es-ES"/>
        </w:rPr>
        <w:instrText xml:space="preserve"> HYPERLINK "https://</w:instrText>
      </w:r>
      <w:r w:rsidR="00EC4AFA" w:rsidRPr="00EC4AFA">
        <w:rPr>
          <w:lang w:val="es-ES"/>
        </w:rPr>
        <w:instrText xml:space="preserve">www.itu.int/rec/R-REC-SM.1392-3-202102-I/en" </w:instrText>
      </w:r>
      <w:r w:rsidR="00EC4AFA">
        <w:fldChar w:fldCharType="separate"/>
      </w:r>
      <w:r w:rsidRPr="00AA4B77">
        <w:rPr>
          <w:rStyle w:val="Hyperlink"/>
          <w:rFonts w:ascii="Calibri" w:hAnsi="Calibri" w:cs="Calibri"/>
          <w:color w:val="000000" w:themeColor="text1"/>
          <w:sz w:val="20"/>
          <w:szCs w:val="20"/>
          <w:lang w:val="es-ES"/>
        </w:rPr>
        <w:t>https://www.itu.int/rec/R-REC-SM.1392-3-202102-I/en</w:t>
      </w:r>
      <w:r w:rsidR="00EC4AFA">
        <w:rPr>
          <w:rStyle w:val="Hyperlink"/>
          <w:rFonts w:ascii="Calibri" w:hAnsi="Calibri" w:cs="Calibri"/>
          <w:color w:val="000000" w:themeColor="text1"/>
          <w:sz w:val="20"/>
          <w:szCs w:val="20"/>
          <w:lang w:val="es-ES"/>
        </w:rPr>
        <w:fldChar w:fldCharType="end"/>
      </w:r>
      <w:r w:rsidR="00B16FB7">
        <w:rPr>
          <w:rStyle w:val="Hyperlink"/>
          <w:rFonts w:ascii="Calibri" w:hAnsi="Calibri" w:cs="Calibri"/>
          <w:color w:val="000000" w:themeColor="text1"/>
          <w:sz w:val="20"/>
          <w:szCs w:val="20"/>
          <w:lang w:val="es-ES"/>
        </w:rPr>
        <w:t xml:space="preserve"> </w:t>
      </w:r>
    </w:p>
  </w:footnote>
  <w:footnote w:id="43">
    <w:p w14:paraId="581FFB77" w14:textId="232BFDCD"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00976422" w:rsidRPr="00AA4B77">
        <w:rPr>
          <w:rFonts w:ascii="Calibri" w:hAnsi="Calibri" w:cs="Calibri"/>
          <w:i/>
          <w:iCs/>
          <w:color w:val="000000" w:themeColor="text1"/>
          <w:kern w:val="0"/>
          <w:lang w:val="es-ES"/>
        </w:rPr>
        <w:t>Caso Maya Kaqchikel</w:t>
      </w:r>
      <w:r w:rsidR="00976422" w:rsidRPr="00AA4B77">
        <w:rPr>
          <w:rFonts w:ascii="Calibri" w:hAnsi="Calibri" w:cs="Calibri"/>
          <w:color w:val="000000" w:themeColor="text1"/>
          <w:lang w:val="es-ES"/>
        </w:rPr>
        <w:t xml:space="preserve">, </w:t>
      </w:r>
      <w:r w:rsidRPr="00AA4B77">
        <w:rPr>
          <w:rFonts w:ascii="Calibri" w:hAnsi="Calibri" w:cs="Calibri"/>
          <w:color w:val="000000" w:themeColor="text1"/>
          <w:lang w:val="es-ES"/>
        </w:rPr>
        <w:t>párr. 184</w:t>
      </w:r>
    </w:p>
  </w:footnote>
  <w:footnote w:id="44">
    <w:p w14:paraId="09BD37EE" w14:textId="47F7AB42"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color w:val="000000" w:themeColor="text1"/>
          <w:lang w:val="es-ES"/>
        </w:rPr>
        <w:t>Ibíd.</w:t>
      </w:r>
    </w:p>
  </w:footnote>
  <w:footnote w:id="45">
    <w:p w14:paraId="5A31D9D2" w14:textId="410BDCCA"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color w:val="000000" w:themeColor="text1"/>
          <w:lang w:val="es-ES"/>
        </w:rPr>
        <w:t>Ibíd.</w:t>
      </w:r>
    </w:p>
  </w:footnote>
  <w:footnote w:id="46">
    <w:p w14:paraId="5C026BD4" w14:textId="23DB9511"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Naciones Unidas, Comité para la Eliminación de la Discriminación Racial, Observaciones finales sobre los informes periódicos decimosexto y decimoséptimo combinados de Guatemala, CERD/C/GTM/CO/16-17, </w:t>
      </w:r>
      <w:r w:rsidRPr="00AA4B77">
        <w:rPr>
          <w:rFonts w:ascii="Calibri" w:hAnsi="Calibri" w:cs="Calibri"/>
          <w:color w:val="000000" w:themeColor="text1"/>
          <w:lang w:val="es-ES"/>
        </w:rPr>
        <w:t xml:space="preserve">párrs. 25-26, disponible en </w:t>
      </w:r>
      <w:r w:rsidR="00EC4AFA">
        <w:fldChar w:fldCharType="begin"/>
      </w:r>
      <w:r w:rsidR="00EC4AFA" w:rsidRPr="00EC4AFA">
        <w:rPr>
          <w:lang w:val="es-ES"/>
        </w:rPr>
        <w:instrText xml:space="preserve"> HYPERLINK "https://docsto</w:instrText>
      </w:r>
      <w:r w:rsidR="00EC4AFA" w:rsidRPr="00EC4AFA">
        <w:rPr>
          <w:lang w:val="es-ES"/>
        </w:rPr>
        <w:instrText xml:space="preserve">re.ohchr.org/SelfServices/FilesHandler.ashx?enc=qgbDbfCa81p7JikdQ2oL5bxVQuP8lbToFayuzRi%2FGpEhYeWrwPeSv0%2FineQ%2FPzVL7XzvOzbqc7GGv5lVWEpqvoqb2NMJJbd%2BG13G9dKda6o%3D" </w:instrText>
      </w:r>
      <w:r w:rsidR="00EC4AFA">
        <w:fldChar w:fldCharType="separate"/>
      </w:r>
      <w:r w:rsidRPr="00AA4B77">
        <w:rPr>
          <w:rStyle w:val="Hyperlink"/>
          <w:rFonts w:ascii="Calibri" w:hAnsi="Calibri" w:cs="Calibri"/>
          <w:color w:val="000000" w:themeColor="text1"/>
          <w:lang w:val="es-ES"/>
        </w:rPr>
        <w:t>https://docstore.ohchr.org/SelfServices/FilesHandler.ashx?enc=qgbDbfCa81p7JikdQ2oL5bxVQuP8lbToFayuzRi%2FGpEhYeWrwPeSv0%2FineQ%2FPzVL7XzvOzbqc7GGv5lVWEpqvoqb2NMJJbd%2BG13G9dKda6o%3D</w:t>
      </w:r>
      <w:r w:rsidR="00EC4AFA">
        <w:rPr>
          <w:rStyle w:val="Hyperlink"/>
          <w:rFonts w:ascii="Calibri" w:hAnsi="Calibri" w:cs="Calibri"/>
          <w:color w:val="000000" w:themeColor="text1"/>
          <w:lang w:val="es-ES"/>
        </w:rPr>
        <w:fldChar w:fldCharType="end"/>
      </w:r>
      <w:r w:rsidR="00B16FB7">
        <w:rPr>
          <w:rStyle w:val="Hyperlink"/>
          <w:rFonts w:ascii="Calibri" w:hAnsi="Calibri" w:cs="Calibri"/>
          <w:color w:val="000000" w:themeColor="text1"/>
          <w:lang w:val="es-ES"/>
        </w:rPr>
        <w:t xml:space="preserve"> </w:t>
      </w:r>
      <w:r w:rsidRPr="00AA4B77">
        <w:rPr>
          <w:rFonts w:ascii="Calibri" w:hAnsi="Calibri" w:cs="Calibri"/>
          <w:color w:val="000000" w:themeColor="text1"/>
          <w:lang w:val="es-ES"/>
        </w:rPr>
        <w:t xml:space="preserve"> </w:t>
      </w:r>
    </w:p>
  </w:footnote>
  <w:footnote w:id="47">
    <w:p w14:paraId="0843D446" w14:textId="57C4DF00" w:rsidR="00645814" w:rsidRPr="00AA4B77" w:rsidRDefault="00645814">
      <w:pPr>
        <w:pStyle w:val="FootnoteText"/>
        <w:rPr>
          <w:rFonts w:ascii="Calibri" w:hAnsi="Calibri" w:cs="Calibri"/>
          <w:lang w:val="es-ES"/>
        </w:rPr>
      </w:pPr>
      <w:r w:rsidRPr="00AA4B77">
        <w:rPr>
          <w:rStyle w:val="FootnoteReference"/>
          <w:rFonts w:ascii="Calibri" w:hAnsi="Calibri" w:cs="Calibri"/>
        </w:rPr>
        <w:footnoteRef/>
      </w:r>
      <w:r w:rsidRPr="00AA4B77">
        <w:rPr>
          <w:rFonts w:ascii="Calibri" w:hAnsi="Calibri" w:cs="Calibri"/>
          <w:lang w:val="es-ES"/>
        </w:rPr>
        <w:t xml:space="preserve"> </w:t>
      </w:r>
      <w:r w:rsidRPr="00AA4B77">
        <w:rPr>
          <w:rFonts w:ascii="Calibri" w:hAnsi="Calibri" w:cs="Calibri"/>
          <w:i/>
          <w:lang w:val="es-ES"/>
        </w:rPr>
        <w:t>Ibíd.</w:t>
      </w:r>
    </w:p>
  </w:footnote>
  <w:footnote w:id="48">
    <w:p w14:paraId="56F6C73C" w14:textId="3ECC5B4A" w:rsidR="00645814" w:rsidRPr="00AA4B77" w:rsidRDefault="00645814">
      <w:pPr>
        <w:pStyle w:val="FootnoteText"/>
        <w:rPr>
          <w:rFonts w:ascii="Calibri" w:hAnsi="Calibri" w:cs="Calibri"/>
          <w:lang w:val="es-ES"/>
        </w:rPr>
      </w:pPr>
      <w:r w:rsidRPr="00AA4B77">
        <w:rPr>
          <w:rStyle w:val="FootnoteReference"/>
          <w:rFonts w:ascii="Calibri" w:hAnsi="Calibri" w:cs="Calibri"/>
        </w:rPr>
        <w:footnoteRef/>
      </w:r>
      <w:r w:rsidRPr="00AA4B77">
        <w:rPr>
          <w:rFonts w:ascii="Calibri" w:hAnsi="Calibri" w:cs="Calibri"/>
          <w:lang w:val="es-ES"/>
        </w:rPr>
        <w:t xml:space="preserve"> Congreso de la República, Departamento de Información Legislativa. Iniciativa No. 5965, disponible en </w:t>
      </w:r>
      <w:r w:rsidR="00EC4AFA">
        <w:fldChar w:fldCharType="begin"/>
      </w:r>
      <w:r w:rsidR="00EC4AFA" w:rsidRPr="00EC4AFA">
        <w:rPr>
          <w:lang w:val="es-ES"/>
        </w:rPr>
        <w:instrText xml:space="preserve"> HYPERLINK "https://www.congreso.gob.gt/detalle_pdf/iniciativas/5834" \l "gsc.tab=0" </w:instrText>
      </w:r>
      <w:r w:rsidR="00EC4AFA">
        <w:fldChar w:fldCharType="separate"/>
      </w:r>
      <w:r w:rsidRPr="00AA4B77">
        <w:rPr>
          <w:rStyle w:val="Hyperlink"/>
          <w:rFonts w:ascii="Calibri" w:hAnsi="Calibri" w:cs="Calibri"/>
          <w:lang w:val="es-ES"/>
        </w:rPr>
        <w:t>https://www.congreso.gob.gt/detalle_pdf/iniciativas/5834#gsc.tab=0</w:t>
      </w:r>
      <w:r w:rsidR="00EC4AFA">
        <w:rPr>
          <w:rStyle w:val="Hyperlink"/>
          <w:rFonts w:ascii="Calibri" w:hAnsi="Calibri" w:cs="Calibri"/>
          <w:lang w:val="es-ES"/>
        </w:rPr>
        <w:fldChar w:fldCharType="end"/>
      </w:r>
      <w:r w:rsidRPr="00AA4B77">
        <w:rPr>
          <w:rFonts w:ascii="Calibri" w:hAnsi="Calibri" w:cs="Calibri"/>
          <w:lang w:val="es-ES"/>
        </w:rPr>
        <w:t xml:space="preserve"> </w:t>
      </w:r>
    </w:p>
  </w:footnote>
  <w:footnote w:id="49">
    <w:p w14:paraId="25256E10" w14:textId="6BD9F6BD" w:rsidR="00645814" w:rsidRPr="00AA4B77" w:rsidRDefault="00645814">
      <w:pPr>
        <w:pStyle w:val="FootnoteText"/>
        <w:rPr>
          <w:rFonts w:ascii="Calibri" w:hAnsi="Calibri" w:cs="Calibri"/>
          <w:lang w:val="es-ES"/>
        </w:rPr>
      </w:pPr>
      <w:r w:rsidRPr="00AA4B77">
        <w:rPr>
          <w:rStyle w:val="FootnoteReference"/>
          <w:rFonts w:ascii="Calibri" w:hAnsi="Calibri" w:cs="Calibri"/>
        </w:rPr>
        <w:footnoteRef/>
      </w:r>
      <w:r w:rsidRPr="00AA4B77">
        <w:rPr>
          <w:rFonts w:ascii="Calibri" w:hAnsi="Calibri" w:cs="Calibri"/>
          <w:lang w:val="es-ES"/>
        </w:rPr>
        <w:t xml:space="preserve"> </w:t>
      </w:r>
      <w:r w:rsidRPr="00AA4B77">
        <w:rPr>
          <w:rFonts w:ascii="Calibri" w:hAnsi="Calibri" w:cs="Calibri"/>
          <w:i/>
          <w:iCs/>
          <w:color w:val="000000" w:themeColor="text1"/>
          <w:lang w:val="es-ES"/>
        </w:rPr>
        <w:t>4087</w:t>
      </w:r>
      <w:r w:rsidRPr="00AA4B77">
        <w:rPr>
          <w:rFonts w:ascii="Calibri" w:hAnsi="Calibri" w:cs="Calibri"/>
          <w:color w:val="000000" w:themeColor="text1"/>
          <w:lang w:val="es-ES"/>
        </w:rPr>
        <w:t xml:space="preserve">, </w:t>
      </w:r>
      <w:r w:rsidRPr="00AA4B77">
        <w:rPr>
          <w:rFonts w:ascii="Calibri" w:hAnsi="Calibri" w:cs="Calibri"/>
          <w:smallCaps/>
          <w:color w:val="000000" w:themeColor="text1"/>
          <w:lang w:val="es-ES"/>
        </w:rPr>
        <w:t>Congreso De La República</w:t>
      </w:r>
      <w:r w:rsidRPr="00AA4B77">
        <w:rPr>
          <w:rFonts w:ascii="Calibri" w:hAnsi="Calibri" w:cs="Calibri"/>
          <w:color w:val="000000" w:themeColor="text1"/>
          <w:lang w:val="es-ES"/>
        </w:rPr>
        <w:t xml:space="preserve">, Iniciativa que dispone aprobar Ley de Medios de Comunicación Comunitaria, disponible en </w:t>
      </w:r>
      <w:r w:rsidR="00EC4AFA">
        <w:fldChar w:fldCharType="begin"/>
      </w:r>
      <w:r w:rsidR="00EC4AFA" w:rsidRPr="00EC4AFA">
        <w:rPr>
          <w:lang w:val="es-ES"/>
        </w:rPr>
        <w:instrText xml:space="preserve"> HYPERLINK "https://www.congreso.gob.gt/detalle_pdf/iniciativas/2848" \l "gsc.tab=0" </w:instrText>
      </w:r>
      <w:r w:rsidR="00EC4AFA">
        <w:fldChar w:fldCharType="separate"/>
      </w:r>
      <w:r w:rsidR="00B16FB7" w:rsidRPr="009C1FF8">
        <w:rPr>
          <w:rStyle w:val="Hyperlink"/>
          <w:rFonts w:ascii="Calibri" w:hAnsi="Calibri" w:cs="Calibri"/>
          <w:lang w:val="es-ES"/>
        </w:rPr>
        <w:t>https://www.congreso.gob.gt/detalle_pdf/iniciativas/2848#gsc.tab=0</w:t>
      </w:r>
      <w:r w:rsidR="00EC4AFA">
        <w:rPr>
          <w:rStyle w:val="Hyperlink"/>
          <w:rFonts w:ascii="Calibri" w:hAnsi="Calibri" w:cs="Calibri"/>
          <w:lang w:val="es-ES"/>
        </w:rPr>
        <w:fldChar w:fldCharType="end"/>
      </w:r>
      <w:r w:rsidR="00B16FB7">
        <w:rPr>
          <w:rFonts w:ascii="Calibri" w:hAnsi="Calibri" w:cs="Calibri"/>
          <w:color w:val="000000" w:themeColor="text1"/>
          <w:lang w:val="es-ES"/>
        </w:rPr>
        <w:t xml:space="preserve"> </w:t>
      </w:r>
    </w:p>
  </w:footnote>
  <w:footnote w:id="50">
    <w:p w14:paraId="39E0FC2B" w14:textId="3A98BF38" w:rsidR="00645814" w:rsidRPr="00AA4B77" w:rsidRDefault="00645814">
      <w:pPr>
        <w:pStyle w:val="FootnoteText"/>
        <w:rPr>
          <w:rFonts w:ascii="Calibri" w:hAnsi="Calibri" w:cs="Calibri"/>
          <w:color w:val="000000" w:themeColor="text1"/>
          <w:lang w:val="es-ES"/>
        </w:rPr>
      </w:pPr>
      <w:r w:rsidRPr="00AA4B77">
        <w:rPr>
          <w:rStyle w:val="FootnoteReference"/>
          <w:rFonts w:ascii="Calibri" w:hAnsi="Calibri" w:cs="Calibri"/>
          <w:color w:val="000000" w:themeColor="text1"/>
        </w:rPr>
        <w:footnoteRef/>
      </w:r>
      <w:r w:rsidRPr="00AA4B77">
        <w:rPr>
          <w:rFonts w:ascii="Calibri" w:hAnsi="Calibri" w:cs="Calibri"/>
          <w:color w:val="000000" w:themeColor="text1"/>
          <w:lang w:val="es-ES"/>
        </w:rPr>
        <w:t xml:space="preserve"> </w:t>
      </w:r>
      <w:r w:rsidRPr="00AA4B77">
        <w:rPr>
          <w:rFonts w:ascii="Calibri" w:hAnsi="Calibri" w:cs="Calibri"/>
          <w:i/>
          <w:color w:val="000000" w:themeColor="text1"/>
          <w:lang w:val="es-ES"/>
        </w:rPr>
        <w:t>Ibíd.</w:t>
      </w:r>
    </w:p>
  </w:footnote>
  <w:footnote w:id="51">
    <w:p w14:paraId="643E6ADF" w14:textId="0DF88E51" w:rsidR="00645814" w:rsidRPr="00AA4B77" w:rsidRDefault="00645814">
      <w:pPr>
        <w:pStyle w:val="FootnoteText"/>
        <w:rPr>
          <w:rFonts w:ascii="Calibri" w:hAnsi="Calibri" w:cs="Calibri"/>
          <w:lang w:val="es-ES"/>
        </w:rPr>
      </w:pPr>
      <w:r w:rsidRPr="00AA4B77">
        <w:rPr>
          <w:rStyle w:val="FootnoteReference"/>
          <w:rFonts w:ascii="Calibri" w:hAnsi="Calibri" w:cs="Calibri"/>
        </w:rPr>
        <w:footnoteRef/>
      </w:r>
      <w:r w:rsidRPr="00AA4B77">
        <w:rPr>
          <w:rFonts w:ascii="Calibri" w:hAnsi="Calibri" w:cs="Calibri"/>
          <w:lang w:val="es-ES"/>
        </w:rPr>
        <w:t xml:space="preserve"> Véase </w:t>
      </w:r>
      <w:r w:rsidRPr="00AA4B77">
        <w:rPr>
          <w:rFonts w:ascii="Calibri" w:hAnsi="Calibri" w:cs="Calibri"/>
          <w:i/>
          <w:iCs/>
          <w:color w:val="000000" w:themeColor="text1"/>
          <w:kern w:val="0"/>
          <w:lang w:val="es-ES"/>
        </w:rPr>
        <w:t xml:space="preserve">el </w:t>
      </w:r>
      <w:r w:rsidR="002F1720" w:rsidRPr="00AA4B77">
        <w:rPr>
          <w:rFonts w:ascii="Calibri" w:hAnsi="Calibri" w:cs="Calibri"/>
          <w:i/>
          <w:iCs/>
          <w:color w:val="000000" w:themeColor="text1"/>
          <w:kern w:val="0"/>
          <w:lang w:val="es-ES"/>
        </w:rPr>
        <w:t>C</w:t>
      </w:r>
      <w:r w:rsidRPr="00AA4B77">
        <w:rPr>
          <w:rFonts w:ascii="Calibri" w:hAnsi="Calibri" w:cs="Calibri"/>
          <w:i/>
          <w:iCs/>
          <w:color w:val="000000" w:themeColor="text1"/>
          <w:kern w:val="0"/>
          <w:lang w:val="es-ES"/>
        </w:rPr>
        <w:t>aso Maya Kaqchikel</w:t>
      </w:r>
      <w:r w:rsidRPr="00AA4B77">
        <w:rPr>
          <w:rFonts w:ascii="Calibri" w:hAnsi="Calibri" w:cs="Calibri"/>
          <w:color w:val="000000" w:themeColor="text1"/>
          <w:kern w:val="0"/>
          <w:lang w:val="es-ES"/>
        </w:rPr>
        <w:t>, nota 1</w:t>
      </w:r>
      <w:r w:rsidR="00976422" w:rsidRPr="00AA4B77">
        <w:rPr>
          <w:rFonts w:ascii="Calibri" w:hAnsi="Calibri" w:cs="Calibri"/>
          <w:color w:val="000000" w:themeColor="text1"/>
          <w:kern w:val="0"/>
          <w:lang w:val="es-ES"/>
        </w:rPr>
        <w:t>,</w:t>
      </w:r>
      <w:r w:rsidRPr="00AA4B77">
        <w:rPr>
          <w:rFonts w:ascii="Calibri" w:hAnsi="Calibri" w:cs="Calibri"/>
          <w:color w:val="000000" w:themeColor="text1"/>
          <w:kern w:val="0"/>
          <w:lang w:val="es-ES"/>
        </w:rPr>
        <w:t xml:space="preserve"> supra.</w:t>
      </w:r>
      <w:r w:rsidR="00976422" w:rsidRPr="00AA4B77">
        <w:rPr>
          <w:rFonts w:ascii="Calibri" w:hAnsi="Calibri" w:cs="Calibri"/>
          <w:color w:val="000000" w:themeColor="text1"/>
          <w:kern w:val="0"/>
          <w:lang w:val="es-E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B2BDB"/>
    <w:multiLevelType w:val="hybridMultilevel"/>
    <w:tmpl w:val="21285A56"/>
    <w:lvl w:ilvl="0" w:tplc="21C02788">
      <w:start w:val="1"/>
      <w:numFmt w:val="upperLetter"/>
      <w:lvlText w:val="%1."/>
      <w:lvlJc w:val="left"/>
      <w:pPr>
        <w:ind w:left="2310" w:hanging="360"/>
      </w:pPr>
      <w:rPr>
        <w:rFonts w:hint="default"/>
        <w:b/>
        <w:bCs w:val="0"/>
      </w:rPr>
    </w:lvl>
    <w:lvl w:ilvl="1" w:tplc="04090019">
      <w:start w:val="1"/>
      <w:numFmt w:val="lowerLetter"/>
      <w:lvlText w:val="%2."/>
      <w:lvlJc w:val="left"/>
      <w:pPr>
        <w:ind w:left="3030" w:hanging="360"/>
      </w:pPr>
    </w:lvl>
    <w:lvl w:ilvl="2" w:tplc="0409001B">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1" w15:restartNumberingAfterBreak="0">
    <w:nsid w:val="04501DF8"/>
    <w:multiLevelType w:val="hybridMultilevel"/>
    <w:tmpl w:val="78BE985E"/>
    <w:lvl w:ilvl="0" w:tplc="2DFA32E8">
      <w:start w:val="3"/>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7F498F"/>
    <w:multiLevelType w:val="hybridMultilevel"/>
    <w:tmpl w:val="4AD8D0C8"/>
    <w:lvl w:ilvl="0" w:tplc="59CC6CB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2513C5"/>
    <w:multiLevelType w:val="hybridMultilevel"/>
    <w:tmpl w:val="3468E2D0"/>
    <w:lvl w:ilvl="0" w:tplc="E93056AA">
      <w:start w:val="2"/>
      <w:numFmt w:val="decimal"/>
      <w:lvlText w:val="%1)"/>
      <w:lvlJc w:val="left"/>
      <w:pPr>
        <w:ind w:left="11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C43FFB"/>
    <w:multiLevelType w:val="hybridMultilevel"/>
    <w:tmpl w:val="1C3480A2"/>
    <w:lvl w:ilvl="0" w:tplc="0F3E33E2">
      <w:start w:val="1"/>
      <w:numFmt w:val="upperRoman"/>
      <w:lvlText w:val="%1."/>
      <w:lvlJc w:val="left"/>
      <w:pPr>
        <w:ind w:left="780" w:hanging="720"/>
      </w:pPr>
      <w:rPr>
        <w:rFonts w:hint="default"/>
        <w:i w:val="0"/>
      </w:rPr>
    </w:lvl>
    <w:lvl w:ilvl="1" w:tplc="04090015">
      <w:start w:val="1"/>
      <w:numFmt w:val="upp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0E114B92"/>
    <w:multiLevelType w:val="hybridMultilevel"/>
    <w:tmpl w:val="105E2344"/>
    <w:lvl w:ilvl="0" w:tplc="AB02E1B0">
      <w:start w:val="1"/>
      <w:numFmt w:val="upperRoman"/>
      <w:lvlText w:val="%1."/>
      <w:lvlJc w:val="left"/>
      <w:pPr>
        <w:ind w:left="1080" w:hanging="720"/>
      </w:pPr>
      <w:rPr>
        <w:rFonts w:hint="default"/>
        <w:i w:val="0"/>
        <w:iCs/>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C14019"/>
    <w:multiLevelType w:val="multilevel"/>
    <w:tmpl w:val="0409001D"/>
    <w:numStyleLink w:val="Style1"/>
  </w:abstractNum>
  <w:abstractNum w:abstractNumId="7" w15:restartNumberingAfterBreak="0">
    <w:nsid w:val="188133CA"/>
    <w:multiLevelType w:val="hybridMultilevel"/>
    <w:tmpl w:val="C84A481A"/>
    <w:lvl w:ilvl="0" w:tplc="04090013">
      <w:start w:val="1"/>
      <w:numFmt w:val="upperRoman"/>
      <w:lvlText w:val="%1."/>
      <w:lvlJc w:val="right"/>
      <w:pPr>
        <w:ind w:left="720" w:hanging="360"/>
      </w:pPr>
    </w:lvl>
    <w:lvl w:ilvl="1" w:tplc="04090015">
      <w:start w:val="1"/>
      <w:numFmt w:val="upperLetter"/>
      <w:lvlText w:val="%2."/>
      <w:lvlJc w:val="left"/>
      <w:pPr>
        <w:ind w:left="1440" w:hanging="360"/>
      </w:pPr>
    </w:lvl>
    <w:lvl w:ilvl="2" w:tplc="8BE67E12">
      <w:start w:val="4"/>
      <w:numFmt w:val="lowerLetter"/>
      <w:lvlText w:val="%3."/>
      <w:lvlJc w:val="left"/>
      <w:pPr>
        <w:ind w:left="2340" w:hanging="360"/>
      </w:pPr>
      <w:rPr>
        <w:rFonts w:hint="default"/>
      </w:rPr>
    </w:lvl>
    <w:lvl w:ilvl="3" w:tplc="04090011">
      <w:start w:val="1"/>
      <w:numFmt w:val="decimal"/>
      <w:lvlText w:val="%4)"/>
      <w:lvlJc w:val="left"/>
      <w:pPr>
        <w:ind w:left="2880" w:hanging="360"/>
      </w:pPr>
      <w:rPr>
        <w:rFonts w:hint="default"/>
      </w:rPr>
    </w:lvl>
    <w:lvl w:ilvl="4" w:tplc="04090011">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8C6639"/>
    <w:multiLevelType w:val="hybridMultilevel"/>
    <w:tmpl w:val="5A9806A4"/>
    <w:lvl w:ilvl="0" w:tplc="0E6A609C">
      <w:start w:val="2"/>
      <w:numFmt w:val="upperRoman"/>
      <w:lvlText w:val="%1."/>
      <w:lvlJc w:val="right"/>
      <w:pPr>
        <w:ind w:left="4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154600"/>
    <w:multiLevelType w:val="hybridMultilevel"/>
    <w:tmpl w:val="1D34A23E"/>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1A933342"/>
    <w:multiLevelType w:val="hybridMultilevel"/>
    <w:tmpl w:val="7C869054"/>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040632"/>
    <w:multiLevelType w:val="multilevel"/>
    <w:tmpl w:val="CDAE1D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D01467"/>
    <w:multiLevelType w:val="multilevel"/>
    <w:tmpl w:val="D3063AB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4C4505"/>
    <w:multiLevelType w:val="hybridMultilevel"/>
    <w:tmpl w:val="B9B00F7E"/>
    <w:lvl w:ilvl="0" w:tplc="FFFFFFFF">
      <w:start w:val="1"/>
      <w:numFmt w:val="upperLetter"/>
      <w:lvlText w:val="%1."/>
      <w:lvlJc w:val="left"/>
      <w:pPr>
        <w:ind w:left="1800" w:hanging="360"/>
      </w:pPr>
      <w:rPr>
        <w:rFonts w:hint="default"/>
        <w:b w:val="0"/>
      </w:rPr>
    </w:lvl>
    <w:lvl w:ilvl="1" w:tplc="FFFFFFFF">
      <w:start w:val="1"/>
      <w:numFmt w:val="lowerLetter"/>
      <w:lvlText w:val="%2."/>
      <w:lvlJc w:val="left"/>
      <w:pPr>
        <w:ind w:left="2520" w:hanging="360"/>
      </w:pPr>
    </w:lvl>
    <w:lvl w:ilvl="2" w:tplc="FFFFFFFF">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4" w15:restartNumberingAfterBreak="0">
    <w:nsid w:val="31122DF2"/>
    <w:multiLevelType w:val="hybridMultilevel"/>
    <w:tmpl w:val="B49675BA"/>
    <w:lvl w:ilvl="0" w:tplc="FFFFFFFF">
      <w:start w:val="1"/>
      <w:numFmt w:val="upperLetter"/>
      <w:lvlText w:val="%1."/>
      <w:lvlJc w:val="left"/>
      <w:pPr>
        <w:ind w:left="1800" w:hanging="360"/>
      </w:pPr>
      <w:rPr>
        <w:rFonts w:hint="default"/>
        <w:b/>
        <w:bCs w:val="0"/>
      </w:rPr>
    </w:lvl>
    <w:lvl w:ilvl="1" w:tplc="0409000F">
      <w:start w:val="1"/>
      <w:numFmt w:val="decimal"/>
      <w:lvlText w:val="%2."/>
      <w:lvlJc w:val="left"/>
      <w:pPr>
        <w:ind w:left="2520" w:hanging="360"/>
      </w:pPr>
    </w:lvl>
    <w:lvl w:ilvl="2" w:tplc="FFFFFFFF">
      <w:start w:val="1"/>
      <w:numFmt w:val="lowerRoman"/>
      <w:lvlText w:val="%3."/>
      <w:lvlJc w:val="right"/>
      <w:pPr>
        <w:ind w:left="3240" w:hanging="180"/>
      </w:pPr>
    </w:lvl>
    <w:lvl w:ilvl="3" w:tplc="78C8ECDE">
      <w:start w:val="2"/>
      <w:numFmt w:val="upperRoman"/>
      <w:lvlText w:val="%4."/>
      <w:lvlJc w:val="left"/>
      <w:pPr>
        <w:ind w:left="4320" w:hanging="720"/>
      </w:pPr>
      <w:rPr>
        <w:rFonts w:hint="default"/>
        <w:i w:val="0"/>
      </w:rPr>
    </w:lvl>
    <w:lvl w:ilvl="4" w:tplc="BE8E037C">
      <w:start w:val="2"/>
      <w:numFmt w:val="lowerLetter"/>
      <w:lvlText w:val="%5."/>
      <w:lvlJc w:val="left"/>
      <w:pPr>
        <w:ind w:left="4680" w:hanging="360"/>
      </w:pPr>
      <w:rPr>
        <w:rFonts w:hint="default"/>
      </w:r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5" w15:restartNumberingAfterBreak="0">
    <w:nsid w:val="32A179C2"/>
    <w:multiLevelType w:val="hybridMultilevel"/>
    <w:tmpl w:val="E122823E"/>
    <w:lvl w:ilvl="0" w:tplc="FFFFFFFF">
      <w:start w:val="1"/>
      <w:numFmt w:val="upperLetter"/>
      <w:lvlText w:val="%1."/>
      <w:lvlJc w:val="left"/>
      <w:pPr>
        <w:ind w:left="1800" w:hanging="360"/>
      </w:pPr>
      <w:rPr>
        <w:rFonts w:hint="default"/>
        <w:b/>
        <w:bCs w:val="0"/>
      </w:rPr>
    </w:lvl>
    <w:lvl w:ilvl="1" w:tplc="FFFFFFFF">
      <w:start w:val="1"/>
      <w:numFmt w:val="lowerLetter"/>
      <w:lvlText w:val="%2."/>
      <w:lvlJc w:val="left"/>
      <w:pPr>
        <w:ind w:left="2520" w:hanging="360"/>
      </w:pPr>
    </w:lvl>
    <w:lvl w:ilvl="2" w:tplc="FFFFFFFF">
      <w:start w:val="1"/>
      <w:numFmt w:val="lowerRoman"/>
      <w:lvlText w:val="%3."/>
      <w:lvlJc w:val="right"/>
      <w:pPr>
        <w:ind w:left="3240" w:hanging="180"/>
      </w:pPr>
    </w:lvl>
    <w:lvl w:ilvl="3" w:tplc="F11A2580">
      <w:start w:val="2"/>
      <w:numFmt w:val="lowerRoman"/>
      <w:lvlText w:val="%4."/>
      <w:lvlJc w:val="left"/>
      <w:pPr>
        <w:ind w:left="4320" w:hanging="720"/>
      </w:pPr>
      <w:rPr>
        <w:rFonts w:hint="default"/>
        <w:b w:val="0"/>
        <w:u w:val="none"/>
      </w:r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6" w15:restartNumberingAfterBreak="0">
    <w:nsid w:val="32A6514F"/>
    <w:multiLevelType w:val="hybridMultilevel"/>
    <w:tmpl w:val="3AD2D50E"/>
    <w:lvl w:ilvl="0" w:tplc="FFFFFFFF">
      <w:start w:val="1"/>
      <w:numFmt w:val="upp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33091E14"/>
    <w:multiLevelType w:val="hybridMultilevel"/>
    <w:tmpl w:val="4790D7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B1E1D0A"/>
    <w:multiLevelType w:val="hybridMultilevel"/>
    <w:tmpl w:val="7070E04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4915E0"/>
    <w:multiLevelType w:val="hybridMultilevel"/>
    <w:tmpl w:val="D7DE0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0" w15:restartNumberingAfterBreak="0">
    <w:nsid w:val="47C22C48"/>
    <w:multiLevelType w:val="hybridMultilevel"/>
    <w:tmpl w:val="2CE49EB4"/>
    <w:lvl w:ilvl="0" w:tplc="0409000F">
      <w:start w:val="1"/>
      <w:numFmt w:val="decimal"/>
      <w:lvlText w:val="%1."/>
      <w:lvlJc w:val="left"/>
      <w:pPr>
        <w:ind w:left="420" w:hanging="360"/>
      </w:pPr>
      <w:rPr>
        <w:rFonts w:hint="default"/>
        <w:b w:val="0"/>
        <w:i w:val="0"/>
      </w:rPr>
    </w:lvl>
    <w:lvl w:ilvl="1" w:tplc="04090011">
      <w:start w:val="1"/>
      <w:numFmt w:val="decimal"/>
      <w:lvlText w:val="%2)"/>
      <w:lvlJc w:val="left"/>
      <w:pPr>
        <w:ind w:left="1140" w:hanging="360"/>
      </w:pPr>
      <w:rPr>
        <w:b/>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48B34A3F"/>
    <w:multiLevelType w:val="multilevel"/>
    <w:tmpl w:val="0409001D"/>
    <w:styleLink w:val="Style1"/>
    <w:lvl w:ilvl="0">
      <w:start w:val="1"/>
      <w:numFmt w:val="upperRoman"/>
      <w:lvlText w:val="%1."/>
      <w:lvlJc w:val="left"/>
      <w:pPr>
        <w:ind w:left="360" w:hanging="360"/>
      </w:pPr>
      <w:rPr>
        <w:rFonts w:asciiTheme="minorHAnsi" w:eastAsia="Times New Roman" w:hAnsiTheme="minorHAnsi" w:cstheme="minorHAnsi"/>
        <w:b/>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10B5ACD"/>
    <w:multiLevelType w:val="hybridMultilevel"/>
    <w:tmpl w:val="2B0A8F64"/>
    <w:lvl w:ilvl="0" w:tplc="E3C4784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191772B"/>
    <w:multiLevelType w:val="hybridMultilevel"/>
    <w:tmpl w:val="D982F61E"/>
    <w:lvl w:ilvl="0" w:tplc="C854DD84">
      <w:start w:val="1"/>
      <w:numFmt w:val="bullet"/>
      <w:lvlText w:val="-"/>
      <w:lvlJc w:val="left"/>
      <w:pPr>
        <w:ind w:left="144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3C1A66"/>
    <w:multiLevelType w:val="hybridMultilevel"/>
    <w:tmpl w:val="B6125042"/>
    <w:lvl w:ilvl="0" w:tplc="6AC8F3D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57AD4265"/>
    <w:multiLevelType w:val="hybridMultilevel"/>
    <w:tmpl w:val="97DA2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A03BF2"/>
    <w:multiLevelType w:val="hybridMultilevel"/>
    <w:tmpl w:val="41C6B45E"/>
    <w:lvl w:ilvl="0" w:tplc="9CB69CC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1DF7EA9"/>
    <w:multiLevelType w:val="hybridMultilevel"/>
    <w:tmpl w:val="D5D28E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A14DA4"/>
    <w:multiLevelType w:val="hybridMultilevel"/>
    <w:tmpl w:val="A17EFF74"/>
    <w:lvl w:ilvl="0" w:tplc="0FA46E02">
      <w:start w:val="3"/>
      <w:numFmt w:val="decimal"/>
      <w:lvlText w:val="%1)"/>
      <w:lvlJc w:val="left"/>
      <w:pPr>
        <w:ind w:left="11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D77BCB"/>
    <w:multiLevelType w:val="hybridMultilevel"/>
    <w:tmpl w:val="687A66F8"/>
    <w:lvl w:ilvl="0" w:tplc="12B28D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011C31"/>
    <w:multiLevelType w:val="hybridMultilevel"/>
    <w:tmpl w:val="6DBC5D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746F1E4F"/>
    <w:multiLevelType w:val="hybridMultilevel"/>
    <w:tmpl w:val="21285A56"/>
    <w:lvl w:ilvl="0" w:tplc="FFFFFFFF">
      <w:start w:val="1"/>
      <w:numFmt w:val="upperLetter"/>
      <w:lvlText w:val="%1."/>
      <w:lvlJc w:val="left"/>
      <w:pPr>
        <w:ind w:left="1800" w:hanging="360"/>
      </w:pPr>
      <w:rPr>
        <w:rFonts w:hint="default"/>
        <w:b/>
        <w:bCs w:val="0"/>
      </w:rPr>
    </w:lvl>
    <w:lvl w:ilvl="1" w:tplc="FFFFFFFF">
      <w:start w:val="1"/>
      <w:numFmt w:val="lowerLetter"/>
      <w:lvlText w:val="%2."/>
      <w:lvlJc w:val="left"/>
      <w:pPr>
        <w:ind w:left="252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2" w15:restartNumberingAfterBreak="0">
    <w:nsid w:val="748553FF"/>
    <w:multiLevelType w:val="hybridMultilevel"/>
    <w:tmpl w:val="353EFBBE"/>
    <w:lvl w:ilvl="0" w:tplc="2C98499A">
      <w:start w:val="1"/>
      <w:numFmt w:val="bullet"/>
      <w:lvlText w:val="-"/>
      <w:lvlJc w:val="left"/>
      <w:pPr>
        <w:ind w:left="1440" w:hanging="360"/>
      </w:pPr>
      <w:rPr>
        <w:rFonts w:ascii="Arial" w:eastAsiaTheme="minorHAnsi" w:hAnsi="Arial" w:cs="Aria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CEB2043"/>
    <w:multiLevelType w:val="hybridMultilevel"/>
    <w:tmpl w:val="E01E59A0"/>
    <w:lvl w:ilvl="0" w:tplc="FFFFFFFF">
      <w:start w:val="1"/>
      <w:numFmt w:val="upperLetter"/>
      <w:lvlText w:val="%1."/>
      <w:lvlJc w:val="left"/>
      <w:pPr>
        <w:ind w:left="1080" w:hanging="360"/>
      </w:pPr>
      <w:rPr>
        <w:rFonts w:hint="default"/>
        <w:b/>
        <w:bCs w:val="0"/>
      </w:rPr>
    </w:lvl>
    <w:lvl w:ilvl="1" w:tplc="04090015">
      <w:start w:val="1"/>
      <w:numFmt w:val="upp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7EE44C66"/>
    <w:multiLevelType w:val="hybridMultilevel"/>
    <w:tmpl w:val="3D707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3"/>
  </w:num>
  <w:num w:numId="3">
    <w:abstractNumId w:val="0"/>
  </w:num>
  <w:num w:numId="4">
    <w:abstractNumId w:val="12"/>
  </w:num>
  <w:num w:numId="5">
    <w:abstractNumId w:val="25"/>
  </w:num>
  <w:num w:numId="6">
    <w:abstractNumId w:val="32"/>
  </w:num>
  <w:num w:numId="7">
    <w:abstractNumId w:val="13"/>
  </w:num>
  <w:num w:numId="8">
    <w:abstractNumId w:val="15"/>
  </w:num>
  <w:num w:numId="9">
    <w:abstractNumId w:val="14"/>
  </w:num>
  <w:num w:numId="10">
    <w:abstractNumId w:val="33"/>
  </w:num>
  <w:num w:numId="11">
    <w:abstractNumId w:val="30"/>
  </w:num>
  <w:num w:numId="12">
    <w:abstractNumId w:val="26"/>
  </w:num>
  <w:num w:numId="13">
    <w:abstractNumId w:val="24"/>
  </w:num>
  <w:num w:numId="14">
    <w:abstractNumId w:val="1"/>
  </w:num>
  <w:num w:numId="15">
    <w:abstractNumId w:val="2"/>
  </w:num>
  <w:num w:numId="16">
    <w:abstractNumId w:val="10"/>
  </w:num>
  <w:num w:numId="17">
    <w:abstractNumId w:val="31"/>
  </w:num>
  <w:num w:numId="18">
    <w:abstractNumId w:val="21"/>
  </w:num>
  <w:num w:numId="19">
    <w:abstractNumId w:val="6"/>
    <w:lvlOverride w:ilvl="0">
      <w:lvl w:ilvl="0">
        <w:start w:val="1"/>
        <w:numFmt w:val="upperRoman"/>
        <w:lvlText w:val="%1."/>
        <w:lvlJc w:val="left"/>
        <w:pPr>
          <w:ind w:left="360" w:hanging="360"/>
        </w:pPr>
        <w:rPr>
          <w:rFonts w:asciiTheme="minorHAnsi" w:eastAsia="Times New Roman" w:hAnsiTheme="minorHAnsi" w:cstheme="minorHAnsi"/>
          <w:b/>
        </w:rPr>
      </w:lvl>
    </w:lvlOverride>
    <w:lvlOverride w:ilvl="1">
      <w:lvl w:ilvl="1">
        <w:start w:val="1"/>
        <w:numFmt w:val="upperLetter"/>
        <w:lvlText w:val="%2)"/>
        <w:lvlJc w:val="left"/>
        <w:pPr>
          <w:ind w:left="720" w:hanging="360"/>
        </w:pPr>
        <w:rPr>
          <w:b/>
        </w:rPr>
      </w:lvl>
    </w:lvlOverride>
    <w:lvlOverride w:ilvl="2">
      <w:lvl w:ilvl="2">
        <w:start w:val="1"/>
        <w:numFmt w:val="lowerRoman"/>
        <w:lvlText w:val="%3)"/>
        <w:lvlJc w:val="left"/>
        <w:pPr>
          <w:ind w:left="1080" w:hanging="360"/>
        </w:p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left"/>
        <w:pPr>
          <w:ind w:left="2160" w:hanging="360"/>
        </w:pPr>
      </w:lvl>
    </w:lvlOverride>
    <w:lvlOverride w:ilvl="6">
      <w:lvl w:ilvl="6">
        <w:start w:val="1"/>
        <w:numFmt w:val="decimal"/>
        <w:lvlText w:val="%7."/>
        <w:lvlJc w:val="left"/>
        <w:pPr>
          <w:ind w:left="2520" w:hanging="360"/>
        </w:pPr>
        <w:rPr>
          <w:color w:val="000000" w:themeColor="text1"/>
        </w:rPr>
      </w:lvl>
    </w:lvlOverride>
    <w:lvlOverride w:ilvl="7">
      <w:lvl w:ilvl="7">
        <w:start w:val="1"/>
        <w:numFmt w:val="lowerLetter"/>
        <w:lvlText w:val="%8."/>
        <w:lvlJc w:val="left"/>
        <w:pPr>
          <w:ind w:left="2880" w:hanging="360"/>
        </w:pPr>
      </w:lvl>
    </w:lvlOverride>
    <w:lvlOverride w:ilvl="8">
      <w:lvl w:ilvl="8">
        <w:start w:val="1"/>
        <w:numFmt w:val="lowerRoman"/>
        <w:lvlText w:val="%9."/>
        <w:lvlJc w:val="left"/>
        <w:pPr>
          <w:ind w:left="3240" w:hanging="360"/>
        </w:pPr>
      </w:lvl>
    </w:lvlOverride>
  </w:num>
  <w:num w:numId="20">
    <w:abstractNumId w:val="16"/>
  </w:num>
  <w:num w:numId="21">
    <w:abstractNumId w:val="27"/>
  </w:num>
  <w:num w:numId="22">
    <w:abstractNumId w:val="19"/>
  </w:num>
  <w:num w:numId="23">
    <w:abstractNumId w:val="22"/>
  </w:num>
  <w:num w:numId="24">
    <w:abstractNumId w:val="17"/>
  </w:num>
  <w:num w:numId="25">
    <w:abstractNumId w:val="34"/>
  </w:num>
  <w:num w:numId="26">
    <w:abstractNumId w:val="4"/>
  </w:num>
  <w:num w:numId="27">
    <w:abstractNumId w:val="20"/>
  </w:num>
  <w:num w:numId="28">
    <w:abstractNumId w:val="9"/>
  </w:num>
  <w:num w:numId="29">
    <w:abstractNumId w:val="7"/>
  </w:num>
  <w:num w:numId="30">
    <w:abstractNumId w:val="29"/>
  </w:num>
  <w:num w:numId="31">
    <w:abstractNumId w:val="8"/>
  </w:num>
  <w:num w:numId="32">
    <w:abstractNumId w:val="11"/>
  </w:num>
  <w:num w:numId="33">
    <w:abstractNumId w:val="18"/>
  </w:num>
  <w:num w:numId="34">
    <w:abstractNumId w:val="3"/>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790"/>
    <w:rsid w:val="000027DF"/>
    <w:rsid w:val="00015CE5"/>
    <w:rsid w:val="0002015B"/>
    <w:rsid w:val="000319F1"/>
    <w:rsid w:val="00032BCF"/>
    <w:rsid w:val="00037321"/>
    <w:rsid w:val="00052D5A"/>
    <w:rsid w:val="00067F8D"/>
    <w:rsid w:val="000722CA"/>
    <w:rsid w:val="00083321"/>
    <w:rsid w:val="000863CC"/>
    <w:rsid w:val="000A643B"/>
    <w:rsid w:val="000B03C2"/>
    <w:rsid w:val="000C141E"/>
    <w:rsid w:val="000C19B4"/>
    <w:rsid w:val="000C71EA"/>
    <w:rsid w:val="000D34BE"/>
    <w:rsid w:val="000D6DAE"/>
    <w:rsid w:val="000D79E5"/>
    <w:rsid w:val="000E67BE"/>
    <w:rsid w:val="000F0097"/>
    <w:rsid w:val="001007F6"/>
    <w:rsid w:val="00107790"/>
    <w:rsid w:val="0011150F"/>
    <w:rsid w:val="001152CB"/>
    <w:rsid w:val="0012278E"/>
    <w:rsid w:val="00126315"/>
    <w:rsid w:val="00126800"/>
    <w:rsid w:val="00130A0A"/>
    <w:rsid w:val="00131BD0"/>
    <w:rsid w:val="001375AA"/>
    <w:rsid w:val="00141B9C"/>
    <w:rsid w:val="00153FC4"/>
    <w:rsid w:val="001555D6"/>
    <w:rsid w:val="00156400"/>
    <w:rsid w:val="00162F95"/>
    <w:rsid w:val="001672CA"/>
    <w:rsid w:val="001709B1"/>
    <w:rsid w:val="00180F74"/>
    <w:rsid w:val="001930B9"/>
    <w:rsid w:val="00193CC5"/>
    <w:rsid w:val="00197822"/>
    <w:rsid w:val="001A49D6"/>
    <w:rsid w:val="001A4D87"/>
    <w:rsid w:val="001D312F"/>
    <w:rsid w:val="001D4696"/>
    <w:rsid w:val="001D77B9"/>
    <w:rsid w:val="001E5962"/>
    <w:rsid w:val="001E7D8F"/>
    <w:rsid w:val="001F18F4"/>
    <w:rsid w:val="001F2E2D"/>
    <w:rsid w:val="001F3776"/>
    <w:rsid w:val="0020489F"/>
    <w:rsid w:val="0021091D"/>
    <w:rsid w:val="00215EE3"/>
    <w:rsid w:val="00234457"/>
    <w:rsid w:val="00235F0B"/>
    <w:rsid w:val="00241E27"/>
    <w:rsid w:val="00251F6A"/>
    <w:rsid w:val="0025500B"/>
    <w:rsid w:val="00255B05"/>
    <w:rsid w:val="00266A4F"/>
    <w:rsid w:val="00272C76"/>
    <w:rsid w:val="00275A52"/>
    <w:rsid w:val="00294C11"/>
    <w:rsid w:val="002A2A89"/>
    <w:rsid w:val="002A768A"/>
    <w:rsid w:val="002D19A5"/>
    <w:rsid w:val="002D2E3B"/>
    <w:rsid w:val="002D67D0"/>
    <w:rsid w:val="002E13F4"/>
    <w:rsid w:val="002E53D2"/>
    <w:rsid w:val="002E7250"/>
    <w:rsid w:val="002F1720"/>
    <w:rsid w:val="002F751C"/>
    <w:rsid w:val="00311E4C"/>
    <w:rsid w:val="0032362B"/>
    <w:rsid w:val="003238C6"/>
    <w:rsid w:val="0032795C"/>
    <w:rsid w:val="00331716"/>
    <w:rsid w:val="00335E0F"/>
    <w:rsid w:val="0034559B"/>
    <w:rsid w:val="003745AA"/>
    <w:rsid w:val="00390915"/>
    <w:rsid w:val="003A196B"/>
    <w:rsid w:val="003A3BF9"/>
    <w:rsid w:val="003A4D3B"/>
    <w:rsid w:val="003C3793"/>
    <w:rsid w:val="003C4ABC"/>
    <w:rsid w:val="003C7307"/>
    <w:rsid w:val="003E0F53"/>
    <w:rsid w:val="003E50BA"/>
    <w:rsid w:val="003E77F7"/>
    <w:rsid w:val="00420A85"/>
    <w:rsid w:val="0042106B"/>
    <w:rsid w:val="004213D6"/>
    <w:rsid w:val="004372BA"/>
    <w:rsid w:val="004412FD"/>
    <w:rsid w:val="00456ED5"/>
    <w:rsid w:val="00461439"/>
    <w:rsid w:val="00476B9F"/>
    <w:rsid w:val="00485D8D"/>
    <w:rsid w:val="00492C18"/>
    <w:rsid w:val="00494959"/>
    <w:rsid w:val="004A27B3"/>
    <w:rsid w:val="004A58C2"/>
    <w:rsid w:val="004A6382"/>
    <w:rsid w:val="004A6A63"/>
    <w:rsid w:val="004B3641"/>
    <w:rsid w:val="004C79A8"/>
    <w:rsid w:val="004D5FDC"/>
    <w:rsid w:val="004E16A0"/>
    <w:rsid w:val="004E5E64"/>
    <w:rsid w:val="004F0825"/>
    <w:rsid w:val="004F3882"/>
    <w:rsid w:val="004F43C8"/>
    <w:rsid w:val="00500F39"/>
    <w:rsid w:val="00503E66"/>
    <w:rsid w:val="005134CF"/>
    <w:rsid w:val="005215E1"/>
    <w:rsid w:val="005268DE"/>
    <w:rsid w:val="00537BC8"/>
    <w:rsid w:val="00540BDE"/>
    <w:rsid w:val="0054230F"/>
    <w:rsid w:val="00552CBD"/>
    <w:rsid w:val="0056110B"/>
    <w:rsid w:val="00564C0C"/>
    <w:rsid w:val="00577A7B"/>
    <w:rsid w:val="005839F1"/>
    <w:rsid w:val="00587145"/>
    <w:rsid w:val="005954F4"/>
    <w:rsid w:val="0059560A"/>
    <w:rsid w:val="0059663B"/>
    <w:rsid w:val="005C2736"/>
    <w:rsid w:val="005D294F"/>
    <w:rsid w:val="005D447E"/>
    <w:rsid w:val="005D5508"/>
    <w:rsid w:val="005D7667"/>
    <w:rsid w:val="005E2F35"/>
    <w:rsid w:val="005F0ED1"/>
    <w:rsid w:val="005F3A32"/>
    <w:rsid w:val="00610460"/>
    <w:rsid w:val="00614927"/>
    <w:rsid w:val="0062051C"/>
    <w:rsid w:val="00621D98"/>
    <w:rsid w:val="00633D58"/>
    <w:rsid w:val="00636DB3"/>
    <w:rsid w:val="00644A97"/>
    <w:rsid w:val="00645814"/>
    <w:rsid w:val="00645C48"/>
    <w:rsid w:val="00646CA6"/>
    <w:rsid w:val="00661D6A"/>
    <w:rsid w:val="006678D8"/>
    <w:rsid w:val="00683F4C"/>
    <w:rsid w:val="00692A7D"/>
    <w:rsid w:val="006960BE"/>
    <w:rsid w:val="006A37B2"/>
    <w:rsid w:val="006A6585"/>
    <w:rsid w:val="006B10E9"/>
    <w:rsid w:val="006B28E1"/>
    <w:rsid w:val="006B7B81"/>
    <w:rsid w:val="006B7DFA"/>
    <w:rsid w:val="006C5AAD"/>
    <w:rsid w:val="006C6ECE"/>
    <w:rsid w:val="006D4D16"/>
    <w:rsid w:val="006D569C"/>
    <w:rsid w:val="006E50CD"/>
    <w:rsid w:val="006E761C"/>
    <w:rsid w:val="006F4EDD"/>
    <w:rsid w:val="00702076"/>
    <w:rsid w:val="00707B96"/>
    <w:rsid w:val="00714C2D"/>
    <w:rsid w:val="00726498"/>
    <w:rsid w:val="00731831"/>
    <w:rsid w:val="00736DF1"/>
    <w:rsid w:val="007403FE"/>
    <w:rsid w:val="00744F2A"/>
    <w:rsid w:val="00747A40"/>
    <w:rsid w:val="007521C8"/>
    <w:rsid w:val="00754B6E"/>
    <w:rsid w:val="00755FF3"/>
    <w:rsid w:val="0076109F"/>
    <w:rsid w:val="00761948"/>
    <w:rsid w:val="00771699"/>
    <w:rsid w:val="0077525A"/>
    <w:rsid w:val="00775CC7"/>
    <w:rsid w:val="00781ADB"/>
    <w:rsid w:val="007869FF"/>
    <w:rsid w:val="00790A2C"/>
    <w:rsid w:val="00792A6B"/>
    <w:rsid w:val="007A1932"/>
    <w:rsid w:val="007A4D91"/>
    <w:rsid w:val="007A6596"/>
    <w:rsid w:val="007A7239"/>
    <w:rsid w:val="007B2263"/>
    <w:rsid w:val="007B5C93"/>
    <w:rsid w:val="007C7F8C"/>
    <w:rsid w:val="007D3D57"/>
    <w:rsid w:val="007E0133"/>
    <w:rsid w:val="007F4647"/>
    <w:rsid w:val="008223EF"/>
    <w:rsid w:val="00826781"/>
    <w:rsid w:val="00842ED6"/>
    <w:rsid w:val="00844686"/>
    <w:rsid w:val="00845A4A"/>
    <w:rsid w:val="008463C6"/>
    <w:rsid w:val="00855DB0"/>
    <w:rsid w:val="008572C8"/>
    <w:rsid w:val="00862872"/>
    <w:rsid w:val="00866D50"/>
    <w:rsid w:val="0088369E"/>
    <w:rsid w:val="00883C87"/>
    <w:rsid w:val="00883CE8"/>
    <w:rsid w:val="00884D58"/>
    <w:rsid w:val="0089088B"/>
    <w:rsid w:val="00891251"/>
    <w:rsid w:val="0089674D"/>
    <w:rsid w:val="008A0037"/>
    <w:rsid w:val="008A0B59"/>
    <w:rsid w:val="008A1539"/>
    <w:rsid w:val="008A15FF"/>
    <w:rsid w:val="008A7385"/>
    <w:rsid w:val="008B11F3"/>
    <w:rsid w:val="008B699D"/>
    <w:rsid w:val="008B7B05"/>
    <w:rsid w:val="008C163C"/>
    <w:rsid w:val="008C5721"/>
    <w:rsid w:val="008C59D1"/>
    <w:rsid w:val="008D4F6C"/>
    <w:rsid w:val="008E73FF"/>
    <w:rsid w:val="008F7631"/>
    <w:rsid w:val="009062AA"/>
    <w:rsid w:val="00912947"/>
    <w:rsid w:val="00915716"/>
    <w:rsid w:val="0091709A"/>
    <w:rsid w:val="0091785D"/>
    <w:rsid w:val="00923A0B"/>
    <w:rsid w:val="00930B30"/>
    <w:rsid w:val="009570AC"/>
    <w:rsid w:val="009600AC"/>
    <w:rsid w:val="00962F2A"/>
    <w:rsid w:val="009711CE"/>
    <w:rsid w:val="009713B4"/>
    <w:rsid w:val="00976422"/>
    <w:rsid w:val="009836D1"/>
    <w:rsid w:val="00986BC7"/>
    <w:rsid w:val="00997CF5"/>
    <w:rsid w:val="009C2824"/>
    <w:rsid w:val="009C43EA"/>
    <w:rsid w:val="009C740C"/>
    <w:rsid w:val="009D0A9A"/>
    <w:rsid w:val="009E6DC8"/>
    <w:rsid w:val="009F53F7"/>
    <w:rsid w:val="00A04804"/>
    <w:rsid w:val="00A07F1D"/>
    <w:rsid w:val="00A15906"/>
    <w:rsid w:val="00A16890"/>
    <w:rsid w:val="00A236D9"/>
    <w:rsid w:val="00A254AA"/>
    <w:rsid w:val="00A262AA"/>
    <w:rsid w:val="00A315DF"/>
    <w:rsid w:val="00A31FBA"/>
    <w:rsid w:val="00A3393E"/>
    <w:rsid w:val="00A35424"/>
    <w:rsid w:val="00A37AC1"/>
    <w:rsid w:val="00A44E63"/>
    <w:rsid w:val="00A45E24"/>
    <w:rsid w:val="00A46619"/>
    <w:rsid w:val="00A54BFD"/>
    <w:rsid w:val="00A54EC9"/>
    <w:rsid w:val="00A55EC0"/>
    <w:rsid w:val="00A61567"/>
    <w:rsid w:val="00A626B4"/>
    <w:rsid w:val="00A666DC"/>
    <w:rsid w:val="00A72C49"/>
    <w:rsid w:val="00A816A0"/>
    <w:rsid w:val="00A82E73"/>
    <w:rsid w:val="00AA2B8D"/>
    <w:rsid w:val="00AA4B77"/>
    <w:rsid w:val="00AC4069"/>
    <w:rsid w:val="00AC50EF"/>
    <w:rsid w:val="00AD307D"/>
    <w:rsid w:val="00AF17C3"/>
    <w:rsid w:val="00AF2926"/>
    <w:rsid w:val="00AF3A7B"/>
    <w:rsid w:val="00AF45C4"/>
    <w:rsid w:val="00B0093C"/>
    <w:rsid w:val="00B02E68"/>
    <w:rsid w:val="00B1534D"/>
    <w:rsid w:val="00B15C08"/>
    <w:rsid w:val="00B16FB7"/>
    <w:rsid w:val="00B339F5"/>
    <w:rsid w:val="00B360A3"/>
    <w:rsid w:val="00B3688F"/>
    <w:rsid w:val="00B3732C"/>
    <w:rsid w:val="00B43594"/>
    <w:rsid w:val="00B45D1E"/>
    <w:rsid w:val="00B60D9F"/>
    <w:rsid w:val="00B6387A"/>
    <w:rsid w:val="00B654A3"/>
    <w:rsid w:val="00B67053"/>
    <w:rsid w:val="00B7309E"/>
    <w:rsid w:val="00B8579B"/>
    <w:rsid w:val="00B966C1"/>
    <w:rsid w:val="00B9778D"/>
    <w:rsid w:val="00BA2348"/>
    <w:rsid w:val="00BA3721"/>
    <w:rsid w:val="00BB27F2"/>
    <w:rsid w:val="00BB53A6"/>
    <w:rsid w:val="00BC29FB"/>
    <w:rsid w:val="00BC3FE7"/>
    <w:rsid w:val="00BC5EA1"/>
    <w:rsid w:val="00BC7730"/>
    <w:rsid w:val="00BC7A64"/>
    <w:rsid w:val="00BD17E7"/>
    <w:rsid w:val="00BD33B5"/>
    <w:rsid w:val="00BD3DBE"/>
    <w:rsid w:val="00BF338F"/>
    <w:rsid w:val="00C10649"/>
    <w:rsid w:val="00C15C2F"/>
    <w:rsid w:val="00C21C07"/>
    <w:rsid w:val="00C245FE"/>
    <w:rsid w:val="00C25985"/>
    <w:rsid w:val="00C261C1"/>
    <w:rsid w:val="00C3387C"/>
    <w:rsid w:val="00C34238"/>
    <w:rsid w:val="00C41406"/>
    <w:rsid w:val="00C43A4A"/>
    <w:rsid w:val="00C468FA"/>
    <w:rsid w:val="00C47984"/>
    <w:rsid w:val="00C6051E"/>
    <w:rsid w:val="00C61305"/>
    <w:rsid w:val="00C670E2"/>
    <w:rsid w:val="00C768DF"/>
    <w:rsid w:val="00C76B0E"/>
    <w:rsid w:val="00C82A62"/>
    <w:rsid w:val="00C94F47"/>
    <w:rsid w:val="00C9563D"/>
    <w:rsid w:val="00CA2449"/>
    <w:rsid w:val="00CA7292"/>
    <w:rsid w:val="00CA7373"/>
    <w:rsid w:val="00CA7EE5"/>
    <w:rsid w:val="00CB0E64"/>
    <w:rsid w:val="00CB1DC7"/>
    <w:rsid w:val="00CB340A"/>
    <w:rsid w:val="00CC224D"/>
    <w:rsid w:val="00CC2411"/>
    <w:rsid w:val="00CC7322"/>
    <w:rsid w:val="00CD076F"/>
    <w:rsid w:val="00CD47B9"/>
    <w:rsid w:val="00CD5CE0"/>
    <w:rsid w:val="00CD711E"/>
    <w:rsid w:val="00CD7824"/>
    <w:rsid w:val="00CE4894"/>
    <w:rsid w:val="00CE56DB"/>
    <w:rsid w:val="00CF136C"/>
    <w:rsid w:val="00CF1AE8"/>
    <w:rsid w:val="00CF2296"/>
    <w:rsid w:val="00CF756E"/>
    <w:rsid w:val="00D006E8"/>
    <w:rsid w:val="00D02417"/>
    <w:rsid w:val="00D06F93"/>
    <w:rsid w:val="00D12692"/>
    <w:rsid w:val="00D210F5"/>
    <w:rsid w:val="00D2786C"/>
    <w:rsid w:val="00D31D56"/>
    <w:rsid w:val="00D355CD"/>
    <w:rsid w:val="00D42A95"/>
    <w:rsid w:val="00D52F4F"/>
    <w:rsid w:val="00D64E88"/>
    <w:rsid w:val="00D67A4E"/>
    <w:rsid w:val="00D702F8"/>
    <w:rsid w:val="00D76ACB"/>
    <w:rsid w:val="00D76C0F"/>
    <w:rsid w:val="00D76C4B"/>
    <w:rsid w:val="00D80144"/>
    <w:rsid w:val="00D94220"/>
    <w:rsid w:val="00DA2B54"/>
    <w:rsid w:val="00DB29D6"/>
    <w:rsid w:val="00DB31C9"/>
    <w:rsid w:val="00DC138F"/>
    <w:rsid w:val="00DC43FA"/>
    <w:rsid w:val="00DC5C46"/>
    <w:rsid w:val="00DD0C51"/>
    <w:rsid w:val="00DD38AD"/>
    <w:rsid w:val="00DD5C68"/>
    <w:rsid w:val="00DD72EF"/>
    <w:rsid w:val="00DE08CD"/>
    <w:rsid w:val="00DE2693"/>
    <w:rsid w:val="00DF4ADB"/>
    <w:rsid w:val="00DF57CC"/>
    <w:rsid w:val="00DF6829"/>
    <w:rsid w:val="00DF78DE"/>
    <w:rsid w:val="00E0125F"/>
    <w:rsid w:val="00E20C3D"/>
    <w:rsid w:val="00E26460"/>
    <w:rsid w:val="00E27A03"/>
    <w:rsid w:val="00E30915"/>
    <w:rsid w:val="00E3653D"/>
    <w:rsid w:val="00E37E71"/>
    <w:rsid w:val="00E520BF"/>
    <w:rsid w:val="00E54B30"/>
    <w:rsid w:val="00E57D23"/>
    <w:rsid w:val="00E66B25"/>
    <w:rsid w:val="00E70AD4"/>
    <w:rsid w:val="00E71C1E"/>
    <w:rsid w:val="00E758A0"/>
    <w:rsid w:val="00E8185E"/>
    <w:rsid w:val="00E83AF7"/>
    <w:rsid w:val="00E878F5"/>
    <w:rsid w:val="00EA7AB9"/>
    <w:rsid w:val="00EB748D"/>
    <w:rsid w:val="00EC3985"/>
    <w:rsid w:val="00EC4AFA"/>
    <w:rsid w:val="00ED6732"/>
    <w:rsid w:val="00EE5337"/>
    <w:rsid w:val="00EF5E99"/>
    <w:rsid w:val="00F1024B"/>
    <w:rsid w:val="00F334B2"/>
    <w:rsid w:val="00F4172D"/>
    <w:rsid w:val="00F51BC3"/>
    <w:rsid w:val="00F61F5F"/>
    <w:rsid w:val="00F65E43"/>
    <w:rsid w:val="00F70A8F"/>
    <w:rsid w:val="00F76E65"/>
    <w:rsid w:val="00FA0918"/>
    <w:rsid w:val="00FB37EA"/>
    <w:rsid w:val="00FC1555"/>
    <w:rsid w:val="00FC285C"/>
    <w:rsid w:val="00FC760E"/>
    <w:rsid w:val="00FE4CF6"/>
    <w:rsid w:val="00FF2310"/>
    <w:rsid w:val="00FF48CA"/>
    <w:rsid w:val="00FF5ACE"/>
    <w:rsid w:val="038AF55E"/>
    <w:rsid w:val="0ABCBE5E"/>
    <w:rsid w:val="1E665634"/>
    <w:rsid w:val="2502C1B2"/>
    <w:rsid w:val="38CCC5FB"/>
    <w:rsid w:val="3F0CFCA2"/>
    <w:rsid w:val="459382BB"/>
    <w:rsid w:val="484E3DF8"/>
    <w:rsid w:val="4973C0B5"/>
    <w:rsid w:val="5088DC67"/>
    <w:rsid w:val="5BFC214C"/>
    <w:rsid w:val="6E5993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943A9"/>
  <w15:chartTrackingRefBased/>
  <w15:docId w15:val="{B4EC2D35-2436-A94B-9EDE-5642EAE2C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Calibri"/>
        <w:kern w:val="2"/>
        <w:sz w:val="22"/>
        <w:szCs w:val="22"/>
        <w:lang w:val="en-US"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0E64"/>
    <w:rPr>
      <w:rFonts w:ascii="Arial" w:hAnsi="Arial" w:cs="Times New Roman (Body CS)"/>
      <w:kern w:val="0"/>
      <w:szCs w:val="24"/>
      <w14:ligatures w14:val="none"/>
    </w:rPr>
  </w:style>
  <w:style w:type="paragraph" w:styleId="Heading1">
    <w:name w:val="heading 1"/>
    <w:basedOn w:val="Normal"/>
    <w:next w:val="Normal"/>
    <w:link w:val="Heading1Char"/>
    <w:uiPriority w:val="9"/>
    <w:qFormat/>
    <w:rsid w:val="001077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77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779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779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0779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0779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0779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0779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0779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7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77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779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779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0779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0779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0779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0779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0779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0779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7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779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779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0779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07790"/>
    <w:rPr>
      <w:i/>
      <w:iCs/>
      <w:color w:val="404040" w:themeColor="text1" w:themeTint="BF"/>
    </w:rPr>
  </w:style>
  <w:style w:type="paragraph" w:styleId="ListParagraph">
    <w:name w:val="List Paragraph"/>
    <w:basedOn w:val="Normal"/>
    <w:uiPriority w:val="34"/>
    <w:qFormat/>
    <w:rsid w:val="00107790"/>
    <w:pPr>
      <w:ind w:left="720"/>
      <w:contextualSpacing/>
    </w:pPr>
  </w:style>
  <w:style w:type="character" w:styleId="IntenseEmphasis">
    <w:name w:val="Intense Emphasis"/>
    <w:basedOn w:val="DefaultParagraphFont"/>
    <w:uiPriority w:val="21"/>
    <w:qFormat/>
    <w:rsid w:val="00107790"/>
    <w:rPr>
      <w:i/>
      <w:iCs/>
      <w:color w:val="0F4761" w:themeColor="accent1" w:themeShade="BF"/>
    </w:rPr>
  </w:style>
  <w:style w:type="paragraph" w:styleId="IntenseQuote">
    <w:name w:val="Intense Quote"/>
    <w:basedOn w:val="Normal"/>
    <w:next w:val="Normal"/>
    <w:link w:val="IntenseQuoteChar"/>
    <w:uiPriority w:val="30"/>
    <w:qFormat/>
    <w:rsid w:val="001077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7790"/>
    <w:rPr>
      <w:i/>
      <w:iCs/>
      <w:color w:val="0F4761" w:themeColor="accent1" w:themeShade="BF"/>
    </w:rPr>
  </w:style>
  <w:style w:type="character" w:styleId="IntenseReference">
    <w:name w:val="Intense Reference"/>
    <w:basedOn w:val="DefaultParagraphFont"/>
    <w:uiPriority w:val="32"/>
    <w:qFormat/>
    <w:rsid w:val="00107790"/>
    <w:rPr>
      <w:b/>
      <w:bCs/>
      <w:smallCaps/>
      <w:color w:val="0F4761" w:themeColor="accent1" w:themeShade="BF"/>
      <w:spacing w:val="5"/>
    </w:rPr>
  </w:style>
  <w:style w:type="paragraph" w:styleId="FootnoteText">
    <w:name w:val="footnote text"/>
    <w:basedOn w:val="Normal"/>
    <w:link w:val="FootnoteTextChar"/>
    <w:uiPriority w:val="99"/>
    <w:unhideWhenUsed/>
    <w:rsid w:val="00CB0E64"/>
    <w:rPr>
      <w:rFonts w:asciiTheme="minorHAnsi" w:eastAsiaTheme="minorEastAsia" w:hAnsiTheme="minorHAnsi" w:cstheme="minorBidi"/>
      <w:kern w:val="2"/>
      <w:sz w:val="20"/>
      <w:szCs w:val="20"/>
      <w:lang w:eastAsia="ko-KR"/>
      <w14:ligatures w14:val="standardContextual"/>
    </w:rPr>
  </w:style>
  <w:style w:type="character" w:customStyle="1" w:styleId="FootnoteTextChar">
    <w:name w:val="Footnote Text Char"/>
    <w:basedOn w:val="DefaultParagraphFont"/>
    <w:link w:val="FootnoteText"/>
    <w:uiPriority w:val="99"/>
    <w:rsid w:val="00CB0E64"/>
    <w:rPr>
      <w:rFonts w:asciiTheme="minorHAnsi" w:eastAsiaTheme="minorEastAsia" w:hAnsiTheme="minorHAnsi" w:cstheme="minorBidi"/>
      <w:sz w:val="20"/>
      <w:szCs w:val="20"/>
      <w:lang w:eastAsia="ko-KR"/>
    </w:rPr>
  </w:style>
  <w:style w:type="character" w:styleId="FootnoteReference">
    <w:name w:val="footnote reference"/>
    <w:aliases w:val="Footnotes refss,Ref. de nota al pie.,Texto de nota al pie,Appel note de bas de page,referencia nota al pie,BVI fnr,Footnote number,f,4_G,16 Point,Superscript 6 Point,Texto nota al pie,Footnote symbol,Footnote,Ref,de nota al pie,norma"/>
    <w:basedOn w:val="DefaultParagraphFont"/>
    <w:link w:val="1"/>
    <w:uiPriority w:val="99"/>
    <w:unhideWhenUsed/>
    <w:qFormat/>
    <w:rsid w:val="00CB0E64"/>
    <w:rPr>
      <w:vertAlign w:val="superscript"/>
    </w:rPr>
  </w:style>
  <w:style w:type="paragraph" w:customStyle="1" w:styleId="1">
    <w:name w:val="1"/>
    <w:basedOn w:val="Normal"/>
    <w:link w:val="FootnoteReference"/>
    <w:uiPriority w:val="99"/>
    <w:rsid w:val="00CB0E64"/>
    <w:pPr>
      <w:spacing w:after="160" w:line="240" w:lineRule="exact"/>
    </w:pPr>
    <w:rPr>
      <w:rFonts w:ascii="Calibri" w:hAnsi="Calibri" w:cs="Calibri"/>
      <w:kern w:val="2"/>
      <w:szCs w:val="22"/>
      <w:vertAlign w:val="superscript"/>
      <w14:ligatures w14:val="standardContextual"/>
    </w:rPr>
  </w:style>
  <w:style w:type="character" w:styleId="CommentReference">
    <w:name w:val="annotation reference"/>
    <w:basedOn w:val="DefaultParagraphFont"/>
    <w:uiPriority w:val="99"/>
    <w:semiHidden/>
    <w:unhideWhenUsed/>
    <w:rsid w:val="005954F4"/>
    <w:rPr>
      <w:sz w:val="16"/>
      <w:szCs w:val="16"/>
    </w:rPr>
  </w:style>
  <w:style w:type="paragraph" w:styleId="NormalWeb">
    <w:name w:val="Normal (Web)"/>
    <w:basedOn w:val="Normal"/>
    <w:uiPriority w:val="99"/>
    <w:unhideWhenUsed/>
    <w:rsid w:val="008C163C"/>
    <w:pPr>
      <w:spacing w:before="100" w:beforeAutospacing="1" w:after="100" w:afterAutospacing="1"/>
    </w:pPr>
    <w:rPr>
      <w:rFonts w:ascii="Times New Roman" w:eastAsia="Times New Roman" w:hAnsi="Times New Roman" w:cs="Times New Roman"/>
      <w:sz w:val="24"/>
    </w:rPr>
  </w:style>
  <w:style w:type="character" w:styleId="Strong">
    <w:name w:val="Strong"/>
    <w:basedOn w:val="DefaultParagraphFont"/>
    <w:uiPriority w:val="22"/>
    <w:qFormat/>
    <w:rsid w:val="008C163C"/>
    <w:rPr>
      <w:b/>
      <w:bCs/>
    </w:rPr>
  </w:style>
  <w:style w:type="paragraph" w:styleId="BalloonText">
    <w:name w:val="Balloon Text"/>
    <w:basedOn w:val="Normal"/>
    <w:link w:val="BalloonTextChar"/>
    <w:uiPriority w:val="99"/>
    <w:semiHidden/>
    <w:unhideWhenUsed/>
    <w:rsid w:val="00CC22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24D"/>
    <w:rPr>
      <w:rFonts w:ascii="Segoe UI" w:hAnsi="Segoe UI" w:cs="Segoe UI"/>
      <w:kern w:val="0"/>
      <w:sz w:val="18"/>
      <w:szCs w:val="18"/>
      <w14:ligatures w14:val="none"/>
    </w:rPr>
  </w:style>
  <w:style w:type="paragraph" w:styleId="CommentText">
    <w:name w:val="annotation text"/>
    <w:basedOn w:val="Normal"/>
    <w:link w:val="CommentTextChar"/>
    <w:uiPriority w:val="99"/>
    <w:semiHidden/>
    <w:unhideWhenUsed/>
    <w:rsid w:val="00CC224D"/>
    <w:rPr>
      <w:sz w:val="20"/>
      <w:szCs w:val="20"/>
    </w:rPr>
  </w:style>
  <w:style w:type="character" w:customStyle="1" w:styleId="CommentTextChar">
    <w:name w:val="Comment Text Char"/>
    <w:basedOn w:val="DefaultParagraphFont"/>
    <w:link w:val="CommentText"/>
    <w:uiPriority w:val="99"/>
    <w:semiHidden/>
    <w:rsid w:val="00CC224D"/>
    <w:rPr>
      <w:rFonts w:ascii="Arial" w:hAnsi="Arial" w:cs="Times New Roman (Body CS)"/>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C224D"/>
    <w:rPr>
      <w:b/>
      <w:bCs/>
    </w:rPr>
  </w:style>
  <w:style w:type="character" w:customStyle="1" w:styleId="CommentSubjectChar">
    <w:name w:val="Comment Subject Char"/>
    <w:basedOn w:val="CommentTextChar"/>
    <w:link w:val="CommentSubject"/>
    <w:uiPriority w:val="99"/>
    <w:semiHidden/>
    <w:rsid w:val="00CC224D"/>
    <w:rPr>
      <w:rFonts w:ascii="Arial" w:hAnsi="Arial" w:cs="Times New Roman (Body CS)"/>
      <w:b/>
      <w:bCs/>
      <w:kern w:val="0"/>
      <w:sz w:val="20"/>
      <w:szCs w:val="20"/>
      <w14:ligatures w14:val="none"/>
    </w:rPr>
  </w:style>
  <w:style w:type="character" w:customStyle="1" w:styleId="y2iqfc">
    <w:name w:val="y2iqfc"/>
    <w:basedOn w:val="DefaultParagraphFont"/>
    <w:rsid w:val="002E53D2"/>
  </w:style>
  <w:style w:type="character" w:styleId="Hyperlink">
    <w:name w:val="Hyperlink"/>
    <w:basedOn w:val="DefaultParagraphFont"/>
    <w:uiPriority w:val="99"/>
    <w:unhideWhenUsed/>
    <w:rsid w:val="00884D58"/>
    <w:rPr>
      <w:color w:val="467886" w:themeColor="hyperlink"/>
      <w:u w:val="single"/>
    </w:rPr>
  </w:style>
  <w:style w:type="character" w:styleId="UnresolvedMention">
    <w:name w:val="Unresolved Mention"/>
    <w:basedOn w:val="DefaultParagraphFont"/>
    <w:uiPriority w:val="99"/>
    <w:semiHidden/>
    <w:unhideWhenUsed/>
    <w:rsid w:val="00884D58"/>
    <w:rPr>
      <w:color w:val="605E5C"/>
      <w:shd w:val="clear" w:color="auto" w:fill="E1DFDD"/>
    </w:rPr>
  </w:style>
  <w:style w:type="character" w:customStyle="1" w:styleId="markedcontent">
    <w:name w:val="markedcontent"/>
    <w:basedOn w:val="DefaultParagraphFont"/>
    <w:rsid w:val="00CF1AE8"/>
  </w:style>
  <w:style w:type="paragraph" w:styleId="Revision">
    <w:name w:val="Revision"/>
    <w:hidden/>
    <w:uiPriority w:val="99"/>
    <w:semiHidden/>
    <w:rsid w:val="004372BA"/>
    <w:rPr>
      <w:rFonts w:ascii="Arial" w:hAnsi="Arial" w:cs="Times New Roman (Body CS)"/>
      <w:kern w:val="0"/>
      <w:szCs w:val="24"/>
      <w14:ligatures w14:val="none"/>
    </w:rPr>
  </w:style>
  <w:style w:type="character" w:styleId="FollowedHyperlink">
    <w:name w:val="FollowedHyperlink"/>
    <w:basedOn w:val="DefaultParagraphFont"/>
    <w:uiPriority w:val="99"/>
    <w:semiHidden/>
    <w:unhideWhenUsed/>
    <w:rsid w:val="00883C87"/>
    <w:rPr>
      <w:color w:val="96607D" w:themeColor="followedHyperlink"/>
      <w:u w:val="single"/>
    </w:rPr>
  </w:style>
  <w:style w:type="table" w:styleId="GridTable4-Accent1">
    <w:name w:val="Grid Table 4 Accent 1"/>
    <w:basedOn w:val="TableNormal"/>
    <w:uiPriority w:val="49"/>
    <w:rsid w:val="00F76E65"/>
    <w:rPr>
      <w:rFonts w:asciiTheme="minorHAnsi" w:hAnsiTheme="minorHAnsi" w:cstheme="minorBidi"/>
      <w:kern w:val="0"/>
      <w:sz w:val="24"/>
      <w:szCs w:val="24"/>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HTMLPreformatted">
    <w:name w:val="HTML Preformatted"/>
    <w:basedOn w:val="Normal"/>
    <w:link w:val="HTMLPreformattedChar"/>
    <w:uiPriority w:val="99"/>
    <w:unhideWhenUsed/>
    <w:rsid w:val="00F76E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76E65"/>
    <w:rPr>
      <w:rFonts w:ascii="Courier New" w:eastAsia="Times New Roman" w:hAnsi="Courier New" w:cs="Courier New"/>
      <w:kern w:val="0"/>
      <w:sz w:val="20"/>
      <w:szCs w:val="20"/>
      <w14:ligatures w14:val="none"/>
    </w:rPr>
  </w:style>
  <w:style w:type="numbering" w:customStyle="1" w:styleId="Style1">
    <w:name w:val="Style1"/>
    <w:uiPriority w:val="99"/>
    <w:rsid w:val="00EE5337"/>
    <w:pPr>
      <w:numPr>
        <w:numId w:val="18"/>
      </w:numPr>
    </w:pPr>
  </w:style>
  <w:style w:type="character" w:styleId="Emphasis">
    <w:name w:val="Emphasis"/>
    <w:basedOn w:val="DefaultParagraphFont"/>
    <w:uiPriority w:val="20"/>
    <w:qFormat/>
    <w:rsid w:val="00AF2926"/>
    <w:rPr>
      <w:i/>
      <w:iCs/>
    </w:rPr>
  </w:style>
  <w:style w:type="paragraph" w:styleId="Header">
    <w:name w:val="header"/>
    <w:basedOn w:val="Normal"/>
    <w:link w:val="HeaderChar"/>
    <w:uiPriority w:val="99"/>
    <w:unhideWhenUsed/>
    <w:rsid w:val="00614927"/>
    <w:pPr>
      <w:tabs>
        <w:tab w:val="center" w:pos="4680"/>
        <w:tab w:val="right" w:pos="9360"/>
      </w:tabs>
    </w:pPr>
  </w:style>
  <w:style w:type="character" w:customStyle="1" w:styleId="HeaderChar">
    <w:name w:val="Header Char"/>
    <w:basedOn w:val="DefaultParagraphFont"/>
    <w:link w:val="Header"/>
    <w:uiPriority w:val="99"/>
    <w:rsid w:val="00614927"/>
    <w:rPr>
      <w:rFonts w:ascii="Arial" w:hAnsi="Arial" w:cs="Times New Roman (Body CS)"/>
      <w:kern w:val="0"/>
      <w:szCs w:val="24"/>
      <w14:ligatures w14:val="none"/>
    </w:rPr>
  </w:style>
  <w:style w:type="paragraph" w:styleId="Footer">
    <w:name w:val="footer"/>
    <w:basedOn w:val="Normal"/>
    <w:link w:val="FooterChar"/>
    <w:uiPriority w:val="99"/>
    <w:unhideWhenUsed/>
    <w:rsid w:val="00614927"/>
    <w:pPr>
      <w:tabs>
        <w:tab w:val="center" w:pos="4680"/>
        <w:tab w:val="right" w:pos="9360"/>
      </w:tabs>
    </w:pPr>
  </w:style>
  <w:style w:type="character" w:customStyle="1" w:styleId="FooterChar">
    <w:name w:val="Footer Char"/>
    <w:basedOn w:val="DefaultParagraphFont"/>
    <w:link w:val="Footer"/>
    <w:uiPriority w:val="99"/>
    <w:rsid w:val="00614927"/>
    <w:rPr>
      <w:rFonts w:ascii="Arial" w:hAnsi="Arial" w:cs="Times New Roman (Body CS)"/>
      <w:kern w:val="0"/>
      <w:szCs w:val="24"/>
      <w14:ligatures w14:val="none"/>
    </w:rPr>
  </w:style>
  <w:style w:type="character" w:styleId="PlaceholderText">
    <w:name w:val="Placeholder Text"/>
    <w:basedOn w:val="DefaultParagraphFont"/>
    <w:uiPriority w:val="99"/>
    <w:semiHidden/>
    <w:rsid w:val="0061046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999437">
      <w:bodyDiv w:val="1"/>
      <w:marLeft w:val="0"/>
      <w:marRight w:val="0"/>
      <w:marTop w:val="0"/>
      <w:marBottom w:val="0"/>
      <w:divBdr>
        <w:top w:val="none" w:sz="0" w:space="0" w:color="auto"/>
        <w:left w:val="none" w:sz="0" w:space="0" w:color="auto"/>
        <w:bottom w:val="none" w:sz="0" w:space="0" w:color="auto"/>
        <w:right w:val="none" w:sz="0" w:space="0" w:color="auto"/>
      </w:divBdr>
    </w:div>
    <w:div w:id="605507338">
      <w:bodyDiv w:val="1"/>
      <w:marLeft w:val="0"/>
      <w:marRight w:val="0"/>
      <w:marTop w:val="0"/>
      <w:marBottom w:val="0"/>
      <w:divBdr>
        <w:top w:val="none" w:sz="0" w:space="0" w:color="auto"/>
        <w:left w:val="none" w:sz="0" w:space="0" w:color="auto"/>
        <w:bottom w:val="none" w:sz="0" w:space="0" w:color="auto"/>
        <w:right w:val="none" w:sz="0" w:space="0" w:color="auto"/>
      </w:divBdr>
    </w:div>
    <w:div w:id="609822456">
      <w:bodyDiv w:val="1"/>
      <w:marLeft w:val="0"/>
      <w:marRight w:val="0"/>
      <w:marTop w:val="0"/>
      <w:marBottom w:val="0"/>
      <w:divBdr>
        <w:top w:val="none" w:sz="0" w:space="0" w:color="auto"/>
        <w:left w:val="none" w:sz="0" w:space="0" w:color="auto"/>
        <w:bottom w:val="none" w:sz="0" w:space="0" w:color="auto"/>
        <w:right w:val="none" w:sz="0" w:space="0" w:color="auto"/>
      </w:divBdr>
    </w:div>
    <w:div w:id="879559325">
      <w:bodyDiv w:val="1"/>
      <w:marLeft w:val="0"/>
      <w:marRight w:val="0"/>
      <w:marTop w:val="0"/>
      <w:marBottom w:val="0"/>
      <w:divBdr>
        <w:top w:val="none" w:sz="0" w:space="0" w:color="auto"/>
        <w:left w:val="none" w:sz="0" w:space="0" w:color="auto"/>
        <w:bottom w:val="none" w:sz="0" w:space="0" w:color="auto"/>
        <w:right w:val="none" w:sz="0" w:space="0" w:color="auto"/>
      </w:divBdr>
    </w:div>
    <w:div w:id="971406541">
      <w:bodyDiv w:val="1"/>
      <w:marLeft w:val="0"/>
      <w:marRight w:val="0"/>
      <w:marTop w:val="0"/>
      <w:marBottom w:val="0"/>
      <w:divBdr>
        <w:top w:val="none" w:sz="0" w:space="0" w:color="auto"/>
        <w:left w:val="none" w:sz="0" w:space="0" w:color="auto"/>
        <w:bottom w:val="none" w:sz="0" w:space="0" w:color="auto"/>
        <w:right w:val="none" w:sz="0" w:space="0" w:color="auto"/>
      </w:divBdr>
    </w:div>
    <w:div w:id="1024330270">
      <w:bodyDiv w:val="1"/>
      <w:marLeft w:val="0"/>
      <w:marRight w:val="0"/>
      <w:marTop w:val="0"/>
      <w:marBottom w:val="0"/>
      <w:divBdr>
        <w:top w:val="none" w:sz="0" w:space="0" w:color="auto"/>
        <w:left w:val="none" w:sz="0" w:space="0" w:color="auto"/>
        <w:bottom w:val="none" w:sz="0" w:space="0" w:color="auto"/>
        <w:right w:val="none" w:sz="0" w:space="0" w:color="auto"/>
      </w:divBdr>
    </w:div>
    <w:div w:id="1317874564">
      <w:bodyDiv w:val="1"/>
      <w:marLeft w:val="0"/>
      <w:marRight w:val="0"/>
      <w:marTop w:val="0"/>
      <w:marBottom w:val="0"/>
      <w:divBdr>
        <w:top w:val="none" w:sz="0" w:space="0" w:color="auto"/>
        <w:left w:val="none" w:sz="0" w:space="0" w:color="auto"/>
        <w:bottom w:val="none" w:sz="0" w:space="0" w:color="auto"/>
        <w:right w:val="none" w:sz="0" w:space="0" w:color="auto"/>
      </w:divBdr>
    </w:div>
    <w:div w:id="1631519189">
      <w:bodyDiv w:val="1"/>
      <w:marLeft w:val="0"/>
      <w:marRight w:val="0"/>
      <w:marTop w:val="0"/>
      <w:marBottom w:val="0"/>
      <w:divBdr>
        <w:top w:val="none" w:sz="0" w:space="0" w:color="auto"/>
        <w:left w:val="none" w:sz="0" w:space="0" w:color="auto"/>
        <w:bottom w:val="none" w:sz="0" w:space="0" w:color="auto"/>
        <w:right w:val="none" w:sz="0" w:space="0" w:color="auto"/>
      </w:divBdr>
    </w:div>
    <w:div w:id="1679884438">
      <w:bodyDiv w:val="1"/>
      <w:marLeft w:val="0"/>
      <w:marRight w:val="0"/>
      <w:marTop w:val="0"/>
      <w:marBottom w:val="0"/>
      <w:divBdr>
        <w:top w:val="none" w:sz="0" w:space="0" w:color="auto"/>
        <w:left w:val="none" w:sz="0" w:space="0" w:color="auto"/>
        <w:bottom w:val="none" w:sz="0" w:space="0" w:color="auto"/>
        <w:right w:val="none" w:sz="0" w:space="0" w:color="auto"/>
      </w:divBdr>
    </w:div>
    <w:div w:id="1739549932">
      <w:bodyDiv w:val="1"/>
      <w:marLeft w:val="0"/>
      <w:marRight w:val="0"/>
      <w:marTop w:val="0"/>
      <w:marBottom w:val="0"/>
      <w:divBdr>
        <w:top w:val="none" w:sz="0" w:space="0" w:color="auto"/>
        <w:left w:val="none" w:sz="0" w:space="0" w:color="auto"/>
        <w:bottom w:val="none" w:sz="0" w:space="0" w:color="auto"/>
        <w:right w:val="none" w:sz="0" w:space="0" w:color="auto"/>
      </w:divBdr>
    </w:div>
    <w:div w:id="1748065361">
      <w:bodyDiv w:val="1"/>
      <w:marLeft w:val="0"/>
      <w:marRight w:val="0"/>
      <w:marTop w:val="0"/>
      <w:marBottom w:val="0"/>
      <w:divBdr>
        <w:top w:val="none" w:sz="0" w:space="0" w:color="auto"/>
        <w:left w:val="none" w:sz="0" w:space="0" w:color="auto"/>
        <w:bottom w:val="none" w:sz="0" w:space="0" w:color="auto"/>
        <w:right w:val="none" w:sz="0" w:space="0" w:color="auto"/>
      </w:divBdr>
    </w:div>
    <w:div w:id="1761101952">
      <w:bodyDiv w:val="1"/>
      <w:marLeft w:val="0"/>
      <w:marRight w:val="0"/>
      <w:marTop w:val="0"/>
      <w:marBottom w:val="0"/>
      <w:divBdr>
        <w:top w:val="none" w:sz="0" w:space="0" w:color="auto"/>
        <w:left w:val="none" w:sz="0" w:space="0" w:color="auto"/>
        <w:bottom w:val="none" w:sz="0" w:space="0" w:color="auto"/>
        <w:right w:val="none" w:sz="0" w:space="0" w:color="auto"/>
      </w:divBdr>
    </w:div>
    <w:div w:id="183259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friederichs@suffolk.edu"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emf"/><Relationship Id="rId2" Type="http://schemas.openxmlformats.org/officeDocument/2006/relationships/customXml" Target="../customXml/item2.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orteidh.or.cr/docs/casos/articulos/seriec_440_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4d076cb-6441-4b2e-9c25-dd7fb9385ccb">
      <Terms xmlns="http://schemas.microsoft.com/office/infopath/2007/PartnerControls"/>
    </lcf76f155ced4ddcb4097134ff3c332f>
    <TaxCatchAll xmlns="985ec44e-1bab-4c0b-9df0-6ba128686fc9" xsi:nil="true"/>
    <Document_x0020_Date xmlns="985ec44e-1bab-4c0b-9df0-6ba128686fc9">2025-10-21T14:17:31+00:00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7413B-0E90-467A-91E5-056B98C8484C}"/>
</file>

<file path=customXml/itemProps2.xml><?xml version="1.0" encoding="utf-8"?>
<ds:datastoreItem xmlns:ds="http://schemas.openxmlformats.org/officeDocument/2006/customXml" ds:itemID="{08E3B088-CA44-429B-BADE-2F506ACB9285}">
  <ds:schemaRefs>
    <ds:schemaRef ds:uri="http://schemas.microsoft.com/sharepoint/v3/contenttype/forms"/>
  </ds:schemaRefs>
</ds:datastoreItem>
</file>

<file path=customXml/itemProps3.xml><?xml version="1.0" encoding="utf-8"?>
<ds:datastoreItem xmlns:ds="http://schemas.openxmlformats.org/officeDocument/2006/customXml" ds:itemID="{B1A0CDEC-77E5-4DB9-8C98-DB82CBFAD14D}">
  <ds:schemaRefs>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3acb4aa1-e776-464f-9401-70a9f5b96765"/>
    <ds:schemaRef ds:uri="http://purl.org/dc/dcmitype/"/>
    <ds:schemaRef ds:uri="8d4da479-bd1a-46d9-a48b-16e88cd88f3b"/>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51DE8D2A-15B8-48F5-9A8D-D1CF5B8FC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2138</TotalTime>
  <Pages>17</Pages>
  <Words>5841</Words>
  <Characters>32595</Characters>
  <Application>Microsoft Office Word</Application>
  <DocSecurity>0</DocSecurity>
  <Lines>626</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Ortiz, Sarah</dc:creator>
  <cp:keywords/>
  <dc:description/>
  <cp:lastModifiedBy>Nicole Friederichs</cp:lastModifiedBy>
  <cp:revision>12</cp:revision>
  <dcterms:created xsi:type="dcterms:W3CDTF">2025-10-09T15:33:00Z</dcterms:created>
  <dcterms:modified xsi:type="dcterms:W3CDTF">2025-10-20T19:00:00Z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ies>
</file>