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A016C6" w14:textId="7FBBEFFA" w:rsidR="00D746AA" w:rsidRPr="00950B4E" w:rsidRDefault="00197299" w:rsidP="00D746AA">
      <w:pPr>
        <w:spacing w:line="360" w:lineRule="auto"/>
        <w:rPr>
          <w:rFonts w:ascii="Helvetica Light" w:hAnsi="Helvetica Light"/>
          <w:b/>
          <w:bCs/>
          <w:sz w:val="20"/>
          <w:szCs w:val="18"/>
          <w:lang w:val="en-GB"/>
        </w:rPr>
      </w:pPr>
      <w:bookmarkStart w:id="0" w:name="_GoBack"/>
      <w:bookmarkEnd w:id="0"/>
      <w:r w:rsidRPr="00950B4E">
        <w:rPr>
          <w:rFonts w:ascii="Helvetica Light" w:hAnsi="Helvetica Light"/>
          <w:b/>
          <w:bCs/>
          <w:noProof/>
          <w:sz w:val="20"/>
          <w:szCs w:val="18"/>
          <w:lang w:val="en-GB" w:eastAsia="en-GB"/>
        </w:rPr>
        <w:drawing>
          <wp:anchor distT="0" distB="0" distL="114300" distR="114300" simplePos="0" relativeHeight="251658240" behindDoc="1" locked="0" layoutInCell="1" allowOverlap="1" wp14:anchorId="6C0BF4C6" wp14:editId="0137B21E">
            <wp:simplePos x="0" y="0"/>
            <wp:positionH relativeFrom="margin">
              <wp:align>right</wp:align>
            </wp:positionH>
            <wp:positionV relativeFrom="paragraph">
              <wp:posOffset>0</wp:posOffset>
            </wp:positionV>
            <wp:extent cx="1706880" cy="682625"/>
            <wp:effectExtent l="0" t="0" r="7620" b="3175"/>
            <wp:wrapTight wrapText="bothSides">
              <wp:wrapPolygon edited="0">
                <wp:start x="0" y="0"/>
                <wp:lineTo x="0" y="21098"/>
                <wp:lineTo x="21455" y="21098"/>
                <wp:lineTo x="214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6880" cy="682625"/>
                    </a:xfrm>
                    <a:prstGeom prst="rect">
                      <a:avLst/>
                    </a:prstGeom>
                    <a:noFill/>
                  </pic:spPr>
                </pic:pic>
              </a:graphicData>
            </a:graphic>
          </wp:anchor>
        </w:drawing>
      </w:r>
      <w:r w:rsidR="00D746AA" w:rsidRPr="00950B4E">
        <w:rPr>
          <w:rFonts w:ascii="Helvetica Light" w:hAnsi="Helvetica Light"/>
          <w:b/>
          <w:bCs/>
          <w:sz w:val="20"/>
          <w:szCs w:val="18"/>
          <w:lang w:val="en-GB"/>
        </w:rPr>
        <w:t xml:space="preserve">Additional Submission </w:t>
      </w:r>
    </w:p>
    <w:p w14:paraId="61968138" w14:textId="77777777" w:rsidR="00D746AA" w:rsidRPr="00950B4E" w:rsidRDefault="00D746AA" w:rsidP="00D746AA">
      <w:pPr>
        <w:spacing w:line="360" w:lineRule="auto"/>
        <w:rPr>
          <w:rFonts w:ascii="Helvetica Light" w:hAnsi="Helvetica Light"/>
          <w:b/>
          <w:bCs/>
          <w:sz w:val="20"/>
          <w:szCs w:val="18"/>
          <w:lang w:val="en-GB"/>
        </w:rPr>
      </w:pPr>
      <w:r w:rsidRPr="00950B4E">
        <w:rPr>
          <w:rFonts w:ascii="Helvetica Light" w:hAnsi="Helvetica Light"/>
          <w:b/>
          <w:bCs/>
          <w:sz w:val="20"/>
          <w:szCs w:val="18"/>
          <w:lang w:val="en-GB"/>
        </w:rPr>
        <w:t xml:space="preserve">to the Committee on the Rights of the Child </w:t>
      </w:r>
    </w:p>
    <w:p w14:paraId="3C4C0F8E" w14:textId="58FD1C5B" w:rsidR="00D746AA" w:rsidRPr="00950B4E" w:rsidRDefault="00D746AA" w:rsidP="00D746AA">
      <w:pPr>
        <w:spacing w:line="360" w:lineRule="auto"/>
        <w:rPr>
          <w:rFonts w:ascii="Helvetica Light" w:hAnsi="Helvetica Light"/>
          <w:sz w:val="20"/>
          <w:szCs w:val="18"/>
          <w:lang w:val="en-GB"/>
        </w:rPr>
      </w:pPr>
      <w:r w:rsidRPr="00950B4E">
        <w:rPr>
          <w:rFonts w:ascii="Helvetica Light" w:hAnsi="Helvetica Light"/>
          <w:sz w:val="20"/>
          <w:szCs w:val="18"/>
          <w:lang w:val="en-GB"/>
        </w:rPr>
        <w:t>at the 89</w:t>
      </w:r>
      <w:r w:rsidRPr="00950B4E">
        <w:rPr>
          <w:rFonts w:ascii="Helvetica Light" w:hAnsi="Helvetica Light"/>
          <w:sz w:val="20"/>
          <w:szCs w:val="18"/>
          <w:vertAlign w:val="superscript"/>
          <w:lang w:val="en-GB"/>
        </w:rPr>
        <w:t>th</w:t>
      </w:r>
      <w:r w:rsidRPr="00950B4E">
        <w:rPr>
          <w:rFonts w:ascii="Helvetica Light" w:hAnsi="Helvetica Light"/>
          <w:sz w:val="20"/>
          <w:szCs w:val="18"/>
          <w:lang w:val="en-GB"/>
        </w:rPr>
        <w:t xml:space="preserve"> Session</w:t>
      </w:r>
    </w:p>
    <w:p w14:paraId="0135B437" w14:textId="77777777" w:rsidR="00197299" w:rsidRPr="00950B4E" w:rsidRDefault="00197299" w:rsidP="00D746AA">
      <w:pPr>
        <w:spacing w:line="360" w:lineRule="auto"/>
        <w:rPr>
          <w:rFonts w:ascii="Helvetica Light" w:hAnsi="Helvetica Light"/>
          <w:sz w:val="20"/>
          <w:szCs w:val="18"/>
          <w:lang w:val="en-GB"/>
        </w:rPr>
      </w:pPr>
    </w:p>
    <w:p w14:paraId="172D713C" w14:textId="73CA6CF3" w:rsidR="00D746AA" w:rsidRPr="00950B4E" w:rsidRDefault="00D746AA" w:rsidP="00197299">
      <w:pPr>
        <w:spacing w:line="360" w:lineRule="auto"/>
        <w:jc w:val="right"/>
        <w:rPr>
          <w:rFonts w:ascii="Helvetica Light" w:hAnsi="Helvetica Light"/>
          <w:i/>
          <w:iCs/>
          <w:sz w:val="20"/>
          <w:szCs w:val="18"/>
          <w:lang w:val="en-GB"/>
        </w:rPr>
      </w:pPr>
      <w:r w:rsidRPr="00950B4E">
        <w:rPr>
          <w:rFonts w:ascii="Helvetica Light" w:hAnsi="Helvetica Light"/>
          <w:i/>
          <w:iCs/>
          <w:sz w:val="20"/>
          <w:szCs w:val="18"/>
          <w:lang w:val="en-GB"/>
        </w:rPr>
        <w:t>Civil society submission on the right of every child to acquire and preserve a nationality under Article 7 and 8 of the Convention of the Rights of the Child (CRC) in accordance with the Guiding Principles to the Convention</w:t>
      </w:r>
    </w:p>
    <w:p w14:paraId="37C29235" w14:textId="77777777" w:rsidR="00197299" w:rsidRPr="00854473" w:rsidRDefault="00197299" w:rsidP="00197299">
      <w:pPr>
        <w:spacing w:line="360" w:lineRule="auto"/>
        <w:jc w:val="right"/>
        <w:rPr>
          <w:rFonts w:ascii="Helvetica Light" w:hAnsi="Helvetica Light"/>
          <w:i/>
          <w:iCs/>
          <w:sz w:val="18"/>
          <w:szCs w:val="16"/>
          <w:lang w:val="en-GB"/>
        </w:rPr>
      </w:pPr>
    </w:p>
    <w:p w14:paraId="455DD02E" w14:textId="50859ABA" w:rsidR="00D746AA" w:rsidRDefault="00D746AA" w:rsidP="00D746AA">
      <w:pPr>
        <w:jc w:val="center"/>
        <w:rPr>
          <w:rFonts w:ascii="Helvetica" w:hAnsi="Helvetica"/>
          <w:b/>
          <w:bCs/>
          <w:color w:val="2C166F"/>
          <w:sz w:val="22"/>
          <w:szCs w:val="18"/>
          <w:lang w:val="en-GB"/>
        </w:rPr>
      </w:pPr>
      <w:r w:rsidRPr="00950B4E">
        <w:rPr>
          <w:rFonts w:ascii="Helvetica" w:hAnsi="Helvetica"/>
          <w:b/>
          <w:bCs/>
          <w:color w:val="2C166F"/>
          <w:sz w:val="22"/>
          <w:szCs w:val="18"/>
          <w:lang w:val="en-GB"/>
        </w:rPr>
        <w:t>Netherlands</w:t>
      </w:r>
    </w:p>
    <w:p w14:paraId="308DBF0B" w14:textId="7ADB7A77" w:rsidR="00D97B08" w:rsidRDefault="00D97B08" w:rsidP="00D746AA">
      <w:pPr>
        <w:jc w:val="center"/>
        <w:rPr>
          <w:rFonts w:ascii="Helvetica" w:hAnsi="Helvetica"/>
          <w:b/>
          <w:bCs/>
          <w:color w:val="2C166F"/>
          <w:sz w:val="22"/>
          <w:szCs w:val="18"/>
          <w:lang w:val="en-GB"/>
        </w:rPr>
      </w:pPr>
    </w:p>
    <w:p w14:paraId="50F62928" w14:textId="68A4040C" w:rsidR="00D97B08" w:rsidRPr="00A02B4F" w:rsidRDefault="00D97B08" w:rsidP="00D97B08">
      <w:pPr>
        <w:jc w:val="right"/>
        <w:rPr>
          <w:rFonts w:ascii="Helvetica" w:hAnsi="Helvetica"/>
          <w:color w:val="F5821F"/>
          <w:sz w:val="20"/>
          <w:szCs w:val="16"/>
          <w:lang w:val="en-GB"/>
        </w:rPr>
      </w:pPr>
      <w:r w:rsidRPr="00A02B4F">
        <w:rPr>
          <w:rFonts w:ascii="Helvetica" w:hAnsi="Helvetica"/>
          <w:color w:val="F5821F"/>
          <w:sz w:val="20"/>
          <w:szCs w:val="16"/>
          <w:lang w:val="en-GB"/>
        </w:rPr>
        <w:t>14 December 2021</w:t>
      </w:r>
    </w:p>
    <w:p w14:paraId="1457D41E" w14:textId="2E201A10" w:rsidR="00D746AA" w:rsidRPr="00D97B08" w:rsidRDefault="00D746AA">
      <w:pPr>
        <w:pBdr>
          <w:bottom w:val="single" w:sz="6" w:space="1" w:color="auto"/>
        </w:pBdr>
        <w:rPr>
          <w:sz w:val="20"/>
          <w:szCs w:val="20"/>
          <w:lang w:val="en-GB"/>
        </w:rPr>
      </w:pPr>
    </w:p>
    <w:p w14:paraId="39EE4772" w14:textId="64C1247C" w:rsidR="00D746AA" w:rsidRPr="00D97B08" w:rsidRDefault="00D746AA" w:rsidP="00C30814">
      <w:pPr>
        <w:jc w:val="both"/>
        <w:rPr>
          <w:sz w:val="20"/>
          <w:szCs w:val="20"/>
          <w:lang w:val="en-GB"/>
        </w:rPr>
      </w:pPr>
    </w:p>
    <w:p w14:paraId="427A6B8D" w14:textId="379CFD82" w:rsidR="00D32526" w:rsidRPr="00854473" w:rsidRDefault="00CA060D" w:rsidP="00C30814">
      <w:pPr>
        <w:pStyle w:val="ListParagraph"/>
        <w:numPr>
          <w:ilvl w:val="0"/>
          <w:numId w:val="1"/>
        </w:numPr>
        <w:ind w:left="284" w:hanging="284"/>
        <w:jc w:val="both"/>
        <w:rPr>
          <w:sz w:val="22"/>
          <w:szCs w:val="22"/>
          <w:lang w:val="en-GB"/>
        </w:rPr>
      </w:pPr>
      <w:r w:rsidRPr="00854473">
        <w:rPr>
          <w:rFonts w:ascii="Times New Roman" w:hAnsi="Times New Roman" w:cs="Times New Roman"/>
          <w:sz w:val="22"/>
          <w:szCs w:val="22"/>
          <w:lang w:val="en-GB"/>
        </w:rPr>
        <w:t>The Institute on Statelessness and Inclusion (ISI)</w:t>
      </w:r>
      <w:r w:rsidR="00D32526" w:rsidRPr="00854473">
        <w:rPr>
          <w:rStyle w:val="FootnoteReference"/>
          <w:rFonts w:ascii="Times New Roman" w:hAnsi="Times New Roman" w:cs="Times New Roman"/>
          <w:sz w:val="22"/>
          <w:szCs w:val="22"/>
          <w:lang w:val="en-GB"/>
        </w:rPr>
        <w:footnoteReference w:id="1"/>
      </w:r>
      <w:r w:rsidRPr="00854473">
        <w:rPr>
          <w:rFonts w:ascii="Times New Roman" w:hAnsi="Times New Roman" w:cs="Times New Roman"/>
          <w:sz w:val="22"/>
          <w:szCs w:val="22"/>
          <w:lang w:val="en-GB"/>
        </w:rPr>
        <w:t xml:space="preserve"> welcomes the opportunity to make this additional submission to the Committee on the Rights of the Child (hereafter the Committee) regarding the Netherlands’ compliance towards every child’s right to acquire a nationality under Article 7 and preserve their nationality under Article 8 CRC.</w:t>
      </w:r>
      <w:bookmarkStart w:id="1" w:name="_Ref69632659"/>
      <w:r w:rsidR="00D32526" w:rsidRPr="00854473">
        <w:rPr>
          <w:rFonts w:ascii="Times New Roman" w:hAnsi="Times New Roman" w:cs="Times New Roman"/>
          <w:sz w:val="22"/>
          <w:szCs w:val="22"/>
          <w:vertAlign w:val="superscript"/>
          <w:lang w:val="en-GB"/>
        </w:rPr>
        <w:footnoteReference w:id="2"/>
      </w:r>
      <w:bookmarkEnd w:id="1"/>
      <w:r w:rsidR="00D32526" w:rsidRPr="00854473">
        <w:rPr>
          <w:rFonts w:ascii="Times New Roman" w:hAnsi="Times New Roman" w:cs="Times New Roman"/>
          <w:sz w:val="22"/>
          <w:szCs w:val="22"/>
          <w:lang w:val="en-GB"/>
        </w:rPr>
        <w:t xml:space="preserve"> This submission also draws on the Guiding Principles of the Convention, in particular, the freedom from discrimination (Article 2) and the best interests of the child (Article 3).</w:t>
      </w:r>
      <w:r w:rsidR="00D32526" w:rsidRPr="00854473">
        <w:rPr>
          <w:rFonts w:ascii="Times New Roman" w:hAnsi="Times New Roman" w:cs="Times New Roman"/>
          <w:sz w:val="22"/>
          <w:szCs w:val="22"/>
          <w:vertAlign w:val="superscript"/>
          <w:lang w:val="en-GB"/>
        </w:rPr>
        <w:footnoteReference w:id="3"/>
      </w:r>
      <w:r w:rsidR="00D32526" w:rsidRPr="00854473">
        <w:rPr>
          <w:sz w:val="22"/>
          <w:szCs w:val="22"/>
          <w:lang w:val="en-GB"/>
        </w:rPr>
        <w:t xml:space="preserve"> </w:t>
      </w:r>
    </w:p>
    <w:p w14:paraId="2EE84F94" w14:textId="71E3A3F1" w:rsidR="00CA060D" w:rsidRPr="00854473" w:rsidRDefault="00CA060D" w:rsidP="00C30814">
      <w:pPr>
        <w:pStyle w:val="ListParagraph"/>
        <w:jc w:val="both"/>
        <w:rPr>
          <w:rFonts w:ascii="Times New Roman" w:hAnsi="Times New Roman" w:cs="Times New Roman"/>
          <w:sz w:val="22"/>
          <w:szCs w:val="22"/>
          <w:lang w:val="en-GB"/>
        </w:rPr>
      </w:pPr>
    </w:p>
    <w:p w14:paraId="395A30E3" w14:textId="16A81E2B" w:rsidR="00925BC4" w:rsidRPr="00854473" w:rsidRDefault="00CA060D" w:rsidP="00C30814">
      <w:pPr>
        <w:pStyle w:val="ListParagraph"/>
        <w:numPr>
          <w:ilvl w:val="0"/>
          <w:numId w:val="1"/>
        </w:numPr>
        <w:ind w:left="284" w:hanging="284"/>
        <w:jc w:val="both"/>
        <w:rPr>
          <w:rFonts w:ascii="Times New Roman" w:hAnsi="Times New Roman" w:cs="Times New Roman"/>
          <w:sz w:val="22"/>
          <w:szCs w:val="22"/>
          <w:lang w:val="en-GB"/>
        </w:rPr>
      </w:pPr>
      <w:r w:rsidRPr="00854473">
        <w:rPr>
          <w:rFonts w:ascii="Times New Roman" w:hAnsi="Times New Roman" w:cs="Times New Roman"/>
          <w:sz w:val="22"/>
          <w:szCs w:val="22"/>
          <w:lang w:val="en-GB"/>
        </w:rPr>
        <w:t xml:space="preserve">Drawing on our </w:t>
      </w:r>
      <w:r w:rsidR="00925BC4" w:rsidRPr="00854473">
        <w:rPr>
          <w:rFonts w:ascii="Times New Roman" w:hAnsi="Times New Roman" w:cs="Times New Roman"/>
          <w:sz w:val="22"/>
          <w:szCs w:val="22"/>
          <w:lang w:val="en-GB"/>
        </w:rPr>
        <w:t xml:space="preserve">Joint </w:t>
      </w:r>
      <w:r w:rsidRPr="00854473">
        <w:rPr>
          <w:rFonts w:ascii="Times New Roman" w:hAnsi="Times New Roman" w:cs="Times New Roman"/>
          <w:sz w:val="22"/>
          <w:szCs w:val="22"/>
          <w:lang w:val="en-GB"/>
        </w:rPr>
        <w:t>Submission to the Committee at the 89</w:t>
      </w:r>
      <w:r w:rsidRPr="00854473">
        <w:rPr>
          <w:rFonts w:ascii="Times New Roman" w:hAnsi="Times New Roman" w:cs="Times New Roman"/>
          <w:sz w:val="22"/>
          <w:szCs w:val="22"/>
          <w:vertAlign w:val="superscript"/>
          <w:lang w:val="en-GB"/>
        </w:rPr>
        <w:t>th</w:t>
      </w:r>
      <w:r w:rsidRPr="00854473">
        <w:rPr>
          <w:rFonts w:ascii="Times New Roman" w:hAnsi="Times New Roman" w:cs="Times New Roman"/>
          <w:sz w:val="22"/>
          <w:szCs w:val="22"/>
          <w:lang w:val="en-GB"/>
        </w:rPr>
        <w:t xml:space="preserve"> Pre-Sessional Working Group,</w:t>
      </w:r>
      <w:r w:rsidR="00D32526" w:rsidRPr="00854473">
        <w:rPr>
          <w:rStyle w:val="FootnoteReference"/>
          <w:rFonts w:ascii="Times New Roman" w:hAnsi="Times New Roman" w:cs="Times New Roman"/>
          <w:sz w:val="22"/>
          <w:szCs w:val="22"/>
          <w:lang w:val="en-GB"/>
        </w:rPr>
        <w:footnoteReference w:id="4"/>
      </w:r>
      <w:r w:rsidRPr="00854473">
        <w:rPr>
          <w:rFonts w:ascii="Times New Roman" w:hAnsi="Times New Roman" w:cs="Times New Roman"/>
          <w:sz w:val="22"/>
          <w:szCs w:val="22"/>
          <w:lang w:val="en-GB"/>
        </w:rPr>
        <w:t xml:space="preserve"> we want to inform the Committee that there are no further updates or developments in the legislative process regarding a statelessness determination procedure in the Netherlands</w:t>
      </w:r>
      <w:r w:rsidR="00D15A77" w:rsidRPr="00854473">
        <w:rPr>
          <w:rStyle w:val="FootnoteReference"/>
          <w:rFonts w:ascii="Times New Roman" w:hAnsi="Times New Roman" w:cs="Times New Roman"/>
          <w:sz w:val="22"/>
          <w:szCs w:val="22"/>
          <w:lang w:val="en-GB"/>
        </w:rPr>
        <w:footnoteReference w:id="5"/>
      </w:r>
      <w:r w:rsidRPr="00854473">
        <w:rPr>
          <w:rFonts w:ascii="Times New Roman" w:hAnsi="Times New Roman" w:cs="Times New Roman"/>
          <w:sz w:val="22"/>
          <w:szCs w:val="22"/>
          <w:lang w:val="en-GB"/>
        </w:rPr>
        <w:t xml:space="preserve"> and </w:t>
      </w:r>
      <w:r w:rsidR="00925BC4" w:rsidRPr="00854473">
        <w:rPr>
          <w:rFonts w:ascii="Times New Roman" w:hAnsi="Times New Roman" w:cs="Times New Roman"/>
          <w:sz w:val="22"/>
          <w:szCs w:val="22"/>
          <w:lang w:val="en-GB"/>
        </w:rPr>
        <w:t>a new option procedure for stateless children born in the country.</w:t>
      </w:r>
      <w:r w:rsidR="00D15A77" w:rsidRPr="00854473">
        <w:rPr>
          <w:rStyle w:val="FootnoteReference"/>
          <w:rFonts w:ascii="Times New Roman" w:hAnsi="Times New Roman" w:cs="Times New Roman"/>
          <w:sz w:val="22"/>
          <w:szCs w:val="22"/>
          <w:lang w:val="en-GB"/>
        </w:rPr>
        <w:footnoteReference w:id="6"/>
      </w:r>
      <w:r w:rsidR="00925BC4" w:rsidRPr="00854473">
        <w:rPr>
          <w:rFonts w:ascii="Times New Roman" w:hAnsi="Times New Roman" w:cs="Times New Roman"/>
          <w:sz w:val="22"/>
          <w:szCs w:val="22"/>
          <w:lang w:val="en-GB"/>
        </w:rPr>
        <w:t xml:space="preserve"> </w:t>
      </w:r>
      <w:r w:rsidR="00D97B08">
        <w:rPr>
          <w:rFonts w:ascii="Times New Roman" w:hAnsi="Times New Roman" w:cs="Times New Roman"/>
          <w:sz w:val="22"/>
          <w:szCs w:val="22"/>
          <w:lang w:val="en-GB"/>
        </w:rPr>
        <w:t>In May 2021, parliamentarians were able to ask a first round of written questions about the bill</w:t>
      </w:r>
      <w:r w:rsidR="00271B45">
        <w:rPr>
          <w:rFonts w:ascii="Times New Roman" w:hAnsi="Times New Roman" w:cs="Times New Roman"/>
          <w:sz w:val="22"/>
          <w:szCs w:val="22"/>
          <w:lang w:val="en-GB"/>
        </w:rPr>
        <w:t>s</w:t>
      </w:r>
      <w:r w:rsidR="00D97B08">
        <w:rPr>
          <w:rFonts w:ascii="Times New Roman" w:hAnsi="Times New Roman" w:cs="Times New Roman"/>
          <w:sz w:val="22"/>
          <w:szCs w:val="22"/>
          <w:lang w:val="en-GB"/>
        </w:rPr>
        <w:t xml:space="preserve"> to the responsible Secretary of State. These questions have not yet been answered and there has also not been a plenary debate about the bill</w:t>
      </w:r>
      <w:r w:rsidR="00271B45">
        <w:rPr>
          <w:rFonts w:ascii="Times New Roman" w:hAnsi="Times New Roman" w:cs="Times New Roman"/>
          <w:sz w:val="22"/>
          <w:szCs w:val="22"/>
          <w:lang w:val="en-GB"/>
        </w:rPr>
        <w:t>s</w:t>
      </w:r>
      <w:r w:rsidR="00D97B08">
        <w:rPr>
          <w:rFonts w:ascii="Times New Roman" w:hAnsi="Times New Roman" w:cs="Times New Roman"/>
          <w:sz w:val="22"/>
          <w:szCs w:val="22"/>
          <w:lang w:val="en-GB"/>
        </w:rPr>
        <w:t xml:space="preserve"> yet.</w:t>
      </w:r>
      <w:r w:rsidR="00271B45">
        <w:rPr>
          <w:rFonts w:ascii="Times New Roman" w:hAnsi="Times New Roman" w:cs="Times New Roman"/>
          <w:sz w:val="22"/>
          <w:szCs w:val="22"/>
          <w:lang w:val="en-GB"/>
        </w:rPr>
        <w:t xml:space="preserve"> It remains uncertain if and when the bills would be adopted.</w:t>
      </w:r>
    </w:p>
    <w:p w14:paraId="4CD7283B" w14:textId="77777777" w:rsidR="00925BC4" w:rsidRPr="00854473" w:rsidRDefault="00925BC4" w:rsidP="00C30814">
      <w:pPr>
        <w:pStyle w:val="ListParagraph"/>
        <w:jc w:val="both"/>
        <w:rPr>
          <w:rFonts w:ascii="Times New Roman" w:hAnsi="Times New Roman" w:cs="Times New Roman"/>
          <w:sz w:val="22"/>
          <w:szCs w:val="22"/>
          <w:lang w:val="en-GB"/>
        </w:rPr>
      </w:pPr>
    </w:p>
    <w:p w14:paraId="75E17921" w14:textId="7B7B0064" w:rsidR="00C30814" w:rsidRPr="00854473" w:rsidRDefault="00925BC4" w:rsidP="00197299">
      <w:pPr>
        <w:pStyle w:val="ListParagraph"/>
        <w:numPr>
          <w:ilvl w:val="0"/>
          <w:numId w:val="1"/>
        </w:numPr>
        <w:ind w:left="284" w:hanging="284"/>
        <w:jc w:val="both"/>
        <w:rPr>
          <w:rFonts w:ascii="Times New Roman" w:hAnsi="Times New Roman" w:cs="Times New Roman"/>
          <w:sz w:val="22"/>
          <w:szCs w:val="22"/>
          <w:lang w:val="en-GB"/>
        </w:rPr>
      </w:pPr>
      <w:r w:rsidRPr="00854473">
        <w:rPr>
          <w:rFonts w:ascii="Times New Roman" w:hAnsi="Times New Roman" w:cs="Times New Roman"/>
          <w:sz w:val="22"/>
          <w:szCs w:val="22"/>
          <w:lang w:val="en-GB"/>
        </w:rPr>
        <w:t xml:space="preserve">However, an additional issue for concern has come up in the </w:t>
      </w:r>
      <w:r w:rsidR="00D46811" w:rsidRPr="00854473">
        <w:rPr>
          <w:rFonts w:ascii="Times New Roman" w:hAnsi="Times New Roman" w:cs="Times New Roman"/>
          <w:sz w:val="22"/>
          <w:szCs w:val="22"/>
          <w:lang w:val="en-GB"/>
        </w:rPr>
        <w:t xml:space="preserve">context of the </w:t>
      </w:r>
      <w:r w:rsidR="000C3210">
        <w:rPr>
          <w:rFonts w:ascii="Times New Roman" w:hAnsi="Times New Roman" w:cs="Times New Roman"/>
          <w:sz w:val="22"/>
          <w:szCs w:val="22"/>
          <w:lang w:val="en-GB"/>
        </w:rPr>
        <w:t xml:space="preserve">recent </w:t>
      </w:r>
      <w:r w:rsidR="00D46811" w:rsidRPr="00854473">
        <w:rPr>
          <w:rFonts w:ascii="Times New Roman" w:hAnsi="Times New Roman" w:cs="Times New Roman"/>
          <w:sz w:val="22"/>
          <w:szCs w:val="22"/>
          <w:lang w:val="en-GB"/>
        </w:rPr>
        <w:t>legislative process that aims to make the nationality deprivation powers in a national security context permanent.</w:t>
      </w:r>
      <w:r w:rsidR="0071728B" w:rsidRPr="00854473">
        <w:rPr>
          <w:rStyle w:val="FootnoteReference"/>
          <w:rFonts w:ascii="Times New Roman" w:hAnsi="Times New Roman" w:cs="Times New Roman"/>
          <w:sz w:val="22"/>
          <w:szCs w:val="22"/>
          <w:lang w:val="en-GB"/>
        </w:rPr>
        <w:footnoteReference w:id="7"/>
      </w:r>
      <w:r w:rsidR="00D46811" w:rsidRPr="00854473">
        <w:rPr>
          <w:rFonts w:ascii="Times New Roman" w:hAnsi="Times New Roman" w:cs="Times New Roman"/>
          <w:sz w:val="22"/>
          <w:szCs w:val="22"/>
          <w:lang w:val="en-GB"/>
        </w:rPr>
        <w:t xml:space="preserve"> Since 2017, the Minister of Justice holds the power to deprive a Dutch citizen </w:t>
      </w:r>
      <w:r w:rsidR="00C30814" w:rsidRPr="00854473">
        <w:rPr>
          <w:rFonts w:ascii="Times New Roman" w:hAnsi="Times New Roman" w:cs="Times New Roman"/>
          <w:sz w:val="22"/>
          <w:szCs w:val="22"/>
          <w:lang w:val="en-GB"/>
        </w:rPr>
        <w:t xml:space="preserve">of 16 years and older </w:t>
      </w:r>
      <w:r w:rsidR="00D46811" w:rsidRPr="00854473">
        <w:rPr>
          <w:rFonts w:ascii="Times New Roman" w:hAnsi="Times New Roman" w:cs="Times New Roman"/>
          <w:sz w:val="22"/>
          <w:szCs w:val="22"/>
          <w:lang w:val="en-GB"/>
        </w:rPr>
        <w:t>of their nationality for joining an organisation that is listed as constituting a threat to national security according to Article 14(4) of the Dutch Nationality Act (DNA).</w:t>
      </w:r>
      <w:r w:rsidR="00197299" w:rsidRPr="00854473">
        <w:rPr>
          <w:rStyle w:val="FootnoteReference"/>
          <w:rFonts w:ascii="Times New Roman" w:hAnsi="Times New Roman" w:cs="Times New Roman"/>
          <w:sz w:val="22"/>
          <w:szCs w:val="22"/>
          <w:lang w:val="en-GB"/>
        </w:rPr>
        <w:footnoteReference w:id="8"/>
      </w:r>
      <w:r w:rsidR="00D46811" w:rsidRPr="00854473">
        <w:rPr>
          <w:rFonts w:ascii="Times New Roman" w:hAnsi="Times New Roman" w:cs="Times New Roman"/>
          <w:sz w:val="22"/>
          <w:szCs w:val="22"/>
          <w:lang w:val="en-GB"/>
        </w:rPr>
        <w:t xml:space="preserve"> This measure was introduced on the pretext that it is needed to protect national security, aiming to prevent the return of </w:t>
      </w:r>
      <w:r w:rsidR="00C30814" w:rsidRPr="00854473">
        <w:rPr>
          <w:rFonts w:ascii="Times New Roman" w:hAnsi="Times New Roman" w:cs="Times New Roman"/>
          <w:sz w:val="22"/>
          <w:szCs w:val="22"/>
          <w:lang w:val="en-GB"/>
        </w:rPr>
        <w:t>foreign terrorist fighters</w:t>
      </w:r>
      <w:r w:rsidR="00D46811" w:rsidRPr="00854473">
        <w:rPr>
          <w:rFonts w:ascii="Times New Roman" w:hAnsi="Times New Roman" w:cs="Times New Roman"/>
          <w:sz w:val="22"/>
          <w:szCs w:val="22"/>
          <w:lang w:val="en-GB"/>
        </w:rPr>
        <w:t xml:space="preserve"> to the Netherlands.</w:t>
      </w:r>
      <w:r w:rsidR="00964E5D" w:rsidRPr="00854473">
        <w:rPr>
          <w:rStyle w:val="FootnoteReference"/>
          <w:rFonts w:ascii="Times New Roman" w:hAnsi="Times New Roman" w:cs="Times New Roman"/>
          <w:sz w:val="22"/>
          <w:szCs w:val="22"/>
          <w:lang w:val="en-GB"/>
        </w:rPr>
        <w:footnoteReference w:id="9"/>
      </w:r>
      <w:r w:rsidR="00D46811" w:rsidRPr="00854473">
        <w:rPr>
          <w:rFonts w:ascii="Times New Roman" w:hAnsi="Times New Roman" w:cs="Times New Roman"/>
          <w:sz w:val="22"/>
          <w:szCs w:val="22"/>
          <w:lang w:val="en-GB"/>
        </w:rPr>
        <w:t xml:space="preserve"> The provision will expire in 2022, unless legislation is passed to extend it. In 2020, two comprehensive evaluations of Article 14(4) DNA were carried out: by the Dutch Review Committee on the Intelligence and Security Services (CTIVD) and by the Research and Documentation Centre (WODC). Neither evaluation provided evidence of the effectiveness of the measure. On the contrary, the CTIVD reiterates that it is “uncertain whether the measure will </w:t>
      </w:r>
      <w:r w:rsidR="00D46811" w:rsidRPr="00854473">
        <w:rPr>
          <w:rFonts w:ascii="Times New Roman" w:hAnsi="Times New Roman" w:cs="Times New Roman"/>
          <w:sz w:val="22"/>
          <w:szCs w:val="22"/>
          <w:lang w:val="en-GB"/>
        </w:rPr>
        <w:lastRenderedPageBreak/>
        <w:t>have the desired effect of preventing return”.</w:t>
      </w:r>
      <w:r w:rsidR="0071728B" w:rsidRPr="00854473">
        <w:rPr>
          <w:rStyle w:val="FootnoteReference"/>
          <w:rFonts w:ascii="Times New Roman" w:hAnsi="Times New Roman" w:cs="Times New Roman"/>
          <w:sz w:val="22"/>
          <w:szCs w:val="22"/>
          <w:lang w:val="en-GB"/>
        </w:rPr>
        <w:footnoteReference w:id="10"/>
      </w:r>
      <w:r w:rsidR="00D46811" w:rsidRPr="00854473">
        <w:rPr>
          <w:rFonts w:ascii="Times New Roman" w:hAnsi="Times New Roman" w:cs="Times New Roman"/>
          <w:sz w:val="22"/>
          <w:szCs w:val="22"/>
          <w:lang w:val="en-GB"/>
        </w:rPr>
        <w:t xml:space="preserve"> The WODC admits that the question as to whether Article 14(4) has contributed to a decrease in the threat of terrorist activities by members of jihadi organisations on Dutch territory and thereby an increase in the degree of national security has increased, “cannot be answered” and that it is also “impossible to determine” in how many cases revocation of citizenship has led to the prevention of illegal entry by Dutch </w:t>
      </w:r>
      <w:r w:rsidR="00A87A63">
        <w:rPr>
          <w:rFonts w:ascii="Times New Roman" w:hAnsi="Times New Roman" w:cs="Times New Roman"/>
          <w:sz w:val="22"/>
          <w:szCs w:val="22"/>
          <w:lang w:val="en-GB"/>
        </w:rPr>
        <w:t>foreign terrorist fighters</w:t>
      </w:r>
      <w:r w:rsidR="00D46811" w:rsidRPr="00854473">
        <w:rPr>
          <w:rFonts w:ascii="Times New Roman" w:hAnsi="Times New Roman" w:cs="Times New Roman"/>
          <w:sz w:val="22"/>
          <w:szCs w:val="22"/>
          <w:lang w:val="en-GB"/>
        </w:rPr>
        <w:t>.</w:t>
      </w:r>
      <w:r w:rsidR="0071728B" w:rsidRPr="00854473">
        <w:rPr>
          <w:rStyle w:val="FootnoteReference"/>
          <w:rFonts w:ascii="Times New Roman" w:hAnsi="Times New Roman" w:cs="Times New Roman"/>
          <w:sz w:val="22"/>
          <w:szCs w:val="22"/>
          <w:lang w:val="en-GB"/>
        </w:rPr>
        <w:footnoteReference w:id="11"/>
      </w:r>
      <w:r w:rsidR="00D46811" w:rsidRPr="00854473">
        <w:rPr>
          <w:rFonts w:ascii="Times New Roman" w:hAnsi="Times New Roman" w:cs="Times New Roman"/>
          <w:sz w:val="22"/>
          <w:szCs w:val="22"/>
          <w:lang w:val="en-GB"/>
        </w:rPr>
        <w:t xml:space="preserve"> </w:t>
      </w:r>
    </w:p>
    <w:p w14:paraId="750893A6" w14:textId="77777777" w:rsidR="00197299" w:rsidRPr="00854473" w:rsidRDefault="00197299" w:rsidP="00197299">
      <w:pPr>
        <w:pStyle w:val="ListParagraph"/>
        <w:ind w:left="284"/>
        <w:jc w:val="both"/>
        <w:rPr>
          <w:rFonts w:ascii="Times New Roman" w:hAnsi="Times New Roman" w:cs="Times New Roman"/>
          <w:sz w:val="22"/>
          <w:szCs w:val="22"/>
          <w:lang w:val="en-GB"/>
        </w:rPr>
      </w:pPr>
    </w:p>
    <w:p w14:paraId="66CEA237" w14:textId="6CCA8EE1" w:rsidR="00950B4E" w:rsidRDefault="00197299" w:rsidP="00950B4E">
      <w:pPr>
        <w:pStyle w:val="ListParagraph"/>
        <w:numPr>
          <w:ilvl w:val="0"/>
          <w:numId w:val="1"/>
        </w:numPr>
        <w:ind w:left="284" w:hanging="284"/>
        <w:jc w:val="both"/>
        <w:rPr>
          <w:rFonts w:ascii="Times New Roman" w:hAnsi="Times New Roman" w:cs="Times New Roman"/>
          <w:sz w:val="22"/>
          <w:szCs w:val="22"/>
        </w:rPr>
      </w:pPr>
      <w:r w:rsidRPr="00854473">
        <w:rPr>
          <w:rFonts w:ascii="Times New Roman" w:hAnsi="Times New Roman" w:cs="Times New Roman"/>
          <w:sz w:val="22"/>
          <w:szCs w:val="22"/>
          <w:lang w:val="en-GB"/>
        </w:rPr>
        <w:t>In the current legislative process that aims to make this power permanent</w:t>
      </w:r>
      <w:r w:rsidR="00D15A77" w:rsidRPr="00854473">
        <w:rPr>
          <w:rFonts w:ascii="Times New Roman" w:hAnsi="Times New Roman" w:cs="Times New Roman"/>
          <w:sz w:val="22"/>
          <w:szCs w:val="22"/>
          <w:lang w:val="en-GB"/>
        </w:rPr>
        <w:t xml:space="preserve">, the government has stated that it </w:t>
      </w:r>
      <w:r w:rsidR="000A0EC4">
        <w:rPr>
          <w:rFonts w:ascii="Times New Roman" w:hAnsi="Times New Roman" w:cs="Times New Roman"/>
          <w:sz w:val="22"/>
          <w:szCs w:val="22"/>
          <w:lang w:val="en-GB"/>
        </w:rPr>
        <w:t>is</w:t>
      </w:r>
      <w:r w:rsidR="000A0EC4" w:rsidRPr="00854473">
        <w:rPr>
          <w:rFonts w:ascii="Times New Roman" w:hAnsi="Times New Roman" w:cs="Times New Roman"/>
          <w:sz w:val="22"/>
          <w:szCs w:val="22"/>
          <w:lang w:val="en-GB"/>
        </w:rPr>
        <w:t xml:space="preserve"> </w:t>
      </w:r>
      <w:r w:rsidR="00D15A77" w:rsidRPr="00854473">
        <w:rPr>
          <w:rFonts w:ascii="Times New Roman" w:hAnsi="Times New Roman" w:cs="Times New Roman"/>
          <w:sz w:val="22"/>
          <w:szCs w:val="22"/>
          <w:lang w:val="en-GB"/>
        </w:rPr>
        <w:t xml:space="preserve">not </w:t>
      </w:r>
      <w:r w:rsidRPr="00854473">
        <w:rPr>
          <w:rFonts w:ascii="Times New Roman" w:hAnsi="Times New Roman" w:cs="Times New Roman"/>
          <w:sz w:val="22"/>
          <w:szCs w:val="22"/>
          <w:lang w:val="en-GB"/>
        </w:rPr>
        <w:t>consider</w:t>
      </w:r>
      <w:r w:rsidR="000A0EC4">
        <w:rPr>
          <w:rFonts w:ascii="Times New Roman" w:hAnsi="Times New Roman" w:cs="Times New Roman"/>
          <w:sz w:val="22"/>
          <w:szCs w:val="22"/>
          <w:lang w:val="en-GB"/>
        </w:rPr>
        <w:t>ing</w:t>
      </w:r>
      <w:r w:rsidR="00D15A77" w:rsidRPr="00854473">
        <w:rPr>
          <w:rFonts w:ascii="Times New Roman" w:hAnsi="Times New Roman" w:cs="Times New Roman"/>
          <w:sz w:val="22"/>
          <w:szCs w:val="22"/>
          <w:lang w:val="en-GB"/>
        </w:rPr>
        <w:t xml:space="preserve"> limit</w:t>
      </w:r>
      <w:r w:rsidR="000A0EC4">
        <w:rPr>
          <w:rFonts w:ascii="Times New Roman" w:hAnsi="Times New Roman" w:cs="Times New Roman"/>
          <w:sz w:val="22"/>
          <w:szCs w:val="22"/>
          <w:lang w:val="en-GB"/>
        </w:rPr>
        <w:t>ing</w:t>
      </w:r>
      <w:r w:rsidR="00D15A77" w:rsidRPr="00854473">
        <w:rPr>
          <w:rFonts w:ascii="Times New Roman" w:hAnsi="Times New Roman" w:cs="Times New Roman"/>
          <w:sz w:val="22"/>
          <w:szCs w:val="22"/>
          <w:lang w:val="en-GB"/>
        </w:rPr>
        <w:t xml:space="preserve"> the power to withdraw Dutch nationality to persons aged 18 and older.</w:t>
      </w:r>
      <w:r w:rsidR="00854473" w:rsidRPr="00854473">
        <w:rPr>
          <w:rStyle w:val="FootnoteReference"/>
          <w:rFonts w:ascii="Times New Roman" w:hAnsi="Times New Roman" w:cs="Times New Roman"/>
          <w:sz w:val="22"/>
          <w:szCs w:val="22"/>
          <w:lang w:val="en-GB"/>
        </w:rPr>
        <w:footnoteReference w:id="12"/>
      </w:r>
      <w:r w:rsidR="00D15A77" w:rsidRPr="00854473">
        <w:rPr>
          <w:rFonts w:ascii="Times New Roman" w:hAnsi="Times New Roman" w:cs="Times New Roman"/>
          <w:sz w:val="22"/>
          <w:szCs w:val="22"/>
          <w:lang w:val="en-GB"/>
        </w:rPr>
        <w:t xml:space="preserve"> So far, the measure has not yet been applied to minors, nor has </w:t>
      </w:r>
      <w:r w:rsidR="000A0EC4">
        <w:rPr>
          <w:rFonts w:ascii="Times New Roman" w:hAnsi="Times New Roman" w:cs="Times New Roman"/>
          <w:sz w:val="22"/>
          <w:szCs w:val="22"/>
          <w:lang w:val="en-GB"/>
        </w:rPr>
        <w:t>there</w:t>
      </w:r>
      <w:r w:rsidR="000A0EC4" w:rsidRPr="00854473">
        <w:rPr>
          <w:rFonts w:ascii="Times New Roman" w:hAnsi="Times New Roman" w:cs="Times New Roman"/>
          <w:sz w:val="22"/>
          <w:szCs w:val="22"/>
          <w:lang w:val="en-GB"/>
        </w:rPr>
        <w:t xml:space="preserve"> </w:t>
      </w:r>
      <w:r w:rsidR="00D15A77" w:rsidRPr="00854473">
        <w:rPr>
          <w:rFonts w:ascii="Times New Roman" w:hAnsi="Times New Roman" w:cs="Times New Roman"/>
          <w:sz w:val="22"/>
          <w:szCs w:val="22"/>
          <w:lang w:val="en-GB"/>
        </w:rPr>
        <w:t xml:space="preserve">been </w:t>
      </w:r>
      <w:r w:rsidR="000A0EC4">
        <w:rPr>
          <w:rFonts w:ascii="Times New Roman" w:hAnsi="Times New Roman" w:cs="Times New Roman"/>
          <w:sz w:val="22"/>
          <w:szCs w:val="22"/>
          <w:lang w:val="en-GB"/>
        </w:rPr>
        <w:t xml:space="preserve">a case under </w:t>
      </w:r>
      <w:r w:rsidR="000A0EC4" w:rsidRPr="00854473">
        <w:rPr>
          <w:rFonts w:ascii="Times New Roman" w:hAnsi="Times New Roman" w:cs="Times New Roman"/>
          <w:sz w:val="22"/>
          <w:szCs w:val="22"/>
          <w:lang w:val="en-GB"/>
        </w:rPr>
        <w:t>consider</w:t>
      </w:r>
      <w:r w:rsidR="000A0EC4">
        <w:rPr>
          <w:rFonts w:ascii="Times New Roman" w:hAnsi="Times New Roman" w:cs="Times New Roman"/>
          <w:sz w:val="22"/>
          <w:szCs w:val="22"/>
          <w:lang w:val="en-GB"/>
        </w:rPr>
        <w:t>ation</w:t>
      </w:r>
      <w:r w:rsidR="000A0EC4" w:rsidRPr="00854473">
        <w:rPr>
          <w:rFonts w:ascii="Times New Roman" w:hAnsi="Times New Roman" w:cs="Times New Roman"/>
          <w:sz w:val="22"/>
          <w:szCs w:val="22"/>
          <w:lang w:val="en-GB"/>
        </w:rPr>
        <w:t xml:space="preserve"> </w:t>
      </w:r>
      <w:r w:rsidR="000A0EC4">
        <w:rPr>
          <w:rFonts w:ascii="Times New Roman" w:hAnsi="Times New Roman" w:cs="Times New Roman"/>
          <w:sz w:val="22"/>
          <w:szCs w:val="22"/>
          <w:lang w:val="en-GB"/>
        </w:rPr>
        <w:t xml:space="preserve">in which </w:t>
      </w:r>
      <w:r w:rsidR="00D15A77" w:rsidRPr="00854473">
        <w:rPr>
          <w:rFonts w:ascii="Times New Roman" w:hAnsi="Times New Roman" w:cs="Times New Roman"/>
          <w:sz w:val="22"/>
          <w:szCs w:val="22"/>
          <w:lang w:val="en-GB"/>
        </w:rPr>
        <w:t xml:space="preserve">a minor </w:t>
      </w:r>
      <w:r w:rsidR="000A0EC4">
        <w:rPr>
          <w:rFonts w:ascii="Times New Roman" w:hAnsi="Times New Roman" w:cs="Times New Roman"/>
          <w:sz w:val="22"/>
          <w:szCs w:val="22"/>
          <w:lang w:val="en-GB"/>
        </w:rPr>
        <w:t xml:space="preserve">would be deprived </w:t>
      </w:r>
      <w:r w:rsidR="00D15A77" w:rsidRPr="00854473">
        <w:rPr>
          <w:rFonts w:ascii="Times New Roman" w:hAnsi="Times New Roman" w:cs="Times New Roman"/>
          <w:sz w:val="22"/>
          <w:szCs w:val="22"/>
          <w:lang w:val="en-GB"/>
        </w:rPr>
        <w:t>of their Dutch citizenship. N</w:t>
      </w:r>
      <w:r w:rsidR="000A0EC4">
        <w:rPr>
          <w:rFonts w:ascii="Times New Roman" w:hAnsi="Times New Roman" w:cs="Times New Roman"/>
          <w:sz w:val="22"/>
          <w:szCs w:val="22"/>
          <w:lang w:val="en-GB"/>
        </w:rPr>
        <w:t>evertheless, n</w:t>
      </w:r>
      <w:r w:rsidR="00D15A77" w:rsidRPr="00854473">
        <w:rPr>
          <w:rFonts w:ascii="Times New Roman" w:hAnsi="Times New Roman" w:cs="Times New Roman"/>
          <w:sz w:val="22"/>
          <w:szCs w:val="22"/>
          <w:lang w:val="en-GB"/>
        </w:rPr>
        <w:t xml:space="preserve">o reasons </w:t>
      </w:r>
      <w:r w:rsidR="00854473">
        <w:rPr>
          <w:rFonts w:ascii="Times New Roman" w:hAnsi="Times New Roman" w:cs="Times New Roman"/>
          <w:sz w:val="22"/>
          <w:szCs w:val="22"/>
          <w:lang w:val="en-GB"/>
        </w:rPr>
        <w:t>have been</w:t>
      </w:r>
      <w:r w:rsidR="00D15A77" w:rsidRPr="00854473">
        <w:rPr>
          <w:rFonts w:ascii="Times New Roman" w:hAnsi="Times New Roman" w:cs="Times New Roman"/>
          <w:sz w:val="22"/>
          <w:szCs w:val="22"/>
          <w:lang w:val="en-GB"/>
        </w:rPr>
        <w:t xml:space="preserve"> given as to why it is necessary to keep this measure for minors of 16 years and older. At the same time, the government </w:t>
      </w:r>
      <w:r w:rsidR="00854473">
        <w:rPr>
          <w:rFonts w:ascii="Times New Roman" w:hAnsi="Times New Roman" w:cs="Times New Roman"/>
          <w:sz w:val="22"/>
          <w:szCs w:val="22"/>
          <w:lang w:val="en-GB"/>
        </w:rPr>
        <w:t xml:space="preserve">says </w:t>
      </w:r>
      <w:r w:rsidR="00D15A77" w:rsidRPr="00854473">
        <w:rPr>
          <w:rFonts w:ascii="Times New Roman" w:hAnsi="Times New Roman" w:cs="Times New Roman"/>
          <w:sz w:val="22"/>
          <w:szCs w:val="22"/>
          <w:lang w:val="en-GB"/>
        </w:rPr>
        <w:t>that in a possible decision to withdraw nationality, attention is paid to the possible mino</w:t>
      </w:r>
      <w:r w:rsidR="00854473" w:rsidRPr="00854473">
        <w:rPr>
          <w:rFonts w:ascii="Times New Roman" w:hAnsi="Times New Roman" w:cs="Times New Roman"/>
          <w:sz w:val="22"/>
          <w:szCs w:val="22"/>
          <w:lang w:val="en-GB"/>
        </w:rPr>
        <w:t>rity of the individual concerned, partly in view of Articles 7 and 8 of the CRC.</w:t>
      </w:r>
      <w:r w:rsidR="003D432E">
        <w:rPr>
          <w:rStyle w:val="FootnoteReference"/>
          <w:rFonts w:ascii="Times New Roman" w:hAnsi="Times New Roman" w:cs="Times New Roman"/>
          <w:sz w:val="22"/>
          <w:szCs w:val="22"/>
          <w:lang w:val="en-GB"/>
        </w:rPr>
        <w:footnoteReference w:id="13"/>
      </w:r>
      <w:r w:rsidR="00854473" w:rsidRPr="00854473">
        <w:rPr>
          <w:rFonts w:ascii="Times New Roman" w:hAnsi="Times New Roman" w:cs="Times New Roman"/>
          <w:sz w:val="22"/>
          <w:szCs w:val="22"/>
          <w:lang w:val="en-GB"/>
        </w:rPr>
        <w:t xml:space="preserve"> Minority is therefore a factor in the proportionality test that is conducted, certainly when the</w:t>
      </w:r>
      <w:r w:rsidR="00854473">
        <w:rPr>
          <w:rFonts w:ascii="Times New Roman" w:hAnsi="Times New Roman" w:cs="Times New Roman"/>
          <w:sz w:val="22"/>
          <w:szCs w:val="22"/>
          <w:lang w:val="en-GB"/>
        </w:rPr>
        <w:t>re</w:t>
      </w:r>
      <w:r w:rsidR="00854473" w:rsidRPr="00854473">
        <w:rPr>
          <w:rFonts w:ascii="Times New Roman" w:hAnsi="Times New Roman" w:cs="Times New Roman"/>
          <w:sz w:val="22"/>
          <w:szCs w:val="22"/>
          <w:lang w:val="en-GB"/>
        </w:rPr>
        <w:t xml:space="preserve"> are additional circumstances such a s great sensitivity to the influence of others. Furthermore, it has been held that a withdrawal is only possible for minors aged 16 or older who have voluntarily and independently joined a terrorist organisation. As a rule, it cannot be assumed that children who move as members of a family with parents who are committed to the terrorist organisation that they have (voluntarily</w:t>
      </w:r>
      <w:r w:rsidR="00854473" w:rsidRPr="00854473">
        <w:rPr>
          <w:rFonts w:ascii="Times New Roman" w:hAnsi="Times New Roman" w:cs="Times New Roman"/>
          <w:sz w:val="22"/>
          <w:szCs w:val="22"/>
        </w:rPr>
        <w:t>) joined such an organisation.</w:t>
      </w:r>
      <w:r w:rsidR="003D432E">
        <w:rPr>
          <w:rStyle w:val="FootnoteReference"/>
          <w:rFonts w:ascii="Times New Roman" w:hAnsi="Times New Roman" w:cs="Times New Roman"/>
          <w:sz w:val="22"/>
          <w:szCs w:val="22"/>
        </w:rPr>
        <w:footnoteReference w:id="14"/>
      </w:r>
    </w:p>
    <w:p w14:paraId="4A997AD2" w14:textId="7468BDED" w:rsidR="00950B4E" w:rsidRDefault="00950B4E" w:rsidP="00950B4E">
      <w:pPr>
        <w:jc w:val="both"/>
        <w:rPr>
          <w:rFonts w:ascii="Times New Roman" w:hAnsi="Times New Roman" w:cs="Times New Roman"/>
          <w:sz w:val="22"/>
          <w:szCs w:val="22"/>
        </w:rPr>
      </w:pPr>
    </w:p>
    <w:p w14:paraId="12F4B471" w14:textId="23052F65" w:rsidR="000C3210" w:rsidRPr="00FA7E57" w:rsidRDefault="00FE7568" w:rsidP="00FA7E57">
      <w:pPr>
        <w:pStyle w:val="ListParagraph"/>
        <w:numPr>
          <w:ilvl w:val="0"/>
          <w:numId w:val="1"/>
        </w:numPr>
        <w:ind w:left="284" w:hanging="284"/>
        <w:jc w:val="both"/>
        <w:rPr>
          <w:rFonts w:ascii="Times New Roman" w:hAnsi="Times New Roman" w:cs="Times New Roman"/>
          <w:sz w:val="22"/>
          <w:szCs w:val="22"/>
        </w:rPr>
      </w:pPr>
      <w:r>
        <w:rPr>
          <w:rFonts w:ascii="Times New Roman" w:hAnsi="Times New Roman" w:cs="Times New Roman"/>
          <w:sz w:val="22"/>
          <w:szCs w:val="22"/>
        </w:rPr>
        <w:t>According to</w:t>
      </w:r>
      <w:r w:rsidR="00184BD0">
        <w:rPr>
          <w:rFonts w:ascii="Times New Roman" w:hAnsi="Times New Roman" w:cs="Times New Roman"/>
          <w:sz w:val="22"/>
          <w:szCs w:val="22"/>
        </w:rPr>
        <w:t xml:space="preserve"> Artic</w:t>
      </w:r>
      <w:r w:rsidR="001554CF">
        <w:rPr>
          <w:rFonts w:ascii="Times New Roman" w:hAnsi="Times New Roman" w:cs="Times New Roman"/>
          <w:sz w:val="22"/>
          <w:szCs w:val="22"/>
        </w:rPr>
        <w:t xml:space="preserve">le 8(1) </w:t>
      </w:r>
      <w:r w:rsidR="00AA2F7C">
        <w:rPr>
          <w:rFonts w:ascii="Times New Roman" w:hAnsi="Times New Roman" w:cs="Times New Roman"/>
          <w:sz w:val="22"/>
          <w:szCs w:val="22"/>
        </w:rPr>
        <w:t xml:space="preserve">CRC, </w:t>
      </w:r>
      <w:r>
        <w:rPr>
          <w:rFonts w:ascii="Times New Roman" w:hAnsi="Times New Roman" w:cs="Times New Roman"/>
          <w:sz w:val="22"/>
          <w:szCs w:val="22"/>
        </w:rPr>
        <w:t>S</w:t>
      </w:r>
      <w:r w:rsidRPr="00FE7568">
        <w:rPr>
          <w:rFonts w:ascii="Times New Roman" w:hAnsi="Times New Roman" w:cs="Times New Roman"/>
          <w:sz w:val="22"/>
          <w:szCs w:val="22"/>
        </w:rPr>
        <w:t>tates Parties undertake to respect the right of the child to preserve his or her identity, including nationality, name and family relations as recognized by law without unlawful interference.</w:t>
      </w:r>
      <w:r>
        <w:rPr>
          <w:rFonts w:ascii="Times New Roman" w:hAnsi="Times New Roman" w:cs="Times New Roman"/>
          <w:sz w:val="22"/>
          <w:szCs w:val="22"/>
        </w:rPr>
        <w:t xml:space="preserve"> In this light, </w:t>
      </w:r>
      <w:r w:rsidR="00AF3825">
        <w:rPr>
          <w:rFonts w:ascii="Times New Roman" w:hAnsi="Times New Roman" w:cs="Times New Roman"/>
          <w:sz w:val="22"/>
          <w:szCs w:val="22"/>
        </w:rPr>
        <w:t xml:space="preserve">applying measures to deprive nationality to minors, is </w:t>
      </w:r>
      <w:r w:rsidR="00263DAC">
        <w:rPr>
          <w:rFonts w:ascii="Times New Roman" w:hAnsi="Times New Roman" w:cs="Times New Roman"/>
          <w:sz w:val="22"/>
          <w:szCs w:val="22"/>
        </w:rPr>
        <w:t>worrying</w:t>
      </w:r>
      <w:r w:rsidR="00AF3825">
        <w:rPr>
          <w:rFonts w:ascii="Times New Roman" w:hAnsi="Times New Roman" w:cs="Times New Roman"/>
          <w:sz w:val="22"/>
          <w:szCs w:val="22"/>
        </w:rPr>
        <w:t xml:space="preserve">. </w:t>
      </w:r>
      <w:r w:rsidR="00DE7C85">
        <w:rPr>
          <w:rFonts w:ascii="Times New Roman" w:hAnsi="Times New Roman" w:cs="Times New Roman"/>
          <w:sz w:val="22"/>
          <w:szCs w:val="22"/>
        </w:rPr>
        <w:t>It has been held that it can never be in the best interest of a child to be deprived of nationality.</w:t>
      </w:r>
      <w:r w:rsidR="00DE7C85">
        <w:rPr>
          <w:rStyle w:val="FootnoteReference"/>
          <w:rFonts w:ascii="Times New Roman" w:hAnsi="Times New Roman" w:cs="Times New Roman"/>
          <w:sz w:val="22"/>
          <w:szCs w:val="22"/>
        </w:rPr>
        <w:footnoteReference w:id="15"/>
      </w:r>
      <w:r w:rsidR="00DE7C85">
        <w:rPr>
          <w:rFonts w:ascii="Times New Roman" w:hAnsi="Times New Roman" w:cs="Times New Roman"/>
          <w:sz w:val="22"/>
          <w:szCs w:val="22"/>
        </w:rPr>
        <w:t xml:space="preserve"> Moreover, </w:t>
      </w:r>
      <w:r w:rsidR="001E789A">
        <w:rPr>
          <w:rFonts w:ascii="Times New Roman" w:hAnsi="Times New Roman" w:cs="Times New Roman"/>
          <w:sz w:val="22"/>
          <w:szCs w:val="22"/>
        </w:rPr>
        <w:t xml:space="preserve">nationality </w:t>
      </w:r>
      <w:r w:rsidR="001E789A" w:rsidRPr="00FA7E57">
        <w:rPr>
          <w:rFonts w:ascii="Times New Roman" w:hAnsi="Times New Roman" w:cs="Times New Roman"/>
          <w:sz w:val="22"/>
          <w:szCs w:val="22"/>
        </w:rPr>
        <w:t>deprivation powers laid down in Article 14(4) DNA can only be invoked against dual nationals, creating a difference in treatment as compared to citizens who only hold Dutch nationality. This leads to indirect discrimination against Dutch citizens from particular minority groups, in particular Dutch-Moroccans</w:t>
      </w:r>
      <w:r w:rsidR="00FA599C">
        <w:rPr>
          <w:rFonts w:ascii="Times New Roman" w:hAnsi="Times New Roman" w:cs="Times New Roman"/>
          <w:sz w:val="22"/>
          <w:szCs w:val="22"/>
        </w:rPr>
        <w:t>,</w:t>
      </w:r>
      <w:r w:rsidR="00533B95">
        <w:rPr>
          <w:rStyle w:val="FootnoteReference"/>
          <w:rFonts w:ascii="Times New Roman" w:hAnsi="Times New Roman" w:cs="Times New Roman"/>
          <w:sz w:val="22"/>
          <w:szCs w:val="22"/>
        </w:rPr>
        <w:footnoteReference w:id="16"/>
      </w:r>
      <w:r w:rsidR="00FA599C">
        <w:rPr>
          <w:rFonts w:ascii="Times New Roman" w:hAnsi="Times New Roman" w:cs="Times New Roman"/>
          <w:sz w:val="22"/>
          <w:szCs w:val="22"/>
        </w:rPr>
        <w:t xml:space="preserve"> which raises an issue under Article 2 CRC with regard to minors </w:t>
      </w:r>
      <w:r w:rsidR="00D040D8">
        <w:rPr>
          <w:rFonts w:ascii="Times New Roman" w:hAnsi="Times New Roman" w:cs="Times New Roman"/>
          <w:sz w:val="22"/>
          <w:szCs w:val="22"/>
        </w:rPr>
        <w:t>specifically</w:t>
      </w:r>
      <w:r w:rsidR="00FA599C">
        <w:rPr>
          <w:rFonts w:ascii="Times New Roman" w:hAnsi="Times New Roman" w:cs="Times New Roman"/>
          <w:sz w:val="22"/>
          <w:szCs w:val="22"/>
        </w:rPr>
        <w:t xml:space="preserve">. </w:t>
      </w:r>
      <w:r w:rsidR="001E789A" w:rsidRPr="00FA7E57">
        <w:rPr>
          <w:rFonts w:ascii="Times New Roman" w:hAnsi="Times New Roman" w:cs="Times New Roman"/>
          <w:sz w:val="22"/>
          <w:szCs w:val="22"/>
        </w:rPr>
        <w:t>Nationality deprivation is</w:t>
      </w:r>
      <w:r w:rsidR="00336997">
        <w:rPr>
          <w:rFonts w:ascii="Times New Roman" w:hAnsi="Times New Roman" w:cs="Times New Roman"/>
          <w:sz w:val="22"/>
          <w:szCs w:val="22"/>
        </w:rPr>
        <w:t xml:space="preserve"> also</w:t>
      </w:r>
      <w:r w:rsidR="001E789A" w:rsidRPr="00FA7E57">
        <w:rPr>
          <w:rFonts w:ascii="Times New Roman" w:hAnsi="Times New Roman" w:cs="Times New Roman"/>
          <w:sz w:val="22"/>
          <w:szCs w:val="22"/>
        </w:rPr>
        <w:t xml:space="preserve"> an extreme and irreversible measure due to its consequential human rights impacts and permanence, which is why international (human rights) standards curtail its use.</w:t>
      </w:r>
      <w:r w:rsidR="009C416A">
        <w:rPr>
          <w:rFonts w:ascii="Times New Roman" w:hAnsi="Times New Roman" w:cs="Times New Roman"/>
          <w:sz w:val="22"/>
          <w:szCs w:val="22"/>
        </w:rPr>
        <w:t xml:space="preserve"> Even where the power is only used on </w:t>
      </w:r>
      <w:r w:rsidR="000B2504">
        <w:rPr>
          <w:rFonts w:ascii="Times New Roman" w:hAnsi="Times New Roman" w:cs="Times New Roman"/>
          <w:sz w:val="22"/>
          <w:szCs w:val="22"/>
        </w:rPr>
        <w:t>an adult individual</w:t>
      </w:r>
      <w:r w:rsidR="009C416A">
        <w:rPr>
          <w:rFonts w:ascii="Times New Roman" w:hAnsi="Times New Roman" w:cs="Times New Roman"/>
          <w:sz w:val="22"/>
          <w:szCs w:val="22"/>
        </w:rPr>
        <w:t xml:space="preserve">, it </w:t>
      </w:r>
      <w:r w:rsidR="003B71D4">
        <w:rPr>
          <w:rFonts w:ascii="Times New Roman" w:hAnsi="Times New Roman" w:cs="Times New Roman"/>
          <w:sz w:val="22"/>
          <w:szCs w:val="22"/>
        </w:rPr>
        <w:t>has worrying knock-on consequences for dependents or family</w:t>
      </w:r>
      <w:r w:rsidR="000B2504">
        <w:rPr>
          <w:rFonts w:ascii="Times New Roman" w:hAnsi="Times New Roman" w:cs="Times New Roman"/>
          <w:sz w:val="22"/>
          <w:szCs w:val="22"/>
        </w:rPr>
        <w:t xml:space="preserve"> – </w:t>
      </w:r>
      <w:r w:rsidR="003B71D4">
        <w:rPr>
          <w:rFonts w:ascii="Times New Roman" w:hAnsi="Times New Roman" w:cs="Times New Roman"/>
          <w:sz w:val="22"/>
          <w:szCs w:val="22"/>
        </w:rPr>
        <w:t>children in particular. They may be</w:t>
      </w:r>
      <w:r w:rsidR="000B2504">
        <w:rPr>
          <w:rFonts w:ascii="Times New Roman" w:hAnsi="Times New Roman" w:cs="Times New Roman"/>
          <w:sz w:val="22"/>
          <w:szCs w:val="22"/>
        </w:rPr>
        <w:t>, i</w:t>
      </w:r>
      <w:r w:rsidR="003B71D4">
        <w:rPr>
          <w:rFonts w:ascii="Times New Roman" w:hAnsi="Times New Roman" w:cs="Times New Roman"/>
          <w:sz w:val="22"/>
          <w:szCs w:val="22"/>
        </w:rPr>
        <w:t>n practice</w:t>
      </w:r>
      <w:r w:rsidR="000B2504">
        <w:rPr>
          <w:rFonts w:ascii="Times New Roman" w:hAnsi="Times New Roman" w:cs="Times New Roman"/>
          <w:sz w:val="22"/>
          <w:szCs w:val="22"/>
        </w:rPr>
        <w:t xml:space="preserve">, </w:t>
      </w:r>
      <w:r w:rsidR="003B71D4">
        <w:rPr>
          <w:rFonts w:ascii="Times New Roman" w:hAnsi="Times New Roman" w:cs="Times New Roman"/>
          <w:sz w:val="22"/>
          <w:szCs w:val="22"/>
        </w:rPr>
        <w:t>prevented from returning to the country by virtue of the deprivation of Dutch nationality of the parent(s).</w:t>
      </w:r>
      <w:r w:rsidR="00810925">
        <w:rPr>
          <w:rFonts w:ascii="Times New Roman" w:hAnsi="Times New Roman" w:cs="Times New Roman"/>
          <w:sz w:val="22"/>
          <w:szCs w:val="22"/>
        </w:rPr>
        <w:t xml:space="preserve"> As such, </w:t>
      </w:r>
      <w:r w:rsidR="00F8207E">
        <w:rPr>
          <w:rFonts w:ascii="Times New Roman" w:hAnsi="Times New Roman" w:cs="Times New Roman"/>
          <w:sz w:val="22"/>
          <w:szCs w:val="22"/>
        </w:rPr>
        <w:t xml:space="preserve">making the measure permanent raises </w:t>
      </w:r>
      <w:r w:rsidR="00263DAC">
        <w:rPr>
          <w:rFonts w:ascii="Times New Roman" w:hAnsi="Times New Roman" w:cs="Times New Roman"/>
          <w:sz w:val="22"/>
          <w:szCs w:val="22"/>
        </w:rPr>
        <w:t>concerns with regard to the rights of children in itself.</w:t>
      </w:r>
    </w:p>
    <w:sectPr w:rsidR="000C3210" w:rsidRPr="00FA7E5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821B51" w14:textId="77777777" w:rsidR="007D071B" w:rsidRDefault="007D071B" w:rsidP="00D746AA">
      <w:r>
        <w:separator/>
      </w:r>
    </w:p>
  </w:endnote>
  <w:endnote w:type="continuationSeparator" w:id="0">
    <w:p w14:paraId="6C3EB6E0" w14:textId="77777777" w:rsidR="007D071B" w:rsidRDefault="007D071B" w:rsidP="00D74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Light">
    <w:altName w:val="Arial Nova Light"/>
    <w:charset w:val="00"/>
    <w:family w:val="auto"/>
    <w:pitch w:val="variable"/>
    <w:sig w:usb0="800000AF" w:usb1="4000204A" w:usb2="00000000" w:usb3="00000000" w:csb0="00000001"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Helvetica Light" w:hAnsi="Helvetica Light"/>
        <w:sz w:val="16"/>
        <w:szCs w:val="16"/>
      </w:rPr>
      <w:id w:val="2116559114"/>
      <w:docPartObj>
        <w:docPartGallery w:val="Page Numbers (Bottom of Page)"/>
        <w:docPartUnique/>
      </w:docPartObj>
    </w:sdtPr>
    <w:sdtEndPr>
      <w:rPr>
        <w:noProof/>
      </w:rPr>
    </w:sdtEndPr>
    <w:sdtContent>
      <w:p w14:paraId="484F8FD9" w14:textId="415D1BB9" w:rsidR="00902BE6" w:rsidRPr="003E4E21" w:rsidRDefault="00902BE6">
        <w:pPr>
          <w:pStyle w:val="Footer"/>
          <w:jc w:val="center"/>
          <w:rPr>
            <w:rFonts w:ascii="Helvetica Light" w:hAnsi="Helvetica Light"/>
            <w:sz w:val="16"/>
            <w:szCs w:val="16"/>
          </w:rPr>
        </w:pPr>
        <w:r w:rsidRPr="00FA7E57">
          <w:rPr>
            <w:rFonts w:ascii="Helvetica Light" w:hAnsi="Helvetica Light"/>
            <w:sz w:val="16"/>
            <w:szCs w:val="16"/>
          </w:rPr>
          <w:fldChar w:fldCharType="begin"/>
        </w:r>
        <w:r w:rsidRPr="003E4E21">
          <w:rPr>
            <w:rFonts w:ascii="Helvetica Light" w:hAnsi="Helvetica Light"/>
            <w:sz w:val="16"/>
            <w:szCs w:val="16"/>
          </w:rPr>
          <w:instrText xml:space="preserve"> PAGE   \* MERGEFORMAT </w:instrText>
        </w:r>
        <w:r w:rsidRPr="00FA7E57">
          <w:rPr>
            <w:rFonts w:ascii="Helvetica Light" w:hAnsi="Helvetica Light"/>
            <w:sz w:val="16"/>
            <w:szCs w:val="16"/>
          </w:rPr>
          <w:fldChar w:fldCharType="separate"/>
        </w:r>
        <w:r w:rsidR="009567D9">
          <w:rPr>
            <w:rFonts w:ascii="Helvetica Light" w:hAnsi="Helvetica Light"/>
            <w:noProof/>
            <w:sz w:val="16"/>
            <w:szCs w:val="16"/>
          </w:rPr>
          <w:t>2</w:t>
        </w:r>
        <w:r w:rsidRPr="00FA7E57">
          <w:rPr>
            <w:rFonts w:ascii="Helvetica Light" w:hAnsi="Helvetica Light"/>
            <w:noProof/>
            <w:sz w:val="16"/>
            <w:szCs w:val="16"/>
          </w:rPr>
          <w:fldChar w:fldCharType="end"/>
        </w:r>
      </w:p>
    </w:sdtContent>
  </w:sdt>
  <w:p w14:paraId="63C251CA" w14:textId="77777777" w:rsidR="00902BE6" w:rsidRDefault="00902B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D4D69A" w14:textId="77777777" w:rsidR="007D071B" w:rsidRDefault="007D071B" w:rsidP="00D746AA">
      <w:r>
        <w:separator/>
      </w:r>
    </w:p>
  </w:footnote>
  <w:footnote w:type="continuationSeparator" w:id="0">
    <w:p w14:paraId="5C183D53" w14:textId="77777777" w:rsidR="007D071B" w:rsidRDefault="007D071B" w:rsidP="00D746AA">
      <w:r>
        <w:continuationSeparator/>
      </w:r>
    </w:p>
  </w:footnote>
  <w:footnote w:id="1">
    <w:p w14:paraId="276B723B" w14:textId="7143017C" w:rsidR="00D32526" w:rsidRPr="0071728B" w:rsidRDefault="00D32526">
      <w:pPr>
        <w:pStyle w:val="FootnoteText"/>
        <w:rPr>
          <w:rFonts w:ascii="Times New Roman" w:hAnsi="Times New Roman" w:cs="Times New Roman"/>
          <w:sz w:val="16"/>
          <w:szCs w:val="16"/>
          <w:lang w:val="en-GB"/>
        </w:rPr>
      </w:pPr>
      <w:r w:rsidRPr="0071728B">
        <w:rPr>
          <w:rStyle w:val="FootnoteReference"/>
          <w:rFonts w:ascii="Times New Roman" w:hAnsi="Times New Roman" w:cs="Times New Roman"/>
          <w:sz w:val="16"/>
          <w:szCs w:val="16"/>
        </w:rPr>
        <w:footnoteRef/>
      </w:r>
      <w:r w:rsidRPr="0071728B">
        <w:rPr>
          <w:rFonts w:ascii="Times New Roman" w:hAnsi="Times New Roman" w:cs="Times New Roman"/>
          <w:sz w:val="16"/>
          <w:szCs w:val="16"/>
        </w:rPr>
        <w:t xml:space="preserve"> </w:t>
      </w:r>
      <w:r w:rsidRPr="0071728B">
        <w:rPr>
          <w:rFonts w:ascii="Times New Roman" w:hAnsi="Times New Roman" w:cs="Times New Roman"/>
          <w:sz w:val="16"/>
          <w:szCs w:val="16"/>
          <w:lang w:val="en-GB"/>
        </w:rPr>
        <w:t xml:space="preserve">See further </w:t>
      </w:r>
      <w:hyperlink r:id="rId1" w:history="1">
        <w:r w:rsidRPr="0071728B">
          <w:rPr>
            <w:rStyle w:val="Hyperlink"/>
            <w:rFonts w:ascii="Times New Roman" w:hAnsi="Times New Roman" w:cs="Times New Roman"/>
            <w:sz w:val="16"/>
            <w:szCs w:val="16"/>
            <w:lang w:val="en-GB"/>
          </w:rPr>
          <w:t>https://www.institutesi.org/about-us</w:t>
        </w:r>
      </w:hyperlink>
    </w:p>
  </w:footnote>
  <w:footnote w:id="2">
    <w:p w14:paraId="6BE2D12B" w14:textId="43024D29" w:rsidR="00D32526" w:rsidRPr="0071728B" w:rsidRDefault="00D32526" w:rsidP="00D32526">
      <w:pPr>
        <w:pStyle w:val="FootnoteText"/>
        <w:rPr>
          <w:rFonts w:ascii="Times New Roman" w:hAnsi="Times New Roman" w:cs="Times New Roman"/>
          <w:sz w:val="16"/>
          <w:szCs w:val="16"/>
          <w:lang w:val="en-GB"/>
        </w:rPr>
      </w:pPr>
      <w:r w:rsidRPr="0071728B">
        <w:rPr>
          <w:rStyle w:val="FootnoteReference"/>
          <w:rFonts w:ascii="Times New Roman" w:hAnsi="Times New Roman" w:cs="Times New Roman"/>
          <w:sz w:val="16"/>
          <w:szCs w:val="16"/>
          <w:lang w:val="en-GB"/>
        </w:rPr>
        <w:footnoteRef/>
      </w:r>
      <w:r w:rsidRPr="0071728B">
        <w:rPr>
          <w:rFonts w:ascii="Times New Roman" w:hAnsi="Times New Roman" w:cs="Times New Roman"/>
          <w:sz w:val="16"/>
          <w:szCs w:val="16"/>
          <w:lang w:val="en-GB"/>
        </w:rPr>
        <w:t xml:space="preserve"> 1989 Convention on the Rights of the Child</w:t>
      </w:r>
      <w:r w:rsidR="00AA2F7C">
        <w:rPr>
          <w:rFonts w:ascii="Times New Roman" w:hAnsi="Times New Roman" w:cs="Times New Roman"/>
          <w:sz w:val="16"/>
          <w:szCs w:val="16"/>
          <w:lang w:val="en-GB"/>
        </w:rPr>
        <w:t xml:space="preserve"> (CRC)</w:t>
      </w:r>
      <w:r w:rsidRPr="0071728B">
        <w:rPr>
          <w:rFonts w:ascii="Times New Roman" w:hAnsi="Times New Roman" w:cs="Times New Roman"/>
          <w:sz w:val="16"/>
          <w:szCs w:val="16"/>
          <w:lang w:val="en-GB"/>
        </w:rPr>
        <w:t>, Articles 7 and 8</w:t>
      </w:r>
    </w:p>
  </w:footnote>
  <w:footnote w:id="3">
    <w:p w14:paraId="777F5707" w14:textId="5233440E" w:rsidR="00D32526" w:rsidRPr="0071728B" w:rsidRDefault="00D32526" w:rsidP="00D32526">
      <w:pPr>
        <w:pStyle w:val="FootnoteText"/>
        <w:rPr>
          <w:rFonts w:ascii="Times New Roman" w:hAnsi="Times New Roman" w:cs="Times New Roman"/>
          <w:sz w:val="16"/>
          <w:szCs w:val="16"/>
          <w:lang w:val="en-GB"/>
        </w:rPr>
      </w:pPr>
      <w:r w:rsidRPr="0071728B">
        <w:rPr>
          <w:rStyle w:val="FootnoteReference"/>
          <w:rFonts w:ascii="Times New Roman" w:hAnsi="Times New Roman" w:cs="Times New Roman"/>
          <w:sz w:val="16"/>
          <w:szCs w:val="16"/>
          <w:lang w:val="en-GB"/>
        </w:rPr>
        <w:footnoteRef/>
      </w:r>
      <w:r w:rsidRPr="0071728B">
        <w:rPr>
          <w:rFonts w:ascii="Times New Roman" w:hAnsi="Times New Roman" w:cs="Times New Roman"/>
          <w:i/>
          <w:iCs/>
          <w:sz w:val="16"/>
          <w:szCs w:val="16"/>
          <w:lang w:val="en-GB"/>
        </w:rPr>
        <w:t xml:space="preserve"> Ibid</w:t>
      </w:r>
      <w:r w:rsidRPr="0071728B">
        <w:rPr>
          <w:rFonts w:ascii="Times New Roman" w:hAnsi="Times New Roman" w:cs="Times New Roman"/>
          <w:sz w:val="16"/>
          <w:szCs w:val="16"/>
          <w:lang w:val="en-GB"/>
        </w:rPr>
        <w:t>., Articles 2 and 3</w:t>
      </w:r>
    </w:p>
  </w:footnote>
  <w:footnote w:id="4">
    <w:p w14:paraId="0BDBB6FD" w14:textId="4CEBC1F4" w:rsidR="00D32526" w:rsidRPr="0071728B" w:rsidRDefault="00D32526" w:rsidP="00D32526">
      <w:pPr>
        <w:pStyle w:val="FootnoteText"/>
        <w:rPr>
          <w:rFonts w:ascii="Times New Roman" w:hAnsi="Times New Roman" w:cs="Times New Roman"/>
          <w:sz w:val="16"/>
          <w:szCs w:val="16"/>
        </w:rPr>
      </w:pPr>
      <w:r w:rsidRPr="0071728B">
        <w:rPr>
          <w:rStyle w:val="FootnoteReference"/>
          <w:rFonts w:ascii="Times New Roman" w:hAnsi="Times New Roman" w:cs="Times New Roman"/>
          <w:sz w:val="16"/>
          <w:szCs w:val="16"/>
        </w:rPr>
        <w:footnoteRef/>
      </w:r>
      <w:r w:rsidRPr="0071728B">
        <w:rPr>
          <w:rFonts w:ascii="Times New Roman" w:hAnsi="Times New Roman" w:cs="Times New Roman"/>
          <w:sz w:val="16"/>
          <w:szCs w:val="16"/>
        </w:rPr>
        <w:t xml:space="preserve"> ASKV &amp; ISI, Joint Submission to the Committee on the Rights of the Child at the 89th Pre-Sessional Working Group</w:t>
      </w:r>
      <w:r w:rsidR="00CA35A9" w:rsidRPr="0071728B">
        <w:rPr>
          <w:rFonts w:ascii="Times New Roman" w:hAnsi="Times New Roman" w:cs="Times New Roman"/>
          <w:sz w:val="16"/>
          <w:szCs w:val="16"/>
        </w:rPr>
        <w:t xml:space="preserve"> - Netherlands</w:t>
      </w:r>
      <w:r w:rsidRPr="0071728B">
        <w:rPr>
          <w:rFonts w:ascii="Times New Roman" w:hAnsi="Times New Roman" w:cs="Times New Roman"/>
          <w:sz w:val="16"/>
          <w:szCs w:val="16"/>
        </w:rPr>
        <w:t xml:space="preserve">, 1 May 2020, </w:t>
      </w:r>
      <w:hyperlink r:id="rId2" w:history="1">
        <w:r w:rsidRPr="0071728B">
          <w:rPr>
            <w:rStyle w:val="Hyperlink"/>
            <w:rFonts w:ascii="Times New Roman" w:hAnsi="Times New Roman" w:cs="Times New Roman"/>
            <w:sz w:val="16"/>
            <w:szCs w:val="16"/>
          </w:rPr>
          <w:t>https://tbinternet.ohchr.org/_layouts/15/treatybodyexternal/Download.aspx?symbolno=INT%2fCRC%2fNGO%2fNLD%2f44847&amp;Lang=en</w:t>
        </w:r>
      </w:hyperlink>
      <w:r w:rsidRPr="0071728B">
        <w:rPr>
          <w:rFonts w:ascii="Times New Roman" w:hAnsi="Times New Roman" w:cs="Times New Roman"/>
          <w:sz w:val="16"/>
          <w:szCs w:val="16"/>
        </w:rPr>
        <w:t xml:space="preserve"> </w:t>
      </w:r>
    </w:p>
  </w:footnote>
  <w:footnote w:id="5">
    <w:p w14:paraId="70E8A5D9" w14:textId="5AEA01D8" w:rsidR="00D15A77" w:rsidRPr="00D15A77" w:rsidRDefault="00D15A77">
      <w:pPr>
        <w:pStyle w:val="FootnoteText"/>
        <w:rPr>
          <w:rFonts w:ascii="Times New Roman" w:hAnsi="Times New Roman" w:cs="Times New Roman"/>
          <w:sz w:val="16"/>
          <w:szCs w:val="16"/>
        </w:rPr>
      </w:pPr>
      <w:r w:rsidRPr="00D15A77">
        <w:rPr>
          <w:rStyle w:val="FootnoteReference"/>
          <w:rFonts w:ascii="Times New Roman" w:hAnsi="Times New Roman" w:cs="Times New Roman"/>
          <w:sz w:val="16"/>
          <w:szCs w:val="16"/>
        </w:rPr>
        <w:footnoteRef/>
      </w:r>
      <w:r w:rsidRPr="00D15A77">
        <w:rPr>
          <w:rFonts w:ascii="Times New Roman" w:hAnsi="Times New Roman" w:cs="Times New Roman"/>
          <w:sz w:val="16"/>
          <w:szCs w:val="16"/>
        </w:rPr>
        <w:t xml:space="preserve"> See </w:t>
      </w:r>
      <w:hyperlink r:id="rId3" w:history="1">
        <w:r w:rsidRPr="00D15A77">
          <w:rPr>
            <w:rStyle w:val="Hyperlink"/>
            <w:rFonts w:ascii="Times New Roman" w:hAnsi="Times New Roman" w:cs="Times New Roman"/>
            <w:sz w:val="16"/>
            <w:szCs w:val="16"/>
          </w:rPr>
          <w:t>https://www.tweedekamer.nl/kamerstukken/wetsvoorstellen/detail?cfg=wetsvoorsteldetails&amp;qry=wetsvoorstel%3A35687</w:t>
        </w:r>
      </w:hyperlink>
      <w:r w:rsidRPr="00D15A77">
        <w:rPr>
          <w:rFonts w:ascii="Times New Roman" w:hAnsi="Times New Roman" w:cs="Times New Roman"/>
          <w:sz w:val="16"/>
          <w:szCs w:val="16"/>
        </w:rPr>
        <w:t xml:space="preserve"> </w:t>
      </w:r>
    </w:p>
  </w:footnote>
  <w:footnote w:id="6">
    <w:p w14:paraId="11CFB034" w14:textId="1599254A" w:rsidR="00D15A77" w:rsidRPr="00D15A77" w:rsidRDefault="00D15A77">
      <w:pPr>
        <w:pStyle w:val="FootnoteText"/>
      </w:pPr>
      <w:r w:rsidRPr="00D15A77">
        <w:rPr>
          <w:rStyle w:val="FootnoteReference"/>
          <w:rFonts w:ascii="Times New Roman" w:hAnsi="Times New Roman" w:cs="Times New Roman"/>
          <w:sz w:val="16"/>
          <w:szCs w:val="16"/>
        </w:rPr>
        <w:footnoteRef/>
      </w:r>
      <w:r w:rsidRPr="00D15A77">
        <w:rPr>
          <w:rFonts w:ascii="Times New Roman" w:hAnsi="Times New Roman" w:cs="Times New Roman"/>
          <w:sz w:val="16"/>
          <w:szCs w:val="16"/>
        </w:rPr>
        <w:t xml:space="preserve"> See </w:t>
      </w:r>
      <w:hyperlink r:id="rId4" w:history="1">
        <w:r w:rsidRPr="00D15A77">
          <w:rPr>
            <w:rStyle w:val="Hyperlink"/>
            <w:rFonts w:ascii="Times New Roman" w:hAnsi="Times New Roman" w:cs="Times New Roman"/>
            <w:sz w:val="16"/>
            <w:szCs w:val="16"/>
          </w:rPr>
          <w:t>https://www.tweedekamer.nl/kamerstukken/wetsvoorstellen/detail?id=2020Z25636&amp;dossier=35688-%28R2151%29</w:t>
        </w:r>
      </w:hyperlink>
      <w:r>
        <w:t xml:space="preserve"> </w:t>
      </w:r>
    </w:p>
  </w:footnote>
  <w:footnote w:id="7">
    <w:p w14:paraId="070A8A9A" w14:textId="7CB37C7F" w:rsidR="0071728B" w:rsidRPr="0071728B" w:rsidRDefault="0071728B">
      <w:pPr>
        <w:pStyle w:val="FootnoteText"/>
        <w:rPr>
          <w:rFonts w:ascii="Times New Roman" w:hAnsi="Times New Roman" w:cs="Times New Roman"/>
        </w:rPr>
      </w:pPr>
      <w:r w:rsidRPr="0071728B">
        <w:rPr>
          <w:rStyle w:val="FootnoteReference"/>
          <w:rFonts w:ascii="Times New Roman" w:hAnsi="Times New Roman" w:cs="Times New Roman"/>
          <w:sz w:val="16"/>
          <w:szCs w:val="16"/>
        </w:rPr>
        <w:footnoteRef/>
      </w:r>
      <w:r w:rsidRPr="0071728B">
        <w:rPr>
          <w:rFonts w:ascii="Times New Roman" w:hAnsi="Times New Roman" w:cs="Times New Roman"/>
          <w:sz w:val="16"/>
          <w:szCs w:val="16"/>
        </w:rPr>
        <w:t xml:space="preserve"> More information about deprivation of nationality as a national security measure in the Netherlands can also be found in this 2-page briefing: </w:t>
      </w:r>
      <w:hyperlink r:id="rId5" w:history="1">
        <w:r w:rsidRPr="0071728B">
          <w:rPr>
            <w:rStyle w:val="Hyperlink"/>
            <w:rFonts w:ascii="Times New Roman" w:hAnsi="Times New Roman" w:cs="Times New Roman"/>
            <w:sz w:val="16"/>
            <w:szCs w:val="16"/>
          </w:rPr>
          <w:t>https://files.institutesi.org/Deprivation_of_Nationality_the_Netherlands.pdf</w:t>
        </w:r>
      </w:hyperlink>
      <w:r w:rsidRPr="0071728B">
        <w:rPr>
          <w:rFonts w:ascii="Times New Roman" w:hAnsi="Times New Roman" w:cs="Times New Roman"/>
        </w:rPr>
        <w:t xml:space="preserve"> </w:t>
      </w:r>
    </w:p>
  </w:footnote>
  <w:footnote w:id="8">
    <w:p w14:paraId="2EF20173" w14:textId="0099DB22" w:rsidR="00197299" w:rsidRPr="0071728B" w:rsidRDefault="00197299">
      <w:pPr>
        <w:pStyle w:val="FootnoteText"/>
        <w:rPr>
          <w:rFonts w:ascii="Times New Roman" w:hAnsi="Times New Roman" w:cs="Times New Roman"/>
          <w:sz w:val="16"/>
          <w:szCs w:val="16"/>
          <w:lang w:val="en-GB"/>
        </w:rPr>
      </w:pPr>
      <w:r w:rsidRPr="0071728B">
        <w:rPr>
          <w:rStyle w:val="FootnoteReference"/>
          <w:rFonts w:ascii="Times New Roman" w:hAnsi="Times New Roman" w:cs="Times New Roman"/>
          <w:sz w:val="16"/>
          <w:szCs w:val="16"/>
        </w:rPr>
        <w:footnoteRef/>
      </w:r>
      <w:r w:rsidRPr="0071728B">
        <w:rPr>
          <w:rFonts w:ascii="Times New Roman" w:hAnsi="Times New Roman" w:cs="Times New Roman"/>
          <w:sz w:val="16"/>
          <w:szCs w:val="16"/>
        </w:rPr>
        <w:t xml:space="preserve"> </w:t>
      </w:r>
      <w:r w:rsidRPr="0071728B">
        <w:rPr>
          <w:rFonts w:ascii="Times New Roman" w:hAnsi="Times New Roman" w:cs="Times New Roman"/>
          <w:sz w:val="16"/>
          <w:szCs w:val="16"/>
          <w:lang w:val="en-GB"/>
        </w:rPr>
        <w:t>Article 14(8) DNA does not allow statelessness to occur as a result of deprivation of nationality on the basis of Article 14(4) DNA</w:t>
      </w:r>
    </w:p>
  </w:footnote>
  <w:footnote w:id="9">
    <w:p w14:paraId="393C59AD" w14:textId="72852E81" w:rsidR="00964E5D" w:rsidRPr="0071728B" w:rsidRDefault="00964E5D">
      <w:pPr>
        <w:pStyle w:val="FootnoteText"/>
        <w:rPr>
          <w:rFonts w:ascii="Times New Roman" w:hAnsi="Times New Roman" w:cs="Times New Roman"/>
          <w:sz w:val="16"/>
          <w:szCs w:val="16"/>
          <w:lang w:val="en-GB"/>
        </w:rPr>
      </w:pPr>
      <w:r w:rsidRPr="0071728B">
        <w:rPr>
          <w:rStyle w:val="FootnoteReference"/>
          <w:rFonts w:ascii="Times New Roman" w:hAnsi="Times New Roman" w:cs="Times New Roman"/>
          <w:sz w:val="16"/>
          <w:szCs w:val="16"/>
        </w:rPr>
        <w:footnoteRef/>
      </w:r>
      <w:r w:rsidRPr="0071728B">
        <w:rPr>
          <w:rFonts w:ascii="Times New Roman" w:hAnsi="Times New Roman" w:cs="Times New Roman"/>
          <w:sz w:val="16"/>
          <w:szCs w:val="16"/>
        </w:rPr>
        <w:t xml:space="preserve"> </w:t>
      </w:r>
      <w:r w:rsidRPr="0071728B">
        <w:rPr>
          <w:rFonts w:ascii="Times New Roman" w:hAnsi="Times New Roman" w:cs="Times New Roman"/>
          <w:sz w:val="16"/>
          <w:szCs w:val="16"/>
          <w:lang w:val="en-GB"/>
        </w:rPr>
        <w:t>Explanatory Memorandum</w:t>
      </w:r>
      <w:r w:rsidR="003D432E">
        <w:rPr>
          <w:rFonts w:ascii="Times New Roman" w:hAnsi="Times New Roman" w:cs="Times New Roman"/>
          <w:sz w:val="16"/>
          <w:szCs w:val="16"/>
          <w:lang w:val="en-GB"/>
        </w:rPr>
        <w:t>, 2021</w:t>
      </w:r>
      <w:r w:rsidR="0071728B" w:rsidRPr="0071728B">
        <w:rPr>
          <w:rFonts w:ascii="Times New Roman" w:hAnsi="Times New Roman" w:cs="Times New Roman"/>
          <w:sz w:val="16"/>
          <w:szCs w:val="16"/>
          <w:lang w:val="en-GB"/>
        </w:rPr>
        <w:t>, p. 3,</w:t>
      </w:r>
      <w:r w:rsidRPr="0071728B">
        <w:rPr>
          <w:rFonts w:ascii="Times New Roman" w:hAnsi="Times New Roman" w:cs="Times New Roman"/>
          <w:sz w:val="16"/>
          <w:szCs w:val="16"/>
          <w:lang w:val="en-GB"/>
        </w:rPr>
        <w:t xml:space="preserve"> </w:t>
      </w:r>
      <w:hyperlink r:id="rId6" w:history="1">
        <w:r w:rsidR="0071728B" w:rsidRPr="0071728B">
          <w:rPr>
            <w:rStyle w:val="Hyperlink"/>
            <w:rFonts w:ascii="Times New Roman" w:hAnsi="Times New Roman" w:cs="Times New Roman"/>
            <w:sz w:val="16"/>
            <w:szCs w:val="16"/>
            <w:lang w:val="en-GB"/>
          </w:rPr>
          <w:t>https://www.tweedekamer.nl/downloads/document?id=2ee6c4a6-97a4-4330-a04f-330bd2222268&amp;title=Memorie%20van%20toelichting.pdf</w:t>
        </w:r>
      </w:hyperlink>
      <w:r w:rsidR="0071728B" w:rsidRPr="0071728B">
        <w:rPr>
          <w:rFonts w:ascii="Times New Roman" w:hAnsi="Times New Roman" w:cs="Times New Roman"/>
          <w:sz w:val="16"/>
          <w:szCs w:val="16"/>
          <w:lang w:val="en-GB"/>
        </w:rPr>
        <w:t xml:space="preserve"> </w:t>
      </w:r>
    </w:p>
  </w:footnote>
  <w:footnote w:id="10">
    <w:p w14:paraId="4D430307" w14:textId="37966E9D" w:rsidR="0071728B" w:rsidRPr="0071728B" w:rsidRDefault="0071728B">
      <w:pPr>
        <w:pStyle w:val="FootnoteText"/>
        <w:rPr>
          <w:rFonts w:ascii="Times New Roman" w:hAnsi="Times New Roman" w:cs="Times New Roman"/>
          <w:sz w:val="16"/>
          <w:szCs w:val="16"/>
        </w:rPr>
      </w:pPr>
      <w:r w:rsidRPr="0071728B">
        <w:rPr>
          <w:rStyle w:val="FootnoteReference"/>
          <w:rFonts w:ascii="Times New Roman" w:hAnsi="Times New Roman" w:cs="Times New Roman"/>
          <w:sz w:val="16"/>
          <w:szCs w:val="16"/>
        </w:rPr>
        <w:footnoteRef/>
      </w:r>
      <w:r w:rsidRPr="0071728B">
        <w:rPr>
          <w:rFonts w:ascii="Times New Roman" w:hAnsi="Times New Roman" w:cs="Times New Roman"/>
          <w:sz w:val="16"/>
          <w:szCs w:val="16"/>
        </w:rPr>
        <w:t xml:space="preserve"> CTIVD, Toezichtsrapport. Over het handelen van de AIVD in het kader van intrekking van het Nederlanderschap in het belang van de nationale veiligheid, 2020, p. 10, </w:t>
      </w:r>
      <w:hyperlink r:id="rId7" w:history="1">
        <w:r w:rsidRPr="0071728B">
          <w:rPr>
            <w:rStyle w:val="Hyperlink"/>
            <w:rFonts w:ascii="Times New Roman" w:hAnsi="Times New Roman" w:cs="Times New Roman"/>
            <w:sz w:val="16"/>
            <w:szCs w:val="16"/>
          </w:rPr>
          <w:t>https://www.rijksoverheid.nl/documenten/kamerstukken/2020/06/16/aanbieding-ctivd-rapport-intrekking-nederlanderschap</w:t>
        </w:r>
      </w:hyperlink>
    </w:p>
  </w:footnote>
  <w:footnote w:id="11">
    <w:p w14:paraId="1AB74FD2" w14:textId="29F6AF9B" w:rsidR="0071728B" w:rsidRPr="0071728B" w:rsidRDefault="0071728B">
      <w:pPr>
        <w:pStyle w:val="FootnoteText"/>
      </w:pPr>
      <w:r w:rsidRPr="0071728B">
        <w:rPr>
          <w:rStyle w:val="FootnoteReference"/>
          <w:rFonts w:ascii="Times New Roman" w:hAnsi="Times New Roman" w:cs="Times New Roman"/>
          <w:sz w:val="16"/>
          <w:szCs w:val="16"/>
        </w:rPr>
        <w:footnoteRef/>
      </w:r>
      <w:r w:rsidRPr="0071728B">
        <w:rPr>
          <w:rFonts w:ascii="Times New Roman" w:hAnsi="Times New Roman" w:cs="Times New Roman"/>
          <w:sz w:val="16"/>
          <w:szCs w:val="16"/>
        </w:rPr>
        <w:t xml:space="preserve"> WODC, Evaluatie wijziging van de Rijkswet op het Nederlanderschap in het belang van de nationale veiligheid, 2020, </w:t>
      </w:r>
      <w:hyperlink r:id="rId8" w:history="1">
        <w:r w:rsidRPr="0071728B">
          <w:rPr>
            <w:rStyle w:val="Hyperlink"/>
            <w:rFonts w:ascii="Times New Roman" w:hAnsi="Times New Roman" w:cs="Times New Roman"/>
            <w:sz w:val="16"/>
            <w:szCs w:val="16"/>
          </w:rPr>
          <w:t>https://www.wodc.nl/onderzoeksdatabase/3107-evaluatie-wijziging-vande-rijkswet-op-het-nederlanderschap-in-het-belang-van-de-nationale-veiligheid.aspx</w:t>
        </w:r>
      </w:hyperlink>
    </w:p>
  </w:footnote>
  <w:footnote w:id="12">
    <w:p w14:paraId="26D1B6B6" w14:textId="2D715A86" w:rsidR="00854473" w:rsidRPr="003D432E" w:rsidRDefault="00854473">
      <w:pPr>
        <w:pStyle w:val="FootnoteText"/>
        <w:rPr>
          <w:rFonts w:ascii="Times New Roman" w:hAnsi="Times New Roman" w:cs="Times New Roman"/>
          <w:sz w:val="16"/>
          <w:szCs w:val="16"/>
        </w:rPr>
      </w:pPr>
      <w:r w:rsidRPr="003D432E">
        <w:rPr>
          <w:rStyle w:val="FootnoteReference"/>
          <w:rFonts w:ascii="Times New Roman" w:hAnsi="Times New Roman" w:cs="Times New Roman"/>
          <w:sz w:val="16"/>
          <w:szCs w:val="16"/>
        </w:rPr>
        <w:footnoteRef/>
      </w:r>
      <w:r w:rsidR="003D432E" w:rsidRPr="003D432E">
        <w:rPr>
          <w:rFonts w:ascii="Times New Roman" w:hAnsi="Times New Roman" w:cs="Times New Roman"/>
          <w:sz w:val="16"/>
          <w:szCs w:val="16"/>
        </w:rPr>
        <w:t xml:space="preserve"> Memorandum in response to the Report, 2021, p. 14, </w:t>
      </w:r>
      <w:hyperlink r:id="rId9" w:history="1">
        <w:r w:rsidR="003D432E" w:rsidRPr="003D432E">
          <w:rPr>
            <w:rStyle w:val="Hyperlink"/>
            <w:rFonts w:ascii="Times New Roman" w:hAnsi="Times New Roman" w:cs="Times New Roman"/>
            <w:sz w:val="16"/>
            <w:szCs w:val="16"/>
          </w:rPr>
          <w:t>https://www.tweedekamer.nl/downloads/document?id=87ce86ac-b21b-421b-a051-de5834f10bbc&amp;title=Nota%20naar%20aanleiding%20van%20het%20verslag.doc</w:t>
        </w:r>
      </w:hyperlink>
      <w:r w:rsidR="003D432E" w:rsidRPr="003D432E">
        <w:rPr>
          <w:rFonts w:ascii="Times New Roman" w:hAnsi="Times New Roman" w:cs="Times New Roman"/>
          <w:sz w:val="16"/>
          <w:szCs w:val="16"/>
        </w:rPr>
        <w:t xml:space="preserve"> </w:t>
      </w:r>
    </w:p>
  </w:footnote>
  <w:footnote w:id="13">
    <w:p w14:paraId="2F5473D7" w14:textId="45231F4F" w:rsidR="003D432E" w:rsidRPr="003D432E" w:rsidRDefault="003D432E">
      <w:pPr>
        <w:pStyle w:val="FootnoteText"/>
        <w:rPr>
          <w:rFonts w:ascii="Times New Roman" w:hAnsi="Times New Roman" w:cs="Times New Roman"/>
          <w:sz w:val="16"/>
          <w:szCs w:val="16"/>
        </w:rPr>
      </w:pPr>
      <w:r w:rsidRPr="003D432E">
        <w:rPr>
          <w:rStyle w:val="FootnoteReference"/>
          <w:rFonts w:ascii="Times New Roman" w:hAnsi="Times New Roman" w:cs="Times New Roman"/>
          <w:sz w:val="16"/>
          <w:szCs w:val="16"/>
        </w:rPr>
        <w:footnoteRef/>
      </w:r>
      <w:r w:rsidRPr="003D432E">
        <w:rPr>
          <w:rFonts w:ascii="Times New Roman" w:hAnsi="Times New Roman" w:cs="Times New Roman"/>
          <w:sz w:val="16"/>
          <w:szCs w:val="16"/>
        </w:rPr>
        <w:t xml:space="preserve"> Memorandum in response to the Report, 2021, p. 15, </w:t>
      </w:r>
      <w:hyperlink r:id="rId10" w:history="1">
        <w:r w:rsidRPr="003D432E">
          <w:rPr>
            <w:rStyle w:val="Hyperlink"/>
            <w:rFonts w:ascii="Times New Roman" w:hAnsi="Times New Roman" w:cs="Times New Roman"/>
            <w:sz w:val="16"/>
            <w:szCs w:val="16"/>
          </w:rPr>
          <w:t>https://www.tweedekamer.nl/downloads/document?id=87ce86ac-b21b-421b-a051-de5834f10bbc&amp;title=Nota%20naar%20aanleiding%20van%20het%20verslag.doc</w:t>
        </w:r>
      </w:hyperlink>
      <w:r w:rsidRPr="003D432E">
        <w:rPr>
          <w:rFonts w:ascii="Times New Roman" w:hAnsi="Times New Roman" w:cs="Times New Roman"/>
          <w:sz w:val="16"/>
          <w:szCs w:val="16"/>
        </w:rPr>
        <w:t xml:space="preserve"> </w:t>
      </w:r>
    </w:p>
  </w:footnote>
  <w:footnote w:id="14">
    <w:p w14:paraId="043E7E99" w14:textId="4CA61E6B" w:rsidR="003D432E" w:rsidRPr="003D432E" w:rsidRDefault="003D432E">
      <w:pPr>
        <w:pStyle w:val="FootnoteText"/>
      </w:pPr>
      <w:r w:rsidRPr="003D432E">
        <w:rPr>
          <w:rStyle w:val="FootnoteReference"/>
          <w:rFonts w:ascii="Times New Roman" w:hAnsi="Times New Roman" w:cs="Times New Roman"/>
          <w:sz w:val="16"/>
          <w:szCs w:val="16"/>
        </w:rPr>
        <w:footnoteRef/>
      </w:r>
      <w:r w:rsidRPr="003D432E">
        <w:rPr>
          <w:rFonts w:ascii="Times New Roman" w:hAnsi="Times New Roman" w:cs="Times New Roman"/>
          <w:sz w:val="16"/>
          <w:szCs w:val="16"/>
        </w:rPr>
        <w:t xml:space="preserve"> Memorandum in response to the Report, 2021, p. 15, </w:t>
      </w:r>
      <w:hyperlink r:id="rId11" w:history="1">
        <w:r w:rsidRPr="003D432E">
          <w:rPr>
            <w:rStyle w:val="Hyperlink"/>
            <w:rFonts w:ascii="Times New Roman" w:hAnsi="Times New Roman" w:cs="Times New Roman"/>
            <w:sz w:val="16"/>
            <w:szCs w:val="16"/>
          </w:rPr>
          <w:t>https://www.tweedekamer.nl/downloads/document?id=87ce86ac-b21b-421b-a051-de5834f10bbc&amp;title=Nota%20naar%20aanleiding%20van%20het%20verslag.doc</w:t>
        </w:r>
      </w:hyperlink>
      <w:r>
        <w:t xml:space="preserve"> </w:t>
      </w:r>
    </w:p>
  </w:footnote>
  <w:footnote w:id="15">
    <w:p w14:paraId="574211BB" w14:textId="6EA973FA" w:rsidR="00DE7C85" w:rsidRPr="003E4E21" w:rsidRDefault="00DE7C85">
      <w:pPr>
        <w:pStyle w:val="FootnoteText"/>
        <w:rPr>
          <w:rFonts w:ascii="Times New Roman" w:hAnsi="Times New Roman" w:cs="Times New Roman"/>
          <w:lang w:val="en-GB"/>
        </w:rPr>
      </w:pPr>
      <w:r w:rsidRPr="003E4E21">
        <w:rPr>
          <w:rStyle w:val="FootnoteReference"/>
          <w:rFonts w:ascii="Times New Roman" w:hAnsi="Times New Roman" w:cs="Times New Roman"/>
          <w:sz w:val="16"/>
          <w:szCs w:val="16"/>
        </w:rPr>
        <w:footnoteRef/>
      </w:r>
      <w:r w:rsidRPr="003E4E21">
        <w:rPr>
          <w:rFonts w:ascii="Times New Roman" w:hAnsi="Times New Roman" w:cs="Times New Roman"/>
          <w:sz w:val="16"/>
          <w:szCs w:val="16"/>
        </w:rPr>
        <w:t xml:space="preserve"> </w:t>
      </w:r>
      <w:r w:rsidR="00215B79">
        <w:rPr>
          <w:rFonts w:ascii="Times New Roman" w:hAnsi="Times New Roman" w:cs="Times New Roman"/>
          <w:sz w:val="16"/>
          <w:szCs w:val="16"/>
        </w:rPr>
        <w:t xml:space="preserve">Article 3 CRC; </w:t>
      </w:r>
      <w:r w:rsidRPr="003E4E21">
        <w:rPr>
          <w:rFonts w:ascii="Times New Roman" w:hAnsi="Times New Roman" w:cs="Times New Roman"/>
          <w:i/>
          <w:iCs/>
          <w:sz w:val="16"/>
          <w:szCs w:val="16"/>
          <w:lang w:val="en-GB"/>
        </w:rPr>
        <w:t>Principles on Deprivation of Nationality as a National Security Measure</w:t>
      </w:r>
      <w:r w:rsidRPr="003E4E21">
        <w:rPr>
          <w:rFonts w:ascii="Times New Roman" w:hAnsi="Times New Roman" w:cs="Times New Roman"/>
          <w:sz w:val="16"/>
          <w:szCs w:val="16"/>
          <w:lang w:val="en-GB"/>
        </w:rPr>
        <w:t xml:space="preserve">, Principle 9.7.4, </w:t>
      </w:r>
      <w:hyperlink r:id="rId12" w:history="1">
        <w:r w:rsidR="007631E9" w:rsidRPr="003E4E21">
          <w:rPr>
            <w:rStyle w:val="Hyperlink"/>
            <w:rFonts w:ascii="Times New Roman" w:hAnsi="Times New Roman" w:cs="Times New Roman"/>
            <w:sz w:val="16"/>
            <w:szCs w:val="16"/>
            <w:lang w:val="en-GB"/>
          </w:rPr>
          <w:t>https://files.institutesi.org/PRINCIPLES.pdf</w:t>
        </w:r>
      </w:hyperlink>
      <w:r w:rsidR="007631E9" w:rsidRPr="003E4E21">
        <w:rPr>
          <w:rFonts w:ascii="Times New Roman" w:hAnsi="Times New Roman" w:cs="Times New Roman"/>
          <w:sz w:val="16"/>
          <w:szCs w:val="16"/>
          <w:lang w:val="en-GB"/>
        </w:rPr>
        <w:t xml:space="preserve"> </w:t>
      </w:r>
    </w:p>
  </w:footnote>
  <w:footnote w:id="16">
    <w:p w14:paraId="227BEA79" w14:textId="0261BE0A" w:rsidR="00D040D8" w:rsidRPr="0071728B" w:rsidRDefault="00533B95" w:rsidP="00D040D8">
      <w:pPr>
        <w:pStyle w:val="FootnoteText"/>
        <w:rPr>
          <w:rFonts w:ascii="Times New Roman" w:hAnsi="Times New Roman" w:cs="Times New Roman"/>
        </w:rPr>
      </w:pPr>
      <w:r w:rsidRPr="003E4E21">
        <w:rPr>
          <w:rStyle w:val="FootnoteReference"/>
          <w:rFonts w:ascii="Times New Roman" w:hAnsi="Times New Roman" w:cs="Times New Roman"/>
          <w:sz w:val="16"/>
          <w:szCs w:val="16"/>
        </w:rPr>
        <w:footnoteRef/>
      </w:r>
      <w:r w:rsidRPr="003E4E21">
        <w:rPr>
          <w:rFonts w:ascii="Times New Roman" w:hAnsi="Times New Roman" w:cs="Times New Roman"/>
          <w:sz w:val="16"/>
          <w:szCs w:val="16"/>
        </w:rPr>
        <w:t xml:space="preserve"> </w:t>
      </w:r>
      <w:r w:rsidR="005B3441" w:rsidRPr="003E4E21">
        <w:rPr>
          <w:rFonts w:ascii="Times New Roman" w:hAnsi="Times New Roman" w:cs="Times New Roman"/>
          <w:sz w:val="16"/>
          <w:szCs w:val="16"/>
          <w:lang w:val="en-GB"/>
        </w:rPr>
        <w:t>Meijers Committee, Policy brief on ‘Differential treatment of citizens with dual or multiple nationality and the prohibition of discrimination’ (CM2016)</w:t>
      </w:r>
      <w:r w:rsidR="00FD5A18">
        <w:rPr>
          <w:rFonts w:ascii="Times New Roman" w:hAnsi="Times New Roman" w:cs="Times New Roman"/>
          <w:sz w:val="16"/>
          <w:szCs w:val="16"/>
          <w:lang w:val="en-GB"/>
        </w:rPr>
        <w:t>,</w:t>
      </w:r>
      <w:r w:rsidR="005B3441" w:rsidRPr="003E4E21">
        <w:rPr>
          <w:rFonts w:ascii="Times New Roman" w:hAnsi="Times New Roman" w:cs="Times New Roman"/>
          <w:sz w:val="16"/>
          <w:szCs w:val="16"/>
          <w:lang w:val="en-GB"/>
        </w:rPr>
        <w:t xml:space="preserve"> </w:t>
      </w:r>
      <w:r w:rsidR="00E9225F" w:rsidRPr="003E4E21">
        <w:rPr>
          <w:rFonts w:ascii="Times New Roman" w:hAnsi="Times New Roman" w:cs="Times New Roman"/>
          <w:sz w:val="16"/>
          <w:szCs w:val="16"/>
          <w:lang w:val="en-GB"/>
        </w:rPr>
        <w:t xml:space="preserve">6 December 2020, </w:t>
      </w:r>
      <w:hyperlink r:id="rId13" w:history="1">
        <w:r w:rsidR="00E9225F" w:rsidRPr="003E4E21">
          <w:rPr>
            <w:rStyle w:val="Hyperlink"/>
            <w:rFonts w:ascii="Times New Roman" w:hAnsi="Times New Roman" w:cs="Times New Roman"/>
            <w:sz w:val="16"/>
            <w:szCs w:val="16"/>
            <w:lang w:val="en-GB"/>
          </w:rPr>
          <w:t>https://www.commissie-meijers.nl/wp-content/uploads/2020/12/cm2016_policy_brief_on_differential_treatment_of_citizens_with_dual_or_multiple_nationality_and_the_prohibition_of_discrimination.pdf</w:t>
        </w:r>
      </w:hyperlink>
      <w:r w:rsidR="00E9225F" w:rsidRPr="003E4E21">
        <w:rPr>
          <w:rFonts w:ascii="Times New Roman" w:hAnsi="Times New Roman" w:cs="Times New Roman"/>
          <w:sz w:val="16"/>
          <w:szCs w:val="16"/>
          <w:lang w:val="en-GB"/>
        </w:rPr>
        <w:t>;</w:t>
      </w:r>
      <w:r w:rsidR="00D040D8">
        <w:rPr>
          <w:rFonts w:ascii="Times New Roman" w:hAnsi="Times New Roman" w:cs="Times New Roman"/>
          <w:sz w:val="16"/>
          <w:szCs w:val="16"/>
          <w:lang w:val="en-GB"/>
        </w:rPr>
        <w:t xml:space="preserve"> ISI, </w:t>
      </w:r>
      <w:r w:rsidR="00FD5A18">
        <w:rPr>
          <w:rFonts w:ascii="Times New Roman" w:hAnsi="Times New Roman" w:cs="Times New Roman"/>
          <w:sz w:val="16"/>
          <w:szCs w:val="16"/>
          <w:lang w:val="en-GB"/>
        </w:rPr>
        <w:t xml:space="preserve">Briefing: Deprivation of Nationality as a National Security Measure in the Netherlands, 2021, </w:t>
      </w:r>
      <w:hyperlink r:id="rId14" w:history="1">
        <w:r w:rsidR="00FD5A18" w:rsidRPr="00FD5A18">
          <w:rPr>
            <w:rStyle w:val="Hyperlink"/>
            <w:rFonts w:ascii="Times New Roman" w:hAnsi="Times New Roman" w:cs="Times New Roman"/>
            <w:sz w:val="16"/>
            <w:szCs w:val="16"/>
          </w:rPr>
          <w:t>https://files.institutesi.org/Deprivation_of_Nationality_the_Netherlands.pdf</w:t>
        </w:r>
      </w:hyperlink>
      <w:r w:rsidR="00D040D8" w:rsidRPr="0071728B">
        <w:rPr>
          <w:rFonts w:ascii="Times New Roman" w:hAnsi="Times New Roman" w:cs="Times New Roman"/>
        </w:rPr>
        <w:t xml:space="preserve"> </w:t>
      </w:r>
    </w:p>
    <w:p w14:paraId="41A39556" w14:textId="06DEED64" w:rsidR="00533B95" w:rsidRPr="003E4E21" w:rsidRDefault="00D040D8" w:rsidP="00E9225F">
      <w:pPr>
        <w:pStyle w:val="FootnoteText"/>
        <w:rPr>
          <w:rFonts w:ascii="Times New Roman" w:hAnsi="Times New Roman" w:cs="Times New Roman"/>
          <w:sz w:val="16"/>
          <w:szCs w:val="16"/>
        </w:rPr>
      </w:pPr>
      <w:r w:rsidRPr="00D040D8">
        <w:rPr>
          <w:rFonts w:ascii="Times New Roman" w:hAnsi="Times New Roman" w:cs="Times New Roman"/>
          <w:sz w:val="16"/>
          <w:szCs w:val="16"/>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05100"/>
    <w:multiLevelType w:val="multilevel"/>
    <w:tmpl w:val="19A08C14"/>
    <w:lvl w:ilvl="0">
      <w:start w:val="1"/>
      <w:numFmt w:val="decimal"/>
      <w:lvlText w:val="%1."/>
      <w:lvlJc w:val="left"/>
      <w:pPr>
        <w:tabs>
          <w:tab w:val="num" w:pos="720"/>
        </w:tabs>
        <w:ind w:left="720" w:hanging="360"/>
      </w:pPr>
      <w:rPr>
        <w:rFonts w:ascii="Times New Roman" w:hAnsi="Times New Roman" w:cs="Times New Roman" w:hint="default"/>
        <w:b w:val="0"/>
        <w:bCs w:val="0"/>
        <w:i w:val="0"/>
        <w:iCs w:val="0"/>
        <w:color w:val="auto"/>
        <w:sz w:val="22"/>
        <w:szCs w:val="22"/>
      </w:rPr>
    </w:lvl>
    <w:lvl w:ilvl="1">
      <w:start w:val="1"/>
      <w:numFmt w:val="bullet"/>
      <w:lvlText w:val=""/>
      <w:lvlJc w:val="left"/>
      <w:pPr>
        <w:ind w:left="1440" w:hanging="1156"/>
      </w:pPr>
      <w:rPr>
        <w:rFonts w:ascii="Symbol" w:hAnsi="Symbol" w:hint="default"/>
      </w:rPr>
    </w:lvl>
    <w:lvl w:ilvl="2">
      <w:start w:val="1"/>
      <w:numFmt w:val="upperRoman"/>
      <w:lvlText w:val="%3."/>
      <w:lvlJc w:val="right"/>
      <w:pPr>
        <w:ind w:left="2160" w:hanging="360"/>
      </w:pPr>
      <w:rPr>
        <w:rFonts w:ascii="Times New Roman" w:hAnsi="Times New Roman" w:cs="Times New Roman" w:hint="default"/>
        <w:strike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DE1E48"/>
    <w:multiLevelType w:val="hybridMultilevel"/>
    <w:tmpl w:val="AEB284B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6AA"/>
    <w:rsid w:val="0006619E"/>
    <w:rsid w:val="000A0EC4"/>
    <w:rsid w:val="000B2504"/>
    <w:rsid w:val="000C3210"/>
    <w:rsid w:val="001554CF"/>
    <w:rsid w:val="00184BD0"/>
    <w:rsid w:val="00197299"/>
    <w:rsid w:val="001E789A"/>
    <w:rsid w:val="00215B79"/>
    <w:rsid w:val="00223C21"/>
    <w:rsid w:val="00263DAC"/>
    <w:rsid w:val="00271B45"/>
    <w:rsid w:val="00336997"/>
    <w:rsid w:val="003B71D4"/>
    <w:rsid w:val="003D432E"/>
    <w:rsid w:val="003E4E21"/>
    <w:rsid w:val="00533B95"/>
    <w:rsid w:val="005B3441"/>
    <w:rsid w:val="005B4BAE"/>
    <w:rsid w:val="006755A2"/>
    <w:rsid w:val="0071728B"/>
    <w:rsid w:val="007631E9"/>
    <w:rsid w:val="007A5493"/>
    <w:rsid w:val="007D071B"/>
    <w:rsid w:val="00810925"/>
    <w:rsid w:val="00854473"/>
    <w:rsid w:val="00902BE6"/>
    <w:rsid w:val="00925BC4"/>
    <w:rsid w:val="00950B4E"/>
    <w:rsid w:val="009567D9"/>
    <w:rsid w:val="00964E5D"/>
    <w:rsid w:val="009C416A"/>
    <w:rsid w:val="00A02B4F"/>
    <w:rsid w:val="00A87A63"/>
    <w:rsid w:val="00AA2F7C"/>
    <w:rsid w:val="00AF3825"/>
    <w:rsid w:val="00C30814"/>
    <w:rsid w:val="00CA060D"/>
    <w:rsid w:val="00CA35A9"/>
    <w:rsid w:val="00CB1B5A"/>
    <w:rsid w:val="00D040D8"/>
    <w:rsid w:val="00D15A77"/>
    <w:rsid w:val="00D32526"/>
    <w:rsid w:val="00D424F2"/>
    <w:rsid w:val="00D46811"/>
    <w:rsid w:val="00D746AA"/>
    <w:rsid w:val="00D97B08"/>
    <w:rsid w:val="00DE7C85"/>
    <w:rsid w:val="00E9225F"/>
    <w:rsid w:val="00F7718C"/>
    <w:rsid w:val="00F8207E"/>
    <w:rsid w:val="00FA599C"/>
    <w:rsid w:val="00FA7E57"/>
    <w:rsid w:val="00FD5A18"/>
    <w:rsid w:val="00FE756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9097E"/>
  <w15:chartTrackingRefBased/>
  <w15:docId w15:val="{6F8D7682-B223-4A38-9027-DFD413651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6AA"/>
    <w:pPr>
      <w:spacing w:after="0" w:line="240" w:lineRule="auto"/>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46AA"/>
    <w:pPr>
      <w:tabs>
        <w:tab w:val="center" w:pos="4513"/>
        <w:tab w:val="right" w:pos="9026"/>
      </w:tabs>
    </w:pPr>
  </w:style>
  <w:style w:type="character" w:customStyle="1" w:styleId="HeaderChar">
    <w:name w:val="Header Char"/>
    <w:basedOn w:val="DefaultParagraphFont"/>
    <w:link w:val="Header"/>
    <w:uiPriority w:val="99"/>
    <w:rsid w:val="00D746AA"/>
    <w:rPr>
      <w:sz w:val="24"/>
      <w:szCs w:val="24"/>
      <w:lang w:val="it-IT"/>
    </w:rPr>
  </w:style>
  <w:style w:type="paragraph" w:styleId="Footer">
    <w:name w:val="footer"/>
    <w:basedOn w:val="Normal"/>
    <w:link w:val="FooterChar"/>
    <w:uiPriority w:val="99"/>
    <w:unhideWhenUsed/>
    <w:rsid w:val="00D746AA"/>
    <w:pPr>
      <w:tabs>
        <w:tab w:val="center" w:pos="4513"/>
        <w:tab w:val="right" w:pos="9026"/>
      </w:tabs>
    </w:pPr>
  </w:style>
  <w:style w:type="character" w:customStyle="1" w:styleId="FooterChar">
    <w:name w:val="Footer Char"/>
    <w:basedOn w:val="DefaultParagraphFont"/>
    <w:link w:val="Footer"/>
    <w:uiPriority w:val="99"/>
    <w:rsid w:val="00D746AA"/>
    <w:rPr>
      <w:sz w:val="24"/>
      <w:szCs w:val="24"/>
      <w:lang w:val="it-IT"/>
    </w:rPr>
  </w:style>
  <w:style w:type="paragraph" w:styleId="ListParagraph">
    <w:name w:val="List Paragraph"/>
    <w:basedOn w:val="Normal"/>
    <w:uiPriority w:val="34"/>
    <w:qFormat/>
    <w:rsid w:val="00CA060D"/>
    <w:pPr>
      <w:ind w:left="720"/>
      <w:contextualSpacing/>
    </w:pPr>
  </w:style>
  <w:style w:type="character" w:styleId="Hyperlink">
    <w:name w:val="Hyperlink"/>
    <w:basedOn w:val="DefaultParagraphFont"/>
    <w:uiPriority w:val="99"/>
    <w:unhideWhenUsed/>
    <w:rsid w:val="00925BC4"/>
    <w:rPr>
      <w:color w:val="0563C1" w:themeColor="hyperlink"/>
      <w:u w:val="single"/>
    </w:rPr>
  </w:style>
  <w:style w:type="character" w:customStyle="1" w:styleId="UnresolvedMention">
    <w:name w:val="Unresolved Mention"/>
    <w:basedOn w:val="DefaultParagraphFont"/>
    <w:uiPriority w:val="99"/>
    <w:semiHidden/>
    <w:unhideWhenUsed/>
    <w:rsid w:val="00925BC4"/>
    <w:rPr>
      <w:color w:val="605E5C"/>
      <w:shd w:val="clear" w:color="auto" w:fill="E1DFDD"/>
    </w:rPr>
  </w:style>
  <w:style w:type="paragraph" w:styleId="FootnoteText">
    <w:name w:val="footnote text"/>
    <w:basedOn w:val="Normal"/>
    <w:link w:val="FootnoteTextChar"/>
    <w:uiPriority w:val="99"/>
    <w:unhideWhenUsed/>
    <w:rsid w:val="00D32526"/>
    <w:rPr>
      <w:sz w:val="20"/>
      <w:szCs w:val="20"/>
    </w:rPr>
  </w:style>
  <w:style w:type="character" w:customStyle="1" w:styleId="FootnoteTextChar">
    <w:name w:val="Footnote Text Char"/>
    <w:basedOn w:val="DefaultParagraphFont"/>
    <w:link w:val="FootnoteText"/>
    <w:uiPriority w:val="99"/>
    <w:rsid w:val="00D32526"/>
    <w:rPr>
      <w:sz w:val="20"/>
      <w:szCs w:val="20"/>
      <w:lang w:val="it-IT"/>
    </w:rPr>
  </w:style>
  <w:style w:type="character" w:styleId="FootnoteReference">
    <w:name w:val="footnote reference"/>
    <w:basedOn w:val="DefaultParagraphFont"/>
    <w:uiPriority w:val="99"/>
    <w:unhideWhenUsed/>
    <w:rsid w:val="00D32526"/>
    <w:rPr>
      <w:vertAlign w:val="superscript"/>
    </w:rPr>
  </w:style>
  <w:style w:type="paragraph" w:styleId="NormalWeb">
    <w:name w:val="Normal (Web)"/>
    <w:basedOn w:val="Normal"/>
    <w:uiPriority w:val="99"/>
    <w:semiHidden/>
    <w:unhideWhenUsed/>
    <w:rsid w:val="00D32526"/>
    <w:rPr>
      <w:rFonts w:ascii="Times New Roman" w:hAnsi="Times New Roman" w:cs="Times New Roman"/>
    </w:rPr>
  </w:style>
  <w:style w:type="character" w:styleId="CommentReference">
    <w:name w:val="annotation reference"/>
    <w:basedOn w:val="DefaultParagraphFont"/>
    <w:uiPriority w:val="99"/>
    <w:semiHidden/>
    <w:unhideWhenUsed/>
    <w:rsid w:val="0006619E"/>
    <w:rPr>
      <w:sz w:val="16"/>
      <w:szCs w:val="16"/>
    </w:rPr>
  </w:style>
  <w:style w:type="paragraph" w:styleId="CommentText">
    <w:name w:val="annotation text"/>
    <w:basedOn w:val="Normal"/>
    <w:link w:val="CommentTextChar"/>
    <w:uiPriority w:val="99"/>
    <w:unhideWhenUsed/>
    <w:rsid w:val="0006619E"/>
    <w:rPr>
      <w:sz w:val="20"/>
      <w:szCs w:val="20"/>
    </w:rPr>
  </w:style>
  <w:style w:type="character" w:customStyle="1" w:styleId="CommentTextChar">
    <w:name w:val="Comment Text Char"/>
    <w:basedOn w:val="DefaultParagraphFont"/>
    <w:link w:val="CommentText"/>
    <w:uiPriority w:val="99"/>
    <w:rsid w:val="0006619E"/>
    <w:rPr>
      <w:sz w:val="20"/>
      <w:szCs w:val="20"/>
      <w:lang w:val="it-IT"/>
    </w:rPr>
  </w:style>
  <w:style w:type="paragraph" w:styleId="CommentSubject">
    <w:name w:val="annotation subject"/>
    <w:basedOn w:val="CommentText"/>
    <w:next w:val="CommentText"/>
    <w:link w:val="CommentSubjectChar"/>
    <w:uiPriority w:val="99"/>
    <w:semiHidden/>
    <w:unhideWhenUsed/>
    <w:rsid w:val="0006619E"/>
    <w:rPr>
      <w:b/>
      <w:bCs/>
    </w:rPr>
  </w:style>
  <w:style w:type="character" w:customStyle="1" w:styleId="CommentSubjectChar">
    <w:name w:val="Comment Subject Char"/>
    <w:basedOn w:val="CommentTextChar"/>
    <w:link w:val="CommentSubject"/>
    <w:uiPriority w:val="99"/>
    <w:semiHidden/>
    <w:rsid w:val="0006619E"/>
    <w:rPr>
      <w:b/>
      <w:bCs/>
      <w:sz w:val="20"/>
      <w:szCs w:val="20"/>
      <w:lang w:val="it-IT"/>
    </w:rPr>
  </w:style>
  <w:style w:type="paragraph" w:styleId="Revision">
    <w:name w:val="Revision"/>
    <w:hidden/>
    <w:uiPriority w:val="99"/>
    <w:semiHidden/>
    <w:rsid w:val="000A0EC4"/>
    <w:pPr>
      <w:spacing w:after="0" w:line="240" w:lineRule="auto"/>
    </w:pPr>
    <w:rPr>
      <w:sz w:val="24"/>
      <w:szCs w:val="24"/>
      <w:lang w:val="it-IT"/>
    </w:rPr>
  </w:style>
  <w:style w:type="character" w:styleId="FollowedHyperlink">
    <w:name w:val="FollowedHyperlink"/>
    <w:basedOn w:val="DefaultParagraphFont"/>
    <w:uiPriority w:val="99"/>
    <w:semiHidden/>
    <w:unhideWhenUsed/>
    <w:rsid w:val="00D97B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735686">
      <w:bodyDiv w:val="1"/>
      <w:marLeft w:val="0"/>
      <w:marRight w:val="0"/>
      <w:marTop w:val="0"/>
      <w:marBottom w:val="0"/>
      <w:divBdr>
        <w:top w:val="none" w:sz="0" w:space="0" w:color="auto"/>
        <w:left w:val="none" w:sz="0" w:space="0" w:color="auto"/>
        <w:bottom w:val="none" w:sz="0" w:space="0" w:color="auto"/>
        <w:right w:val="none" w:sz="0" w:space="0" w:color="auto"/>
      </w:divBdr>
    </w:div>
    <w:div w:id="166897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wodc.nl/onderzoeksdatabase/3107-evaluatie-wijziging-vande-rijkswet-op-het-nederlanderschap-in-het-belang-van-de-nationale-veiligheid.aspx" TargetMode="External"/><Relationship Id="rId13" Type="http://schemas.openxmlformats.org/officeDocument/2006/relationships/hyperlink" Target="https://www.commissie-meijers.nl/wp-content/uploads/2020/12/cm2016_policy_brief_on_differential_treatment_of_citizens_with_dual_or_multiple_nationality_and_the_prohibition_of_discrimination.pdf" TargetMode="External"/><Relationship Id="rId3" Type="http://schemas.openxmlformats.org/officeDocument/2006/relationships/hyperlink" Target="https://www.tweedekamer.nl/kamerstukken/wetsvoorstellen/detail?cfg=wetsvoorsteldetails&amp;qry=wetsvoorstel%3A35687" TargetMode="External"/><Relationship Id="rId7" Type="http://schemas.openxmlformats.org/officeDocument/2006/relationships/hyperlink" Target="https://www.rijksoverheid.nl/documenten/kamerstukken/2020/06/16/aanbieding-ctivd-rapport-intrekking-nederlanderschap" TargetMode="External"/><Relationship Id="rId12" Type="http://schemas.openxmlformats.org/officeDocument/2006/relationships/hyperlink" Target="https://files.institutesi.org/PRINCIPLES.pdf" TargetMode="External"/><Relationship Id="rId2" Type="http://schemas.openxmlformats.org/officeDocument/2006/relationships/hyperlink" Target="https://tbinternet.ohchr.org/_layouts/15/treatybodyexternal/Download.aspx?symbolno=INT%2fCRC%2fNGO%2fNLD%2f44847&amp;Lang=en" TargetMode="External"/><Relationship Id="rId1" Type="http://schemas.openxmlformats.org/officeDocument/2006/relationships/hyperlink" Target="https://www.institutesi.org/about-us" TargetMode="External"/><Relationship Id="rId6" Type="http://schemas.openxmlformats.org/officeDocument/2006/relationships/hyperlink" Target="https://www.tweedekamer.nl/downloads/document?id=2ee6c4a6-97a4-4330-a04f-330bd2222268&amp;title=Memorie%20van%20toelichting.pdf" TargetMode="External"/><Relationship Id="rId11" Type="http://schemas.openxmlformats.org/officeDocument/2006/relationships/hyperlink" Target="https://www.tweedekamer.nl/downloads/document?id=87ce86ac-b21b-421b-a051-de5834f10bbc&amp;title=Nota%20naar%20aanleiding%20van%20het%20verslag.doc" TargetMode="External"/><Relationship Id="rId5" Type="http://schemas.openxmlformats.org/officeDocument/2006/relationships/hyperlink" Target="https://files.institutesi.org/Deprivation_of_Nationality_the_Netherlands.pdf" TargetMode="External"/><Relationship Id="rId10" Type="http://schemas.openxmlformats.org/officeDocument/2006/relationships/hyperlink" Target="https://www.tweedekamer.nl/downloads/document?id=87ce86ac-b21b-421b-a051-de5834f10bbc&amp;title=Nota%20naar%20aanleiding%20van%20het%20verslag.doc" TargetMode="External"/><Relationship Id="rId4" Type="http://schemas.openxmlformats.org/officeDocument/2006/relationships/hyperlink" Target="https://www.tweedekamer.nl/kamerstukken/wetsvoorstellen/detail?id=2020Z25636&amp;dossier=35688-%28R2151%29" TargetMode="External"/><Relationship Id="rId9" Type="http://schemas.openxmlformats.org/officeDocument/2006/relationships/hyperlink" Target="https://www.tweedekamer.nl/downloads/document?id=87ce86ac-b21b-421b-a051-de5834f10bbc&amp;title=Nota%20naar%20aanleiding%20van%20het%20verslag.doc" TargetMode="External"/><Relationship Id="rId14" Type="http://schemas.openxmlformats.org/officeDocument/2006/relationships/hyperlink" Target="https://files.institutesi.org/Deprivation_of_Nationality_the_Netherlan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1ACD80-86B5-476E-90AE-21EF0A23505F}">
  <ds:schemaRefs>
    <ds:schemaRef ds:uri="http://schemas.openxmlformats.org/officeDocument/2006/bibliography"/>
  </ds:schemaRefs>
</ds:datastoreItem>
</file>

<file path=customXml/itemProps2.xml><?xml version="1.0" encoding="utf-8"?>
<ds:datastoreItem xmlns:ds="http://schemas.openxmlformats.org/officeDocument/2006/customXml" ds:itemID="{2A2D1FF2-AA67-4263-9E00-E0D6567CBDEB}"/>
</file>

<file path=customXml/itemProps3.xml><?xml version="1.0" encoding="utf-8"?>
<ds:datastoreItem xmlns:ds="http://schemas.openxmlformats.org/officeDocument/2006/customXml" ds:itemID="{519A7244-EEFF-49C2-885E-F218463DC9D5}"/>
</file>

<file path=customXml/itemProps4.xml><?xml version="1.0" encoding="utf-8"?>
<ds:datastoreItem xmlns:ds="http://schemas.openxmlformats.org/officeDocument/2006/customXml" ds:itemID="{36E290DC-CEDE-4C50-8DC3-E68C707075F0}"/>
</file>

<file path=docProps/app.xml><?xml version="1.0" encoding="utf-8"?>
<Properties xmlns="http://schemas.openxmlformats.org/officeDocument/2006/extended-properties" xmlns:vt="http://schemas.openxmlformats.org/officeDocument/2006/docPropsVTypes">
  <Template>Normal.dotm</Template>
  <TotalTime>26</TotalTime>
  <Pages>2</Pages>
  <Words>860</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Caia Vlieks</dc:creator>
  <cp:keywords/>
  <dc:description/>
  <cp:lastModifiedBy>BOIT James</cp:lastModifiedBy>
  <cp:revision>2</cp:revision>
  <dcterms:created xsi:type="dcterms:W3CDTF">2022-01-20T14:36:00Z</dcterms:created>
  <dcterms:modified xsi:type="dcterms:W3CDTF">2022-01-20T14:36:00Z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