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4D4" w:rsidRPr="00003146" w:rsidRDefault="003144D4" w:rsidP="007A0D79">
      <w:pPr>
        <w:jc w:val="both"/>
        <w:rPr>
          <w:rFonts w:cstheme="majorHAnsi"/>
          <w:color w:val="000000"/>
          <w:u w:val="single"/>
          <w:shd w:val="clear" w:color="auto" w:fill="FFFFFF"/>
        </w:rPr>
      </w:pPr>
    </w:p>
    <w:p w:rsidR="00413C4D" w:rsidRPr="00413C4D" w:rsidRDefault="00413C4D" w:rsidP="00413C4D">
      <w:pPr>
        <w:spacing w:after="160" w:line="259" w:lineRule="auto"/>
        <w:jc w:val="center"/>
        <w:rPr>
          <w:rFonts w:eastAsia="Calibri" w:cs="Vrinda"/>
          <w:b/>
        </w:rPr>
      </w:pPr>
      <w:r w:rsidRPr="00413C4D">
        <w:rPr>
          <w:rFonts w:eastAsia="Calibri" w:cs="Vrinda"/>
          <w:b/>
        </w:rPr>
        <w:t>National Federation of Associations of Persons with Physical Disabilities (MEOSZ)</w:t>
      </w:r>
    </w:p>
    <w:p w:rsidR="00413C4D" w:rsidRPr="00413C4D" w:rsidRDefault="00413C4D" w:rsidP="00413C4D">
      <w:pPr>
        <w:spacing w:after="160" w:line="259" w:lineRule="auto"/>
        <w:jc w:val="center"/>
        <w:rPr>
          <w:rFonts w:eastAsia="Calibri" w:cs="Vrinda"/>
          <w:b/>
        </w:rPr>
      </w:pPr>
      <w:r w:rsidRPr="00413C4D">
        <w:rPr>
          <w:rFonts w:eastAsia="Calibri" w:cs="Vrinda"/>
          <w:b/>
        </w:rPr>
        <w:t>Hungary</w:t>
      </w:r>
    </w:p>
    <w:p w:rsidR="00413C4D" w:rsidRPr="00413C4D" w:rsidRDefault="00413C4D" w:rsidP="00413C4D">
      <w:pPr>
        <w:spacing w:after="160" w:line="259" w:lineRule="auto"/>
        <w:jc w:val="center"/>
        <w:rPr>
          <w:rFonts w:eastAsia="Calibri" w:cs="Vrinda"/>
          <w:b/>
        </w:rPr>
      </w:pPr>
      <w:r w:rsidRPr="00413C4D">
        <w:rPr>
          <w:rFonts w:eastAsia="Calibri" w:cs="Vrinda"/>
          <w:b/>
        </w:rPr>
        <w:t>Alternative Report</w:t>
      </w:r>
    </w:p>
    <w:p w:rsidR="00413C4D" w:rsidRPr="00413C4D" w:rsidRDefault="00413C4D" w:rsidP="00413C4D">
      <w:pPr>
        <w:spacing w:after="160" w:line="259" w:lineRule="auto"/>
        <w:jc w:val="center"/>
        <w:rPr>
          <w:rFonts w:eastAsia="Calibri" w:cs="Vrinda"/>
          <w:b/>
        </w:rPr>
      </w:pPr>
      <w:r w:rsidRPr="00413C4D">
        <w:rPr>
          <w:rFonts w:eastAsia="Calibri" w:cs="Vrinda"/>
          <w:b/>
        </w:rPr>
        <w:t>for the</w:t>
      </w:r>
    </w:p>
    <w:p w:rsidR="00413C4D" w:rsidRPr="00413C4D" w:rsidRDefault="00413C4D" w:rsidP="00413C4D">
      <w:pPr>
        <w:spacing w:after="160" w:line="259" w:lineRule="auto"/>
        <w:jc w:val="center"/>
        <w:rPr>
          <w:rFonts w:eastAsia="Calibri" w:cs="Vrinda"/>
          <w:b/>
        </w:rPr>
      </w:pPr>
      <w:r w:rsidRPr="00413C4D">
        <w:rPr>
          <w:rFonts w:eastAsia="Calibri" w:cs="Vrinda"/>
          <w:b/>
        </w:rPr>
        <w:t>Periodic Review on the implementation of UN Convention on the Rights of Persons with Disabilities (CRPD) in Hungary</w:t>
      </w:r>
    </w:p>
    <w:p w:rsidR="00413C4D" w:rsidRPr="00413C4D" w:rsidRDefault="00413C4D" w:rsidP="00413C4D">
      <w:pPr>
        <w:spacing w:after="160" w:line="259" w:lineRule="auto"/>
        <w:jc w:val="center"/>
        <w:rPr>
          <w:rFonts w:eastAsia="Calibri" w:cs="Vrinda"/>
          <w:b/>
        </w:rPr>
      </w:pPr>
      <w:r w:rsidRPr="00413C4D">
        <w:rPr>
          <w:rFonts w:eastAsia="Calibri" w:cs="Vrinda"/>
          <w:b/>
        </w:rPr>
        <w:t>December 2019</w:t>
      </w:r>
    </w:p>
    <w:p w:rsidR="00003146" w:rsidRDefault="00003146" w:rsidP="00413C4D">
      <w:pPr>
        <w:spacing w:after="160" w:line="259" w:lineRule="auto"/>
        <w:jc w:val="both"/>
        <w:rPr>
          <w:rFonts w:eastAsia="Calibri" w:cs="Vrinda"/>
          <w:b/>
          <w:u w:val="single"/>
        </w:rPr>
      </w:pPr>
    </w:p>
    <w:p w:rsidR="00413C4D" w:rsidRDefault="00413C4D" w:rsidP="003D4737">
      <w:pPr>
        <w:spacing w:line="259" w:lineRule="auto"/>
        <w:jc w:val="both"/>
        <w:rPr>
          <w:rFonts w:eastAsia="Calibri" w:cs="Vrinda"/>
          <w:b/>
          <w:u w:val="single"/>
        </w:rPr>
      </w:pPr>
      <w:r w:rsidRPr="00413C4D">
        <w:rPr>
          <w:rFonts w:eastAsia="Calibri" w:cs="Vrinda"/>
          <w:b/>
          <w:u w:val="single"/>
        </w:rPr>
        <w:t>Introduction</w:t>
      </w:r>
    </w:p>
    <w:p w:rsidR="003D4737" w:rsidRPr="00413C4D" w:rsidRDefault="003D4737" w:rsidP="003D4737">
      <w:pPr>
        <w:spacing w:line="259" w:lineRule="auto"/>
        <w:jc w:val="both"/>
        <w:rPr>
          <w:rFonts w:eastAsia="Calibri" w:cs="Vrinda"/>
          <w:b/>
          <w:u w:val="single"/>
        </w:rPr>
      </w:pPr>
    </w:p>
    <w:p w:rsidR="003D4737" w:rsidRDefault="00413C4D" w:rsidP="003D4737">
      <w:pPr>
        <w:spacing w:line="259" w:lineRule="auto"/>
        <w:jc w:val="both"/>
        <w:rPr>
          <w:rFonts w:eastAsia="Calibri" w:cs="Vrinda"/>
          <w:bCs/>
        </w:rPr>
      </w:pPr>
      <w:r w:rsidRPr="00413C4D">
        <w:rPr>
          <w:rFonts w:eastAsia="Calibri" w:cs="Vrinda"/>
          <w:bCs/>
        </w:rPr>
        <w:t xml:space="preserve">National Federation of Associations of Persons with Physical Disabilities (MEOSZ) was </w:t>
      </w:r>
      <w:bookmarkStart w:id="0" w:name="_GoBack"/>
      <w:bookmarkEnd w:id="0"/>
      <w:r w:rsidRPr="00413C4D">
        <w:rPr>
          <w:rFonts w:eastAsia="Calibri" w:cs="Vrinda"/>
          <w:bCs/>
        </w:rPr>
        <w:t xml:space="preserve">founded 36 years ago as an umbrella organization of persons with physical disabilities with the aim of representing and protecting the interests of persons with physical disabilities. Currently, our Federation has almost 100 member organizations and includes more than a thousand local groups, has a total membership of around 160 000 active members.  The aim of our organization is to eliminate the social segregation of persons with physical disabilities by identifying and eradicating social barriers and prejudices. In the framework of its national and international advocacy work, MEOSZ advocates for equal opportunities and full participation of the target group by representing and protecting the rights and interests of persons with physical disabilities. Our organization brings together disabled persons and represents their interests as its main activity. Thus, it qualifies as disabled persons’ organization (DPO) as per the UN Convention on the Rights of Persons with Disabilities (CRPD) that continuously monitors the implementation of the CRPD in Hungary.  </w:t>
      </w:r>
    </w:p>
    <w:p w:rsidR="00413C4D" w:rsidRPr="00413C4D" w:rsidRDefault="00413C4D" w:rsidP="003D4737">
      <w:pPr>
        <w:spacing w:line="259" w:lineRule="auto"/>
        <w:jc w:val="both"/>
        <w:rPr>
          <w:rFonts w:eastAsia="Calibri" w:cs="Vrinda"/>
          <w:bCs/>
        </w:rPr>
      </w:pPr>
      <w:r w:rsidRPr="00413C4D">
        <w:rPr>
          <w:rFonts w:eastAsia="Calibri" w:cs="Vrinda"/>
          <w:bCs/>
        </w:rPr>
        <w:t xml:space="preserve"> </w:t>
      </w:r>
    </w:p>
    <w:p w:rsidR="00413C4D" w:rsidRDefault="00413C4D" w:rsidP="003D4737">
      <w:pPr>
        <w:spacing w:line="259" w:lineRule="auto"/>
        <w:jc w:val="both"/>
        <w:rPr>
          <w:rFonts w:eastAsia="Calibri" w:cs="Vrinda"/>
          <w:bCs/>
        </w:rPr>
      </w:pPr>
      <w:r w:rsidRPr="00413C4D">
        <w:rPr>
          <w:rFonts w:eastAsia="Calibri" w:cs="Vrinda"/>
          <w:bCs/>
        </w:rPr>
        <w:t xml:space="preserve">In Hungary, Act XCII of 2007 on the Promulgation of the UN Convention on the Rights of Persons with Disabilities and its Facultative Protocol entered into force on 3 May 2008. By exercising its rights and responsibilities under the CRPD, MEOSZ has been taking part in the work of the Committee on the Rights of Persons with Disabilities (Committee) which is monitoring the implementation of the CRPD in Hungary for the second time. </w:t>
      </w:r>
    </w:p>
    <w:p w:rsidR="003D4737" w:rsidRPr="00413C4D" w:rsidRDefault="003D4737" w:rsidP="003D4737">
      <w:pPr>
        <w:spacing w:line="259" w:lineRule="auto"/>
        <w:jc w:val="both"/>
        <w:rPr>
          <w:rFonts w:eastAsia="Calibri" w:cs="Vrinda"/>
          <w:bCs/>
        </w:rPr>
      </w:pPr>
    </w:p>
    <w:p w:rsidR="00413C4D" w:rsidRPr="00413C4D" w:rsidRDefault="00413C4D" w:rsidP="00413C4D">
      <w:pPr>
        <w:spacing w:after="160" w:line="259" w:lineRule="auto"/>
        <w:jc w:val="both"/>
        <w:rPr>
          <w:rFonts w:eastAsia="Calibri" w:cs="Vrinda"/>
          <w:b/>
          <w:lang w:bidi="en-GB"/>
        </w:rPr>
      </w:pPr>
      <w:r w:rsidRPr="00413C4D">
        <w:rPr>
          <w:rFonts w:eastAsia="Calibri" w:cs="Vrinda"/>
        </w:rPr>
        <w:t xml:space="preserve">In 2018, the Hungarian Government submitted its combined </w:t>
      </w:r>
      <w:r w:rsidRPr="00413C4D">
        <w:rPr>
          <w:rFonts w:eastAsia="Calibri" w:cs="Vrinda"/>
          <w:lang w:bidi="en-GB"/>
        </w:rPr>
        <w:t>2</w:t>
      </w:r>
      <w:r w:rsidRPr="00413C4D">
        <w:rPr>
          <w:rFonts w:eastAsia="Calibri" w:cs="Vrinda"/>
          <w:vertAlign w:val="superscript"/>
          <w:lang w:bidi="en-GB"/>
        </w:rPr>
        <w:t>nd</w:t>
      </w:r>
      <w:r w:rsidRPr="00413C4D">
        <w:rPr>
          <w:rFonts w:eastAsia="Calibri" w:cs="Vrinda"/>
          <w:lang w:bidi="en-GB"/>
        </w:rPr>
        <w:t xml:space="preserve"> and 3</w:t>
      </w:r>
      <w:r w:rsidRPr="00413C4D">
        <w:rPr>
          <w:rFonts w:eastAsia="Calibri" w:cs="Vrinda"/>
          <w:vertAlign w:val="superscript"/>
          <w:lang w:bidi="en-GB"/>
        </w:rPr>
        <w:t>rd</w:t>
      </w:r>
      <w:r w:rsidRPr="00413C4D">
        <w:rPr>
          <w:rFonts w:eastAsia="Calibri" w:cs="Vrinda"/>
          <w:lang w:bidi="en-GB"/>
        </w:rPr>
        <w:t xml:space="preserve"> Periodic Report</w:t>
      </w:r>
      <w:r w:rsidRPr="00003146">
        <w:rPr>
          <w:rFonts w:eastAsia="Calibri" w:cs="Vrinda"/>
          <w:vertAlign w:val="superscript"/>
        </w:rPr>
        <w:footnoteReference w:id="1"/>
      </w:r>
      <w:r w:rsidRPr="00413C4D">
        <w:rPr>
          <w:rFonts w:eastAsia="Calibri" w:cs="Vrinda"/>
          <w:lang w:bidi="en-GB"/>
        </w:rPr>
        <w:t xml:space="preserve"> as a response to the List of Issues of the Committee.</w:t>
      </w:r>
      <w:r w:rsidRPr="00003146">
        <w:rPr>
          <w:rFonts w:eastAsia="Calibri" w:cs="Vrinda"/>
          <w:vertAlign w:val="superscript"/>
        </w:rPr>
        <w:footnoteReference w:id="2"/>
      </w:r>
      <w:r w:rsidRPr="00413C4D">
        <w:rPr>
          <w:rFonts w:eastAsia="Calibri" w:cs="Vrinda"/>
          <w:vertAlign w:val="superscript"/>
        </w:rPr>
        <w:t xml:space="preserve"> </w:t>
      </w:r>
      <w:r w:rsidRPr="00413C4D">
        <w:rPr>
          <w:rFonts w:eastAsia="Calibri" w:cs="Vrinda"/>
          <w:lang w:bidi="en-GB"/>
        </w:rPr>
        <w:t xml:space="preserve"> Our position on the content of this report as well as on the most important issues affecting persons with physical disabilities including current events and developments in 2019 is set out in this document.</w:t>
      </w:r>
    </w:p>
    <w:p w:rsidR="00413C4D" w:rsidRPr="00413C4D" w:rsidRDefault="00413C4D" w:rsidP="00413C4D">
      <w:pPr>
        <w:rPr>
          <w:rFonts w:eastAsia="Calibri" w:cs="Vrinda"/>
          <w:b/>
          <w:u w:val="single"/>
        </w:rPr>
      </w:pPr>
      <w:r w:rsidRPr="00413C4D">
        <w:rPr>
          <w:rFonts w:eastAsia="Calibri" w:cs="Vrinda"/>
          <w:b/>
          <w:u w:val="single"/>
        </w:rPr>
        <w:lastRenderedPageBreak/>
        <w:t>Executive summary</w:t>
      </w:r>
    </w:p>
    <w:p w:rsidR="00413C4D" w:rsidRPr="00413C4D" w:rsidRDefault="00413C4D" w:rsidP="00413C4D">
      <w:pPr>
        <w:rPr>
          <w:rFonts w:eastAsia="Calibri" w:cs="Vrinda"/>
          <w:b/>
          <w:u w:val="single"/>
        </w:rPr>
      </w:pPr>
    </w:p>
    <w:p w:rsidR="00413C4D" w:rsidRPr="00413C4D" w:rsidRDefault="00413C4D" w:rsidP="00413C4D">
      <w:pPr>
        <w:jc w:val="both"/>
        <w:rPr>
          <w:rFonts w:eastAsia="Calibri" w:cs="Vrinda"/>
        </w:rPr>
      </w:pPr>
      <w:r w:rsidRPr="00413C4D">
        <w:rPr>
          <w:rFonts w:eastAsia="Calibri" w:cs="Vrinda"/>
        </w:rPr>
        <w:t>The aim of this report is to convey the views and experiences of the Hungarian people with physical disabilities towards the CRPD Committee. The report sheds the light to problems that must be addressed by the Hungarian Government as soon as possible so as the human rights of persons with physical disabilities could be fully enforced and enjoyed.</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 xml:space="preserve">MEOSZ recognizes that there have been some positive changes since the recommendations of CRPD Committee had been issued in 2012. For example, as result of the consistent and professionally sound advocacy work of MEOSZ an agreement has been reached on the full accessibility of the M3 metro line or the efforts taken towards the fully accessible ATMs. However, people with disabilities still live in poverty, experience discrimination and violations of their human rights in their daily lives. </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As a first step, there is a need for a change in approaching the disability policy, which can trigger systematic changes. It is important that people with disabilities not be treated as patients or children, but as independent, self-determined citizens, subjects of human rights which they can enjoy and exercise in the same way as any others.</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The Hungarian anti-discrimination legislation should be strengthened, inter alia, by transposing the principle of reasonable accommodation so that the prohibition of discrimination can be fully applied in all areas of life.</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It is vital that disabled people's organizations are fully involved in the process of monitoring the implementation of the CRPD and in all decisions affecting the lives of people with disabilities.</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To enable people with physical disabilities having access to public services in the same way as others, it is essential to ensure the accessibility of the built environment, transport facilities and services by applying the principles of universal design and reasonable accommodation in practice.</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To facilitate the independent living of those people with disabilities who are currently living in institutions, the process of deinstitunalization should be continued by including all institutions providing social services. However, at the end of the process mini-institutions should not be established that only reinforces segregation. This requires strengthening the social care system and addressing the lack of resources and specialists.</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 xml:space="preserve">For the promotion of adequate standard of living and social security, it is necessary to review the eligibility conditions for disability and to increase their amounts. </w:t>
      </w:r>
    </w:p>
    <w:p w:rsidR="00413C4D" w:rsidRPr="00413C4D" w:rsidRDefault="00413C4D" w:rsidP="00413C4D">
      <w:pPr>
        <w:spacing w:after="160" w:line="259" w:lineRule="auto"/>
        <w:jc w:val="both"/>
        <w:rPr>
          <w:rFonts w:eastAsia="Calibri" w:cs="Vrinda"/>
          <w:bCs/>
        </w:rPr>
      </w:pPr>
    </w:p>
    <w:p w:rsidR="00413C4D" w:rsidRPr="00413C4D" w:rsidRDefault="00413C4D" w:rsidP="00413C4D">
      <w:pPr>
        <w:spacing w:after="160" w:line="259" w:lineRule="auto"/>
        <w:jc w:val="both"/>
        <w:rPr>
          <w:rFonts w:eastAsia="Calibri" w:cs="Vrinda"/>
          <w:bCs/>
        </w:rPr>
      </w:pPr>
    </w:p>
    <w:p w:rsidR="00413C4D" w:rsidRPr="00413C4D" w:rsidRDefault="00413C4D" w:rsidP="00413C4D">
      <w:pPr>
        <w:spacing w:after="160" w:line="259" w:lineRule="auto"/>
        <w:jc w:val="both"/>
        <w:rPr>
          <w:rFonts w:eastAsia="Calibri" w:cs="Vrinda"/>
          <w:bCs/>
        </w:rPr>
      </w:pPr>
    </w:p>
    <w:p w:rsidR="00413C4D" w:rsidRPr="00413C4D" w:rsidRDefault="00413C4D" w:rsidP="00413C4D">
      <w:pPr>
        <w:spacing w:after="160" w:line="259" w:lineRule="auto"/>
        <w:jc w:val="both"/>
        <w:rPr>
          <w:rFonts w:eastAsia="Calibri" w:cs="Vrinda"/>
          <w:bCs/>
        </w:rPr>
      </w:pPr>
    </w:p>
    <w:p w:rsidR="00413C4D" w:rsidRDefault="00413C4D" w:rsidP="00413C4D">
      <w:pPr>
        <w:spacing w:after="160" w:line="259" w:lineRule="auto"/>
        <w:jc w:val="both"/>
        <w:rPr>
          <w:rFonts w:eastAsia="Calibri" w:cs="Vrinda"/>
          <w:bCs/>
        </w:rPr>
      </w:pPr>
    </w:p>
    <w:p w:rsidR="00E63DBC" w:rsidRDefault="00E63DBC" w:rsidP="00413C4D">
      <w:pPr>
        <w:spacing w:after="160" w:line="259" w:lineRule="auto"/>
        <w:jc w:val="both"/>
        <w:rPr>
          <w:rFonts w:eastAsia="Calibri" w:cs="Vrinda"/>
          <w:bCs/>
        </w:rPr>
      </w:pPr>
    </w:p>
    <w:p w:rsidR="00E63DBC" w:rsidRPr="00413C4D" w:rsidRDefault="00E63DBC" w:rsidP="00413C4D">
      <w:pPr>
        <w:spacing w:after="160" w:line="259" w:lineRule="auto"/>
        <w:jc w:val="both"/>
        <w:rPr>
          <w:rFonts w:eastAsia="Calibri" w:cs="Vrinda"/>
          <w:bCs/>
        </w:rPr>
      </w:pPr>
    </w:p>
    <w:p w:rsidR="00413C4D" w:rsidRPr="00413C4D" w:rsidRDefault="00413C4D" w:rsidP="00E63DBC">
      <w:pPr>
        <w:numPr>
          <w:ilvl w:val="0"/>
          <w:numId w:val="15"/>
        </w:numPr>
        <w:spacing w:line="259" w:lineRule="auto"/>
        <w:jc w:val="both"/>
        <w:rPr>
          <w:rFonts w:eastAsia="Calibri" w:cs="Vrinda"/>
          <w:u w:val="single"/>
        </w:rPr>
      </w:pPr>
      <w:r w:rsidRPr="00413C4D">
        <w:rPr>
          <w:rFonts w:eastAsia="Calibri" w:cs="Vrinda"/>
          <w:b/>
          <w:bCs/>
          <w:u w:val="single"/>
        </w:rPr>
        <w:lastRenderedPageBreak/>
        <w:t xml:space="preserve">Purpose and general obligations </w:t>
      </w:r>
      <w:r w:rsidRPr="00413C4D">
        <w:rPr>
          <w:rFonts w:eastAsia="Calibri" w:cs="Vrinda"/>
          <w:b/>
          <w:u w:val="single"/>
        </w:rPr>
        <w:t>(arts. 1–4)</w:t>
      </w:r>
    </w:p>
    <w:p w:rsidR="00413C4D" w:rsidRPr="00413C4D" w:rsidRDefault="00413C4D" w:rsidP="00413C4D">
      <w:pPr>
        <w:rPr>
          <w:rFonts w:eastAsia="Calibri" w:cs="Vrinda"/>
          <w:b/>
          <w:u w:val="single"/>
        </w:rPr>
      </w:pPr>
    </w:p>
    <w:p w:rsidR="00413C4D" w:rsidRPr="00413C4D" w:rsidRDefault="00413C4D" w:rsidP="00413C4D">
      <w:pPr>
        <w:rPr>
          <w:rFonts w:eastAsia="Calibri" w:cs="Vrinda"/>
        </w:rPr>
      </w:pPr>
      <w:r w:rsidRPr="00413C4D">
        <w:rPr>
          <w:rFonts w:eastAsia="Calibri" w:cs="Vrinda"/>
          <w:b/>
        </w:rPr>
        <w:t xml:space="preserve">Question 1 </w:t>
      </w:r>
    </w:p>
    <w:p w:rsidR="00413C4D" w:rsidRPr="00413C4D" w:rsidRDefault="00413C4D" w:rsidP="00413C4D">
      <w:pPr>
        <w:rPr>
          <w:rFonts w:eastAsia="Calibri" w:cs="Calibri"/>
          <w:color w:val="FF0000"/>
          <w:u w:val="single"/>
        </w:rPr>
      </w:pPr>
    </w:p>
    <w:p w:rsidR="00413C4D" w:rsidRPr="00413C4D" w:rsidRDefault="00413C4D" w:rsidP="00413C4D">
      <w:pPr>
        <w:jc w:val="both"/>
        <w:rPr>
          <w:rFonts w:eastAsia="Calibri" w:cs="Calibri"/>
        </w:rPr>
      </w:pPr>
      <w:r w:rsidRPr="00413C4D">
        <w:rPr>
          <w:rFonts w:eastAsia="Calibri" w:cs="Calibri"/>
        </w:rPr>
        <w:t>Although the revision of the Act XXVI of 1998 on the Rights and Equal Opportunities of Persons with Disabilities (Fot.) took place in 2013, its changes are not satisfactory therefore, its amendment is urgent. The general approach and terminology of the Fot. are not in line with the CRPD. For example instead of using the term ‘inclusion’ consistently, its text still contains the word ‘integration’. In addition, it does not contain any guarantee e.g. in connection with accessibility or deinstitunalization (DI). The change in the notion of disability has not been followed by extending the right to disability allowance and other rights to the whole group of disabled people, which has negative impact mainly on persons with physical and psychosocial disabilities. MEOSZ has learned about government initiatives in which experts are preparing the revision of Fot. National advocacy organizations of people with disabilities have asked to be involved via direct dialogue in the process. At the moment, we are not aware of any real intention to continue the work.</w:t>
      </w:r>
    </w:p>
    <w:p w:rsidR="00413C4D" w:rsidRPr="00413C4D" w:rsidRDefault="00413C4D" w:rsidP="00413C4D">
      <w:pPr>
        <w:jc w:val="both"/>
        <w:rPr>
          <w:rFonts w:eastAsia="Calibri" w:cs="Calibri"/>
        </w:rPr>
      </w:pPr>
    </w:p>
    <w:p w:rsidR="00413C4D" w:rsidRPr="00413C4D" w:rsidRDefault="00413C4D" w:rsidP="00413C4D">
      <w:pPr>
        <w:jc w:val="both"/>
        <w:rPr>
          <w:rFonts w:eastAsia="Calibri" w:cs="Calibri"/>
        </w:rPr>
      </w:pPr>
      <w:r w:rsidRPr="00413C4D">
        <w:rPr>
          <w:rFonts w:eastAsia="Calibri" w:cs="Calibri"/>
        </w:rPr>
        <w:t>Moreover, many other pieces of the Hungarian legislation have to be modified so as the provisions of the CRPD could prevail horizontally. For example the Act III of 1993 on Social Care, Act XXXI of 1997 on Child Protection, Act LXXVIII of 1997 on Construction and Related Regulations, the legislation about public procurement, the Act CXXV of 2003 on Equal Treatment, or the Civil Code. Unfortunately, according to our experience since the ratification of the CRPD there has been no comprehensive governmental intention to change the legislation horizontally, even though we are constantly communicating our systematic observation and proposals towards the government.</w:t>
      </w:r>
    </w:p>
    <w:p w:rsidR="00413C4D" w:rsidRPr="00413C4D" w:rsidRDefault="00413C4D" w:rsidP="00413C4D">
      <w:pPr>
        <w:jc w:val="both"/>
        <w:rPr>
          <w:rFonts w:eastAsia="Calibri" w:cs="Calibri"/>
        </w:rPr>
      </w:pPr>
    </w:p>
    <w:p w:rsidR="00413C4D" w:rsidRPr="00413C4D" w:rsidRDefault="00413C4D" w:rsidP="00413C4D">
      <w:pPr>
        <w:jc w:val="both"/>
        <w:rPr>
          <w:rFonts w:eastAsia="Calibri" w:cs="Calibri"/>
        </w:rPr>
      </w:pPr>
      <w:r w:rsidRPr="00413C4D">
        <w:rPr>
          <w:rFonts w:eastAsia="Calibri" w:cs="Calibri"/>
          <w:b/>
        </w:rPr>
        <w:t>Question 2</w:t>
      </w:r>
      <w:r w:rsidRPr="00413C4D">
        <w:rPr>
          <w:rFonts w:eastAsia="Calibri" w:cs="Calibri"/>
        </w:rPr>
        <w:t xml:space="preserve">  </w:t>
      </w:r>
    </w:p>
    <w:p w:rsidR="00413C4D" w:rsidRPr="00413C4D" w:rsidRDefault="00413C4D" w:rsidP="00413C4D">
      <w:pPr>
        <w:jc w:val="both"/>
        <w:rPr>
          <w:rFonts w:eastAsia="Calibri" w:cs="Calibri"/>
        </w:rPr>
      </w:pPr>
    </w:p>
    <w:p w:rsidR="00413C4D" w:rsidRPr="00413C4D" w:rsidRDefault="00413C4D" w:rsidP="00413C4D">
      <w:pPr>
        <w:jc w:val="both"/>
        <w:rPr>
          <w:rFonts w:eastAsia="Calibri" w:cs="Vrinda"/>
        </w:rPr>
      </w:pPr>
      <w:r w:rsidRPr="00413C4D">
        <w:rPr>
          <w:rFonts w:eastAsia="Calibri" w:cs="Vrinda"/>
        </w:rPr>
        <w:t>MEOSZ considers the government's response correct in that respect that there are several bodies where state and non-state actors can consult. However, the operation of the National Disability Council is not in line with either the provision laid down in Article 33 paragraph 2 of the CRPD or the Paris Principles</w:t>
      </w:r>
      <w:r w:rsidRPr="00003146">
        <w:rPr>
          <w:rFonts w:eastAsia="Calibri" w:cs="Vrinda"/>
          <w:vertAlign w:val="superscript"/>
        </w:rPr>
        <w:footnoteReference w:id="3"/>
      </w:r>
      <w:r w:rsidRPr="00413C4D">
        <w:rPr>
          <w:rFonts w:eastAsia="Calibri" w:cs="Vrinda"/>
        </w:rPr>
        <w:t xml:space="preserve"> because in fact, national civil society organizations consult with the State Secretariat of Social Affairs and there is no effective monitoring activity over the implementation of the CRPD.</w:t>
      </w:r>
      <w:r w:rsidRPr="00003146">
        <w:rPr>
          <w:rFonts w:eastAsia="Calibri" w:cs="Vrinda"/>
          <w:vertAlign w:val="superscript"/>
        </w:rPr>
        <w:footnoteReference w:id="4"/>
      </w:r>
      <w:r w:rsidRPr="00413C4D">
        <w:rPr>
          <w:rFonts w:eastAsia="Calibri" w:cs="Vrinda"/>
        </w:rPr>
        <w:t xml:space="preserve"> </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t>Between 2017 and 2019, MEOSZ participated in the meetings of the Thematic Working Group on the Rights of Persons with Disabilities as part of the Human Rights Working Group monitoring the implementation of UN Human Rights Council's Universal Periodic Review (UPR).</w:t>
      </w:r>
    </w:p>
    <w:p w:rsidR="00413C4D" w:rsidRDefault="00413C4D" w:rsidP="00413C4D">
      <w:pPr>
        <w:jc w:val="both"/>
        <w:rPr>
          <w:rFonts w:eastAsia="Calibri" w:cs="Vrinda"/>
        </w:rPr>
      </w:pPr>
    </w:p>
    <w:p w:rsidR="00413C4D" w:rsidRPr="00413C4D" w:rsidRDefault="00413C4D" w:rsidP="00413C4D">
      <w:pPr>
        <w:jc w:val="both"/>
        <w:rPr>
          <w:rFonts w:eastAsia="Calibri" w:cs="Vrinda"/>
        </w:rPr>
      </w:pPr>
      <w:r w:rsidRPr="00413C4D">
        <w:rPr>
          <w:rFonts w:eastAsia="Calibri" w:cs="Vrinda"/>
        </w:rPr>
        <w:lastRenderedPageBreak/>
        <w:t>A summary of civil proposals</w:t>
      </w:r>
      <w:r w:rsidRPr="00003146">
        <w:rPr>
          <w:rFonts w:eastAsia="Calibri" w:cs="Vrinda"/>
          <w:vertAlign w:val="superscript"/>
        </w:rPr>
        <w:footnoteReference w:id="5"/>
      </w:r>
      <w:r w:rsidRPr="00413C4D">
        <w:rPr>
          <w:rFonts w:eastAsia="Calibri" w:cs="Vrinda"/>
        </w:rPr>
        <w:t xml:space="preserve"> was submitted to the decision-makers, but it did not bring significant changes. Similarly, the operation of the National Coordinating Body for Deinstitunalization (IFKKOT) remained ineffective as its civil members were unable to carry out their work transparently due to confidentiality obligations, and their opinions were weightless in the DI process. Consequently, it can be stated that in fact national advocacy groups have no voice in the governmental decision-making processes.</w:t>
      </w:r>
    </w:p>
    <w:p w:rsidR="00413C4D" w:rsidRPr="00413C4D" w:rsidRDefault="00413C4D" w:rsidP="00413C4D">
      <w:pPr>
        <w:jc w:val="both"/>
        <w:rPr>
          <w:rFonts w:eastAsia="Calibri" w:cs="Vrinda"/>
        </w:rPr>
      </w:pPr>
    </w:p>
    <w:p w:rsidR="00413C4D" w:rsidRPr="00413C4D" w:rsidRDefault="00413C4D" w:rsidP="00413C4D">
      <w:pPr>
        <w:jc w:val="both"/>
        <w:rPr>
          <w:rFonts w:eastAsia="Calibri" w:cs="Vrinda"/>
          <w:b/>
        </w:rPr>
      </w:pPr>
      <w:r w:rsidRPr="00413C4D">
        <w:rPr>
          <w:rFonts w:eastAsia="Calibri" w:cs="Vrinda"/>
          <w:b/>
        </w:rPr>
        <w:t>Question 3</w:t>
      </w:r>
    </w:p>
    <w:p w:rsidR="00413C4D" w:rsidRPr="00413C4D" w:rsidRDefault="00413C4D" w:rsidP="00413C4D">
      <w:pPr>
        <w:jc w:val="both"/>
        <w:rPr>
          <w:rFonts w:eastAsia="Calibri" w:cs="Vrinda"/>
          <w:b/>
        </w:rPr>
      </w:pPr>
    </w:p>
    <w:p w:rsidR="00413C4D" w:rsidRPr="00413C4D" w:rsidRDefault="00413C4D" w:rsidP="00413C4D">
      <w:pPr>
        <w:jc w:val="both"/>
        <w:rPr>
          <w:rFonts w:eastAsia="Calibri" w:cs="Vrinda"/>
          <w:b/>
        </w:rPr>
      </w:pPr>
      <w:r w:rsidRPr="00413C4D">
        <w:rPr>
          <w:rFonts w:eastAsia="Calibri" w:cs="Vrinda"/>
        </w:rPr>
        <w:t>It is not known to MEOSZ that on what the government based the statement according to which 23 of the measures included in the National Disability Program Action Plan (2015-2018) were implemented and the implementation of additional 55 measures were in progress at the time when the report was drafting. The</w:t>
      </w:r>
      <w:r w:rsidRPr="00413C4D">
        <w:rPr>
          <w:rFonts w:eastAsia="Calibri" w:cs="Vrinda"/>
          <w:b/>
        </w:rPr>
        <w:t xml:space="preserve"> </w:t>
      </w:r>
      <w:r w:rsidRPr="00413C4D">
        <w:rPr>
          <w:rFonts w:eastAsia="Calibri" w:cs="Vrinda"/>
        </w:rPr>
        <w:t>monitoring on the implementation of the Action Plan is not transparent.</w:t>
      </w:r>
      <w:r w:rsidRPr="00413C4D">
        <w:rPr>
          <w:rFonts w:eastAsia="Calibri" w:cs="Vrinda"/>
          <w:b/>
        </w:rPr>
        <w:t xml:space="preserve"> </w:t>
      </w:r>
      <w:r w:rsidRPr="00413C4D">
        <w:rPr>
          <w:rFonts w:eastAsia="Calibri" w:cs="Vrinda"/>
        </w:rPr>
        <w:t>In MEOSZ’s opinion, the Action Plan is a well-intentioned wish list.</w:t>
      </w:r>
      <w:r w:rsidRPr="00413C4D">
        <w:rPr>
          <w:rFonts w:eastAsia="Calibri" w:cs="Vrinda"/>
          <w:b/>
        </w:rPr>
        <w:t xml:space="preserve"> </w:t>
      </w:r>
      <w:r w:rsidRPr="00413C4D">
        <w:rPr>
          <w:rFonts w:eastAsia="Calibri" w:cs="Vrinda"/>
        </w:rPr>
        <w:t>In course of  the period since the government report was submitted, a new medium-term Action Plan for the period 2019-2021 has begun to be developed, during which we have repeatedly asked to reconsider it.</w:t>
      </w:r>
      <w:r w:rsidRPr="00413C4D">
        <w:rPr>
          <w:rFonts w:eastAsia="Calibri" w:cs="Vrinda"/>
          <w:b/>
        </w:rPr>
        <w:t xml:space="preserve"> </w:t>
      </w:r>
      <w:r w:rsidRPr="00413C4D">
        <w:rPr>
          <w:rFonts w:eastAsia="Calibri" w:cs="Vrinda"/>
        </w:rPr>
        <w:t>We proposed that the planning for 2015-2018 should be evaluated primarily and finally strategic planning take place with defining real resources and responsible persons. We also asked the government to fulfil its obligations for legislation under the CRPD.</w:t>
      </w:r>
      <w:r w:rsidRPr="00003146">
        <w:rPr>
          <w:rFonts w:eastAsia="Calibri" w:cs="Vrinda"/>
          <w:vertAlign w:val="superscript"/>
        </w:rPr>
        <w:t xml:space="preserve"> </w:t>
      </w:r>
      <w:r w:rsidRPr="00003146">
        <w:rPr>
          <w:rFonts w:eastAsia="Calibri" w:cs="Vrinda"/>
          <w:vertAlign w:val="superscript"/>
        </w:rPr>
        <w:footnoteReference w:id="6"/>
      </w:r>
    </w:p>
    <w:p w:rsidR="00413C4D" w:rsidRPr="00413C4D" w:rsidRDefault="00413C4D" w:rsidP="00413C4D">
      <w:pPr>
        <w:rPr>
          <w:rFonts w:eastAsia="Calibri" w:cs="Vrinda"/>
        </w:rPr>
      </w:pPr>
    </w:p>
    <w:p w:rsidR="00413C4D" w:rsidRPr="00413C4D" w:rsidRDefault="00413C4D" w:rsidP="00E63DBC">
      <w:pPr>
        <w:numPr>
          <w:ilvl w:val="0"/>
          <w:numId w:val="15"/>
        </w:numPr>
        <w:spacing w:line="259" w:lineRule="auto"/>
        <w:jc w:val="both"/>
        <w:rPr>
          <w:rFonts w:eastAsia="Calibri" w:cs="Vrinda"/>
          <w:b/>
          <w:bCs/>
          <w:u w:val="single"/>
        </w:rPr>
      </w:pPr>
      <w:r w:rsidRPr="00413C4D">
        <w:rPr>
          <w:rFonts w:eastAsia="Calibri" w:cs="Vrinda"/>
          <w:b/>
          <w:bCs/>
          <w:u w:val="single"/>
        </w:rPr>
        <w:t>Equality and non-discrimination (art. 5)</w:t>
      </w:r>
    </w:p>
    <w:p w:rsidR="00413C4D" w:rsidRPr="00413C4D" w:rsidRDefault="00413C4D" w:rsidP="00413C4D">
      <w:pPr>
        <w:jc w:val="both"/>
        <w:rPr>
          <w:rFonts w:eastAsia="Calibri" w:cs="Vrinda"/>
          <w:b/>
          <w:bCs/>
          <w:u w:val="single"/>
        </w:rPr>
      </w:pPr>
    </w:p>
    <w:p w:rsidR="00413C4D" w:rsidRPr="00413C4D" w:rsidRDefault="00413C4D" w:rsidP="00413C4D">
      <w:pPr>
        <w:jc w:val="both"/>
        <w:rPr>
          <w:rFonts w:eastAsia="Calibri" w:cs="Vrinda"/>
          <w:b/>
          <w:bCs/>
        </w:rPr>
      </w:pPr>
      <w:r w:rsidRPr="00413C4D">
        <w:rPr>
          <w:rFonts w:eastAsia="Calibri" w:cs="Vrinda"/>
          <w:b/>
          <w:bCs/>
        </w:rPr>
        <w:t xml:space="preserve">Question 4. </w:t>
      </w:r>
    </w:p>
    <w:p w:rsidR="00413C4D" w:rsidRPr="00413C4D" w:rsidRDefault="00413C4D" w:rsidP="00413C4D">
      <w:pPr>
        <w:rPr>
          <w:rFonts w:eastAsia="Calibri" w:cs="Vrinda"/>
        </w:rPr>
      </w:pPr>
    </w:p>
    <w:p w:rsidR="00413C4D" w:rsidRPr="00003146" w:rsidRDefault="00413C4D" w:rsidP="00413C4D">
      <w:pPr>
        <w:jc w:val="both"/>
        <w:rPr>
          <w:rFonts w:eastAsia="Calibri" w:cs="Vrinda"/>
          <w:vertAlign w:val="superscript"/>
        </w:rPr>
      </w:pPr>
      <w:r w:rsidRPr="00413C4D">
        <w:rPr>
          <w:rFonts w:eastAsia="Calibri" w:cs="Vrinda"/>
        </w:rPr>
        <w:t>In MEOSZ’s opinion, it is unlawful that the notion of reasonable accommodation appears only in the legislation concerning employment thus disabled persons cannot exercise their rights deriving from this principle.</w:t>
      </w:r>
      <w:r w:rsidRPr="00003146">
        <w:rPr>
          <w:rFonts w:eastAsia="Calibri" w:cs="Vrinda"/>
          <w:vertAlign w:val="superscript"/>
        </w:rPr>
        <w:footnoteReference w:id="7"/>
      </w:r>
      <w:r w:rsidRPr="00413C4D">
        <w:rPr>
          <w:rFonts w:eastAsia="Calibri" w:cs="Vrinda"/>
        </w:rPr>
        <w:t xml:space="preserve"> The Hungarian Labour Code, while adopting the concept of reasonable accommodation under the CRPD, does not define the requirements for its actual implementation. Therefore, this principle cannot be fully applied in this area either.</w:t>
      </w:r>
      <w:r w:rsidRPr="00003146">
        <w:rPr>
          <w:rFonts w:eastAsia="Calibri" w:cs="Vrinda"/>
          <w:vertAlign w:val="superscript"/>
        </w:rPr>
        <w:t xml:space="preserve"> </w:t>
      </w:r>
      <w:r w:rsidRPr="00003146">
        <w:rPr>
          <w:rFonts w:eastAsia="Calibri" w:cs="Vrinda"/>
          <w:vertAlign w:val="superscript"/>
        </w:rPr>
        <w:footnoteReference w:id="8"/>
      </w:r>
    </w:p>
    <w:p w:rsidR="00413C4D" w:rsidRPr="00413C4D" w:rsidRDefault="00413C4D" w:rsidP="00413C4D">
      <w:pPr>
        <w:rPr>
          <w:rFonts w:eastAsia="Calibri" w:cs="Vrinda"/>
        </w:rPr>
      </w:pPr>
    </w:p>
    <w:p w:rsidR="00413C4D" w:rsidRDefault="00413C4D" w:rsidP="00E63DBC">
      <w:pPr>
        <w:spacing w:line="259" w:lineRule="auto"/>
        <w:jc w:val="both"/>
        <w:rPr>
          <w:rFonts w:eastAsia="Calibri" w:cs="Vrinda"/>
        </w:rPr>
      </w:pPr>
      <w:r w:rsidRPr="00413C4D">
        <w:rPr>
          <w:rFonts w:eastAsia="Calibri" w:cs="Vrinda"/>
        </w:rPr>
        <w:t>According to the Advisory Board of the Equal Treatment Authority,</w:t>
      </w:r>
      <w:r w:rsidRPr="00413C4D">
        <w:rPr>
          <w:rFonts w:eastAsia="Calibri" w:cs="Vrinda"/>
          <w:vertAlign w:val="superscript"/>
        </w:rPr>
        <w:footnoteReference w:id="9"/>
      </w:r>
      <w:r w:rsidRPr="00413C4D">
        <w:rPr>
          <w:rFonts w:eastAsia="Calibri" w:cs="Vrinda"/>
        </w:rPr>
        <w:t xml:space="preserve"> the substantive requirements for reasonable accommodation in employment pursuant to Article 5 of Council Directive 2000/78/EC of 27 November 2000 (Framework Directive) should be reflected as a general requirement in Act CXXXV of 2003 on Equal Treatment (Ebkt.) and in Fot. In its resolution, the Advisory Board also made a proposal for the definition of </w:t>
      </w:r>
      <w:r w:rsidRPr="00413C4D">
        <w:rPr>
          <w:rFonts w:eastAsia="Calibri" w:cs="Vrinda"/>
        </w:rPr>
        <w:lastRenderedPageBreak/>
        <w:t>reasonable accommodation in the Ebkt. but it has not yet been transposed into the Ebkt. According to MEOSZ, the principle of reasonable accommodation should be transposed horizontally regarding public services used by persons with disabilities, but there has been no progress in this area for years.</w:t>
      </w:r>
    </w:p>
    <w:p w:rsidR="00E63DBC" w:rsidRPr="00413C4D" w:rsidRDefault="00E63DBC" w:rsidP="00E63DBC">
      <w:pPr>
        <w:spacing w:line="259" w:lineRule="auto"/>
        <w:jc w:val="both"/>
        <w:rPr>
          <w:rFonts w:eastAsia="Calibri" w:cs="Vrinda"/>
        </w:rPr>
      </w:pPr>
    </w:p>
    <w:p w:rsidR="00413C4D" w:rsidRPr="00413C4D" w:rsidRDefault="00413C4D" w:rsidP="00E63DBC">
      <w:pPr>
        <w:numPr>
          <w:ilvl w:val="0"/>
          <w:numId w:val="15"/>
        </w:numPr>
        <w:spacing w:line="259" w:lineRule="auto"/>
        <w:contextualSpacing/>
        <w:jc w:val="both"/>
        <w:rPr>
          <w:rFonts w:eastAsia="Calibri" w:cs="Vrinda"/>
          <w:b/>
          <w:u w:val="single"/>
        </w:rPr>
      </w:pPr>
      <w:r w:rsidRPr="00413C4D">
        <w:rPr>
          <w:rFonts w:eastAsia="Calibri" w:cs="Vrinda"/>
          <w:b/>
          <w:u w:val="single"/>
        </w:rPr>
        <w:t>Women with disabilities (art. 6)</w:t>
      </w:r>
    </w:p>
    <w:p w:rsidR="00E63DBC" w:rsidRDefault="00E63DBC" w:rsidP="00E63DBC">
      <w:pPr>
        <w:spacing w:line="259" w:lineRule="auto"/>
        <w:jc w:val="both"/>
        <w:rPr>
          <w:rFonts w:eastAsia="Calibri" w:cs="Vrinda"/>
          <w:b/>
        </w:rPr>
      </w:pPr>
    </w:p>
    <w:p w:rsidR="00413C4D" w:rsidRDefault="00413C4D" w:rsidP="00E63DBC">
      <w:pPr>
        <w:spacing w:line="259" w:lineRule="auto"/>
        <w:jc w:val="both"/>
        <w:rPr>
          <w:rFonts w:eastAsia="Calibri" w:cs="Vrinda"/>
          <w:b/>
        </w:rPr>
      </w:pPr>
      <w:r w:rsidRPr="00413C4D">
        <w:rPr>
          <w:rFonts w:eastAsia="Calibri" w:cs="Vrinda"/>
          <w:b/>
        </w:rPr>
        <w:t>Questions 5-6</w:t>
      </w:r>
    </w:p>
    <w:p w:rsidR="00E63DBC" w:rsidRPr="00413C4D" w:rsidRDefault="00E63DBC" w:rsidP="00E63DBC">
      <w:pPr>
        <w:spacing w:line="259" w:lineRule="auto"/>
        <w:jc w:val="both"/>
        <w:rPr>
          <w:rFonts w:eastAsia="Calibri" w:cs="Vrinda"/>
          <w:b/>
        </w:rPr>
      </w:pPr>
    </w:p>
    <w:p w:rsidR="00413C4D" w:rsidRDefault="00413C4D" w:rsidP="00E63DBC">
      <w:pPr>
        <w:spacing w:line="259" w:lineRule="auto"/>
        <w:jc w:val="both"/>
        <w:rPr>
          <w:rFonts w:eastAsia="Calibri" w:cs="Vrinda"/>
        </w:rPr>
      </w:pPr>
      <w:r w:rsidRPr="00413C4D">
        <w:rPr>
          <w:rFonts w:eastAsia="Calibri" w:cs="Vrinda"/>
        </w:rPr>
        <w:t>Section 8 points (a), (g) and (o) of the Ebkt. define gender, disability and age as protected characteristics. Despite the pilot programs implemented with the help of European Union (EU) funding, there is no comprehensive program or measure specifically designed to help women with disabilities in their practical prosperity, to prevent abuse and to protect and rehabilitate victims. This is a very pressing problem, and in our view, the abuse of women with disabilities remains a taboo in our country.</w:t>
      </w:r>
    </w:p>
    <w:p w:rsidR="00E63DBC" w:rsidRPr="00413C4D" w:rsidRDefault="00E63DBC" w:rsidP="00E63DBC">
      <w:pPr>
        <w:spacing w:line="259" w:lineRule="auto"/>
        <w:jc w:val="both"/>
        <w:rPr>
          <w:rFonts w:eastAsia="Calibri" w:cs="Vrinda"/>
        </w:rPr>
      </w:pPr>
    </w:p>
    <w:p w:rsidR="00413C4D" w:rsidRPr="00E63DBC" w:rsidRDefault="00413C4D" w:rsidP="00413C4D">
      <w:pPr>
        <w:numPr>
          <w:ilvl w:val="0"/>
          <w:numId w:val="15"/>
        </w:numPr>
        <w:spacing w:after="160" w:line="259" w:lineRule="auto"/>
        <w:contextualSpacing/>
        <w:jc w:val="both"/>
        <w:rPr>
          <w:rFonts w:eastAsia="Calibri" w:cs="Vrinda"/>
          <w:u w:val="single"/>
        </w:rPr>
      </w:pPr>
      <w:r w:rsidRPr="00413C4D">
        <w:rPr>
          <w:rFonts w:eastAsia="Calibri" w:cs="Vrinda"/>
          <w:b/>
          <w:u w:val="single"/>
        </w:rPr>
        <w:t>Children with disabilities (art. 7)</w:t>
      </w:r>
    </w:p>
    <w:p w:rsidR="00E63DBC" w:rsidRPr="00413C4D" w:rsidRDefault="00E63DBC" w:rsidP="00E63DBC">
      <w:pPr>
        <w:spacing w:after="160" w:line="259" w:lineRule="auto"/>
        <w:contextualSpacing/>
        <w:jc w:val="both"/>
        <w:rPr>
          <w:rFonts w:eastAsia="Calibri" w:cs="Vrinda"/>
          <w:u w:val="single"/>
        </w:rPr>
      </w:pPr>
    </w:p>
    <w:p w:rsidR="00413C4D" w:rsidRDefault="00413C4D" w:rsidP="00E63DBC">
      <w:pPr>
        <w:spacing w:line="259" w:lineRule="auto"/>
        <w:jc w:val="both"/>
        <w:rPr>
          <w:rFonts w:eastAsia="Calibri" w:cs="Vrinda"/>
          <w:b/>
        </w:rPr>
      </w:pPr>
      <w:r w:rsidRPr="00413C4D">
        <w:rPr>
          <w:rFonts w:eastAsia="Calibri" w:cs="Vrinda"/>
          <w:b/>
        </w:rPr>
        <w:t>Questions 7-8</w:t>
      </w:r>
    </w:p>
    <w:p w:rsidR="00E63DBC" w:rsidRPr="00413C4D" w:rsidRDefault="00E63DBC" w:rsidP="00E63DBC">
      <w:pPr>
        <w:spacing w:line="259" w:lineRule="auto"/>
        <w:jc w:val="both"/>
        <w:rPr>
          <w:rFonts w:eastAsia="Calibri" w:cs="Vrinda"/>
          <w:b/>
        </w:rPr>
      </w:pPr>
    </w:p>
    <w:p w:rsidR="00413C4D" w:rsidRDefault="00413C4D" w:rsidP="00E63DBC">
      <w:pPr>
        <w:spacing w:line="259" w:lineRule="auto"/>
        <w:jc w:val="both"/>
        <w:rPr>
          <w:rFonts w:eastAsia="Calibri" w:cs="Vrinda"/>
        </w:rPr>
      </w:pPr>
      <w:r w:rsidRPr="00413C4D">
        <w:rPr>
          <w:rFonts w:eastAsia="Calibri" w:cs="Vrinda"/>
        </w:rPr>
        <w:t>In MEOSZ’s view, if a child with disability is born in a family in our country today, the whole family is often isolated from society due to the shortcomings deriving from the lack of information and separate systems. In addition, the government does not fulfil its obligation under Article 7 and 23 if the CRPD and does not line with the recommendation of UN Committee on the Right of the Child (CRC Committee) set out in paras. 41 and 45 (b) of its concluding observations on the combined third, fourth and fifth periodic reports of Hungary</w:t>
      </w:r>
      <w:r w:rsidRPr="00003146">
        <w:rPr>
          <w:rFonts w:eastAsia="Calibri" w:cs="Vrinda"/>
          <w:vertAlign w:val="superscript"/>
        </w:rPr>
        <w:footnoteReference w:id="10"/>
      </w:r>
      <w:r w:rsidRPr="00413C4D">
        <w:rPr>
          <w:rFonts w:eastAsia="Calibri" w:cs="Vrinda"/>
        </w:rPr>
        <w:t xml:space="preserve"> as it has not developed an effective legislative framework and strategy to prevent the institutionalization of those children with disabilities who cannot be cared for by their parents.</w:t>
      </w:r>
    </w:p>
    <w:p w:rsidR="00E63DBC" w:rsidRPr="00413C4D" w:rsidRDefault="00E63DBC" w:rsidP="00E63DBC">
      <w:pPr>
        <w:spacing w:line="259" w:lineRule="auto"/>
        <w:jc w:val="both"/>
        <w:rPr>
          <w:rFonts w:eastAsia="Calibri" w:cs="Vrinda"/>
        </w:rPr>
      </w:pPr>
    </w:p>
    <w:p w:rsidR="00413C4D" w:rsidRDefault="00413C4D" w:rsidP="00937233">
      <w:pPr>
        <w:spacing w:line="259" w:lineRule="auto"/>
        <w:jc w:val="both"/>
        <w:rPr>
          <w:rFonts w:eastAsia="Calibri" w:cs="Vrinda"/>
        </w:rPr>
      </w:pPr>
      <w:r w:rsidRPr="00413C4D">
        <w:rPr>
          <w:rFonts w:eastAsia="Calibri" w:cs="Vrinda"/>
        </w:rPr>
        <w:t>In general, in the absence of parental care children are not provided with alternative care in his/her wider family environment or, in the absence thereof, in another family-based community. As of 1 January 2017, Section 7 para. (2) of Act XXXI of 1997 on Child Protection and Guardianship Management (Gyvt.)</w:t>
      </w:r>
      <w:r w:rsidRPr="00003146">
        <w:rPr>
          <w:rFonts w:eastAsia="Calibri" w:cs="Vrinda"/>
          <w:vertAlign w:val="superscript"/>
        </w:rPr>
        <w:footnoteReference w:id="11"/>
      </w:r>
      <w:r w:rsidRPr="00413C4D">
        <w:rPr>
          <w:rFonts w:eastAsia="Calibri" w:cs="Vrinda"/>
        </w:rPr>
        <w:t xml:space="preserve"> has  discriminative provisions according to which: ’The child has the right to – in its adoptive family or in other forms of substitutive service – care substituting parental or other relative’s care. The temporary care and home placement of the child shall be primarily provided at foster parents. In case of children under 12 years, the obligation for placing them at fosters parent can be waived only if the chronically ill, severely disabled child’s placement at foster parents is not in the best interest of the child, or because it is not possible due to his/her state’. The Commissioner for Fundamental Rights has repeatedly highlighted this problem, and </w:t>
      </w:r>
      <w:r w:rsidRPr="00413C4D">
        <w:rPr>
          <w:rFonts w:eastAsia="Calibri" w:cs="Vrinda"/>
        </w:rPr>
        <w:lastRenderedPageBreak/>
        <w:t>MEOSZ also turned unsuccessfully to the President of the Hungary to end discriminatory practices.</w:t>
      </w:r>
    </w:p>
    <w:p w:rsidR="00937233" w:rsidRPr="00413C4D" w:rsidRDefault="00937233" w:rsidP="00937233">
      <w:pPr>
        <w:spacing w:line="259" w:lineRule="auto"/>
        <w:jc w:val="both"/>
        <w:rPr>
          <w:rFonts w:eastAsia="Calibri" w:cs="Vrinda"/>
        </w:rPr>
      </w:pPr>
    </w:p>
    <w:p w:rsidR="00413C4D" w:rsidRPr="00413C4D" w:rsidRDefault="00413C4D" w:rsidP="00413C4D">
      <w:pPr>
        <w:jc w:val="both"/>
        <w:rPr>
          <w:rFonts w:eastAsia="Calibri" w:cs="Times New Roman"/>
        </w:rPr>
      </w:pPr>
      <w:r w:rsidRPr="00413C4D">
        <w:rPr>
          <w:rFonts w:eastAsia="Calibri" w:cs="Times New Roman"/>
        </w:rPr>
        <w:t>In 2015, a total number of 826 children</w:t>
      </w:r>
      <w:r w:rsidRPr="00413C4D">
        <w:rPr>
          <w:rFonts w:eastAsia="Calibri" w:cs="Vrinda"/>
          <w:vertAlign w:val="superscript"/>
        </w:rPr>
        <w:footnoteReference w:id="12"/>
      </w:r>
      <w:r w:rsidRPr="00413C4D">
        <w:rPr>
          <w:rFonts w:eastAsia="Calibri" w:cs="Times New Roman"/>
        </w:rPr>
        <w:t xml:space="preserve"> while in 2017 a total number of 789</w:t>
      </w:r>
      <w:r w:rsidRPr="00003146">
        <w:rPr>
          <w:rFonts w:eastAsia="Calibri" w:cs="Vrinda"/>
          <w:vertAlign w:val="superscript"/>
        </w:rPr>
        <w:footnoteReference w:id="13"/>
      </w:r>
      <w:r w:rsidRPr="00413C4D">
        <w:rPr>
          <w:rFonts w:eastAsia="Calibri" w:cs="Times New Roman"/>
        </w:rPr>
        <w:t xml:space="preserve"> children lived in Homes for Disabled Persons which fall within the scope of Section 67 para. (2) of Act III of 1993 on Social Management and Social Service (Szoctv.) that provides institutional care for children thus providing large institutional environment for the children. According to MEOSZ, the Government does not fulfil its obligations laid down in Article 7 and 19 of the CRPD since it has not adopted any strategy or programs (with initial indicators, criteria, time frames) in order to ensure that disabled children – by providing adequate support - can exercise their right to family life.</w:t>
      </w:r>
    </w:p>
    <w:p w:rsidR="00413C4D" w:rsidRPr="00413C4D" w:rsidRDefault="00413C4D" w:rsidP="00413C4D">
      <w:pPr>
        <w:jc w:val="both"/>
        <w:rPr>
          <w:rFonts w:eastAsia="Calibri" w:cs="Times New Roman"/>
        </w:rPr>
      </w:pPr>
    </w:p>
    <w:p w:rsidR="00413C4D" w:rsidRPr="00413C4D" w:rsidRDefault="00413C4D" w:rsidP="00413C4D">
      <w:pPr>
        <w:jc w:val="both"/>
        <w:rPr>
          <w:rFonts w:eastAsia="Calibri" w:cs="Times New Roman"/>
        </w:rPr>
      </w:pPr>
      <w:r w:rsidRPr="00413C4D">
        <w:rPr>
          <w:rFonts w:eastAsia="Calibri" w:cs="Times New Roman"/>
        </w:rPr>
        <w:t>According to long-term conception on DI for the period of 2017-2036,</w:t>
      </w:r>
      <w:r w:rsidRPr="00003146">
        <w:rPr>
          <w:rFonts w:eastAsia="Calibri" w:cs="Times New Roman"/>
          <w:vertAlign w:val="superscript"/>
        </w:rPr>
        <w:footnoteReference w:id="14"/>
      </w:r>
      <w:r w:rsidRPr="00413C4D">
        <w:rPr>
          <w:rFonts w:eastAsia="Calibri" w:cs="Times New Roman"/>
        </w:rPr>
        <w:t xml:space="preserve"> it should make possible for children to participate in the DI process however children are not explicitly included among the target groups of ongoing projects. In addition, the Hungarian government did not adopt measures, laws, strategies to replace institutional accommodation for children with disabilities. </w:t>
      </w:r>
    </w:p>
    <w:p w:rsidR="00413C4D" w:rsidRPr="00413C4D" w:rsidRDefault="00413C4D" w:rsidP="00413C4D">
      <w:pPr>
        <w:jc w:val="both"/>
        <w:rPr>
          <w:rFonts w:eastAsia="Calibri" w:cs="Times New Roman"/>
        </w:rPr>
      </w:pPr>
    </w:p>
    <w:p w:rsidR="00413C4D" w:rsidRPr="00413C4D" w:rsidRDefault="00413C4D" w:rsidP="00413C4D">
      <w:pPr>
        <w:jc w:val="both"/>
        <w:rPr>
          <w:rFonts w:eastAsia="Calibri" w:cs="Times New Roman"/>
        </w:rPr>
      </w:pPr>
      <w:r w:rsidRPr="00413C4D">
        <w:rPr>
          <w:rFonts w:eastAsia="Calibri" w:cs="Times New Roman"/>
        </w:rPr>
        <w:t>The Hungarian Government has not adopted any measure, legislation or strategy for the deinstitutionalization of disabled children. Nevertheless, the call for application EFOP-2.1.1-16 for financial support from the EU funds provides the possibility for the renovation and modernization of children’s homes. Disabled children also live in such institutions. According to Section 59 Paragraph (1) of the Act XXXI of 1997 on the Protection of the Child and on the Management of Public Guardianship these Children’s Homes provide care for a minimum of 12 but the maximum of 48 children, however in practice they receive more, even 100 children at the same time (see OPCAT Report No. AJB-1603/2016). This is based on Section 163 para. (1) of the NM Ministerial Decree No. 15/1998.</w:t>
      </w:r>
      <w:r w:rsidRPr="00003146">
        <w:rPr>
          <w:rFonts w:eastAsia="Calibri" w:cs="Times New Roman"/>
          <w:vertAlign w:val="superscript"/>
        </w:rPr>
        <w:footnoteReference w:id="15"/>
      </w:r>
    </w:p>
    <w:p w:rsidR="00413C4D" w:rsidRPr="00413C4D" w:rsidRDefault="00413C4D" w:rsidP="00413C4D">
      <w:pPr>
        <w:jc w:val="both"/>
        <w:rPr>
          <w:rFonts w:eastAsia="Calibri" w:cs="Times New Roman"/>
        </w:rPr>
      </w:pPr>
    </w:p>
    <w:p w:rsidR="00413C4D" w:rsidRPr="00413C4D" w:rsidRDefault="00413C4D" w:rsidP="00413C4D">
      <w:pPr>
        <w:jc w:val="both"/>
        <w:rPr>
          <w:rFonts w:eastAsia="Calibri" w:cs="Times New Roman"/>
        </w:rPr>
      </w:pPr>
      <w:r w:rsidRPr="00413C4D">
        <w:rPr>
          <w:rFonts w:eastAsia="Calibri" w:cs="Times New Roman"/>
        </w:rPr>
        <w:t>Since spring 2019, the DI of the Károlyi István Children's Home in Fót has constant media attention. It was leaked that intention was that, although the process is called DI, children with disabilities would be moving to another large institution in the countryside. Neither the affected children, nor the workers there, nor the MEOSZ received any information about the fate of these children. Some of the children were forced to turn to the public so as they could live nearby where they would receive their special developments and could stay with their familiar educators.</w:t>
      </w:r>
      <w:r w:rsidRPr="00003146">
        <w:rPr>
          <w:rFonts w:eastAsia="Calibri" w:cs="Calibri"/>
          <w:sz w:val="22"/>
          <w:szCs w:val="22"/>
          <w:vertAlign w:val="superscript"/>
        </w:rPr>
        <w:footnoteReference w:id="16"/>
      </w:r>
      <w:r w:rsidRPr="00413C4D">
        <w:rPr>
          <w:rFonts w:eastAsia="Calibri" w:cs="Calibri"/>
          <w:sz w:val="22"/>
          <w:szCs w:val="22"/>
        </w:rPr>
        <w:t xml:space="preserve"> </w:t>
      </w:r>
    </w:p>
    <w:p w:rsidR="00413C4D" w:rsidRDefault="00413C4D" w:rsidP="00937233">
      <w:pPr>
        <w:spacing w:line="259" w:lineRule="auto"/>
        <w:jc w:val="both"/>
        <w:rPr>
          <w:rFonts w:eastAsia="Calibri" w:cs="Calibri"/>
        </w:rPr>
      </w:pPr>
    </w:p>
    <w:p w:rsidR="00937233" w:rsidRDefault="00937233" w:rsidP="00937233">
      <w:pPr>
        <w:spacing w:line="259" w:lineRule="auto"/>
        <w:jc w:val="both"/>
        <w:rPr>
          <w:rFonts w:eastAsia="Calibri" w:cs="Calibri"/>
        </w:rPr>
      </w:pPr>
    </w:p>
    <w:p w:rsidR="00937233" w:rsidRPr="00413C4D" w:rsidRDefault="00937233" w:rsidP="00937233">
      <w:pPr>
        <w:spacing w:line="259" w:lineRule="auto"/>
        <w:jc w:val="both"/>
        <w:rPr>
          <w:rFonts w:eastAsia="Calibri" w:cs="Calibri"/>
        </w:rPr>
      </w:pPr>
    </w:p>
    <w:p w:rsidR="00413C4D" w:rsidRDefault="00413C4D" w:rsidP="00937233">
      <w:pPr>
        <w:numPr>
          <w:ilvl w:val="0"/>
          <w:numId w:val="15"/>
        </w:numPr>
        <w:spacing w:line="259" w:lineRule="auto"/>
        <w:contextualSpacing/>
        <w:jc w:val="both"/>
        <w:rPr>
          <w:rFonts w:eastAsia="Calibri" w:cs="Vrinda"/>
          <w:b/>
          <w:u w:val="single"/>
        </w:rPr>
      </w:pPr>
      <w:r w:rsidRPr="00413C4D">
        <w:rPr>
          <w:rFonts w:eastAsia="Calibri" w:cs="Vrinda"/>
          <w:b/>
          <w:u w:val="single"/>
        </w:rPr>
        <w:lastRenderedPageBreak/>
        <w:t>Accessibility (art. 9)</w:t>
      </w:r>
    </w:p>
    <w:p w:rsidR="00937233" w:rsidRPr="00413C4D" w:rsidRDefault="00937233" w:rsidP="00937233">
      <w:pPr>
        <w:spacing w:line="259" w:lineRule="auto"/>
        <w:contextualSpacing/>
        <w:jc w:val="both"/>
        <w:rPr>
          <w:rFonts w:eastAsia="Calibri" w:cs="Vrinda"/>
          <w:b/>
          <w:u w:val="single"/>
        </w:rPr>
      </w:pPr>
    </w:p>
    <w:p w:rsidR="00413C4D" w:rsidRDefault="00413C4D" w:rsidP="00937233">
      <w:pPr>
        <w:spacing w:line="259" w:lineRule="auto"/>
        <w:jc w:val="both"/>
        <w:rPr>
          <w:rFonts w:eastAsia="Calibri" w:cs="Vrinda"/>
          <w:b/>
        </w:rPr>
      </w:pPr>
      <w:r w:rsidRPr="00413C4D">
        <w:rPr>
          <w:rFonts w:eastAsia="Calibri" w:cs="Vrinda"/>
          <w:b/>
        </w:rPr>
        <w:t>Questions 10-12</w:t>
      </w:r>
    </w:p>
    <w:p w:rsidR="00937233" w:rsidRPr="00413C4D" w:rsidRDefault="00937233" w:rsidP="00937233">
      <w:pPr>
        <w:spacing w:line="259" w:lineRule="auto"/>
        <w:jc w:val="both"/>
        <w:rPr>
          <w:rFonts w:eastAsia="Calibri" w:cs="Vrinda"/>
          <w:b/>
        </w:rPr>
      </w:pPr>
    </w:p>
    <w:p w:rsidR="00413C4D" w:rsidRDefault="00413C4D" w:rsidP="00937233">
      <w:pPr>
        <w:spacing w:line="259" w:lineRule="auto"/>
        <w:jc w:val="both"/>
        <w:rPr>
          <w:rFonts w:eastAsia="Calibri" w:cs="Vrinda"/>
        </w:rPr>
      </w:pPr>
      <w:r w:rsidRPr="00413C4D">
        <w:rPr>
          <w:rFonts w:eastAsia="Calibri" w:cs="Vrinda"/>
        </w:rPr>
        <w:t>Today, one of the major obstacles for physically disabled persons to live independently is the lack or inadequacy of physical accessibility. Even though accessibility requirements have been laid down in domestic law for more than 20 years, there is still a serious lack of accessibility in the built environment. According to an amendment of the Fot.,</w:t>
      </w:r>
      <w:r w:rsidRPr="00003146">
        <w:rPr>
          <w:rFonts w:eastAsia="Calibri" w:cs="Vrinda"/>
          <w:vertAlign w:val="superscript"/>
        </w:rPr>
        <w:footnoteReference w:id="17"/>
      </w:r>
      <w:r w:rsidRPr="00413C4D">
        <w:rPr>
          <w:rFonts w:eastAsia="Calibri" w:cs="Vrinda"/>
        </w:rPr>
        <w:t xml:space="preserve"> buildings of public institutions providing public services  - including buildings of the justice system – should have been accessible by 31 December 2013, extending previous deadlines. </w:t>
      </w:r>
    </w:p>
    <w:p w:rsidR="00937233" w:rsidRPr="00413C4D" w:rsidRDefault="00937233" w:rsidP="00937233">
      <w:pPr>
        <w:spacing w:line="259" w:lineRule="auto"/>
        <w:jc w:val="both"/>
        <w:rPr>
          <w:rFonts w:eastAsia="Calibri" w:cs="Vrinda"/>
        </w:rPr>
      </w:pPr>
    </w:p>
    <w:p w:rsidR="00413C4D" w:rsidRDefault="00413C4D" w:rsidP="00937233">
      <w:pPr>
        <w:spacing w:line="259" w:lineRule="auto"/>
        <w:jc w:val="both"/>
        <w:rPr>
          <w:rFonts w:eastAsia="Calibri" w:cs="Vrinda"/>
        </w:rPr>
      </w:pPr>
      <w:r w:rsidRPr="00413C4D">
        <w:rPr>
          <w:rFonts w:eastAsia="Calibri" w:cs="Vrinda"/>
        </w:rPr>
        <w:t>Unfortunately, the state commitment in relation to accessibility has been delayed by amending the statutory deadline, and as consequence, currently there is no statutory deadline for accessibility. The quality of accessibility is not adequately controlled when designing buildings and issuing a building permit. Often, the state make only partial accessibility during renovations referring to lack of funds. For example, this is the case in connection with the renovation of Blaha Lujza Square underpass or many railway stations. It is also common that public services are still partially accessible (barrier-free entrance only) or they do not care about accessibility of the full service scale.</w:t>
      </w:r>
    </w:p>
    <w:p w:rsidR="00937233" w:rsidRPr="00413C4D" w:rsidRDefault="00937233" w:rsidP="00937233">
      <w:pPr>
        <w:spacing w:line="259" w:lineRule="auto"/>
        <w:jc w:val="both"/>
        <w:rPr>
          <w:rFonts w:eastAsia="Calibri" w:cs="Vrinda"/>
        </w:rPr>
      </w:pPr>
    </w:p>
    <w:p w:rsidR="00413C4D" w:rsidRDefault="00413C4D" w:rsidP="00937233">
      <w:pPr>
        <w:spacing w:line="259" w:lineRule="auto"/>
        <w:jc w:val="both"/>
        <w:rPr>
          <w:rFonts w:eastAsia="Calibri" w:cs="Vrinda"/>
        </w:rPr>
      </w:pPr>
      <w:r w:rsidRPr="00413C4D">
        <w:rPr>
          <w:rFonts w:eastAsia="Calibri" w:cs="Vrinda"/>
        </w:rPr>
        <w:t>As for the accessibility of ATMs, 70% of the total number of 1443 OTP Bank ATMs is accessible,</w:t>
      </w:r>
      <w:r w:rsidRPr="00003146">
        <w:rPr>
          <w:rFonts w:eastAsia="Calibri" w:cs="Vrinda"/>
          <w:vertAlign w:val="superscript"/>
        </w:rPr>
        <w:t xml:space="preserve"> </w:t>
      </w:r>
      <w:r w:rsidRPr="00003146">
        <w:rPr>
          <w:rFonts w:eastAsia="Calibri" w:cs="Vrinda"/>
          <w:vertAlign w:val="superscript"/>
        </w:rPr>
        <w:footnoteReference w:id="18"/>
      </w:r>
      <w:r w:rsidRPr="00413C4D">
        <w:rPr>
          <w:rFonts w:eastAsia="Calibri" w:cs="Vrinda"/>
        </w:rPr>
        <w:t xml:space="preserve"> out of which 96 ATM are recommended for visually impaired people. 323 of the total number of 385 OTP Bank branches are accessible. Other bank networks do not have a fully accessible branch network. It is positive that detailed information about accessibility can be found on the service providers' website.</w:t>
      </w:r>
    </w:p>
    <w:p w:rsidR="00937233" w:rsidRPr="00413C4D" w:rsidRDefault="00937233" w:rsidP="00937233">
      <w:pPr>
        <w:spacing w:line="259" w:lineRule="auto"/>
        <w:jc w:val="both"/>
        <w:rPr>
          <w:rFonts w:eastAsia="Calibri" w:cs="Vrinda"/>
        </w:rPr>
      </w:pPr>
    </w:p>
    <w:p w:rsidR="00413C4D" w:rsidRDefault="00413C4D" w:rsidP="00937233">
      <w:pPr>
        <w:spacing w:line="259" w:lineRule="auto"/>
        <w:jc w:val="both"/>
        <w:rPr>
          <w:rFonts w:eastAsia="Calibri" w:cs="Vrinda"/>
        </w:rPr>
      </w:pPr>
      <w:r w:rsidRPr="00413C4D">
        <w:rPr>
          <w:rFonts w:eastAsia="Calibri" w:cs="Vrinda"/>
        </w:rPr>
        <w:t>As a result of the lack of accessibility, persons with physical disability often do not or not in the same way as others have access to education and training (in many cases dormitories and educational institutions are also accessible)</w:t>
      </w:r>
      <w:r w:rsidRPr="00003146">
        <w:rPr>
          <w:rFonts w:eastAsia="Calibri" w:cs="Vrinda"/>
          <w:vertAlign w:val="superscript"/>
        </w:rPr>
        <w:footnoteReference w:id="19"/>
      </w:r>
      <w:r w:rsidRPr="00413C4D">
        <w:rPr>
          <w:rFonts w:eastAsia="Calibri" w:cs="Vrinda"/>
        </w:rPr>
        <w:t xml:space="preserve"> healthcare (in addition to buildings, equipment and devices providing health services are not always accessible),</w:t>
      </w:r>
      <w:r w:rsidRPr="00003146">
        <w:rPr>
          <w:rFonts w:eastAsia="Calibri" w:cs="Vrinda"/>
          <w:vertAlign w:val="superscript"/>
        </w:rPr>
        <w:footnoteReference w:id="20"/>
      </w:r>
      <w:r w:rsidRPr="00413C4D">
        <w:rPr>
          <w:rFonts w:eastAsia="Calibri" w:cs="Vrinda"/>
        </w:rPr>
        <w:t xml:space="preserve"> housing (residential buildings and condominiums are often also accessible), public transport (the majority of public transport services is not accessible)</w:t>
      </w:r>
      <w:r w:rsidRPr="00003146">
        <w:rPr>
          <w:rFonts w:eastAsia="Calibri" w:cs="Vrinda"/>
          <w:vertAlign w:val="superscript"/>
        </w:rPr>
        <w:footnoteReference w:id="21"/>
      </w:r>
      <w:r w:rsidRPr="00413C4D">
        <w:rPr>
          <w:rFonts w:eastAsia="Calibri" w:cs="Vrinda"/>
        </w:rPr>
        <w:t xml:space="preserve"> and  these are often also obstacles to their employment. </w:t>
      </w:r>
    </w:p>
    <w:p w:rsidR="00937233" w:rsidRPr="00413C4D" w:rsidRDefault="00937233" w:rsidP="00937233">
      <w:pPr>
        <w:spacing w:line="259" w:lineRule="auto"/>
        <w:jc w:val="both"/>
        <w:rPr>
          <w:rFonts w:eastAsia="Calibri" w:cs="Vrinda"/>
        </w:rPr>
      </w:pPr>
    </w:p>
    <w:p w:rsidR="00413C4D" w:rsidRPr="00413C4D" w:rsidRDefault="00413C4D" w:rsidP="00413C4D">
      <w:pPr>
        <w:spacing w:after="160" w:line="259" w:lineRule="auto"/>
        <w:jc w:val="both"/>
        <w:rPr>
          <w:rFonts w:eastAsia="Calibri" w:cs="Vrinda"/>
        </w:rPr>
      </w:pPr>
      <w:r w:rsidRPr="00413C4D">
        <w:rPr>
          <w:rFonts w:eastAsia="Calibri" w:cs="Vrinda"/>
        </w:rPr>
        <w:t>We consider as an important step forward in terms of access to public services that, as a result of MEOSZ's consistent action, MEOSZ and the Metropolitan Municipality reached an agreement to guarantee that all metro stations will be accessible during the reconstruction of M3 metro line. MEOSZ is continuously monitoring the reconstruction works and submits its comments and suggestions to the BKK Metro Reconstruction Project Directorate.</w:t>
      </w:r>
    </w:p>
    <w:p w:rsidR="00413C4D" w:rsidRPr="00413C4D" w:rsidRDefault="00413C4D" w:rsidP="00912DB6">
      <w:pPr>
        <w:spacing w:line="259" w:lineRule="auto"/>
        <w:jc w:val="both"/>
        <w:rPr>
          <w:rFonts w:eastAsia="Calibri" w:cs="Vrinda"/>
        </w:rPr>
      </w:pPr>
      <w:r w:rsidRPr="00413C4D">
        <w:rPr>
          <w:rFonts w:eastAsia="Calibri" w:cs="Vrinda"/>
        </w:rPr>
        <w:lastRenderedPageBreak/>
        <w:t>However, in other areas accessibility is still lagging. For example, according to a survey conducted by MEOSZ among its member organizations in 2017,</w:t>
      </w:r>
      <w:r w:rsidRPr="00003146">
        <w:rPr>
          <w:rFonts w:eastAsia="Calibri" w:cs="Vrinda"/>
          <w:vertAlign w:val="superscript"/>
        </w:rPr>
        <w:t xml:space="preserve"> </w:t>
      </w:r>
      <w:r w:rsidRPr="00003146">
        <w:rPr>
          <w:rFonts w:eastAsia="Calibri" w:cs="Vrinda"/>
          <w:vertAlign w:val="superscript"/>
        </w:rPr>
        <w:footnoteReference w:id="22"/>
      </w:r>
      <w:r w:rsidRPr="00413C4D">
        <w:rPr>
          <w:rFonts w:eastAsia="Calibri" w:cs="Vrinda"/>
        </w:rPr>
        <w:t xml:space="preserve"> there is a general lack of equal access for persons with physical disabilities in rail transport. On the one hand, in this area there is a lack of resources which results in uneven territorial coverage.</w:t>
      </w:r>
    </w:p>
    <w:p w:rsidR="00912DB6" w:rsidRDefault="00912DB6" w:rsidP="00912DB6">
      <w:pPr>
        <w:spacing w:line="259" w:lineRule="auto"/>
        <w:jc w:val="both"/>
        <w:rPr>
          <w:rFonts w:eastAsia="Calibri" w:cs="Vrinda"/>
        </w:rPr>
      </w:pPr>
    </w:p>
    <w:p w:rsidR="00413C4D" w:rsidRPr="00413C4D" w:rsidRDefault="00413C4D" w:rsidP="00912DB6">
      <w:pPr>
        <w:spacing w:line="259" w:lineRule="auto"/>
        <w:jc w:val="both"/>
        <w:rPr>
          <w:rFonts w:eastAsia="Calibri" w:cs="Vrinda"/>
        </w:rPr>
      </w:pPr>
      <w:r w:rsidRPr="00413C4D">
        <w:rPr>
          <w:rFonts w:eastAsia="Calibri" w:cs="Vrinda"/>
        </w:rPr>
        <w:t>The majority of railway stations</w:t>
      </w:r>
      <w:r w:rsidRPr="00003146">
        <w:rPr>
          <w:rFonts w:eastAsia="Calibri" w:cs="Vrinda"/>
          <w:vertAlign w:val="superscript"/>
        </w:rPr>
        <w:footnoteReference w:id="23"/>
      </w:r>
      <w:r w:rsidRPr="00413C4D">
        <w:rPr>
          <w:rFonts w:eastAsia="Calibri" w:cs="Vrinda"/>
        </w:rPr>
        <w:t xml:space="preserve"> and railway carriages are not accessible.</w:t>
      </w:r>
      <w:r w:rsidRPr="00003146">
        <w:rPr>
          <w:rFonts w:eastAsia="Calibri" w:cs="Vrinda"/>
          <w:vertAlign w:val="superscript"/>
        </w:rPr>
        <w:t xml:space="preserve"> </w:t>
      </w:r>
      <w:r w:rsidRPr="00003146">
        <w:rPr>
          <w:rFonts w:eastAsia="Calibri" w:cs="Vrinda"/>
          <w:vertAlign w:val="superscript"/>
        </w:rPr>
        <w:footnoteReference w:id="24"/>
      </w:r>
      <w:r w:rsidRPr="00413C4D">
        <w:rPr>
          <w:rFonts w:eastAsia="Calibri" w:cs="Vrinda"/>
        </w:rPr>
        <w:t xml:space="preserve"> In our view, the provision of Hungarian Railway Company (MÁV) according to which disabled people can use the service only on special prior notice (48 hours before travel) and subject to certain conditions violates human dignity and the right to self-determined life.</w:t>
      </w:r>
      <w:r w:rsidRPr="00003146">
        <w:rPr>
          <w:rFonts w:eastAsia="Calibri" w:cs="Vrinda"/>
          <w:vertAlign w:val="superscript"/>
        </w:rPr>
        <w:footnoteReference w:id="25"/>
      </w:r>
      <w:r w:rsidRPr="00413C4D">
        <w:rPr>
          <w:rFonts w:eastAsia="Calibri" w:cs="Vrinda"/>
        </w:rPr>
        <w:t xml:space="preserve"> Despite the fact that the CRPD has been in force since 2007 and Regulation (EC) No. 1371/2007 on rail passengers' rights and obligations has been directly applicable since 23 October 2009</w:t>
      </w:r>
      <w:r w:rsidRPr="00003146">
        <w:rPr>
          <w:rFonts w:eastAsia="Calibri" w:cs="Vrinda"/>
          <w:vertAlign w:val="superscript"/>
        </w:rPr>
        <w:footnoteReference w:id="26"/>
      </w:r>
      <w:r w:rsidRPr="00413C4D">
        <w:rPr>
          <w:rFonts w:eastAsia="Calibri" w:cs="Vrinda"/>
        </w:rPr>
        <w:t xml:space="preserve"> – due to government exemptions applied in case of MÁV</w:t>
      </w:r>
      <w:r w:rsidRPr="00003146">
        <w:rPr>
          <w:rFonts w:eastAsia="Calibri" w:cs="Vrinda"/>
          <w:vertAlign w:val="superscript"/>
        </w:rPr>
        <w:footnoteReference w:id="27"/>
      </w:r>
      <w:r w:rsidRPr="00413C4D">
        <w:rPr>
          <w:rFonts w:eastAsia="Calibri" w:cs="Vrinda"/>
        </w:rPr>
        <w:t xml:space="preserve"> – the ‘MÁV Group's accessibility strategy for 2028 with a view to 2050’ was only adopted in March 2018.</w:t>
      </w:r>
      <w:r w:rsidRPr="00003146">
        <w:rPr>
          <w:rFonts w:eastAsia="Calibri" w:cs="Vrinda"/>
          <w:vertAlign w:val="superscript"/>
        </w:rPr>
        <w:footnoteReference w:id="28"/>
      </w:r>
      <w:r w:rsidRPr="00413C4D">
        <w:rPr>
          <w:rFonts w:eastAsia="Calibri" w:cs="Vrinda"/>
        </w:rPr>
        <w:t xml:space="preserve"> In addition, pilot project to assess the accessibility needs in order to begin accessibility works has just stated only in case of 53 stations in August and September 2019 and since it is only an assessment, accessible transport is not provided at several international intersections where the related EU regulation</w:t>
      </w:r>
      <w:r w:rsidRPr="00003146">
        <w:rPr>
          <w:rFonts w:eastAsia="Calibri" w:cs="Vrinda"/>
          <w:vertAlign w:val="superscript"/>
        </w:rPr>
        <w:footnoteReference w:id="29"/>
      </w:r>
      <w:r w:rsidRPr="00413C4D">
        <w:rPr>
          <w:rFonts w:eastAsia="Calibri" w:cs="Vrinda"/>
        </w:rPr>
        <w:t xml:space="preserve"> requires so.</w:t>
      </w:r>
      <w:r w:rsidRPr="00003146">
        <w:rPr>
          <w:rFonts w:eastAsia="Calibri" w:cs="Vrinda"/>
          <w:vertAlign w:val="superscript"/>
        </w:rPr>
        <w:footnoteReference w:id="30"/>
      </w:r>
      <w:r w:rsidRPr="00413C4D">
        <w:rPr>
          <w:rFonts w:eastAsia="Calibri" w:cs="Vrinda"/>
        </w:rPr>
        <w:t xml:space="preserve"> </w:t>
      </w:r>
    </w:p>
    <w:p w:rsidR="00912DB6" w:rsidRDefault="00912DB6" w:rsidP="00912DB6">
      <w:pPr>
        <w:spacing w:line="259" w:lineRule="auto"/>
        <w:jc w:val="both"/>
        <w:rPr>
          <w:rFonts w:eastAsia="Calibri" w:cs="Vrinda"/>
        </w:rPr>
      </w:pPr>
    </w:p>
    <w:p w:rsidR="00413C4D" w:rsidRPr="00413C4D" w:rsidRDefault="00413C4D" w:rsidP="00912DB6">
      <w:pPr>
        <w:spacing w:line="259" w:lineRule="auto"/>
        <w:jc w:val="both"/>
        <w:rPr>
          <w:rFonts w:eastAsia="Calibri" w:cs="Vrinda"/>
        </w:rPr>
      </w:pPr>
      <w:r w:rsidRPr="00413C4D">
        <w:rPr>
          <w:rFonts w:eastAsia="Calibri" w:cs="Vrinda"/>
        </w:rPr>
        <w:t>As regards bus transport, there is also a large backlog. Despite the entry into force of the CRPD and Regulation (EU) No 181/2011 (1 March 2013)</w:t>
      </w:r>
      <w:r w:rsidRPr="00003146">
        <w:rPr>
          <w:rFonts w:eastAsia="Calibri" w:cs="Vrinda"/>
          <w:vertAlign w:val="superscript"/>
        </w:rPr>
        <w:footnoteReference w:id="31"/>
      </w:r>
      <w:r w:rsidRPr="00413C4D">
        <w:rPr>
          <w:rFonts w:eastAsia="Calibri" w:cs="Vrinda"/>
        </w:rPr>
        <w:t xml:space="preserve"> on the rights of passengers in </w:t>
      </w:r>
      <w:r w:rsidRPr="00413C4D">
        <w:rPr>
          <w:rFonts w:eastAsia="Calibri" w:cs="Vrinda"/>
        </w:rPr>
        <w:lastRenderedPageBreak/>
        <w:t>bus and coach transport – also due to government exemptions</w:t>
      </w:r>
      <w:r w:rsidRPr="00003146">
        <w:rPr>
          <w:rFonts w:eastAsia="Calibri" w:cs="Vrinda"/>
          <w:vertAlign w:val="superscript"/>
        </w:rPr>
        <w:footnoteReference w:id="32"/>
      </w:r>
      <w:r w:rsidRPr="00413C4D">
        <w:rPr>
          <w:rFonts w:eastAsia="Calibri" w:cs="Vrinda"/>
        </w:rPr>
        <w:t xml:space="preserve"> – the majority of buses, mainly coaches, are not accessible.</w:t>
      </w:r>
      <w:r w:rsidRPr="00003146">
        <w:rPr>
          <w:rFonts w:eastAsia="Calibri" w:cs="Vrinda"/>
          <w:vertAlign w:val="superscript"/>
        </w:rPr>
        <w:footnoteReference w:id="33"/>
      </w:r>
    </w:p>
    <w:p w:rsidR="00413C4D" w:rsidRDefault="00413C4D" w:rsidP="00912DB6">
      <w:pPr>
        <w:spacing w:line="259" w:lineRule="auto"/>
        <w:jc w:val="both"/>
        <w:rPr>
          <w:rFonts w:eastAsia="Calibri" w:cs="Vrinda"/>
          <w:vertAlign w:val="superscript"/>
        </w:rPr>
      </w:pPr>
      <w:r w:rsidRPr="00413C4D">
        <w:rPr>
          <w:rFonts w:eastAsia="Calibri" w:cs="Vrinda"/>
        </w:rPr>
        <w:t>In addition, we consider as a forward-looking step the implemented developments (renovation and development of medical offices, town halls, kindergartens, crèches, village bus service, etc.) that are fully accessible and safe for physically disabled persons in the framework the Hungarian Village Program</w:t>
      </w:r>
      <w:r w:rsidRPr="00003146">
        <w:rPr>
          <w:rFonts w:eastAsia="Calibri" w:cs="Vrinda"/>
          <w:vertAlign w:val="superscript"/>
        </w:rPr>
        <w:footnoteReference w:id="34"/>
      </w:r>
      <w:r w:rsidRPr="00413C4D">
        <w:rPr>
          <w:rFonts w:eastAsia="Calibri" w:cs="Vrinda"/>
        </w:rPr>
        <w:t xml:space="preserve"> where the proposals of MEOSZ were incorporated into the calls for tender.</w:t>
      </w:r>
      <w:r w:rsidRPr="00003146">
        <w:rPr>
          <w:rFonts w:eastAsia="Calibri" w:cs="Vrinda"/>
          <w:vertAlign w:val="superscript"/>
        </w:rPr>
        <w:footnoteReference w:id="35"/>
      </w:r>
    </w:p>
    <w:p w:rsidR="00912DB6" w:rsidRPr="00413C4D" w:rsidRDefault="00912DB6" w:rsidP="00912DB6">
      <w:pPr>
        <w:spacing w:line="259" w:lineRule="auto"/>
        <w:jc w:val="both"/>
        <w:rPr>
          <w:rFonts w:eastAsia="Calibri" w:cs="Vrinda"/>
        </w:rPr>
      </w:pPr>
    </w:p>
    <w:p w:rsidR="00413C4D" w:rsidRPr="00413C4D" w:rsidRDefault="00413C4D" w:rsidP="00912DB6">
      <w:pPr>
        <w:numPr>
          <w:ilvl w:val="0"/>
          <w:numId w:val="15"/>
        </w:numPr>
        <w:spacing w:line="259" w:lineRule="auto"/>
        <w:contextualSpacing/>
        <w:jc w:val="both"/>
        <w:rPr>
          <w:rFonts w:eastAsia="Calibri" w:cs="Vrinda"/>
          <w:b/>
          <w:bCs/>
          <w:u w:val="single"/>
        </w:rPr>
      </w:pPr>
      <w:r w:rsidRPr="00413C4D">
        <w:rPr>
          <w:rFonts w:eastAsia="Calibri" w:cs="Vrinda"/>
          <w:b/>
          <w:bCs/>
          <w:u w:val="single"/>
        </w:rPr>
        <w:t>Equal recognition before the law (art. 12)</w:t>
      </w:r>
    </w:p>
    <w:p w:rsidR="00912DB6" w:rsidRDefault="00912DB6" w:rsidP="00912DB6">
      <w:pPr>
        <w:spacing w:line="259" w:lineRule="auto"/>
        <w:jc w:val="both"/>
        <w:rPr>
          <w:rFonts w:eastAsia="Calibri" w:cs="Vrinda"/>
          <w:b/>
        </w:rPr>
      </w:pPr>
    </w:p>
    <w:p w:rsidR="00413C4D" w:rsidRDefault="00413C4D" w:rsidP="00912DB6">
      <w:pPr>
        <w:spacing w:line="259" w:lineRule="auto"/>
        <w:jc w:val="both"/>
        <w:rPr>
          <w:rFonts w:eastAsia="Calibri" w:cs="Vrinda"/>
          <w:b/>
        </w:rPr>
      </w:pPr>
      <w:r w:rsidRPr="00413C4D">
        <w:rPr>
          <w:rFonts w:eastAsia="Calibri" w:cs="Vrinda"/>
          <w:b/>
        </w:rPr>
        <w:t>Question 16</w:t>
      </w:r>
    </w:p>
    <w:p w:rsidR="00912DB6" w:rsidRPr="00413C4D" w:rsidRDefault="00912DB6" w:rsidP="00912DB6">
      <w:pPr>
        <w:spacing w:line="259" w:lineRule="auto"/>
        <w:jc w:val="both"/>
        <w:rPr>
          <w:rFonts w:eastAsia="Calibri" w:cs="Vrinda"/>
          <w:b/>
        </w:rPr>
      </w:pPr>
    </w:p>
    <w:p w:rsidR="00413C4D" w:rsidRDefault="00413C4D" w:rsidP="00912DB6">
      <w:pPr>
        <w:spacing w:line="259" w:lineRule="auto"/>
        <w:jc w:val="both"/>
        <w:rPr>
          <w:rFonts w:eastAsia="Calibri" w:cs="Vrinda"/>
        </w:rPr>
      </w:pPr>
      <w:r w:rsidRPr="00413C4D">
        <w:rPr>
          <w:rFonts w:eastAsia="Calibri" w:cs="Vrinda"/>
        </w:rPr>
        <w:t>Many people with severe disabilities are physically unable to sign an official document due to a health impairment (such as lack of upper limbs, etc.). Visually impaired people have similar problems, but they are also able to read the document. According to the current legal provisions in Hungary anyone who is physically incapable of signing a given document has to contact the public notary because in this case the disabled person only make a written statement in the form of an authentic instrument.</w:t>
      </w:r>
      <w:r w:rsidRPr="00003146">
        <w:rPr>
          <w:rFonts w:eastAsia="Calibri" w:cs="Vrinda"/>
          <w:vertAlign w:val="superscript"/>
        </w:rPr>
        <w:footnoteReference w:id="36"/>
      </w:r>
      <w:r w:rsidRPr="00413C4D">
        <w:rPr>
          <w:rFonts w:eastAsia="Calibri" w:cs="Vrinda"/>
        </w:rPr>
        <w:t xml:space="preserve"> </w:t>
      </w:r>
    </w:p>
    <w:p w:rsidR="00912DB6" w:rsidRPr="00413C4D" w:rsidRDefault="00912DB6" w:rsidP="00912DB6">
      <w:pPr>
        <w:spacing w:line="259" w:lineRule="auto"/>
        <w:jc w:val="both"/>
        <w:rPr>
          <w:rFonts w:eastAsia="Calibri" w:cs="Vrinda"/>
        </w:rPr>
      </w:pPr>
    </w:p>
    <w:p w:rsidR="00413C4D" w:rsidRPr="00413C4D" w:rsidRDefault="00413C4D" w:rsidP="00413C4D">
      <w:pPr>
        <w:spacing w:after="160" w:line="259" w:lineRule="auto"/>
        <w:jc w:val="both"/>
        <w:rPr>
          <w:rFonts w:eastAsia="Calibri" w:cs="Vrinda"/>
        </w:rPr>
      </w:pPr>
      <w:r w:rsidRPr="00413C4D">
        <w:rPr>
          <w:rFonts w:eastAsia="Calibri" w:cs="Vrinda"/>
        </w:rPr>
        <w:t xml:space="preserve">Complaints received from our members indicating that this situation is seriously complicate the administrative affaires of the persons concerned where they need to make a written legal statement, whether to enter into a contract, conduct a banking transaction or in a simple administrative affaire, not to mention the vulnerable, humiliating situation that a person concerned may have to suffer. In our practice, we met several people who were under exclusive guardianship simply because they could not sign with their own hands or because they also had communication difficulties while being physically disabled. For example, there was a case when a bank rejected to open an account for a person with impairments affecting all his four limbs, because he could not sign his name. In another case, the clerk of a government office suggested to a disabled customer who was unable to sign his parking card to place himself under guardianship. </w:t>
      </w:r>
    </w:p>
    <w:p w:rsidR="00413C4D" w:rsidRDefault="00413C4D" w:rsidP="007F454E">
      <w:pPr>
        <w:spacing w:line="259" w:lineRule="auto"/>
        <w:jc w:val="both"/>
        <w:rPr>
          <w:rFonts w:eastAsia="Calibri" w:cs="Vrinda"/>
          <w:bCs/>
        </w:rPr>
      </w:pPr>
      <w:r w:rsidRPr="00413C4D">
        <w:rPr>
          <w:rFonts w:eastAsia="Calibri" w:cs="Vrinda"/>
        </w:rPr>
        <w:lastRenderedPageBreak/>
        <w:t xml:space="preserve">MEOSZ and </w:t>
      </w:r>
      <w:r w:rsidRPr="00413C4D">
        <w:rPr>
          <w:rFonts w:eastAsia="Calibri" w:cs="Vrinda"/>
          <w:bCs/>
        </w:rPr>
        <w:t>Hungarian Federation of the Blind and Partially Sighted sent their common legislative proposals to the Minster for Justice in order to eliminate legal anomalies.</w:t>
      </w:r>
      <w:r w:rsidRPr="00003146">
        <w:rPr>
          <w:rFonts w:eastAsia="Calibri" w:cs="Vrinda"/>
          <w:vertAlign w:val="superscript"/>
        </w:rPr>
        <w:footnoteReference w:id="37"/>
      </w:r>
      <w:r w:rsidRPr="00413C4D">
        <w:rPr>
          <w:rFonts w:eastAsia="Calibri" w:cs="Vrinda"/>
        </w:rPr>
        <w:t xml:space="preserve"> </w:t>
      </w:r>
      <w:r w:rsidRPr="00413C4D">
        <w:rPr>
          <w:rFonts w:eastAsia="Calibri" w:cs="Vrinda"/>
          <w:bCs/>
        </w:rPr>
        <w:t>According to the opinion of Ministry of Justice,</w:t>
      </w:r>
      <w:r w:rsidRPr="00003146">
        <w:rPr>
          <w:rFonts w:eastAsia="Calibri" w:cs="Vrinda"/>
          <w:vertAlign w:val="superscript"/>
        </w:rPr>
        <w:footnoteReference w:id="38"/>
      </w:r>
      <w:r w:rsidRPr="00413C4D">
        <w:rPr>
          <w:rFonts w:eastAsia="Calibri" w:cs="Vrinda"/>
          <w:bCs/>
        </w:rPr>
        <w:t xml:space="preserve"> the existing legal provisions serve as a guarantee for persons who are unable to write due to their physical and sensory disabilities. The legislator's aim is to protect those concerned by requiring the involvement of public notaries or the participation of another "guarantor" for making various transactions or statements, so that they do not intend to change this – in MEOSZ’s view illegal and making independent living for our members almost impossible – practice soon.</w:t>
      </w:r>
    </w:p>
    <w:p w:rsidR="007F454E" w:rsidRPr="00413C4D" w:rsidRDefault="007F454E" w:rsidP="007F454E">
      <w:pPr>
        <w:spacing w:line="259" w:lineRule="auto"/>
        <w:jc w:val="both"/>
        <w:rPr>
          <w:rFonts w:eastAsia="Calibri" w:cs="Vrinda"/>
        </w:rPr>
      </w:pPr>
    </w:p>
    <w:p w:rsidR="00413C4D" w:rsidRDefault="00413C4D" w:rsidP="00413C4D">
      <w:pPr>
        <w:numPr>
          <w:ilvl w:val="0"/>
          <w:numId w:val="15"/>
        </w:numPr>
        <w:spacing w:after="160" w:line="259" w:lineRule="auto"/>
        <w:contextualSpacing/>
        <w:jc w:val="both"/>
        <w:rPr>
          <w:rFonts w:eastAsia="Calibri" w:cs="Vrinda"/>
          <w:b/>
          <w:bCs/>
          <w:u w:val="single"/>
        </w:rPr>
      </w:pPr>
      <w:r w:rsidRPr="00413C4D">
        <w:rPr>
          <w:rFonts w:eastAsia="Calibri" w:cs="Vrinda"/>
          <w:b/>
          <w:bCs/>
          <w:u w:val="single"/>
        </w:rPr>
        <w:t>Access to justice (art. 13)</w:t>
      </w:r>
    </w:p>
    <w:p w:rsidR="00A23073" w:rsidRDefault="00A23073" w:rsidP="00A23073">
      <w:pPr>
        <w:spacing w:after="160" w:line="259" w:lineRule="auto"/>
        <w:contextualSpacing/>
        <w:jc w:val="both"/>
        <w:rPr>
          <w:rFonts w:eastAsia="Calibri" w:cs="Vrinda"/>
          <w:b/>
          <w:bCs/>
          <w:u w:val="single"/>
        </w:rPr>
      </w:pPr>
    </w:p>
    <w:p w:rsidR="00A23073" w:rsidRPr="00A23073" w:rsidRDefault="00A23073" w:rsidP="00A23073">
      <w:pPr>
        <w:spacing w:after="160" w:line="259" w:lineRule="auto"/>
        <w:contextualSpacing/>
        <w:jc w:val="both"/>
        <w:rPr>
          <w:rFonts w:eastAsia="Calibri" w:cs="Vrinda"/>
          <w:b/>
          <w:bCs/>
        </w:rPr>
      </w:pPr>
      <w:r w:rsidRPr="00A23073">
        <w:rPr>
          <w:rFonts w:eastAsia="Calibri" w:cs="Vrinda"/>
          <w:b/>
          <w:bCs/>
        </w:rPr>
        <w:t>Question 17</w:t>
      </w:r>
    </w:p>
    <w:p w:rsidR="007F454E" w:rsidRPr="00413C4D" w:rsidRDefault="007F454E" w:rsidP="00A23073">
      <w:pPr>
        <w:spacing w:after="160" w:line="259" w:lineRule="auto"/>
        <w:contextualSpacing/>
        <w:jc w:val="both"/>
        <w:rPr>
          <w:rFonts w:eastAsia="Calibri" w:cs="Vrinda"/>
          <w:b/>
          <w:bCs/>
          <w:u w:val="single"/>
        </w:rPr>
      </w:pPr>
    </w:p>
    <w:p w:rsidR="00413C4D" w:rsidRDefault="00413C4D" w:rsidP="007F454E">
      <w:pPr>
        <w:spacing w:line="259" w:lineRule="auto"/>
        <w:jc w:val="both"/>
        <w:rPr>
          <w:rFonts w:eastAsia="Calibri" w:cs="Vrinda"/>
          <w:bCs/>
        </w:rPr>
      </w:pPr>
      <w:r w:rsidRPr="00413C4D">
        <w:rPr>
          <w:rFonts w:eastAsia="Calibri" w:cs="Vrinda"/>
          <w:bCs/>
        </w:rPr>
        <w:t>According to MEOSZ, the most significant precondition to access to justice is to what extent the facilities of the Hungarian justice system are accessible for people with disabilities, including persons with physical disabilities. The right to access to justice may be violate, if the applicant is unable to – for example due to his/her disability – physically enter the court’s building.</w:t>
      </w:r>
    </w:p>
    <w:p w:rsidR="007F454E" w:rsidRPr="00413C4D" w:rsidRDefault="007F454E" w:rsidP="007F454E">
      <w:pPr>
        <w:spacing w:line="259" w:lineRule="auto"/>
        <w:jc w:val="both"/>
        <w:rPr>
          <w:rFonts w:eastAsia="Calibri" w:cs="Vrinda"/>
          <w:bCs/>
        </w:rPr>
      </w:pPr>
    </w:p>
    <w:p w:rsidR="00413C4D" w:rsidRDefault="00413C4D" w:rsidP="007F454E">
      <w:pPr>
        <w:spacing w:line="259" w:lineRule="auto"/>
        <w:jc w:val="both"/>
        <w:rPr>
          <w:rFonts w:eastAsia="Calibri" w:cs="Vrinda"/>
        </w:rPr>
      </w:pPr>
      <w:r w:rsidRPr="00413C4D">
        <w:rPr>
          <w:rFonts w:eastAsia="Calibri" w:cs="Vrinda"/>
        </w:rPr>
        <w:t xml:space="preserve">During its assessment concerning access to justice of physically disabled persons, in June 2018, MEOSZ turned to National Judicial Office (OBH) requesting information about the ratio of accessibility of court buildings by county, which buildings are accessible or partially accessible.  </w:t>
      </w:r>
    </w:p>
    <w:p w:rsidR="007F454E" w:rsidRPr="00413C4D" w:rsidRDefault="007F454E" w:rsidP="007F454E">
      <w:pPr>
        <w:spacing w:line="259" w:lineRule="auto"/>
        <w:jc w:val="both"/>
        <w:rPr>
          <w:rFonts w:eastAsia="Calibri" w:cs="Vrinda"/>
        </w:rPr>
      </w:pPr>
    </w:p>
    <w:p w:rsidR="00413C4D" w:rsidRDefault="00413C4D" w:rsidP="00413C4D">
      <w:pPr>
        <w:spacing w:after="160" w:line="259" w:lineRule="auto"/>
        <w:jc w:val="both"/>
        <w:rPr>
          <w:rFonts w:eastAsia="Calibri" w:cs="Vrinda"/>
          <w:lang w:eastAsia="hu-HU"/>
        </w:rPr>
      </w:pPr>
      <w:r w:rsidRPr="00413C4D">
        <w:rPr>
          <w:rFonts w:eastAsia="Calibri" w:cs="Vrinda"/>
          <w:lang w:eastAsia="hu-HU"/>
        </w:rPr>
        <w:t>In a response received on the 14</w:t>
      </w:r>
      <w:r w:rsidRPr="00413C4D">
        <w:rPr>
          <w:rFonts w:eastAsia="Calibri" w:cs="Vrinda"/>
          <w:vertAlign w:val="superscript"/>
          <w:lang w:eastAsia="hu-HU"/>
        </w:rPr>
        <w:t>th</w:t>
      </w:r>
      <w:r w:rsidRPr="00413C4D">
        <w:rPr>
          <w:rFonts w:eastAsia="Calibri" w:cs="Vrinda"/>
          <w:lang w:eastAsia="hu-HU"/>
        </w:rPr>
        <w:t xml:space="preserve"> December 2018, the National Judicial Office emphasized that its strategic priority is to simplify access to justice, and for physically disabled persons – besides possibilities provided by laws on procedures – they provide support and assistance in simplifying physical access and administrative procedures. They state that the accessibility of court buildings adequate, but not yet complete. Most of the court buildings are accessible and provide accessible movement for disabled clients. The materials submitted describe which court buildings are already accessible or will be accessible in the future, where there is partial accessibility but no solution for full accessibility as well as those where the renovation of the building is in process or is under preparation.</w:t>
      </w:r>
      <w:r w:rsidRPr="00003146">
        <w:rPr>
          <w:rFonts w:eastAsia="Calibri" w:cs="Vrinda"/>
          <w:vertAlign w:val="superscript"/>
          <w:lang w:eastAsia="hu-HU"/>
        </w:rPr>
        <w:footnoteReference w:id="39"/>
      </w:r>
    </w:p>
    <w:p w:rsidR="00CB5E3D" w:rsidRDefault="00CB5E3D" w:rsidP="00413C4D">
      <w:pPr>
        <w:spacing w:after="160" w:line="259" w:lineRule="auto"/>
        <w:jc w:val="both"/>
        <w:rPr>
          <w:rFonts w:eastAsia="Calibri" w:cs="Vrinda"/>
          <w:lang w:eastAsia="hu-HU"/>
        </w:rPr>
      </w:pPr>
    </w:p>
    <w:p w:rsidR="00413C4D" w:rsidRPr="00413C4D" w:rsidRDefault="00413C4D" w:rsidP="00CB5E3D">
      <w:pPr>
        <w:numPr>
          <w:ilvl w:val="0"/>
          <w:numId w:val="15"/>
        </w:numPr>
        <w:spacing w:line="259" w:lineRule="auto"/>
        <w:contextualSpacing/>
        <w:jc w:val="both"/>
        <w:rPr>
          <w:rFonts w:eastAsia="Calibri" w:cs="Vrinda"/>
          <w:b/>
          <w:u w:val="single"/>
          <w:lang w:eastAsia="hu-HU"/>
        </w:rPr>
      </w:pPr>
      <w:r w:rsidRPr="00413C4D">
        <w:rPr>
          <w:rFonts w:eastAsia="Calibri" w:cs="Vrinda"/>
          <w:b/>
          <w:u w:val="single"/>
          <w:lang w:eastAsia="hu-HU"/>
        </w:rPr>
        <w:t>Living independently and being included in the community (art. 19)</w:t>
      </w:r>
    </w:p>
    <w:p w:rsidR="00CB5E3D" w:rsidRDefault="00CB5E3D" w:rsidP="00CB5E3D">
      <w:pPr>
        <w:spacing w:line="259" w:lineRule="auto"/>
        <w:jc w:val="both"/>
        <w:rPr>
          <w:rFonts w:eastAsia="Calibri" w:cs="Vrinda"/>
          <w:b/>
        </w:rPr>
      </w:pPr>
    </w:p>
    <w:p w:rsidR="00413C4D" w:rsidRDefault="00413C4D" w:rsidP="00CB5E3D">
      <w:pPr>
        <w:spacing w:line="259" w:lineRule="auto"/>
        <w:jc w:val="both"/>
        <w:rPr>
          <w:rFonts w:eastAsia="Calibri" w:cs="Vrinda"/>
          <w:b/>
        </w:rPr>
      </w:pPr>
      <w:r w:rsidRPr="00413C4D">
        <w:rPr>
          <w:rFonts w:eastAsia="Calibri" w:cs="Vrinda"/>
          <w:b/>
        </w:rPr>
        <w:t>Questions 24-25</w:t>
      </w:r>
    </w:p>
    <w:p w:rsidR="00CB5E3D" w:rsidRPr="00413C4D" w:rsidRDefault="00CB5E3D" w:rsidP="00CB5E3D">
      <w:pPr>
        <w:spacing w:line="259" w:lineRule="auto"/>
        <w:jc w:val="both"/>
        <w:rPr>
          <w:rFonts w:eastAsia="Calibri" w:cs="Vrinda"/>
          <w:b/>
        </w:rPr>
      </w:pPr>
    </w:p>
    <w:p w:rsidR="00CB5E3D" w:rsidRDefault="00413C4D" w:rsidP="00CB5E3D">
      <w:pPr>
        <w:spacing w:line="259" w:lineRule="auto"/>
        <w:jc w:val="both"/>
        <w:rPr>
          <w:rFonts w:eastAsia="Calibri" w:cs="Vrinda"/>
        </w:rPr>
      </w:pPr>
      <w:r w:rsidRPr="00413C4D">
        <w:rPr>
          <w:rFonts w:eastAsia="Calibri" w:cs="Vrinda"/>
        </w:rPr>
        <w:t>In 1998, Hungary was among of the first countries in adopting Fot. in a progressive spirit which establishes the existence and direction of state responsibility for equal opportunities. Now, it also refers back to Article 19 of the CRPD and enshrines the right of people with disabilities to choose housing. Despite of this fact, approximately 15,000 people lived in homes for people with disabilities between 2013 and 2017.</w:t>
      </w:r>
      <w:r w:rsidRPr="00A23073">
        <w:rPr>
          <w:rFonts w:eastAsia="Calibri" w:cs="Vrinda"/>
          <w:vertAlign w:val="superscript"/>
        </w:rPr>
        <w:t xml:space="preserve"> </w:t>
      </w:r>
      <w:r w:rsidRPr="00A23073">
        <w:rPr>
          <w:rFonts w:eastAsia="Calibri" w:cs="Vrinda"/>
          <w:vertAlign w:val="superscript"/>
        </w:rPr>
        <w:footnoteReference w:id="40"/>
      </w:r>
    </w:p>
    <w:p w:rsidR="00CB5E3D" w:rsidRDefault="00CB5E3D" w:rsidP="00CB5E3D">
      <w:pPr>
        <w:spacing w:line="259" w:lineRule="auto"/>
        <w:jc w:val="both"/>
        <w:rPr>
          <w:rFonts w:eastAsia="Calibri" w:cs="Vrinda"/>
        </w:rPr>
      </w:pPr>
    </w:p>
    <w:p w:rsidR="00413C4D" w:rsidRDefault="00413C4D" w:rsidP="00CB5E3D">
      <w:pPr>
        <w:spacing w:line="259" w:lineRule="auto"/>
        <w:jc w:val="both"/>
        <w:rPr>
          <w:rFonts w:eastAsia="Calibri" w:cs="Vrinda"/>
        </w:rPr>
      </w:pPr>
      <w:r w:rsidRPr="00413C4D">
        <w:rPr>
          <w:rFonts w:eastAsia="Calibri" w:cs="Vrinda"/>
        </w:rPr>
        <w:t>According to MEOSZ, the ongoing process of DI confronts these principles. Calls for DI tenders, such as the currently suspended EFOP 2.2.2-17, refer to Article 19 of the CRPD, while preserving a segregated lifestyle not only for those who are now moving out but also for those people with disabilities will request assistance from the state system later on. Persons concerned were not consulted upon selecting the locations for the EFOP 2.2.2-17 application, however after spending billions of HUF on DI still the institution will determine where they will live. As a result, persons concerned are forced to live in settlements with a poor infrastructure and a poor service network, where the institution will continue to provide everything for them.</w:t>
      </w:r>
    </w:p>
    <w:p w:rsidR="00CB5E3D" w:rsidRPr="00413C4D" w:rsidRDefault="00CB5E3D" w:rsidP="00CB5E3D">
      <w:pPr>
        <w:spacing w:line="259" w:lineRule="auto"/>
        <w:jc w:val="both"/>
        <w:rPr>
          <w:rFonts w:eastAsia="Calibri" w:cs="Vrinda"/>
        </w:rPr>
      </w:pPr>
    </w:p>
    <w:p w:rsidR="00CB5E3D" w:rsidRDefault="00413C4D" w:rsidP="00CB5E3D">
      <w:pPr>
        <w:spacing w:line="259" w:lineRule="auto"/>
        <w:jc w:val="both"/>
        <w:rPr>
          <w:rFonts w:eastAsia="Calibri" w:cs="Vrinda"/>
        </w:rPr>
      </w:pPr>
      <w:r w:rsidRPr="00413C4D">
        <w:rPr>
          <w:rFonts w:eastAsia="Calibri" w:cs="Vrinda"/>
        </w:rPr>
        <w:t>The Government reviewed its previous DI strategy and in June 2019 adopted the new long-term concept on the deinstitutialization of social care facilities for people with disabilities for the period 2017-2036.</w:t>
      </w:r>
      <w:r w:rsidRPr="00A23073">
        <w:rPr>
          <w:rFonts w:eastAsia="Calibri" w:cs="Vrinda"/>
          <w:vertAlign w:val="superscript"/>
        </w:rPr>
        <w:footnoteReference w:id="41"/>
      </w:r>
      <w:r w:rsidRPr="00413C4D">
        <w:rPr>
          <w:rFonts w:eastAsia="Calibri" w:cs="Vrinda"/>
        </w:rPr>
        <w:t xml:space="preserve"> </w:t>
      </w:r>
    </w:p>
    <w:p w:rsidR="00CB5E3D" w:rsidRDefault="00CB5E3D" w:rsidP="00CB5E3D">
      <w:pPr>
        <w:spacing w:line="259" w:lineRule="auto"/>
        <w:jc w:val="both"/>
        <w:rPr>
          <w:rFonts w:eastAsia="Calibri" w:cs="Vrinda"/>
        </w:rPr>
      </w:pPr>
    </w:p>
    <w:p w:rsidR="00413C4D" w:rsidRDefault="00413C4D" w:rsidP="00CB5E3D">
      <w:pPr>
        <w:spacing w:line="259" w:lineRule="auto"/>
        <w:jc w:val="both"/>
        <w:rPr>
          <w:rFonts w:eastAsia="Calibri" w:cs="Vrinda"/>
        </w:rPr>
      </w:pPr>
      <w:r w:rsidRPr="00413C4D">
        <w:rPr>
          <w:rFonts w:eastAsia="Calibri" w:cs="Vrinda"/>
        </w:rPr>
        <w:t>MEOSZ made comments on the draft concept several times, but our comments and suggestions were hardly taken into consideration. The concept does not respond to the fundamental problems we have raised. It does not contain any guarantees that EU funds will not be used to create new illegal solutions. The concept further supports the underfunded social system, which is unsuitable for the care of people with disabilities. According to MEOSZ, the concept does not aim the real social inclusion of people with disabilities. The concept contains only generalities and avoids specifying deadlines and appointing persons with responsibilities. When it mentions specific steps, it only label them as possible tools and solutions. Although the concept refers to Articles 12 and 19 of the CRPD as a starting point, its provisions go against to the principles and spirit of the CRPD.</w:t>
      </w:r>
    </w:p>
    <w:p w:rsidR="00CB5E3D" w:rsidRPr="00413C4D" w:rsidRDefault="00CB5E3D" w:rsidP="00CB5E3D">
      <w:pPr>
        <w:spacing w:line="259" w:lineRule="auto"/>
        <w:jc w:val="both"/>
        <w:rPr>
          <w:rFonts w:eastAsia="Calibri" w:cs="Vrinda"/>
        </w:rPr>
      </w:pPr>
    </w:p>
    <w:p w:rsidR="00413C4D" w:rsidRDefault="00413C4D" w:rsidP="00CB5E3D">
      <w:pPr>
        <w:spacing w:line="259" w:lineRule="auto"/>
        <w:jc w:val="both"/>
        <w:rPr>
          <w:rFonts w:eastAsia="Calibri" w:cs="Vrinda"/>
        </w:rPr>
      </w:pPr>
      <w:r w:rsidRPr="00413C4D">
        <w:rPr>
          <w:rFonts w:eastAsia="Calibri" w:cs="Vrinda"/>
        </w:rPr>
        <w:t xml:space="preserve">For the time being, the new tender concept was only discussed by the OFT, but the proposal was not supported by MEOSZ. The call for tender also encourages the establishment of institutions for 25 persons.  There is no need to separate housing and support services in these institutions. It is humiliating and discriminatory the requirement according to which “a building complex for up to 25 persons (residential </w:t>
      </w:r>
      <w:r w:rsidRPr="00413C4D">
        <w:rPr>
          <w:rFonts w:eastAsia="Calibri" w:cs="Vrinda"/>
        </w:rPr>
        <w:lastRenderedPageBreak/>
        <w:t>centre) exclusively for people with high support needs - people with severe and cumulative disabilities and psychiatric patients with severe behavioural problems” . Thus, the Hungarian state is illegally planning to build new institutions based on the severity of condition and “behavioural problem.” In our opinion, it is still nor assured that the smaller supported houses will serve inclusion.</w:t>
      </w:r>
    </w:p>
    <w:p w:rsidR="00CB5E3D" w:rsidRPr="00413C4D" w:rsidRDefault="00CB5E3D" w:rsidP="00CB5E3D">
      <w:pPr>
        <w:spacing w:line="259" w:lineRule="auto"/>
        <w:jc w:val="both"/>
        <w:rPr>
          <w:rFonts w:eastAsia="Calibri" w:cs="Vrinda"/>
        </w:rPr>
      </w:pPr>
    </w:p>
    <w:p w:rsidR="00413C4D" w:rsidRDefault="00413C4D" w:rsidP="00CB5E3D">
      <w:pPr>
        <w:spacing w:line="259" w:lineRule="auto"/>
        <w:jc w:val="both"/>
        <w:rPr>
          <w:rFonts w:eastAsia="Calibri" w:cs="Vrinda"/>
        </w:rPr>
      </w:pPr>
      <w:r w:rsidRPr="00413C4D">
        <w:rPr>
          <w:rFonts w:eastAsia="Calibri" w:cs="Vrinda"/>
        </w:rPr>
        <w:t>The supported housing system is defined in the legislation so that housing service can be provided in an apartment or house designed for up to 7 or 12 people, or in a combination of apartments and buildings designed to accommodate up to 50 people.</w:t>
      </w:r>
      <w:r w:rsidRPr="00A23073">
        <w:rPr>
          <w:rFonts w:eastAsia="Calibri" w:cs="Vrinda"/>
          <w:vertAlign w:val="superscript"/>
        </w:rPr>
        <w:footnoteReference w:id="42"/>
      </w:r>
      <w:r w:rsidRPr="00413C4D">
        <w:rPr>
          <w:rFonts w:eastAsia="Calibri" w:cs="Vrinda"/>
        </w:rPr>
        <w:t xml:space="preserve"> According to MEOSZ, this could greatly contribute to the creation of mini-institutions. In addition, the DI strategy does not identify measures that create or improve existing community-based services (support services, personal assistance). Furthermore, the strategy does not provide ground for closing of institutions completely, which may result in projects where some residents can move out of institutions while others, typically people with severe or multiple disabilities, remain institutionalized.</w:t>
      </w:r>
    </w:p>
    <w:p w:rsidR="00CB5E3D" w:rsidRPr="00413C4D" w:rsidRDefault="00CB5E3D" w:rsidP="00CB5E3D">
      <w:pPr>
        <w:spacing w:line="259" w:lineRule="auto"/>
        <w:jc w:val="both"/>
        <w:rPr>
          <w:rFonts w:eastAsia="Calibri" w:cs="Vrinda"/>
        </w:rPr>
      </w:pPr>
    </w:p>
    <w:p w:rsidR="00413C4D" w:rsidRDefault="00413C4D" w:rsidP="00CB5E3D">
      <w:pPr>
        <w:spacing w:line="259" w:lineRule="auto"/>
        <w:jc w:val="both"/>
        <w:rPr>
          <w:rFonts w:eastAsia="Calibri" w:cs="Vrinda"/>
        </w:rPr>
      </w:pPr>
      <w:r w:rsidRPr="00413C4D">
        <w:rPr>
          <w:rFonts w:eastAsia="Calibri" w:cs="Vrinda"/>
        </w:rPr>
        <w:t>In the MEOSZ’s opinion, the Government's goal is to preserve the current system, the domination of institutional culture, providing only a few services available to support those living outside the institution. There is a high risk that in the current DI process resources will be invested in institutions under the auspices of ‘supported housing’.</w:t>
      </w:r>
      <w:r w:rsidRPr="00A23073">
        <w:rPr>
          <w:rFonts w:eastAsia="Calibri" w:cs="Vrinda"/>
          <w:vertAlign w:val="superscript"/>
        </w:rPr>
        <w:t xml:space="preserve"> </w:t>
      </w:r>
      <w:r w:rsidRPr="00A23073">
        <w:rPr>
          <w:rFonts w:eastAsia="Calibri" w:cs="Vrinda"/>
          <w:vertAlign w:val="superscript"/>
        </w:rPr>
        <w:footnoteReference w:id="43"/>
      </w:r>
      <w:r w:rsidRPr="00413C4D">
        <w:rPr>
          <w:rFonts w:eastAsia="Calibri" w:cs="Vrinda"/>
        </w:rPr>
        <w:t xml:space="preserve">  For years, MEOSZ has not seen any progress in preventing people with physical disabilities from living in homes for the elderly, and this is often justified by the fact that care for people with special needs is only provided here. It is also worrying that the waiting list for residential institutions is very long.</w:t>
      </w:r>
      <w:r w:rsidRPr="00A23073">
        <w:rPr>
          <w:rFonts w:eastAsia="Calibri" w:cs="Vrinda"/>
          <w:vertAlign w:val="superscript"/>
        </w:rPr>
        <w:footnoteReference w:id="44"/>
      </w:r>
    </w:p>
    <w:p w:rsidR="00CB5E3D" w:rsidRPr="00413C4D" w:rsidRDefault="00CB5E3D" w:rsidP="00CB5E3D">
      <w:pPr>
        <w:spacing w:line="259" w:lineRule="auto"/>
        <w:jc w:val="both"/>
        <w:rPr>
          <w:rFonts w:eastAsia="Calibri" w:cs="Vrinda"/>
        </w:rPr>
      </w:pPr>
    </w:p>
    <w:p w:rsidR="00413C4D" w:rsidRDefault="00413C4D" w:rsidP="00CB5E3D">
      <w:pPr>
        <w:spacing w:line="259" w:lineRule="auto"/>
        <w:jc w:val="both"/>
        <w:rPr>
          <w:rFonts w:eastAsia="Calibri" w:cs="Calibri"/>
          <w:bCs/>
          <w:color w:val="000000"/>
        </w:rPr>
      </w:pPr>
      <w:r w:rsidRPr="00413C4D">
        <w:rPr>
          <w:rFonts w:eastAsia="Calibri" w:cs="Vrinda"/>
        </w:rPr>
        <w:t>In Hungary, the provision of mobility (transportation) and personal assistance are primarily the responsibility of support services. At the same time, the underfunding of support services causes serious problems in the care of people with disabilities. Since in the light of the above the services they provide are not available 24 hours a day neither to the same extent nor in the same way as well as in.</w:t>
      </w:r>
      <w:r w:rsidRPr="00A23073">
        <w:rPr>
          <w:rFonts w:eastAsia="Calibri" w:cs="Vrinda"/>
          <w:vertAlign w:val="superscript"/>
        </w:rPr>
        <w:footnoteReference w:id="45"/>
      </w:r>
      <w:r w:rsidRPr="00413C4D">
        <w:rPr>
          <w:rFonts w:eastAsia="Calibri" w:cs="Vrinda"/>
        </w:rPr>
        <w:t xml:space="preserve"> Support service available for disabled persons only in working hours, creates situations that endanger their human dignity as their essential assistance  is missing in the afternoons on weekends, holidays or in the </w:t>
      </w:r>
      <w:r w:rsidRPr="00413C4D">
        <w:rPr>
          <w:rFonts w:eastAsia="Calibri" w:cs="Vrinda"/>
        </w:rPr>
        <w:lastRenderedPageBreak/>
        <w:t>afternoons. In addition, commuting to work or access to family and cultural life, leisure and sport activities are difficult because their lives are limited by the time and capacity constraints of the support service</w:t>
      </w:r>
      <w:r w:rsidRPr="00413C4D">
        <w:rPr>
          <w:rFonts w:eastAsia="Calibri" w:cs="Calibri"/>
          <w:bCs/>
          <w:color w:val="000000"/>
        </w:rPr>
        <w:t>.</w:t>
      </w:r>
      <w:r w:rsidRPr="00A23073">
        <w:rPr>
          <w:rFonts w:eastAsia="Calibri" w:cs="Calibri"/>
          <w:bCs/>
          <w:color w:val="000000"/>
          <w:vertAlign w:val="superscript"/>
        </w:rPr>
        <w:footnoteReference w:id="46"/>
      </w:r>
      <w:r w:rsidRPr="00413C4D">
        <w:rPr>
          <w:rFonts w:eastAsia="Calibri" w:cs="Calibri"/>
          <w:bCs/>
          <w:color w:val="000000"/>
        </w:rPr>
        <w:t xml:space="preserve"> </w:t>
      </w:r>
    </w:p>
    <w:p w:rsidR="00CB5E3D" w:rsidRPr="00413C4D" w:rsidRDefault="00CB5E3D" w:rsidP="00CB5E3D">
      <w:pPr>
        <w:spacing w:line="259" w:lineRule="auto"/>
        <w:jc w:val="both"/>
        <w:rPr>
          <w:rFonts w:eastAsia="Calibri" w:cs="Calibri"/>
          <w:bCs/>
          <w:color w:val="000000"/>
        </w:rPr>
      </w:pPr>
    </w:p>
    <w:p w:rsidR="00413C4D" w:rsidRDefault="00413C4D" w:rsidP="00CB5E3D">
      <w:pPr>
        <w:spacing w:line="259" w:lineRule="auto"/>
        <w:jc w:val="both"/>
        <w:rPr>
          <w:rFonts w:eastAsia="Calibri" w:cs="Calibri"/>
          <w:bCs/>
          <w:color w:val="000000"/>
        </w:rPr>
      </w:pPr>
      <w:r w:rsidRPr="00413C4D">
        <w:rPr>
          <w:rFonts w:eastAsia="Calibri" w:cs="Calibri"/>
          <w:bCs/>
          <w:color w:val="000000"/>
        </w:rPr>
        <w:t>At the moment, the persons concerned have to adapt to the service, which goes against international standards. Support services would be a key pillar of the DI process, but support services currently do not have free capacity to meet the increasing needs. Thus, they operate essentially with an institutional approach and framework, rather than a sufficiently flexible and tailor-made operation. Support services are currently fully fulfilling their funded tasks. So, this financial constraint does not allow them to expand their capacity. Increasing the capacity of support services and developing infrastructure throughout the country is urgent. To this end, it is essential to extend resources and introduce personal needs-based funding in order to be able respond to increased needs for support in primary care.</w:t>
      </w:r>
      <w:r w:rsidRPr="00A23073">
        <w:rPr>
          <w:rFonts w:eastAsia="Calibri" w:cs="Calibri"/>
          <w:bCs/>
          <w:color w:val="000000"/>
          <w:vertAlign w:val="superscript"/>
        </w:rPr>
        <w:footnoteReference w:id="47"/>
      </w:r>
    </w:p>
    <w:p w:rsidR="00CB5E3D" w:rsidRPr="00413C4D" w:rsidRDefault="00CB5E3D" w:rsidP="00CB5E3D">
      <w:pPr>
        <w:spacing w:line="259" w:lineRule="auto"/>
        <w:jc w:val="both"/>
        <w:rPr>
          <w:rFonts w:eastAsia="Calibri" w:cs="Calibri"/>
          <w:bCs/>
          <w:color w:val="000000"/>
        </w:rPr>
      </w:pPr>
    </w:p>
    <w:p w:rsidR="00413C4D" w:rsidRDefault="00413C4D" w:rsidP="00413C4D">
      <w:pPr>
        <w:numPr>
          <w:ilvl w:val="0"/>
          <w:numId w:val="15"/>
        </w:numPr>
        <w:spacing w:after="160" w:line="259" w:lineRule="auto"/>
        <w:contextualSpacing/>
        <w:jc w:val="both"/>
        <w:rPr>
          <w:rFonts w:eastAsia="Calibri" w:cs="Vrinda"/>
          <w:b/>
          <w:u w:val="single"/>
        </w:rPr>
      </w:pPr>
      <w:r w:rsidRPr="00413C4D">
        <w:rPr>
          <w:rFonts w:eastAsia="Calibri" w:cs="Vrinda"/>
          <w:b/>
          <w:u w:val="single"/>
        </w:rPr>
        <w:t xml:space="preserve">Personal mobility (art. 20) </w:t>
      </w:r>
    </w:p>
    <w:p w:rsidR="00FC54F0" w:rsidRPr="00413C4D" w:rsidRDefault="00FC54F0" w:rsidP="00FC54F0">
      <w:pPr>
        <w:spacing w:after="160" w:line="259" w:lineRule="auto"/>
        <w:contextualSpacing/>
        <w:jc w:val="both"/>
        <w:rPr>
          <w:rFonts w:eastAsia="Calibri" w:cs="Vrinda"/>
          <w:b/>
          <w:u w:val="single"/>
        </w:rPr>
      </w:pPr>
    </w:p>
    <w:p w:rsidR="00413C4D" w:rsidRDefault="00413C4D" w:rsidP="00FC54F0">
      <w:pPr>
        <w:spacing w:line="259" w:lineRule="auto"/>
        <w:jc w:val="both"/>
        <w:rPr>
          <w:rFonts w:eastAsia="Calibri" w:cs="Vrinda"/>
          <w:b/>
        </w:rPr>
      </w:pPr>
      <w:r w:rsidRPr="00413C4D">
        <w:rPr>
          <w:rFonts w:eastAsia="Calibri" w:cs="Vrinda"/>
          <w:b/>
        </w:rPr>
        <w:t>Question 26.</w:t>
      </w:r>
    </w:p>
    <w:p w:rsidR="00FC54F0" w:rsidRPr="00413C4D" w:rsidRDefault="00FC54F0" w:rsidP="00FC54F0">
      <w:pPr>
        <w:spacing w:line="259" w:lineRule="auto"/>
        <w:jc w:val="both"/>
        <w:rPr>
          <w:rFonts w:eastAsia="Calibri" w:cs="Vrinda"/>
          <w:b/>
        </w:rPr>
      </w:pPr>
    </w:p>
    <w:p w:rsidR="00413C4D" w:rsidRDefault="00413C4D" w:rsidP="00FC54F0">
      <w:pPr>
        <w:spacing w:line="259" w:lineRule="auto"/>
        <w:jc w:val="both"/>
        <w:rPr>
          <w:rFonts w:eastAsia="Calibri" w:cs="Vrinda"/>
        </w:rPr>
      </w:pPr>
      <w:r w:rsidRPr="00413C4D">
        <w:rPr>
          <w:rFonts w:eastAsia="Calibri" w:cs="Vrinda"/>
        </w:rPr>
        <w:t>Based on the complaints from the MEOSZ members in a daily basis, we can state that, unfortunately, introducing individual needs support in medical aid system and matching it with budget planning has not been achieved over the last decade. Devices used by people with physical disability are of very poor quality and modern medical aids are difficult to obtain and obtain on an equal basis. For example, wheelchairs are of such poor quality that in many cases they cannot last for the end of their duration times which are 6 and 8 years. In addition, batteries for electric wheelchairs are damaged in 2 years on average. Complaints are not properly addressed, quality assurance and control is not an effective part of the system.</w:t>
      </w:r>
    </w:p>
    <w:p w:rsidR="00FC54F0" w:rsidRPr="00413C4D" w:rsidRDefault="00FC54F0" w:rsidP="00FC54F0">
      <w:pPr>
        <w:spacing w:line="259" w:lineRule="auto"/>
        <w:jc w:val="both"/>
        <w:rPr>
          <w:rFonts w:eastAsia="Calibri" w:cs="Vrinda"/>
        </w:rPr>
      </w:pPr>
    </w:p>
    <w:p w:rsidR="00413C4D" w:rsidRDefault="00413C4D" w:rsidP="00FC54F0">
      <w:pPr>
        <w:spacing w:line="259" w:lineRule="auto"/>
        <w:jc w:val="both"/>
        <w:rPr>
          <w:rFonts w:eastAsia="Calibri" w:cs="Vrinda"/>
        </w:rPr>
      </w:pPr>
      <w:r w:rsidRPr="00413C4D">
        <w:rPr>
          <w:rFonts w:eastAsia="Calibri" w:cs="Vrinda"/>
        </w:rPr>
        <w:t xml:space="preserve">In Hungary, the medical approach is still dominant concerning medical aids. The regulation of medical devices is completely covered by the legal framework of health insurance, so that persons with disabilities are treated essentially as patients. The term </w:t>
      </w:r>
      <w:r w:rsidRPr="00413C4D">
        <w:rPr>
          <w:rFonts w:eastAsia="Calibri" w:cs="Vrinda"/>
        </w:rPr>
        <w:lastRenderedPageBreak/>
        <w:t>medical aid itself reflects a paternalistic feature, compared to the internationally used terminology of "assistive technology", which expresses reasonable support for independent living. The licensing of specific individual assets and their involvement in social security system are carried out without involving the persons concerned or DPOs. In addition, a range of state-sponsored devices and technologies, such as remote devices and technologies (e.g. communication devices, assistant dogs, info communication assistive devices, alternative keyboards, computer mice, lifting devices, reading software) cannot be found in the support system.</w:t>
      </w:r>
    </w:p>
    <w:p w:rsidR="00FC54F0" w:rsidRPr="00413C4D" w:rsidRDefault="00FC54F0" w:rsidP="00FC54F0">
      <w:pPr>
        <w:spacing w:line="259" w:lineRule="auto"/>
        <w:jc w:val="both"/>
        <w:rPr>
          <w:rFonts w:eastAsia="Calibri" w:cs="Vrinda"/>
        </w:rPr>
      </w:pPr>
    </w:p>
    <w:p w:rsidR="00413C4D" w:rsidRDefault="00413C4D" w:rsidP="00FC54F0">
      <w:pPr>
        <w:spacing w:line="259" w:lineRule="auto"/>
        <w:jc w:val="both"/>
        <w:rPr>
          <w:rFonts w:eastAsia="Calibri" w:cs="Vrinda"/>
        </w:rPr>
      </w:pPr>
      <w:r w:rsidRPr="00413C4D">
        <w:rPr>
          <w:rFonts w:eastAsia="Calibri" w:cs="Vrinda"/>
        </w:rPr>
        <w:t>Today, in Hungary, a person with physical disability is not a consumer nor a client, but a patient and cannot essentially choose a device or service individually from the constricted list offered by the National Health Insurance Fund (NEAK).</w:t>
      </w:r>
      <w:r w:rsidRPr="00A23073">
        <w:rPr>
          <w:rFonts w:eastAsia="Calibri" w:cs="Vrinda"/>
          <w:vertAlign w:val="superscript"/>
        </w:rPr>
        <w:footnoteReference w:id="48"/>
      </w:r>
      <w:r w:rsidRPr="00413C4D">
        <w:rPr>
          <w:rFonts w:eastAsia="Calibri" w:cs="Vrinda"/>
        </w:rPr>
        <w:t xml:space="preserve"> Due to current legislation and prescribing procedures, the majority of people with physical disabilities do not have access to the most appropriate device.</w:t>
      </w:r>
      <w:r w:rsidRPr="00A23073">
        <w:rPr>
          <w:rFonts w:eastAsia="Calibri" w:cs="Vrinda"/>
          <w:vertAlign w:val="superscript"/>
        </w:rPr>
        <w:footnoteReference w:id="49"/>
      </w:r>
      <w:r w:rsidRPr="00413C4D">
        <w:rPr>
          <w:rFonts w:eastAsia="Calibri" w:cs="Vrinda"/>
        </w:rPr>
        <w:t xml:space="preserve"> It is a common problem that the prescription of some aids excludes the possibility of prescribing another one, such as an active wheelchair and an electric scooter,</w:t>
      </w:r>
      <w:r w:rsidRPr="00A23073">
        <w:rPr>
          <w:rFonts w:eastAsia="Calibri" w:cs="Vrinda"/>
          <w:vertAlign w:val="superscript"/>
        </w:rPr>
        <w:footnoteReference w:id="50"/>
      </w:r>
      <w:r w:rsidRPr="00413C4D">
        <w:rPr>
          <w:rFonts w:eastAsia="Calibri" w:cs="Vrinda"/>
        </w:rPr>
        <w:t xml:space="preserve"> whereas in practice an active wheelchair and a street electric wheelchair do not serve the same purpose at all. Medical equipment/aid rental is practically non-exist, there are a few lenders currently operating throughout the country, so their availability is not adequate either. Repairing equipment is complicated, lengthy, and bureaucratic, because for example at first you have to consult a General Practitioner</w:t>
      </w:r>
      <w:r w:rsidR="00FC54F0">
        <w:rPr>
          <w:rFonts w:eastAsia="Calibri" w:cs="Vrinda"/>
        </w:rPr>
        <w:t xml:space="preserve"> who can justify your</w:t>
      </w:r>
      <w:r w:rsidRPr="00413C4D">
        <w:rPr>
          <w:rFonts w:eastAsia="Calibri" w:cs="Vrinda"/>
        </w:rPr>
        <w:t xml:space="preserve"> need for repair.</w:t>
      </w:r>
      <w:r w:rsidRPr="00A23073">
        <w:rPr>
          <w:rFonts w:eastAsia="Calibri" w:cs="Vrinda"/>
          <w:vertAlign w:val="superscript"/>
        </w:rPr>
        <w:footnoteReference w:id="51"/>
      </w:r>
    </w:p>
    <w:p w:rsidR="00FC54F0" w:rsidRPr="00413C4D" w:rsidRDefault="00FC54F0" w:rsidP="00FC54F0">
      <w:pPr>
        <w:spacing w:line="259" w:lineRule="auto"/>
        <w:jc w:val="both"/>
        <w:rPr>
          <w:rFonts w:eastAsia="Calibri" w:cs="Vrinda"/>
        </w:rPr>
      </w:pPr>
    </w:p>
    <w:p w:rsidR="00413C4D" w:rsidRDefault="00582463" w:rsidP="00413C4D">
      <w:pPr>
        <w:numPr>
          <w:ilvl w:val="0"/>
          <w:numId w:val="15"/>
        </w:numPr>
        <w:spacing w:after="160" w:line="259" w:lineRule="auto"/>
        <w:contextualSpacing/>
        <w:jc w:val="both"/>
        <w:rPr>
          <w:rFonts w:eastAsia="Calibri" w:cs="Vrinda"/>
          <w:b/>
          <w:u w:val="single"/>
        </w:rPr>
      </w:pPr>
      <w:r w:rsidRPr="00582463">
        <w:rPr>
          <w:rFonts w:eastAsia="Calibri" w:cs="Vrinda"/>
          <w:b/>
        </w:rPr>
        <w:t xml:space="preserve"> </w:t>
      </w:r>
      <w:r w:rsidR="00413C4D" w:rsidRPr="00413C4D">
        <w:rPr>
          <w:rFonts w:eastAsia="Calibri" w:cs="Vrinda"/>
          <w:b/>
          <w:u w:val="single"/>
        </w:rPr>
        <w:t>Education (art. 24)</w:t>
      </w:r>
    </w:p>
    <w:p w:rsidR="00826CCA" w:rsidRPr="00413C4D" w:rsidRDefault="00826CCA" w:rsidP="00826CCA">
      <w:pPr>
        <w:spacing w:after="160" w:line="259" w:lineRule="auto"/>
        <w:contextualSpacing/>
        <w:jc w:val="both"/>
        <w:rPr>
          <w:rFonts w:eastAsia="Calibri" w:cs="Vrinda"/>
          <w:b/>
          <w:u w:val="single"/>
        </w:rPr>
      </w:pPr>
    </w:p>
    <w:p w:rsidR="00413C4D" w:rsidRDefault="00413C4D" w:rsidP="00826CCA">
      <w:pPr>
        <w:spacing w:line="259" w:lineRule="auto"/>
        <w:jc w:val="both"/>
        <w:rPr>
          <w:rFonts w:eastAsia="Calibri" w:cs="Vrinda"/>
          <w:b/>
        </w:rPr>
      </w:pPr>
      <w:r w:rsidRPr="00413C4D">
        <w:rPr>
          <w:rFonts w:eastAsia="Calibri" w:cs="Vrinda"/>
          <w:b/>
        </w:rPr>
        <w:t>Question 28.</w:t>
      </w:r>
    </w:p>
    <w:p w:rsidR="00826CCA" w:rsidRPr="00413C4D" w:rsidRDefault="00826CCA" w:rsidP="00826CCA">
      <w:pPr>
        <w:spacing w:line="259" w:lineRule="auto"/>
        <w:jc w:val="both"/>
        <w:rPr>
          <w:rFonts w:eastAsia="Calibri" w:cs="Vrinda"/>
          <w:b/>
        </w:rPr>
      </w:pPr>
    </w:p>
    <w:p w:rsidR="00413C4D" w:rsidRDefault="00413C4D" w:rsidP="00826CCA">
      <w:pPr>
        <w:spacing w:line="259" w:lineRule="auto"/>
        <w:jc w:val="both"/>
        <w:rPr>
          <w:rFonts w:eastAsia="Calibri" w:cs="Calibri"/>
        </w:rPr>
      </w:pPr>
      <w:r w:rsidRPr="00413C4D">
        <w:rPr>
          <w:rFonts w:eastAsia="Calibri" w:cs="Vrinda"/>
        </w:rPr>
        <w:t xml:space="preserve">Due to the lack of accessible structure, the participation at all levels of education as well as the possibility of life-long learning are not ensured for persons with physical disabilities. </w:t>
      </w:r>
      <w:r w:rsidRPr="00413C4D">
        <w:rPr>
          <w:rFonts w:eastAsia="Calibri" w:cs="Calibri"/>
        </w:rPr>
        <w:t>Despite the fact that the requirement of equal access to public services – including education –  is laid down in the legislation, our experience is that  as a result of inaccessibility buildings, facilities, roads as well as different means of public transport persons with physical disabilities are being excluded from mainstream education.</w:t>
      </w:r>
      <w:r w:rsidRPr="00A23073">
        <w:rPr>
          <w:rFonts w:eastAsia="Calibri" w:cs="Vrinda"/>
          <w:vertAlign w:val="superscript"/>
        </w:rPr>
        <w:footnoteReference w:id="52"/>
      </w:r>
      <w:r w:rsidRPr="00413C4D">
        <w:rPr>
          <w:rFonts w:eastAsia="Calibri" w:cs="Calibri"/>
        </w:rPr>
        <w:t xml:space="preserve"> </w:t>
      </w:r>
    </w:p>
    <w:p w:rsidR="00826CCA" w:rsidRPr="00413C4D" w:rsidRDefault="00826CCA" w:rsidP="00826CCA">
      <w:pPr>
        <w:spacing w:line="259" w:lineRule="auto"/>
        <w:jc w:val="both"/>
        <w:rPr>
          <w:rFonts w:eastAsia="Calibri" w:cs="Calibri"/>
        </w:rPr>
      </w:pPr>
    </w:p>
    <w:p w:rsidR="00413C4D" w:rsidRDefault="00413C4D" w:rsidP="00826CCA">
      <w:pPr>
        <w:spacing w:line="259" w:lineRule="auto"/>
        <w:jc w:val="both"/>
        <w:rPr>
          <w:rFonts w:eastAsia="Calibri" w:cs="Vrinda"/>
        </w:rPr>
      </w:pPr>
      <w:r w:rsidRPr="00413C4D">
        <w:rPr>
          <w:rFonts w:eastAsia="Calibri" w:cs="Calibri"/>
        </w:rPr>
        <w:t xml:space="preserve">In addition, </w:t>
      </w:r>
      <w:r w:rsidRPr="00413C4D">
        <w:rPr>
          <w:rFonts w:eastAsia="Calibri" w:cs="Vrinda"/>
        </w:rPr>
        <w:t>the system of inclusive education does not exist in Hungary. Therefore, children with physical disabilities using wheelchair have to study in a segregated environment and they have only a little chance to get involved in education in mainstream schools.</w:t>
      </w:r>
      <w:r w:rsidRPr="00A23073">
        <w:rPr>
          <w:rFonts w:eastAsia="Calibri" w:cs="Vrinda"/>
          <w:vertAlign w:val="superscript"/>
        </w:rPr>
        <w:footnoteReference w:id="53"/>
      </w:r>
      <w:r w:rsidRPr="00413C4D">
        <w:rPr>
          <w:rFonts w:eastAsia="Calibri" w:cs="Vrinda"/>
        </w:rPr>
        <w:t xml:space="preserve"> Due to lack of accessible environment and disability professionals, parents </w:t>
      </w:r>
      <w:r w:rsidRPr="00413C4D">
        <w:rPr>
          <w:rFonts w:eastAsia="Calibri" w:cs="Vrinda"/>
        </w:rPr>
        <w:lastRenderedPageBreak/>
        <w:t>often decide to enrol their disabled children in special schools because they view segregated education as a protected environment that may prevent abuse, school bullying, maltreatment and violence against students with disabilities.</w:t>
      </w:r>
      <w:r w:rsidRPr="00413C4D">
        <w:rPr>
          <w:rFonts w:eastAsia="Calibri" w:cs="Calibri"/>
        </w:rPr>
        <w:t xml:space="preserve"> </w:t>
      </w:r>
      <w:r w:rsidRPr="00413C4D">
        <w:rPr>
          <w:rFonts w:eastAsia="Calibri" w:cs="Vrinda"/>
        </w:rPr>
        <w:t>The traveling network of special education teachers suffers from a serious shortage of professionals, so children with disabilities in mainstream schools do not receive the necessary development. Additionally, the majority of teachers are not trained for appropriate treatment of children with disabilities.</w:t>
      </w:r>
    </w:p>
    <w:p w:rsidR="00826CCA" w:rsidRPr="00413C4D" w:rsidRDefault="00826CCA" w:rsidP="00826CCA">
      <w:pPr>
        <w:spacing w:line="259" w:lineRule="auto"/>
        <w:jc w:val="both"/>
        <w:rPr>
          <w:rFonts w:eastAsia="Calibri" w:cs="Vrinda"/>
        </w:rPr>
      </w:pPr>
    </w:p>
    <w:p w:rsidR="00413C4D" w:rsidRDefault="00413C4D" w:rsidP="00826CCA">
      <w:pPr>
        <w:spacing w:line="259" w:lineRule="auto"/>
        <w:jc w:val="both"/>
        <w:rPr>
          <w:rFonts w:eastAsia="Calibri" w:cs="Vrinda"/>
        </w:rPr>
      </w:pPr>
      <w:r w:rsidRPr="00413C4D">
        <w:rPr>
          <w:rFonts w:eastAsia="Calibri" w:cs="Vrinda"/>
        </w:rPr>
        <w:t>The Commissioner for Fundamental Rights highlighted several times that there are serious problems concerning education of disabled children.</w:t>
      </w:r>
      <w:r w:rsidRPr="00A23073">
        <w:rPr>
          <w:rFonts w:eastAsia="Calibri" w:cs="Vrinda"/>
          <w:vertAlign w:val="superscript"/>
        </w:rPr>
        <w:footnoteReference w:id="54"/>
      </w:r>
      <w:r w:rsidRPr="00413C4D">
        <w:rPr>
          <w:rFonts w:eastAsia="Calibri" w:cs="Vrinda"/>
        </w:rPr>
        <w:t xml:space="preserve"> For example, in the majority of schools disabled children do not receive the necessary support due to the shortage in teachers and some children with severe and multiple disabilities do not go to school.</w:t>
      </w:r>
      <w:r w:rsidRPr="00A23073">
        <w:rPr>
          <w:rFonts w:eastAsia="Calibri" w:cs="Vrinda"/>
          <w:vertAlign w:val="superscript"/>
        </w:rPr>
        <w:footnoteReference w:id="55"/>
      </w:r>
      <w:r w:rsidRPr="00413C4D">
        <w:rPr>
          <w:rFonts w:eastAsia="Calibri" w:cs="Vrinda"/>
        </w:rPr>
        <w:t xml:space="preserve"> Children with physical disabilities are often not provided with accessible education that can respond to special needs close to their place of residence and often have to travel long distance or in the worst case to choose to live in a residential institution so as they can study.</w:t>
      </w:r>
      <w:r w:rsidRPr="00A23073">
        <w:rPr>
          <w:rFonts w:eastAsia="Calibri" w:cs="Vrinda"/>
          <w:vertAlign w:val="superscript"/>
        </w:rPr>
        <w:footnoteReference w:id="56"/>
      </w:r>
      <w:r w:rsidRPr="00A23073">
        <w:rPr>
          <w:rFonts w:eastAsia="Calibri" w:cs="Vrinda"/>
          <w:vertAlign w:val="superscript"/>
        </w:rPr>
        <w:t xml:space="preserve"> </w:t>
      </w:r>
      <w:r w:rsidRPr="00413C4D">
        <w:rPr>
          <w:rFonts w:eastAsia="Calibri" w:cs="Vrinda"/>
        </w:rPr>
        <w:t xml:space="preserve">The inadequate capacity of support services also contribute to problem as the daily transport of disabled </w:t>
      </w:r>
      <w:r w:rsidR="00A91720">
        <w:rPr>
          <w:rFonts w:eastAsia="Calibri" w:cs="Vrinda"/>
        </w:rPr>
        <w:t>children to school is difficult.</w:t>
      </w:r>
      <w:r w:rsidRPr="00A23073">
        <w:rPr>
          <w:rFonts w:eastAsia="Calibri" w:cs="Vrinda"/>
          <w:vertAlign w:val="superscript"/>
        </w:rPr>
        <w:footnoteReference w:id="57"/>
      </w:r>
      <w:r w:rsidRPr="00413C4D">
        <w:rPr>
          <w:rFonts w:eastAsia="Calibri" w:cs="Vrinda"/>
        </w:rPr>
        <w:t xml:space="preserve"> The Government fails to solve the problems at systematic level there some children with disabilities continue to spend their childhood as private learners, without the necessary developments.</w:t>
      </w:r>
      <w:r w:rsidRPr="00A23073">
        <w:rPr>
          <w:rFonts w:eastAsia="Calibri" w:cs="Vrinda"/>
          <w:vertAlign w:val="superscript"/>
        </w:rPr>
        <w:footnoteReference w:id="58"/>
      </w:r>
    </w:p>
    <w:p w:rsidR="00826CCA" w:rsidRPr="00413C4D" w:rsidRDefault="00826CCA" w:rsidP="00826CCA">
      <w:pPr>
        <w:spacing w:line="259" w:lineRule="auto"/>
        <w:jc w:val="both"/>
        <w:rPr>
          <w:rFonts w:eastAsia="Calibri" w:cs="Vrinda"/>
        </w:rPr>
      </w:pPr>
    </w:p>
    <w:p w:rsidR="00413C4D" w:rsidRPr="00413C4D" w:rsidRDefault="00582463" w:rsidP="002B31DC">
      <w:pPr>
        <w:numPr>
          <w:ilvl w:val="0"/>
          <w:numId w:val="15"/>
        </w:numPr>
        <w:autoSpaceDE w:val="0"/>
        <w:autoSpaceDN w:val="0"/>
        <w:adjustRightInd w:val="0"/>
        <w:spacing w:line="259" w:lineRule="auto"/>
        <w:jc w:val="both"/>
        <w:rPr>
          <w:rFonts w:eastAsia="Calibri" w:cs="Calibri"/>
          <w:b/>
          <w:color w:val="000000"/>
          <w:u w:val="single"/>
        </w:rPr>
      </w:pPr>
      <w:r w:rsidRPr="00582463">
        <w:rPr>
          <w:rFonts w:eastAsia="Calibri" w:cs="Calibri"/>
          <w:b/>
          <w:color w:val="000000"/>
        </w:rPr>
        <w:t xml:space="preserve"> </w:t>
      </w:r>
      <w:r w:rsidR="00413C4D" w:rsidRPr="00413C4D">
        <w:rPr>
          <w:rFonts w:eastAsia="Calibri" w:cs="Calibri"/>
          <w:b/>
          <w:color w:val="000000"/>
          <w:u w:val="single"/>
        </w:rPr>
        <w:t>Health (art. 25)</w:t>
      </w:r>
    </w:p>
    <w:p w:rsidR="00413C4D" w:rsidRPr="00413C4D" w:rsidRDefault="00413C4D" w:rsidP="002B31DC">
      <w:pPr>
        <w:autoSpaceDE w:val="0"/>
        <w:autoSpaceDN w:val="0"/>
        <w:adjustRightInd w:val="0"/>
        <w:rPr>
          <w:rFonts w:eastAsia="Calibri" w:cs="Calibri"/>
          <w:b/>
          <w:color w:val="000000"/>
          <w:u w:val="single"/>
        </w:rPr>
      </w:pPr>
    </w:p>
    <w:p w:rsidR="00413C4D" w:rsidRPr="00413C4D" w:rsidRDefault="00413C4D" w:rsidP="00413C4D">
      <w:pPr>
        <w:autoSpaceDE w:val="0"/>
        <w:autoSpaceDN w:val="0"/>
        <w:adjustRightInd w:val="0"/>
        <w:rPr>
          <w:rFonts w:eastAsia="Calibri" w:cs="Calibri"/>
          <w:b/>
          <w:color w:val="000000"/>
        </w:rPr>
      </w:pPr>
      <w:r w:rsidRPr="00413C4D">
        <w:rPr>
          <w:rFonts w:eastAsia="Calibri" w:cs="Calibri"/>
          <w:b/>
          <w:color w:val="000000"/>
        </w:rPr>
        <w:t>Questions 29-30</w:t>
      </w:r>
    </w:p>
    <w:p w:rsidR="00413C4D" w:rsidRPr="00413C4D" w:rsidRDefault="00413C4D" w:rsidP="00413C4D">
      <w:pPr>
        <w:autoSpaceDE w:val="0"/>
        <w:autoSpaceDN w:val="0"/>
        <w:adjustRightInd w:val="0"/>
        <w:rPr>
          <w:rFonts w:eastAsia="Calibri" w:cs="Calibri"/>
          <w:b/>
          <w:color w:val="000000"/>
        </w:rPr>
      </w:pPr>
    </w:p>
    <w:p w:rsidR="00413C4D" w:rsidRPr="00413C4D" w:rsidRDefault="00413C4D" w:rsidP="00413C4D">
      <w:pPr>
        <w:autoSpaceDE w:val="0"/>
        <w:autoSpaceDN w:val="0"/>
        <w:adjustRightInd w:val="0"/>
        <w:jc w:val="both"/>
        <w:rPr>
          <w:rFonts w:eastAsia="Calibri" w:cs="Calibri"/>
          <w:b/>
          <w:color w:val="000000"/>
        </w:rPr>
      </w:pPr>
      <w:r w:rsidRPr="00413C4D">
        <w:rPr>
          <w:rFonts w:eastAsia="Calibri" w:cs="Calibri"/>
          <w:color w:val="000000"/>
        </w:rPr>
        <w:t>The vast majority of health care institutions (hospitals, clinics, health centres) are not accessible, including examination rooms and toilets, health care professionals do not have necessary qualifications to deal with special needs of people with disabilities as well as equipment are also not suitable for providing adequate health care to people with disabilities. For example, the right to equal access to General Practitioner’s services of a person with physical disabilities was violated when he could only gain access to General Practitioner’s office maintained by a municipality with the help of others because it was not accessible. Additionally, there was no parking lot for the disabled, the surface of the parking lot was so fragmented that it was difficult to push the rolling walkway, the entrance was narrow, moreover stairs, a swinging door and a bench made it difficult to enter the office.</w:t>
      </w:r>
      <w:r w:rsidRPr="00A23073">
        <w:rPr>
          <w:rFonts w:eastAsia="Calibri" w:cs="Calibri"/>
          <w:color w:val="000000"/>
          <w:vertAlign w:val="superscript"/>
        </w:rPr>
        <w:footnoteReference w:id="59"/>
      </w:r>
      <w:r w:rsidRPr="00413C4D">
        <w:rPr>
          <w:rFonts w:eastAsia="Calibri" w:cs="Calibri"/>
          <w:b/>
          <w:color w:val="000000"/>
        </w:rPr>
        <w:t xml:space="preserve"> </w:t>
      </w:r>
    </w:p>
    <w:p w:rsidR="00413C4D" w:rsidRPr="00413C4D" w:rsidRDefault="00413C4D" w:rsidP="00413C4D">
      <w:pPr>
        <w:autoSpaceDE w:val="0"/>
        <w:autoSpaceDN w:val="0"/>
        <w:adjustRightInd w:val="0"/>
        <w:jc w:val="both"/>
        <w:rPr>
          <w:rFonts w:eastAsia="Calibri" w:cs="Calibri"/>
          <w:b/>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At the entrance of a newly renovated healthcare facility, the glass door next to the parking lot, which is intended to provide accessible entry, was closed for patients, however </w:t>
      </w:r>
      <w:r w:rsidRPr="00413C4D">
        <w:rPr>
          <w:rFonts w:eastAsia="Calibri" w:cs="Calibri"/>
          <w:color w:val="000000"/>
        </w:rPr>
        <w:lastRenderedPageBreak/>
        <w:t>practically it was impossible for people with physical disabilities to go from the parking lot to another entrance.</w:t>
      </w:r>
      <w:r w:rsidRPr="00A23073">
        <w:rPr>
          <w:rFonts w:eastAsia="Calibri" w:cs="Calibri"/>
          <w:color w:val="000000"/>
          <w:vertAlign w:val="superscript"/>
        </w:rPr>
        <w:t xml:space="preserve"> </w:t>
      </w:r>
      <w:r w:rsidRPr="00A23073">
        <w:rPr>
          <w:rFonts w:eastAsia="Calibri" w:cs="Calibri"/>
          <w:color w:val="000000"/>
          <w:vertAlign w:val="superscript"/>
        </w:rPr>
        <w:footnoteReference w:id="60"/>
      </w:r>
      <w:r w:rsidRPr="00413C4D">
        <w:rPr>
          <w:rFonts w:eastAsia="Calibri" w:cs="Calibri"/>
          <w:color w:val="000000"/>
        </w:rPr>
        <w:t xml:space="preserve"> In another case, the entrance of the pharmacy at the residence of the physically disabled person has stairs, the door is narrow, there is no barrier to the staircase, and it cannot be accessed either by a wheelchair or by an elbow-bar. The pharmacy has not changed the situation referring that they can be served through a side window upon knocking but due to a bicycle storage under the window. This is not an option.</w:t>
      </w:r>
      <w:r w:rsidRPr="00A23073">
        <w:rPr>
          <w:rFonts w:eastAsia="Calibri" w:cs="Calibri"/>
          <w:color w:val="000000"/>
          <w:vertAlign w:val="superscript"/>
        </w:rPr>
        <w:footnoteReference w:id="61"/>
      </w:r>
      <w:r w:rsidRPr="00413C4D">
        <w:rPr>
          <w:rFonts w:eastAsia="Calibri" w:cs="Calibri"/>
          <w:b/>
          <w:bCs/>
          <w:color w:val="000000"/>
        </w:rPr>
        <w:t xml:space="preserve"> </w:t>
      </w:r>
      <w:r w:rsidRPr="00413C4D">
        <w:rPr>
          <w:rFonts w:eastAsia="Calibri" w:cs="Calibri"/>
          <w:color w:val="000000"/>
        </w:rPr>
        <w:t xml:space="preserve"> In line with the relevant legal provision, ambulance carry only lightweight, foldable wheelchairs of a disabled patient nor any an electric wheelchairs.</w:t>
      </w:r>
      <w:r w:rsidRPr="00A23073">
        <w:rPr>
          <w:rFonts w:eastAsia="Calibri" w:cs="Calibri"/>
          <w:color w:val="000000"/>
          <w:vertAlign w:val="superscript"/>
        </w:rPr>
        <w:footnoteReference w:id="62"/>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In general, those involved in screening procedures do not have adequate information on accessibility, special needs of people with different disabilities as well as solutions to that. Disabled people must be informed about medical checks. At present, women with disabilities are not able to attend mandatory breast and cervical cancer checks in every municipality as well as accessibly of lung checks and other radiological machines, colonoscopy facilities are not complete at all health facilities in the country. Therefore, people with physical disability will either be left without care or, at their own expense, will have access to health care services otherwise available free of charge in private clinics.</w:t>
      </w:r>
      <w:r w:rsidRPr="00A23073">
        <w:rPr>
          <w:rFonts w:eastAsia="Calibri" w:cs="Calibri"/>
          <w:color w:val="000000"/>
          <w:vertAlign w:val="superscript"/>
        </w:rPr>
        <w:footnoteReference w:id="63"/>
      </w:r>
      <w:r w:rsidRPr="00413C4D">
        <w:rPr>
          <w:rFonts w:eastAsia="Calibri" w:cs="Calibri"/>
          <w:bCs/>
          <w:color w:val="000000"/>
        </w:rPr>
        <w:t xml:space="preserve"> </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413C4D" w:rsidP="00413C4D">
      <w:pPr>
        <w:autoSpaceDE w:val="0"/>
        <w:autoSpaceDN w:val="0"/>
        <w:adjustRightInd w:val="0"/>
        <w:jc w:val="both"/>
        <w:rPr>
          <w:rFonts w:eastAsia="Calibri" w:cs="Calibri"/>
          <w:bCs/>
          <w:color w:val="000000"/>
        </w:rPr>
      </w:pPr>
      <w:r w:rsidRPr="00413C4D">
        <w:rPr>
          <w:rFonts w:eastAsia="Calibri" w:cs="Calibri"/>
          <w:bCs/>
          <w:color w:val="000000"/>
        </w:rPr>
        <w:t>Unfortunately, in the lack of appropriate training, healthcare professionals do not know how to deal with certain persons with disabilities. MEOSZ is not aware of any mandatory and regular training of healthcare professionals concerning the human rights of people with disabilities. However, if such trainings existed, the MEOSZ was not involved in the preparation and compilation of these training materials, though based on the principle of ‘nothing about us without us’ such a request should have been made. Health care is not fully prepared for the healthcare needs of people with disabilities. There are no specific protocols for various types of impairment (e.g. Heine-Medin, Spina Bifida, etc.) to minimize or prevent the onset of disease or further disability as well as prioritize rehabilitation needs.</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582463" w:rsidP="002B31DC">
      <w:pPr>
        <w:numPr>
          <w:ilvl w:val="0"/>
          <w:numId w:val="15"/>
        </w:numPr>
        <w:autoSpaceDE w:val="0"/>
        <w:autoSpaceDN w:val="0"/>
        <w:adjustRightInd w:val="0"/>
        <w:spacing w:line="259" w:lineRule="auto"/>
        <w:jc w:val="both"/>
        <w:rPr>
          <w:rFonts w:eastAsia="Calibri" w:cs="Calibri"/>
          <w:b/>
          <w:color w:val="000000"/>
          <w:u w:val="single"/>
        </w:rPr>
      </w:pPr>
      <w:r w:rsidRPr="00582463">
        <w:rPr>
          <w:rFonts w:eastAsia="Calibri" w:cs="Calibri"/>
          <w:b/>
          <w:color w:val="000000"/>
        </w:rPr>
        <w:t xml:space="preserve"> </w:t>
      </w:r>
      <w:r w:rsidR="00413C4D" w:rsidRPr="00413C4D">
        <w:rPr>
          <w:rFonts w:eastAsia="Calibri" w:cs="Calibri"/>
          <w:b/>
          <w:color w:val="000000"/>
          <w:u w:val="single"/>
        </w:rPr>
        <w:t>Work and employment (art. 27.)</w:t>
      </w:r>
    </w:p>
    <w:p w:rsidR="00413C4D" w:rsidRPr="00413C4D" w:rsidRDefault="00413C4D" w:rsidP="00413C4D">
      <w:pPr>
        <w:autoSpaceDE w:val="0"/>
        <w:autoSpaceDN w:val="0"/>
        <w:adjustRightInd w:val="0"/>
        <w:jc w:val="both"/>
        <w:rPr>
          <w:rFonts w:eastAsia="Calibri" w:cs="Calibri"/>
          <w:b/>
          <w:color w:val="000000"/>
          <w:u w:val="single"/>
        </w:rPr>
      </w:pPr>
    </w:p>
    <w:p w:rsidR="00413C4D" w:rsidRPr="00413C4D" w:rsidRDefault="00413C4D" w:rsidP="00413C4D">
      <w:pPr>
        <w:autoSpaceDE w:val="0"/>
        <w:autoSpaceDN w:val="0"/>
        <w:adjustRightInd w:val="0"/>
        <w:jc w:val="both"/>
        <w:rPr>
          <w:rFonts w:eastAsia="Calibri" w:cs="Calibri"/>
          <w:b/>
          <w:color w:val="000000"/>
        </w:rPr>
      </w:pPr>
      <w:r w:rsidRPr="00413C4D">
        <w:rPr>
          <w:rFonts w:eastAsia="Calibri" w:cs="Calibri"/>
          <w:b/>
          <w:color w:val="000000"/>
        </w:rPr>
        <w:t>Question 31</w:t>
      </w:r>
    </w:p>
    <w:p w:rsidR="00413C4D" w:rsidRPr="00413C4D" w:rsidRDefault="00413C4D" w:rsidP="00413C4D">
      <w:pPr>
        <w:autoSpaceDE w:val="0"/>
        <w:autoSpaceDN w:val="0"/>
        <w:adjustRightInd w:val="0"/>
        <w:jc w:val="both"/>
        <w:rPr>
          <w:rFonts w:eastAsia="Calibri" w:cs="Calibri"/>
          <w:b/>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In 2017, MEOSZ conducted a detailed nationwide survey among its members concerning their training and employment situation. Although the survey is not representative, the responses received reflect well the problems and shortcomings existing in this area. The replies concerning retraining and further training courses show that they are rarely accessible for people with physical disabilities and that there is hardly any training that is appropriate to their specific needs. The same situation got visible emerged from the answers to the questions on job placement.</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However, the elements of rehabilitation employment (qualification system, accredited employers) and subsidies provided to employers and employees by domestic law are not combined into one system. Funding for job placement services and assisted employment </w:t>
      </w:r>
      <w:r w:rsidRPr="00413C4D">
        <w:rPr>
          <w:rFonts w:eastAsia="Calibri" w:cs="Calibri"/>
          <w:color w:val="000000"/>
        </w:rPr>
        <w:lastRenderedPageBreak/>
        <w:t>for people with disabilities is uncertain and project-based. Accredited employers also plan from one year to another, keeping their employees in a state of constant insecurity.</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The current employment support system does not sufficiently encourage the employment of people with disabilities, it does not help their rehabilitation and their employment in the open labour market. The MEOSZ survey confirms the gravity of the situation, i.e. more than half of the 250 responders with physical disabilities were earning less than 100,000 HUF (300 EUR) and 60% did not earn a minimum wage. One third of responders were able to use their qualifications, most of whom were employed in unpaid, unskilled jobs. Very few people turned to the employment centre and could not use their help at all. Employment services provided specifically for people with disabilities were not considered satisfactory by 60% of users. The lack of accessible workplaces, as well as the lack of individualized working conditions and insecurity in commuting to work, are still fundamental problems.</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bCs/>
          <w:color w:val="000000"/>
        </w:rPr>
      </w:pPr>
      <w:r w:rsidRPr="00413C4D">
        <w:rPr>
          <w:rFonts w:eastAsia="Calibri" w:cs="Calibri"/>
          <w:color w:val="000000"/>
        </w:rPr>
        <w:t xml:space="preserve">In its concluding observation of 2012, the CRPD Committee </w:t>
      </w:r>
      <w:r w:rsidRPr="00413C4D">
        <w:rPr>
          <w:rFonts w:eastAsia="Calibri" w:cs="Calibri"/>
          <w:bCs/>
          <w:color w:val="000000"/>
        </w:rPr>
        <w:t>recommended that Hungary effectively implement the disability-specific provisions of the Labour Code and develop programs to integrate persons with disabilities into the open labour market through fulfilling the requirements of Article 27 of the Convention, with a special view to further intensifying its efforts to increase the employment opportunities for women and men with disabilities in the public and private sectors</w:t>
      </w:r>
      <w:r w:rsidRPr="00413C4D">
        <w:rPr>
          <w:rFonts w:eastAsia="Calibri" w:cs="Calibri"/>
          <w:b/>
          <w:bCs/>
          <w:color w:val="000000"/>
        </w:rPr>
        <w:t xml:space="preserve">. </w:t>
      </w:r>
      <w:r w:rsidRPr="00413C4D">
        <w:rPr>
          <w:rFonts w:eastAsia="Calibri" w:cs="Calibri"/>
          <w:bCs/>
          <w:color w:val="000000"/>
        </w:rPr>
        <w:t>Hungary have still not fulfilled the requirements set out in 2012</w:t>
      </w:r>
      <w:r w:rsidRPr="00413C4D">
        <w:rPr>
          <w:rFonts w:eastAsia="Calibri" w:cs="Calibri"/>
          <w:b/>
          <w:bCs/>
          <w:color w:val="000000"/>
        </w:rPr>
        <w:t xml:space="preserve"> </w:t>
      </w:r>
      <w:r w:rsidRPr="00413C4D">
        <w:rPr>
          <w:rFonts w:eastAsia="Calibri" w:cs="Calibri"/>
          <w:bCs/>
          <w:color w:val="000000"/>
        </w:rPr>
        <w:t>as the employment of people with disabilities is still far below that of non-disabled workers, employment of people with disabilities in public spheres is still not widespread and supported employment is more common compared to employment in open labour market.</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413C4D" w:rsidP="00413C4D">
      <w:pPr>
        <w:autoSpaceDE w:val="0"/>
        <w:autoSpaceDN w:val="0"/>
        <w:adjustRightInd w:val="0"/>
        <w:jc w:val="both"/>
        <w:rPr>
          <w:rFonts w:eastAsia="Calibri" w:cs="Calibri"/>
          <w:bCs/>
          <w:color w:val="000000"/>
        </w:rPr>
      </w:pPr>
      <w:r w:rsidRPr="00413C4D">
        <w:rPr>
          <w:rFonts w:eastAsia="Calibri" w:cs="Calibri"/>
          <w:bCs/>
          <w:color w:val="000000"/>
        </w:rPr>
        <w:t>In accordance with the Convention, Fot. also emphasizes the integrated employment of people with disabilities rather than accredited employment.</w:t>
      </w:r>
      <w:r w:rsidRPr="00A23073">
        <w:rPr>
          <w:rFonts w:eastAsia="Calibri" w:cs="Calibri"/>
          <w:color w:val="000000"/>
          <w:vertAlign w:val="superscript"/>
        </w:rPr>
        <w:footnoteReference w:id="64"/>
      </w:r>
      <w:r w:rsidRPr="00413C4D">
        <w:rPr>
          <w:rFonts w:eastAsia="Calibri" w:cs="Calibri"/>
          <w:color w:val="000000"/>
        </w:rPr>
        <w:t xml:space="preserve"> </w:t>
      </w:r>
      <w:r w:rsidRPr="00413C4D">
        <w:rPr>
          <w:rFonts w:eastAsia="Calibri" w:cs="Calibri"/>
          <w:bCs/>
          <w:color w:val="000000"/>
        </w:rPr>
        <w:t>At the same time, despite of this regulation a complex support system has not developed, and the existing forms of support cannot completely fulfil this function.</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413C4D" w:rsidP="00413C4D">
      <w:pPr>
        <w:autoSpaceDE w:val="0"/>
        <w:autoSpaceDN w:val="0"/>
        <w:adjustRightInd w:val="0"/>
        <w:jc w:val="both"/>
        <w:rPr>
          <w:rFonts w:eastAsia="Calibri" w:cs="Calibri"/>
          <w:bCs/>
          <w:color w:val="000000"/>
        </w:rPr>
      </w:pPr>
      <w:r w:rsidRPr="00413C4D">
        <w:rPr>
          <w:rFonts w:eastAsia="Calibri" w:cs="Calibri"/>
          <w:bCs/>
          <w:color w:val="000000"/>
        </w:rPr>
        <w:t>Rehabilitation contribution is one of the forms to support that are intended to promote open labour market employment. However, since the employer is exempt from paying the rehabilitation contribution obligation not only for the disabled, but also for any person with reduced working capacity, it may not be in their best interest to employ a disabled person, especially if the employment of the worker with reduced working capacity may be less costly and requires less accommodation. Thus, in its current form, the rehabilitation contribution does not provide effective support for facilitating the employment of people with disabilities, even though these people are at a disadvantaged situation in the open labour market, even compared to those with reduced working capacity.</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413C4D" w:rsidP="00413C4D">
      <w:pPr>
        <w:autoSpaceDE w:val="0"/>
        <w:autoSpaceDN w:val="0"/>
        <w:adjustRightInd w:val="0"/>
        <w:jc w:val="both"/>
        <w:rPr>
          <w:rFonts w:eastAsia="Calibri" w:cs="Calibri"/>
          <w:bCs/>
          <w:color w:val="000000"/>
        </w:rPr>
      </w:pPr>
      <w:r w:rsidRPr="00413C4D">
        <w:rPr>
          <w:rFonts w:eastAsia="Calibri" w:cs="Calibri"/>
          <w:bCs/>
          <w:color w:val="000000"/>
        </w:rPr>
        <w:t>Previously, the Commissioner for Fundamental Rights also stated in his report that the level of subsidies for the employment of people with disabilities and people with reduced working capacity should be differentiated.</w:t>
      </w:r>
      <w:r w:rsidRPr="00A23073">
        <w:rPr>
          <w:rFonts w:eastAsia="Calibri" w:cs="Calibri"/>
          <w:color w:val="000000"/>
          <w:vertAlign w:val="superscript"/>
        </w:rPr>
        <w:footnoteReference w:id="65"/>
      </w:r>
      <w:r w:rsidRPr="00413C4D">
        <w:rPr>
          <w:rFonts w:eastAsia="Calibri" w:cs="Calibri"/>
          <w:bCs/>
          <w:color w:val="000000"/>
        </w:rPr>
        <w:t xml:space="preserve"> However, this distinction, which could be more conducive concerning the employment of people with disabilities at a </w:t>
      </w:r>
      <w:r w:rsidRPr="00413C4D">
        <w:rPr>
          <w:rFonts w:eastAsia="Calibri" w:cs="Calibri"/>
          <w:bCs/>
          <w:color w:val="000000"/>
        </w:rPr>
        <w:lastRenderedPageBreak/>
        <w:t>disadvantaged group on the labour market, is not reflected in the current legislation on the rehabilitation contribution.</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569C4" w:rsidP="004569C4">
      <w:pPr>
        <w:numPr>
          <w:ilvl w:val="0"/>
          <w:numId w:val="15"/>
        </w:numPr>
        <w:autoSpaceDE w:val="0"/>
        <w:autoSpaceDN w:val="0"/>
        <w:adjustRightInd w:val="0"/>
        <w:spacing w:line="259" w:lineRule="auto"/>
        <w:jc w:val="both"/>
        <w:rPr>
          <w:rFonts w:eastAsia="Calibri" w:cs="Calibri"/>
          <w:b/>
          <w:color w:val="000000"/>
          <w:u w:val="single"/>
        </w:rPr>
      </w:pPr>
      <w:r w:rsidRPr="004569C4">
        <w:rPr>
          <w:rFonts w:eastAsia="Calibri" w:cs="Calibri"/>
          <w:b/>
          <w:color w:val="000000"/>
        </w:rPr>
        <w:t xml:space="preserve"> </w:t>
      </w:r>
      <w:r w:rsidR="00413C4D" w:rsidRPr="00413C4D">
        <w:rPr>
          <w:rFonts w:eastAsia="Calibri" w:cs="Calibri"/>
          <w:b/>
          <w:color w:val="000000"/>
          <w:u w:val="single"/>
        </w:rPr>
        <w:t>Adequate standard of living and social protection (art. 28)</w:t>
      </w:r>
    </w:p>
    <w:p w:rsidR="00413C4D" w:rsidRPr="00413C4D" w:rsidRDefault="00413C4D" w:rsidP="00413C4D">
      <w:pPr>
        <w:autoSpaceDE w:val="0"/>
        <w:autoSpaceDN w:val="0"/>
        <w:adjustRightInd w:val="0"/>
        <w:rPr>
          <w:rFonts w:eastAsia="Calibri" w:cs="Calibri"/>
          <w:b/>
          <w:color w:val="000000"/>
          <w:u w:val="single"/>
        </w:rPr>
      </w:pPr>
    </w:p>
    <w:p w:rsidR="00413C4D" w:rsidRPr="00413C4D" w:rsidRDefault="00413C4D" w:rsidP="00413C4D">
      <w:pPr>
        <w:autoSpaceDE w:val="0"/>
        <w:autoSpaceDN w:val="0"/>
        <w:adjustRightInd w:val="0"/>
        <w:rPr>
          <w:rFonts w:eastAsia="Calibri" w:cs="Calibri"/>
          <w:b/>
          <w:color w:val="000000"/>
        </w:rPr>
      </w:pPr>
      <w:r w:rsidRPr="00413C4D">
        <w:rPr>
          <w:rFonts w:eastAsia="Calibri" w:cs="Calibri"/>
          <w:b/>
          <w:color w:val="000000"/>
        </w:rPr>
        <w:t>Question 32.</w:t>
      </w:r>
    </w:p>
    <w:p w:rsidR="00413C4D" w:rsidRPr="00413C4D" w:rsidRDefault="00413C4D" w:rsidP="00413C4D">
      <w:pPr>
        <w:autoSpaceDE w:val="0"/>
        <w:autoSpaceDN w:val="0"/>
        <w:adjustRightInd w:val="0"/>
        <w:jc w:val="both"/>
        <w:rPr>
          <w:rFonts w:eastAsia="Calibri" w:cs="Calibri"/>
          <w: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In Hungary, people with disabilities are entitled to a variety of cash and in-kind social benefits. Among the cash benefits, those should be mentioned that are intended to compensate the additional costs of disability.</w:t>
      </w:r>
    </w:p>
    <w:p w:rsidR="00413C4D" w:rsidRPr="00413C4D" w:rsidRDefault="00413C4D" w:rsidP="00413C4D">
      <w:pPr>
        <w:autoSpaceDE w:val="0"/>
        <w:autoSpaceDN w:val="0"/>
        <w:adjustRightInd w:val="0"/>
        <w:jc w:val="both"/>
        <w:rPr>
          <w:rFonts w:eastAsia="Calibri" w:cs="Calibri"/>
          <w:iCs/>
          <w:color w:val="000000"/>
        </w:rPr>
      </w:pPr>
    </w:p>
    <w:p w:rsidR="00413C4D" w:rsidRPr="00413C4D" w:rsidRDefault="00413C4D" w:rsidP="00413C4D">
      <w:pPr>
        <w:autoSpaceDE w:val="0"/>
        <w:autoSpaceDN w:val="0"/>
        <w:adjustRightInd w:val="0"/>
        <w:jc w:val="both"/>
        <w:rPr>
          <w:rFonts w:eastAsia="Calibri" w:cs="Calibri"/>
          <w:iCs/>
          <w:color w:val="000000"/>
        </w:rPr>
      </w:pPr>
      <w:r w:rsidRPr="00413C4D">
        <w:rPr>
          <w:rFonts w:eastAsia="Calibri" w:cs="Calibri"/>
          <w:iCs/>
          <w:color w:val="000000"/>
        </w:rPr>
        <w:t xml:space="preserve">These include a disability allowance and a higher family allowance among others. The persons concerned are entitled to only one of these allowances at a time and only in case of severe disability (except for higher family allowance regarding minor child). Their maximum monthly amount in 2019 are: 22,373 HUF (68 EUR) or 27,537 HUF (83 EUR) in case of disability allowance, 25, 900 HUF (78 EUR) in case of higher family allowance. </w:t>
      </w:r>
    </w:p>
    <w:p w:rsidR="00413C4D" w:rsidRPr="00413C4D" w:rsidRDefault="00413C4D" w:rsidP="00413C4D">
      <w:pPr>
        <w:autoSpaceDE w:val="0"/>
        <w:autoSpaceDN w:val="0"/>
        <w:adjustRightInd w:val="0"/>
        <w:jc w:val="both"/>
        <w:rPr>
          <w:rFonts w:eastAsia="Calibri" w:cs="Calibri"/>
          <w:iCs/>
          <w:color w:val="000000"/>
        </w:rPr>
      </w:pPr>
    </w:p>
    <w:p w:rsidR="00413C4D" w:rsidRPr="00413C4D" w:rsidRDefault="00413C4D" w:rsidP="00413C4D">
      <w:pPr>
        <w:autoSpaceDE w:val="0"/>
        <w:autoSpaceDN w:val="0"/>
        <w:adjustRightInd w:val="0"/>
        <w:jc w:val="both"/>
        <w:rPr>
          <w:rFonts w:eastAsia="Calibri" w:cs="Calibri"/>
          <w:iCs/>
          <w:color w:val="000000"/>
        </w:rPr>
      </w:pPr>
      <w:r w:rsidRPr="00413C4D">
        <w:rPr>
          <w:rFonts w:eastAsia="Calibri" w:cs="Calibri"/>
          <w:iCs/>
          <w:color w:val="000000"/>
        </w:rPr>
        <w:t xml:space="preserve">In addition to benefits in kind and personal care, the Szoctv. also contains cash benefits health damage and child care allowance, care allowance that are connected to severe disability. Their amount also very low, for example in case of normal care allowance in 2019 is 37,490 HUF (113 EUR); higher care allowance 56,398 HUF (170 EUR); special care allowance is 67,482 HUF (205 EUR). </w:t>
      </w:r>
    </w:p>
    <w:p w:rsidR="00413C4D" w:rsidRPr="00413C4D" w:rsidRDefault="00413C4D" w:rsidP="00413C4D">
      <w:pPr>
        <w:autoSpaceDE w:val="0"/>
        <w:autoSpaceDN w:val="0"/>
        <w:adjustRightInd w:val="0"/>
        <w:jc w:val="both"/>
        <w:rPr>
          <w:rFonts w:eastAsia="Calibri" w:cs="Calibri"/>
          <w:iCs/>
          <w:color w:val="000000"/>
        </w:rPr>
      </w:pPr>
    </w:p>
    <w:p w:rsidR="00413C4D" w:rsidRPr="00413C4D" w:rsidRDefault="00413C4D" w:rsidP="00413C4D">
      <w:pPr>
        <w:autoSpaceDE w:val="0"/>
        <w:autoSpaceDN w:val="0"/>
        <w:adjustRightInd w:val="0"/>
        <w:jc w:val="both"/>
        <w:rPr>
          <w:rFonts w:eastAsia="Calibri" w:cs="Calibri"/>
          <w:iCs/>
          <w:color w:val="000000"/>
        </w:rPr>
      </w:pPr>
      <w:r w:rsidRPr="00413C4D">
        <w:rPr>
          <w:rFonts w:eastAsia="Calibri" w:cs="Calibri"/>
          <w:iCs/>
          <w:color w:val="000000"/>
        </w:rPr>
        <w:t>Based on the very strict eligibility conditions and the amounts of these benefits, they are clearly not suitable for ensuring a decent quality of life for people with disabilities and their families. This is particularly true for families where a severely disabled family member needs care that can only be provided by a close family member who consequently may fall out of work therefore their income is limited to the caring allowance. Thus, people with disabilities and their families do not receive adequate support from the state to compensate their additional needs resulting from disability.</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The living standard of MEOSZ members has decreased in the recent 5-7 years. This experience is strengthened by the judgment of the European Court of Human Rights in the case of </w:t>
      </w:r>
      <w:r w:rsidRPr="00413C4D">
        <w:rPr>
          <w:rFonts w:eastAsia="Calibri" w:cs="Calibri"/>
          <w:i/>
          <w:color w:val="000000"/>
        </w:rPr>
        <w:t>Béláné Nagy v. Hungary.</w:t>
      </w:r>
      <w:r w:rsidRPr="00A23073">
        <w:rPr>
          <w:rFonts w:eastAsia="Calibri" w:cs="Calibri"/>
          <w:i/>
          <w:iCs/>
          <w:color w:val="000000"/>
          <w:vertAlign w:val="superscript"/>
          <w:lang w:bidi="hu-HU"/>
        </w:rPr>
        <w:t xml:space="preserve"> </w:t>
      </w:r>
      <w:r w:rsidRPr="00A23073">
        <w:rPr>
          <w:rFonts w:eastAsia="Calibri" w:cs="Calibri"/>
          <w:iCs/>
          <w:color w:val="000000"/>
          <w:vertAlign w:val="superscript"/>
          <w:lang w:bidi="hu-HU"/>
        </w:rPr>
        <w:footnoteReference w:id="66"/>
      </w:r>
      <w:r w:rsidRPr="00413C4D">
        <w:rPr>
          <w:rFonts w:eastAsia="Calibri" w:cs="Calibri"/>
          <w:color w:val="000000"/>
        </w:rPr>
        <w:t xml:space="preserve"> The above is also supported by the fact that many people with disabilities and their families still included in marginalized groups of society.</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The changes that took place in 2012 affected not only the disability system, but also a much wider group, including many people with disabilities, who had previously received disability pension or so-called ’regular pension-like social benefits.’ As of 1 January 2012, this new system has placed these people at a disadvantaged situation. The disability pension scheme was abolished and replaced by disability-related healthcare insurance benefits. As a result of the new system, many former disability pensioners have faced significantly disadvantaged in both terms of the level of their benefits and access to benefits (eligibility conditions). MEOSZ representing the interests of tens of thousands of victims, has been struggling for years to revise the regulation. However, the case may be reversed by the decisions of the European Court of Human Rights condemning our country according to which a large and disproportionate reduction in contributory </w:t>
      </w:r>
      <w:r w:rsidRPr="00413C4D">
        <w:rPr>
          <w:rFonts w:eastAsia="Calibri" w:cs="Calibri"/>
          <w:color w:val="000000"/>
        </w:rPr>
        <w:lastRenderedPageBreak/>
        <w:t>benefits violates the right to property declared in the European Convention on Human Rights.</w:t>
      </w:r>
      <w:r w:rsidRPr="00A23073">
        <w:rPr>
          <w:rFonts w:eastAsia="Calibri" w:cs="Calibri"/>
          <w:iCs/>
          <w:color w:val="000000"/>
          <w:vertAlign w:val="superscript"/>
        </w:rPr>
        <w:footnoteReference w:id="67"/>
      </w:r>
      <w:r w:rsidRPr="00413C4D">
        <w:rPr>
          <w:rFonts w:eastAsia="Calibri" w:cs="Calibri"/>
          <w:iCs/>
          <w:color w:val="000000"/>
        </w:rPr>
        <w:t xml:space="preserve"> </w:t>
      </w:r>
    </w:p>
    <w:p w:rsidR="00413C4D" w:rsidRPr="00413C4D" w:rsidRDefault="00413C4D" w:rsidP="00413C4D">
      <w:pPr>
        <w:autoSpaceDE w:val="0"/>
        <w:autoSpaceDN w:val="0"/>
        <w:adjustRightInd w:val="0"/>
        <w:jc w:val="both"/>
        <w:rPr>
          <w:rFonts w:eastAsia="Calibri" w:cs="Calibri"/>
          <w:iCs/>
          <w:color w:val="000000"/>
        </w:rPr>
      </w:pPr>
    </w:p>
    <w:p w:rsidR="00413C4D" w:rsidRPr="00413C4D" w:rsidRDefault="00413C4D" w:rsidP="00413C4D">
      <w:pPr>
        <w:autoSpaceDE w:val="0"/>
        <w:autoSpaceDN w:val="0"/>
        <w:adjustRightInd w:val="0"/>
        <w:jc w:val="both"/>
        <w:rPr>
          <w:rFonts w:eastAsia="Calibri" w:cs="Calibri"/>
          <w:bCs/>
          <w:color w:val="000000"/>
        </w:rPr>
      </w:pPr>
      <w:r w:rsidRPr="00413C4D">
        <w:rPr>
          <w:rFonts w:eastAsia="Calibri" w:cs="Calibri"/>
          <w:bCs/>
          <w:color w:val="000000"/>
        </w:rPr>
        <w:t>In 2018, in an individual case, the Constitutional Court ruled</w:t>
      </w:r>
      <w:r w:rsidRPr="00A23073">
        <w:rPr>
          <w:rFonts w:eastAsia="Calibri" w:cs="Calibri"/>
          <w:bCs/>
          <w:color w:val="000000"/>
          <w:vertAlign w:val="superscript"/>
        </w:rPr>
        <w:footnoteReference w:id="68"/>
      </w:r>
      <w:r w:rsidRPr="00413C4D">
        <w:rPr>
          <w:rFonts w:eastAsia="Calibri" w:cs="Calibri"/>
          <w:bCs/>
          <w:color w:val="000000"/>
        </w:rPr>
        <w:t xml:space="preserve"> that despite its international obligations, the Parliament of Hungary had failed to adopt legislative provisions that would determine in case of previous beneficiaries the correlation between the amounts of their allowances determined during the new compulsory complex assessment and their previous allowances and/or the extent of any actual improvement in their physical conditions, which is decisive for their living conditions.</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413C4D" w:rsidP="00413C4D">
      <w:pPr>
        <w:autoSpaceDE w:val="0"/>
        <w:autoSpaceDN w:val="0"/>
        <w:adjustRightInd w:val="0"/>
        <w:jc w:val="both"/>
        <w:rPr>
          <w:rFonts w:eastAsia="Calibri" w:cs="Calibri"/>
          <w:bCs/>
          <w:color w:val="000000"/>
          <w:u w:val="single"/>
        </w:rPr>
      </w:pPr>
      <w:r w:rsidRPr="00413C4D">
        <w:rPr>
          <w:rFonts w:eastAsia="Calibri" w:cs="Calibri"/>
          <w:bCs/>
          <w:color w:val="000000"/>
        </w:rPr>
        <w:t xml:space="preserve">The Constitutional Court has called on the Parliament to fulfil this legislative task by 31 March 2019 by enacting the necessary provisions. The decision of the Constitutional Court and the rules to be adopted on that basis may affect those who received disability pension before 1 January 2012 and were entitled to disability benefit under the new complex assessment introduced by the new legislation. Many of them were in a situation in which new benefits decreased significantly compared to their previous disability pension even though there were no actual positive changes in their health conditions and the improvement was only due to changes in the qualification system and legislation. </w:t>
      </w:r>
      <w:r w:rsidRPr="00413C4D">
        <w:rPr>
          <w:rFonts w:eastAsia="Calibri" w:cs="Calibri"/>
          <w:bCs/>
          <w:color w:val="000000"/>
          <w:u w:val="single"/>
        </w:rPr>
        <w:t>The Hungarian Government, in breach of its statutory obligation, has not fulfilled its legislative task by the time the report is closed, even though thousands of disabled people with disabilities are waiting for redress.</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36212E" w:rsidP="00BC4D4D">
      <w:pPr>
        <w:numPr>
          <w:ilvl w:val="0"/>
          <w:numId w:val="15"/>
        </w:numPr>
        <w:autoSpaceDE w:val="0"/>
        <w:autoSpaceDN w:val="0"/>
        <w:adjustRightInd w:val="0"/>
        <w:spacing w:line="259" w:lineRule="auto"/>
        <w:jc w:val="both"/>
        <w:rPr>
          <w:rFonts w:eastAsia="Calibri" w:cs="Calibri"/>
          <w:b/>
          <w:bCs/>
          <w:color w:val="000000"/>
          <w:u w:val="single"/>
        </w:rPr>
      </w:pPr>
      <w:r w:rsidRPr="0036212E">
        <w:rPr>
          <w:rFonts w:eastAsia="Calibri" w:cs="Calibri"/>
          <w:b/>
          <w:bCs/>
          <w:color w:val="000000"/>
        </w:rPr>
        <w:t xml:space="preserve"> </w:t>
      </w:r>
      <w:r w:rsidR="00413C4D" w:rsidRPr="00413C4D">
        <w:rPr>
          <w:rFonts w:eastAsia="Calibri" w:cs="Calibri"/>
          <w:b/>
          <w:bCs/>
          <w:color w:val="000000"/>
          <w:u w:val="single"/>
        </w:rPr>
        <w:t>Participation in political and public life (art. 29)</w:t>
      </w:r>
    </w:p>
    <w:p w:rsidR="00413C4D" w:rsidRPr="00413C4D" w:rsidRDefault="00413C4D" w:rsidP="00413C4D">
      <w:pPr>
        <w:autoSpaceDE w:val="0"/>
        <w:autoSpaceDN w:val="0"/>
        <w:adjustRightInd w:val="0"/>
        <w:jc w:val="both"/>
        <w:rPr>
          <w:rFonts w:eastAsia="Calibri" w:cs="Calibri"/>
          <w:b/>
          <w:bCs/>
          <w:color w:val="000000"/>
          <w:u w:val="single"/>
        </w:rPr>
      </w:pPr>
    </w:p>
    <w:p w:rsidR="00413C4D" w:rsidRPr="00413C4D" w:rsidRDefault="00413C4D" w:rsidP="00413C4D">
      <w:pPr>
        <w:autoSpaceDE w:val="0"/>
        <w:autoSpaceDN w:val="0"/>
        <w:adjustRightInd w:val="0"/>
        <w:jc w:val="both"/>
        <w:rPr>
          <w:rFonts w:eastAsia="Calibri" w:cs="Calibri"/>
          <w:b/>
          <w:bCs/>
          <w:color w:val="000000"/>
        </w:rPr>
      </w:pPr>
      <w:r w:rsidRPr="00413C4D">
        <w:rPr>
          <w:rFonts w:eastAsia="Calibri" w:cs="Calibri"/>
          <w:b/>
          <w:bCs/>
          <w:color w:val="000000"/>
        </w:rPr>
        <w:t>Question 33</w:t>
      </w:r>
    </w:p>
    <w:p w:rsidR="00413C4D" w:rsidRPr="00413C4D" w:rsidRDefault="00413C4D" w:rsidP="00413C4D">
      <w:pPr>
        <w:autoSpaceDE w:val="0"/>
        <w:autoSpaceDN w:val="0"/>
        <w:adjustRightInd w:val="0"/>
        <w:jc w:val="both"/>
        <w:rPr>
          <w:rFonts w:eastAsia="Calibri" w:cs="Calibri"/>
          <w:b/>
          <w:bCs/>
          <w:color w:val="000000"/>
        </w:rPr>
      </w:pPr>
    </w:p>
    <w:p w:rsidR="00413C4D" w:rsidRPr="00413C4D" w:rsidRDefault="00413C4D" w:rsidP="00413C4D">
      <w:pPr>
        <w:autoSpaceDE w:val="0"/>
        <w:autoSpaceDN w:val="0"/>
        <w:adjustRightInd w:val="0"/>
        <w:jc w:val="both"/>
        <w:rPr>
          <w:rFonts w:eastAsia="Calibri" w:cs="Calibri"/>
          <w:bCs/>
          <w:color w:val="000000"/>
        </w:rPr>
      </w:pPr>
      <w:r w:rsidRPr="00413C4D">
        <w:rPr>
          <w:rFonts w:eastAsia="Calibri" w:cs="Calibri"/>
          <w:bCs/>
          <w:color w:val="000000"/>
        </w:rPr>
        <w:t>In its concluding observations of 2012, the CRPD Committee clearly called Hungary to ensure the right to vote for all persons with disabilities, whether under guardianship or not.</w:t>
      </w:r>
    </w:p>
    <w:p w:rsidR="00413C4D" w:rsidRPr="00413C4D" w:rsidRDefault="00413C4D" w:rsidP="00413C4D">
      <w:pPr>
        <w:autoSpaceDE w:val="0"/>
        <w:autoSpaceDN w:val="0"/>
        <w:adjustRightInd w:val="0"/>
        <w:jc w:val="both"/>
        <w:rPr>
          <w:rFonts w:eastAsia="Calibri" w:cs="Calibri"/>
          <w:bCs/>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The most significant problem for people with severe disabilities using wheelchairs that during elections there are only a few accessible polling stations both in terms of accessibility and internal usability. If a voter with disability is unable to show up at the polling station on the polls day, he/she may request a moving ballot box. However, the fact that voting facilities are physically inaccessible prevents persons with disabilities from exercising their voting rights on an equal basis with others.</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The situation is even more complicated if a person with disability who has communication and /or writing difficulties would like to exercise his/her voting rights. In case of an adult who needs assistance due to less insight the guardianship authority may assign a support person for certain matters who will help in decision-making based on individual needs. The supported decision-maker will continue to have full legal capacity, but his or her assistance will be provided in a formal, legally recognized manner. The assigned support person should be a person in a relationship of trust with the supported person. We received a signal from a physically disabled voter according to which support persons are not impartial, they can see and try to influence disabled person’s vote.</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Currently, the Hungarian legislation according to which being placed under guardianship automatically deprives the person of his or her electoral rights,</w:t>
      </w:r>
      <w:r w:rsidRPr="00A23073">
        <w:rPr>
          <w:rFonts w:eastAsia="Calibri" w:cs="Calibri"/>
          <w:color w:val="000000"/>
          <w:vertAlign w:val="superscript"/>
        </w:rPr>
        <w:footnoteReference w:id="69"/>
      </w:r>
      <w:r w:rsidRPr="00413C4D">
        <w:rPr>
          <w:rFonts w:eastAsia="Calibri" w:cs="Calibri"/>
          <w:color w:val="000000"/>
        </w:rPr>
        <w:t xml:space="preserve"> and the above practical solutions violates the rights to universal, equal, secret and direct suffrage, non-discrimination and equal opportunities.</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Voting procedures are also inadequate even if the polling committee is unable to communicate properly with the disabled voter. Voting materials are not formulated in easy to understand manner if all information about the election is not accessible or is incomprehensible for people with disabilities. Generally, a disabled voter does not request to vote on the mobile ballot box or on the desk at polling station on his/her free choice but on compulsion until the full accessibility of polling facilities, polling stations and polling cabins is achieved. </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The Commissioner for Fundamental Rights initiated an inquiry in order to review of the voting rules for mobile voting from a human rights perspective.</w:t>
      </w:r>
      <w:r w:rsidRPr="00A23073">
        <w:rPr>
          <w:rFonts w:eastAsia="Calibri" w:cs="Calibri"/>
          <w:color w:val="000000"/>
          <w:vertAlign w:val="superscript"/>
        </w:rPr>
        <w:footnoteReference w:id="70"/>
      </w:r>
      <w:r w:rsidRPr="00413C4D">
        <w:rPr>
          <w:rFonts w:eastAsia="Calibri" w:cs="Calibri"/>
          <w:color w:val="000000"/>
        </w:rPr>
        <w:t xml:space="preserve"> The report recalled that the problem was acute: the provision of mobile ballot boxes had already been difficult in previous elections. Compared to the previous regulations, it was not only a mobile ballot box could be requested, but an accessible voting room should have been in all settlements.</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In June 2018, when examining accessibility of political and public life for people with physical disabilities, MEOSZ turned to the National Election Office (NVI). According to the information provided by NVI, 7255 of the 10,285 or 70.54% of the polling stations are accessible based the date of the polling station register for parliamentary elections. Out of 2030 municipalities where there is only one polling station, 47 are not accessible. On the issue of what practice was developed in municipalities with inaccessible polling stations to facilitate the voting of people with physical disability, most local election offices built a temporary ramp and provided mobile ballot boxes so as to facilitate voting. There was a local electoral office that described that providing accessibility for a municipal having such a low population is physically impossible and would incur a horrific cost compared to the municipal budget.</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582463" w:rsidP="00BC4D4D">
      <w:pPr>
        <w:numPr>
          <w:ilvl w:val="0"/>
          <w:numId w:val="15"/>
        </w:numPr>
        <w:autoSpaceDE w:val="0"/>
        <w:autoSpaceDN w:val="0"/>
        <w:adjustRightInd w:val="0"/>
        <w:spacing w:line="259" w:lineRule="auto"/>
        <w:jc w:val="both"/>
        <w:rPr>
          <w:rFonts w:eastAsia="Calibri" w:cs="Calibri"/>
          <w:b/>
          <w:bCs/>
          <w:color w:val="000000"/>
          <w:u w:val="single"/>
        </w:rPr>
      </w:pPr>
      <w:r w:rsidRPr="00582463">
        <w:rPr>
          <w:rFonts w:eastAsia="Calibri" w:cs="Calibri"/>
          <w:b/>
          <w:bCs/>
          <w:color w:val="000000"/>
        </w:rPr>
        <w:t xml:space="preserve"> </w:t>
      </w:r>
      <w:r w:rsidR="00413C4D" w:rsidRPr="00413C4D">
        <w:rPr>
          <w:rFonts w:eastAsia="Calibri" w:cs="Calibri"/>
          <w:b/>
          <w:bCs/>
          <w:color w:val="000000"/>
          <w:u w:val="single"/>
        </w:rPr>
        <w:t>National implementation and monitoring (art. 33)</w:t>
      </w:r>
    </w:p>
    <w:p w:rsidR="00413C4D" w:rsidRPr="00413C4D" w:rsidRDefault="00413C4D" w:rsidP="00413C4D">
      <w:pPr>
        <w:autoSpaceDE w:val="0"/>
        <w:autoSpaceDN w:val="0"/>
        <w:adjustRightInd w:val="0"/>
        <w:jc w:val="both"/>
        <w:rPr>
          <w:rFonts w:eastAsia="Calibri" w:cs="Calibri"/>
          <w:b/>
          <w:bCs/>
          <w:color w:val="000000"/>
          <w:u w:val="single"/>
        </w:rPr>
      </w:pPr>
    </w:p>
    <w:p w:rsidR="00413C4D" w:rsidRPr="00413C4D" w:rsidRDefault="00413C4D" w:rsidP="00413C4D">
      <w:pPr>
        <w:autoSpaceDE w:val="0"/>
        <w:autoSpaceDN w:val="0"/>
        <w:adjustRightInd w:val="0"/>
        <w:jc w:val="both"/>
        <w:rPr>
          <w:rFonts w:eastAsia="Calibri" w:cs="Calibri"/>
          <w:b/>
          <w:bCs/>
          <w:color w:val="000000"/>
        </w:rPr>
      </w:pPr>
      <w:r w:rsidRPr="00413C4D">
        <w:rPr>
          <w:rFonts w:eastAsia="Calibri" w:cs="Calibri"/>
          <w:b/>
          <w:bCs/>
          <w:color w:val="000000"/>
        </w:rPr>
        <w:t>Question 37</w:t>
      </w:r>
    </w:p>
    <w:p w:rsidR="00413C4D" w:rsidRPr="00413C4D" w:rsidRDefault="00413C4D" w:rsidP="00413C4D">
      <w:pPr>
        <w:autoSpaceDE w:val="0"/>
        <w:autoSpaceDN w:val="0"/>
        <w:adjustRightInd w:val="0"/>
        <w:jc w:val="both"/>
        <w:rPr>
          <w:rFonts w:eastAsia="Calibri" w:cs="Calibri"/>
          <w:b/>
          <w:bCs/>
          <w:color w:val="000000"/>
          <w:u w:val="single"/>
        </w:rPr>
      </w:pPr>
    </w:p>
    <w:p w:rsidR="00413C4D" w:rsidRDefault="00413C4D" w:rsidP="00413C4D">
      <w:pPr>
        <w:autoSpaceDE w:val="0"/>
        <w:autoSpaceDN w:val="0"/>
        <w:adjustRightInd w:val="0"/>
        <w:jc w:val="both"/>
        <w:rPr>
          <w:rFonts w:eastAsia="Calibri" w:cs="Calibri"/>
          <w:color w:val="000000"/>
        </w:rPr>
      </w:pPr>
      <w:r w:rsidRPr="00413C4D">
        <w:rPr>
          <w:rFonts w:eastAsia="Calibri" w:cs="Calibri"/>
          <w:bCs/>
          <w:color w:val="000000"/>
        </w:rPr>
        <w:t xml:space="preserve">In 2012, in its concluding observations, the CRPD Committee called Hungary to establish an independent monitoring mechanism in accordance with Article 33 (2) of the Convention (the National Disability Council at that time was governmental and its operation was not comply with the Paris Principles) and ensure the full involvement of civil society, in particular DPOs, in the monitoring process and framework. As a response, Government Decision No. </w:t>
      </w:r>
      <w:r w:rsidRPr="00413C4D">
        <w:rPr>
          <w:rFonts w:eastAsia="Calibri" w:cs="Calibri"/>
          <w:color w:val="000000"/>
        </w:rPr>
        <w:t>1330/2013. (VI. 13.) on the National Disability Council was adopted,</w:t>
      </w:r>
      <w:r w:rsidRPr="00A23073">
        <w:rPr>
          <w:rFonts w:eastAsia="Calibri" w:cs="Calibri"/>
          <w:color w:val="000000"/>
          <w:vertAlign w:val="superscript"/>
        </w:rPr>
        <w:footnoteReference w:id="71"/>
      </w:r>
      <w:r w:rsidRPr="00413C4D">
        <w:rPr>
          <w:rFonts w:eastAsia="Calibri" w:cs="Calibri"/>
          <w:color w:val="000000"/>
        </w:rPr>
        <w:t xml:space="preserve"> that placed the operation of the Council on new basis compared to the previous </w:t>
      </w:r>
      <w:r w:rsidRPr="00413C4D">
        <w:rPr>
          <w:rFonts w:eastAsia="Calibri" w:cs="Calibri"/>
          <w:color w:val="000000"/>
        </w:rPr>
        <w:lastRenderedPageBreak/>
        <w:t>one. However, in our view, the operation of the current Council is still not in line with requirements set out in Article 33 (2) of the CRPD with regard to the followings in particular:</w:t>
      </w:r>
    </w:p>
    <w:p w:rsidR="00BC4D4D" w:rsidRPr="00413C4D" w:rsidRDefault="00BC4D4D" w:rsidP="00413C4D">
      <w:pPr>
        <w:autoSpaceDE w:val="0"/>
        <w:autoSpaceDN w:val="0"/>
        <w:adjustRightInd w:val="0"/>
        <w:jc w:val="both"/>
        <w:rPr>
          <w:rFonts w:eastAsia="Calibri" w:cs="Calibri"/>
          <w:color w:val="000000"/>
        </w:rPr>
      </w:pPr>
    </w:p>
    <w:p w:rsidR="00413C4D" w:rsidRPr="00413C4D" w:rsidRDefault="00413C4D" w:rsidP="00413C4D">
      <w:pPr>
        <w:numPr>
          <w:ilvl w:val="0"/>
          <w:numId w:val="6"/>
        </w:numPr>
        <w:autoSpaceDE w:val="0"/>
        <w:autoSpaceDN w:val="0"/>
        <w:adjustRightInd w:val="0"/>
        <w:spacing w:after="160" w:line="259" w:lineRule="auto"/>
        <w:jc w:val="both"/>
        <w:rPr>
          <w:rFonts w:eastAsia="Calibri" w:cs="Calibri"/>
          <w:color w:val="000000"/>
        </w:rPr>
      </w:pPr>
      <w:r w:rsidRPr="00413C4D">
        <w:rPr>
          <w:rFonts w:eastAsia="Calibri" w:cs="Calibri"/>
          <w:color w:val="000000"/>
        </w:rPr>
        <w:t xml:space="preserve">the chairman of the Council is the Minister again who not only has the right to consult but the right to vote as well; </w:t>
      </w:r>
    </w:p>
    <w:p w:rsidR="00413C4D" w:rsidRPr="00413C4D" w:rsidRDefault="00413C4D" w:rsidP="00413C4D">
      <w:pPr>
        <w:numPr>
          <w:ilvl w:val="0"/>
          <w:numId w:val="6"/>
        </w:numPr>
        <w:autoSpaceDE w:val="0"/>
        <w:autoSpaceDN w:val="0"/>
        <w:adjustRightInd w:val="0"/>
        <w:spacing w:after="160" w:line="259" w:lineRule="auto"/>
        <w:jc w:val="both"/>
        <w:rPr>
          <w:rFonts w:eastAsia="Calibri" w:cs="Calibri"/>
          <w:color w:val="000000"/>
        </w:rPr>
      </w:pPr>
      <w:r w:rsidRPr="00413C4D">
        <w:rPr>
          <w:rFonts w:eastAsia="Calibri" w:cs="Calibri"/>
          <w:color w:val="000000"/>
        </w:rPr>
        <w:t xml:space="preserve">the chairman decides on the rules of procedure that greatly determines the operation of the Council; </w:t>
      </w:r>
    </w:p>
    <w:p w:rsidR="00413C4D" w:rsidRPr="00413C4D" w:rsidRDefault="00413C4D" w:rsidP="00413C4D">
      <w:pPr>
        <w:numPr>
          <w:ilvl w:val="0"/>
          <w:numId w:val="6"/>
        </w:numPr>
        <w:autoSpaceDE w:val="0"/>
        <w:autoSpaceDN w:val="0"/>
        <w:adjustRightInd w:val="0"/>
        <w:spacing w:after="160" w:line="259" w:lineRule="auto"/>
        <w:jc w:val="both"/>
        <w:rPr>
          <w:rFonts w:eastAsia="Calibri" w:cs="Calibri"/>
          <w:color w:val="000000"/>
        </w:rPr>
      </w:pPr>
      <w:r w:rsidRPr="00413C4D">
        <w:rPr>
          <w:rFonts w:eastAsia="Calibri" w:cs="Calibri"/>
          <w:color w:val="000000"/>
        </w:rPr>
        <w:t>the administrative work related to the Council’s operation is performed by the Ministry led by the chairman and the Secretary of the Council is also appointed by the Minister;</w:t>
      </w:r>
    </w:p>
    <w:p w:rsidR="00413C4D" w:rsidRPr="00413C4D" w:rsidRDefault="00413C4D" w:rsidP="00413C4D">
      <w:pPr>
        <w:numPr>
          <w:ilvl w:val="0"/>
          <w:numId w:val="6"/>
        </w:numPr>
        <w:autoSpaceDE w:val="0"/>
        <w:autoSpaceDN w:val="0"/>
        <w:adjustRightInd w:val="0"/>
        <w:spacing w:after="160" w:line="259" w:lineRule="auto"/>
        <w:jc w:val="both"/>
        <w:rPr>
          <w:rFonts w:eastAsia="Calibri" w:cs="Calibri"/>
          <w:color w:val="000000"/>
        </w:rPr>
      </w:pPr>
      <w:r w:rsidRPr="00413C4D">
        <w:rPr>
          <w:rFonts w:eastAsia="Calibri" w:cs="Calibri"/>
          <w:color w:val="000000"/>
        </w:rPr>
        <w:t xml:space="preserve">the costs of the Council’s operation and the reimbursement of delegated members are covered by the Ministry led by the Minister. </w:t>
      </w:r>
    </w:p>
    <w:p w:rsidR="00413C4D" w:rsidRPr="00413C4D" w:rsidRDefault="00413C4D" w:rsidP="00413C4D">
      <w:pPr>
        <w:numPr>
          <w:ilvl w:val="0"/>
          <w:numId w:val="6"/>
        </w:numPr>
        <w:autoSpaceDE w:val="0"/>
        <w:autoSpaceDN w:val="0"/>
        <w:adjustRightInd w:val="0"/>
        <w:spacing w:after="160" w:line="259" w:lineRule="auto"/>
        <w:jc w:val="both"/>
        <w:rPr>
          <w:rFonts w:eastAsia="Calibri" w:cs="Calibri"/>
          <w:color w:val="000000"/>
        </w:rPr>
      </w:pPr>
      <w:r w:rsidRPr="00413C4D">
        <w:rPr>
          <w:rFonts w:eastAsia="Calibri" w:cs="Calibri"/>
          <w:color w:val="000000"/>
        </w:rPr>
        <w:t>the Government Decision has determined very narrowly the functions of the National Disability Council in monitoring the implementation of the Convention, insofar as it can only give its opinion on the report of implementation of the Convention, the National Disability Program and its Action Plan;</w:t>
      </w:r>
    </w:p>
    <w:p w:rsidR="00413C4D" w:rsidRPr="00413C4D" w:rsidRDefault="00413C4D" w:rsidP="00BC4D4D">
      <w:pPr>
        <w:numPr>
          <w:ilvl w:val="0"/>
          <w:numId w:val="6"/>
        </w:numPr>
        <w:autoSpaceDE w:val="0"/>
        <w:autoSpaceDN w:val="0"/>
        <w:adjustRightInd w:val="0"/>
        <w:spacing w:line="259" w:lineRule="auto"/>
        <w:jc w:val="both"/>
        <w:rPr>
          <w:rFonts w:eastAsia="Calibri" w:cs="Calibri"/>
          <w:color w:val="000000"/>
        </w:rPr>
      </w:pPr>
      <w:r w:rsidRPr="00413C4D">
        <w:rPr>
          <w:rFonts w:eastAsia="Calibri" w:cs="Calibri"/>
          <w:color w:val="000000"/>
        </w:rPr>
        <w:t>the functioning of the Council is not transparent as it does not even fulfil its disclosure obligation set out in the Government Decree (according to Section 18 of the Government Decree, rules of procedure, invitations to the meetings and agendas, its decision and the contact information of the Secretariat have to be published on its website.)</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All the circumstances listed above in relation to the functioning of the Council impede the independent functioning of this organization. As a national body for people with disabilities, we think that monitoring of the implementation of the CRPD cannot be carried out by the National Disability Council and the MEOSZ has repeatedly been forced to correspond for several months to be able to conduct human rights monitoring in a social institution.</w:t>
      </w: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rPr>
      </w:pPr>
    </w:p>
    <w:p w:rsidR="00413C4D" w:rsidRPr="00413C4D" w:rsidRDefault="00413C4D" w:rsidP="00413C4D">
      <w:pPr>
        <w:autoSpaceDE w:val="0"/>
        <w:autoSpaceDN w:val="0"/>
        <w:adjustRightInd w:val="0"/>
        <w:jc w:val="both"/>
        <w:rPr>
          <w:rFonts w:eastAsia="Calibri" w:cs="Calibri"/>
          <w:b/>
          <w:color w:val="000000"/>
          <w:u w:val="single"/>
        </w:rPr>
      </w:pPr>
      <w:r w:rsidRPr="00413C4D">
        <w:rPr>
          <w:rFonts w:eastAsia="Calibri" w:cs="Calibri"/>
          <w:b/>
          <w:color w:val="000000"/>
          <w:u w:val="single"/>
        </w:rPr>
        <w:lastRenderedPageBreak/>
        <w:t>Recommendations</w:t>
      </w:r>
    </w:p>
    <w:p w:rsidR="00413C4D" w:rsidRPr="00413C4D" w:rsidRDefault="00413C4D" w:rsidP="00413C4D">
      <w:pPr>
        <w:autoSpaceDE w:val="0"/>
        <w:autoSpaceDN w:val="0"/>
        <w:adjustRightInd w:val="0"/>
        <w:jc w:val="both"/>
        <w:rPr>
          <w:rFonts w:eastAsia="Calibri" w:cs="Calibri"/>
          <w:b/>
          <w:color w:val="000000"/>
          <w:u w:val="single"/>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 To give horizontal effect to the provisions of the CRPD, we recommend the Hungarian Government to amendment the provisions of Fot. and the related legislation. In all cases, the National Disability Program and its Action Plan should be adopted by considering the evaluation of the previous program and action plan as well as the lessons learnt.</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2. To ensure equal access to public services for people with disabilities, we recommend that, in addition to enshrining the concept of reasonable accommodation in the Ebtv., it must be transposed horizontally into the Hungarian legal system. It should be stated that failure to provide reasonable accommodation constitutes discrimination and must be severely sanctioned.</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3. To prevent the potential exclusion of women with disabilities, the Hungarian Government should develop comprehensive programs and measures aimed at improving the social situation of women with disabilities. Launch awareness campaigns against the abuse of women with disabilities. Provide appropriate assistance to victims of violence and launch a pilot program to implement it.</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4. Legislative frameworks and strategies should be adopted to prevent the institutionalization of those children with disabilities whose parents cannot take care of them. Strategies and programs should be adopted to enable disabled children currently living in the institutions to grow up in families. The adoption of children with disabilities and long-term illness should be promoted so that they can also grow up in a family environment. It is necessary to make changes in Gyvt. to ensure that, in the case of children with disabilities, placement in family environment is a general rule in line with the best interests of the child. In this regard, discriminatory legal practices against children who are permanently ill or severely disabled should be eliminated.</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5.  The Hungarian Government should adopt legislation that would require regulatory control of accessibility at the time of issuing a building permit and make possible for the authority to intervene subsequently in connection with the construction and the renovation of buildings. It is also necessary to lay down rules on penalties applicable in the event of failure to comply with these rules. There should be an obligation to develop regulations that ensure the accessibility of condominiums and their common areas, as well as to provide accessible apartments in newly built condominiums. By providing adequate resources, ensure that people with physical disabilities have access to public transport (means public transport, passenger facilities) on an equal basis with others in a safe way that they can use independently.</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6. By amending the relevant legislation, the Hungarian Government should lay down that in case of persons who are illiterate or physically incapable to sign paraph</w:t>
      </w:r>
      <w:r w:rsidR="002618E0">
        <w:rPr>
          <w:rFonts w:eastAsia="Calibri" w:cs="Calibri"/>
          <w:color w:val="000000"/>
        </w:rPr>
        <w:t>y</w:t>
      </w:r>
      <w:r w:rsidRPr="00413C4D">
        <w:rPr>
          <w:rFonts w:eastAsia="Calibri" w:cs="Calibri"/>
          <w:color w:val="000000"/>
        </w:rPr>
        <w:t>ing – which is not limited to be taken by the person concerned and whose formal requirements are recorded – is legally equal to handwritten signature. We also recommend adopting innovative solutions that make signature possible for them by using assistive tools.</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7. The Hungarian Government should ensure that the establishments of the Hungarian judicial system are accessible.</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8. The Hungarian government should continue to the deinstitunalization of social care facilities for people with disabilities with care, including all people living with disabilities </w:t>
      </w:r>
      <w:r w:rsidRPr="00413C4D">
        <w:rPr>
          <w:rFonts w:eastAsia="Calibri" w:cs="Calibri"/>
          <w:color w:val="000000"/>
        </w:rPr>
        <w:lastRenderedPageBreak/>
        <w:t>in all residential social institutions (rehabilitation centres, homes for the elderly, homes for the homeless, residential homes). The legal environment of DI and supported housing should be reviewed regarding children with disabilities as well. The regulations concerning supported housing should be reformed so that legal anomalies are eliminated, and no institutional model can be called supported housing by reference to the size of the population. 24/7 support services should be introduced at national level together with needs assessment, action plan, scheduling and resources.</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9. A complete renewal of the medical aid delivery system is needed, which requires a strategy, an action plan and resource mobilization in addition to regulation of the current system. There is a need to change the current approach in the field, from a medical approach to assistive technologies. The Hungarian Government should ensure that all persons with disabilities have access to quality, affordable and personalized tools and devices. The current ban on co-prescription of medical devices should be lifted.</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10. In order to create the conditions for inclusive education, the Hungarian Government should adopt a strategy of necessary measures, with deadlines and adequate resources. In line with the strategy, the principles set out in Article 24 of the CRPD should be integrated into the domestic legal environment, with specific provisions for inclusive education.</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11. The Hungarian Government shall ensure that healthcare facilities and the services are accessible. This requires an assessment of the current situation with an appropriate timeframe. Resources must be made available to fill in the gaps, naming those responsible and setting deadlines until full accessibility is achieved. Health protocols should be reviewed and the needs of people with disabilities should be considered when developing new protocols. Provide access to appropriate health care in accordance with protocols, including physical accessibility and reasonable accommodation. Disability-specific training of health care personnel is also necessary.</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12. A strategy for the employment of people with disabilities should be developed in line with the CRPD, with indicating responsible persons and budget plans. As an immediate response, in order to encourage the employment of people with disabilities to work in the open labour market, support system that is predictable, differentiated and adapted to employment needs should be introduced for economic operator, with the necessary financial resources.</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13. In order to promote the social security of persons with disabilities, the Hungarian Government should review the benefits provided on social grounds to persons with disabilities and benefited provided to persons with reduced working capacities and take the necessary steps to increase their amount. Significant increases in the amounts of benefits need to be worked out in order to be transferred through the central budget. The minimum amount of the old-age pension must be increased significantly. The Hungarian Government should comply with its legislative obligation to compensate for the negative consequences of abolishing the former disability pension scheme.</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14. The Hungarian Government shall ensure that all persons with disabilities have the right to vote in the same way as other citizens. In all cases, make polling stations physically accessible to voters with physical disabilities, ensuring the confidentiality of voting as well.</w:t>
      </w:r>
    </w:p>
    <w:p w:rsidR="00413C4D" w:rsidRPr="00413C4D" w:rsidRDefault="00413C4D" w:rsidP="00413C4D">
      <w:pPr>
        <w:autoSpaceDE w:val="0"/>
        <w:autoSpaceDN w:val="0"/>
        <w:adjustRightInd w:val="0"/>
        <w:jc w:val="both"/>
        <w:rPr>
          <w:rFonts w:eastAsia="Calibri" w:cs="Calibri"/>
          <w:color w:val="000000"/>
        </w:rPr>
      </w:pPr>
    </w:p>
    <w:p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lastRenderedPageBreak/>
        <w:t>15. As the CRPD Committee has already called for the Hungarian Government in its concluding remarks of 2012, it should establish an independent monitoring mechanism in accordance with the Paris Principles and Article 33 (2) of the CRPD and ensure the full involvement of organizations of persons with disabilities in the CRPD implementation process.</w:t>
      </w:r>
    </w:p>
    <w:p w:rsidR="00413C4D" w:rsidRPr="00413C4D" w:rsidRDefault="00413C4D" w:rsidP="00413C4D">
      <w:pPr>
        <w:autoSpaceDE w:val="0"/>
        <w:autoSpaceDN w:val="0"/>
        <w:adjustRightInd w:val="0"/>
        <w:rPr>
          <w:rFonts w:ascii="Calibri" w:eastAsia="Calibri" w:hAnsi="Calibri" w:cs="Calibri"/>
          <w:color w:val="000000"/>
        </w:rPr>
      </w:pPr>
    </w:p>
    <w:p w:rsidR="00413C4D" w:rsidRPr="00413C4D" w:rsidRDefault="00413C4D" w:rsidP="00413C4D">
      <w:pPr>
        <w:autoSpaceDE w:val="0"/>
        <w:autoSpaceDN w:val="0"/>
        <w:adjustRightInd w:val="0"/>
        <w:rPr>
          <w:rFonts w:ascii="Calibri" w:eastAsia="Calibri" w:hAnsi="Calibri" w:cs="Calibri"/>
          <w:color w:val="000000"/>
        </w:rPr>
      </w:pPr>
    </w:p>
    <w:p w:rsidR="00413C4D" w:rsidRPr="00413C4D" w:rsidRDefault="00413C4D" w:rsidP="00413C4D">
      <w:pPr>
        <w:autoSpaceDE w:val="0"/>
        <w:autoSpaceDN w:val="0"/>
        <w:adjustRightInd w:val="0"/>
        <w:jc w:val="both"/>
        <w:rPr>
          <w:rFonts w:ascii="Calibri" w:eastAsia="Calibri" w:hAnsi="Calibri" w:cs="Calibri"/>
        </w:rPr>
      </w:pPr>
    </w:p>
    <w:p w:rsidR="008E17A6" w:rsidRPr="00A23073" w:rsidRDefault="008E17A6" w:rsidP="007A0D79">
      <w:pPr>
        <w:pStyle w:val="Listaszerbekezds"/>
        <w:jc w:val="both"/>
        <w:rPr>
          <w:rFonts w:asciiTheme="majorHAnsi" w:hAnsiTheme="majorHAnsi" w:cstheme="majorHAnsi"/>
          <w:sz w:val="24"/>
          <w:szCs w:val="24"/>
          <w:lang w:val="en-GB"/>
        </w:rPr>
      </w:pPr>
    </w:p>
    <w:sectPr w:rsidR="008E17A6" w:rsidRPr="00A23073" w:rsidSect="00646D56">
      <w:footerReference w:type="even" r:id="rId7"/>
      <w:footerReference w:type="default" r:id="rId8"/>
      <w:headerReference w:type="first" r:id="rId9"/>
      <w:footerReference w:type="first" r:id="rId10"/>
      <w:type w:val="continuous"/>
      <w:pgSz w:w="11900" w:h="16840"/>
      <w:pgMar w:top="1417" w:right="1417" w:bottom="993" w:left="1417" w:header="851" w:footer="4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1DB" w:rsidRDefault="00A171DB" w:rsidP="00953D2F">
      <w:r>
        <w:separator/>
      </w:r>
    </w:p>
  </w:endnote>
  <w:endnote w:type="continuationSeparator" w:id="0">
    <w:p w:rsidR="00A171DB" w:rsidRDefault="00A171DB" w:rsidP="00953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Lucida Grande CE">
    <w:charset w:val="58"/>
    <w:family w:val="auto"/>
    <w:pitch w:val="variable"/>
    <w:sig w:usb0="E1000AEF"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Corbel">
    <w:panose1 w:val="020B0503020204020204"/>
    <w:charset w:val="EE"/>
    <w:family w:val="swiss"/>
    <w:pitch w:val="variable"/>
    <w:sig w:usb0="A00002EF" w:usb1="4000A44B" w:usb2="00000000" w:usb3="00000000" w:csb0="0000019F" w:csb1="00000000"/>
  </w:font>
  <w:font w:name="Open Sans">
    <w:altName w:val="Tahoma"/>
    <w:charset w:val="EE"/>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1DC" w:rsidRDefault="002B31DC" w:rsidP="002B31D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2B31DC" w:rsidRDefault="002B31D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9003472"/>
      <w:docPartObj>
        <w:docPartGallery w:val="Page Numbers (Bottom of Page)"/>
        <w:docPartUnique/>
      </w:docPartObj>
    </w:sdtPr>
    <w:sdtEndPr>
      <w:rPr>
        <w:rFonts w:ascii="Corbel" w:hAnsi="Corbel"/>
        <w:sz w:val="22"/>
      </w:rPr>
    </w:sdtEndPr>
    <w:sdtContent>
      <w:p w:rsidR="002B31DC" w:rsidRPr="003B03A4" w:rsidRDefault="002B31DC">
        <w:pPr>
          <w:pStyle w:val="llb"/>
          <w:jc w:val="right"/>
          <w:rPr>
            <w:rFonts w:ascii="Corbel" w:hAnsi="Corbel"/>
            <w:sz w:val="22"/>
          </w:rPr>
        </w:pPr>
        <w:r w:rsidRPr="00BD5848">
          <w:rPr>
            <w:rFonts w:ascii="Open Sans" w:hAnsi="Open Sans" w:cs="Open Sans"/>
            <w:sz w:val="18"/>
            <w:szCs w:val="18"/>
          </w:rPr>
          <w:fldChar w:fldCharType="begin"/>
        </w:r>
        <w:r w:rsidRPr="00BD5848">
          <w:rPr>
            <w:rFonts w:ascii="Open Sans" w:hAnsi="Open Sans" w:cs="Open Sans"/>
            <w:sz w:val="18"/>
            <w:szCs w:val="18"/>
          </w:rPr>
          <w:instrText>PAGE   \* MERGEFORMAT</w:instrText>
        </w:r>
        <w:r w:rsidRPr="00BD5848">
          <w:rPr>
            <w:rFonts w:ascii="Open Sans" w:hAnsi="Open Sans" w:cs="Open Sans"/>
            <w:sz w:val="18"/>
            <w:szCs w:val="18"/>
          </w:rPr>
          <w:fldChar w:fldCharType="separate"/>
        </w:r>
        <w:r w:rsidR="00AE6492" w:rsidRPr="00AE6492">
          <w:rPr>
            <w:rFonts w:ascii="Open Sans" w:hAnsi="Open Sans" w:cs="Open Sans"/>
            <w:noProof/>
            <w:sz w:val="18"/>
            <w:szCs w:val="18"/>
            <w:lang w:val="hu-HU"/>
          </w:rPr>
          <w:t>2</w:t>
        </w:r>
        <w:r w:rsidRPr="00BD5848">
          <w:rPr>
            <w:rFonts w:ascii="Open Sans" w:hAnsi="Open Sans" w:cs="Open Sans"/>
            <w:sz w:val="18"/>
            <w:szCs w:val="18"/>
          </w:rPr>
          <w:fldChar w:fldCharType="end"/>
        </w:r>
      </w:p>
    </w:sdtContent>
  </w:sdt>
  <w:p w:rsidR="002B31DC" w:rsidRDefault="002B31DC">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1DC" w:rsidRPr="003B03A4" w:rsidRDefault="002B31DC" w:rsidP="00646D56">
    <w:pPr>
      <w:pStyle w:val="llb"/>
      <w:pBdr>
        <w:bottom w:val="single" w:sz="18" w:space="1" w:color="93153C"/>
      </w:pBdr>
      <w:jc w:val="right"/>
      <w:rPr>
        <w:rFonts w:ascii="Corbel" w:hAnsi="Corbel"/>
        <w:sz w:val="22"/>
      </w:rPr>
    </w:pPr>
  </w:p>
  <w:p w:rsidR="002B31DC" w:rsidRPr="0072398D" w:rsidRDefault="002B31DC" w:rsidP="00646D56">
    <w:pPr>
      <w:pStyle w:val="BasicParagraph"/>
      <w:spacing w:before="8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Tax nr.</w:t>
    </w:r>
    <w:r w:rsidRPr="0072398D">
      <w:rPr>
        <w:rFonts w:ascii="Open Sans" w:hAnsi="Open Sans" w:cs="Open Sans"/>
        <w:color w:val="000000" w:themeColor="text1"/>
        <w:sz w:val="18"/>
        <w:szCs w:val="18"/>
      </w:rPr>
      <w:t xml:space="preserve">: 19002732-2-41 </w:t>
    </w:r>
    <w:r w:rsidRPr="0072398D">
      <w:rPr>
        <w:rFonts w:ascii="Open Sans" w:hAnsi="Open Sans" w:cs="Open Sans"/>
        <w:iCs/>
        <w:sz w:val="18"/>
        <w:szCs w:val="18"/>
      </w:rPr>
      <w:t>•</w:t>
    </w:r>
    <w:r w:rsidRPr="0072398D">
      <w:rPr>
        <w:rFonts w:ascii="Open Sans" w:hAnsi="Open Sans" w:cs="Open Sans"/>
        <w:color w:val="000000" w:themeColor="text1"/>
        <w:sz w:val="18"/>
        <w:szCs w:val="18"/>
      </w:rPr>
      <w:t xml:space="preserve"> Posta</w:t>
    </w:r>
    <w:r>
      <w:rPr>
        <w:rFonts w:ascii="Open Sans" w:hAnsi="Open Sans" w:cs="Open Sans"/>
        <w:color w:val="000000" w:themeColor="text1"/>
        <w:sz w:val="18"/>
        <w:szCs w:val="18"/>
      </w:rPr>
      <w:t>l address</w:t>
    </w:r>
    <w:r w:rsidRPr="0072398D">
      <w:rPr>
        <w:rFonts w:ascii="Open Sans" w:hAnsi="Open Sans" w:cs="Open Sans"/>
        <w:color w:val="000000" w:themeColor="text1"/>
        <w:sz w:val="18"/>
        <w:szCs w:val="18"/>
      </w:rPr>
      <w:t>: 1300 Budapest, P</w:t>
    </w:r>
    <w:r>
      <w:rPr>
        <w:rFonts w:ascii="Open Sans" w:hAnsi="Open Sans" w:cs="Open Sans"/>
        <w:color w:val="000000" w:themeColor="text1"/>
        <w:sz w:val="18"/>
        <w:szCs w:val="18"/>
      </w:rPr>
      <w:t>OBox</w:t>
    </w:r>
    <w:r w:rsidRPr="0072398D">
      <w:rPr>
        <w:rFonts w:ascii="Open Sans" w:hAnsi="Open Sans" w:cs="Open Sans"/>
        <w:color w:val="000000" w:themeColor="text1"/>
        <w:sz w:val="18"/>
        <w:szCs w:val="18"/>
      </w:rPr>
      <w:t xml:space="preserve"> 141. </w:t>
    </w:r>
    <w:r w:rsidRPr="0072398D">
      <w:rPr>
        <w:rFonts w:ascii="Open Sans" w:hAnsi="Open Sans" w:cs="Open Sans"/>
        <w:iCs/>
        <w:sz w:val="18"/>
        <w:szCs w:val="18"/>
      </w:rPr>
      <w:t xml:space="preserve">• </w:t>
    </w:r>
    <w:r w:rsidRPr="0072398D">
      <w:rPr>
        <w:rFonts w:ascii="Open Sans" w:hAnsi="Open Sans" w:cs="Open Sans"/>
        <w:color w:val="000000" w:themeColor="text1"/>
        <w:sz w:val="18"/>
        <w:szCs w:val="18"/>
      </w:rPr>
      <w:t>Bank</w:t>
    </w:r>
    <w:r>
      <w:rPr>
        <w:rFonts w:ascii="Open Sans" w:hAnsi="Open Sans" w:cs="Open Sans"/>
        <w:color w:val="000000" w:themeColor="text1"/>
        <w:sz w:val="18"/>
        <w:szCs w:val="18"/>
      </w:rPr>
      <w:t xml:space="preserve"> account</w:t>
    </w:r>
    <w:r w:rsidRPr="0072398D">
      <w:rPr>
        <w:rFonts w:ascii="Open Sans" w:hAnsi="Open Sans" w:cs="Open Sans"/>
        <w:color w:val="000000" w:themeColor="text1"/>
        <w:sz w:val="18"/>
        <w:szCs w:val="18"/>
      </w:rPr>
      <w:t>: OTP 11703006-20034962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1DB" w:rsidRDefault="00A171DB" w:rsidP="00953D2F">
      <w:r>
        <w:separator/>
      </w:r>
    </w:p>
  </w:footnote>
  <w:footnote w:type="continuationSeparator" w:id="0">
    <w:p w:rsidR="00A171DB" w:rsidRDefault="00A171DB" w:rsidP="00953D2F">
      <w:r>
        <w:continuationSeparator/>
      </w:r>
    </w:p>
  </w:footnote>
  <w:footnote w:id="1">
    <w:p w:rsidR="002B31DC" w:rsidRDefault="002B31DC" w:rsidP="00413C4D">
      <w:pPr>
        <w:pStyle w:val="Lbjegyzetszveg"/>
        <w:spacing w:line="276" w:lineRule="auto"/>
      </w:pPr>
      <w:r>
        <w:rPr>
          <w:rStyle w:val="Lbjegyzet-hivatkozs"/>
        </w:rPr>
        <w:footnoteRef/>
      </w:r>
      <w:hyperlink r:id="rId1" w:history="1">
        <w:r w:rsidRPr="00A64134">
          <w:rPr>
            <w:rStyle w:val="Hiperhivatkozs"/>
          </w:rPr>
          <w:t>https://tbinternet.ohchr.org/_layouts/treatybodyexternal/Download.aspx?symbolno=CRPD%2fC%2fHUN%2f2-3&amp;Lang=en</w:t>
        </w:r>
      </w:hyperlink>
      <w:r>
        <w:t xml:space="preserve"> (last accessed: 30.9.</w:t>
      </w:r>
      <w:r w:rsidRPr="0035397A">
        <w:t>2019)</w:t>
      </w:r>
    </w:p>
  </w:footnote>
  <w:footnote w:id="2">
    <w:p w:rsidR="002B31DC" w:rsidRDefault="002B31DC" w:rsidP="00413C4D">
      <w:pPr>
        <w:pStyle w:val="Lbjegyzetszveg"/>
        <w:spacing w:line="276" w:lineRule="auto"/>
      </w:pPr>
      <w:r>
        <w:rPr>
          <w:rStyle w:val="Lbjegyzet-hivatkozs"/>
        </w:rPr>
        <w:footnoteRef/>
      </w:r>
      <w:hyperlink r:id="rId2" w:history="1">
        <w:r w:rsidRPr="0035397A">
          <w:rPr>
            <w:rStyle w:val="Hiperhivatkozs"/>
          </w:rPr>
          <w:t>http://docstore.ohchr.org/SelfServices/FilesHandler.ashx?enc=6QkG1d%2fPPRiCAqhKb7yhsmg8z0DXeL2x2%2fDmZ9jKJslczzBwUFx60xYd7s3pVJ6YetSrFZz%2bYYiQq1HPKczrZibBPLpsbK5iSfqa5W0iVPyvEnxgN0smtn%2bsZvs6MQx514gn8897gDA1n%2fXwJ8itgQ%3d%3d</w:t>
        </w:r>
      </w:hyperlink>
      <w:r>
        <w:t xml:space="preserve"> (last accessed: 30.9.2019)</w:t>
      </w:r>
    </w:p>
  </w:footnote>
  <w:footnote w:id="3">
    <w:p w:rsidR="002B31DC" w:rsidRDefault="002B31DC" w:rsidP="00413C4D">
      <w:pPr>
        <w:pStyle w:val="Lbjegyzetszveg"/>
      </w:pPr>
      <w:r>
        <w:rPr>
          <w:rStyle w:val="Lbjegyzet-hivatkozs"/>
        </w:rPr>
        <w:footnoteRef/>
      </w:r>
      <w:r>
        <w:t xml:space="preserve"> </w:t>
      </w:r>
      <w:r w:rsidRPr="007B11BE">
        <w:t>Principles relating to the Status of National Ins</w:t>
      </w:r>
      <w:r>
        <w:t>titutions (The Paris Principles) General Assembly Resolution 48/134 (20 December 1993)</w:t>
      </w:r>
    </w:p>
    <w:p w:rsidR="002B31DC" w:rsidRPr="007B11BE" w:rsidRDefault="00A171DB" w:rsidP="00413C4D">
      <w:pPr>
        <w:pStyle w:val="Lbjegyzetszveg"/>
      </w:pPr>
      <w:hyperlink r:id="rId3" w:history="1">
        <w:r w:rsidR="002B31DC" w:rsidRPr="007B11BE">
          <w:rPr>
            <w:rStyle w:val="Hiperhivatkozs"/>
          </w:rPr>
          <w:t>https://www.ohchr.org/EN/ProfessionalInterest/Pages/StatusOfNationalInstitutions.aspx</w:t>
        </w:r>
      </w:hyperlink>
      <w:r w:rsidR="002B31DC">
        <w:t xml:space="preserve"> (last accessed: 13.08.2019)</w:t>
      </w:r>
    </w:p>
  </w:footnote>
  <w:footnote w:id="4">
    <w:p w:rsidR="002B31DC" w:rsidRDefault="002B31DC" w:rsidP="00413C4D">
      <w:pPr>
        <w:pStyle w:val="Lbjegyzetszveg"/>
        <w:rPr>
          <w:i/>
          <w:iCs/>
        </w:rPr>
      </w:pPr>
      <w:r>
        <w:rPr>
          <w:rStyle w:val="Lbjegyzet-hivatkozs"/>
        </w:rPr>
        <w:footnoteRef/>
      </w:r>
      <w:r>
        <w:rPr>
          <w:bCs/>
          <w:iCs/>
        </w:rPr>
        <w:t>Government Resolution No.</w:t>
      </w:r>
      <w:r w:rsidRPr="009665A5">
        <w:rPr>
          <w:bCs/>
          <w:iCs/>
        </w:rPr>
        <w:t xml:space="preserve"> 1330/2013. (VI. 13.)</w:t>
      </w:r>
      <w:r>
        <w:rPr>
          <w:bCs/>
          <w:iCs/>
        </w:rPr>
        <w:t xml:space="preserve"> on National Disability Council</w:t>
      </w:r>
    </w:p>
    <w:p w:rsidR="002B31DC" w:rsidRPr="009665A5" w:rsidRDefault="00A171DB" w:rsidP="00413C4D">
      <w:pPr>
        <w:pStyle w:val="Lbjegyzetszveg"/>
        <w:rPr>
          <w:i/>
          <w:iCs/>
        </w:rPr>
      </w:pPr>
      <w:hyperlink r:id="rId4" w:history="1">
        <w:r w:rsidR="002B31DC" w:rsidRPr="009665A5">
          <w:rPr>
            <w:rStyle w:val="Hiperhivatkozs"/>
          </w:rPr>
          <w:t>https://net.jogtar.hu/jogszabaly?docid=A13H1330.KOR&amp;txtreferer=A1000043.TV</w:t>
        </w:r>
      </w:hyperlink>
      <w:r w:rsidR="00870881">
        <w:rPr>
          <w:rStyle w:val="Hiperhivatkozs"/>
          <w:u w:val="none"/>
        </w:rPr>
        <w:t xml:space="preserve"> </w:t>
      </w:r>
      <w:r w:rsidR="002B31DC">
        <w:t xml:space="preserve">(last accessed: </w:t>
      </w:r>
      <w:r w:rsidR="002B31DC" w:rsidRPr="00E01FD1">
        <w:t>13.</w:t>
      </w:r>
      <w:r w:rsidR="002B31DC">
        <w:t>08.2019</w:t>
      </w:r>
      <w:r w:rsidR="002B31DC" w:rsidRPr="00E01FD1">
        <w:t>)</w:t>
      </w:r>
    </w:p>
  </w:footnote>
  <w:footnote w:id="5">
    <w:p w:rsidR="002B31DC" w:rsidRDefault="002B31DC" w:rsidP="00413C4D">
      <w:pPr>
        <w:pStyle w:val="Lbjegyzetszveg"/>
      </w:pPr>
      <w:r>
        <w:rPr>
          <w:rStyle w:val="Lbjegyzet-hivatkozs"/>
        </w:rPr>
        <w:footnoteRef/>
      </w:r>
      <w:r>
        <w:t xml:space="preserve">Package of Proposals related to the Periodic Review of the Implementation of the UN CRPD </w:t>
      </w:r>
      <w:hyperlink r:id="rId5" w:history="1">
        <w:r w:rsidRPr="00B951DD">
          <w:rPr>
            <w:rStyle w:val="Hiperhivatkozs"/>
          </w:rPr>
          <w:t>https://emberijogok.kormany.hu/download/7/31/32000/Javaslatcsomag_EJMCS_Fogyatekossagugyi_TMCS_2018_05_22.pdf</w:t>
        </w:r>
      </w:hyperlink>
      <w:r w:rsidRPr="00B951DD">
        <w:t xml:space="preserve"> </w:t>
      </w:r>
      <w:r w:rsidRPr="00E01FD1">
        <w:t>(</w:t>
      </w:r>
      <w:r>
        <w:t>last accessed: 30.9.2019)</w:t>
      </w:r>
    </w:p>
  </w:footnote>
  <w:footnote w:id="6">
    <w:p w:rsidR="002B31DC" w:rsidRPr="00E01FD1" w:rsidRDefault="002B31DC" w:rsidP="00413C4D">
      <w:pPr>
        <w:pStyle w:val="Lbjegyzetszveg"/>
      </w:pPr>
      <w:r>
        <w:rPr>
          <w:rStyle w:val="Lbjegyzet-hivatkozs"/>
        </w:rPr>
        <w:footnoteRef/>
      </w:r>
      <w:r>
        <w:t xml:space="preserve"> Related MEOSZ document: </w:t>
      </w:r>
      <w:hyperlink r:id="rId6" w:history="1">
        <w:r w:rsidRPr="001A007A">
          <w:rPr>
            <w:rStyle w:val="Hiperhivatkozs"/>
          </w:rPr>
          <w:t>http://www.meosz.hu/wp-content/uploads/2019/03/IT-javaslat-MEOSZ-20190301.pdf</w:t>
        </w:r>
      </w:hyperlink>
      <w:r>
        <w:rPr>
          <w:rStyle w:val="Hiperhivatkozs"/>
        </w:rPr>
        <w:t xml:space="preserve"> </w:t>
      </w:r>
      <w:r w:rsidRPr="00E01FD1">
        <w:rPr>
          <w:rStyle w:val="Hiperhivatkozs"/>
        </w:rPr>
        <w:t>(2019.08.13.)</w:t>
      </w:r>
    </w:p>
  </w:footnote>
  <w:footnote w:id="7">
    <w:p w:rsidR="002B31DC" w:rsidRDefault="002B31DC" w:rsidP="00413C4D">
      <w:pPr>
        <w:pStyle w:val="Lbjegyzetszveg"/>
      </w:pPr>
      <w:r>
        <w:rPr>
          <w:rStyle w:val="Lbjegyzet-hivatkozs"/>
        </w:rPr>
        <w:footnoteRef/>
      </w:r>
      <w:r>
        <w:t>MIKOLA Orsolya Irén</w:t>
      </w:r>
      <w:r w:rsidRPr="007D3071">
        <w:t xml:space="preserve">: </w:t>
      </w:r>
      <w:r w:rsidRPr="007444CE">
        <w:rPr>
          <w:i/>
        </w:rPr>
        <w:t>Ésszerű alkalmazkodás - Aktuális kérdések a Fogyatékosjogi ENSZ-egyezmény monitorozásával kapcsolatban</w:t>
      </w:r>
      <w:r w:rsidRPr="007D3071">
        <w:t xml:space="preserve">, </w:t>
      </w:r>
      <w:hyperlink r:id="rId7" w:history="1">
        <w:r w:rsidRPr="007D3071">
          <w:rPr>
            <w:rStyle w:val="Hiperhivatkozs"/>
          </w:rPr>
          <w:t>https://www.jogiforum.hu/hirek/38261</w:t>
        </w:r>
      </w:hyperlink>
      <w:r>
        <w:rPr>
          <w:rStyle w:val="Hiperhivatkozs"/>
        </w:rPr>
        <w:t xml:space="preserve"> </w:t>
      </w:r>
      <w:r>
        <w:t>(last accessed 13.08.2019</w:t>
      </w:r>
      <w:r w:rsidRPr="007D3071">
        <w:t>)</w:t>
      </w:r>
    </w:p>
  </w:footnote>
  <w:footnote w:id="8">
    <w:p w:rsidR="002B31DC" w:rsidRPr="007D3071" w:rsidRDefault="002B31DC" w:rsidP="00413C4D">
      <w:pPr>
        <w:pStyle w:val="Lbjegyzetszveg"/>
        <w:rPr>
          <w:iCs/>
        </w:rPr>
      </w:pPr>
      <w:r>
        <w:rPr>
          <w:rStyle w:val="Lbjegyzet-hivatkozs"/>
        </w:rPr>
        <w:footnoteRef/>
      </w:r>
      <w:r>
        <w:t xml:space="preserve"> Section 5 para (5) of Act I of </w:t>
      </w:r>
      <w:r>
        <w:rPr>
          <w:bCs/>
          <w:iCs/>
        </w:rPr>
        <w:t xml:space="preserve">2012 on the Labour Code </w:t>
      </w:r>
      <w:hyperlink r:id="rId8" w:history="1">
        <w:r>
          <w:rPr>
            <w:rStyle w:val="Hiperhivatkozs"/>
          </w:rPr>
          <w:t>https://net.jogtar.hu/jogszabaly?docid=A1200001.TV</w:t>
        </w:r>
      </w:hyperlink>
      <w:r>
        <w:t xml:space="preserve"> (last accessed: 30.9.2019)</w:t>
      </w:r>
    </w:p>
  </w:footnote>
  <w:footnote w:id="9">
    <w:p w:rsidR="002B31DC" w:rsidRPr="00E01FD1" w:rsidRDefault="002B31DC" w:rsidP="00413C4D">
      <w:pPr>
        <w:rPr>
          <w:b/>
          <w:bCs/>
          <w:sz w:val="20"/>
          <w:szCs w:val="20"/>
        </w:rPr>
      </w:pPr>
      <w:r>
        <w:rPr>
          <w:vertAlign w:val="superscript"/>
        </w:rPr>
        <w:footnoteRef/>
      </w:r>
      <w:r w:rsidRPr="00254697">
        <w:t xml:space="preserve"> </w:t>
      </w:r>
      <w:r>
        <w:rPr>
          <w:sz w:val="20"/>
          <w:szCs w:val="20"/>
        </w:rPr>
        <w:t>A Decision No.</w:t>
      </w:r>
      <w:r w:rsidRPr="001F7FCF">
        <w:rPr>
          <w:sz w:val="20"/>
          <w:szCs w:val="20"/>
        </w:rPr>
        <w:t xml:space="preserve"> </w:t>
      </w:r>
      <w:r w:rsidRPr="001F7FCF">
        <w:rPr>
          <w:bCs/>
          <w:sz w:val="20"/>
          <w:szCs w:val="20"/>
        </w:rPr>
        <w:t>6/2</w:t>
      </w:r>
      <w:r>
        <w:rPr>
          <w:bCs/>
          <w:sz w:val="20"/>
          <w:szCs w:val="20"/>
        </w:rPr>
        <w:t xml:space="preserve">009. (XI. 23.) TT. of the Advisory Board, a proposal for </w:t>
      </w:r>
      <w:r w:rsidRPr="00F75A82">
        <w:rPr>
          <w:bCs/>
          <w:sz w:val="20"/>
          <w:szCs w:val="20"/>
        </w:rPr>
        <w:t>legislation to codify the requirement for reasonable accommodation for people with disabilities</w:t>
      </w:r>
      <w:r>
        <w:rPr>
          <w:bCs/>
          <w:sz w:val="20"/>
          <w:szCs w:val="20"/>
        </w:rPr>
        <w:t xml:space="preserve"> </w:t>
      </w:r>
      <w:hyperlink r:id="rId9" w:history="1">
        <w:r w:rsidRPr="00484824">
          <w:rPr>
            <w:rStyle w:val="Hiperhivatkozs"/>
            <w:sz w:val="20"/>
            <w:szCs w:val="20"/>
          </w:rPr>
          <w:t>https://www.egyenlobanasmod.hu/hu/jogszabaly/tanacsado-testulet-jogszabaly-modositasi-javaslata-fogyatekossaggal-eloket-erinto</w:t>
        </w:r>
      </w:hyperlink>
      <w:r>
        <w:rPr>
          <w:sz w:val="20"/>
          <w:szCs w:val="20"/>
        </w:rPr>
        <w:t xml:space="preserve"> (last accessed: 13.08.2019) and Opinion No. </w:t>
      </w:r>
      <w:r w:rsidRPr="001F7FCF">
        <w:rPr>
          <w:bCs/>
          <w:sz w:val="20"/>
          <w:szCs w:val="20"/>
        </w:rPr>
        <w:t xml:space="preserve">309/1/2011 (II.11).TT. </w:t>
      </w:r>
      <w:r>
        <w:rPr>
          <w:bCs/>
          <w:sz w:val="20"/>
          <w:szCs w:val="20"/>
        </w:rPr>
        <w:t xml:space="preserve">on obligation of accessibility </w:t>
      </w:r>
      <w:hyperlink r:id="rId10" w:history="1">
        <w:r w:rsidRPr="001F7FCF">
          <w:rPr>
            <w:rStyle w:val="Hiperhivatkozs"/>
            <w:sz w:val="20"/>
            <w:szCs w:val="20"/>
          </w:rPr>
          <w:t>https://www.egyenlobanasmod.hu/hu/jogszabaly/tanacsado-testulet-30912011-ii11tt-sz-allasfoglalasa-az-akadalymentesitesi</w:t>
        </w:r>
      </w:hyperlink>
      <w:r w:rsidRPr="00E01FD1">
        <w:rPr>
          <w:rStyle w:val="Hiperhivatkozs"/>
          <w:sz w:val="20"/>
          <w:szCs w:val="20"/>
        </w:rPr>
        <w:t xml:space="preserve"> </w:t>
      </w:r>
      <w:r>
        <w:rPr>
          <w:bCs/>
          <w:sz w:val="20"/>
          <w:szCs w:val="20"/>
        </w:rPr>
        <w:t>(last accessed: 13.08.2019)</w:t>
      </w:r>
    </w:p>
  </w:footnote>
  <w:footnote w:id="10">
    <w:p w:rsidR="002B31DC" w:rsidRPr="00A45339" w:rsidRDefault="002B31DC" w:rsidP="00413C4D">
      <w:pPr>
        <w:pStyle w:val="Lbjegyzetszveg"/>
        <w:rPr>
          <w:lang w:val="hu-HU"/>
        </w:rPr>
      </w:pPr>
      <w:r>
        <w:rPr>
          <w:rStyle w:val="Lbjegyzet-hivatkozs"/>
        </w:rPr>
        <w:footnoteRef/>
      </w:r>
      <w:r>
        <w:t xml:space="preserve"> CRC Committee’s C</w:t>
      </w:r>
      <w:r w:rsidRPr="00AA5360">
        <w:t xml:space="preserve">oncluding observations on the combined third, fourth and fifth periodic reports of Hungary </w:t>
      </w:r>
      <w:hyperlink r:id="rId11" w:history="1">
        <w:r w:rsidRPr="00AA5360">
          <w:rPr>
            <w:rStyle w:val="Hiperhivatkozs"/>
          </w:rPr>
          <w:t>http://docstore.ohchr.org/SelfServices/FilesHandler.ashx?enc=6QkG1d%2FPPRiCAqhKb7yhsnHFwMhaZ6UbkZijXRImgYBUerx14%2FpljDwTZuM1h%2BdsZQ8cUZpbv04sds%2BJj6dXLS%2B0j2Oa%2BqeLHjiq0RMqhWno0UuJ2FfrAAlNgTqz7YrQ</w:t>
        </w:r>
      </w:hyperlink>
      <w:r>
        <w:t xml:space="preserve"> (last accessed: 30.9.2019)</w:t>
      </w:r>
    </w:p>
  </w:footnote>
  <w:footnote w:id="11">
    <w:p w:rsidR="002B31DC" w:rsidRPr="009860B3" w:rsidRDefault="002B31DC" w:rsidP="00413C4D">
      <w:pPr>
        <w:pStyle w:val="Lbjegyzetszveg"/>
        <w:rPr>
          <w:lang w:val="hu-HU"/>
        </w:rPr>
      </w:pPr>
      <w:r>
        <w:rPr>
          <w:rStyle w:val="Lbjegyzet-hivatkozs"/>
        </w:rPr>
        <w:footnoteRef/>
      </w:r>
      <w:r>
        <w:t xml:space="preserve"> </w:t>
      </w:r>
      <w:hyperlink r:id="rId12" w:history="1">
        <w:r w:rsidRPr="00202C16">
          <w:rPr>
            <w:rStyle w:val="Hiperhivatkozs"/>
            <w:lang w:val="hu-HU"/>
          </w:rPr>
          <w:t>https://net.jogtar.hu/jogszabaly?docid=99700031.TV</w:t>
        </w:r>
      </w:hyperlink>
      <w:r w:rsidRPr="00202C16">
        <w:rPr>
          <w:lang w:val="hu-HU"/>
        </w:rPr>
        <w:t xml:space="preserve"> (last accessed: 30.09.2019)</w:t>
      </w:r>
    </w:p>
  </w:footnote>
  <w:footnote w:id="12">
    <w:p w:rsidR="002B31DC" w:rsidRDefault="002B31DC" w:rsidP="00413C4D">
      <w:pPr>
        <w:pStyle w:val="Lbjegyzetszveg"/>
      </w:pPr>
      <w:r>
        <w:rPr>
          <w:rStyle w:val="Lbjegyzet-hivatkozs"/>
        </w:rPr>
        <w:footnoteRef/>
      </w:r>
      <w:r>
        <w:t xml:space="preserve"> Table 9.13. of the Yearbook of Social Statistics 2015, Central Statistical Office (2016)</w:t>
      </w:r>
    </w:p>
  </w:footnote>
  <w:footnote w:id="13">
    <w:p w:rsidR="002B31DC" w:rsidRDefault="002B31DC" w:rsidP="00413C4D">
      <w:pPr>
        <w:pStyle w:val="Lbjegyzetszveg"/>
      </w:pPr>
      <w:r>
        <w:rPr>
          <w:rStyle w:val="Lbjegyzet-hivatkozs"/>
        </w:rPr>
        <w:footnoteRef/>
      </w:r>
      <w:r>
        <w:t xml:space="preserve"> Table 9.12. </w:t>
      </w:r>
      <w:r w:rsidRPr="00E7747F">
        <w:t>of the Ye</w:t>
      </w:r>
      <w:r>
        <w:t>arbook of Social Statistics 2017, Central Statistical Office (2018)</w:t>
      </w:r>
    </w:p>
  </w:footnote>
  <w:footnote w:id="14">
    <w:p w:rsidR="002B31DC" w:rsidRPr="00BA2A9D" w:rsidRDefault="002B31DC" w:rsidP="00413C4D">
      <w:pPr>
        <w:pStyle w:val="Lbjegyzetszveg"/>
        <w:rPr>
          <w:lang w:val="hu-HU"/>
        </w:rPr>
      </w:pPr>
      <w:r>
        <w:rPr>
          <w:rStyle w:val="Lbjegyzet-hivatkozs"/>
        </w:rPr>
        <w:footnoteRef/>
      </w:r>
      <w:hyperlink r:id="rId13" w:history="1">
        <w:r w:rsidRPr="009F7922">
          <w:rPr>
            <w:rStyle w:val="Hiperhivatkozs"/>
          </w:rPr>
          <w:t>https://www.kormany.hu/download/c/23/f0000/kiv%C3%A1lt%C3%A1sr%C3%B3l%20sz%C3%B3l%C3%B3%20koncepci%C3%B3.pdf</w:t>
        </w:r>
      </w:hyperlink>
      <w:r>
        <w:t xml:space="preserve"> (last accessed: 30.09.2019)</w:t>
      </w:r>
    </w:p>
  </w:footnote>
  <w:footnote w:id="15">
    <w:p w:rsidR="002B31DC" w:rsidRPr="001E1940" w:rsidRDefault="002B31DC" w:rsidP="00246261">
      <w:pPr>
        <w:jc w:val="both"/>
        <w:rPr>
          <w:rFonts w:ascii="Calibri" w:eastAsia="Calibri" w:hAnsi="Calibri" w:cs="Times New Roman"/>
          <w:sz w:val="20"/>
          <w:szCs w:val="20"/>
        </w:rPr>
      </w:pPr>
      <w:r>
        <w:rPr>
          <w:rStyle w:val="Lbjegyzet-hivatkozs"/>
        </w:rPr>
        <w:footnoteRef/>
      </w:r>
      <w:r>
        <w:t xml:space="preserve"> </w:t>
      </w:r>
      <w:r w:rsidRPr="00246261">
        <w:rPr>
          <w:rFonts w:eastAsia="Calibri" w:cs="Times New Roman"/>
          <w:sz w:val="20"/>
          <w:szCs w:val="20"/>
        </w:rPr>
        <w:t>’If the care is provided by such an independent institution - managed by a higher manager - which includes more children’s home, independent professional units shall be established within the institution which consist of  children’s homes or particular or specialized homes receiving a maximum number of 48 children, or group homes receiving a maximum number of 48 children.’</w:t>
      </w:r>
    </w:p>
    <w:p w:rsidR="002B31DC" w:rsidRPr="001E1940" w:rsidRDefault="00A171DB" w:rsidP="00413C4D">
      <w:pPr>
        <w:pStyle w:val="Lbjegyzetszveg"/>
        <w:rPr>
          <w:lang w:val="hu-HU"/>
        </w:rPr>
      </w:pPr>
      <w:hyperlink r:id="rId14" w:history="1">
        <w:r w:rsidR="002B31DC" w:rsidRPr="00C36C3A">
          <w:rPr>
            <w:rStyle w:val="Hiperhivatkozs"/>
          </w:rPr>
          <w:t>https://net.jogtar.hu/jogszabaly?docid=99800015.NM</w:t>
        </w:r>
      </w:hyperlink>
      <w:r w:rsidR="002B31DC">
        <w:rPr>
          <w:lang w:val="hu-HU"/>
        </w:rPr>
        <w:t xml:space="preserve"> (last accessed: 30.09.2019)</w:t>
      </w:r>
    </w:p>
  </w:footnote>
  <w:footnote w:id="16">
    <w:p w:rsidR="002B31DC" w:rsidRDefault="002B31DC" w:rsidP="00413C4D">
      <w:pPr>
        <w:pStyle w:val="Lbjegyzetszveg"/>
      </w:pPr>
      <w:r>
        <w:rPr>
          <w:rStyle w:val="Lbjegyzet-hivatkozs"/>
        </w:rPr>
        <w:footnoteRef/>
      </w:r>
      <w:r>
        <w:t xml:space="preserve">Related MEOSZ document: </w:t>
      </w:r>
    </w:p>
    <w:p w:rsidR="002B31DC" w:rsidRDefault="00A171DB" w:rsidP="00413C4D">
      <w:pPr>
        <w:pStyle w:val="Lbjegyzetszveg"/>
      </w:pPr>
      <w:hyperlink r:id="rId15" w:history="1">
        <w:r w:rsidR="002B31DC" w:rsidRPr="00FE629E">
          <w:rPr>
            <w:rStyle w:val="Hiperhivatkozs"/>
          </w:rPr>
          <w:t>http://www.meosz.hu/wp-content/uploads/2019/03/Fulop_Attila_level_Foti_gyerekvaros.pdf</w:t>
        </w:r>
      </w:hyperlink>
      <w:r w:rsidR="002B31DC">
        <w:t xml:space="preserve"> (last accessed: 30.09.2019)</w:t>
      </w:r>
    </w:p>
  </w:footnote>
  <w:footnote w:id="17">
    <w:p w:rsidR="002B31DC" w:rsidRDefault="002B31DC" w:rsidP="00413C4D">
      <w:pPr>
        <w:pStyle w:val="Lbjegyzetszveg"/>
      </w:pPr>
      <w:r>
        <w:rPr>
          <w:rStyle w:val="Lbjegyzet-hivatkozs"/>
        </w:rPr>
        <w:footnoteRef/>
      </w:r>
      <w:r>
        <w:t xml:space="preserve"> Act LXII of 2013 as of 30 September 2013 repealed the related provisions.</w:t>
      </w:r>
    </w:p>
  </w:footnote>
  <w:footnote w:id="18">
    <w:p w:rsidR="002B31DC" w:rsidRDefault="002B31DC" w:rsidP="00413C4D">
      <w:pPr>
        <w:pStyle w:val="Lbjegyzetszveg"/>
      </w:pPr>
      <w:r>
        <w:rPr>
          <w:rStyle w:val="Lbjegyzet-hivatkozs"/>
        </w:rPr>
        <w:footnoteRef/>
      </w:r>
      <w:r>
        <w:t xml:space="preserve"> See: </w:t>
      </w:r>
      <w:hyperlink r:id="rId16" w:history="1">
        <w:r w:rsidRPr="00E81C5B">
          <w:rPr>
            <w:rStyle w:val="Hiperhivatkozs"/>
          </w:rPr>
          <w:t>https://www.otpbank.hu/portal/hu/Akadalymentesseg</w:t>
        </w:r>
      </w:hyperlink>
      <w:r>
        <w:t xml:space="preserve"> </w:t>
      </w:r>
    </w:p>
  </w:footnote>
  <w:footnote w:id="19">
    <w:p w:rsidR="002B31DC" w:rsidRDefault="002B31DC" w:rsidP="00413C4D">
      <w:pPr>
        <w:pStyle w:val="Lbjegyzetszveg"/>
      </w:pPr>
      <w:r>
        <w:rPr>
          <w:rStyle w:val="Lbjegyzet-hivatkozs"/>
        </w:rPr>
        <w:footnoteRef/>
      </w:r>
      <w:r>
        <w:t xml:space="preserve"> See for example: Decision No. EBH/549/2018 of the Equal Treatment Authority</w:t>
      </w:r>
    </w:p>
  </w:footnote>
  <w:footnote w:id="20">
    <w:p w:rsidR="002B31DC" w:rsidRDefault="002B31DC" w:rsidP="00413C4D">
      <w:pPr>
        <w:pStyle w:val="Lbjegyzetszveg"/>
      </w:pPr>
      <w:r>
        <w:rPr>
          <w:rStyle w:val="Lbjegyzet-hivatkozs"/>
        </w:rPr>
        <w:footnoteRef/>
      </w:r>
      <w:r>
        <w:t xml:space="preserve"> See for example: Decisions No. EBH/312/2015 and EBH/451/2016 of the Equal Treatment Authority</w:t>
      </w:r>
    </w:p>
  </w:footnote>
  <w:footnote w:id="21">
    <w:p w:rsidR="002B31DC" w:rsidRDefault="002B31DC" w:rsidP="00413C4D">
      <w:pPr>
        <w:pStyle w:val="Lbjegyzetszveg"/>
      </w:pPr>
      <w:r>
        <w:rPr>
          <w:rStyle w:val="Lbjegyzet-hivatkozs"/>
        </w:rPr>
        <w:footnoteRef/>
      </w:r>
      <w:r>
        <w:t xml:space="preserve"> See for example: Decision No. EBH/74/2018 of the Equal Treatment Authority</w:t>
      </w:r>
    </w:p>
  </w:footnote>
  <w:footnote w:id="22">
    <w:p w:rsidR="002B31DC" w:rsidRDefault="002B31DC" w:rsidP="00413C4D">
      <w:pPr>
        <w:pStyle w:val="Lbjegyzetszveg"/>
      </w:pPr>
      <w:r>
        <w:rPr>
          <w:rStyle w:val="Lbjegyzet-hivatkozs"/>
        </w:rPr>
        <w:footnoteRef/>
      </w:r>
      <w:r>
        <w:t xml:space="preserve"> The survey was conducted for the request of the Ministry of National Development and by applying their questionnaire.</w:t>
      </w:r>
    </w:p>
  </w:footnote>
  <w:footnote w:id="23">
    <w:p w:rsidR="002B31DC" w:rsidRDefault="002B31DC" w:rsidP="00413C4D">
      <w:pPr>
        <w:pStyle w:val="Lbjegyzetszveg"/>
      </w:pPr>
      <w:r>
        <w:rPr>
          <w:rStyle w:val="Lbjegyzet-hivatkozs"/>
        </w:rPr>
        <w:footnoteRef/>
      </w:r>
      <w:r>
        <w:t xml:space="preserve"> According to MÁV’s data</w:t>
      </w:r>
      <w:r w:rsidRPr="002A1F6A">
        <w:t xml:space="preserve">, only 4% </w:t>
      </w:r>
      <w:r>
        <w:t>of the stations operated by MÁV</w:t>
      </w:r>
      <w:r w:rsidRPr="002A1F6A">
        <w:t xml:space="preserve"> are accessible and 25% are partially accessible.</w:t>
      </w:r>
      <w:r>
        <w:t xml:space="preserve"> For example, only 34 out of 696 stations (and 698 stops) has lifting equipment. </w:t>
      </w:r>
    </w:p>
    <w:p w:rsidR="002B31DC" w:rsidRDefault="002B31DC" w:rsidP="00413C4D">
      <w:pPr>
        <w:pStyle w:val="Lbjegyzetszveg"/>
      </w:pPr>
      <w:r>
        <w:t>See:</w:t>
      </w:r>
      <w:hyperlink r:id="rId17" w:history="1">
        <w:r w:rsidRPr="00C32081">
          <w:rPr>
            <w:rStyle w:val="Hiperhivatkozs"/>
          </w:rPr>
          <w:t>https://www.mavcsoport.hu/mav-start/belfoldi-utazas/mozgaskorlatozottak-szamara-igenyelheto-szolgaltatasok</w:t>
        </w:r>
      </w:hyperlink>
      <w:r>
        <w:t xml:space="preserve"> (last accessed 22.08.2019)</w:t>
      </w:r>
    </w:p>
  </w:footnote>
  <w:footnote w:id="24">
    <w:p w:rsidR="002B31DC" w:rsidRDefault="002B31DC" w:rsidP="00413C4D">
      <w:pPr>
        <w:pStyle w:val="Lbjegyzetszveg"/>
      </w:pPr>
      <w:r>
        <w:rPr>
          <w:rStyle w:val="Lbjegyzet-hivatkozs"/>
        </w:rPr>
        <w:footnoteRef/>
      </w:r>
      <w:r>
        <w:t xml:space="preserve"> According to MÁV’s data, on 31th December 2018, out of the total number of 2223 railway carriages only 210 were accessible (built-in lifting equipment, accessible toilettes, cabin adapted for wheelchair users), 113 were partially accessible (cabin adapted for wheelchair users</w:t>
      </w:r>
      <w:r w:rsidRPr="00C83F10">
        <w:t xml:space="preserve">, </w:t>
      </w:r>
      <w:r>
        <w:t>not equipped with lifting equipment, and not every type of carriage has accessible toilettes) and 1900 carriages were not accessible at all.</w:t>
      </w:r>
      <w:r w:rsidR="005C140C">
        <w:tab/>
      </w:r>
    </w:p>
  </w:footnote>
  <w:footnote w:id="25">
    <w:p w:rsidR="002B31DC" w:rsidRDefault="002B31DC" w:rsidP="00413C4D">
      <w:pPr>
        <w:pStyle w:val="Lbjegyzetszveg"/>
      </w:pPr>
      <w:r>
        <w:rPr>
          <w:rStyle w:val="Lbjegyzet-hivatkozs"/>
        </w:rPr>
        <w:footnoteRef/>
      </w:r>
      <w:r>
        <w:t xml:space="preserve">See: </w:t>
      </w:r>
      <w:hyperlink r:id="rId18" w:history="1">
        <w:r w:rsidRPr="008754D0">
          <w:rPr>
            <w:rStyle w:val="Hiperhivatkozs"/>
          </w:rPr>
          <w:t>https://www.mavcsoport.hu/mav-start/belfoldi-utazas/mozgaskorlatozottak-szamara-igenyelheto-szolgaltatasok</w:t>
        </w:r>
      </w:hyperlink>
      <w:r>
        <w:t xml:space="preserve"> (last accessed: 22.08.2019.)</w:t>
      </w:r>
    </w:p>
  </w:footnote>
  <w:footnote w:id="26">
    <w:p w:rsidR="002B31DC" w:rsidRDefault="002B31DC" w:rsidP="00413C4D">
      <w:pPr>
        <w:pStyle w:val="Lbjegyzetszveg"/>
      </w:pPr>
      <w:r>
        <w:rPr>
          <w:rStyle w:val="Lbjegyzet-hivatkozs"/>
        </w:rPr>
        <w:footnoteRef/>
      </w:r>
      <w:r>
        <w:t xml:space="preserve"> </w:t>
      </w:r>
      <w:hyperlink r:id="rId19" w:history="1">
        <w:r w:rsidRPr="0032674F">
          <w:rPr>
            <w:rStyle w:val="Hiperhivatkozs"/>
          </w:rPr>
          <w:t>https://eur-lex.europa.eu/legal-content/HU/TXT/?uri=CELEX%3A32007R1371</w:t>
        </w:r>
      </w:hyperlink>
      <w:r>
        <w:t xml:space="preserve"> (last accessed: 22.08.2019)</w:t>
      </w:r>
    </w:p>
  </w:footnote>
  <w:footnote w:id="27">
    <w:p w:rsidR="002B31DC" w:rsidRPr="0095529F" w:rsidRDefault="002B31DC" w:rsidP="00413C4D">
      <w:pPr>
        <w:pStyle w:val="Lbjegyzetszveg"/>
        <w:rPr>
          <w:iCs/>
        </w:rPr>
      </w:pPr>
      <w:r>
        <w:rPr>
          <w:rStyle w:val="Lbjegyzet-hivatkozs"/>
        </w:rPr>
        <w:footnoteRef/>
      </w:r>
      <w:r>
        <w:t xml:space="preserve"> </w:t>
      </w:r>
      <w:r>
        <w:rPr>
          <w:bCs/>
          <w:iCs/>
        </w:rPr>
        <w:t>Government Decree No. 271/2009. (XII. 1.) on the detailed conditions for carrying</w:t>
      </w:r>
      <w:r w:rsidRPr="00776966">
        <w:rPr>
          <w:bCs/>
          <w:iCs/>
        </w:rPr>
        <w:t xml:space="preserve"> passengers by rail</w:t>
      </w:r>
      <w:r>
        <w:rPr>
          <w:bCs/>
          <w:iCs/>
        </w:rPr>
        <w:t>way</w:t>
      </w:r>
      <w:r w:rsidRPr="00776966">
        <w:rPr>
          <w:bCs/>
          <w:iCs/>
        </w:rPr>
        <w:t xml:space="preserve"> under a national operating license</w:t>
      </w:r>
      <w:r w:rsidRPr="0095529F">
        <w:rPr>
          <w:bCs/>
          <w:iCs/>
        </w:rPr>
        <w:t xml:space="preserve"> </w:t>
      </w:r>
      <w:r>
        <w:rPr>
          <w:bCs/>
          <w:iCs/>
        </w:rPr>
        <w:t xml:space="preserve"> </w:t>
      </w:r>
      <w:hyperlink r:id="rId20" w:history="1">
        <w:r w:rsidRPr="0095529F">
          <w:rPr>
            <w:rStyle w:val="Hiperhivatkozs"/>
            <w:bCs/>
            <w:iCs/>
          </w:rPr>
          <w:t>https://net.jogtar.hu/jogszabaly?docid=A0900271.KOR</w:t>
        </w:r>
      </w:hyperlink>
      <w:r>
        <w:rPr>
          <w:i/>
          <w:iCs/>
        </w:rPr>
        <w:t xml:space="preserve"> </w:t>
      </w:r>
      <w:r>
        <w:rPr>
          <w:iCs/>
        </w:rPr>
        <w:t>(2019.08.22.)</w:t>
      </w:r>
    </w:p>
  </w:footnote>
  <w:footnote w:id="28">
    <w:p w:rsidR="002B31DC" w:rsidRPr="0032674F" w:rsidRDefault="002B31DC" w:rsidP="00413C4D">
      <w:pPr>
        <w:pStyle w:val="Lbjegyzetszveg"/>
      </w:pPr>
      <w:r>
        <w:rPr>
          <w:rStyle w:val="Lbjegyzet-hivatkozs"/>
        </w:rPr>
        <w:footnoteRef/>
      </w:r>
      <w:r>
        <w:t xml:space="preserve"> Decision No. </w:t>
      </w:r>
      <w:r w:rsidRPr="00DA6540">
        <w:t>20</w:t>
      </w:r>
      <w:r>
        <w:t>/2018. (03.21.) of MÁV’s CEO</w:t>
      </w:r>
    </w:p>
  </w:footnote>
  <w:footnote w:id="29">
    <w:p w:rsidR="002B31DC" w:rsidRDefault="002B31DC" w:rsidP="00413C4D">
      <w:pPr>
        <w:pStyle w:val="Lbjegyzetszveg"/>
      </w:pPr>
      <w:r>
        <w:rPr>
          <w:rStyle w:val="Lbjegyzet-hivatkozs"/>
        </w:rPr>
        <w:footnoteRef/>
      </w:r>
      <w:r>
        <w:t xml:space="preserve"> R</w:t>
      </w:r>
      <w:r w:rsidRPr="00DB574B">
        <w:t>egulation (EC) No 1371/2007 of the European Parliament and of the Council of 23 October 2007 on rail passengers’ rights and obligations</w:t>
      </w:r>
      <w:r>
        <w:t xml:space="preserve"> </w:t>
      </w:r>
      <w:hyperlink r:id="rId21" w:history="1">
        <w:r w:rsidRPr="002438CE">
          <w:rPr>
            <w:rStyle w:val="Hiperhivatkozs"/>
          </w:rPr>
          <w:t>https://eur-lex.europa.eu/legal-content/HU/TXT/?uri=CELEX%3A32007R1371</w:t>
        </w:r>
      </w:hyperlink>
      <w:r>
        <w:t xml:space="preserve"> (last accessed: 13. 09. 2019)</w:t>
      </w:r>
    </w:p>
  </w:footnote>
  <w:footnote w:id="30">
    <w:p w:rsidR="002B31DC" w:rsidRDefault="002B31DC" w:rsidP="00413C4D">
      <w:pPr>
        <w:pStyle w:val="Lbjegyzetszveg"/>
      </w:pPr>
      <w:r>
        <w:rPr>
          <w:rStyle w:val="Lbjegyzet-hivatkozs"/>
        </w:rPr>
        <w:footnoteRef/>
      </w:r>
      <w:r>
        <w:t>See:</w:t>
      </w:r>
      <w:hyperlink r:id="rId22" w:history="1">
        <w:r w:rsidRPr="0032674F">
          <w:rPr>
            <w:rStyle w:val="Hiperhivatkozs"/>
          </w:rPr>
          <w:t>https://www.mavcsoport.hu/mav-csoport/beszerzesi-hirdetmenyek/mav-zrt-53-allomasara-es-megallohelyere-vonatkozo-komplex-0</w:t>
        </w:r>
      </w:hyperlink>
      <w:r>
        <w:t xml:space="preserve"> (last accessed: 22.08.2019)</w:t>
      </w:r>
    </w:p>
  </w:footnote>
  <w:footnote w:id="31">
    <w:p w:rsidR="002B31DC" w:rsidRDefault="002B31DC" w:rsidP="00413C4D">
      <w:pPr>
        <w:pStyle w:val="Lbjegyzetszveg"/>
      </w:pPr>
      <w:r>
        <w:rPr>
          <w:rStyle w:val="Lbjegyzet-hivatkozs"/>
        </w:rPr>
        <w:footnoteRef/>
      </w:r>
      <w:r>
        <w:t xml:space="preserve"> </w:t>
      </w:r>
      <w:r w:rsidRPr="00247B80">
        <w:t xml:space="preserve">Regulation (EU) No 181/2011 of the European Parliament and of the Council of 16 February 2011 concerning the rights of passengers in bus and coach transport and amending Regulation (EC) No 2006/2004 </w:t>
      </w:r>
      <w:hyperlink r:id="rId23" w:history="1">
        <w:r w:rsidRPr="009170E1">
          <w:rPr>
            <w:rStyle w:val="Hiperhivatkozs"/>
          </w:rPr>
          <w:t>https://eur-lex.europa.eu/legal-content/EN/TXT/?qid=1566483327237&amp;uri=CELEX:32011R0181</w:t>
        </w:r>
      </w:hyperlink>
      <w:r w:rsidRPr="009170E1">
        <w:t xml:space="preserve"> (</w:t>
      </w:r>
      <w:r>
        <w:t>last accessed 22.08.</w:t>
      </w:r>
      <w:r w:rsidRPr="009170E1">
        <w:t>)</w:t>
      </w:r>
    </w:p>
  </w:footnote>
  <w:footnote w:id="32">
    <w:p w:rsidR="002B31DC" w:rsidRPr="00247B80" w:rsidRDefault="002B31DC" w:rsidP="00413C4D">
      <w:pPr>
        <w:pStyle w:val="Lbjegyzetszveg"/>
        <w:rPr>
          <w:bCs/>
          <w:iCs/>
        </w:rPr>
      </w:pPr>
      <w:r>
        <w:rPr>
          <w:rStyle w:val="Lbjegyzet-hivatkozs"/>
        </w:rPr>
        <w:footnoteRef/>
      </w:r>
      <w:r>
        <w:t xml:space="preserve"> Government Decree No. </w:t>
      </w:r>
      <w:r w:rsidRPr="0095529F">
        <w:rPr>
          <w:bCs/>
          <w:iCs/>
        </w:rPr>
        <w:t>213/2012. (VII. 30.)</w:t>
      </w:r>
      <w:r>
        <w:rPr>
          <w:bCs/>
          <w:iCs/>
        </w:rPr>
        <w:t xml:space="preserve"> on detailed rules</w:t>
      </w:r>
      <w:r w:rsidRPr="00247B80">
        <w:rPr>
          <w:bCs/>
          <w:iCs/>
        </w:rPr>
        <w:t xml:space="preserve"> </w:t>
      </w:r>
      <w:r>
        <w:rPr>
          <w:bCs/>
          <w:iCs/>
        </w:rPr>
        <w:t>and exemptions therefrom</w:t>
      </w:r>
      <w:r w:rsidRPr="00247B80">
        <w:rPr>
          <w:bCs/>
          <w:iCs/>
        </w:rPr>
        <w:t xml:space="preserve"> on bus and coach passenger transport services and on road passenger transport business rules not covered by Regulation (EU) No 181/2011</w:t>
      </w:r>
      <w:r>
        <w:rPr>
          <w:bCs/>
          <w:iCs/>
        </w:rPr>
        <w:t xml:space="preserve"> </w:t>
      </w:r>
      <w:hyperlink r:id="rId24" w:history="1">
        <w:r w:rsidRPr="0095529F">
          <w:rPr>
            <w:rStyle w:val="Hiperhivatkozs"/>
            <w:bCs/>
            <w:iCs/>
          </w:rPr>
          <w:t>https://net.jogtar.hu/jogszabaly?docid=A1200213.KOR</w:t>
        </w:r>
      </w:hyperlink>
      <w:r>
        <w:rPr>
          <w:bCs/>
          <w:iCs/>
        </w:rPr>
        <w:t xml:space="preserve"> (last accessed: 22.08.2019)</w:t>
      </w:r>
    </w:p>
  </w:footnote>
  <w:footnote w:id="33">
    <w:p w:rsidR="002B31DC" w:rsidRDefault="002B31DC" w:rsidP="00413C4D">
      <w:pPr>
        <w:pStyle w:val="Lbjegyzetszveg"/>
      </w:pPr>
      <w:r>
        <w:rPr>
          <w:rStyle w:val="Lbjegyzet-hivatkozs"/>
        </w:rPr>
        <w:footnoteRef/>
      </w:r>
      <w:r>
        <w:t xml:space="preserve"> On the 13rd March </w:t>
      </w:r>
      <w:r w:rsidRPr="009546E9">
        <w:t>2019, MEOSZ addressed a public interest request to</w:t>
      </w:r>
      <w:r>
        <w:t xml:space="preserve"> the bus companies providing</w:t>
      </w:r>
      <w:r w:rsidRPr="009546E9">
        <w:t xml:space="preserve"> public </w:t>
      </w:r>
      <w:r>
        <w:t xml:space="preserve">transport </w:t>
      </w:r>
      <w:r w:rsidRPr="009546E9">
        <w:t>service in order to</w:t>
      </w:r>
      <w:r>
        <w:t xml:space="preserve"> assess the accessibility of</w:t>
      </w:r>
      <w:r w:rsidRPr="009546E9">
        <w:t xml:space="preserve"> buses</w:t>
      </w:r>
      <w:r>
        <w:t xml:space="preserve"> in Hungary</w:t>
      </w:r>
      <w:r w:rsidRPr="009546E9">
        <w:t>.</w:t>
      </w:r>
      <w:r>
        <w:t xml:space="preserve"> According to the responses received, the number of accessible buses by operators: Észak-magyarországi Közlekedési Központ Zrt.: 223 out of 403, Középnyugat-magyarországi Közlekedési Központ Zrt.: 79 out of 155, </w:t>
      </w:r>
      <w:r w:rsidRPr="00012402">
        <w:t>Dél-alföldi Közlekedési Központ</w:t>
      </w:r>
      <w:r>
        <w:t xml:space="preserve"> Zrt.: 528 out of 835, </w:t>
      </w:r>
      <w:r w:rsidRPr="00012402">
        <w:t>Dél-dunántúli Közlekedési Központ Zrt.</w:t>
      </w:r>
      <w:r>
        <w:t xml:space="preserve">: 173 out of 755, </w:t>
      </w:r>
      <w:r w:rsidRPr="00012402">
        <w:t>Északnyugat-magyarországi Közlekedési Központ Zrt.</w:t>
      </w:r>
      <w:r>
        <w:t xml:space="preserve"> 95 out of 525 (</w:t>
      </w:r>
      <w:r w:rsidRPr="00FE20D4">
        <w:t>low-floor, low-entry,</w:t>
      </w:r>
      <w:r>
        <w:t xml:space="preserve"> equipped with</w:t>
      </w:r>
      <w:r w:rsidRPr="00FE20D4">
        <w:t xml:space="preserve"> ramp or elevator</w:t>
      </w:r>
      <w:r>
        <w:t>).</w:t>
      </w:r>
    </w:p>
  </w:footnote>
  <w:footnote w:id="34">
    <w:p w:rsidR="002B31DC" w:rsidRDefault="002B31DC" w:rsidP="00413C4D">
      <w:pPr>
        <w:pStyle w:val="Lbjegyzetszveg"/>
      </w:pPr>
      <w:r>
        <w:rPr>
          <w:rStyle w:val="Lbjegyzet-hivatkozs"/>
        </w:rPr>
        <w:footnoteRef/>
      </w:r>
      <w:r>
        <w:t xml:space="preserve"> </w:t>
      </w:r>
      <w:hyperlink r:id="rId25" w:history="1">
        <w:r w:rsidRPr="009170E1">
          <w:rPr>
            <w:rStyle w:val="Hiperhivatkozs"/>
          </w:rPr>
          <w:t>https://www.kormany.hu/hu/miniszterelnokseg/hirek/magyar-falu-program</w:t>
        </w:r>
      </w:hyperlink>
      <w:r>
        <w:t xml:space="preserve"> (last accessed: 22.08.2019)</w:t>
      </w:r>
    </w:p>
  </w:footnote>
  <w:footnote w:id="35">
    <w:p w:rsidR="002B31DC" w:rsidRDefault="002B31DC" w:rsidP="00413C4D">
      <w:pPr>
        <w:pStyle w:val="Lbjegyzetszveg"/>
      </w:pPr>
      <w:r>
        <w:rPr>
          <w:rStyle w:val="Lbjegyzet-hivatkozs"/>
        </w:rPr>
        <w:footnoteRef/>
      </w:r>
      <w:r>
        <w:t xml:space="preserve">Related MEOSZ document: </w:t>
      </w:r>
      <w:hyperlink r:id="rId26" w:history="1">
        <w:r w:rsidRPr="009170E1">
          <w:rPr>
            <w:rStyle w:val="Hiperhivatkozs"/>
          </w:rPr>
          <w:t>http://www.meosz.hu/blog/a-meosz-fellepese-nyoman-akadalymentesek-lesznek-a-falubuszok/</w:t>
        </w:r>
      </w:hyperlink>
      <w:r>
        <w:rPr>
          <w:rStyle w:val="Hiperhivatkozs"/>
        </w:rPr>
        <w:t xml:space="preserve"> </w:t>
      </w:r>
      <w:r>
        <w:t>(last accessed: 22.08.2019)</w:t>
      </w:r>
    </w:p>
  </w:footnote>
  <w:footnote w:id="36">
    <w:p w:rsidR="002B31DC" w:rsidRDefault="002B31DC" w:rsidP="00413C4D">
      <w:pPr>
        <w:pStyle w:val="Lbjegyzetszveg"/>
      </w:pPr>
      <w:r>
        <w:rPr>
          <w:rStyle w:val="Lbjegyzet-hivatkozs"/>
        </w:rPr>
        <w:footnoteRef/>
      </w:r>
      <w:r>
        <w:t xml:space="preserve"> Section 6:7</w:t>
      </w:r>
      <w:r w:rsidRPr="00B50A07">
        <w:t xml:space="preserve"> </w:t>
      </w:r>
      <w:r>
        <w:t>Para. (4)</w:t>
      </w:r>
      <w:r w:rsidRPr="003E7C55">
        <w:rPr>
          <w:sz w:val="22"/>
          <w:szCs w:val="22"/>
        </w:rPr>
        <w:t xml:space="preserve"> </w:t>
      </w:r>
      <w:r>
        <w:rPr>
          <w:sz w:val="22"/>
          <w:szCs w:val="22"/>
        </w:rPr>
        <w:t xml:space="preserve">of </w:t>
      </w:r>
      <w:r>
        <w:t xml:space="preserve">Act V of 2013 on Civil Code, </w:t>
      </w:r>
      <w:hyperlink r:id="rId27" w:history="1">
        <w:r w:rsidRPr="003E7C55">
          <w:rPr>
            <w:rStyle w:val="Hiperhivatkozs"/>
          </w:rPr>
          <w:t>https://net.jogtar.hu/jogszabaly?docid=A1300005.TV</w:t>
        </w:r>
      </w:hyperlink>
      <w:r>
        <w:t xml:space="preserve"> (last accessed: 30.09.2019)</w:t>
      </w:r>
    </w:p>
  </w:footnote>
  <w:footnote w:id="37">
    <w:p w:rsidR="002B31DC" w:rsidRPr="00B50A07" w:rsidRDefault="002B31DC" w:rsidP="00413C4D">
      <w:pPr>
        <w:pStyle w:val="Lbjegyzetszveg"/>
        <w:rPr>
          <w:lang w:val="cs-CZ"/>
        </w:rPr>
      </w:pPr>
      <w:r>
        <w:rPr>
          <w:rStyle w:val="Lbjegyzet-hivatkozs"/>
        </w:rPr>
        <w:footnoteRef/>
      </w:r>
      <w:r>
        <w:t xml:space="preserve">  Related document: </w:t>
      </w:r>
      <w:hyperlink r:id="rId28" w:history="1">
        <w:r w:rsidRPr="005320F3">
          <w:rPr>
            <w:rStyle w:val="Hiperhivatkozs"/>
          </w:rPr>
          <w:t>http://www.meosz.hu/wp-content/uploads/2019/05/meosz-es-az-mvgyosz-javaslatai.pdf</w:t>
        </w:r>
      </w:hyperlink>
      <w:r>
        <w:t xml:space="preserve"> (last accessed: 22.08.2019)</w:t>
      </w:r>
    </w:p>
  </w:footnote>
  <w:footnote w:id="38">
    <w:p w:rsidR="002B31DC" w:rsidRDefault="002B31DC" w:rsidP="007F454E">
      <w:pPr>
        <w:pStyle w:val="Lbjegyzetszveg"/>
      </w:pPr>
      <w:r>
        <w:rPr>
          <w:rStyle w:val="Lbjegyzet-hivatkozs"/>
        </w:rPr>
        <w:footnoteRef/>
      </w:r>
      <w:r>
        <w:t xml:space="preserve">Related document: </w:t>
      </w:r>
      <w:hyperlink r:id="rId29" w:history="1">
        <w:r w:rsidRPr="00B50A07">
          <w:rPr>
            <w:rStyle w:val="Hiperhivatkozs"/>
          </w:rPr>
          <w:t>http://www.meosz.hu/wp-content/uploads/2019/05/im-valasz-levele-2019.03.09.pdf</w:t>
        </w:r>
      </w:hyperlink>
      <w:r>
        <w:t xml:space="preserve"> (last accessed: 22.08.2019)</w:t>
      </w:r>
    </w:p>
  </w:footnote>
  <w:footnote w:id="39">
    <w:p w:rsidR="002B31DC" w:rsidRDefault="002B31DC" w:rsidP="00413C4D">
      <w:pPr>
        <w:pStyle w:val="Lbjegyzetszveg"/>
      </w:pPr>
      <w:r w:rsidRPr="006104ED">
        <w:rPr>
          <w:rStyle w:val="Lbjegyzet-hivatkozs"/>
        </w:rPr>
        <w:footnoteRef/>
      </w:r>
      <w:r w:rsidRPr="006104ED">
        <w:t xml:space="preserve"> </w:t>
      </w:r>
      <w:r>
        <w:t>As regards the accessibility of court building, the National Judicial Office provided the following information</w:t>
      </w:r>
      <w:r w:rsidRPr="00870881">
        <w:t>. I</w:t>
      </w:r>
      <w:r w:rsidRPr="00784DFC">
        <w:t>n Budapest, Baranya (at District Court in Pécs the Civil Procedures’Office is not accessible, disabled clients are received in other accessible offices, if needed) Bács-Kiskun, Békés, Csongrád, Fejér, Heves and Komárom-Esztergom (the Registry Courts' Management Office is not accessible, disabled clients are received in other accessible offices, if needed, and at District Court in Tata Management Offices upstairs are not accessible) counties building mainly are accessible. The full accessibility of buildings are under preparation Nógrád, Somogy, Szabolcs-Szatmár-Bereg, Vas és Zala countires. There are partially accessible buildings in Borsod-Abaúj-Zemplén, Győr-Moson-Sopron, Hajdú-Bihar, Jász-Nagykun-Szolnok, Pest, Tolna and Veszprém counties.</w:t>
      </w:r>
      <w:r w:rsidRPr="00D167E3">
        <w:t xml:space="preserve">  </w:t>
      </w:r>
    </w:p>
  </w:footnote>
  <w:footnote w:id="40">
    <w:p w:rsidR="002B31DC" w:rsidRDefault="002B31DC" w:rsidP="00413C4D">
      <w:pPr>
        <w:pStyle w:val="Lbjegyzetszveg"/>
      </w:pPr>
      <w:r>
        <w:rPr>
          <w:rStyle w:val="Lbjegyzet-hivatkozs"/>
        </w:rPr>
        <w:footnoteRef/>
      </w:r>
      <w:r>
        <w:t xml:space="preserve"> Based on the data of the Central Statistical Office in 2013 15,810, in 2014 15,581, in 2015 15,510, in 2016 14,999 while in 2017 14, 743 persons lived in homes for disabled persons. In: Yearbook of Socail Statistics 2017, </w:t>
      </w:r>
      <w:r w:rsidRPr="00AD3B3E">
        <w:t>Central Statistical Office</w:t>
      </w:r>
      <w:r>
        <w:t xml:space="preserve"> (2018), Table 9.6.)</w:t>
      </w:r>
    </w:p>
  </w:footnote>
  <w:footnote w:id="41">
    <w:p w:rsidR="002B31DC" w:rsidRPr="00E60F6F" w:rsidRDefault="002B31DC" w:rsidP="00413C4D">
      <w:pPr>
        <w:pStyle w:val="Lbjegyzetszveg"/>
      </w:pPr>
      <w:r>
        <w:rPr>
          <w:rStyle w:val="Lbjegyzet-hivatkozs"/>
        </w:rPr>
        <w:footnoteRef/>
      </w:r>
      <w:hyperlink r:id="rId30" w:history="1">
        <w:r w:rsidRPr="00395AA5">
          <w:rPr>
            <w:rStyle w:val="Hiperhivatkozs"/>
          </w:rPr>
          <w:t>https://www.kormany.hu/download/c/23/f0000/kiv%C3%A1lt%C3%A1sr%C3%B3l%20sz%C3%B3l%C3%B3%20koncepci%C3%B3.pdf</w:t>
        </w:r>
      </w:hyperlink>
      <w:r>
        <w:rPr>
          <w:rStyle w:val="Hiperhivatkozs"/>
        </w:rPr>
        <w:t xml:space="preserve"> </w:t>
      </w:r>
      <w:r w:rsidRPr="00E60F6F">
        <w:rPr>
          <w:rStyle w:val="Hiperhivatkozs"/>
        </w:rPr>
        <w:t>(</w:t>
      </w:r>
      <w:r>
        <w:rPr>
          <w:rStyle w:val="Hiperhivatkozs"/>
        </w:rPr>
        <w:t>last accessed: 30.08.2019</w:t>
      </w:r>
      <w:r w:rsidRPr="00E60F6F">
        <w:rPr>
          <w:rStyle w:val="Hiperhivatkozs"/>
        </w:rPr>
        <w:t xml:space="preserve">) </w:t>
      </w:r>
    </w:p>
  </w:footnote>
  <w:footnote w:id="42">
    <w:p w:rsidR="002B31DC" w:rsidRDefault="002B31DC" w:rsidP="00413C4D">
      <w:pPr>
        <w:pStyle w:val="Lbjegyzetszveg"/>
      </w:pPr>
      <w:r>
        <w:rPr>
          <w:rStyle w:val="Lbjegyzet-hivatkozs"/>
        </w:rPr>
        <w:footnoteRef/>
      </w:r>
      <w:r>
        <w:t xml:space="preserve"> Section 75 para. (5) of the Szoctv.</w:t>
      </w:r>
    </w:p>
  </w:footnote>
  <w:footnote w:id="43">
    <w:p w:rsidR="002B31DC" w:rsidRDefault="002B31DC" w:rsidP="00CB5E3D">
      <w:pPr>
        <w:pStyle w:val="Lbjegyzetszveg"/>
        <w:jc w:val="left"/>
      </w:pPr>
      <w:r>
        <w:rPr>
          <w:rStyle w:val="Lbjegyzet-hivatkozs"/>
        </w:rPr>
        <w:footnoteRef/>
      </w:r>
      <w:r>
        <w:t xml:space="preserve"> </w:t>
      </w:r>
      <w:hyperlink r:id="rId31" w:history="1">
        <w:r w:rsidRPr="00DF20AE">
          <w:rPr>
            <w:rStyle w:val="Hiperhivatkozs"/>
          </w:rPr>
          <w:t>https://enil.eu/wp-content/uploads/2019/06/MEOSZ-statement-on-the-Hungarian-deinstitutionalisation-strategy_final-version.pdf</w:t>
        </w:r>
      </w:hyperlink>
      <w:r>
        <w:t xml:space="preserve"> (last accessed: 28.08.2019)</w:t>
      </w:r>
    </w:p>
  </w:footnote>
  <w:footnote w:id="44">
    <w:p w:rsidR="002B31DC" w:rsidRDefault="002B31DC" w:rsidP="00413C4D">
      <w:pPr>
        <w:pStyle w:val="Lbjegyzetszveg"/>
      </w:pPr>
      <w:r>
        <w:rPr>
          <w:rStyle w:val="Lbjegyzet-hivatkozs"/>
        </w:rPr>
        <w:footnoteRef/>
      </w:r>
      <w:r>
        <w:t xml:space="preserve"> On 5 July 2019, a total number of 2381 persons were waiting for accommodation in homes for disabled persons. </w:t>
      </w:r>
      <w:hyperlink r:id="rId32" w:history="1">
        <w:r w:rsidRPr="00CF168F">
          <w:rPr>
            <w:rStyle w:val="Hiperhivatkozs"/>
          </w:rPr>
          <w:t>http://szocialisportal.hu/documents/10181/202037/Varakozoi_jelentes_2019_julius.pdf/42eb8bfb-0842-62f5-3905-81fb27772371?fbclid=IwAR3riRvQq3u-pHB7PJkNAOb-DlOEuX93j0nS-PuqFD1X9SC8ioIaoiqdOmE</w:t>
        </w:r>
      </w:hyperlink>
      <w:r>
        <w:t xml:space="preserve"> (last accessed: 13.09.20191)</w:t>
      </w:r>
    </w:p>
  </w:footnote>
  <w:footnote w:id="45">
    <w:p w:rsidR="002B31DC" w:rsidRDefault="002B31DC" w:rsidP="00413C4D">
      <w:pPr>
        <w:pStyle w:val="Lbjegyzetszveg"/>
      </w:pPr>
      <w:r>
        <w:rPr>
          <w:rStyle w:val="Lbjegyzet-hivatkozs"/>
        </w:rPr>
        <w:footnoteRef/>
      </w:r>
      <w:r>
        <w:t xml:space="preserve"> According to the data of the Central Statistical Office in </w:t>
      </w:r>
      <w:r>
        <w:rPr>
          <w:bCs/>
        </w:rPr>
        <w:t xml:space="preserve">2017, a total number of 13,306 persons used the services of support services. This shows decrease compared to the data of </w:t>
      </w:r>
      <w:r>
        <w:t>2015 (13,356 person)</w:t>
      </w:r>
      <w:r w:rsidRPr="005E07A5">
        <w:t xml:space="preserve">. </w:t>
      </w:r>
      <w:r>
        <w:t>However, more disabled persons would use these services to support their independent and self-determined lives</w:t>
      </w:r>
      <w:r w:rsidRPr="005E07A5">
        <w:t xml:space="preserve">. </w:t>
      </w:r>
      <w:r>
        <w:t>In 2015, a total number of 114,066 persons received disability allowance out of which 56, 315 persons have physical impairment.</w:t>
      </w:r>
      <w:r w:rsidRPr="005E07A5">
        <w:t xml:space="preserve"> </w:t>
      </w:r>
      <w:r>
        <w:t>In 2017, a total number of 112,887 persons received disability support, out of which 55,976 have physical impairment. Due to the lack of capacity of support services, disabled persons often use other types of basic social services for example home support. In 2015, a total number of 9,</w:t>
      </w:r>
      <w:r w:rsidRPr="005E07A5">
        <w:t>30</w:t>
      </w:r>
      <w:r>
        <w:t xml:space="preserve">3 persons while in 2017 16, 054 persons between 0-64 years used home support services. Yearbook of Social Statistics 2015, Central Statistical Office (2016)  Table 8.39 and </w:t>
      </w:r>
      <w:r w:rsidRPr="000F793F">
        <w:t xml:space="preserve">Yearbook of Social Statistics </w:t>
      </w:r>
      <w:r>
        <w:t>2017, Central Statistical Office (2018), Table 8.26)</w:t>
      </w:r>
    </w:p>
  </w:footnote>
  <w:footnote w:id="46">
    <w:p w:rsidR="002B31DC" w:rsidRDefault="002B31DC" w:rsidP="00413C4D">
      <w:pPr>
        <w:pStyle w:val="Lbjegyzetszveg"/>
      </w:pPr>
      <w:r>
        <w:rPr>
          <w:rStyle w:val="Lbjegyzet-hivatkozs"/>
        </w:rPr>
        <w:footnoteRef/>
      </w:r>
      <w:r>
        <w:t xml:space="preserve"> </w:t>
      </w:r>
      <w:r w:rsidRPr="00D22DE1">
        <w:rPr>
          <w:lang w:val="en"/>
        </w:rPr>
        <w:t>Within MEOSZ’s “Without barriers” project, 723 persons with physical disabilities were also interviewed concerning support services via the questionnaire for application. Out of all responders, 448 (62%) indicated that they would require support services. However, out of the 448 applicants, 208 (46%) responded that he/she do not have access to services for some reason. Out of the total 723 responders, 151 (21%) indicated that the support service is not available in their place of residence where they live. 61% of these settlements are villages. Out of all 723 responders, 242 (34%) indicated that they need assistive devices and personal assistance to complete their daily routine. 77 persons (32%) are excluded from the service because of insufficient capacity of the service or even the service is not available in the settlement. Based the feedbacks from the responders, the smaller the settlement, the more likely the applicants are to be excluded from the service due to problems caused by uneven territorial c</w:t>
      </w:r>
      <w:r>
        <w:rPr>
          <w:lang w:val="en"/>
        </w:rPr>
        <w:t>overage or lack of capacity. Additionally,</w:t>
      </w:r>
      <w:r w:rsidRPr="00D22DE1">
        <w:rPr>
          <w:lang w:val="en"/>
        </w:rPr>
        <w:t xml:space="preserve"> there is a l</w:t>
      </w:r>
      <w:r>
        <w:rPr>
          <w:lang w:val="en"/>
        </w:rPr>
        <w:t>arge proportion of those disabled persons who are excluded from</w:t>
      </w:r>
      <w:r w:rsidRPr="00D22DE1">
        <w:rPr>
          <w:lang w:val="en"/>
        </w:rPr>
        <w:t xml:space="preserve"> the service network who are wheelchair user</w:t>
      </w:r>
      <w:r>
        <w:rPr>
          <w:lang w:val="en"/>
        </w:rPr>
        <w:t>, severely disabled and in many cases</w:t>
      </w:r>
      <w:r w:rsidRPr="00D22DE1">
        <w:rPr>
          <w:lang w:val="en"/>
        </w:rPr>
        <w:t xml:space="preserve"> persons who receive disability allowance.</w:t>
      </w:r>
    </w:p>
  </w:footnote>
  <w:footnote w:id="47">
    <w:p w:rsidR="002B31DC" w:rsidRDefault="002B31DC" w:rsidP="00413C4D">
      <w:pPr>
        <w:pStyle w:val="Lbjegyzetszveg"/>
      </w:pPr>
      <w:r>
        <w:rPr>
          <w:rStyle w:val="Lbjegyzet-hivatkozs"/>
        </w:rPr>
        <w:footnoteRef/>
      </w:r>
      <w:r>
        <w:t xml:space="preserve"> See for example: T</w:t>
      </w:r>
      <w:r w:rsidRPr="00FC6E2A">
        <w:t xml:space="preserve">ámogató Szolgálatok Szakmai Felmérése, 2015, Nemzeti Rehabilitációs és Szociális Hivatal </w:t>
      </w:r>
      <w:hyperlink r:id="rId33" w:history="1">
        <w:r w:rsidRPr="00FC6E2A">
          <w:rPr>
            <w:rStyle w:val="Hiperhivatkozs"/>
          </w:rPr>
          <w:t>http://szocialisportal.hu/documents/10181/87698/tsz_tanulmany_2016.pdf/360d75a1-98b7-4b82-9051-21ffd179a2ce?fbclid=IwAR14qyQqfbx6tF6DDa_2pDZmf8GFAg9gXxHRLjVmrlOLTEsU7n2yYGcV55k</w:t>
        </w:r>
      </w:hyperlink>
      <w:r>
        <w:t xml:space="preserve"> (last accessed: 14.08.2019</w:t>
      </w:r>
      <w:r w:rsidRPr="00FC6E2A">
        <w:t>)</w:t>
      </w:r>
    </w:p>
  </w:footnote>
  <w:footnote w:id="48">
    <w:p w:rsidR="002B31DC" w:rsidRDefault="002B31DC" w:rsidP="00413C4D">
      <w:pPr>
        <w:pStyle w:val="Lbjegyzetszveg"/>
      </w:pPr>
      <w:r>
        <w:rPr>
          <w:rStyle w:val="Lbjegyzet-hivatkozs"/>
        </w:rPr>
        <w:footnoteRef/>
      </w:r>
      <w:r>
        <w:t xml:space="preserve"> Online Device Register: </w:t>
      </w:r>
      <w:hyperlink r:id="rId34" w:history="1">
        <w:r w:rsidRPr="000C6A22">
          <w:rPr>
            <w:rStyle w:val="Hiperhivatkozs"/>
          </w:rPr>
          <w:t>http://sejk.oep.hu/content.php?s=catalog</w:t>
        </w:r>
      </w:hyperlink>
      <w:r>
        <w:rPr>
          <w:rStyle w:val="Hiperhivatkozs"/>
        </w:rPr>
        <w:t xml:space="preserve"> (last accessed: 14.08.2019)</w:t>
      </w:r>
    </w:p>
  </w:footnote>
  <w:footnote w:id="49">
    <w:p w:rsidR="002B31DC" w:rsidRDefault="002B31DC" w:rsidP="00413C4D">
      <w:pPr>
        <w:pStyle w:val="Lbjegyzetszveg"/>
      </w:pPr>
      <w:r>
        <w:rPr>
          <w:rStyle w:val="Lbjegyzet-hivatkozs"/>
        </w:rPr>
        <w:footnoteRef/>
      </w:r>
      <w:r>
        <w:t xml:space="preserve"> See for example the rules prohibiting</w:t>
      </w:r>
      <w:r w:rsidRPr="006F13A6">
        <w:t xml:space="preserve"> co-prescribing in</w:t>
      </w:r>
      <w:r>
        <w:t xml:space="preserve"> Section 12 Paras. (2)-(6b) and exclusion provisions in</w:t>
      </w:r>
      <w:r w:rsidRPr="006F13A6">
        <w:t xml:space="preserve"> Annex 6 </w:t>
      </w:r>
      <w:r>
        <w:t xml:space="preserve">of </w:t>
      </w:r>
      <w:r w:rsidRPr="006F13A6">
        <w:t xml:space="preserve">EüM </w:t>
      </w:r>
      <w:r>
        <w:t xml:space="preserve">Ministerial </w:t>
      </w:r>
      <w:r w:rsidRPr="006F13A6">
        <w:t xml:space="preserve">Decree </w:t>
      </w:r>
      <w:r>
        <w:t xml:space="preserve">No. </w:t>
      </w:r>
      <w:r w:rsidRPr="006F13A6">
        <w:t>14/2007</w:t>
      </w:r>
      <w:r>
        <w:t xml:space="preserve"> </w:t>
      </w:r>
      <w:r w:rsidRPr="006F13A6">
        <w:t xml:space="preserve">(III. 14.) on the admission, ordering, distribution, repair and lending of medical devices for social security assistance. </w:t>
      </w:r>
    </w:p>
  </w:footnote>
  <w:footnote w:id="50">
    <w:p w:rsidR="002B31DC" w:rsidRDefault="002B31DC" w:rsidP="00413C4D">
      <w:pPr>
        <w:pStyle w:val="Lbjegyzetszveg"/>
      </w:pPr>
      <w:r>
        <w:rPr>
          <w:rStyle w:val="Lbjegyzet-hivatkozs"/>
        </w:rPr>
        <w:footnoteRef/>
      </w:r>
      <w:r>
        <w:t xml:space="preserve"> Section 12 paras. (4)-(5) and Annexes 9-10 of </w:t>
      </w:r>
      <w:r w:rsidRPr="00AA1F99">
        <w:t xml:space="preserve">EüM Ministerial Decree No. 14/2007 (III. 14.) </w:t>
      </w:r>
      <w:hyperlink r:id="rId35" w:history="1">
        <w:r>
          <w:rPr>
            <w:rStyle w:val="Hiperhivatkozs"/>
          </w:rPr>
          <w:t>https://net.jogtar.hu/jogszabaly?docid=A0700014.EUM</w:t>
        </w:r>
      </w:hyperlink>
      <w:r>
        <w:t xml:space="preserve"> (last accessed: 29.08.2019.)</w:t>
      </w:r>
    </w:p>
  </w:footnote>
  <w:footnote w:id="51">
    <w:p w:rsidR="002B31DC" w:rsidRDefault="002B31DC" w:rsidP="00413C4D">
      <w:pPr>
        <w:pStyle w:val="Lbjegyzetszveg"/>
      </w:pPr>
      <w:r>
        <w:rPr>
          <w:rStyle w:val="Lbjegyzet-hivatkozs"/>
        </w:rPr>
        <w:footnoteRef/>
      </w:r>
      <w:r>
        <w:t xml:space="preserve"> Section 12 para. (2) of </w:t>
      </w:r>
      <w:r w:rsidRPr="00AA1F99">
        <w:t>EüM Ministerial Decree No. 14/2007 (III. 14.)</w:t>
      </w:r>
    </w:p>
  </w:footnote>
  <w:footnote w:id="52">
    <w:p w:rsidR="002B31DC" w:rsidRPr="003E0173" w:rsidRDefault="002B31DC" w:rsidP="00413C4D">
      <w:pPr>
        <w:pStyle w:val="Lbjegyzetszveg"/>
      </w:pPr>
      <w:r>
        <w:rPr>
          <w:rStyle w:val="Lbjegyzet-hivatkozs"/>
        </w:rPr>
        <w:footnoteRef/>
      </w:r>
      <w:r>
        <w:t xml:space="preserve"> </w:t>
      </w:r>
      <w:r w:rsidRPr="004054EF">
        <w:rPr>
          <w:i/>
        </w:rPr>
        <w:t>Önrendelkező élet</w:t>
      </w:r>
      <w:r>
        <w:t>, MEOSZ (2017) p. 18.</w:t>
      </w:r>
    </w:p>
    <w:p w:rsidR="002B31DC" w:rsidRPr="003E0173" w:rsidRDefault="00A171DB" w:rsidP="00413C4D">
      <w:pPr>
        <w:pStyle w:val="Lbjegyzetszveg"/>
      </w:pPr>
      <w:hyperlink r:id="rId36" w:history="1">
        <w:r w:rsidR="002B31DC" w:rsidRPr="00E81C5B">
          <w:rPr>
            <w:rStyle w:val="Hiperhivatkozs"/>
          </w:rPr>
          <w:t>http://www.meosz.hu/wp-content/uploads/2017/09/onrendelkezo_eletet_elni.pdf</w:t>
        </w:r>
      </w:hyperlink>
      <w:r w:rsidR="002B31DC">
        <w:t xml:space="preserve"> </w:t>
      </w:r>
      <w:r w:rsidR="002B31DC" w:rsidRPr="003E0173">
        <w:t>(</w:t>
      </w:r>
      <w:r w:rsidR="002B31DC">
        <w:t>last accessed: 29.08.2019</w:t>
      </w:r>
      <w:r w:rsidR="002B31DC" w:rsidRPr="003E0173">
        <w:t xml:space="preserve">) </w:t>
      </w:r>
    </w:p>
  </w:footnote>
  <w:footnote w:id="53">
    <w:p w:rsidR="002B31DC" w:rsidRPr="003E0173" w:rsidRDefault="002B31DC" w:rsidP="00413C4D">
      <w:pPr>
        <w:pStyle w:val="Lbjegyzetszveg"/>
      </w:pPr>
      <w:r w:rsidRPr="003E0173">
        <w:rPr>
          <w:rStyle w:val="Lbjegyzet-hivatkozs"/>
        </w:rPr>
        <w:footnoteRef/>
      </w:r>
      <w:r>
        <w:t xml:space="preserve"> SZABÓ</w:t>
      </w:r>
      <w:r w:rsidRPr="00762E28">
        <w:t xml:space="preserve"> </w:t>
      </w:r>
      <w:r w:rsidRPr="003E0173">
        <w:t xml:space="preserve">Diána: </w:t>
      </w:r>
      <w:r w:rsidRPr="009663AA">
        <w:rPr>
          <w:i/>
        </w:rPr>
        <w:t>Utazó gyógypedagógiai szolgáltatás a résztvevők oldaláról. A Közép-magyarországi régióban végzett interjús vizsgálat tapasztalatai</w:t>
      </w:r>
      <w:r w:rsidRPr="003E0173">
        <w:t xml:space="preserve"> In: Iskolakult</w:t>
      </w:r>
      <w:r>
        <w:t>úra. Volume 25, 2015/5-6,</w:t>
      </w:r>
      <w:r w:rsidRPr="003E0173">
        <w:t xml:space="preserve"> p</w:t>
      </w:r>
      <w:r>
        <w:t xml:space="preserve">. </w:t>
      </w:r>
      <w:r w:rsidRPr="003E0173">
        <w:t xml:space="preserve">77.  </w:t>
      </w:r>
    </w:p>
  </w:footnote>
  <w:footnote w:id="54">
    <w:p w:rsidR="002B31DC" w:rsidRDefault="002B31DC" w:rsidP="00413C4D">
      <w:pPr>
        <w:pStyle w:val="Lbjegyzetszveg"/>
      </w:pPr>
      <w:r>
        <w:rPr>
          <w:rStyle w:val="Lbjegyzet-hivatkozs"/>
        </w:rPr>
        <w:footnoteRef/>
      </w:r>
      <w:r>
        <w:t xml:space="preserve"> See: Reports No. AJB 343/2015; 150/2016; 263/2017; 1672/2017; 1837/2017 reports of the Commissioner for Fundamental Rights</w:t>
      </w:r>
    </w:p>
  </w:footnote>
  <w:footnote w:id="55">
    <w:p w:rsidR="002B31DC" w:rsidRPr="003E0173" w:rsidRDefault="002B31DC" w:rsidP="00413C4D">
      <w:pPr>
        <w:pStyle w:val="Lbjegyzetszveg"/>
      </w:pPr>
      <w:r w:rsidRPr="003E0173">
        <w:rPr>
          <w:rStyle w:val="Lbjegyzet-hivatkozs"/>
        </w:rPr>
        <w:footnoteRef/>
      </w:r>
      <w:r>
        <w:t xml:space="preserve"> See for example Decision No. </w:t>
      </w:r>
      <w:r w:rsidRPr="003E0173">
        <w:t xml:space="preserve">EBH/549/2018 </w:t>
      </w:r>
      <w:r>
        <w:t>of the Equal Treatment Authority</w:t>
      </w:r>
    </w:p>
  </w:footnote>
  <w:footnote w:id="56">
    <w:p w:rsidR="002B31DC" w:rsidRPr="003E0173" w:rsidRDefault="002B31DC" w:rsidP="00413C4D">
      <w:pPr>
        <w:pStyle w:val="Lbjegyzetszveg"/>
      </w:pPr>
      <w:r w:rsidRPr="003E0173">
        <w:rPr>
          <w:rStyle w:val="Lbjegyzet-hivatkozs"/>
        </w:rPr>
        <w:footnoteRef/>
      </w:r>
      <w:r w:rsidRPr="003E0173">
        <w:t xml:space="preserve"> </w:t>
      </w:r>
      <w:r w:rsidRPr="00EF0C91">
        <w:rPr>
          <w:i/>
        </w:rPr>
        <w:t>Önrendelkező élet</w:t>
      </w:r>
      <w:r w:rsidRPr="00EF0C91">
        <w:t>, MEOSZ (2017), p. 18</w:t>
      </w:r>
    </w:p>
  </w:footnote>
  <w:footnote w:id="57">
    <w:p w:rsidR="002B31DC" w:rsidRDefault="002B31DC" w:rsidP="00413C4D">
      <w:pPr>
        <w:pStyle w:val="Lbjegyzetszveg"/>
      </w:pPr>
      <w:r>
        <w:rPr>
          <w:rStyle w:val="Lbjegyzet-hivatkozs"/>
        </w:rPr>
        <w:footnoteRef/>
      </w:r>
      <w:r>
        <w:t xml:space="preserve"> Támogató Szolgálatok Felmérése 2015, Nemzeti Rehabilitációs és Szociális Hivatal </w:t>
      </w:r>
      <w:hyperlink r:id="rId37" w:history="1">
        <w:r w:rsidRPr="008D722D">
          <w:rPr>
            <w:rStyle w:val="Hiperhivatkozs"/>
          </w:rPr>
          <w:t>http://szocialisportal.hu/documents/10181/87698/tsz_tanulmany_2016.pdf/360d75a1-98b7-4b82-9051-21ffd179a2ce?fbclid=IwAR14qyQqfbx6tF6DDa_2pDZmf8GFAg9gXxHRLjVmrlOLTEsU7n2yYGcV55k</w:t>
        </w:r>
      </w:hyperlink>
      <w:r>
        <w:t xml:space="preserve"> </w:t>
      </w:r>
      <w:r w:rsidRPr="00553F44">
        <w:t xml:space="preserve">  </w:t>
      </w:r>
      <w:r>
        <w:t>(last accessed: 28.09.2019)</w:t>
      </w:r>
    </w:p>
  </w:footnote>
  <w:footnote w:id="58">
    <w:p w:rsidR="002B31DC" w:rsidRDefault="002B31DC" w:rsidP="00413C4D">
      <w:pPr>
        <w:pStyle w:val="Lbjegyzetszveg"/>
      </w:pPr>
      <w:r>
        <w:rPr>
          <w:rStyle w:val="Lbjegyzet-hivatkozs"/>
        </w:rPr>
        <w:footnoteRef/>
      </w:r>
      <w:r>
        <w:t xml:space="preserve">Related MEOSZ document: </w:t>
      </w:r>
      <w:hyperlink r:id="rId38" w:history="1">
        <w:r w:rsidRPr="0058535A">
          <w:rPr>
            <w:rStyle w:val="Hiperhivatkozs"/>
          </w:rPr>
          <w:t>http://www.meosz.hu/wp-content/uploads/2019/06/AJBH-1901-2016-1-valasz.pdf</w:t>
        </w:r>
      </w:hyperlink>
      <w:r>
        <w:t xml:space="preserve"> (last accessed: 13.09.2019.)</w:t>
      </w:r>
    </w:p>
  </w:footnote>
  <w:footnote w:id="59">
    <w:p w:rsidR="002B31DC" w:rsidRDefault="002B31DC" w:rsidP="00413C4D">
      <w:pPr>
        <w:pStyle w:val="Lbjegyzetszveg"/>
      </w:pPr>
      <w:r>
        <w:rPr>
          <w:rStyle w:val="Lbjegyzet-hivatkozs"/>
        </w:rPr>
        <w:footnoteRef/>
      </w:r>
      <w:r>
        <w:t xml:space="preserve"> See Decision No. </w:t>
      </w:r>
      <w:r w:rsidRPr="003000A8">
        <w:t>EBH/312/2015</w:t>
      </w:r>
      <w:r>
        <w:t xml:space="preserve"> of the Equal Treatment Authority</w:t>
      </w:r>
    </w:p>
  </w:footnote>
  <w:footnote w:id="60">
    <w:p w:rsidR="002B31DC" w:rsidRDefault="002B31DC" w:rsidP="00413C4D">
      <w:pPr>
        <w:pStyle w:val="Lbjegyzetszveg"/>
      </w:pPr>
      <w:r>
        <w:rPr>
          <w:rStyle w:val="Lbjegyzet-hivatkozs"/>
        </w:rPr>
        <w:footnoteRef/>
      </w:r>
      <w:r>
        <w:t xml:space="preserve"> See Decision No. </w:t>
      </w:r>
      <w:r w:rsidRPr="003000A8">
        <w:t>EBH/94/2016</w:t>
      </w:r>
      <w:r w:rsidRPr="00316B7F">
        <w:rPr>
          <w:sz w:val="22"/>
          <w:szCs w:val="22"/>
        </w:rPr>
        <w:t xml:space="preserve"> </w:t>
      </w:r>
      <w:r w:rsidRPr="00316B7F">
        <w:t>of the Equal Treatment Authority</w:t>
      </w:r>
    </w:p>
  </w:footnote>
  <w:footnote w:id="61">
    <w:p w:rsidR="002B31DC" w:rsidRDefault="002B31DC" w:rsidP="00413C4D">
      <w:pPr>
        <w:pStyle w:val="Lbjegyzetszveg"/>
      </w:pPr>
      <w:r>
        <w:rPr>
          <w:rStyle w:val="Lbjegyzet-hivatkozs"/>
        </w:rPr>
        <w:footnoteRef/>
      </w:r>
      <w:r>
        <w:t xml:space="preserve"> See Decision No. </w:t>
      </w:r>
      <w:r w:rsidRPr="003000A8">
        <w:t>EBH/125/2016</w:t>
      </w:r>
      <w:r w:rsidRPr="00316B7F">
        <w:rPr>
          <w:sz w:val="22"/>
          <w:szCs w:val="22"/>
        </w:rPr>
        <w:t xml:space="preserve"> </w:t>
      </w:r>
      <w:r w:rsidRPr="00316B7F">
        <w:t>of the Equal Treatment Authority</w:t>
      </w:r>
    </w:p>
  </w:footnote>
  <w:footnote w:id="62">
    <w:p w:rsidR="002B31DC" w:rsidRDefault="002B31DC" w:rsidP="00413C4D">
      <w:pPr>
        <w:pStyle w:val="Lbjegyzetszveg"/>
      </w:pPr>
      <w:r>
        <w:rPr>
          <w:rStyle w:val="Lbjegyzet-hivatkozs"/>
        </w:rPr>
        <w:footnoteRef/>
      </w:r>
      <w:r>
        <w:t xml:space="preserve"> Report No. </w:t>
      </w:r>
      <w:r w:rsidRPr="003000A8">
        <w:t>AJB-437</w:t>
      </w:r>
      <w:r>
        <w:t>/2017 of the Fundamental Rights Commissioner</w:t>
      </w:r>
    </w:p>
  </w:footnote>
  <w:footnote w:id="63">
    <w:p w:rsidR="002B31DC" w:rsidRDefault="002B31DC" w:rsidP="00413C4D">
      <w:pPr>
        <w:pStyle w:val="Lbjegyzetszveg"/>
      </w:pPr>
      <w:r>
        <w:rPr>
          <w:rStyle w:val="Lbjegyzet-hivatkozs"/>
        </w:rPr>
        <w:footnoteRef/>
      </w:r>
      <w:r>
        <w:t xml:space="preserve"> </w:t>
      </w:r>
      <w:hyperlink r:id="rId39" w:history="1">
        <w:r w:rsidRPr="003000A8">
          <w:rPr>
            <w:rStyle w:val="Hiperhivatkozs"/>
          </w:rPr>
          <w:t>http://www.meosz.hu/wp-content/uploads/2017/04/20170330_level_EMMI_szuresek.pdf</w:t>
        </w:r>
      </w:hyperlink>
      <w:r>
        <w:t xml:space="preserve"> (last accessed: 30.08.2019)</w:t>
      </w:r>
    </w:p>
  </w:footnote>
  <w:footnote w:id="64">
    <w:p w:rsidR="002B31DC" w:rsidRDefault="002B31DC" w:rsidP="00413C4D">
      <w:pPr>
        <w:pStyle w:val="Lbjegyzetszveg"/>
      </w:pPr>
      <w:r>
        <w:rPr>
          <w:rStyle w:val="Lbjegyzet-hivatkozs"/>
        </w:rPr>
        <w:footnoteRef/>
      </w:r>
      <w:r>
        <w:t xml:space="preserve"> Section 15 of Fot.</w:t>
      </w:r>
    </w:p>
  </w:footnote>
  <w:footnote w:id="65">
    <w:p w:rsidR="002B31DC" w:rsidRDefault="002B31DC" w:rsidP="00413C4D">
      <w:pPr>
        <w:pStyle w:val="Lbjegyzetszveg"/>
      </w:pPr>
      <w:r>
        <w:rPr>
          <w:rStyle w:val="Lbjegyzet-hivatkozs"/>
        </w:rPr>
        <w:footnoteRef/>
      </w:r>
      <w:r w:rsidRPr="008F5CBE">
        <w:rPr>
          <w:i/>
        </w:rPr>
        <w:t>A Munka Méltósága projekt</w:t>
      </w:r>
      <w:r>
        <w:rPr>
          <w:i/>
        </w:rPr>
        <w:t xml:space="preserve"> 2013/</w:t>
      </w:r>
      <w:r w:rsidRPr="008F5CBE">
        <w:rPr>
          <w:i/>
        </w:rPr>
        <w:t>4,</w:t>
      </w:r>
      <w:r>
        <w:rPr>
          <w:i/>
        </w:rPr>
        <w:t xml:space="preserve"> </w:t>
      </w:r>
      <w:r w:rsidRPr="008F5CBE">
        <w:t>Office of the Fundamental Rights Commissioner (2013)</w:t>
      </w:r>
      <w:r>
        <w:t>,</w:t>
      </w:r>
      <w:r>
        <w:rPr>
          <w:i/>
        </w:rPr>
        <w:t xml:space="preserve"> </w:t>
      </w:r>
      <w:r>
        <w:t xml:space="preserve"> p. 48-49 </w:t>
      </w:r>
      <w:hyperlink r:id="rId40" w:history="1">
        <w:r w:rsidRPr="003A4EFF">
          <w:rPr>
            <w:rStyle w:val="Hiperhivatkozs"/>
          </w:rPr>
          <w:t>https://www.ajbh.hu/documents/10180/1210221/Mell%C3%A9klet+3+-+Munka+m%C3%A9lt%C3%B3s%C3%A1ga+projekt/c9e1e664-17e6-4a97-8872-ba8d198499f3?version=1.0</w:t>
        </w:r>
      </w:hyperlink>
      <w:r>
        <w:t xml:space="preserve"> (last accessed: 30.08.2019)</w:t>
      </w:r>
    </w:p>
  </w:footnote>
  <w:footnote w:id="66">
    <w:p w:rsidR="002B31DC" w:rsidRDefault="002B31DC" w:rsidP="00413C4D">
      <w:pPr>
        <w:pStyle w:val="Lbjegyzetszveg"/>
      </w:pPr>
      <w:r>
        <w:rPr>
          <w:rStyle w:val="Lbjegyzet-hivatkozs"/>
        </w:rPr>
        <w:footnoteRef/>
      </w:r>
      <w:r>
        <w:t xml:space="preserve">  European Court of Human Rights no. 53080/13.; Judgement (GC): 13 December 2016</w:t>
      </w:r>
    </w:p>
  </w:footnote>
  <w:footnote w:id="67">
    <w:p w:rsidR="002B31DC" w:rsidRDefault="002B31DC" w:rsidP="00413C4D">
      <w:pPr>
        <w:pStyle w:val="Lbjegyzetszveg"/>
      </w:pPr>
      <w:r>
        <w:rPr>
          <w:rStyle w:val="Lbjegyzet-hivatkozs"/>
        </w:rPr>
        <w:footnoteRef/>
      </w:r>
      <w:r>
        <w:t xml:space="preserve"> </w:t>
      </w:r>
      <w:r>
        <w:rPr>
          <w:iCs/>
        </w:rPr>
        <w:t>See:</w:t>
      </w:r>
      <w:r w:rsidRPr="00B65677">
        <w:rPr>
          <w:iCs/>
        </w:rPr>
        <w:t xml:space="preserve"> Bé</w:t>
      </w:r>
      <w:r>
        <w:rPr>
          <w:iCs/>
        </w:rPr>
        <w:t>láné</w:t>
      </w:r>
      <w:r w:rsidRPr="00B65677">
        <w:rPr>
          <w:iCs/>
        </w:rPr>
        <w:t xml:space="preserve"> Nagy </w:t>
      </w:r>
      <w:r>
        <w:rPr>
          <w:iCs/>
        </w:rPr>
        <w:t>v. Hungary [(53080/13)], Baczúr v. Hungary [(8263/15)] and Lengyel v Hungary [(8271/15)</w:t>
      </w:r>
      <w:r w:rsidRPr="00B65677">
        <w:rPr>
          <w:iCs/>
        </w:rPr>
        <w:t>]</w:t>
      </w:r>
    </w:p>
  </w:footnote>
  <w:footnote w:id="68">
    <w:p w:rsidR="002B31DC" w:rsidRDefault="002B31DC" w:rsidP="00413C4D">
      <w:pPr>
        <w:pStyle w:val="Lbjegyzetszveg"/>
        <w:jc w:val="left"/>
      </w:pPr>
      <w:r>
        <w:rPr>
          <w:rStyle w:val="Lbjegyzet-hivatkozs"/>
        </w:rPr>
        <w:footnoteRef/>
      </w:r>
      <w:r>
        <w:t xml:space="preserve"> </w:t>
      </w:r>
      <w:r>
        <w:rPr>
          <w:sz w:val="22"/>
          <w:szCs w:val="22"/>
        </w:rPr>
        <w:t xml:space="preserve">Decision No. </w:t>
      </w:r>
      <w:r w:rsidRPr="00CE0389">
        <w:t>V/507/2018</w:t>
      </w:r>
      <w:r>
        <w:t xml:space="preserve">. of the Constitutional Court of Hungary </w:t>
      </w:r>
      <w:hyperlink r:id="rId41" w:history="1">
        <w:r w:rsidRPr="00CE0389">
          <w:rPr>
            <w:rStyle w:val="Hiperhivatkozs"/>
          </w:rPr>
          <w:t>https://alkotmanybirosag.hu/uploads/2018/11/sz_v_507_2018.pdf</w:t>
        </w:r>
      </w:hyperlink>
      <w:r>
        <w:t xml:space="preserve"> (last accessed: 04.09.2019)</w:t>
      </w:r>
    </w:p>
  </w:footnote>
  <w:footnote w:id="69">
    <w:p w:rsidR="002B31DC" w:rsidRDefault="002B31DC" w:rsidP="00413C4D">
      <w:pPr>
        <w:pStyle w:val="Lbjegyzetszveg"/>
      </w:pPr>
      <w:r>
        <w:rPr>
          <w:rStyle w:val="Lbjegyzet-hivatkozs"/>
        </w:rPr>
        <w:footnoteRef/>
      </w:r>
      <w:r>
        <w:t xml:space="preserve"> Article XXIII Paragraph (6) of Fundamental Law of Hungary</w:t>
      </w:r>
    </w:p>
    <w:p w:rsidR="002B31DC" w:rsidRDefault="00A171DB" w:rsidP="00413C4D">
      <w:pPr>
        <w:pStyle w:val="Lbjegyzetszveg"/>
      </w:pPr>
      <w:hyperlink r:id="rId42" w:history="1">
        <w:r w:rsidR="002B31DC" w:rsidRPr="00535DD5">
          <w:rPr>
            <w:rStyle w:val="Hiperhivatkozs"/>
          </w:rPr>
          <w:t>https://net.jogtar.hu/jogszabaly?docid=A1100425.ATV</w:t>
        </w:r>
      </w:hyperlink>
      <w:r w:rsidR="002B31DC">
        <w:t xml:space="preserve"> (last accessed: 03.09.2019)</w:t>
      </w:r>
    </w:p>
  </w:footnote>
  <w:footnote w:id="70">
    <w:p w:rsidR="002B31DC" w:rsidRDefault="002B31DC" w:rsidP="00413C4D">
      <w:pPr>
        <w:pStyle w:val="Lbjegyzetszveg"/>
        <w:jc w:val="left"/>
      </w:pPr>
      <w:r>
        <w:rPr>
          <w:rStyle w:val="Lbjegyzet-hivatkozs"/>
        </w:rPr>
        <w:footnoteRef/>
      </w:r>
      <w:r>
        <w:t xml:space="preserve">See case no. </w:t>
      </w:r>
      <w:r w:rsidRPr="00F30A9D">
        <w:t>AJB-2449/2014</w:t>
      </w:r>
      <w:hyperlink r:id="rId43" w:history="1">
        <w:r w:rsidRPr="00FA3414">
          <w:rPr>
            <w:rStyle w:val="Hiperhivatkozs"/>
          </w:rPr>
          <w:t>https://www.ajbh.hu/documents/10180/1117870/Jelent%C3%A9s+a+mozg%C3%B3urn%C3%A1s+v%C3%A1laszt%C3%A1sr%C3%B3l+2449_2014/78fc3c61-00cd-4aea-beda-66b148fb6f87?version=1.0</w:t>
        </w:r>
      </w:hyperlink>
      <w:r>
        <w:t xml:space="preserve"> (last accessed: 03.09.2019)</w:t>
      </w:r>
    </w:p>
  </w:footnote>
  <w:footnote w:id="71">
    <w:p w:rsidR="002B31DC" w:rsidRPr="00D143B4" w:rsidRDefault="002B31DC" w:rsidP="00413C4D">
      <w:pPr>
        <w:pStyle w:val="Lbjegyzetszveg"/>
        <w:rPr>
          <w:lang w:val="hu-HU"/>
        </w:rPr>
      </w:pPr>
      <w:r>
        <w:rPr>
          <w:rStyle w:val="Lbjegyzet-hivatkozs"/>
        </w:rPr>
        <w:footnoteRef/>
      </w:r>
      <w:r>
        <w:t xml:space="preserve"> </w:t>
      </w:r>
      <w:hyperlink r:id="rId44" w:history="1">
        <w:r>
          <w:rPr>
            <w:rStyle w:val="Hiperhivatkozs"/>
          </w:rPr>
          <w:t>https://net.jogtar.hu/jogszabaly?docid=A13H1330.KOR&amp;txtreferer=A1000043.TV</w:t>
        </w:r>
      </w:hyperlink>
      <w:r>
        <w:t xml:space="preserve"> (last accessed: 30.09.2019)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1DC" w:rsidRDefault="002B31DC" w:rsidP="00646D56">
    <w:pPr>
      <w:pStyle w:val="lfej"/>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1156970</wp:posOffset>
              </wp:positionH>
              <wp:positionV relativeFrom="paragraph">
                <wp:posOffset>-95250</wp:posOffset>
              </wp:positionV>
              <wp:extent cx="1536065" cy="82740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065" cy="82740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B31DC" w:rsidRPr="00A515E6" w:rsidRDefault="002B31DC" w:rsidP="003E602E">
                          <w:pPr>
                            <w:jc w:val="center"/>
                            <w:rPr>
                              <w:rFonts w:ascii="Corbel" w:hAnsi="Corbel"/>
                              <w:b/>
                              <w:color w:val="86143E"/>
                              <w:sz w:val="22"/>
                            </w:rPr>
                          </w:pPr>
                          <w:r w:rsidRPr="00A515E6">
                            <w:rPr>
                              <w:rFonts w:ascii="Corbel" w:hAnsi="Corbel"/>
                              <w:b/>
                              <w:color w:val="86143E"/>
                              <w:sz w:val="22"/>
                            </w:rPr>
                            <w:t xml:space="preserve">National Federation of </w:t>
                          </w:r>
                          <w:r>
                            <w:rPr>
                              <w:rFonts w:ascii="Corbel" w:hAnsi="Corbel"/>
                              <w:b/>
                              <w:color w:val="86143E"/>
                              <w:sz w:val="22"/>
                            </w:rPr>
                            <w:t>Associations of</w:t>
                          </w:r>
                          <w:r w:rsidRPr="00A515E6">
                            <w:rPr>
                              <w:rFonts w:ascii="Corbel" w:hAnsi="Corbel"/>
                              <w:b/>
                              <w:color w:val="86143E"/>
                              <w:sz w:val="22"/>
                            </w:rPr>
                            <w:t xml:space="preserve"> Persons</w:t>
                          </w:r>
                          <w:r>
                            <w:rPr>
                              <w:rFonts w:ascii="Corbel" w:hAnsi="Corbel"/>
                              <w:b/>
                              <w:color w:val="86143E"/>
                              <w:sz w:val="22"/>
                            </w:rPr>
                            <w:t xml:space="preserve"> with Physical  Disabilities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91.1pt;margin-top:-7.5pt;width:120.95pt;height:6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" filled="f" stroked="f">
              <v:path arrowok="t"/>
              <v:textbox>
                <w:txbxContent>
                  <w:p w:rsidR="002B31DC" w:rsidRPr="00A515E6" w:rsidRDefault="002B31DC" w:rsidP="003E602E">
                    <w:pPr>
                      <w:jc w:val="center"/>
                      <w:rPr>
                        <w:rFonts w:ascii="Corbel" w:hAnsi="Corbel"/>
                        <w:b/>
                        <w:color w:val="86143E"/>
                        <w:sz w:val="22"/>
                      </w:rPr>
                    </w:pPr>
                    <w:r w:rsidRPr="00A515E6">
                      <w:rPr>
                        <w:rFonts w:ascii="Corbel" w:hAnsi="Corbel"/>
                        <w:b/>
                        <w:color w:val="86143E"/>
                        <w:sz w:val="22"/>
                      </w:rPr>
                      <w:t xml:space="preserve">National Federation of </w:t>
                    </w:r>
                    <w:r>
                      <w:rPr>
                        <w:rFonts w:ascii="Corbel" w:hAnsi="Corbel"/>
                        <w:b/>
                        <w:color w:val="86143E"/>
                        <w:sz w:val="22"/>
                      </w:rPr>
                      <w:t>Associations of</w:t>
                    </w:r>
                    <w:r w:rsidRPr="00A515E6">
                      <w:rPr>
                        <w:rFonts w:ascii="Corbel" w:hAnsi="Corbel"/>
                        <w:b/>
                        <w:color w:val="86143E"/>
                        <w:sz w:val="22"/>
                      </w:rPr>
                      <w:t xml:space="preserve"> Persons</w:t>
                    </w:r>
                    <w:r>
                      <w:rPr>
                        <w:rFonts w:ascii="Corbel" w:hAnsi="Corbel"/>
                        <w:b/>
                        <w:color w:val="86143E"/>
                        <w:sz w:val="22"/>
                      </w:rPr>
                      <w:t xml:space="preserve"> with Physical  Disabilities</w:t>
                    </w:r>
                  </w:p>
                </w:txbxContent>
              </v:textbox>
            </v:shape>
          </w:pict>
        </mc:Fallback>
      </mc:AlternateContent>
    </w:r>
    <w:r>
      <w:rPr>
        <w:noProof/>
        <w:lang w:eastAsia="en-GB"/>
      </w:rPr>
      <mc:AlternateContent>
        <mc:Choice Requires="wpg">
          <w:drawing>
            <wp:anchor distT="0" distB="0" distL="114300" distR="114300" simplePos="0" relativeHeight="251661312" behindDoc="0" locked="0" layoutInCell="1" allowOverlap="1">
              <wp:simplePos x="0" y="0"/>
              <wp:positionH relativeFrom="margin">
                <wp:align>right</wp:align>
              </wp:positionH>
              <wp:positionV relativeFrom="paragraph">
                <wp:posOffset>-163195</wp:posOffset>
              </wp:positionV>
              <wp:extent cx="3119120" cy="808355"/>
              <wp:effectExtent l="0" t="0" r="0" b="2540"/>
              <wp:wrapNone/>
              <wp:docPr id="2" name="Csoportba foglalás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9120" cy="808355"/>
                        <a:chOff x="0" y="0"/>
                        <a:chExt cx="32679" cy="7076"/>
                      </a:xfrm>
                    </wpg:grpSpPr>
                    <pic:pic xmlns:pic="http://schemas.openxmlformats.org/drawingml/2006/picture">
                      <pic:nvPicPr>
                        <pic:cNvPr id="3" name="Picture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79" cy="7076"/>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9"/>
                      <wps:cNvSpPr txBox="1">
                        <a:spLocks noChangeArrowheads="1"/>
                      </wps:cNvSpPr>
                      <wps:spPr bwMode="auto">
                        <a:xfrm>
                          <a:off x="1272" y="0"/>
                          <a:ext cx="30948" cy="7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31DC" w:rsidRPr="00A515E6" w:rsidRDefault="002B31DC" w:rsidP="00646D56">
                            <w:pPr>
                              <w:spacing w:after="120"/>
                              <w:jc w:val="center"/>
                              <w:rPr>
                                <w:rFonts w:ascii="Open Sans" w:hAnsi="Open Sans" w:cs="Open Sans"/>
                                <w:b/>
                                <w:color w:val="FFFFFF" w:themeColor="background1"/>
                                <w:sz w:val="18"/>
                                <w:szCs w:val="18"/>
                              </w:rPr>
                            </w:pPr>
                            <w:r w:rsidRPr="00A515E6">
                              <w:rPr>
                                <w:rFonts w:ascii="Open Sans" w:hAnsi="Open Sans" w:cs="Open Sans"/>
                                <w:b/>
                                <w:color w:val="FFFFFF" w:themeColor="background1"/>
                                <w:sz w:val="18"/>
                                <w:szCs w:val="18"/>
                              </w:rPr>
                              <w:t>76, San Marco str.   1032 Budapest, Hungary</w:t>
                            </w:r>
                          </w:p>
                          <w:p w:rsidR="002B31DC" w:rsidRPr="0072398D" w:rsidRDefault="002B31DC" w:rsidP="00646D56">
                            <w:pPr>
                              <w:spacing w:after="120"/>
                              <w:jc w:val="center"/>
                              <w:rPr>
                                <w:rFonts w:ascii="Open Sans" w:hAnsi="Open Sans" w:cs="Open Sans"/>
                                <w:color w:val="FFFFFF" w:themeColor="background1"/>
                                <w:sz w:val="18"/>
                                <w:szCs w:val="18"/>
                              </w:rPr>
                            </w:pPr>
                            <w:r w:rsidRPr="00A515E6">
                              <w:rPr>
                                <w:rFonts w:ascii="Open Sans" w:hAnsi="Open Sans" w:cs="Open Sans"/>
                                <w:b/>
                                <w:color w:val="FFFFFF" w:themeColor="background1"/>
                                <w:sz w:val="18"/>
                                <w:szCs w:val="18"/>
                              </w:rPr>
                              <w:t>+36 1 250 9013,</w:t>
                            </w:r>
                            <w:r>
                              <w:rPr>
                                <w:rFonts w:ascii="Open Sans" w:hAnsi="Open Sans" w:cs="Open Sans"/>
                                <w:color w:val="FFFFFF" w:themeColor="background1"/>
                                <w:sz w:val="18"/>
                                <w:szCs w:val="18"/>
                              </w:rPr>
                              <w:t xml:space="preserve"> </w:t>
                            </w:r>
                            <w:r w:rsidRPr="0072398D">
                              <w:rPr>
                                <w:rFonts w:ascii="Open Sans" w:hAnsi="Open Sans" w:cs="Open Sans"/>
                                <w:color w:val="FFFFFF" w:themeColor="background1"/>
                                <w:sz w:val="18"/>
                                <w:szCs w:val="18"/>
                              </w:rPr>
                              <w:t>+36 1 388 2387, +36 1 388 2388</w:t>
                            </w:r>
                          </w:p>
                          <w:p w:rsidR="002B31DC" w:rsidRPr="00794232" w:rsidRDefault="002B31DC" w:rsidP="007E6B4C">
                            <w:pPr>
                              <w:tabs>
                                <w:tab w:val="left" w:pos="2268"/>
                              </w:tabs>
                              <w:rPr>
                                <w:rFonts w:ascii="Corbel" w:hAnsi="Corbel"/>
                                <w:color w:val="FFFFFF" w:themeColor="background1"/>
                                <w:sz w:val="18"/>
                                <w:szCs w:val="18"/>
                              </w:rPr>
                            </w:pPr>
                            <w:r>
                              <w:rPr>
                                <w:rFonts w:ascii="Open Sans" w:hAnsi="Open Sans" w:cs="Open Sans"/>
                                <w:color w:val="FFFFFF" w:themeColor="background1"/>
                                <w:sz w:val="18"/>
                                <w:szCs w:val="18"/>
                              </w:rPr>
                              <w:t xml:space="preserve">                       </w:t>
                            </w:r>
                            <w:r w:rsidRPr="00A515E6">
                              <w:rPr>
                                <w:rFonts w:ascii="Open Sans" w:hAnsi="Open Sans" w:cs="Open Sans"/>
                                <w:b/>
                                <w:color w:val="FFFFFF" w:themeColor="background1"/>
                                <w:sz w:val="18"/>
                                <w:szCs w:val="18"/>
                              </w:rPr>
                              <w:t>www.meosz.hu</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Csoportba foglalás 4" o:spid="_x0000_s1027" style="position:absolute;margin-left:194.4pt;margin-top:-12.85pt;width:245.6pt;height:63.65pt;z-index:251661312;mso-position-horizontal:right;mso-position-horizontal-relative:margin;mso-width-relative:margin;mso-height-relative:margin" coordsize="32679,707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32679;height:7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">
                <v:imagedata r:id="rId2" o:title=""/>
                <v:path arrowok="t"/>
              </v:shape>
              <v:shape id="Text Box 9" o:spid="_x0000_s1029" type="#_x0000_t202" style="position:absolute;left:1272;width:30948;height:7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2B31DC" w:rsidRPr="00A515E6" w:rsidRDefault="002B31DC" w:rsidP="00646D56">
                      <w:pPr>
                        <w:spacing w:after="120"/>
                        <w:jc w:val="center"/>
                        <w:rPr>
                          <w:rFonts w:ascii="Open Sans" w:hAnsi="Open Sans" w:cs="Open Sans"/>
                          <w:b/>
                          <w:color w:val="FFFFFF" w:themeColor="background1"/>
                          <w:sz w:val="18"/>
                          <w:szCs w:val="18"/>
                        </w:rPr>
                      </w:pPr>
                      <w:r w:rsidRPr="00A515E6">
                        <w:rPr>
                          <w:rFonts w:ascii="Open Sans" w:hAnsi="Open Sans" w:cs="Open Sans"/>
                          <w:b/>
                          <w:color w:val="FFFFFF" w:themeColor="background1"/>
                          <w:sz w:val="18"/>
                          <w:szCs w:val="18"/>
                        </w:rPr>
                        <w:t>76, San Marco str.   1032 Budapest, Hungary</w:t>
                      </w:r>
                    </w:p>
                    <w:p w:rsidR="002B31DC" w:rsidRPr="0072398D" w:rsidRDefault="002B31DC" w:rsidP="00646D56">
                      <w:pPr>
                        <w:spacing w:after="120"/>
                        <w:jc w:val="center"/>
                        <w:rPr>
                          <w:rFonts w:ascii="Open Sans" w:hAnsi="Open Sans" w:cs="Open Sans"/>
                          <w:color w:val="FFFFFF" w:themeColor="background1"/>
                          <w:sz w:val="18"/>
                          <w:szCs w:val="18"/>
                        </w:rPr>
                      </w:pPr>
                      <w:r w:rsidRPr="00A515E6">
                        <w:rPr>
                          <w:rFonts w:ascii="Open Sans" w:hAnsi="Open Sans" w:cs="Open Sans"/>
                          <w:b/>
                          <w:color w:val="FFFFFF" w:themeColor="background1"/>
                          <w:sz w:val="18"/>
                          <w:szCs w:val="18"/>
                        </w:rPr>
                        <w:t>+36 1 250 9013,</w:t>
                      </w:r>
                      <w:r>
                        <w:rPr>
                          <w:rFonts w:ascii="Open Sans" w:hAnsi="Open Sans" w:cs="Open Sans"/>
                          <w:color w:val="FFFFFF" w:themeColor="background1"/>
                          <w:sz w:val="18"/>
                          <w:szCs w:val="18"/>
                        </w:rPr>
                        <w:t xml:space="preserve"> </w:t>
                      </w:r>
                      <w:r w:rsidRPr="0072398D">
                        <w:rPr>
                          <w:rFonts w:ascii="Open Sans" w:hAnsi="Open Sans" w:cs="Open Sans"/>
                          <w:color w:val="FFFFFF" w:themeColor="background1"/>
                          <w:sz w:val="18"/>
                          <w:szCs w:val="18"/>
                        </w:rPr>
                        <w:t>+36 1 388 2387, +36 1 388 2388</w:t>
                      </w:r>
                    </w:p>
                    <w:p w:rsidR="002B31DC" w:rsidRPr="00794232" w:rsidRDefault="002B31DC" w:rsidP="007E6B4C">
                      <w:pPr>
                        <w:tabs>
                          <w:tab w:val="left" w:pos="2268"/>
                        </w:tabs>
                        <w:rPr>
                          <w:rFonts w:ascii="Corbel" w:hAnsi="Corbel"/>
                          <w:color w:val="FFFFFF" w:themeColor="background1"/>
                          <w:sz w:val="18"/>
                          <w:szCs w:val="18"/>
                        </w:rPr>
                      </w:pPr>
                      <w:r>
                        <w:rPr>
                          <w:rFonts w:ascii="Open Sans" w:hAnsi="Open Sans" w:cs="Open Sans"/>
                          <w:color w:val="FFFFFF" w:themeColor="background1"/>
                          <w:sz w:val="18"/>
                          <w:szCs w:val="18"/>
                        </w:rPr>
                        <w:t xml:space="preserve">                       </w:t>
                      </w:r>
                      <w:r w:rsidRPr="00A515E6">
                        <w:rPr>
                          <w:rFonts w:ascii="Open Sans" w:hAnsi="Open Sans" w:cs="Open Sans"/>
                          <w:b/>
                          <w:color w:val="FFFFFF" w:themeColor="background1"/>
                          <w:sz w:val="18"/>
                          <w:szCs w:val="18"/>
                        </w:rPr>
                        <w:t>www.meosz.hu</w:t>
                      </w:r>
                    </w:p>
                  </w:txbxContent>
                </v:textbox>
              </v:shape>
              <w10:wrap anchorx="margin"/>
            </v:group>
          </w:pict>
        </mc:Fallback>
      </mc:AlternateContent>
    </w:r>
    <w:r>
      <w:rPr>
        <w:noProof/>
        <w:lang w:eastAsia="en-GB"/>
      </w:rPr>
      <w:drawing>
        <wp:anchor distT="0" distB="0" distL="114300" distR="114300" simplePos="0" relativeHeight="251659264" behindDoc="1" locked="0" layoutInCell="1" allowOverlap="1">
          <wp:simplePos x="0" y="0"/>
          <wp:positionH relativeFrom="column">
            <wp:posOffset>20320</wp:posOffset>
          </wp:positionH>
          <wp:positionV relativeFrom="paragraph">
            <wp:posOffset>-118745</wp:posOffset>
          </wp:positionV>
          <wp:extent cx="1047600" cy="450000"/>
          <wp:effectExtent l="0" t="0" r="63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01.eps"/>
                  <pic:cNvPicPr/>
                </pic:nvPicPr>
                <pic:blipFill>
                  <a:blip r:embed="rId3">
                    <a:extLst>
                      <a:ext uri="{28A0092B-C50C-407E-A947-70E740481C1C}">
                        <a14:useLocalDpi xmlns:a14="http://schemas.microsoft.com/office/drawing/2010/main" val="0"/>
                      </a:ext>
                    </a:extLst>
                  </a:blip>
                  <a:stretch>
                    <a:fillRect/>
                  </a:stretch>
                </pic:blipFill>
                <pic:spPr>
                  <a:xfrm>
                    <a:off x="0" y="0"/>
                    <a:ext cx="1047600" cy="450000"/>
                  </a:xfrm>
                  <a:prstGeom prst="rect">
                    <a:avLst/>
                  </a:prstGeom>
                </pic:spPr>
              </pic:pic>
            </a:graphicData>
          </a:graphic>
        </wp:anchor>
      </w:drawing>
    </w:r>
  </w:p>
  <w:p w:rsidR="002B31DC" w:rsidRDefault="002B31DC">
    <w:pPr>
      <w:pStyle w:val="lfej"/>
    </w:pPr>
  </w:p>
  <w:p w:rsidR="002B31DC" w:rsidRDefault="002B31DC">
    <w:pPr>
      <w:pStyle w:val="lfej"/>
    </w:pPr>
  </w:p>
  <w:p w:rsidR="002B31DC" w:rsidRDefault="002B31D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3F25"/>
    <w:multiLevelType w:val="hybridMultilevel"/>
    <w:tmpl w:val="DA2410DE"/>
    <w:lvl w:ilvl="0" w:tplc="8F92555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7502C5"/>
    <w:multiLevelType w:val="hybridMultilevel"/>
    <w:tmpl w:val="B5ECBC10"/>
    <w:lvl w:ilvl="0" w:tplc="FC642F9A">
      <w:numFmt w:val="bullet"/>
      <w:lvlText w:val="-"/>
      <w:lvlJc w:val="left"/>
      <w:pPr>
        <w:ind w:left="720" w:hanging="360"/>
      </w:pPr>
      <w:rPr>
        <w:rFonts w:ascii="Times New Roman" w:eastAsia="MS Mincho"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2BA3F99"/>
    <w:multiLevelType w:val="hybridMultilevel"/>
    <w:tmpl w:val="8828CC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4F96FFB"/>
    <w:multiLevelType w:val="hybridMultilevel"/>
    <w:tmpl w:val="F0324D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82B53FE"/>
    <w:multiLevelType w:val="hybridMultilevel"/>
    <w:tmpl w:val="8FECFE1C"/>
    <w:lvl w:ilvl="0" w:tplc="B332F772">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8A0C5F"/>
    <w:multiLevelType w:val="hybridMultilevel"/>
    <w:tmpl w:val="2C2ABC9A"/>
    <w:lvl w:ilvl="0" w:tplc="700619FC">
      <w:start w:val="2"/>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D90F97"/>
    <w:multiLevelType w:val="multilevel"/>
    <w:tmpl w:val="6AF6F5DA"/>
    <w:lvl w:ilvl="0">
      <w:start w:val="1"/>
      <w:numFmt w:val="decimal"/>
      <w:lvlText w:val="%1."/>
      <w:lvlJc w:val="left"/>
      <w:pPr>
        <w:ind w:left="1494" w:hanging="360"/>
      </w:pPr>
      <w:rPr>
        <w:b w:val="0"/>
        <w:vertAlign w:val="baseline"/>
      </w:rPr>
    </w:lvl>
    <w:lvl w:ilvl="1">
      <w:start w:val="1"/>
      <w:numFmt w:val="lowerLetter"/>
      <w:lvlText w:val="%2."/>
      <w:lvlJc w:val="left"/>
      <w:pPr>
        <w:ind w:left="2214" w:hanging="360"/>
      </w:pPr>
      <w:rPr>
        <w:vertAlign w:val="baseline"/>
      </w:rPr>
    </w:lvl>
    <w:lvl w:ilvl="2">
      <w:start w:val="1"/>
      <w:numFmt w:val="lowerRoman"/>
      <w:lvlText w:val="%3."/>
      <w:lvlJc w:val="right"/>
      <w:pPr>
        <w:ind w:left="2934" w:hanging="180"/>
      </w:pPr>
      <w:rPr>
        <w:vertAlign w:val="baseline"/>
      </w:rPr>
    </w:lvl>
    <w:lvl w:ilvl="3">
      <w:start w:val="1"/>
      <w:numFmt w:val="decimal"/>
      <w:lvlText w:val="%4."/>
      <w:lvlJc w:val="left"/>
      <w:pPr>
        <w:ind w:left="3654" w:hanging="360"/>
      </w:pPr>
      <w:rPr>
        <w:vertAlign w:val="baseline"/>
      </w:rPr>
    </w:lvl>
    <w:lvl w:ilvl="4">
      <w:start w:val="1"/>
      <w:numFmt w:val="lowerLetter"/>
      <w:lvlText w:val="%5."/>
      <w:lvlJc w:val="left"/>
      <w:pPr>
        <w:ind w:left="4374" w:hanging="360"/>
      </w:pPr>
      <w:rPr>
        <w:vertAlign w:val="baseline"/>
      </w:rPr>
    </w:lvl>
    <w:lvl w:ilvl="5">
      <w:start w:val="1"/>
      <w:numFmt w:val="lowerRoman"/>
      <w:lvlText w:val="%6."/>
      <w:lvlJc w:val="right"/>
      <w:pPr>
        <w:ind w:left="5094" w:hanging="180"/>
      </w:pPr>
      <w:rPr>
        <w:vertAlign w:val="baseline"/>
      </w:rPr>
    </w:lvl>
    <w:lvl w:ilvl="6">
      <w:start w:val="1"/>
      <w:numFmt w:val="decimal"/>
      <w:lvlText w:val="%7."/>
      <w:lvlJc w:val="left"/>
      <w:pPr>
        <w:ind w:left="5814" w:hanging="360"/>
      </w:pPr>
      <w:rPr>
        <w:vertAlign w:val="baseline"/>
      </w:rPr>
    </w:lvl>
    <w:lvl w:ilvl="7">
      <w:start w:val="1"/>
      <w:numFmt w:val="lowerLetter"/>
      <w:lvlText w:val="%8."/>
      <w:lvlJc w:val="left"/>
      <w:pPr>
        <w:ind w:left="6534" w:hanging="360"/>
      </w:pPr>
      <w:rPr>
        <w:vertAlign w:val="baseline"/>
      </w:rPr>
    </w:lvl>
    <w:lvl w:ilvl="8">
      <w:start w:val="1"/>
      <w:numFmt w:val="lowerRoman"/>
      <w:lvlText w:val="%9."/>
      <w:lvlJc w:val="right"/>
      <w:pPr>
        <w:ind w:left="7254" w:hanging="180"/>
      </w:pPr>
      <w:rPr>
        <w:vertAlign w:val="baseline"/>
      </w:rPr>
    </w:lvl>
  </w:abstractNum>
  <w:abstractNum w:abstractNumId="7" w15:restartNumberingAfterBreak="0">
    <w:nsid w:val="4C400959"/>
    <w:multiLevelType w:val="hybridMultilevel"/>
    <w:tmpl w:val="9AB6BF1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D0B6C73"/>
    <w:multiLevelType w:val="hybridMultilevel"/>
    <w:tmpl w:val="A342A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66E7D0A"/>
    <w:multiLevelType w:val="multilevel"/>
    <w:tmpl w:val="98FEBCBC"/>
    <w:lvl w:ilvl="0">
      <w:start w:val="1"/>
      <w:numFmt w:val="decimal"/>
      <w:lvlText w:val="%1."/>
      <w:lvlJc w:val="left"/>
      <w:pPr>
        <w:ind w:left="1854" w:hanging="360"/>
      </w:pPr>
      <w:rPr>
        <w:b w:val="0"/>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0" w15:restartNumberingAfterBreak="0">
    <w:nsid w:val="5B9410C3"/>
    <w:multiLevelType w:val="hybridMultilevel"/>
    <w:tmpl w:val="7F5436DA"/>
    <w:lvl w:ilvl="0" w:tplc="FA2CF8E4">
      <w:start w:val="1"/>
      <w:numFmt w:val="lowerRoman"/>
      <w:lvlText w:val="%1)"/>
      <w:lvlJc w:val="left"/>
      <w:pPr>
        <w:ind w:left="960" w:hanging="360"/>
      </w:pPr>
      <w:rPr>
        <w:rFonts w:hint="default"/>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11" w15:restartNumberingAfterBreak="0">
    <w:nsid w:val="5C6563EF"/>
    <w:multiLevelType w:val="hybridMultilevel"/>
    <w:tmpl w:val="2F1E120E"/>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FA50B16"/>
    <w:multiLevelType w:val="hybridMultilevel"/>
    <w:tmpl w:val="0D38A10C"/>
    <w:lvl w:ilvl="0" w:tplc="8676C090">
      <w:start w:val="1"/>
      <w:numFmt w:val="decimal"/>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3" w15:restartNumberingAfterBreak="0">
    <w:nsid w:val="674F16FE"/>
    <w:multiLevelType w:val="hybridMultilevel"/>
    <w:tmpl w:val="4F86313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5744D8"/>
    <w:multiLevelType w:val="hybridMultilevel"/>
    <w:tmpl w:val="91280F62"/>
    <w:lvl w:ilvl="0" w:tplc="3DA8BF54">
      <w:numFmt w:val="bullet"/>
      <w:lvlText w:val="-"/>
      <w:lvlJc w:val="left"/>
      <w:pPr>
        <w:ind w:left="720" w:hanging="360"/>
      </w:pPr>
      <w:rPr>
        <w:rFonts w:ascii="Times New Roman" w:eastAsia="MS Mincho"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7E9B561D"/>
    <w:multiLevelType w:val="hybridMultilevel"/>
    <w:tmpl w:val="D05280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5"/>
  </w:num>
  <w:num w:numId="3">
    <w:abstractNumId w:val="10"/>
  </w:num>
  <w:num w:numId="4">
    <w:abstractNumId w:val="11"/>
  </w:num>
  <w:num w:numId="5">
    <w:abstractNumId w:val="15"/>
  </w:num>
  <w:num w:numId="6">
    <w:abstractNumId w:val="1"/>
  </w:num>
  <w:num w:numId="7">
    <w:abstractNumId w:val="2"/>
  </w:num>
  <w:num w:numId="8">
    <w:abstractNumId w:val="14"/>
  </w:num>
  <w:num w:numId="9">
    <w:abstractNumId w:val="12"/>
  </w:num>
  <w:num w:numId="10">
    <w:abstractNumId w:val="9"/>
  </w:num>
  <w:num w:numId="11">
    <w:abstractNumId w:val="6"/>
  </w:num>
  <w:num w:numId="12">
    <w:abstractNumId w:val="13"/>
  </w:num>
  <w:num w:numId="13">
    <w:abstractNumId w:val="3"/>
  </w:num>
  <w:num w:numId="14">
    <w:abstractNumId w:val="4"/>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hGiB8OlMMaFoZ8IEyucGSsQf74iCMFwz4XcycB2G2uGMys7MNlsV7hCawmK2zbvRKtMcXRR1t8eB2tNLOmmQJw==" w:salt="JIGli7v/Xs37AEDju3MDdw=="/>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2F"/>
    <w:rsid w:val="00003146"/>
    <w:rsid w:val="00037CEE"/>
    <w:rsid w:val="0005706B"/>
    <w:rsid w:val="0007379C"/>
    <w:rsid w:val="0009113F"/>
    <w:rsid w:val="000C6B68"/>
    <w:rsid w:val="00111DAE"/>
    <w:rsid w:val="00150043"/>
    <w:rsid w:val="00167F3D"/>
    <w:rsid w:val="001C116B"/>
    <w:rsid w:val="001F43DF"/>
    <w:rsid w:val="00246261"/>
    <w:rsid w:val="002618E0"/>
    <w:rsid w:val="002754F2"/>
    <w:rsid w:val="002B31DC"/>
    <w:rsid w:val="002C1878"/>
    <w:rsid w:val="002D3882"/>
    <w:rsid w:val="003144D4"/>
    <w:rsid w:val="003173E8"/>
    <w:rsid w:val="0036212E"/>
    <w:rsid w:val="003A6C4C"/>
    <w:rsid w:val="003B03A4"/>
    <w:rsid w:val="003C4790"/>
    <w:rsid w:val="003D4737"/>
    <w:rsid w:val="003D59BE"/>
    <w:rsid w:val="003D6D2F"/>
    <w:rsid w:val="003E602E"/>
    <w:rsid w:val="003F5442"/>
    <w:rsid w:val="0041375B"/>
    <w:rsid w:val="00413C4D"/>
    <w:rsid w:val="004569C4"/>
    <w:rsid w:val="00456AF7"/>
    <w:rsid w:val="004609DE"/>
    <w:rsid w:val="004B7BC8"/>
    <w:rsid w:val="004C44B8"/>
    <w:rsid w:val="004E56CF"/>
    <w:rsid w:val="004F09D5"/>
    <w:rsid w:val="00561FF6"/>
    <w:rsid w:val="00574F2E"/>
    <w:rsid w:val="00582463"/>
    <w:rsid w:val="00596564"/>
    <w:rsid w:val="005C140C"/>
    <w:rsid w:val="005D62D1"/>
    <w:rsid w:val="005D6795"/>
    <w:rsid w:val="005E6B22"/>
    <w:rsid w:val="00610065"/>
    <w:rsid w:val="0063747A"/>
    <w:rsid w:val="00646D56"/>
    <w:rsid w:val="00665646"/>
    <w:rsid w:val="00684295"/>
    <w:rsid w:val="006E339D"/>
    <w:rsid w:val="00710CED"/>
    <w:rsid w:val="0072398D"/>
    <w:rsid w:val="00756C3F"/>
    <w:rsid w:val="00782E2D"/>
    <w:rsid w:val="00794232"/>
    <w:rsid w:val="007A0D79"/>
    <w:rsid w:val="007B03B5"/>
    <w:rsid w:val="007E6B4C"/>
    <w:rsid w:val="007F2190"/>
    <w:rsid w:val="007F285C"/>
    <w:rsid w:val="007F454E"/>
    <w:rsid w:val="00802A03"/>
    <w:rsid w:val="00806AFE"/>
    <w:rsid w:val="0081324E"/>
    <w:rsid w:val="00826CCA"/>
    <w:rsid w:val="008343C3"/>
    <w:rsid w:val="00866545"/>
    <w:rsid w:val="00870881"/>
    <w:rsid w:val="008A5F0C"/>
    <w:rsid w:val="008E17A6"/>
    <w:rsid w:val="008E4676"/>
    <w:rsid w:val="0090343F"/>
    <w:rsid w:val="00912DB6"/>
    <w:rsid w:val="00937233"/>
    <w:rsid w:val="00950ACF"/>
    <w:rsid w:val="00953D2F"/>
    <w:rsid w:val="00993027"/>
    <w:rsid w:val="009A2187"/>
    <w:rsid w:val="009C0C23"/>
    <w:rsid w:val="009C7777"/>
    <w:rsid w:val="009E43AE"/>
    <w:rsid w:val="009E50E0"/>
    <w:rsid w:val="00A171DB"/>
    <w:rsid w:val="00A22351"/>
    <w:rsid w:val="00A23073"/>
    <w:rsid w:val="00A515E6"/>
    <w:rsid w:val="00A67B3F"/>
    <w:rsid w:val="00A91720"/>
    <w:rsid w:val="00AB7C6B"/>
    <w:rsid w:val="00AD06BC"/>
    <w:rsid w:val="00AE6492"/>
    <w:rsid w:val="00B9509E"/>
    <w:rsid w:val="00BC4D4D"/>
    <w:rsid w:val="00BD5848"/>
    <w:rsid w:val="00BF7782"/>
    <w:rsid w:val="00C20D01"/>
    <w:rsid w:val="00C56444"/>
    <w:rsid w:val="00C8062E"/>
    <w:rsid w:val="00C96B89"/>
    <w:rsid w:val="00CB1E8C"/>
    <w:rsid w:val="00CB5E3D"/>
    <w:rsid w:val="00CC35D0"/>
    <w:rsid w:val="00D4017F"/>
    <w:rsid w:val="00D40B8A"/>
    <w:rsid w:val="00D41FE4"/>
    <w:rsid w:val="00D50632"/>
    <w:rsid w:val="00D93283"/>
    <w:rsid w:val="00DB6DAA"/>
    <w:rsid w:val="00E25625"/>
    <w:rsid w:val="00E35759"/>
    <w:rsid w:val="00E63DBC"/>
    <w:rsid w:val="00EC4AAF"/>
    <w:rsid w:val="00EE2FBC"/>
    <w:rsid w:val="00F0171B"/>
    <w:rsid w:val="00F33138"/>
    <w:rsid w:val="00F34763"/>
    <w:rsid w:val="00F76C04"/>
    <w:rsid w:val="00FA74B2"/>
    <w:rsid w:val="00FB2E33"/>
    <w:rsid w:val="00FC1498"/>
    <w:rsid w:val="00FC2002"/>
    <w:rsid w:val="00FC54F0"/>
    <w:rsid w:val="00FF4C9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D3D18777-420C-431E-A896-CC8A9207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35759"/>
    <w:rPr>
      <w:lang w:val="en-GB"/>
    </w:rPr>
  </w:style>
  <w:style w:type="paragraph" w:styleId="Cmsor1">
    <w:name w:val="heading 1"/>
    <w:basedOn w:val="Norml"/>
    <w:next w:val="Norml"/>
    <w:link w:val="Cmsor1Char"/>
    <w:uiPriority w:val="9"/>
    <w:qFormat/>
    <w:rsid w:val="00413C4D"/>
    <w:pPr>
      <w:keepNext/>
      <w:keepLines/>
      <w:spacing w:before="240"/>
      <w:outlineLvl w:val="0"/>
    </w:pPr>
    <w:rPr>
      <w:rFonts w:ascii="Calibri Light" w:eastAsia="Times New Roman" w:hAnsi="Calibri Light" w:cs="Vrinda"/>
      <w:color w:val="2E74B5"/>
      <w:sz w:val="32"/>
      <w:szCs w:val="32"/>
      <w:lang w:val="cs-CZ"/>
    </w:rPr>
  </w:style>
  <w:style w:type="paragraph" w:styleId="Cmsor2">
    <w:name w:val="heading 2"/>
    <w:basedOn w:val="Norml"/>
    <w:next w:val="Norml"/>
    <w:link w:val="Cmsor2Char"/>
    <w:uiPriority w:val="9"/>
    <w:semiHidden/>
    <w:unhideWhenUsed/>
    <w:qFormat/>
    <w:rsid w:val="00413C4D"/>
    <w:pPr>
      <w:keepNext/>
      <w:keepLines/>
      <w:spacing w:before="40"/>
      <w:outlineLvl w:val="1"/>
    </w:pPr>
    <w:rPr>
      <w:rFonts w:ascii="Calibri Light" w:eastAsia="Times New Roman" w:hAnsi="Calibri Light" w:cs="Vrinda"/>
      <w:color w:val="2E74B5"/>
      <w:sz w:val="26"/>
      <w:szCs w:val="26"/>
      <w:lang w:val="cs-CZ"/>
    </w:rPr>
  </w:style>
  <w:style w:type="paragraph" w:styleId="Cmsor3">
    <w:name w:val="heading 3"/>
    <w:basedOn w:val="Norml"/>
    <w:next w:val="Norml"/>
    <w:link w:val="Cmsor3Char"/>
    <w:uiPriority w:val="9"/>
    <w:semiHidden/>
    <w:unhideWhenUsed/>
    <w:qFormat/>
    <w:rsid w:val="00413C4D"/>
    <w:pPr>
      <w:keepNext/>
      <w:keepLines/>
      <w:spacing w:before="40"/>
      <w:outlineLvl w:val="2"/>
    </w:pPr>
    <w:rPr>
      <w:rFonts w:ascii="Calibri Light" w:eastAsia="Times New Roman" w:hAnsi="Calibri Light" w:cs="Vrinda"/>
      <w:color w:val="1F4D7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953D2F"/>
    <w:pPr>
      <w:tabs>
        <w:tab w:val="center" w:pos="4153"/>
        <w:tab w:val="right" w:pos="8306"/>
      </w:tabs>
    </w:pPr>
  </w:style>
  <w:style w:type="character" w:customStyle="1" w:styleId="lfejChar">
    <w:name w:val="Élőfej Char"/>
    <w:basedOn w:val="Bekezdsalapbettpusa"/>
    <w:link w:val="lfej"/>
    <w:uiPriority w:val="99"/>
    <w:rsid w:val="00953D2F"/>
  </w:style>
  <w:style w:type="paragraph" w:styleId="llb">
    <w:name w:val="footer"/>
    <w:basedOn w:val="Norml"/>
    <w:link w:val="llbChar"/>
    <w:uiPriority w:val="99"/>
    <w:unhideWhenUsed/>
    <w:rsid w:val="00953D2F"/>
    <w:pPr>
      <w:tabs>
        <w:tab w:val="center" w:pos="4153"/>
        <w:tab w:val="right" w:pos="8306"/>
      </w:tabs>
    </w:pPr>
  </w:style>
  <w:style w:type="character" w:customStyle="1" w:styleId="llbChar">
    <w:name w:val="Élőláb Char"/>
    <w:basedOn w:val="Bekezdsalapbettpusa"/>
    <w:link w:val="llb"/>
    <w:uiPriority w:val="99"/>
    <w:rsid w:val="00953D2F"/>
  </w:style>
  <w:style w:type="paragraph" w:styleId="Buborkszveg">
    <w:name w:val="Balloon Text"/>
    <w:basedOn w:val="Norml"/>
    <w:link w:val="BuborkszvegChar"/>
    <w:uiPriority w:val="99"/>
    <w:semiHidden/>
    <w:unhideWhenUsed/>
    <w:rsid w:val="00953D2F"/>
    <w:rPr>
      <w:rFonts w:ascii="Lucida Grande CE" w:hAnsi="Lucida Grande CE"/>
      <w:sz w:val="18"/>
      <w:szCs w:val="18"/>
    </w:rPr>
  </w:style>
  <w:style w:type="character" w:customStyle="1" w:styleId="BuborkszvegChar">
    <w:name w:val="Buborékszöveg Char"/>
    <w:basedOn w:val="Bekezdsalapbettpusa"/>
    <w:link w:val="Buborkszveg"/>
    <w:uiPriority w:val="99"/>
    <w:semiHidden/>
    <w:rsid w:val="00953D2F"/>
    <w:rPr>
      <w:rFonts w:ascii="Lucida Grande CE" w:hAnsi="Lucida Grande CE"/>
      <w:sz w:val="18"/>
      <w:szCs w:val="18"/>
    </w:rPr>
  </w:style>
  <w:style w:type="paragraph" w:customStyle="1" w:styleId="BasicParagraph">
    <w:name w:val="[Basic Paragraph]"/>
    <w:basedOn w:val="Norml"/>
    <w:uiPriority w:val="99"/>
    <w:rsid w:val="003D6D2F"/>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styleId="Oldalszm">
    <w:name w:val="page number"/>
    <w:basedOn w:val="Bekezdsalapbettpusa"/>
    <w:uiPriority w:val="99"/>
    <w:semiHidden/>
    <w:unhideWhenUsed/>
    <w:rsid w:val="00456AF7"/>
  </w:style>
  <w:style w:type="character" w:styleId="Hiperhivatkozs">
    <w:name w:val="Hyperlink"/>
    <w:basedOn w:val="Bekezdsalapbettpusa"/>
    <w:uiPriority w:val="99"/>
    <w:unhideWhenUsed/>
    <w:rsid w:val="003F5442"/>
    <w:rPr>
      <w:color w:val="0000FF" w:themeColor="hyperlink"/>
      <w:u w:val="single"/>
    </w:rPr>
  </w:style>
  <w:style w:type="paragraph" w:styleId="Listaszerbekezds">
    <w:name w:val="List Paragraph"/>
    <w:aliases w:val="List Paragraph à moi,lista_2,Számozott lista 1,Eszeri felsorolás,List Paragraph1,Welt L Char,Welt L,Bullet List,FooterText,numbered,Paragraphe de liste1,Bulletr List Paragraph,列出段落,列出段落1,Listeafsnit1,リスト段落1,LISTA"/>
    <w:basedOn w:val="Norml"/>
    <w:link w:val="ListaszerbekezdsChar"/>
    <w:uiPriority w:val="34"/>
    <w:qFormat/>
    <w:rsid w:val="008E17A6"/>
    <w:pPr>
      <w:ind w:left="720"/>
    </w:pPr>
    <w:rPr>
      <w:rFonts w:ascii="Calibri" w:eastAsiaTheme="minorHAnsi" w:hAnsi="Calibri" w:cs="Calibri"/>
      <w:sz w:val="22"/>
      <w:szCs w:val="22"/>
      <w:lang w:val="hu-HU"/>
    </w:rPr>
  </w:style>
  <w:style w:type="character" w:styleId="Lbjegyzet-hivatkozs">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Bekezdsalapbettpusa"/>
    <w:uiPriority w:val="99"/>
    <w:unhideWhenUsed/>
    <w:rsid w:val="008E17A6"/>
    <w:rPr>
      <w:vertAlign w:val="superscript"/>
    </w:rPr>
  </w:style>
  <w:style w:type="paragraph" w:customStyle="1" w:styleId="Cmsor11">
    <w:name w:val="Címsor 11"/>
    <w:basedOn w:val="Norml"/>
    <w:next w:val="Norml"/>
    <w:uiPriority w:val="9"/>
    <w:qFormat/>
    <w:rsid w:val="00413C4D"/>
    <w:pPr>
      <w:keepNext/>
      <w:keepLines/>
      <w:spacing w:before="240" w:line="259" w:lineRule="auto"/>
      <w:jc w:val="both"/>
      <w:outlineLvl w:val="0"/>
    </w:pPr>
    <w:rPr>
      <w:rFonts w:ascii="Calibri Light" w:eastAsia="Times New Roman" w:hAnsi="Calibri Light" w:cs="Vrinda"/>
      <w:color w:val="2E74B5"/>
      <w:sz w:val="32"/>
      <w:szCs w:val="32"/>
    </w:rPr>
  </w:style>
  <w:style w:type="paragraph" w:customStyle="1" w:styleId="Cmsor21">
    <w:name w:val="Címsor 21"/>
    <w:basedOn w:val="Norml"/>
    <w:next w:val="Norml"/>
    <w:uiPriority w:val="9"/>
    <w:semiHidden/>
    <w:unhideWhenUsed/>
    <w:qFormat/>
    <w:rsid w:val="00413C4D"/>
    <w:pPr>
      <w:keepNext/>
      <w:keepLines/>
      <w:spacing w:before="40" w:line="259" w:lineRule="auto"/>
      <w:jc w:val="both"/>
      <w:outlineLvl w:val="1"/>
    </w:pPr>
    <w:rPr>
      <w:rFonts w:ascii="Calibri Light" w:eastAsia="Times New Roman" w:hAnsi="Calibri Light" w:cs="Vrinda"/>
      <w:color w:val="2E74B5"/>
      <w:sz w:val="26"/>
      <w:szCs w:val="26"/>
    </w:rPr>
  </w:style>
  <w:style w:type="paragraph" w:customStyle="1" w:styleId="Cmsor31">
    <w:name w:val="Címsor 31"/>
    <w:basedOn w:val="Norml"/>
    <w:next w:val="Norml"/>
    <w:uiPriority w:val="9"/>
    <w:semiHidden/>
    <w:unhideWhenUsed/>
    <w:qFormat/>
    <w:rsid w:val="00413C4D"/>
    <w:pPr>
      <w:keepNext/>
      <w:keepLines/>
      <w:spacing w:before="40" w:line="259" w:lineRule="auto"/>
      <w:jc w:val="both"/>
      <w:outlineLvl w:val="2"/>
    </w:pPr>
    <w:rPr>
      <w:rFonts w:ascii="Calibri Light" w:eastAsia="Times New Roman" w:hAnsi="Calibri Light" w:cs="Vrinda"/>
      <w:color w:val="1F4D78"/>
    </w:rPr>
  </w:style>
  <w:style w:type="numbering" w:customStyle="1" w:styleId="Nemlista1">
    <w:name w:val="Nem lista1"/>
    <w:next w:val="Nemlista"/>
    <w:uiPriority w:val="99"/>
    <w:semiHidden/>
    <w:unhideWhenUsed/>
    <w:rsid w:val="00413C4D"/>
  </w:style>
  <w:style w:type="paragraph" w:customStyle="1" w:styleId="Default">
    <w:name w:val="Default"/>
    <w:rsid w:val="00413C4D"/>
    <w:pPr>
      <w:autoSpaceDE w:val="0"/>
      <w:autoSpaceDN w:val="0"/>
      <w:adjustRightInd w:val="0"/>
    </w:pPr>
    <w:rPr>
      <w:rFonts w:ascii="Calibri" w:eastAsia="Calibri" w:hAnsi="Calibri" w:cs="Calibri"/>
      <w:color w:val="000000"/>
      <w:lang w:val="en-GB"/>
    </w:rPr>
  </w:style>
  <w:style w:type="paragraph" w:styleId="Lbjegyzetszveg">
    <w:name w:val="footnote text"/>
    <w:basedOn w:val="Norml"/>
    <w:link w:val="LbjegyzetszvegChar"/>
    <w:uiPriority w:val="99"/>
    <w:unhideWhenUsed/>
    <w:rsid w:val="00413C4D"/>
    <w:pPr>
      <w:jc w:val="both"/>
    </w:pPr>
    <w:rPr>
      <w:rFonts w:eastAsia="Calibri"/>
      <w:sz w:val="20"/>
      <w:szCs w:val="20"/>
    </w:rPr>
  </w:style>
  <w:style w:type="character" w:customStyle="1" w:styleId="LbjegyzetszvegChar">
    <w:name w:val="Lábjegyzetszöveg Char"/>
    <w:basedOn w:val="Bekezdsalapbettpusa"/>
    <w:link w:val="Lbjegyzetszveg"/>
    <w:uiPriority w:val="99"/>
    <w:rsid w:val="00413C4D"/>
    <w:rPr>
      <w:rFonts w:eastAsia="Calibri"/>
      <w:sz w:val="20"/>
      <w:szCs w:val="20"/>
      <w:lang w:val="en-GB"/>
    </w:rPr>
  </w:style>
  <w:style w:type="character" w:customStyle="1" w:styleId="Cmsor1Char">
    <w:name w:val="Címsor 1 Char"/>
    <w:basedOn w:val="Bekezdsalapbettpusa"/>
    <w:link w:val="Cmsor1"/>
    <w:uiPriority w:val="9"/>
    <w:rsid w:val="00413C4D"/>
    <w:rPr>
      <w:rFonts w:ascii="Calibri Light" w:eastAsia="Times New Roman" w:hAnsi="Calibri Light" w:cs="Vrinda"/>
      <w:color w:val="2E74B5"/>
      <w:sz w:val="32"/>
      <w:szCs w:val="32"/>
    </w:rPr>
  </w:style>
  <w:style w:type="character" w:customStyle="1" w:styleId="ListaszerbekezdsChar">
    <w:name w:val="Listaszerű bekezdés Char"/>
    <w:aliases w:val="List Paragraph à moi Char,lista_2 Char,Számozott lista 1 Char,Eszeri felsorolás Char,List Paragraph1 Char,Welt L Char Char,Welt L Char1,Bullet List Char,FooterText Char,numbered Char,Paragraphe de liste1 Char,列出段落 Char"/>
    <w:link w:val="Listaszerbekezds"/>
    <w:uiPriority w:val="34"/>
    <w:qFormat/>
    <w:locked/>
    <w:rsid w:val="00413C4D"/>
    <w:rPr>
      <w:rFonts w:ascii="Calibri" w:eastAsiaTheme="minorHAnsi" w:hAnsi="Calibri" w:cs="Calibri"/>
      <w:sz w:val="22"/>
      <w:szCs w:val="22"/>
      <w:lang w:val="hu-HU"/>
    </w:rPr>
  </w:style>
  <w:style w:type="character" w:styleId="Jegyzethivatkozs">
    <w:name w:val="annotation reference"/>
    <w:basedOn w:val="Bekezdsalapbettpusa"/>
    <w:uiPriority w:val="99"/>
    <w:semiHidden/>
    <w:unhideWhenUsed/>
    <w:rsid w:val="00413C4D"/>
    <w:rPr>
      <w:sz w:val="16"/>
      <w:szCs w:val="16"/>
    </w:rPr>
  </w:style>
  <w:style w:type="paragraph" w:styleId="Jegyzetszveg">
    <w:name w:val="annotation text"/>
    <w:basedOn w:val="Norml"/>
    <w:link w:val="JegyzetszvegChar"/>
    <w:uiPriority w:val="99"/>
    <w:semiHidden/>
    <w:unhideWhenUsed/>
    <w:rsid w:val="00413C4D"/>
    <w:pPr>
      <w:spacing w:after="160"/>
      <w:jc w:val="both"/>
    </w:pPr>
    <w:rPr>
      <w:rFonts w:eastAsia="Calibri"/>
      <w:sz w:val="20"/>
      <w:szCs w:val="20"/>
    </w:rPr>
  </w:style>
  <w:style w:type="character" w:customStyle="1" w:styleId="JegyzetszvegChar">
    <w:name w:val="Jegyzetszöveg Char"/>
    <w:basedOn w:val="Bekezdsalapbettpusa"/>
    <w:link w:val="Jegyzetszveg"/>
    <w:uiPriority w:val="99"/>
    <w:semiHidden/>
    <w:rsid w:val="00413C4D"/>
    <w:rPr>
      <w:rFonts w:eastAsia="Calibri"/>
      <w:sz w:val="20"/>
      <w:szCs w:val="20"/>
      <w:lang w:val="en-GB"/>
    </w:rPr>
  </w:style>
  <w:style w:type="paragraph" w:styleId="Megjegyzstrgya">
    <w:name w:val="annotation subject"/>
    <w:basedOn w:val="Jegyzetszveg"/>
    <w:next w:val="Jegyzetszveg"/>
    <w:link w:val="MegjegyzstrgyaChar"/>
    <w:uiPriority w:val="99"/>
    <w:semiHidden/>
    <w:unhideWhenUsed/>
    <w:rsid w:val="00413C4D"/>
    <w:rPr>
      <w:b/>
      <w:bCs/>
    </w:rPr>
  </w:style>
  <w:style w:type="character" w:customStyle="1" w:styleId="MegjegyzstrgyaChar">
    <w:name w:val="Megjegyzés tárgya Char"/>
    <w:basedOn w:val="JegyzetszvegChar"/>
    <w:link w:val="Megjegyzstrgya"/>
    <w:uiPriority w:val="99"/>
    <w:semiHidden/>
    <w:rsid w:val="00413C4D"/>
    <w:rPr>
      <w:rFonts w:eastAsia="Calibri"/>
      <w:b/>
      <w:bCs/>
      <w:sz w:val="20"/>
      <w:szCs w:val="20"/>
      <w:lang w:val="en-GB"/>
    </w:rPr>
  </w:style>
  <w:style w:type="character" w:customStyle="1" w:styleId="Mrltotthiperhivatkozs1">
    <w:name w:val="Már látott hiperhivatkozás1"/>
    <w:basedOn w:val="Bekezdsalapbettpusa"/>
    <w:uiPriority w:val="99"/>
    <w:semiHidden/>
    <w:unhideWhenUsed/>
    <w:rsid w:val="00413C4D"/>
    <w:rPr>
      <w:color w:val="954F72"/>
      <w:u w:val="single"/>
    </w:rPr>
  </w:style>
  <w:style w:type="paragraph" w:styleId="Nincstrkz">
    <w:name w:val="No Spacing"/>
    <w:uiPriority w:val="1"/>
    <w:qFormat/>
    <w:rsid w:val="00413C4D"/>
    <w:rPr>
      <w:rFonts w:eastAsia="Calibri"/>
      <w:sz w:val="22"/>
      <w:szCs w:val="22"/>
      <w:lang w:val="hu-HU"/>
    </w:rPr>
  </w:style>
  <w:style w:type="character" w:customStyle="1" w:styleId="st">
    <w:name w:val="st"/>
    <w:basedOn w:val="Bekezdsalapbettpusa"/>
    <w:rsid w:val="00413C4D"/>
  </w:style>
  <w:style w:type="character" w:styleId="Kiemels">
    <w:name w:val="Emphasis"/>
    <w:basedOn w:val="Bekezdsalapbettpusa"/>
    <w:uiPriority w:val="20"/>
    <w:qFormat/>
    <w:rsid w:val="00413C4D"/>
    <w:rPr>
      <w:i/>
      <w:iCs/>
    </w:rPr>
  </w:style>
  <w:style w:type="character" w:customStyle="1" w:styleId="Cmsor2Char">
    <w:name w:val="Címsor 2 Char"/>
    <w:basedOn w:val="Bekezdsalapbettpusa"/>
    <w:link w:val="Cmsor2"/>
    <w:uiPriority w:val="9"/>
    <w:semiHidden/>
    <w:rsid w:val="00413C4D"/>
    <w:rPr>
      <w:rFonts w:ascii="Calibri Light" w:eastAsia="Times New Roman" w:hAnsi="Calibri Light" w:cs="Vrinda"/>
      <w:color w:val="2E74B5"/>
      <w:sz w:val="26"/>
      <w:szCs w:val="26"/>
    </w:rPr>
  </w:style>
  <w:style w:type="paragraph" w:styleId="NormlWeb">
    <w:name w:val="Normal (Web)"/>
    <w:basedOn w:val="Norml"/>
    <w:uiPriority w:val="99"/>
    <w:semiHidden/>
    <w:unhideWhenUsed/>
    <w:rsid w:val="00413C4D"/>
    <w:pPr>
      <w:spacing w:after="160" w:line="259" w:lineRule="auto"/>
      <w:jc w:val="both"/>
    </w:pPr>
    <w:rPr>
      <w:rFonts w:ascii="Times New Roman" w:eastAsia="Calibri" w:hAnsi="Times New Roman" w:cs="Times New Roman"/>
    </w:rPr>
  </w:style>
  <w:style w:type="character" w:customStyle="1" w:styleId="Cmsor3Char">
    <w:name w:val="Címsor 3 Char"/>
    <w:basedOn w:val="Bekezdsalapbettpusa"/>
    <w:link w:val="Cmsor3"/>
    <w:uiPriority w:val="9"/>
    <w:semiHidden/>
    <w:rsid w:val="00413C4D"/>
    <w:rPr>
      <w:rFonts w:ascii="Calibri Light" w:eastAsia="Times New Roman" w:hAnsi="Calibri Light" w:cs="Vrinda"/>
      <w:color w:val="1F4D78"/>
      <w:sz w:val="24"/>
      <w:szCs w:val="24"/>
      <w:lang w:val="en-GB"/>
    </w:rPr>
  </w:style>
  <w:style w:type="paragraph" w:styleId="Vltozat">
    <w:name w:val="Revision"/>
    <w:hidden/>
    <w:uiPriority w:val="99"/>
    <w:semiHidden/>
    <w:rsid w:val="00413C4D"/>
    <w:rPr>
      <w:rFonts w:eastAsia="Calibri"/>
      <w:sz w:val="22"/>
      <w:szCs w:val="22"/>
      <w:lang w:val="en-GB"/>
    </w:rPr>
  </w:style>
  <w:style w:type="character" w:customStyle="1" w:styleId="Cmsor1Char1">
    <w:name w:val="Címsor 1 Char1"/>
    <w:basedOn w:val="Bekezdsalapbettpusa"/>
    <w:uiPriority w:val="9"/>
    <w:rsid w:val="00413C4D"/>
    <w:rPr>
      <w:rFonts w:asciiTheme="majorHAnsi" w:eastAsiaTheme="majorEastAsia" w:hAnsiTheme="majorHAnsi" w:cstheme="majorBidi"/>
      <w:color w:val="365F91" w:themeColor="accent1" w:themeShade="BF"/>
      <w:sz w:val="32"/>
      <w:szCs w:val="32"/>
      <w:lang w:val="en-GB"/>
    </w:rPr>
  </w:style>
  <w:style w:type="character" w:styleId="Mrltotthiperhivatkozs">
    <w:name w:val="FollowedHyperlink"/>
    <w:basedOn w:val="Bekezdsalapbettpusa"/>
    <w:uiPriority w:val="99"/>
    <w:semiHidden/>
    <w:unhideWhenUsed/>
    <w:rsid w:val="00413C4D"/>
    <w:rPr>
      <w:color w:val="800080" w:themeColor="followedHyperlink"/>
      <w:u w:val="single"/>
    </w:rPr>
  </w:style>
  <w:style w:type="character" w:customStyle="1" w:styleId="Cmsor2Char1">
    <w:name w:val="Címsor 2 Char1"/>
    <w:basedOn w:val="Bekezdsalapbettpusa"/>
    <w:uiPriority w:val="9"/>
    <w:semiHidden/>
    <w:rsid w:val="00413C4D"/>
    <w:rPr>
      <w:rFonts w:asciiTheme="majorHAnsi" w:eastAsiaTheme="majorEastAsia" w:hAnsiTheme="majorHAnsi" w:cstheme="majorBidi"/>
      <w:color w:val="365F91" w:themeColor="accent1" w:themeShade="BF"/>
      <w:sz w:val="26"/>
      <w:szCs w:val="26"/>
      <w:lang w:val="en-GB"/>
    </w:rPr>
  </w:style>
  <w:style w:type="character" w:customStyle="1" w:styleId="Cmsor3Char1">
    <w:name w:val="Címsor 3 Char1"/>
    <w:basedOn w:val="Bekezdsalapbettpusa"/>
    <w:uiPriority w:val="9"/>
    <w:semiHidden/>
    <w:rsid w:val="00413C4D"/>
    <w:rPr>
      <w:rFonts w:asciiTheme="majorHAnsi" w:eastAsiaTheme="majorEastAsia" w:hAnsiTheme="majorHAnsi" w:cstheme="majorBidi"/>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45137">
      <w:bodyDiv w:val="1"/>
      <w:marLeft w:val="0"/>
      <w:marRight w:val="0"/>
      <w:marTop w:val="0"/>
      <w:marBottom w:val="0"/>
      <w:divBdr>
        <w:top w:val="none" w:sz="0" w:space="0" w:color="auto"/>
        <w:left w:val="none" w:sz="0" w:space="0" w:color="auto"/>
        <w:bottom w:val="none" w:sz="0" w:space="0" w:color="auto"/>
        <w:right w:val="none" w:sz="0" w:space="0" w:color="auto"/>
      </w:divBdr>
    </w:div>
    <w:div w:id="1242986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net.jogtar.hu/jogszabaly?docid=A1200001.TV" TargetMode="External"/><Relationship Id="rId13" Type="http://schemas.openxmlformats.org/officeDocument/2006/relationships/hyperlink" Target="https://www.kormany.hu/download/c/23/f0000/kiv%C3%A1lt%C3%A1sr%C3%B3l%20sz%C3%B3l%C3%B3%20koncepci%C3%B3.pdf" TargetMode="External"/><Relationship Id="rId18" Type="http://schemas.openxmlformats.org/officeDocument/2006/relationships/hyperlink" Target="https://www.mavcsoport.hu/mav-start/belfoldi-utazas/mozgaskorlatozottak-szamara-igenyelheto-szolgaltatasok" TargetMode="External"/><Relationship Id="rId26" Type="http://schemas.openxmlformats.org/officeDocument/2006/relationships/hyperlink" Target="http://www.meosz.hu/blog/a-meosz-fellepese-nyoman-akadalymentesek-lesznek-a-falubuszok/" TargetMode="External"/><Relationship Id="rId39" Type="http://schemas.openxmlformats.org/officeDocument/2006/relationships/hyperlink" Target="http://www.meosz.hu/wp-content/uploads/2017/04/20170330_level_EMMI_szuresek.pdf" TargetMode="External"/><Relationship Id="rId3" Type="http://schemas.openxmlformats.org/officeDocument/2006/relationships/hyperlink" Target="https://www.ohchr.org/EN/ProfessionalInterest/Pages/StatusOfNationalInstitutions.aspx" TargetMode="External"/><Relationship Id="rId21" Type="http://schemas.openxmlformats.org/officeDocument/2006/relationships/hyperlink" Target="https://eur-lex.europa.eu/legal-content/HU/TXT/?uri=CELEX%3A32007R1371" TargetMode="External"/><Relationship Id="rId34" Type="http://schemas.openxmlformats.org/officeDocument/2006/relationships/hyperlink" Target="http://sejk.oep.hu/content.php?s=catalog" TargetMode="External"/><Relationship Id="rId42" Type="http://schemas.openxmlformats.org/officeDocument/2006/relationships/hyperlink" Target="https://net.jogtar.hu/jogszabaly?docid=A1100425.ATV" TargetMode="External"/><Relationship Id="rId7" Type="http://schemas.openxmlformats.org/officeDocument/2006/relationships/hyperlink" Target="https://www.jogiforum.hu/hirek/38261" TargetMode="External"/><Relationship Id="rId12" Type="http://schemas.openxmlformats.org/officeDocument/2006/relationships/hyperlink" Target="https://net.jogtar.hu/jogszabaly?docid=99700031.TV" TargetMode="External"/><Relationship Id="rId17" Type="http://schemas.openxmlformats.org/officeDocument/2006/relationships/hyperlink" Target="https://www.mavcsoport.hu/mav-start/belfoldi-utazas/mozgaskorlatozottak-szamara-igenyelheto-szolgaltatasok" TargetMode="External"/><Relationship Id="rId25" Type="http://schemas.openxmlformats.org/officeDocument/2006/relationships/hyperlink" Target="https://www.kormany.hu/hu/miniszterelnokseg/hirek/magyar-falu-program" TargetMode="External"/><Relationship Id="rId33" Type="http://schemas.openxmlformats.org/officeDocument/2006/relationships/hyperlink" Target="http://szocialisportal.hu/documents/10181/87698/tsz_tanulmany_2016.pdf/360d75a1-98b7-4b82-9051-21ffd179a2ce?fbclid=IwAR14qyQqfbx6tF6DDa_2pDZmf8GFAg9gXxHRLjVmrlOLTEsU7n2yYGcV55k" TargetMode="External"/><Relationship Id="rId38" Type="http://schemas.openxmlformats.org/officeDocument/2006/relationships/hyperlink" Target="http://www.meosz.hu/wp-content/uploads/2019/06/AJBH-1901-2016-1-valasz.pdf" TargetMode="External"/><Relationship Id="rId2" Type="http://schemas.openxmlformats.org/officeDocument/2006/relationships/hyperlink" Target="http://docstore.ohchr.org/SelfServices/FilesHandler.ashx?enc=6QkG1d%2fPPRiCAqhKb7yhsmg8z0DXeL2x2%2fDmZ9jKJslczzBwUFx60xYd7s3pVJ6YetSrFZz%2bYYiQq1HPKczrZibBPLpsbK5iSfqa5W0iVPyvEnxgN0smtn%2bsZvs6MQx514gn8897gDA1n%2fXwJ8itgQ%3d%3d" TargetMode="External"/><Relationship Id="rId16" Type="http://schemas.openxmlformats.org/officeDocument/2006/relationships/hyperlink" Target="https://www.otpbank.hu/portal/hu/Akadalymentesseg" TargetMode="External"/><Relationship Id="rId20" Type="http://schemas.openxmlformats.org/officeDocument/2006/relationships/hyperlink" Target="https://net.jogtar.hu/jogszabaly?docid=A0900271.KOR" TargetMode="External"/><Relationship Id="rId29" Type="http://schemas.openxmlformats.org/officeDocument/2006/relationships/hyperlink" Target="http://www.meosz.hu/wp-content/uploads/2019/05/im-valasz-levele-2019.03.09.pdf" TargetMode="External"/><Relationship Id="rId41" Type="http://schemas.openxmlformats.org/officeDocument/2006/relationships/hyperlink" Target="https://alkotmanybirosag.hu/uploads/2018/11/sz_v_507_2018.pdf" TargetMode="External"/><Relationship Id="rId1" Type="http://schemas.openxmlformats.org/officeDocument/2006/relationships/hyperlink" Target="https://tbinternet.ohchr.org/_layouts/treatybodyexternal/Download.aspx?symbolno=CRPD%2fC%2fHUN%2f2-3&amp;Lang=en" TargetMode="External"/><Relationship Id="rId6" Type="http://schemas.openxmlformats.org/officeDocument/2006/relationships/hyperlink" Target="http://www.meosz.hu/wp-content/uploads/2019/03/IT-javaslat-MEOSZ-20190301.pdf" TargetMode="External"/><Relationship Id="rId11" Type="http://schemas.openxmlformats.org/officeDocument/2006/relationships/hyperlink" Target="http://docstore.ohchr.org/SelfServices/FilesHandler.ashx?enc=6QkG1d%2FPPRiCAqhKb7yhsnHFwMhaZ6UbkZijXRImgYBUerx14%2FpljDwTZuM1h%2BdsZQ8cUZpbv04sds%2BJj6dXLS%2B0j2Oa%2BqeLHjiq0RMqhWno0UuJ2FfrAAlNgTqz7YrQ" TargetMode="External"/><Relationship Id="rId24" Type="http://schemas.openxmlformats.org/officeDocument/2006/relationships/hyperlink" Target="https://net.jogtar.hu/jogszabaly?docid=A1200213.KOR" TargetMode="External"/><Relationship Id="rId32" Type="http://schemas.openxmlformats.org/officeDocument/2006/relationships/hyperlink" Target="http://szocialisportal.hu/documents/10181/202037/Varakozoi_jelentes_2019_julius.pdf/42eb8bfb-0842-62f5-3905-81fb27772371?fbclid=IwAR3riRvQq3u-pHB7PJkNAOb-DlOEuX93j0nS-PuqFD1X9SC8ioIaoiqdOmE" TargetMode="External"/><Relationship Id="rId37" Type="http://schemas.openxmlformats.org/officeDocument/2006/relationships/hyperlink" Target="http://szocialisportal.hu/documents/10181/87698/tsz_tanulmany_2016.pdf/360d75a1-98b7-4b82-9051-21ffd179a2ce?fbclid=IwAR14qyQqfbx6tF6DDa_2pDZmf8GFAg9gXxHRLjVmrlOLTEsU7n2yYGcV55k" TargetMode="External"/><Relationship Id="rId40" Type="http://schemas.openxmlformats.org/officeDocument/2006/relationships/hyperlink" Target="https://www.ajbh.hu/documents/10180/1210221/Mell%C3%A9klet+3+-+Munka+m%C3%A9lt%C3%B3s%C3%A1ga+projekt/c9e1e664-17e6-4a97-8872-ba8d198499f3?version=1.0" TargetMode="External"/><Relationship Id="rId5" Type="http://schemas.openxmlformats.org/officeDocument/2006/relationships/hyperlink" Target="https://emberijogok.kormany.hu/download/7/31/32000/Javaslatcsomag_EJMCS_Fogyatekossagugyi_TMCS_2018_05_22.pdf" TargetMode="External"/><Relationship Id="rId15" Type="http://schemas.openxmlformats.org/officeDocument/2006/relationships/hyperlink" Target="http://www.meosz.hu/wp-content/uploads/2019/03/Fulop_Attila_level_Foti_gyerekvaros.pdf" TargetMode="External"/><Relationship Id="rId23" Type="http://schemas.openxmlformats.org/officeDocument/2006/relationships/hyperlink" Target="https://eur-lex.europa.eu/legal-content/EN/TXT/?qid=1566483327237&amp;uri=CELEX:32011R0181" TargetMode="External"/><Relationship Id="rId28" Type="http://schemas.openxmlformats.org/officeDocument/2006/relationships/hyperlink" Target="http://www.meosz.hu/wp-content/uploads/2019/05/meosz-es-az-mvgyosz-javaslatai.pdf" TargetMode="External"/><Relationship Id="rId36" Type="http://schemas.openxmlformats.org/officeDocument/2006/relationships/hyperlink" Target="http://www.meosz.hu/wp-content/uploads/2017/09/onrendelkezo_eletet_elni.pdf" TargetMode="External"/><Relationship Id="rId10" Type="http://schemas.openxmlformats.org/officeDocument/2006/relationships/hyperlink" Target="https://www.egyenlobanasmod.hu/hu/jogszabaly/tanacsado-testulet-30912011-ii11tt-sz-allasfoglalasa-az-akadalymentesitesi" TargetMode="External"/><Relationship Id="rId19" Type="http://schemas.openxmlformats.org/officeDocument/2006/relationships/hyperlink" Target="https://eur-lex.europa.eu/legal-content/HU/TXT/?uri=CELEX%3A32007R1371" TargetMode="External"/><Relationship Id="rId31" Type="http://schemas.openxmlformats.org/officeDocument/2006/relationships/hyperlink" Target="https://enil.eu/wp-content/uploads/2019/06/MEOSZ-statement-on-the-Hungarian-deinstitutionalisation-strategy_final-version.pdf" TargetMode="External"/><Relationship Id="rId44" Type="http://schemas.openxmlformats.org/officeDocument/2006/relationships/hyperlink" Target="https://net.jogtar.hu/jogszabaly?docid=A13H1330.KOR&amp;txtreferer=A1000043.TV" TargetMode="External"/><Relationship Id="rId4" Type="http://schemas.openxmlformats.org/officeDocument/2006/relationships/hyperlink" Target="https://net.jogtar.hu/jogszabaly?docid=A13H1330.KOR&amp;txtreferer=A1000043.TV" TargetMode="External"/><Relationship Id="rId9" Type="http://schemas.openxmlformats.org/officeDocument/2006/relationships/hyperlink" Target="https://www.egyenlobanasmod.hu/hu/jogszabaly/tanacsado-testulet-jogszabaly-modositasi-javaslata-fogyatekossaggal-eloket-erinto" TargetMode="External"/><Relationship Id="rId14" Type="http://schemas.openxmlformats.org/officeDocument/2006/relationships/hyperlink" Target="https://net.jogtar.hu/jogszabaly?docid=99800015.NM" TargetMode="External"/><Relationship Id="rId22" Type="http://schemas.openxmlformats.org/officeDocument/2006/relationships/hyperlink" Target="https://www.mavcsoport.hu/mav-csoport/beszerzesi-hirdetmenyek/mav-zrt-53-allomasara-es-megallohelyere-vonatkozo-komplex-0" TargetMode="External"/><Relationship Id="rId27" Type="http://schemas.openxmlformats.org/officeDocument/2006/relationships/hyperlink" Target="https://net.jogtar.hu/jogszabaly?docid=A1300005.TV" TargetMode="External"/><Relationship Id="rId30" Type="http://schemas.openxmlformats.org/officeDocument/2006/relationships/hyperlink" Target="https://www.kormany.hu/download/c/23/f0000/kiv%C3%A1lt%C3%A1sr%C3%B3l%20sz%C3%B3l%C3%B3%20koncepci%C3%B3.pdf" TargetMode="External"/><Relationship Id="rId35" Type="http://schemas.openxmlformats.org/officeDocument/2006/relationships/hyperlink" Target="https://net.jogtar.hu/jogszabaly?docid=A0700014.EUM" TargetMode="External"/><Relationship Id="rId43" Type="http://schemas.openxmlformats.org/officeDocument/2006/relationships/hyperlink" Target="https://www.ajbh.hu/documents/10180/1117870/Jelent%C3%A9s+a+mozg%C3%B3urn%C3%A1s+v%C3%A1laszt%C3%A1sr%C3%B3l+2449_2014/78fc3c61-00cd-4aea-beda-66b148fb6f87?version=1.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637153-4F5F-408D-A916-5448D3A564FD}"/>
</file>

<file path=customXml/itemProps2.xml><?xml version="1.0" encoding="utf-8"?>
<ds:datastoreItem xmlns:ds="http://schemas.openxmlformats.org/officeDocument/2006/customXml" ds:itemID="{571C094B-6526-4F65-ACB1-05F1FD375CED}"/>
</file>

<file path=customXml/itemProps3.xml><?xml version="1.0" encoding="utf-8"?>
<ds:datastoreItem xmlns:ds="http://schemas.openxmlformats.org/officeDocument/2006/customXml" ds:itemID="{D0DE3605-95F9-4824-A90C-C468400F5223}"/>
</file>

<file path=docProps/app.xml><?xml version="1.0" encoding="utf-8"?>
<Properties xmlns="http://schemas.openxmlformats.org/officeDocument/2006/extended-properties" xmlns:vt="http://schemas.openxmlformats.org/officeDocument/2006/docPropsVTypes">
  <Template>Normal</Template>
  <TotalTime>1</TotalTime>
  <Pages>24</Pages>
  <Words>9027</Words>
  <Characters>51455</Characters>
  <Application>Microsoft Office Word</Application>
  <DocSecurity>8</DocSecurity>
  <Lines>428</Lines>
  <Paragraphs>120</Paragraphs>
  <ScaleCrop>false</ScaleCrop>
  <HeadingPairs>
    <vt:vector size="2" baseType="variant">
      <vt:variant>
        <vt:lpstr>Cím</vt:lpstr>
      </vt:variant>
      <vt:variant>
        <vt:i4>1</vt:i4>
      </vt:variant>
    </vt:vector>
  </HeadingPairs>
  <TitlesOfParts>
    <vt:vector size="1" baseType="lpstr">
      <vt:lpstr/>
    </vt:vector>
  </TitlesOfParts>
  <Company>-</Company>
  <LinksUpToDate>false</LinksUpToDate>
  <CharactersWithSpaces>60362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Szilárd Marschalkó</dc:creator>
  <cp:lastModifiedBy>MEOSZ</cp:lastModifiedBy>
  <cp:revision>2</cp:revision>
  <cp:lastPrinted>2020-01-21T16:02:00Z</cp:lastPrinted>
  <dcterms:created xsi:type="dcterms:W3CDTF">2020-01-27T10:57:00Z</dcterms:created>
  <dcterms:modified xsi:type="dcterms:W3CDTF">2020-01-27T10:57:00Z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