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1F6AC" w14:textId="565337E0" w:rsidR="00210A50" w:rsidRPr="00232E03" w:rsidRDefault="007F2606" w:rsidP="00A07C4D">
      <w:pPr>
        <w:widowControl w:val="0"/>
        <w:autoSpaceDE w:val="0"/>
        <w:autoSpaceDN w:val="0"/>
        <w:adjustRightInd w:val="0"/>
        <w:spacing w:after="240" w:line="440" w:lineRule="atLeast"/>
        <w:rPr>
          <w:rFonts w:ascii="Garamond" w:eastAsiaTheme="minorEastAsia" w:hAnsi="Garamond" w:cs="Garamond"/>
          <w:b/>
          <w:bCs/>
          <w:color w:val="000000"/>
          <w:sz w:val="40"/>
          <w:szCs w:val="40"/>
          <w:lang w:val="en-GB"/>
        </w:rPr>
      </w:pPr>
      <w:bookmarkStart w:id="0" w:name="_GoBack"/>
      <w:bookmarkEnd w:id="0"/>
      <w:r w:rsidRPr="008F3E07">
        <w:rPr>
          <w:rFonts w:eastAsiaTheme="minorEastAsia" w:cs="Garamond"/>
          <w:b/>
          <w:bCs/>
          <w:noProof/>
          <w:color w:val="000000"/>
          <w:sz w:val="40"/>
          <w:szCs w:val="40"/>
          <w:lang w:val="en-GB" w:eastAsia="en-GB"/>
        </w:rPr>
        <w:drawing>
          <wp:anchor distT="0" distB="0" distL="114300" distR="114300" simplePos="0" relativeHeight="251664384" behindDoc="0" locked="0" layoutInCell="1" allowOverlap="1" wp14:anchorId="660CC34A" wp14:editId="7314C1BF">
            <wp:simplePos x="0" y="0"/>
            <wp:positionH relativeFrom="column">
              <wp:posOffset>3671917</wp:posOffset>
            </wp:positionH>
            <wp:positionV relativeFrom="paragraph">
              <wp:posOffset>-297911</wp:posOffset>
            </wp:positionV>
            <wp:extent cx="1697973" cy="901579"/>
            <wp:effectExtent l="0" t="0" r="0" b="0"/>
            <wp:wrapNone/>
            <wp:docPr id="4" name="Picture 4" descr="Macintosh HD:Users:sebastienduyck:Climate Change:CIEL:Comm:NEW CIEL LOGO 2:CIEL Logo 2017 STANDARD color stac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bastienduyck:Climate Change:CIEL:Comm:NEW CIEL LOGO 2:CIEL Logo 2017 STANDARD color stacke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8654" cy="90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73EB">
        <w:rPr>
          <w:rFonts w:ascii="Garamond" w:eastAsiaTheme="minorEastAsia" w:hAnsi="Garamond" w:cs="Garamond"/>
          <w:b/>
          <w:bCs/>
          <w:noProof/>
          <w:color w:val="000000"/>
          <w:sz w:val="40"/>
          <w:szCs w:val="40"/>
          <w:lang w:val="en-GB" w:eastAsia="en-GB"/>
        </w:rPr>
        <w:drawing>
          <wp:anchor distT="0" distB="0" distL="114300" distR="114300" simplePos="0" relativeHeight="251659264" behindDoc="0" locked="0" layoutInCell="1" allowOverlap="1" wp14:anchorId="793EA80F" wp14:editId="60BBFE3B">
            <wp:simplePos x="0" y="0"/>
            <wp:positionH relativeFrom="column">
              <wp:posOffset>-66418</wp:posOffset>
            </wp:positionH>
            <wp:positionV relativeFrom="paragraph">
              <wp:posOffset>-297910</wp:posOffset>
            </wp:positionV>
            <wp:extent cx="2545797" cy="848062"/>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a:ext>
                      </a:extLst>
                    </a:blip>
                    <a:stretch>
                      <a:fillRect/>
                    </a:stretch>
                  </pic:blipFill>
                  <pic:spPr>
                    <a:xfrm>
                      <a:off x="0" y="0"/>
                      <a:ext cx="2558434" cy="852272"/>
                    </a:xfrm>
                    <a:prstGeom prst="rect">
                      <a:avLst/>
                    </a:prstGeom>
                  </pic:spPr>
                </pic:pic>
              </a:graphicData>
            </a:graphic>
            <wp14:sizeRelH relativeFrom="page">
              <wp14:pctWidth>0</wp14:pctWidth>
            </wp14:sizeRelH>
            <wp14:sizeRelV relativeFrom="page">
              <wp14:pctHeight>0</wp14:pctHeight>
            </wp14:sizeRelV>
          </wp:anchor>
        </w:drawing>
      </w:r>
    </w:p>
    <w:p w14:paraId="43926380" w14:textId="330E2C50" w:rsidR="00210A50" w:rsidRPr="000F484C" w:rsidRDefault="00210A50" w:rsidP="006F2CDB">
      <w:pPr>
        <w:widowControl w:val="0"/>
        <w:autoSpaceDE w:val="0"/>
        <w:autoSpaceDN w:val="0"/>
        <w:adjustRightInd w:val="0"/>
        <w:spacing w:after="240" w:line="440" w:lineRule="atLeast"/>
        <w:jc w:val="center"/>
        <w:rPr>
          <w:rFonts w:eastAsiaTheme="minorEastAsia" w:cs="Garamond"/>
          <w:b/>
          <w:bCs/>
          <w:color w:val="000000"/>
          <w:sz w:val="40"/>
          <w:szCs w:val="40"/>
          <w:lang w:val="en-GB"/>
        </w:rPr>
      </w:pPr>
    </w:p>
    <w:p w14:paraId="61FFFE70" w14:textId="77777777" w:rsidR="00210A50" w:rsidRPr="000F484C" w:rsidRDefault="00210A50" w:rsidP="00210A50">
      <w:pPr>
        <w:widowControl w:val="0"/>
        <w:autoSpaceDE w:val="0"/>
        <w:autoSpaceDN w:val="0"/>
        <w:adjustRightInd w:val="0"/>
        <w:spacing w:after="240" w:line="440" w:lineRule="atLeast"/>
        <w:jc w:val="center"/>
        <w:rPr>
          <w:rFonts w:eastAsiaTheme="minorEastAsia" w:cs="Garamond"/>
          <w:b/>
          <w:bCs/>
          <w:color w:val="000000"/>
          <w:sz w:val="40"/>
          <w:szCs w:val="40"/>
          <w:lang w:val="en-GB"/>
        </w:rPr>
      </w:pPr>
      <w:r w:rsidRPr="000F484C">
        <w:rPr>
          <w:rFonts w:eastAsiaTheme="minorEastAsia" w:cs="Garamond"/>
          <w:b/>
          <w:bCs/>
          <w:color w:val="000000"/>
          <w:sz w:val="40"/>
          <w:szCs w:val="40"/>
          <w:lang w:val="en-GB"/>
        </w:rPr>
        <w:t xml:space="preserve">Parallel Report </w:t>
      </w:r>
      <w:r w:rsidRPr="000F484C">
        <w:rPr>
          <w:rFonts w:eastAsiaTheme="minorEastAsia" w:cs="Garamond"/>
          <w:bCs/>
          <w:color w:val="000000"/>
          <w:sz w:val="40"/>
          <w:szCs w:val="40"/>
          <w:lang w:val="en-GB"/>
        </w:rPr>
        <w:t>submitted by</w:t>
      </w:r>
      <w:r w:rsidRPr="000F484C">
        <w:rPr>
          <w:rFonts w:eastAsiaTheme="minorEastAsia" w:cs="Garamond"/>
          <w:b/>
          <w:bCs/>
          <w:color w:val="000000"/>
          <w:sz w:val="40"/>
          <w:szCs w:val="40"/>
          <w:lang w:val="en-GB"/>
        </w:rPr>
        <w:t xml:space="preserve"> </w:t>
      </w:r>
    </w:p>
    <w:p w14:paraId="20CA6DDE" w14:textId="41B01754" w:rsidR="00210A50" w:rsidRPr="000F484C" w:rsidRDefault="00210A50" w:rsidP="006F2CDB">
      <w:pPr>
        <w:widowControl w:val="0"/>
        <w:autoSpaceDE w:val="0"/>
        <w:autoSpaceDN w:val="0"/>
        <w:adjustRightInd w:val="0"/>
        <w:spacing w:after="240" w:line="440" w:lineRule="atLeast"/>
        <w:rPr>
          <w:rFonts w:eastAsiaTheme="minorEastAsia" w:cs="Garamond"/>
          <w:b/>
          <w:bCs/>
          <w:color w:val="000000"/>
          <w:sz w:val="40"/>
          <w:szCs w:val="40"/>
          <w:lang w:val="en-GB"/>
        </w:rPr>
      </w:pPr>
    </w:p>
    <w:p w14:paraId="480CDA22" w14:textId="33AD2984" w:rsidR="00CE38E7" w:rsidRPr="00045985" w:rsidRDefault="00210A50" w:rsidP="00DB560B">
      <w:pPr>
        <w:widowControl w:val="0"/>
        <w:autoSpaceDE w:val="0"/>
        <w:autoSpaceDN w:val="0"/>
        <w:adjustRightInd w:val="0"/>
        <w:spacing w:after="240" w:line="440" w:lineRule="atLeast"/>
        <w:jc w:val="center"/>
        <w:rPr>
          <w:rFonts w:eastAsiaTheme="minorEastAsia" w:cs="Garamond"/>
          <w:b/>
          <w:bCs/>
          <w:color w:val="000000"/>
          <w:sz w:val="36"/>
          <w:szCs w:val="36"/>
          <w:lang w:val="en-GB"/>
        </w:rPr>
      </w:pPr>
      <w:r w:rsidRPr="00045985">
        <w:rPr>
          <w:rFonts w:eastAsiaTheme="minorEastAsia" w:cs="Garamond"/>
          <w:b/>
          <w:bCs/>
          <w:color w:val="000000"/>
          <w:sz w:val="36"/>
          <w:szCs w:val="36"/>
          <w:lang w:val="en-GB"/>
        </w:rPr>
        <w:t>Global Initiative for Economic, Soci</w:t>
      </w:r>
      <w:r w:rsidR="00045985" w:rsidRPr="00045985">
        <w:rPr>
          <w:rFonts w:eastAsiaTheme="minorEastAsia" w:cs="Garamond"/>
          <w:b/>
          <w:bCs/>
          <w:color w:val="000000"/>
          <w:sz w:val="36"/>
          <w:szCs w:val="36"/>
          <w:lang w:val="en-GB"/>
        </w:rPr>
        <w:t>al and Cultural Rights</w:t>
      </w:r>
    </w:p>
    <w:p w14:paraId="1FBE3629" w14:textId="275C6ADE" w:rsidR="00DB560B" w:rsidRPr="00045985" w:rsidRDefault="007F2606" w:rsidP="006F2CDB">
      <w:pPr>
        <w:widowControl w:val="0"/>
        <w:autoSpaceDE w:val="0"/>
        <w:autoSpaceDN w:val="0"/>
        <w:adjustRightInd w:val="0"/>
        <w:spacing w:after="240" w:line="440" w:lineRule="atLeast"/>
        <w:jc w:val="center"/>
        <w:rPr>
          <w:rFonts w:eastAsiaTheme="minorEastAsia" w:cs="Garamond"/>
          <w:b/>
          <w:bCs/>
          <w:color w:val="000000"/>
          <w:sz w:val="36"/>
          <w:szCs w:val="36"/>
          <w:lang w:val="en-GB"/>
        </w:rPr>
      </w:pPr>
      <w:r>
        <w:rPr>
          <w:rFonts w:eastAsiaTheme="minorEastAsia" w:cs="Garamond"/>
          <w:b/>
          <w:bCs/>
          <w:color w:val="000000"/>
          <w:sz w:val="36"/>
          <w:szCs w:val="36"/>
          <w:lang w:val="en-GB"/>
        </w:rPr>
        <w:t xml:space="preserve">&amp; the </w:t>
      </w:r>
      <w:r w:rsidR="00DB560B" w:rsidRPr="00045985">
        <w:rPr>
          <w:rFonts w:eastAsiaTheme="minorEastAsia" w:cs="Garamond"/>
          <w:b/>
          <w:bCs/>
          <w:color w:val="000000"/>
          <w:sz w:val="36"/>
          <w:szCs w:val="36"/>
          <w:lang w:val="en-GB"/>
        </w:rPr>
        <w:t>Cente</w:t>
      </w:r>
      <w:r w:rsidR="00FB33D7" w:rsidRPr="00045985">
        <w:rPr>
          <w:rFonts w:eastAsiaTheme="minorEastAsia" w:cs="Garamond"/>
          <w:b/>
          <w:bCs/>
          <w:color w:val="000000"/>
          <w:sz w:val="36"/>
          <w:szCs w:val="36"/>
          <w:lang w:val="en-GB"/>
        </w:rPr>
        <w:t>r</w:t>
      </w:r>
      <w:r w:rsidR="00DB560B" w:rsidRPr="00045985">
        <w:rPr>
          <w:rFonts w:eastAsiaTheme="minorEastAsia" w:cs="Garamond"/>
          <w:b/>
          <w:bCs/>
          <w:color w:val="000000"/>
          <w:sz w:val="36"/>
          <w:szCs w:val="36"/>
          <w:lang w:val="en-GB"/>
        </w:rPr>
        <w:t xml:space="preserve"> for International Environmental Law</w:t>
      </w:r>
    </w:p>
    <w:p w14:paraId="59D051D4" w14:textId="208812FA" w:rsidR="006F2CDB" w:rsidRPr="000F484C" w:rsidRDefault="00210A50" w:rsidP="006F2CDB">
      <w:pPr>
        <w:widowControl w:val="0"/>
        <w:autoSpaceDE w:val="0"/>
        <w:autoSpaceDN w:val="0"/>
        <w:adjustRightInd w:val="0"/>
        <w:spacing w:after="240" w:line="440" w:lineRule="atLeast"/>
        <w:jc w:val="center"/>
        <w:rPr>
          <w:rFonts w:eastAsia="MS Mincho" w:cs="MS Mincho"/>
          <w:b/>
          <w:bCs/>
          <w:color w:val="000000"/>
          <w:sz w:val="40"/>
          <w:szCs w:val="40"/>
          <w:lang w:val="en-GB"/>
        </w:rPr>
      </w:pPr>
      <w:r w:rsidRPr="00045985">
        <w:rPr>
          <w:rFonts w:eastAsiaTheme="minorEastAsia" w:cs="Garamond"/>
          <w:bCs/>
          <w:color w:val="000000"/>
          <w:sz w:val="36"/>
          <w:szCs w:val="36"/>
          <w:lang w:val="en-GB"/>
        </w:rPr>
        <w:t>to the</w:t>
      </w:r>
      <w:r w:rsidRPr="000F484C">
        <w:rPr>
          <w:rFonts w:eastAsiaTheme="minorEastAsia" w:cs="Garamond"/>
          <w:bCs/>
          <w:color w:val="000000"/>
          <w:sz w:val="40"/>
          <w:szCs w:val="40"/>
          <w:lang w:val="en-GB"/>
        </w:rPr>
        <w:br/>
      </w:r>
      <w:r w:rsidRPr="000F484C">
        <w:rPr>
          <w:rFonts w:eastAsiaTheme="minorEastAsia" w:cs="Garamond"/>
          <w:b/>
          <w:bCs/>
          <w:color w:val="000000"/>
          <w:sz w:val="40"/>
          <w:szCs w:val="40"/>
          <w:lang w:val="en-GB"/>
        </w:rPr>
        <w:t xml:space="preserve">Committee on </w:t>
      </w:r>
      <w:r w:rsidR="006F2CDB" w:rsidRPr="000F484C">
        <w:rPr>
          <w:rFonts w:eastAsiaTheme="minorEastAsia" w:cs="Garamond"/>
          <w:b/>
          <w:bCs/>
          <w:color w:val="000000"/>
          <w:sz w:val="40"/>
          <w:szCs w:val="40"/>
          <w:lang w:val="en-GB"/>
        </w:rPr>
        <w:t xml:space="preserve">the </w:t>
      </w:r>
      <w:r w:rsidR="007F2606">
        <w:rPr>
          <w:rFonts w:eastAsiaTheme="minorEastAsia" w:cs="Garamond"/>
          <w:b/>
          <w:bCs/>
          <w:color w:val="000000"/>
          <w:sz w:val="40"/>
          <w:szCs w:val="40"/>
          <w:lang w:val="en-GB"/>
        </w:rPr>
        <w:t>Rights of the Child</w:t>
      </w:r>
    </w:p>
    <w:p w14:paraId="7483A5E3" w14:textId="77777777" w:rsidR="00210A50" w:rsidRPr="000F484C" w:rsidRDefault="00210A50" w:rsidP="00210A50">
      <w:pPr>
        <w:widowControl w:val="0"/>
        <w:autoSpaceDE w:val="0"/>
        <w:autoSpaceDN w:val="0"/>
        <w:adjustRightInd w:val="0"/>
        <w:spacing w:after="240" w:line="440" w:lineRule="atLeast"/>
        <w:jc w:val="center"/>
        <w:rPr>
          <w:rFonts w:eastAsia="MS Mincho" w:cs="MS Mincho"/>
          <w:b/>
          <w:bCs/>
          <w:color w:val="000000"/>
          <w:sz w:val="40"/>
          <w:szCs w:val="40"/>
          <w:lang w:val="en-GB"/>
        </w:rPr>
      </w:pPr>
    </w:p>
    <w:p w14:paraId="797FDD76" w14:textId="03780DE6" w:rsidR="00210A50" w:rsidRPr="000F484C" w:rsidRDefault="00210A50" w:rsidP="00210A50">
      <w:pPr>
        <w:widowControl w:val="0"/>
        <w:autoSpaceDE w:val="0"/>
        <w:autoSpaceDN w:val="0"/>
        <w:adjustRightInd w:val="0"/>
        <w:spacing w:after="240" w:line="440" w:lineRule="atLeast"/>
        <w:jc w:val="center"/>
        <w:rPr>
          <w:rFonts w:eastAsiaTheme="minorEastAsia" w:cs="Garamond"/>
          <w:bCs/>
          <w:color w:val="000000"/>
          <w:sz w:val="40"/>
          <w:szCs w:val="40"/>
          <w:lang w:val="en-GB"/>
        </w:rPr>
      </w:pPr>
      <w:r w:rsidRPr="000F484C">
        <w:rPr>
          <w:rFonts w:eastAsiaTheme="minorEastAsia" w:cs="Garamond"/>
          <w:bCs/>
          <w:color w:val="000000"/>
          <w:sz w:val="40"/>
          <w:szCs w:val="40"/>
          <w:lang w:val="en-GB"/>
        </w:rPr>
        <w:t>on the occas</w:t>
      </w:r>
      <w:r w:rsidR="00045985">
        <w:rPr>
          <w:rFonts w:eastAsiaTheme="minorEastAsia" w:cs="Garamond"/>
          <w:bCs/>
          <w:color w:val="000000"/>
          <w:sz w:val="40"/>
          <w:szCs w:val="40"/>
          <w:lang w:val="en-GB"/>
        </w:rPr>
        <w:t>ion of the consideration of the</w:t>
      </w:r>
      <w:r w:rsidR="00CE38E7" w:rsidRPr="000F484C">
        <w:rPr>
          <w:rFonts w:eastAsiaTheme="minorEastAsia" w:cs="Garamond"/>
          <w:bCs/>
          <w:color w:val="000000"/>
          <w:sz w:val="40"/>
          <w:szCs w:val="40"/>
          <w:lang w:val="en-GB"/>
        </w:rPr>
        <w:br/>
      </w:r>
      <w:r w:rsidR="007F2606">
        <w:rPr>
          <w:rFonts w:eastAsiaTheme="minorEastAsia" w:cs="Garamond"/>
          <w:bCs/>
          <w:color w:val="000000"/>
          <w:sz w:val="40"/>
          <w:szCs w:val="40"/>
          <w:lang w:val="en-GB"/>
        </w:rPr>
        <w:t>List of Issues</w:t>
      </w:r>
      <w:r w:rsidR="006F2CDB" w:rsidRPr="000F484C">
        <w:rPr>
          <w:rFonts w:eastAsiaTheme="minorEastAsia" w:cs="Garamond"/>
          <w:bCs/>
          <w:color w:val="000000"/>
          <w:sz w:val="40"/>
          <w:szCs w:val="40"/>
          <w:lang w:val="en-GB"/>
        </w:rPr>
        <w:t xml:space="preserve"> </w:t>
      </w:r>
      <w:r w:rsidR="007F2606">
        <w:rPr>
          <w:rFonts w:eastAsiaTheme="minorEastAsia" w:cs="Garamond"/>
          <w:bCs/>
          <w:color w:val="000000"/>
          <w:sz w:val="40"/>
          <w:szCs w:val="40"/>
          <w:lang w:val="en-GB"/>
        </w:rPr>
        <w:t>for</w:t>
      </w:r>
      <w:r w:rsidR="006F2CDB" w:rsidRPr="000F484C">
        <w:rPr>
          <w:rFonts w:eastAsiaTheme="minorEastAsia" w:cs="Garamond"/>
          <w:b/>
          <w:bCs/>
          <w:color w:val="000000"/>
          <w:sz w:val="40"/>
          <w:szCs w:val="40"/>
          <w:lang w:val="en-GB"/>
        </w:rPr>
        <w:t xml:space="preserve"> Australia</w:t>
      </w:r>
      <w:r w:rsidRPr="000F484C">
        <w:rPr>
          <w:rFonts w:eastAsiaTheme="minorEastAsia" w:cs="Garamond"/>
          <w:b/>
          <w:bCs/>
          <w:color w:val="000000"/>
          <w:sz w:val="40"/>
          <w:szCs w:val="40"/>
          <w:lang w:val="en-GB"/>
        </w:rPr>
        <w:t xml:space="preserve"> </w:t>
      </w:r>
      <w:r w:rsidR="007F2606" w:rsidRPr="007F2606">
        <w:rPr>
          <w:rFonts w:eastAsiaTheme="minorEastAsia" w:cs="Garamond"/>
          <w:bCs/>
          <w:color w:val="000000"/>
          <w:sz w:val="40"/>
          <w:szCs w:val="40"/>
          <w:lang w:val="en-GB"/>
        </w:rPr>
        <w:t xml:space="preserve">by the Committee’s </w:t>
      </w:r>
      <w:r w:rsidR="00F12E0E">
        <w:rPr>
          <w:rFonts w:eastAsiaTheme="minorEastAsia" w:cs="Garamond"/>
          <w:bCs/>
          <w:color w:val="000000"/>
          <w:sz w:val="40"/>
          <w:szCs w:val="40"/>
          <w:lang w:val="en-GB"/>
        </w:rPr>
        <w:br/>
      </w:r>
      <w:r w:rsidR="007F2606" w:rsidRPr="007F2606">
        <w:rPr>
          <w:rFonts w:eastAsiaTheme="minorEastAsia" w:cs="Garamond"/>
          <w:bCs/>
          <w:color w:val="000000"/>
          <w:sz w:val="40"/>
          <w:szCs w:val="40"/>
          <w:lang w:val="en-GB"/>
        </w:rPr>
        <w:t>Pre-sessional Working Group,</w:t>
      </w:r>
      <w:r w:rsidR="007F2606">
        <w:rPr>
          <w:rFonts w:eastAsiaTheme="minorEastAsia" w:cs="Garamond"/>
          <w:b/>
          <w:bCs/>
          <w:color w:val="000000"/>
          <w:sz w:val="40"/>
          <w:szCs w:val="40"/>
          <w:lang w:val="en-GB"/>
        </w:rPr>
        <w:t xml:space="preserve"> </w:t>
      </w:r>
      <w:r w:rsidRPr="000F484C">
        <w:rPr>
          <w:rFonts w:eastAsiaTheme="minorEastAsia" w:cs="Garamond"/>
          <w:bCs/>
          <w:color w:val="000000"/>
          <w:sz w:val="40"/>
          <w:szCs w:val="40"/>
          <w:lang w:val="en-GB"/>
        </w:rPr>
        <w:t>during the</w:t>
      </w:r>
      <w:r w:rsidRPr="000F484C">
        <w:rPr>
          <w:rFonts w:eastAsiaTheme="minorEastAsia" w:cs="Garamond"/>
          <w:bCs/>
          <w:color w:val="000000"/>
          <w:sz w:val="40"/>
          <w:szCs w:val="40"/>
          <w:lang w:val="en-GB"/>
        </w:rPr>
        <w:br/>
        <w:t xml:space="preserve">Committee’s </w:t>
      </w:r>
      <w:r w:rsidR="007F2606">
        <w:rPr>
          <w:rFonts w:eastAsiaTheme="minorEastAsia" w:cs="Garamond"/>
          <w:bCs/>
          <w:color w:val="000000"/>
          <w:sz w:val="40"/>
          <w:szCs w:val="40"/>
          <w:lang w:val="en-GB"/>
        </w:rPr>
        <w:t>82</w:t>
      </w:r>
      <w:r w:rsidR="007F2606" w:rsidRPr="007F2606">
        <w:rPr>
          <w:rFonts w:eastAsiaTheme="minorEastAsia" w:cs="Garamond"/>
          <w:bCs/>
          <w:color w:val="000000"/>
          <w:sz w:val="40"/>
          <w:szCs w:val="40"/>
          <w:vertAlign w:val="superscript"/>
          <w:lang w:val="en-GB"/>
        </w:rPr>
        <w:t>nd</w:t>
      </w:r>
      <w:r w:rsidR="007F2606">
        <w:rPr>
          <w:rFonts w:eastAsiaTheme="minorEastAsia" w:cs="Garamond"/>
          <w:bCs/>
          <w:color w:val="000000"/>
          <w:sz w:val="40"/>
          <w:szCs w:val="40"/>
          <w:lang w:val="en-GB"/>
        </w:rPr>
        <w:t xml:space="preserve"> </w:t>
      </w:r>
      <w:r w:rsidR="00045985">
        <w:rPr>
          <w:rFonts w:eastAsiaTheme="minorEastAsia" w:cs="Garamond"/>
          <w:bCs/>
          <w:color w:val="000000"/>
          <w:sz w:val="40"/>
          <w:szCs w:val="40"/>
          <w:lang w:val="en-GB"/>
        </w:rPr>
        <w:t>Session,</w:t>
      </w:r>
      <w:r w:rsidR="00CE38E7" w:rsidRPr="000F484C">
        <w:rPr>
          <w:rFonts w:eastAsiaTheme="minorEastAsia" w:cs="Garamond"/>
          <w:bCs/>
          <w:color w:val="000000"/>
          <w:sz w:val="40"/>
          <w:szCs w:val="40"/>
          <w:lang w:val="en-GB"/>
        </w:rPr>
        <w:br/>
      </w:r>
      <w:r w:rsidR="007F2606">
        <w:rPr>
          <w:rFonts w:eastAsiaTheme="minorEastAsia" w:cs="Garamond"/>
          <w:bCs/>
          <w:color w:val="000000"/>
          <w:sz w:val="40"/>
          <w:szCs w:val="40"/>
          <w:lang w:val="en-GB"/>
        </w:rPr>
        <w:t>4</w:t>
      </w:r>
      <w:r w:rsidR="00CE38E7" w:rsidRPr="000F484C">
        <w:rPr>
          <w:rFonts w:eastAsiaTheme="minorEastAsia" w:cs="Garamond"/>
          <w:bCs/>
          <w:color w:val="000000"/>
          <w:sz w:val="40"/>
          <w:szCs w:val="40"/>
          <w:lang w:val="en-GB"/>
        </w:rPr>
        <w:t xml:space="preserve"> – </w:t>
      </w:r>
      <w:r w:rsidR="007F2606">
        <w:rPr>
          <w:rFonts w:eastAsiaTheme="minorEastAsia" w:cs="Garamond"/>
          <w:bCs/>
          <w:color w:val="000000"/>
          <w:sz w:val="40"/>
          <w:szCs w:val="40"/>
          <w:lang w:val="en-GB"/>
        </w:rPr>
        <w:t>8</w:t>
      </w:r>
      <w:r w:rsidR="006F2CDB" w:rsidRPr="000F484C">
        <w:rPr>
          <w:rFonts w:eastAsiaTheme="minorEastAsia" w:cs="Garamond"/>
          <w:bCs/>
          <w:color w:val="000000"/>
          <w:sz w:val="40"/>
          <w:szCs w:val="40"/>
          <w:lang w:val="en-GB"/>
        </w:rPr>
        <w:t xml:space="preserve"> </w:t>
      </w:r>
      <w:r w:rsidR="007F2606">
        <w:rPr>
          <w:rFonts w:eastAsiaTheme="minorEastAsia" w:cs="Garamond"/>
          <w:bCs/>
          <w:color w:val="000000"/>
          <w:sz w:val="40"/>
          <w:szCs w:val="40"/>
          <w:lang w:val="en-GB"/>
        </w:rPr>
        <w:t>February</w:t>
      </w:r>
      <w:r w:rsidR="006F2CDB" w:rsidRPr="000F484C">
        <w:rPr>
          <w:rFonts w:eastAsiaTheme="minorEastAsia" w:cs="Garamond"/>
          <w:bCs/>
          <w:color w:val="000000"/>
          <w:sz w:val="40"/>
          <w:szCs w:val="40"/>
          <w:lang w:val="en-GB"/>
        </w:rPr>
        <w:t xml:space="preserve"> 201</w:t>
      </w:r>
      <w:r w:rsidR="007F2606">
        <w:rPr>
          <w:rFonts w:eastAsiaTheme="minorEastAsia" w:cs="Garamond"/>
          <w:bCs/>
          <w:color w:val="000000"/>
          <w:sz w:val="40"/>
          <w:szCs w:val="40"/>
          <w:lang w:val="en-GB"/>
        </w:rPr>
        <w:t>9</w:t>
      </w:r>
    </w:p>
    <w:p w14:paraId="395FFC91" w14:textId="29425F5F" w:rsidR="00210A50" w:rsidRPr="000F484C" w:rsidRDefault="00210A50" w:rsidP="00210A50">
      <w:pPr>
        <w:widowControl w:val="0"/>
        <w:autoSpaceDE w:val="0"/>
        <w:autoSpaceDN w:val="0"/>
        <w:adjustRightInd w:val="0"/>
        <w:spacing w:after="240" w:line="440" w:lineRule="atLeast"/>
        <w:jc w:val="center"/>
        <w:rPr>
          <w:rFonts w:eastAsiaTheme="minorEastAsia" w:cs="Garamond"/>
          <w:bCs/>
          <w:color w:val="000000"/>
          <w:sz w:val="40"/>
          <w:szCs w:val="40"/>
          <w:lang w:val="en-GB"/>
        </w:rPr>
      </w:pPr>
      <w:r w:rsidRPr="000F484C">
        <w:rPr>
          <w:rFonts w:eastAsiaTheme="minorEastAsia" w:cs="Garamond"/>
          <w:bCs/>
          <w:color w:val="000000"/>
          <w:sz w:val="40"/>
          <w:szCs w:val="40"/>
          <w:lang w:val="en-GB"/>
        </w:rPr>
        <w:t xml:space="preserve">Submitted </w:t>
      </w:r>
      <w:r w:rsidR="007F2606">
        <w:rPr>
          <w:rFonts w:eastAsiaTheme="minorEastAsia" w:cs="Garamond"/>
          <w:bCs/>
          <w:color w:val="000000"/>
          <w:sz w:val="40"/>
          <w:szCs w:val="40"/>
          <w:lang w:val="en-GB"/>
        </w:rPr>
        <w:t>November</w:t>
      </w:r>
      <w:r w:rsidR="006F2CDB" w:rsidRPr="000F484C">
        <w:rPr>
          <w:rFonts w:eastAsiaTheme="minorEastAsia" w:cs="Garamond"/>
          <w:bCs/>
          <w:color w:val="000000"/>
          <w:sz w:val="40"/>
          <w:szCs w:val="40"/>
          <w:lang w:val="en-GB"/>
        </w:rPr>
        <w:t xml:space="preserve"> 2018</w:t>
      </w:r>
    </w:p>
    <w:p w14:paraId="32691487" w14:textId="77777777" w:rsidR="00210A50" w:rsidRPr="00232E03" w:rsidRDefault="00210A50">
      <w:pPr>
        <w:rPr>
          <w:b/>
          <w:sz w:val="24"/>
          <w:szCs w:val="24"/>
          <w:lang w:val="en-GB"/>
        </w:rPr>
      </w:pPr>
      <w:r w:rsidRPr="00232E03">
        <w:rPr>
          <w:b/>
          <w:sz w:val="24"/>
          <w:szCs w:val="24"/>
          <w:lang w:val="en-GB"/>
        </w:rPr>
        <w:br w:type="page"/>
      </w:r>
    </w:p>
    <w:p w14:paraId="04454E52" w14:textId="77777777" w:rsidR="00E13724" w:rsidRPr="00232E03" w:rsidRDefault="00E13724" w:rsidP="000F484C">
      <w:pPr>
        <w:pStyle w:val="Heading2"/>
        <w:numPr>
          <w:ilvl w:val="0"/>
          <w:numId w:val="5"/>
        </w:numPr>
        <w:spacing w:before="0" w:after="120" w:line="288" w:lineRule="auto"/>
        <w:ind w:left="357" w:hanging="357"/>
      </w:pPr>
      <w:r w:rsidRPr="00232E03">
        <w:lastRenderedPageBreak/>
        <w:t>Submitting organisations</w:t>
      </w:r>
    </w:p>
    <w:p w14:paraId="71DA5A01" w14:textId="7B8EAC4C" w:rsidR="00E13724" w:rsidRPr="00232E03" w:rsidRDefault="00E13724" w:rsidP="000F484C">
      <w:pPr>
        <w:spacing w:after="120" w:line="288" w:lineRule="auto"/>
        <w:rPr>
          <w:lang w:val="en-GB"/>
        </w:rPr>
      </w:pPr>
      <w:r w:rsidRPr="00232E03">
        <w:rPr>
          <w:lang w:val="en-GB"/>
        </w:rPr>
        <w:t xml:space="preserve">This Parallel Report is submitted to the Committee on </w:t>
      </w:r>
      <w:r w:rsidR="000F484C">
        <w:rPr>
          <w:lang w:val="en-GB"/>
        </w:rPr>
        <w:t xml:space="preserve">the </w:t>
      </w:r>
      <w:r w:rsidR="002F38C3">
        <w:rPr>
          <w:lang w:val="en-GB"/>
        </w:rPr>
        <w:t>Rights of the Child</w:t>
      </w:r>
      <w:r w:rsidRPr="00232E03">
        <w:rPr>
          <w:lang w:val="en-GB"/>
        </w:rPr>
        <w:t xml:space="preserve"> jointly by:</w:t>
      </w:r>
    </w:p>
    <w:p w14:paraId="31F90CA2" w14:textId="5EE59837" w:rsidR="00602539" w:rsidRDefault="00E13724" w:rsidP="000F484C">
      <w:pPr>
        <w:spacing w:after="120" w:line="288" w:lineRule="auto"/>
        <w:rPr>
          <w:bCs/>
          <w:lang w:val="en-GB"/>
        </w:rPr>
      </w:pPr>
      <w:r w:rsidRPr="00232E03">
        <w:rPr>
          <w:b/>
          <w:bCs/>
          <w:lang w:val="en-GB"/>
        </w:rPr>
        <w:t xml:space="preserve">Global Initiative for Economic, Social and Cultural Rights (GI-ESCR) </w:t>
      </w:r>
      <w:r w:rsidR="008E5688" w:rsidRPr="00232E03">
        <w:rPr>
          <w:b/>
          <w:bCs/>
          <w:lang w:val="en-GB"/>
        </w:rPr>
        <w:br/>
      </w:r>
      <w:r w:rsidRPr="00232E03">
        <w:rPr>
          <w:bCs/>
          <w:lang w:val="en-GB"/>
        </w:rPr>
        <w:t xml:space="preserve">GIESCR is an international non-governmental human rights organization which seeks to advance the realization of economic, social and cultural rights throughout the world, tackling the endemic problem of global poverty through a human rights lens. </w:t>
      </w:r>
    </w:p>
    <w:p w14:paraId="3A20872E" w14:textId="06B32224" w:rsidR="00DB560B" w:rsidRPr="001D248F" w:rsidRDefault="00C852AA" w:rsidP="000F484C">
      <w:pPr>
        <w:spacing w:after="120" w:line="288" w:lineRule="auto"/>
        <w:rPr>
          <w:b/>
          <w:bCs/>
          <w:lang w:val="en-GB"/>
        </w:rPr>
      </w:pPr>
      <w:r>
        <w:rPr>
          <w:b/>
          <w:bCs/>
          <w:lang w:val="en-GB"/>
        </w:rPr>
        <w:t>Cent</w:t>
      </w:r>
      <w:r w:rsidR="001D248F" w:rsidRPr="001D248F">
        <w:rPr>
          <w:b/>
          <w:bCs/>
          <w:lang w:val="en-GB"/>
        </w:rPr>
        <w:t>e</w:t>
      </w:r>
      <w:r>
        <w:rPr>
          <w:b/>
          <w:bCs/>
          <w:lang w:val="en-GB"/>
        </w:rPr>
        <w:t>r</w:t>
      </w:r>
      <w:r w:rsidR="001D248F" w:rsidRPr="001D248F">
        <w:rPr>
          <w:b/>
          <w:bCs/>
          <w:lang w:val="en-GB"/>
        </w:rPr>
        <w:t xml:space="preserve"> for International Environmental Law</w:t>
      </w:r>
    </w:p>
    <w:p w14:paraId="0CEECA61" w14:textId="68564764" w:rsidR="00DB560B" w:rsidRPr="00232E03" w:rsidRDefault="00C852AA" w:rsidP="000F484C">
      <w:pPr>
        <w:spacing w:after="120" w:line="288" w:lineRule="auto"/>
        <w:rPr>
          <w:bCs/>
          <w:lang w:val="en-GB"/>
        </w:rPr>
      </w:pPr>
      <w:r w:rsidRPr="00C852AA">
        <w:rPr>
          <w:bCs/>
          <w:lang w:val="en-GB"/>
        </w:rPr>
        <w:t xml:space="preserve">The Center for International Environmental Law (CIEL) uses the power of law to protect the environment, promote human rights, and ensure a just and sustainable society. </w:t>
      </w:r>
    </w:p>
    <w:p w14:paraId="1A5E2E2E" w14:textId="77777777" w:rsidR="00E13724" w:rsidRPr="00232E03" w:rsidRDefault="00E13724" w:rsidP="000F484C">
      <w:pPr>
        <w:pStyle w:val="Heading2"/>
        <w:numPr>
          <w:ilvl w:val="0"/>
          <w:numId w:val="5"/>
        </w:numPr>
        <w:spacing w:before="0" w:after="120" w:line="288" w:lineRule="auto"/>
        <w:ind w:left="357" w:hanging="357"/>
      </w:pPr>
      <w:r w:rsidRPr="00232E03">
        <w:t>Introduction</w:t>
      </w:r>
    </w:p>
    <w:p w14:paraId="0ED12380" w14:textId="23524F4E" w:rsidR="00DB560B" w:rsidRDefault="00E13724" w:rsidP="000F484C">
      <w:pPr>
        <w:spacing w:after="120" w:line="288" w:lineRule="auto"/>
        <w:rPr>
          <w:lang w:val="en-GB"/>
        </w:rPr>
      </w:pPr>
      <w:r w:rsidRPr="00232E03">
        <w:rPr>
          <w:lang w:val="en-GB"/>
        </w:rPr>
        <w:t xml:space="preserve">The adverse impacts of climate change constitute </w:t>
      </w:r>
      <w:r w:rsidRPr="00B55CB9">
        <w:rPr>
          <w:b/>
          <w:lang w:val="en-GB"/>
        </w:rPr>
        <w:t>one of the most significant global threats for the enjoyment of human rights</w:t>
      </w:r>
      <w:r w:rsidRPr="00232E03">
        <w:rPr>
          <w:lang w:val="en-GB"/>
        </w:rPr>
        <w:t xml:space="preserve"> – especially the rights protected under the </w:t>
      </w:r>
      <w:r w:rsidR="00DC7227">
        <w:rPr>
          <w:lang w:val="en-GB"/>
        </w:rPr>
        <w:t xml:space="preserve">International </w:t>
      </w:r>
      <w:r w:rsidRPr="00232E03">
        <w:rPr>
          <w:lang w:val="en-GB"/>
        </w:rPr>
        <w:t>Co</w:t>
      </w:r>
      <w:r w:rsidR="00DB560B">
        <w:rPr>
          <w:lang w:val="en-GB"/>
        </w:rPr>
        <w:t>n</w:t>
      </w:r>
      <w:r w:rsidRPr="00232E03">
        <w:rPr>
          <w:lang w:val="en-GB"/>
        </w:rPr>
        <w:t>ven</w:t>
      </w:r>
      <w:r w:rsidR="00DB560B">
        <w:rPr>
          <w:lang w:val="en-GB"/>
        </w:rPr>
        <w:t xml:space="preserve">tion on the </w:t>
      </w:r>
      <w:r w:rsidR="007F2606">
        <w:rPr>
          <w:lang w:val="en-GB"/>
        </w:rPr>
        <w:t>Rights of the Child</w:t>
      </w:r>
      <w:r w:rsidR="00DB560B">
        <w:rPr>
          <w:lang w:val="en-GB"/>
        </w:rPr>
        <w:t xml:space="preserve"> </w:t>
      </w:r>
      <w:r w:rsidR="00DC7227">
        <w:rPr>
          <w:lang w:val="en-GB"/>
        </w:rPr>
        <w:t>(IC</w:t>
      </w:r>
      <w:r w:rsidR="007F2606">
        <w:rPr>
          <w:lang w:val="en-GB"/>
        </w:rPr>
        <w:t>RC</w:t>
      </w:r>
      <w:r w:rsidR="00DC7227">
        <w:rPr>
          <w:lang w:val="en-GB"/>
        </w:rPr>
        <w:t>)</w:t>
      </w:r>
      <w:r w:rsidRPr="00232E03">
        <w:rPr>
          <w:lang w:val="en-GB"/>
        </w:rPr>
        <w:t xml:space="preserve">. </w:t>
      </w:r>
      <w:r w:rsidR="006D09E7">
        <w:rPr>
          <w:lang w:val="en-GB"/>
        </w:rPr>
        <w:t xml:space="preserve">As was made clear in the recent Special Report of the Inter-governmental Panel on Climate Change </w:t>
      </w:r>
      <w:r w:rsidR="00585664">
        <w:rPr>
          <w:lang w:val="en-GB"/>
        </w:rPr>
        <w:t xml:space="preserve">(IPCC) </w:t>
      </w:r>
      <w:r w:rsidR="006D09E7" w:rsidRPr="006D09E7">
        <w:rPr>
          <w:lang w:val="en-US"/>
        </w:rPr>
        <w:t>on Global Warming of </w:t>
      </w:r>
      <w:r w:rsidR="006D09E7" w:rsidRPr="006D09E7">
        <w:rPr>
          <w:bCs/>
          <w:lang w:val="en-US"/>
        </w:rPr>
        <w:t>1.5</w:t>
      </w:r>
      <w:r w:rsidR="00585664" w:rsidRPr="00585664">
        <w:rPr>
          <w:lang w:val="en-GB"/>
        </w:rPr>
        <w:t>°</w:t>
      </w:r>
      <w:r w:rsidR="006D09E7" w:rsidRPr="006D09E7">
        <w:rPr>
          <w:lang w:val="en-US"/>
        </w:rPr>
        <w:t>C</w:t>
      </w:r>
      <w:r w:rsidR="006D09E7">
        <w:rPr>
          <w:rStyle w:val="FootnoteReference"/>
          <w:lang w:val="en-US"/>
        </w:rPr>
        <w:footnoteReference w:id="1"/>
      </w:r>
      <w:r w:rsidR="006D09E7">
        <w:rPr>
          <w:lang w:val="en-GB"/>
        </w:rPr>
        <w:t>, t</w:t>
      </w:r>
      <w:r w:rsidRPr="00232E03">
        <w:rPr>
          <w:lang w:val="en-GB"/>
        </w:rPr>
        <w:t xml:space="preserve">he magnitude of these impacts will </w:t>
      </w:r>
      <w:r w:rsidR="006D09E7">
        <w:rPr>
          <w:lang w:val="en-GB"/>
        </w:rPr>
        <w:t>continue to increase</w:t>
      </w:r>
      <w:r w:rsidRPr="00232E03">
        <w:rPr>
          <w:lang w:val="en-GB"/>
        </w:rPr>
        <w:t xml:space="preserve"> as temperatures continue to rise – </w:t>
      </w:r>
      <w:r w:rsidR="00E139CB" w:rsidRPr="00E139CB">
        <w:rPr>
          <w:lang w:val="en-GB"/>
        </w:rPr>
        <w:t>governments must therefore ensure that they reduce emissions of greenhouse gases as expeditiously as possible in order to prevent to the greatest extent possible</w:t>
      </w:r>
      <w:r w:rsidR="00585664">
        <w:rPr>
          <w:lang w:val="en-GB"/>
        </w:rPr>
        <w:t>,</w:t>
      </w:r>
      <w:r w:rsidR="00E139CB" w:rsidRPr="00E139CB">
        <w:rPr>
          <w:lang w:val="en-GB"/>
        </w:rPr>
        <w:t xml:space="preserve"> the further increase of global average temperature rise and the very serious threats to human rights that result from this.</w:t>
      </w:r>
    </w:p>
    <w:p w14:paraId="730AC257" w14:textId="6AD8C384" w:rsidR="003A35B7" w:rsidRDefault="003A35B7" w:rsidP="003A35B7">
      <w:pPr>
        <w:spacing w:after="120" w:line="288" w:lineRule="auto"/>
        <w:rPr>
          <w:lang w:val="en-US"/>
        </w:rPr>
      </w:pPr>
      <w:r w:rsidRPr="003A35B7">
        <w:rPr>
          <w:lang w:val="en-GB"/>
        </w:rPr>
        <w:t xml:space="preserve">As noted by the Human Rights Council, </w:t>
      </w:r>
      <w:r w:rsidRPr="003A35B7">
        <w:rPr>
          <w:b/>
          <w:lang w:val="en-US"/>
        </w:rPr>
        <w:t>children are among the most vulnerable to climate change</w:t>
      </w:r>
      <w:r w:rsidRPr="003A35B7">
        <w:rPr>
          <w:lang w:val="en-US"/>
        </w:rPr>
        <w:t>.</w:t>
      </w:r>
      <w:r w:rsidRPr="003A35B7">
        <w:rPr>
          <w:vertAlign w:val="superscript"/>
          <w:lang w:val="en-US"/>
        </w:rPr>
        <w:footnoteReference w:id="2"/>
      </w:r>
      <w:r w:rsidRPr="003A35B7">
        <w:rPr>
          <w:lang w:val="en-US"/>
        </w:rPr>
        <w:t xml:space="preserve"> The Committee on the Rights of the Child (CRC) has </w:t>
      </w:r>
      <w:r w:rsidR="00304FEB">
        <w:rPr>
          <w:lang w:val="en-US"/>
        </w:rPr>
        <w:t xml:space="preserve">also </w:t>
      </w:r>
      <w:r w:rsidRPr="003A35B7">
        <w:rPr>
          <w:lang w:val="en-US"/>
        </w:rPr>
        <w:t>highlighted previously that climate change results in</w:t>
      </w:r>
      <w:r w:rsidRPr="003A35B7">
        <w:rPr>
          <w:b/>
          <w:lang w:val="en-US"/>
        </w:rPr>
        <w:t xml:space="preserve"> adverse impacts on many of the rights protected by the Convention on the Rights of the Child</w:t>
      </w:r>
      <w:r w:rsidRPr="003A35B7">
        <w:rPr>
          <w:lang w:val="en-US"/>
        </w:rPr>
        <w:t>, including the rights to education, to the highest attainable standard of health, adequate housing, safe and drinkable water and sanitation, and food and nutrition security.</w:t>
      </w:r>
      <w:r w:rsidRPr="003A35B7">
        <w:rPr>
          <w:vertAlign w:val="superscript"/>
          <w:lang w:val="en-US"/>
        </w:rPr>
        <w:footnoteReference w:id="3"/>
      </w:r>
      <w:r w:rsidRPr="003A35B7">
        <w:rPr>
          <w:lang w:val="en-US"/>
        </w:rPr>
        <w:t xml:space="preserve"> </w:t>
      </w:r>
    </w:p>
    <w:p w14:paraId="18D19CE9" w14:textId="7D2F4C3A" w:rsidR="00585664" w:rsidRPr="003A35B7" w:rsidRDefault="00585664" w:rsidP="003A35B7">
      <w:pPr>
        <w:spacing w:after="120" w:line="288" w:lineRule="auto"/>
        <w:rPr>
          <w:lang w:val="en-US"/>
        </w:rPr>
      </w:pPr>
      <w:r>
        <w:rPr>
          <w:lang w:val="en-US"/>
        </w:rPr>
        <w:t>Australian children are very concerned about the impacts on their rights of climate change and have recently staged protests against the Australian government’s failure to take sufficient action on climate change.</w:t>
      </w:r>
    </w:p>
    <w:p w14:paraId="1A8C4D5A" w14:textId="451726B0" w:rsidR="00585664" w:rsidRPr="00585664" w:rsidRDefault="003A35B7" w:rsidP="00585664">
      <w:pPr>
        <w:spacing w:after="120" w:line="288" w:lineRule="auto"/>
        <w:rPr>
          <w:lang w:val="en-GB"/>
        </w:rPr>
      </w:pPr>
      <w:r w:rsidRPr="003A35B7">
        <w:rPr>
          <w:lang w:val="en-GB"/>
        </w:rPr>
        <w:t>Through the Paris Climate Agreement, States committed to limit the increase of temperatures well below 2</w:t>
      </w:r>
      <w:r w:rsidR="00585664" w:rsidRPr="00C85A94">
        <w:rPr>
          <w:lang w:val="en-GB"/>
        </w:rPr>
        <w:t>°</w:t>
      </w:r>
      <w:r w:rsidRPr="003A35B7">
        <w:rPr>
          <w:lang w:val="en-GB"/>
        </w:rPr>
        <w:t>C above pre-industrial levels and to pursue efforts to limit the temperature increase to 1.5</w:t>
      </w:r>
      <w:r w:rsidR="00585664" w:rsidRPr="00C85A94">
        <w:rPr>
          <w:lang w:val="en-GB"/>
        </w:rPr>
        <w:t>°</w:t>
      </w:r>
      <w:r w:rsidR="00B35DE5">
        <w:rPr>
          <w:lang w:val="en-GB"/>
        </w:rPr>
        <w:t>C</w:t>
      </w:r>
      <w:r w:rsidRPr="003A35B7">
        <w:rPr>
          <w:lang w:val="en-GB"/>
        </w:rPr>
        <w:t>.</w:t>
      </w:r>
      <w:r w:rsidRPr="003A35B7">
        <w:rPr>
          <w:vertAlign w:val="superscript"/>
          <w:lang w:val="en-GB"/>
        </w:rPr>
        <w:footnoteReference w:id="4"/>
      </w:r>
      <w:r w:rsidRPr="003A35B7">
        <w:rPr>
          <w:lang w:val="en-GB"/>
        </w:rPr>
        <w:t xml:space="preserve"> </w:t>
      </w:r>
      <w:r w:rsidR="00585664" w:rsidRPr="00585664">
        <w:rPr>
          <w:lang w:val="en-GB"/>
        </w:rPr>
        <w:t xml:space="preserve">In a joint report, several UN Special Rapporteurs to the Human Rights Council highlighted the grave human rights harm that will be caused by even a two degree Celsius increase in average global temperatures and that therefore </w:t>
      </w:r>
      <w:r w:rsidR="00585664" w:rsidRPr="00585664">
        <w:rPr>
          <w:b/>
          <w:lang w:val="en-GB"/>
        </w:rPr>
        <w:t>human rights legal obligations require that States take actions to mitigate the causes of climate change so as to limit the increase in global average temperatures to a maximum of 1.5°C</w:t>
      </w:r>
      <w:r w:rsidR="00585664" w:rsidRPr="00585664">
        <w:rPr>
          <w:lang w:val="en-GB"/>
        </w:rPr>
        <w:t>.</w:t>
      </w:r>
      <w:r w:rsidR="00585664" w:rsidRPr="00585664">
        <w:rPr>
          <w:vertAlign w:val="superscript"/>
          <w:lang w:val="en-GB"/>
        </w:rPr>
        <w:footnoteReference w:id="5"/>
      </w:r>
      <w:r w:rsidR="00585664" w:rsidRPr="00585664">
        <w:rPr>
          <w:lang w:val="en-GB"/>
        </w:rPr>
        <w:t xml:space="preserve"> </w:t>
      </w:r>
    </w:p>
    <w:p w14:paraId="5973E26C" w14:textId="4821C09C" w:rsidR="00C85A94" w:rsidRPr="00C85A94" w:rsidRDefault="00C85A94" w:rsidP="00C85A94">
      <w:pPr>
        <w:spacing w:after="120" w:line="288" w:lineRule="auto"/>
        <w:rPr>
          <w:lang w:val="en-GB"/>
        </w:rPr>
      </w:pPr>
      <w:r w:rsidRPr="00C85A94">
        <w:rPr>
          <w:lang w:val="en-GB"/>
        </w:rPr>
        <w:t>The United Nations Environmental Program in its latest publication reported that the gap between actual emissions and the emission reductions necessary to stay below 1.5</w:t>
      </w:r>
      <w:r w:rsidR="00585664" w:rsidRPr="00C85A94">
        <w:rPr>
          <w:lang w:val="en-GB"/>
        </w:rPr>
        <w:t>°</w:t>
      </w:r>
      <w:r w:rsidR="00B35DE5">
        <w:rPr>
          <w:lang w:val="en-GB"/>
        </w:rPr>
        <w:t>C</w:t>
      </w:r>
      <w:r w:rsidRPr="00C85A94">
        <w:rPr>
          <w:lang w:val="en-GB"/>
        </w:rPr>
        <w:t xml:space="preserve"> or </w:t>
      </w:r>
      <w:r w:rsidR="00585664" w:rsidRPr="00C85A94">
        <w:rPr>
          <w:lang w:val="en-GB"/>
        </w:rPr>
        <w:t>2°C</w:t>
      </w:r>
      <w:r w:rsidRPr="00C85A94">
        <w:rPr>
          <w:lang w:val="en-GB"/>
        </w:rPr>
        <w:t xml:space="preserve"> is still growing and </w:t>
      </w:r>
      <w:r w:rsidRPr="00C85A94">
        <w:rPr>
          <w:lang w:val="en-GB"/>
        </w:rPr>
        <w:lastRenderedPageBreak/>
        <w:t>has never been bigger.</w:t>
      </w:r>
      <w:r w:rsidRPr="00C85A94">
        <w:rPr>
          <w:vertAlign w:val="superscript"/>
          <w:lang w:val="en-GB"/>
        </w:rPr>
        <w:footnoteReference w:id="6"/>
      </w:r>
      <w:r w:rsidRPr="00C85A94">
        <w:rPr>
          <w:lang w:val="en-GB"/>
        </w:rPr>
        <w:t xml:space="preserve"> The authors of the report state that It is still possible to keep global warming below 2°C, but the technical feasibility of bridging the 1.5°C gap is dwindling.  According to the report the efforts of nations will need to increase fivefold to in order to meet the 1.5</w:t>
      </w:r>
      <w:r w:rsidR="00585664" w:rsidRPr="00585664">
        <w:rPr>
          <w:lang w:val="en-GB"/>
        </w:rPr>
        <w:t>°</w:t>
      </w:r>
      <w:r w:rsidRPr="00C85A94">
        <w:rPr>
          <w:lang w:val="en-GB"/>
        </w:rPr>
        <w:t>C target and threefold to meet the 2</w:t>
      </w:r>
      <w:r w:rsidR="00585664" w:rsidRPr="00585664">
        <w:rPr>
          <w:lang w:val="en-GB"/>
        </w:rPr>
        <w:t>°</w:t>
      </w:r>
      <w:r w:rsidRPr="00C85A94">
        <w:rPr>
          <w:lang w:val="en-GB"/>
        </w:rPr>
        <w:t xml:space="preserve">C target. </w:t>
      </w:r>
    </w:p>
    <w:p w14:paraId="08231A32" w14:textId="06D53088" w:rsidR="00B73313" w:rsidRDefault="00C85A94" w:rsidP="000F484C">
      <w:pPr>
        <w:spacing w:after="120" w:line="288" w:lineRule="auto"/>
        <w:rPr>
          <w:lang w:val="en-GB"/>
        </w:rPr>
      </w:pPr>
      <w:r w:rsidRPr="00C85A94">
        <w:rPr>
          <w:lang w:val="en-GB"/>
        </w:rPr>
        <w:t>Such dramatic emissions reductions can only be achieved on the basis of a thorough analysis of all the opportunities that are available to reduce emissions at the highest level of ambition. At a minimum, emissions from fossil fuels must be significantly reduced in the short term and the majority of the fossil fuels reserves must remain unexploited.</w:t>
      </w:r>
      <w:r w:rsidRPr="00C85A94">
        <w:rPr>
          <w:vertAlign w:val="superscript"/>
          <w:lang w:val="en-GB"/>
        </w:rPr>
        <w:footnoteReference w:id="7"/>
      </w:r>
      <w:r w:rsidRPr="00C85A94">
        <w:rPr>
          <w:lang w:val="en-GB"/>
        </w:rPr>
        <w:t xml:space="preserve"> This requires, in particular, the phasing out of coal extraction and consumption, since it is the most carbon intensive source of energy. </w:t>
      </w:r>
    </w:p>
    <w:p w14:paraId="656BF7C9" w14:textId="54C46F25" w:rsidR="00F33DD6" w:rsidRPr="00E63175" w:rsidRDefault="00F33DD6" w:rsidP="000F484C">
      <w:pPr>
        <w:spacing w:after="120" w:line="288" w:lineRule="auto"/>
        <w:rPr>
          <w:rFonts w:eastAsia="MS Mincho"/>
          <w:lang w:val="en-GB" w:eastAsia="ja-JP"/>
        </w:rPr>
      </w:pPr>
      <w:r w:rsidRPr="00E63175">
        <w:rPr>
          <w:rFonts w:eastAsia="MS Mincho"/>
          <w:lang w:val="en-GB" w:eastAsia="ja-JP"/>
        </w:rPr>
        <w:t>This joint Parallel Report addresses the IC</w:t>
      </w:r>
      <w:r w:rsidR="003779D5">
        <w:rPr>
          <w:rFonts w:eastAsia="MS Mincho"/>
          <w:lang w:val="en-GB" w:eastAsia="ja-JP"/>
        </w:rPr>
        <w:t>RC</w:t>
      </w:r>
      <w:r w:rsidRPr="00E63175">
        <w:rPr>
          <w:rFonts w:eastAsia="MS Mincho"/>
          <w:lang w:val="en-GB" w:eastAsia="ja-JP"/>
        </w:rPr>
        <w:t xml:space="preserve"> obligations of </w:t>
      </w:r>
      <w:r w:rsidR="000F484C" w:rsidRPr="00E63175">
        <w:rPr>
          <w:rFonts w:eastAsia="MS Mincho"/>
          <w:lang w:val="en-GB" w:eastAsia="ja-JP"/>
        </w:rPr>
        <w:t>Australia</w:t>
      </w:r>
      <w:r w:rsidRPr="00E63175">
        <w:rPr>
          <w:rFonts w:eastAsia="MS Mincho"/>
          <w:lang w:val="en-GB" w:eastAsia="ja-JP"/>
        </w:rPr>
        <w:t xml:space="preserve"> with respect to its climate </w:t>
      </w:r>
      <w:r w:rsidR="00EC523F" w:rsidRPr="00E63175">
        <w:rPr>
          <w:rFonts w:eastAsia="MS Mincho"/>
          <w:lang w:val="en-GB" w:eastAsia="ja-JP"/>
        </w:rPr>
        <w:t>change commitments and actions.</w:t>
      </w:r>
      <w:r w:rsidRPr="00E63175">
        <w:rPr>
          <w:rFonts w:eastAsia="MS Mincho"/>
          <w:lang w:val="en-GB" w:eastAsia="ja-JP"/>
        </w:rPr>
        <w:t xml:space="preserve"> In particular, it focuses on</w:t>
      </w:r>
      <w:r w:rsidR="00980CD0">
        <w:rPr>
          <w:rFonts w:eastAsia="MS Mincho"/>
          <w:lang w:val="en-GB" w:eastAsia="ja-JP"/>
        </w:rPr>
        <w:t xml:space="preserve"> the climate impacts on children and</w:t>
      </w:r>
      <w:r w:rsidRPr="00E63175">
        <w:rPr>
          <w:rFonts w:eastAsia="MS Mincho"/>
          <w:lang w:val="en-GB" w:eastAsia="ja-JP"/>
        </w:rPr>
        <w:t>:</w:t>
      </w:r>
    </w:p>
    <w:p w14:paraId="0D01F3C3" w14:textId="7228D2EA" w:rsidR="00DB560B" w:rsidRDefault="000F484C" w:rsidP="00DB560B">
      <w:pPr>
        <w:pStyle w:val="ListParagraph"/>
        <w:numPr>
          <w:ilvl w:val="0"/>
          <w:numId w:val="6"/>
        </w:numPr>
        <w:spacing w:after="120" w:line="288" w:lineRule="auto"/>
        <w:contextualSpacing w:val="0"/>
        <w:rPr>
          <w:rFonts w:eastAsia="MS Mincho"/>
          <w:b/>
          <w:lang w:val="en-GB" w:eastAsia="ja-JP"/>
        </w:rPr>
      </w:pPr>
      <w:r>
        <w:rPr>
          <w:rFonts w:eastAsia="MS Mincho"/>
          <w:b/>
          <w:lang w:val="en-GB" w:eastAsia="ja-JP"/>
        </w:rPr>
        <w:t>Australia</w:t>
      </w:r>
      <w:r w:rsidR="00F33DD6" w:rsidRPr="00232E03">
        <w:rPr>
          <w:rFonts w:eastAsia="MS Mincho"/>
          <w:b/>
          <w:lang w:val="en-GB" w:eastAsia="ja-JP"/>
        </w:rPr>
        <w:t xml:space="preserve">’s </w:t>
      </w:r>
      <w:r w:rsidR="00E63175">
        <w:rPr>
          <w:rFonts w:eastAsia="MS Mincho"/>
          <w:b/>
          <w:lang w:val="en-GB" w:eastAsia="ja-JP"/>
        </w:rPr>
        <w:t>insufficient</w:t>
      </w:r>
      <w:r w:rsidR="009D5D10">
        <w:rPr>
          <w:rFonts w:eastAsia="MS Mincho"/>
          <w:b/>
          <w:lang w:val="en-GB" w:eastAsia="ja-JP"/>
        </w:rPr>
        <w:t xml:space="preserve"> </w:t>
      </w:r>
      <w:r w:rsidR="001F6269">
        <w:rPr>
          <w:rFonts w:eastAsia="MS Mincho"/>
          <w:b/>
          <w:lang w:val="en-GB" w:eastAsia="ja-JP"/>
        </w:rPr>
        <w:t xml:space="preserve">climate </w:t>
      </w:r>
      <w:r w:rsidR="009D5D10">
        <w:rPr>
          <w:rFonts w:eastAsia="MS Mincho"/>
          <w:b/>
          <w:lang w:val="en-GB" w:eastAsia="ja-JP"/>
        </w:rPr>
        <w:t>goals and targets for a global strategy to st</w:t>
      </w:r>
      <w:r w:rsidR="00DB560B">
        <w:rPr>
          <w:rFonts w:eastAsia="MS Mincho"/>
          <w:b/>
          <w:lang w:val="en-GB" w:eastAsia="ja-JP"/>
        </w:rPr>
        <w:t>ay well below</w:t>
      </w:r>
      <w:r w:rsidR="00E63175">
        <w:rPr>
          <w:rFonts w:eastAsia="MS Mincho"/>
          <w:b/>
          <w:lang w:val="en-GB" w:eastAsia="ja-JP"/>
        </w:rPr>
        <w:t xml:space="preserve"> </w:t>
      </w:r>
      <w:r w:rsidR="00443115">
        <w:rPr>
          <w:rFonts w:eastAsia="MS Mincho"/>
          <w:b/>
          <w:lang w:val="en-GB" w:eastAsia="ja-JP"/>
        </w:rPr>
        <w:t xml:space="preserve">global temperature increases of </w:t>
      </w:r>
      <w:r w:rsidR="00E63175">
        <w:rPr>
          <w:rFonts w:eastAsia="MS Mincho"/>
          <w:b/>
          <w:lang w:val="en-GB" w:eastAsia="ja-JP"/>
        </w:rPr>
        <w:t xml:space="preserve">2°C </w:t>
      </w:r>
      <w:r w:rsidR="007F3542">
        <w:rPr>
          <w:rFonts w:eastAsia="MS Mincho"/>
          <w:b/>
          <w:lang w:val="en-GB" w:eastAsia="ja-JP"/>
        </w:rPr>
        <w:t xml:space="preserve">and </w:t>
      </w:r>
      <w:r w:rsidR="004C4C44">
        <w:rPr>
          <w:rFonts w:eastAsia="MS Mincho"/>
          <w:b/>
          <w:lang w:val="en-GB" w:eastAsia="ja-JP"/>
        </w:rPr>
        <w:t xml:space="preserve">to </w:t>
      </w:r>
      <w:r w:rsidR="007F3542">
        <w:rPr>
          <w:rFonts w:eastAsia="MS Mincho"/>
          <w:b/>
          <w:lang w:val="en-GB" w:eastAsia="ja-JP"/>
        </w:rPr>
        <w:t>strive to limit to</w:t>
      </w:r>
      <w:r w:rsidR="00E63175">
        <w:rPr>
          <w:rFonts w:eastAsia="MS Mincho"/>
          <w:b/>
          <w:lang w:val="en-GB" w:eastAsia="ja-JP"/>
        </w:rPr>
        <w:t xml:space="preserve"> 1.</w:t>
      </w:r>
      <w:r w:rsidR="00DB560B">
        <w:rPr>
          <w:rFonts w:eastAsia="MS Mincho"/>
          <w:b/>
          <w:lang w:val="en-GB" w:eastAsia="ja-JP"/>
        </w:rPr>
        <w:t>5°C;</w:t>
      </w:r>
    </w:p>
    <w:p w14:paraId="74E802B2" w14:textId="5C379F3A" w:rsidR="00DB560B" w:rsidRDefault="00DB560B" w:rsidP="00DB560B">
      <w:pPr>
        <w:pStyle w:val="ListParagraph"/>
        <w:numPr>
          <w:ilvl w:val="0"/>
          <w:numId w:val="6"/>
        </w:numPr>
        <w:spacing w:after="120" w:line="288" w:lineRule="auto"/>
        <w:contextualSpacing w:val="0"/>
        <w:rPr>
          <w:rFonts w:eastAsia="MS Mincho"/>
          <w:b/>
          <w:lang w:val="en-GB" w:eastAsia="ja-JP"/>
        </w:rPr>
      </w:pPr>
      <w:r>
        <w:rPr>
          <w:rFonts w:eastAsia="MS Mincho"/>
          <w:b/>
          <w:lang w:val="en-GB" w:eastAsia="ja-JP"/>
        </w:rPr>
        <w:t xml:space="preserve">Australia’s </w:t>
      </w:r>
      <w:r w:rsidR="00E63175">
        <w:rPr>
          <w:rFonts w:eastAsia="MS Mincho"/>
          <w:b/>
          <w:lang w:val="en-GB" w:eastAsia="ja-JP"/>
        </w:rPr>
        <w:t>in</w:t>
      </w:r>
      <w:r>
        <w:rPr>
          <w:rFonts w:eastAsia="MS Mincho"/>
          <w:b/>
          <w:lang w:val="en-GB" w:eastAsia="ja-JP"/>
        </w:rPr>
        <w:t>sufficient policies to meet its weak targets;</w:t>
      </w:r>
    </w:p>
    <w:p w14:paraId="27856273" w14:textId="12942957" w:rsidR="00DB560B" w:rsidRDefault="00DB560B" w:rsidP="00DB560B">
      <w:pPr>
        <w:pStyle w:val="ListParagraph"/>
        <w:numPr>
          <w:ilvl w:val="0"/>
          <w:numId w:val="6"/>
        </w:numPr>
        <w:spacing w:after="120" w:line="288" w:lineRule="auto"/>
        <w:contextualSpacing w:val="0"/>
        <w:rPr>
          <w:rFonts w:eastAsia="MS Mincho"/>
          <w:b/>
          <w:lang w:val="en-GB" w:eastAsia="ja-JP"/>
        </w:rPr>
      </w:pPr>
      <w:r>
        <w:rPr>
          <w:rFonts w:eastAsia="MS Mincho"/>
          <w:b/>
          <w:lang w:val="en-GB" w:eastAsia="ja-JP"/>
        </w:rPr>
        <w:t xml:space="preserve">Australia’s continuing support for coal, most notably coal </w:t>
      </w:r>
      <w:r w:rsidR="00461A4B" w:rsidRPr="00DB560B">
        <w:rPr>
          <w:rFonts w:eastAsia="MS Mincho"/>
          <w:b/>
          <w:lang w:val="en-GB" w:eastAsia="ja-JP"/>
        </w:rPr>
        <w:t>exports</w:t>
      </w:r>
      <w:r w:rsidR="00443115">
        <w:rPr>
          <w:rFonts w:eastAsia="MS Mincho"/>
          <w:b/>
          <w:lang w:val="en-GB" w:eastAsia="ja-JP"/>
        </w:rPr>
        <w:t>.</w:t>
      </w:r>
    </w:p>
    <w:p w14:paraId="1479087F" w14:textId="7226E49E" w:rsidR="00142579" w:rsidRDefault="00CD6C6E" w:rsidP="000F484C">
      <w:pPr>
        <w:pStyle w:val="Heading2"/>
        <w:numPr>
          <w:ilvl w:val="0"/>
          <w:numId w:val="5"/>
        </w:numPr>
        <w:spacing w:before="0" w:after="120" w:line="288" w:lineRule="auto"/>
        <w:ind w:left="357" w:hanging="357"/>
      </w:pPr>
      <w:r>
        <w:t xml:space="preserve">Climate change and </w:t>
      </w:r>
      <w:r w:rsidR="003779D5">
        <w:t>children</w:t>
      </w:r>
      <w:r w:rsidR="00E63175">
        <w:t>’s human rights</w:t>
      </w:r>
    </w:p>
    <w:p w14:paraId="1475EC04" w14:textId="2AF982BE" w:rsidR="00A261A2" w:rsidRDefault="00F33DD6" w:rsidP="000F484C">
      <w:pPr>
        <w:spacing w:after="120" w:line="288" w:lineRule="auto"/>
        <w:rPr>
          <w:rFonts w:eastAsia="MS Mincho"/>
          <w:lang w:val="en-GB" w:eastAsia="ja-JP"/>
        </w:rPr>
      </w:pPr>
      <w:r w:rsidRPr="00232E03">
        <w:rPr>
          <w:lang w:val="en-GB"/>
        </w:rPr>
        <w:t xml:space="preserve">It is clear that the consequences of climate change will have significant adverse impacts on </w:t>
      </w:r>
      <w:r w:rsidR="000F484C">
        <w:rPr>
          <w:lang w:val="en-GB"/>
        </w:rPr>
        <w:t xml:space="preserve">human rights, </w:t>
      </w:r>
      <w:r w:rsidR="00515DE9">
        <w:rPr>
          <w:lang w:val="en-GB"/>
        </w:rPr>
        <w:t>and in particular</w:t>
      </w:r>
      <w:r w:rsidR="000F484C">
        <w:rPr>
          <w:lang w:val="en-GB"/>
        </w:rPr>
        <w:t xml:space="preserve"> the right</w:t>
      </w:r>
      <w:r w:rsidR="00DB560B">
        <w:rPr>
          <w:lang w:val="en-GB"/>
        </w:rPr>
        <w:t>s</w:t>
      </w:r>
      <w:r w:rsidR="000F484C">
        <w:rPr>
          <w:lang w:val="en-GB"/>
        </w:rPr>
        <w:t xml:space="preserve"> </w:t>
      </w:r>
      <w:r w:rsidRPr="00232E03">
        <w:rPr>
          <w:lang w:val="en-GB"/>
        </w:rPr>
        <w:t xml:space="preserve">protected by the </w:t>
      </w:r>
      <w:r w:rsidR="00DC7227">
        <w:rPr>
          <w:lang w:val="en-GB"/>
        </w:rPr>
        <w:t>IC</w:t>
      </w:r>
      <w:r w:rsidR="003779D5">
        <w:rPr>
          <w:lang w:val="en-GB"/>
        </w:rPr>
        <w:t>RC</w:t>
      </w:r>
      <w:r w:rsidRPr="00232E03">
        <w:rPr>
          <w:lang w:val="en-GB"/>
        </w:rPr>
        <w:t>.</w:t>
      </w:r>
      <w:r w:rsidR="00DC7227" w:rsidRPr="00232E03">
        <w:rPr>
          <w:rStyle w:val="FootnoteReference"/>
          <w:rFonts w:eastAsia="MS Mincho"/>
          <w:lang w:val="en-GB" w:eastAsia="ja-JP"/>
        </w:rPr>
        <w:footnoteReference w:id="8"/>
      </w:r>
      <w:r w:rsidR="00DC7227" w:rsidRPr="00232E03">
        <w:rPr>
          <w:rFonts w:eastAsia="MS Mincho"/>
          <w:lang w:val="en-GB" w:eastAsia="ja-JP"/>
        </w:rPr>
        <w:t xml:space="preserve"> </w:t>
      </w:r>
    </w:p>
    <w:p w14:paraId="529A442E" w14:textId="05F12B6E" w:rsidR="00EF7861" w:rsidRPr="00EF7861" w:rsidRDefault="00EF7861" w:rsidP="00EF7861">
      <w:pPr>
        <w:spacing w:after="120" w:line="288" w:lineRule="auto"/>
        <w:rPr>
          <w:rFonts w:eastAsia="MS Mincho"/>
          <w:lang w:val="en-GB" w:eastAsia="ja-JP"/>
        </w:rPr>
      </w:pPr>
      <w:r w:rsidRPr="00EF7861">
        <w:rPr>
          <w:rFonts w:eastAsia="MS Mincho"/>
          <w:lang w:val="en-GB" w:eastAsia="ja-JP"/>
        </w:rPr>
        <w:t>The effects of climate change are felt most acutely by those segments of the population that are already in vulnerable situations</w:t>
      </w:r>
      <w:r w:rsidRPr="00EF7861">
        <w:rPr>
          <w:rFonts w:eastAsia="MS Mincho"/>
          <w:vertAlign w:val="superscript"/>
          <w:lang w:val="en-GB" w:eastAsia="ja-JP"/>
        </w:rPr>
        <w:footnoteReference w:id="9"/>
      </w:r>
      <w:r w:rsidR="00636748">
        <w:rPr>
          <w:rFonts w:eastAsia="MS Mincho"/>
          <w:lang w:val="en-GB" w:eastAsia="ja-JP"/>
        </w:rPr>
        <w:t xml:space="preserve"> and this includes children</w:t>
      </w:r>
      <w:r w:rsidR="00C0681F">
        <w:rPr>
          <w:rFonts w:eastAsia="MS Mincho"/>
          <w:lang w:val="en-GB" w:eastAsia="ja-JP"/>
        </w:rPr>
        <w:t>. The IP</w:t>
      </w:r>
      <w:r w:rsidR="00E63175">
        <w:rPr>
          <w:rFonts w:eastAsia="MS Mincho"/>
          <w:lang w:val="en-GB" w:eastAsia="ja-JP"/>
        </w:rPr>
        <w:t>CC</w:t>
      </w:r>
      <w:r w:rsidR="00C0681F">
        <w:rPr>
          <w:rFonts w:eastAsia="MS Mincho"/>
          <w:lang w:val="en-GB" w:eastAsia="ja-JP"/>
        </w:rPr>
        <w:t xml:space="preserve"> Fifth Assessment report noted: ‘</w:t>
      </w:r>
      <w:r w:rsidR="00C0681F" w:rsidRPr="00E63175">
        <w:rPr>
          <w:rFonts w:eastAsia="MS Mincho"/>
          <w:i/>
          <w:lang w:val="en-GB" w:eastAsia="ja-JP"/>
        </w:rPr>
        <w:t>People who are socially, economically, culturally, politically, institutionally or otherwise marginalized are especially vulnerable to climate change and also to some adaptation and mitigation responses</w:t>
      </w:r>
      <w:r w:rsidR="00C0681F">
        <w:rPr>
          <w:rFonts w:eastAsia="MS Mincho"/>
          <w:lang w:val="en-GB" w:eastAsia="ja-JP"/>
        </w:rPr>
        <w:t>.’</w:t>
      </w:r>
      <w:r w:rsidR="00C0681F">
        <w:rPr>
          <w:rStyle w:val="FootnoteReference"/>
          <w:rFonts w:eastAsia="MS Mincho"/>
          <w:lang w:val="en-GB" w:eastAsia="ja-JP"/>
        </w:rPr>
        <w:footnoteReference w:id="10"/>
      </w:r>
      <w:r w:rsidR="00C0681F">
        <w:rPr>
          <w:rFonts w:eastAsia="MS Mincho"/>
          <w:lang w:val="en-GB" w:eastAsia="ja-JP"/>
        </w:rPr>
        <w:t xml:space="preserve"> </w:t>
      </w:r>
    </w:p>
    <w:p w14:paraId="7ABA138E" w14:textId="6148BB6C" w:rsidR="00515DE9" w:rsidRDefault="00980CD0" w:rsidP="000F484C">
      <w:pPr>
        <w:spacing w:after="120" w:line="288" w:lineRule="auto"/>
        <w:rPr>
          <w:rFonts w:eastAsia="MS Mincho"/>
          <w:lang w:val="en-GB" w:eastAsia="ja-JP"/>
        </w:rPr>
      </w:pPr>
      <w:r>
        <w:rPr>
          <w:rFonts w:eastAsia="MS Mincho"/>
          <w:lang w:val="en-GB" w:eastAsia="ja-JP"/>
        </w:rPr>
        <w:t xml:space="preserve">An analytical study by the Office of the High Commissioner for Human Rights in 2017 </w:t>
      </w:r>
      <w:r w:rsidR="00F473C3">
        <w:rPr>
          <w:rFonts w:eastAsia="MS Mincho"/>
          <w:lang w:val="en-GB" w:eastAsia="ja-JP"/>
        </w:rPr>
        <w:t>found:</w:t>
      </w:r>
    </w:p>
    <w:p w14:paraId="3E4B1898" w14:textId="22C3DF9B" w:rsidR="00F473C3" w:rsidRPr="00F473C3" w:rsidRDefault="00F473C3" w:rsidP="00F473C3">
      <w:pPr>
        <w:spacing w:after="120" w:line="288" w:lineRule="auto"/>
        <w:ind w:left="708"/>
        <w:rPr>
          <w:rFonts w:eastAsia="MS Mincho"/>
          <w:lang w:val="en-US" w:eastAsia="ja-JP"/>
        </w:rPr>
      </w:pPr>
      <w:r w:rsidRPr="00F473C3">
        <w:rPr>
          <w:rFonts w:eastAsia="MS Mincho"/>
          <w:lang w:val="en-US" w:eastAsia="ja-JP"/>
        </w:rPr>
        <w:t>Children are disproportionately impacted by climate change due to their unique metabolism, physiology and developmental needs. The negative impacts of climate change, including the increasing frequency and intensity of natural disasters, changing precipitation patterns, food and water shortages, and the increased transmission of communicable diseases, threaten the enjoyment by children of their rights to health, life, food, water and sanitation, education, housing, culture, and development, among others. Climate change heightens existing social and economic inequalities, intensifies poverty and reverses progress towards improvement in children’s well-being. All children are exceptionally vulnerable to the negative impacts of climate change, with the youngest children being most at risk.</w:t>
      </w:r>
      <w:r>
        <w:rPr>
          <w:rStyle w:val="FootnoteReference"/>
          <w:rFonts w:eastAsia="MS Mincho"/>
          <w:lang w:val="en-US" w:eastAsia="ja-JP"/>
        </w:rPr>
        <w:footnoteReference w:id="11"/>
      </w:r>
    </w:p>
    <w:p w14:paraId="3FF6BE02" w14:textId="68FE3166" w:rsidR="00686AC2" w:rsidRPr="00686AC2" w:rsidRDefault="00FA446B" w:rsidP="000F484C">
      <w:pPr>
        <w:spacing w:after="120" w:line="288" w:lineRule="auto"/>
        <w:rPr>
          <w:rFonts w:eastAsia="MS Mincho"/>
          <w:lang w:val="en-US" w:eastAsia="ja-JP"/>
        </w:rPr>
      </w:pPr>
      <w:r>
        <w:rPr>
          <w:rFonts w:eastAsia="MS Mincho"/>
          <w:lang w:val="en-GB" w:eastAsia="ja-JP"/>
        </w:rPr>
        <w:t xml:space="preserve">In a </w:t>
      </w:r>
      <w:r w:rsidR="00CC67D2">
        <w:rPr>
          <w:rFonts w:eastAsia="MS Mincho"/>
          <w:lang w:val="en-GB" w:eastAsia="ja-JP"/>
        </w:rPr>
        <w:t xml:space="preserve">scientific </w:t>
      </w:r>
      <w:r w:rsidR="00686AC2">
        <w:rPr>
          <w:rFonts w:eastAsia="MS Mincho"/>
          <w:lang w:val="en-GB" w:eastAsia="ja-JP"/>
        </w:rPr>
        <w:t>commentary</w:t>
      </w:r>
      <w:r>
        <w:rPr>
          <w:rFonts w:eastAsia="MS Mincho"/>
          <w:lang w:val="en-GB" w:eastAsia="ja-JP"/>
        </w:rPr>
        <w:t xml:space="preserve"> on the impacts of </w:t>
      </w:r>
      <w:r w:rsidR="00686AC2">
        <w:rPr>
          <w:rFonts w:eastAsia="MS Mincho"/>
          <w:lang w:val="en-GB" w:eastAsia="ja-JP"/>
        </w:rPr>
        <w:t>child change on child health, the authors found that ‘</w:t>
      </w:r>
      <w:r w:rsidR="00686AC2" w:rsidRPr="00686AC2">
        <w:rPr>
          <w:rFonts w:eastAsia="MS Mincho"/>
          <w:i/>
          <w:lang w:val="en-US" w:eastAsia="ja-JP"/>
        </w:rPr>
        <w:t>children already suffer around 90% of the global disease burden from climate change with almost all of this occurring in developing countries which are the least responsible for climate change. Globally, for children under 5 years of age climate change is predicted to worsen all of the top five causes of death (malnutrition, neonatal deaths, acute respiratory illness, diarrhoea, malaria)</w:t>
      </w:r>
      <w:r w:rsidR="00686AC2">
        <w:rPr>
          <w:rFonts w:eastAsia="MS Mincho"/>
          <w:lang w:val="en-US" w:eastAsia="ja-JP"/>
        </w:rPr>
        <w:t>.</w:t>
      </w:r>
      <w:r w:rsidR="00686AC2">
        <w:rPr>
          <w:rFonts w:eastAsia="MS Mincho"/>
          <w:lang w:val="en-GB" w:eastAsia="ja-JP"/>
        </w:rPr>
        <w:t>’</w:t>
      </w:r>
    </w:p>
    <w:p w14:paraId="7E983EF7" w14:textId="458CB1E8" w:rsidR="00686AC2" w:rsidRPr="00686AC2" w:rsidRDefault="00686AC2" w:rsidP="000F484C">
      <w:pPr>
        <w:spacing w:after="120" w:line="288" w:lineRule="auto"/>
        <w:rPr>
          <w:rFonts w:eastAsia="MS Mincho"/>
          <w:lang w:val="en-US" w:eastAsia="ja-JP"/>
        </w:rPr>
      </w:pPr>
      <w:r>
        <w:rPr>
          <w:rFonts w:eastAsia="MS Mincho"/>
          <w:lang w:val="en-GB" w:eastAsia="ja-JP"/>
        </w:rPr>
        <w:t xml:space="preserve">They explained the reasons </w:t>
      </w:r>
      <w:r w:rsidRPr="00686AC2">
        <w:rPr>
          <w:rFonts w:eastAsia="MS Mincho"/>
          <w:lang w:val="en-US" w:eastAsia="ja-JP"/>
        </w:rPr>
        <w:t>why children are especially vulnerable to climate change and associated environmental situations</w:t>
      </w:r>
      <w:r>
        <w:rPr>
          <w:rFonts w:eastAsia="MS Mincho"/>
          <w:lang w:val="en-GB" w:eastAsia="ja-JP"/>
        </w:rPr>
        <w:t>:</w:t>
      </w:r>
    </w:p>
    <w:p w14:paraId="736A869B" w14:textId="51DCB353" w:rsidR="00686AC2" w:rsidRPr="00686AC2" w:rsidRDefault="00686AC2" w:rsidP="00686AC2">
      <w:pPr>
        <w:spacing w:after="120" w:line="288" w:lineRule="auto"/>
        <w:ind w:left="700"/>
        <w:rPr>
          <w:rFonts w:eastAsia="MS Mincho"/>
          <w:lang w:val="en-US" w:eastAsia="ja-JP"/>
        </w:rPr>
      </w:pPr>
      <w:r>
        <w:rPr>
          <w:rFonts w:eastAsia="MS Mincho"/>
          <w:lang w:val="en-GB" w:eastAsia="ja-JP"/>
        </w:rPr>
        <w:t>‘</w:t>
      </w:r>
      <w:r w:rsidRPr="00686AC2">
        <w:rPr>
          <w:rFonts w:eastAsia="MS Mincho"/>
          <w:lang w:val="en-US" w:eastAsia="ja-JP"/>
        </w:rPr>
        <w:t>They are smaller, have immature development and immune systems, have higher metabolic and respiratory rates, and a higher intake per unit body mass. They are likely to spend more time outdoors in vigorous activity which will increase exposures and are less capable of avoiding unhealthy situations. Their ability to handle infections, toxins and other exposures is limited.</w:t>
      </w:r>
      <w:r>
        <w:rPr>
          <w:rFonts w:eastAsia="MS Mincho"/>
          <w:lang w:val="en-GB" w:eastAsia="ja-JP"/>
        </w:rPr>
        <w:t>’</w:t>
      </w:r>
      <w:r w:rsidRPr="00686AC2">
        <w:rPr>
          <w:rStyle w:val="FootnoteReference"/>
          <w:rFonts w:eastAsia="MS Mincho"/>
          <w:lang w:val="en-US" w:eastAsia="ja-JP"/>
        </w:rPr>
        <w:t xml:space="preserve"> </w:t>
      </w:r>
      <w:r>
        <w:rPr>
          <w:rStyle w:val="FootnoteReference"/>
          <w:rFonts w:eastAsia="MS Mincho"/>
          <w:lang w:val="en-US" w:eastAsia="ja-JP"/>
        </w:rPr>
        <w:footnoteReference w:id="12"/>
      </w:r>
    </w:p>
    <w:p w14:paraId="653C5563" w14:textId="43AC40A1" w:rsidR="00FA446B" w:rsidRDefault="00686AC2" w:rsidP="000F484C">
      <w:pPr>
        <w:spacing w:after="120" w:line="288" w:lineRule="auto"/>
        <w:rPr>
          <w:rFonts w:eastAsia="MS Mincho"/>
          <w:lang w:val="en-GB" w:eastAsia="ja-JP"/>
        </w:rPr>
      </w:pPr>
      <w:r>
        <w:rPr>
          <w:rFonts w:eastAsia="MS Mincho"/>
          <w:lang w:val="en-GB" w:eastAsia="ja-JP"/>
        </w:rPr>
        <w:t>Further, they had this to say about the psychological impacts:</w:t>
      </w:r>
    </w:p>
    <w:p w14:paraId="22F73427" w14:textId="4E7B795D" w:rsidR="00686AC2" w:rsidRPr="00686AC2" w:rsidRDefault="00686AC2" w:rsidP="00370772">
      <w:pPr>
        <w:spacing w:after="120" w:line="288" w:lineRule="auto"/>
        <w:ind w:left="708"/>
        <w:rPr>
          <w:rFonts w:eastAsia="MS Mincho"/>
          <w:lang w:val="en-US" w:eastAsia="ja-JP"/>
        </w:rPr>
      </w:pPr>
      <w:r>
        <w:rPr>
          <w:rFonts w:eastAsia="MS Mincho"/>
          <w:lang w:val="en-US" w:eastAsia="ja-JP"/>
        </w:rPr>
        <w:t>‘</w:t>
      </w:r>
      <w:r w:rsidRPr="00686AC2">
        <w:rPr>
          <w:rFonts w:eastAsia="MS Mincho"/>
          <w:lang w:val="en-US" w:eastAsia="ja-JP"/>
        </w:rPr>
        <w:t>Children are also particularly vulnerable to toxic levels of stress because of their immature neurobiology. Research has found higher rates of psychological distress and emotional problems as well as elevated symptoms of Post-Traumatic Stress Disorder in children after climate related “natural” disasters. There is also evidence that children’s mental health is already being diminished by anxiety about future climate change.</w:t>
      </w:r>
      <w:r>
        <w:rPr>
          <w:rFonts w:eastAsia="MS Mincho"/>
          <w:lang w:val="en-US" w:eastAsia="ja-JP"/>
        </w:rPr>
        <w:t>’</w:t>
      </w:r>
    </w:p>
    <w:p w14:paraId="27C338E7" w14:textId="41197FAD" w:rsidR="00E05D53" w:rsidRDefault="00617035" w:rsidP="000F484C">
      <w:pPr>
        <w:spacing w:after="120" w:line="288" w:lineRule="auto"/>
        <w:rPr>
          <w:rFonts w:eastAsia="MS Mincho"/>
          <w:lang w:val="en-US" w:eastAsia="ja-JP"/>
        </w:rPr>
      </w:pPr>
      <w:r>
        <w:rPr>
          <w:rFonts w:eastAsia="MS Mincho"/>
          <w:lang w:val="en-US" w:eastAsia="ja-JP"/>
        </w:rPr>
        <w:t xml:space="preserve">The </w:t>
      </w:r>
      <w:r w:rsidRPr="00617035">
        <w:rPr>
          <w:rFonts w:eastAsia="MS Mincho"/>
          <w:lang w:val="en-US" w:eastAsia="ja-JP"/>
        </w:rPr>
        <w:t>American Academy of Pediatrics</w:t>
      </w:r>
      <w:r>
        <w:rPr>
          <w:rFonts w:eastAsia="MS Mincho"/>
          <w:lang w:val="en-US" w:eastAsia="ja-JP"/>
        </w:rPr>
        <w:t xml:space="preserve"> published very similar findings in a 2015 Technical report and Policy Statement on ‘Global Climate Change and Children’s Health’.</w:t>
      </w:r>
      <w:r>
        <w:rPr>
          <w:rStyle w:val="FootnoteReference"/>
          <w:rFonts w:eastAsia="MS Mincho"/>
          <w:lang w:val="en-US" w:eastAsia="ja-JP"/>
        </w:rPr>
        <w:footnoteReference w:id="13"/>
      </w:r>
    </w:p>
    <w:p w14:paraId="0A43E2B9" w14:textId="79CE6246" w:rsidR="00370772" w:rsidRDefault="00370772" w:rsidP="000F484C">
      <w:pPr>
        <w:spacing w:after="120" w:line="288" w:lineRule="auto"/>
        <w:rPr>
          <w:rFonts w:eastAsia="MS Mincho"/>
          <w:lang w:val="en-US" w:eastAsia="ja-JP"/>
        </w:rPr>
      </w:pPr>
      <w:r>
        <w:rPr>
          <w:rFonts w:eastAsia="MS Mincho"/>
          <w:lang w:val="en-US" w:eastAsia="ja-JP"/>
        </w:rPr>
        <w:t xml:space="preserve">These impacts have </w:t>
      </w:r>
      <w:r w:rsidRPr="0031122C">
        <w:rPr>
          <w:rFonts w:eastAsia="MS Mincho"/>
          <w:b/>
          <w:lang w:val="en-US" w:eastAsia="ja-JP"/>
        </w:rPr>
        <w:t>significant implications for children’s enjoyment of their rights under articles</w:t>
      </w:r>
      <w:r w:rsidR="0031122C" w:rsidRPr="0031122C">
        <w:rPr>
          <w:rFonts w:eastAsia="MS Mincho"/>
          <w:b/>
          <w:lang w:val="en-US" w:eastAsia="ja-JP"/>
        </w:rPr>
        <w:t xml:space="preserve"> 6</w:t>
      </w:r>
      <w:r w:rsidRPr="0031122C">
        <w:rPr>
          <w:rFonts w:eastAsia="MS Mincho"/>
          <w:b/>
          <w:lang w:val="en-US" w:eastAsia="ja-JP"/>
        </w:rPr>
        <w:t xml:space="preserve"> </w:t>
      </w:r>
      <w:r w:rsidR="0031122C" w:rsidRPr="0031122C">
        <w:rPr>
          <w:rFonts w:eastAsia="MS Mincho"/>
          <w:b/>
          <w:lang w:val="en-US" w:eastAsia="ja-JP"/>
        </w:rPr>
        <w:t>(</w:t>
      </w:r>
      <w:r w:rsidR="0031122C" w:rsidRPr="0031122C">
        <w:rPr>
          <w:rFonts w:eastAsia="MS Mincho"/>
          <w:b/>
          <w:lang w:val="en-GB" w:eastAsia="ja-JP"/>
        </w:rPr>
        <w:t>right to life)</w:t>
      </w:r>
      <w:r w:rsidR="0031122C">
        <w:rPr>
          <w:rFonts w:eastAsia="MS Mincho"/>
          <w:b/>
          <w:lang w:val="en-GB" w:eastAsia="ja-JP"/>
        </w:rPr>
        <w:t>,</w:t>
      </w:r>
      <w:r w:rsidR="0031122C" w:rsidRPr="0031122C">
        <w:rPr>
          <w:rFonts w:eastAsia="MS Mincho"/>
          <w:b/>
          <w:lang w:val="en-GB" w:eastAsia="ja-JP"/>
        </w:rPr>
        <w:t xml:space="preserve"> 24 (the right to health) and 27 (right to an adequate standard of living)</w:t>
      </w:r>
      <w:r w:rsidR="0031122C">
        <w:rPr>
          <w:rFonts w:eastAsia="MS Mincho"/>
          <w:b/>
          <w:lang w:val="en-GB" w:eastAsia="ja-JP"/>
        </w:rPr>
        <w:t xml:space="preserve"> of the ICRC</w:t>
      </w:r>
      <w:r w:rsidR="0031122C" w:rsidRPr="0031122C">
        <w:rPr>
          <w:rFonts w:eastAsia="MS Mincho"/>
          <w:b/>
          <w:lang w:val="en-GB" w:eastAsia="ja-JP"/>
        </w:rPr>
        <w:t>.</w:t>
      </w:r>
    </w:p>
    <w:p w14:paraId="721913B3" w14:textId="79502ECB" w:rsidR="00CC67D2" w:rsidRPr="00686AC2" w:rsidRDefault="00E05D53" w:rsidP="000F484C">
      <w:pPr>
        <w:spacing w:after="120" w:line="288" w:lineRule="auto"/>
        <w:rPr>
          <w:rFonts w:eastAsia="MS Mincho"/>
          <w:lang w:val="en-US" w:eastAsia="ja-JP"/>
        </w:rPr>
      </w:pPr>
      <w:r>
        <w:rPr>
          <w:rFonts w:eastAsia="MS Mincho"/>
          <w:lang w:val="en-US" w:eastAsia="ja-JP"/>
        </w:rPr>
        <w:t>Climate change</w:t>
      </w:r>
      <w:r w:rsidR="002738DC">
        <w:rPr>
          <w:rFonts w:eastAsia="MS Mincho"/>
          <w:lang w:val="en-US" w:eastAsia="ja-JP"/>
        </w:rPr>
        <w:t xml:space="preserve"> is </w:t>
      </w:r>
      <w:r w:rsidR="00CC67D2">
        <w:rPr>
          <w:rFonts w:eastAsia="MS Mincho"/>
          <w:lang w:val="en-US" w:eastAsia="ja-JP"/>
        </w:rPr>
        <w:t xml:space="preserve">also </w:t>
      </w:r>
      <w:r w:rsidR="002738DC">
        <w:rPr>
          <w:rFonts w:eastAsia="MS Mincho"/>
          <w:lang w:val="en-US" w:eastAsia="ja-JP"/>
        </w:rPr>
        <w:t xml:space="preserve">an </w:t>
      </w:r>
      <w:r w:rsidR="002738DC" w:rsidRPr="00CC67D2">
        <w:rPr>
          <w:rFonts w:eastAsia="MS Mincho"/>
          <w:b/>
          <w:lang w:val="en-US" w:eastAsia="ja-JP"/>
        </w:rPr>
        <w:t xml:space="preserve">issue that is very important to Australian children. </w:t>
      </w:r>
      <w:r w:rsidR="00F321E1">
        <w:rPr>
          <w:rFonts w:eastAsia="MS Mincho"/>
          <w:lang w:val="en-US" w:eastAsia="ja-JP"/>
        </w:rPr>
        <w:t xml:space="preserve">Recently, Australian school children staged a strike in protest at the Australian government’s </w:t>
      </w:r>
      <w:r w:rsidR="00C37024">
        <w:rPr>
          <w:rFonts w:eastAsia="MS Mincho"/>
          <w:lang w:val="en-US" w:eastAsia="ja-JP"/>
        </w:rPr>
        <w:t>lack of action on climate change.</w:t>
      </w:r>
      <w:r w:rsidR="002738DC">
        <w:rPr>
          <w:rStyle w:val="FootnoteReference"/>
          <w:rFonts w:eastAsia="MS Mincho"/>
          <w:lang w:val="en-US" w:eastAsia="ja-JP"/>
        </w:rPr>
        <w:footnoteReference w:id="14"/>
      </w:r>
      <w:r w:rsidR="00C37024">
        <w:rPr>
          <w:rFonts w:eastAsia="MS Mincho"/>
          <w:lang w:val="en-US" w:eastAsia="ja-JP"/>
        </w:rPr>
        <w:t xml:space="preserve">  </w:t>
      </w:r>
      <w:r w:rsidR="00C37024" w:rsidRPr="00C37024">
        <w:rPr>
          <w:rFonts w:eastAsia="MS Mincho"/>
          <w:lang w:val="en-US" w:eastAsia="ja-JP"/>
        </w:rPr>
        <w:t>Harriet O’Shea Carre</w:t>
      </w:r>
      <w:r w:rsidR="00C37024">
        <w:rPr>
          <w:rFonts w:eastAsia="MS Mincho"/>
          <w:lang w:val="en-US" w:eastAsia="ja-JP"/>
        </w:rPr>
        <w:t xml:space="preserve"> (14 years)</w:t>
      </w:r>
      <w:r w:rsidR="00C37024" w:rsidRPr="00C37024">
        <w:rPr>
          <w:rFonts w:eastAsia="MS Mincho"/>
          <w:lang w:val="en-US" w:eastAsia="ja-JP"/>
        </w:rPr>
        <w:t xml:space="preserve"> and Milou Albrecht </w:t>
      </w:r>
      <w:r w:rsidR="00C37024">
        <w:rPr>
          <w:rFonts w:eastAsia="MS Mincho"/>
          <w:lang w:val="en-US" w:eastAsia="ja-JP"/>
        </w:rPr>
        <w:t xml:space="preserve">(14 years) </w:t>
      </w:r>
      <w:r w:rsidR="00C37024" w:rsidRPr="00C37024">
        <w:rPr>
          <w:rFonts w:eastAsia="MS Mincho"/>
          <w:lang w:val="en-US" w:eastAsia="ja-JP"/>
        </w:rPr>
        <w:t>from Bendigo, Victoria</w:t>
      </w:r>
      <w:r w:rsidR="00C37024">
        <w:rPr>
          <w:rFonts w:eastAsia="MS Mincho"/>
          <w:lang w:val="en-US" w:eastAsia="ja-JP"/>
        </w:rPr>
        <w:t xml:space="preserve"> said ‘</w:t>
      </w:r>
      <w:r w:rsidR="00C37024" w:rsidRPr="00C37024">
        <w:rPr>
          <w:rFonts w:eastAsia="MS Mincho"/>
          <w:i/>
          <w:lang w:val="en-US" w:eastAsia="ja-JP"/>
        </w:rPr>
        <w:t>We decided that doing this school strike was more important than going to school at the moment.  If we don’t do something urgently about climate change, we’re not even going to have a liveable planet to use our education in</w:t>
      </w:r>
      <w:r w:rsidR="00C37024" w:rsidRPr="00C37024">
        <w:rPr>
          <w:rFonts w:eastAsia="MS Mincho"/>
          <w:lang w:val="en-US" w:eastAsia="ja-JP"/>
        </w:rPr>
        <w:t>.</w:t>
      </w:r>
      <w:r w:rsidR="00C37024">
        <w:rPr>
          <w:rFonts w:eastAsia="MS Mincho"/>
          <w:lang w:val="en-US" w:eastAsia="ja-JP"/>
        </w:rPr>
        <w:t>’</w:t>
      </w:r>
      <w:r w:rsidR="00C37024">
        <w:rPr>
          <w:rStyle w:val="FootnoteReference"/>
          <w:rFonts w:eastAsia="MS Mincho"/>
          <w:lang w:val="en-US" w:eastAsia="ja-JP"/>
        </w:rPr>
        <w:footnoteReference w:id="15"/>
      </w:r>
      <w:r w:rsidR="00C37024">
        <w:rPr>
          <w:rFonts w:eastAsia="MS Mincho"/>
          <w:lang w:val="en-US" w:eastAsia="ja-JP"/>
        </w:rPr>
        <w:t xml:space="preserve"> They cited the likelihood of more horrific bushfires as one of their concerns.</w:t>
      </w:r>
      <w:r w:rsidR="00CC67D2">
        <w:rPr>
          <w:rFonts w:eastAsia="MS Mincho"/>
          <w:lang w:val="en-US" w:eastAsia="ja-JP"/>
        </w:rPr>
        <w:t xml:space="preserve"> On 30 November </w:t>
      </w:r>
      <w:r w:rsidR="00454871">
        <w:rPr>
          <w:rFonts w:eastAsia="MS Mincho"/>
          <w:lang w:val="en-US" w:eastAsia="ja-JP"/>
        </w:rPr>
        <w:t>2018 an estimated 15,000</w:t>
      </w:r>
      <w:r w:rsidR="00CC67D2">
        <w:rPr>
          <w:rFonts w:eastAsia="MS Mincho"/>
          <w:lang w:val="en-US" w:eastAsia="ja-JP"/>
        </w:rPr>
        <w:t xml:space="preserve"> students </w:t>
      </w:r>
      <w:r w:rsidR="00454871">
        <w:rPr>
          <w:rFonts w:eastAsia="MS Mincho"/>
          <w:lang w:val="en-US" w:eastAsia="ja-JP"/>
        </w:rPr>
        <w:t xml:space="preserve">in every capital city and 20 regional towns, </w:t>
      </w:r>
      <w:r w:rsidR="00CC67D2">
        <w:rPr>
          <w:rFonts w:eastAsia="MS Mincho"/>
          <w:lang w:val="en-US" w:eastAsia="ja-JP"/>
        </w:rPr>
        <w:t>held a</w:t>
      </w:r>
      <w:r w:rsidR="00454871">
        <w:rPr>
          <w:rFonts w:eastAsia="MS Mincho"/>
          <w:lang w:val="en-US" w:eastAsia="ja-JP"/>
        </w:rPr>
        <w:t xml:space="preserve"> further</w:t>
      </w:r>
      <w:r w:rsidR="00CC67D2">
        <w:rPr>
          <w:rFonts w:eastAsia="MS Mincho"/>
          <w:lang w:val="en-US" w:eastAsia="ja-JP"/>
        </w:rPr>
        <w:t xml:space="preserve"> </w:t>
      </w:r>
      <w:r w:rsidR="00454871">
        <w:rPr>
          <w:rFonts w:eastAsia="MS Mincho"/>
          <w:lang w:val="en-US" w:eastAsia="ja-JP"/>
        </w:rPr>
        <w:t>‘</w:t>
      </w:r>
      <w:r w:rsidR="00CC67D2">
        <w:rPr>
          <w:rFonts w:eastAsia="MS Mincho"/>
          <w:lang w:val="en-US" w:eastAsia="ja-JP"/>
        </w:rPr>
        <w:t>School Walk-out for Climate Action’</w:t>
      </w:r>
      <w:r w:rsidR="00454871">
        <w:rPr>
          <w:rStyle w:val="FootnoteReference"/>
          <w:rFonts w:eastAsia="MS Mincho"/>
          <w:lang w:val="en-US" w:eastAsia="ja-JP"/>
        </w:rPr>
        <w:footnoteReference w:id="16"/>
      </w:r>
      <w:r w:rsidR="00CC67D2">
        <w:rPr>
          <w:rFonts w:eastAsia="MS Mincho"/>
          <w:lang w:val="en-US" w:eastAsia="ja-JP"/>
        </w:rPr>
        <w:t xml:space="preserve"> </w:t>
      </w:r>
      <w:r w:rsidR="00454871">
        <w:rPr>
          <w:rFonts w:eastAsia="MS Mincho"/>
          <w:lang w:val="en-US" w:eastAsia="ja-JP"/>
        </w:rPr>
        <w:t>protesting against the Australian government’s failure to take serious action on climate change.</w:t>
      </w:r>
    </w:p>
    <w:p w14:paraId="3A84CCB9" w14:textId="5FCF76C7" w:rsidR="00E63175" w:rsidRDefault="00E63175" w:rsidP="00E63175">
      <w:pPr>
        <w:pStyle w:val="Heading2"/>
        <w:numPr>
          <w:ilvl w:val="0"/>
          <w:numId w:val="5"/>
        </w:numPr>
        <w:spacing w:before="0" w:after="120" w:line="288" w:lineRule="auto"/>
        <w:ind w:left="357" w:hanging="357"/>
      </w:pPr>
      <w:r>
        <w:t xml:space="preserve">Climate change and State obligations under the International Convention </w:t>
      </w:r>
      <w:r w:rsidRPr="00142579">
        <w:t xml:space="preserve">on </w:t>
      </w:r>
      <w:r>
        <w:t xml:space="preserve">the </w:t>
      </w:r>
      <w:r w:rsidR="003779D5">
        <w:t>Rights of the Child</w:t>
      </w:r>
    </w:p>
    <w:p w14:paraId="0AEC15F9" w14:textId="5B82433A" w:rsidR="00A261A2" w:rsidRDefault="00932805" w:rsidP="000F484C">
      <w:pPr>
        <w:spacing w:after="120" w:line="288" w:lineRule="auto"/>
        <w:rPr>
          <w:rFonts w:eastAsia="MS Mincho"/>
          <w:lang w:val="en-GB" w:eastAsia="ja-JP"/>
        </w:rPr>
      </w:pPr>
      <w:r>
        <w:rPr>
          <w:rFonts w:eastAsia="MS Mincho"/>
          <w:lang w:val="en-GB" w:eastAsia="ja-JP"/>
        </w:rPr>
        <w:t xml:space="preserve">These foreseeable adverse impacts on </w:t>
      </w:r>
      <w:r w:rsidR="003779D5">
        <w:rPr>
          <w:rFonts w:eastAsia="MS Mincho"/>
          <w:lang w:val="en-GB" w:eastAsia="ja-JP"/>
        </w:rPr>
        <w:t>children</w:t>
      </w:r>
      <w:r>
        <w:rPr>
          <w:rFonts w:eastAsia="MS Mincho"/>
          <w:lang w:val="en-GB" w:eastAsia="ja-JP"/>
        </w:rPr>
        <w:t xml:space="preserve"> enliven States</w:t>
      </w:r>
      <w:r w:rsidR="004953A0">
        <w:rPr>
          <w:rFonts w:eastAsia="MS Mincho"/>
          <w:lang w:val="en-GB" w:eastAsia="ja-JP"/>
        </w:rPr>
        <w:t>’</w:t>
      </w:r>
      <w:r>
        <w:rPr>
          <w:rFonts w:eastAsia="MS Mincho"/>
          <w:lang w:val="en-GB" w:eastAsia="ja-JP"/>
        </w:rPr>
        <w:t xml:space="preserve"> obligations under the IC</w:t>
      </w:r>
      <w:r w:rsidR="003779D5">
        <w:rPr>
          <w:rFonts w:eastAsia="MS Mincho"/>
          <w:lang w:val="en-GB" w:eastAsia="ja-JP"/>
        </w:rPr>
        <w:t>RC</w:t>
      </w:r>
      <w:r>
        <w:rPr>
          <w:rFonts w:eastAsia="MS Mincho"/>
          <w:lang w:val="en-GB" w:eastAsia="ja-JP"/>
        </w:rPr>
        <w:t xml:space="preserve"> to prevent </w:t>
      </w:r>
      <w:r w:rsidR="001C38CE">
        <w:rPr>
          <w:rFonts w:eastAsia="MS Mincho"/>
          <w:lang w:val="en-GB" w:eastAsia="ja-JP"/>
        </w:rPr>
        <w:t xml:space="preserve">harm to </w:t>
      </w:r>
      <w:r w:rsidR="003779D5">
        <w:rPr>
          <w:rFonts w:eastAsia="MS Mincho"/>
          <w:lang w:val="en-GB" w:eastAsia="ja-JP"/>
        </w:rPr>
        <w:t>children</w:t>
      </w:r>
      <w:r w:rsidR="001C38CE">
        <w:rPr>
          <w:rFonts w:eastAsia="MS Mincho"/>
          <w:lang w:val="en-GB" w:eastAsia="ja-JP"/>
        </w:rPr>
        <w:t>’s rights</w:t>
      </w:r>
      <w:r w:rsidRPr="0025481B">
        <w:rPr>
          <w:rFonts w:eastAsia="MS Mincho"/>
          <w:lang w:val="en-GB" w:eastAsia="ja-JP"/>
        </w:rPr>
        <w:t>.</w:t>
      </w:r>
      <w:r w:rsidR="00F33DD6" w:rsidRPr="0025481B">
        <w:rPr>
          <w:rStyle w:val="FootnoteReference"/>
          <w:lang w:val="en-GB"/>
        </w:rPr>
        <w:footnoteReference w:id="17"/>
      </w:r>
      <w:r w:rsidRPr="0025481B">
        <w:rPr>
          <w:lang w:val="en-GB"/>
        </w:rPr>
        <w:t xml:space="preserve"> </w:t>
      </w:r>
      <w:r w:rsidR="0066685A" w:rsidRPr="0025481B">
        <w:rPr>
          <w:rFonts w:eastAsia="MS Mincho"/>
          <w:lang w:val="en-GB" w:eastAsia="ja-JP"/>
        </w:rPr>
        <w:t>T</w:t>
      </w:r>
      <w:r w:rsidR="00A261A2" w:rsidRPr="0025481B">
        <w:rPr>
          <w:rFonts w:eastAsia="MS Mincho"/>
          <w:lang w:val="en-GB" w:eastAsia="ja-JP"/>
        </w:rPr>
        <w:t xml:space="preserve">he Special Rapporteur </w:t>
      </w:r>
      <w:r w:rsidR="00755CA6" w:rsidRPr="0025481B">
        <w:rPr>
          <w:rFonts w:eastAsia="MS Mincho"/>
          <w:lang w:val="en-GB" w:eastAsia="ja-JP"/>
        </w:rPr>
        <w:t xml:space="preserve">on human rights and the environment </w:t>
      </w:r>
      <w:r w:rsidR="0066685A" w:rsidRPr="0025481B">
        <w:rPr>
          <w:rFonts w:eastAsia="MS Mincho"/>
          <w:lang w:val="en-GB" w:eastAsia="ja-JP"/>
        </w:rPr>
        <w:t xml:space="preserve">has </w:t>
      </w:r>
      <w:r w:rsidR="00A261A2" w:rsidRPr="0025481B">
        <w:rPr>
          <w:rFonts w:eastAsia="MS Mincho"/>
          <w:lang w:val="en-GB" w:eastAsia="ja-JP"/>
        </w:rPr>
        <w:t>underlined that</w:t>
      </w:r>
      <w:r w:rsidR="0066685A" w:rsidRPr="0025481B">
        <w:rPr>
          <w:rFonts w:eastAsia="MS Mincho"/>
          <w:lang w:val="en-GB" w:eastAsia="ja-JP"/>
        </w:rPr>
        <w:t>: ‘</w:t>
      </w:r>
      <w:r w:rsidR="00A261A2" w:rsidRPr="0025481B">
        <w:rPr>
          <w:rFonts w:eastAsia="MS Mincho"/>
          <w:i/>
          <w:lang w:val="en-GB" w:eastAsia="ja-JP"/>
        </w:rPr>
        <w:t>The foreseeable adverse effects of climate change on the enjoyment of human rights give rise to duties of States to take actions to protect against those effects. Human rights obligations apply not only to decisions about how much climate protection to pursue, but also to the mitigation and adaptation measures through which the protection is achieved</w:t>
      </w:r>
      <w:r w:rsidR="00370772">
        <w:rPr>
          <w:rFonts w:eastAsia="MS Mincho"/>
          <w:i/>
          <w:lang w:val="en-GB" w:eastAsia="ja-JP"/>
        </w:rPr>
        <w:t>’</w:t>
      </w:r>
      <w:r w:rsidR="0066685A" w:rsidRPr="0025481B">
        <w:rPr>
          <w:rFonts w:eastAsia="MS Mincho"/>
          <w:i/>
          <w:lang w:val="en-GB" w:eastAsia="ja-JP"/>
        </w:rPr>
        <w:t>.</w:t>
      </w:r>
      <w:r w:rsidR="00A261A2" w:rsidRPr="0025481B">
        <w:rPr>
          <w:rStyle w:val="FootnoteReference"/>
          <w:rFonts w:eastAsia="MS Mincho"/>
          <w:i/>
          <w:lang w:val="en-GB" w:eastAsia="ja-JP"/>
        </w:rPr>
        <w:footnoteReference w:id="18"/>
      </w:r>
    </w:p>
    <w:p w14:paraId="64840FB5" w14:textId="7C9FB3CA" w:rsidR="00C3284F" w:rsidRDefault="00C3284F" w:rsidP="007C7B5E">
      <w:pPr>
        <w:spacing w:after="120" w:line="288" w:lineRule="auto"/>
        <w:rPr>
          <w:lang w:val="en-GB"/>
        </w:rPr>
      </w:pPr>
      <w:r w:rsidRPr="003A35B7">
        <w:rPr>
          <w:lang w:val="en-GB"/>
        </w:rPr>
        <w:t xml:space="preserve">States have legal obligations under </w:t>
      </w:r>
      <w:r w:rsidR="00021DCC">
        <w:rPr>
          <w:lang w:val="en-GB"/>
        </w:rPr>
        <w:t>the ICRC</w:t>
      </w:r>
      <w:r w:rsidRPr="003A35B7">
        <w:rPr>
          <w:lang w:val="en-GB"/>
        </w:rPr>
        <w:t xml:space="preserve"> to take action to protect the rights and best interests of the child from the actual and foreseeable adverse effects of climate change.</w:t>
      </w:r>
      <w:r w:rsidRPr="003A35B7">
        <w:rPr>
          <w:vertAlign w:val="superscript"/>
          <w:lang w:val="en-GB"/>
        </w:rPr>
        <w:footnoteReference w:id="19"/>
      </w:r>
      <w:r w:rsidRPr="003A35B7">
        <w:rPr>
          <w:lang w:val="en-GB"/>
        </w:rPr>
        <w:t xml:space="preserve"> The CRC noted in its Concluding Observation to Spain in January 2018</w:t>
      </w:r>
      <w:r w:rsidR="007B3B34">
        <w:rPr>
          <w:lang w:val="en-GB"/>
        </w:rPr>
        <w:t>,</w:t>
      </w:r>
      <w:r w:rsidRPr="003A35B7">
        <w:rPr>
          <w:lang w:val="en-GB"/>
        </w:rPr>
        <w:t xml:space="preserve"> that Spain should address the climate-induced impacts on children rights of the combustion of coal in the country – recognising the direct linkages between fossil fuels consumption and adverse impacts on the rights of children.</w:t>
      </w:r>
      <w:r w:rsidRPr="003A35B7">
        <w:rPr>
          <w:vertAlign w:val="superscript"/>
          <w:lang w:val="en-GB"/>
        </w:rPr>
        <w:footnoteReference w:id="20"/>
      </w:r>
    </w:p>
    <w:p w14:paraId="7B85CD0E" w14:textId="43B64DD4" w:rsidR="007C7B5E" w:rsidRPr="007B3B34" w:rsidRDefault="007C7B5E" w:rsidP="007C7B5E">
      <w:pPr>
        <w:spacing w:after="120" w:line="288" w:lineRule="auto"/>
        <w:rPr>
          <w:lang w:val="en-GB"/>
        </w:rPr>
      </w:pPr>
      <w:r w:rsidRPr="007C7B5E">
        <w:rPr>
          <w:lang w:val="en-US"/>
        </w:rPr>
        <w:t xml:space="preserve">State parties to the </w:t>
      </w:r>
      <w:r w:rsidR="00E05D53">
        <w:rPr>
          <w:lang w:val="en-US"/>
        </w:rPr>
        <w:t>ICRC</w:t>
      </w:r>
      <w:r w:rsidRPr="007C7B5E">
        <w:rPr>
          <w:lang w:val="en-US"/>
        </w:rPr>
        <w:t xml:space="preserve"> </w:t>
      </w:r>
      <w:r w:rsidR="00E05D53">
        <w:rPr>
          <w:lang w:val="en-US"/>
        </w:rPr>
        <w:t xml:space="preserve">also </w:t>
      </w:r>
      <w:r w:rsidRPr="007C7B5E">
        <w:rPr>
          <w:lang w:val="en-US"/>
        </w:rPr>
        <w:t xml:space="preserve">have an obligation to </w:t>
      </w:r>
      <w:r w:rsidRPr="007C7B5E">
        <w:rPr>
          <w:lang w:val="en-GB"/>
        </w:rPr>
        <w:t>take ‘</w:t>
      </w:r>
      <w:r w:rsidRPr="00E05D53">
        <w:rPr>
          <w:i/>
          <w:lang w:val="en-GB"/>
        </w:rPr>
        <w:t xml:space="preserve">all necessary, appropriate and </w:t>
      </w:r>
      <w:r w:rsidRPr="00E05D53">
        <w:rPr>
          <w:b/>
          <w:i/>
          <w:lang w:val="en-GB"/>
        </w:rPr>
        <w:t>reasonable measures to prevent business enterprises from causing or contributing to abuses of children’s rights’ including the regulation of business entities</w:t>
      </w:r>
      <w:r w:rsidR="00E05D53">
        <w:rPr>
          <w:b/>
          <w:lang w:val="en-GB"/>
        </w:rPr>
        <w:t>’</w:t>
      </w:r>
      <w:r w:rsidRPr="007C7B5E">
        <w:rPr>
          <w:b/>
          <w:lang w:val="en-GB"/>
        </w:rPr>
        <w:t>.</w:t>
      </w:r>
      <w:r w:rsidRPr="007C7B5E">
        <w:rPr>
          <w:lang w:val="en-GB"/>
        </w:rPr>
        <w:t xml:space="preserve"> Where States fail to undertake reasonable measures to prevent abuses of children’s rights by business enterprises, it will be responsible for the infringements of Covenant rights.</w:t>
      </w:r>
      <w:r w:rsidRPr="007C7B5E">
        <w:rPr>
          <w:vertAlign w:val="superscript"/>
          <w:lang w:val="en-US"/>
        </w:rPr>
        <w:footnoteReference w:id="21"/>
      </w:r>
    </w:p>
    <w:p w14:paraId="73FE2DB5" w14:textId="79739737" w:rsidR="003779D5" w:rsidRPr="002738DC" w:rsidRDefault="007C7B5E" w:rsidP="0025481B">
      <w:pPr>
        <w:spacing w:after="120" w:line="288" w:lineRule="auto"/>
        <w:rPr>
          <w:lang w:val="en-US"/>
        </w:rPr>
      </w:pPr>
      <w:r w:rsidRPr="007C7B5E">
        <w:rPr>
          <w:lang w:val="en-US"/>
        </w:rPr>
        <w:t xml:space="preserve">In its report from the </w:t>
      </w:r>
      <w:r w:rsidR="002738DC">
        <w:rPr>
          <w:lang w:val="en-US"/>
        </w:rPr>
        <w:t xml:space="preserve">2016 </w:t>
      </w:r>
      <w:r w:rsidRPr="007C7B5E">
        <w:rPr>
          <w:lang w:val="en-US"/>
        </w:rPr>
        <w:t xml:space="preserve">Day of General Discussion held on Children’s Rights and the Environment, the CRC endorsed several recommendations to </w:t>
      </w:r>
      <w:r w:rsidR="002738DC">
        <w:rPr>
          <w:lang w:val="en-US"/>
        </w:rPr>
        <w:t>S</w:t>
      </w:r>
      <w:r w:rsidRPr="007C7B5E">
        <w:rPr>
          <w:lang w:val="en-US"/>
        </w:rPr>
        <w:t xml:space="preserve">tates, including the need for </w:t>
      </w:r>
      <w:r w:rsidR="002738DC">
        <w:rPr>
          <w:lang w:val="en-US"/>
        </w:rPr>
        <w:t>S</w:t>
      </w:r>
      <w:r w:rsidRPr="007C7B5E">
        <w:rPr>
          <w:lang w:val="en-US"/>
        </w:rPr>
        <w:t>tates to take steps to prevent causing or contributing to transboundary environmental harm that affects the rights of children abroad and the need for urgent and aggressive reductions in greenhouse gases</w:t>
      </w:r>
      <w:r w:rsidR="007B3B34">
        <w:rPr>
          <w:lang w:val="en-US"/>
        </w:rPr>
        <w:t xml:space="preserve"> (GHGs)</w:t>
      </w:r>
      <w:r w:rsidRPr="007C7B5E">
        <w:rPr>
          <w:lang w:val="en-US"/>
        </w:rPr>
        <w:t>, guided by the best available science. The CRC further committed to consistently link Concluding Observations on environmental issues to existing legal frameworks including States’ commitments under the UNFCCC.</w:t>
      </w:r>
      <w:r w:rsidRPr="007C7B5E">
        <w:rPr>
          <w:vertAlign w:val="superscript"/>
          <w:lang w:val="en-US"/>
        </w:rPr>
        <w:footnoteReference w:id="22"/>
      </w:r>
    </w:p>
    <w:p w14:paraId="06E9518D" w14:textId="47750249" w:rsidR="0025481B" w:rsidRPr="005D7C1B" w:rsidRDefault="0025481B" w:rsidP="0025481B">
      <w:pPr>
        <w:spacing w:after="120" w:line="288" w:lineRule="auto"/>
        <w:rPr>
          <w:b/>
        </w:rPr>
      </w:pPr>
      <w:r w:rsidRPr="005D7C1B">
        <w:rPr>
          <w:b/>
        </w:rPr>
        <w:t xml:space="preserve">Therefore, Australia has </w:t>
      </w:r>
      <w:r w:rsidR="007B3B34">
        <w:rPr>
          <w:b/>
        </w:rPr>
        <w:t>ICRC</w:t>
      </w:r>
      <w:r w:rsidR="00E63175" w:rsidRPr="005D7C1B">
        <w:rPr>
          <w:b/>
        </w:rPr>
        <w:t xml:space="preserve"> </w:t>
      </w:r>
      <w:r w:rsidRPr="005D7C1B">
        <w:rPr>
          <w:b/>
        </w:rPr>
        <w:t>obligations to take steps to avoid contributing to climate change and its disproportionate adverse impacts on</w:t>
      </w:r>
      <w:r w:rsidR="003779D5">
        <w:rPr>
          <w:b/>
        </w:rPr>
        <w:t xml:space="preserve"> children</w:t>
      </w:r>
      <w:r w:rsidRPr="005D7C1B">
        <w:rPr>
          <w:b/>
        </w:rPr>
        <w:t xml:space="preserve"> both in Australia and abroad. Those steps include </w:t>
      </w:r>
      <w:r w:rsidR="00E63175" w:rsidRPr="005D7C1B">
        <w:rPr>
          <w:b/>
        </w:rPr>
        <w:t>pursuing strong mitigation policies</w:t>
      </w:r>
      <w:r w:rsidR="004953A0">
        <w:rPr>
          <w:b/>
        </w:rPr>
        <w:t xml:space="preserve"> and </w:t>
      </w:r>
      <w:r w:rsidRPr="005D7C1B">
        <w:rPr>
          <w:b/>
        </w:rPr>
        <w:t>limiting carbon emissions and fossil fuel use.</w:t>
      </w:r>
    </w:p>
    <w:p w14:paraId="743CD7F6" w14:textId="128AD411" w:rsidR="006212FF" w:rsidRPr="00232E03" w:rsidRDefault="000F484C" w:rsidP="00CD6C6E">
      <w:pPr>
        <w:pStyle w:val="Heading2"/>
        <w:numPr>
          <w:ilvl w:val="0"/>
          <w:numId w:val="5"/>
        </w:numPr>
        <w:spacing w:before="0" w:after="120" w:line="288" w:lineRule="auto"/>
        <w:ind w:left="357" w:hanging="357"/>
      </w:pPr>
      <w:r>
        <w:t>Australia</w:t>
      </w:r>
      <w:r w:rsidR="006212FF" w:rsidRPr="00232E03">
        <w:t xml:space="preserve">’s </w:t>
      </w:r>
      <w:r w:rsidR="00152DF1" w:rsidRPr="00232E03">
        <w:t xml:space="preserve">climate change </w:t>
      </w:r>
      <w:r w:rsidR="00CD6C6E">
        <w:t>commitments</w:t>
      </w:r>
      <w:r w:rsidR="00935AE0">
        <w:t xml:space="preserve"> and targets</w:t>
      </w:r>
    </w:p>
    <w:p w14:paraId="05451292" w14:textId="03F50DEF" w:rsidR="00A277ED" w:rsidRPr="00A277ED" w:rsidRDefault="00A277ED" w:rsidP="00493158">
      <w:pPr>
        <w:spacing w:after="120" w:line="288" w:lineRule="auto"/>
        <w:rPr>
          <w:lang w:val="en-GB" w:eastAsia="en-GB"/>
        </w:rPr>
      </w:pPr>
      <w:r w:rsidRPr="00A277ED">
        <w:rPr>
          <w:b/>
          <w:lang w:val="en-GB" w:eastAsia="en-GB"/>
        </w:rPr>
        <w:t>Australia is a significant global emitter of greenhouse gases (GHGs). While home to only 0.3% of the world’s population, it is responsible for about 1.4% of global emissions</w:t>
      </w:r>
      <w:r w:rsidRPr="00A277ED">
        <w:rPr>
          <w:lang w:val="en-GB" w:eastAsia="en-GB"/>
        </w:rPr>
        <w:t>. In 2016 its per capita emissions amounted to 17.22 metric tons of CO</w:t>
      </w:r>
      <w:r w:rsidRPr="00A277ED">
        <w:rPr>
          <w:vertAlign w:val="superscript"/>
          <w:lang w:val="en-GB" w:eastAsia="en-GB"/>
        </w:rPr>
        <w:t>2</w:t>
      </w:r>
      <w:r w:rsidRPr="00A277ED">
        <w:rPr>
          <w:lang w:val="en-GB" w:eastAsia="en-GB"/>
        </w:rPr>
        <w:t>eq, giving it a global ranking of 10</w:t>
      </w:r>
      <w:r w:rsidRPr="00A277ED">
        <w:rPr>
          <w:vertAlign w:val="superscript"/>
          <w:lang w:val="en-GB" w:eastAsia="en-GB"/>
        </w:rPr>
        <w:t>th</w:t>
      </w:r>
      <w:r w:rsidRPr="00A277ED">
        <w:rPr>
          <w:b/>
          <w:vertAlign w:val="superscript"/>
          <w:lang w:val="en-GB" w:eastAsia="en-GB"/>
        </w:rPr>
        <w:t xml:space="preserve"> </w:t>
      </w:r>
      <w:r w:rsidRPr="00A277ED">
        <w:rPr>
          <w:lang w:val="en-GB" w:eastAsia="en-GB"/>
        </w:rPr>
        <w:t>behind the oil rich Gulf countries and Canada and Luxembourg.</w:t>
      </w:r>
      <w:r w:rsidRPr="00A277ED">
        <w:rPr>
          <w:vertAlign w:val="superscript"/>
          <w:lang w:val="en-GB" w:eastAsia="en-GB"/>
        </w:rPr>
        <w:footnoteReference w:id="23"/>
      </w:r>
      <w:r w:rsidRPr="00A277ED">
        <w:rPr>
          <w:lang w:val="en-GB" w:eastAsia="en-GB"/>
        </w:rPr>
        <w:t xml:space="preserve"> Australia thus contributes to severe climate related impacts within, and outside, the country, since GHGs emitted anywhere, contribute to global warming everywhere. Furthermore, these figures do not account for the emissions from the burning of coal that is mined in Australia and exported. To put this in perspective, emissions from the burning of Australian coal overseas amount to around twice Australia’s total domestic emissions.</w:t>
      </w:r>
      <w:r w:rsidRPr="00A277ED">
        <w:rPr>
          <w:vertAlign w:val="superscript"/>
          <w:lang w:val="en-GB" w:eastAsia="en-GB"/>
        </w:rPr>
        <w:footnoteReference w:id="24"/>
      </w:r>
    </w:p>
    <w:p w14:paraId="3F6A1BFC" w14:textId="7EF482A6" w:rsidR="00E72FF6" w:rsidRPr="00E72FF6" w:rsidRDefault="00E72FF6" w:rsidP="00493158">
      <w:pPr>
        <w:spacing w:after="120" w:line="288" w:lineRule="auto"/>
        <w:rPr>
          <w:b/>
          <w:i/>
          <w:lang w:val="en-GB" w:eastAsia="en-GB"/>
        </w:rPr>
      </w:pPr>
      <w:r w:rsidRPr="00E72FF6">
        <w:rPr>
          <w:b/>
          <w:i/>
          <w:lang w:val="en-GB" w:eastAsia="en-GB"/>
        </w:rPr>
        <w:t>Inadequacy of Australia’s emissions targets</w:t>
      </w:r>
    </w:p>
    <w:p w14:paraId="0E5CAF33" w14:textId="7733C42D" w:rsidR="00E63175" w:rsidRDefault="00A277ED" w:rsidP="00942F9D">
      <w:pPr>
        <w:rPr>
          <w:color w:val="000000" w:themeColor="text1"/>
          <w:lang w:val="en-GB" w:eastAsia="en-GB"/>
        </w:rPr>
      </w:pPr>
      <w:r w:rsidRPr="00A277ED">
        <w:rPr>
          <w:lang w:val="en-GB" w:eastAsia="en-GB"/>
        </w:rPr>
        <w:t xml:space="preserve">Australia ratified the Paris Agreement on 9 November 2016 and committed, through its first Nationally Determined Contribution (NDC), to a target of 26 to 28 per cent reduction (from 2005 levels) of greenhouse gas emissions by 2030, including land use, land use change and forestry (LULUCF). </w:t>
      </w:r>
      <w:r w:rsidR="00E63175">
        <w:rPr>
          <w:lang w:val="en-GB" w:eastAsia="en-GB"/>
        </w:rPr>
        <w:t xml:space="preserve">Analysts explain that </w:t>
      </w:r>
      <w:r w:rsidR="0006308E">
        <w:rPr>
          <w:lang w:val="en-GB" w:eastAsia="en-GB"/>
        </w:rPr>
        <w:t>the level of ambition of Australia’s targets ‘</w:t>
      </w:r>
      <w:r w:rsidR="0006308E" w:rsidRPr="00942F9D">
        <w:rPr>
          <w:bCs/>
          <w:i/>
          <w:color w:val="000000" w:themeColor="text1"/>
          <w:lang w:val="en-GB" w:eastAsia="en-GB"/>
        </w:rPr>
        <w:t>if followed by all other countries—would lead to global warming of over 2°C and up to 3°C</w:t>
      </w:r>
      <w:r w:rsidR="00942F9D" w:rsidRPr="00942F9D">
        <w:rPr>
          <w:bCs/>
          <w:i/>
          <w:color w:val="000000" w:themeColor="text1"/>
          <w:lang w:val="en-GB" w:eastAsia="en-GB"/>
        </w:rPr>
        <w:t>.</w:t>
      </w:r>
      <w:r w:rsidR="00942F9D" w:rsidRPr="00942F9D">
        <w:rPr>
          <w:rStyle w:val="apple-converted-space"/>
          <w:rFonts w:ascii="Segoe UI" w:eastAsia="Times New Roman" w:hAnsi="Segoe UI"/>
          <w:b/>
          <w:bCs/>
          <w:color w:val="000000" w:themeColor="text1"/>
          <w:sz w:val="21"/>
          <w:szCs w:val="21"/>
        </w:rPr>
        <w:t xml:space="preserve"> </w:t>
      </w:r>
      <w:r w:rsidR="00942F9D" w:rsidRPr="00942F9D">
        <w:rPr>
          <w:rFonts w:ascii="Segoe UI" w:eastAsia="Times New Roman" w:hAnsi="Segoe UI" w:cs="Times New Roman"/>
          <w:bCs/>
          <w:i/>
          <w:color w:val="000000" w:themeColor="text1"/>
          <w:sz w:val="21"/>
          <w:szCs w:val="21"/>
          <w:lang w:val="en-GB" w:eastAsia="en-GB"/>
        </w:rPr>
        <w:t>In addition, if all other countries were to follow Australia’s current policy settings, warming could reach over 3°C and up to 4°C</w:t>
      </w:r>
      <w:r w:rsidR="0006308E" w:rsidRPr="00942F9D">
        <w:rPr>
          <w:bCs/>
          <w:i/>
          <w:color w:val="000000" w:themeColor="text1"/>
          <w:lang w:val="en-GB" w:eastAsia="en-GB"/>
        </w:rPr>
        <w:t>.</w:t>
      </w:r>
      <w:r w:rsidR="0006308E" w:rsidRPr="00942F9D">
        <w:rPr>
          <w:color w:val="000000" w:themeColor="text1"/>
          <w:lang w:val="en-GB" w:eastAsia="en-GB"/>
        </w:rPr>
        <w:t>’</w:t>
      </w:r>
      <w:r w:rsidR="0006308E" w:rsidRPr="00942F9D">
        <w:rPr>
          <w:rStyle w:val="FootnoteReference"/>
          <w:color w:val="000000" w:themeColor="text1"/>
          <w:lang w:val="en-GB" w:eastAsia="en-GB"/>
        </w:rPr>
        <w:t xml:space="preserve"> </w:t>
      </w:r>
      <w:r w:rsidR="0006308E">
        <w:rPr>
          <w:rStyle w:val="FootnoteReference"/>
          <w:lang w:val="en-GB" w:eastAsia="en-GB"/>
        </w:rPr>
        <w:footnoteReference w:id="25"/>
      </w:r>
    </w:p>
    <w:p w14:paraId="1DD13E0B" w14:textId="5A0A0107" w:rsidR="004B2F0F" w:rsidRPr="004B2F0F" w:rsidRDefault="004B2F0F" w:rsidP="00942F9D">
      <w:pPr>
        <w:rPr>
          <w:color w:val="000000" w:themeColor="text1"/>
          <w:lang w:val="en-GB" w:eastAsia="en-GB"/>
        </w:rPr>
      </w:pPr>
      <w:r>
        <w:rPr>
          <w:color w:val="000000" w:themeColor="text1"/>
          <w:lang w:val="en-GB" w:eastAsia="en-GB"/>
        </w:rPr>
        <w:t>Climate experts in Australia also agree that the current targets are inadequate for Australia to meet its Paris Agreement commitments. For instance, the Australian Climate Change Authority</w:t>
      </w:r>
      <w:r w:rsidRPr="004B2F0F">
        <w:rPr>
          <w:color w:val="000000" w:themeColor="text1"/>
          <w:lang w:val="en-GB" w:eastAsia="en-GB"/>
        </w:rPr>
        <w:t xml:space="preserve"> recommends a 2030 target of between 45-65 per cent on 2005 levels for Australia to contribute its equitable share to lim</w:t>
      </w:r>
      <w:r>
        <w:rPr>
          <w:color w:val="000000" w:themeColor="text1"/>
          <w:lang w:val="en-GB" w:eastAsia="en-GB"/>
        </w:rPr>
        <w:t>it global warming to 2 degrees.</w:t>
      </w:r>
      <w:r>
        <w:rPr>
          <w:rStyle w:val="FootnoteReference"/>
          <w:color w:val="000000" w:themeColor="text1"/>
          <w:lang w:val="en-GB" w:eastAsia="en-GB"/>
        </w:rPr>
        <w:footnoteReference w:id="26"/>
      </w:r>
      <w:r>
        <w:rPr>
          <w:color w:val="000000" w:themeColor="text1"/>
          <w:lang w:val="en-GB" w:eastAsia="en-GB"/>
        </w:rPr>
        <w:t xml:space="preserve"> </w:t>
      </w:r>
      <w:r w:rsidR="00221DAD">
        <w:rPr>
          <w:color w:val="000000" w:themeColor="text1"/>
          <w:lang w:val="en-GB" w:eastAsia="en-GB"/>
        </w:rPr>
        <w:t>Contributing an equitable share of global efforts towards limiting warming to 1.5</w:t>
      </w:r>
      <w:r w:rsidR="004953A0" w:rsidRPr="004953A0">
        <w:rPr>
          <w:bCs/>
          <w:color w:val="000000" w:themeColor="text1"/>
          <w:lang w:val="en-GB" w:eastAsia="en-GB"/>
        </w:rPr>
        <w:t>°C</w:t>
      </w:r>
      <w:r w:rsidR="00221DAD">
        <w:rPr>
          <w:color w:val="000000" w:themeColor="text1"/>
          <w:lang w:val="en-GB" w:eastAsia="en-GB"/>
        </w:rPr>
        <w:t xml:space="preserve"> w</w:t>
      </w:r>
      <w:r w:rsidR="000A0420">
        <w:rPr>
          <w:color w:val="000000" w:themeColor="text1"/>
          <w:lang w:val="en-GB" w:eastAsia="en-GB"/>
        </w:rPr>
        <w:t xml:space="preserve">ould require </w:t>
      </w:r>
      <w:r w:rsidR="00221DAD">
        <w:rPr>
          <w:color w:val="000000" w:themeColor="text1"/>
          <w:lang w:val="en-GB" w:eastAsia="en-GB"/>
        </w:rPr>
        <w:t xml:space="preserve">a </w:t>
      </w:r>
      <w:r w:rsidR="000A0420">
        <w:rPr>
          <w:color w:val="000000" w:themeColor="text1"/>
          <w:lang w:val="en-GB" w:eastAsia="en-GB"/>
        </w:rPr>
        <w:t>still stronger 2030 target</w:t>
      </w:r>
      <w:r w:rsidR="00221DAD">
        <w:rPr>
          <w:color w:val="000000" w:themeColor="text1"/>
          <w:lang w:val="en-GB" w:eastAsia="en-GB"/>
        </w:rPr>
        <w:t>.</w:t>
      </w:r>
      <w:r w:rsidR="000A0420">
        <w:rPr>
          <w:color w:val="000000" w:themeColor="text1"/>
          <w:lang w:val="en-GB" w:eastAsia="en-GB"/>
        </w:rPr>
        <w:t xml:space="preserve"> </w:t>
      </w:r>
    </w:p>
    <w:p w14:paraId="2EFAF580" w14:textId="740ACA60" w:rsidR="00A35EB8" w:rsidRDefault="00A35EB8" w:rsidP="00A35EB8">
      <w:pPr>
        <w:spacing w:after="120" w:line="288" w:lineRule="auto"/>
        <w:rPr>
          <w:lang w:val="en-GB"/>
        </w:rPr>
      </w:pPr>
      <w:r>
        <w:rPr>
          <w:lang w:val="en-GB"/>
        </w:rPr>
        <w:t>According to the international ‘Climate Change Performance Index’</w:t>
      </w:r>
      <w:r>
        <w:rPr>
          <w:rStyle w:val="FootnoteReference"/>
          <w:lang w:val="en-GB"/>
        </w:rPr>
        <w:footnoteReference w:id="27"/>
      </w:r>
      <w:r>
        <w:rPr>
          <w:lang w:val="en-GB"/>
        </w:rPr>
        <w:t xml:space="preserve"> for 2018 Australia is ranked 57</w:t>
      </w:r>
      <w:r w:rsidRPr="00FC29E7">
        <w:rPr>
          <w:vertAlign w:val="superscript"/>
          <w:lang w:val="en-GB"/>
        </w:rPr>
        <w:t>th</w:t>
      </w:r>
      <w:r>
        <w:rPr>
          <w:lang w:val="en-GB"/>
        </w:rPr>
        <w:t xml:space="preserve"> (‘very low performing’ - out of 59 countries and the EU):</w:t>
      </w:r>
    </w:p>
    <w:p w14:paraId="74DF20D1" w14:textId="098ADDFD" w:rsidR="00A35EB8" w:rsidRDefault="00A35EB8" w:rsidP="00A35EB8">
      <w:pPr>
        <w:spacing w:after="120" w:line="288" w:lineRule="auto"/>
        <w:ind w:left="708"/>
        <w:rPr>
          <w:lang w:val="en-GB"/>
        </w:rPr>
      </w:pPr>
      <w:r>
        <w:rPr>
          <w:lang w:val="en-GB" w:eastAsia="en-GB"/>
        </w:rPr>
        <w:t>‘</w:t>
      </w:r>
      <w:r w:rsidRPr="00FC29E7">
        <w:rPr>
          <w:lang w:val="en-GB" w:eastAsia="en-GB"/>
        </w:rPr>
        <w:t>Experts emphasize the need to strengthen the country’s 2030 targets especially in terms of</w:t>
      </w:r>
      <w:r>
        <w:rPr>
          <w:lang w:val="en-GB" w:eastAsia="en-GB"/>
        </w:rPr>
        <w:t xml:space="preserve"> emissions reduction and renew</w:t>
      </w:r>
      <w:r w:rsidRPr="00FC29E7">
        <w:rPr>
          <w:lang w:val="en-GB" w:eastAsia="en-GB"/>
        </w:rPr>
        <w:t>able energy and demand that th</w:t>
      </w:r>
      <w:r>
        <w:rPr>
          <w:lang w:val="en-GB" w:eastAsia="en-GB"/>
        </w:rPr>
        <w:t>eir government sufficiently im</w:t>
      </w:r>
      <w:r w:rsidRPr="00FC29E7">
        <w:rPr>
          <w:lang w:val="en-GB" w:eastAsia="en-GB"/>
        </w:rPr>
        <w:t>plement credible poli</w:t>
      </w:r>
      <w:r>
        <w:rPr>
          <w:lang w:val="en-GB" w:eastAsia="en-GB"/>
        </w:rPr>
        <w:t>cies for meeting these targets.’</w:t>
      </w:r>
      <w:r>
        <w:rPr>
          <w:rStyle w:val="FootnoteReference"/>
          <w:lang w:val="en-GB" w:eastAsia="en-GB"/>
        </w:rPr>
        <w:footnoteReference w:id="28"/>
      </w:r>
    </w:p>
    <w:p w14:paraId="45CAEC57" w14:textId="6B244C22" w:rsidR="00C85A94" w:rsidRPr="00C85A94" w:rsidRDefault="00C85A94" w:rsidP="00C85A94">
      <w:pPr>
        <w:spacing w:after="120" w:line="288" w:lineRule="auto"/>
        <w:rPr>
          <w:b/>
          <w:lang w:val="en-GB" w:eastAsia="en-GB"/>
        </w:rPr>
      </w:pPr>
      <w:r w:rsidRPr="00C85A94">
        <w:rPr>
          <w:b/>
          <w:lang w:val="en-GB" w:eastAsia="en-GB"/>
        </w:rPr>
        <w:t>Australia should increase the ambition of its climate change targets and its climate and energy policies to ensure that it is reducing its emissions in line with the highest possible level of ambition, thereby delivering its fair share of global emissions reductions. This should include legislated targets for emissions reductions and clean energy on the basis of 100% renewable energy by 2030 and zero emissions before 2040 and a transparent national analysis of all opportunities to reduce emission at the highest possible rate in the shortest timeframe possible.</w:t>
      </w:r>
    </w:p>
    <w:p w14:paraId="3C6ACC2C" w14:textId="48077E36" w:rsidR="00E63175" w:rsidRPr="00E72FF6" w:rsidRDefault="00E72FF6" w:rsidP="00493158">
      <w:pPr>
        <w:spacing w:after="120" w:line="288" w:lineRule="auto"/>
        <w:rPr>
          <w:b/>
          <w:i/>
          <w:lang w:val="en-GB" w:eastAsia="en-GB"/>
        </w:rPr>
      </w:pPr>
      <w:r w:rsidRPr="00E72FF6">
        <w:rPr>
          <w:b/>
          <w:i/>
          <w:lang w:val="en-GB" w:eastAsia="en-GB"/>
        </w:rPr>
        <w:t>Australia’s emissions trends – incompatible with its mitigation targets</w:t>
      </w:r>
    </w:p>
    <w:p w14:paraId="09B4732C" w14:textId="2D8D465E" w:rsidR="00493158" w:rsidRDefault="00146C03" w:rsidP="00493158">
      <w:pPr>
        <w:spacing w:after="120" w:line="288" w:lineRule="auto"/>
        <w:rPr>
          <w:lang w:val="en-GB" w:eastAsia="en-GB"/>
        </w:rPr>
      </w:pPr>
      <w:r>
        <w:rPr>
          <w:lang w:val="en-GB" w:eastAsia="en-GB"/>
        </w:rPr>
        <w:t>In contrast to almost all other developed countries,</w:t>
      </w:r>
      <w:r>
        <w:rPr>
          <w:rStyle w:val="FootnoteReference"/>
          <w:lang w:val="en-GB" w:eastAsia="en-GB"/>
        </w:rPr>
        <w:footnoteReference w:id="29"/>
      </w:r>
      <w:r>
        <w:rPr>
          <w:lang w:val="en-GB" w:eastAsia="en-GB"/>
        </w:rPr>
        <w:t xml:space="preserve"> </w:t>
      </w:r>
      <w:r w:rsidR="00E63175">
        <w:rPr>
          <w:lang w:val="en-GB" w:eastAsia="en-GB"/>
        </w:rPr>
        <w:t xml:space="preserve">Australia’s </w:t>
      </w:r>
      <w:r w:rsidR="0032189A">
        <w:rPr>
          <w:lang w:val="en-GB" w:eastAsia="en-GB"/>
        </w:rPr>
        <w:t>absolute</w:t>
      </w:r>
      <w:r w:rsidR="00493158" w:rsidRPr="00493158">
        <w:rPr>
          <w:lang w:val="en-GB" w:eastAsia="en-GB"/>
        </w:rPr>
        <w:t xml:space="preserve"> emissions </w:t>
      </w:r>
      <w:r w:rsidR="00F60226">
        <w:rPr>
          <w:lang w:val="en-GB" w:eastAsia="en-GB"/>
        </w:rPr>
        <w:t>are increasing</w:t>
      </w:r>
      <w:r w:rsidR="004953A0">
        <w:rPr>
          <w:lang w:val="en-GB" w:eastAsia="en-GB"/>
        </w:rPr>
        <w:t>.</w:t>
      </w:r>
      <w:r w:rsidR="00425B91">
        <w:rPr>
          <w:rStyle w:val="FootnoteReference"/>
          <w:lang w:val="en-GB" w:eastAsia="en-GB"/>
        </w:rPr>
        <w:footnoteReference w:id="30"/>
      </w:r>
      <w:r w:rsidR="00FA7E7D">
        <w:rPr>
          <w:lang w:val="en-GB" w:eastAsia="en-GB"/>
        </w:rPr>
        <w:t xml:space="preserve"> </w:t>
      </w:r>
      <w:r w:rsidR="00493158" w:rsidRPr="00493158">
        <w:rPr>
          <w:lang w:val="en-GB" w:eastAsia="en-GB"/>
        </w:rPr>
        <w:t xml:space="preserve"> </w:t>
      </w:r>
      <w:r w:rsidR="00F87A06" w:rsidRPr="00F87A06">
        <w:rPr>
          <w:lang w:val="en-GB" w:eastAsia="en-GB"/>
        </w:rPr>
        <w:t xml:space="preserve">The </w:t>
      </w:r>
      <w:r w:rsidR="00F87A06">
        <w:rPr>
          <w:lang w:val="en-GB" w:eastAsia="en-GB"/>
        </w:rPr>
        <w:t xml:space="preserve">Australian </w:t>
      </w:r>
      <w:r w:rsidR="00F87A06" w:rsidRPr="00F87A06">
        <w:rPr>
          <w:lang w:val="en-GB" w:eastAsia="en-GB"/>
        </w:rPr>
        <w:t>Department of the Environment and Energy’s </w:t>
      </w:r>
      <w:r w:rsidR="001F194E">
        <w:rPr>
          <w:lang w:val="en-GB" w:eastAsia="en-GB"/>
        </w:rPr>
        <w:t xml:space="preserve">latest </w:t>
      </w:r>
      <w:r w:rsidR="00F87A06" w:rsidRPr="00971D7D">
        <w:rPr>
          <w:lang w:val="en-GB" w:eastAsia="en-GB"/>
        </w:rPr>
        <w:t>National Greenhouse Gas Inventory report</w:t>
      </w:r>
      <w:r w:rsidR="00F87A06" w:rsidRPr="00F87A06">
        <w:rPr>
          <w:lang w:val="en-GB" w:eastAsia="en-GB"/>
        </w:rPr>
        <w:t> shows </w:t>
      </w:r>
      <w:r w:rsidR="00F87A06">
        <w:rPr>
          <w:lang w:val="en-GB" w:eastAsia="en-GB"/>
        </w:rPr>
        <w:t xml:space="preserve">that </w:t>
      </w:r>
      <w:r w:rsidR="00F87A06" w:rsidRPr="00F87A06">
        <w:rPr>
          <w:lang w:val="en-GB" w:eastAsia="en-GB"/>
        </w:rPr>
        <w:t>in</w:t>
      </w:r>
      <w:r w:rsidR="00DA225C">
        <w:rPr>
          <w:lang w:val="en-GB" w:eastAsia="en-GB"/>
        </w:rPr>
        <w:t xml:space="preserve"> 2017, Australian emissions</w:t>
      </w:r>
      <w:r w:rsidR="00F87A06" w:rsidRPr="00F87A06">
        <w:rPr>
          <w:lang w:val="en-GB" w:eastAsia="en-GB"/>
        </w:rPr>
        <w:t> </w:t>
      </w:r>
      <w:r w:rsidR="00971D7D">
        <w:rPr>
          <w:lang w:val="en-GB" w:eastAsia="en-GB"/>
        </w:rPr>
        <w:t>f</w:t>
      </w:r>
      <w:r w:rsidR="00971D7D" w:rsidRPr="00971D7D">
        <w:rPr>
          <w:lang w:val="en-GB" w:eastAsia="en-GB"/>
        </w:rPr>
        <w:t>or the year to December 2017 increased 1.</w:t>
      </w:r>
      <w:r w:rsidR="00971D7D">
        <w:rPr>
          <w:lang w:val="en-GB" w:eastAsia="en-GB"/>
        </w:rPr>
        <w:t>5 per cent on the previous year</w:t>
      </w:r>
      <w:r w:rsidR="00F87A06" w:rsidRPr="00F87A06">
        <w:rPr>
          <w:lang w:val="en-GB" w:eastAsia="en-GB"/>
        </w:rPr>
        <w:t>, the third yearly consecutive increase</w:t>
      </w:r>
      <w:r w:rsidR="00493158" w:rsidRPr="00493158">
        <w:rPr>
          <w:lang w:val="en-GB" w:eastAsia="en-GB"/>
        </w:rPr>
        <w:t>.</w:t>
      </w:r>
      <w:r w:rsidR="00493158">
        <w:rPr>
          <w:rStyle w:val="FootnoteReference"/>
          <w:lang w:val="en-GB" w:eastAsia="en-GB"/>
        </w:rPr>
        <w:footnoteReference w:id="31"/>
      </w:r>
    </w:p>
    <w:p w14:paraId="4BC6E0A7" w14:textId="561AE89F" w:rsidR="00737B4F" w:rsidRDefault="00737B4F" w:rsidP="00737B4F">
      <w:pPr>
        <w:spacing w:after="120" w:line="288" w:lineRule="auto"/>
        <w:rPr>
          <w:lang w:val="en-GB"/>
        </w:rPr>
      </w:pPr>
      <w:r>
        <w:rPr>
          <w:lang w:val="en-GB"/>
        </w:rPr>
        <w:t>U</w:t>
      </w:r>
      <w:r w:rsidRPr="00493158">
        <w:rPr>
          <w:lang w:val="en-GB"/>
        </w:rPr>
        <w:t>nder present policy</w:t>
      </w:r>
      <w:r>
        <w:rPr>
          <w:lang w:val="en-GB"/>
        </w:rPr>
        <w:t xml:space="preserve"> settings</w:t>
      </w:r>
      <w:r w:rsidRPr="00493158">
        <w:rPr>
          <w:lang w:val="en-GB"/>
        </w:rPr>
        <w:t xml:space="preserve">, Australia’s emissions are </w:t>
      </w:r>
      <w:r w:rsidR="00606025">
        <w:rPr>
          <w:lang w:val="en-GB"/>
        </w:rPr>
        <w:t>projected to</w:t>
      </w:r>
      <w:r>
        <w:rPr>
          <w:lang w:val="en-GB"/>
        </w:rPr>
        <w:t xml:space="preserve"> </w:t>
      </w:r>
      <w:r w:rsidRPr="00493158">
        <w:rPr>
          <w:lang w:val="en-GB"/>
        </w:rPr>
        <w:t xml:space="preserve">increase </w:t>
      </w:r>
      <w:r w:rsidRPr="002F24AB">
        <w:rPr>
          <w:lang w:val="en-GB"/>
        </w:rPr>
        <w:t>fr</w:t>
      </w:r>
      <w:r w:rsidR="00FA7E7D">
        <w:rPr>
          <w:lang w:val="en-GB"/>
        </w:rPr>
        <w:t>om 2005 levels (excl. LULUCF)</w:t>
      </w:r>
      <w:r w:rsidRPr="002F24AB">
        <w:rPr>
          <w:lang w:val="en-GB"/>
        </w:rPr>
        <w:t xml:space="preserve"> 6% by 2020 and 9% </w:t>
      </w:r>
      <w:r>
        <w:rPr>
          <w:lang w:val="en-GB"/>
        </w:rPr>
        <w:t>by 2030.</w:t>
      </w:r>
      <w:r>
        <w:rPr>
          <w:rStyle w:val="FootnoteReference"/>
          <w:lang w:val="en-GB"/>
        </w:rPr>
        <w:footnoteReference w:id="32"/>
      </w:r>
      <w:r>
        <w:rPr>
          <w:lang w:val="en-GB"/>
        </w:rPr>
        <w:t xml:space="preserve"> This would mean that Australia </w:t>
      </w:r>
      <w:r w:rsidR="00606025">
        <w:rPr>
          <w:lang w:val="en-GB"/>
        </w:rPr>
        <w:t>would not achieve</w:t>
      </w:r>
      <w:r>
        <w:rPr>
          <w:lang w:val="en-GB"/>
        </w:rPr>
        <w:t xml:space="preserve"> its 2030 target</w:t>
      </w:r>
      <w:r w:rsidR="00A46ECC">
        <w:rPr>
          <w:lang w:val="en-GB"/>
        </w:rPr>
        <w:t xml:space="preserve">, </w:t>
      </w:r>
      <w:r>
        <w:rPr>
          <w:lang w:val="en-GB"/>
        </w:rPr>
        <w:t xml:space="preserve">(contained in its </w:t>
      </w:r>
      <w:r w:rsidR="00370772">
        <w:rPr>
          <w:lang w:val="en-GB"/>
        </w:rPr>
        <w:t>NDC</w:t>
      </w:r>
      <w:r>
        <w:rPr>
          <w:lang w:val="en-GB"/>
        </w:rPr>
        <w:t>)</w:t>
      </w:r>
      <w:r w:rsidR="002D4936">
        <w:rPr>
          <w:lang w:val="en-GB"/>
        </w:rPr>
        <w:t xml:space="preserve">, a target which is itself </w:t>
      </w:r>
      <w:r w:rsidR="00146C03">
        <w:rPr>
          <w:lang w:val="en-GB"/>
        </w:rPr>
        <w:t>regarded by analysts as a woefully inadequate contribution to the Paris Agreement (see above)</w:t>
      </w:r>
      <w:r>
        <w:rPr>
          <w:lang w:val="en-GB"/>
        </w:rPr>
        <w:t>.</w:t>
      </w:r>
    </w:p>
    <w:p w14:paraId="44AC2690" w14:textId="3DA28BC8" w:rsidR="009D70A0" w:rsidRPr="00BF0ADB" w:rsidRDefault="009D70A0" w:rsidP="009D70A0">
      <w:pPr>
        <w:spacing w:after="120" w:line="288" w:lineRule="auto"/>
        <w:rPr>
          <w:lang w:val="en-GB"/>
        </w:rPr>
      </w:pPr>
      <w:r>
        <w:rPr>
          <w:lang w:val="en-GB"/>
        </w:rPr>
        <w:t>According to international analysts, ‘</w:t>
      </w:r>
      <w:r w:rsidRPr="00606025">
        <w:rPr>
          <w:i/>
          <w:lang w:val="en-GB"/>
        </w:rPr>
        <w:t>Australia’s current policies in 2017 are not consistent with holding warming to below 2°C, let alone limiting it to 1.5°C as required under the Paris Agreement, and are instead consistent with warming between 3°C and 4°C</w:t>
      </w:r>
      <w:r>
        <w:rPr>
          <w:lang w:val="en-GB"/>
        </w:rPr>
        <w:t>’</w:t>
      </w:r>
      <w:r>
        <w:rPr>
          <w:rStyle w:val="FootnoteReference"/>
          <w:lang w:val="en-GB"/>
        </w:rPr>
        <w:footnoteReference w:id="33"/>
      </w:r>
      <w:r>
        <w:rPr>
          <w:lang w:val="en-GB"/>
        </w:rPr>
        <w:t>.</w:t>
      </w:r>
    </w:p>
    <w:p w14:paraId="25C01D77" w14:textId="77777777" w:rsidR="00CA1C2A" w:rsidRDefault="00CA1C2A" w:rsidP="00CA1C2A">
      <w:pPr>
        <w:spacing w:after="120" w:line="288" w:lineRule="auto"/>
        <w:rPr>
          <w:lang w:val="en-GB"/>
        </w:rPr>
      </w:pPr>
      <w:r>
        <w:rPr>
          <w:lang w:val="en-GB"/>
        </w:rPr>
        <w:t>Both the UN Environment Programme</w:t>
      </w:r>
      <w:r>
        <w:rPr>
          <w:rStyle w:val="FootnoteReference"/>
          <w:lang w:val="en-GB"/>
        </w:rPr>
        <w:footnoteReference w:id="34"/>
      </w:r>
      <w:r>
        <w:rPr>
          <w:lang w:val="en-GB"/>
        </w:rPr>
        <w:t xml:space="preserve"> and the International Energy Agency also consider that Australia’s policies are not sufficient to achieve is modest Paris Agreement targets:</w:t>
      </w:r>
    </w:p>
    <w:p w14:paraId="27159210" w14:textId="72FADE51" w:rsidR="00A46ECC" w:rsidRDefault="00370772" w:rsidP="006F5E47">
      <w:pPr>
        <w:spacing w:after="120" w:line="288" w:lineRule="auto"/>
        <w:ind w:left="700"/>
        <w:rPr>
          <w:lang w:val="en-GB"/>
        </w:rPr>
      </w:pPr>
      <w:r>
        <w:rPr>
          <w:noProof/>
          <w:lang w:val="en-GB" w:eastAsia="en-GB"/>
        </w:rPr>
        <mc:AlternateContent>
          <mc:Choice Requires="wps">
            <w:drawing>
              <wp:anchor distT="0" distB="0" distL="114300" distR="114300" simplePos="0" relativeHeight="251660288" behindDoc="0" locked="0" layoutInCell="1" allowOverlap="1" wp14:anchorId="4EB4E827" wp14:editId="5D872B6B">
                <wp:simplePos x="0" y="0"/>
                <wp:positionH relativeFrom="column">
                  <wp:posOffset>63500</wp:posOffset>
                </wp:positionH>
                <wp:positionV relativeFrom="paragraph">
                  <wp:posOffset>772795</wp:posOffset>
                </wp:positionV>
                <wp:extent cx="5480685" cy="2285365"/>
                <wp:effectExtent l="0" t="0" r="31115" b="26035"/>
                <wp:wrapThrough wrapText="bothSides">
                  <wp:wrapPolygon edited="0">
                    <wp:start x="801" y="0"/>
                    <wp:lineTo x="0" y="1440"/>
                    <wp:lineTo x="0" y="20406"/>
                    <wp:lineTo x="801" y="21606"/>
                    <wp:lineTo x="20822" y="21606"/>
                    <wp:lineTo x="21623" y="20406"/>
                    <wp:lineTo x="21623" y="1440"/>
                    <wp:lineTo x="20822" y="0"/>
                    <wp:lineTo x="801" y="0"/>
                  </wp:wrapPolygon>
                </wp:wrapThrough>
                <wp:docPr id="3" name="Rounded Rectangle 3"/>
                <wp:cNvGraphicFramePr/>
                <a:graphic xmlns:a="http://schemas.openxmlformats.org/drawingml/2006/main">
                  <a:graphicData uri="http://schemas.microsoft.com/office/word/2010/wordprocessingShape">
                    <wps:wsp>
                      <wps:cNvSpPr/>
                      <wps:spPr>
                        <a:xfrm>
                          <a:off x="0" y="0"/>
                          <a:ext cx="5480685" cy="22853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43207C" w14:textId="010EEEC5" w:rsidR="00FB33D7" w:rsidRPr="000E7570" w:rsidRDefault="00FB33D7" w:rsidP="000E7570">
                            <w:pPr>
                              <w:jc w:val="center"/>
                              <w:rPr>
                                <w:lang w:val="en-GB"/>
                              </w:rPr>
                            </w:pPr>
                            <w:r>
                              <w:rPr>
                                <w:lang w:val="en-GB"/>
                              </w:rPr>
                              <w:t>‘</w:t>
                            </w:r>
                            <w:r w:rsidRPr="000E7570">
                              <w:rPr>
                                <w:lang w:val="en-GB"/>
                              </w:rPr>
                              <w:t>Australia’s current policies fall far short of the emissions reductions required to meet the 2030 target put forward in its NDC. Under current policies in place, Australia’s total GHG emissions excl. LULUCF are projected to rise to 533 MtCO2e by 2020 and 548 MtCO2e by 2030. This is equivalent to an increase in emissions from 2005 levels (excl. LULUCF) of 6% and 9% by 2020 and 2030 respectively (when compared to 1990 levels (excl. LULUCF) this results in an increase of 33% and 37% respectively). To meet its 2030 emissions targets, Australian emissions should </w:t>
                            </w:r>
                            <w:r w:rsidRPr="000E7570">
                              <w:rPr>
                                <w:i/>
                                <w:iCs/>
                                <w:lang w:val="en-GB"/>
                              </w:rPr>
                              <w:t>decrease</w:t>
                            </w:r>
                            <w:r w:rsidRPr="000E7570">
                              <w:rPr>
                                <w:lang w:val="en-GB"/>
                              </w:rPr>
                              <w:t> by an average annual rate of 1.3 to 1.5 per cent until 2030; instead, with current policies, they are set to </w:t>
                            </w:r>
                            <w:r w:rsidRPr="000E7570">
                              <w:rPr>
                                <w:i/>
                                <w:iCs/>
                                <w:lang w:val="en-GB"/>
                              </w:rPr>
                              <w:t>increase</w:t>
                            </w:r>
                            <w:r w:rsidRPr="000E7570">
                              <w:rPr>
                                <w:lang w:val="en-GB"/>
                              </w:rPr>
                              <w:t> by an average annual rate of 0.4% per year.</w:t>
                            </w:r>
                            <w:r>
                              <w:rPr>
                                <w:lang w:val="en-GB"/>
                              </w:rPr>
                              <w:t>’</w:t>
                            </w:r>
                            <w:r>
                              <w:rPr>
                                <w:lang w:val="en-GB"/>
                              </w:rPr>
                              <w:br/>
                            </w:r>
                            <w:r w:rsidRPr="00CA1C2A">
                              <w:rPr>
                                <w:sz w:val="18"/>
                                <w:szCs w:val="18"/>
                                <w:lang w:val="en-GB"/>
                              </w:rPr>
                              <w:t>Source: Climate Action Tracker - Australia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EB4E827" id="Rounded Rectangle 3" o:spid="_x0000_s1026" style="position:absolute;left:0;text-align:left;margin-left:5pt;margin-top:60.85pt;width:431.55pt;height:17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" fillcolor="#4f81bd [3204]" strokecolor="#243f60 [1604]" strokeweight="2pt">
                <v:textbox>
                  <w:txbxContent>
                    <w:p w14:paraId="7743207C" w14:textId="010EEEC5" w:rsidR="00FB33D7" w:rsidRPr="000E7570" w:rsidRDefault="00FB33D7" w:rsidP="000E7570">
                      <w:pPr>
                        <w:jc w:val="center"/>
                        <w:rPr>
                          <w:lang w:val="en-GB"/>
                        </w:rPr>
                      </w:pPr>
                      <w:r>
                        <w:rPr>
                          <w:lang w:val="en-GB"/>
                        </w:rPr>
                        <w:t>‘</w:t>
                      </w:r>
                      <w:r w:rsidRPr="000E7570">
                        <w:rPr>
                          <w:lang w:val="en-GB"/>
                        </w:rPr>
                        <w:t>Australia’s current policies fall far short of the emissions reductions required to meet the 2030 target put forward in its NDC. Under current policies in place, Australia’s total GHG emissions excl. LULUCF are projected to rise to 533 MtCO2e by 2020 and 548 MtCO2e by 2030. This is equivalent to an increase in emissions from 2005 levels (excl. LULUCF) of 6% and 9% by 2020 and 2030 respectively (when compared to 1990 levels (excl. LULUCF) this results in an increase of 33% and 37% respectively). To meet its 2030 emissions targets, Australian emissions should </w:t>
                      </w:r>
                      <w:r w:rsidRPr="000E7570">
                        <w:rPr>
                          <w:i/>
                          <w:iCs/>
                          <w:lang w:val="en-GB"/>
                        </w:rPr>
                        <w:t>decrease</w:t>
                      </w:r>
                      <w:r w:rsidRPr="000E7570">
                        <w:rPr>
                          <w:lang w:val="en-GB"/>
                        </w:rPr>
                        <w:t> by an average annual rate of 1.3 to 1.5 per cent until 2030; instead, with current policies, they are set to </w:t>
                      </w:r>
                      <w:r w:rsidRPr="000E7570">
                        <w:rPr>
                          <w:i/>
                          <w:iCs/>
                          <w:lang w:val="en-GB"/>
                        </w:rPr>
                        <w:t>increase</w:t>
                      </w:r>
                      <w:r w:rsidRPr="000E7570">
                        <w:rPr>
                          <w:lang w:val="en-GB"/>
                        </w:rPr>
                        <w:t> by an average annual rate of 0.4% per year.</w:t>
                      </w:r>
                      <w:r>
                        <w:rPr>
                          <w:lang w:val="en-GB"/>
                        </w:rPr>
                        <w:t>’</w:t>
                      </w:r>
                      <w:r>
                        <w:rPr>
                          <w:lang w:val="en-GB"/>
                        </w:rPr>
                        <w:br/>
                      </w:r>
                      <w:r w:rsidRPr="00CA1C2A">
                        <w:rPr>
                          <w:sz w:val="18"/>
                          <w:szCs w:val="18"/>
                          <w:lang w:val="en-GB"/>
                        </w:rPr>
                        <w:t>Source: Climate Action Tracker - Australia</w:t>
                      </w:r>
                    </w:p>
                  </w:txbxContent>
                </v:textbox>
                <w10:wrap type="through"/>
              </v:roundrect>
            </w:pict>
          </mc:Fallback>
        </mc:AlternateContent>
      </w:r>
      <w:r w:rsidR="00CA1C2A" w:rsidRPr="00040C2C">
        <w:rPr>
          <w:lang w:val="en-GB"/>
        </w:rPr>
        <w:t>While Australia is on track to meet its 2020 target by offsetting reductions in other sectors, after 2020, however, emissions are likely to rise to 592 MtCO2-eq. in 2030, with projected economic growth and in the absence of additional policies.</w:t>
      </w:r>
      <w:r w:rsidR="00CA1C2A">
        <w:rPr>
          <w:lang w:val="en-GB"/>
        </w:rPr>
        <w:t>’</w:t>
      </w:r>
      <w:r w:rsidR="00CA1C2A">
        <w:rPr>
          <w:rStyle w:val="FootnoteReference"/>
          <w:lang w:val="en-GB"/>
        </w:rPr>
        <w:footnoteReference w:id="35"/>
      </w:r>
    </w:p>
    <w:p w14:paraId="019133C7" w14:textId="3354BBA5" w:rsidR="00A46ECC" w:rsidRDefault="00A46ECC" w:rsidP="00493158">
      <w:pPr>
        <w:spacing w:after="120" w:line="288" w:lineRule="auto"/>
        <w:rPr>
          <w:lang w:val="en-GB"/>
        </w:rPr>
      </w:pPr>
    </w:p>
    <w:p w14:paraId="5E453695" w14:textId="472C079D" w:rsidR="000169AF" w:rsidRDefault="00FC5AE2" w:rsidP="00DE4D85">
      <w:pPr>
        <w:pStyle w:val="Heading2"/>
        <w:numPr>
          <w:ilvl w:val="0"/>
          <w:numId w:val="5"/>
        </w:numPr>
        <w:spacing w:before="0" w:after="120" w:line="288" w:lineRule="auto"/>
        <w:ind w:left="357" w:hanging="357"/>
      </w:pPr>
      <w:r>
        <w:t xml:space="preserve">Australia’s </w:t>
      </w:r>
      <w:r w:rsidR="00200DA4">
        <w:t xml:space="preserve">coal </w:t>
      </w:r>
      <w:r w:rsidR="00E72FF6">
        <w:t>consumption and exports</w:t>
      </w:r>
    </w:p>
    <w:p w14:paraId="76483167" w14:textId="37380A7B" w:rsidR="00824893" w:rsidRDefault="00824893" w:rsidP="00340325">
      <w:pPr>
        <w:spacing w:after="120" w:line="288" w:lineRule="auto"/>
        <w:rPr>
          <w:lang w:val="en-GB"/>
        </w:rPr>
      </w:pPr>
      <w:r>
        <w:rPr>
          <w:lang w:val="en-GB"/>
        </w:rPr>
        <w:t xml:space="preserve">Coal </w:t>
      </w:r>
      <w:r w:rsidR="00200DA4">
        <w:rPr>
          <w:lang w:val="en-GB"/>
        </w:rPr>
        <w:t xml:space="preserve">is the </w:t>
      </w:r>
      <w:r w:rsidR="002E586C">
        <w:rPr>
          <w:lang w:val="en-GB"/>
        </w:rPr>
        <w:t>larg</w:t>
      </w:r>
      <w:r w:rsidR="001F194E">
        <w:rPr>
          <w:lang w:val="en-GB"/>
        </w:rPr>
        <w:t xml:space="preserve">est </w:t>
      </w:r>
      <w:r w:rsidR="00200DA4">
        <w:rPr>
          <w:lang w:val="en-GB"/>
        </w:rPr>
        <w:t xml:space="preserve">source of greenhouse gas emissions. </w:t>
      </w:r>
      <w:r w:rsidR="00FB4766">
        <w:rPr>
          <w:lang w:val="en-GB"/>
        </w:rPr>
        <w:t>All scenarios consistent with keeping global temperature increases to below 2</w:t>
      </w:r>
      <w:r w:rsidR="005E2786" w:rsidRPr="005E2786">
        <w:rPr>
          <w:lang w:val="en-GB"/>
        </w:rPr>
        <w:t>°C</w:t>
      </w:r>
      <w:r w:rsidR="00FB4766">
        <w:rPr>
          <w:lang w:val="en-GB"/>
        </w:rPr>
        <w:t>, require the decarbonisation of the power sector and a phase-out of coal.</w:t>
      </w:r>
      <w:r w:rsidR="00FB4766">
        <w:rPr>
          <w:rStyle w:val="FootnoteReference"/>
          <w:lang w:val="en-GB"/>
        </w:rPr>
        <w:footnoteReference w:id="36"/>
      </w:r>
      <w:r w:rsidR="00FB4766">
        <w:rPr>
          <w:lang w:val="en-GB"/>
        </w:rPr>
        <w:t xml:space="preserve"> </w:t>
      </w:r>
      <w:r w:rsidR="00164470">
        <w:rPr>
          <w:lang w:val="en-GB"/>
        </w:rPr>
        <w:t>Australia is the world’s 4</w:t>
      </w:r>
      <w:r w:rsidR="00164470" w:rsidRPr="00E72FF6">
        <w:rPr>
          <w:vertAlign w:val="superscript"/>
          <w:lang w:val="en-GB"/>
        </w:rPr>
        <w:t>th</w:t>
      </w:r>
      <w:r w:rsidR="00164470">
        <w:rPr>
          <w:lang w:val="en-GB"/>
        </w:rPr>
        <w:t xml:space="preserve"> largest producer of coal</w:t>
      </w:r>
      <w:r w:rsidR="003E540A">
        <w:rPr>
          <w:lang w:val="en-GB"/>
        </w:rPr>
        <w:t xml:space="preserve">, with </w:t>
      </w:r>
      <w:r w:rsidR="00B7469B">
        <w:rPr>
          <w:lang w:val="en-GB"/>
        </w:rPr>
        <w:t>the majority</w:t>
      </w:r>
      <w:r w:rsidR="0002716D">
        <w:rPr>
          <w:lang w:val="en-GB"/>
        </w:rPr>
        <w:t xml:space="preserve"> of it being</w:t>
      </w:r>
      <w:r w:rsidR="00B7469B">
        <w:rPr>
          <w:lang w:val="en-GB"/>
        </w:rPr>
        <w:t xml:space="preserve"> exported</w:t>
      </w:r>
      <w:r w:rsidR="00164470">
        <w:rPr>
          <w:lang w:val="en-GB"/>
        </w:rPr>
        <w:t>.</w:t>
      </w:r>
      <w:r w:rsidR="00164470">
        <w:rPr>
          <w:rStyle w:val="FootnoteReference"/>
          <w:lang w:val="en-GB"/>
        </w:rPr>
        <w:footnoteReference w:id="37"/>
      </w:r>
      <w:r w:rsidR="00164470">
        <w:rPr>
          <w:lang w:val="en-GB"/>
        </w:rPr>
        <w:t xml:space="preserve"> Australia’</w:t>
      </w:r>
      <w:r w:rsidR="00B7469B">
        <w:rPr>
          <w:lang w:val="en-GB"/>
        </w:rPr>
        <w:t>s reliance on</w:t>
      </w:r>
      <w:r w:rsidR="00164470">
        <w:rPr>
          <w:lang w:val="en-GB"/>
        </w:rPr>
        <w:t xml:space="preserve"> coal for domestic electricity generation is declining as renewable energy options become more affordable and this will impact Australia’s direct emissions. However, Australia continues to </w:t>
      </w:r>
      <w:r w:rsidR="008822BB">
        <w:rPr>
          <w:lang w:val="en-GB"/>
        </w:rPr>
        <w:t>export approximately 400 million tonnes of</w:t>
      </w:r>
      <w:r w:rsidR="00164470">
        <w:rPr>
          <w:lang w:val="en-GB"/>
        </w:rPr>
        <w:t xml:space="preserve"> coal</w:t>
      </w:r>
      <w:r w:rsidR="008822BB">
        <w:rPr>
          <w:lang w:val="en-GB"/>
        </w:rPr>
        <w:t xml:space="preserve"> each year</w:t>
      </w:r>
      <w:r w:rsidR="00164470">
        <w:rPr>
          <w:lang w:val="en-GB"/>
        </w:rPr>
        <w:t>, which is contributing significantly to global carbon pollution.</w:t>
      </w:r>
      <w:r w:rsidR="00CA1C2A">
        <w:rPr>
          <w:lang w:val="en-GB"/>
        </w:rPr>
        <w:t xml:space="preserve"> In Australia:</w:t>
      </w:r>
    </w:p>
    <w:p w14:paraId="7E448639" w14:textId="0364EE87" w:rsidR="005044CE" w:rsidRDefault="005044CE" w:rsidP="00164470">
      <w:pPr>
        <w:spacing w:after="120" w:line="288" w:lineRule="auto"/>
        <w:ind w:left="708"/>
        <w:rPr>
          <w:lang w:val="en-GB"/>
        </w:rPr>
      </w:pPr>
      <w:r>
        <w:rPr>
          <w:lang w:val="en-GB"/>
        </w:rPr>
        <w:t>‘</w:t>
      </w:r>
      <w:r w:rsidRPr="005044CE">
        <w:rPr>
          <w:lang w:val="en-GB"/>
        </w:rPr>
        <w:t xml:space="preserve">Coal is also the largest energy source, accounting for 34% of </w:t>
      </w:r>
      <w:r w:rsidR="009A39AE">
        <w:rPr>
          <w:lang w:val="en-GB"/>
        </w:rPr>
        <w:t>total primary energy supply</w:t>
      </w:r>
      <w:r w:rsidRPr="005044CE">
        <w:rPr>
          <w:lang w:val="en-GB"/>
        </w:rPr>
        <w:t xml:space="preserve"> and 63% of electricity generation. While the share of coal in electricity generation has declined in the past decade, coal production as a share of total energy production is increasing, as Australia is a major and growing coal produ</w:t>
      </w:r>
      <w:r>
        <w:rPr>
          <w:lang w:val="en-GB"/>
        </w:rPr>
        <w:t>cer and world-leading exporter.’</w:t>
      </w:r>
      <w:r>
        <w:rPr>
          <w:rStyle w:val="FootnoteReference"/>
          <w:lang w:val="en-GB"/>
        </w:rPr>
        <w:footnoteReference w:id="38"/>
      </w:r>
    </w:p>
    <w:p w14:paraId="58642AD6" w14:textId="4D7975AF" w:rsidR="00340325" w:rsidRDefault="00340325" w:rsidP="00493158">
      <w:pPr>
        <w:spacing w:after="120" w:line="288" w:lineRule="auto"/>
        <w:rPr>
          <w:lang w:val="en-GB"/>
        </w:rPr>
      </w:pPr>
      <w:r w:rsidRPr="00340325">
        <w:rPr>
          <w:lang w:val="en-GB"/>
        </w:rPr>
        <w:t>The Australian government is continuing to promote coal for domestic energy consumption and exports</w:t>
      </w:r>
      <w:r w:rsidR="0098151E">
        <w:rPr>
          <w:lang w:val="en-GB"/>
        </w:rPr>
        <w:t>, most infamously through its support for the huge Adani Carmichael coal mine in Queensland</w:t>
      </w:r>
      <w:r w:rsidRPr="00340325">
        <w:rPr>
          <w:lang w:val="en-GB"/>
        </w:rPr>
        <w:t>.</w:t>
      </w:r>
      <w:r w:rsidR="00164470" w:rsidRPr="00164470">
        <w:rPr>
          <w:lang w:val="en-GB"/>
        </w:rPr>
        <w:t xml:space="preserve"> </w:t>
      </w:r>
      <w:r w:rsidRPr="00340325">
        <w:rPr>
          <w:lang w:val="en-GB"/>
        </w:rPr>
        <w:t>Federal Resources</w:t>
      </w:r>
      <w:r w:rsidR="00824893">
        <w:rPr>
          <w:lang w:val="en-GB"/>
        </w:rPr>
        <w:t xml:space="preserve"> Minister, Mr Matt Canavan, </w:t>
      </w:r>
      <w:r w:rsidRPr="00340325">
        <w:rPr>
          <w:lang w:val="en-GB"/>
        </w:rPr>
        <w:t xml:space="preserve">recently </w:t>
      </w:r>
      <w:r w:rsidR="00824893">
        <w:rPr>
          <w:lang w:val="en-GB"/>
        </w:rPr>
        <w:t>said</w:t>
      </w:r>
      <w:r>
        <w:rPr>
          <w:lang w:val="en-GB"/>
        </w:rPr>
        <w:t xml:space="preserve"> that the coal mining industry </w:t>
      </w:r>
      <w:r w:rsidR="00824893">
        <w:rPr>
          <w:lang w:val="en-GB"/>
        </w:rPr>
        <w:t xml:space="preserve">will continue to be an important part of </w:t>
      </w:r>
      <w:r>
        <w:rPr>
          <w:lang w:val="en-GB"/>
        </w:rPr>
        <w:t>Australia’s future</w:t>
      </w:r>
      <w:r w:rsidR="00E97B41">
        <w:rPr>
          <w:lang w:val="en-GB"/>
        </w:rPr>
        <w:t xml:space="preserve"> and Australia d</w:t>
      </w:r>
      <w:r w:rsidR="00CA1C2A">
        <w:rPr>
          <w:lang w:val="en-GB"/>
        </w:rPr>
        <w:t>oes</w:t>
      </w:r>
      <w:r w:rsidR="00E97B41">
        <w:rPr>
          <w:lang w:val="en-GB"/>
        </w:rPr>
        <w:t xml:space="preserve"> not need to prepare for a coal transition</w:t>
      </w:r>
      <w:r w:rsidRPr="00340325">
        <w:rPr>
          <w:lang w:val="en-GB"/>
        </w:rPr>
        <w:t>.</w:t>
      </w:r>
      <w:r>
        <w:rPr>
          <w:rStyle w:val="FootnoteReference"/>
          <w:lang w:val="en-GB"/>
        </w:rPr>
        <w:footnoteReference w:id="39"/>
      </w:r>
    </w:p>
    <w:p w14:paraId="0BEABA2D" w14:textId="46F4F8A9" w:rsidR="002E586C" w:rsidRDefault="0002716D" w:rsidP="00493158">
      <w:pPr>
        <w:spacing w:after="120" w:line="288" w:lineRule="auto"/>
        <w:rPr>
          <w:lang w:val="en-GB"/>
        </w:rPr>
      </w:pPr>
      <w:r>
        <w:rPr>
          <w:lang w:val="en-GB"/>
        </w:rPr>
        <w:t xml:space="preserve">According to </w:t>
      </w:r>
      <w:r w:rsidRPr="00340325">
        <w:rPr>
          <w:lang w:val="en-GB"/>
        </w:rPr>
        <w:t>Adam Walters of Energy Resource Insights</w:t>
      </w:r>
      <w:r>
        <w:rPr>
          <w:lang w:val="en-GB"/>
        </w:rPr>
        <w:t xml:space="preserve">, </w:t>
      </w:r>
      <w:r w:rsidR="00E97B41">
        <w:rPr>
          <w:lang w:val="en-GB"/>
        </w:rPr>
        <w:t>Australia exports</w:t>
      </w:r>
      <w:r w:rsidR="00E97B41" w:rsidRPr="00340325">
        <w:rPr>
          <w:lang w:val="en-GB"/>
        </w:rPr>
        <w:t xml:space="preserve"> approximately 1 billion tonnes of carbon dioxide per year in coal, gas and oil exports</w:t>
      </w:r>
      <w:r>
        <w:rPr>
          <w:lang w:val="en-GB"/>
        </w:rPr>
        <w:t>, making it</w:t>
      </w:r>
      <w:r w:rsidR="00E97B41" w:rsidRPr="00340325">
        <w:rPr>
          <w:lang w:val="en-GB"/>
        </w:rPr>
        <w:t xml:space="preserve"> the world’s third biggest exporter of car</w:t>
      </w:r>
      <w:r>
        <w:rPr>
          <w:lang w:val="en-GB"/>
        </w:rPr>
        <w:t>bon pollution</w:t>
      </w:r>
      <w:r w:rsidR="00E97B41" w:rsidRPr="00340325">
        <w:rPr>
          <w:lang w:val="en-GB"/>
        </w:rPr>
        <w:t>.</w:t>
      </w:r>
      <w:r w:rsidR="00E97B41">
        <w:rPr>
          <w:rStyle w:val="FootnoteReference"/>
          <w:lang w:val="en-GB"/>
        </w:rPr>
        <w:footnoteReference w:id="40"/>
      </w:r>
      <w:r w:rsidR="00E97B41" w:rsidRPr="00340325">
        <w:rPr>
          <w:lang w:val="en-GB"/>
        </w:rPr>
        <w:t xml:space="preserve"> </w:t>
      </w:r>
    </w:p>
    <w:p w14:paraId="4FB3C898" w14:textId="2EEE94C5" w:rsidR="004346BC" w:rsidRDefault="00200DA4" w:rsidP="00493158">
      <w:pPr>
        <w:spacing w:after="120" w:line="288" w:lineRule="auto"/>
        <w:rPr>
          <w:lang w:val="en-GB"/>
        </w:rPr>
      </w:pPr>
      <w:r w:rsidRPr="0031122C">
        <w:rPr>
          <w:lang w:val="en-GB"/>
        </w:rPr>
        <w:t xml:space="preserve">Analysis of global carbon budgets prepared by the </w:t>
      </w:r>
      <w:r w:rsidR="002E586C" w:rsidRPr="0031122C">
        <w:rPr>
          <w:lang w:val="en-GB"/>
        </w:rPr>
        <w:t>IPCC</w:t>
      </w:r>
      <w:r w:rsidRPr="0031122C">
        <w:rPr>
          <w:lang w:val="en-GB"/>
        </w:rPr>
        <w:t xml:space="preserve"> shows that achieving the 1.5°C goal </w:t>
      </w:r>
      <w:r w:rsidR="0031122C">
        <w:rPr>
          <w:lang w:val="en-GB"/>
        </w:rPr>
        <w:t xml:space="preserve">and </w:t>
      </w:r>
      <w:r w:rsidR="0031122C" w:rsidRPr="0031122C">
        <w:rPr>
          <w:lang w:val="en-GB"/>
        </w:rPr>
        <w:t>avoiding</w:t>
      </w:r>
      <w:r w:rsidR="0031122C">
        <w:rPr>
          <w:lang w:val="en-GB"/>
        </w:rPr>
        <w:t xml:space="preserve"> the serious damage to children’s rights, </w:t>
      </w:r>
      <w:r w:rsidRPr="0031122C">
        <w:rPr>
          <w:lang w:val="en-GB"/>
        </w:rPr>
        <w:t>will require the very rapid decarbonisation of the global economy. In other words, global carbon pollution will need to begin declining very rapidly and reach zero in the coming decades</w:t>
      </w:r>
      <w:r w:rsidRPr="004346BC">
        <w:rPr>
          <w:lang w:val="en-GB"/>
        </w:rPr>
        <w:t xml:space="preserve">. </w:t>
      </w:r>
      <w:r w:rsidR="00772CC3">
        <w:rPr>
          <w:lang w:val="en-GB"/>
        </w:rPr>
        <w:t>Therefore</w:t>
      </w:r>
      <w:r w:rsidRPr="004346BC">
        <w:rPr>
          <w:lang w:val="en-GB"/>
        </w:rPr>
        <w:t xml:space="preserve"> limiting warming to 1.5°C means no space for new coal.</w:t>
      </w:r>
      <w:r>
        <w:rPr>
          <w:rStyle w:val="FootnoteReference"/>
          <w:lang w:val="en-GB"/>
        </w:rPr>
        <w:footnoteReference w:id="41"/>
      </w:r>
      <w:r w:rsidRPr="004346BC">
        <w:rPr>
          <w:lang w:val="en-GB"/>
        </w:rPr>
        <w:t xml:space="preserve"> </w:t>
      </w:r>
      <w:r w:rsidR="005F1892">
        <w:rPr>
          <w:lang w:val="en-GB"/>
        </w:rPr>
        <w:t>Opening-</w:t>
      </w:r>
      <w:r w:rsidR="004346BC" w:rsidRPr="004346BC">
        <w:rPr>
          <w:lang w:val="en-GB"/>
        </w:rPr>
        <w:t xml:space="preserve">up new coal reserves </w:t>
      </w:r>
      <w:r w:rsidR="005F1892">
        <w:rPr>
          <w:lang w:val="en-GB"/>
        </w:rPr>
        <w:t>in Australia is</w:t>
      </w:r>
      <w:r w:rsidR="004346BC" w:rsidRPr="004346BC">
        <w:rPr>
          <w:lang w:val="en-GB"/>
        </w:rPr>
        <w:t xml:space="preserve"> incompatib</w:t>
      </w:r>
      <w:r w:rsidR="0002716D">
        <w:rPr>
          <w:lang w:val="en-GB"/>
        </w:rPr>
        <w:t>le with avoiding a future of</w:t>
      </w:r>
      <w:r w:rsidR="004346BC" w:rsidRPr="004346BC">
        <w:rPr>
          <w:lang w:val="en-GB"/>
        </w:rPr>
        <w:t xml:space="preserve"> more dangerous climate change</w:t>
      </w:r>
      <w:r w:rsidR="005F1892">
        <w:rPr>
          <w:lang w:val="en-GB"/>
        </w:rPr>
        <w:t>.</w:t>
      </w:r>
      <w:r w:rsidR="00EF0F3A">
        <w:rPr>
          <w:lang w:val="en-GB"/>
        </w:rPr>
        <w:t xml:space="preserve"> </w:t>
      </w:r>
      <w:r w:rsidR="00EF0F3A" w:rsidRPr="005D7C1B">
        <w:rPr>
          <w:b/>
          <w:lang w:val="en-GB"/>
        </w:rPr>
        <w:t>Australia must immediately put in place policies to phase out coal both for domestic use and for exports.</w:t>
      </w:r>
      <w:r w:rsidR="00EF0F3A" w:rsidRPr="005D7C1B">
        <w:rPr>
          <w:rStyle w:val="FootnoteReference"/>
          <w:b/>
          <w:lang w:val="en-GB"/>
        </w:rPr>
        <w:footnoteReference w:id="42"/>
      </w:r>
    </w:p>
    <w:p w14:paraId="5F463330" w14:textId="396F250F" w:rsidR="004346BC" w:rsidRPr="00493158" w:rsidRDefault="002D4B69" w:rsidP="003B0354">
      <w:pPr>
        <w:pStyle w:val="Heading2"/>
        <w:numPr>
          <w:ilvl w:val="0"/>
          <w:numId w:val="5"/>
        </w:numPr>
        <w:spacing w:before="0" w:after="120" w:line="288" w:lineRule="auto"/>
        <w:ind w:left="357" w:hanging="357"/>
      </w:pPr>
      <w:r>
        <w:t>Australia’s renewable e</w:t>
      </w:r>
      <w:r w:rsidR="004346BC">
        <w:t>nergy</w:t>
      </w:r>
      <w:r>
        <w:t xml:space="preserve"> policies</w:t>
      </w:r>
    </w:p>
    <w:p w14:paraId="0A8A39A6" w14:textId="77777777" w:rsidR="00B43D04" w:rsidRDefault="009A38EF" w:rsidP="00C67364">
      <w:pPr>
        <w:spacing w:after="120" w:line="288" w:lineRule="auto"/>
        <w:rPr>
          <w:lang w:val="en-GB"/>
        </w:rPr>
      </w:pPr>
      <w:r>
        <w:rPr>
          <w:lang w:val="en-GB"/>
        </w:rPr>
        <w:t>Considering that the electricity sector is the largest source of Australia’s domestic emissions, any credible strategy for tackling Australia’s contribution to climate change must include rapidly accelerating Australia’s transition to renewable energy. Despite Australia’s abundant renewable energy potential and the co-benefits of renewables in reducing energy costs, creating new jobs, and providing long-term energy security,</w:t>
      </w:r>
      <w:r w:rsidR="004A556F">
        <w:rPr>
          <w:lang w:val="en-GB"/>
        </w:rPr>
        <w:t xml:space="preserve"> </w:t>
      </w:r>
      <w:r w:rsidR="00493158" w:rsidRPr="00493158">
        <w:rPr>
          <w:lang w:val="en-GB"/>
        </w:rPr>
        <w:t xml:space="preserve">Australia’s </w:t>
      </w:r>
      <w:r>
        <w:rPr>
          <w:lang w:val="en-GB"/>
        </w:rPr>
        <w:t xml:space="preserve">national </w:t>
      </w:r>
      <w:r w:rsidR="00493158" w:rsidRPr="00493158">
        <w:rPr>
          <w:lang w:val="en-GB"/>
        </w:rPr>
        <w:t>policies on renewable en</w:t>
      </w:r>
      <w:r w:rsidR="000E6F1D">
        <w:rPr>
          <w:lang w:val="en-GB"/>
        </w:rPr>
        <w:t>ergy are discouraging</w:t>
      </w:r>
      <w:r w:rsidR="001A1764">
        <w:rPr>
          <w:lang w:val="en-GB"/>
        </w:rPr>
        <w:t>.</w:t>
      </w:r>
    </w:p>
    <w:p w14:paraId="70057FD8" w14:textId="4652983D" w:rsidR="007B496E" w:rsidRDefault="001A1764" w:rsidP="000F484C">
      <w:pPr>
        <w:spacing w:after="120" w:line="288" w:lineRule="auto"/>
        <w:rPr>
          <w:lang w:val="en-GB"/>
        </w:rPr>
      </w:pPr>
      <w:r>
        <w:rPr>
          <w:lang w:val="en-GB"/>
        </w:rPr>
        <w:t>The ‘Renewable Energy Target’</w:t>
      </w:r>
      <w:r w:rsidR="00C67364">
        <w:rPr>
          <w:lang w:val="en-GB"/>
        </w:rPr>
        <w:t xml:space="preserve"> </w:t>
      </w:r>
      <w:r w:rsidR="00A074C1">
        <w:rPr>
          <w:lang w:val="en-GB"/>
        </w:rPr>
        <w:t xml:space="preserve">(RET) </w:t>
      </w:r>
      <w:r w:rsidR="00C67364">
        <w:rPr>
          <w:lang w:val="en-GB"/>
        </w:rPr>
        <w:t>commits Australia to</w:t>
      </w:r>
      <w:r w:rsidR="00C67364" w:rsidRPr="00C67364">
        <w:rPr>
          <w:lang w:val="en-GB"/>
        </w:rPr>
        <w:t xml:space="preserve"> </w:t>
      </w:r>
      <w:r w:rsidR="00017004">
        <w:rPr>
          <w:lang w:val="en-GB"/>
        </w:rPr>
        <w:t xml:space="preserve">at least </w:t>
      </w:r>
      <w:r w:rsidR="00C67364" w:rsidRPr="00C67364">
        <w:rPr>
          <w:lang w:val="en-GB"/>
        </w:rPr>
        <w:t>33,000 giga</w:t>
      </w:r>
      <w:r w:rsidR="00017004">
        <w:rPr>
          <w:lang w:val="en-GB"/>
        </w:rPr>
        <w:t>watt-hours of</w:t>
      </w:r>
      <w:r w:rsidR="00C67364">
        <w:rPr>
          <w:lang w:val="en-GB"/>
        </w:rPr>
        <w:t xml:space="preserve"> energy </w:t>
      </w:r>
      <w:r w:rsidR="00017004">
        <w:rPr>
          <w:lang w:val="en-GB"/>
        </w:rPr>
        <w:t xml:space="preserve">in the electricity sector </w:t>
      </w:r>
      <w:r w:rsidR="00B43D04">
        <w:rPr>
          <w:lang w:val="en-GB"/>
        </w:rPr>
        <w:t xml:space="preserve">to </w:t>
      </w:r>
      <w:r w:rsidR="00017004">
        <w:rPr>
          <w:lang w:val="en-GB"/>
        </w:rPr>
        <w:t xml:space="preserve">come from renewables, by 2020. This </w:t>
      </w:r>
      <w:r w:rsidR="00C67364">
        <w:rPr>
          <w:lang w:val="en-GB"/>
        </w:rPr>
        <w:t xml:space="preserve">is </w:t>
      </w:r>
      <w:r w:rsidR="00C67364" w:rsidRPr="00C67364">
        <w:rPr>
          <w:lang w:val="en-GB"/>
        </w:rPr>
        <w:t>equivalent to about 23.5% of Australia’s electricity generation</w:t>
      </w:r>
      <w:r w:rsidR="00C67364">
        <w:rPr>
          <w:lang w:val="en-GB"/>
        </w:rPr>
        <w:t>.</w:t>
      </w:r>
      <w:r w:rsidR="00B43D04">
        <w:rPr>
          <w:lang w:val="en-GB"/>
        </w:rPr>
        <w:t xml:space="preserve"> </w:t>
      </w:r>
      <w:r w:rsidR="00C60EB4">
        <w:rPr>
          <w:lang w:val="en-GB"/>
        </w:rPr>
        <w:t>T</w:t>
      </w:r>
      <w:r w:rsidR="000E6F1D">
        <w:rPr>
          <w:lang w:val="en-GB"/>
        </w:rPr>
        <w:t xml:space="preserve">he </w:t>
      </w:r>
      <w:r w:rsidR="00B43D04">
        <w:rPr>
          <w:lang w:val="en-GB"/>
        </w:rPr>
        <w:t>Federal G</w:t>
      </w:r>
      <w:r w:rsidR="000E6F1D">
        <w:rPr>
          <w:lang w:val="en-GB"/>
        </w:rPr>
        <w:t>overnment</w:t>
      </w:r>
      <w:r w:rsidR="00493158" w:rsidRPr="00493158">
        <w:rPr>
          <w:lang w:val="en-GB"/>
        </w:rPr>
        <w:t xml:space="preserve"> </w:t>
      </w:r>
      <w:r w:rsidR="007100DD">
        <w:rPr>
          <w:lang w:val="en-GB"/>
        </w:rPr>
        <w:t xml:space="preserve">reduced the RET in 2015 (from </w:t>
      </w:r>
      <w:r w:rsidR="007100DD" w:rsidRPr="007100DD">
        <w:rPr>
          <w:lang w:val="en-GB"/>
        </w:rPr>
        <w:t>41,000 GWh</w:t>
      </w:r>
      <w:r w:rsidR="007100DD">
        <w:rPr>
          <w:lang w:val="en-GB"/>
        </w:rPr>
        <w:t xml:space="preserve">) and </w:t>
      </w:r>
      <w:r w:rsidR="00493158" w:rsidRPr="00493158">
        <w:rPr>
          <w:lang w:val="en-GB"/>
        </w:rPr>
        <w:t>signifi</w:t>
      </w:r>
      <w:r w:rsidR="00A074C1">
        <w:rPr>
          <w:lang w:val="en-GB"/>
        </w:rPr>
        <w:t>cantly cut funding to the main renewable e</w:t>
      </w:r>
      <w:r w:rsidR="00493158" w:rsidRPr="00493158">
        <w:rPr>
          <w:lang w:val="en-GB"/>
        </w:rPr>
        <w:t xml:space="preserve">nergy body </w:t>
      </w:r>
      <w:r w:rsidR="00A074C1">
        <w:rPr>
          <w:lang w:val="en-GB"/>
        </w:rPr>
        <w:t xml:space="preserve">(the Australian Renewable Energy Agency - ARENA) </w:t>
      </w:r>
      <w:r w:rsidR="00493158" w:rsidRPr="00493158">
        <w:rPr>
          <w:lang w:val="en-GB"/>
        </w:rPr>
        <w:t>in September 2016 and has criticized State government</w:t>
      </w:r>
      <w:r w:rsidR="00AB345E">
        <w:rPr>
          <w:lang w:val="en-GB"/>
        </w:rPr>
        <w:t>s</w:t>
      </w:r>
      <w:r w:rsidR="00493158" w:rsidRPr="00493158">
        <w:rPr>
          <w:lang w:val="en-GB"/>
        </w:rPr>
        <w:t xml:space="preserve"> for setting their own renewable energy targets.</w:t>
      </w:r>
      <w:r w:rsidR="00493158">
        <w:rPr>
          <w:rStyle w:val="FootnoteReference"/>
          <w:lang w:val="en-GB"/>
        </w:rPr>
        <w:footnoteReference w:id="43"/>
      </w:r>
      <w:r w:rsidR="00DC3B5F">
        <w:rPr>
          <w:lang w:val="en-GB"/>
        </w:rPr>
        <w:t xml:space="preserve"> </w:t>
      </w:r>
    </w:p>
    <w:p w14:paraId="34C2BEE9" w14:textId="09173018" w:rsidR="005F42B4" w:rsidRPr="0031122C" w:rsidRDefault="00DC3B5F" w:rsidP="00292B86">
      <w:pPr>
        <w:spacing w:after="120" w:line="288" w:lineRule="auto"/>
        <w:rPr>
          <w:lang w:val="en-GB"/>
        </w:rPr>
      </w:pPr>
      <w:r>
        <w:rPr>
          <w:lang w:val="en-GB"/>
        </w:rPr>
        <w:t xml:space="preserve">Despite action by States and Territories to set </w:t>
      </w:r>
      <w:r w:rsidR="000F1288">
        <w:rPr>
          <w:lang w:val="en-GB"/>
        </w:rPr>
        <w:t xml:space="preserve">more </w:t>
      </w:r>
      <w:r>
        <w:rPr>
          <w:lang w:val="en-GB"/>
        </w:rPr>
        <w:t>ambitious</w:t>
      </w:r>
      <w:r w:rsidR="000F1288">
        <w:rPr>
          <w:lang w:val="en-GB"/>
        </w:rPr>
        <w:t xml:space="preserve"> and</w:t>
      </w:r>
      <w:r w:rsidR="00B43D04">
        <w:rPr>
          <w:lang w:val="en-GB"/>
        </w:rPr>
        <w:t xml:space="preserve"> long-term</w:t>
      </w:r>
      <w:r>
        <w:rPr>
          <w:lang w:val="en-GB"/>
        </w:rPr>
        <w:t xml:space="preserve"> emissions reduction and renewable energy targets</w:t>
      </w:r>
      <w:r w:rsidR="000F1288">
        <w:rPr>
          <w:lang w:val="en-GB"/>
        </w:rPr>
        <w:t>,</w:t>
      </w:r>
      <w:r>
        <w:rPr>
          <w:lang w:val="en-GB"/>
        </w:rPr>
        <w:t xml:space="preserve"> the Federal government has </w:t>
      </w:r>
      <w:r w:rsidR="00565037">
        <w:rPr>
          <w:lang w:val="en-GB"/>
        </w:rPr>
        <w:t xml:space="preserve">failed to put in place a credible policy </w:t>
      </w:r>
      <w:r w:rsidR="00983352">
        <w:rPr>
          <w:lang w:val="en-GB"/>
        </w:rPr>
        <w:t>post-2020,</w:t>
      </w:r>
      <w:r w:rsidR="00565037">
        <w:rPr>
          <w:lang w:val="en-GB"/>
        </w:rPr>
        <w:t xml:space="preserve"> </w:t>
      </w:r>
      <w:r w:rsidR="0031122C">
        <w:rPr>
          <w:lang w:val="en-GB"/>
        </w:rPr>
        <w:t xml:space="preserve">for reducing emissions in the electricity sector and </w:t>
      </w:r>
      <w:r w:rsidR="00565037">
        <w:rPr>
          <w:lang w:val="en-GB"/>
        </w:rPr>
        <w:t>encourag</w:t>
      </w:r>
      <w:r w:rsidR="0031122C">
        <w:rPr>
          <w:lang w:val="en-GB"/>
        </w:rPr>
        <w:t>ing</w:t>
      </w:r>
      <w:r w:rsidR="00565037">
        <w:rPr>
          <w:lang w:val="en-GB"/>
        </w:rPr>
        <w:t xml:space="preserve"> renewable energy generation</w:t>
      </w:r>
      <w:r>
        <w:rPr>
          <w:lang w:val="en-GB"/>
        </w:rPr>
        <w:t>.</w:t>
      </w:r>
      <w:r w:rsidR="00AE1530">
        <w:rPr>
          <w:rStyle w:val="FootnoteReference"/>
          <w:lang w:val="en-GB"/>
        </w:rPr>
        <w:footnoteReference w:id="44"/>
      </w:r>
    </w:p>
    <w:p w14:paraId="37C20F12" w14:textId="2552A29B" w:rsidR="00C85A94" w:rsidRPr="00C85A94" w:rsidRDefault="00C85A94" w:rsidP="00292B86">
      <w:pPr>
        <w:spacing w:after="120" w:line="288" w:lineRule="auto"/>
        <w:rPr>
          <w:b/>
          <w:lang w:val="en-GB"/>
        </w:rPr>
      </w:pPr>
      <w:r w:rsidRPr="00C85A94">
        <w:rPr>
          <w:b/>
          <w:lang w:val="en-GB"/>
        </w:rPr>
        <w:t>In order to meet its Paris commitments and avoid the foreseeable harms to children’s rights that greater climate disruption will cause, Australia must put in place stronger policies to ensure the swift decarbonisation of the electricity sector and encourage a shift to renewable energy sources as swiftly as possible.</w:t>
      </w:r>
    </w:p>
    <w:p w14:paraId="5DFB7E63" w14:textId="142C811F" w:rsidR="00784968" w:rsidRPr="00784968" w:rsidRDefault="00784968" w:rsidP="00784968">
      <w:pPr>
        <w:pStyle w:val="Heading2"/>
        <w:numPr>
          <w:ilvl w:val="0"/>
          <w:numId w:val="5"/>
        </w:numPr>
        <w:spacing w:before="0" w:after="120" w:line="288" w:lineRule="auto"/>
        <w:ind w:left="357" w:hanging="357"/>
      </w:pPr>
      <w:r w:rsidRPr="00784968">
        <w:t>Conclusion &amp; Recommendations</w:t>
      </w:r>
    </w:p>
    <w:p w14:paraId="07DC9148" w14:textId="138631FB" w:rsidR="0031779D" w:rsidRDefault="00172522" w:rsidP="000F484C">
      <w:pPr>
        <w:spacing w:after="120" w:line="288" w:lineRule="auto"/>
        <w:rPr>
          <w:lang w:val="en-GB"/>
        </w:rPr>
      </w:pPr>
      <w:r>
        <w:rPr>
          <w:lang w:val="en-GB"/>
        </w:rPr>
        <w:t xml:space="preserve">Australia </w:t>
      </w:r>
      <w:r w:rsidR="0031779D">
        <w:rPr>
          <w:lang w:val="en-GB"/>
        </w:rPr>
        <w:t>has IC</w:t>
      </w:r>
      <w:r w:rsidR="00F46289">
        <w:rPr>
          <w:lang w:val="en-GB"/>
        </w:rPr>
        <w:t>RC</w:t>
      </w:r>
      <w:r w:rsidR="0031779D">
        <w:rPr>
          <w:lang w:val="en-GB"/>
        </w:rPr>
        <w:t xml:space="preserve"> obligations to avoid foreseeable harms to </w:t>
      </w:r>
      <w:r w:rsidR="00F46289">
        <w:rPr>
          <w:lang w:val="en-GB"/>
        </w:rPr>
        <w:t>childr</w:t>
      </w:r>
      <w:r w:rsidR="0031779D">
        <w:rPr>
          <w:lang w:val="en-GB"/>
        </w:rPr>
        <w:t>en’s rights</w:t>
      </w:r>
      <w:r w:rsidR="00C3284F">
        <w:rPr>
          <w:lang w:val="en-GB"/>
        </w:rPr>
        <w:t xml:space="preserve"> (in particular, the right to life (art 6), the right to health (art 24), the right to an adequate standard of living (art 27))</w:t>
      </w:r>
      <w:r w:rsidR="0031779D">
        <w:rPr>
          <w:lang w:val="en-GB"/>
        </w:rPr>
        <w:t xml:space="preserve">, by taking strong measures to address climate change. </w:t>
      </w:r>
      <w:r w:rsidR="00C85A94" w:rsidRPr="00C85A94">
        <w:rPr>
          <w:lang w:val="en-GB"/>
        </w:rPr>
        <w:t xml:space="preserve">Australia is one of the biggest per capita contributors to the increasing dangers associated with climate change. Yet, Australia’s emissions are still rising and the Government has failed to develop short and long term policies to reduce its emissions. Australia’s targets and policies are far outside what can be considered its fair share in terms of the global emissions reduction effort and it should therefore increase the level of ambition of its Paris Agreement targets. Australia should urgently put in place energy and climate policies that will move Australia to a zero-carbon, 100% renewable energy system, and </w:t>
      </w:r>
      <w:r w:rsidR="0031779D">
        <w:rPr>
          <w:lang w:val="en-GB"/>
        </w:rPr>
        <w:t>commit</w:t>
      </w:r>
      <w:r w:rsidR="00FA345D">
        <w:rPr>
          <w:lang w:val="en-GB"/>
        </w:rPr>
        <w:t xml:space="preserve"> to a transition away from coal</w:t>
      </w:r>
      <w:r w:rsidR="00DC3549">
        <w:rPr>
          <w:lang w:val="en-GB"/>
        </w:rPr>
        <w:t xml:space="preserve">. </w:t>
      </w:r>
    </w:p>
    <w:p w14:paraId="39CB6106" w14:textId="22230A58" w:rsidR="002778C9" w:rsidRDefault="002778C9" w:rsidP="002778C9">
      <w:pPr>
        <w:spacing w:after="120" w:line="288" w:lineRule="auto"/>
        <w:rPr>
          <w:b/>
          <w:lang w:val="en-GB"/>
        </w:rPr>
      </w:pPr>
      <w:r w:rsidRPr="005D7C1B">
        <w:rPr>
          <w:b/>
          <w:lang w:val="en-GB"/>
        </w:rPr>
        <w:t xml:space="preserve">We urge the Committee on </w:t>
      </w:r>
      <w:r w:rsidR="00F46289">
        <w:rPr>
          <w:b/>
          <w:lang w:val="en-GB"/>
        </w:rPr>
        <w:t>the Rights of the Child</w:t>
      </w:r>
      <w:r w:rsidRPr="005D7C1B">
        <w:rPr>
          <w:b/>
          <w:lang w:val="en-GB"/>
        </w:rPr>
        <w:t xml:space="preserve"> to</w:t>
      </w:r>
      <w:r>
        <w:rPr>
          <w:b/>
          <w:lang w:val="en-GB"/>
        </w:rPr>
        <w:t>:</w:t>
      </w:r>
    </w:p>
    <w:p w14:paraId="5CD4341C" w14:textId="627D1E34" w:rsidR="00996BE0" w:rsidRPr="007F4C2E" w:rsidRDefault="00FB33D7" w:rsidP="007F4C2E">
      <w:pPr>
        <w:pStyle w:val="ListParagraph"/>
        <w:numPr>
          <w:ilvl w:val="0"/>
          <w:numId w:val="11"/>
        </w:numPr>
        <w:spacing w:after="120" w:line="288" w:lineRule="auto"/>
        <w:ind w:left="714" w:hanging="357"/>
        <w:contextualSpacing w:val="0"/>
        <w:rPr>
          <w:lang w:val="en-US"/>
        </w:rPr>
      </w:pPr>
      <w:r w:rsidRPr="00FB33D7">
        <w:rPr>
          <w:lang w:val="en-GB"/>
        </w:rPr>
        <w:t>Express c</w:t>
      </w:r>
      <w:r w:rsidR="002778C9" w:rsidRPr="00FB33D7">
        <w:rPr>
          <w:lang w:val="en-GB"/>
        </w:rPr>
        <w:t>on</w:t>
      </w:r>
      <w:r w:rsidRPr="00FB33D7">
        <w:rPr>
          <w:lang w:val="en-GB"/>
        </w:rPr>
        <w:t>cern</w:t>
      </w:r>
      <w:r w:rsidR="002778C9" w:rsidRPr="00FB33D7">
        <w:rPr>
          <w:lang w:val="en-GB"/>
        </w:rPr>
        <w:t xml:space="preserve"> related to the foreseeable adverse impacts on </w:t>
      </w:r>
      <w:r w:rsidR="00964B48">
        <w:rPr>
          <w:lang w:val="en-GB"/>
        </w:rPr>
        <w:t>childre</w:t>
      </w:r>
      <w:r w:rsidR="002778C9" w:rsidRPr="00FB33D7">
        <w:rPr>
          <w:lang w:val="en-GB"/>
        </w:rPr>
        <w:t xml:space="preserve">n’s rights of global warming </w:t>
      </w:r>
      <w:r w:rsidR="002778C9" w:rsidRPr="00FB33D7">
        <w:t xml:space="preserve">exceeding the most stringent temperature increase targets provided in international climate agreements and the incompatibility of the climate and energy policy of </w:t>
      </w:r>
      <w:r w:rsidR="00986C6C">
        <w:t>Australia</w:t>
      </w:r>
      <w:r w:rsidR="002778C9" w:rsidRPr="00FB33D7">
        <w:t xml:space="preserve"> </w:t>
      </w:r>
      <w:r w:rsidR="002778C9" w:rsidRPr="00FB33D7">
        <w:rPr>
          <w:lang w:val="en-GB"/>
        </w:rPr>
        <w:t>with its obligation</w:t>
      </w:r>
      <w:r w:rsidR="007B3B34">
        <w:rPr>
          <w:lang w:val="en-GB"/>
        </w:rPr>
        <w:t>s</w:t>
      </w:r>
      <w:r w:rsidR="002778C9" w:rsidRPr="00FB33D7">
        <w:rPr>
          <w:lang w:val="en-GB"/>
        </w:rPr>
        <w:t xml:space="preserve"> to </w:t>
      </w:r>
      <w:r w:rsidR="00964B48">
        <w:rPr>
          <w:lang w:val="en-GB"/>
        </w:rPr>
        <w:t>protect children’s rights</w:t>
      </w:r>
      <w:r w:rsidR="002778C9" w:rsidRPr="00FB33D7">
        <w:rPr>
          <w:lang w:val="en-GB"/>
        </w:rPr>
        <w:t>.</w:t>
      </w:r>
    </w:p>
    <w:p w14:paraId="01DE2D45" w14:textId="2D8E4309" w:rsidR="00C85A94" w:rsidRPr="00C85A94" w:rsidRDefault="00C85A94" w:rsidP="00FB33D7">
      <w:pPr>
        <w:pStyle w:val="ListParagraph"/>
        <w:numPr>
          <w:ilvl w:val="0"/>
          <w:numId w:val="13"/>
        </w:numPr>
        <w:spacing w:after="120" w:line="288" w:lineRule="auto"/>
        <w:contextualSpacing w:val="0"/>
        <w:rPr>
          <w:lang w:val="en-GB"/>
        </w:rPr>
      </w:pPr>
      <w:r w:rsidRPr="00C85A94">
        <w:rPr>
          <w:lang w:val="en-GB"/>
        </w:rPr>
        <w:t>Recommend that Australia increase the ambition of its climate change targets in line with science and with the objectives of international climate agreements and review its climate and energy policies in order to achieve the highest rate of emissions reduction possible to ensure that it is doing its fair share of global emissions reductions. This should include legislated targets for emissions reduction and clean energy – particularly in the electricity sector - on the basis of 100% renewable energy by 2030 and zero emissions before 2040</w:t>
      </w:r>
      <w:r w:rsidRPr="00C85A94">
        <w:rPr>
          <w:lang w:val="en-US"/>
        </w:rPr>
        <w:t>.</w:t>
      </w:r>
    </w:p>
    <w:p w14:paraId="0DD91F42" w14:textId="7E8CFD4B" w:rsidR="00FB33D7" w:rsidRPr="00FB33D7" w:rsidRDefault="00FB33D7" w:rsidP="00FB33D7">
      <w:pPr>
        <w:pStyle w:val="ListParagraph"/>
        <w:numPr>
          <w:ilvl w:val="0"/>
          <w:numId w:val="13"/>
        </w:numPr>
        <w:spacing w:after="120" w:line="288" w:lineRule="auto"/>
        <w:contextualSpacing w:val="0"/>
        <w:rPr>
          <w:lang w:val="en-GB"/>
        </w:rPr>
      </w:pPr>
      <w:r w:rsidRPr="00FB33D7">
        <w:rPr>
          <w:lang w:val="en-GB"/>
        </w:rPr>
        <w:t xml:space="preserve">Express concern regarding the emissions of greenhouse gases </w:t>
      </w:r>
      <w:r>
        <w:rPr>
          <w:lang w:val="en-GB"/>
        </w:rPr>
        <w:t>that inevitably result</w:t>
      </w:r>
      <w:r w:rsidRPr="00FB33D7">
        <w:rPr>
          <w:lang w:val="en-GB"/>
        </w:rPr>
        <w:t xml:space="preserve"> from the extraction of coal </w:t>
      </w:r>
      <w:r>
        <w:rPr>
          <w:lang w:val="en-GB"/>
        </w:rPr>
        <w:t xml:space="preserve">and other fossil fuels </w:t>
      </w:r>
      <w:r w:rsidRPr="00FB33D7">
        <w:rPr>
          <w:lang w:val="en-GB"/>
        </w:rPr>
        <w:t xml:space="preserve">– </w:t>
      </w:r>
      <w:r>
        <w:rPr>
          <w:lang w:val="en-GB"/>
        </w:rPr>
        <w:t xml:space="preserve">whether generated by the consumption of coal in Australia or embedded in </w:t>
      </w:r>
      <w:r w:rsidR="004302BC">
        <w:rPr>
          <w:lang w:val="en-GB"/>
        </w:rPr>
        <w:t xml:space="preserve">its </w:t>
      </w:r>
      <w:r>
        <w:rPr>
          <w:lang w:val="en-GB"/>
        </w:rPr>
        <w:t>exports, and note that these extraction and exports contribute to climate change and thereby undermine</w:t>
      </w:r>
      <w:r w:rsidR="00C3284F" w:rsidRPr="00C3284F">
        <w:rPr>
          <w:lang w:val="en-GB"/>
        </w:rPr>
        <w:t xml:space="preserve"> children’s rights</w:t>
      </w:r>
      <w:r w:rsidRPr="00C3284F">
        <w:rPr>
          <w:lang w:val="en-GB"/>
        </w:rPr>
        <w:t>.</w:t>
      </w:r>
    </w:p>
    <w:p w14:paraId="5D7C85DC" w14:textId="05E8AB39" w:rsidR="002778C9" w:rsidRPr="00C3284F" w:rsidRDefault="00FB33D7" w:rsidP="00FB33D7">
      <w:pPr>
        <w:pStyle w:val="ListParagraph"/>
        <w:numPr>
          <w:ilvl w:val="0"/>
          <w:numId w:val="13"/>
        </w:numPr>
        <w:spacing w:after="120" w:line="288" w:lineRule="auto"/>
        <w:contextualSpacing w:val="0"/>
        <w:rPr>
          <w:lang w:val="en-GB"/>
        </w:rPr>
      </w:pPr>
      <w:r w:rsidRPr="00C3284F">
        <w:rPr>
          <w:lang w:val="en-GB"/>
        </w:rPr>
        <w:t>Recommend that</w:t>
      </w:r>
      <w:r w:rsidR="002778C9" w:rsidRPr="00C3284F">
        <w:rPr>
          <w:lang w:val="en-GB"/>
        </w:rPr>
        <w:t xml:space="preserve"> the government of Australia</w:t>
      </w:r>
      <w:r w:rsidRPr="00C3284F">
        <w:rPr>
          <w:lang w:val="en-GB"/>
        </w:rPr>
        <w:t xml:space="preserve"> commit to a managed phase-out of </w:t>
      </w:r>
      <w:r w:rsidRPr="00C3284F">
        <w:t>coal extraction, consumption and exports</w:t>
      </w:r>
      <w:r w:rsidRPr="00C3284F">
        <w:rPr>
          <w:lang w:val="en-GB"/>
        </w:rPr>
        <w:t>, including committing to no new coalmines or coalmine expansions in Australia and no public funding for new coal infrastructure.</w:t>
      </w:r>
    </w:p>
    <w:sectPr w:rsidR="002778C9" w:rsidRPr="00C3284F" w:rsidSect="00C327BB">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0E3A8" w14:textId="77777777" w:rsidR="000026FD" w:rsidRDefault="000026FD" w:rsidP="005D63BC">
      <w:pPr>
        <w:spacing w:after="0" w:line="240" w:lineRule="auto"/>
      </w:pPr>
      <w:r>
        <w:separator/>
      </w:r>
    </w:p>
  </w:endnote>
  <w:endnote w:type="continuationSeparator" w:id="0">
    <w:p w14:paraId="62A238D2" w14:textId="77777777" w:rsidR="000026FD" w:rsidRDefault="000026FD" w:rsidP="005D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Calibri"/>
    <w:panose1 w:val="020B0502040204020203"/>
    <w:charset w:val="00"/>
    <w:family w:val="swiss"/>
    <w:pitch w:val="variable"/>
    <w:sig w:usb0="E4002EFF" w:usb1="C000E47F" w:usb2="00000009" w:usb3="00000000" w:csb0="000001FF" w:csb1="00000000"/>
  </w:font>
  <w:font w:name="Courier">
    <w:panose1 w:val="02070409020205020404"/>
    <w:charset w:val="00"/>
    <w:family w:val="auto"/>
    <w:pitch w:val="variable"/>
    <w:sig w:usb0="00000003"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53BF5" w14:textId="77777777" w:rsidR="00FB33D7" w:rsidRDefault="00FB33D7" w:rsidP="0039043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7A1F51" w14:textId="77777777" w:rsidR="00FB33D7" w:rsidRDefault="00FB33D7" w:rsidP="0039043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2101CE7" w14:textId="77777777" w:rsidR="00FB33D7" w:rsidRDefault="00FB33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210E1" w14:textId="2E63F254" w:rsidR="00FB33D7" w:rsidRDefault="00FB33D7" w:rsidP="0031520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0A19">
      <w:rPr>
        <w:rStyle w:val="PageNumber"/>
        <w:noProof/>
      </w:rPr>
      <w:t>9</w:t>
    </w:r>
    <w:r>
      <w:rPr>
        <w:rStyle w:val="PageNumber"/>
      </w:rPr>
      <w:fldChar w:fldCharType="end"/>
    </w:r>
  </w:p>
  <w:p w14:paraId="497E3585" w14:textId="77777777" w:rsidR="00FB33D7" w:rsidRDefault="00FB33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D0030" w14:textId="77777777" w:rsidR="00B712F3" w:rsidRDefault="00B71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7347B" w14:textId="77777777" w:rsidR="000026FD" w:rsidRDefault="000026FD" w:rsidP="005D63BC">
      <w:pPr>
        <w:spacing w:after="0" w:line="240" w:lineRule="auto"/>
      </w:pPr>
      <w:r>
        <w:separator/>
      </w:r>
    </w:p>
  </w:footnote>
  <w:footnote w:type="continuationSeparator" w:id="0">
    <w:p w14:paraId="595727D7" w14:textId="77777777" w:rsidR="000026FD" w:rsidRDefault="000026FD" w:rsidP="005D63BC">
      <w:pPr>
        <w:spacing w:after="0" w:line="240" w:lineRule="auto"/>
      </w:pPr>
      <w:r>
        <w:continuationSeparator/>
      </w:r>
    </w:p>
  </w:footnote>
  <w:footnote w:id="1">
    <w:p w14:paraId="5261398F" w14:textId="3FD1B222" w:rsidR="006D09E7" w:rsidRPr="003C6B2A" w:rsidRDefault="006D09E7" w:rsidP="003C6B2A">
      <w:pPr>
        <w:pStyle w:val="FootnoteText"/>
        <w:rPr>
          <w:sz w:val="16"/>
          <w:szCs w:val="16"/>
        </w:rPr>
      </w:pPr>
      <w:r w:rsidRPr="003C6B2A">
        <w:rPr>
          <w:rStyle w:val="FootnoteReference"/>
          <w:sz w:val="16"/>
          <w:szCs w:val="16"/>
        </w:rPr>
        <w:footnoteRef/>
      </w:r>
      <w:r w:rsidRPr="003C6B2A">
        <w:rPr>
          <w:sz w:val="16"/>
          <w:szCs w:val="16"/>
        </w:rPr>
        <w:t xml:space="preserve"> http://www.ipcc.ch/report/sr15/</w:t>
      </w:r>
    </w:p>
  </w:footnote>
  <w:footnote w:id="2">
    <w:p w14:paraId="521C7F89" w14:textId="77777777" w:rsidR="003A35B7" w:rsidRPr="003C6B2A" w:rsidRDefault="003A35B7" w:rsidP="003C6B2A">
      <w:pPr>
        <w:pStyle w:val="FootnoteText"/>
        <w:rPr>
          <w:sz w:val="16"/>
          <w:szCs w:val="16"/>
          <w:lang w:val="en-GB"/>
        </w:rPr>
      </w:pPr>
      <w:r w:rsidRPr="003C6B2A">
        <w:rPr>
          <w:rStyle w:val="FootnoteReference"/>
          <w:sz w:val="16"/>
          <w:szCs w:val="16"/>
        </w:rPr>
        <w:footnoteRef/>
      </w:r>
      <w:r w:rsidRPr="003C6B2A">
        <w:rPr>
          <w:sz w:val="16"/>
          <w:szCs w:val="16"/>
        </w:rPr>
        <w:t xml:space="preserve"> </w:t>
      </w:r>
      <w:r w:rsidRPr="003C6B2A">
        <w:rPr>
          <w:sz w:val="16"/>
          <w:szCs w:val="16"/>
          <w:lang w:val="en-GB"/>
        </w:rPr>
        <w:t>Human Rights Council Resolution 32/33 (2016) and Resolution 35/20 (2017).</w:t>
      </w:r>
    </w:p>
  </w:footnote>
  <w:footnote w:id="3">
    <w:p w14:paraId="2A557C38" w14:textId="77777777" w:rsidR="003A35B7" w:rsidRPr="003C6B2A" w:rsidRDefault="003A35B7" w:rsidP="003C6B2A">
      <w:pPr>
        <w:pStyle w:val="FootnoteText"/>
        <w:rPr>
          <w:sz w:val="16"/>
          <w:szCs w:val="16"/>
          <w:lang w:val="en-GB"/>
        </w:rPr>
      </w:pPr>
      <w:r w:rsidRPr="003C6B2A">
        <w:rPr>
          <w:rStyle w:val="FootnoteReference"/>
          <w:sz w:val="16"/>
          <w:szCs w:val="16"/>
        </w:rPr>
        <w:footnoteRef/>
      </w:r>
      <w:r w:rsidRPr="003C6B2A">
        <w:rPr>
          <w:sz w:val="16"/>
          <w:szCs w:val="16"/>
        </w:rPr>
        <w:t xml:space="preserve"> See CRC Concluding Observations on</w:t>
      </w:r>
      <w:r w:rsidRPr="003C6B2A">
        <w:rPr>
          <w:sz w:val="16"/>
          <w:szCs w:val="16"/>
          <w:lang w:val="en-GB"/>
        </w:rPr>
        <w:t xml:space="preserve"> Tuvalu (2013), Saint Lucia (2014), Jamaica (2015) and Kenya (2016).</w:t>
      </w:r>
    </w:p>
  </w:footnote>
  <w:footnote w:id="4">
    <w:p w14:paraId="2C8B34D4" w14:textId="77777777" w:rsidR="003A35B7" w:rsidRPr="00C85A94" w:rsidRDefault="003A35B7" w:rsidP="003C6B2A">
      <w:pPr>
        <w:pStyle w:val="FootnoteText"/>
        <w:rPr>
          <w:sz w:val="16"/>
          <w:szCs w:val="16"/>
          <w:lang w:val="en-GB"/>
        </w:rPr>
      </w:pPr>
      <w:r w:rsidRPr="00C85A94">
        <w:rPr>
          <w:rStyle w:val="FootnoteReference"/>
          <w:sz w:val="16"/>
          <w:szCs w:val="16"/>
        </w:rPr>
        <w:footnoteRef/>
      </w:r>
      <w:r w:rsidRPr="00C85A94">
        <w:rPr>
          <w:sz w:val="16"/>
          <w:szCs w:val="16"/>
        </w:rPr>
        <w:t xml:space="preserve"> </w:t>
      </w:r>
      <w:r w:rsidRPr="00C85A94">
        <w:rPr>
          <w:sz w:val="16"/>
          <w:szCs w:val="16"/>
          <w:lang w:val="en-GB"/>
        </w:rPr>
        <w:t>Paris Agreement, Article 2.1.a.</w:t>
      </w:r>
    </w:p>
  </w:footnote>
  <w:footnote w:id="5">
    <w:p w14:paraId="138027FA" w14:textId="77777777" w:rsidR="00585664" w:rsidRPr="003C6B2A" w:rsidRDefault="00585664" w:rsidP="00585664">
      <w:pPr>
        <w:pStyle w:val="FootnoteText"/>
        <w:rPr>
          <w:sz w:val="16"/>
          <w:szCs w:val="16"/>
          <w:lang w:val="en-GB"/>
        </w:rPr>
      </w:pPr>
      <w:r w:rsidRPr="003C6B2A">
        <w:rPr>
          <w:rStyle w:val="FootnoteReference"/>
          <w:sz w:val="16"/>
          <w:szCs w:val="16"/>
        </w:rPr>
        <w:footnoteRef/>
      </w:r>
      <w:r w:rsidRPr="003C6B2A">
        <w:rPr>
          <w:sz w:val="16"/>
          <w:szCs w:val="16"/>
          <w:lang w:val="en-GB"/>
        </w:rPr>
        <w:t xml:space="preserve"> </w:t>
      </w:r>
      <w:r w:rsidRPr="003C6B2A">
        <w:rPr>
          <w:i/>
          <w:sz w:val="16"/>
          <w:szCs w:val="16"/>
          <w:lang w:val="en-GB"/>
        </w:rPr>
        <w:t>The Effects of Climate Change on the Full Enjoyment of Human Rights</w:t>
      </w:r>
      <w:r w:rsidRPr="003C6B2A">
        <w:rPr>
          <w:sz w:val="16"/>
          <w:szCs w:val="16"/>
          <w:lang w:val="en-GB"/>
        </w:rPr>
        <w:t>, Joint paper by five mandate holders of the HRC (2015), available at http://www4.unfccc.int/Submissions/Lists/OSPSubmissionUpload/202_109_130758775867568762-CVF%20submission%20Annex%201_Human%20Rights.pdf</w:t>
      </w:r>
    </w:p>
  </w:footnote>
  <w:footnote w:id="6">
    <w:p w14:paraId="2D21520E" w14:textId="77777777" w:rsidR="00C85A94" w:rsidRPr="00C85A94" w:rsidRDefault="00C85A94" w:rsidP="00C85A94">
      <w:pPr>
        <w:pStyle w:val="FootnoteText"/>
        <w:rPr>
          <w:sz w:val="16"/>
          <w:szCs w:val="16"/>
        </w:rPr>
      </w:pPr>
      <w:r w:rsidRPr="00C85A94">
        <w:rPr>
          <w:rStyle w:val="FootnoteReference"/>
          <w:sz w:val="16"/>
          <w:szCs w:val="16"/>
        </w:rPr>
        <w:footnoteRef/>
      </w:r>
      <w:r w:rsidRPr="00C85A94">
        <w:rPr>
          <w:sz w:val="16"/>
          <w:szCs w:val="16"/>
        </w:rPr>
        <w:t xml:space="preserve"> https://www.unenvironment.org/news-and-stories/press-release/nations-must-triple-efforts-reach-2degc-target-concludes-annual</w:t>
      </w:r>
    </w:p>
  </w:footnote>
  <w:footnote w:id="7">
    <w:p w14:paraId="7255C0AB" w14:textId="77777777" w:rsidR="00C85A94" w:rsidRPr="003C6B2A" w:rsidRDefault="00C85A94" w:rsidP="00C85A94">
      <w:pPr>
        <w:pStyle w:val="FootnoteText"/>
        <w:rPr>
          <w:sz w:val="16"/>
          <w:szCs w:val="16"/>
        </w:rPr>
      </w:pPr>
      <w:r w:rsidRPr="003C6B2A">
        <w:rPr>
          <w:rStyle w:val="FootnoteReference"/>
          <w:sz w:val="16"/>
          <w:szCs w:val="16"/>
        </w:rPr>
        <w:footnoteRef/>
      </w:r>
      <w:r w:rsidRPr="003C6B2A">
        <w:rPr>
          <w:sz w:val="16"/>
          <w:szCs w:val="16"/>
          <w:lang w:val="en-GB"/>
        </w:rPr>
        <w:t xml:space="preserve"> See </w:t>
      </w:r>
      <w:r w:rsidRPr="003C6B2A">
        <w:rPr>
          <w:sz w:val="16"/>
          <w:szCs w:val="16"/>
          <w:lang w:val="en-US"/>
        </w:rPr>
        <w:t>McGlade, C., &amp; Ekins, P. (2015). The geographical distribution of fossil fuels unused when limiting global warming to 2 [deg] C. </w:t>
      </w:r>
      <w:r w:rsidRPr="003C6B2A">
        <w:rPr>
          <w:i/>
          <w:iCs/>
          <w:sz w:val="16"/>
          <w:szCs w:val="16"/>
          <w:lang w:val="en-US"/>
        </w:rPr>
        <w:t>Nature</w:t>
      </w:r>
      <w:r w:rsidRPr="003C6B2A">
        <w:rPr>
          <w:sz w:val="16"/>
          <w:szCs w:val="16"/>
          <w:lang w:val="en-US"/>
        </w:rPr>
        <w:t>, </w:t>
      </w:r>
      <w:r w:rsidRPr="003C6B2A">
        <w:rPr>
          <w:i/>
          <w:iCs/>
          <w:sz w:val="16"/>
          <w:szCs w:val="16"/>
          <w:lang w:val="en-US"/>
        </w:rPr>
        <w:t>517</w:t>
      </w:r>
      <w:r w:rsidRPr="003C6B2A">
        <w:rPr>
          <w:sz w:val="16"/>
          <w:szCs w:val="16"/>
          <w:lang w:val="en-US"/>
        </w:rPr>
        <w:t>(7533), 187-190</w:t>
      </w:r>
    </w:p>
  </w:footnote>
  <w:footnote w:id="8">
    <w:p w14:paraId="76AD74E0" w14:textId="77777777" w:rsidR="00FB33D7" w:rsidRPr="003C6B2A" w:rsidRDefault="00FB33D7" w:rsidP="00DC7227">
      <w:pPr>
        <w:pStyle w:val="FootnoteText"/>
        <w:rPr>
          <w:sz w:val="16"/>
          <w:szCs w:val="16"/>
          <w:lang w:val="en-GB"/>
        </w:rPr>
      </w:pPr>
      <w:r w:rsidRPr="003C6B2A">
        <w:rPr>
          <w:rStyle w:val="FootnoteReference"/>
          <w:sz w:val="16"/>
          <w:szCs w:val="16"/>
        </w:rPr>
        <w:footnoteRef/>
      </w:r>
      <w:r w:rsidRPr="003C6B2A">
        <w:rPr>
          <w:sz w:val="16"/>
          <w:szCs w:val="16"/>
          <w:lang w:val="en-GB"/>
        </w:rPr>
        <w:t xml:space="preserve"> A/HRC/31/52 - Report of the Special Rapporteur on the issue of human rights obligations relating to the enjoyment of a safe, clean, healthy and sustainable environment, February 2016.ibid.</w:t>
      </w:r>
    </w:p>
  </w:footnote>
  <w:footnote w:id="9">
    <w:p w14:paraId="408EB87A" w14:textId="492444D9" w:rsidR="00FB33D7" w:rsidRPr="003C6B2A" w:rsidRDefault="00FB33D7" w:rsidP="00EF7861">
      <w:pPr>
        <w:pStyle w:val="FootnoteText"/>
        <w:rPr>
          <w:sz w:val="16"/>
          <w:szCs w:val="16"/>
          <w:lang w:val="en-GB"/>
        </w:rPr>
      </w:pPr>
      <w:r w:rsidRPr="003C6B2A">
        <w:rPr>
          <w:rStyle w:val="FootnoteReference"/>
          <w:sz w:val="16"/>
          <w:szCs w:val="16"/>
        </w:rPr>
        <w:footnoteRef/>
      </w:r>
      <w:r w:rsidRPr="003C6B2A">
        <w:rPr>
          <w:sz w:val="16"/>
          <w:szCs w:val="16"/>
        </w:rPr>
        <w:t xml:space="preserve"> </w:t>
      </w:r>
      <w:r w:rsidRPr="003C6B2A">
        <w:rPr>
          <w:sz w:val="16"/>
          <w:szCs w:val="16"/>
          <w:lang w:val="en-GB"/>
        </w:rPr>
        <w:t xml:space="preserve">Human Rights Council, 30 June 2015, A/HRC/29/L.21, </w:t>
      </w:r>
      <w:hyperlink r:id="rId1" w:history="1">
        <w:r w:rsidRPr="003C6B2A">
          <w:rPr>
            <w:rStyle w:val="Hyperlink"/>
            <w:sz w:val="16"/>
            <w:szCs w:val="16"/>
            <w:lang w:val="en-GB"/>
          </w:rPr>
          <w:t>http://ap.ohchr.org/documents/E/HRC/d_res_dec/A_HRC_29_L21.docx</w:t>
        </w:r>
      </w:hyperlink>
      <w:r w:rsidRPr="003C6B2A">
        <w:rPr>
          <w:sz w:val="16"/>
          <w:szCs w:val="16"/>
          <w:lang w:val="en-GB"/>
        </w:rPr>
        <w:t xml:space="preserve"> ; </w:t>
      </w:r>
    </w:p>
  </w:footnote>
  <w:footnote w:id="10">
    <w:p w14:paraId="69AFB801" w14:textId="0F72094F" w:rsidR="00FB33D7" w:rsidRPr="003C6B2A" w:rsidRDefault="00FB33D7">
      <w:pPr>
        <w:pStyle w:val="FootnoteText"/>
        <w:rPr>
          <w:sz w:val="16"/>
          <w:szCs w:val="16"/>
          <w:lang w:val="en-GB"/>
        </w:rPr>
      </w:pPr>
      <w:r w:rsidRPr="003C6B2A">
        <w:rPr>
          <w:rStyle w:val="FootnoteReference"/>
          <w:sz w:val="16"/>
          <w:szCs w:val="16"/>
        </w:rPr>
        <w:footnoteRef/>
      </w:r>
      <w:r w:rsidRPr="003C6B2A">
        <w:rPr>
          <w:sz w:val="16"/>
          <w:szCs w:val="16"/>
        </w:rPr>
        <w:t xml:space="preserve"> </w:t>
      </w:r>
      <w:r w:rsidR="003C6B2A" w:rsidRPr="003C6B2A">
        <w:rPr>
          <w:sz w:val="16"/>
          <w:szCs w:val="16"/>
          <w:lang w:val="en-GB"/>
        </w:rPr>
        <w:t>IPCC Working Group II, </w:t>
      </w:r>
      <w:r w:rsidR="003C6B2A" w:rsidRPr="003C6B2A">
        <w:rPr>
          <w:i/>
          <w:iCs/>
          <w:sz w:val="16"/>
          <w:szCs w:val="16"/>
          <w:lang w:val="en-GB"/>
        </w:rPr>
        <w:t>Climate Change 2014: Impacts, Adaptation, and Vulnerability, Summary for Policymakers, </w:t>
      </w:r>
      <w:r w:rsidR="003C6B2A" w:rsidRPr="003C6B2A">
        <w:rPr>
          <w:sz w:val="16"/>
          <w:szCs w:val="16"/>
          <w:lang w:val="en-GB"/>
        </w:rPr>
        <w:t>p. 6.</w:t>
      </w:r>
    </w:p>
  </w:footnote>
  <w:footnote w:id="11">
    <w:p w14:paraId="4F6603AA" w14:textId="1185FC28" w:rsidR="00F473C3" w:rsidRPr="00F473C3" w:rsidRDefault="00F473C3" w:rsidP="00F473C3">
      <w:pPr>
        <w:pStyle w:val="FootnoteText"/>
        <w:rPr>
          <w:sz w:val="16"/>
          <w:szCs w:val="16"/>
          <w:lang w:val="en-US"/>
        </w:rPr>
      </w:pPr>
      <w:r w:rsidRPr="00F473C3">
        <w:rPr>
          <w:rStyle w:val="FootnoteReference"/>
          <w:sz w:val="16"/>
          <w:szCs w:val="16"/>
        </w:rPr>
        <w:footnoteRef/>
      </w:r>
      <w:r w:rsidRPr="00F473C3">
        <w:rPr>
          <w:sz w:val="16"/>
          <w:szCs w:val="16"/>
        </w:rPr>
        <w:t xml:space="preserve"> </w:t>
      </w:r>
      <w:r w:rsidRPr="00F473C3">
        <w:rPr>
          <w:sz w:val="16"/>
          <w:szCs w:val="16"/>
          <w:lang w:val="en-US"/>
        </w:rPr>
        <w:t>Analytical study on the relationship between climate change and the full and effective enjoyment of the rights of the child - Report of the Office of the United Nations High Commissioner for Human Rights</w:t>
      </w:r>
      <w:r>
        <w:rPr>
          <w:sz w:val="16"/>
          <w:szCs w:val="16"/>
          <w:lang w:val="en-US"/>
        </w:rPr>
        <w:t xml:space="preserve">, UN Doc. </w:t>
      </w:r>
      <w:r w:rsidRPr="00F473C3">
        <w:rPr>
          <w:sz w:val="16"/>
          <w:szCs w:val="16"/>
          <w:lang w:val="en-US"/>
        </w:rPr>
        <w:t>A/HRC/35/13</w:t>
      </w:r>
    </w:p>
  </w:footnote>
  <w:footnote w:id="12">
    <w:p w14:paraId="0C1D0F32" w14:textId="77777777" w:rsidR="00686AC2" w:rsidRPr="003C6B2A" w:rsidRDefault="00686AC2" w:rsidP="00686AC2">
      <w:pPr>
        <w:pStyle w:val="FootnoteText"/>
        <w:rPr>
          <w:bCs/>
          <w:sz w:val="16"/>
          <w:szCs w:val="16"/>
          <w:lang w:val="en-US"/>
        </w:rPr>
      </w:pPr>
      <w:r w:rsidRPr="003C6B2A">
        <w:rPr>
          <w:rStyle w:val="FootnoteReference"/>
          <w:sz w:val="16"/>
          <w:szCs w:val="16"/>
        </w:rPr>
        <w:footnoteRef/>
      </w:r>
      <w:r w:rsidRPr="003C6B2A">
        <w:rPr>
          <w:sz w:val="16"/>
          <w:szCs w:val="16"/>
        </w:rPr>
        <w:t xml:space="preserve"> Stanley, F. &amp; Farrant, B., ‘</w:t>
      </w:r>
      <w:r w:rsidRPr="003C6B2A">
        <w:rPr>
          <w:bCs/>
          <w:sz w:val="16"/>
          <w:szCs w:val="16"/>
          <w:lang w:val="en-US"/>
        </w:rPr>
        <w:t xml:space="preserve">Climate Change and Children’s Health: A Commentary’ </w:t>
      </w:r>
      <w:r w:rsidRPr="003C6B2A">
        <w:rPr>
          <w:bCs/>
          <w:i/>
          <w:iCs/>
          <w:sz w:val="16"/>
          <w:szCs w:val="16"/>
          <w:lang w:val="en-US"/>
        </w:rPr>
        <w:t xml:space="preserve">Children </w:t>
      </w:r>
      <w:r w:rsidRPr="003C6B2A">
        <w:rPr>
          <w:bCs/>
          <w:iCs/>
          <w:sz w:val="16"/>
          <w:szCs w:val="16"/>
          <w:lang w:val="en-US"/>
        </w:rPr>
        <w:t>(</w:t>
      </w:r>
      <w:r w:rsidRPr="003C6B2A">
        <w:rPr>
          <w:bCs/>
          <w:sz w:val="16"/>
          <w:szCs w:val="16"/>
          <w:lang w:val="en-US"/>
        </w:rPr>
        <w:t>2015), 2, 412-423, p</w:t>
      </w:r>
    </w:p>
  </w:footnote>
  <w:footnote w:id="13">
    <w:p w14:paraId="0B0C747B" w14:textId="598D93B1" w:rsidR="00617035" w:rsidRPr="003C6B2A" w:rsidRDefault="00617035" w:rsidP="003C6B2A">
      <w:pPr>
        <w:pStyle w:val="FootnoteText"/>
        <w:rPr>
          <w:sz w:val="16"/>
          <w:szCs w:val="16"/>
        </w:rPr>
      </w:pPr>
      <w:r w:rsidRPr="003C6B2A">
        <w:rPr>
          <w:rStyle w:val="FootnoteReference"/>
          <w:sz w:val="16"/>
          <w:szCs w:val="16"/>
        </w:rPr>
        <w:footnoteRef/>
      </w:r>
      <w:r w:rsidRPr="003C6B2A">
        <w:rPr>
          <w:sz w:val="16"/>
          <w:szCs w:val="16"/>
        </w:rPr>
        <w:t xml:space="preserve"> http://pediatrics.aappublications.org/content/136/5/992?rss=1&amp;cited-by=yes&amp;legid=pediatrics%3Bpeds.2015-3232v1</w:t>
      </w:r>
    </w:p>
  </w:footnote>
  <w:footnote w:id="14">
    <w:p w14:paraId="2E163327" w14:textId="1737A562" w:rsidR="002738DC" w:rsidRPr="003C6B2A" w:rsidRDefault="002738DC" w:rsidP="003C6B2A">
      <w:pPr>
        <w:pStyle w:val="FootnoteText"/>
        <w:rPr>
          <w:sz w:val="16"/>
          <w:szCs w:val="16"/>
          <w:lang w:val="en-US"/>
        </w:rPr>
      </w:pPr>
      <w:r w:rsidRPr="003C6B2A">
        <w:rPr>
          <w:rStyle w:val="FootnoteReference"/>
          <w:sz w:val="16"/>
          <w:szCs w:val="16"/>
        </w:rPr>
        <w:footnoteRef/>
      </w:r>
      <w:r w:rsidRPr="003C6B2A">
        <w:rPr>
          <w:sz w:val="16"/>
          <w:szCs w:val="16"/>
        </w:rPr>
        <w:t xml:space="preserve"> </w:t>
      </w:r>
      <w:hyperlink r:id="rId2" w:history="1">
        <w:r w:rsidR="00CC67D2" w:rsidRPr="003C6B2A">
          <w:rPr>
            <w:rStyle w:val="Hyperlink"/>
            <w:sz w:val="16"/>
            <w:szCs w:val="16"/>
          </w:rPr>
          <w:t>https://www.theguardian.com/australia-news/2018/nov/28/hundreds-of-students-striking-over-climate-change-descend-on-parliament</w:t>
        </w:r>
      </w:hyperlink>
      <w:r w:rsidR="00CC67D2" w:rsidRPr="003C6B2A">
        <w:rPr>
          <w:sz w:val="16"/>
          <w:szCs w:val="16"/>
        </w:rPr>
        <w:t xml:space="preserve">: </w:t>
      </w:r>
      <w:hyperlink r:id="rId3" w:history="1">
        <w:r w:rsidR="00CC67D2" w:rsidRPr="003C6B2A">
          <w:rPr>
            <w:rStyle w:val="Hyperlink"/>
            <w:sz w:val="16"/>
            <w:szCs w:val="16"/>
          </w:rPr>
          <w:t>https://www.smh.com.au/education/school-students-on-mass-strike-to-protest-climate-change-inaction-20181129-p50j4c.html</w:t>
        </w:r>
      </w:hyperlink>
      <w:r w:rsidR="00CC67D2" w:rsidRPr="003C6B2A">
        <w:rPr>
          <w:sz w:val="16"/>
          <w:szCs w:val="16"/>
        </w:rPr>
        <w:t>;  https://www.schoolstrike4climate.com</w:t>
      </w:r>
    </w:p>
  </w:footnote>
  <w:footnote w:id="15">
    <w:p w14:paraId="4320EE91" w14:textId="4F15693F" w:rsidR="00C37024" w:rsidRPr="003C6B2A" w:rsidRDefault="00C37024" w:rsidP="003C6B2A">
      <w:pPr>
        <w:pStyle w:val="FootnoteText"/>
        <w:rPr>
          <w:sz w:val="16"/>
          <w:szCs w:val="16"/>
        </w:rPr>
      </w:pPr>
      <w:r w:rsidRPr="003C6B2A">
        <w:rPr>
          <w:rStyle w:val="FootnoteReference"/>
          <w:sz w:val="16"/>
          <w:szCs w:val="16"/>
        </w:rPr>
        <w:footnoteRef/>
      </w:r>
      <w:r w:rsidRPr="003C6B2A">
        <w:rPr>
          <w:sz w:val="16"/>
          <w:szCs w:val="16"/>
        </w:rPr>
        <w:t xml:space="preserve"> https://www.australiangeographic.com.au/news/2018/11/australian-school-children-are-striking-for-climate-heres-why/</w:t>
      </w:r>
    </w:p>
  </w:footnote>
  <w:footnote w:id="16">
    <w:p w14:paraId="1FA7BBEF" w14:textId="1DCAF5C0" w:rsidR="00454871" w:rsidRPr="00454871" w:rsidRDefault="00454871">
      <w:pPr>
        <w:pStyle w:val="FootnoteText"/>
        <w:rPr>
          <w:sz w:val="16"/>
          <w:szCs w:val="16"/>
        </w:rPr>
      </w:pPr>
      <w:r w:rsidRPr="00454871">
        <w:rPr>
          <w:rStyle w:val="FootnoteReference"/>
          <w:sz w:val="16"/>
          <w:szCs w:val="16"/>
        </w:rPr>
        <w:footnoteRef/>
      </w:r>
      <w:r w:rsidRPr="00454871">
        <w:rPr>
          <w:sz w:val="16"/>
          <w:szCs w:val="16"/>
        </w:rPr>
        <w:t xml:space="preserve"> </w:t>
      </w:r>
      <w:hyperlink r:id="rId4" w:history="1">
        <w:r w:rsidRPr="004E5E61">
          <w:rPr>
            <w:rStyle w:val="Hyperlink"/>
            <w:sz w:val="16"/>
            <w:szCs w:val="16"/>
          </w:rPr>
          <w:t>https://www.smh.com.au/environment/climate-change/striking-students-defy-pm-to-protest-at-inaction-on-climate-change-20181130-p50jc6.html</w:t>
        </w:r>
      </w:hyperlink>
      <w:r>
        <w:rPr>
          <w:sz w:val="16"/>
          <w:szCs w:val="16"/>
        </w:rPr>
        <w:t xml:space="preserve">; </w:t>
      </w:r>
      <w:r w:rsidRPr="00454871">
        <w:rPr>
          <w:sz w:val="16"/>
          <w:szCs w:val="16"/>
        </w:rPr>
        <w:t>https://www.theguardian.com/environment/2018/nov/30/climate-change-strike-thousands-of-students-to-join-national-protest</w:t>
      </w:r>
    </w:p>
  </w:footnote>
  <w:footnote w:id="17">
    <w:p w14:paraId="1246327A" w14:textId="5FB6B629" w:rsidR="00FB33D7" w:rsidRPr="00454871" w:rsidRDefault="00FB33D7" w:rsidP="003C6B2A">
      <w:pPr>
        <w:pStyle w:val="FootnoteText"/>
        <w:rPr>
          <w:sz w:val="16"/>
          <w:szCs w:val="16"/>
          <w:lang w:val="en-GB"/>
        </w:rPr>
      </w:pPr>
      <w:r w:rsidRPr="00454871">
        <w:rPr>
          <w:rStyle w:val="FootnoteReference"/>
          <w:sz w:val="16"/>
          <w:szCs w:val="16"/>
        </w:rPr>
        <w:footnoteRef/>
      </w:r>
      <w:r w:rsidRPr="00454871">
        <w:rPr>
          <w:sz w:val="16"/>
          <w:szCs w:val="16"/>
          <w:lang w:val="en-GB"/>
        </w:rPr>
        <w:t xml:space="preserve"> Human Rights Council, Analytical Study at paragraphs 32 and 48</w:t>
      </w:r>
    </w:p>
  </w:footnote>
  <w:footnote w:id="18">
    <w:p w14:paraId="0C284D15" w14:textId="77777777" w:rsidR="00FB33D7" w:rsidRPr="003C6B2A" w:rsidRDefault="00FB33D7" w:rsidP="003C6B2A">
      <w:pPr>
        <w:pStyle w:val="FootnoteText"/>
        <w:rPr>
          <w:sz w:val="16"/>
          <w:szCs w:val="16"/>
          <w:lang w:val="en-GB"/>
        </w:rPr>
      </w:pPr>
      <w:r w:rsidRPr="003C6B2A">
        <w:rPr>
          <w:rStyle w:val="FootnoteReference"/>
          <w:sz w:val="16"/>
          <w:szCs w:val="16"/>
        </w:rPr>
        <w:footnoteRef/>
      </w:r>
      <w:r w:rsidRPr="003C6B2A">
        <w:rPr>
          <w:sz w:val="16"/>
          <w:szCs w:val="16"/>
          <w:lang w:val="en-GB"/>
        </w:rPr>
        <w:t xml:space="preserve"> </w:t>
      </w:r>
      <w:r w:rsidRPr="003C6B2A">
        <w:rPr>
          <w:rFonts w:eastAsia="MS Mincho"/>
          <w:sz w:val="16"/>
          <w:szCs w:val="16"/>
          <w:lang w:val="en-GB" w:eastAsia="ja-JP"/>
        </w:rPr>
        <w:t>A/HRC/25/53</w:t>
      </w:r>
    </w:p>
  </w:footnote>
  <w:footnote w:id="19">
    <w:p w14:paraId="37F7E547" w14:textId="77777777" w:rsidR="00C3284F" w:rsidRPr="003C6B2A" w:rsidRDefault="00C3284F" w:rsidP="003C6B2A">
      <w:pPr>
        <w:pStyle w:val="FootnoteText"/>
        <w:rPr>
          <w:sz w:val="16"/>
          <w:szCs w:val="16"/>
        </w:rPr>
      </w:pPr>
      <w:r w:rsidRPr="003C6B2A">
        <w:rPr>
          <w:rStyle w:val="FootnoteReference"/>
          <w:sz w:val="16"/>
          <w:szCs w:val="16"/>
        </w:rPr>
        <w:footnoteRef/>
      </w:r>
      <w:r w:rsidRPr="003C6B2A">
        <w:rPr>
          <w:sz w:val="16"/>
          <w:szCs w:val="16"/>
        </w:rPr>
        <w:t xml:space="preserve"> Office of the High Commissioner for Human Rights, </w:t>
      </w:r>
      <w:r w:rsidRPr="003C6B2A">
        <w:rPr>
          <w:i/>
          <w:sz w:val="16"/>
          <w:szCs w:val="16"/>
        </w:rPr>
        <w:t>Analytical Study on ‘</w:t>
      </w:r>
      <w:r w:rsidRPr="003C6B2A">
        <w:rPr>
          <w:i/>
          <w:sz w:val="16"/>
          <w:szCs w:val="16"/>
          <w:lang w:val="en-GB"/>
        </w:rPr>
        <w:t>Climate change and the full and effective enjoyment of the rights of the child’</w:t>
      </w:r>
      <w:r w:rsidRPr="003C6B2A">
        <w:rPr>
          <w:sz w:val="16"/>
          <w:szCs w:val="16"/>
          <w:lang w:val="en-GB"/>
        </w:rPr>
        <w:t>, UN Doc. A/HRC/35/13.</w:t>
      </w:r>
    </w:p>
  </w:footnote>
  <w:footnote w:id="20">
    <w:p w14:paraId="3C23AD82" w14:textId="77777777" w:rsidR="00C3284F" w:rsidRPr="003C6B2A" w:rsidRDefault="00C3284F" w:rsidP="003C6B2A">
      <w:pPr>
        <w:pStyle w:val="FootnoteText"/>
        <w:rPr>
          <w:sz w:val="16"/>
          <w:szCs w:val="16"/>
        </w:rPr>
      </w:pPr>
      <w:r w:rsidRPr="003C6B2A">
        <w:rPr>
          <w:rStyle w:val="FootnoteReference"/>
          <w:sz w:val="16"/>
          <w:szCs w:val="16"/>
        </w:rPr>
        <w:footnoteRef/>
      </w:r>
      <w:r w:rsidRPr="003C6B2A">
        <w:rPr>
          <w:sz w:val="16"/>
          <w:szCs w:val="16"/>
        </w:rPr>
        <w:t xml:space="preserve"> </w:t>
      </w:r>
      <w:r w:rsidRPr="003C6B2A">
        <w:rPr>
          <w:sz w:val="16"/>
          <w:szCs w:val="16"/>
          <w:lang w:val="en-US"/>
        </w:rPr>
        <w:t xml:space="preserve">CRC, Concluding observations on the combined fifth and sixth periodic reports of Spain (2018), UN Doc. </w:t>
      </w:r>
      <w:r w:rsidRPr="003C6B2A">
        <w:rPr>
          <w:sz w:val="16"/>
          <w:szCs w:val="16"/>
        </w:rPr>
        <w:t>CRC/C/ESP/CO/5-6, para. 36.</w:t>
      </w:r>
    </w:p>
  </w:footnote>
  <w:footnote w:id="21">
    <w:p w14:paraId="61FC31DF" w14:textId="77777777" w:rsidR="007C7B5E" w:rsidRPr="003C6B2A" w:rsidRDefault="007C7B5E" w:rsidP="003C6B2A">
      <w:pPr>
        <w:pStyle w:val="FootnoteText"/>
        <w:rPr>
          <w:sz w:val="16"/>
          <w:szCs w:val="16"/>
        </w:rPr>
      </w:pPr>
      <w:r w:rsidRPr="003C6B2A">
        <w:rPr>
          <w:rStyle w:val="FootnoteReference"/>
          <w:sz w:val="16"/>
          <w:szCs w:val="16"/>
        </w:rPr>
        <w:footnoteRef/>
      </w:r>
      <w:r w:rsidRPr="003C6B2A">
        <w:rPr>
          <w:sz w:val="16"/>
          <w:szCs w:val="16"/>
        </w:rPr>
        <w:t xml:space="preserve"> </w:t>
      </w:r>
      <w:r w:rsidRPr="003C6B2A">
        <w:rPr>
          <w:sz w:val="16"/>
          <w:szCs w:val="16"/>
          <w:lang w:val="en-GB"/>
        </w:rPr>
        <w:t>Committee on the Rights of the Child, General Comment No. 16 (2013) on State obligations regarding the impact of the business sector on children’s rights, UN Doc CRC/C/GC/16</w:t>
      </w:r>
    </w:p>
  </w:footnote>
  <w:footnote w:id="22">
    <w:p w14:paraId="08A539F7" w14:textId="77777777" w:rsidR="007C7B5E" w:rsidRPr="003C6B2A" w:rsidRDefault="007C7B5E" w:rsidP="003C6B2A">
      <w:pPr>
        <w:pStyle w:val="FootnoteText"/>
        <w:rPr>
          <w:sz w:val="16"/>
          <w:szCs w:val="16"/>
        </w:rPr>
      </w:pPr>
      <w:r w:rsidRPr="003C6B2A">
        <w:rPr>
          <w:rStyle w:val="FootnoteReference"/>
          <w:sz w:val="16"/>
          <w:szCs w:val="16"/>
        </w:rPr>
        <w:footnoteRef/>
      </w:r>
      <w:r w:rsidRPr="003C6B2A">
        <w:rPr>
          <w:sz w:val="16"/>
          <w:szCs w:val="16"/>
        </w:rPr>
        <w:t xml:space="preserve"> Report by the Committee on the Rights of the Child of the 2016 Day of General Discussion: Children’s Rights and the Environment, at 29, 32 and 36.</w:t>
      </w:r>
    </w:p>
  </w:footnote>
  <w:footnote w:id="23">
    <w:p w14:paraId="25815E68" w14:textId="77777777" w:rsidR="00A277ED" w:rsidRPr="003C6B2A" w:rsidRDefault="00A277ED" w:rsidP="003C6B2A">
      <w:pPr>
        <w:pStyle w:val="FootnoteText"/>
        <w:rPr>
          <w:sz w:val="16"/>
          <w:szCs w:val="16"/>
          <w:lang w:val="en-GB"/>
        </w:rPr>
      </w:pPr>
      <w:r w:rsidRPr="003C6B2A">
        <w:rPr>
          <w:rStyle w:val="FootnoteReference"/>
          <w:sz w:val="16"/>
          <w:szCs w:val="16"/>
        </w:rPr>
        <w:footnoteRef/>
      </w:r>
      <w:r w:rsidRPr="003C6B2A">
        <w:rPr>
          <w:sz w:val="16"/>
          <w:szCs w:val="16"/>
          <w:lang w:val="en-GB"/>
        </w:rPr>
        <w:t xml:space="preserve"> http://edgar.jrc.ec.europa.eu/booklet2017/countries/AUS.pdf </w:t>
      </w:r>
    </w:p>
  </w:footnote>
  <w:footnote w:id="24">
    <w:p w14:paraId="6F0F8489" w14:textId="77777777" w:rsidR="00A277ED" w:rsidRPr="003C6B2A" w:rsidRDefault="00A277ED" w:rsidP="00A277ED">
      <w:pPr>
        <w:pStyle w:val="FootnoteText"/>
        <w:rPr>
          <w:sz w:val="16"/>
          <w:szCs w:val="16"/>
        </w:rPr>
      </w:pPr>
      <w:r w:rsidRPr="003C6B2A">
        <w:rPr>
          <w:rStyle w:val="FootnoteReference"/>
          <w:sz w:val="16"/>
          <w:szCs w:val="16"/>
        </w:rPr>
        <w:footnoteRef/>
      </w:r>
      <w:r w:rsidRPr="003C6B2A">
        <w:rPr>
          <w:sz w:val="16"/>
          <w:szCs w:val="16"/>
        </w:rPr>
        <w:t xml:space="preserve"> Greenpeace, ‘Exporting Climate Change, Killing the Reef’(April 2016)</w:t>
      </w:r>
    </w:p>
    <w:p w14:paraId="415C63EC" w14:textId="77777777" w:rsidR="00A277ED" w:rsidRPr="003C6B2A" w:rsidRDefault="00A277ED" w:rsidP="00A277ED">
      <w:pPr>
        <w:pStyle w:val="FootnoteText"/>
        <w:rPr>
          <w:sz w:val="16"/>
          <w:szCs w:val="16"/>
        </w:rPr>
      </w:pPr>
      <w:r w:rsidRPr="003C6B2A">
        <w:rPr>
          <w:sz w:val="16"/>
          <w:szCs w:val="16"/>
        </w:rPr>
        <w:t xml:space="preserve">https://www.greenpeace.org.au/wp/wp-content/uploads/2016/04/Exporting-climate-change-killing-the-reef.pdf </w:t>
      </w:r>
    </w:p>
  </w:footnote>
  <w:footnote w:id="25">
    <w:p w14:paraId="317EDA9F" w14:textId="77777777" w:rsidR="00FB33D7" w:rsidRPr="003C6B2A" w:rsidRDefault="00FB33D7" w:rsidP="0006308E">
      <w:pPr>
        <w:pStyle w:val="FootnoteText"/>
        <w:rPr>
          <w:sz w:val="16"/>
          <w:szCs w:val="16"/>
          <w:lang w:val="es-AR"/>
        </w:rPr>
      </w:pPr>
      <w:r w:rsidRPr="003C6B2A">
        <w:rPr>
          <w:rStyle w:val="FootnoteReference"/>
          <w:sz w:val="16"/>
          <w:szCs w:val="16"/>
        </w:rPr>
        <w:footnoteRef/>
      </w:r>
      <w:r w:rsidRPr="003C6B2A">
        <w:rPr>
          <w:rStyle w:val="FootnoteReference"/>
          <w:sz w:val="16"/>
          <w:szCs w:val="16"/>
        </w:rPr>
        <w:t xml:space="preserve"> </w:t>
      </w:r>
      <w:r w:rsidRPr="003C6B2A">
        <w:rPr>
          <w:sz w:val="16"/>
          <w:szCs w:val="16"/>
          <w:lang w:val="en-GB"/>
        </w:rPr>
        <w:t xml:space="preserve">Climate </w:t>
      </w:r>
      <w:r w:rsidRPr="003C6B2A">
        <w:rPr>
          <w:sz w:val="16"/>
          <w:szCs w:val="16"/>
          <w:lang w:val="es-AR"/>
        </w:rPr>
        <w:t>Tracker, http://climateactiontracker.org/countries/australia.html</w:t>
      </w:r>
    </w:p>
  </w:footnote>
  <w:footnote w:id="26">
    <w:p w14:paraId="44ACDDF3" w14:textId="7682F6C3" w:rsidR="00FB33D7" w:rsidRPr="003C6B2A" w:rsidRDefault="00FB33D7">
      <w:pPr>
        <w:pStyle w:val="FootnoteText"/>
        <w:rPr>
          <w:sz w:val="16"/>
          <w:szCs w:val="16"/>
          <w:lang w:val="en-GB"/>
        </w:rPr>
      </w:pPr>
      <w:r w:rsidRPr="003C6B2A">
        <w:rPr>
          <w:rStyle w:val="FootnoteReference"/>
          <w:sz w:val="16"/>
          <w:szCs w:val="16"/>
        </w:rPr>
        <w:footnoteRef/>
      </w:r>
      <w:r w:rsidRPr="003C6B2A">
        <w:rPr>
          <w:sz w:val="16"/>
          <w:szCs w:val="16"/>
        </w:rPr>
        <w:t xml:space="preserve"> Climate Change Authority, ‘</w:t>
      </w:r>
      <w:r w:rsidRPr="003C6B2A">
        <w:rPr>
          <w:sz w:val="16"/>
          <w:szCs w:val="16"/>
          <w:lang w:val="en-GB"/>
        </w:rPr>
        <w:t>Reducing Australia's greenhouse gas emissions: Targets and progress review’, (2014) Melbourne.</w:t>
      </w:r>
    </w:p>
  </w:footnote>
  <w:footnote w:id="27">
    <w:p w14:paraId="2B9EA2DE" w14:textId="77777777" w:rsidR="00FB33D7" w:rsidRPr="003C6B2A" w:rsidRDefault="00FB33D7" w:rsidP="00A35EB8">
      <w:pPr>
        <w:pStyle w:val="FootnoteText"/>
        <w:rPr>
          <w:sz w:val="16"/>
          <w:szCs w:val="16"/>
          <w:lang w:val="en-GB"/>
        </w:rPr>
      </w:pPr>
      <w:r w:rsidRPr="003C6B2A">
        <w:rPr>
          <w:rStyle w:val="FootnoteReference"/>
          <w:sz w:val="16"/>
          <w:szCs w:val="16"/>
        </w:rPr>
        <w:footnoteRef/>
      </w:r>
      <w:r w:rsidRPr="003C6B2A">
        <w:rPr>
          <w:sz w:val="16"/>
          <w:szCs w:val="16"/>
        </w:rPr>
        <w:t xml:space="preserve"> The Climate Change Performance Index - </w:t>
      </w:r>
      <w:r w:rsidRPr="003C6B2A">
        <w:rPr>
          <w:sz w:val="16"/>
          <w:szCs w:val="16"/>
          <w:lang w:val="en-GB"/>
        </w:rPr>
        <w:t xml:space="preserve">On the basis of standardised criteria, the index evaluates and compares the climate protection performance of 56 countries and the EU, which are together responsible for more than 90 percent of global greenhouse gas (GHG) emissions. </w:t>
      </w:r>
    </w:p>
  </w:footnote>
  <w:footnote w:id="28">
    <w:p w14:paraId="7FDAD784" w14:textId="77777777" w:rsidR="00FB33D7" w:rsidRPr="003C6B2A" w:rsidRDefault="00FB33D7" w:rsidP="00A35EB8">
      <w:pPr>
        <w:pStyle w:val="FootnoteText"/>
        <w:rPr>
          <w:sz w:val="16"/>
          <w:szCs w:val="16"/>
          <w:lang w:val="en-GB"/>
        </w:rPr>
      </w:pPr>
      <w:r w:rsidRPr="003C6B2A">
        <w:rPr>
          <w:rStyle w:val="FootnoteReference"/>
          <w:sz w:val="16"/>
          <w:szCs w:val="16"/>
        </w:rPr>
        <w:footnoteRef/>
      </w:r>
      <w:r w:rsidRPr="003C6B2A">
        <w:rPr>
          <w:sz w:val="16"/>
          <w:szCs w:val="16"/>
        </w:rPr>
        <w:t xml:space="preserve"> </w:t>
      </w:r>
      <w:r w:rsidRPr="003C6B2A">
        <w:rPr>
          <w:sz w:val="16"/>
          <w:szCs w:val="16"/>
          <w:lang w:val="en-GB"/>
        </w:rPr>
        <w:t>Jan Burck, Franziska Marten, Christoph Bals, Niklas Höhne, ‘Climate Change Performance Index: Results 2018’, November 2017, p 7; See Summary for Australia here: https://www.climate-change-performance-index.org/country/australia</w:t>
      </w:r>
    </w:p>
  </w:footnote>
  <w:footnote w:id="29">
    <w:p w14:paraId="62FEE0D6" w14:textId="28D0E92C" w:rsidR="00FB33D7" w:rsidRPr="003C6B2A" w:rsidRDefault="00FB33D7">
      <w:pPr>
        <w:pStyle w:val="FootnoteText"/>
        <w:rPr>
          <w:sz w:val="16"/>
          <w:szCs w:val="16"/>
        </w:rPr>
      </w:pPr>
      <w:r w:rsidRPr="003C6B2A">
        <w:rPr>
          <w:rStyle w:val="FootnoteReference"/>
          <w:sz w:val="16"/>
          <w:szCs w:val="16"/>
        </w:rPr>
        <w:footnoteRef/>
      </w:r>
      <w:r w:rsidRPr="003C6B2A">
        <w:rPr>
          <w:sz w:val="16"/>
          <w:szCs w:val="16"/>
        </w:rPr>
        <w:t xml:space="preserve"> According to The Australia Institute, </w:t>
      </w:r>
      <w:r w:rsidR="00FB1479" w:rsidRPr="003C6B2A">
        <w:rPr>
          <w:sz w:val="16"/>
          <w:szCs w:val="16"/>
        </w:rPr>
        <w:t xml:space="preserve">in September 2017 </w:t>
      </w:r>
      <w:r w:rsidRPr="003C6B2A">
        <w:rPr>
          <w:sz w:val="16"/>
          <w:szCs w:val="16"/>
        </w:rPr>
        <w:t xml:space="preserve">Australia and Turkey </w:t>
      </w:r>
      <w:r w:rsidR="00FB1479" w:rsidRPr="003C6B2A">
        <w:rPr>
          <w:sz w:val="16"/>
          <w:szCs w:val="16"/>
        </w:rPr>
        <w:t>we</w:t>
      </w:r>
      <w:r w:rsidRPr="003C6B2A">
        <w:rPr>
          <w:sz w:val="16"/>
          <w:szCs w:val="16"/>
        </w:rPr>
        <w:t xml:space="preserve">re the only developed nations in which emissions </w:t>
      </w:r>
      <w:r w:rsidR="002E586C" w:rsidRPr="003C6B2A">
        <w:rPr>
          <w:sz w:val="16"/>
          <w:szCs w:val="16"/>
        </w:rPr>
        <w:t>we</w:t>
      </w:r>
      <w:r w:rsidRPr="003C6B2A">
        <w:rPr>
          <w:sz w:val="16"/>
          <w:szCs w:val="16"/>
        </w:rPr>
        <w:t>re rising. The Australia Institute, September 2017 ‘Climate outliers: Australia and Turkey the only developed nations breaking emissions records’, http://www.tai.org.au/content/climate-outliers-australia-and-turkey-only-developed-nations-breaking-emissions-records</w:t>
      </w:r>
    </w:p>
  </w:footnote>
  <w:footnote w:id="30">
    <w:p w14:paraId="3FC8482C" w14:textId="431966CC" w:rsidR="00FB33D7" w:rsidRPr="003C6B2A" w:rsidRDefault="00FB33D7" w:rsidP="00425B91">
      <w:pPr>
        <w:pStyle w:val="FootnoteText"/>
        <w:rPr>
          <w:sz w:val="16"/>
          <w:szCs w:val="16"/>
          <w:lang w:val="es-AR"/>
        </w:rPr>
      </w:pPr>
      <w:r w:rsidRPr="003C6B2A">
        <w:rPr>
          <w:rStyle w:val="FootnoteReference"/>
          <w:sz w:val="16"/>
          <w:szCs w:val="16"/>
        </w:rPr>
        <w:footnoteRef/>
      </w:r>
      <w:r w:rsidRPr="003C6B2A">
        <w:rPr>
          <w:sz w:val="16"/>
          <w:szCs w:val="16"/>
          <w:lang w:val="es-AR"/>
        </w:rPr>
        <w:t xml:space="preserve"> See data from Australia’s National Greenhouse Gas Inventory: http://ageis.climatechange.gov.au/NGGI.aspx Data is also available from the European Commission Emissions Database for Global Atmospheric Emissions here: http://edgar.jrc.ec.europa.eu/overview.php?v=CO2andGHG1970-2016&amp;dst=CO2pc&amp;sort=des9.</w:t>
      </w:r>
    </w:p>
    <w:p w14:paraId="0185A66A" w14:textId="40896F9C" w:rsidR="00FB33D7" w:rsidRPr="003C6B2A" w:rsidRDefault="00FB33D7" w:rsidP="00425B91">
      <w:pPr>
        <w:pStyle w:val="FootnoteText"/>
        <w:rPr>
          <w:sz w:val="16"/>
          <w:szCs w:val="16"/>
          <w:lang w:val="es-AR"/>
        </w:rPr>
      </w:pPr>
      <w:r w:rsidRPr="003C6B2A">
        <w:rPr>
          <w:sz w:val="16"/>
          <w:szCs w:val="16"/>
          <w:lang w:val="es-AR"/>
        </w:rPr>
        <w:t>And from the World Bank here: https://data.worldbank.org/indicator/EN.ATM.CO2E.PC?locations=AU&amp;view=map</w:t>
      </w:r>
    </w:p>
  </w:footnote>
  <w:footnote w:id="31">
    <w:p w14:paraId="02F8357F" w14:textId="6453457C" w:rsidR="00FB33D7" w:rsidRPr="003C6B2A" w:rsidRDefault="00FB33D7" w:rsidP="00493158">
      <w:pPr>
        <w:pStyle w:val="FootnoteText"/>
        <w:rPr>
          <w:b/>
          <w:bCs/>
          <w:sz w:val="16"/>
          <w:szCs w:val="16"/>
          <w:lang w:val="en-GB"/>
        </w:rPr>
      </w:pPr>
      <w:r w:rsidRPr="003C6B2A">
        <w:rPr>
          <w:rStyle w:val="FootnoteReference"/>
          <w:sz w:val="16"/>
          <w:szCs w:val="16"/>
        </w:rPr>
        <w:footnoteRef/>
      </w:r>
      <w:r w:rsidRPr="003C6B2A">
        <w:rPr>
          <w:sz w:val="16"/>
          <w:szCs w:val="16"/>
          <w:lang w:val="es-AR"/>
        </w:rPr>
        <w:t xml:space="preserve"> Australian Government Department of Environment and Energy, ‘</w:t>
      </w:r>
      <w:r w:rsidRPr="003C6B2A">
        <w:rPr>
          <w:bCs/>
          <w:i/>
          <w:sz w:val="16"/>
          <w:szCs w:val="16"/>
          <w:lang w:val="en-GB"/>
        </w:rPr>
        <w:t>Quarterly Update of Australia's National Greenhouse Gas Inventory: December 2017</w:t>
      </w:r>
      <w:r w:rsidRPr="003C6B2A">
        <w:rPr>
          <w:sz w:val="16"/>
          <w:szCs w:val="16"/>
          <w:lang w:val="es-AR"/>
        </w:rPr>
        <w:t>’, http://www.environment.gov.au/climate-change/climate-science-data/greenhouse-gas-measurement/publications/quarterly-update-australias-national-greenhouse-gas-inventory-dec-2017.</w:t>
      </w:r>
    </w:p>
  </w:footnote>
  <w:footnote w:id="32">
    <w:p w14:paraId="27A53E7C" w14:textId="2F037E3A" w:rsidR="00FB33D7" w:rsidRPr="003C6B2A" w:rsidRDefault="00FB33D7" w:rsidP="00737B4F">
      <w:pPr>
        <w:pStyle w:val="FootnoteText"/>
        <w:rPr>
          <w:sz w:val="16"/>
          <w:szCs w:val="16"/>
          <w:lang w:val="en-GB"/>
        </w:rPr>
      </w:pPr>
      <w:r w:rsidRPr="003C6B2A">
        <w:rPr>
          <w:rStyle w:val="FootnoteReference"/>
          <w:sz w:val="16"/>
          <w:szCs w:val="16"/>
        </w:rPr>
        <w:footnoteRef/>
      </w:r>
      <w:r w:rsidRPr="003C6B2A">
        <w:rPr>
          <w:sz w:val="16"/>
          <w:szCs w:val="16"/>
        </w:rPr>
        <w:t xml:space="preserve"> </w:t>
      </w:r>
      <w:r w:rsidRPr="003C6B2A">
        <w:rPr>
          <w:sz w:val="16"/>
          <w:szCs w:val="16"/>
          <w:lang w:val="en-GB"/>
        </w:rPr>
        <w:t xml:space="preserve">Climate Action Tracker, </w:t>
      </w:r>
      <w:hyperlink r:id="rId5" w:history="1">
        <w:r w:rsidRPr="003C6B2A">
          <w:rPr>
            <w:rStyle w:val="Hyperlink"/>
            <w:sz w:val="16"/>
            <w:szCs w:val="16"/>
            <w:lang w:val="en-GB"/>
          </w:rPr>
          <w:t>http://climateactiontracker.org/countries/australia.html</w:t>
        </w:r>
      </w:hyperlink>
      <w:r w:rsidRPr="003C6B2A">
        <w:rPr>
          <w:rFonts w:eastAsia="MS Mincho" w:cs="MS Mincho"/>
          <w:sz w:val="16"/>
          <w:szCs w:val="16"/>
          <w:lang w:val="en-GB"/>
        </w:rPr>
        <w:t xml:space="preserve"> accessed 23 May 2018</w:t>
      </w:r>
    </w:p>
  </w:footnote>
  <w:footnote w:id="33">
    <w:p w14:paraId="1B5049DE" w14:textId="77777777" w:rsidR="00FB33D7" w:rsidRPr="003C6B2A" w:rsidRDefault="00FB33D7" w:rsidP="009D70A0">
      <w:pPr>
        <w:pStyle w:val="FootnoteText"/>
        <w:rPr>
          <w:sz w:val="16"/>
          <w:szCs w:val="16"/>
          <w:lang w:val="en-GB"/>
        </w:rPr>
      </w:pPr>
      <w:r w:rsidRPr="003C6B2A">
        <w:rPr>
          <w:rStyle w:val="FootnoteReference"/>
          <w:sz w:val="16"/>
          <w:szCs w:val="16"/>
        </w:rPr>
        <w:footnoteRef/>
      </w:r>
      <w:r w:rsidRPr="003C6B2A">
        <w:rPr>
          <w:sz w:val="16"/>
          <w:szCs w:val="16"/>
        </w:rPr>
        <w:t xml:space="preserve"> </w:t>
      </w:r>
      <w:r w:rsidRPr="003C6B2A">
        <w:rPr>
          <w:sz w:val="16"/>
          <w:szCs w:val="16"/>
          <w:lang w:val="en-GB"/>
        </w:rPr>
        <w:t xml:space="preserve">Climate Action Tracker, </w:t>
      </w:r>
      <w:hyperlink r:id="rId6" w:history="1">
        <w:r w:rsidRPr="003C6B2A">
          <w:rPr>
            <w:rStyle w:val="Hyperlink"/>
            <w:sz w:val="16"/>
            <w:szCs w:val="16"/>
            <w:lang w:val="en-GB"/>
          </w:rPr>
          <w:t>https://climateactiontracker.org/countries/australia/fair-share/</w:t>
        </w:r>
      </w:hyperlink>
      <w:r w:rsidRPr="003C6B2A">
        <w:rPr>
          <w:sz w:val="16"/>
          <w:szCs w:val="16"/>
          <w:lang w:val="en-GB"/>
        </w:rPr>
        <w:t xml:space="preserve"> accessed 23 May 2018</w:t>
      </w:r>
    </w:p>
  </w:footnote>
  <w:footnote w:id="34">
    <w:p w14:paraId="1DA8B0A6" w14:textId="725F7C58" w:rsidR="00CA1C2A" w:rsidRPr="003C6B2A" w:rsidRDefault="00CA1C2A" w:rsidP="00CA1C2A">
      <w:pPr>
        <w:pStyle w:val="FootnoteText"/>
        <w:rPr>
          <w:i/>
          <w:sz w:val="16"/>
          <w:szCs w:val="16"/>
          <w:lang w:val="en-US"/>
        </w:rPr>
      </w:pPr>
      <w:r w:rsidRPr="003C6B2A">
        <w:rPr>
          <w:rStyle w:val="FootnoteReference"/>
          <w:sz w:val="16"/>
          <w:szCs w:val="16"/>
        </w:rPr>
        <w:footnoteRef/>
      </w:r>
      <w:r w:rsidRPr="003C6B2A">
        <w:rPr>
          <w:sz w:val="16"/>
          <w:szCs w:val="16"/>
          <w:lang w:val="en-US"/>
        </w:rPr>
        <w:t xml:space="preserve"> UN Environment Programme, ‘</w:t>
      </w:r>
      <w:r w:rsidRPr="003C6B2A">
        <w:rPr>
          <w:i/>
          <w:sz w:val="16"/>
          <w:szCs w:val="16"/>
          <w:lang w:val="en-US"/>
        </w:rPr>
        <w:t>Emissions Gap Report: 201</w:t>
      </w:r>
      <w:r w:rsidR="00117381" w:rsidRPr="003C6B2A">
        <w:rPr>
          <w:i/>
          <w:sz w:val="16"/>
          <w:szCs w:val="16"/>
          <w:lang w:val="en-US"/>
        </w:rPr>
        <w:t>8 Trends and Progress Towards the Cancun Pledges, NDC Targets and Peaking of Emissions</w:t>
      </w:r>
      <w:r w:rsidR="003C6B2A" w:rsidRPr="003C6B2A">
        <w:rPr>
          <w:i/>
          <w:sz w:val="16"/>
          <w:szCs w:val="16"/>
          <w:lang w:val="en-US"/>
        </w:rPr>
        <w:t xml:space="preserve">’ </w:t>
      </w:r>
      <w:r w:rsidRPr="003C6B2A">
        <w:rPr>
          <w:sz w:val="16"/>
          <w:szCs w:val="16"/>
          <w:lang w:val="en-US"/>
        </w:rPr>
        <w:t>(Nov 201</w:t>
      </w:r>
      <w:r w:rsidR="00117381" w:rsidRPr="003C6B2A">
        <w:rPr>
          <w:sz w:val="16"/>
          <w:szCs w:val="16"/>
          <w:lang w:val="en-US"/>
        </w:rPr>
        <w:t>8</w:t>
      </w:r>
      <w:r w:rsidRPr="003C6B2A">
        <w:rPr>
          <w:sz w:val="16"/>
          <w:szCs w:val="16"/>
          <w:lang w:val="en-US"/>
        </w:rPr>
        <w:t xml:space="preserve">), Nairobi, p </w:t>
      </w:r>
      <w:r w:rsidR="00117381" w:rsidRPr="003C6B2A">
        <w:rPr>
          <w:sz w:val="16"/>
          <w:szCs w:val="16"/>
          <w:lang w:val="en-US"/>
        </w:rPr>
        <w:t>8</w:t>
      </w:r>
      <w:r w:rsidR="003C6B2A" w:rsidRPr="003C6B2A">
        <w:rPr>
          <w:sz w:val="16"/>
          <w:szCs w:val="16"/>
          <w:lang w:val="en-US"/>
        </w:rPr>
        <w:t>, 12</w:t>
      </w:r>
      <w:r w:rsidRPr="003C6B2A">
        <w:rPr>
          <w:sz w:val="16"/>
          <w:szCs w:val="16"/>
          <w:lang w:val="en-US"/>
        </w:rPr>
        <w:t>.</w:t>
      </w:r>
    </w:p>
  </w:footnote>
  <w:footnote w:id="35">
    <w:p w14:paraId="6B8D8248" w14:textId="77777777" w:rsidR="00CA1C2A" w:rsidRPr="003C6B2A" w:rsidRDefault="00CA1C2A" w:rsidP="003C6B2A">
      <w:pPr>
        <w:pStyle w:val="FootnoteText"/>
        <w:rPr>
          <w:sz w:val="16"/>
          <w:szCs w:val="16"/>
          <w:lang w:val="en-GB"/>
        </w:rPr>
      </w:pPr>
      <w:r w:rsidRPr="003C6B2A">
        <w:rPr>
          <w:rStyle w:val="FootnoteReference"/>
          <w:sz w:val="16"/>
          <w:szCs w:val="16"/>
        </w:rPr>
        <w:footnoteRef/>
      </w:r>
      <w:r w:rsidRPr="003C6B2A">
        <w:rPr>
          <w:sz w:val="16"/>
          <w:szCs w:val="16"/>
        </w:rPr>
        <w:t xml:space="preserve"> International Energy Agency, ‘Energy Policies of IEA Countries: Australia 2018 Review’, p 191. Accessible here:</w:t>
      </w:r>
      <w:r w:rsidRPr="003C6B2A">
        <w:rPr>
          <w:sz w:val="16"/>
          <w:szCs w:val="16"/>
          <w:lang w:val="en-GB"/>
        </w:rPr>
        <w:t xml:space="preserve"> http://www.iea.org/publications/freepublications/publication/EnergyPoliciesofIEACountriesAustralia2018Review.pdf</w:t>
      </w:r>
    </w:p>
  </w:footnote>
  <w:footnote w:id="36">
    <w:p w14:paraId="2471602C" w14:textId="03DE7AC2" w:rsidR="00FB33D7" w:rsidRPr="003C6B2A" w:rsidRDefault="00FB33D7" w:rsidP="003C6B2A">
      <w:pPr>
        <w:pStyle w:val="FootnoteText"/>
        <w:rPr>
          <w:sz w:val="16"/>
          <w:szCs w:val="16"/>
        </w:rPr>
      </w:pPr>
      <w:r w:rsidRPr="003C6B2A">
        <w:rPr>
          <w:rStyle w:val="FootnoteReference"/>
          <w:sz w:val="16"/>
          <w:szCs w:val="16"/>
        </w:rPr>
        <w:footnoteRef/>
      </w:r>
      <w:r w:rsidRPr="003C6B2A">
        <w:rPr>
          <w:sz w:val="16"/>
          <w:szCs w:val="16"/>
        </w:rPr>
        <w:t xml:space="preserve"> </w:t>
      </w:r>
      <w:r w:rsidRPr="003C6B2A">
        <w:rPr>
          <w:sz w:val="16"/>
          <w:szCs w:val="16"/>
          <w:lang w:val="en-GB"/>
        </w:rPr>
        <w:t>UN Environment Programme, ‘</w:t>
      </w:r>
      <w:r w:rsidRPr="003C6B2A">
        <w:rPr>
          <w:i/>
          <w:sz w:val="16"/>
          <w:szCs w:val="16"/>
          <w:lang w:val="en-GB"/>
        </w:rPr>
        <w:t>The Emissions Gap Report 2017 – Bridging the gap – Phasing out coal’</w:t>
      </w:r>
      <w:r w:rsidRPr="003C6B2A">
        <w:rPr>
          <w:sz w:val="16"/>
          <w:szCs w:val="16"/>
          <w:lang w:val="en-GB"/>
        </w:rPr>
        <w:t xml:space="preserve">, (2017) Nairobi, </w:t>
      </w:r>
      <w:r w:rsidRPr="003C6B2A">
        <w:rPr>
          <w:sz w:val="16"/>
          <w:szCs w:val="16"/>
        </w:rPr>
        <w:t>p 38-39</w:t>
      </w:r>
    </w:p>
  </w:footnote>
  <w:footnote w:id="37">
    <w:p w14:paraId="42061713" w14:textId="77777777" w:rsidR="00FB33D7" w:rsidRPr="003C6B2A" w:rsidRDefault="00FB33D7" w:rsidP="003C6B2A">
      <w:pPr>
        <w:pStyle w:val="FootnoteText"/>
        <w:rPr>
          <w:sz w:val="16"/>
          <w:szCs w:val="16"/>
        </w:rPr>
      </w:pPr>
      <w:r w:rsidRPr="003C6B2A">
        <w:rPr>
          <w:rStyle w:val="FootnoteReference"/>
          <w:sz w:val="16"/>
          <w:szCs w:val="16"/>
        </w:rPr>
        <w:footnoteRef/>
      </w:r>
      <w:r w:rsidRPr="003C6B2A">
        <w:rPr>
          <w:sz w:val="16"/>
          <w:szCs w:val="16"/>
        </w:rPr>
        <w:t xml:space="preserve"> </w:t>
      </w:r>
      <w:r w:rsidRPr="003C6B2A">
        <w:rPr>
          <w:sz w:val="16"/>
          <w:szCs w:val="16"/>
          <w:lang w:val="en-GB"/>
        </w:rPr>
        <w:t xml:space="preserve">International </w:t>
      </w:r>
      <w:r w:rsidRPr="003C6B2A">
        <w:rPr>
          <w:sz w:val="16"/>
          <w:szCs w:val="16"/>
        </w:rPr>
        <w:t>Energy</w:t>
      </w:r>
      <w:r w:rsidRPr="003C6B2A">
        <w:rPr>
          <w:sz w:val="16"/>
          <w:szCs w:val="16"/>
          <w:lang w:val="en-GB"/>
        </w:rPr>
        <w:t xml:space="preserve"> Agency, ‘</w:t>
      </w:r>
      <w:r w:rsidRPr="003C6B2A">
        <w:rPr>
          <w:i/>
          <w:sz w:val="16"/>
          <w:szCs w:val="16"/>
          <w:lang w:val="en-GB"/>
        </w:rPr>
        <w:t>Energy Policies of IEA Countries: Australia 2018</w:t>
      </w:r>
      <w:r w:rsidRPr="003C6B2A">
        <w:rPr>
          <w:sz w:val="16"/>
          <w:szCs w:val="16"/>
          <w:lang w:val="en-GB"/>
        </w:rPr>
        <w:t xml:space="preserve"> Review’, p 176. Accessible: http://www.iea.org/publications/freepublications/publication/EnergyPoliciesofIEACountriesAustralia2018Review.pdf</w:t>
      </w:r>
    </w:p>
  </w:footnote>
  <w:footnote w:id="38">
    <w:p w14:paraId="1F89FB45" w14:textId="0C551126" w:rsidR="00FB33D7" w:rsidRPr="003C6B2A" w:rsidRDefault="00FB33D7" w:rsidP="003C6B2A">
      <w:pPr>
        <w:pStyle w:val="FootnoteText"/>
        <w:rPr>
          <w:sz w:val="16"/>
          <w:szCs w:val="16"/>
        </w:rPr>
      </w:pPr>
      <w:r w:rsidRPr="003C6B2A">
        <w:rPr>
          <w:rStyle w:val="FootnoteReference"/>
          <w:sz w:val="16"/>
          <w:szCs w:val="16"/>
        </w:rPr>
        <w:footnoteRef/>
      </w:r>
      <w:r w:rsidRPr="003C6B2A">
        <w:rPr>
          <w:sz w:val="16"/>
          <w:szCs w:val="16"/>
        </w:rPr>
        <w:t xml:space="preserve"> International Energy Agency</w:t>
      </w:r>
      <w:r w:rsidRPr="003C6B2A">
        <w:rPr>
          <w:i/>
          <w:sz w:val="16"/>
          <w:szCs w:val="16"/>
        </w:rPr>
        <w:t xml:space="preserve">, </w:t>
      </w:r>
      <w:r w:rsidR="005E2786" w:rsidRPr="003C6B2A">
        <w:rPr>
          <w:i/>
          <w:sz w:val="16"/>
          <w:szCs w:val="16"/>
        </w:rPr>
        <w:t>op. cit.,</w:t>
      </w:r>
      <w:r w:rsidR="005E2786" w:rsidRPr="003C6B2A">
        <w:rPr>
          <w:sz w:val="16"/>
          <w:szCs w:val="16"/>
        </w:rPr>
        <w:t xml:space="preserve"> </w:t>
      </w:r>
      <w:r w:rsidRPr="003C6B2A">
        <w:rPr>
          <w:sz w:val="16"/>
          <w:szCs w:val="16"/>
        </w:rPr>
        <w:t>p176</w:t>
      </w:r>
    </w:p>
  </w:footnote>
  <w:footnote w:id="39">
    <w:p w14:paraId="5792B80F" w14:textId="77777777" w:rsidR="00FB33D7" w:rsidRPr="003C6B2A" w:rsidRDefault="00FB33D7" w:rsidP="003C6B2A">
      <w:pPr>
        <w:pStyle w:val="FootnoteText"/>
        <w:rPr>
          <w:b/>
          <w:bCs/>
          <w:sz w:val="16"/>
          <w:szCs w:val="16"/>
          <w:lang w:val="en-GB"/>
        </w:rPr>
      </w:pPr>
      <w:r w:rsidRPr="003C6B2A">
        <w:rPr>
          <w:rStyle w:val="FootnoteReference"/>
          <w:sz w:val="16"/>
          <w:szCs w:val="16"/>
        </w:rPr>
        <w:footnoteRef/>
      </w:r>
      <w:r w:rsidRPr="003C6B2A">
        <w:rPr>
          <w:sz w:val="16"/>
          <w:szCs w:val="16"/>
        </w:rPr>
        <w:t xml:space="preserve"> </w:t>
      </w:r>
      <w:hyperlink r:id="rId7" w:history="1">
        <w:r w:rsidRPr="003C6B2A">
          <w:rPr>
            <w:rStyle w:val="Hyperlink"/>
            <w:sz w:val="16"/>
            <w:szCs w:val="16"/>
          </w:rPr>
          <w:t>http://minister.industry.gov.au/ministers/canavan/speeches/speech-national-press-club-long-mining-boom</w:t>
        </w:r>
      </w:hyperlink>
      <w:r w:rsidRPr="003C6B2A">
        <w:rPr>
          <w:sz w:val="16"/>
          <w:szCs w:val="16"/>
        </w:rPr>
        <w:t>; The West Australian, ‘</w:t>
      </w:r>
      <w:r w:rsidRPr="003C6B2A">
        <w:rPr>
          <w:bCs/>
          <w:i/>
          <w:sz w:val="16"/>
          <w:szCs w:val="16"/>
          <w:lang w:val="en-GB"/>
        </w:rPr>
        <w:t>Minister Matt Canavan’s resources task force to boost the case for coal</w:t>
      </w:r>
      <w:r w:rsidRPr="003C6B2A">
        <w:rPr>
          <w:i/>
          <w:sz w:val="16"/>
          <w:szCs w:val="16"/>
        </w:rPr>
        <w:t>’</w:t>
      </w:r>
      <w:r w:rsidRPr="003C6B2A">
        <w:rPr>
          <w:sz w:val="16"/>
          <w:szCs w:val="16"/>
        </w:rPr>
        <w:t>, 28 May 2018, https://thewest.com.au/business/mining/minister-matt-canavans-resources-task-force-to-boost-the-case-for-coal-ng-b88788473z</w:t>
      </w:r>
    </w:p>
  </w:footnote>
  <w:footnote w:id="40">
    <w:p w14:paraId="56EDCE4F" w14:textId="77777777" w:rsidR="00FB33D7" w:rsidRPr="003C6B2A" w:rsidRDefault="00FB33D7" w:rsidP="003C6B2A">
      <w:pPr>
        <w:pStyle w:val="FootnoteText"/>
        <w:rPr>
          <w:sz w:val="16"/>
          <w:szCs w:val="16"/>
        </w:rPr>
      </w:pPr>
      <w:r w:rsidRPr="003C6B2A">
        <w:rPr>
          <w:rStyle w:val="FootnoteReference"/>
          <w:sz w:val="16"/>
          <w:szCs w:val="16"/>
        </w:rPr>
        <w:footnoteRef/>
      </w:r>
      <w:r w:rsidRPr="003C6B2A">
        <w:rPr>
          <w:sz w:val="16"/>
          <w:szCs w:val="16"/>
        </w:rPr>
        <w:t xml:space="preserve"> http://www.abc.net.au/news/2018-04-14/coal-industry-in-transition/9644812</w:t>
      </w:r>
    </w:p>
  </w:footnote>
  <w:footnote w:id="41">
    <w:p w14:paraId="11B6F920" w14:textId="2D3DDF16" w:rsidR="00FB33D7" w:rsidRPr="003C6B2A" w:rsidRDefault="00FB33D7" w:rsidP="003C6B2A">
      <w:pPr>
        <w:pStyle w:val="FootnoteText"/>
        <w:rPr>
          <w:sz w:val="16"/>
          <w:szCs w:val="16"/>
          <w:lang w:val="en-GB"/>
        </w:rPr>
      </w:pPr>
      <w:r w:rsidRPr="003C6B2A">
        <w:rPr>
          <w:rStyle w:val="FootnoteReference"/>
          <w:sz w:val="16"/>
          <w:szCs w:val="16"/>
        </w:rPr>
        <w:footnoteRef/>
      </w:r>
      <w:r w:rsidRPr="003C6B2A">
        <w:rPr>
          <w:sz w:val="16"/>
          <w:szCs w:val="16"/>
        </w:rPr>
        <w:t xml:space="preserve"> Oxfam Australia, ‘</w:t>
      </w:r>
      <w:hyperlink r:id="rId8" w:history="1">
        <w:r w:rsidRPr="003C6B2A">
          <w:rPr>
            <w:rStyle w:val="Hyperlink"/>
            <w:i/>
            <w:iCs/>
            <w:sz w:val="16"/>
            <w:szCs w:val="16"/>
            <w:lang w:val="en-GB"/>
          </w:rPr>
          <w:t>More Coal Equals More Poverty: Transforming our world through renewable energy</w:t>
        </w:r>
      </w:hyperlink>
      <w:r w:rsidRPr="003C6B2A">
        <w:rPr>
          <w:sz w:val="16"/>
          <w:szCs w:val="16"/>
        </w:rPr>
        <w:t>’ (May 2017). Accessible here: https://www.oxfam.org.au/wp-content/uploads/2017/05/More-Coal-Equals-More-Poverty.pdf</w:t>
      </w:r>
    </w:p>
  </w:footnote>
  <w:footnote w:id="42">
    <w:p w14:paraId="19822088" w14:textId="117EEAD6" w:rsidR="00FB33D7" w:rsidRPr="003C6B2A" w:rsidRDefault="00FB33D7" w:rsidP="003C6B2A">
      <w:pPr>
        <w:pStyle w:val="FootnoteText"/>
        <w:rPr>
          <w:sz w:val="16"/>
          <w:szCs w:val="16"/>
          <w:lang w:val="en-GB"/>
        </w:rPr>
      </w:pPr>
      <w:r w:rsidRPr="003C6B2A">
        <w:rPr>
          <w:rStyle w:val="FootnoteReference"/>
          <w:sz w:val="16"/>
          <w:szCs w:val="16"/>
        </w:rPr>
        <w:footnoteRef/>
      </w:r>
      <w:r w:rsidRPr="003C6B2A">
        <w:rPr>
          <w:sz w:val="16"/>
          <w:szCs w:val="16"/>
        </w:rPr>
        <w:t xml:space="preserve"> </w:t>
      </w:r>
      <w:r w:rsidRPr="003C6B2A">
        <w:rPr>
          <w:sz w:val="16"/>
          <w:szCs w:val="16"/>
          <w:lang w:val="en-GB"/>
        </w:rPr>
        <w:t>UN Environment Programme, ‘</w:t>
      </w:r>
      <w:r w:rsidRPr="003C6B2A">
        <w:rPr>
          <w:i/>
          <w:sz w:val="16"/>
          <w:szCs w:val="16"/>
          <w:lang w:val="en-GB"/>
        </w:rPr>
        <w:t>The Emissions Gap Report 2017 – Bridging the gap – Phasing out coal’</w:t>
      </w:r>
      <w:r w:rsidRPr="003C6B2A">
        <w:rPr>
          <w:sz w:val="16"/>
          <w:szCs w:val="16"/>
          <w:lang w:val="en-GB"/>
        </w:rPr>
        <w:t>, (2017) Nairobi, p 44.</w:t>
      </w:r>
    </w:p>
  </w:footnote>
  <w:footnote w:id="43">
    <w:p w14:paraId="308359A3" w14:textId="3DE5CD78" w:rsidR="00FB33D7" w:rsidRPr="003C6B2A" w:rsidRDefault="00FB33D7">
      <w:pPr>
        <w:pStyle w:val="FootnoteText"/>
        <w:rPr>
          <w:sz w:val="16"/>
          <w:szCs w:val="16"/>
        </w:rPr>
      </w:pPr>
      <w:r w:rsidRPr="003C6B2A">
        <w:rPr>
          <w:rStyle w:val="FootnoteReference"/>
          <w:sz w:val="16"/>
          <w:szCs w:val="16"/>
        </w:rPr>
        <w:footnoteRef/>
      </w:r>
      <w:r w:rsidRPr="003C6B2A">
        <w:rPr>
          <w:sz w:val="16"/>
          <w:szCs w:val="16"/>
        </w:rPr>
        <w:t xml:space="preserve"> </w:t>
      </w:r>
      <w:hyperlink r:id="rId9" w:history="1">
        <w:r w:rsidRPr="003C6B2A">
          <w:rPr>
            <w:rStyle w:val="Hyperlink"/>
            <w:sz w:val="16"/>
            <w:szCs w:val="16"/>
          </w:rPr>
          <w:t>https://www.cleanenergycouncil.org.au/policy-advocacy/renewable-energy-target.html</w:t>
        </w:r>
      </w:hyperlink>
    </w:p>
    <w:p w14:paraId="0DED7BA4" w14:textId="3A128D85" w:rsidR="00FB33D7" w:rsidRPr="003C6B2A" w:rsidRDefault="00FB33D7">
      <w:pPr>
        <w:pStyle w:val="FootnoteText"/>
        <w:rPr>
          <w:sz w:val="16"/>
          <w:szCs w:val="16"/>
          <w:lang w:val="en-GB"/>
        </w:rPr>
      </w:pPr>
      <w:r w:rsidRPr="003C6B2A">
        <w:rPr>
          <w:sz w:val="16"/>
          <w:szCs w:val="16"/>
          <w:lang w:val="en-GB"/>
        </w:rPr>
        <w:t xml:space="preserve">https://theconversation.com/australian-renewable-energy-agency-saved-but-with-reduced-funding- experts-react-65334 ; https://www.cleanenergycouncil.org.au/news/2016/September/arena-funding- cuts.html </w:t>
      </w:r>
    </w:p>
  </w:footnote>
  <w:footnote w:id="44">
    <w:p w14:paraId="075493EA" w14:textId="38025691" w:rsidR="00FB33D7" w:rsidRPr="003C6B2A" w:rsidRDefault="00FB33D7">
      <w:pPr>
        <w:pStyle w:val="FootnoteText"/>
        <w:rPr>
          <w:sz w:val="16"/>
          <w:szCs w:val="16"/>
        </w:rPr>
      </w:pPr>
      <w:r w:rsidRPr="003C6B2A">
        <w:rPr>
          <w:rStyle w:val="FootnoteReference"/>
          <w:sz w:val="16"/>
          <w:szCs w:val="16"/>
        </w:rPr>
        <w:footnoteRef/>
      </w:r>
      <w:r w:rsidRPr="003C6B2A">
        <w:rPr>
          <w:sz w:val="16"/>
          <w:szCs w:val="16"/>
        </w:rPr>
        <w:t xml:space="preserve"> Independent review into the future security of the National Electricity Market (the ‘Finkel Review’) https://www.energy.gov.au/government-priorities/energy-markets/independent-review-future-security-national-electricity-market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50DCB" w14:textId="1D0BA82B" w:rsidR="00FB33D7" w:rsidRDefault="00FB33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5E34D" w14:textId="0175BE21" w:rsidR="00FB33D7" w:rsidRDefault="00FB33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28412" w14:textId="633F4B98" w:rsidR="00FB33D7" w:rsidRDefault="00FB33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71D71"/>
    <w:multiLevelType w:val="hybridMultilevel"/>
    <w:tmpl w:val="611E2F9A"/>
    <w:lvl w:ilvl="0" w:tplc="E7E02494">
      <w:start w:val="11"/>
      <w:numFmt w:val="decimal"/>
      <w:lvlText w:val="%1."/>
      <w:lvlJc w:val="left"/>
      <w:pPr>
        <w:ind w:left="1068" w:hanging="360"/>
      </w:pPr>
      <w:rPr>
        <w:rFonts w:hint="default"/>
        <w:b w:val="0"/>
        <w:strike w:val="0"/>
        <w:color w:val="auto"/>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 w15:restartNumberingAfterBreak="0">
    <w:nsid w:val="202850FB"/>
    <w:multiLevelType w:val="hybridMultilevel"/>
    <w:tmpl w:val="F2A2B8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6255A6"/>
    <w:multiLevelType w:val="hybridMultilevel"/>
    <w:tmpl w:val="F6D4D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1A71A5"/>
    <w:multiLevelType w:val="multilevel"/>
    <w:tmpl w:val="FAE85A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AC26C5"/>
    <w:multiLevelType w:val="hybridMultilevel"/>
    <w:tmpl w:val="FAE85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F35A21"/>
    <w:multiLevelType w:val="hybridMultilevel"/>
    <w:tmpl w:val="BF747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5302BD"/>
    <w:multiLevelType w:val="hybridMultilevel"/>
    <w:tmpl w:val="2BA6D4D2"/>
    <w:lvl w:ilvl="0" w:tplc="EB9673FA">
      <w:numFmt w:val="bullet"/>
      <w:lvlText w:val="-"/>
      <w:lvlJc w:val="left"/>
      <w:pPr>
        <w:ind w:left="720" w:hanging="360"/>
      </w:pPr>
      <w:rPr>
        <w:rFonts w:ascii="Source Sans Pro" w:eastAsia="Times New Roman" w:hAnsi="Source Sans Pro" w:cs="Courier New" w:hint="default"/>
      </w:rPr>
    </w:lvl>
    <w:lvl w:ilvl="1" w:tplc="E96A5028">
      <w:numFmt w:val="bullet"/>
      <w:lvlText w:val=""/>
      <w:lvlJc w:val="left"/>
      <w:pPr>
        <w:ind w:left="1440" w:hanging="360"/>
      </w:pPr>
      <w:rPr>
        <w:rFonts w:ascii="Wingdings" w:eastAsia="Times New Roman" w:hAnsi="Wingdings"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4AC4E40"/>
    <w:multiLevelType w:val="hybridMultilevel"/>
    <w:tmpl w:val="E01AE1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8A7451C"/>
    <w:multiLevelType w:val="hybridMultilevel"/>
    <w:tmpl w:val="FAE85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BA6A74"/>
    <w:multiLevelType w:val="hybridMultilevel"/>
    <w:tmpl w:val="43E0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707066"/>
    <w:multiLevelType w:val="hybridMultilevel"/>
    <w:tmpl w:val="22D8282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56C1315"/>
    <w:multiLevelType w:val="hybridMultilevel"/>
    <w:tmpl w:val="F2A2B8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4C6731"/>
    <w:multiLevelType w:val="hybridMultilevel"/>
    <w:tmpl w:val="3A786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8"/>
  </w:num>
  <w:num w:numId="4">
    <w:abstractNumId w:val="4"/>
  </w:num>
  <w:num w:numId="5">
    <w:abstractNumId w:val="10"/>
  </w:num>
  <w:num w:numId="6">
    <w:abstractNumId w:val="12"/>
  </w:num>
  <w:num w:numId="7">
    <w:abstractNumId w:val="3"/>
  </w:num>
  <w:num w:numId="8">
    <w:abstractNumId w:val="1"/>
  </w:num>
  <w:num w:numId="9">
    <w:abstractNumId w:val="0"/>
  </w:num>
  <w:num w:numId="10">
    <w:abstractNumId w:val="11"/>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A47"/>
    <w:rsid w:val="000026FD"/>
    <w:rsid w:val="000043B1"/>
    <w:rsid w:val="00006AE3"/>
    <w:rsid w:val="00011A7E"/>
    <w:rsid w:val="000169AF"/>
    <w:rsid w:val="00017004"/>
    <w:rsid w:val="00017E96"/>
    <w:rsid w:val="00020F91"/>
    <w:rsid w:val="00021DCC"/>
    <w:rsid w:val="0002716D"/>
    <w:rsid w:val="00032889"/>
    <w:rsid w:val="00032FBC"/>
    <w:rsid w:val="00040C2C"/>
    <w:rsid w:val="00045985"/>
    <w:rsid w:val="0005404E"/>
    <w:rsid w:val="0005435A"/>
    <w:rsid w:val="00060C71"/>
    <w:rsid w:val="00062B92"/>
    <w:rsid w:val="0006308E"/>
    <w:rsid w:val="00076CCD"/>
    <w:rsid w:val="00077E1C"/>
    <w:rsid w:val="00096EC3"/>
    <w:rsid w:val="000A0420"/>
    <w:rsid w:val="000A3E7F"/>
    <w:rsid w:val="000B1327"/>
    <w:rsid w:val="000B1CE1"/>
    <w:rsid w:val="000B3A50"/>
    <w:rsid w:val="000B65B7"/>
    <w:rsid w:val="000C6BC5"/>
    <w:rsid w:val="000D0900"/>
    <w:rsid w:val="000D59A9"/>
    <w:rsid w:val="000D72C5"/>
    <w:rsid w:val="000E1499"/>
    <w:rsid w:val="000E522F"/>
    <w:rsid w:val="000E5456"/>
    <w:rsid w:val="000E6F1D"/>
    <w:rsid w:val="000E7570"/>
    <w:rsid w:val="000F1288"/>
    <w:rsid w:val="000F484C"/>
    <w:rsid w:val="00100E29"/>
    <w:rsid w:val="00102BB6"/>
    <w:rsid w:val="00113DBF"/>
    <w:rsid w:val="001154EC"/>
    <w:rsid w:val="00117381"/>
    <w:rsid w:val="00124D58"/>
    <w:rsid w:val="001345A8"/>
    <w:rsid w:val="00135D3B"/>
    <w:rsid w:val="0014171B"/>
    <w:rsid w:val="00142579"/>
    <w:rsid w:val="00146090"/>
    <w:rsid w:val="00146C03"/>
    <w:rsid w:val="00150072"/>
    <w:rsid w:val="00150929"/>
    <w:rsid w:val="001514AC"/>
    <w:rsid w:val="00152DF1"/>
    <w:rsid w:val="0015474E"/>
    <w:rsid w:val="00164470"/>
    <w:rsid w:val="00172522"/>
    <w:rsid w:val="001774F3"/>
    <w:rsid w:val="00185A47"/>
    <w:rsid w:val="0018691E"/>
    <w:rsid w:val="00195A9F"/>
    <w:rsid w:val="00196D30"/>
    <w:rsid w:val="001A1764"/>
    <w:rsid w:val="001A468D"/>
    <w:rsid w:val="001A6EDD"/>
    <w:rsid w:val="001B2DFF"/>
    <w:rsid w:val="001C38CE"/>
    <w:rsid w:val="001D248F"/>
    <w:rsid w:val="001D3217"/>
    <w:rsid w:val="001D68D1"/>
    <w:rsid w:val="001F194E"/>
    <w:rsid w:val="001F427D"/>
    <w:rsid w:val="001F6269"/>
    <w:rsid w:val="001F7EEC"/>
    <w:rsid w:val="0020049F"/>
    <w:rsid w:val="00200DA4"/>
    <w:rsid w:val="00202B92"/>
    <w:rsid w:val="00210A50"/>
    <w:rsid w:val="00212A96"/>
    <w:rsid w:val="00221DAD"/>
    <w:rsid w:val="002271EB"/>
    <w:rsid w:val="00227635"/>
    <w:rsid w:val="00232E03"/>
    <w:rsid w:val="0024378A"/>
    <w:rsid w:val="00245F4F"/>
    <w:rsid w:val="002473D9"/>
    <w:rsid w:val="00247666"/>
    <w:rsid w:val="0025481B"/>
    <w:rsid w:val="0025710B"/>
    <w:rsid w:val="00263743"/>
    <w:rsid w:val="002738DC"/>
    <w:rsid w:val="00273905"/>
    <w:rsid w:val="00274129"/>
    <w:rsid w:val="002778C9"/>
    <w:rsid w:val="00284D81"/>
    <w:rsid w:val="002859DE"/>
    <w:rsid w:val="0029274B"/>
    <w:rsid w:val="00292B86"/>
    <w:rsid w:val="002A60E5"/>
    <w:rsid w:val="002B6CF3"/>
    <w:rsid w:val="002B6FCB"/>
    <w:rsid w:val="002B7C72"/>
    <w:rsid w:val="002C0C67"/>
    <w:rsid w:val="002C5A19"/>
    <w:rsid w:val="002D142F"/>
    <w:rsid w:val="002D3150"/>
    <w:rsid w:val="002D4936"/>
    <w:rsid w:val="002D4B69"/>
    <w:rsid w:val="002D5D4D"/>
    <w:rsid w:val="002E586C"/>
    <w:rsid w:val="002F24AB"/>
    <w:rsid w:val="002F38C3"/>
    <w:rsid w:val="002F6C91"/>
    <w:rsid w:val="00304FEB"/>
    <w:rsid w:val="00305F2C"/>
    <w:rsid w:val="0031122C"/>
    <w:rsid w:val="00313833"/>
    <w:rsid w:val="00315201"/>
    <w:rsid w:val="0031775A"/>
    <w:rsid w:val="0031779D"/>
    <w:rsid w:val="0032189A"/>
    <w:rsid w:val="00327820"/>
    <w:rsid w:val="00340325"/>
    <w:rsid w:val="0034552F"/>
    <w:rsid w:val="00350284"/>
    <w:rsid w:val="0035605A"/>
    <w:rsid w:val="0035722D"/>
    <w:rsid w:val="0036006D"/>
    <w:rsid w:val="00370772"/>
    <w:rsid w:val="0037193E"/>
    <w:rsid w:val="00374589"/>
    <w:rsid w:val="0037634B"/>
    <w:rsid w:val="003779D5"/>
    <w:rsid w:val="00390433"/>
    <w:rsid w:val="00394278"/>
    <w:rsid w:val="0039756F"/>
    <w:rsid w:val="003A0B83"/>
    <w:rsid w:val="003A199A"/>
    <w:rsid w:val="003A35B7"/>
    <w:rsid w:val="003B0184"/>
    <w:rsid w:val="003B0354"/>
    <w:rsid w:val="003B20C3"/>
    <w:rsid w:val="003C1FA8"/>
    <w:rsid w:val="003C4FE1"/>
    <w:rsid w:val="003C6B2A"/>
    <w:rsid w:val="003C76AA"/>
    <w:rsid w:val="003D19B8"/>
    <w:rsid w:val="003D31A5"/>
    <w:rsid w:val="003D759F"/>
    <w:rsid w:val="003E0663"/>
    <w:rsid w:val="003E287A"/>
    <w:rsid w:val="003E3D75"/>
    <w:rsid w:val="003E540A"/>
    <w:rsid w:val="003F3C12"/>
    <w:rsid w:val="003F3E98"/>
    <w:rsid w:val="003F4D64"/>
    <w:rsid w:val="003F6F57"/>
    <w:rsid w:val="00401997"/>
    <w:rsid w:val="00423C23"/>
    <w:rsid w:val="00425B91"/>
    <w:rsid w:val="00427B46"/>
    <w:rsid w:val="004302BC"/>
    <w:rsid w:val="00432DEA"/>
    <w:rsid w:val="004346BC"/>
    <w:rsid w:val="00443115"/>
    <w:rsid w:val="00454871"/>
    <w:rsid w:val="00461A4B"/>
    <w:rsid w:val="004670B7"/>
    <w:rsid w:val="004706AE"/>
    <w:rsid w:val="004713C3"/>
    <w:rsid w:val="0047373C"/>
    <w:rsid w:val="00474FB7"/>
    <w:rsid w:val="00476785"/>
    <w:rsid w:val="00481376"/>
    <w:rsid w:val="004906FC"/>
    <w:rsid w:val="00490814"/>
    <w:rsid w:val="00490BE4"/>
    <w:rsid w:val="00493158"/>
    <w:rsid w:val="0049430D"/>
    <w:rsid w:val="004953A0"/>
    <w:rsid w:val="00495ABE"/>
    <w:rsid w:val="004A556F"/>
    <w:rsid w:val="004B142E"/>
    <w:rsid w:val="004B2439"/>
    <w:rsid w:val="004B2A25"/>
    <w:rsid w:val="004B2CF2"/>
    <w:rsid w:val="004B2F0F"/>
    <w:rsid w:val="004C1567"/>
    <w:rsid w:val="004C40E3"/>
    <w:rsid w:val="004C4C44"/>
    <w:rsid w:val="004E6C76"/>
    <w:rsid w:val="004F34AA"/>
    <w:rsid w:val="004F3B9F"/>
    <w:rsid w:val="005007CE"/>
    <w:rsid w:val="005044CE"/>
    <w:rsid w:val="00515DE9"/>
    <w:rsid w:val="00516F70"/>
    <w:rsid w:val="0052384C"/>
    <w:rsid w:val="00537C3C"/>
    <w:rsid w:val="0054623D"/>
    <w:rsid w:val="00554561"/>
    <w:rsid w:val="00554D66"/>
    <w:rsid w:val="00565037"/>
    <w:rsid w:val="00570521"/>
    <w:rsid w:val="00571863"/>
    <w:rsid w:val="00574951"/>
    <w:rsid w:val="0057615A"/>
    <w:rsid w:val="005842D9"/>
    <w:rsid w:val="00585664"/>
    <w:rsid w:val="00597101"/>
    <w:rsid w:val="005974B9"/>
    <w:rsid w:val="005C617E"/>
    <w:rsid w:val="005D1DB4"/>
    <w:rsid w:val="005D63BC"/>
    <w:rsid w:val="005D7C1B"/>
    <w:rsid w:val="005E2786"/>
    <w:rsid w:val="005E4834"/>
    <w:rsid w:val="005E719F"/>
    <w:rsid w:val="005F1892"/>
    <w:rsid w:val="005F34DE"/>
    <w:rsid w:val="005F42B4"/>
    <w:rsid w:val="005F4667"/>
    <w:rsid w:val="00602539"/>
    <w:rsid w:val="00606025"/>
    <w:rsid w:val="0060706C"/>
    <w:rsid w:val="00614757"/>
    <w:rsid w:val="00615A5F"/>
    <w:rsid w:val="00616B6D"/>
    <w:rsid w:val="00617035"/>
    <w:rsid w:val="006212FF"/>
    <w:rsid w:val="00627C31"/>
    <w:rsid w:val="0063115F"/>
    <w:rsid w:val="00636748"/>
    <w:rsid w:val="00646FF1"/>
    <w:rsid w:val="00651581"/>
    <w:rsid w:val="00653761"/>
    <w:rsid w:val="00653785"/>
    <w:rsid w:val="00665E15"/>
    <w:rsid w:val="0066685A"/>
    <w:rsid w:val="0067241C"/>
    <w:rsid w:val="00686AC2"/>
    <w:rsid w:val="006872E6"/>
    <w:rsid w:val="00687777"/>
    <w:rsid w:val="00690374"/>
    <w:rsid w:val="006951E6"/>
    <w:rsid w:val="00695FA1"/>
    <w:rsid w:val="006A391C"/>
    <w:rsid w:val="006A64FD"/>
    <w:rsid w:val="006A6C7F"/>
    <w:rsid w:val="006C083C"/>
    <w:rsid w:val="006C36D0"/>
    <w:rsid w:val="006D09E7"/>
    <w:rsid w:val="006E6D46"/>
    <w:rsid w:val="006F0C16"/>
    <w:rsid w:val="006F2CDB"/>
    <w:rsid w:val="006F5D69"/>
    <w:rsid w:val="006F5E47"/>
    <w:rsid w:val="00701B7B"/>
    <w:rsid w:val="00706967"/>
    <w:rsid w:val="007100DD"/>
    <w:rsid w:val="0071213D"/>
    <w:rsid w:val="007122F5"/>
    <w:rsid w:val="00713106"/>
    <w:rsid w:val="0072209E"/>
    <w:rsid w:val="007247D0"/>
    <w:rsid w:val="007303ED"/>
    <w:rsid w:val="00731801"/>
    <w:rsid w:val="00737B4F"/>
    <w:rsid w:val="007425BF"/>
    <w:rsid w:val="0074362B"/>
    <w:rsid w:val="00743E3D"/>
    <w:rsid w:val="007443D9"/>
    <w:rsid w:val="00745F47"/>
    <w:rsid w:val="00752163"/>
    <w:rsid w:val="00755CA6"/>
    <w:rsid w:val="00757A19"/>
    <w:rsid w:val="007661A1"/>
    <w:rsid w:val="0077161A"/>
    <w:rsid w:val="00772CC3"/>
    <w:rsid w:val="00781A64"/>
    <w:rsid w:val="00781AEF"/>
    <w:rsid w:val="00784968"/>
    <w:rsid w:val="00791CDB"/>
    <w:rsid w:val="00796549"/>
    <w:rsid w:val="007A017B"/>
    <w:rsid w:val="007B2D00"/>
    <w:rsid w:val="007B3B34"/>
    <w:rsid w:val="007B496E"/>
    <w:rsid w:val="007C7141"/>
    <w:rsid w:val="007C7B5E"/>
    <w:rsid w:val="007E2023"/>
    <w:rsid w:val="007E2A34"/>
    <w:rsid w:val="007E5749"/>
    <w:rsid w:val="007F1377"/>
    <w:rsid w:val="007F2606"/>
    <w:rsid w:val="007F3542"/>
    <w:rsid w:val="007F4C2E"/>
    <w:rsid w:val="008006BF"/>
    <w:rsid w:val="008022CA"/>
    <w:rsid w:val="008041BE"/>
    <w:rsid w:val="0081003E"/>
    <w:rsid w:val="0081035D"/>
    <w:rsid w:val="00811FEC"/>
    <w:rsid w:val="00812058"/>
    <w:rsid w:val="00815159"/>
    <w:rsid w:val="00816DC1"/>
    <w:rsid w:val="00817050"/>
    <w:rsid w:val="008205C5"/>
    <w:rsid w:val="00824893"/>
    <w:rsid w:val="00840273"/>
    <w:rsid w:val="008445A1"/>
    <w:rsid w:val="00850978"/>
    <w:rsid w:val="008524BB"/>
    <w:rsid w:val="00855F46"/>
    <w:rsid w:val="00862D51"/>
    <w:rsid w:val="008773EB"/>
    <w:rsid w:val="0087775D"/>
    <w:rsid w:val="008822BB"/>
    <w:rsid w:val="008923E6"/>
    <w:rsid w:val="00893F87"/>
    <w:rsid w:val="00895473"/>
    <w:rsid w:val="008A0E5D"/>
    <w:rsid w:val="008A2739"/>
    <w:rsid w:val="008C08ED"/>
    <w:rsid w:val="008C0DED"/>
    <w:rsid w:val="008C0FD4"/>
    <w:rsid w:val="008D188B"/>
    <w:rsid w:val="008D6F62"/>
    <w:rsid w:val="008E0D23"/>
    <w:rsid w:val="008E0FC6"/>
    <w:rsid w:val="008E2AEA"/>
    <w:rsid w:val="008E5688"/>
    <w:rsid w:val="008E6EAB"/>
    <w:rsid w:val="008F3E07"/>
    <w:rsid w:val="008F52C6"/>
    <w:rsid w:val="008F5413"/>
    <w:rsid w:val="00903973"/>
    <w:rsid w:val="00905514"/>
    <w:rsid w:val="00905595"/>
    <w:rsid w:val="00911FCA"/>
    <w:rsid w:val="00923FF8"/>
    <w:rsid w:val="00932805"/>
    <w:rsid w:val="00934D2F"/>
    <w:rsid w:val="00935AE0"/>
    <w:rsid w:val="00937C02"/>
    <w:rsid w:val="00942F9D"/>
    <w:rsid w:val="00943079"/>
    <w:rsid w:val="00945BB3"/>
    <w:rsid w:val="00946C6F"/>
    <w:rsid w:val="0095593E"/>
    <w:rsid w:val="0095724F"/>
    <w:rsid w:val="00960F22"/>
    <w:rsid w:val="00964B48"/>
    <w:rsid w:val="00970066"/>
    <w:rsid w:val="0097104B"/>
    <w:rsid w:val="00971BD8"/>
    <w:rsid w:val="00971D7D"/>
    <w:rsid w:val="009742CE"/>
    <w:rsid w:val="00980CD0"/>
    <w:rsid w:val="0098151E"/>
    <w:rsid w:val="00983352"/>
    <w:rsid w:val="00986C6C"/>
    <w:rsid w:val="00994C24"/>
    <w:rsid w:val="00996BE0"/>
    <w:rsid w:val="009A38EF"/>
    <w:rsid w:val="009A39AE"/>
    <w:rsid w:val="009A3DDB"/>
    <w:rsid w:val="009B083A"/>
    <w:rsid w:val="009B3783"/>
    <w:rsid w:val="009C023F"/>
    <w:rsid w:val="009C1E0F"/>
    <w:rsid w:val="009C4B77"/>
    <w:rsid w:val="009D082E"/>
    <w:rsid w:val="009D0DDA"/>
    <w:rsid w:val="009D5D10"/>
    <w:rsid w:val="009D70A0"/>
    <w:rsid w:val="009E14FD"/>
    <w:rsid w:val="009E5F6E"/>
    <w:rsid w:val="00A048CF"/>
    <w:rsid w:val="00A074C1"/>
    <w:rsid w:val="00A07C4D"/>
    <w:rsid w:val="00A245DF"/>
    <w:rsid w:val="00A261A2"/>
    <w:rsid w:val="00A277ED"/>
    <w:rsid w:val="00A30DD5"/>
    <w:rsid w:val="00A35EB8"/>
    <w:rsid w:val="00A40E5A"/>
    <w:rsid w:val="00A422C4"/>
    <w:rsid w:val="00A42AE9"/>
    <w:rsid w:val="00A44E69"/>
    <w:rsid w:val="00A44E96"/>
    <w:rsid w:val="00A46ECC"/>
    <w:rsid w:val="00A50411"/>
    <w:rsid w:val="00A512C6"/>
    <w:rsid w:val="00A54467"/>
    <w:rsid w:val="00A56D04"/>
    <w:rsid w:val="00A57E97"/>
    <w:rsid w:val="00A64E12"/>
    <w:rsid w:val="00A65BC2"/>
    <w:rsid w:val="00A71655"/>
    <w:rsid w:val="00A75DE2"/>
    <w:rsid w:val="00A80FF6"/>
    <w:rsid w:val="00A867AE"/>
    <w:rsid w:val="00A94546"/>
    <w:rsid w:val="00A948DA"/>
    <w:rsid w:val="00AA6DF4"/>
    <w:rsid w:val="00AA6EE9"/>
    <w:rsid w:val="00AB345E"/>
    <w:rsid w:val="00AB3998"/>
    <w:rsid w:val="00AB419D"/>
    <w:rsid w:val="00AC0FB5"/>
    <w:rsid w:val="00AD616B"/>
    <w:rsid w:val="00AD682A"/>
    <w:rsid w:val="00AE0E1B"/>
    <w:rsid w:val="00AE1530"/>
    <w:rsid w:val="00AE2024"/>
    <w:rsid w:val="00AF06F9"/>
    <w:rsid w:val="00AF0A44"/>
    <w:rsid w:val="00AF1D4D"/>
    <w:rsid w:val="00AF2FDB"/>
    <w:rsid w:val="00B05DB8"/>
    <w:rsid w:val="00B068DE"/>
    <w:rsid w:val="00B10E40"/>
    <w:rsid w:val="00B10FA5"/>
    <w:rsid w:val="00B16BF6"/>
    <w:rsid w:val="00B27BA5"/>
    <w:rsid w:val="00B31AE0"/>
    <w:rsid w:val="00B35DE5"/>
    <w:rsid w:val="00B40D5B"/>
    <w:rsid w:val="00B41F5A"/>
    <w:rsid w:val="00B43D04"/>
    <w:rsid w:val="00B441EC"/>
    <w:rsid w:val="00B50590"/>
    <w:rsid w:val="00B534BF"/>
    <w:rsid w:val="00B55CB9"/>
    <w:rsid w:val="00B600EF"/>
    <w:rsid w:val="00B712F3"/>
    <w:rsid w:val="00B73313"/>
    <w:rsid w:val="00B7469B"/>
    <w:rsid w:val="00B813E2"/>
    <w:rsid w:val="00B81F65"/>
    <w:rsid w:val="00B972BD"/>
    <w:rsid w:val="00BB3DE0"/>
    <w:rsid w:val="00BC5F79"/>
    <w:rsid w:val="00BD1136"/>
    <w:rsid w:val="00BE10BF"/>
    <w:rsid w:val="00BF0ADB"/>
    <w:rsid w:val="00BF49AB"/>
    <w:rsid w:val="00C00A19"/>
    <w:rsid w:val="00C01590"/>
    <w:rsid w:val="00C0681F"/>
    <w:rsid w:val="00C204CC"/>
    <w:rsid w:val="00C25504"/>
    <w:rsid w:val="00C26B42"/>
    <w:rsid w:val="00C26FAF"/>
    <w:rsid w:val="00C327BB"/>
    <w:rsid w:val="00C3284F"/>
    <w:rsid w:val="00C37024"/>
    <w:rsid w:val="00C40100"/>
    <w:rsid w:val="00C40AD9"/>
    <w:rsid w:val="00C425D3"/>
    <w:rsid w:val="00C5472D"/>
    <w:rsid w:val="00C60EB4"/>
    <w:rsid w:val="00C61D1F"/>
    <w:rsid w:val="00C67364"/>
    <w:rsid w:val="00C7483E"/>
    <w:rsid w:val="00C852AA"/>
    <w:rsid w:val="00C85A94"/>
    <w:rsid w:val="00C915E5"/>
    <w:rsid w:val="00CA1C2A"/>
    <w:rsid w:val="00CA3667"/>
    <w:rsid w:val="00CA4F0D"/>
    <w:rsid w:val="00CA6E1D"/>
    <w:rsid w:val="00CC1FA6"/>
    <w:rsid w:val="00CC35D8"/>
    <w:rsid w:val="00CC67D2"/>
    <w:rsid w:val="00CD6C6E"/>
    <w:rsid w:val="00CE38E7"/>
    <w:rsid w:val="00CE6587"/>
    <w:rsid w:val="00D00678"/>
    <w:rsid w:val="00D014B5"/>
    <w:rsid w:val="00D11929"/>
    <w:rsid w:val="00D11BC6"/>
    <w:rsid w:val="00D22F85"/>
    <w:rsid w:val="00D23E67"/>
    <w:rsid w:val="00D40515"/>
    <w:rsid w:val="00D42CC3"/>
    <w:rsid w:val="00D558C8"/>
    <w:rsid w:val="00D67FB6"/>
    <w:rsid w:val="00D7372F"/>
    <w:rsid w:val="00D75D02"/>
    <w:rsid w:val="00D7620B"/>
    <w:rsid w:val="00D77277"/>
    <w:rsid w:val="00D8376C"/>
    <w:rsid w:val="00D837BE"/>
    <w:rsid w:val="00D85FC2"/>
    <w:rsid w:val="00D877CA"/>
    <w:rsid w:val="00D917A4"/>
    <w:rsid w:val="00D92C16"/>
    <w:rsid w:val="00D9715C"/>
    <w:rsid w:val="00D976F8"/>
    <w:rsid w:val="00DA0019"/>
    <w:rsid w:val="00DA225C"/>
    <w:rsid w:val="00DB2D5F"/>
    <w:rsid w:val="00DB560B"/>
    <w:rsid w:val="00DB5A98"/>
    <w:rsid w:val="00DC33A6"/>
    <w:rsid w:val="00DC3549"/>
    <w:rsid w:val="00DC3B5F"/>
    <w:rsid w:val="00DC7227"/>
    <w:rsid w:val="00DD34D8"/>
    <w:rsid w:val="00DE4D85"/>
    <w:rsid w:val="00DF0FA8"/>
    <w:rsid w:val="00DF6644"/>
    <w:rsid w:val="00DF6AC4"/>
    <w:rsid w:val="00DF747E"/>
    <w:rsid w:val="00E0098F"/>
    <w:rsid w:val="00E05D53"/>
    <w:rsid w:val="00E13724"/>
    <w:rsid w:val="00E139CB"/>
    <w:rsid w:val="00E20303"/>
    <w:rsid w:val="00E2184A"/>
    <w:rsid w:val="00E319F0"/>
    <w:rsid w:val="00E33C71"/>
    <w:rsid w:val="00E40144"/>
    <w:rsid w:val="00E40776"/>
    <w:rsid w:val="00E40B02"/>
    <w:rsid w:val="00E41316"/>
    <w:rsid w:val="00E47E0B"/>
    <w:rsid w:val="00E63175"/>
    <w:rsid w:val="00E6469E"/>
    <w:rsid w:val="00E64F2C"/>
    <w:rsid w:val="00E71289"/>
    <w:rsid w:val="00E729DB"/>
    <w:rsid w:val="00E72FF6"/>
    <w:rsid w:val="00E75CB2"/>
    <w:rsid w:val="00E774C2"/>
    <w:rsid w:val="00E807E2"/>
    <w:rsid w:val="00E867AB"/>
    <w:rsid w:val="00E944B0"/>
    <w:rsid w:val="00E95057"/>
    <w:rsid w:val="00E96764"/>
    <w:rsid w:val="00E97B41"/>
    <w:rsid w:val="00E97C86"/>
    <w:rsid w:val="00EA1FDD"/>
    <w:rsid w:val="00EA5061"/>
    <w:rsid w:val="00EB1D46"/>
    <w:rsid w:val="00EB69D2"/>
    <w:rsid w:val="00EC3446"/>
    <w:rsid w:val="00EC35A6"/>
    <w:rsid w:val="00EC523F"/>
    <w:rsid w:val="00EC5C8E"/>
    <w:rsid w:val="00ED2F84"/>
    <w:rsid w:val="00EE03FE"/>
    <w:rsid w:val="00EE1DC2"/>
    <w:rsid w:val="00EE2184"/>
    <w:rsid w:val="00EE2285"/>
    <w:rsid w:val="00EF0795"/>
    <w:rsid w:val="00EF0F3A"/>
    <w:rsid w:val="00EF7861"/>
    <w:rsid w:val="00F11F1D"/>
    <w:rsid w:val="00F12E0E"/>
    <w:rsid w:val="00F252FF"/>
    <w:rsid w:val="00F26953"/>
    <w:rsid w:val="00F26C07"/>
    <w:rsid w:val="00F314C6"/>
    <w:rsid w:val="00F31B73"/>
    <w:rsid w:val="00F321E1"/>
    <w:rsid w:val="00F33DD6"/>
    <w:rsid w:val="00F42174"/>
    <w:rsid w:val="00F43C8B"/>
    <w:rsid w:val="00F46289"/>
    <w:rsid w:val="00F473C3"/>
    <w:rsid w:val="00F5249F"/>
    <w:rsid w:val="00F528C1"/>
    <w:rsid w:val="00F54F81"/>
    <w:rsid w:val="00F60226"/>
    <w:rsid w:val="00F610F9"/>
    <w:rsid w:val="00F61A9D"/>
    <w:rsid w:val="00F64F5A"/>
    <w:rsid w:val="00F7167D"/>
    <w:rsid w:val="00F74A61"/>
    <w:rsid w:val="00F77277"/>
    <w:rsid w:val="00F806AC"/>
    <w:rsid w:val="00F87A06"/>
    <w:rsid w:val="00F93F5A"/>
    <w:rsid w:val="00F94E8B"/>
    <w:rsid w:val="00FA1553"/>
    <w:rsid w:val="00FA345D"/>
    <w:rsid w:val="00FA446B"/>
    <w:rsid w:val="00FA6DCA"/>
    <w:rsid w:val="00FA7E7D"/>
    <w:rsid w:val="00FB1479"/>
    <w:rsid w:val="00FB33D7"/>
    <w:rsid w:val="00FB4766"/>
    <w:rsid w:val="00FB5668"/>
    <w:rsid w:val="00FC29E7"/>
    <w:rsid w:val="00FC31DF"/>
    <w:rsid w:val="00FC3755"/>
    <w:rsid w:val="00FC5AE2"/>
    <w:rsid w:val="00FD3D4B"/>
    <w:rsid w:val="00FE2E4D"/>
    <w:rsid w:val="00FF0B3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E3A551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rPr>
  </w:style>
  <w:style w:type="paragraph" w:styleId="Heading1">
    <w:name w:val="heading 1"/>
    <w:basedOn w:val="Normal"/>
    <w:next w:val="Normal"/>
    <w:link w:val="Heading1Char"/>
    <w:uiPriority w:val="9"/>
    <w:qFormat/>
    <w:rsid w:val="00D837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13724"/>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14C6"/>
    <w:rPr>
      <w:color w:val="0000FF"/>
      <w:u w:val="single"/>
    </w:rPr>
  </w:style>
  <w:style w:type="character" w:styleId="FollowedHyperlink">
    <w:name w:val="FollowedHyperlink"/>
    <w:basedOn w:val="DefaultParagraphFont"/>
    <w:uiPriority w:val="99"/>
    <w:semiHidden/>
    <w:unhideWhenUsed/>
    <w:rsid w:val="00E807E2"/>
    <w:rPr>
      <w:color w:val="800080" w:themeColor="followedHyperlink"/>
      <w:u w:val="single"/>
    </w:rPr>
  </w:style>
  <w:style w:type="paragraph" w:styleId="ListParagraph">
    <w:name w:val="List Paragraph"/>
    <w:basedOn w:val="Normal"/>
    <w:uiPriority w:val="34"/>
    <w:qFormat/>
    <w:rsid w:val="009C4B77"/>
    <w:pPr>
      <w:ind w:left="720"/>
      <w:contextualSpacing/>
    </w:p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ootnote text,fn,ft"/>
    <w:basedOn w:val="Normal"/>
    <w:link w:val="FootnoteTextChar"/>
    <w:uiPriority w:val="99"/>
    <w:unhideWhenUsed/>
    <w:qFormat/>
    <w:rsid w:val="005D63BC"/>
    <w:pPr>
      <w:spacing w:after="0" w:line="240" w:lineRule="auto"/>
    </w:pPr>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fn Char,ft Char"/>
    <w:basedOn w:val="DefaultParagraphFont"/>
    <w:link w:val="FootnoteText"/>
    <w:uiPriority w:val="99"/>
    <w:rsid w:val="005D63BC"/>
    <w:rPr>
      <w:sz w:val="20"/>
      <w:szCs w:val="20"/>
    </w:rPr>
  </w:style>
  <w:style w:type="character" w:styleId="FootnoteReference">
    <w:name w:val="footnote reference"/>
    <w:aliases w:val="Footnotes refss,Texto de nota al pie,referencia nota al pie,BVI fnr,Appel note de bas de page,Footnote symbol,Footnote,Footnote number,f,Ref. de nota al pie.,Ref,de nota al pie,number,SUPERS,4_G,(Diplomarbeit FZ),-E Fußnotenzeichen,fr"/>
    <w:basedOn w:val="DefaultParagraphFont"/>
    <w:uiPriority w:val="99"/>
    <w:unhideWhenUsed/>
    <w:rsid w:val="005D63BC"/>
    <w:rPr>
      <w:vertAlign w:val="superscript"/>
    </w:rPr>
  </w:style>
  <w:style w:type="paragraph" w:styleId="BalloonText">
    <w:name w:val="Balloon Text"/>
    <w:basedOn w:val="Normal"/>
    <w:link w:val="BalloonTextChar"/>
    <w:uiPriority w:val="99"/>
    <w:semiHidden/>
    <w:unhideWhenUsed/>
    <w:rsid w:val="00695F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FA1"/>
    <w:rPr>
      <w:rFonts w:ascii="Segoe UI" w:hAnsi="Segoe UI" w:cs="Segoe UI"/>
      <w:sz w:val="18"/>
      <w:szCs w:val="18"/>
    </w:rPr>
  </w:style>
  <w:style w:type="character" w:styleId="CommentReference">
    <w:name w:val="annotation reference"/>
    <w:basedOn w:val="DefaultParagraphFont"/>
    <w:uiPriority w:val="99"/>
    <w:semiHidden/>
    <w:unhideWhenUsed/>
    <w:rsid w:val="000B3A50"/>
    <w:rPr>
      <w:sz w:val="16"/>
      <w:szCs w:val="16"/>
    </w:rPr>
  </w:style>
  <w:style w:type="paragraph" w:styleId="CommentText">
    <w:name w:val="annotation text"/>
    <w:basedOn w:val="Normal"/>
    <w:link w:val="CommentTextChar"/>
    <w:uiPriority w:val="99"/>
    <w:semiHidden/>
    <w:unhideWhenUsed/>
    <w:rsid w:val="000B3A50"/>
    <w:pPr>
      <w:spacing w:line="240" w:lineRule="auto"/>
    </w:pPr>
    <w:rPr>
      <w:sz w:val="20"/>
      <w:szCs w:val="20"/>
    </w:rPr>
  </w:style>
  <w:style w:type="character" w:customStyle="1" w:styleId="CommentTextChar">
    <w:name w:val="Comment Text Char"/>
    <w:basedOn w:val="DefaultParagraphFont"/>
    <w:link w:val="CommentText"/>
    <w:uiPriority w:val="99"/>
    <w:semiHidden/>
    <w:rsid w:val="000B3A50"/>
    <w:rPr>
      <w:sz w:val="20"/>
      <w:szCs w:val="20"/>
    </w:rPr>
  </w:style>
  <w:style w:type="paragraph" w:styleId="CommentSubject">
    <w:name w:val="annotation subject"/>
    <w:basedOn w:val="CommentText"/>
    <w:next w:val="CommentText"/>
    <w:link w:val="CommentSubjectChar"/>
    <w:uiPriority w:val="99"/>
    <w:semiHidden/>
    <w:unhideWhenUsed/>
    <w:rsid w:val="000B3A50"/>
    <w:rPr>
      <w:b/>
      <w:bCs/>
    </w:rPr>
  </w:style>
  <w:style w:type="character" w:customStyle="1" w:styleId="CommentSubjectChar">
    <w:name w:val="Comment Subject Char"/>
    <w:basedOn w:val="CommentTextChar"/>
    <w:link w:val="CommentSubject"/>
    <w:uiPriority w:val="99"/>
    <w:semiHidden/>
    <w:rsid w:val="000B3A50"/>
    <w:rPr>
      <w:b/>
      <w:bCs/>
      <w:sz w:val="20"/>
      <w:szCs w:val="20"/>
    </w:rPr>
  </w:style>
  <w:style w:type="paragraph" w:customStyle="1" w:styleId="SingleTxtG">
    <w:name w:val="_ Single Txt_G"/>
    <w:basedOn w:val="Normal"/>
    <w:link w:val="SingleTxtGChar"/>
    <w:rsid w:val="00AD616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AD616B"/>
    <w:rPr>
      <w:rFonts w:ascii="Times New Roman" w:eastAsia="Times New Roman" w:hAnsi="Times New Roman" w:cs="Times New Roman"/>
      <w:sz w:val="20"/>
      <w:szCs w:val="20"/>
      <w:lang w:val="en-GB"/>
    </w:rPr>
  </w:style>
  <w:style w:type="paragraph" w:styleId="Revision">
    <w:name w:val="Revision"/>
    <w:hidden/>
    <w:uiPriority w:val="99"/>
    <w:semiHidden/>
    <w:rsid w:val="00E13724"/>
    <w:pPr>
      <w:spacing w:after="0" w:line="240" w:lineRule="auto"/>
    </w:pPr>
  </w:style>
  <w:style w:type="character" w:customStyle="1" w:styleId="Heading2Char">
    <w:name w:val="Heading 2 Char"/>
    <w:basedOn w:val="DefaultParagraphFont"/>
    <w:link w:val="Heading2"/>
    <w:uiPriority w:val="9"/>
    <w:rsid w:val="00E13724"/>
    <w:rPr>
      <w:rFonts w:asciiTheme="majorHAnsi" w:eastAsiaTheme="majorEastAsia" w:hAnsiTheme="majorHAnsi" w:cstheme="majorBidi"/>
      <w:b/>
      <w:bCs/>
      <w:color w:val="4F81BD" w:themeColor="accent1"/>
      <w:sz w:val="26"/>
      <w:szCs w:val="26"/>
      <w:lang w:val="en-GB" w:eastAsia="en-GB"/>
    </w:rPr>
  </w:style>
  <w:style w:type="paragraph" w:styleId="Caption">
    <w:name w:val="caption"/>
    <w:basedOn w:val="Normal"/>
    <w:next w:val="Normal"/>
    <w:uiPriority w:val="35"/>
    <w:unhideWhenUsed/>
    <w:qFormat/>
    <w:rsid w:val="00B31AE0"/>
    <w:pPr>
      <w:spacing w:line="240" w:lineRule="auto"/>
    </w:pPr>
    <w:rPr>
      <w:b/>
      <w:bCs/>
      <w:color w:val="4F81BD" w:themeColor="accent1"/>
      <w:sz w:val="18"/>
      <w:szCs w:val="18"/>
    </w:rPr>
  </w:style>
  <w:style w:type="paragraph" w:styleId="Header">
    <w:name w:val="header"/>
    <w:basedOn w:val="Normal"/>
    <w:link w:val="HeaderChar"/>
    <w:uiPriority w:val="99"/>
    <w:unhideWhenUsed/>
    <w:rsid w:val="003152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201"/>
  </w:style>
  <w:style w:type="paragraph" w:styleId="Footer">
    <w:name w:val="footer"/>
    <w:basedOn w:val="Normal"/>
    <w:link w:val="FooterChar"/>
    <w:uiPriority w:val="99"/>
    <w:unhideWhenUsed/>
    <w:rsid w:val="003152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201"/>
  </w:style>
  <w:style w:type="character" w:styleId="PageNumber">
    <w:name w:val="page number"/>
    <w:basedOn w:val="DefaultParagraphFont"/>
    <w:uiPriority w:val="99"/>
    <w:semiHidden/>
    <w:unhideWhenUsed/>
    <w:rsid w:val="00315201"/>
  </w:style>
  <w:style w:type="table" w:styleId="TableGrid">
    <w:name w:val="Table Grid"/>
    <w:basedOn w:val="TableNormal"/>
    <w:uiPriority w:val="59"/>
    <w:rsid w:val="00A40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D40515"/>
    <w:pPr>
      <w:spacing w:after="0" w:line="240" w:lineRule="auto"/>
    </w:pPr>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D40515"/>
    <w:rPr>
      <w:rFonts w:ascii="Courier" w:hAnsi="Courier"/>
      <w:sz w:val="20"/>
      <w:szCs w:val="20"/>
    </w:rPr>
  </w:style>
  <w:style w:type="paragraph" w:styleId="DocumentMap">
    <w:name w:val="Document Map"/>
    <w:basedOn w:val="Normal"/>
    <w:link w:val="DocumentMapChar"/>
    <w:uiPriority w:val="99"/>
    <w:semiHidden/>
    <w:unhideWhenUsed/>
    <w:rsid w:val="000F484C"/>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F484C"/>
    <w:rPr>
      <w:rFonts w:ascii="Times New Roman" w:hAnsi="Times New Roman" w:cs="Times New Roman"/>
      <w:sz w:val="24"/>
      <w:szCs w:val="24"/>
    </w:rPr>
  </w:style>
  <w:style w:type="paragraph" w:styleId="NormalWeb">
    <w:name w:val="Normal (Web)"/>
    <w:basedOn w:val="Normal"/>
    <w:uiPriority w:val="99"/>
    <w:semiHidden/>
    <w:unhideWhenUsed/>
    <w:rsid w:val="00FC29E7"/>
    <w:rPr>
      <w:rFonts w:ascii="Times New Roman" w:hAnsi="Times New Roman" w:cs="Times New Roman"/>
      <w:sz w:val="24"/>
      <w:szCs w:val="24"/>
    </w:rPr>
  </w:style>
  <w:style w:type="character" w:customStyle="1" w:styleId="Heading1Char">
    <w:name w:val="Heading 1 Char"/>
    <w:basedOn w:val="DefaultParagraphFont"/>
    <w:link w:val="Heading1"/>
    <w:uiPriority w:val="9"/>
    <w:rsid w:val="00D8376C"/>
    <w:rPr>
      <w:rFonts w:asciiTheme="majorHAnsi" w:eastAsiaTheme="majorEastAsia" w:hAnsiTheme="majorHAnsi" w:cstheme="majorBidi"/>
      <w:color w:val="365F91" w:themeColor="accent1" w:themeShade="BF"/>
      <w:sz w:val="32"/>
      <w:szCs w:val="32"/>
      <w:lang w:val="en-AU"/>
    </w:rPr>
  </w:style>
  <w:style w:type="character" w:customStyle="1" w:styleId="apple-converted-space">
    <w:name w:val="apple-converted-space"/>
    <w:basedOn w:val="DefaultParagraphFont"/>
    <w:rsid w:val="00942F9D"/>
  </w:style>
  <w:style w:type="character" w:customStyle="1" w:styleId="UnresolvedMention">
    <w:name w:val="Unresolved Mention"/>
    <w:basedOn w:val="DefaultParagraphFont"/>
    <w:uiPriority w:val="99"/>
    <w:rsid w:val="00CC6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77654">
      <w:bodyDiv w:val="1"/>
      <w:marLeft w:val="0"/>
      <w:marRight w:val="0"/>
      <w:marTop w:val="0"/>
      <w:marBottom w:val="0"/>
      <w:divBdr>
        <w:top w:val="none" w:sz="0" w:space="0" w:color="auto"/>
        <w:left w:val="none" w:sz="0" w:space="0" w:color="auto"/>
        <w:bottom w:val="none" w:sz="0" w:space="0" w:color="auto"/>
        <w:right w:val="none" w:sz="0" w:space="0" w:color="auto"/>
      </w:divBdr>
    </w:div>
    <w:div w:id="82341725">
      <w:bodyDiv w:val="1"/>
      <w:marLeft w:val="0"/>
      <w:marRight w:val="0"/>
      <w:marTop w:val="0"/>
      <w:marBottom w:val="0"/>
      <w:divBdr>
        <w:top w:val="none" w:sz="0" w:space="0" w:color="auto"/>
        <w:left w:val="none" w:sz="0" w:space="0" w:color="auto"/>
        <w:bottom w:val="none" w:sz="0" w:space="0" w:color="auto"/>
        <w:right w:val="none" w:sz="0" w:space="0" w:color="auto"/>
      </w:divBdr>
      <w:divsChild>
        <w:div w:id="175534453">
          <w:marLeft w:val="0"/>
          <w:marRight w:val="0"/>
          <w:marTop w:val="0"/>
          <w:marBottom w:val="0"/>
          <w:divBdr>
            <w:top w:val="none" w:sz="0" w:space="0" w:color="auto"/>
            <w:left w:val="none" w:sz="0" w:space="0" w:color="auto"/>
            <w:bottom w:val="none" w:sz="0" w:space="0" w:color="auto"/>
            <w:right w:val="none" w:sz="0" w:space="0" w:color="auto"/>
          </w:divBdr>
        </w:div>
        <w:div w:id="1119225030">
          <w:marLeft w:val="0"/>
          <w:marRight w:val="0"/>
          <w:marTop w:val="0"/>
          <w:marBottom w:val="0"/>
          <w:divBdr>
            <w:top w:val="none" w:sz="0" w:space="0" w:color="auto"/>
            <w:left w:val="none" w:sz="0" w:space="0" w:color="auto"/>
            <w:bottom w:val="none" w:sz="0" w:space="0" w:color="auto"/>
            <w:right w:val="none" w:sz="0" w:space="0" w:color="auto"/>
          </w:divBdr>
        </w:div>
        <w:div w:id="789862002">
          <w:marLeft w:val="0"/>
          <w:marRight w:val="0"/>
          <w:marTop w:val="0"/>
          <w:marBottom w:val="0"/>
          <w:divBdr>
            <w:top w:val="none" w:sz="0" w:space="0" w:color="auto"/>
            <w:left w:val="none" w:sz="0" w:space="0" w:color="auto"/>
            <w:bottom w:val="none" w:sz="0" w:space="0" w:color="auto"/>
            <w:right w:val="none" w:sz="0" w:space="0" w:color="auto"/>
          </w:divBdr>
        </w:div>
        <w:div w:id="1850168854">
          <w:marLeft w:val="0"/>
          <w:marRight w:val="0"/>
          <w:marTop w:val="0"/>
          <w:marBottom w:val="0"/>
          <w:divBdr>
            <w:top w:val="none" w:sz="0" w:space="0" w:color="auto"/>
            <w:left w:val="none" w:sz="0" w:space="0" w:color="auto"/>
            <w:bottom w:val="none" w:sz="0" w:space="0" w:color="auto"/>
            <w:right w:val="none" w:sz="0" w:space="0" w:color="auto"/>
          </w:divBdr>
        </w:div>
        <w:div w:id="518545151">
          <w:marLeft w:val="0"/>
          <w:marRight w:val="0"/>
          <w:marTop w:val="0"/>
          <w:marBottom w:val="0"/>
          <w:divBdr>
            <w:top w:val="none" w:sz="0" w:space="0" w:color="auto"/>
            <w:left w:val="none" w:sz="0" w:space="0" w:color="auto"/>
            <w:bottom w:val="none" w:sz="0" w:space="0" w:color="auto"/>
            <w:right w:val="none" w:sz="0" w:space="0" w:color="auto"/>
          </w:divBdr>
        </w:div>
        <w:div w:id="180314095">
          <w:marLeft w:val="0"/>
          <w:marRight w:val="0"/>
          <w:marTop w:val="0"/>
          <w:marBottom w:val="0"/>
          <w:divBdr>
            <w:top w:val="none" w:sz="0" w:space="0" w:color="auto"/>
            <w:left w:val="none" w:sz="0" w:space="0" w:color="auto"/>
            <w:bottom w:val="none" w:sz="0" w:space="0" w:color="auto"/>
            <w:right w:val="none" w:sz="0" w:space="0" w:color="auto"/>
          </w:divBdr>
        </w:div>
      </w:divsChild>
    </w:div>
    <w:div w:id="87777223">
      <w:bodyDiv w:val="1"/>
      <w:marLeft w:val="0"/>
      <w:marRight w:val="0"/>
      <w:marTop w:val="0"/>
      <w:marBottom w:val="0"/>
      <w:divBdr>
        <w:top w:val="none" w:sz="0" w:space="0" w:color="auto"/>
        <w:left w:val="none" w:sz="0" w:space="0" w:color="auto"/>
        <w:bottom w:val="none" w:sz="0" w:space="0" w:color="auto"/>
        <w:right w:val="none" w:sz="0" w:space="0" w:color="auto"/>
      </w:divBdr>
      <w:divsChild>
        <w:div w:id="1393583361">
          <w:marLeft w:val="0"/>
          <w:marRight w:val="0"/>
          <w:marTop w:val="0"/>
          <w:marBottom w:val="0"/>
          <w:divBdr>
            <w:top w:val="none" w:sz="0" w:space="0" w:color="auto"/>
            <w:left w:val="none" w:sz="0" w:space="0" w:color="auto"/>
            <w:bottom w:val="none" w:sz="0" w:space="0" w:color="auto"/>
            <w:right w:val="none" w:sz="0" w:space="0" w:color="auto"/>
          </w:divBdr>
          <w:divsChild>
            <w:div w:id="611548421">
              <w:marLeft w:val="0"/>
              <w:marRight w:val="0"/>
              <w:marTop w:val="0"/>
              <w:marBottom w:val="0"/>
              <w:divBdr>
                <w:top w:val="none" w:sz="0" w:space="0" w:color="auto"/>
                <w:left w:val="none" w:sz="0" w:space="0" w:color="auto"/>
                <w:bottom w:val="none" w:sz="0" w:space="0" w:color="auto"/>
                <w:right w:val="none" w:sz="0" w:space="0" w:color="auto"/>
              </w:divBdr>
              <w:divsChild>
                <w:div w:id="1932809233">
                  <w:marLeft w:val="0"/>
                  <w:marRight w:val="0"/>
                  <w:marTop w:val="0"/>
                  <w:marBottom w:val="0"/>
                  <w:divBdr>
                    <w:top w:val="none" w:sz="0" w:space="0" w:color="auto"/>
                    <w:left w:val="none" w:sz="0" w:space="0" w:color="auto"/>
                    <w:bottom w:val="none" w:sz="0" w:space="0" w:color="auto"/>
                    <w:right w:val="none" w:sz="0" w:space="0" w:color="auto"/>
                  </w:divBdr>
                  <w:divsChild>
                    <w:div w:id="191465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12554">
      <w:bodyDiv w:val="1"/>
      <w:marLeft w:val="0"/>
      <w:marRight w:val="0"/>
      <w:marTop w:val="0"/>
      <w:marBottom w:val="0"/>
      <w:divBdr>
        <w:top w:val="none" w:sz="0" w:space="0" w:color="auto"/>
        <w:left w:val="none" w:sz="0" w:space="0" w:color="auto"/>
        <w:bottom w:val="none" w:sz="0" w:space="0" w:color="auto"/>
        <w:right w:val="none" w:sz="0" w:space="0" w:color="auto"/>
      </w:divBdr>
    </w:div>
    <w:div w:id="132722329">
      <w:bodyDiv w:val="1"/>
      <w:marLeft w:val="0"/>
      <w:marRight w:val="0"/>
      <w:marTop w:val="0"/>
      <w:marBottom w:val="0"/>
      <w:divBdr>
        <w:top w:val="none" w:sz="0" w:space="0" w:color="auto"/>
        <w:left w:val="none" w:sz="0" w:space="0" w:color="auto"/>
        <w:bottom w:val="none" w:sz="0" w:space="0" w:color="auto"/>
        <w:right w:val="none" w:sz="0" w:space="0" w:color="auto"/>
      </w:divBdr>
      <w:divsChild>
        <w:div w:id="1925190150">
          <w:marLeft w:val="0"/>
          <w:marRight w:val="0"/>
          <w:marTop w:val="0"/>
          <w:marBottom w:val="0"/>
          <w:divBdr>
            <w:top w:val="none" w:sz="0" w:space="0" w:color="auto"/>
            <w:left w:val="none" w:sz="0" w:space="0" w:color="auto"/>
            <w:bottom w:val="none" w:sz="0" w:space="0" w:color="auto"/>
            <w:right w:val="none" w:sz="0" w:space="0" w:color="auto"/>
          </w:divBdr>
          <w:divsChild>
            <w:div w:id="129827519">
              <w:marLeft w:val="0"/>
              <w:marRight w:val="0"/>
              <w:marTop w:val="0"/>
              <w:marBottom w:val="0"/>
              <w:divBdr>
                <w:top w:val="none" w:sz="0" w:space="0" w:color="auto"/>
                <w:left w:val="none" w:sz="0" w:space="0" w:color="auto"/>
                <w:bottom w:val="none" w:sz="0" w:space="0" w:color="auto"/>
                <w:right w:val="none" w:sz="0" w:space="0" w:color="auto"/>
              </w:divBdr>
              <w:divsChild>
                <w:div w:id="17804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5590">
      <w:bodyDiv w:val="1"/>
      <w:marLeft w:val="0"/>
      <w:marRight w:val="0"/>
      <w:marTop w:val="0"/>
      <w:marBottom w:val="0"/>
      <w:divBdr>
        <w:top w:val="none" w:sz="0" w:space="0" w:color="auto"/>
        <w:left w:val="none" w:sz="0" w:space="0" w:color="auto"/>
        <w:bottom w:val="none" w:sz="0" w:space="0" w:color="auto"/>
        <w:right w:val="none" w:sz="0" w:space="0" w:color="auto"/>
      </w:divBdr>
    </w:div>
    <w:div w:id="179469858">
      <w:bodyDiv w:val="1"/>
      <w:marLeft w:val="0"/>
      <w:marRight w:val="0"/>
      <w:marTop w:val="0"/>
      <w:marBottom w:val="0"/>
      <w:divBdr>
        <w:top w:val="none" w:sz="0" w:space="0" w:color="auto"/>
        <w:left w:val="none" w:sz="0" w:space="0" w:color="auto"/>
        <w:bottom w:val="none" w:sz="0" w:space="0" w:color="auto"/>
        <w:right w:val="none" w:sz="0" w:space="0" w:color="auto"/>
      </w:divBdr>
    </w:div>
    <w:div w:id="234244635">
      <w:bodyDiv w:val="1"/>
      <w:marLeft w:val="0"/>
      <w:marRight w:val="0"/>
      <w:marTop w:val="0"/>
      <w:marBottom w:val="0"/>
      <w:divBdr>
        <w:top w:val="none" w:sz="0" w:space="0" w:color="auto"/>
        <w:left w:val="none" w:sz="0" w:space="0" w:color="auto"/>
        <w:bottom w:val="none" w:sz="0" w:space="0" w:color="auto"/>
        <w:right w:val="none" w:sz="0" w:space="0" w:color="auto"/>
      </w:divBdr>
      <w:divsChild>
        <w:div w:id="1238783523">
          <w:marLeft w:val="0"/>
          <w:marRight w:val="0"/>
          <w:marTop w:val="0"/>
          <w:marBottom w:val="0"/>
          <w:divBdr>
            <w:top w:val="none" w:sz="0" w:space="0" w:color="auto"/>
            <w:left w:val="none" w:sz="0" w:space="0" w:color="auto"/>
            <w:bottom w:val="none" w:sz="0" w:space="0" w:color="auto"/>
            <w:right w:val="none" w:sz="0" w:space="0" w:color="auto"/>
          </w:divBdr>
          <w:divsChild>
            <w:div w:id="896278452">
              <w:marLeft w:val="0"/>
              <w:marRight w:val="0"/>
              <w:marTop w:val="0"/>
              <w:marBottom w:val="0"/>
              <w:divBdr>
                <w:top w:val="none" w:sz="0" w:space="0" w:color="auto"/>
                <w:left w:val="none" w:sz="0" w:space="0" w:color="auto"/>
                <w:bottom w:val="none" w:sz="0" w:space="0" w:color="auto"/>
                <w:right w:val="none" w:sz="0" w:space="0" w:color="auto"/>
              </w:divBdr>
              <w:divsChild>
                <w:div w:id="17913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733570">
      <w:bodyDiv w:val="1"/>
      <w:marLeft w:val="0"/>
      <w:marRight w:val="0"/>
      <w:marTop w:val="0"/>
      <w:marBottom w:val="0"/>
      <w:divBdr>
        <w:top w:val="none" w:sz="0" w:space="0" w:color="auto"/>
        <w:left w:val="none" w:sz="0" w:space="0" w:color="auto"/>
        <w:bottom w:val="none" w:sz="0" w:space="0" w:color="auto"/>
        <w:right w:val="none" w:sz="0" w:space="0" w:color="auto"/>
      </w:divBdr>
    </w:div>
    <w:div w:id="297227205">
      <w:bodyDiv w:val="1"/>
      <w:marLeft w:val="0"/>
      <w:marRight w:val="0"/>
      <w:marTop w:val="0"/>
      <w:marBottom w:val="0"/>
      <w:divBdr>
        <w:top w:val="none" w:sz="0" w:space="0" w:color="auto"/>
        <w:left w:val="none" w:sz="0" w:space="0" w:color="auto"/>
        <w:bottom w:val="none" w:sz="0" w:space="0" w:color="auto"/>
        <w:right w:val="none" w:sz="0" w:space="0" w:color="auto"/>
      </w:divBdr>
      <w:divsChild>
        <w:div w:id="1843664614">
          <w:marLeft w:val="0"/>
          <w:marRight w:val="0"/>
          <w:marTop w:val="0"/>
          <w:marBottom w:val="0"/>
          <w:divBdr>
            <w:top w:val="none" w:sz="0" w:space="0" w:color="auto"/>
            <w:left w:val="none" w:sz="0" w:space="0" w:color="auto"/>
            <w:bottom w:val="none" w:sz="0" w:space="0" w:color="auto"/>
            <w:right w:val="none" w:sz="0" w:space="0" w:color="auto"/>
          </w:divBdr>
          <w:divsChild>
            <w:div w:id="1755543196">
              <w:marLeft w:val="0"/>
              <w:marRight w:val="0"/>
              <w:marTop w:val="0"/>
              <w:marBottom w:val="0"/>
              <w:divBdr>
                <w:top w:val="none" w:sz="0" w:space="0" w:color="auto"/>
                <w:left w:val="none" w:sz="0" w:space="0" w:color="auto"/>
                <w:bottom w:val="none" w:sz="0" w:space="0" w:color="auto"/>
                <w:right w:val="none" w:sz="0" w:space="0" w:color="auto"/>
              </w:divBdr>
              <w:divsChild>
                <w:div w:id="75945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846939">
      <w:bodyDiv w:val="1"/>
      <w:marLeft w:val="0"/>
      <w:marRight w:val="0"/>
      <w:marTop w:val="0"/>
      <w:marBottom w:val="0"/>
      <w:divBdr>
        <w:top w:val="none" w:sz="0" w:space="0" w:color="auto"/>
        <w:left w:val="none" w:sz="0" w:space="0" w:color="auto"/>
        <w:bottom w:val="none" w:sz="0" w:space="0" w:color="auto"/>
        <w:right w:val="none" w:sz="0" w:space="0" w:color="auto"/>
      </w:divBdr>
    </w:div>
    <w:div w:id="316962778">
      <w:bodyDiv w:val="1"/>
      <w:marLeft w:val="0"/>
      <w:marRight w:val="0"/>
      <w:marTop w:val="0"/>
      <w:marBottom w:val="0"/>
      <w:divBdr>
        <w:top w:val="none" w:sz="0" w:space="0" w:color="auto"/>
        <w:left w:val="none" w:sz="0" w:space="0" w:color="auto"/>
        <w:bottom w:val="none" w:sz="0" w:space="0" w:color="auto"/>
        <w:right w:val="none" w:sz="0" w:space="0" w:color="auto"/>
      </w:divBdr>
      <w:divsChild>
        <w:div w:id="10691546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408851">
              <w:marLeft w:val="0"/>
              <w:marRight w:val="0"/>
              <w:marTop w:val="0"/>
              <w:marBottom w:val="0"/>
              <w:divBdr>
                <w:top w:val="none" w:sz="0" w:space="0" w:color="auto"/>
                <w:left w:val="none" w:sz="0" w:space="0" w:color="auto"/>
                <w:bottom w:val="none" w:sz="0" w:space="0" w:color="auto"/>
                <w:right w:val="none" w:sz="0" w:space="0" w:color="auto"/>
              </w:divBdr>
              <w:divsChild>
                <w:div w:id="119677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276603">
      <w:bodyDiv w:val="1"/>
      <w:marLeft w:val="0"/>
      <w:marRight w:val="0"/>
      <w:marTop w:val="0"/>
      <w:marBottom w:val="0"/>
      <w:divBdr>
        <w:top w:val="none" w:sz="0" w:space="0" w:color="auto"/>
        <w:left w:val="none" w:sz="0" w:space="0" w:color="auto"/>
        <w:bottom w:val="none" w:sz="0" w:space="0" w:color="auto"/>
        <w:right w:val="none" w:sz="0" w:space="0" w:color="auto"/>
      </w:divBdr>
      <w:divsChild>
        <w:div w:id="477651138">
          <w:marLeft w:val="0"/>
          <w:marRight w:val="0"/>
          <w:marTop w:val="0"/>
          <w:marBottom w:val="0"/>
          <w:divBdr>
            <w:top w:val="none" w:sz="0" w:space="0" w:color="auto"/>
            <w:left w:val="none" w:sz="0" w:space="0" w:color="auto"/>
            <w:bottom w:val="none" w:sz="0" w:space="0" w:color="auto"/>
            <w:right w:val="none" w:sz="0" w:space="0" w:color="auto"/>
          </w:divBdr>
        </w:div>
        <w:div w:id="646009517">
          <w:marLeft w:val="0"/>
          <w:marRight w:val="0"/>
          <w:marTop w:val="0"/>
          <w:marBottom w:val="0"/>
          <w:divBdr>
            <w:top w:val="none" w:sz="0" w:space="0" w:color="auto"/>
            <w:left w:val="none" w:sz="0" w:space="0" w:color="auto"/>
            <w:bottom w:val="none" w:sz="0" w:space="0" w:color="auto"/>
            <w:right w:val="none" w:sz="0" w:space="0" w:color="auto"/>
          </w:divBdr>
        </w:div>
        <w:div w:id="1399554004">
          <w:marLeft w:val="0"/>
          <w:marRight w:val="0"/>
          <w:marTop w:val="0"/>
          <w:marBottom w:val="0"/>
          <w:divBdr>
            <w:top w:val="none" w:sz="0" w:space="0" w:color="auto"/>
            <w:left w:val="none" w:sz="0" w:space="0" w:color="auto"/>
            <w:bottom w:val="none" w:sz="0" w:space="0" w:color="auto"/>
            <w:right w:val="none" w:sz="0" w:space="0" w:color="auto"/>
          </w:divBdr>
        </w:div>
        <w:div w:id="659843590">
          <w:marLeft w:val="0"/>
          <w:marRight w:val="0"/>
          <w:marTop w:val="0"/>
          <w:marBottom w:val="0"/>
          <w:divBdr>
            <w:top w:val="none" w:sz="0" w:space="0" w:color="auto"/>
            <w:left w:val="none" w:sz="0" w:space="0" w:color="auto"/>
            <w:bottom w:val="none" w:sz="0" w:space="0" w:color="auto"/>
            <w:right w:val="none" w:sz="0" w:space="0" w:color="auto"/>
          </w:divBdr>
        </w:div>
      </w:divsChild>
    </w:div>
    <w:div w:id="406146337">
      <w:bodyDiv w:val="1"/>
      <w:marLeft w:val="0"/>
      <w:marRight w:val="0"/>
      <w:marTop w:val="0"/>
      <w:marBottom w:val="0"/>
      <w:divBdr>
        <w:top w:val="none" w:sz="0" w:space="0" w:color="auto"/>
        <w:left w:val="none" w:sz="0" w:space="0" w:color="auto"/>
        <w:bottom w:val="none" w:sz="0" w:space="0" w:color="auto"/>
        <w:right w:val="none" w:sz="0" w:space="0" w:color="auto"/>
      </w:divBdr>
    </w:div>
    <w:div w:id="448549314">
      <w:bodyDiv w:val="1"/>
      <w:marLeft w:val="0"/>
      <w:marRight w:val="0"/>
      <w:marTop w:val="0"/>
      <w:marBottom w:val="0"/>
      <w:divBdr>
        <w:top w:val="none" w:sz="0" w:space="0" w:color="auto"/>
        <w:left w:val="none" w:sz="0" w:space="0" w:color="auto"/>
        <w:bottom w:val="none" w:sz="0" w:space="0" w:color="auto"/>
        <w:right w:val="none" w:sz="0" w:space="0" w:color="auto"/>
      </w:divBdr>
    </w:div>
    <w:div w:id="520558687">
      <w:bodyDiv w:val="1"/>
      <w:marLeft w:val="0"/>
      <w:marRight w:val="0"/>
      <w:marTop w:val="0"/>
      <w:marBottom w:val="0"/>
      <w:divBdr>
        <w:top w:val="none" w:sz="0" w:space="0" w:color="auto"/>
        <w:left w:val="none" w:sz="0" w:space="0" w:color="auto"/>
        <w:bottom w:val="none" w:sz="0" w:space="0" w:color="auto"/>
        <w:right w:val="none" w:sz="0" w:space="0" w:color="auto"/>
      </w:divBdr>
    </w:div>
    <w:div w:id="561673777">
      <w:bodyDiv w:val="1"/>
      <w:marLeft w:val="0"/>
      <w:marRight w:val="0"/>
      <w:marTop w:val="0"/>
      <w:marBottom w:val="0"/>
      <w:divBdr>
        <w:top w:val="none" w:sz="0" w:space="0" w:color="auto"/>
        <w:left w:val="none" w:sz="0" w:space="0" w:color="auto"/>
        <w:bottom w:val="none" w:sz="0" w:space="0" w:color="auto"/>
        <w:right w:val="none" w:sz="0" w:space="0" w:color="auto"/>
      </w:divBdr>
      <w:divsChild>
        <w:div w:id="1972324515">
          <w:marLeft w:val="0"/>
          <w:marRight w:val="0"/>
          <w:marTop w:val="0"/>
          <w:marBottom w:val="0"/>
          <w:divBdr>
            <w:top w:val="none" w:sz="0" w:space="0" w:color="auto"/>
            <w:left w:val="none" w:sz="0" w:space="0" w:color="auto"/>
            <w:bottom w:val="none" w:sz="0" w:space="0" w:color="auto"/>
            <w:right w:val="none" w:sz="0" w:space="0" w:color="auto"/>
          </w:divBdr>
          <w:divsChild>
            <w:div w:id="1816527832">
              <w:marLeft w:val="0"/>
              <w:marRight w:val="0"/>
              <w:marTop w:val="0"/>
              <w:marBottom w:val="0"/>
              <w:divBdr>
                <w:top w:val="none" w:sz="0" w:space="0" w:color="auto"/>
                <w:left w:val="none" w:sz="0" w:space="0" w:color="auto"/>
                <w:bottom w:val="none" w:sz="0" w:space="0" w:color="auto"/>
                <w:right w:val="none" w:sz="0" w:space="0" w:color="auto"/>
              </w:divBdr>
              <w:divsChild>
                <w:div w:id="85369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63732">
      <w:bodyDiv w:val="1"/>
      <w:marLeft w:val="0"/>
      <w:marRight w:val="0"/>
      <w:marTop w:val="0"/>
      <w:marBottom w:val="0"/>
      <w:divBdr>
        <w:top w:val="none" w:sz="0" w:space="0" w:color="auto"/>
        <w:left w:val="none" w:sz="0" w:space="0" w:color="auto"/>
        <w:bottom w:val="none" w:sz="0" w:space="0" w:color="auto"/>
        <w:right w:val="none" w:sz="0" w:space="0" w:color="auto"/>
      </w:divBdr>
    </w:div>
    <w:div w:id="616183037">
      <w:bodyDiv w:val="1"/>
      <w:marLeft w:val="0"/>
      <w:marRight w:val="0"/>
      <w:marTop w:val="0"/>
      <w:marBottom w:val="0"/>
      <w:divBdr>
        <w:top w:val="none" w:sz="0" w:space="0" w:color="auto"/>
        <w:left w:val="none" w:sz="0" w:space="0" w:color="auto"/>
        <w:bottom w:val="none" w:sz="0" w:space="0" w:color="auto"/>
        <w:right w:val="none" w:sz="0" w:space="0" w:color="auto"/>
      </w:divBdr>
      <w:divsChild>
        <w:div w:id="116023911">
          <w:marLeft w:val="0"/>
          <w:marRight w:val="0"/>
          <w:marTop w:val="0"/>
          <w:marBottom w:val="0"/>
          <w:divBdr>
            <w:top w:val="none" w:sz="0" w:space="0" w:color="auto"/>
            <w:left w:val="none" w:sz="0" w:space="0" w:color="auto"/>
            <w:bottom w:val="none" w:sz="0" w:space="0" w:color="auto"/>
            <w:right w:val="none" w:sz="0" w:space="0" w:color="auto"/>
          </w:divBdr>
          <w:divsChild>
            <w:div w:id="424155618">
              <w:marLeft w:val="0"/>
              <w:marRight w:val="0"/>
              <w:marTop w:val="0"/>
              <w:marBottom w:val="0"/>
              <w:divBdr>
                <w:top w:val="none" w:sz="0" w:space="0" w:color="auto"/>
                <w:left w:val="none" w:sz="0" w:space="0" w:color="auto"/>
                <w:bottom w:val="none" w:sz="0" w:space="0" w:color="auto"/>
                <w:right w:val="none" w:sz="0" w:space="0" w:color="auto"/>
              </w:divBdr>
              <w:divsChild>
                <w:div w:id="275062360">
                  <w:marLeft w:val="0"/>
                  <w:marRight w:val="0"/>
                  <w:marTop w:val="0"/>
                  <w:marBottom w:val="0"/>
                  <w:divBdr>
                    <w:top w:val="none" w:sz="0" w:space="0" w:color="auto"/>
                    <w:left w:val="none" w:sz="0" w:space="0" w:color="auto"/>
                    <w:bottom w:val="none" w:sz="0" w:space="0" w:color="auto"/>
                    <w:right w:val="none" w:sz="0" w:space="0" w:color="auto"/>
                  </w:divBdr>
                  <w:divsChild>
                    <w:div w:id="139835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033650">
      <w:bodyDiv w:val="1"/>
      <w:marLeft w:val="0"/>
      <w:marRight w:val="0"/>
      <w:marTop w:val="0"/>
      <w:marBottom w:val="0"/>
      <w:divBdr>
        <w:top w:val="none" w:sz="0" w:space="0" w:color="auto"/>
        <w:left w:val="none" w:sz="0" w:space="0" w:color="auto"/>
        <w:bottom w:val="none" w:sz="0" w:space="0" w:color="auto"/>
        <w:right w:val="none" w:sz="0" w:space="0" w:color="auto"/>
      </w:divBdr>
    </w:div>
    <w:div w:id="640378996">
      <w:bodyDiv w:val="1"/>
      <w:marLeft w:val="0"/>
      <w:marRight w:val="0"/>
      <w:marTop w:val="0"/>
      <w:marBottom w:val="0"/>
      <w:divBdr>
        <w:top w:val="none" w:sz="0" w:space="0" w:color="auto"/>
        <w:left w:val="none" w:sz="0" w:space="0" w:color="auto"/>
        <w:bottom w:val="none" w:sz="0" w:space="0" w:color="auto"/>
        <w:right w:val="none" w:sz="0" w:space="0" w:color="auto"/>
      </w:divBdr>
      <w:divsChild>
        <w:div w:id="1860003912">
          <w:marLeft w:val="0"/>
          <w:marRight w:val="0"/>
          <w:marTop w:val="0"/>
          <w:marBottom w:val="0"/>
          <w:divBdr>
            <w:top w:val="none" w:sz="0" w:space="0" w:color="auto"/>
            <w:left w:val="none" w:sz="0" w:space="0" w:color="auto"/>
            <w:bottom w:val="none" w:sz="0" w:space="0" w:color="auto"/>
            <w:right w:val="none" w:sz="0" w:space="0" w:color="auto"/>
          </w:divBdr>
        </w:div>
        <w:div w:id="1279797432">
          <w:marLeft w:val="0"/>
          <w:marRight w:val="0"/>
          <w:marTop w:val="0"/>
          <w:marBottom w:val="0"/>
          <w:divBdr>
            <w:top w:val="none" w:sz="0" w:space="0" w:color="auto"/>
            <w:left w:val="none" w:sz="0" w:space="0" w:color="auto"/>
            <w:bottom w:val="none" w:sz="0" w:space="0" w:color="auto"/>
            <w:right w:val="none" w:sz="0" w:space="0" w:color="auto"/>
          </w:divBdr>
        </w:div>
        <w:div w:id="931476287">
          <w:marLeft w:val="0"/>
          <w:marRight w:val="0"/>
          <w:marTop w:val="0"/>
          <w:marBottom w:val="0"/>
          <w:divBdr>
            <w:top w:val="none" w:sz="0" w:space="0" w:color="auto"/>
            <w:left w:val="none" w:sz="0" w:space="0" w:color="auto"/>
            <w:bottom w:val="none" w:sz="0" w:space="0" w:color="auto"/>
            <w:right w:val="none" w:sz="0" w:space="0" w:color="auto"/>
          </w:divBdr>
        </w:div>
        <w:div w:id="150216178">
          <w:marLeft w:val="0"/>
          <w:marRight w:val="0"/>
          <w:marTop w:val="0"/>
          <w:marBottom w:val="0"/>
          <w:divBdr>
            <w:top w:val="none" w:sz="0" w:space="0" w:color="auto"/>
            <w:left w:val="none" w:sz="0" w:space="0" w:color="auto"/>
            <w:bottom w:val="none" w:sz="0" w:space="0" w:color="auto"/>
            <w:right w:val="none" w:sz="0" w:space="0" w:color="auto"/>
          </w:divBdr>
        </w:div>
        <w:div w:id="1612661001">
          <w:marLeft w:val="0"/>
          <w:marRight w:val="0"/>
          <w:marTop w:val="0"/>
          <w:marBottom w:val="0"/>
          <w:divBdr>
            <w:top w:val="none" w:sz="0" w:space="0" w:color="auto"/>
            <w:left w:val="none" w:sz="0" w:space="0" w:color="auto"/>
            <w:bottom w:val="none" w:sz="0" w:space="0" w:color="auto"/>
            <w:right w:val="none" w:sz="0" w:space="0" w:color="auto"/>
          </w:divBdr>
        </w:div>
        <w:div w:id="90592806">
          <w:marLeft w:val="0"/>
          <w:marRight w:val="0"/>
          <w:marTop w:val="0"/>
          <w:marBottom w:val="0"/>
          <w:divBdr>
            <w:top w:val="none" w:sz="0" w:space="0" w:color="auto"/>
            <w:left w:val="none" w:sz="0" w:space="0" w:color="auto"/>
            <w:bottom w:val="none" w:sz="0" w:space="0" w:color="auto"/>
            <w:right w:val="none" w:sz="0" w:space="0" w:color="auto"/>
          </w:divBdr>
        </w:div>
        <w:div w:id="416293308">
          <w:marLeft w:val="0"/>
          <w:marRight w:val="0"/>
          <w:marTop w:val="0"/>
          <w:marBottom w:val="0"/>
          <w:divBdr>
            <w:top w:val="none" w:sz="0" w:space="0" w:color="auto"/>
            <w:left w:val="none" w:sz="0" w:space="0" w:color="auto"/>
            <w:bottom w:val="none" w:sz="0" w:space="0" w:color="auto"/>
            <w:right w:val="none" w:sz="0" w:space="0" w:color="auto"/>
          </w:divBdr>
        </w:div>
        <w:div w:id="697127417">
          <w:marLeft w:val="0"/>
          <w:marRight w:val="0"/>
          <w:marTop w:val="0"/>
          <w:marBottom w:val="0"/>
          <w:divBdr>
            <w:top w:val="none" w:sz="0" w:space="0" w:color="auto"/>
            <w:left w:val="none" w:sz="0" w:space="0" w:color="auto"/>
            <w:bottom w:val="none" w:sz="0" w:space="0" w:color="auto"/>
            <w:right w:val="none" w:sz="0" w:space="0" w:color="auto"/>
          </w:divBdr>
        </w:div>
        <w:div w:id="1323847592">
          <w:marLeft w:val="0"/>
          <w:marRight w:val="0"/>
          <w:marTop w:val="0"/>
          <w:marBottom w:val="0"/>
          <w:divBdr>
            <w:top w:val="none" w:sz="0" w:space="0" w:color="auto"/>
            <w:left w:val="none" w:sz="0" w:space="0" w:color="auto"/>
            <w:bottom w:val="none" w:sz="0" w:space="0" w:color="auto"/>
            <w:right w:val="none" w:sz="0" w:space="0" w:color="auto"/>
          </w:divBdr>
        </w:div>
        <w:div w:id="1855799550">
          <w:marLeft w:val="0"/>
          <w:marRight w:val="0"/>
          <w:marTop w:val="0"/>
          <w:marBottom w:val="0"/>
          <w:divBdr>
            <w:top w:val="none" w:sz="0" w:space="0" w:color="auto"/>
            <w:left w:val="none" w:sz="0" w:space="0" w:color="auto"/>
            <w:bottom w:val="none" w:sz="0" w:space="0" w:color="auto"/>
            <w:right w:val="none" w:sz="0" w:space="0" w:color="auto"/>
          </w:divBdr>
        </w:div>
        <w:div w:id="1574975340">
          <w:marLeft w:val="0"/>
          <w:marRight w:val="0"/>
          <w:marTop w:val="0"/>
          <w:marBottom w:val="0"/>
          <w:divBdr>
            <w:top w:val="none" w:sz="0" w:space="0" w:color="auto"/>
            <w:left w:val="none" w:sz="0" w:space="0" w:color="auto"/>
            <w:bottom w:val="none" w:sz="0" w:space="0" w:color="auto"/>
            <w:right w:val="none" w:sz="0" w:space="0" w:color="auto"/>
          </w:divBdr>
        </w:div>
        <w:div w:id="1320382251">
          <w:marLeft w:val="0"/>
          <w:marRight w:val="0"/>
          <w:marTop w:val="0"/>
          <w:marBottom w:val="0"/>
          <w:divBdr>
            <w:top w:val="none" w:sz="0" w:space="0" w:color="auto"/>
            <w:left w:val="none" w:sz="0" w:space="0" w:color="auto"/>
            <w:bottom w:val="none" w:sz="0" w:space="0" w:color="auto"/>
            <w:right w:val="none" w:sz="0" w:space="0" w:color="auto"/>
          </w:divBdr>
        </w:div>
        <w:div w:id="2104104042">
          <w:marLeft w:val="0"/>
          <w:marRight w:val="0"/>
          <w:marTop w:val="0"/>
          <w:marBottom w:val="0"/>
          <w:divBdr>
            <w:top w:val="none" w:sz="0" w:space="0" w:color="auto"/>
            <w:left w:val="none" w:sz="0" w:space="0" w:color="auto"/>
            <w:bottom w:val="none" w:sz="0" w:space="0" w:color="auto"/>
            <w:right w:val="none" w:sz="0" w:space="0" w:color="auto"/>
          </w:divBdr>
        </w:div>
        <w:div w:id="663430912">
          <w:marLeft w:val="0"/>
          <w:marRight w:val="0"/>
          <w:marTop w:val="0"/>
          <w:marBottom w:val="0"/>
          <w:divBdr>
            <w:top w:val="none" w:sz="0" w:space="0" w:color="auto"/>
            <w:left w:val="none" w:sz="0" w:space="0" w:color="auto"/>
            <w:bottom w:val="none" w:sz="0" w:space="0" w:color="auto"/>
            <w:right w:val="none" w:sz="0" w:space="0" w:color="auto"/>
          </w:divBdr>
        </w:div>
        <w:div w:id="970208337">
          <w:marLeft w:val="0"/>
          <w:marRight w:val="0"/>
          <w:marTop w:val="0"/>
          <w:marBottom w:val="0"/>
          <w:divBdr>
            <w:top w:val="none" w:sz="0" w:space="0" w:color="auto"/>
            <w:left w:val="none" w:sz="0" w:space="0" w:color="auto"/>
            <w:bottom w:val="none" w:sz="0" w:space="0" w:color="auto"/>
            <w:right w:val="none" w:sz="0" w:space="0" w:color="auto"/>
          </w:divBdr>
        </w:div>
      </w:divsChild>
    </w:div>
    <w:div w:id="660087718">
      <w:bodyDiv w:val="1"/>
      <w:marLeft w:val="0"/>
      <w:marRight w:val="0"/>
      <w:marTop w:val="0"/>
      <w:marBottom w:val="0"/>
      <w:divBdr>
        <w:top w:val="none" w:sz="0" w:space="0" w:color="auto"/>
        <w:left w:val="none" w:sz="0" w:space="0" w:color="auto"/>
        <w:bottom w:val="none" w:sz="0" w:space="0" w:color="auto"/>
        <w:right w:val="none" w:sz="0" w:space="0" w:color="auto"/>
      </w:divBdr>
      <w:divsChild>
        <w:div w:id="1084374455">
          <w:marLeft w:val="0"/>
          <w:marRight w:val="0"/>
          <w:marTop w:val="0"/>
          <w:marBottom w:val="0"/>
          <w:divBdr>
            <w:top w:val="none" w:sz="0" w:space="0" w:color="auto"/>
            <w:left w:val="none" w:sz="0" w:space="0" w:color="auto"/>
            <w:bottom w:val="none" w:sz="0" w:space="0" w:color="auto"/>
            <w:right w:val="none" w:sz="0" w:space="0" w:color="auto"/>
          </w:divBdr>
          <w:divsChild>
            <w:div w:id="1330519761">
              <w:marLeft w:val="0"/>
              <w:marRight w:val="0"/>
              <w:marTop w:val="0"/>
              <w:marBottom w:val="0"/>
              <w:divBdr>
                <w:top w:val="none" w:sz="0" w:space="0" w:color="auto"/>
                <w:left w:val="none" w:sz="0" w:space="0" w:color="auto"/>
                <w:bottom w:val="none" w:sz="0" w:space="0" w:color="auto"/>
                <w:right w:val="none" w:sz="0" w:space="0" w:color="auto"/>
              </w:divBdr>
              <w:divsChild>
                <w:div w:id="87018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607099">
      <w:bodyDiv w:val="1"/>
      <w:marLeft w:val="0"/>
      <w:marRight w:val="0"/>
      <w:marTop w:val="0"/>
      <w:marBottom w:val="0"/>
      <w:divBdr>
        <w:top w:val="none" w:sz="0" w:space="0" w:color="auto"/>
        <w:left w:val="none" w:sz="0" w:space="0" w:color="auto"/>
        <w:bottom w:val="none" w:sz="0" w:space="0" w:color="auto"/>
        <w:right w:val="none" w:sz="0" w:space="0" w:color="auto"/>
      </w:divBdr>
      <w:divsChild>
        <w:div w:id="1130365674">
          <w:marLeft w:val="0"/>
          <w:marRight w:val="0"/>
          <w:marTop w:val="0"/>
          <w:marBottom w:val="0"/>
          <w:divBdr>
            <w:top w:val="none" w:sz="0" w:space="0" w:color="auto"/>
            <w:left w:val="none" w:sz="0" w:space="0" w:color="auto"/>
            <w:bottom w:val="none" w:sz="0" w:space="0" w:color="auto"/>
            <w:right w:val="none" w:sz="0" w:space="0" w:color="auto"/>
          </w:divBdr>
        </w:div>
        <w:div w:id="1387535222">
          <w:marLeft w:val="0"/>
          <w:marRight w:val="0"/>
          <w:marTop w:val="0"/>
          <w:marBottom w:val="0"/>
          <w:divBdr>
            <w:top w:val="none" w:sz="0" w:space="0" w:color="auto"/>
            <w:left w:val="none" w:sz="0" w:space="0" w:color="auto"/>
            <w:bottom w:val="none" w:sz="0" w:space="0" w:color="auto"/>
            <w:right w:val="none" w:sz="0" w:space="0" w:color="auto"/>
          </w:divBdr>
        </w:div>
        <w:div w:id="449786536">
          <w:marLeft w:val="0"/>
          <w:marRight w:val="0"/>
          <w:marTop w:val="0"/>
          <w:marBottom w:val="0"/>
          <w:divBdr>
            <w:top w:val="none" w:sz="0" w:space="0" w:color="auto"/>
            <w:left w:val="none" w:sz="0" w:space="0" w:color="auto"/>
            <w:bottom w:val="none" w:sz="0" w:space="0" w:color="auto"/>
            <w:right w:val="none" w:sz="0" w:space="0" w:color="auto"/>
          </w:divBdr>
        </w:div>
        <w:div w:id="1928807887">
          <w:marLeft w:val="0"/>
          <w:marRight w:val="0"/>
          <w:marTop w:val="0"/>
          <w:marBottom w:val="0"/>
          <w:divBdr>
            <w:top w:val="none" w:sz="0" w:space="0" w:color="auto"/>
            <w:left w:val="none" w:sz="0" w:space="0" w:color="auto"/>
            <w:bottom w:val="none" w:sz="0" w:space="0" w:color="auto"/>
            <w:right w:val="none" w:sz="0" w:space="0" w:color="auto"/>
          </w:divBdr>
        </w:div>
      </w:divsChild>
    </w:div>
    <w:div w:id="717704678">
      <w:bodyDiv w:val="1"/>
      <w:marLeft w:val="0"/>
      <w:marRight w:val="0"/>
      <w:marTop w:val="0"/>
      <w:marBottom w:val="0"/>
      <w:divBdr>
        <w:top w:val="none" w:sz="0" w:space="0" w:color="auto"/>
        <w:left w:val="none" w:sz="0" w:space="0" w:color="auto"/>
        <w:bottom w:val="none" w:sz="0" w:space="0" w:color="auto"/>
        <w:right w:val="none" w:sz="0" w:space="0" w:color="auto"/>
      </w:divBdr>
      <w:divsChild>
        <w:div w:id="17197058">
          <w:marLeft w:val="0"/>
          <w:marRight w:val="0"/>
          <w:marTop w:val="0"/>
          <w:marBottom w:val="0"/>
          <w:divBdr>
            <w:top w:val="none" w:sz="0" w:space="0" w:color="auto"/>
            <w:left w:val="none" w:sz="0" w:space="0" w:color="auto"/>
            <w:bottom w:val="none" w:sz="0" w:space="0" w:color="auto"/>
            <w:right w:val="none" w:sz="0" w:space="0" w:color="auto"/>
          </w:divBdr>
        </w:div>
        <w:div w:id="163013197">
          <w:marLeft w:val="0"/>
          <w:marRight w:val="0"/>
          <w:marTop w:val="0"/>
          <w:marBottom w:val="0"/>
          <w:divBdr>
            <w:top w:val="none" w:sz="0" w:space="0" w:color="auto"/>
            <w:left w:val="none" w:sz="0" w:space="0" w:color="auto"/>
            <w:bottom w:val="none" w:sz="0" w:space="0" w:color="auto"/>
            <w:right w:val="none" w:sz="0" w:space="0" w:color="auto"/>
          </w:divBdr>
        </w:div>
        <w:div w:id="231428707">
          <w:marLeft w:val="0"/>
          <w:marRight w:val="0"/>
          <w:marTop w:val="0"/>
          <w:marBottom w:val="0"/>
          <w:divBdr>
            <w:top w:val="none" w:sz="0" w:space="0" w:color="auto"/>
            <w:left w:val="none" w:sz="0" w:space="0" w:color="auto"/>
            <w:bottom w:val="none" w:sz="0" w:space="0" w:color="auto"/>
            <w:right w:val="none" w:sz="0" w:space="0" w:color="auto"/>
          </w:divBdr>
        </w:div>
        <w:div w:id="614750821">
          <w:marLeft w:val="0"/>
          <w:marRight w:val="0"/>
          <w:marTop w:val="0"/>
          <w:marBottom w:val="0"/>
          <w:divBdr>
            <w:top w:val="none" w:sz="0" w:space="0" w:color="auto"/>
            <w:left w:val="none" w:sz="0" w:space="0" w:color="auto"/>
            <w:bottom w:val="none" w:sz="0" w:space="0" w:color="auto"/>
            <w:right w:val="none" w:sz="0" w:space="0" w:color="auto"/>
          </w:divBdr>
        </w:div>
        <w:div w:id="947388833">
          <w:marLeft w:val="0"/>
          <w:marRight w:val="0"/>
          <w:marTop w:val="0"/>
          <w:marBottom w:val="0"/>
          <w:divBdr>
            <w:top w:val="none" w:sz="0" w:space="0" w:color="auto"/>
            <w:left w:val="none" w:sz="0" w:space="0" w:color="auto"/>
            <w:bottom w:val="none" w:sz="0" w:space="0" w:color="auto"/>
            <w:right w:val="none" w:sz="0" w:space="0" w:color="auto"/>
          </w:divBdr>
        </w:div>
        <w:div w:id="991523294">
          <w:marLeft w:val="0"/>
          <w:marRight w:val="0"/>
          <w:marTop w:val="0"/>
          <w:marBottom w:val="0"/>
          <w:divBdr>
            <w:top w:val="none" w:sz="0" w:space="0" w:color="auto"/>
            <w:left w:val="none" w:sz="0" w:space="0" w:color="auto"/>
            <w:bottom w:val="none" w:sz="0" w:space="0" w:color="auto"/>
            <w:right w:val="none" w:sz="0" w:space="0" w:color="auto"/>
          </w:divBdr>
        </w:div>
        <w:div w:id="1080952395">
          <w:marLeft w:val="0"/>
          <w:marRight w:val="0"/>
          <w:marTop w:val="0"/>
          <w:marBottom w:val="0"/>
          <w:divBdr>
            <w:top w:val="none" w:sz="0" w:space="0" w:color="auto"/>
            <w:left w:val="none" w:sz="0" w:space="0" w:color="auto"/>
            <w:bottom w:val="none" w:sz="0" w:space="0" w:color="auto"/>
            <w:right w:val="none" w:sz="0" w:space="0" w:color="auto"/>
          </w:divBdr>
        </w:div>
        <w:div w:id="1114441499">
          <w:marLeft w:val="0"/>
          <w:marRight w:val="0"/>
          <w:marTop w:val="0"/>
          <w:marBottom w:val="0"/>
          <w:divBdr>
            <w:top w:val="none" w:sz="0" w:space="0" w:color="auto"/>
            <w:left w:val="none" w:sz="0" w:space="0" w:color="auto"/>
            <w:bottom w:val="none" w:sz="0" w:space="0" w:color="auto"/>
            <w:right w:val="none" w:sz="0" w:space="0" w:color="auto"/>
          </w:divBdr>
        </w:div>
        <w:div w:id="1302881572">
          <w:marLeft w:val="0"/>
          <w:marRight w:val="0"/>
          <w:marTop w:val="0"/>
          <w:marBottom w:val="0"/>
          <w:divBdr>
            <w:top w:val="none" w:sz="0" w:space="0" w:color="auto"/>
            <w:left w:val="none" w:sz="0" w:space="0" w:color="auto"/>
            <w:bottom w:val="none" w:sz="0" w:space="0" w:color="auto"/>
            <w:right w:val="none" w:sz="0" w:space="0" w:color="auto"/>
          </w:divBdr>
        </w:div>
        <w:div w:id="1402021972">
          <w:marLeft w:val="0"/>
          <w:marRight w:val="0"/>
          <w:marTop w:val="0"/>
          <w:marBottom w:val="0"/>
          <w:divBdr>
            <w:top w:val="none" w:sz="0" w:space="0" w:color="auto"/>
            <w:left w:val="none" w:sz="0" w:space="0" w:color="auto"/>
            <w:bottom w:val="none" w:sz="0" w:space="0" w:color="auto"/>
            <w:right w:val="none" w:sz="0" w:space="0" w:color="auto"/>
          </w:divBdr>
        </w:div>
        <w:div w:id="1456826120">
          <w:marLeft w:val="0"/>
          <w:marRight w:val="0"/>
          <w:marTop w:val="0"/>
          <w:marBottom w:val="0"/>
          <w:divBdr>
            <w:top w:val="none" w:sz="0" w:space="0" w:color="auto"/>
            <w:left w:val="none" w:sz="0" w:space="0" w:color="auto"/>
            <w:bottom w:val="none" w:sz="0" w:space="0" w:color="auto"/>
            <w:right w:val="none" w:sz="0" w:space="0" w:color="auto"/>
          </w:divBdr>
        </w:div>
        <w:div w:id="1774395930">
          <w:marLeft w:val="0"/>
          <w:marRight w:val="0"/>
          <w:marTop w:val="0"/>
          <w:marBottom w:val="0"/>
          <w:divBdr>
            <w:top w:val="none" w:sz="0" w:space="0" w:color="auto"/>
            <w:left w:val="none" w:sz="0" w:space="0" w:color="auto"/>
            <w:bottom w:val="none" w:sz="0" w:space="0" w:color="auto"/>
            <w:right w:val="none" w:sz="0" w:space="0" w:color="auto"/>
          </w:divBdr>
        </w:div>
        <w:div w:id="2003383988">
          <w:marLeft w:val="0"/>
          <w:marRight w:val="0"/>
          <w:marTop w:val="0"/>
          <w:marBottom w:val="0"/>
          <w:divBdr>
            <w:top w:val="none" w:sz="0" w:space="0" w:color="auto"/>
            <w:left w:val="none" w:sz="0" w:space="0" w:color="auto"/>
            <w:bottom w:val="none" w:sz="0" w:space="0" w:color="auto"/>
            <w:right w:val="none" w:sz="0" w:space="0" w:color="auto"/>
          </w:divBdr>
        </w:div>
      </w:divsChild>
    </w:div>
    <w:div w:id="734937291">
      <w:bodyDiv w:val="1"/>
      <w:marLeft w:val="0"/>
      <w:marRight w:val="0"/>
      <w:marTop w:val="0"/>
      <w:marBottom w:val="0"/>
      <w:divBdr>
        <w:top w:val="none" w:sz="0" w:space="0" w:color="auto"/>
        <w:left w:val="none" w:sz="0" w:space="0" w:color="auto"/>
        <w:bottom w:val="none" w:sz="0" w:space="0" w:color="auto"/>
        <w:right w:val="none" w:sz="0" w:space="0" w:color="auto"/>
      </w:divBdr>
      <w:divsChild>
        <w:div w:id="2025282471">
          <w:marLeft w:val="0"/>
          <w:marRight w:val="0"/>
          <w:marTop w:val="0"/>
          <w:marBottom w:val="0"/>
          <w:divBdr>
            <w:top w:val="none" w:sz="0" w:space="0" w:color="auto"/>
            <w:left w:val="none" w:sz="0" w:space="0" w:color="auto"/>
            <w:bottom w:val="none" w:sz="0" w:space="0" w:color="auto"/>
            <w:right w:val="none" w:sz="0" w:space="0" w:color="auto"/>
          </w:divBdr>
          <w:divsChild>
            <w:div w:id="542984420">
              <w:marLeft w:val="0"/>
              <w:marRight w:val="0"/>
              <w:marTop w:val="0"/>
              <w:marBottom w:val="0"/>
              <w:divBdr>
                <w:top w:val="none" w:sz="0" w:space="0" w:color="auto"/>
                <w:left w:val="none" w:sz="0" w:space="0" w:color="auto"/>
                <w:bottom w:val="none" w:sz="0" w:space="0" w:color="auto"/>
                <w:right w:val="none" w:sz="0" w:space="0" w:color="auto"/>
              </w:divBdr>
              <w:divsChild>
                <w:div w:id="91575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77773">
      <w:bodyDiv w:val="1"/>
      <w:marLeft w:val="0"/>
      <w:marRight w:val="0"/>
      <w:marTop w:val="0"/>
      <w:marBottom w:val="0"/>
      <w:divBdr>
        <w:top w:val="none" w:sz="0" w:space="0" w:color="auto"/>
        <w:left w:val="none" w:sz="0" w:space="0" w:color="auto"/>
        <w:bottom w:val="none" w:sz="0" w:space="0" w:color="auto"/>
        <w:right w:val="none" w:sz="0" w:space="0" w:color="auto"/>
      </w:divBdr>
    </w:div>
    <w:div w:id="811170488">
      <w:bodyDiv w:val="1"/>
      <w:marLeft w:val="0"/>
      <w:marRight w:val="0"/>
      <w:marTop w:val="0"/>
      <w:marBottom w:val="0"/>
      <w:divBdr>
        <w:top w:val="none" w:sz="0" w:space="0" w:color="auto"/>
        <w:left w:val="none" w:sz="0" w:space="0" w:color="auto"/>
        <w:bottom w:val="none" w:sz="0" w:space="0" w:color="auto"/>
        <w:right w:val="none" w:sz="0" w:space="0" w:color="auto"/>
      </w:divBdr>
      <w:divsChild>
        <w:div w:id="1976134892">
          <w:marLeft w:val="0"/>
          <w:marRight w:val="0"/>
          <w:marTop w:val="0"/>
          <w:marBottom w:val="0"/>
          <w:divBdr>
            <w:top w:val="none" w:sz="0" w:space="0" w:color="auto"/>
            <w:left w:val="none" w:sz="0" w:space="0" w:color="auto"/>
            <w:bottom w:val="none" w:sz="0" w:space="0" w:color="auto"/>
            <w:right w:val="none" w:sz="0" w:space="0" w:color="auto"/>
          </w:divBdr>
          <w:divsChild>
            <w:div w:id="676201448">
              <w:marLeft w:val="0"/>
              <w:marRight w:val="0"/>
              <w:marTop w:val="0"/>
              <w:marBottom w:val="0"/>
              <w:divBdr>
                <w:top w:val="none" w:sz="0" w:space="0" w:color="auto"/>
                <w:left w:val="none" w:sz="0" w:space="0" w:color="auto"/>
                <w:bottom w:val="none" w:sz="0" w:space="0" w:color="auto"/>
                <w:right w:val="none" w:sz="0" w:space="0" w:color="auto"/>
              </w:divBdr>
              <w:divsChild>
                <w:div w:id="150932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835379">
      <w:bodyDiv w:val="1"/>
      <w:marLeft w:val="0"/>
      <w:marRight w:val="0"/>
      <w:marTop w:val="0"/>
      <w:marBottom w:val="0"/>
      <w:divBdr>
        <w:top w:val="none" w:sz="0" w:space="0" w:color="auto"/>
        <w:left w:val="none" w:sz="0" w:space="0" w:color="auto"/>
        <w:bottom w:val="none" w:sz="0" w:space="0" w:color="auto"/>
        <w:right w:val="none" w:sz="0" w:space="0" w:color="auto"/>
      </w:divBdr>
      <w:divsChild>
        <w:div w:id="116795796">
          <w:marLeft w:val="0"/>
          <w:marRight w:val="0"/>
          <w:marTop w:val="0"/>
          <w:marBottom w:val="0"/>
          <w:divBdr>
            <w:top w:val="none" w:sz="0" w:space="0" w:color="auto"/>
            <w:left w:val="none" w:sz="0" w:space="0" w:color="auto"/>
            <w:bottom w:val="none" w:sz="0" w:space="0" w:color="auto"/>
            <w:right w:val="none" w:sz="0" w:space="0" w:color="auto"/>
          </w:divBdr>
          <w:divsChild>
            <w:div w:id="1144544232">
              <w:marLeft w:val="0"/>
              <w:marRight w:val="0"/>
              <w:marTop w:val="0"/>
              <w:marBottom w:val="0"/>
              <w:divBdr>
                <w:top w:val="none" w:sz="0" w:space="0" w:color="auto"/>
                <w:left w:val="none" w:sz="0" w:space="0" w:color="auto"/>
                <w:bottom w:val="none" w:sz="0" w:space="0" w:color="auto"/>
                <w:right w:val="none" w:sz="0" w:space="0" w:color="auto"/>
              </w:divBdr>
              <w:divsChild>
                <w:div w:id="31006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969649">
      <w:bodyDiv w:val="1"/>
      <w:marLeft w:val="0"/>
      <w:marRight w:val="0"/>
      <w:marTop w:val="0"/>
      <w:marBottom w:val="0"/>
      <w:divBdr>
        <w:top w:val="none" w:sz="0" w:space="0" w:color="auto"/>
        <w:left w:val="none" w:sz="0" w:space="0" w:color="auto"/>
        <w:bottom w:val="none" w:sz="0" w:space="0" w:color="auto"/>
        <w:right w:val="none" w:sz="0" w:space="0" w:color="auto"/>
      </w:divBdr>
    </w:div>
    <w:div w:id="912156651">
      <w:bodyDiv w:val="1"/>
      <w:marLeft w:val="0"/>
      <w:marRight w:val="0"/>
      <w:marTop w:val="0"/>
      <w:marBottom w:val="0"/>
      <w:divBdr>
        <w:top w:val="none" w:sz="0" w:space="0" w:color="auto"/>
        <w:left w:val="none" w:sz="0" w:space="0" w:color="auto"/>
        <w:bottom w:val="none" w:sz="0" w:space="0" w:color="auto"/>
        <w:right w:val="none" w:sz="0" w:space="0" w:color="auto"/>
      </w:divBdr>
    </w:div>
    <w:div w:id="925921190">
      <w:bodyDiv w:val="1"/>
      <w:marLeft w:val="0"/>
      <w:marRight w:val="0"/>
      <w:marTop w:val="0"/>
      <w:marBottom w:val="0"/>
      <w:divBdr>
        <w:top w:val="none" w:sz="0" w:space="0" w:color="auto"/>
        <w:left w:val="none" w:sz="0" w:space="0" w:color="auto"/>
        <w:bottom w:val="none" w:sz="0" w:space="0" w:color="auto"/>
        <w:right w:val="none" w:sz="0" w:space="0" w:color="auto"/>
      </w:divBdr>
    </w:div>
    <w:div w:id="939022499">
      <w:bodyDiv w:val="1"/>
      <w:marLeft w:val="0"/>
      <w:marRight w:val="0"/>
      <w:marTop w:val="0"/>
      <w:marBottom w:val="0"/>
      <w:divBdr>
        <w:top w:val="none" w:sz="0" w:space="0" w:color="auto"/>
        <w:left w:val="none" w:sz="0" w:space="0" w:color="auto"/>
        <w:bottom w:val="none" w:sz="0" w:space="0" w:color="auto"/>
        <w:right w:val="none" w:sz="0" w:space="0" w:color="auto"/>
      </w:divBdr>
      <w:divsChild>
        <w:div w:id="746879773">
          <w:marLeft w:val="0"/>
          <w:marRight w:val="0"/>
          <w:marTop w:val="0"/>
          <w:marBottom w:val="0"/>
          <w:divBdr>
            <w:top w:val="none" w:sz="0" w:space="0" w:color="auto"/>
            <w:left w:val="none" w:sz="0" w:space="0" w:color="auto"/>
            <w:bottom w:val="none" w:sz="0" w:space="0" w:color="auto"/>
            <w:right w:val="none" w:sz="0" w:space="0" w:color="auto"/>
          </w:divBdr>
          <w:divsChild>
            <w:div w:id="944583464">
              <w:marLeft w:val="0"/>
              <w:marRight w:val="0"/>
              <w:marTop w:val="0"/>
              <w:marBottom w:val="0"/>
              <w:divBdr>
                <w:top w:val="none" w:sz="0" w:space="0" w:color="auto"/>
                <w:left w:val="none" w:sz="0" w:space="0" w:color="auto"/>
                <w:bottom w:val="none" w:sz="0" w:space="0" w:color="auto"/>
                <w:right w:val="none" w:sz="0" w:space="0" w:color="auto"/>
              </w:divBdr>
              <w:divsChild>
                <w:div w:id="456919472">
                  <w:marLeft w:val="0"/>
                  <w:marRight w:val="0"/>
                  <w:marTop w:val="0"/>
                  <w:marBottom w:val="0"/>
                  <w:divBdr>
                    <w:top w:val="none" w:sz="0" w:space="0" w:color="auto"/>
                    <w:left w:val="none" w:sz="0" w:space="0" w:color="auto"/>
                    <w:bottom w:val="none" w:sz="0" w:space="0" w:color="auto"/>
                    <w:right w:val="none" w:sz="0" w:space="0" w:color="auto"/>
                  </w:divBdr>
                  <w:divsChild>
                    <w:div w:id="38471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535833">
      <w:bodyDiv w:val="1"/>
      <w:marLeft w:val="0"/>
      <w:marRight w:val="0"/>
      <w:marTop w:val="0"/>
      <w:marBottom w:val="0"/>
      <w:divBdr>
        <w:top w:val="none" w:sz="0" w:space="0" w:color="auto"/>
        <w:left w:val="none" w:sz="0" w:space="0" w:color="auto"/>
        <w:bottom w:val="none" w:sz="0" w:space="0" w:color="auto"/>
        <w:right w:val="none" w:sz="0" w:space="0" w:color="auto"/>
      </w:divBdr>
    </w:div>
    <w:div w:id="1016419731">
      <w:bodyDiv w:val="1"/>
      <w:marLeft w:val="0"/>
      <w:marRight w:val="0"/>
      <w:marTop w:val="0"/>
      <w:marBottom w:val="0"/>
      <w:divBdr>
        <w:top w:val="none" w:sz="0" w:space="0" w:color="auto"/>
        <w:left w:val="none" w:sz="0" w:space="0" w:color="auto"/>
        <w:bottom w:val="none" w:sz="0" w:space="0" w:color="auto"/>
        <w:right w:val="none" w:sz="0" w:space="0" w:color="auto"/>
      </w:divBdr>
      <w:divsChild>
        <w:div w:id="480537593">
          <w:marLeft w:val="0"/>
          <w:marRight w:val="0"/>
          <w:marTop w:val="0"/>
          <w:marBottom w:val="0"/>
          <w:divBdr>
            <w:top w:val="none" w:sz="0" w:space="0" w:color="auto"/>
            <w:left w:val="none" w:sz="0" w:space="0" w:color="auto"/>
            <w:bottom w:val="none" w:sz="0" w:space="0" w:color="auto"/>
            <w:right w:val="none" w:sz="0" w:space="0" w:color="auto"/>
          </w:divBdr>
        </w:div>
        <w:div w:id="1539929550">
          <w:marLeft w:val="0"/>
          <w:marRight w:val="0"/>
          <w:marTop w:val="0"/>
          <w:marBottom w:val="0"/>
          <w:divBdr>
            <w:top w:val="none" w:sz="0" w:space="0" w:color="auto"/>
            <w:left w:val="none" w:sz="0" w:space="0" w:color="auto"/>
            <w:bottom w:val="none" w:sz="0" w:space="0" w:color="auto"/>
            <w:right w:val="none" w:sz="0" w:space="0" w:color="auto"/>
          </w:divBdr>
        </w:div>
        <w:div w:id="492063847">
          <w:marLeft w:val="0"/>
          <w:marRight w:val="0"/>
          <w:marTop w:val="0"/>
          <w:marBottom w:val="0"/>
          <w:divBdr>
            <w:top w:val="none" w:sz="0" w:space="0" w:color="auto"/>
            <w:left w:val="none" w:sz="0" w:space="0" w:color="auto"/>
            <w:bottom w:val="none" w:sz="0" w:space="0" w:color="auto"/>
            <w:right w:val="none" w:sz="0" w:space="0" w:color="auto"/>
          </w:divBdr>
        </w:div>
        <w:div w:id="539366225">
          <w:marLeft w:val="0"/>
          <w:marRight w:val="0"/>
          <w:marTop w:val="0"/>
          <w:marBottom w:val="0"/>
          <w:divBdr>
            <w:top w:val="none" w:sz="0" w:space="0" w:color="auto"/>
            <w:left w:val="none" w:sz="0" w:space="0" w:color="auto"/>
            <w:bottom w:val="none" w:sz="0" w:space="0" w:color="auto"/>
            <w:right w:val="none" w:sz="0" w:space="0" w:color="auto"/>
          </w:divBdr>
        </w:div>
        <w:div w:id="93287141">
          <w:marLeft w:val="0"/>
          <w:marRight w:val="0"/>
          <w:marTop w:val="0"/>
          <w:marBottom w:val="0"/>
          <w:divBdr>
            <w:top w:val="none" w:sz="0" w:space="0" w:color="auto"/>
            <w:left w:val="none" w:sz="0" w:space="0" w:color="auto"/>
            <w:bottom w:val="none" w:sz="0" w:space="0" w:color="auto"/>
            <w:right w:val="none" w:sz="0" w:space="0" w:color="auto"/>
          </w:divBdr>
        </w:div>
        <w:div w:id="1431124794">
          <w:marLeft w:val="0"/>
          <w:marRight w:val="0"/>
          <w:marTop w:val="0"/>
          <w:marBottom w:val="0"/>
          <w:divBdr>
            <w:top w:val="none" w:sz="0" w:space="0" w:color="auto"/>
            <w:left w:val="none" w:sz="0" w:space="0" w:color="auto"/>
            <w:bottom w:val="none" w:sz="0" w:space="0" w:color="auto"/>
            <w:right w:val="none" w:sz="0" w:space="0" w:color="auto"/>
          </w:divBdr>
        </w:div>
        <w:div w:id="1191143143">
          <w:marLeft w:val="0"/>
          <w:marRight w:val="0"/>
          <w:marTop w:val="0"/>
          <w:marBottom w:val="0"/>
          <w:divBdr>
            <w:top w:val="none" w:sz="0" w:space="0" w:color="auto"/>
            <w:left w:val="none" w:sz="0" w:space="0" w:color="auto"/>
            <w:bottom w:val="none" w:sz="0" w:space="0" w:color="auto"/>
            <w:right w:val="none" w:sz="0" w:space="0" w:color="auto"/>
          </w:divBdr>
        </w:div>
        <w:div w:id="1478765283">
          <w:marLeft w:val="0"/>
          <w:marRight w:val="0"/>
          <w:marTop w:val="0"/>
          <w:marBottom w:val="0"/>
          <w:divBdr>
            <w:top w:val="none" w:sz="0" w:space="0" w:color="auto"/>
            <w:left w:val="none" w:sz="0" w:space="0" w:color="auto"/>
            <w:bottom w:val="none" w:sz="0" w:space="0" w:color="auto"/>
            <w:right w:val="none" w:sz="0" w:space="0" w:color="auto"/>
          </w:divBdr>
        </w:div>
        <w:div w:id="1783259000">
          <w:marLeft w:val="0"/>
          <w:marRight w:val="0"/>
          <w:marTop w:val="0"/>
          <w:marBottom w:val="0"/>
          <w:divBdr>
            <w:top w:val="none" w:sz="0" w:space="0" w:color="auto"/>
            <w:left w:val="none" w:sz="0" w:space="0" w:color="auto"/>
            <w:bottom w:val="none" w:sz="0" w:space="0" w:color="auto"/>
            <w:right w:val="none" w:sz="0" w:space="0" w:color="auto"/>
          </w:divBdr>
        </w:div>
        <w:div w:id="554925280">
          <w:marLeft w:val="0"/>
          <w:marRight w:val="0"/>
          <w:marTop w:val="0"/>
          <w:marBottom w:val="0"/>
          <w:divBdr>
            <w:top w:val="none" w:sz="0" w:space="0" w:color="auto"/>
            <w:left w:val="none" w:sz="0" w:space="0" w:color="auto"/>
            <w:bottom w:val="none" w:sz="0" w:space="0" w:color="auto"/>
            <w:right w:val="none" w:sz="0" w:space="0" w:color="auto"/>
          </w:divBdr>
        </w:div>
      </w:divsChild>
    </w:div>
    <w:div w:id="1040285017">
      <w:bodyDiv w:val="1"/>
      <w:marLeft w:val="0"/>
      <w:marRight w:val="0"/>
      <w:marTop w:val="0"/>
      <w:marBottom w:val="0"/>
      <w:divBdr>
        <w:top w:val="none" w:sz="0" w:space="0" w:color="auto"/>
        <w:left w:val="none" w:sz="0" w:space="0" w:color="auto"/>
        <w:bottom w:val="none" w:sz="0" w:space="0" w:color="auto"/>
        <w:right w:val="none" w:sz="0" w:space="0" w:color="auto"/>
      </w:divBdr>
      <w:divsChild>
        <w:div w:id="648680015">
          <w:marLeft w:val="0"/>
          <w:marRight w:val="0"/>
          <w:marTop w:val="0"/>
          <w:marBottom w:val="0"/>
          <w:divBdr>
            <w:top w:val="none" w:sz="0" w:space="0" w:color="auto"/>
            <w:left w:val="none" w:sz="0" w:space="0" w:color="auto"/>
            <w:bottom w:val="none" w:sz="0" w:space="0" w:color="auto"/>
            <w:right w:val="none" w:sz="0" w:space="0" w:color="auto"/>
          </w:divBdr>
        </w:div>
        <w:div w:id="795297608">
          <w:marLeft w:val="0"/>
          <w:marRight w:val="0"/>
          <w:marTop w:val="0"/>
          <w:marBottom w:val="0"/>
          <w:divBdr>
            <w:top w:val="none" w:sz="0" w:space="0" w:color="auto"/>
            <w:left w:val="none" w:sz="0" w:space="0" w:color="auto"/>
            <w:bottom w:val="none" w:sz="0" w:space="0" w:color="auto"/>
            <w:right w:val="none" w:sz="0" w:space="0" w:color="auto"/>
          </w:divBdr>
        </w:div>
        <w:div w:id="1339388305">
          <w:marLeft w:val="0"/>
          <w:marRight w:val="0"/>
          <w:marTop w:val="0"/>
          <w:marBottom w:val="0"/>
          <w:divBdr>
            <w:top w:val="none" w:sz="0" w:space="0" w:color="auto"/>
            <w:left w:val="none" w:sz="0" w:space="0" w:color="auto"/>
            <w:bottom w:val="none" w:sz="0" w:space="0" w:color="auto"/>
            <w:right w:val="none" w:sz="0" w:space="0" w:color="auto"/>
          </w:divBdr>
        </w:div>
        <w:div w:id="1654410725">
          <w:marLeft w:val="0"/>
          <w:marRight w:val="0"/>
          <w:marTop w:val="0"/>
          <w:marBottom w:val="0"/>
          <w:divBdr>
            <w:top w:val="none" w:sz="0" w:space="0" w:color="auto"/>
            <w:left w:val="none" w:sz="0" w:space="0" w:color="auto"/>
            <w:bottom w:val="none" w:sz="0" w:space="0" w:color="auto"/>
            <w:right w:val="none" w:sz="0" w:space="0" w:color="auto"/>
          </w:divBdr>
        </w:div>
        <w:div w:id="1773012753">
          <w:marLeft w:val="0"/>
          <w:marRight w:val="0"/>
          <w:marTop w:val="0"/>
          <w:marBottom w:val="0"/>
          <w:divBdr>
            <w:top w:val="none" w:sz="0" w:space="0" w:color="auto"/>
            <w:left w:val="none" w:sz="0" w:space="0" w:color="auto"/>
            <w:bottom w:val="none" w:sz="0" w:space="0" w:color="auto"/>
            <w:right w:val="none" w:sz="0" w:space="0" w:color="auto"/>
          </w:divBdr>
        </w:div>
        <w:div w:id="2024892435">
          <w:marLeft w:val="0"/>
          <w:marRight w:val="0"/>
          <w:marTop w:val="0"/>
          <w:marBottom w:val="0"/>
          <w:divBdr>
            <w:top w:val="none" w:sz="0" w:space="0" w:color="auto"/>
            <w:left w:val="none" w:sz="0" w:space="0" w:color="auto"/>
            <w:bottom w:val="none" w:sz="0" w:space="0" w:color="auto"/>
            <w:right w:val="none" w:sz="0" w:space="0" w:color="auto"/>
          </w:divBdr>
        </w:div>
        <w:div w:id="2048678903">
          <w:marLeft w:val="0"/>
          <w:marRight w:val="0"/>
          <w:marTop w:val="0"/>
          <w:marBottom w:val="0"/>
          <w:divBdr>
            <w:top w:val="none" w:sz="0" w:space="0" w:color="auto"/>
            <w:left w:val="none" w:sz="0" w:space="0" w:color="auto"/>
            <w:bottom w:val="none" w:sz="0" w:space="0" w:color="auto"/>
            <w:right w:val="none" w:sz="0" w:space="0" w:color="auto"/>
          </w:divBdr>
        </w:div>
      </w:divsChild>
    </w:div>
    <w:div w:id="1057127345">
      <w:bodyDiv w:val="1"/>
      <w:marLeft w:val="0"/>
      <w:marRight w:val="0"/>
      <w:marTop w:val="0"/>
      <w:marBottom w:val="0"/>
      <w:divBdr>
        <w:top w:val="none" w:sz="0" w:space="0" w:color="auto"/>
        <w:left w:val="none" w:sz="0" w:space="0" w:color="auto"/>
        <w:bottom w:val="none" w:sz="0" w:space="0" w:color="auto"/>
        <w:right w:val="none" w:sz="0" w:space="0" w:color="auto"/>
      </w:divBdr>
      <w:divsChild>
        <w:div w:id="406851814">
          <w:marLeft w:val="0"/>
          <w:marRight w:val="0"/>
          <w:marTop w:val="0"/>
          <w:marBottom w:val="0"/>
          <w:divBdr>
            <w:top w:val="none" w:sz="0" w:space="0" w:color="auto"/>
            <w:left w:val="none" w:sz="0" w:space="0" w:color="auto"/>
            <w:bottom w:val="none" w:sz="0" w:space="0" w:color="auto"/>
            <w:right w:val="none" w:sz="0" w:space="0" w:color="auto"/>
          </w:divBdr>
        </w:div>
        <w:div w:id="1338078389">
          <w:marLeft w:val="0"/>
          <w:marRight w:val="0"/>
          <w:marTop w:val="0"/>
          <w:marBottom w:val="0"/>
          <w:divBdr>
            <w:top w:val="none" w:sz="0" w:space="0" w:color="auto"/>
            <w:left w:val="none" w:sz="0" w:space="0" w:color="auto"/>
            <w:bottom w:val="none" w:sz="0" w:space="0" w:color="auto"/>
            <w:right w:val="none" w:sz="0" w:space="0" w:color="auto"/>
          </w:divBdr>
        </w:div>
        <w:div w:id="1836535737">
          <w:marLeft w:val="0"/>
          <w:marRight w:val="0"/>
          <w:marTop w:val="0"/>
          <w:marBottom w:val="0"/>
          <w:divBdr>
            <w:top w:val="none" w:sz="0" w:space="0" w:color="auto"/>
            <w:left w:val="none" w:sz="0" w:space="0" w:color="auto"/>
            <w:bottom w:val="none" w:sz="0" w:space="0" w:color="auto"/>
            <w:right w:val="none" w:sz="0" w:space="0" w:color="auto"/>
          </w:divBdr>
        </w:div>
        <w:div w:id="304236289">
          <w:marLeft w:val="0"/>
          <w:marRight w:val="0"/>
          <w:marTop w:val="0"/>
          <w:marBottom w:val="0"/>
          <w:divBdr>
            <w:top w:val="none" w:sz="0" w:space="0" w:color="auto"/>
            <w:left w:val="none" w:sz="0" w:space="0" w:color="auto"/>
            <w:bottom w:val="none" w:sz="0" w:space="0" w:color="auto"/>
            <w:right w:val="none" w:sz="0" w:space="0" w:color="auto"/>
          </w:divBdr>
        </w:div>
        <w:div w:id="536427615">
          <w:marLeft w:val="0"/>
          <w:marRight w:val="0"/>
          <w:marTop w:val="0"/>
          <w:marBottom w:val="0"/>
          <w:divBdr>
            <w:top w:val="none" w:sz="0" w:space="0" w:color="auto"/>
            <w:left w:val="none" w:sz="0" w:space="0" w:color="auto"/>
            <w:bottom w:val="none" w:sz="0" w:space="0" w:color="auto"/>
            <w:right w:val="none" w:sz="0" w:space="0" w:color="auto"/>
          </w:divBdr>
        </w:div>
        <w:div w:id="712847411">
          <w:marLeft w:val="0"/>
          <w:marRight w:val="0"/>
          <w:marTop w:val="0"/>
          <w:marBottom w:val="0"/>
          <w:divBdr>
            <w:top w:val="none" w:sz="0" w:space="0" w:color="auto"/>
            <w:left w:val="none" w:sz="0" w:space="0" w:color="auto"/>
            <w:bottom w:val="none" w:sz="0" w:space="0" w:color="auto"/>
            <w:right w:val="none" w:sz="0" w:space="0" w:color="auto"/>
          </w:divBdr>
        </w:div>
        <w:div w:id="1026753896">
          <w:marLeft w:val="0"/>
          <w:marRight w:val="0"/>
          <w:marTop w:val="0"/>
          <w:marBottom w:val="0"/>
          <w:divBdr>
            <w:top w:val="none" w:sz="0" w:space="0" w:color="auto"/>
            <w:left w:val="none" w:sz="0" w:space="0" w:color="auto"/>
            <w:bottom w:val="none" w:sz="0" w:space="0" w:color="auto"/>
            <w:right w:val="none" w:sz="0" w:space="0" w:color="auto"/>
          </w:divBdr>
        </w:div>
        <w:div w:id="1869441248">
          <w:marLeft w:val="0"/>
          <w:marRight w:val="0"/>
          <w:marTop w:val="0"/>
          <w:marBottom w:val="0"/>
          <w:divBdr>
            <w:top w:val="none" w:sz="0" w:space="0" w:color="auto"/>
            <w:left w:val="none" w:sz="0" w:space="0" w:color="auto"/>
            <w:bottom w:val="none" w:sz="0" w:space="0" w:color="auto"/>
            <w:right w:val="none" w:sz="0" w:space="0" w:color="auto"/>
          </w:divBdr>
        </w:div>
        <w:div w:id="16854831">
          <w:marLeft w:val="0"/>
          <w:marRight w:val="0"/>
          <w:marTop w:val="0"/>
          <w:marBottom w:val="0"/>
          <w:divBdr>
            <w:top w:val="none" w:sz="0" w:space="0" w:color="auto"/>
            <w:left w:val="none" w:sz="0" w:space="0" w:color="auto"/>
            <w:bottom w:val="none" w:sz="0" w:space="0" w:color="auto"/>
            <w:right w:val="none" w:sz="0" w:space="0" w:color="auto"/>
          </w:divBdr>
        </w:div>
      </w:divsChild>
    </w:div>
    <w:div w:id="1059210734">
      <w:bodyDiv w:val="1"/>
      <w:marLeft w:val="0"/>
      <w:marRight w:val="0"/>
      <w:marTop w:val="0"/>
      <w:marBottom w:val="0"/>
      <w:divBdr>
        <w:top w:val="none" w:sz="0" w:space="0" w:color="auto"/>
        <w:left w:val="none" w:sz="0" w:space="0" w:color="auto"/>
        <w:bottom w:val="none" w:sz="0" w:space="0" w:color="auto"/>
        <w:right w:val="none" w:sz="0" w:space="0" w:color="auto"/>
      </w:divBdr>
      <w:divsChild>
        <w:div w:id="111483963">
          <w:marLeft w:val="0"/>
          <w:marRight w:val="0"/>
          <w:marTop w:val="0"/>
          <w:marBottom w:val="0"/>
          <w:divBdr>
            <w:top w:val="none" w:sz="0" w:space="0" w:color="auto"/>
            <w:left w:val="none" w:sz="0" w:space="0" w:color="auto"/>
            <w:bottom w:val="none" w:sz="0" w:space="0" w:color="auto"/>
            <w:right w:val="none" w:sz="0" w:space="0" w:color="auto"/>
          </w:divBdr>
        </w:div>
        <w:div w:id="217130917">
          <w:marLeft w:val="0"/>
          <w:marRight w:val="0"/>
          <w:marTop w:val="0"/>
          <w:marBottom w:val="0"/>
          <w:divBdr>
            <w:top w:val="none" w:sz="0" w:space="0" w:color="auto"/>
            <w:left w:val="none" w:sz="0" w:space="0" w:color="auto"/>
            <w:bottom w:val="none" w:sz="0" w:space="0" w:color="auto"/>
            <w:right w:val="none" w:sz="0" w:space="0" w:color="auto"/>
          </w:divBdr>
        </w:div>
        <w:div w:id="221716350">
          <w:marLeft w:val="0"/>
          <w:marRight w:val="0"/>
          <w:marTop w:val="0"/>
          <w:marBottom w:val="0"/>
          <w:divBdr>
            <w:top w:val="none" w:sz="0" w:space="0" w:color="auto"/>
            <w:left w:val="none" w:sz="0" w:space="0" w:color="auto"/>
            <w:bottom w:val="none" w:sz="0" w:space="0" w:color="auto"/>
            <w:right w:val="none" w:sz="0" w:space="0" w:color="auto"/>
          </w:divBdr>
        </w:div>
        <w:div w:id="225772210">
          <w:marLeft w:val="0"/>
          <w:marRight w:val="0"/>
          <w:marTop w:val="0"/>
          <w:marBottom w:val="0"/>
          <w:divBdr>
            <w:top w:val="none" w:sz="0" w:space="0" w:color="auto"/>
            <w:left w:val="none" w:sz="0" w:space="0" w:color="auto"/>
            <w:bottom w:val="none" w:sz="0" w:space="0" w:color="auto"/>
            <w:right w:val="none" w:sz="0" w:space="0" w:color="auto"/>
          </w:divBdr>
        </w:div>
        <w:div w:id="246574002">
          <w:marLeft w:val="0"/>
          <w:marRight w:val="0"/>
          <w:marTop w:val="0"/>
          <w:marBottom w:val="0"/>
          <w:divBdr>
            <w:top w:val="none" w:sz="0" w:space="0" w:color="auto"/>
            <w:left w:val="none" w:sz="0" w:space="0" w:color="auto"/>
            <w:bottom w:val="none" w:sz="0" w:space="0" w:color="auto"/>
            <w:right w:val="none" w:sz="0" w:space="0" w:color="auto"/>
          </w:divBdr>
        </w:div>
        <w:div w:id="272133105">
          <w:marLeft w:val="0"/>
          <w:marRight w:val="0"/>
          <w:marTop w:val="0"/>
          <w:marBottom w:val="0"/>
          <w:divBdr>
            <w:top w:val="none" w:sz="0" w:space="0" w:color="auto"/>
            <w:left w:val="none" w:sz="0" w:space="0" w:color="auto"/>
            <w:bottom w:val="none" w:sz="0" w:space="0" w:color="auto"/>
            <w:right w:val="none" w:sz="0" w:space="0" w:color="auto"/>
          </w:divBdr>
        </w:div>
        <w:div w:id="325321879">
          <w:marLeft w:val="0"/>
          <w:marRight w:val="0"/>
          <w:marTop w:val="0"/>
          <w:marBottom w:val="0"/>
          <w:divBdr>
            <w:top w:val="none" w:sz="0" w:space="0" w:color="auto"/>
            <w:left w:val="none" w:sz="0" w:space="0" w:color="auto"/>
            <w:bottom w:val="none" w:sz="0" w:space="0" w:color="auto"/>
            <w:right w:val="none" w:sz="0" w:space="0" w:color="auto"/>
          </w:divBdr>
        </w:div>
        <w:div w:id="326521665">
          <w:marLeft w:val="0"/>
          <w:marRight w:val="0"/>
          <w:marTop w:val="0"/>
          <w:marBottom w:val="0"/>
          <w:divBdr>
            <w:top w:val="none" w:sz="0" w:space="0" w:color="auto"/>
            <w:left w:val="none" w:sz="0" w:space="0" w:color="auto"/>
            <w:bottom w:val="none" w:sz="0" w:space="0" w:color="auto"/>
            <w:right w:val="none" w:sz="0" w:space="0" w:color="auto"/>
          </w:divBdr>
        </w:div>
        <w:div w:id="425465934">
          <w:marLeft w:val="0"/>
          <w:marRight w:val="0"/>
          <w:marTop w:val="0"/>
          <w:marBottom w:val="0"/>
          <w:divBdr>
            <w:top w:val="none" w:sz="0" w:space="0" w:color="auto"/>
            <w:left w:val="none" w:sz="0" w:space="0" w:color="auto"/>
            <w:bottom w:val="none" w:sz="0" w:space="0" w:color="auto"/>
            <w:right w:val="none" w:sz="0" w:space="0" w:color="auto"/>
          </w:divBdr>
        </w:div>
        <w:div w:id="434792888">
          <w:marLeft w:val="0"/>
          <w:marRight w:val="0"/>
          <w:marTop w:val="0"/>
          <w:marBottom w:val="0"/>
          <w:divBdr>
            <w:top w:val="none" w:sz="0" w:space="0" w:color="auto"/>
            <w:left w:val="none" w:sz="0" w:space="0" w:color="auto"/>
            <w:bottom w:val="none" w:sz="0" w:space="0" w:color="auto"/>
            <w:right w:val="none" w:sz="0" w:space="0" w:color="auto"/>
          </w:divBdr>
        </w:div>
        <w:div w:id="472605842">
          <w:marLeft w:val="0"/>
          <w:marRight w:val="0"/>
          <w:marTop w:val="0"/>
          <w:marBottom w:val="0"/>
          <w:divBdr>
            <w:top w:val="none" w:sz="0" w:space="0" w:color="auto"/>
            <w:left w:val="none" w:sz="0" w:space="0" w:color="auto"/>
            <w:bottom w:val="none" w:sz="0" w:space="0" w:color="auto"/>
            <w:right w:val="none" w:sz="0" w:space="0" w:color="auto"/>
          </w:divBdr>
        </w:div>
        <w:div w:id="510727644">
          <w:marLeft w:val="0"/>
          <w:marRight w:val="0"/>
          <w:marTop w:val="0"/>
          <w:marBottom w:val="0"/>
          <w:divBdr>
            <w:top w:val="none" w:sz="0" w:space="0" w:color="auto"/>
            <w:left w:val="none" w:sz="0" w:space="0" w:color="auto"/>
            <w:bottom w:val="none" w:sz="0" w:space="0" w:color="auto"/>
            <w:right w:val="none" w:sz="0" w:space="0" w:color="auto"/>
          </w:divBdr>
        </w:div>
        <w:div w:id="585189046">
          <w:marLeft w:val="0"/>
          <w:marRight w:val="0"/>
          <w:marTop w:val="0"/>
          <w:marBottom w:val="0"/>
          <w:divBdr>
            <w:top w:val="none" w:sz="0" w:space="0" w:color="auto"/>
            <w:left w:val="none" w:sz="0" w:space="0" w:color="auto"/>
            <w:bottom w:val="none" w:sz="0" w:space="0" w:color="auto"/>
            <w:right w:val="none" w:sz="0" w:space="0" w:color="auto"/>
          </w:divBdr>
        </w:div>
        <w:div w:id="600920884">
          <w:marLeft w:val="0"/>
          <w:marRight w:val="0"/>
          <w:marTop w:val="0"/>
          <w:marBottom w:val="0"/>
          <w:divBdr>
            <w:top w:val="none" w:sz="0" w:space="0" w:color="auto"/>
            <w:left w:val="none" w:sz="0" w:space="0" w:color="auto"/>
            <w:bottom w:val="none" w:sz="0" w:space="0" w:color="auto"/>
            <w:right w:val="none" w:sz="0" w:space="0" w:color="auto"/>
          </w:divBdr>
        </w:div>
        <w:div w:id="641928230">
          <w:marLeft w:val="0"/>
          <w:marRight w:val="0"/>
          <w:marTop w:val="0"/>
          <w:marBottom w:val="0"/>
          <w:divBdr>
            <w:top w:val="none" w:sz="0" w:space="0" w:color="auto"/>
            <w:left w:val="none" w:sz="0" w:space="0" w:color="auto"/>
            <w:bottom w:val="none" w:sz="0" w:space="0" w:color="auto"/>
            <w:right w:val="none" w:sz="0" w:space="0" w:color="auto"/>
          </w:divBdr>
        </w:div>
        <w:div w:id="704604264">
          <w:marLeft w:val="0"/>
          <w:marRight w:val="0"/>
          <w:marTop w:val="0"/>
          <w:marBottom w:val="0"/>
          <w:divBdr>
            <w:top w:val="none" w:sz="0" w:space="0" w:color="auto"/>
            <w:left w:val="none" w:sz="0" w:space="0" w:color="auto"/>
            <w:bottom w:val="none" w:sz="0" w:space="0" w:color="auto"/>
            <w:right w:val="none" w:sz="0" w:space="0" w:color="auto"/>
          </w:divBdr>
        </w:div>
        <w:div w:id="712778182">
          <w:marLeft w:val="0"/>
          <w:marRight w:val="0"/>
          <w:marTop w:val="0"/>
          <w:marBottom w:val="0"/>
          <w:divBdr>
            <w:top w:val="none" w:sz="0" w:space="0" w:color="auto"/>
            <w:left w:val="none" w:sz="0" w:space="0" w:color="auto"/>
            <w:bottom w:val="none" w:sz="0" w:space="0" w:color="auto"/>
            <w:right w:val="none" w:sz="0" w:space="0" w:color="auto"/>
          </w:divBdr>
        </w:div>
        <w:div w:id="714501609">
          <w:marLeft w:val="0"/>
          <w:marRight w:val="0"/>
          <w:marTop w:val="0"/>
          <w:marBottom w:val="0"/>
          <w:divBdr>
            <w:top w:val="none" w:sz="0" w:space="0" w:color="auto"/>
            <w:left w:val="none" w:sz="0" w:space="0" w:color="auto"/>
            <w:bottom w:val="none" w:sz="0" w:space="0" w:color="auto"/>
            <w:right w:val="none" w:sz="0" w:space="0" w:color="auto"/>
          </w:divBdr>
        </w:div>
        <w:div w:id="740248325">
          <w:marLeft w:val="0"/>
          <w:marRight w:val="0"/>
          <w:marTop w:val="0"/>
          <w:marBottom w:val="0"/>
          <w:divBdr>
            <w:top w:val="none" w:sz="0" w:space="0" w:color="auto"/>
            <w:left w:val="none" w:sz="0" w:space="0" w:color="auto"/>
            <w:bottom w:val="none" w:sz="0" w:space="0" w:color="auto"/>
            <w:right w:val="none" w:sz="0" w:space="0" w:color="auto"/>
          </w:divBdr>
        </w:div>
        <w:div w:id="752825311">
          <w:marLeft w:val="0"/>
          <w:marRight w:val="0"/>
          <w:marTop w:val="0"/>
          <w:marBottom w:val="0"/>
          <w:divBdr>
            <w:top w:val="none" w:sz="0" w:space="0" w:color="auto"/>
            <w:left w:val="none" w:sz="0" w:space="0" w:color="auto"/>
            <w:bottom w:val="none" w:sz="0" w:space="0" w:color="auto"/>
            <w:right w:val="none" w:sz="0" w:space="0" w:color="auto"/>
          </w:divBdr>
        </w:div>
        <w:div w:id="792216388">
          <w:marLeft w:val="0"/>
          <w:marRight w:val="0"/>
          <w:marTop w:val="0"/>
          <w:marBottom w:val="0"/>
          <w:divBdr>
            <w:top w:val="none" w:sz="0" w:space="0" w:color="auto"/>
            <w:left w:val="none" w:sz="0" w:space="0" w:color="auto"/>
            <w:bottom w:val="none" w:sz="0" w:space="0" w:color="auto"/>
            <w:right w:val="none" w:sz="0" w:space="0" w:color="auto"/>
          </w:divBdr>
        </w:div>
        <w:div w:id="883055906">
          <w:marLeft w:val="0"/>
          <w:marRight w:val="0"/>
          <w:marTop w:val="0"/>
          <w:marBottom w:val="0"/>
          <w:divBdr>
            <w:top w:val="none" w:sz="0" w:space="0" w:color="auto"/>
            <w:left w:val="none" w:sz="0" w:space="0" w:color="auto"/>
            <w:bottom w:val="none" w:sz="0" w:space="0" w:color="auto"/>
            <w:right w:val="none" w:sz="0" w:space="0" w:color="auto"/>
          </w:divBdr>
        </w:div>
        <w:div w:id="963390280">
          <w:marLeft w:val="0"/>
          <w:marRight w:val="0"/>
          <w:marTop w:val="0"/>
          <w:marBottom w:val="0"/>
          <w:divBdr>
            <w:top w:val="none" w:sz="0" w:space="0" w:color="auto"/>
            <w:left w:val="none" w:sz="0" w:space="0" w:color="auto"/>
            <w:bottom w:val="none" w:sz="0" w:space="0" w:color="auto"/>
            <w:right w:val="none" w:sz="0" w:space="0" w:color="auto"/>
          </w:divBdr>
        </w:div>
        <w:div w:id="988750819">
          <w:marLeft w:val="0"/>
          <w:marRight w:val="0"/>
          <w:marTop w:val="0"/>
          <w:marBottom w:val="0"/>
          <w:divBdr>
            <w:top w:val="none" w:sz="0" w:space="0" w:color="auto"/>
            <w:left w:val="none" w:sz="0" w:space="0" w:color="auto"/>
            <w:bottom w:val="none" w:sz="0" w:space="0" w:color="auto"/>
            <w:right w:val="none" w:sz="0" w:space="0" w:color="auto"/>
          </w:divBdr>
        </w:div>
        <w:div w:id="1057975742">
          <w:marLeft w:val="0"/>
          <w:marRight w:val="0"/>
          <w:marTop w:val="0"/>
          <w:marBottom w:val="0"/>
          <w:divBdr>
            <w:top w:val="none" w:sz="0" w:space="0" w:color="auto"/>
            <w:left w:val="none" w:sz="0" w:space="0" w:color="auto"/>
            <w:bottom w:val="none" w:sz="0" w:space="0" w:color="auto"/>
            <w:right w:val="none" w:sz="0" w:space="0" w:color="auto"/>
          </w:divBdr>
        </w:div>
        <w:div w:id="1066490922">
          <w:marLeft w:val="0"/>
          <w:marRight w:val="0"/>
          <w:marTop w:val="0"/>
          <w:marBottom w:val="0"/>
          <w:divBdr>
            <w:top w:val="none" w:sz="0" w:space="0" w:color="auto"/>
            <w:left w:val="none" w:sz="0" w:space="0" w:color="auto"/>
            <w:bottom w:val="none" w:sz="0" w:space="0" w:color="auto"/>
            <w:right w:val="none" w:sz="0" w:space="0" w:color="auto"/>
          </w:divBdr>
        </w:div>
        <w:div w:id="1115059465">
          <w:marLeft w:val="0"/>
          <w:marRight w:val="0"/>
          <w:marTop w:val="0"/>
          <w:marBottom w:val="0"/>
          <w:divBdr>
            <w:top w:val="none" w:sz="0" w:space="0" w:color="auto"/>
            <w:left w:val="none" w:sz="0" w:space="0" w:color="auto"/>
            <w:bottom w:val="none" w:sz="0" w:space="0" w:color="auto"/>
            <w:right w:val="none" w:sz="0" w:space="0" w:color="auto"/>
          </w:divBdr>
        </w:div>
        <w:div w:id="1236209646">
          <w:marLeft w:val="0"/>
          <w:marRight w:val="0"/>
          <w:marTop w:val="0"/>
          <w:marBottom w:val="0"/>
          <w:divBdr>
            <w:top w:val="none" w:sz="0" w:space="0" w:color="auto"/>
            <w:left w:val="none" w:sz="0" w:space="0" w:color="auto"/>
            <w:bottom w:val="none" w:sz="0" w:space="0" w:color="auto"/>
            <w:right w:val="none" w:sz="0" w:space="0" w:color="auto"/>
          </w:divBdr>
        </w:div>
        <w:div w:id="1387877101">
          <w:marLeft w:val="0"/>
          <w:marRight w:val="0"/>
          <w:marTop w:val="0"/>
          <w:marBottom w:val="0"/>
          <w:divBdr>
            <w:top w:val="none" w:sz="0" w:space="0" w:color="auto"/>
            <w:left w:val="none" w:sz="0" w:space="0" w:color="auto"/>
            <w:bottom w:val="none" w:sz="0" w:space="0" w:color="auto"/>
            <w:right w:val="none" w:sz="0" w:space="0" w:color="auto"/>
          </w:divBdr>
        </w:div>
        <w:div w:id="1467357634">
          <w:marLeft w:val="0"/>
          <w:marRight w:val="0"/>
          <w:marTop w:val="0"/>
          <w:marBottom w:val="0"/>
          <w:divBdr>
            <w:top w:val="none" w:sz="0" w:space="0" w:color="auto"/>
            <w:left w:val="none" w:sz="0" w:space="0" w:color="auto"/>
            <w:bottom w:val="none" w:sz="0" w:space="0" w:color="auto"/>
            <w:right w:val="none" w:sz="0" w:space="0" w:color="auto"/>
          </w:divBdr>
        </w:div>
        <w:div w:id="1548102905">
          <w:marLeft w:val="0"/>
          <w:marRight w:val="0"/>
          <w:marTop w:val="0"/>
          <w:marBottom w:val="0"/>
          <w:divBdr>
            <w:top w:val="none" w:sz="0" w:space="0" w:color="auto"/>
            <w:left w:val="none" w:sz="0" w:space="0" w:color="auto"/>
            <w:bottom w:val="none" w:sz="0" w:space="0" w:color="auto"/>
            <w:right w:val="none" w:sz="0" w:space="0" w:color="auto"/>
          </w:divBdr>
        </w:div>
        <w:div w:id="1626546820">
          <w:marLeft w:val="0"/>
          <w:marRight w:val="0"/>
          <w:marTop w:val="0"/>
          <w:marBottom w:val="0"/>
          <w:divBdr>
            <w:top w:val="none" w:sz="0" w:space="0" w:color="auto"/>
            <w:left w:val="none" w:sz="0" w:space="0" w:color="auto"/>
            <w:bottom w:val="none" w:sz="0" w:space="0" w:color="auto"/>
            <w:right w:val="none" w:sz="0" w:space="0" w:color="auto"/>
          </w:divBdr>
        </w:div>
        <w:div w:id="1671179134">
          <w:marLeft w:val="0"/>
          <w:marRight w:val="0"/>
          <w:marTop w:val="0"/>
          <w:marBottom w:val="0"/>
          <w:divBdr>
            <w:top w:val="none" w:sz="0" w:space="0" w:color="auto"/>
            <w:left w:val="none" w:sz="0" w:space="0" w:color="auto"/>
            <w:bottom w:val="none" w:sz="0" w:space="0" w:color="auto"/>
            <w:right w:val="none" w:sz="0" w:space="0" w:color="auto"/>
          </w:divBdr>
        </w:div>
        <w:div w:id="1718696668">
          <w:marLeft w:val="0"/>
          <w:marRight w:val="0"/>
          <w:marTop w:val="0"/>
          <w:marBottom w:val="0"/>
          <w:divBdr>
            <w:top w:val="none" w:sz="0" w:space="0" w:color="auto"/>
            <w:left w:val="none" w:sz="0" w:space="0" w:color="auto"/>
            <w:bottom w:val="none" w:sz="0" w:space="0" w:color="auto"/>
            <w:right w:val="none" w:sz="0" w:space="0" w:color="auto"/>
          </w:divBdr>
        </w:div>
        <w:div w:id="1769543184">
          <w:marLeft w:val="0"/>
          <w:marRight w:val="0"/>
          <w:marTop w:val="0"/>
          <w:marBottom w:val="0"/>
          <w:divBdr>
            <w:top w:val="none" w:sz="0" w:space="0" w:color="auto"/>
            <w:left w:val="none" w:sz="0" w:space="0" w:color="auto"/>
            <w:bottom w:val="none" w:sz="0" w:space="0" w:color="auto"/>
            <w:right w:val="none" w:sz="0" w:space="0" w:color="auto"/>
          </w:divBdr>
        </w:div>
        <w:div w:id="1802528214">
          <w:marLeft w:val="0"/>
          <w:marRight w:val="0"/>
          <w:marTop w:val="0"/>
          <w:marBottom w:val="0"/>
          <w:divBdr>
            <w:top w:val="none" w:sz="0" w:space="0" w:color="auto"/>
            <w:left w:val="none" w:sz="0" w:space="0" w:color="auto"/>
            <w:bottom w:val="none" w:sz="0" w:space="0" w:color="auto"/>
            <w:right w:val="none" w:sz="0" w:space="0" w:color="auto"/>
          </w:divBdr>
        </w:div>
        <w:div w:id="1874463658">
          <w:marLeft w:val="0"/>
          <w:marRight w:val="0"/>
          <w:marTop w:val="0"/>
          <w:marBottom w:val="0"/>
          <w:divBdr>
            <w:top w:val="none" w:sz="0" w:space="0" w:color="auto"/>
            <w:left w:val="none" w:sz="0" w:space="0" w:color="auto"/>
            <w:bottom w:val="none" w:sz="0" w:space="0" w:color="auto"/>
            <w:right w:val="none" w:sz="0" w:space="0" w:color="auto"/>
          </w:divBdr>
        </w:div>
        <w:div w:id="1921675306">
          <w:marLeft w:val="0"/>
          <w:marRight w:val="0"/>
          <w:marTop w:val="0"/>
          <w:marBottom w:val="0"/>
          <w:divBdr>
            <w:top w:val="none" w:sz="0" w:space="0" w:color="auto"/>
            <w:left w:val="none" w:sz="0" w:space="0" w:color="auto"/>
            <w:bottom w:val="none" w:sz="0" w:space="0" w:color="auto"/>
            <w:right w:val="none" w:sz="0" w:space="0" w:color="auto"/>
          </w:divBdr>
        </w:div>
        <w:div w:id="2053916949">
          <w:marLeft w:val="0"/>
          <w:marRight w:val="0"/>
          <w:marTop w:val="0"/>
          <w:marBottom w:val="0"/>
          <w:divBdr>
            <w:top w:val="none" w:sz="0" w:space="0" w:color="auto"/>
            <w:left w:val="none" w:sz="0" w:space="0" w:color="auto"/>
            <w:bottom w:val="none" w:sz="0" w:space="0" w:color="auto"/>
            <w:right w:val="none" w:sz="0" w:space="0" w:color="auto"/>
          </w:divBdr>
        </w:div>
        <w:div w:id="2084600900">
          <w:marLeft w:val="0"/>
          <w:marRight w:val="0"/>
          <w:marTop w:val="0"/>
          <w:marBottom w:val="0"/>
          <w:divBdr>
            <w:top w:val="none" w:sz="0" w:space="0" w:color="auto"/>
            <w:left w:val="none" w:sz="0" w:space="0" w:color="auto"/>
            <w:bottom w:val="none" w:sz="0" w:space="0" w:color="auto"/>
            <w:right w:val="none" w:sz="0" w:space="0" w:color="auto"/>
          </w:divBdr>
        </w:div>
        <w:div w:id="2144227310">
          <w:marLeft w:val="0"/>
          <w:marRight w:val="0"/>
          <w:marTop w:val="0"/>
          <w:marBottom w:val="0"/>
          <w:divBdr>
            <w:top w:val="none" w:sz="0" w:space="0" w:color="auto"/>
            <w:left w:val="none" w:sz="0" w:space="0" w:color="auto"/>
            <w:bottom w:val="none" w:sz="0" w:space="0" w:color="auto"/>
            <w:right w:val="none" w:sz="0" w:space="0" w:color="auto"/>
          </w:divBdr>
        </w:div>
        <w:div w:id="2147160973">
          <w:marLeft w:val="0"/>
          <w:marRight w:val="0"/>
          <w:marTop w:val="0"/>
          <w:marBottom w:val="0"/>
          <w:divBdr>
            <w:top w:val="none" w:sz="0" w:space="0" w:color="auto"/>
            <w:left w:val="none" w:sz="0" w:space="0" w:color="auto"/>
            <w:bottom w:val="none" w:sz="0" w:space="0" w:color="auto"/>
            <w:right w:val="none" w:sz="0" w:space="0" w:color="auto"/>
          </w:divBdr>
        </w:div>
      </w:divsChild>
    </w:div>
    <w:div w:id="1065106779">
      <w:bodyDiv w:val="1"/>
      <w:marLeft w:val="0"/>
      <w:marRight w:val="0"/>
      <w:marTop w:val="0"/>
      <w:marBottom w:val="0"/>
      <w:divBdr>
        <w:top w:val="none" w:sz="0" w:space="0" w:color="auto"/>
        <w:left w:val="none" w:sz="0" w:space="0" w:color="auto"/>
        <w:bottom w:val="none" w:sz="0" w:space="0" w:color="auto"/>
        <w:right w:val="none" w:sz="0" w:space="0" w:color="auto"/>
      </w:divBdr>
      <w:divsChild>
        <w:div w:id="1822573881">
          <w:marLeft w:val="0"/>
          <w:marRight w:val="0"/>
          <w:marTop w:val="0"/>
          <w:marBottom w:val="0"/>
          <w:divBdr>
            <w:top w:val="none" w:sz="0" w:space="0" w:color="auto"/>
            <w:left w:val="none" w:sz="0" w:space="0" w:color="auto"/>
            <w:bottom w:val="none" w:sz="0" w:space="0" w:color="auto"/>
            <w:right w:val="none" w:sz="0" w:space="0" w:color="auto"/>
          </w:divBdr>
          <w:divsChild>
            <w:div w:id="537935168">
              <w:marLeft w:val="0"/>
              <w:marRight w:val="0"/>
              <w:marTop w:val="0"/>
              <w:marBottom w:val="0"/>
              <w:divBdr>
                <w:top w:val="none" w:sz="0" w:space="0" w:color="auto"/>
                <w:left w:val="none" w:sz="0" w:space="0" w:color="auto"/>
                <w:bottom w:val="none" w:sz="0" w:space="0" w:color="auto"/>
                <w:right w:val="none" w:sz="0" w:space="0" w:color="auto"/>
              </w:divBdr>
              <w:divsChild>
                <w:div w:id="1183671641">
                  <w:marLeft w:val="0"/>
                  <w:marRight w:val="0"/>
                  <w:marTop w:val="0"/>
                  <w:marBottom w:val="0"/>
                  <w:divBdr>
                    <w:top w:val="none" w:sz="0" w:space="0" w:color="auto"/>
                    <w:left w:val="none" w:sz="0" w:space="0" w:color="auto"/>
                    <w:bottom w:val="none" w:sz="0" w:space="0" w:color="auto"/>
                    <w:right w:val="none" w:sz="0" w:space="0" w:color="auto"/>
                  </w:divBdr>
                  <w:divsChild>
                    <w:div w:id="82617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672621">
      <w:bodyDiv w:val="1"/>
      <w:marLeft w:val="0"/>
      <w:marRight w:val="0"/>
      <w:marTop w:val="0"/>
      <w:marBottom w:val="0"/>
      <w:divBdr>
        <w:top w:val="none" w:sz="0" w:space="0" w:color="auto"/>
        <w:left w:val="none" w:sz="0" w:space="0" w:color="auto"/>
        <w:bottom w:val="none" w:sz="0" w:space="0" w:color="auto"/>
        <w:right w:val="none" w:sz="0" w:space="0" w:color="auto"/>
      </w:divBdr>
    </w:div>
    <w:div w:id="1103763421">
      <w:bodyDiv w:val="1"/>
      <w:marLeft w:val="0"/>
      <w:marRight w:val="0"/>
      <w:marTop w:val="0"/>
      <w:marBottom w:val="0"/>
      <w:divBdr>
        <w:top w:val="none" w:sz="0" w:space="0" w:color="auto"/>
        <w:left w:val="none" w:sz="0" w:space="0" w:color="auto"/>
        <w:bottom w:val="none" w:sz="0" w:space="0" w:color="auto"/>
        <w:right w:val="none" w:sz="0" w:space="0" w:color="auto"/>
      </w:divBdr>
    </w:div>
    <w:div w:id="1191333012">
      <w:bodyDiv w:val="1"/>
      <w:marLeft w:val="0"/>
      <w:marRight w:val="0"/>
      <w:marTop w:val="0"/>
      <w:marBottom w:val="0"/>
      <w:divBdr>
        <w:top w:val="none" w:sz="0" w:space="0" w:color="auto"/>
        <w:left w:val="none" w:sz="0" w:space="0" w:color="auto"/>
        <w:bottom w:val="none" w:sz="0" w:space="0" w:color="auto"/>
        <w:right w:val="none" w:sz="0" w:space="0" w:color="auto"/>
      </w:divBdr>
    </w:div>
    <w:div w:id="1191409926">
      <w:bodyDiv w:val="1"/>
      <w:marLeft w:val="0"/>
      <w:marRight w:val="0"/>
      <w:marTop w:val="0"/>
      <w:marBottom w:val="0"/>
      <w:divBdr>
        <w:top w:val="none" w:sz="0" w:space="0" w:color="auto"/>
        <w:left w:val="none" w:sz="0" w:space="0" w:color="auto"/>
        <w:bottom w:val="none" w:sz="0" w:space="0" w:color="auto"/>
        <w:right w:val="none" w:sz="0" w:space="0" w:color="auto"/>
      </w:divBdr>
      <w:divsChild>
        <w:div w:id="4136078">
          <w:marLeft w:val="0"/>
          <w:marRight w:val="0"/>
          <w:marTop w:val="0"/>
          <w:marBottom w:val="0"/>
          <w:divBdr>
            <w:top w:val="none" w:sz="0" w:space="0" w:color="auto"/>
            <w:left w:val="none" w:sz="0" w:space="0" w:color="auto"/>
            <w:bottom w:val="none" w:sz="0" w:space="0" w:color="auto"/>
            <w:right w:val="none" w:sz="0" w:space="0" w:color="auto"/>
          </w:divBdr>
        </w:div>
        <w:div w:id="241835399">
          <w:marLeft w:val="0"/>
          <w:marRight w:val="0"/>
          <w:marTop w:val="0"/>
          <w:marBottom w:val="0"/>
          <w:divBdr>
            <w:top w:val="none" w:sz="0" w:space="0" w:color="auto"/>
            <w:left w:val="none" w:sz="0" w:space="0" w:color="auto"/>
            <w:bottom w:val="none" w:sz="0" w:space="0" w:color="auto"/>
            <w:right w:val="none" w:sz="0" w:space="0" w:color="auto"/>
          </w:divBdr>
        </w:div>
        <w:div w:id="269358381">
          <w:marLeft w:val="0"/>
          <w:marRight w:val="0"/>
          <w:marTop w:val="0"/>
          <w:marBottom w:val="0"/>
          <w:divBdr>
            <w:top w:val="none" w:sz="0" w:space="0" w:color="auto"/>
            <w:left w:val="none" w:sz="0" w:space="0" w:color="auto"/>
            <w:bottom w:val="none" w:sz="0" w:space="0" w:color="auto"/>
            <w:right w:val="none" w:sz="0" w:space="0" w:color="auto"/>
          </w:divBdr>
        </w:div>
        <w:div w:id="277880010">
          <w:marLeft w:val="0"/>
          <w:marRight w:val="0"/>
          <w:marTop w:val="0"/>
          <w:marBottom w:val="0"/>
          <w:divBdr>
            <w:top w:val="none" w:sz="0" w:space="0" w:color="auto"/>
            <w:left w:val="none" w:sz="0" w:space="0" w:color="auto"/>
            <w:bottom w:val="none" w:sz="0" w:space="0" w:color="auto"/>
            <w:right w:val="none" w:sz="0" w:space="0" w:color="auto"/>
          </w:divBdr>
        </w:div>
        <w:div w:id="324092533">
          <w:marLeft w:val="0"/>
          <w:marRight w:val="0"/>
          <w:marTop w:val="0"/>
          <w:marBottom w:val="0"/>
          <w:divBdr>
            <w:top w:val="none" w:sz="0" w:space="0" w:color="auto"/>
            <w:left w:val="none" w:sz="0" w:space="0" w:color="auto"/>
            <w:bottom w:val="none" w:sz="0" w:space="0" w:color="auto"/>
            <w:right w:val="none" w:sz="0" w:space="0" w:color="auto"/>
          </w:divBdr>
        </w:div>
      </w:divsChild>
    </w:div>
    <w:div w:id="1194423817">
      <w:bodyDiv w:val="1"/>
      <w:marLeft w:val="0"/>
      <w:marRight w:val="0"/>
      <w:marTop w:val="0"/>
      <w:marBottom w:val="0"/>
      <w:divBdr>
        <w:top w:val="none" w:sz="0" w:space="0" w:color="auto"/>
        <w:left w:val="none" w:sz="0" w:space="0" w:color="auto"/>
        <w:bottom w:val="none" w:sz="0" w:space="0" w:color="auto"/>
        <w:right w:val="none" w:sz="0" w:space="0" w:color="auto"/>
      </w:divBdr>
    </w:div>
    <w:div w:id="1212495538">
      <w:bodyDiv w:val="1"/>
      <w:marLeft w:val="0"/>
      <w:marRight w:val="0"/>
      <w:marTop w:val="0"/>
      <w:marBottom w:val="0"/>
      <w:divBdr>
        <w:top w:val="none" w:sz="0" w:space="0" w:color="auto"/>
        <w:left w:val="none" w:sz="0" w:space="0" w:color="auto"/>
        <w:bottom w:val="none" w:sz="0" w:space="0" w:color="auto"/>
        <w:right w:val="none" w:sz="0" w:space="0" w:color="auto"/>
      </w:divBdr>
      <w:divsChild>
        <w:div w:id="1439713434">
          <w:marLeft w:val="0"/>
          <w:marRight w:val="0"/>
          <w:marTop w:val="0"/>
          <w:marBottom w:val="0"/>
          <w:divBdr>
            <w:top w:val="none" w:sz="0" w:space="0" w:color="auto"/>
            <w:left w:val="none" w:sz="0" w:space="0" w:color="auto"/>
            <w:bottom w:val="none" w:sz="0" w:space="0" w:color="auto"/>
            <w:right w:val="none" w:sz="0" w:space="0" w:color="auto"/>
          </w:divBdr>
          <w:divsChild>
            <w:div w:id="1205674098">
              <w:marLeft w:val="0"/>
              <w:marRight w:val="0"/>
              <w:marTop w:val="0"/>
              <w:marBottom w:val="0"/>
              <w:divBdr>
                <w:top w:val="none" w:sz="0" w:space="0" w:color="auto"/>
                <w:left w:val="none" w:sz="0" w:space="0" w:color="auto"/>
                <w:bottom w:val="none" w:sz="0" w:space="0" w:color="auto"/>
                <w:right w:val="none" w:sz="0" w:space="0" w:color="auto"/>
              </w:divBdr>
              <w:divsChild>
                <w:div w:id="22927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73304">
      <w:bodyDiv w:val="1"/>
      <w:marLeft w:val="0"/>
      <w:marRight w:val="0"/>
      <w:marTop w:val="0"/>
      <w:marBottom w:val="0"/>
      <w:divBdr>
        <w:top w:val="none" w:sz="0" w:space="0" w:color="auto"/>
        <w:left w:val="none" w:sz="0" w:space="0" w:color="auto"/>
        <w:bottom w:val="none" w:sz="0" w:space="0" w:color="auto"/>
        <w:right w:val="none" w:sz="0" w:space="0" w:color="auto"/>
      </w:divBdr>
      <w:divsChild>
        <w:div w:id="1643080710">
          <w:marLeft w:val="0"/>
          <w:marRight w:val="0"/>
          <w:marTop w:val="0"/>
          <w:marBottom w:val="0"/>
          <w:divBdr>
            <w:top w:val="none" w:sz="0" w:space="0" w:color="auto"/>
            <w:left w:val="none" w:sz="0" w:space="0" w:color="auto"/>
            <w:bottom w:val="none" w:sz="0" w:space="0" w:color="auto"/>
            <w:right w:val="none" w:sz="0" w:space="0" w:color="auto"/>
          </w:divBdr>
          <w:divsChild>
            <w:div w:id="2064525961">
              <w:marLeft w:val="0"/>
              <w:marRight w:val="0"/>
              <w:marTop w:val="0"/>
              <w:marBottom w:val="0"/>
              <w:divBdr>
                <w:top w:val="none" w:sz="0" w:space="0" w:color="auto"/>
                <w:left w:val="none" w:sz="0" w:space="0" w:color="auto"/>
                <w:bottom w:val="none" w:sz="0" w:space="0" w:color="auto"/>
                <w:right w:val="none" w:sz="0" w:space="0" w:color="auto"/>
              </w:divBdr>
              <w:divsChild>
                <w:div w:id="1752966286">
                  <w:marLeft w:val="0"/>
                  <w:marRight w:val="0"/>
                  <w:marTop w:val="0"/>
                  <w:marBottom w:val="0"/>
                  <w:divBdr>
                    <w:top w:val="none" w:sz="0" w:space="0" w:color="auto"/>
                    <w:left w:val="none" w:sz="0" w:space="0" w:color="auto"/>
                    <w:bottom w:val="none" w:sz="0" w:space="0" w:color="auto"/>
                    <w:right w:val="none" w:sz="0" w:space="0" w:color="auto"/>
                  </w:divBdr>
                  <w:divsChild>
                    <w:div w:id="87766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911754">
      <w:bodyDiv w:val="1"/>
      <w:marLeft w:val="0"/>
      <w:marRight w:val="0"/>
      <w:marTop w:val="0"/>
      <w:marBottom w:val="0"/>
      <w:divBdr>
        <w:top w:val="none" w:sz="0" w:space="0" w:color="auto"/>
        <w:left w:val="none" w:sz="0" w:space="0" w:color="auto"/>
        <w:bottom w:val="none" w:sz="0" w:space="0" w:color="auto"/>
        <w:right w:val="none" w:sz="0" w:space="0" w:color="auto"/>
      </w:divBdr>
    </w:div>
    <w:div w:id="1284767924">
      <w:bodyDiv w:val="1"/>
      <w:marLeft w:val="0"/>
      <w:marRight w:val="0"/>
      <w:marTop w:val="0"/>
      <w:marBottom w:val="0"/>
      <w:divBdr>
        <w:top w:val="none" w:sz="0" w:space="0" w:color="auto"/>
        <w:left w:val="none" w:sz="0" w:space="0" w:color="auto"/>
        <w:bottom w:val="none" w:sz="0" w:space="0" w:color="auto"/>
        <w:right w:val="none" w:sz="0" w:space="0" w:color="auto"/>
      </w:divBdr>
      <w:divsChild>
        <w:div w:id="207843480">
          <w:marLeft w:val="0"/>
          <w:marRight w:val="0"/>
          <w:marTop w:val="0"/>
          <w:marBottom w:val="0"/>
          <w:divBdr>
            <w:top w:val="none" w:sz="0" w:space="0" w:color="auto"/>
            <w:left w:val="none" w:sz="0" w:space="0" w:color="auto"/>
            <w:bottom w:val="none" w:sz="0" w:space="0" w:color="auto"/>
            <w:right w:val="none" w:sz="0" w:space="0" w:color="auto"/>
          </w:divBdr>
        </w:div>
        <w:div w:id="236938999">
          <w:marLeft w:val="0"/>
          <w:marRight w:val="0"/>
          <w:marTop w:val="0"/>
          <w:marBottom w:val="0"/>
          <w:divBdr>
            <w:top w:val="none" w:sz="0" w:space="0" w:color="auto"/>
            <w:left w:val="none" w:sz="0" w:space="0" w:color="auto"/>
            <w:bottom w:val="none" w:sz="0" w:space="0" w:color="auto"/>
            <w:right w:val="none" w:sz="0" w:space="0" w:color="auto"/>
          </w:divBdr>
        </w:div>
        <w:div w:id="1070619893">
          <w:marLeft w:val="0"/>
          <w:marRight w:val="0"/>
          <w:marTop w:val="0"/>
          <w:marBottom w:val="0"/>
          <w:divBdr>
            <w:top w:val="none" w:sz="0" w:space="0" w:color="auto"/>
            <w:left w:val="none" w:sz="0" w:space="0" w:color="auto"/>
            <w:bottom w:val="none" w:sz="0" w:space="0" w:color="auto"/>
            <w:right w:val="none" w:sz="0" w:space="0" w:color="auto"/>
          </w:divBdr>
        </w:div>
      </w:divsChild>
    </w:div>
    <w:div w:id="1338532633">
      <w:bodyDiv w:val="1"/>
      <w:marLeft w:val="0"/>
      <w:marRight w:val="0"/>
      <w:marTop w:val="0"/>
      <w:marBottom w:val="0"/>
      <w:divBdr>
        <w:top w:val="none" w:sz="0" w:space="0" w:color="auto"/>
        <w:left w:val="none" w:sz="0" w:space="0" w:color="auto"/>
        <w:bottom w:val="none" w:sz="0" w:space="0" w:color="auto"/>
        <w:right w:val="none" w:sz="0" w:space="0" w:color="auto"/>
      </w:divBdr>
      <w:divsChild>
        <w:div w:id="2102331661">
          <w:marLeft w:val="0"/>
          <w:marRight w:val="0"/>
          <w:marTop w:val="0"/>
          <w:marBottom w:val="0"/>
          <w:divBdr>
            <w:top w:val="none" w:sz="0" w:space="0" w:color="auto"/>
            <w:left w:val="none" w:sz="0" w:space="0" w:color="auto"/>
            <w:bottom w:val="none" w:sz="0" w:space="0" w:color="auto"/>
            <w:right w:val="none" w:sz="0" w:space="0" w:color="auto"/>
          </w:divBdr>
          <w:divsChild>
            <w:div w:id="1686176258">
              <w:marLeft w:val="0"/>
              <w:marRight w:val="0"/>
              <w:marTop w:val="0"/>
              <w:marBottom w:val="0"/>
              <w:divBdr>
                <w:top w:val="none" w:sz="0" w:space="0" w:color="auto"/>
                <w:left w:val="none" w:sz="0" w:space="0" w:color="auto"/>
                <w:bottom w:val="none" w:sz="0" w:space="0" w:color="auto"/>
                <w:right w:val="none" w:sz="0" w:space="0" w:color="auto"/>
              </w:divBdr>
              <w:divsChild>
                <w:div w:id="8112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690843">
      <w:bodyDiv w:val="1"/>
      <w:marLeft w:val="0"/>
      <w:marRight w:val="0"/>
      <w:marTop w:val="0"/>
      <w:marBottom w:val="0"/>
      <w:divBdr>
        <w:top w:val="none" w:sz="0" w:space="0" w:color="auto"/>
        <w:left w:val="none" w:sz="0" w:space="0" w:color="auto"/>
        <w:bottom w:val="none" w:sz="0" w:space="0" w:color="auto"/>
        <w:right w:val="none" w:sz="0" w:space="0" w:color="auto"/>
      </w:divBdr>
    </w:div>
    <w:div w:id="1384526099">
      <w:bodyDiv w:val="1"/>
      <w:marLeft w:val="0"/>
      <w:marRight w:val="0"/>
      <w:marTop w:val="0"/>
      <w:marBottom w:val="0"/>
      <w:divBdr>
        <w:top w:val="none" w:sz="0" w:space="0" w:color="auto"/>
        <w:left w:val="none" w:sz="0" w:space="0" w:color="auto"/>
        <w:bottom w:val="none" w:sz="0" w:space="0" w:color="auto"/>
        <w:right w:val="none" w:sz="0" w:space="0" w:color="auto"/>
      </w:divBdr>
      <w:divsChild>
        <w:div w:id="640888497">
          <w:marLeft w:val="0"/>
          <w:marRight w:val="0"/>
          <w:marTop w:val="0"/>
          <w:marBottom w:val="0"/>
          <w:divBdr>
            <w:top w:val="none" w:sz="0" w:space="0" w:color="auto"/>
            <w:left w:val="none" w:sz="0" w:space="0" w:color="auto"/>
            <w:bottom w:val="none" w:sz="0" w:space="0" w:color="auto"/>
            <w:right w:val="none" w:sz="0" w:space="0" w:color="auto"/>
          </w:divBdr>
        </w:div>
        <w:div w:id="1845247405">
          <w:marLeft w:val="0"/>
          <w:marRight w:val="0"/>
          <w:marTop w:val="0"/>
          <w:marBottom w:val="0"/>
          <w:divBdr>
            <w:top w:val="none" w:sz="0" w:space="0" w:color="auto"/>
            <w:left w:val="none" w:sz="0" w:space="0" w:color="auto"/>
            <w:bottom w:val="none" w:sz="0" w:space="0" w:color="auto"/>
            <w:right w:val="none" w:sz="0" w:space="0" w:color="auto"/>
          </w:divBdr>
        </w:div>
      </w:divsChild>
    </w:div>
    <w:div w:id="1404058513">
      <w:bodyDiv w:val="1"/>
      <w:marLeft w:val="0"/>
      <w:marRight w:val="0"/>
      <w:marTop w:val="0"/>
      <w:marBottom w:val="0"/>
      <w:divBdr>
        <w:top w:val="none" w:sz="0" w:space="0" w:color="auto"/>
        <w:left w:val="none" w:sz="0" w:space="0" w:color="auto"/>
        <w:bottom w:val="none" w:sz="0" w:space="0" w:color="auto"/>
        <w:right w:val="none" w:sz="0" w:space="0" w:color="auto"/>
      </w:divBdr>
    </w:div>
    <w:div w:id="1414083724">
      <w:bodyDiv w:val="1"/>
      <w:marLeft w:val="0"/>
      <w:marRight w:val="0"/>
      <w:marTop w:val="0"/>
      <w:marBottom w:val="0"/>
      <w:divBdr>
        <w:top w:val="none" w:sz="0" w:space="0" w:color="auto"/>
        <w:left w:val="none" w:sz="0" w:space="0" w:color="auto"/>
        <w:bottom w:val="none" w:sz="0" w:space="0" w:color="auto"/>
        <w:right w:val="none" w:sz="0" w:space="0" w:color="auto"/>
      </w:divBdr>
      <w:divsChild>
        <w:div w:id="1535537579">
          <w:marLeft w:val="0"/>
          <w:marRight w:val="0"/>
          <w:marTop w:val="0"/>
          <w:marBottom w:val="0"/>
          <w:divBdr>
            <w:top w:val="none" w:sz="0" w:space="0" w:color="auto"/>
            <w:left w:val="none" w:sz="0" w:space="0" w:color="auto"/>
            <w:bottom w:val="none" w:sz="0" w:space="0" w:color="auto"/>
            <w:right w:val="none" w:sz="0" w:space="0" w:color="auto"/>
          </w:divBdr>
          <w:divsChild>
            <w:div w:id="1632788976">
              <w:marLeft w:val="0"/>
              <w:marRight w:val="0"/>
              <w:marTop w:val="0"/>
              <w:marBottom w:val="0"/>
              <w:divBdr>
                <w:top w:val="none" w:sz="0" w:space="0" w:color="auto"/>
                <w:left w:val="none" w:sz="0" w:space="0" w:color="auto"/>
                <w:bottom w:val="none" w:sz="0" w:space="0" w:color="auto"/>
                <w:right w:val="none" w:sz="0" w:space="0" w:color="auto"/>
              </w:divBdr>
              <w:divsChild>
                <w:div w:id="20119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158557">
      <w:bodyDiv w:val="1"/>
      <w:marLeft w:val="0"/>
      <w:marRight w:val="0"/>
      <w:marTop w:val="0"/>
      <w:marBottom w:val="0"/>
      <w:divBdr>
        <w:top w:val="none" w:sz="0" w:space="0" w:color="auto"/>
        <w:left w:val="none" w:sz="0" w:space="0" w:color="auto"/>
        <w:bottom w:val="none" w:sz="0" w:space="0" w:color="auto"/>
        <w:right w:val="none" w:sz="0" w:space="0" w:color="auto"/>
      </w:divBdr>
    </w:div>
    <w:div w:id="1546140453">
      <w:bodyDiv w:val="1"/>
      <w:marLeft w:val="0"/>
      <w:marRight w:val="0"/>
      <w:marTop w:val="0"/>
      <w:marBottom w:val="0"/>
      <w:divBdr>
        <w:top w:val="none" w:sz="0" w:space="0" w:color="auto"/>
        <w:left w:val="none" w:sz="0" w:space="0" w:color="auto"/>
        <w:bottom w:val="none" w:sz="0" w:space="0" w:color="auto"/>
        <w:right w:val="none" w:sz="0" w:space="0" w:color="auto"/>
      </w:divBdr>
    </w:div>
    <w:div w:id="1555315664">
      <w:bodyDiv w:val="1"/>
      <w:marLeft w:val="0"/>
      <w:marRight w:val="0"/>
      <w:marTop w:val="0"/>
      <w:marBottom w:val="0"/>
      <w:divBdr>
        <w:top w:val="none" w:sz="0" w:space="0" w:color="auto"/>
        <w:left w:val="none" w:sz="0" w:space="0" w:color="auto"/>
        <w:bottom w:val="none" w:sz="0" w:space="0" w:color="auto"/>
        <w:right w:val="none" w:sz="0" w:space="0" w:color="auto"/>
      </w:divBdr>
    </w:div>
    <w:div w:id="1570186851">
      <w:bodyDiv w:val="1"/>
      <w:marLeft w:val="0"/>
      <w:marRight w:val="0"/>
      <w:marTop w:val="0"/>
      <w:marBottom w:val="0"/>
      <w:divBdr>
        <w:top w:val="none" w:sz="0" w:space="0" w:color="auto"/>
        <w:left w:val="none" w:sz="0" w:space="0" w:color="auto"/>
        <w:bottom w:val="none" w:sz="0" w:space="0" w:color="auto"/>
        <w:right w:val="none" w:sz="0" w:space="0" w:color="auto"/>
      </w:divBdr>
      <w:divsChild>
        <w:div w:id="9650723">
          <w:marLeft w:val="0"/>
          <w:marRight w:val="0"/>
          <w:marTop w:val="0"/>
          <w:marBottom w:val="0"/>
          <w:divBdr>
            <w:top w:val="none" w:sz="0" w:space="0" w:color="auto"/>
            <w:left w:val="none" w:sz="0" w:space="0" w:color="auto"/>
            <w:bottom w:val="none" w:sz="0" w:space="0" w:color="auto"/>
            <w:right w:val="none" w:sz="0" w:space="0" w:color="auto"/>
          </w:divBdr>
          <w:divsChild>
            <w:div w:id="918515826">
              <w:marLeft w:val="0"/>
              <w:marRight w:val="0"/>
              <w:marTop w:val="0"/>
              <w:marBottom w:val="0"/>
              <w:divBdr>
                <w:top w:val="none" w:sz="0" w:space="0" w:color="auto"/>
                <w:left w:val="none" w:sz="0" w:space="0" w:color="auto"/>
                <w:bottom w:val="none" w:sz="0" w:space="0" w:color="auto"/>
                <w:right w:val="none" w:sz="0" w:space="0" w:color="auto"/>
              </w:divBdr>
              <w:divsChild>
                <w:div w:id="16025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4386">
      <w:bodyDiv w:val="1"/>
      <w:marLeft w:val="0"/>
      <w:marRight w:val="0"/>
      <w:marTop w:val="0"/>
      <w:marBottom w:val="0"/>
      <w:divBdr>
        <w:top w:val="none" w:sz="0" w:space="0" w:color="auto"/>
        <w:left w:val="none" w:sz="0" w:space="0" w:color="auto"/>
        <w:bottom w:val="none" w:sz="0" w:space="0" w:color="auto"/>
        <w:right w:val="none" w:sz="0" w:space="0" w:color="auto"/>
      </w:divBdr>
    </w:div>
    <w:div w:id="1601068281">
      <w:bodyDiv w:val="1"/>
      <w:marLeft w:val="0"/>
      <w:marRight w:val="0"/>
      <w:marTop w:val="0"/>
      <w:marBottom w:val="0"/>
      <w:divBdr>
        <w:top w:val="none" w:sz="0" w:space="0" w:color="auto"/>
        <w:left w:val="none" w:sz="0" w:space="0" w:color="auto"/>
        <w:bottom w:val="none" w:sz="0" w:space="0" w:color="auto"/>
        <w:right w:val="none" w:sz="0" w:space="0" w:color="auto"/>
      </w:divBdr>
    </w:div>
    <w:div w:id="1667592830">
      <w:bodyDiv w:val="1"/>
      <w:marLeft w:val="0"/>
      <w:marRight w:val="0"/>
      <w:marTop w:val="0"/>
      <w:marBottom w:val="0"/>
      <w:divBdr>
        <w:top w:val="none" w:sz="0" w:space="0" w:color="auto"/>
        <w:left w:val="none" w:sz="0" w:space="0" w:color="auto"/>
        <w:bottom w:val="none" w:sz="0" w:space="0" w:color="auto"/>
        <w:right w:val="none" w:sz="0" w:space="0" w:color="auto"/>
      </w:divBdr>
    </w:div>
    <w:div w:id="1671060870">
      <w:bodyDiv w:val="1"/>
      <w:marLeft w:val="0"/>
      <w:marRight w:val="0"/>
      <w:marTop w:val="0"/>
      <w:marBottom w:val="0"/>
      <w:divBdr>
        <w:top w:val="none" w:sz="0" w:space="0" w:color="auto"/>
        <w:left w:val="none" w:sz="0" w:space="0" w:color="auto"/>
        <w:bottom w:val="none" w:sz="0" w:space="0" w:color="auto"/>
        <w:right w:val="none" w:sz="0" w:space="0" w:color="auto"/>
      </w:divBdr>
      <w:divsChild>
        <w:div w:id="1528907702">
          <w:marLeft w:val="0"/>
          <w:marRight w:val="0"/>
          <w:marTop w:val="0"/>
          <w:marBottom w:val="0"/>
          <w:divBdr>
            <w:top w:val="none" w:sz="0" w:space="0" w:color="auto"/>
            <w:left w:val="none" w:sz="0" w:space="0" w:color="auto"/>
            <w:bottom w:val="none" w:sz="0" w:space="0" w:color="auto"/>
            <w:right w:val="none" w:sz="0" w:space="0" w:color="auto"/>
          </w:divBdr>
        </w:div>
        <w:div w:id="1069428692">
          <w:marLeft w:val="0"/>
          <w:marRight w:val="0"/>
          <w:marTop w:val="0"/>
          <w:marBottom w:val="0"/>
          <w:divBdr>
            <w:top w:val="none" w:sz="0" w:space="0" w:color="auto"/>
            <w:left w:val="none" w:sz="0" w:space="0" w:color="auto"/>
            <w:bottom w:val="none" w:sz="0" w:space="0" w:color="auto"/>
            <w:right w:val="none" w:sz="0" w:space="0" w:color="auto"/>
          </w:divBdr>
        </w:div>
      </w:divsChild>
    </w:div>
    <w:div w:id="1742941715">
      <w:bodyDiv w:val="1"/>
      <w:marLeft w:val="0"/>
      <w:marRight w:val="0"/>
      <w:marTop w:val="0"/>
      <w:marBottom w:val="0"/>
      <w:divBdr>
        <w:top w:val="none" w:sz="0" w:space="0" w:color="auto"/>
        <w:left w:val="none" w:sz="0" w:space="0" w:color="auto"/>
        <w:bottom w:val="none" w:sz="0" w:space="0" w:color="auto"/>
        <w:right w:val="none" w:sz="0" w:space="0" w:color="auto"/>
      </w:divBdr>
    </w:div>
    <w:div w:id="1757282498">
      <w:bodyDiv w:val="1"/>
      <w:marLeft w:val="0"/>
      <w:marRight w:val="0"/>
      <w:marTop w:val="0"/>
      <w:marBottom w:val="0"/>
      <w:divBdr>
        <w:top w:val="none" w:sz="0" w:space="0" w:color="auto"/>
        <w:left w:val="none" w:sz="0" w:space="0" w:color="auto"/>
        <w:bottom w:val="none" w:sz="0" w:space="0" w:color="auto"/>
        <w:right w:val="none" w:sz="0" w:space="0" w:color="auto"/>
      </w:divBdr>
    </w:div>
    <w:div w:id="1781221672">
      <w:bodyDiv w:val="1"/>
      <w:marLeft w:val="0"/>
      <w:marRight w:val="0"/>
      <w:marTop w:val="0"/>
      <w:marBottom w:val="0"/>
      <w:divBdr>
        <w:top w:val="none" w:sz="0" w:space="0" w:color="auto"/>
        <w:left w:val="none" w:sz="0" w:space="0" w:color="auto"/>
        <w:bottom w:val="none" w:sz="0" w:space="0" w:color="auto"/>
        <w:right w:val="none" w:sz="0" w:space="0" w:color="auto"/>
      </w:divBdr>
    </w:div>
    <w:div w:id="1785804760">
      <w:bodyDiv w:val="1"/>
      <w:marLeft w:val="0"/>
      <w:marRight w:val="0"/>
      <w:marTop w:val="0"/>
      <w:marBottom w:val="0"/>
      <w:divBdr>
        <w:top w:val="none" w:sz="0" w:space="0" w:color="auto"/>
        <w:left w:val="none" w:sz="0" w:space="0" w:color="auto"/>
        <w:bottom w:val="none" w:sz="0" w:space="0" w:color="auto"/>
        <w:right w:val="none" w:sz="0" w:space="0" w:color="auto"/>
      </w:divBdr>
      <w:divsChild>
        <w:div w:id="1731465834">
          <w:marLeft w:val="0"/>
          <w:marRight w:val="0"/>
          <w:marTop w:val="0"/>
          <w:marBottom w:val="0"/>
          <w:divBdr>
            <w:top w:val="none" w:sz="0" w:space="0" w:color="auto"/>
            <w:left w:val="none" w:sz="0" w:space="0" w:color="auto"/>
            <w:bottom w:val="none" w:sz="0" w:space="0" w:color="auto"/>
            <w:right w:val="none" w:sz="0" w:space="0" w:color="auto"/>
          </w:divBdr>
          <w:divsChild>
            <w:div w:id="2122262940">
              <w:marLeft w:val="0"/>
              <w:marRight w:val="0"/>
              <w:marTop w:val="0"/>
              <w:marBottom w:val="0"/>
              <w:divBdr>
                <w:top w:val="none" w:sz="0" w:space="0" w:color="auto"/>
                <w:left w:val="none" w:sz="0" w:space="0" w:color="auto"/>
                <w:bottom w:val="none" w:sz="0" w:space="0" w:color="auto"/>
                <w:right w:val="none" w:sz="0" w:space="0" w:color="auto"/>
              </w:divBdr>
              <w:divsChild>
                <w:div w:id="143189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716750">
      <w:bodyDiv w:val="1"/>
      <w:marLeft w:val="0"/>
      <w:marRight w:val="0"/>
      <w:marTop w:val="0"/>
      <w:marBottom w:val="0"/>
      <w:divBdr>
        <w:top w:val="none" w:sz="0" w:space="0" w:color="auto"/>
        <w:left w:val="none" w:sz="0" w:space="0" w:color="auto"/>
        <w:bottom w:val="none" w:sz="0" w:space="0" w:color="auto"/>
        <w:right w:val="none" w:sz="0" w:space="0" w:color="auto"/>
      </w:divBdr>
      <w:divsChild>
        <w:div w:id="908464906">
          <w:marLeft w:val="0"/>
          <w:marRight w:val="0"/>
          <w:marTop w:val="0"/>
          <w:marBottom w:val="0"/>
          <w:divBdr>
            <w:top w:val="none" w:sz="0" w:space="0" w:color="auto"/>
            <w:left w:val="none" w:sz="0" w:space="0" w:color="auto"/>
            <w:bottom w:val="none" w:sz="0" w:space="0" w:color="auto"/>
            <w:right w:val="none" w:sz="0" w:space="0" w:color="auto"/>
          </w:divBdr>
          <w:divsChild>
            <w:div w:id="616135096">
              <w:marLeft w:val="0"/>
              <w:marRight w:val="0"/>
              <w:marTop w:val="0"/>
              <w:marBottom w:val="0"/>
              <w:divBdr>
                <w:top w:val="none" w:sz="0" w:space="0" w:color="auto"/>
                <w:left w:val="none" w:sz="0" w:space="0" w:color="auto"/>
                <w:bottom w:val="none" w:sz="0" w:space="0" w:color="auto"/>
                <w:right w:val="none" w:sz="0" w:space="0" w:color="auto"/>
              </w:divBdr>
              <w:divsChild>
                <w:div w:id="173411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605025">
      <w:bodyDiv w:val="1"/>
      <w:marLeft w:val="0"/>
      <w:marRight w:val="0"/>
      <w:marTop w:val="0"/>
      <w:marBottom w:val="0"/>
      <w:divBdr>
        <w:top w:val="none" w:sz="0" w:space="0" w:color="auto"/>
        <w:left w:val="none" w:sz="0" w:space="0" w:color="auto"/>
        <w:bottom w:val="none" w:sz="0" w:space="0" w:color="auto"/>
        <w:right w:val="none" w:sz="0" w:space="0" w:color="auto"/>
      </w:divBdr>
      <w:divsChild>
        <w:div w:id="1040083942">
          <w:marLeft w:val="0"/>
          <w:marRight w:val="0"/>
          <w:marTop w:val="0"/>
          <w:marBottom w:val="0"/>
          <w:divBdr>
            <w:top w:val="none" w:sz="0" w:space="0" w:color="auto"/>
            <w:left w:val="none" w:sz="0" w:space="0" w:color="auto"/>
            <w:bottom w:val="none" w:sz="0" w:space="0" w:color="auto"/>
            <w:right w:val="none" w:sz="0" w:space="0" w:color="auto"/>
          </w:divBdr>
          <w:divsChild>
            <w:div w:id="1599673827">
              <w:marLeft w:val="0"/>
              <w:marRight w:val="0"/>
              <w:marTop w:val="0"/>
              <w:marBottom w:val="0"/>
              <w:divBdr>
                <w:top w:val="none" w:sz="0" w:space="0" w:color="auto"/>
                <w:left w:val="none" w:sz="0" w:space="0" w:color="auto"/>
                <w:bottom w:val="none" w:sz="0" w:space="0" w:color="auto"/>
                <w:right w:val="none" w:sz="0" w:space="0" w:color="auto"/>
              </w:divBdr>
              <w:divsChild>
                <w:div w:id="219634321">
                  <w:marLeft w:val="0"/>
                  <w:marRight w:val="0"/>
                  <w:marTop w:val="0"/>
                  <w:marBottom w:val="0"/>
                  <w:divBdr>
                    <w:top w:val="none" w:sz="0" w:space="0" w:color="auto"/>
                    <w:left w:val="none" w:sz="0" w:space="0" w:color="auto"/>
                    <w:bottom w:val="none" w:sz="0" w:space="0" w:color="auto"/>
                    <w:right w:val="none" w:sz="0" w:space="0" w:color="auto"/>
                  </w:divBdr>
                  <w:divsChild>
                    <w:div w:id="1084372836">
                      <w:marLeft w:val="0"/>
                      <w:marRight w:val="0"/>
                      <w:marTop w:val="0"/>
                      <w:marBottom w:val="0"/>
                      <w:divBdr>
                        <w:top w:val="none" w:sz="0" w:space="0" w:color="auto"/>
                        <w:left w:val="none" w:sz="0" w:space="0" w:color="auto"/>
                        <w:bottom w:val="none" w:sz="0" w:space="0" w:color="auto"/>
                        <w:right w:val="none" w:sz="0" w:space="0" w:color="auto"/>
                      </w:divBdr>
                    </w:div>
                  </w:divsChild>
                </w:div>
                <w:div w:id="1660185475">
                  <w:marLeft w:val="0"/>
                  <w:marRight w:val="0"/>
                  <w:marTop w:val="0"/>
                  <w:marBottom w:val="0"/>
                  <w:divBdr>
                    <w:top w:val="none" w:sz="0" w:space="0" w:color="auto"/>
                    <w:left w:val="none" w:sz="0" w:space="0" w:color="auto"/>
                    <w:bottom w:val="none" w:sz="0" w:space="0" w:color="auto"/>
                    <w:right w:val="none" w:sz="0" w:space="0" w:color="auto"/>
                  </w:divBdr>
                  <w:divsChild>
                    <w:div w:id="260572056">
                      <w:marLeft w:val="0"/>
                      <w:marRight w:val="0"/>
                      <w:marTop w:val="0"/>
                      <w:marBottom w:val="0"/>
                      <w:divBdr>
                        <w:top w:val="none" w:sz="0" w:space="0" w:color="auto"/>
                        <w:left w:val="none" w:sz="0" w:space="0" w:color="auto"/>
                        <w:bottom w:val="none" w:sz="0" w:space="0" w:color="auto"/>
                        <w:right w:val="none" w:sz="0" w:space="0" w:color="auto"/>
                      </w:divBdr>
                    </w:div>
                  </w:divsChild>
                </w:div>
                <w:div w:id="545022125">
                  <w:marLeft w:val="0"/>
                  <w:marRight w:val="0"/>
                  <w:marTop w:val="0"/>
                  <w:marBottom w:val="0"/>
                  <w:divBdr>
                    <w:top w:val="none" w:sz="0" w:space="0" w:color="auto"/>
                    <w:left w:val="none" w:sz="0" w:space="0" w:color="auto"/>
                    <w:bottom w:val="none" w:sz="0" w:space="0" w:color="auto"/>
                    <w:right w:val="none" w:sz="0" w:space="0" w:color="auto"/>
                  </w:divBdr>
                  <w:divsChild>
                    <w:div w:id="7999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737173">
      <w:bodyDiv w:val="1"/>
      <w:marLeft w:val="0"/>
      <w:marRight w:val="0"/>
      <w:marTop w:val="0"/>
      <w:marBottom w:val="0"/>
      <w:divBdr>
        <w:top w:val="none" w:sz="0" w:space="0" w:color="auto"/>
        <w:left w:val="none" w:sz="0" w:space="0" w:color="auto"/>
        <w:bottom w:val="none" w:sz="0" w:space="0" w:color="auto"/>
        <w:right w:val="none" w:sz="0" w:space="0" w:color="auto"/>
      </w:divBdr>
    </w:div>
    <w:div w:id="1961838610">
      <w:bodyDiv w:val="1"/>
      <w:marLeft w:val="0"/>
      <w:marRight w:val="0"/>
      <w:marTop w:val="0"/>
      <w:marBottom w:val="0"/>
      <w:divBdr>
        <w:top w:val="none" w:sz="0" w:space="0" w:color="auto"/>
        <w:left w:val="none" w:sz="0" w:space="0" w:color="auto"/>
        <w:bottom w:val="none" w:sz="0" w:space="0" w:color="auto"/>
        <w:right w:val="none" w:sz="0" w:space="0" w:color="auto"/>
      </w:divBdr>
      <w:divsChild>
        <w:div w:id="280841562">
          <w:marLeft w:val="0"/>
          <w:marRight w:val="0"/>
          <w:marTop w:val="0"/>
          <w:marBottom w:val="0"/>
          <w:divBdr>
            <w:top w:val="none" w:sz="0" w:space="0" w:color="auto"/>
            <w:left w:val="none" w:sz="0" w:space="0" w:color="auto"/>
            <w:bottom w:val="none" w:sz="0" w:space="0" w:color="auto"/>
            <w:right w:val="none" w:sz="0" w:space="0" w:color="auto"/>
          </w:divBdr>
        </w:div>
        <w:div w:id="363215205">
          <w:marLeft w:val="0"/>
          <w:marRight w:val="0"/>
          <w:marTop w:val="0"/>
          <w:marBottom w:val="0"/>
          <w:divBdr>
            <w:top w:val="none" w:sz="0" w:space="0" w:color="auto"/>
            <w:left w:val="none" w:sz="0" w:space="0" w:color="auto"/>
            <w:bottom w:val="none" w:sz="0" w:space="0" w:color="auto"/>
            <w:right w:val="none" w:sz="0" w:space="0" w:color="auto"/>
          </w:divBdr>
        </w:div>
        <w:div w:id="857740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oxfam.org.au/wp-content/uploads/2017/05/More-Coal-Equals-More-Poverty.pdf" TargetMode="External"/><Relationship Id="rId3" Type="http://schemas.openxmlformats.org/officeDocument/2006/relationships/hyperlink" Target="https://www.smh.com.au/education/school-students-on-mass-strike-to-protest-climate-change-inaction-20181129-p50j4c.html" TargetMode="External"/><Relationship Id="rId7" Type="http://schemas.openxmlformats.org/officeDocument/2006/relationships/hyperlink" Target="http://minister.industry.gov.au/ministers/canavan/speeches/speech-national-press-club-long-mining-boom" TargetMode="External"/><Relationship Id="rId2" Type="http://schemas.openxmlformats.org/officeDocument/2006/relationships/hyperlink" Target="https://www.theguardian.com/australia-news/2018/nov/28/hundreds-of-students-striking-over-climate-change-descend-on-parliament" TargetMode="External"/><Relationship Id="rId1" Type="http://schemas.openxmlformats.org/officeDocument/2006/relationships/hyperlink" Target="http://ap.ohchr.org/documents/E/HRC/d_res_dec/A_HRC_29_L21.docx" TargetMode="External"/><Relationship Id="rId6" Type="http://schemas.openxmlformats.org/officeDocument/2006/relationships/hyperlink" Target="https://climateactiontracker.org/countries/australia/fair-share/" TargetMode="External"/><Relationship Id="rId5" Type="http://schemas.openxmlformats.org/officeDocument/2006/relationships/hyperlink" Target="http://climateactiontracker.org/countries/australia.html" TargetMode="External"/><Relationship Id="rId4" Type="http://schemas.openxmlformats.org/officeDocument/2006/relationships/hyperlink" Target="https://www.smh.com.au/environment/climate-change/striking-students-defy-pm-to-protest-at-inaction-on-climate-change-20181130-p50jc6.html" TargetMode="External"/><Relationship Id="rId9" Type="http://schemas.openxmlformats.org/officeDocument/2006/relationships/hyperlink" Target="https://www.cleanenergycouncil.org.au/policy-advocacy/renewable-energy-target.html"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4B9260-05C7-4702-9915-87A75E0613BC}"/>
</file>

<file path=customXml/itemProps2.xml><?xml version="1.0" encoding="utf-8"?>
<ds:datastoreItem xmlns:ds="http://schemas.openxmlformats.org/officeDocument/2006/customXml" ds:itemID="{96ADA28B-4998-432B-8FC1-DB171246A189}"/>
</file>

<file path=customXml/itemProps3.xml><?xml version="1.0" encoding="utf-8"?>
<ds:datastoreItem xmlns:ds="http://schemas.openxmlformats.org/officeDocument/2006/customXml" ds:itemID="{A7F759D0-66ED-4237-B39A-71535A34793B}"/>
</file>

<file path=customXml/itemProps4.xml><?xml version="1.0" encoding="utf-8"?>
<ds:datastoreItem xmlns:ds="http://schemas.openxmlformats.org/officeDocument/2006/customXml" ds:itemID="{EBFD3225-157C-4099-B75E-64934883B222}"/>
</file>

<file path=docProps/app.xml><?xml version="1.0" encoding="utf-8"?>
<Properties xmlns="http://schemas.openxmlformats.org/officeDocument/2006/extended-properties" xmlns:vt="http://schemas.openxmlformats.org/officeDocument/2006/docPropsVTypes">
  <Template>Normal.dotm</Template>
  <TotalTime>0</TotalTime>
  <Pages>9</Pages>
  <Words>3296</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Niklas Clement</dc:creator>
  <cp:lastModifiedBy>BOIT James</cp:lastModifiedBy>
  <cp:revision>2</cp:revision>
  <cp:lastPrinted>2018-06-01T04:58:00Z</cp:lastPrinted>
  <dcterms:created xsi:type="dcterms:W3CDTF">2018-12-05T15:27:00Z</dcterms:created>
  <dcterms:modified xsi:type="dcterms:W3CDTF">2018-12-05T15:27:00Z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