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57492E" w14:textId="575BF92F" w:rsidR="00B91414" w:rsidRPr="00003CF5" w:rsidRDefault="00B91414" w:rsidP="00C9095C">
      <w:pPr>
        <w:spacing w:line="360" w:lineRule="auto"/>
        <w:ind w:left="-360" w:right="-360"/>
        <w:jc w:val="center"/>
        <w:rPr>
          <w:rFonts w:ascii="Garamond" w:hAnsi="Garamond"/>
          <w:b/>
          <w:bCs/>
        </w:rPr>
      </w:pPr>
      <w:r w:rsidRPr="00003CF5">
        <w:rPr>
          <w:rFonts w:ascii="Garamond" w:hAnsi="Garamond"/>
          <w:b/>
          <w:bCs/>
        </w:rPr>
        <w:t xml:space="preserve">NGO </w:t>
      </w:r>
      <w:r w:rsidR="00982145" w:rsidRPr="00003CF5">
        <w:rPr>
          <w:rFonts w:ascii="Garamond" w:hAnsi="Garamond"/>
          <w:b/>
          <w:bCs/>
        </w:rPr>
        <w:t xml:space="preserve">Joint </w:t>
      </w:r>
      <w:r w:rsidRPr="00003CF5">
        <w:rPr>
          <w:rFonts w:ascii="Garamond" w:hAnsi="Garamond"/>
          <w:b/>
          <w:bCs/>
        </w:rPr>
        <w:t xml:space="preserve">Parallel Report on the Government of Malawi’s </w:t>
      </w:r>
    </w:p>
    <w:p w14:paraId="189F7827" w14:textId="77777777" w:rsidR="00B91414" w:rsidRPr="00003CF5" w:rsidRDefault="00B91414" w:rsidP="00C9095C">
      <w:pPr>
        <w:spacing w:line="360" w:lineRule="auto"/>
        <w:ind w:left="-360" w:right="-360"/>
        <w:jc w:val="center"/>
        <w:rPr>
          <w:rFonts w:ascii="Garamond" w:hAnsi="Garamond"/>
          <w:b/>
          <w:bCs/>
        </w:rPr>
      </w:pPr>
      <w:r w:rsidRPr="00003CF5">
        <w:rPr>
          <w:rFonts w:ascii="Garamond" w:hAnsi="Garamond"/>
          <w:b/>
          <w:bCs/>
        </w:rPr>
        <w:t xml:space="preserve">First Report on the Implementation of the </w:t>
      </w:r>
    </w:p>
    <w:p w14:paraId="38D12F2F" w14:textId="77777777" w:rsidR="00B91414" w:rsidRPr="00003CF5" w:rsidRDefault="00B91414" w:rsidP="00C9095C">
      <w:pPr>
        <w:spacing w:line="360" w:lineRule="auto"/>
        <w:ind w:left="-360" w:right="-360"/>
        <w:jc w:val="center"/>
        <w:rPr>
          <w:rFonts w:ascii="Garamond" w:hAnsi="Garamond"/>
          <w:b/>
          <w:bCs/>
        </w:rPr>
      </w:pPr>
      <w:r w:rsidRPr="00003CF5">
        <w:rPr>
          <w:rFonts w:ascii="Garamond" w:hAnsi="Garamond"/>
          <w:b/>
          <w:bCs/>
        </w:rPr>
        <w:t>International Covenant on Economic, Social and Cultural Rights</w:t>
      </w:r>
    </w:p>
    <w:p w14:paraId="4C0BEEB2" w14:textId="77777777" w:rsidR="00B91414" w:rsidRPr="00003CF5" w:rsidRDefault="00B91414" w:rsidP="00C9095C">
      <w:pPr>
        <w:spacing w:line="360" w:lineRule="auto"/>
        <w:ind w:left="-360" w:right="-360"/>
        <w:jc w:val="center"/>
        <w:rPr>
          <w:rFonts w:ascii="Garamond" w:hAnsi="Garamond"/>
        </w:rPr>
      </w:pPr>
      <w:r w:rsidRPr="00003CF5">
        <w:rPr>
          <w:rFonts w:ascii="Garamond" w:hAnsi="Garamond"/>
        </w:rPr>
        <w:t>-----------------------</w:t>
      </w:r>
    </w:p>
    <w:p w14:paraId="00D10D97" w14:textId="77777777" w:rsidR="00B91414" w:rsidRPr="00003CF5" w:rsidRDefault="00B91414" w:rsidP="00C9095C">
      <w:pPr>
        <w:spacing w:line="360" w:lineRule="auto"/>
        <w:ind w:left="-360" w:right="-360"/>
        <w:jc w:val="center"/>
        <w:rPr>
          <w:rFonts w:ascii="Garamond" w:hAnsi="Garamond"/>
          <w:i/>
          <w:iCs/>
        </w:rPr>
      </w:pPr>
      <w:r w:rsidRPr="00003CF5">
        <w:rPr>
          <w:rFonts w:ascii="Garamond" w:hAnsi="Garamond"/>
          <w:i/>
          <w:iCs/>
        </w:rPr>
        <w:t>Submitted to the</w:t>
      </w:r>
    </w:p>
    <w:p w14:paraId="6F03150C" w14:textId="77777777" w:rsidR="00B91414" w:rsidRPr="00003CF5" w:rsidRDefault="00B91414" w:rsidP="00C9095C">
      <w:pPr>
        <w:spacing w:line="360" w:lineRule="auto"/>
        <w:ind w:left="-360" w:right="-360"/>
        <w:jc w:val="center"/>
        <w:rPr>
          <w:rFonts w:ascii="Garamond" w:hAnsi="Garamond"/>
          <w:i/>
          <w:iCs/>
        </w:rPr>
      </w:pPr>
      <w:r w:rsidRPr="00003CF5">
        <w:rPr>
          <w:rFonts w:ascii="Garamond" w:hAnsi="Garamond"/>
          <w:i/>
          <w:iCs/>
        </w:rPr>
        <w:t>UN Committee on Economic, Social and Cultural Rights</w:t>
      </w:r>
    </w:p>
    <w:p w14:paraId="644B5A3B" w14:textId="3643DF6E" w:rsidR="00B91414" w:rsidRPr="00003CF5" w:rsidRDefault="00982145" w:rsidP="00C9095C">
      <w:pPr>
        <w:spacing w:line="360" w:lineRule="auto"/>
        <w:ind w:left="-360" w:right="-360"/>
        <w:jc w:val="center"/>
        <w:rPr>
          <w:rFonts w:ascii="Garamond" w:hAnsi="Garamond"/>
          <w:i/>
          <w:iCs/>
        </w:rPr>
      </w:pPr>
      <w:r w:rsidRPr="00003CF5">
        <w:rPr>
          <w:rFonts w:ascii="Garamond" w:hAnsi="Garamond"/>
          <w:i/>
          <w:iCs/>
        </w:rPr>
        <w:t>f</w:t>
      </w:r>
      <w:r w:rsidR="00B91414" w:rsidRPr="00003CF5">
        <w:rPr>
          <w:rFonts w:ascii="Garamond" w:hAnsi="Garamond"/>
          <w:i/>
          <w:iCs/>
        </w:rPr>
        <w:t>or consideration in the formulation of the</w:t>
      </w:r>
    </w:p>
    <w:p w14:paraId="39D16BF7" w14:textId="6708CD4D" w:rsidR="00B91414" w:rsidRPr="00003CF5" w:rsidRDefault="00B91414" w:rsidP="00C9095C">
      <w:pPr>
        <w:spacing w:line="360" w:lineRule="auto"/>
        <w:ind w:left="-360" w:right="-360"/>
        <w:jc w:val="center"/>
        <w:rPr>
          <w:rFonts w:ascii="Garamond" w:hAnsi="Garamond"/>
          <w:i/>
          <w:iCs/>
        </w:rPr>
      </w:pPr>
      <w:r w:rsidRPr="00003CF5">
        <w:rPr>
          <w:rFonts w:ascii="Garamond" w:hAnsi="Garamond"/>
          <w:i/>
          <w:iCs/>
        </w:rPr>
        <w:t>List of Issues during the 72</w:t>
      </w:r>
      <w:r w:rsidRPr="00003CF5">
        <w:rPr>
          <w:rFonts w:ascii="Garamond" w:hAnsi="Garamond"/>
          <w:i/>
          <w:iCs/>
          <w:vertAlign w:val="superscript"/>
        </w:rPr>
        <w:t>nd</w:t>
      </w:r>
      <w:r w:rsidRPr="00003CF5">
        <w:rPr>
          <w:rFonts w:ascii="Garamond" w:hAnsi="Garamond"/>
          <w:i/>
          <w:iCs/>
        </w:rPr>
        <w:t xml:space="preserve"> Pre-Sessional Working Group (6-10 March, 2023</w:t>
      </w:r>
      <w:r w:rsidR="001E1A81">
        <w:rPr>
          <w:rFonts w:ascii="Garamond" w:hAnsi="Garamond"/>
          <w:i/>
          <w:iCs/>
        </w:rPr>
        <w:t xml:space="preserve">) </w:t>
      </w:r>
    </w:p>
    <w:p w14:paraId="38A82827" w14:textId="3C808324" w:rsidR="00B91414" w:rsidRPr="00003CF5" w:rsidRDefault="00B91414" w:rsidP="00C9095C">
      <w:pPr>
        <w:spacing w:line="360" w:lineRule="auto"/>
        <w:ind w:left="-360" w:right="-360"/>
        <w:jc w:val="center"/>
        <w:rPr>
          <w:rFonts w:ascii="Garamond" w:hAnsi="Garamond"/>
        </w:rPr>
      </w:pPr>
      <w:r w:rsidRPr="00003CF5">
        <w:rPr>
          <w:rFonts w:ascii="Garamond" w:hAnsi="Garamond"/>
        </w:rPr>
        <w:t>by:</w:t>
      </w:r>
    </w:p>
    <w:p w14:paraId="2619337D" w14:textId="77777777" w:rsidR="00B91414" w:rsidRPr="00003CF5" w:rsidRDefault="00B91414" w:rsidP="00C9095C">
      <w:pPr>
        <w:spacing w:line="360" w:lineRule="auto"/>
        <w:ind w:left="-360" w:right="-360"/>
        <w:jc w:val="center"/>
        <w:rPr>
          <w:rFonts w:ascii="Garamond" w:hAnsi="Garamond"/>
        </w:rPr>
      </w:pPr>
    </w:p>
    <w:p w14:paraId="2FD91BA7" w14:textId="77777777" w:rsidR="00B91414" w:rsidRPr="00003CF5" w:rsidRDefault="00B91414" w:rsidP="00C9095C">
      <w:pPr>
        <w:spacing w:line="360" w:lineRule="auto"/>
        <w:ind w:left="-360" w:right="-360"/>
        <w:jc w:val="center"/>
        <w:rPr>
          <w:rFonts w:ascii="Garamond" w:hAnsi="Garamond"/>
          <w:i/>
          <w:iCs/>
        </w:rPr>
        <w:sectPr w:rsidR="00B91414" w:rsidRPr="00003CF5" w:rsidSect="00C9095C">
          <w:footerReference w:type="default" r:id="rId8"/>
          <w:pgSz w:w="12240" w:h="15840"/>
          <w:pgMar w:top="720" w:right="720" w:bottom="720" w:left="720" w:header="720" w:footer="720" w:gutter="0"/>
          <w:cols w:space="720"/>
          <w:docGrid w:linePitch="360"/>
        </w:sectPr>
      </w:pPr>
    </w:p>
    <w:p w14:paraId="370695F5" w14:textId="77777777" w:rsidR="00B91414" w:rsidRPr="00003CF5" w:rsidRDefault="00B91414" w:rsidP="00C9095C">
      <w:pPr>
        <w:ind w:left="-360" w:right="-360"/>
        <w:jc w:val="center"/>
        <w:rPr>
          <w:rFonts w:ascii="Garamond" w:hAnsi="Garamond"/>
          <w:i/>
          <w:iCs/>
        </w:rPr>
      </w:pPr>
      <w:r w:rsidRPr="00003CF5">
        <w:rPr>
          <w:rFonts w:ascii="Garamond" w:hAnsi="Garamond"/>
          <w:i/>
          <w:iCs/>
        </w:rPr>
        <w:t>International Human Rights Center</w:t>
      </w:r>
    </w:p>
    <w:p w14:paraId="12B3AC00" w14:textId="77777777" w:rsidR="00B91414" w:rsidRPr="00003CF5" w:rsidRDefault="00B91414" w:rsidP="00C9095C">
      <w:pPr>
        <w:ind w:left="-360" w:right="-360"/>
        <w:jc w:val="center"/>
        <w:rPr>
          <w:rFonts w:ascii="Garamond" w:hAnsi="Garamond"/>
          <w:i/>
          <w:iCs/>
        </w:rPr>
      </w:pPr>
      <w:r w:rsidRPr="00003CF5">
        <w:rPr>
          <w:rFonts w:ascii="Garamond" w:hAnsi="Garamond"/>
          <w:i/>
          <w:iCs/>
        </w:rPr>
        <w:t>Loyola Law School, Los Angeles</w:t>
      </w:r>
    </w:p>
    <w:p w14:paraId="11DA473B" w14:textId="77777777" w:rsidR="00B91414" w:rsidRPr="00003CF5" w:rsidRDefault="00B91414" w:rsidP="00C9095C">
      <w:pPr>
        <w:ind w:left="-360" w:right="-360"/>
        <w:jc w:val="center"/>
        <w:rPr>
          <w:rFonts w:ascii="Garamond" w:hAnsi="Garamond"/>
          <w:i/>
          <w:iCs/>
        </w:rPr>
      </w:pPr>
    </w:p>
    <w:p w14:paraId="7DEB63FE" w14:textId="77777777" w:rsidR="00B91414" w:rsidRPr="00003CF5" w:rsidRDefault="00B91414" w:rsidP="00C9095C">
      <w:pPr>
        <w:ind w:left="-360" w:right="-360"/>
        <w:jc w:val="center"/>
        <w:rPr>
          <w:rFonts w:ascii="Garamond" w:hAnsi="Garamond"/>
        </w:rPr>
      </w:pPr>
      <w:r w:rsidRPr="00003CF5">
        <w:rPr>
          <w:rFonts w:ascii="Garamond" w:hAnsi="Garamond"/>
        </w:rPr>
        <w:t>919 Albany Street</w:t>
      </w:r>
    </w:p>
    <w:p w14:paraId="4A680501" w14:textId="77777777" w:rsidR="00B91414" w:rsidRPr="00466421" w:rsidRDefault="00B91414" w:rsidP="00C9095C">
      <w:pPr>
        <w:ind w:left="-360" w:right="-360"/>
        <w:jc w:val="center"/>
        <w:rPr>
          <w:rFonts w:ascii="Garamond" w:hAnsi="Garamond"/>
        </w:rPr>
      </w:pPr>
      <w:r w:rsidRPr="00466421">
        <w:rPr>
          <w:rFonts w:ascii="Garamond" w:hAnsi="Garamond"/>
        </w:rPr>
        <w:t>90015, Los Angeles, CA, USA</w:t>
      </w:r>
    </w:p>
    <w:p w14:paraId="1394C96A" w14:textId="77777777" w:rsidR="00B91414" w:rsidRPr="00466421" w:rsidRDefault="00B91414" w:rsidP="00C9095C">
      <w:pPr>
        <w:ind w:left="-360" w:right="-360"/>
        <w:jc w:val="center"/>
        <w:rPr>
          <w:rFonts w:ascii="Garamond" w:hAnsi="Garamond"/>
        </w:rPr>
      </w:pPr>
    </w:p>
    <w:p w14:paraId="4DFF9703" w14:textId="77777777" w:rsidR="00B91414" w:rsidRPr="00466421" w:rsidRDefault="00B91414" w:rsidP="00C9095C">
      <w:pPr>
        <w:ind w:left="-360" w:right="-360"/>
        <w:jc w:val="center"/>
        <w:rPr>
          <w:rFonts w:ascii="Garamond" w:hAnsi="Garamond"/>
        </w:rPr>
      </w:pPr>
      <w:r w:rsidRPr="00466421">
        <w:rPr>
          <w:rFonts w:ascii="Garamond" w:hAnsi="Garamond"/>
        </w:rPr>
        <w:t>Contact: Prof. Cesare Romano</w:t>
      </w:r>
    </w:p>
    <w:p w14:paraId="61512E12" w14:textId="77777777" w:rsidR="00B91414" w:rsidRPr="00003CF5" w:rsidRDefault="00000000" w:rsidP="00C9095C">
      <w:pPr>
        <w:ind w:left="-360" w:right="-360"/>
        <w:jc w:val="center"/>
        <w:rPr>
          <w:rFonts w:ascii="Garamond" w:hAnsi="Garamond"/>
        </w:rPr>
      </w:pPr>
      <w:hyperlink r:id="rId9" w:history="1">
        <w:r w:rsidR="00B91414" w:rsidRPr="00003CF5">
          <w:rPr>
            <w:rStyle w:val="Hyperlink"/>
            <w:rFonts w:ascii="Garamond" w:hAnsi="Garamond"/>
            <w:color w:val="auto"/>
          </w:rPr>
          <w:t>cesare.romano@lls.edu</w:t>
        </w:r>
      </w:hyperlink>
    </w:p>
    <w:p w14:paraId="02615C88" w14:textId="77777777" w:rsidR="00B91414" w:rsidRPr="00003CF5" w:rsidRDefault="00B91414" w:rsidP="00C9095C">
      <w:pPr>
        <w:spacing w:line="360" w:lineRule="auto"/>
        <w:ind w:left="-360" w:right="-360"/>
        <w:jc w:val="center"/>
        <w:rPr>
          <w:rFonts w:ascii="Garamond" w:hAnsi="Garamond"/>
        </w:rPr>
      </w:pPr>
    </w:p>
    <w:p w14:paraId="6C2787C6" w14:textId="62D9F6C5" w:rsidR="00B91414" w:rsidRPr="00003CF5" w:rsidRDefault="00B91414" w:rsidP="00C9095C">
      <w:pPr>
        <w:ind w:left="-360" w:right="-360"/>
        <w:jc w:val="center"/>
        <w:rPr>
          <w:rFonts w:ascii="Garamond" w:hAnsi="Garamond"/>
          <w:i/>
          <w:iCs/>
        </w:rPr>
      </w:pPr>
      <w:r w:rsidRPr="00003CF5">
        <w:rPr>
          <w:rFonts w:ascii="Garamond" w:hAnsi="Garamond"/>
          <w:i/>
          <w:iCs/>
        </w:rPr>
        <w:t>Woman and Law in South</w:t>
      </w:r>
      <w:r w:rsidR="00547118">
        <w:rPr>
          <w:rFonts w:ascii="Garamond" w:hAnsi="Garamond"/>
          <w:i/>
          <w:iCs/>
        </w:rPr>
        <w:t>ern</w:t>
      </w:r>
      <w:r w:rsidRPr="00003CF5">
        <w:rPr>
          <w:rFonts w:ascii="Garamond" w:hAnsi="Garamond"/>
          <w:i/>
          <w:iCs/>
        </w:rPr>
        <w:t xml:space="preserve"> Africa</w:t>
      </w:r>
    </w:p>
    <w:p w14:paraId="4390A3E1" w14:textId="77777777" w:rsidR="00B91414" w:rsidRPr="00003CF5" w:rsidRDefault="00B91414" w:rsidP="00C9095C">
      <w:pPr>
        <w:ind w:left="-360" w:right="-360"/>
        <w:jc w:val="center"/>
        <w:rPr>
          <w:rFonts w:ascii="Garamond" w:hAnsi="Garamond"/>
          <w:i/>
          <w:iCs/>
        </w:rPr>
      </w:pPr>
      <w:r w:rsidRPr="00003CF5">
        <w:rPr>
          <w:rFonts w:ascii="Garamond" w:hAnsi="Garamond"/>
          <w:i/>
          <w:iCs/>
        </w:rPr>
        <w:t>Research and Education Trust</w:t>
      </w:r>
    </w:p>
    <w:p w14:paraId="1EEBBD57" w14:textId="77777777" w:rsidR="00B91414" w:rsidRPr="00003CF5" w:rsidRDefault="00B91414" w:rsidP="00C9095C">
      <w:pPr>
        <w:ind w:left="-360" w:right="-360"/>
        <w:rPr>
          <w:rFonts w:ascii="Garamond" w:hAnsi="Garamond"/>
        </w:rPr>
      </w:pPr>
    </w:p>
    <w:p w14:paraId="1D34417B" w14:textId="792D8E34" w:rsidR="00B91414" w:rsidRPr="00003CF5" w:rsidRDefault="00B91414" w:rsidP="00C9095C">
      <w:pPr>
        <w:ind w:left="-360" w:right="-360"/>
        <w:jc w:val="center"/>
        <w:rPr>
          <w:rFonts w:ascii="Garamond" w:hAnsi="Garamond"/>
        </w:rPr>
      </w:pPr>
      <w:r w:rsidRPr="00003CF5">
        <w:rPr>
          <w:rFonts w:ascii="Garamond" w:hAnsi="Garamond"/>
        </w:rPr>
        <w:t>Private B</w:t>
      </w:r>
      <w:r w:rsidR="00547118">
        <w:rPr>
          <w:rFonts w:ascii="Garamond" w:hAnsi="Garamond"/>
        </w:rPr>
        <w:t>a</w:t>
      </w:r>
      <w:r w:rsidRPr="00003CF5">
        <w:rPr>
          <w:rFonts w:ascii="Garamond" w:hAnsi="Garamond"/>
        </w:rPr>
        <w:t>g</w:t>
      </w:r>
      <w:r w:rsidR="00547118">
        <w:rPr>
          <w:rFonts w:ascii="Garamond" w:hAnsi="Garamond"/>
        </w:rPr>
        <w:t xml:space="preserve"> 524</w:t>
      </w:r>
    </w:p>
    <w:p w14:paraId="5A82888D" w14:textId="2DEF6779" w:rsidR="00547118" w:rsidRPr="00003CF5" w:rsidRDefault="00B91414" w:rsidP="00547118">
      <w:pPr>
        <w:ind w:left="-360" w:right="-360"/>
        <w:jc w:val="center"/>
        <w:rPr>
          <w:rFonts w:ascii="Garamond" w:hAnsi="Garamond"/>
        </w:rPr>
      </w:pPr>
      <w:r w:rsidRPr="00003CF5">
        <w:rPr>
          <w:rFonts w:ascii="Garamond" w:hAnsi="Garamond"/>
        </w:rPr>
        <w:t>Limbe</w:t>
      </w:r>
      <w:r w:rsidR="00547118">
        <w:rPr>
          <w:rFonts w:ascii="Garamond" w:hAnsi="Garamond"/>
        </w:rPr>
        <w:t>,</w:t>
      </w:r>
      <w:r w:rsidRPr="00003CF5">
        <w:rPr>
          <w:rFonts w:ascii="Garamond" w:hAnsi="Garamond"/>
        </w:rPr>
        <w:t xml:space="preserve"> Malawi</w:t>
      </w:r>
    </w:p>
    <w:p w14:paraId="16C86A2E" w14:textId="77777777" w:rsidR="00B91414" w:rsidRPr="00003CF5" w:rsidRDefault="00B91414" w:rsidP="00C9095C">
      <w:pPr>
        <w:ind w:left="-360" w:right="-360"/>
        <w:jc w:val="center"/>
        <w:rPr>
          <w:rFonts w:ascii="Garamond" w:hAnsi="Garamond"/>
        </w:rPr>
      </w:pPr>
    </w:p>
    <w:p w14:paraId="219E2222" w14:textId="77777777" w:rsidR="00B91414" w:rsidRPr="00003CF5" w:rsidRDefault="00B91414" w:rsidP="00C9095C">
      <w:pPr>
        <w:ind w:left="-360" w:right="-360"/>
        <w:jc w:val="center"/>
        <w:rPr>
          <w:rFonts w:ascii="Garamond" w:hAnsi="Garamond"/>
        </w:rPr>
      </w:pPr>
      <w:r w:rsidRPr="00003CF5">
        <w:rPr>
          <w:rFonts w:ascii="Garamond" w:hAnsi="Garamond"/>
        </w:rPr>
        <w:t>Contact: Clara Mphande Lungu</w:t>
      </w:r>
    </w:p>
    <w:p w14:paraId="4A902767" w14:textId="77777777" w:rsidR="00B91414" w:rsidRPr="00003CF5" w:rsidRDefault="00000000" w:rsidP="00C9095C">
      <w:pPr>
        <w:ind w:left="-360" w:right="-360"/>
        <w:jc w:val="center"/>
        <w:rPr>
          <w:rFonts w:ascii="Garamond" w:hAnsi="Garamond"/>
        </w:rPr>
      </w:pPr>
      <w:hyperlink r:id="rId10" w:history="1">
        <w:r w:rsidR="00B91414" w:rsidRPr="00003CF5">
          <w:rPr>
            <w:rStyle w:val="Hyperlink"/>
            <w:rFonts w:ascii="Garamond" w:hAnsi="Garamond"/>
            <w:color w:val="auto"/>
          </w:rPr>
          <w:t>lunguclara@gmail.com</w:t>
        </w:r>
      </w:hyperlink>
      <w:r w:rsidR="00B91414" w:rsidRPr="00003CF5">
        <w:rPr>
          <w:rFonts w:ascii="Garamond" w:hAnsi="Garamond"/>
        </w:rPr>
        <w:t xml:space="preserve"> </w:t>
      </w:r>
    </w:p>
    <w:p w14:paraId="174464F9" w14:textId="77777777" w:rsidR="00B91414" w:rsidRPr="00003CF5" w:rsidRDefault="00B91414" w:rsidP="00C9095C">
      <w:pPr>
        <w:spacing w:line="360" w:lineRule="auto"/>
        <w:ind w:left="-360" w:right="-360"/>
        <w:jc w:val="center"/>
        <w:rPr>
          <w:rFonts w:ascii="Garamond" w:hAnsi="Garamond"/>
        </w:rPr>
        <w:sectPr w:rsidR="00B91414" w:rsidRPr="00003CF5" w:rsidSect="006658BC">
          <w:type w:val="continuous"/>
          <w:pgSz w:w="12240" w:h="15840"/>
          <w:pgMar w:top="1440" w:right="1440" w:bottom="1440" w:left="1440" w:header="720" w:footer="720" w:gutter="0"/>
          <w:cols w:num="2" w:space="720"/>
          <w:docGrid w:linePitch="360"/>
        </w:sectPr>
      </w:pPr>
    </w:p>
    <w:p w14:paraId="35E27408" w14:textId="77777777" w:rsidR="00B91414" w:rsidRPr="00003CF5" w:rsidRDefault="00B91414" w:rsidP="00C9095C">
      <w:pPr>
        <w:spacing w:line="360" w:lineRule="auto"/>
        <w:ind w:left="-360" w:right="-360"/>
        <w:jc w:val="center"/>
        <w:rPr>
          <w:rFonts w:ascii="Garamond" w:hAnsi="Garamond"/>
        </w:rPr>
      </w:pPr>
    </w:p>
    <w:p w14:paraId="4B8A2D00" w14:textId="5C12FB5C" w:rsidR="00B91414" w:rsidRPr="00003CF5" w:rsidRDefault="00C9095C" w:rsidP="00C9095C">
      <w:pPr>
        <w:spacing w:line="360" w:lineRule="auto"/>
        <w:ind w:left="-360" w:right="-360"/>
        <w:jc w:val="center"/>
        <w:rPr>
          <w:rFonts w:ascii="Garamond" w:hAnsi="Garamond"/>
        </w:rPr>
      </w:pPr>
      <w:r>
        <w:rPr>
          <w:rFonts w:ascii="Garamond" w:hAnsi="Garamond"/>
        </w:rPr>
        <w:t>a</w:t>
      </w:r>
      <w:r w:rsidRPr="00003CF5">
        <w:rPr>
          <w:rFonts w:ascii="Garamond" w:hAnsi="Garamond"/>
        </w:rPr>
        <w:t>nd</w:t>
      </w:r>
    </w:p>
    <w:p w14:paraId="0EED2787" w14:textId="77777777" w:rsidR="00B91414" w:rsidRPr="00003CF5" w:rsidRDefault="00B91414" w:rsidP="00C9095C">
      <w:pPr>
        <w:spacing w:line="360" w:lineRule="auto"/>
        <w:ind w:left="-360" w:right="-360"/>
        <w:jc w:val="center"/>
        <w:rPr>
          <w:rFonts w:ascii="Garamond" w:hAnsi="Garamond"/>
        </w:rPr>
      </w:pPr>
    </w:p>
    <w:p w14:paraId="3B12274E" w14:textId="77777777" w:rsidR="00B91414" w:rsidRPr="00003CF5" w:rsidRDefault="00B91414" w:rsidP="00C9095C">
      <w:pPr>
        <w:ind w:left="-360" w:right="-360"/>
        <w:jc w:val="center"/>
        <w:rPr>
          <w:rFonts w:ascii="Garamond" w:hAnsi="Garamond"/>
          <w:i/>
          <w:iCs/>
        </w:rPr>
        <w:sectPr w:rsidR="00B91414" w:rsidRPr="00003CF5" w:rsidSect="006658BC">
          <w:type w:val="continuous"/>
          <w:pgSz w:w="12240" w:h="15840"/>
          <w:pgMar w:top="1440" w:right="1440" w:bottom="1440" w:left="1440" w:header="720" w:footer="720" w:gutter="0"/>
          <w:cols w:space="720"/>
          <w:docGrid w:linePitch="360"/>
        </w:sectPr>
      </w:pPr>
    </w:p>
    <w:p w14:paraId="427ABD31" w14:textId="77777777" w:rsidR="00B91414" w:rsidRPr="00003CF5" w:rsidRDefault="00B91414" w:rsidP="00C9095C">
      <w:pPr>
        <w:ind w:left="-360" w:right="-360"/>
        <w:jc w:val="center"/>
        <w:rPr>
          <w:rFonts w:ascii="Garamond" w:hAnsi="Garamond"/>
          <w:i/>
          <w:iCs/>
        </w:rPr>
      </w:pPr>
      <w:r w:rsidRPr="00003CF5">
        <w:rPr>
          <w:rFonts w:ascii="Garamond" w:hAnsi="Garamond"/>
          <w:i/>
          <w:iCs/>
        </w:rPr>
        <w:t>Young Women’s Consortium</w:t>
      </w:r>
    </w:p>
    <w:p w14:paraId="79B8E32E" w14:textId="77777777" w:rsidR="00B91414" w:rsidRPr="00003CF5" w:rsidRDefault="00B91414" w:rsidP="00C9095C">
      <w:pPr>
        <w:ind w:left="-360" w:right="-360"/>
        <w:jc w:val="center"/>
        <w:rPr>
          <w:rFonts w:ascii="Garamond" w:hAnsi="Garamond"/>
          <w:i/>
          <w:iCs/>
        </w:rPr>
      </w:pPr>
    </w:p>
    <w:p w14:paraId="44F04882" w14:textId="77777777" w:rsidR="00B91414" w:rsidRPr="00003CF5" w:rsidRDefault="00B91414" w:rsidP="00C9095C">
      <w:pPr>
        <w:ind w:left="-360" w:right="-360"/>
        <w:jc w:val="center"/>
        <w:rPr>
          <w:rFonts w:ascii="Garamond" w:eastAsia="Garamond" w:hAnsi="Garamond" w:cs="Garamond"/>
        </w:rPr>
      </w:pPr>
      <w:r w:rsidRPr="00003CF5">
        <w:rPr>
          <w:rFonts w:ascii="Garamond" w:eastAsia="Garamond" w:hAnsi="Garamond" w:cs="Garamond"/>
        </w:rPr>
        <w:t xml:space="preserve">P.O. Box </w:t>
      </w:r>
    </w:p>
    <w:p w14:paraId="511A732D" w14:textId="77777777" w:rsidR="00B91414" w:rsidRPr="00003CF5" w:rsidRDefault="00B91414" w:rsidP="00C9095C">
      <w:pPr>
        <w:ind w:left="-360" w:right="-360"/>
        <w:jc w:val="center"/>
        <w:rPr>
          <w:rFonts w:ascii="Garamond" w:eastAsia="Garamond" w:hAnsi="Garamond" w:cs="Garamond"/>
          <w:highlight w:val="yellow"/>
        </w:rPr>
      </w:pPr>
      <w:r w:rsidRPr="00003CF5">
        <w:rPr>
          <w:rFonts w:ascii="Garamond" w:eastAsia="Garamond" w:hAnsi="Garamond" w:cs="Garamond"/>
        </w:rPr>
        <w:t>31489. Lilongwe 3</w:t>
      </w:r>
    </w:p>
    <w:p w14:paraId="7EC157EA" w14:textId="77777777" w:rsidR="00B91414" w:rsidRPr="00003CF5" w:rsidRDefault="00B91414" w:rsidP="00C9095C">
      <w:pPr>
        <w:ind w:left="-360" w:right="-360"/>
        <w:jc w:val="center"/>
        <w:rPr>
          <w:rFonts w:ascii="Garamond" w:eastAsia="Garamond" w:hAnsi="Garamond" w:cs="Garamond"/>
          <w:highlight w:val="yellow"/>
        </w:rPr>
      </w:pPr>
      <w:proofErr w:type="spellStart"/>
      <w:r w:rsidRPr="00003CF5">
        <w:rPr>
          <w:rFonts w:ascii="Garamond" w:eastAsia="Garamond" w:hAnsi="Garamond" w:cs="Garamond"/>
        </w:rPr>
        <w:t>Umodzi</w:t>
      </w:r>
      <w:proofErr w:type="spellEnd"/>
      <w:r w:rsidRPr="00003CF5">
        <w:rPr>
          <w:rFonts w:ascii="Garamond" w:eastAsia="Garamond" w:hAnsi="Garamond" w:cs="Garamond"/>
        </w:rPr>
        <w:t xml:space="preserve"> Park. </w:t>
      </w:r>
      <w:proofErr w:type="spellStart"/>
      <w:r w:rsidRPr="00003CF5">
        <w:rPr>
          <w:rFonts w:ascii="Garamond" w:eastAsia="Garamond" w:hAnsi="Garamond" w:cs="Garamond"/>
        </w:rPr>
        <w:t>Chilembwe</w:t>
      </w:r>
      <w:proofErr w:type="spellEnd"/>
      <w:r w:rsidRPr="00003CF5">
        <w:rPr>
          <w:rFonts w:ascii="Garamond" w:eastAsia="Garamond" w:hAnsi="Garamond" w:cs="Garamond"/>
        </w:rPr>
        <w:t xml:space="preserve"> Road</w:t>
      </w:r>
    </w:p>
    <w:p w14:paraId="5A56B2A7" w14:textId="77777777" w:rsidR="00B91414" w:rsidRPr="00003CF5" w:rsidRDefault="00B91414" w:rsidP="00C9095C">
      <w:pPr>
        <w:ind w:left="-360" w:right="-360"/>
        <w:jc w:val="center"/>
        <w:rPr>
          <w:rFonts w:ascii="Garamond" w:hAnsi="Garamond"/>
        </w:rPr>
      </w:pPr>
    </w:p>
    <w:p w14:paraId="4B109A3E" w14:textId="77777777" w:rsidR="00B91414" w:rsidRPr="00003CF5" w:rsidRDefault="00B91414" w:rsidP="00C9095C">
      <w:pPr>
        <w:ind w:left="-360" w:right="-360"/>
        <w:jc w:val="center"/>
        <w:rPr>
          <w:rFonts w:ascii="Garamond" w:hAnsi="Garamond"/>
        </w:rPr>
      </w:pPr>
      <w:r w:rsidRPr="00003CF5">
        <w:rPr>
          <w:rFonts w:ascii="Garamond" w:hAnsi="Garamond"/>
        </w:rPr>
        <w:t xml:space="preserve">Contact: Chimwemwe </w:t>
      </w:r>
      <w:proofErr w:type="spellStart"/>
      <w:r w:rsidRPr="00003CF5">
        <w:rPr>
          <w:rFonts w:ascii="Garamond" w:hAnsi="Garamond"/>
        </w:rPr>
        <w:t>Mlombwa</w:t>
      </w:r>
      <w:proofErr w:type="spellEnd"/>
      <w:r w:rsidRPr="00003CF5">
        <w:rPr>
          <w:rFonts w:ascii="Garamond" w:hAnsi="Garamond"/>
        </w:rPr>
        <w:t xml:space="preserve"> </w:t>
      </w:r>
    </w:p>
    <w:p w14:paraId="52D423FC" w14:textId="41DF84E3" w:rsidR="00B91414" w:rsidRPr="00003CF5" w:rsidRDefault="00000000" w:rsidP="00C9095C">
      <w:pPr>
        <w:ind w:left="-360" w:right="-360"/>
        <w:jc w:val="center"/>
        <w:rPr>
          <w:rFonts w:ascii="Garamond" w:hAnsi="Garamond"/>
        </w:rPr>
      </w:pPr>
      <w:hyperlink r:id="rId11" w:history="1">
        <w:r w:rsidR="00B91414" w:rsidRPr="00003CF5">
          <w:rPr>
            <w:rStyle w:val="Hyperlink"/>
            <w:rFonts w:ascii="Garamond" w:hAnsi="Garamond"/>
            <w:color w:val="auto"/>
          </w:rPr>
          <w:t>chimz.m@gmail.com</w:t>
        </w:r>
      </w:hyperlink>
      <w:r w:rsidR="00B91414" w:rsidRPr="00003CF5">
        <w:rPr>
          <w:rFonts w:ascii="Garamond" w:hAnsi="Garamond"/>
        </w:rPr>
        <w:t xml:space="preserve"> </w:t>
      </w:r>
    </w:p>
    <w:p w14:paraId="2F754AB9" w14:textId="41361121" w:rsidR="00B91414" w:rsidRPr="00003CF5" w:rsidRDefault="005650DA" w:rsidP="00C9095C">
      <w:pPr>
        <w:ind w:left="-360" w:right="-360"/>
        <w:jc w:val="center"/>
        <w:rPr>
          <w:rFonts w:ascii="Garamond" w:hAnsi="Garamond"/>
          <w:i/>
          <w:iCs/>
        </w:rPr>
      </w:pPr>
      <w:r>
        <w:rPr>
          <w:rFonts w:ascii="Garamond" w:hAnsi="Garamond"/>
          <w:i/>
          <w:iCs/>
        </w:rPr>
        <w:t>Nyale Institute</w:t>
      </w:r>
    </w:p>
    <w:p w14:paraId="41C05C52" w14:textId="77777777" w:rsidR="00B91414" w:rsidRPr="00003CF5" w:rsidRDefault="00B91414" w:rsidP="00C9095C">
      <w:pPr>
        <w:ind w:left="-360" w:right="-360"/>
        <w:jc w:val="center"/>
        <w:rPr>
          <w:rFonts w:ascii="Garamond" w:hAnsi="Garamond"/>
          <w:i/>
          <w:iCs/>
        </w:rPr>
      </w:pPr>
    </w:p>
    <w:p w14:paraId="0BA289B6" w14:textId="77777777" w:rsidR="00B91414" w:rsidRPr="00003CF5" w:rsidRDefault="00B91414" w:rsidP="00C9095C">
      <w:pPr>
        <w:ind w:left="-360" w:right="-360"/>
        <w:jc w:val="center"/>
        <w:rPr>
          <w:rFonts w:ascii="Garamond" w:hAnsi="Garamond"/>
        </w:rPr>
      </w:pPr>
      <w:r w:rsidRPr="00003CF5">
        <w:rPr>
          <w:rFonts w:ascii="Garamond" w:hAnsi="Garamond"/>
        </w:rPr>
        <w:t>P.O. Box 30860</w:t>
      </w:r>
    </w:p>
    <w:p w14:paraId="7589CF60" w14:textId="77777777" w:rsidR="00B91414" w:rsidRPr="00003CF5" w:rsidRDefault="00B91414" w:rsidP="00C9095C">
      <w:pPr>
        <w:ind w:left="-360" w:right="-360"/>
        <w:jc w:val="center"/>
        <w:rPr>
          <w:rFonts w:ascii="Garamond" w:hAnsi="Garamond"/>
        </w:rPr>
      </w:pPr>
      <w:r w:rsidRPr="00003CF5">
        <w:rPr>
          <w:rFonts w:ascii="Garamond" w:hAnsi="Garamond"/>
        </w:rPr>
        <w:t>Chichiri,</w:t>
      </w:r>
    </w:p>
    <w:p w14:paraId="42E581EC" w14:textId="77777777" w:rsidR="00B91414" w:rsidRPr="00003CF5" w:rsidRDefault="00B91414" w:rsidP="00C9095C">
      <w:pPr>
        <w:ind w:left="-360" w:right="-360"/>
        <w:jc w:val="center"/>
        <w:rPr>
          <w:rFonts w:ascii="Garamond" w:hAnsi="Garamond"/>
        </w:rPr>
      </w:pPr>
      <w:r w:rsidRPr="00003CF5">
        <w:rPr>
          <w:rFonts w:ascii="Garamond" w:hAnsi="Garamond"/>
        </w:rPr>
        <w:t>Blantyre 3, Malawi</w:t>
      </w:r>
    </w:p>
    <w:p w14:paraId="79B611DF" w14:textId="77777777" w:rsidR="00B91414" w:rsidRPr="00003CF5" w:rsidRDefault="00B91414" w:rsidP="00C9095C">
      <w:pPr>
        <w:ind w:left="-360" w:right="-360"/>
        <w:jc w:val="center"/>
        <w:rPr>
          <w:rFonts w:ascii="Garamond" w:hAnsi="Garamond"/>
        </w:rPr>
      </w:pPr>
    </w:p>
    <w:p w14:paraId="58D8A1BB" w14:textId="0E21C959" w:rsidR="00B91414" w:rsidRPr="00003CF5" w:rsidRDefault="00B91414" w:rsidP="00C9095C">
      <w:pPr>
        <w:ind w:left="-360" w:right="-360"/>
        <w:jc w:val="center"/>
        <w:rPr>
          <w:rFonts w:ascii="Garamond" w:hAnsi="Garamond"/>
        </w:rPr>
      </w:pPr>
      <w:r w:rsidRPr="00003CF5">
        <w:rPr>
          <w:rFonts w:ascii="Garamond" w:hAnsi="Garamond"/>
        </w:rPr>
        <w:t xml:space="preserve">Contact: </w:t>
      </w:r>
      <w:r w:rsidR="005650DA">
        <w:rPr>
          <w:rFonts w:ascii="Garamond" w:hAnsi="Garamond"/>
        </w:rPr>
        <w:t xml:space="preserve">Dr. </w:t>
      </w:r>
      <w:r w:rsidRPr="00003CF5">
        <w:rPr>
          <w:rFonts w:ascii="Garamond" w:hAnsi="Garamond"/>
        </w:rPr>
        <w:t xml:space="preserve">Godfrey </w:t>
      </w:r>
      <w:proofErr w:type="spellStart"/>
      <w:r w:rsidR="005650DA" w:rsidRPr="00003CF5">
        <w:rPr>
          <w:rFonts w:ascii="Garamond" w:hAnsi="Garamond"/>
        </w:rPr>
        <w:t>Kangaude</w:t>
      </w:r>
      <w:proofErr w:type="spellEnd"/>
    </w:p>
    <w:p w14:paraId="09C15762" w14:textId="77777777" w:rsidR="00B91414" w:rsidRPr="00003CF5" w:rsidRDefault="00000000" w:rsidP="00C9095C">
      <w:pPr>
        <w:ind w:left="-360" w:right="-360"/>
        <w:jc w:val="center"/>
        <w:rPr>
          <w:rFonts w:ascii="Garamond" w:hAnsi="Garamond"/>
          <w:iCs/>
        </w:rPr>
      </w:pPr>
      <w:hyperlink r:id="rId12" w:history="1">
        <w:r w:rsidR="00B91414" w:rsidRPr="00003CF5">
          <w:rPr>
            <w:rStyle w:val="Hyperlink"/>
            <w:rFonts w:ascii="Garamond" w:hAnsi="Garamond"/>
            <w:iCs/>
            <w:color w:val="auto"/>
          </w:rPr>
          <w:t>kangaude2013@lawnet.ucla.edu</w:t>
        </w:r>
      </w:hyperlink>
      <w:r w:rsidR="00B91414" w:rsidRPr="00003CF5">
        <w:rPr>
          <w:rFonts w:ascii="Garamond" w:hAnsi="Garamond"/>
          <w:iCs/>
        </w:rPr>
        <w:t xml:space="preserve"> </w:t>
      </w:r>
    </w:p>
    <w:p w14:paraId="5941F2E9" w14:textId="77777777" w:rsidR="00B91414" w:rsidRPr="00003CF5" w:rsidRDefault="00B91414" w:rsidP="00C9095C">
      <w:pPr>
        <w:pStyle w:val="Heading1"/>
        <w:spacing w:before="0" w:beforeAutospacing="0" w:after="0" w:afterAutospacing="0"/>
        <w:ind w:left="-360" w:right="-360" w:firstLine="0"/>
        <w:jc w:val="both"/>
        <w:rPr>
          <w:sz w:val="22"/>
          <w:szCs w:val="22"/>
        </w:rPr>
        <w:sectPr w:rsidR="00B91414" w:rsidRPr="00003CF5" w:rsidSect="006658BC">
          <w:type w:val="continuous"/>
          <w:pgSz w:w="12240" w:h="15840"/>
          <w:pgMar w:top="1440" w:right="1440" w:bottom="1440" w:left="1440" w:header="720" w:footer="720" w:gutter="0"/>
          <w:cols w:num="2" w:space="720"/>
          <w:docGrid w:linePitch="360"/>
        </w:sectPr>
      </w:pPr>
    </w:p>
    <w:p w14:paraId="5210CA35" w14:textId="77777777" w:rsidR="00B91414" w:rsidRPr="00003CF5" w:rsidRDefault="00B91414" w:rsidP="00C9095C">
      <w:pPr>
        <w:ind w:left="-360" w:right="-360"/>
        <w:rPr>
          <w:rFonts w:ascii="Garamond" w:hAnsi="Garamond"/>
          <w:sz w:val="22"/>
          <w:szCs w:val="22"/>
        </w:rPr>
      </w:pPr>
      <w:r w:rsidRPr="00003CF5">
        <w:rPr>
          <w:rFonts w:ascii="Garamond" w:hAnsi="Garamond"/>
          <w:sz w:val="22"/>
          <w:szCs w:val="22"/>
        </w:rPr>
        <w:br w:type="page"/>
      </w:r>
    </w:p>
    <w:p w14:paraId="27FE9721" w14:textId="6E8259A1" w:rsidR="00C9095C" w:rsidRPr="00310FBE" w:rsidRDefault="00C9095C" w:rsidP="00C9095C">
      <w:pPr>
        <w:pStyle w:val="TOC1"/>
        <w:tabs>
          <w:tab w:val="right" w:leader="dot" w:pos="9270"/>
        </w:tabs>
        <w:spacing w:after="0"/>
        <w:rPr>
          <w:rFonts w:ascii="Garamond" w:hAnsi="Garamond"/>
          <w:noProof/>
          <w:sz w:val="20"/>
          <w:szCs w:val="20"/>
        </w:rPr>
      </w:pPr>
      <w:r w:rsidRPr="00310FBE">
        <w:rPr>
          <w:rFonts w:ascii="Garamond" w:hAnsi="Garamond"/>
          <w:sz w:val="20"/>
          <w:szCs w:val="20"/>
        </w:rPr>
        <w:lastRenderedPageBreak/>
        <w:fldChar w:fldCharType="begin"/>
      </w:r>
      <w:r w:rsidRPr="00310FBE">
        <w:rPr>
          <w:rFonts w:ascii="Garamond" w:hAnsi="Garamond"/>
          <w:sz w:val="20"/>
          <w:szCs w:val="20"/>
        </w:rPr>
        <w:instrText xml:space="preserve"> TOC \o "1-3" \h \z \u </w:instrText>
      </w:r>
      <w:r w:rsidRPr="00310FBE">
        <w:rPr>
          <w:rFonts w:ascii="Garamond" w:hAnsi="Garamond"/>
          <w:sz w:val="20"/>
          <w:szCs w:val="20"/>
        </w:rPr>
        <w:fldChar w:fldCharType="separate"/>
      </w:r>
      <w:hyperlink w:anchor="_Toc123043556" w:history="1">
        <w:r w:rsidRPr="00310FBE">
          <w:rPr>
            <w:rStyle w:val="Hyperlink"/>
            <w:rFonts w:ascii="Garamond" w:hAnsi="Garamond"/>
            <w:noProof/>
            <w:sz w:val="20"/>
            <w:szCs w:val="20"/>
          </w:rPr>
          <w:t>PURPOSE OF THIS PARALLEL REPORT</w:t>
        </w:r>
        <w:r w:rsidRPr="00310FBE">
          <w:rPr>
            <w:rFonts w:ascii="Garamond" w:hAnsi="Garamond"/>
            <w:noProof/>
            <w:webHidden/>
            <w:sz w:val="20"/>
            <w:szCs w:val="20"/>
          </w:rPr>
          <w:tab/>
        </w:r>
        <w:r w:rsidRPr="00310FBE">
          <w:rPr>
            <w:rFonts w:ascii="Garamond" w:hAnsi="Garamond"/>
            <w:noProof/>
            <w:webHidden/>
            <w:sz w:val="20"/>
            <w:szCs w:val="20"/>
          </w:rPr>
          <w:fldChar w:fldCharType="begin"/>
        </w:r>
        <w:r w:rsidRPr="00310FBE">
          <w:rPr>
            <w:rFonts w:ascii="Garamond" w:hAnsi="Garamond"/>
            <w:noProof/>
            <w:webHidden/>
            <w:sz w:val="20"/>
            <w:szCs w:val="20"/>
          </w:rPr>
          <w:instrText xml:space="preserve"> PAGEREF _Toc123043556 \h </w:instrText>
        </w:r>
        <w:r w:rsidRPr="00310FBE">
          <w:rPr>
            <w:rFonts w:ascii="Garamond" w:hAnsi="Garamond"/>
            <w:noProof/>
            <w:webHidden/>
            <w:sz w:val="20"/>
            <w:szCs w:val="20"/>
          </w:rPr>
        </w:r>
        <w:r w:rsidRPr="00310FBE">
          <w:rPr>
            <w:rFonts w:ascii="Garamond" w:hAnsi="Garamond"/>
            <w:noProof/>
            <w:webHidden/>
            <w:sz w:val="20"/>
            <w:szCs w:val="20"/>
          </w:rPr>
          <w:fldChar w:fldCharType="separate"/>
        </w:r>
        <w:r w:rsidRPr="00310FBE">
          <w:rPr>
            <w:rFonts w:ascii="Garamond" w:hAnsi="Garamond"/>
            <w:noProof/>
            <w:webHidden/>
            <w:sz w:val="20"/>
            <w:szCs w:val="20"/>
          </w:rPr>
          <w:t>2</w:t>
        </w:r>
        <w:r w:rsidRPr="00310FBE">
          <w:rPr>
            <w:rFonts w:ascii="Garamond" w:hAnsi="Garamond"/>
            <w:noProof/>
            <w:webHidden/>
            <w:sz w:val="20"/>
            <w:szCs w:val="20"/>
          </w:rPr>
          <w:fldChar w:fldCharType="end"/>
        </w:r>
      </w:hyperlink>
    </w:p>
    <w:p w14:paraId="6CF88914" w14:textId="226BAA98" w:rsidR="00C9095C" w:rsidRPr="00310FBE" w:rsidRDefault="00000000" w:rsidP="00C9095C">
      <w:pPr>
        <w:pStyle w:val="TOC1"/>
        <w:tabs>
          <w:tab w:val="right" w:leader="dot" w:pos="9270"/>
        </w:tabs>
        <w:spacing w:after="0"/>
        <w:rPr>
          <w:rFonts w:ascii="Garamond" w:hAnsi="Garamond"/>
          <w:noProof/>
          <w:sz w:val="20"/>
          <w:szCs w:val="20"/>
        </w:rPr>
      </w:pPr>
      <w:hyperlink w:anchor="_Toc123043557" w:history="1">
        <w:r w:rsidR="00C9095C" w:rsidRPr="00310FBE">
          <w:rPr>
            <w:rStyle w:val="Hyperlink"/>
            <w:rFonts w:ascii="Garamond" w:hAnsi="Garamond"/>
            <w:noProof/>
            <w:sz w:val="20"/>
            <w:szCs w:val="20"/>
          </w:rPr>
          <w:t>ABOUT THE AUTHORS OF THIS REPORT AND SOURCES</w:t>
        </w:r>
        <w:r w:rsidR="00C9095C" w:rsidRPr="00310FBE">
          <w:rPr>
            <w:rFonts w:ascii="Garamond" w:hAnsi="Garamond"/>
            <w:noProof/>
            <w:webHidden/>
            <w:sz w:val="20"/>
            <w:szCs w:val="20"/>
          </w:rPr>
          <w:tab/>
        </w:r>
        <w:r w:rsidR="00C9095C" w:rsidRPr="00310FBE">
          <w:rPr>
            <w:rFonts w:ascii="Garamond" w:hAnsi="Garamond"/>
            <w:noProof/>
            <w:webHidden/>
            <w:sz w:val="20"/>
            <w:szCs w:val="20"/>
          </w:rPr>
          <w:fldChar w:fldCharType="begin"/>
        </w:r>
        <w:r w:rsidR="00C9095C" w:rsidRPr="00310FBE">
          <w:rPr>
            <w:rFonts w:ascii="Garamond" w:hAnsi="Garamond"/>
            <w:noProof/>
            <w:webHidden/>
            <w:sz w:val="20"/>
            <w:szCs w:val="20"/>
          </w:rPr>
          <w:instrText xml:space="preserve"> PAGEREF _Toc123043557 \h </w:instrText>
        </w:r>
        <w:r w:rsidR="00C9095C" w:rsidRPr="00310FBE">
          <w:rPr>
            <w:rFonts w:ascii="Garamond" w:hAnsi="Garamond"/>
            <w:noProof/>
            <w:webHidden/>
            <w:sz w:val="20"/>
            <w:szCs w:val="20"/>
          </w:rPr>
        </w:r>
        <w:r w:rsidR="00C9095C" w:rsidRPr="00310FBE">
          <w:rPr>
            <w:rFonts w:ascii="Garamond" w:hAnsi="Garamond"/>
            <w:noProof/>
            <w:webHidden/>
            <w:sz w:val="20"/>
            <w:szCs w:val="20"/>
          </w:rPr>
          <w:fldChar w:fldCharType="separate"/>
        </w:r>
        <w:r w:rsidR="00C9095C" w:rsidRPr="00310FBE">
          <w:rPr>
            <w:rFonts w:ascii="Garamond" w:hAnsi="Garamond"/>
            <w:noProof/>
            <w:webHidden/>
            <w:sz w:val="20"/>
            <w:szCs w:val="20"/>
          </w:rPr>
          <w:t>3</w:t>
        </w:r>
        <w:r w:rsidR="00C9095C" w:rsidRPr="00310FBE">
          <w:rPr>
            <w:rFonts w:ascii="Garamond" w:hAnsi="Garamond"/>
            <w:noProof/>
            <w:webHidden/>
            <w:sz w:val="20"/>
            <w:szCs w:val="20"/>
          </w:rPr>
          <w:fldChar w:fldCharType="end"/>
        </w:r>
      </w:hyperlink>
    </w:p>
    <w:p w14:paraId="15AFB808" w14:textId="513969B5" w:rsidR="00C9095C" w:rsidRPr="00310FBE" w:rsidRDefault="00000000" w:rsidP="00C9095C">
      <w:pPr>
        <w:pStyle w:val="TOC1"/>
        <w:tabs>
          <w:tab w:val="right" w:leader="dot" w:pos="9270"/>
        </w:tabs>
        <w:spacing w:after="0"/>
        <w:rPr>
          <w:rFonts w:ascii="Garamond" w:hAnsi="Garamond"/>
          <w:noProof/>
          <w:sz w:val="20"/>
          <w:szCs w:val="20"/>
        </w:rPr>
      </w:pPr>
      <w:hyperlink w:anchor="_Toc123043558" w:history="1">
        <w:r w:rsidR="00C9095C" w:rsidRPr="00310FBE">
          <w:rPr>
            <w:rStyle w:val="Hyperlink"/>
            <w:rFonts w:ascii="Garamond" w:hAnsi="Garamond"/>
            <w:noProof/>
            <w:sz w:val="20"/>
            <w:szCs w:val="20"/>
          </w:rPr>
          <w:t>BACKGROUND</w:t>
        </w:r>
        <w:r w:rsidR="00C9095C" w:rsidRPr="00310FBE">
          <w:rPr>
            <w:rFonts w:ascii="Garamond" w:hAnsi="Garamond"/>
            <w:noProof/>
            <w:webHidden/>
            <w:sz w:val="20"/>
            <w:szCs w:val="20"/>
          </w:rPr>
          <w:tab/>
        </w:r>
        <w:r w:rsidR="00C9095C" w:rsidRPr="00310FBE">
          <w:rPr>
            <w:rFonts w:ascii="Garamond" w:hAnsi="Garamond"/>
            <w:noProof/>
            <w:webHidden/>
            <w:sz w:val="20"/>
            <w:szCs w:val="20"/>
          </w:rPr>
          <w:fldChar w:fldCharType="begin"/>
        </w:r>
        <w:r w:rsidR="00C9095C" w:rsidRPr="00310FBE">
          <w:rPr>
            <w:rFonts w:ascii="Garamond" w:hAnsi="Garamond"/>
            <w:noProof/>
            <w:webHidden/>
            <w:sz w:val="20"/>
            <w:szCs w:val="20"/>
          </w:rPr>
          <w:instrText xml:space="preserve"> PAGEREF _Toc123043558 \h </w:instrText>
        </w:r>
        <w:r w:rsidR="00C9095C" w:rsidRPr="00310FBE">
          <w:rPr>
            <w:rFonts w:ascii="Garamond" w:hAnsi="Garamond"/>
            <w:noProof/>
            <w:webHidden/>
            <w:sz w:val="20"/>
            <w:szCs w:val="20"/>
          </w:rPr>
        </w:r>
        <w:r w:rsidR="00C9095C" w:rsidRPr="00310FBE">
          <w:rPr>
            <w:rFonts w:ascii="Garamond" w:hAnsi="Garamond"/>
            <w:noProof/>
            <w:webHidden/>
            <w:sz w:val="20"/>
            <w:szCs w:val="20"/>
          </w:rPr>
          <w:fldChar w:fldCharType="separate"/>
        </w:r>
        <w:r w:rsidR="00C9095C" w:rsidRPr="00310FBE">
          <w:rPr>
            <w:rFonts w:ascii="Garamond" w:hAnsi="Garamond"/>
            <w:noProof/>
            <w:webHidden/>
            <w:sz w:val="20"/>
            <w:szCs w:val="20"/>
          </w:rPr>
          <w:t>4</w:t>
        </w:r>
        <w:r w:rsidR="00C9095C" w:rsidRPr="00310FBE">
          <w:rPr>
            <w:rFonts w:ascii="Garamond" w:hAnsi="Garamond"/>
            <w:noProof/>
            <w:webHidden/>
            <w:sz w:val="20"/>
            <w:szCs w:val="20"/>
          </w:rPr>
          <w:fldChar w:fldCharType="end"/>
        </w:r>
      </w:hyperlink>
    </w:p>
    <w:p w14:paraId="1133D6D0" w14:textId="750A6511" w:rsidR="00C9095C" w:rsidRPr="00310FBE" w:rsidRDefault="00000000" w:rsidP="00C9095C">
      <w:pPr>
        <w:pStyle w:val="TOC1"/>
        <w:tabs>
          <w:tab w:val="right" w:leader="dot" w:pos="9270"/>
        </w:tabs>
        <w:spacing w:after="0"/>
        <w:rPr>
          <w:rFonts w:ascii="Garamond" w:hAnsi="Garamond"/>
          <w:noProof/>
          <w:sz w:val="20"/>
          <w:szCs w:val="20"/>
        </w:rPr>
      </w:pPr>
      <w:hyperlink w:anchor="_Toc123043559" w:history="1">
        <w:r w:rsidR="00C9095C" w:rsidRPr="00310FBE">
          <w:rPr>
            <w:rStyle w:val="Hyperlink"/>
            <w:rFonts w:ascii="Garamond" w:hAnsi="Garamond"/>
            <w:noProof/>
            <w:sz w:val="20"/>
            <w:szCs w:val="20"/>
          </w:rPr>
          <w:t>BY CRIMINALIZING ABORTION, MALAWI FAILS TO FULFIL ITS INTERNATIONAL OBLIGATIONS UNDER THE COVENANT</w:t>
        </w:r>
        <w:r w:rsidR="00C9095C" w:rsidRPr="00310FBE">
          <w:rPr>
            <w:rFonts w:ascii="Garamond" w:hAnsi="Garamond"/>
            <w:noProof/>
            <w:webHidden/>
            <w:sz w:val="20"/>
            <w:szCs w:val="20"/>
          </w:rPr>
          <w:tab/>
        </w:r>
        <w:r w:rsidR="00C9095C" w:rsidRPr="00310FBE">
          <w:rPr>
            <w:rFonts w:ascii="Garamond" w:hAnsi="Garamond"/>
            <w:noProof/>
            <w:webHidden/>
            <w:sz w:val="20"/>
            <w:szCs w:val="20"/>
          </w:rPr>
          <w:fldChar w:fldCharType="begin"/>
        </w:r>
        <w:r w:rsidR="00C9095C" w:rsidRPr="00310FBE">
          <w:rPr>
            <w:rFonts w:ascii="Garamond" w:hAnsi="Garamond"/>
            <w:noProof/>
            <w:webHidden/>
            <w:sz w:val="20"/>
            <w:szCs w:val="20"/>
          </w:rPr>
          <w:instrText xml:space="preserve"> PAGEREF _Toc123043559 \h </w:instrText>
        </w:r>
        <w:r w:rsidR="00C9095C" w:rsidRPr="00310FBE">
          <w:rPr>
            <w:rFonts w:ascii="Garamond" w:hAnsi="Garamond"/>
            <w:noProof/>
            <w:webHidden/>
            <w:sz w:val="20"/>
            <w:szCs w:val="20"/>
          </w:rPr>
        </w:r>
        <w:r w:rsidR="00C9095C" w:rsidRPr="00310FBE">
          <w:rPr>
            <w:rFonts w:ascii="Garamond" w:hAnsi="Garamond"/>
            <w:noProof/>
            <w:webHidden/>
            <w:sz w:val="20"/>
            <w:szCs w:val="20"/>
          </w:rPr>
          <w:fldChar w:fldCharType="separate"/>
        </w:r>
        <w:r w:rsidR="00C9095C" w:rsidRPr="00310FBE">
          <w:rPr>
            <w:rFonts w:ascii="Garamond" w:hAnsi="Garamond"/>
            <w:noProof/>
            <w:webHidden/>
            <w:sz w:val="20"/>
            <w:szCs w:val="20"/>
          </w:rPr>
          <w:t>6</w:t>
        </w:r>
        <w:r w:rsidR="00C9095C" w:rsidRPr="00310FBE">
          <w:rPr>
            <w:rFonts w:ascii="Garamond" w:hAnsi="Garamond"/>
            <w:noProof/>
            <w:webHidden/>
            <w:sz w:val="20"/>
            <w:szCs w:val="20"/>
          </w:rPr>
          <w:fldChar w:fldCharType="end"/>
        </w:r>
      </w:hyperlink>
    </w:p>
    <w:p w14:paraId="0CC49D1E" w14:textId="5A1D5976" w:rsidR="00C9095C" w:rsidRPr="00310FBE" w:rsidRDefault="00000000" w:rsidP="00C9095C">
      <w:pPr>
        <w:pStyle w:val="TOC2"/>
        <w:tabs>
          <w:tab w:val="right" w:leader="dot" w:pos="9270"/>
        </w:tabs>
        <w:spacing w:after="0"/>
        <w:rPr>
          <w:rFonts w:ascii="Garamond" w:hAnsi="Garamond"/>
          <w:noProof/>
          <w:sz w:val="20"/>
          <w:szCs w:val="20"/>
        </w:rPr>
      </w:pPr>
      <w:hyperlink w:anchor="_Toc123043560" w:history="1">
        <w:r w:rsidR="00C9095C" w:rsidRPr="00310FBE">
          <w:rPr>
            <w:rStyle w:val="Hyperlink"/>
            <w:rFonts w:ascii="Garamond" w:hAnsi="Garamond"/>
            <w:noProof/>
            <w:sz w:val="20"/>
            <w:szCs w:val="20"/>
          </w:rPr>
          <w:t>I</w:t>
        </w:r>
        <w:r w:rsidR="001E1A81" w:rsidRPr="00310FBE">
          <w:rPr>
            <w:rStyle w:val="Hyperlink"/>
            <w:rFonts w:ascii="Garamond" w:hAnsi="Garamond"/>
            <w:noProof/>
            <w:sz w:val="20"/>
            <w:szCs w:val="20"/>
          </w:rPr>
          <w:t xml:space="preserve">) </w:t>
        </w:r>
        <w:r w:rsidR="00C9095C" w:rsidRPr="00310FBE">
          <w:rPr>
            <w:rStyle w:val="Hyperlink"/>
            <w:rFonts w:ascii="Garamond" w:hAnsi="Garamond"/>
            <w:noProof/>
            <w:sz w:val="20"/>
            <w:szCs w:val="20"/>
          </w:rPr>
          <w:t>The general criminalization of abortion violates women’s human rights</w:t>
        </w:r>
        <w:r w:rsidR="00C9095C" w:rsidRPr="00310FBE">
          <w:rPr>
            <w:rFonts w:ascii="Garamond" w:hAnsi="Garamond"/>
            <w:noProof/>
            <w:webHidden/>
            <w:sz w:val="20"/>
            <w:szCs w:val="20"/>
          </w:rPr>
          <w:tab/>
        </w:r>
        <w:r w:rsidR="00C9095C" w:rsidRPr="00310FBE">
          <w:rPr>
            <w:rFonts w:ascii="Garamond" w:hAnsi="Garamond"/>
            <w:noProof/>
            <w:webHidden/>
            <w:sz w:val="20"/>
            <w:szCs w:val="20"/>
          </w:rPr>
          <w:fldChar w:fldCharType="begin"/>
        </w:r>
        <w:r w:rsidR="00C9095C" w:rsidRPr="00310FBE">
          <w:rPr>
            <w:rFonts w:ascii="Garamond" w:hAnsi="Garamond"/>
            <w:noProof/>
            <w:webHidden/>
            <w:sz w:val="20"/>
            <w:szCs w:val="20"/>
          </w:rPr>
          <w:instrText xml:space="preserve"> PAGEREF _Toc123043560 \h </w:instrText>
        </w:r>
        <w:r w:rsidR="00C9095C" w:rsidRPr="00310FBE">
          <w:rPr>
            <w:rFonts w:ascii="Garamond" w:hAnsi="Garamond"/>
            <w:noProof/>
            <w:webHidden/>
            <w:sz w:val="20"/>
            <w:szCs w:val="20"/>
          </w:rPr>
        </w:r>
        <w:r w:rsidR="00C9095C" w:rsidRPr="00310FBE">
          <w:rPr>
            <w:rFonts w:ascii="Garamond" w:hAnsi="Garamond"/>
            <w:noProof/>
            <w:webHidden/>
            <w:sz w:val="20"/>
            <w:szCs w:val="20"/>
          </w:rPr>
          <w:fldChar w:fldCharType="separate"/>
        </w:r>
        <w:r w:rsidR="00C9095C" w:rsidRPr="00310FBE">
          <w:rPr>
            <w:rFonts w:ascii="Garamond" w:hAnsi="Garamond"/>
            <w:noProof/>
            <w:webHidden/>
            <w:sz w:val="20"/>
            <w:szCs w:val="20"/>
          </w:rPr>
          <w:t>6</w:t>
        </w:r>
        <w:r w:rsidR="00C9095C" w:rsidRPr="00310FBE">
          <w:rPr>
            <w:rFonts w:ascii="Garamond" w:hAnsi="Garamond"/>
            <w:noProof/>
            <w:webHidden/>
            <w:sz w:val="20"/>
            <w:szCs w:val="20"/>
          </w:rPr>
          <w:fldChar w:fldCharType="end"/>
        </w:r>
      </w:hyperlink>
    </w:p>
    <w:p w14:paraId="6DCC3A2C" w14:textId="516B6C33" w:rsidR="00C9095C" w:rsidRPr="00310FBE" w:rsidRDefault="00000000" w:rsidP="00C9095C">
      <w:pPr>
        <w:pStyle w:val="TOC2"/>
        <w:tabs>
          <w:tab w:val="right" w:leader="dot" w:pos="9270"/>
        </w:tabs>
        <w:spacing w:after="0"/>
        <w:rPr>
          <w:rFonts w:ascii="Garamond" w:hAnsi="Garamond"/>
          <w:noProof/>
          <w:sz w:val="20"/>
          <w:szCs w:val="20"/>
        </w:rPr>
      </w:pPr>
      <w:hyperlink w:anchor="_Toc123043561" w:history="1">
        <w:r w:rsidR="00C9095C" w:rsidRPr="00310FBE">
          <w:rPr>
            <w:rStyle w:val="Hyperlink"/>
            <w:rFonts w:ascii="Garamond" w:hAnsi="Garamond"/>
            <w:noProof/>
            <w:sz w:val="20"/>
            <w:szCs w:val="20"/>
          </w:rPr>
          <w:t>II</w:t>
        </w:r>
        <w:r w:rsidR="001E1A81" w:rsidRPr="00310FBE">
          <w:rPr>
            <w:rStyle w:val="Hyperlink"/>
            <w:rFonts w:ascii="Garamond" w:hAnsi="Garamond"/>
            <w:noProof/>
            <w:sz w:val="20"/>
            <w:szCs w:val="20"/>
          </w:rPr>
          <w:t xml:space="preserve">) </w:t>
        </w:r>
        <w:r w:rsidR="00C9095C" w:rsidRPr="00310FBE">
          <w:rPr>
            <w:rStyle w:val="Hyperlink"/>
            <w:rFonts w:ascii="Garamond" w:hAnsi="Garamond"/>
            <w:noProof/>
            <w:sz w:val="20"/>
            <w:szCs w:val="20"/>
          </w:rPr>
          <w:t>The exception to the prohibition of abortion is ambiguous and vague</w:t>
        </w:r>
        <w:r w:rsidR="00C9095C" w:rsidRPr="00310FBE">
          <w:rPr>
            <w:rFonts w:ascii="Garamond" w:hAnsi="Garamond"/>
            <w:noProof/>
            <w:webHidden/>
            <w:sz w:val="20"/>
            <w:szCs w:val="20"/>
          </w:rPr>
          <w:tab/>
        </w:r>
        <w:r w:rsidR="00C9095C" w:rsidRPr="00310FBE">
          <w:rPr>
            <w:rFonts w:ascii="Garamond" w:hAnsi="Garamond"/>
            <w:noProof/>
            <w:webHidden/>
            <w:sz w:val="20"/>
            <w:szCs w:val="20"/>
          </w:rPr>
          <w:fldChar w:fldCharType="begin"/>
        </w:r>
        <w:r w:rsidR="00C9095C" w:rsidRPr="00310FBE">
          <w:rPr>
            <w:rFonts w:ascii="Garamond" w:hAnsi="Garamond"/>
            <w:noProof/>
            <w:webHidden/>
            <w:sz w:val="20"/>
            <w:szCs w:val="20"/>
          </w:rPr>
          <w:instrText xml:space="preserve"> PAGEREF _Toc123043561 \h </w:instrText>
        </w:r>
        <w:r w:rsidR="00C9095C" w:rsidRPr="00310FBE">
          <w:rPr>
            <w:rFonts w:ascii="Garamond" w:hAnsi="Garamond"/>
            <w:noProof/>
            <w:webHidden/>
            <w:sz w:val="20"/>
            <w:szCs w:val="20"/>
          </w:rPr>
        </w:r>
        <w:r w:rsidR="00C9095C" w:rsidRPr="00310FBE">
          <w:rPr>
            <w:rFonts w:ascii="Garamond" w:hAnsi="Garamond"/>
            <w:noProof/>
            <w:webHidden/>
            <w:sz w:val="20"/>
            <w:szCs w:val="20"/>
          </w:rPr>
          <w:fldChar w:fldCharType="separate"/>
        </w:r>
        <w:r w:rsidR="00C9095C" w:rsidRPr="00310FBE">
          <w:rPr>
            <w:rFonts w:ascii="Garamond" w:hAnsi="Garamond"/>
            <w:noProof/>
            <w:webHidden/>
            <w:sz w:val="20"/>
            <w:szCs w:val="20"/>
          </w:rPr>
          <w:t>9</w:t>
        </w:r>
        <w:r w:rsidR="00C9095C" w:rsidRPr="00310FBE">
          <w:rPr>
            <w:rFonts w:ascii="Garamond" w:hAnsi="Garamond"/>
            <w:noProof/>
            <w:webHidden/>
            <w:sz w:val="20"/>
            <w:szCs w:val="20"/>
          </w:rPr>
          <w:fldChar w:fldCharType="end"/>
        </w:r>
      </w:hyperlink>
    </w:p>
    <w:p w14:paraId="4EE0A59E" w14:textId="4D516E70" w:rsidR="00C9095C" w:rsidRPr="00310FBE" w:rsidRDefault="00000000" w:rsidP="00C9095C">
      <w:pPr>
        <w:pStyle w:val="TOC2"/>
        <w:tabs>
          <w:tab w:val="right" w:leader="dot" w:pos="9270"/>
        </w:tabs>
        <w:spacing w:after="0"/>
        <w:rPr>
          <w:rFonts w:ascii="Garamond" w:hAnsi="Garamond"/>
          <w:noProof/>
          <w:sz w:val="20"/>
          <w:szCs w:val="20"/>
        </w:rPr>
      </w:pPr>
      <w:hyperlink w:anchor="_Toc123043562" w:history="1">
        <w:r w:rsidR="00C9095C" w:rsidRPr="00310FBE">
          <w:rPr>
            <w:rStyle w:val="Hyperlink"/>
            <w:rFonts w:ascii="Garamond" w:hAnsi="Garamond"/>
            <w:noProof/>
            <w:sz w:val="20"/>
            <w:szCs w:val="20"/>
          </w:rPr>
          <w:t>III</w:t>
        </w:r>
        <w:r w:rsidR="001E1A81" w:rsidRPr="00310FBE">
          <w:rPr>
            <w:rStyle w:val="Hyperlink"/>
            <w:rFonts w:ascii="Garamond" w:hAnsi="Garamond"/>
            <w:noProof/>
            <w:sz w:val="20"/>
            <w:szCs w:val="20"/>
          </w:rPr>
          <w:t xml:space="preserve">) </w:t>
        </w:r>
        <w:r w:rsidR="00C9095C" w:rsidRPr="00310FBE">
          <w:rPr>
            <w:rStyle w:val="Hyperlink"/>
            <w:rFonts w:ascii="Garamond" w:hAnsi="Garamond"/>
            <w:noProof/>
            <w:sz w:val="20"/>
            <w:szCs w:val="20"/>
          </w:rPr>
          <w:t>The criminalization of abortion violates several articles of the Covenant</w:t>
        </w:r>
        <w:r w:rsidR="00C9095C" w:rsidRPr="00310FBE">
          <w:rPr>
            <w:rFonts w:ascii="Garamond" w:hAnsi="Garamond"/>
            <w:noProof/>
            <w:webHidden/>
            <w:sz w:val="20"/>
            <w:szCs w:val="20"/>
          </w:rPr>
          <w:tab/>
        </w:r>
        <w:r w:rsidR="00C9095C" w:rsidRPr="00310FBE">
          <w:rPr>
            <w:rFonts w:ascii="Garamond" w:hAnsi="Garamond"/>
            <w:noProof/>
            <w:webHidden/>
            <w:sz w:val="20"/>
            <w:szCs w:val="20"/>
          </w:rPr>
          <w:fldChar w:fldCharType="begin"/>
        </w:r>
        <w:r w:rsidR="00C9095C" w:rsidRPr="00310FBE">
          <w:rPr>
            <w:rFonts w:ascii="Garamond" w:hAnsi="Garamond"/>
            <w:noProof/>
            <w:webHidden/>
            <w:sz w:val="20"/>
            <w:szCs w:val="20"/>
          </w:rPr>
          <w:instrText xml:space="preserve"> PAGEREF _Toc123043562 \h </w:instrText>
        </w:r>
        <w:r w:rsidR="00C9095C" w:rsidRPr="00310FBE">
          <w:rPr>
            <w:rFonts w:ascii="Garamond" w:hAnsi="Garamond"/>
            <w:noProof/>
            <w:webHidden/>
            <w:sz w:val="20"/>
            <w:szCs w:val="20"/>
          </w:rPr>
        </w:r>
        <w:r w:rsidR="00C9095C" w:rsidRPr="00310FBE">
          <w:rPr>
            <w:rFonts w:ascii="Garamond" w:hAnsi="Garamond"/>
            <w:noProof/>
            <w:webHidden/>
            <w:sz w:val="20"/>
            <w:szCs w:val="20"/>
          </w:rPr>
          <w:fldChar w:fldCharType="separate"/>
        </w:r>
        <w:r w:rsidR="00C9095C" w:rsidRPr="00310FBE">
          <w:rPr>
            <w:rFonts w:ascii="Garamond" w:hAnsi="Garamond"/>
            <w:noProof/>
            <w:webHidden/>
            <w:sz w:val="20"/>
            <w:szCs w:val="20"/>
          </w:rPr>
          <w:t>12</w:t>
        </w:r>
        <w:r w:rsidR="00C9095C" w:rsidRPr="00310FBE">
          <w:rPr>
            <w:rFonts w:ascii="Garamond" w:hAnsi="Garamond"/>
            <w:noProof/>
            <w:webHidden/>
            <w:sz w:val="20"/>
            <w:szCs w:val="20"/>
          </w:rPr>
          <w:fldChar w:fldCharType="end"/>
        </w:r>
      </w:hyperlink>
    </w:p>
    <w:p w14:paraId="1B3E6D27" w14:textId="4329E148" w:rsidR="00C9095C" w:rsidRPr="00310FBE" w:rsidRDefault="00000000" w:rsidP="00C9095C">
      <w:pPr>
        <w:pStyle w:val="TOC3"/>
        <w:tabs>
          <w:tab w:val="right" w:leader="dot" w:pos="9270"/>
        </w:tabs>
        <w:spacing w:after="0"/>
        <w:rPr>
          <w:rFonts w:ascii="Garamond" w:hAnsi="Garamond"/>
          <w:noProof/>
          <w:sz w:val="20"/>
          <w:szCs w:val="20"/>
        </w:rPr>
      </w:pPr>
      <w:hyperlink w:anchor="_Toc123043563" w:history="1">
        <w:r w:rsidR="00C9095C" w:rsidRPr="00310FBE">
          <w:rPr>
            <w:rStyle w:val="Hyperlink"/>
            <w:rFonts w:ascii="Garamond" w:hAnsi="Garamond"/>
            <w:noProof/>
            <w:sz w:val="20"/>
            <w:szCs w:val="20"/>
          </w:rPr>
          <w:t>a</w:t>
        </w:r>
        <w:r w:rsidR="001E1A81" w:rsidRPr="00310FBE">
          <w:rPr>
            <w:rStyle w:val="Hyperlink"/>
            <w:rFonts w:ascii="Garamond" w:hAnsi="Garamond"/>
            <w:noProof/>
            <w:sz w:val="20"/>
            <w:szCs w:val="20"/>
          </w:rPr>
          <w:t xml:space="preserve">) </w:t>
        </w:r>
        <w:r w:rsidR="00C9095C" w:rsidRPr="00310FBE">
          <w:rPr>
            <w:rStyle w:val="Hyperlink"/>
            <w:rFonts w:ascii="Garamond" w:hAnsi="Garamond"/>
            <w:noProof/>
            <w:sz w:val="20"/>
            <w:szCs w:val="20"/>
          </w:rPr>
          <w:t>Article 3</w:t>
        </w:r>
        <w:r w:rsidR="00C9095C" w:rsidRPr="00310FBE">
          <w:rPr>
            <w:rFonts w:ascii="Garamond" w:hAnsi="Garamond"/>
            <w:noProof/>
            <w:webHidden/>
            <w:sz w:val="20"/>
            <w:szCs w:val="20"/>
          </w:rPr>
          <w:tab/>
        </w:r>
        <w:r w:rsidR="00C9095C" w:rsidRPr="00310FBE">
          <w:rPr>
            <w:rFonts w:ascii="Garamond" w:hAnsi="Garamond"/>
            <w:noProof/>
            <w:webHidden/>
            <w:sz w:val="20"/>
            <w:szCs w:val="20"/>
          </w:rPr>
          <w:fldChar w:fldCharType="begin"/>
        </w:r>
        <w:r w:rsidR="00C9095C" w:rsidRPr="00310FBE">
          <w:rPr>
            <w:rFonts w:ascii="Garamond" w:hAnsi="Garamond"/>
            <w:noProof/>
            <w:webHidden/>
            <w:sz w:val="20"/>
            <w:szCs w:val="20"/>
          </w:rPr>
          <w:instrText xml:space="preserve"> PAGEREF _Toc123043563 \h </w:instrText>
        </w:r>
        <w:r w:rsidR="00C9095C" w:rsidRPr="00310FBE">
          <w:rPr>
            <w:rFonts w:ascii="Garamond" w:hAnsi="Garamond"/>
            <w:noProof/>
            <w:webHidden/>
            <w:sz w:val="20"/>
            <w:szCs w:val="20"/>
          </w:rPr>
        </w:r>
        <w:r w:rsidR="00C9095C" w:rsidRPr="00310FBE">
          <w:rPr>
            <w:rFonts w:ascii="Garamond" w:hAnsi="Garamond"/>
            <w:noProof/>
            <w:webHidden/>
            <w:sz w:val="20"/>
            <w:szCs w:val="20"/>
          </w:rPr>
          <w:fldChar w:fldCharType="separate"/>
        </w:r>
        <w:r w:rsidR="00C9095C" w:rsidRPr="00310FBE">
          <w:rPr>
            <w:rFonts w:ascii="Garamond" w:hAnsi="Garamond"/>
            <w:noProof/>
            <w:webHidden/>
            <w:sz w:val="20"/>
            <w:szCs w:val="20"/>
          </w:rPr>
          <w:t>12</w:t>
        </w:r>
        <w:r w:rsidR="00C9095C" w:rsidRPr="00310FBE">
          <w:rPr>
            <w:rFonts w:ascii="Garamond" w:hAnsi="Garamond"/>
            <w:noProof/>
            <w:webHidden/>
            <w:sz w:val="20"/>
            <w:szCs w:val="20"/>
          </w:rPr>
          <w:fldChar w:fldCharType="end"/>
        </w:r>
      </w:hyperlink>
    </w:p>
    <w:p w14:paraId="44EE20F9" w14:textId="786A85CB" w:rsidR="00C9095C" w:rsidRPr="00310FBE" w:rsidRDefault="00000000" w:rsidP="00C9095C">
      <w:pPr>
        <w:pStyle w:val="TOC3"/>
        <w:tabs>
          <w:tab w:val="right" w:leader="dot" w:pos="9270"/>
        </w:tabs>
        <w:spacing w:after="0"/>
        <w:rPr>
          <w:rFonts w:ascii="Garamond" w:hAnsi="Garamond"/>
          <w:noProof/>
          <w:sz w:val="20"/>
          <w:szCs w:val="20"/>
        </w:rPr>
      </w:pPr>
      <w:hyperlink w:anchor="_Toc123043564" w:history="1">
        <w:r w:rsidR="00C9095C" w:rsidRPr="00310FBE">
          <w:rPr>
            <w:rStyle w:val="Hyperlink"/>
            <w:rFonts w:ascii="Garamond" w:hAnsi="Garamond"/>
            <w:noProof/>
            <w:sz w:val="20"/>
            <w:szCs w:val="20"/>
          </w:rPr>
          <w:t>b</w:t>
        </w:r>
        <w:r w:rsidR="001E1A81" w:rsidRPr="00310FBE">
          <w:rPr>
            <w:rStyle w:val="Hyperlink"/>
            <w:rFonts w:ascii="Garamond" w:hAnsi="Garamond"/>
            <w:noProof/>
            <w:sz w:val="20"/>
            <w:szCs w:val="20"/>
          </w:rPr>
          <w:t xml:space="preserve">) </w:t>
        </w:r>
        <w:r w:rsidR="00C9095C" w:rsidRPr="00310FBE">
          <w:rPr>
            <w:rStyle w:val="Hyperlink"/>
            <w:rFonts w:ascii="Garamond" w:hAnsi="Garamond"/>
            <w:noProof/>
            <w:sz w:val="20"/>
            <w:szCs w:val="20"/>
          </w:rPr>
          <w:t>Article 10</w:t>
        </w:r>
        <w:r w:rsidR="00C9095C" w:rsidRPr="00310FBE">
          <w:rPr>
            <w:rFonts w:ascii="Garamond" w:hAnsi="Garamond"/>
            <w:noProof/>
            <w:webHidden/>
            <w:sz w:val="20"/>
            <w:szCs w:val="20"/>
          </w:rPr>
          <w:tab/>
        </w:r>
        <w:r w:rsidR="00C9095C" w:rsidRPr="00310FBE">
          <w:rPr>
            <w:rFonts w:ascii="Garamond" w:hAnsi="Garamond"/>
            <w:noProof/>
            <w:webHidden/>
            <w:sz w:val="20"/>
            <w:szCs w:val="20"/>
          </w:rPr>
          <w:fldChar w:fldCharType="begin"/>
        </w:r>
        <w:r w:rsidR="00C9095C" w:rsidRPr="00310FBE">
          <w:rPr>
            <w:rFonts w:ascii="Garamond" w:hAnsi="Garamond"/>
            <w:noProof/>
            <w:webHidden/>
            <w:sz w:val="20"/>
            <w:szCs w:val="20"/>
          </w:rPr>
          <w:instrText xml:space="preserve"> PAGEREF _Toc123043564 \h </w:instrText>
        </w:r>
        <w:r w:rsidR="00C9095C" w:rsidRPr="00310FBE">
          <w:rPr>
            <w:rFonts w:ascii="Garamond" w:hAnsi="Garamond"/>
            <w:noProof/>
            <w:webHidden/>
            <w:sz w:val="20"/>
            <w:szCs w:val="20"/>
          </w:rPr>
        </w:r>
        <w:r w:rsidR="00C9095C" w:rsidRPr="00310FBE">
          <w:rPr>
            <w:rFonts w:ascii="Garamond" w:hAnsi="Garamond"/>
            <w:noProof/>
            <w:webHidden/>
            <w:sz w:val="20"/>
            <w:szCs w:val="20"/>
          </w:rPr>
          <w:fldChar w:fldCharType="separate"/>
        </w:r>
        <w:r w:rsidR="00C9095C" w:rsidRPr="00310FBE">
          <w:rPr>
            <w:rFonts w:ascii="Garamond" w:hAnsi="Garamond"/>
            <w:noProof/>
            <w:webHidden/>
            <w:sz w:val="20"/>
            <w:szCs w:val="20"/>
          </w:rPr>
          <w:t>13</w:t>
        </w:r>
        <w:r w:rsidR="00C9095C" w:rsidRPr="00310FBE">
          <w:rPr>
            <w:rFonts w:ascii="Garamond" w:hAnsi="Garamond"/>
            <w:noProof/>
            <w:webHidden/>
            <w:sz w:val="20"/>
            <w:szCs w:val="20"/>
          </w:rPr>
          <w:fldChar w:fldCharType="end"/>
        </w:r>
      </w:hyperlink>
    </w:p>
    <w:p w14:paraId="7E73C5F2" w14:textId="53AFEA6D" w:rsidR="00C9095C" w:rsidRPr="00310FBE" w:rsidRDefault="00000000" w:rsidP="00C9095C">
      <w:pPr>
        <w:pStyle w:val="TOC3"/>
        <w:tabs>
          <w:tab w:val="right" w:leader="dot" w:pos="9270"/>
        </w:tabs>
        <w:spacing w:after="0"/>
        <w:rPr>
          <w:rFonts w:ascii="Garamond" w:hAnsi="Garamond"/>
          <w:noProof/>
          <w:sz w:val="20"/>
          <w:szCs w:val="20"/>
        </w:rPr>
      </w:pPr>
      <w:hyperlink w:anchor="_Toc123043565" w:history="1">
        <w:r w:rsidR="00C9095C" w:rsidRPr="00310FBE">
          <w:rPr>
            <w:rStyle w:val="Hyperlink"/>
            <w:rFonts w:ascii="Garamond" w:hAnsi="Garamond"/>
            <w:noProof/>
            <w:sz w:val="20"/>
            <w:szCs w:val="20"/>
          </w:rPr>
          <w:t>c</w:t>
        </w:r>
        <w:r w:rsidR="001E1A81" w:rsidRPr="00310FBE">
          <w:rPr>
            <w:rStyle w:val="Hyperlink"/>
            <w:rFonts w:ascii="Garamond" w:hAnsi="Garamond"/>
            <w:noProof/>
            <w:sz w:val="20"/>
            <w:szCs w:val="20"/>
          </w:rPr>
          <w:t xml:space="preserve">) </w:t>
        </w:r>
        <w:r w:rsidR="00C9095C" w:rsidRPr="00310FBE">
          <w:rPr>
            <w:rStyle w:val="Hyperlink"/>
            <w:rFonts w:ascii="Garamond" w:hAnsi="Garamond"/>
            <w:noProof/>
            <w:sz w:val="20"/>
            <w:szCs w:val="20"/>
          </w:rPr>
          <w:t>Article 12</w:t>
        </w:r>
        <w:r w:rsidR="00C9095C" w:rsidRPr="00310FBE">
          <w:rPr>
            <w:rFonts w:ascii="Garamond" w:hAnsi="Garamond"/>
            <w:noProof/>
            <w:webHidden/>
            <w:sz w:val="20"/>
            <w:szCs w:val="20"/>
          </w:rPr>
          <w:tab/>
        </w:r>
        <w:r w:rsidR="00C9095C" w:rsidRPr="00310FBE">
          <w:rPr>
            <w:rFonts w:ascii="Garamond" w:hAnsi="Garamond"/>
            <w:noProof/>
            <w:webHidden/>
            <w:sz w:val="20"/>
            <w:szCs w:val="20"/>
          </w:rPr>
          <w:fldChar w:fldCharType="begin"/>
        </w:r>
        <w:r w:rsidR="00C9095C" w:rsidRPr="00310FBE">
          <w:rPr>
            <w:rFonts w:ascii="Garamond" w:hAnsi="Garamond"/>
            <w:noProof/>
            <w:webHidden/>
            <w:sz w:val="20"/>
            <w:szCs w:val="20"/>
          </w:rPr>
          <w:instrText xml:space="preserve"> PAGEREF _Toc123043565 \h </w:instrText>
        </w:r>
        <w:r w:rsidR="00C9095C" w:rsidRPr="00310FBE">
          <w:rPr>
            <w:rFonts w:ascii="Garamond" w:hAnsi="Garamond"/>
            <w:noProof/>
            <w:webHidden/>
            <w:sz w:val="20"/>
            <w:szCs w:val="20"/>
          </w:rPr>
        </w:r>
        <w:r w:rsidR="00C9095C" w:rsidRPr="00310FBE">
          <w:rPr>
            <w:rFonts w:ascii="Garamond" w:hAnsi="Garamond"/>
            <w:noProof/>
            <w:webHidden/>
            <w:sz w:val="20"/>
            <w:szCs w:val="20"/>
          </w:rPr>
          <w:fldChar w:fldCharType="separate"/>
        </w:r>
        <w:r w:rsidR="00C9095C" w:rsidRPr="00310FBE">
          <w:rPr>
            <w:rFonts w:ascii="Garamond" w:hAnsi="Garamond"/>
            <w:noProof/>
            <w:webHidden/>
            <w:sz w:val="20"/>
            <w:szCs w:val="20"/>
          </w:rPr>
          <w:t>13</w:t>
        </w:r>
        <w:r w:rsidR="00C9095C" w:rsidRPr="00310FBE">
          <w:rPr>
            <w:rFonts w:ascii="Garamond" w:hAnsi="Garamond"/>
            <w:noProof/>
            <w:webHidden/>
            <w:sz w:val="20"/>
            <w:szCs w:val="20"/>
          </w:rPr>
          <w:fldChar w:fldCharType="end"/>
        </w:r>
      </w:hyperlink>
    </w:p>
    <w:p w14:paraId="3A7DDEC8" w14:textId="56B96803" w:rsidR="00C9095C" w:rsidRPr="00310FBE" w:rsidRDefault="00000000" w:rsidP="00C9095C">
      <w:pPr>
        <w:pStyle w:val="TOC3"/>
        <w:tabs>
          <w:tab w:val="left" w:pos="880"/>
          <w:tab w:val="right" w:leader="dot" w:pos="9270"/>
        </w:tabs>
        <w:spacing w:after="0"/>
        <w:rPr>
          <w:rFonts w:ascii="Garamond" w:hAnsi="Garamond"/>
          <w:noProof/>
          <w:sz w:val="20"/>
          <w:szCs w:val="20"/>
        </w:rPr>
      </w:pPr>
      <w:hyperlink w:anchor="_Toc123043566" w:history="1">
        <w:r w:rsidR="00C9095C" w:rsidRPr="00310FBE">
          <w:rPr>
            <w:rStyle w:val="Hyperlink"/>
            <w:rFonts w:ascii="Garamond" w:hAnsi="Garamond"/>
            <w:noProof/>
            <w:sz w:val="20"/>
            <w:szCs w:val="20"/>
          </w:rPr>
          <w:t>d</w:t>
        </w:r>
        <w:r w:rsidR="001E1A81" w:rsidRPr="00310FBE">
          <w:rPr>
            <w:rStyle w:val="Hyperlink"/>
            <w:rFonts w:ascii="Garamond" w:hAnsi="Garamond"/>
            <w:i/>
            <w:noProof/>
            <w:sz w:val="20"/>
            <w:szCs w:val="20"/>
          </w:rPr>
          <w:t xml:space="preserve">) </w:t>
        </w:r>
        <w:r w:rsidR="00C9095C" w:rsidRPr="00310FBE">
          <w:rPr>
            <w:rFonts w:ascii="Garamond" w:hAnsi="Garamond"/>
            <w:noProof/>
            <w:sz w:val="20"/>
            <w:szCs w:val="20"/>
          </w:rPr>
          <w:tab/>
        </w:r>
        <w:r w:rsidR="00C9095C" w:rsidRPr="00310FBE">
          <w:rPr>
            <w:rStyle w:val="Hyperlink"/>
            <w:rFonts w:ascii="Garamond" w:hAnsi="Garamond"/>
            <w:noProof/>
            <w:sz w:val="20"/>
            <w:szCs w:val="20"/>
          </w:rPr>
          <w:t>Article 15</w:t>
        </w:r>
        <w:r w:rsidR="00C9095C" w:rsidRPr="00310FBE">
          <w:rPr>
            <w:rFonts w:ascii="Garamond" w:hAnsi="Garamond"/>
            <w:noProof/>
            <w:webHidden/>
            <w:sz w:val="20"/>
            <w:szCs w:val="20"/>
          </w:rPr>
          <w:tab/>
        </w:r>
        <w:r w:rsidR="00C9095C" w:rsidRPr="00310FBE">
          <w:rPr>
            <w:rFonts w:ascii="Garamond" w:hAnsi="Garamond"/>
            <w:noProof/>
            <w:webHidden/>
            <w:sz w:val="20"/>
            <w:szCs w:val="20"/>
          </w:rPr>
          <w:fldChar w:fldCharType="begin"/>
        </w:r>
        <w:r w:rsidR="00C9095C" w:rsidRPr="00310FBE">
          <w:rPr>
            <w:rFonts w:ascii="Garamond" w:hAnsi="Garamond"/>
            <w:noProof/>
            <w:webHidden/>
            <w:sz w:val="20"/>
            <w:szCs w:val="20"/>
          </w:rPr>
          <w:instrText xml:space="preserve"> PAGEREF _Toc123043566 \h </w:instrText>
        </w:r>
        <w:r w:rsidR="00C9095C" w:rsidRPr="00310FBE">
          <w:rPr>
            <w:rFonts w:ascii="Garamond" w:hAnsi="Garamond"/>
            <w:noProof/>
            <w:webHidden/>
            <w:sz w:val="20"/>
            <w:szCs w:val="20"/>
          </w:rPr>
        </w:r>
        <w:r w:rsidR="00C9095C" w:rsidRPr="00310FBE">
          <w:rPr>
            <w:rFonts w:ascii="Garamond" w:hAnsi="Garamond"/>
            <w:noProof/>
            <w:webHidden/>
            <w:sz w:val="20"/>
            <w:szCs w:val="20"/>
          </w:rPr>
          <w:fldChar w:fldCharType="separate"/>
        </w:r>
        <w:r w:rsidR="00C9095C" w:rsidRPr="00310FBE">
          <w:rPr>
            <w:rFonts w:ascii="Garamond" w:hAnsi="Garamond"/>
            <w:noProof/>
            <w:webHidden/>
            <w:sz w:val="20"/>
            <w:szCs w:val="20"/>
          </w:rPr>
          <w:t>15</w:t>
        </w:r>
        <w:r w:rsidR="00C9095C" w:rsidRPr="00310FBE">
          <w:rPr>
            <w:rFonts w:ascii="Garamond" w:hAnsi="Garamond"/>
            <w:noProof/>
            <w:webHidden/>
            <w:sz w:val="20"/>
            <w:szCs w:val="20"/>
          </w:rPr>
          <w:fldChar w:fldCharType="end"/>
        </w:r>
      </w:hyperlink>
    </w:p>
    <w:p w14:paraId="09D880E4" w14:textId="71BA6E9B" w:rsidR="00C9095C" w:rsidRPr="00310FBE" w:rsidRDefault="00000000" w:rsidP="00C9095C">
      <w:pPr>
        <w:pStyle w:val="TOC1"/>
        <w:tabs>
          <w:tab w:val="right" w:leader="dot" w:pos="9270"/>
        </w:tabs>
        <w:spacing w:after="0"/>
        <w:rPr>
          <w:rFonts w:ascii="Garamond" w:hAnsi="Garamond"/>
          <w:noProof/>
          <w:sz w:val="20"/>
          <w:szCs w:val="20"/>
        </w:rPr>
      </w:pPr>
      <w:hyperlink w:anchor="_Toc123043567" w:history="1">
        <w:r w:rsidR="00C9095C" w:rsidRPr="00310FBE">
          <w:rPr>
            <w:rStyle w:val="Hyperlink"/>
            <w:rFonts w:ascii="Garamond" w:hAnsi="Garamond"/>
            <w:noProof/>
            <w:sz w:val="20"/>
            <w:szCs w:val="20"/>
          </w:rPr>
          <w:t>RECOMMENDATIONS</w:t>
        </w:r>
        <w:r w:rsidR="00C9095C" w:rsidRPr="00310FBE">
          <w:rPr>
            <w:rFonts w:ascii="Garamond" w:hAnsi="Garamond"/>
            <w:noProof/>
            <w:webHidden/>
            <w:sz w:val="20"/>
            <w:szCs w:val="20"/>
          </w:rPr>
          <w:tab/>
        </w:r>
        <w:r w:rsidR="00C9095C" w:rsidRPr="00310FBE">
          <w:rPr>
            <w:rFonts w:ascii="Garamond" w:hAnsi="Garamond"/>
            <w:noProof/>
            <w:webHidden/>
            <w:sz w:val="20"/>
            <w:szCs w:val="20"/>
          </w:rPr>
          <w:fldChar w:fldCharType="begin"/>
        </w:r>
        <w:r w:rsidR="00C9095C" w:rsidRPr="00310FBE">
          <w:rPr>
            <w:rFonts w:ascii="Garamond" w:hAnsi="Garamond"/>
            <w:noProof/>
            <w:webHidden/>
            <w:sz w:val="20"/>
            <w:szCs w:val="20"/>
          </w:rPr>
          <w:instrText xml:space="preserve"> PAGEREF _Toc123043567 \h </w:instrText>
        </w:r>
        <w:r w:rsidR="00C9095C" w:rsidRPr="00310FBE">
          <w:rPr>
            <w:rFonts w:ascii="Garamond" w:hAnsi="Garamond"/>
            <w:noProof/>
            <w:webHidden/>
            <w:sz w:val="20"/>
            <w:szCs w:val="20"/>
          </w:rPr>
        </w:r>
        <w:r w:rsidR="00C9095C" w:rsidRPr="00310FBE">
          <w:rPr>
            <w:rFonts w:ascii="Garamond" w:hAnsi="Garamond"/>
            <w:noProof/>
            <w:webHidden/>
            <w:sz w:val="20"/>
            <w:szCs w:val="20"/>
          </w:rPr>
          <w:fldChar w:fldCharType="separate"/>
        </w:r>
        <w:r w:rsidR="00C9095C" w:rsidRPr="00310FBE">
          <w:rPr>
            <w:rFonts w:ascii="Garamond" w:hAnsi="Garamond"/>
            <w:noProof/>
            <w:webHidden/>
            <w:sz w:val="20"/>
            <w:szCs w:val="20"/>
          </w:rPr>
          <w:t>16</w:t>
        </w:r>
        <w:r w:rsidR="00C9095C" w:rsidRPr="00310FBE">
          <w:rPr>
            <w:rFonts w:ascii="Garamond" w:hAnsi="Garamond"/>
            <w:noProof/>
            <w:webHidden/>
            <w:sz w:val="20"/>
            <w:szCs w:val="20"/>
          </w:rPr>
          <w:fldChar w:fldCharType="end"/>
        </w:r>
      </w:hyperlink>
    </w:p>
    <w:p w14:paraId="089F9819" w14:textId="1FE81330" w:rsidR="00C9095C" w:rsidRPr="00C9095C" w:rsidRDefault="00C9095C" w:rsidP="00310FBE">
      <w:pPr>
        <w:tabs>
          <w:tab w:val="right" w:leader="dot" w:pos="9270"/>
        </w:tabs>
      </w:pPr>
      <w:r w:rsidRPr="00310FBE">
        <w:rPr>
          <w:rFonts w:ascii="Garamond" w:hAnsi="Garamond"/>
          <w:sz w:val="20"/>
          <w:szCs w:val="20"/>
        </w:rPr>
        <w:fldChar w:fldCharType="end"/>
      </w:r>
    </w:p>
    <w:p w14:paraId="692A2CDE" w14:textId="4380D944" w:rsidR="00B91414" w:rsidRPr="00003CF5" w:rsidRDefault="00B91414" w:rsidP="00310FBE">
      <w:pPr>
        <w:pStyle w:val="Heading1"/>
        <w:tabs>
          <w:tab w:val="right" w:leader="dot" w:pos="9270"/>
        </w:tabs>
        <w:spacing w:before="0" w:beforeAutospacing="0"/>
        <w:ind w:right="-274" w:firstLine="0"/>
        <w:rPr>
          <w:sz w:val="22"/>
          <w:szCs w:val="22"/>
        </w:rPr>
      </w:pPr>
      <w:bookmarkStart w:id="0" w:name="_Toc123043556"/>
      <w:r w:rsidRPr="00003CF5">
        <w:rPr>
          <w:sz w:val="22"/>
          <w:szCs w:val="22"/>
        </w:rPr>
        <w:t>PURPOSE OF THIS PARALLEL REPORT</w:t>
      </w:r>
      <w:bookmarkEnd w:id="0"/>
    </w:p>
    <w:p w14:paraId="120823C8" w14:textId="642CD303" w:rsidR="00B91414" w:rsidRPr="00003CF5" w:rsidRDefault="001E1A81" w:rsidP="001E1A81">
      <w:pPr>
        <w:pStyle w:val="NormalWeb"/>
        <w:widowControl w:val="0"/>
        <w:tabs>
          <w:tab w:val="right" w:leader="dot" w:pos="9270"/>
        </w:tabs>
        <w:spacing w:before="0" w:beforeAutospacing="0" w:after="0" w:afterAutospacing="0" w:line="360" w:lineRule="auto"/>
        <w:ind w:left="-360" w:right="-270" w:firstLine="540"/>
        <w:jc w:val="both"/>
        <w:rPr>
          <w:rFonts w:ascii="Garamond" w:hAnsi="Garamond"/>
          <w:sz w:val="22"/>
          <w:szCs w:val="22"/>
        </w:rPr>
      </w:pPr>
      <w:r>
        <w:rPr>
          <w:rFonts w:ascii="Garamond" w:hAnsi="Garamond"/>
          <w:sz w:val="22"/>
          <w:szCs w:val="22"/>
        </w:rPr>
        <w:t xml:space="preserve">(1) </w:t>
      </w:r>
      <w:r w:rsidR="00B91414" w:rsidRPr="00003CF5">
        <w:rPr>
          <w:rFonts w:ascii="Garamond" w:hAnsi="Garamond"/>
          <w:sz w:val="22"/>
          <w:szCs w:val="22"/>
        </w:rPr>
        <w:t>The purpose of this parallel report is to assist the Committee on Economic, Social and Cultural Rights (the Committee</w:t>
      </w:r>
      <w:r>
        <w:rPr>
          <w:rFonts w:ascii="Garamond" w:hAnsi="Garamond"/>
          <w:sz w:val="22"/>
          <w:szCs w:val="22"/>
        </w:rPr>
        <w:t xml:space="preserve">) </w:t>
      </w:r>
      <w:r w:rsidR="00B91414" w:rsidRPr="00003CF5">
        <w:rPr>
          <w:rFonts w:ascii="Garamond" w:hAnsi="Garamond"/>
          <w:sz w:val="22"/>
          <w:szCs w:val="22"/>
        </w:rPr>
        <w:t>in the fo</w:t>
      </w:r>
      <w:r w:rsidR="00466421">
        <w:rPr>
          <w:rFonts w:ascii="Garamond" w:hAnsi="Garamond"/>
          <w:sz w:val="22"/>
          <w:szCs w:val="22"/>
        </w:rPr>
        <w:t>rmulation of the List of Issues</w:t>
      </w:r>
      <w:r w:rsidR="00B91414" w:rsidRPr="00003CF5">
        <w:rPr>
          <w:rFonts w:ascii="Garamond" w:hAnsi="Garamond"/>
          <w:sz w:val="22"/>
          <w:szCs w:val="22"/>
        </w:rPr>
        <w:t xml:space="preserve"> during the 72nd Pre-Sessional Working Group (6-10 March 2023</w:t>
      </w:r>
      <w:r>
        <w:rPr>
          <w:rFonts w:ascii="Garamond" w:hAnsi="Garamond"/>
          <w:sz w:val="22"/>
          <w:szCs w:val="22"/>
        </w:rPr>
        <w:t>)</w:t>
      </w:r>
      <w:r w:rsidR="00B91414" w:rsidRPr="00003CF5">
        <w:rPr>
          <w:rFonts w:ascii="Garamond" w:hAnsi="Garamond"/>
          <w:sz w:val="22"/>
          <w:szCs w:val="22"/>
        </w:rPr>
        <w:t>, leading to the discussion of the Government of Malawi’s First Periodic Report on the implementation of the Covenant on Economic, Social and Cultural Rights (“CESCR” or “Covenant”</w:t>
      </w:r>
      <w:r>
        <w:rPr>
          <w:rFonts w:ascii="Garamond" w:hAnsi="Garamond"/>
          <w:sz w:val="22"/>
          <w:szCs w:val="22"/>
        </w:rPr>
        <w:t>)</w:t>
      </w:r>
      <w:r w:rsidR="00B91414" w:rsidRPr="00003CF5">
        <w:rPr>
          <w:rFonts w:ascii="Garamond" w:hAnsi="Garamond"/>
          <w:sz w:val="22"/>
          <w:szCs w:val="22"/>
        </w:rPr>
        <w:t>. Malawi acceded to the Covenant on 22 December 1993</w:t>
      </w:r>
      <w:r w:rsidR="00B91414" w:rsidRPr="00003CF5">
        <w:rPr>
          <w:rFonts w:ascii="Garamond" w:hAnsi="Garamond"/>
          <w:sz w:val="22"/>
          <w:szCs w:val="22"/>
          <w:highlight w:val="white"/>
        </w:rPr>
        <w:t>.</w:t>
      </w:r>
      <w:r w:rsidR="00B91414" w:rsidRPr="00003CF5">
        <w:rPr>
          <w:rStyle w:val="FootnoteReference"/>
          <w:rFonts w:ascii="Garamond" w:hAnsi="Garamond"/>
          <w:sz w:val="22"/>
          <w:szCs w:val="22"/>
          <w:highlight w:val="white"/>
        </w:rPr>
        <w:footnoteReference w:id="1"/>
      </w:r>
    </w:p>
    <w:p w14:paraId="5D516F0B" w14:textId="26A7F3EE" w:rsidR="00B91414" w:rsidRPr="00003CF5" w:rsidRDefault="00B91414" w:rsidP="00C9095C">
      <w:pPr>
        <w:pStyle w:val="NormalWeb"/>
        <w:widowControl w:val="0"/>
        <w:tabs>
          <w:tab w:val="right" w:leader="dot" w:pos="9270"/>
        </w:tabs>
        <w:spacing w:before="0" w:beforeAutospacing="0" w:after="0" w:afterAutospacing="0" w:line="360" w:lineRule="auto"/>
        <w:ind w:left="-360" w:right="-270" w:firstLine="540"/>
        <w:jc w:val="both"/>
        <w:rPr>
          <w:rFonts w:ascii="Garamond" w:hAnsi="Garamond"/>
          <w:sz w:val="22"/>
          <w:szCs w:val="22"/>
        </w:rPr>
      </w:pPr>
      <w:r w:rsidRPr="00003CF5">
        <w:rPr>
          <w:rFonts w:ascii="Garamond" w:hAnsi="Garamond"/>
          <w:sz w:val="22"/>
          <w:szCs w:val="22"/>
        </w:rPr>
        <w:t>(2</w:t>
      </w:r>
      <w:r w:rsidR="001E1A81">
        <w:rPr>
          <w:rFonts w:ascii="Garamond" w:hAnsi="Garamond"/>
          <w:sz w:val="22"/>
          <w:szCs w:val="22"/>
        </w:rPr>
        <w:t xml:space="preserve">) </w:t>
      </w:r>
      <w:r w:rsidRPr="00003CF5">
        <w:rPr>
          <w:rFonts w:ascii="Garamond" w:hAnsi="Garamond"/>
          <w:sz w:val="22"/>
          <w:szCs w:val="22"/>
        </w:rPr>
        <w:tab/>
        <w:t>This report focuses on access to abortion and post-abortion care in Malawi, which come under the purview of the Covenant (Articles 3, 10, 12 and 15</w:t>
      </w:r>
      <w:r w:rsidR="001E1A81">
        <w:rPr>
          <w:rFonts w:ascii="Garamond" w:hAnsi="Garamond"/>
          <w:sz w:val="22"/>
          <w:szCs w:val="22"/>
        </w:rPr>
        <w:t>)</w:t>
      </w:r>
      <w:r w:rsidRPr="00003CF5">
        <w:rPr>
          <w:rFonts w:ascii="Garamond" w:hAnsi="Garamond"/>
          <w:sz w:val="22"/>
          <w:szCs w:val="22"/>
        </w:rPr>
        <w:t xml:space="preserve">. Malawi allows abortion only in a very limited circumstance, when it is </w:t>
      </w:r>
      <w:r w:rsidRPr="00C9095C">
        <w:rPr>
          <w:rFonts w:ascii="Garamond" w:hAnsi="Garamond"/>
          <w:sz w:val="22"/>
          <w:szCs w:val="22"/>
          <w:highlight w:val="white"/>
        </w:rPr>
        <w:t>performed</w:t>
      </w:r>
      <w:r w:rsidRPr="00003CF5">
        <w:rPr>
          <w:rFonts w:ascii="Garamond" w:hAnsi="Garamond"/>
          <w:i/>
          <w:sz w:val="22"/>
          <w:szCs w:val="22"/>
          <w:highlight w:val="white"/>
        </w:rPr>
        <w:t xml:space="preserve"> “in good faith and with reasonable care and skill a surgical operation upon any person for his benefit, or upon an unborn child for the preservation of the mother’s life, if the performance of the operation is reasonable, having regard to the patient’s state at the time, and to all the circumstances of the case</w:t>
      </w:r>
      <w:r w:rsidRPr="00003CF5">
        <w:rPr>
          <w:rFonts w:ascii="Garamond" w:hAnsi="Garamond"/>
          <w:sz w:val="22"/>
          <w:szCs w:val="22"/>
          <w:highlight w:val="white"/>
        </w:rPr>
        <w:t>.”</w:t>
      </w:r>
      <w:r w:rsidRPr="00003CF5">
        <w:rPr>
          <w:rStyle w:val="FootnoteReference"/>
          <w:rFonts w:ascii="Garamond" w:hAnsi="Garamond"/>
          <w:sz w:val="22"/>
          <w:szCs w:val="22"/>
          <w:highlight w:val="white"/>
        </w:rPr>
        <w:footnoteReference w:id="2"/>
      </w:r>
      <w:r w:rsidRPr="00003CF5">
        <w:rPr>
          <w:rFonts w:ascii="Garamond" w:hAnsi="Garamond"/>
          <w:sz w:val="22"/>
          <w:szCs w:val="22"/>
        </w:rPr>
        <w:t xml:space="preserve"> In all other circumstances, it is a crime that carries stiff penalties.</w:t>
      </w:r>
    </w:p>
    <w:p w14:paraId="181DEC77" w14:textId="0330EF41" w:rsidR="00B91414" w:rsidRPr="00003CF5" w:rsidRDefault="00B91414" w:rsidP="00C9095C">
      <w:pPr>
        <w:widowControl w:val="0"/>
        <w:tabs>
          <w:tab w:val="right" w:leader="dot" w:pos="9270"/>
        </w:tabs>
        <w:spacing w:line="360" w:lineRule="auto"/>
        <w:ind w:left="-360" w:right="-270" w:firstLine="540"/>
        <w:jc w:val="both"/>
        <w:rPr>
          <w:rFonts w:ascii="Garamond" w:hAnsi="Garamond"/>
          <w:sz w:val="22"/>
          <w:szCs w:val="22"/>
        </w:rPr>
      </w:pPr>
      <w:r w:rsidRPr="00003CF5">
        <w:rPr>
          <w:rFonts w:ascii="Garamond" w:hAnsi="Garamond"/>
          <w:sz w:val="22"/>
          <w:szCs w:val="22"/>
          <w:highlight w:val="white"/>
        </w:rPr>
        <w:t>(3</w:t>
      </w:r>
      <w:r w:rsidR="001E1A81">
        <w:rPr>
          <w:rFonts w:ascii="Garamond" w:hAnsi="Garamond"/>
          <w:sz w:val="22"/>
          <w:szCs w:val="22"/>
          <w:highlight w:val="white"/>
        </w:rPr>
        <w:t xml:space="preserve">) </w:t>
      </w:r>
      <w:r w:rsidRPr="00003CF5">
        <w:rPr>
          <w:rFonts w:ascii="Garamond" w:hAnsi="Garamond"/>
          <w:sz w:val="22"/>
          <w:szCs w:val="22"/>
          <w:highlight w:val="white"/>
        </w:rPr>
        <w:tab/>
        <w:t xml:space="preserve">Statistics on abortion in Malawi are scarce. However, a survey done by </w:t>
      </w:r>
      <w:r w:rsidR="00466421">
        <w:rPr>
          <w:rFonts w:ascii="Garamond" w:hAnsi="Garamond"/>
          <w:sz w:val="22"/>
          <w:szCs w:val="22"/>
        </w:rPr>
        <w:t xml:space="preserve">the </w:t>
      </w:r>
      <w:r w:rsidR="00063A8D" w:rsidRPr="00003CF5">
        <w:rPr>
          <w:rFonts w:ascii="Garamond" w:hAnsi="Garamond"/>
          <w:sz w:val="22"/>
          <w:szCs w:val="22"/>
        </w:rPr>
        <w:t>Guttmacher Institute</w:t>
      </w:r>
      <w:r w:rsidRPr="00003CF5">
        <w:rPr>
          <w:rFonts w:ascii="Garamond" w:hAnsi="Garamond"/>
          <w:sz w:val="22"/>
          <w:szCs w:val="22"/>
        </w:rPr>
        <w:t xml:space="preserve"> reported</w:t>
      </w:r>
      <w:r w:rsidR="00063A8D" w:rsidRPr="00003CF5">
        <w:rPr>
          <w:rFonts w:ascii="Garamond" w:hAnsi="Garamond"/>
          <w:sz w:val="22"/>
          <w:szCs w:val="22"/>
        </w:rPr>
        <w:t xml:space="preserve"> </w:t>
      </w:r>
      <w:r w:rsidRPr="00003CF5">
        <w:rPr>
          <w:rFonts w:ascii="Garamond" w:hAnsi="Garamond"/>
          <w:sz w:val="22"/>
          <w:szCs w:val="22"/>
          <w:highlight w:val="white"/>
        </w:rPr>
        <w:t>141,000 abortions in 2015.</w:t>
      </w:r>
      <w:r w:rsidRPr="00003CF5">
        <w:rPr>
          <w:rFonts w:ascii="Garamond" w:hAnsi="Garamond"/>
          <w:sz w:val="22"/>
          <w:szCs w:val="22"/>
          <w:highlight w:val="white"/>
          <w:vertAlign w:val="superscript"/>
        </w:rPr>
        <w:t xml:space="preserve"> </w:t>
      </w:r>
      <w:r w:rsidRPr="00003CF5">
        <w:rPr>
          <w:rFonts w:ascii="Garamond" w:hAnsi="Garamond"/>
          <w:sz w:val="22"/>
          <w:szCs w:val="22"/>
          <w:highlight w:val="white"/>
          <w:vertAlign w:val="superscript"/>
        </w:rPr>
        <w:footnoteReference w:id="3"/>
      </w:r>
      <w:r w:rsidRPr="00003CF5">
        <w:rPr>
          <w:rFonts w:ascii="Garamond" w:hAnsi="Garamond"/>
          <w:sz w:val="22"/>
          <w:szCs w:val="22"/>
          <w:highlight w:val="white"/>
        </w:rPr>
        <w:t xml:space="preserve"> That </w:t>
      </w:r>
      <w:r w:rsidR="00466421">
        <w:rPr>
          <w:rFonts w:ascii="Garamond" w:hAnsi="Garamond"/>
          <w:sz w:val="22"/>
          <w:szCs w:val="22"/>
          <w:highlight w:val="white"/>
        </w:rPr>
        <w:t>is</w:t>
      </w:r>
      <w:r w:rsidR="005650DA">
        <w:rPr>
          <w:rFonts w:ascii="Garamond" w:hAnsi="Garamond"/>
          <w:sz w:val="22"/>
          <w:szCs w:val="22"/>
          <w:highlight w:val="white"/>
        </w:rPr>
        <w:t>,</w:t>
      </w:r>
      <w:r w:rsidRPr="00003CF5">
        <w:rPr>
          <w:rFonts w:ascii="Garamond" w:hAnsi="Garamond"/>
          <w:sz w:val="22"/>
          <w:szCs w:val="22"/>
          <w:highlight w:val="white"/>
        </w:rPr>
        <w:t xml:space="preserve"> </w:t>
      </w:r>
      <w:r w:rsidR="005650DA">
        <w:rPr>
          <w:rFonts w:ascii="Garamond" w:hAnsi="Garamond"/>
          <w:sz w:val="22"/>
          <w:szCs w:val="22"/>
          <w:highlight w:val="white"/>
        </w:rPr>
        <w:t xml:space="preserve">an abortion rate of </w:t>
      </w:r>
      <w:r w:rsidRPr="00003CF5">
        <w:rPr>
          <w:rFonts w:ascii="Garamond" w:hAnsi="Garamond"/>
          <w:sz w:val="22"/>
          <w:szCs w:val="22"/>
          <w:highlight w:val="white"/>
        </w:rPr>
        <w:t xml:space="preserve">38 abortions per 1,000 women of reproductive age, </w:t>
      </w:r>
      <w:r w:rsidR="005650DA">
        <w:rPr>
          <w:rFonts w:ascii="Garamond" w:hAnsi="Garamond"/>
          <w:sz w:val="22"/>
          <w:szCs w:val="22"/>
          <w:highlight w:val="white"/>
        </w:rPr>
        <w:t>which</w:t>
      </w:r>
      <w:r w:rsidRPr="00003CF5">
        <w:rPr>
          <w:rFonts w:ascii="Garamond" w:hAnsi="Garamond"/>
          <w:sz w:val="22"/>
          <w:szCs w:val="22"/>
          <w:highlight w:val="white"/>
        </w:rPr>
        <w:t xml:space="preserve"> indicates that abortion is common in Malawi, Penal Code provisions notwithstanding. However, because abortion is criminalized, the majority of those procedures were performed secretly by untrained practitioners and in unsafe conditions.</w:t>
      </w:r>
      <w:r w:rsidRPr="00003CF5">
        <w:rPr>
          <w:rFonts w:ascii="Garamond" w:hAnsi="Garamond"/>
          <w:sz w:val="22"/>
          <w:szCs w:val="22"/>
          <w:highlight w:val="white"/>
          <w:vertAlign w:val="superscript"/>
        </w:rPr>
        <w:footnoteReference w:id="4"/>
      </w:r>
      <w:r w:rsidRPr="00003CF5">
        <w:rPr>
          <w:rFonts w:ascii="Garamond" w:hAnsi="Garamond"/>
          <w:sz w:val="22"/>
          <w:szCs w:val="22"/>
        </w:rPr>
        <w:t xml:space="preserve"> </w:t>
      </w:r>
    </w:p>
    <w:p w14:paraId="4F05412F" w14:textId="37BF9058" w:rsidR="00B91414" w:rsidRPr="00003CF5" w:rsidRDefault="00B91414" w:rsidP="00C9095C">
      <w:pPr>
        <w:widowControl w:val="0"/>
        <w:tabs>
          <w:tab w:val="right" w:leader="dot" w:pos="9270"/>
        </w:tabs>
        <w:spacing w:line="360" w:lineRule="auto"/>
        <w:ind w:left="-360" w:right="-270" w:firstLine="540"/>
        <w:jc w:val="both"/>
        <w:rPr>
          <w:rFonts w:ascii="Garamond" w:hAnsi="Garamond"/>
          <w:i/>
          <w:iCs/>
          <w:sz w:val="22"/>
          <w:szCs w:val="22"/>
          <w:highlight w:val="white"/>
        </w:rPr>
      </w:pPr>
      <w:r w:rsidRPr="00003CF5">
        <w:rPr>
          <w:rFonts w:ascii="Garamond" w:hAnsi="Garamond"/>
          <w:sz w:val="22"/>
          <w:szCs w:val="22"/>
          <w:highlight w:val="white"/>
        </w:rPr>
        <w:t>(4</w:t>
      </w:r>
      <w:r w:rsidR="001E1A81">
        <w:rPr>
          <w:rFonts w:ascii="Garamond" w:hAnsi="Garamond"/>
          <w:sz w:val="22"/>
          <w:szCs w:val="22"/>
          <w:highlight w:val="white"/>
        </w:rPr>
        <w:t xml:space="preserve">) </w:t>
      </w:r>
      <w:r w:rsidRPr="00003CF5">
        <w:rPr>
          <w:rFonts w:ascii="Garamond" w:hAnsi="Garamond"/>
          <w:sz w:val="22"/>
          <w:szCs w:val="22"/>
          <w:highlight w:val="white"/>
        </w:rPr>
        <w:tab/>
        <w:t xml:space="preserve">There are many reasons why women </w:t>
      </w:r>
      <w:r w:rsidR="005650DA">
        <w:rPr>
          <w:rFonts w:ascii="Garamond" w:hAnsi="Garamond"/>
          <w:sz w:val="22"/>
          <w:szCs w:val="22"/>
          <w:highlight w:val="white"/>
        </w:rPr>
        <w:t>decide</w:t>
      </w:r>
      <w:r w:rsidRPr="00003CF5">
        <w:rPr>
          <w:rFonts w:ascii="Garamond" w:hAnsi="Garamond"/>
          <w:sz w:val="22"/>
          <w:szCs w:val="22"/>
          <w:highlight w:val="white"/>
        </w:rPr>
        <w:t xml:space="preserve"> to have an abortion. Especially for adolescent girls, it can be dangerous to carry a pregnancy to full term. </w:t>
      </w:r>
      <w:r w:rsidR="005650DA">
        <w:rPr>
          <w:rFonts w:ascii="Garamond" w:hAnsi="Garamond"/>
          <w:sz w:val="22"/>
          <w:szCs w:val="22"/>
          <w:highlight w:val="white"/>
        </w:rPr>
        <w:t>The</w:t>
      </w:r>
      <w:r w:rsidRPr="00003CF5">
        <w:rPr>
          <w:rFonts w:ascii="Garamond" w:hAnsi="Garamond"/>
          <w:sz w:val="22"/>
          <w:szCs w:val="22"/>
          <w:highlight w:val="white"/>
        </w:rPr>
        <w:t xml:space="preserve"> risk of death from abortion through the middle of the second trimester </w:t>
      </w:r>
      <w:r w:rsidRPr="00003CF5">
        <w:rPr>
          <w:rFonts w:ascii="Garamond" w:hAnsi="Garamond"/>
          <w:sz w:val="22"/>
          <w:szCs w:val="22"/>
          <w:highlight w:val="white"/>
        </w:rPr>
        <w:lastRenderedPageBreak/>
        <w:t xml:space="preserve">is lower than the risk of death </w:t>
      </w:r>
      <w:r w:rsidR="00E944D2">
        <w:rPr>
          <w:rFonts w:ascii="Garamond" w:hAnsi="Garamond"/>
          <w:sz w:val="22"/>
          <w:szCs w:val="22"/>
          <w:highlight w:val="white"/>
        </w:rPr>
        <w:t>at</w:t>
      </w:r>
      <w:r w:rsidR="00E944D2" w:rsidRPr="00003CF5">
        <w:rPr>
          <w:rFonts w:ascii="Garamond" w:hAnsi="Garamond"/>
          <w:sz w:val="22"/>
          <w:szCs w:val="22"/>
          <w:highlight w:val="white"/>
        </w:rPr>
        <w:t xml:space="preserve"> </w:t>
      </w:r>
      <w:r w:rsidRPr="00003CF5">
        <w:rPr>
          <w:rFonts w:ascii="Garamond" w:hAnsi="Garamond"/>
          <w:sz w:val="22"/>
          <w:szCs w:val="22"/>
          <w:highlight w:val="white"/>
        </w:rPr>
        <w:t>childbirth.</w:t>
      </w:r>
      <w:r w:rsidRPr="00003CF5">
        <w:rPr>
          <w:rFonts w:ascii="Garamond" w:hAnsi="Garamond"/>
          <w:sz w:val="22"/>
          <w:szCs w:val="22"/>
          <w:highlight w:val="white"/>
          <w:vertAlign w:val="superscript"/>
        </w:rPr>
        <w:footnoteReference w:id="5"/>
      </w:r>
      <w:r w:rsidRPr="00003CF5">
        <w:rPr>
          <w:rFonts w:ascii="Garamond" w:hAnsi="Garamond"/>
          <w:sz w:val="22"/>
          <w:szCs w:val="22"/>
          <w:highlight w:val="white"/>
        </w:rPr>
        <w:t xml:space="preserve"> When pregnancy is a result of rape, the woman may not want a reminder of the trauma. Women may not be financially stable enough to feed and care for a baby or may discover the fetus has crippling birth defects. Women may have their own health problems that make pregnancy dangerous.</w:t>
      </w:r>
      <w:r w:rsidRPr="00003CF5">
        <w:rPr>
          <w:rStyle w:val="FootnoteReference"/>
          <w:rFonts w:ascii="Garamond" w:hAnsi="Garamond"/>
          <w:sz w:val="22"/>
          <w:szCs w:val="22"/>
          <w:highlight w:val="white"/>
        </w:rPr>
        <w:footnoteReference w:id="6"/>
      </w:r>
      <w:r w:rsidRPr="00003CF5">
        <w:rPr>
          <w:rFonts w:ascii="Garamond" w:hAnsi="Garamond"/>
          <w:sz w:val="22"/>
          <w:szCs w:val="22"/>
          <w:highlight w:val="white"/>
        </w:rPr>
        <w:t xml:space="preserve"> Whatever the reasons, the Covenant demands that women must be free to make their own reproductive health choices. </w:t>
      </w:r>
      <w:r w:rsidRPr="00003CF5">
        <w:rPr>
          <w:rFonts w:ascii="Garamond" w:hAnsi="Garamond"/>
          <w:sz w:val="22"/>
          <w:szCs w:val="22"/>
        </w:rPr>
        <w:t xml:space="preserve">Progress </w:t>
      </w:r>
      <w:r w:rsidRPr="00003CF5">
        <w:rPr>
          <w:rFonts w:ascii="Garamond" w:hAnsi="Garamond"/>
          <w:sz w:val="22"/>
          <w:szCs w:val="22"/>
          <w:highlight w:val="white"/>
        </w:rPr>
        <w:t>towards expanding access to safe abortion</w:t>
      </w:r>
      <w:r w:rsidRPr="00003CF5">
        <w:rPr>
          <w:rFonts w:ascii="Garamond" w:hAnsi="Garamond"/>
          <w:sz w:val="22"/>
          <w:szCs w:val="22"/>
        </w:rPr>
        <w:t xml:space="preserve"> is needed to ensure women are enjoying their rights under the Covenant. Decriminalization of abortion is an important first step in ensuring that Malawi complies with its international legal obligations. The current law undermines bodily autonomy and removes women’s control of reproductive decisions by government interference. This results in a discriminatory legal framework, and women facing physical and mental health implications.</w:t>
      </w:r>
    </w:p>
    <w:p w14:paraId="17A28B82" w14:textId="4B11517B" w:rsidR="00B91414" w:rsidRPr="00003CF5" w:rsidRDefault="00B91414" w:rsidP="00C9095C">
      <w:pPr>
        <w:pStyle w:val="NormalWeb"/>
        <w:widowControl w:val="0"/>
        <w:tabs>
          <w:tab w:val="right" w:leader="dot" w:pos="9270"/>
        </w:tabs>
        <w:spacing w:before="0" w:beforeAutospacing="0" w:after="0" w:afterAutospacing="0" w:line="360" w:lineRule="auto"/>
        <w:ind w:left="-360" w:right="-270" w:firstLine="540"/>
        <w:jc w:val="both"/>
        <w:rPr>
          <w:rFonts w:ascii="Garamond" w:hAnsi="Garamond"/>
          <w:sz w:val="22"/>
          <w:szCs w:val="22"/>
        </w:rPr>
      </w:pPr>
      <w:r w:rsidRPr="00003CF5">
        <w:rPr>
          <w:rFonts w:ascii="Garamond" w:hAnsi="Garamond"/>
          <w:sz w:val="22"/>
          <w:szCs w:val="22"/>
          <w:highlight w:val="white"/>
        </w:rPr>
        <w:t>(5</w:t>
      </w:r>
      <w:r w:rsidR="001E1A81">
        <w:rPr>
          <w:rFonts w:ascii="Garamond" w:hAnsi="Garamond"/>
          <w:sz w:val="22"/>
          <w:szCs w:val="22"/>
          <w:highlight w:val="white"/>
        </w:rPr>
        <w:t xml:space="preserve">) </w:t>
      </w:r>
      <w:r w:rsidRPr="00003CF5">
        <w:rPr>
          <w:rFonts w:ascii="Garamond" w:hAnsi="Garamond"/>
          <w:sz w:val="22"/>
          <w:szCs w:val="22"/>
          <w:highlight w:val="white"/>
        </w:rPr>
        <w:t xml:space="preserve">Malawi’s first periodic report, submitted in April 2022, does not acknowledge that its mortality rate is higher than </w:t>
      </w:r>
      <w:r w:rsidR="006658BC" w:rsidRPr="00003CF5">
        <w:rPr>
          <w:rFonts w:ascii="Garamond" w:hAnsi="Garamond"/>
          <w:sz w:val="22"/>
          <w:szCs w:val="22"/>
          <w:highlight w:val="white"/>
        </w:rPr>
        <w:t>most countries</w:t>
      </w:r>
      <w:r w:rsidRPr="00003CF5">
        <w:rPr>
          <w:rFonts w:ascii="Garamond" w:hAnsi="Garamond"/>
          <w:sz w:val="22"/>
          <w:szCs w:val="22"/>
          <w:highlight w:val="white"/>
        </w:rPr>
        <w:t>, or the impact its abortion laws may have on this rate.</w:t>
      </w:r>
      <w:r w:rsidRPr="00003CF5">
        <w:rPr>
          <w:rStyle w:val="FootnoteReference"/>
          <w:rFonts w:ascii="Garamond" w:hAnsi="Garamond"/>
          <w:sz w:val="22"/>
          <w:szCs w:val="22"/>
          <w:highlight w:val="white"/>
        </w:rPr>
        <w:footnoteReference w:id="7"/>
      </w:r>
      <w:r w:rsidRPr="00003CF5">
        <w:rPr>
          <w:rFonts w:ascii="Garamond" w:hAnsi="Garamond"/>
          <w:sz w:val="22"/>
          <w:szCs w:val="22"/>
          <w:highlight w:val="white"/>
        </w:rPr>
        <w:t xml:space="preserve"> At the same time, Malawi does state </w:t>
      </w:r>
      <w:r w:rsidR="005650DA">
        <w:rPr>
          <w:rFonts w:ascii="Garamond" w:hAnsi="Garamond"/>
          <w:sz w:val="22"/>
          <w:szCs w:val="22"/>
          <w:highlight w:val="white"/>
        </w:rPr>
        <w:t xml:space="preserve">that </w:t>
      </w:r>
      <w:r w:rsidRPr="00003CF5">
        <w:rPr>
          <w:rFonts w:ascii="Garamond" w:hAnsi="Garamond"/>
          <w:sz w:val="22"/>
          <w:szCs w:val="22"/>
          <w:highlight w:val="white"/>
        </w:rPr>
        <w:t xml:space="preserve">it intends to reduce </w:t>
      </w:r>
      <w:r w:rsidR="005650DA">
        <w:rPr>
          <w:rFonts w:ascii="Garamond" w:hAnsi="Garamond"/>
          <w:sz w:val="22"/>
          <w:szCs w:val="22"/>
          <w:highlight w:val="white"/>
        </w:rPr>
        <w:t xml:space="preserve">the </w:t>
      </w:r>
      <w:r w:rsidRPr="00003CF5">
        <w:rPr>
          <w:rFonts w:ascii="Garamond" w:hAnsi="Garamond"/>
          <w:sz w:val="22"/>
          <w:szCs w:val="22"/>
          <w:highlight w:val="white"/>
        </w:rPr>
        <w:t>maternal mortality rate by 20%.</w:t>
      </w:r>
      <w:r w:rsidRPr="00003CF5">
        <w:rPr>
          <w:rStyle w:val="FootnoteReference"/>
          <w:rFonts w:ascii="Garamond" w:hAnsi="Garamond"/>
          <w:sz w:val="22"/>
          <w:szCs w:val="22"/>
          <w:highlight w:val="white"/>
        </w:rPr>
        <w:footnoteReference w:id="8"/>
      </w:r>
      <w:r w:rsidRPr="00003CF5">
        <w:rPr>
          <w:rFonts w:ascii="Garamond" w:hAnsi="Garamond"/>
          <w:sz w:val="22"/>
          <w:szCs w:val="22"/>
          <w:highlight w:val="white"/>
        </w:rPr>
        <w:t xml:space="preserve"> </w:t>
      </w:r>
      <w:r w:rsidRPr="00003CF5">
        <w:rPr>
          <w:rFonts w:ascii="Garamond" w:hAnsi="Garamond"/>
          <w:sz w:val="22"/>
          <w:szCs w:val="22"/>
        </w:rPr>
        <w:t>Although t</w:t>
      </w:r>
      <w:r w:rsidRPr="00003CF5">
        <w:rPr>
          <w:rFonts w:ascii="Garamond" w:hAnsi="Garamond"/>
          <w:sz w:val="22"/>
          <w:szCs w:val="22"/>
          <w:highlight w:val="white"/>
        </w:rPr>
        <w:t xml:space="preserve">he report brings attention to the need to ensure gender </w:t>
      </w:r>
      <w:r w:rsidR="006658BC" w:rsidRPr="00003CF5">
        <w:rPr>
          <w:rFonts w:ascii="Garamond" w:hAnsi="Garamond"/>
          <w:sz w:val="22"/>
          <w:szCs w:val="22"/>
          <w:highlight w:val="white"/>
        </w:rPr>
        <w:t>equality</w:t>
      </w:r>
      <w:r w:rsidRPr="00003CF5">
        <w:rPr>
          <w:rFonts w:ascii="Garamond" w:hAnsi="Garamond"/>
          <w:sz w:val="22"/>
          <w:szCs w:val="22"/>
          <w:highlight w:val="white"/>
        </w:rPr>
        <w:t xml:space="preserve"> in health services and sexual reproductive health rights, it </w:t>
      </w:r>
      <w:r w:rsidR="005650DA">
        <w:rPr>
          <w:rFonts w:ascii="Garamond" w:hAnsi="Garamond"/>
          <w:sz w:val="22"/>
          <w:szCs w:val="22"/>
          <w:highlight w:val="white"/>
        </w:rPr>
        <w:t>does not mention</w:t>
      </w:r>
      <w:r w:rsidRPr="00003CF5">
        <w:rPr>
          <w:rFonts w:ascii="Garamond" w:hAnsi="Garamond"/>
          <w:sz w:val="22"/>
          <w:szCs w:val="22"/>
          <w:highlight w:val="white"/>
        </w:rPr>
        <w:t xml:space="preserve"> abortion or post-abortion care.</w:t>
      </w:r>
      <w:r w:rsidRPr="00003CF5">
        <w:rPr>
          <w:rStyle w:val="FootnoteReference"/>
          <w:rFonts w:ascii="Garamond" w:hAnsi="Garamond"/>
          <w:sz w:val="22"/>
          <w:szCs w:val="22"/>
          <w:highlight w:val="white"/>
        </w:rPr>
        <w:footnoteReference w:id="9"/>
      </w:r>
      <w:r w:rsidRPr="00003CF5">
        <w:rPr>
          <w:rFonts w:ascii="Garamond" w:hAnsi="Garamond"/>
          <w:sz w:val="22"/>
          <w:szCs w:val="22"/>
        </w:rPr>
        <w:t xml:space="preserve"> This report intends to fill these gaps.</w:t>
      </w:r>
    </w:p>
    <w:p w14:paraId="51CEAF20" w14:textId="77777777" w:rsidR="00B91414" w:rsidRPr="00003CF5" w:rsidRDefault="00B91414" w:rsidP="00C9095C">
      <w:pPr>
        <w:pStyle w:val="Heading1"/>
        <w:tabs>
          <w:tab w:val="right" w:leader="dot" w:pos="9270"/>
        </w:tabs>
        <w:ind w:left="-360" w:right="-270" w:firstLine="540"/>
        <w:rPr>
          <w:sz w:val="22"/>
          <w:szCs w:val="22"/>
        </w:rPr>
      </w:pPr>
      <w:bookmarkStart w:id="1" w:name="_Toc123043557"/>
      <w:r w:rsidRPr="00003CF5">
        <w:rPr>
          <w:sz w:val="22"/>
          <w:szCs w:val="22"/>
        </w:rPr>
        <w:t>ABOUT THE AUTHORS OF THIS REPORT AND SOURCES</w:t>
      </w:r>
      <w:bookmarkEnd w:id="1"/>
    </w:p>
    <w:p w14:paraId="0121419C" w14:textId="6E2E1028" w:rsidR="00B91414" w:rsidRPr="00003CF5" w:rsidRDefault="00B91414" w:rsidP="00C9095C">
      <w:pPr>
        <w:pStyle w:val="NormalWeb"/>
        <w:widowControl w:val="0"/>
        <w:tabs>
          <w:tab w:val="right" w:leader="dot" w:pos="9270"/>
        </w:tabs>
        <w:spacing w:before="0" w:beforeAutospacing="0" w:after="0" w:afterAutospacing="0" w:line="360" w:lineRule="auto"/>
        <w:ind w:left="-360" w:right="-270" w:firstLine="540"/>
        <w:jc w:val="both"/>
        <w:rPr>
          <w:rFonts w:ascii="Garamond" w:hAnsi="Garamond"/>
          <w:sz w:val="22"/>
          <w:szCs w:val="22"/>
        </w:rPr>
      </w:pPr>
      <w:r w:rsidRPr="00003CF5">
        <w:rPr>
          <w:rFonts w:ascii="Garamond" w:hAnsi="Garamond"/>
          <w:sz w:val="22"/>
          <w:szCs w:val="22"/>
        </w:rPr>
        <w:t>(6</w:t>
      </w:r>
      <w:r w:rsidR="001E1A81">
        <w:rPr>
          <w:rFonts w:ascii="Garamond" w:hAnsi="Garamond"/>
          <w:sz w:val="22"/>
          <w:szCs w:val="22"/>
        </w:rPr>
        <w:t xml:space="preserve">) </w:t>
      </w:r>
      <w:r w:rsidRPr="00003CF5">
        <w:rPr>
          <w:rStyle w:val="apple-tab-span"/>
          <w:rFonts w:ascii="Garamond" w:hAnsi="Garamond"/>
          <w:sz w:val="22"/>
          <w:szCs w:val="22"/>
        </w:rPr>
        <w:tab/>
      </w:r>
      <w:r w:rsidRPr="00003CF5">
        <w:rPr>
          <w:rFonts w:ascii="Garamond" w:hAnsi="Garamond"/>
          <w:sz w:val="22"/>
          <w:szCs w:val="22"/>
        </w:rPr>
        <w:t xml:space="preserve">This report has been prepared by Megan Mars, JD Candidate 2023, Cailin Ruff, JD Candidate 2024, and </w:t>
      </w:r>
      <w:proofErr w:type="spellStart"/>
      <w:r w:rsidRPr="00003CF5">
        <w:rPr>
          <w:rFonts w:ascii="Garamond" w:hAnsi="Garamond"/>
          <w:sz w:val="22"/>
          <w:szCs w:val="22"/>
        </w:rPr>
        <w:t>Stavroula</w:t>
      </w:r>
      <w:proofErr w:type="spellEnd"/>
      <w:r w:rsidRPr="00003CF5">
        <w:rPr>
          <w:rFonts w:ascii="Garamond" w:hAnsi="Garamond"/>
          <w:sz w:val="22"/>
          <w:szCs w:val="22"/>
        </w:rPr>
        <w:t xml:space="preserve"> </w:t>
      </w:r>
      <w:proofErr w:type="spellStart"/>
      <w:r w:rsidRPr="00003CF5">
        <w:rPr>
          <w:rFonts w:ascii="Garamond" w:hAnsi="Garamond"/>
          <w:sz w:val="22"/>
          <w:szCs w:val="22"/>
        </w:rPr>
        <w:t>Kyriazis</w:t>
      </w:r>
      <w:proofErr w:type="spellEnd"/>
      <w:r w:rsidRPr="00003CF5">
        <w:rPr>
          <w:rFonts w:ascii="Garamond" w:hAnsi="Garamond"/>
          <w:sz w:val="22"/>
          <w:szCs w:val="22"/>
        </w:rPr>
        <w:t>, JD Candidate 2024, of the International Human Rights Center of Loyola Law School, Los Angeles, under the supervision of Professor Cesare Romano.</w:t>
      </w:r>
      <w:r w:rsidR="00C4441B">
        <w:rPr>
          <w:rFonts w:ascii="Garamond" w:hAnsi="Garamond"/>
          <w:sz w:val="22"/>
          <w:szCs w:val="22"/>
        </w:rPr>
        <w:t xml:space="preserve"> This report has been prepared in collaboration with Chimwemwe </w:t>
      </w:r>
      <w:proofErr w:type="spellStart"/>
      <w:r w:rsidR="00C4441B">
        <w:rPr>
          <w:rFonts w:ascii="Garamond" w:hAnsi="Garamond"/>
          <w:sz w:val="22"/>
          <w:szCs w:val="22"/>
        </w:rPr>
        <w:t>Mlombwa</w:t>
      </w:r>
      <w:proofErr w:type="spellEnd"/>
      <w:r w:rsidR="00C4441B">
        <w:rPr>
          <w:rFonts w:ascii="Garamond" w:hAnsi="Garamond"/>
          <w:sz w:val="22"/>
          <w:szCs w:val="22"/>
        </w:rPr>
        <w:t xml:space="preserve">, of the </w:t>
      </w:r>
      <w:r w:rsidR="00C4441B" w:rsidRPr="00003CF5">
        <w:rPr>
          <w:rFonts w:ascii="Garamond" w:eastAsia="Garamond" w:hAnsi="Garamond" w:cs="Garamond"/>
          <w:sz w:val="22"/>
          <w:szCs w:val="22"/>
        </w:rPr>
        <w:t>Young Women’s Consortium (YOWCO</w:t>
      </w:r>
      <w:r w:rsidR="00C4441B">
        <w:rPr>
          <w:rFonts w:ascii="Garamond" w:eastAsia="Garamond" w:hAnsi="Garamond" w:cs="Garamond"/>
          <w:sz w:val="22"/>
          <w:szCs w:val="22"/>
        </w:rPr>
        <w:t xml:space="preserve">), Clara Lungu, of the </w:t>
      </w:r>
      <w:r w:rsidR="00C4441B" w:rsidRPr="00003CF5">
        <w:rPr>
          <w:rFonts w:ascii="Garamond" w:hAnsi="Garamond"/>
          <w:sz w:val="22"/>
          <w:szCs w:val="22"/>
        </w:rPr>
        <w:t>Woman and Law in South</w:t>
      </w:r>
      <w:r w:rsidR="00547118">
        <w:rPr>
          <w:rFonts w:ascii="Garamond" w:hAnsi="Garamond"/>
          <w:sz w:val="22"/>
          <w:szCs w:val="22"/>
        </w:rPr>
        <w:t>ern</w:t>
      </w:r>
      <w:r w:rsidR="00C4441B" w:rsidRPr="00003CF5">
        <w:rPr>
          <w:rFonts w:ascii="Garamond" w:hAnsi="Garamond"/>
          <w:sz w:val="22"/>
          <w:szCs w:val="22"/>
        </w:rPr>
        <w:t xml:space="preserve"> Africa Research and Education Trust (WLSA</w:t>
      </w:r>
      <w:r w:rsidR="00C4441B">
        <w:rPr>
          <w:rFonts w:ascii="Garamond" w:hAnsi="Garamond"/>
          <w:sz w:val="22"/>
          <w:szCs w:val="22"/>
        </w:rPr>
        <w:t xml:space="preserve">), and Dr. Godfrey </w:t>
      </w:r>
      <w:proofErr w:type="spellStart"/>
      <w:r w:rsidR="00C4441B">
        <w:rPr>
          <w:rFonts w:ascii="Garamond" w:hAnsi="Garamond"/>
          <w:sz w:val="22"/>
          <w:szCs w:val="22"/>
        </w:rPr>
        <w:t>Kangaude</w:t>
      </w:r>
      <w:proofErr w:type="spellEnd"/>
      <w:r w:rsidR="00C4441B">
        <w:rPr>
          <w:rFonts w:ascii="Garamond" w:hAnsi="Garamond"/>
          <w:sz w:val="22"/>
          <w:szCs w:val="22"/>
        </w:rPr>
        <w:t>, of the Nyale Institute.</w:t>
      </w:r>
    </w:p>
    <w:p w14:paraId="73DEAF1F" w14:textId="2B50C485" w:rsidR="00B91414" w:rsidRPr="00003CF5" w:rsidRDefault="00B91414" w:rsidP="00C9095C">
      <w:pPr>
        <w:pStyle w:val="NormalWeb"/>
        <w:widowControl w:val="0"/>
        <w:tabs>
          <w:tab w:val="right" w:leader="dot" w:pos="9270"/>
        </w:tabs>
        <w:spacing w:before="0" w:beforeAutospacing="0" w:after="0" w:afterAutospacing="0" w:line="360" w:lineRule="auto"/>
        <w:ind w:left="-360" w:right="-270" w:firstLine="540"/>
        <w:jc w:val="both"/>
        <w:rPr>
          <w:rFonts w:ascii="Garamond" w:hAnsi="Garamond"/>
          <w:sz w:val="22"/>
          <w:szCs w:val="22"/>
        </w:rPr>
      </w:pPr>
      <w:r w:rsidRPr="00003CF5">
        <w:rPr>
          <w:rFonts w:ascii="Garamond" w:hAnsi="Garamond"/>
          <w:sz w:val="22"/>
          <w:szCs w:val="22"/>
        </w:rPr>
        <w:t>(</w:t>
      </w:r>
      <w:r w:rsidR="00737A33">
        <w:rPr>
          <w:rFonts w:ascii="Garamond" w:hAnsi="Garamond"/>
          <w:sz w:val="22"/>
          <w:szCs w:val="22"/>
        </w:rPr>
        <w:t>7</w:t>
      </w:r>
      <w:r w:rsidR="001E1A81">
        <w:rPr>
          <w:rFonts w:ascii="Garamond" w:hAnsi="Garamond"/>
          <w:sz w:val="22"/>
          <w:szCs w:val="22"/>
        </w:rPr>
        <w:t xml:space="preserve">) </w:t>
      </w:r>
      <w:r w:rsidRPr="00003CF5">
        <w:rPr>
          <w:rStyle w:val="apple-tab-span"/>
          <w:rFonts w:ascii="Garamond" w:hAnsi="Garamond"/>
          <w:sz w:val="22"/>
          <w:szCs w:val="22"/>
        </w:rPr>
        <w:tab/>
      </w:r>
      <w:r w:rsidRPr="00003CF5">
        <w:rPr>
          <w:rFonts w:ascii="Garamond" w:hAnsi="Garamond"/>
          <w:sz w:val="22"/>
          <w:szCs w:val="22"/>
        </w:rPr>
        <w:t xml:space="preserve">The International Human Rights Center of Loyola Law School, Los Angeles is committed to achieving the full exercise of human rights by all </w:t>
      </w:r>
      <w:proofErr w:type="gramStart"/>
      <w:r w:rsidRPr="00003CF5">
        <w:rPr>
          <w:rFonts w:ascii="Garamond" w:hAnsi="Garamond"/>
          <w:sz w:val="22"/>
          <w:szCs w:val="22"/>
        </w:rPr>
        <w:t>persons, and</w:t>
      </w:r>
      <w:proofErr w:type="gramEnd"/>
      <w:r w:rsidRPr="00003CF5">
        <w:rPr>
          <w:rFonts w:ascii="Garamond" w:hAnsi="Garamond"/>
          <w:sz w:val="22"/>
          <w:szCs w:val="22"/>
        </w:rPr>
        <w:t xml:space="preserve"> seeks to maximize the use of international and regional political, </w:t>
      </w:r>
      <w:r w:rsidRPr="00003CF5">
        <w:rPr>
          <w:rFonts w:ascii="Garamond" w:hAnsi="Garamond"/>
          <w:sz w:val="22"/>
          <w:szCs w:val="22"/>
        </w:rPr>
        <w:lastRenderedPageBreak/>
        <w:t>judicial, and quasi-judicial bodies through litigation, advocacy, and capacity-building. Loyola Law School, Los Angeles is the school of law of Loyola Marymount University, a Jesuit university.</w:t>
      </w:r>
    </w:p>
    <w:p w14:paraId="40F133F8" w14:textId="3DA37602" w:rsidR="00B91414" w:rsidRPr="00003CF5" w:rsidRDefault="00B91414" w:rsidP="00C9095C">
      <w:pPr>
        <w:pStyle w:val="NormalWeb"/>
        <w:widowControl w:val="0"/>
        <w:tabs>
          <w:tab w:val="right" w:leader="dot" w:pos="9270"/>
        </w:tabs>
        <w:spacing w:before="0" w:beforeAutospacing="0" w:after="0" w:afterAutospacing="0" w:line="360" w:lineRule="auto"/>
        <w:ind w:left="-360" w:right="-270" w:firstLine="540"/>
        <w:jc w:val="both"/>
        <w:rPr>
          <w:rFonts w:ascii="Garamond" w:eastAsia="Garamond" w:hAnsi="Garamond" w:cs="Garamond"/>
          <w:sz w:val="22"/>
          <w:szCs w:val="22"/>
        </w:rPr>
      </w:pPr>
      <w:r w:rsidRPr="00003CF5">
        <w:rPr>
          <w:rFonts w:ascii="Garamond" w:hAnsi="Garamond"/>
          <w:sz w:val="22"/>
          <w:szCs w:val="22"/>
        </w:rPr>
        <w:t>(</w:t>
      </w:r>
      <w:r w:rsidR="00737A33">
        <w:rPr>
          <w:rFonts w:ascii="Garamond" w:hAnsi="Garamond"/>
          <w:sz w:val="22"/>
          <w:szCs w:val="22"/>
        </w:rPr>
        <w:t>8</w:t>
      </w:r>
      <w:r w:rsidR="001E1A81">
        <w:rPr>
          <w:rFonts w:ascii="Garamond" w:hAnsi="Garamond"/>
          <w:sz w:val="22"/>
          <w:szCs w:val="22"/>
        </w:rPr>
        <w:t xml:space="preserve">) </w:t>
      </w:r>
      <w:r w:rsidRPr="00003CF5">
        <w:rPr>
          <w:rStyle w:val="apple-tab-span"/>
          <w:rFonts w:ascii="Garamond" w:hAnsi="Garamond"/>
          <w:sz w:val="22"/>
          <w:szCs w:val="22"/>
        </w:rPr>
        <w:tab/>
      </w:r>
      <w:r w:rsidRPr="00003CF5">
        <w:rPr>
          <w:rFonts w:ascii="Garamond" w:eastAsia="Garamond" w:hAnsi="Garamond" w:cs="Garamond"/>
          <w:sz w:val="22"/>
          <w:szCs w:val="22"/>
        </w:rPr>
        <w:t>YOWCO</w:t>
      </w:r>
      <w:r w:rsidR="001E1A81">
        <w:rPr>
          <w:rFonts w:ascii="Garamond" w:eastAsia="Garamond" w:hAnsi="Garamond" w:cs="Garamond"/>
          <w:sz w:val="22"/>
          <w:szCs w:val="22"/>
        </w:rPr>
        <w:t xml:space="preserve"> </w:t>
      </w:r>
      <w:r w:rsidRPr="00003CF5">
        <w:rPr>
          <w:rFonts w:ascii="Garamond" w:eastAsia="Garamond" w:hAnsi="Garamond" w:cs="Garamond"/>
          <w:sz w:val="22"/>
          <w:szCs w:val="22"/>
        </w:rPr>
        <w:t xml:space="preserve">is a young feminist movement committed to advocating for reproductive justice of young women in Malawi led by young women in Malawi. </w:t>
      </w:r>
    </w:p>
    <w:p w14:paraId="00639248" w14:textId="7FD5026A" w:rsidR="00B91414" w:rsidRPr="00003CF5" w:rsidRDefault="00B91414" w:rsidP="00C9095C">
      <w:pPr>
        <w:pStyle w:val="NormalWeb"/>
        <w:widowControl w:val="0"/>
        <w:tabs>
          <w:tab w:val="right" w:leader="dot" w:pos="9270"/>
        </w:tabs>
        <w:spacing w:before="0" w:beforeAutospacing="0" w:after="0" w:afterAutospacing="0" w:line="360" w:lineRule="auto"/>
        <w:ind w:left="-360" w:right="-270" w:firstLine="540"/>
        <w:jc w:val="both"/>
        <w:rPr>
          <w:rFonts w:ascii="Garamond" w:hAnsi="Garamond"/>
          <w:sz w:val="22"/>
          <w:szCs w:val="22"/>
          <w:shd w:val="clear" w:color="auto" w:fill="FFFF00"/>
        </w:rPr>
      </w:pPr>
      <w:r w:rsidRPr="00003CF5">
        <w:rPr>
          <w:rFonts w:ascii="Garamond" w:hAnsi="Garamond"/>
          <w:sz w:val="22"/>
          <w:szCs w:val="22"/>
        </w:rPr>
        <w:t>(</w:t>
      </w:r>
      <w:r w:rsidR="00737A33">
        <w:rPr>
          <w:rFonts w:ascii="Garamond" w:hAnsi="Garamond"/>
          <w:sz w:val="22"/>
          <w:szCs w:val="22"/>
        </w:rPr>
        <w:t>9</w:t>
      </w:r>
      <w:r w:rsidR="001E1A81">
        <w:rPr>
          <w:rFonts w:ascii="Garamond" w:hAnsi="Garamond"/>
          <w:sz w:val="22"/>
          <w:szCs w:val="22"/>
        </w:rPr>
        <w:t xml:space="preserve">) </w:t>
      </w:r>
      <w:r w:rsidRPr="00003CF5">
        <w:rPr>
          <w:rStyle w:val="apple-tab-span"/>
          <w:rFonts w:ascii="Garamond" w:hAnsi="Garamond"/>
          <w:sz w:val="22"/>
          <w:szCs w:val="22"/>
        </w:rPr>
        <w:tab/>
      </w:r>
      <w:r w:rsidRPr="00003CF5">
        <w:rPr>
          <w:rFonts w:ascii="Garamond" w:hAnsi="Garamond"/>
          <w:sz w:val="22"/>
          <w:szCs w:val="22"/>
        </w:rPr>
        <w:t>WLSA</w:t>
      </w:r>
      <w:r w:rsidR="001E1A81">
        <w:rPr>
          <w:rFonts w:ascii="Garamond" w:hAnsi="Garamond"/>
          <w:sz w:val="22"/>
          <w:szCs w:val="22"/>
        </w:rPr>
        <w:t xml:space="preserve"> </w:t>
      </w:r>
      <w:r w:rsidRPr="00003CF5">
        <w:rPr>
          <w:rFonts w:ascii="Garamond" w:hAnsi="Garamond"/>
          <w:sz w:val="22"/>
          <w:szCs w:val="22"/>
        </w:rPr>
        <w:t>is a private voluntary organization based in Zimbabwe with a network of member countries, which includes Malawi.</w:t>
      </w:r>
      <w:r w:rsidR="006658BC" w:rsidRPr="00003CF5">
        <w:rPr>
          <w:rStyle w:val="FootnoteReference"/>
          <w:rFonts w:ascii="Garamond" w:hAnsi="Garamond"/>
          <w:sz w:val="22"/>
          <w:szCs w:val="22"/>
        </w:rPr>
        <w:footnoteReference w:id="10"/>
      </w:r>
      <w:r w:rsidRPr="00003CF5">
        <w:rPr>
          <w:rFonts w:ascii="Garamond" w:hAnsi="Garamond"/>
          <w:sz w:val="22"/>
          <w:szCs w:val="22"/>
        </w:rPr>
        <w:t xml:space="preserve"> WLSA is committed to conducting research on how to sustain the wellbeing of women and girls. They also engage in ad</w:t>
      </w:r>
      <w:r w:rsidR="006658BC" w:rsidRPr="00003CF5">
        <w:rPr>
          <w:rFonts w:ascii="Garamond" w:hAnsi="Garamond"/>
          <w:sz w:val="22"/>
          <w:szCs w:val="22"/>
        </w:rPr>
        <w:t>vocacy work for women’s rights.</w:t>
      </w:r>
    </w:p>
    <w:p w14:paraId="06EF77D3" w14:textId="3497EA36" w:rsidR="00B91414" w:rsidRPr="00003CF5" w:rsidRDefault="00B91414" w:rsidP="00C9095C">
      <w:pPr>
        <w:pStyle w:val="NormalWeb"/>
        <w:widowControl w:val="0"/>
        <w:tabs>
          <w:tab w:val="right" w:leader="dot" w:pos="9270"/>
        </w:tabs>
        <w:spacing w:before="0" w:beforeAutospacing="0" w:after="0" w:afterAutospacing="0" w:line="360" w:lineRule="auto"/>
        <w:ind w:left="-360" w:right="-270" w:firstLine="540"/>
        <w:jc w:val="both"/>
        <w:rPr>
          <w:rFonts w:ascii="Garamond" w:eastAsia="Garamond" w:hAnsi="Garamond" w:cs="Garamond"/>
          <w:sz w:val="22"/>
          <w:szCs w:val="22"/>
        </w:rPr>
      </w:pPr>
      <w:r w:rsidRPr="00003CF5">
        <w:rPr>
          <w:rFonts w:ascii="Garamond" w:hAnsi="Garamond"/>
          <w:sz w:val="22"/>
          <w:szCs w:val="22"/>
        </w:rPr>
        <w:t>(</w:t>
      </w:r>
      <w:r w:rsidR="00737A33">
        <w:rPr>
          <w:rFonts w:ascii="Garamond" w:hAnsi="Garamond"/>
          <w:sz w:val="22"/>
          <w:szCs w:val="22"/>
        </w:rPr>
        <w:t>10</w:t>
      </w:r>
      <w:r w:rsidR="001E1A81">
        <w:rPr>
          <w:rFonts w:ascii="Garamond" w:hAnsi="Garamond"/>
          <w:sz w:val="22"/>
          <w:szCs w:val="22"/>
        </w:rPr>
        <w:t xml:space="preserve">) </w:t>
      </w:r>
      <w:r w:rsidRPr="00003CF5">
        <w:rPr>
          <w:rFonts w:ascii="Garamond" w:hAnsi="Garamond"/>
          <w:sz w:val="22"/>
          <w:szCs w:val="22"/>
        </w:rPr>
        <w:tab/>
      </w:r>
      <w:r w:rsidR="005650DA">
        <w:rPr>
          <w:rFonts w:ascii="Garamond" w:eastAsia="Garamond" w:hAnsi="Garamond" w:cs="Garamond"/>
          <w:sz w:val="22"/>
          <w:szCs w:val="22"/>
        </w:rPr>
        <w:t>Nyale Institute</w:t>
      </w:r>
      <w:r w:rsidRPr="00003CF5">
        <w:rPr>
          <w:rFonts w:ascii="Garamond" w:eastAsia="Garamond" w:hAnsi="Garamond" w:cs="Garamond"/>
          <w:sz w:val="22"/>
          <w:szCs w:val="22"/>
        </w:rPr>
        <w:t xml:space="preserve"> is a </w:t>
      </w:r>
      <w:r w:rsidR="005650DA">
        <w:rPr>
          <w:rFonts w:ascii="Garamond" w:eastAsia="Garamond" w:hAnsi="Garamond" w:cs="Garamond"/>
          <w:sz w:val="22"/>
          <w:szCs w:val="22"/>
        </w:rPr>
        <w:t>non-governmental organization</w:t>
      </w:r>
      <w:r w:rsidRPr="00003CF5">
        <w:rPr>
          <w:rFonts w:ascii="Garamond" w:eastAsia="Garamond" w:hAnsi="Garamond" w:cs="Garamond"/>
          <w:sz w:val="22"/>
          <w:szCs w:val="22"/>
        </w:rPr>
        <w:t xml:space="preserve"> </w:t>
      </w:r>
      <w:r w:rsidR="005650DA">
        <w:rPr>
          <w:rFonts w:ascii="Garamond" w:eastAsia="Garamond" w:hAnsi="Garamond" w:cs="Garamond"/>
          <w:sz w:val="22"/>
          <w:szCs w:val="22"/>
        </w:rPr>
        <w:t>in</w:t>
      </w:r>
      <w:r w:rsidR="005650DA" w:rsidRPr="00003CF5">
        <w:rPr>
          <w:rFonts w:ascii="Garamond" w:eastAsia="Garamond" w:hAnsi="Garamond" w:cs="Garamond"/>
          <w:sz w:val="22"/>
          <w:szCs w:val="22"/>
        </w:rPr>
        <w:t xml:space="preserve"> </w:t>
      </w:r>
      <w:r w:rsidRPr="00003CF5">
        <w:rPr>
          <w:rFonts w:ascii="Garamond" w:eastAsia="Garamond" w:hAnsi="Garamond" w:cs="Garamond"/>
          <w:sz w:val="22"/>
          <w:szCs w:val="22"/>
        </w:rPr>
        <w:t xml:space="preserve">Malawi dedicated to </w:t>
      </w:r>
      <w:r w:rsidR="005650DA">
        <w:rPr>
          <w:rFonts w:ascii="Garamond" w:eastAsia="Garamond" w:hAnsi="Garamond" w:cs="Garamond"/>
          <w:sz w:val="22"/>
          <w:szCs w:val="22"/>
        </w:rPr>
        <w:t>advancing sexual and reproductive justice</w:t>
      </w:r>
      <w:r w:rsidR="00704C25">
        <w:rPr>
          <w:rFonts w:ascii="Garamond" w:eastAsia="Garamond" w:hAnsi="Garamond" w:cs="Garamond"/>
          <w:sz w:val="22"/>
          <w:szCs w:val="22"/>
        </w:rPr>
        <w:t>.</w:t>
      </w:r>
    </w:p>
    <w:p w14:paraId="2BD49ED0" w14:textId="77777777" w:rsidR="00B91414" w:rsidRPr="00003CF5" w:rsidRDefault="00B91414" w:rsidP="00C9095C">
      <w:pPr>
        <w:pStyle w:val="Heading1"/>
        <w:tabs>
          <w:tab w:val="right" w:leader="dot" w:pos="9270"/>
        </w:tabs>
        <w:ind w:left="-360" w:right="-270" w:firstLine="540"/>
        <w:rPr>
          <w:sz w:val="22"/>
          <w:szCs w:val="22"/>
        </w:rPr>
      </w:pPr>
      <w:bookmarkStart w:id="2" w:name="_Toc123043558"/>
      <w:r w:rsidRPr="00003CF5">
        <w:rPr>
          <w:sz w:val="22"/>
          <w:szCs w:val="22"/>
        </w:rPr>
        <w:t>BACKGROUND</w:t>
      </w:r>
      <w:bookmarkEnd w:id="2"/>
    </w:p>
    <w:p w14:paraId="16DD6C85" w14:textId="4746916E" w:rsidR="00B91414" w:rsidRPr="001E1A81" w:rsidRDefault="00737A33" w:rsidP="00C9095C">
      <w:pPr>
        <w:widowControl w:val="0"/>
        <w:tabs>
          <w:tab w:val="right" w:leader="dot" w:pos="9270"/>
        </w:tabs>
        <w:spacing w:line="360" w:lineRule="auto"/>
        <w:ind w:left="-360" w:right="-270" w:firstLine="540"/>
        <w:jc w:val="both"/>
        <w:rPr>
          <w:rFonts w:ascii="Garamond" w:hAnsi="Garamond"/>
          <w:sz w:val="22"/>
          <w:szCs w:val="22"/>
          <w:highlight w:val="white"/>
          <w:lang w:val="fr-CH"/>
        </w:rPr>
      </w:pPr>
      <w:r w:rsidRPr="001E1A81">
        <w:rPr>
          <w:rFonts w:ascii="Garamond" w:hAnsi="Garamond"/>
          <w:sz w:val="22"/>
          <w:szCs w:val="22"/>
          <w:highlight w:val="white"/>
          <w:lang w:val="fr-CH"/>
        </w:rPr>
        <w:t>(11</w:t>
      </w:r>
      <w:r w:rsidR="001E1A81" w:rsidRPr="001E1A81">
        <w:rPr>
          <w:rFonts w:ascii="Garamond" w:hAnsi="Garamond"/>
          <w:sz w:val="22"/>
          <w:szCs w:val="22"/>
          <w:highlight w:val="white"/>
          <w:lang w:val="fr-CH"/>
        </w:rPr>
        <w:t>)</w:t>
      </w:r>
      <w:r w:rsidR="001E1A81">
        <w:rPr>
          <w:rFonts w:ascii="Garamond" w:hAnsi="Garamond"/>
          <w:sz w:val="22"/>
          <w:szCs w:val="22"/>
          <w:highlight w:val="white"/>
          <w:lang w:val="fr-CH"/>
        </w:rPr>
        <w:t xml:space="preserve"> </w:t>
      </w:r>
      <w:proofErr w:type="spellStart"/>
      <w:r w:rsidR="00B91414" w:rsidRPr="001E1A81">
        <w:rPr>
          <w:rFonts w:ascii="Garamond" w:hAnsi="Garamond"/>
          <w:sz w:val="22"/>
          <w:szCs w:val="22"/>
          <w:highlight w:val="white"/>
          <w:lang w:val="fr-CH"/>
        </w:rPr>
        <w:t>Malawi’s</w:t>
      </w:r>
      <w:proofErr w:type="spellEnd"/>
      <w:r w:rsidR="00B91414" w:rsidRPr="001E1A81">
        <w:rPr>
          <w:rFonts w:ascii="Garamond" w:hAnsi="Garamond"/>
          <w:sz w:val="22"/>
          <w:szCs w:val="22"/>
          <w:highlight w:val="white"/>
          <w:lang w:val="fr-CH"/>
        </w:rPr>
        <w:t xml:space="preserve"> </w:t>
      </w:r>
      <w:proofErr w:type="spellStart"/>
      <w:r w:rsidR="00B91414" w:rsidRPr="001E1A81">
        <w:rPr>
          <w:rFonts w:ascii="Garamond" w:hAnsi="Garamond"/>
          <w:sz w:val="22"/>
          <w:szCs w:val="22"/>
          <w:highlight w:val="white"/>
          <w:lang w:val="fr-CH"/>
        </w:rPr>
        <w:t>Penal</w:t>
      </w:r>
      <w:proofErr w:type="spellEnd"/>
      <w:r w:rsidR="00B91414" w:rsidRPr="001E1A81">
        <w:rPr>
          <w:rFonts w:ascii="Garamond" w:hAnsi="Garamond"/>
          <w:sz w:val="22"/>
          <w:szCs w:val="22"/>
          <w:highlight w:val="white"/>
          <w:lang w:val="fr-CH"/>
        </w:rPr>
        <w:t xml:space="preserve"> Code criminalize</w:t>
      </w:r>
      <w:r w:rsidR="006658BC" w:rsidRPr="001E1A81">
        <w:rPr>
          <w:rFonts w:ascii="Garamond" w:hAnsi="Garamond"/>
          <w:sz w:val="22"/>
          <w:szCs w:val="22"/>
          <w:highlight w:val="white"/>
          <w:lang w:val="fr-CH"/>
        </w:rPr>
        <w:t>s</w:t>
      </w:r>
      <w:r w:rsidR="00B91414" w:rsidRPr="001E1A81">
        <w:rPr>
          <w:rFonts w:ascii="Garamond" w:hAnsi="Garamond"/>
          <w:sz w:val="22"/>
          <w:szCs w:val="22"/>
          <w:highlight w:val="white"/>
          <w:lang w:val="fr-CH"/>
        </w:rPr>
        <w:t xml:space="preserve"> abortion.</w:t>
      </w:r>
    </w:p>
    <w:p w14:paraId="4798E22D" w14:textId="002FD1B7" w:rsidR="00B91414" w:rsidRPr="00003CF5" w:rsidRDefault="006658BC" w:rsidP="00C9095C">
      <w:pPr>
        <w:widowControl w:val="0"/>
        <w:tabs>
          <w:tab w:val="right" w:leader="dot" w:pos="9270"/>
        </w:tabs>
        <w:spacing w:line="360" w:lineRule="auto"/>
        <w:ind w:left="-360" w:right="-270" w:firstLine="540"/>
        <w:jc w:val="both"/>
        <w:rPr>
          <w:rFonts w:ascii="Garamond" w:hAnsi="Garamond"/>
          <w:sz w:val="22"/>
          <w:szCs w:val="22"/>
          <w:highlight w:val="white"/>
        </w:rPr>
      </w:pPr>
      <w:r w:rsidRPr="00003CF5">
        <w:rPr>
          <w:rFonts w:ascii="Garamond" w:hAnsi="Garamond"/>
          <w:sz w:val="22"/>
          <w:szCs w:val="22"/>
          <w:highlight w:val="white"/>
        </w:rPr>
        <w:t xml:space="preserve">Article 149: </w:t>
      </w:r>
      <w:r w:rsidR="00B91414" w:rsidRPr="00003CF5">
        <w:rPr>
          <w:rFonts w:ascii="Garamond" w:hAnsi="Garamond"/>
          <w:sz w:val="22"/>
          <w:szCs w:val="22"/>
          <w:highlight w:val="white"/>
        </w:rPr>
        <w:t>“</w:t>
      </w:r>
      <w:r w:rsidR="00B91414" w:rsidRPr="00003CF5">
        <w:rPr>
          <w:rFonts w:ascii="Garamond" w:hAnsi="Garamond"/>
          <w:i/>
          <w:sz w:val="22"/>
          <w:szCs w:val="22"/>
          <w:highlight w:val="white"/>
        </w:rPr>
        <w:t>Any person who, with intent to procure a miscarriage of a woman, whether she is or is not with child, unlawfully administers to her or causes her to take any poison or other noxious thing, or uses any force of any kind, or uses any other means whatever, shall be guilty of a felony and shall be liable to imprisonment for fourteen years</w:t>
      </w:r>
      <w:r w:rsidR="00B91414" w:rsidRPr="00003CF5">
        <w:rPr>
          <w:rFonts w:ascii="Garamond" w:hAnsi="Garamond"/>
          <w:sz w:val="22"/>
          <w:szCs w:val="22"/>
          <w:highlight w:val="white"/>
        </w:rPr>
        <w:t>.”</w:t>
      </w:r>
      <w:r w:rsidR="00B91414" w:rsidRPr="00003CF5">
        <w:rPr>
          <w:rStyle w:val="FootnoteReference"/>
          <w:rFonts w:ascii="Garamond" w:hAnsi="Garamond"/>
          <w:sz w:val="22"/>
          <w:szCs w:val="22"/>
          <w:highlight w:val="white"/>
        </w:rPr>
        <w:footnoteReference w:id="11"/>
      </w:r>
    </w:p>
    <w:p w14:paraId="4F29AEDA" w14:textId="1DCFF710" w:rsidR="00B91414" w:rsidRPr="00003CF5" w:rsidRDefault="006658BC" w:rsidP="00C9095C">
      <w:pPr>
        <w:widowControl w:val="0"/>
        <w:tabs>
          <w:tab w:val="right" w:leader="dot" w:pos="9270"/>
        </w:tabs>
        <w:spacing w:line="360" w:lineRule="auto"/>
        <w:ind w:left="-360" w:right="-270" w:firstLine="540"/>
        <w:jc w:val="both"/>
        <w:rPr>
          <w:rFonts w:ascii="Garamond" w:hAnsi="Garamond"/>
          <w:sz w:val="22"/>
          <w:szCs w:val="22"/>
          <w:highlight w:val="white"/>
        </w:rPr>
      </w:pPr>
      <w:r w:rsidRPr="00003CF5">
        <w:rPr>
          <w:rFonts w:ascii="Garamond" w:hAnsi="Garamond"/>
          <w:sz w:val="22"/>
          <w:szCs w:val="22"/>
          <w:highlight w:val="white"/>
        </w:rPr>
        <w:t xml:space="preserve">Article 150: </w:t>
      </w:r>
      <w:r w:rsidR="00B91414" w:rsidRPr="00003CF5">
        <w:rPr>
          <w:rFonts w:ascii="Garamond" w:hAnsi="Garamond"/>
          <w:sz w:val="22"/>
          <w:szCs w:val="22"/>
          <w:highlight w:val="white"/>
        </w:rPr>
        <w:t>“</w:t>
      </w:r>
      <w:r w:rsidR="00B91414" w:rsidRPr="00003CF5">
        <w:rPr>
          <w:rFonts w:ascii="Garamond" w:hAnsi="Garamond"/>
          <w:i/>
          <w:sz w:val="22"/>
          <w:szCs w:val="22"/>
          <w:highlight w:val="white"/>
        </w:rPr>
        <w:t>Any woman who, being with child, with intent to procure her own miscarriage, unlawfully administers to herself any poison or other noxious thing, or uses any force of any kind, or uses any other means whatever, or permits any such thing or means to be administered or used to her, shall be guilty of a felony, and shall be liable to imprisonment for seven years</w:t>
      </w:r>
      <w:r w:rsidR="00B91414" w:rsidRPr="00003CF5">
        <w:rPr>
          <w:rFonts w:ascii="Garamond" w:hAnsi="Garamond"/>
          <w:sz w:val="22"/>
          <w:szCs w:val="22"/>
          <w:highlight w:val="white"/>
        </w:rPr>
        <w:t>.”</w:t>
      </w:r>
      <w:r w:rsidR="00B91414" w:rsidRPr="00003CF5">
        <w:rPr>
          <w:rStyle w:val="FootnoteReference"/>
          <w:rFonts w:ascii="Garamond" w:hAnsi="Garamond"/>
          <w:sz w:val="22"/>
          <w:szCs w:val="22"/>
          <w:highlight w:val="white"/>
        </w:rPr>
        <w:footnoteReference w:id="12"/>
      </w:r>
    </w:p>
    <w:p w14:paraId="0D25C2E8" w14:textId="73185FD5" w:rsidR="00B91414" w:rsidRPr="00003CF5" w:rsidRDefault="006658BC" w:rsidP="00C9095C">
      <w:pPr>
        <w:widowControl w:val="0"/>
        <w:tabs>
          <w:tab w:val="right" w:leader="dot" w:pos="9270"/>
        </w:tabs>
        <w:spacing w:line="360" w:lineRule="auto"/>
        <w:ind w:left="-360" w:right="-270" w:firstLine="540"/>
        <w:jc w:val="both"/>
        <w:rPr>
          <w:rFonts w:ascii="Garamond" w:hAnsi="Garamond"/>
          <w:sz w:val="22"/>
          <w:szCs w:val="22"/>
        </w:rPr>
      </w:pPr>
      <w:r w:rsidRPr="00003CF5">
        <w:rPr>
          <w:rFonts w:ascii="Garamond" w:hAnsi="Garamond"/>
          <w:sz w:val="22"/>
          <w:szCs w:val="22"/>
          <w:highlight w:val="white"/>
        </w:rPr>
        <w:t xml:space="preserve">Article 151: </w:t>
      </w:r>
      <w:r w:rsidR="00B91414" w:rsidRPr="00003CF5">
        <w:rPr>
          <w:rFonts w:ascii="Garamond" w:hAnsi="Garamond"/>
          <w:sz w:val="22"/>
          <w:szCs w:val="22"/>
        </w:rPr>
        <w:t>“</w:t>
      </w:r>
      <w:r w:rsidR="00B91414" w:rsidRPr="00003CF5">
        <w:rPr>
          <w:rFonts w:ascii="Garamond" w:hAnsi="Garamond"/>
          <w:i/>
          <w:iCs/>
          <w:sz w:val="22"/>
          <w:szCs w:val="22"/>
        </w:rPr>
        <w:t>Any person who unlawfully supplies to or procures for any person any thing whatever, knowing that it is intended to be unlawfully used to procure the miscarriage of a woman, whether she is or is not with child, shall be guilty of a felony and shall be liable to imprisonment for three years.”</w:t>
      </w:r>
      <w:r w:rsidR="00B91414" w:rsidRPr="00003CF5">
        <w:rPr>
          <w:rStyle w:val="FootnoteReference"/>
          <w:rFonts w:ascii="Garamond" w:hAnsi="Garamond"/>
          <w:i/>
          <w:iCs/>
          <w:sz w:val="22"/>
          <w:szCs w:val="22"/>
        </w:rPr>
        <w:footnoteReference w:id="13"/>
      </w:r>
    </w:p>
    <w:p w14:paraId="7CB2EC5C" w14:textId="77777777" w:rsidR="00B91414" w:rsidRPr="00003CF5" w:rsidRDefault="00B91414" w:rsidP="00C9095C">
      <w:pPr>
        <w:widowControl w:val="0"/>
        <w:tabs>
          <w:tab w:val="right" w:leader="dot" w:pos="9270"/>
        </w:tabs>
        <w:spacing w:line="360" w:lineRule="auto"/>
        <w:ind w:left="-360" w:right="-270" w:firstLine="540"/>
        <w:jc w:val="both"/>
        <w:rPr>
          <w:rFonts w:ascii="Garamond" w:hAnsi="Garamond"/>
          <w:sz w:val="22"/>
          <w:szCs w:val="22"/>
          <w:highlight w:val="white"/>
        </w:rPr>
      </w:pPr>
      <w:r w:rsidRPr="00003CF5">
        <w:rPr>
          <w:rFonts w:ascii="Garamond" w:hAnsi="Garamond"/>
          <w:sz w:val="22"/>
          <w:szCs w:val="22"/>
        </w:rPr>
        <w:t xml:space="preserve">Article 243 provides </w:t>
      </w:r>
      <w:r w:rsidRPr="00003CF5">
        <w:rPr>
          <w:rFonts w:ascii="Garamond" w:hAnsi="Garamond"/>
          <w:sz w:val="22"/>
          <w:szCs w:val="22"/>
          <w:highlight w:val="white"/>
        </w:rPr>
        <w:t>for the only exception to the criminality of abortion:</w:t>
      </w:r>
    </w:p>
    <w:p w14:paraId="77227A75" w14:textId="77777777" w:rsidR="00B91414" w:rsidRPr="00003CF5" w:rsidRDefault="00B91414" w:rsidP="00C9095C">
      <w:pPr>
        <w:widowControl w:val="0"/>
        <w:tabs>
          <w:tab w:val="right" w:leader="dot" w:pos="9270"/>
        </w:tabs>
        <w:spacing w:line="360" w:lineRule="auto"/>
        <w:ind w:left="-360" w:right="-270" w:firstLine="540"/>
        <w:jc w:val="both"/>
        <w:rPr>
          <w:rFonts w:ascii="Garamond" w:hAnsi="Garamond"/>
          <w:sz w:val="22"/>
          <w:szCs w:val="22"/>
          <w:highlight w:val="white"/>
        </w:rPr>
      </w:pPr>
      <w:r w:rsidRPr="00003CF5">
        <w:rPr>
          <w:rFonts w:ascii="Garamond" w:hAnsi="Garamond"/>
          <w:sz w:val="22"/>
          <w:szCs w:val="22"/>
          <w:highlight w:val="white"/>
        </w:rPr>
        <w:t>“</w:t>
      </w:r>
      <w:r w:rsidRPr="00003CF5">
        <w:rPr>
          <w:rFonts w:ascii="Garamond" w:hAnsi="Garamond"/>
          <w:i/>
          <w:sz w:val="22"/>
          <w:szCs w:val="22"/>
          <w:highlight w:val="white"/>
        </w:rPr>
        <w:t>A person is not criminally responsible for performing in good faith and with reasonable care and skill a surgical operation upon any person for his benefit, or upon an unborn child for the preservation of the mother’s life, if the performance of the operation is reasonable, having regard to the patient’s state at the time, and to all the circumstances of the case</w:t>
      </w:r>
      <w:r w:rsidRPr="00003CF5">
        <w:rPr>
          <w:rFonts w:ascii="Garamond" w:hAnsi="Garamond"/>
          <w:sz w:val="22"/>
          <w:szCs w:val="22"/>
          <w:highlight w:val="white"/>
        </w:rPr>
        <w:t>.”</w:t>
      </w:r>
      <w:r w:rsidRPr="00003CF5">
        <w:rPr>
          <w:rStyle w:val="FootnoteReference"/>
          <w:rFonts w:ascii="Garamond" w:hAnsi="Garamond"/>
          <w:sz w:val="22"/>
          <w:szCs w:val="22"/>
          <w:highlight w:val="white"/>
        </w:rPr>
        <w:footnoteReference w:id="14"/>
      </w:r>
    </w:p>
    <w:p w14:paraId="00C0D038" w14:textId="0928940E" w:rsidR="00B91414" w:rsidRPr="00003CF5" w:rsidRDefault="00B91414" w:rsidP="00C9095C">
      <w:pPr>
        <w:widowControl w:val="0"/>
        <w:tabs>
          <w:tab w:val="right" w:leader="dot" w:pos="9270"/>
        </w:tabs>
        <w:spacing w:line="360" w:lineRule="auto"/>
        <w:ind w:left="-360" w:right="-270" w:firstLine="540"/>
        <w:jc w:val="both"/>
        <w:rPr>
          <w:rFonts w:ascii="Garamond" w:hAnsi="Garamond"/>
          <w:sz w:val="22"/>
          <w:szCs w:val="22"/>
          <w:highlight w:val="white"/>
        </w:rPr>
      </w:pPr>
      <w:r w:rsidRPr="00003CF5">
        <w:rPr>
          <w:rFonts w:ascii="Garamond" w:hAnsi="Garamond"/>
          <w:sz w:val="22"/>
          <w:szCs w:val="22"/>
        </w:rPr>
        <w:t>(1</w:t>
      </w:r>
      <w:r w:rsidR="00737A33">
        <w:rPr>
          <w:rFonts w:ascii="Garamond" w:hAnsi="Garamond"/>
          <w:sz w:val="22"/>
          <w:szCs w:val="22"/>
        </w:rPr>
        <w:t>2</w:t>
      </w:r>
      <w:r w:rsidR="001E1A81">
        <w:rPr>
          <w:rFonts w:ascii="Garamond" w:hAnsi="Garamond"/>
          <w:sz w:val="22"/>
          <w:szCs w:val="22"/>
        </w:rPr>
        <w:t xml:space="preserve">) </w:t>
      </w:r>
      <w:r w:rsidRPr="00003CF5">
        <w:rPr>
          <w:rFonts w:ascii="Garamond" w:hAnsi="Garamond"/>
          <w:sz w:val="22"/>
          <w:szCs w:val="22"/>
          <w:highlight w:val="white"/>
        </w:rPr>
        <w:t xml:space="preserve">Over the years, there have been several half-hearted attempts to </w:t>
      </w:r>
      <w:r w:rsidRPr="00003CF5">
        <w:rPr>
          <w:rFonts w:ascii="Garamond" w:hAnsi="Garamond"/>
          <w:sz w:val="22"/>
          <w:szCs w:val="22"/>
        </w:rPr>
        <w:t>ease restrictions on abortion in Malawi, but with little tangible result. For instance,</w:t>
      </w:r>
      <w:r w:rsidRPr="00003CF5">
        <w:rPr>
          <w:rFonts w:ascii="Garamond" w:hAnsi="Garamond"/>
          <w:sz w:val="22"/>
          <w:szCs w:val="22"/>
          <w:highlight w:val="white"/>
        </w:rPr>
        <w:t xml:space="preserve"> in 2009, the Government of Malawi adopted the first </w:t>
      </w:r>
      <w:r w:rsidRPr="00003CF5">
        <w:rPr>
          <w:rFonts w:ascii="Garamond" w:hAnsi="Garamond"/>
          <w:i/>
          <w:sz w:val="22"/>
          <w:szCs w:val="22"/>
          <w:highlight w:val="white"/>
        </w:rPr>
        <w:t xml:space="preserve">National Sexual and </w:t>
      </w:r>
      <w:r w:rsidR="00803CA0" w:rsidRPr="00003CF5">
        <w:rPr>
          <w:rFonts w:ascii="Garamond" w:hAnsi="Garamond"/>
          <w:i/>
          <w:sz w:val="22"/>
          <w:szCs w:val="22"/>
          <w:highlight w:val="white"/>
        </w:rPr>
        <w:lastRenderedPageBreak/>
        <w:t xml:space="preserve">Reproductive Health and Rights </w:t>
      </w:r>
      <w:r w:rsidRPr="00003CF5">
        <w:rPr>
          <w:rFonts w:ascii="Garamond" w:hAnsi="Garamond"/>
          <w:i/>
          <w:sz w:val="22"/>
          <w:szCs w:val="22"/>
          <w:highlight w:val="white"/>
        </w:rPr>
        <w:t>Policy</w:t>
      </w:r>
      <w:r w:rsidRPr="00003CF5">
        <w:rPr>
          <w:rFonts w:ascii="Garamond" w:hAnsi="Garamond"/>
          <w:sz w:val="22"/>
          <w:szCs w:val="22"/>
          <w:highlight w:val="white"/>
        </w:rPr>
        <w:t>.</w:t>
      </w:r>
      <w:r w:rsidRPr="00003CF5">
        <w:rPr>
          <w:rFonts w:ascii="Garamond" w:hAnsi="Garamond"/>
          <w:sz w:val="22"/>
          <w:szCs w:val="22"/>
          <w:highlight w:val="white"/>
          <w:vertAlign w:val="superscript"/>
        </w:rPr>
        <w:footnoteReference w:id="15"/>
      </w:r>
      <w:r w:rsidRPr="00003CF5">
        <w:rPr>
          <w:rFonts w:ascii="Garamond" w:hAnsi="Garamond"/>
          <w:sz w:val="22"/>
          <w:szCs w:val="22"/>
          <w:highlight w:val="white"/>
        </w:rPr>
        <w:t xml:space="preserve"> It revised it in 2017.</w:t>
      </w:r>
      <w:r w:rsidRPr="00003CF5">
        <w:rPr>
          <w:rStyle w:val="FootnoteReference"/>
          <w:rFonts w:ascii="Garamond" w:hAnsi="Garamond"/>
          <w:sz w:val="22"/>
          <w:szCs w:val="22"/>
          <w:highlight w:val="white"/>
        </w:rPr>
        <w:footnoteReference w:id="16"/>
      </w:r>
      <w:r w:rsidRPr="00003CF5">
        <w:rPr>
          <w:rFonts w:ascii="Garamond" w:hAnsi="Garamond"/>
          <w:sz w:val="22"/>
          <w:szCs w:val="22"/>
          <w:highlight w:val="white"/>
        </w:rPr>
        <w:t xml:space="preserve"> The </w:t>
      </w:r>
      <w:r w:rsidR="006658BC" w:rsidRPr="00003CF5">
        <w:rPr>
          <w:rFonts w:ascii="Garamond" w:hAnsi="Garamond"/>
          <w:sz w:val="22"/>
          <w:szCs w:val="22"/>
          <w:highlight w:val="white"/>
        </w:rPr>
        <w:t>policy</w:t>
      </w:r>
      <w:r w:rsidRPr="00003CF5">
        <w:rPr>
          <w:rFonts w:ascii="Garamond" w:hAnsi="Garamond"/>
          <w:sz w:val="22"/>
          <w:szCs w:val="22"/>
          <w:highlight w:val="white"/>
        </w:rPr>
        <w:t xml:space="preserve"> aims to reduce the </w:t>
      </w:r>
      <w:r w:rsidR="006658BC" w:rsidRPr="00003CF5">
        <w:rPr>
          <w:rFonts w:ascii="Garamond" w:hAnsi="Garamond"/>
          <w:sz w:val="22"/>
          <w:szCs w:val="22"/>
          <w:highlight w:val="white"/>
        </w:rPr>
        <w:t>occurrence</w:t>
      </w:r>
      <w:r w:rsidRPr="00003CF5">
        <w:rPr>
          <w:rFonts w:ascii="Garamond" w:hAnsi="Garamond"/>
          <w:sz w:val="22"/>
          <w:szCs w:val="22"/>
          <w:highlight w:val="white"/>
        </w:rPr>
        <w:t xml:space="preserve"> of unsafe abortions and provide for “access to quality po</w:t>
      </w:r>
      <w:r w:rsidR="006658BC" w:rsidRPr="00003CF5">
        <w:rPr>
          <w:rFonts w:ascii="Garamond" w:hAnsi="Garamond"/>
          <w:sz w:val="22"/>
          <w:szCs w:val="22"/>
          <w:highlight w:val="white"/>
        </w:rPr>
        <w:t>st abortion care” and services, but it has not led to a reform of the legal framework regulating abortion.</w:t>
      </w:r>
    </w:p>
    <w:p w14:paraId="0000B59C" w14:textId="1670215D" w:rsidR="00B91414" w:rsidRPr="00003CF5" w:rsidRDefault="00B91414" w:rsidP="00C9095C">
      <w:pPr>
        <w:widowControl w:val="0"/>
        <w:tabs>
          <w:tab w:val="right" w:leader="dot" w:pos="9270"/>
        </w:tabs>
        <w:spacing w:line="360" w:lineRule="auto"/>
        <w:ind w:left="-360" w:right="-270" w:firstLine="540"/>
        <w:jc w:val="both"/>
        <w:rPr>
          <w:rFonts w:ascii="Garamond" w:hAnsi="Garamond"/>
          <w:sz w:val="22"/>
          <w:szCs w:val="22"/>
          <w:highlight w:val="white"/>
        </w:rPr>
      </w:pPr>
      <w:r w:rsidRPr="00003CF5">
        <w:rPr>
          <w:rFonts w:ascii="Garamond" w:hAnsi="Garamond"/>
          <w:sz w:val="22"/>
          <w:szCs w:val="22"/>
          <w:highlight w:val="white"/>
        </w:rPr>
        <w:t>(1</w:t>
      </w:r>
      <w:r w:rsidR="00737A33">
        <w:rPr>
          <w:rFonts w:ascii="Garamond" w:hAnsi="Garamond"/>
          <w:sz w:val="22"/>
          <w:szCs w:val="22"/>
          <w:highlight w:val="white"/>
        </w:rPr>
        <w:t>3</w:t>
      </w:r>
      <w:r w:rsidR="001E1A81">
        <w:rPr>
          <w:rFonts w:ascii="Garamond" w:hAnsi="Garamond"/>
          <w:sz w:val="22"/>
          <w:szCs w:val="22"/>
          <w:highlight w:val="white"/>
        </w:rPr>
        <w:t xml:space="preserve">) </w:t>
      </w:r>
      <w:r w:rsidRPr="00003CF5">
        <w:rPr>
          <w:rFonts w:ascii="Garamond" w:hAnsi="Garamond"/>
          <w:sz w:val="22"/>
          <w:szCs w:val="22"/>
          <w:highlight w:val="white"/>
        </w:rPr>
        <w:tab/>
        <w:t xml:space="preserve">In 2013, </w:t>
      </w:r>
      <w:r w:rsidRPr="00003CF5">
        <w:rPr>
          <w:rFonts w:ascii="Garamond" w:hAnsi="Garamond"/>
          <w:sz w:val="22"/>
          <w:szCs w:val="22"/>
        </w:rPr>
        <w:t>Malawi’s Ministry of Gender, Children, Disability</w:t>
      </w:r>
      <w:r w:rsidR="00E944D2">
        <w:rPr>
          <w:rFonts w:ascii="Garamond" w:hAnsi="Garamond"/>
          <w:sz w:val="22"/>
          <w:szCs w:val="22"/>
        </w:rPr>
        <w:t xml:space="preserve"> </w:t>
      </w:r>
      <w:r w:rsidR="00E944D2" w:rsidRPr="00E944D2">
        <w:rPr>
          <w:rFonts w:ascii="Garamond" w:hAnsi="Garamond"/>
          <w:sz w:val="22"/>
          <w:szCs w:val="22"/>
        </w:rPr>
        <w:t>and Social Welfare</w:t>
      </w:r>
      <w:r w:rsidRPr="00003CF5">
        <w:rPr>
          <w:rFonts w:ascii="Garamond" w:hAnsi="Garamond"/>
          <w:sz w:val="22"/>
          <w:szCs w:val="22"/>
        </w:rPr>
        <w:t xml:space="preserve"> </w:t>
      </w:r>
      <w:r w:rsidR="003A49AC" w:rsidRPr="00003CF5">
        <w:rPr>
          <w:rFonts w:ascii="Garamond" w:hAnsi="Garamond"/>
          <w:sz w:val="22"/>
          <w:szCs w:val="22"/>
          <w:highlight w:val="white"/>
        </w:rPr>
        <w:t>enacted</w:t>
      </w:r>
      <w:r w:rsidRPr="00003CF5">
        <w:rPr>
          <w:rFonts w:ascii="Garamond" w:hAnsi="Garamond"/>
          <w:sz w:val="22"/>
          <w:szCs w:val="22"/>
          <w:highlight w:val="white"/>
        </w:rPr>
        <w:t xml:space="preserve"> the </w:t>
      </w:r>
      <w:r w:rsidRPr="00003CF5">
        <w:rPr>
          <w:rFonts w:ascii="Garamond" w:hAnsi="Garamond"/>
          <w:i/>
          <w:sz w:val="22"/>
          <w:szCs w:val="22"/>
          <w:highlight w:val="white"/>
        </w:rPr>
        <w:t>Gender Equality Act</w:t>
      </w:r>
      <w:r w:rsidRPr="00003CF5">
        <w:rPr>
          <w:rFonts w:ascii="Garamond" w:hAnsi="Garamond"/>
          <w:sz w:val="22"/>
          <w:szCs w:val="22"/>
          <w:highlight w:val="white"/>
        </w:rPr>
        <w:t xml:space="preserve"> (GEA</w:t>
      </w:r>
      <w:r w:rsidR="001E1A81">
        <w:rPr>
          <w:rFonts w:ascii="Garamond" w:hAnsi="Garamond"/>
          <w:sz w:val="22"/>
          <w:szCs w:val="22"/>
          <w:highlight w:val="white"/>
        </w:rPr>
        <w:t>)</w:t>
      </w:r>
      <w:r w:rsidRPr="00003CF5">
        <w:rPr>
          <w:rFonts w:ascii="Garamond" w:hAnsi="Garamond"/>
          <w:sz w:val="22"/>
          <w:szCs w:val="22"/>
          <w:highlight w:val="white"/>
        </w:rPr>
        <w:t>, which specifically provides for the right to adequate sexual and reproductive health of girls and women.</w:t>
      </w:r>
      <w:r w:rsidRPr="00003CF5">
        <w:rPr>
          <w:rFonts w:ascii="Garamond" w:hAnsi="Garamond"/>
          <w:sz w:val="22"/>
          <w:szCs w:val="22"/>
          <w:highlight w:val="white"/>
          <w:vertAlign w:val="superscript"/>
        </w:rPr>
        <w:footnoteReference w:id="17"/>
      </w:r>
      <w:r w:rsidRPr="00003CF5">
        <w:rPr>
          <w:rFonts w:ascii="Garamond" w:hAnsi="Garamond"/>
          <w:sz w:val="22"/>
          <w:szCs w:val="22"/>
          <w:highlight w:val="white"/>
        </w:rPr>
        <w:t xml:space="preserve"> However</w:t>
      </w:r>
      <w:r w:rsidR="003E5B51" w:rsidRPr="00003CF5">
        <w:rPr>
          <w:rFonts w:ascii="Garamond" w:hAnsi="Garamond"/>
          <w:sz w:val="22"/>
          <w:szCs w:val="22"/>
          <w:highlight w:val="white"/>
        </w:rPr>
        <w:t>,</w:t>
      </w:r>
      <w:r w:rsidRPr="00003CF5">
        <w:rPr>
          <w:rFonts w:ascii="Garamond" w:hAnsi="Garamond"/>
          <w:sz w:val="22"/>
          <w:szCs w:val="22"/>
          <w:highlight w:val="white"/>
        </w:rPr>
        <w:t xml:space="preserve"> the Act d</w:t>
      </w:r>
      <w:r w:rsidR="003E5B51" w:rsidRPr="00003CF5">
        <w:rPr>
          <w:rFonts w:ascii="Garamond" w:hAnsi="Garamond"/>
          <w:sz w:val="22"/>
          <w:szCs w:val="22"/>
          <w:highlight w:val="white"/>
        </w:rPr>
        <w:t>id</w:t>
      </w:r>
      <w:r w:rsidRPr="00003CF5">
        <w:rPr>
          <w:rFonts w:ascii="Garamond" w:hAnsi="Garamond"/>
          <w:sz w:val="22"/>
          <w:szCs w:val="22"/>
          <w:highlight w:val="white"/>
        </w:rPr>
        <w:t xml:space="preserve"> not </w:t>
      </w:r>
      <w:r w:rsidR="00C37D4B">
        <w:rPr>
          <w:rFonts w:ascii="Garamond" w:hAnsi="Garamond"/>
          <w:sz w:val="22"/>
          <w:szCs w:val="22"/>
          <w:highlight w:val="white"/>
        </w:rPr>
        <w:t xml:space="preserve">explicitly </w:t>
      </w:r>
      <w:r w:rsidRPr="00003CF5">
        <w:rPr>
          <w:rFonts w:ascii="Garamond" w:hAnsi="Garamond"/>
          <w:sz w:val="22"/>
          <w:szCs w:val="22"/>
          <w:highlight w:val="white"/>
        </w:rPr>
        <w:t>address</w:t>
      </w:r>
      <w:r w:rsidR="00C37D4B">
        <w:rPr>
          <w:rFonts w:ascii="Garamond" w:hAnsi="Garamond"/>
          <w:sz w:val="22"/>
          <w:szCs w:val="22"/>
          <w:highlight w:val="white"/>
        </w:rPr>
        <w:t xml:space="preserve"> access to safe</w:t>
      </w:r>
      <w:r w:rsidRPr="00003CF5">
        <w:rPr>
          <w:rFonts w:ascii="Garamond" w:hAnsi="Garamond"/>
          <w:sz w:val="22"/>
          <w:szCs w:val="22"/>
          <w:highlight w:val="white"/>
        </w:rPr>
        <w:t xml:space="preserve"> abortion</w:t>
      </w:r>
      <w:r w:rsidR="00C37D4B">
        <w:rPr>
          <w:rFonts w:ascii="Garamond" w:hAnsi="Garamond"/>
          <w:sz w:val="22"/>
          <w:szCs w:val="22"/>
        </w:rPr>
        <w:t xml:space="preserve">  </w:t>
      </w:r>
      <w:r w:rsidR="00E53BA0">
        <w:rPr>
          <w:rFonts w:ascii="Garamond" w:hAnsi="Garamond"/>
          <w:sz w:val="22"/>
          <w:szCs w:val="22"/>
        </w:rPr>
        <w:t xml:space="preserve">as one of the sexual and reproductive health rights under </w:t>
      </w:r>
      <w:r w:rsidR="00C37D4B">
        <w:rPr>
          <w:rFonts w:ascii="Garamond" w:hAnsi="Garamond"/>
          <w:sz w:val="22"/>
          <w:szCs w:val="22"/>
        </w:rPr>
        <w:t>Section 19</w:t>
      </w:r>
      <w:r w:rsidRPr="00003CF5">
        <w:rPr>
          <w:rFonts w:ascii="Garamond" w:hAnsi="Garamond"/>
          <w:sz w:val="22"/>
          <w:szCs w:val="22"/>
          <w:highlight w:val="white"/>
        </w:rPr>
        <w:t>.</w:t>
      </w:r>
    </w:p>
    <w:p w14:paraId="3643DD2B" w14:textId="4300DFE6" w:rsidR="00B91414" w:rsidRPr="00003CF5" w:rsidRDefault="00B91414" w:rsidP="00C9095C">
      <w:pPr>
        <w:widowControl w:val="0"/>
        <w:tabs>
          <w:tab w:val="right" w:leader="dot" w:pos="9270"/>
        </w:tabs>
        <w:spacing w:line="360" w:lineRule="auto"/>
        <w:ind w:left="-360" w:right="-270" w:firstLine="540"/>
        <w:jc w:val="both"/>
        <w:rPr>
          <w:rFonts w:ascii="Garamond" w:hAnsi="Garamond"/>
          <w:sz w:val="22"/>
          <w:szCs w:val="22"/>
          <w:highlight w:val="white"/>
        </w:rPr>
      </w:pPr>
      <w:r w:rsidRPr="00003CF5">
        <w:rPr>
          <w:rFonts w:ascii="Garamond" w:hAnsi="Garamond"/>
          <w:sz w:val="22"/>
          <w:szCs w:val="22"/>
          <w:highlight w:val="white"/>
        </w:rPr>
        <w:t>(1</w:t>
      </w:r>
      <w:r w:rsidR="00737A33">
        <w:rPr>
          <w:rFonts w:ascii="Garamond" w:hAnsi="Garamond"/>
          <w:sz w:val="22"/>
          <w:szCs w:val="22"/>
          <w:highlight w:val="white"/>
        </w:rPr>
        <w:t>4</w:t>
      </w:r>
      <w:r w:rsidR="001E1A81">
        <w:rPr>
          <w:rFonts w:ascii="Garamond" w:hAnsi="Garamond"/>
          <w:sz w:val="22"/>
          <w:szCs w:val="22"/>
          <w:highlight w:val="white"/>
        </w:rPr>
        <w:t xml:space="preserve">) </w:t>
      </w:r>
      <w:r w:rsidRPr="00003CF5">
        <w:rPr>
          <w:rFonts w:ascii="Garamond" w:hAnsi="Garamond"/>
          <w:sz w:val="22"/>
          <w:szCs w:val="22"/>
          <w:highlight w:val="white"/>
        </w:rPr>
        <w:tab/>
        <w:t>In July 2015, Malawi’s Special Law Commission on the Review of the Law on Abortion released a draft Termination of Pregnancy Bill (</w:t>
      </w:r>
      <w:proofErr w:type="spellStart"/>
      <w:r w:rsidRPr="00003CF5">
        <w:rPr>
          <w:rFonts w:ascii="Garamond" w:hAnsi="Garamond"/>
          <w:sz w:val="22"/>
          <w:szCs w:val="22"/>
          <w:highlight w:val="white"/>
        </w:rPr>
        <w:t>ToP</w:t>
      </w:r>
      <w:proofErr w:type="spellEnd"/>
      <w:r w:rsidRPr="00003CF5">
        <w:rPr>
          <w:rFonts w:ascii="Garamond" w:hAnsi="Garamond"/>
          <w:sz w:val="22"/>
          <w:szCs w:val="22"/>
          <w:highlight w:val="white"/>
        </w:rPr>
        <w:t xml:space="preserve"> Bill</w:t>
      </w:r>
      <w:r w:rsidR="001E1A81">
        <w:rPr>
          <w:rFonts w:ascii="Garamond" w:hAnsi="Garamond"/>
          <w:sz w:val="22"/>
          <w:szCs w:val="22"/>
          <w:highlight w:val="white"/>
        </w:rPr>
        <w:t>)</w:t>
      </w:r>
      <w:r w:rsidRPr="00003CF5">
        <w:rPr>
          <w:rFonts w:ascii="Garamond" w:hAnsi="Garamond"/>
          <w:sz w:val="22"/>
          <w:szCs w:val="22"/>
          <w:highlight w:val="white"/>
        </w:rPr>
        <w:t>, that, if approved by Parliament, would have liberalized abortion.</w:t>
      </w:r>
      <w:r w:rsidRPr="00003CF5">
        <w:rPr>
          <w:rFonts w:ascii="Garamond" w:hAnsi="Garamond"/>
          <w:sz w:val="22"/>
          <w:szCs w:val="22"/>
          <w:highlight w:val="white"/>
          <w:vertAlign w:val="superscript"/>
        </w:rPr>
        <w:footnoteReference w:id="18"/>
      </w:r>
      <w:r w:rsidRPr="00003CF5">
        <w:rPr>
          <w:rFonts w:ascii="Garamond" w:hAnsi="Garamond"/>
          <w:sz w:val="22"/>
          <w:szCs w:val="22"/>
          <w:highlight w:val="white"/>
        </w:rPr>
        <w:t xml:space="preserve"> Under the </w:t>
      </w:r>
      <w:proofErr w:type="spellStart"/>
      <w:r w:rsidR="003E5B51" w:rsidRPr="00003CF5">
        <w:rPr>
          <w:rFonts w:ascii="Garamond" w:hAnsi="Garamond"/>
          <w:sz w:val="22"/>
          <w:szCs w:val="22"/>
          <w:highlight w:val="white"/>
        </w:rPr>
        <w:t>ToP</w:t>
      </w:r>
      <w:proofErr w:type="spellEnd"/>
      <w:r w:rsidR="003E5B51" w:rsidRPr="00003CF5">
        <w:rPr>
          <w:rFonts w:ascii="Garamond" w:hAnsi="Garamond"/>
          <w:sz w:val="22"/>
          <w:szCs w:val="22"/>
          <w:highlight w:val="white"/>
        </w:rPr>
        <w:t xml:space="preserve"> Bill</w:t>
      </w:r>
      <w:r w:rsidRPr="00003CF5">
        <w:rPr>
          <w:rFonts w:ascii="Garamond" w:hAnsi="Garamond"/>
          <w:sz w:val="22"/>
          <w:szCs w:val="22"/>
          <w:highlight w:val="white"/>
        </w:rPr>
        <w:t>, abortion would have become legal (1</w:t>
      </w:r>
      <w:r w:rsidR="001E1A81">
        <w:rPr>
          <w:rFonts w:ascii="Garamond" w:hAnsi="Garamond"/>
          <w:sz w:val="22"/>
          <w:szCs w:val="22"/>
          <w:highlight w:val="white"/>
        </w:rPr>
        <w:t xml:space="preserve">) </w:t>
      </w:r>
      <w:r w:rsidRPr="00003CF5">
        <w:rPr>
          <w:rFonts w:ascii="Garamond" w:hAnsi="Garamond"/>
          <w:sz w:val="22"/>
          <w:szCs w:val="22"/>
          <w:highlight w:val="white"/>
        </w:rPr>
        <w:t>where continuing pregnancy endangers the life of the woman; (2</w:t>
      </w:r>
      <w:r w:rsidR="001E1A81">
        <w:rPr>
          <w:rFonts w:ascii="Garamond" w:hAnsi="Garamond"/>
          <w:sz w:val="22"/>
          <w:szCs w:val="22"/>
          <w:highlight w:val="white"/>
        </w:rPr>
        <w:t xml:space="preserve">) </w:t>
      </w:r>
      <w:r w:rsidRPr="00003CF5">
        <w:rPr>
          <w:rFonts w:ascii="Garamond" w:hAnsi="Garamond"/>
          <w:sz w:val="22"/>
          <w:szCs w:val="22"/>
          <w:highlight w:val="white"/>
        </w:rPr>
        <w:t>where termination is necessary to prevent injury to the physical</w:t>
      </w:r>
      <w:r w:rsidR="001E1A81">
        <w:rPr>
          <w:rFonts w:ascii="Garamond" w:hAnsi="Garamond"/>
          <w:sz w:val="22"/>
          <w:szCs w:val="22"/>
          <w:highlight w:val="white"/>
        </w:rPr>
        <w:t xml:space="preserve"> or mental health of the woman,</w:t>
      </w:r>
      <w:r w:rsidRPr="00003CF5">
        <w:rPr>
          <w:rFonts w:ascii="Garamond" w:hAnsi="Garamond"/>
          <w:sz w:val="22"/>
          <w:szCs w:val="22"/>
          <w:highlight w:val="white"/>
        </w:rPr>
        <w:t>(3</w:t>
      </w:r>
      <w:r w:rsidR="001E1A81">
        <w:rPr>
          <w:rFonts w:ascii="Garamond" w:hAnsi="Garamond"/>
          <w:sz w:val="22"/>
          <w:szCs w:val="22"/>
          <w:highlight w:val="white"/>
        </w:rPr>
        <w:t xml:space="preserve">) </w:t>
      </w:r>
      <w:r w:rsidRPr="00003CF5">
        <w:rPr>
          <w:rFonts w:ascii="Garamond" w:hAnsi="Garamond"/>
          <w:sz w:val="22"/>
          <w:szCs w:val="22"/>
          <w:highlight w:val="white"/>
        </w:rPr>
        <w:t>where there is severe malformation of a fetus that will affect its viability or compatibility with life; and (4</w:t>
      </w:r>
      <w:r w:rsidR="001E1A81">
        <w:rPr>
          <w:rFonts w:ascii="Garamond" w:hAnsi="Garamond"/>
          <w:sz w:val="22"/>
          <w:szCs w:val="22"/>
          <w:highlight w:val="white"/>
        </w:rPr>
        <w:t xml:space="preserve">) </w:t>
      </w:r>
      <w:r w:rsidRPr="00003CF5">
        <w:rPr>
          <w:rFonts w:ascii="Garamond" w:hAnsi="Garamond"/>
          <w:sz w:val="22"/>
          <w:szCs w:val="22"/>
          <w:highlight w:val="white"/>
        </w:rPr>
        <w:t>where the pregnancy is a result of rape, incest, or defilement.</w:t>
      </w:r>
      <w:r w:rsidRPr="00003CF5">
        <w:rPr>
          <w:rFonts w:ascii="Garamond" w:hAnsi="Garamond"/>
          <w:sz w:val="22"/>
          <w:szCs w:val="22"/>
          <w:highlight w:val="white"/>
          <w:vertAlign w:val="superscript"/>
        </w:rPr>
        <w:footnoteReference w:id="19"/>
      </w:r>
      <w:r w:rsidRPr="00003CF5">
        <w:rPr>
          <w:rFonts w:ascii="Garamond" w:hAnsi="Garamond"/>
          <w:sz w:val="22"/>
          <w:szCs w:val="22"/>
          <w:highlight w:val="white"/>
        </w:rPr>
        <w:t xml:space="preserve"> Parliament blocked a motion to introduce the </w:t>
      </w:r>
      <w:proofErr w:type="spellStart"/>
      <w:r w:rsidRPr="00003CF5">
        <w:rPr>
          <w:rFonts w:ascii="Garamond" w:hAnsi="Garamond"/>
          <w:sz w:val="22"/>
          <w:szCs w:val="22"/>
          <w:highlight w:val="white"/>
        </w:rPr>
        <w:t>ToP</w:t>
      </w:r>
      <w:proofErr w:type="spellEnd"/>
      <w:r w:rsidRPr="00003CF5">
        <w:rPr>
          <w:rFonts w:ascii="Garamond" w:hAnsi="Garamond"/>
          <w:sz w:val="22"/>
          <w:szCs w:val="22"/>
          <w:highlight w:val="white"/>
        </w:rPr>
        <w:t xml:space="preserve"> Bill in Parliament.</w:t>
      </w:r>
      <w:r w:rsidRPr="00003CF5">
        <w:rPr>
          <w:rStyle w:val="FootnoteReference"/>
          <w:rFonts w:ascii="Garamond" w:hAnsi="Garamond"/>
          <w:sz w:val="22"/>
          <w:szCs w:val="22"/>
          <w:highlight w:val="white"/>
        </w:rPr>
        <w:footnoteReference w:id="20"/>
      </w:r>
      <w:r w:rsidRPr="00003CF5">
        <w:rPr>
          <w:rFonts w:ascii="Garamond" w:hAnsi="Garamond"/>
          <w:sz w:val="22"/>
          <w:szCs w:val="22"/>
          <w:highlight w:val="white"/>
        </w:rPr>
        <w:t xml:space="preserve"> </w:t>
      </w:r>
      <w:r w:rsidRPr="00003CF5">
        <w:rPr>
          <w:rFonts w:ascii="Garamond" w:hAnsi="Garamond"/>
          <w:sz w:val="22"/>
          <w:szCs w:val="22"/>
        </w:rPr>
        <w:t>In June 2021,</w:t>
      </w:r>
      <w:r w:rsidR="001E1A81">
        <w:rPr>
          <w:rFonts w:ascii="Garamond" w:hAnsi="Garamond"/>
          <w:sz w:val="22"/>
          <w:szCs w:val="22"/>
        </w:rPr>
        <w:t xml:space="preserve"> </w:t>
      </w:r>
      <w:r w:rsidRPr="00003CF5">
        <w:rPr>
          <w:rFonts w:ascii="Garamond" w:hAnsi="Garamond"/>
          <w:sz w:val="22"/>
          <w:szCs w:val="22"/>
        </w:rPr>
        <w:t>the</w:t>
      </w:r>
      <w:r w:rsidR="00542941">
        <w:rPr>
          <w:rFonts w:ascii="Garamond" w:hAnsi="Garamond"/>
          <w:sz w:val="22"/>
          <w:szCs w:val="22"/>
        </w:rPr>
        <w:t xml:space="preserve"> motion was withdrawn</w:t>
      </w:r>
      <w:r w:rsidRPr="00003CF5">
        <w:rPr>
          <w:rFonts w:ascii="Garamond" w:hAnsi="Garamond"/>
          <w:sz w:val="22"/>
          <w:szCs w:val="22"/>
        </w:rPr>
        <w:t>.</w:t>
      </w:r>
      <w:r w:rsidRPr="00003CF5">
        <w:rPr>
          <w:rStyle w:val="FootnoteReference"/>
          <w:rFonts w:ascii="Garamond" w:hAnsi="Garamond"/>
          <w:sz w:val="22"/>
          <w:szCs w:val="22"/>
        </w:rPr>
        <w:footnoteReference w:id="21"/>
      </w:r>
      <w:r w:rsidRPr="00003CF5">
        <w:rPr>
          <w:rFonts w:ascii="Garamond" w:hAnsi="Garamond"/>
          <w:sz w:val="22"/>
          <w:szCs w:val="22"/>
          <w:highlight w:val="white"/>
        </w:rPr>
        <w:t xml:space="preserve"> </w:t>
      </w:r>
    </w:p>
    <w:p w14:paraId="21BCE0D6" w14:textId="5DB8E0EF" w:rsidR="006658BC" w:rsidRPr="00003CF5" w:rsidRDefault="003E5B51" w:rsidP="00C9095C">
      <w:pPr>
        <w:widowControl w:val="0"/>
        <w:tabs>
          <w:tab w:val="right" w:leader="dot" w:pos="9270"/>
        </w:tabs>
        <w:spacing w:line="360" w:lineRule="auto"/>
        <w:ind w:left="-360" w:right="-270" w:firstLine="540"/>
        <w:jc w:val="both"/>
        <w:rPr>
          <w:rFonts w:ascii="Garamond" w:hAnsi="Garamond"/>
          <w:sz w:val="22"/>
          <w:szCs w:val="22"/>
          <w:highlight w:val="white"/>
        </w:rPr>
      </w:pPr>
      <w:r w:rsidRPr="00003CF5">
        <w:rPr>
          <w:rFonts w:ascii="Garamond" w:hAnsi="Garamond"/>
          <w:sz w:val="22"/>
          <w:szCs w:val="22"/>
          <w:highlight w:val="white"/>
        </w:rPr>
        <w:t>(1</w:t>
      </w:r>
      <w:r w:rsidR="00737A33">
        <w:rPr>
          <w:rFonts w:ascii="Garamond" w:hAnsi="Garamond"/>
          <w:sz w:val="22"/>
          <w:szCs w:val="22"/>
          <w:highlight w:val="white"/>
        </w:rPr>
        <w:t>5</w:t>
      </w:r>
      <w:r w:rsidR="001E1A81">
        <w:rPr>
          <w:rFonts w:ascii="Garamond" w:hAnsi="Garamond"/>
          <w:sz w:val="22"/>
          <w:szCs w:val="22"/>
          <w:highlight w:val="white"/>
        </w:rPr>
        <w:t xml:space="preserve">) </w:t>
      </w:r>
      <w:r w:rsidR="006658BC" w:rsidRPr="00003CF5">
        <w:rPr>
          <w:rFonts w:ascii="Garamond" w:hAnsi="Garamond"/>
          <w:sz w:val="22"/>
          <w:szCs w:val="22"/>
          <w:highlight w:val="white"/>
        </w:rPr>
        <w:t xml:space="preserve">In 2020, the Ministry of Health published its </w:t>
      </w:r>
      <w:r w:rsidR="006658BC" w:rsidRPr="00003CF5">
        <w:rPr>
          <w:rFonts w:ascii="Garamond" w:hAnsi="Garamond"/>
          <w:i/>
          <w:sz w:val="22"/>
          <w:szCs w:val="22"/>
          <w:highlight w:val="white"/>
        </w:rPr>
        <w:t xml:space="preserve">Standards and Guidelines for </w:t>
      </w:r>
      <w:r w:rsidR="00C37D4B">
        <w:rPr>
          <w:rFonts w:ascii="Garamond" w:hAnsi="Garamond"/>
          <w:i/>
          <w:sz w:val="22"/>
          <w:szCs w:val="22"/>
          <w:highlight w:val="white"/>
        </w:rPr>
        <w:t>Post Abortion Care</w:t>
      </w:r>
      <w:r w:rsidR="006658BC" w:rsidRPr="00003CF5">
        <w:rPr>
          <w:rFonts w:ascii="Garamond" w:hAnsi="Garamond"/>
          <w:sz w:val="22"/>
          <w:szCs w:val="22"/>
          <w:highlight w:val="white"/>
        </w:rPr>
        <w:t>.</w:t>
      </w:r>
      <w:r w:rsidR="006658BC" w:rsidRPr="00003CF5">
        <w:rPr>
          <w:rFonts w:ascii="Garamond" w:hAnsi="Garamond"/>
          <w:sz w:val="22"/>
          <w:szCs w:val="22"/>
          <w:highlight w:val="white"/>
          <w:vertAlign w:val="superscript"/>
        </w:rPr>
        <w:footnoteReference w:id="22"/>
      </w:r>
      <w:r w:rsidR="006658BC" w:rsidRPr="00003CF5">
        <w:rPr>
          <w:rFonts w:ascii="Garamond" w:hAnsi="Garamond"/>
          <w:sz w:val="22"/>
          <w:szCs w:val="22"/>
          <w:highlight w:val="white"/>
        </w:rPr>
        <w:t xml:space="preserve"> </w:t>
      </w:r>
      <w:r w:rsidR="00E53BA0">
        <w:rPr>
          <w:rFonts w:ascii="Garamond" w:hAnsi="Garamond"/>
          <w:sz w:val="22"/>
          <w:szCs w:val="22"/>
          <w:highlight w:val="white"/>
        </w:rPr>
        <w:t xml:space="preserve">However, the interpretation of the law advanced by the Standards and Guidelines </w:t>
      </w:r>
      <w:r w:rsidR="006121B5">
        <w:rPr>
          <w:rFonts w:ascii="Garamond" w:hAnsi="Garamond"/>
          <w:sz w:val="22"/>
          <w:szCs w:val="22"/>
          <w:highlight w:val="white"/>
        </w:rPr>
        <w:t>is restrictive because abortion can only be accessed when the pregnant woman has a medical or psychiatric comorbidity.</w:t>
      </w:r>
      <w:r w:rsidR="006658BC" w:rsidRPr="00003CF5">
        <w:rPr>
          <w:rStyle w:val="FootnoteReference"/>
          <w:rFonts w:ascii="Garamond" w:hAnsi="Garamond"/>
          <w:sz w:val="22"/>
          <w:szCs w:val="22"/>
          <w:highlight w:val="white"/>
        </w:rPr>
        <w:footnoteReference w:id="23"/>
      </w:r>
      <w:r w:rsidR="006658BC" w:rsidRPr="00003CF5">
        <w:rPr>
          <w:rFonts w:ascii="Garamond" w:hAnsi="Garamond"/>
          <w:sz w:val="22"/>
          <w:szCs w:val="22"/>
          <w:highlight w:val="white"/>
        </w:rPr>
        <w:t xml:space="preserve"> </w:t>
      </w:r>
      <w:r w:rsidR="006121B5">
        <w:rPr>
          <w:rFonts w:ascii="Garamond" w:hAnsi="Garamond"/>
          <w:sz w:val="22"/>
          <w:szCs w:val="22"/>
          <w:highlight w:val="white"/>
        </w:rPr>
        <w:t xml:space="preserve">Also, the Standards and Guidelines are vague as </w:t>
      </w:r>
      <w:r w:rsidR="006121B5">
        <w:rPr>
          <w:rFonts w:ascii="Garamond" w:hAnsi="Garamond"/>
          <w:sz w:val="22"/>
          <w:szCs w:val="22"/>
          <w:highlight w:val="white"/>
        </w:rPr>
        <w:lastRenderedPageBreak/>
        <w:t xml:space="preserve">to whether </w:t>
      </w:r>
      <w:r w:rsidR="006658BC" w:rsidRPr="00003CF5">
        <w:rPr>
          <w:rFonts w:ascii="Garamond" w:hAnsi="Garamond"/>
          <w:sz w:val="22"/>
          <w:szCs w:val="22"/>
          <w:highlight w:val="white"/>
        </w:rPr>
        <w:t xml:space="preserve">girls and women who </w:t>
      </w:r>
      <w:r w:rsidR="006121B5">
        <w:rPr>
          <w:rFonts w:ascii="Garamond" w:hAnsi="Garamond"/>
          <w:sz w:val="22"/>
          <w:szCs w:val="22"/>
          <w:highlight w:val="white"/>
        </w:rPr>
        <w:t>are pregnant due to sexual assault can access safe abortion to save their life</w:t>
      </w:r>
      <w:r w:rsidR="004738AB">
        <w:rPr>
          <w:rFonts w:ascii="Garamond" w:hAnsi="Garamond"/>
          <w:sz w:val="22"/>
          <w:szCs w:val="22"/>
          <w:highlight w:val="white"/>
        </w:rPr>
        <w:t>.</w:t>
      </w:r>
      <w:r w:rsidR="006658BC" w:rsidRPr="00003CF5">
        <w:rPr>
          <w:rStyle w:val="FootnoteReference"/>
          <w:rFonts w:ascii="Garamond" w:hAnsi="Garamond"/>
          <w:sz w:val="22"/>
          <w:szCs w:val="22"/>
          <w:highlight w:val="white"/>
        </w:rPr>
        <w:footnoteReference w:id="24"/>
      </w:r>
    </w:p>
    <w:p w14:paraId="69234EF6" w14:textId="3EBE4038" w:rsidR="00C9095C" w:rsidRPr="00003CF5" w:rsidRDefault="00B91414" w:rsidP="00C9095C">
      <w:pPr>
        <w:widowControl w:val="0"/>
        <w:tabs>
          <w:tab w:val="right" w:leader="dot" w:pos="9270"/>
        </w:tabs>
        <w:spacing w:line="360" w:lineRule="auto"/>
        <w:ind w:left="-360" w:right="-270" w:firstLine="540"/>
        <w:jc w:val="both"/>
        <w:rPr>
          <w:rFonts w:ascii="Garamond" w:hAnsi="Garamond"/>
          <w:sz w:val="22"/>
          <w:szCs w:val="22"/>
        </w:rPr>
      </w:pPr>
      <w:r w:rsidRPr="00003CF5">
        <w:rPr>
          <w:rFonts w:ascii="Garamond" w:hAnsi="Garamond"/>
          <w:sz w:val="22"/>
          <w:szCs w:val="22"/>
        </w:rPr>
        <w:t>(1</w:t>
      </w:r>
      <w:r w:rsidR="00737A33">
        <w:rPr>
          <w:rFonts w:ascii="Garamond" w:hAnsi="Garamond"/>
          <w:sz w:val="22"/>
          <w:szCs w:val="22"/>
        </w:rPr>
        <w:t>6</w:t>
      </w:r>
      <w:r w:rsidR="001E1A81">
        <w:rPr>
          <w:rFonts w:ascii="Garamond" w:hAnsi="Garamond"/>
          <w:sz w:val="22"/>
          <w:szCs w:val="22"/>
        </w:rPr>
        <w:t xml:space="preserve">) </w:t>
      </w:r>
      <w:r w:rsidRPr="00003CF5">
        <w:rPr>
          <w:rFonts w:ascii="Garamond" w:hAnsi="Garamond"/>
          <w:sz w:val="22"/>
          <w:szCs w:val="22"/>
        </w:rPr>
        <w:tab/>
        <w:t xml:space="preserve">In 2021, in the case of </w:t>
      </w:r>
      <w:r w:rsidRPr="00003CF5">
        <w:rPr>
          <w:rFonts w:ascii="Garamond" w:hAnsi="Garamond"/>
          <w:i/>
          <w:sz w:val="22"/>
          <w:szCs w:val="22"/>
        </w:rPr>
        <w:t>CM v. QEH</w:t>
      </w:r>
      <w:r w:rsidRPr="00003CF5">
        <w:rPr>
          <w:rFonts w:ascii="Garamond" w:hAnsi="Garamond"/>
          <w:sz w:val="22"/>
          <w:szCs w:val="22"/>
        </w:rPr>
        <w:t>,</w:t>
      </w:r>
      <w:r w:rsidRPr="00003CF5">
        <w:rPr>
          <w:rStyle w:val="FootnoteReference"/>
          <w:rFonts w:ascii="Garamond" w:hAnsi="Garamond"/>
          <w:sz w:val="22"/>
          <w:szCs w:val="22"/>
        </w:rPr>
        <w:footnoteReference w:id="25"/>
      </w:r>
      <w:r w:rsidRPr="00003CF5">
        <w:rPr>
          <w:rFonts w:ascii="Garamond" w:hAnsi="Garamond"/>
          <w:sz w:val="22"/>
          <w:szCs w:val="22"/>
        </w:rPr>
        <w:t xml:space="preserve"> the High Court of Malawi had a chance to review the question of the limited circumstances in which abortion is legal.</w:t>
      </w:r>
      <w:r w:rsidRPr="00003CF5">
        <w:rPr>
          <w:rStyle w:val="FootnoteReference"/>
          <w:rFonts w:ascii="Garamond" w:hAnsi="Garamond"/>
          <w:sz w:val="22"/>
          <w:szCs w:val="22"/>
        </w:rPr>
        <w:footnoteReference w:id="26"/>
      </w:r>
      <w:r w:rsidRPr="00003CF5">
        <w:rPr>
          <w:rFonts w:ascii="Garamond" w:hAnsi="Garamond"/>
          <w:sz w:val="22"/>
          <w:szCs w:val="22"/>
        </w:rPr>
        <w:t xml:space="preserve"> However, the opportunity was missed. The Court denied the request for judicial review because there was no medical record of the request for abortion.</w:t>
      </w:r>
      <w:r w:rsidRPr="00003CF5">
        <w:rPr>
          <w:rStyle w:val="FootnoteReference"/>
          <w:rFonts w:ascii="Garamond" w:hAnsi="Garamond"/>
          <w:sz w:val="22"/>
          <w:szCs w:val="22"/>
        </w:rPr>
        <w:footnoteReference w:id="27"/>
      </w:r>
      <w:r w:rsidRPr="00003CF5">
        <w:rPr>
          <w:rFonts w:ascii="Garamond" w:hAnsi="Garamond"/>
          <w:sz w:val="22"/>
          <w:szCs w:val="22"/>
        </w:rPr>
        <w:t xml:space="preserve">. Still, in an </w:t>
      </w:r>
      <w:r w:rsidRPr="00C9095C">
        <w:rPr>
          <w:rFonts w:ascii="Garamond" w:hAnsi="Garamond"/>
          <w:i/>
          <w:sz w:val="22"/>
          <w:szCs w:val="22"/>
        </w:rPr>
        <w:t>obiter dictum</w:t>
      </w:r>
      <w:r w:rsidRPr="00003CF5">
        <w:rPr>
          <w:rFonts w:ascii="Garamond" w:hAnsi="Garamond"/>
          <w:sz w:val="22"/>
          <w:szCs w:val="22"/>
        </w:rPr>
        <w:t xml:space="preserve">, the Court noted that </w:t>
      </w:r>
      <w:r w:rsidR="003E5B51" w:rsidRPr="00003CF5">
        <w:rPr>
          <w:rFonts w:ascii="Garamond" w:hAnsi="Garamond"/>
          <w:sz w:val="22"/>
          <w:szCs w:val="22"/>
        </w:rPr>
        <w:t>even if</w:t>
      </w:r>
      <w:r w:rsidRPr="00003CF5">
        <w:rPr>
          <w:rFonts w:ascii="Garamond" w:hAnsi="Garamond"/>
          <w:sz w:val="22"/>
          <w:szCs w:val="22"/>
        </w:rPr>
        <w:t xml:space="preserve"> judicial review had been granted, the plaintiff would have been denied her request for an abortion.</w:t>
      </w:r>
      <w:r w:rsidRPr="00003CF5">
        <w:rPr>
          <w:rStyle w:val="FootnoteReference"/>
          <w:rFonts w:ascii="Garamond" w:hAnsi="Garamond"/>
          <w:sz w:val="22"/>
          <w:szCs w:val="22"/>
        </w:rPr>
        <w:footnoteReference w:id="28"/>
      </w:r>
    </w:p>
    <w:p w14:paraId="63F55F71" w14:textId="603FCADD" w:rsidR="00B91414" w:rsidRPr="00003CF5" w:rsidRDefault="003E5B51" w:rsidP="00C9095C">
      <w:pPr>
        <w:pStyle w:val="Heading1"/>
        <w:tabs>
          <w:tab w:val="right" w:leader="dot" w:pos="9270"/>
        </w:tabs>
        <w:ind w:left="-360" w:right="-270" w:firstLine="540"/>
        <w:rPr>
          <w:sz w:val="22"/>
          <w:szCs w:val="22"/>
        </w:rPr>
      </w:pPr>
      <w:bookmarkStart w:id="3" w:name="_Toc123043559"/>
      <w:r w:rsidRPr="00003CF5">
        <w:rPr>
          <w:sz w:val="22"/>
          <w:szCs w:val="22"/>
        </w:rPr>
        <w:t xml:space="preserve">BY CRIMINALIZING ABORTION, </w:t>
      </w:r>
      <w:r w:rsidR="00B91414" w:rsidRPr="00003CF5">
        <w:rPr>
          <w:sz w:val="22"/>
          <w:szCs w:val="22"/>
        </w:rPr>
        <w:t>MALAWI FAILS TO FULFIL ITS INTERNATIONAL OBLIGATIONS UNDER THE COVENANT</w:t>
      </w:r>
      <w:bookmarkEnd w:id="3"/>
    </w:p>
    <w:p w14:paraId="575B4D03" w14:textId="125F9091" w:rsidR="00B91414" w:rsidRPr="00003CF5" w:rsidRDefault="00B91414" w:rsidP="00241793">
      <w:pPr>
        <w:pStyle w:val="Heading2"/>
      </w:pPr>
      <w:bookmarkStart w:id="4" w:name="_Toc123043560"/>
      <w:r w:rsidRPr="00003CF5">
        <w:t>I</w:t>
      </w:r>
      <w:r w:rsidR="001E1A81">
        <w:t xml:space="preserve">) </w:t>
      </w:r>
      <w:r w:rsidRPr="00003CF5">
        <w:t xml:space="preserve">The </w:t>
      </w:r>
      <w:r w:rsidR="00803CA0" w:rsidRPr="00003CF5">
        <w:t xml:space="preserve">general </w:t>
      </w:r>
      <w:r w:rsidRPr="00003CF5">
        <w:t>criminalization of abortion violates women’s human rights</w:t>
      </w:r>
      <w:bookmarkEnd w:id="4"/>
      <w:r w:rsidRPr="00003CF5">
        <w:t xml:space="preserve"> </w:t>
      </w:r>
    </w:p>
    <w:p w14:paraId="64A6598F" w14:textId="5934F772" w:rsidR="00B91414" w:rsidRPr="00003CF5" w:rsidRDefault="00B91414" w:rsidP="00C9095C">
      <w:pPr>
        <w:widowControl w:val="0"/>
        <w:tabs>
          <w:tab w:val="right" w:leader="dot" w:pos="9270"/>
        </w:tabs>
        <w:spacing w:line="360" w:lineRule="auto"/>
        <w:ind w:left="-360" w:right="-270" w:firstLine="540"/>
        <w:jc w:val="both"/>
        <w:rPr>
          <w:rFonts w:ascii="Garamond" w:hAnsi="Garamond"/>
          <w:sz w:val="22"/>
          <w:szCs w:val="22"/>
        </w:rPr>
      </w:pPr>
      <w:r w:rsidRPr="00003CF5">
        <w:rPr>
          <w:rFonts w:ascii="Garamond" w:hAnsi="Garamond"/>
          <w:sz w:val="22"/>
          <w:szCs w:val="22"/>
        </w:rPr>
        <w:t>(</w:t>
      </w:r>
      <w:r w:rsidR="00737A33">
        <w:rPr>
          <w:rFonts w:ascii="Garamond" w:hAnsi="Garamond"/>
          <w:sz w:val="22"/>
          <w:szCs w:val="22"/>
        </w:rPr>
        <w:t>1</w:t>
      </w:r>
      <w:r w:rsidRPr="00003CF5">
        <w:rPr>
          <w:rFonts w:ascii="Garamond" w:hAnsi="Garamond"/>
          <w:sz w:val="22"/>
          <w:szCs w:val="22"/>
        </w:rPr>
        <w:t>7</w:t>
      </w:r>
      <w:r w:rsidR="001E1A81">
        <w:rPr>
          <w:rFonts w:ascii="Garamond" w:hAnsi="Garamond"/>
          <w:sz w:val="22"/>
          <w:szCs w:val="22"/>
        </w:rPr>
        <w:t xml:space="preserve">) </w:t>
      </w:r>
      <w:r w:rsidRPr="00003CF5">
        <w:rPr>
          <w:rFonts w:ascii="Garamond" w:hAnsi="Garamond"/>
          <w:sz w:val="22"/>
          <w:szCs w:val="22"/>
        </w:rPr>
        <w:tab/>
        <w:t xml:space="preserve">UN treaty bodies have repeatedly affirmed that </w:t>
      </w:r>
      <w:r w:rsidR="003E5B51" w:rsidRPr="00003CF5">
        <w:rPr>
          <w:rFonts w:ascii="Garamond" w:hAnsi="Garamond"/>
          <w:sz w:val="22"/>
          <w:szCs w:val="22"/>
        </w:rPr>
        <w:t xml:space="preserve">ensuring access to abortion in accordance with human rights standards is part of </w:t>
      </w:r>
      <w:r w:rsidR="00542941">
        <w:rPr>
          <w:rFonts w:ascii="Garamond" w:hAnsi="Garamond"/>
          <w:sz w:val="22"/>
          <w:szCs w:val="22"/>
        </w:rPr>
        <w:t xml:space="preserve">the </w:t>
      </w:r>
      <w:r w:rsidR="003E5B51" w:rsidRPr="00003CF5">
        <w:rPr>
          <w:rFonts w:ascii="Garamond" w:hAnsi="Garamond"/>
          <w:sz w:val="22"/>
          <w:szCs w:val="22"/>
        </w:rPr>
        <w:t>State obligation to eliminate discrimination against women and to ensure women’s right to health as well as other fundamental human rights.</w:t>
      </w:r>
      <w:r w:rsidR="003E5B51" w:rsidRPr="00003CF5">
        <w:rPr>
          <w:rStyle w:val="FootnoteReference"/>
          <w:rFonts w:ascii="Garamond" w:hAnsi="Garamond"/>
          <w:sz w:val="22"/>
          <w:szCs w:val="22"/>
        </w:rPr>
        <w:footnoteReference w:id="29"/>
      </w:r>
      <w:r w:rsidRPr="00003CF5">
        <w:rPr>
          <w:rFonts w:ascii="Garamond" w:hAnsi="Garamond"/>
          <w:sz w:val="22"/>
          <w:szCs w:val="22"/>
        </w:rPr>
        <w:t xml:space="preserve"> They have provided clear guidance on the need to decriminalize abortion; guidance which unfortunately Malawi continues ignoring. </w:t>
      </w:r>
    </w:p>
    <w:p w14:paraId="5CC6AB3F" w14:textId="54F3EAB0" w:rsidR="00B91414" w:rsidRPr="00003CF5" w:rsidRDefault="00737A33" w:rsidP="00C9095C">
      <w:pPr>
        <w:widowControl w:val="0"/>
        <w:tabs>
          <w:tab w:val="right" w:leader="dot" w:pos="9270"/>
        </w:tabs>
        <w:spacing w:line="360" w:lineRule="auto"/>
        <w:ind w:left="-360" w:right="-270" w:firstLine="540"/>
        <w:jc w:val="both"/>
        <w:rPr>
          <w:rFonts w:ascii="Garamond" w:hAnsi="Garamond"/>
          <w:sz w:val="22"/>
          <w:szCs w:val="22"/>
        </w:rPr>
      </w:pPr>
      <w:r>
        <w:rPr>
          <w:rFonts w:ascii="Garamond" w:hAnsi="Garamond"/>
          <w:sz w:val="22"/>
          <w:szCs w:val="22"/>
        </w:rPr>
        <w:t>(18</w:t>
      </w:r>
      <w:r w:rsidR="001E1A81">
        <w:rPr>
          <w:rFonts w:ascii="Garamond" w:hAnsi="Garamond"/>
          <w:sz w:val="22"/>
          <w:szCs w:val="22"/>
        </w:rPr>
        <w:t xml:space="preserve">) </w:t>
      </w:r>
      <w:r>
        <w:rPr>
          <w:rFonts w:ascii="Garamond" w:hAnsi="Garamond"/>
          <w:sz w:val="22"/>
          <w:szCs w:val="22"/>
        </w:rPr>
        <w:tab/>
      </w:r>
      <w:r w:rsidR="00B91414" w:rsidRPr="00003CF5">
        <w:rPr>
          <w:rFonts w:ascii="Garamond" w:hAnsi="Garamond"/>
          <w:sz w:val="22"/>
          <w:szCs w:val="22"/>
        </w:rPr>
        <w:t xml:space="preserve">This Committee has acknowledged as much in numerous occasions. For instance, in the Concluding Observations to Bolivia’s third periodic report, </w:t>
      </w:r>
      <w:r w:rsidR="00803CA0" w:rsidRPr="00003CF5">
        <w:rPr>
          <w:rFonts w:ascii="Garamond" w:hAnsi="Garamond"/>
          <w:sz w:val="22"/>
          <w:szCs w:val="22"/>
        </w:rPr>
        <w:t>it</w:t>
      </w:r>
      <w:r w:rsidR="00B91414" w:rsidRPr="00003CF5">
        <w:rPr>
          <w:rFonts w:ascii="Garamond" w:hAnsi="Garamond"/>
          <w:sz w:val="22"/>
          <w:szCs w:val="22"/>
        </w:rPr>
        <w:t xml:space="preserve"> expressed regret over “the persistence of unsafe abortions due to the criminalization of abortion”</w:t>
      </w:r>
      <w:r w:rsidR="00B91414" w:rsidRPr="00003CF5">
        <w:rPr>
          <w:rStyle w:val="FootnoteReference"/>
          <w:rFonts w:ascii="Garamond" w:hAnsi="Garamond"/>
          <w:sz w:val="22"/>
          <w:szCs w:val="22"/>
        </w:rPr>
        <w:footnoteReference w:id="30"/>
      </w:r>
      <w:r w:rsidR="00B91414" w:rsidRPr="00003CF5">
        <w:rPr>
          <w:rFonts w:ascii="Garamond" w:hAnsi="Garamond"/>
          <w:sz w:val="22"/>
          <w:szCs w:val="22"/>
        </w:rPr>
        <w:t xml:space="preserve"> In the Concluding Observations to the Democratic Republic of Congo’s sixth periodic report, </w:t>
      </w:r>
      <w:r w:rsidR="00803CA0" w:rsidRPr="00003CF5">
        <w:rPr>
          <w:rFonts w:ascii="Garamond" w:hAnsi="Garamond"/>
          <w:sz w:val="22"/>
          <w:szCs w:val="22"/>
        </w:rPr>
        <w:t>it</w:t>
      </w:r>
      <w:r w:rsidR="00B91414" w:rsidRPr="00003CF5">
        <w:rPr>
          <w:rFonts w:ascii="Garamond" w:hAnsi="Garamond"/>
          <w:sz w:val="22"/>
          <w:szCs w:val="22"/>
        </w:rPr>
        <w:t xml:space="preserve"> expressed concern about abortion being criminalized and recommended that provisions of the criminal code prohibiting abortion be repealed.</w:t>
      </w:r>
      <w:r w:rsidR="00B91414" w:rsidRPr="00003CF5">
        <w:rPr>
          <w:rStyle w:val="FootnoteReference"/>
          <w:rFonts w:ascii="Garamond" w:hAnsi="Garamond"/>
          <w:sz w:val="22"/>
          <w:szCs w:val="22"/>
        </w:rPr>
        <w:footnoteReference w:id="31"/>
      </w:r>
      <w:r w:rsidR="00B91414" w:rsidRPr="00003CF5">
        <w:rPr>
          <w:rFonts w:ascii="Garamond" w:hAnsi="Garamond"/>
          <w:sz w:val="22"/>
          <w:szCs w:val="22"/>
        </w:rPr>
        <w:t xml:space="preserve"> In the Concluding Observations to Bahrain’s </w:t>
      </w:r>
      <w:r w:rsidR="00A655D6" w:rsidRPr="00003CF5">
        <w:rPr>
          <w:rFonts w:ascii="Garamond" w:hAnsi="Garamond"/>
          <w:sz w:val="22"/>
          <w:szCs w:val="22"/>
        </w:rPr>
        <w:t>initial report</w:t>
      </w:r>
      <w:r w:rsidR="00614556" w:rsidRPr="00003CF5">
        <w:rPr>
          <w:rFonts w:ascii="Garamond" w:hAnsi="Garamond"/>
          <w:sz w:val="22"/>
          <w:szCs w:val="22"/>
        </w:rPr>
        <w:t xml:space="preserve">, </w:t>
      </w:r>
      <w:r w:rsidR="00770C27" w:rsidRPr="00003CF5">
        <w:rPr>
          <w:rFonts w:ascii="Garamond" w:hAnsi="Garamond"/>
          <w:sz w:val="22"/>
          <w:szCs w:val="22"/>
        </w:rPr>
        <w:t>this Committee</w:t>
      </w:r>
      <w:r w:rsidR="00614556" w:rsidRPr="00003CF5">
        <w:rPr>
          <w:rFonts w:ascii="Garamond" w:hAnsi="Garamond"/>
          <w:sz w:val="22"/>
          <w:szCs w:val="22"/>
        </w:rPr>
        <w:t xml:space="preserve"> </w:t>
      </w:r>
      <w:r w:rsidR="00614556" w:rsidRPr="00003CF5">
        <w:rPr>
          <w:rFonts w:ascii="Garamond" w:hAnsi="Garamond"/>
          <w:sz w:val="22"/>
          <w:szCs w:val="22"/>
        </w:rPr>
        <w:lastRenderedPageBreak/>
        <w:t xml:space="preserve">expressed concern </w:t>
      </w:r>
      <w:r w:rsidR="00497D74" w:rsidRPr="00003CF5">
        <w:rPr>
          <w:rFonts w:ascii="Garamond" w:hAnsi="Garamond"/>
          <w:sz w:val="22"/>
          <w:szCs w:val="22"/>
        </w:rPr>
        <w:t>about</w:t>
      </w:r>
      <w:r w:rsidR="00614556" w:rsidRPr="00003CF5">
        <w:rPr>
          <w:rFonts w:ascii="Garamond" w:hAnsi="Garamond"/>
          <w:sz w:val="22"/>
          <w:szCs w:val="22"/>
        </w:rPr>
        <w:t xml:space="preserve"> the criminalization of abortion, especially in the case of rape and incest</w:t>
      </w:r>
      <w:r w:rsidR="00770C27" w:rsidRPr="00003CF5">
        <w:rPr>
          <w:rFonts w:ascii="Garamond" w:hAnsi="Garamond"/>
          <w:sz w:val="22"/>
          <w:szCs w:val="22"/>
        </w:rPr>
        <w:t>,</w:t>
      </w:r>
      <w:r w:rsidR="00614556" w:rsidRPr="00003CF5">
        <w:rPr>
          <w:rFonts w:ascii="Garamond" w:hAnsi="Garamond"/>
          <w:sz w:val="22"/>
          <w:szCs w:val="22"/>
        </w:rPr>
        <w:t xml:space="preserve"> and recommended </w:t>
      </w:r>
      <w:r w:rsidR="00770C27" w:rsidRPr="00003CF5">
        <w:rPr>
          <w:rFonts w:ascii="Garamond" w:hAnsi="Garamond"/>
          <w:sz w:val="22"/>
          <w:szCs w:val="22"/>
        </w:rPr>
        <w:t xml:space="preserve">that </w:t>
      </w:r>
      <w:r w:rsidR="00614556" w:rsidRPr="00003CF5">
        <w:rPr>
          <w:rFonts w:ascii="Garamond" w:hAnsi="Garamond"/>
          <w:sz w:val="22"/>
          <w:szCs w:val="22"/>
        </w:rPr>
        <w:t>laws be amended to expand the set of circumstances under which abortion is legal</w:t>
      </w:r>
      <w:r w:rsidR="00B91414" w:rsidRPr="00003CF5">
        <w:rPr>
          <w:rFonts w:ascii="Garamond" w:hAnsi="Garamond"/>
          <w:sz w:val="22"/>
          <w:szCs w:val="22"/>
        </w:rPr>
        <w:t>.</w:t>
      </w:r>
      <w:r w:rsidR="00B91414" w:rsidRPr="00003CF5">
        <w:rPr>
          <w:rStyle w:val="FootnoteReference"/>
          <w:rFonts w:ascii="Garamond" w:hAnsi="Garamond"/>
          <w:sz w:val="22"/>
          <w:szCs w:val="22"/>
        </w:rPr>
        <w:footnoteReference w:id="32"/>
      </w:r>
    </w:p>
    <w:p w14:paraId="4CA48A18" w14:textId="71BB85FA" w:rsidR="00B91414" w:rsidRPr="00003CF5" w:rsidRDefault="00737A33" w:rsidP="00C9095C">
      <w:pPr>
        <w:widowControl w:val="0"/>
        <w:tabs>
          <w:tab w:val="right" w:leader="dot" w:pos="9270"/>
        </w:tabs>
        <w:spacing w:line="360" w:lineRule="auto"/>
        <w:ind w:left="-360" w:right="-270" w:firstLine="540"/>
        <w:jc w:val="both"/>
        <w:rPr>
          <w:rFonts w:ascii="Garamond" w:hAnsi="Garamond"/>
          <w:sz w:val="22"/>
          <w:szCs w:val="22"/>
        </w:rPr>
      </w:pPr>
      <w:r>
        <w:rPr>
          <w:rFonts w:ascii="Garamond" w:hAnsi="Garamond"/>
          <w:sz w:val="22"/>
          <w:szCs w:val="22"/>
        </w:rPr>
        <w:t>(19</w:t>
      </w:r>
      <w:r w:rsidR="001E1A81">
        <w:rPr>
          <w:rFonts w:ascii="Garamond" w:hAnsi="Garamond"/>
          <w:sz w:val="22"/>
          <w:szCs w:val="22"/>
        </w:rPr>
        <w:t xml:space="preserve">) </w:t>
      </w:r>
      <w:r>
        <w:rPr>
          <w:rFonts w:ascii="Garamond" w:hAnsi="Garamond"/>
          <w:sz w:val="22"/>
          <w:szCs w:val="22"/>
        </w:rPr>
        <w:tab/>
      </w:r>
      <w:r w:rsidR="00B91414" w:rsidRPr="00003CF5">
        <w:rPr>
          <w:rFonts w:ascii="Garamond" w:hAnsi="Garamond"/>
          <w:sz w:val="22"/>
          <w:szCs w:val="22"/>
        </w:rPr>
        <w:t>In General Comment 22, this Committee noted that access to reproductive health must not be denied or limited by the State through laws criminalizing reproductive health services.</w:t>
      </w:r>
      <w:r w:rsidR="00B91414" w:rsidRPr="00003CF5">
        <w:rPr>
          <w:rStyle w:val="FootnoteReference"/>
          <w:rFonts w:ascii="Garamond" w:hAnsi="Garamond"/>
          <w:sz w:val="22"/>
          <w:szCs w:val="22"/>
        </w:rPr>
        <w:footnoteReference w:id="33"/>
      </w:r>
      <w:r w:rsidR="001E1A81">
        <w:rPr>
          <w:rFonts w:ascii="Garamond" w:hAnsi="Garamond"/>
          <w:sz w:val="22"/>
          <w:szCs w:val="22"/>
        </w:rPr>
        <w:t xml:space="preserve"> </w:t>
      </w:r>
      <w:r w:rsidR="00132442" w:rsidRPr="00003CF5">
        <w:rPr>
          <w:rFonts w:ascii="Garamond" w:hAnsi="Garamond"/>
          <w:sz w:val="22"/>
          <w:szCs w:val="22"/>
        </w:rPr>
        <w:t>Criminalization or restrictive abortion laws “undermine autonomy” and impedes the full enjoyment of the right to sexual and reproductive health.</w:t>
      </w:r>
      <w:r w:rsidR="00132442" w:rsidRPr="00003CF5">
        <w:rPr>
          <w:rStyle w:val="FootnoteReference"/>
          <w:rFonts w:ascii="Garamond" w:hAnsi="Garamond"/>
          <w:sz w:val="22"/>
          <w:szCs w:val="22"/>
        </w:rPr>
        <w:footnoteReference w:id="34"/>
      </w:r>
      <w:r w:rsidR="00132442" w:rsidRPr="00003CF5">
        <w:rPr>
          <w:rFonts w:ascii="Garamond" w:hAnsi="Garamond"/>
          <w:sz w:val="22"/>
          <w:szCs w:val="22"/>
        </w:rPr>
        <w:t xml:space="preserve"> </w:t>
      </w:r>
      <w:r w:rsidR="009D3096" w:rsidRPr="00003CF5">
        <w:rPr>
          <w:rFonts w:ascii="Garamond" w:hAnsi="Garamond"/>
          <w:sz w:val="22"/>
          <w:szCs w:val="22"/>
        </w:rPr>
        <w:t>This Committee acknowledged that the denial of abortion services often leads to maternal mortality and morbidity</w:t>
      </w:r>
      <w:r w:rsidR="009E613E" w:rsidRPr="00003CF5">
        <w:rPr>
          <w:rFonts w:ascii="Garamond" w:hAnsi="Garamond"/>
          <w:sz w:val="22"/>
          <w:szCs w:val="22"/>
        </w:rPr>
        <w:t xml:space="preserve"> and recognized the role that unsafe abortion </w:t>
      </w:r>
      <w:r w:rsidR="00434033" w:rsidRPr="00003CF5">
        <w:rPr>
          <w:rFonts w:ascii="Garamond" w:hAnsi="Garamond"/>
          <w:sz w:val="22"/>
          <w:szCs w:val="22"/>
        </w:rPr>
        <w:t>plays</w:t>
      </w:r>
      <w:r w:rsidR="009E613E" w:rsidRPr="00003CF5">
        <w:rPr>
          <w:rFonts w:ascii="Garamond" w:hAnsi="Garamond"/>
          <w:sz w:val="22"/>
          <w:szCs w:val="22"/>
        </w:rPr>
        <w:t xml:space="preserve"> in contributing to these medical conditions</w:t>
      </w:r>
      <w:r w:rsidR="009D3096" w:rsidRPr="00003CF5">
        <w:rPr>
          <w:rFonts w:ascii="Garamond" w:hAnsi="Garamond"/>
          <w:sz w:val="22"/>
          <w:szCs w:val="22"/>
        </w:rPr>
        <w:t>.</w:t>
      </w:r>
      <w:r w:rsidR="009D3096" w:rsidRPr="00003CF5">
        <w:rPr>
          <w:rStyle w:val="FootnoteReference"/>
          <w:rFonts w:ascii="Garamond" w:hAnsi="Garamond"/>
          <w:sz w:val="22"/>
          <w:szCs w:val="22"/>
        </w:rPr>
        <w:footnoteReference w:id="35"/>
      </w:r>
      <w:r w:rsidR="009E613E" w:rsidRPr="00003CF5">
        <w:rPr>
          <w:rFonts w:ascii="Garamond" w:hAnsi="Garamond"/>
          <w:sz w:val="22"/>
          <w:szCs w:val="22"/>
        </w:rPr>
        <w:t xml:space="preserve"> To prevent unsafe abortions, among other suggestions, </w:t>
      </w:r>
      <w:r w:rsidR="00434033" w:rsidRPr="00003CF5">
        <w:rPr>
          <w:rFonts w:ascii="Garamond" w:hAnsi="Garamond"/>
          <w:sz w:val="22"/>
          <w:szCs w:val="22"/>
        </w:rPr>
        <w:t xml:space="preserve">General Comment 22 shares the recommendation </w:t>
      </w:r>
      <w:r w:rsidR="00EB627A" w:rsidRPr="00003CF5">
        <w:rPr>
          <w:rFonts w:ascii="Garamond" w:hAnsi="Garamond"/>
          <w:sz w:val="22"/>
          <w:szCs w:val="22"/>
        </w:rPr>
        <w:t>that</w:t>
      </w:r>
      <w:r w:rsidR="00434033" w:rsidRPr="00003CF5">
        <w:rPr>
          <w:rFonts w:ascii="Garamond" w:hAnsi="Garamond"/>
          <w:sz w:val="22"/>
          <w:szCs w:val="22"/>
        </w:rPr>
        <w:t xml:space="preserve"> </w:t>
      </w:r>
      <w:r w:rsidR="009E613E" w:rsidRPr="00003CF5">
        <w:rPr>
          <w:rFonts w:ascii="Garamond" w:hAnsi="Garamond"/>
          <w:sz w:val="22"/>
          <w:szCs w:val="22"/>
        </w:rPr>
        <w:t>the State should “liberalize restrictive abortion laws.”</w:t>
      </w:r>
      <w:r w:rsidR="009E613E" w:rsidRPr="00003CF5">
        <w:rPr>
          <w:rStyle w:val="FootnoteReference"/>
          <w:rFonts w:ascii="Garamond" w:hAnsi="Garamond"/>
          <w:sz w:val="22"/>
          <w:szCs w:val="22"/>
        </w:rPr>
        <w:footnoteReference w:id="36"/>
      </w:r>
      <w:r w:rsidR="009F4B92" w:rsidRPr="00003CF5">
        <w:rPr>
          <w:rFonts w:ascii="Garamond" w:hAnsi="Garamond"/>
          <w:sz w:val="22"/>
          <w:szCs w:val="22"/>
        </w:rPr>
        <w:t xml:space="preserve"> </w:t>
      </w:r>
      <w:r w:rsidR="00F10994" w:rsidRPr="00003CF5">
        <w:rPr>
          <w:rFonts w:ascii="Garamond" w:hAnsi="Garamond"/>
          <w:sz w:val="22"/>
          <w:szCs w:val="22"/>
        </w:rPr>
        <w:t>States “have a core obligation to ensure, at the very least, minimum essential levels of satisfaction of the right to sexual and reproductive health</w:t>
      </w:r>
      <w:r w:rsidR="006121B5">
        <w:rPr>
          <w:rFonts w:ascii="Garamond" w:hAnsi="Garamond"/>
          <w:sz w:val="22"/>
          <w:szCs w:val="22"/>
        </w:rPr>
        <w:t>,</w:t>
      </w:r>
      <w:r w:rsidR="00F10994" w:rsidRPr="00003CF5">
        <w:rPr>
          <w:rFonts w:ascii="Garamond" w:hAnsi="Garamond"/>
          <w:sz w:val="22"/>
          <w:szCs w:val="22"/>
        </w:rPr>
        <w:t xml:space="preserve"> which includes measures to prevent unsafe abortion.”</w:t>
      </w:r>
      <w:r w:rsidR="00F10994" w:rsidRPr="00003CF5">
        <w:rPr>
          <w:rStyle w:val="FootnoteReference"/>
          <w:rFonts w:ascii="Garamond" w:hAnsi="Garamond"/>
          <w:sz w:val="22"/>
          <w:szCs w:val="22"/>
        </w:rPr>
        <w:footnoteReference w:id="37"/>
      </w:r>
      <w:r w:rsidR="00F10994" w:rsidRPr="00003CF5">
        <w:rPr>
          <w:rFonts w:ascii="Garamond" w:hAnsi="Garamond"/>
          <w:sz w:val="22"/>
          <w:szCs w:val="22"/>
        </w:rPr>
        <w:t xml:space="preserve"> </w:t>
      </w:r>
      <w:r w:rsidR="009F4B92" w:rsidRPr="00003CF5">
        <w:rPr>
          <w:rFonts w:ascii="Garamond" w:hAnsi="Garamond"/>
          <w:sz w:val="22"/>
          <w:szCs w:val="22"/>
        </w:rPr>
        <w:t xml:space="preserve">General Comment 14 </w:t>
      </w:r>
      <w:r w:rsidR="004678F3" w:rsidRPr="00003CF5">
        <w:rPr>
          <w:rFonts w:ascii="Garamond" w:hAnsi="Garamond"/>
          <w:sz w:val="22"/>
          <w:szCs w:val="22"/>
        </w:rPr>
        <w:t>identifies health as a fundamental human right “indispensable for the exercise of other human rights</w:t>
      </w:r>
      <w:r w:rsidR="009F4B92" w:rsidRPr="00003CF5">
        <w:rPr>
          <w:rFonts w:ascii="Garamond" w:hAnsi="Garamond"/>
          <w:sz w:val="22"/>
          <w:szCs w:val="22"/>
        </w:rPr>
        <w:t>.</w:t>
      </w:r>
      <w:r w:rsidR="004678F3" w:rsidRPr="00003CF5">
        <w:rPr>
          <w:rFonts w:ascii="Garamond" w:hAnsi="Garamond"/>
          <w:sz w:val="22"/>
          <w:szCs w:val="22"/>
        </w:rPr>
        <w:t>”</w:t>
      </w:r>
      <w:r w:rsidR="009F4B92" w:rsidRPr="00003CF5">
        <w:rPr>
          <w:rStyle w:val="FootnoteReference"/>
          <w:rFonts w:ascii="Garamond" w:hAnsi="Garamond"/>
          <w:sz w:val="22"/>
          <w:szCs w:val="22"/>
        </w:rPr>
        <w:footnoteReference w:id="38"/>
      </w:r>
      <w:r w:rsidR="004678F3" w:rsidRPr="00003CF5">
        <w:rPr>
          <w:rFonts w:ascii="Garamond" w:hAnsi="Garamond"/>
          <w:sz w:val="22"/>
          <w:szCs w:val="22"/>
        </w:rPr>
        <w:t xml:space="preserve"> Footnote 12 explains that reproductive health includes the freedom to decide “if and when to reproduce.”</w:t>
      </w:r>
      <w:r w:rsidR="004678F3" w:rsidRPr="00003CF5">
        <w:rPr>
          <w:rStyle w:val="FootnoteReference"/>
          <w:rFonts w:ascii="Garamond" w:hAnsi="Garamond"/>
          <w:sz w:val="22"/>
          <w:szCs w:val="22"/>
        </w:rPr>
        <w:footnoteReference w:id="39"/>
      </w:r>
      <w:r w:rsidR="00E02850" w:rsidRPr="00003CF5">
        <w:rPr>
          <w:rFonts w:ascii="Garamond" w:hAnsi="Garamond"/>
          <w:sz w:val="22"/>
          <w:szCs w:val="22"/>
        </w:rPr>
        <w:t xml:space="preserve"> This Committee notes that specific legal obligations under the Covenant include refraining from limiting access to “means of maintaining sexual and reproductive health</w:t>
      </w:r>
      <w:r w:rsidR="008459C9" w:rsidRPr="00003CF5">
        <w:rPr>
          <w:rFonts w:ascii="Garamond" w:hAnsi="Garamond"/>
          <w:sz w:val="22"/>
          <w:szCs w:val="22"/>
        </w:rPr>
        <w:t>,</w:t>
      </w:r>
      <w:r w:rsidR="00E02850" w:rsidRPr="00003CF5">
        <w:rPr>
          <w:rFonts w:ascii="Garamond" w:hAnsi="Garamond"/>
          <w:sz w:val="22"/>
          <w:szCs w:val="22"/>
        </w:rPr>
        <w:t>”</w:t>
      </w:r>
      <w:r w:rsidR="00545572" w:rsidRPr="00003CF5">
        <w:rPr>
          <w:rStyle w:val="FootnoteReference"/>
          <w:rFonts w:ascii="Garamond" w:hAnsi="Garamond"/>
          <w:sz w:val="22"/>
          <w:szCs w:val="22"/>
        </w:rPr>
        <w:t xml:space="preserve"> </w:t>
      </w:r>
      <w:r w:rsidR="00545572" w:rsidRPr="00003CF5">
        <w:rPr>
          <w:rStyle w:val="FootnoteReference"/>
          <w:rFonts w:ascii="Garamond" w:hAnsi="Garamond"/>
          <w:sz w:val="22"/>
          <w:szCs w:val="22"/>
        </w:rPr>
        <w:footnoteReference w:id="40"/>
      </w:r>
      <w:r w:rsidR="008459C9" w:rsidRPr="00003CF5">
        <w:rPr>
          <w:rFonts w:ascii="Garamond" w:hAnsi="Garamond"/>
          <w:sz w:val="22"/>
          <w:szCs w:val="22"/>
        </w:rPr>
        <w:t xml:space="preserve"> which the </w:t>
      </w:r>
      <w:r w:rsidR="00EF075D" w:rsidRPr="00003CF5">
        <w:rPr>
          <w:rFonts w:ascii="Garamond" w:hAnsi="Garamond"/>
          <w:sz w:val="22"/>
          <w:szCs w:val="22"/>
        </w:rPr>
        <w:t xml:space="preserve">current </w:t>
      </w:r>
      <w:r w:rsidR="008459C9" w:rsidRPr="00003CF5">
        <w:rPr>
          <w:rFonts w:ascii="Garamond" w:hAnsi="Garamond"/>
          <w:sz w:val="22"/>
          <w:szCs w:val="22"/>
        </w:rPr>
        <w:t xml:space="preserve">abortion laws in Malawi effectively </w:t>
      </w:r>
      <w:r w:rsidR="00223C8F" w:rsidRPr="00003CF5">
        <w:rPr>
          <w:rFonts w:ascii="Garamond" w:hAnsi="Garamond"/>
          <w:sz w:val="22"/>
          <w:szCs w:val="22"/>
        </w:rPr>
        <w:t>do</w:t>
      </w:r>
      <w:r w:rsidR="008459C9" w:rsidRPr="00003CF5">
        <w:rPr>
          <w:rFonts w:ascii="Garamond" w:hAnsi="Garamond"/>
          <w:sz w:val="22"/>
          <w:szCs w:val="22"/>
        </w:rPr>
        <w:t>.</w:t>
      </w:r>
    </w:p>
    <w:p w14:paraId="5F529E5F" w14:textId="511D939F" w:rsidR="00B91414" w:rsidRPr="00003CF5" w:rsidRDefault="00737A33" w:rsidP="00C9095C">
      <w:pPr>
        <w:widowControl w:val="0"/>
        <w:tabs>
          <w:tab w:val="right" w:leader="dot" w:pos="9270"/>
        </w:tabs>
        <w:spacing w:line="360" w:lineRule="auto"/>
        <w:ind w:left="-360" w:right="-270" w:firstLine="540"/>
        <w:jc w:val="both"/>
        <w:rPr>
          <w:rFonts w:ascii="Garamond" w:hAnsi="Garamond"/>
          <w:sz w:val="22"/>
          <w:szCs w:val="22"/>
        </w:rPr>
      </w:pPr>
      <w:r>
        <w:rPr>
          <w:rFonts w:ascii="Garamond" w:hAnsi="Garamond"/>
          <w:sz w:val="22"/>
          <w:szCs w:val="22"/>
          <w:highlight w:val="white"/>
        </w:rPr>
        <w:t>(20</w:t>
      </w:r>
      <w:r w:rsidR="001E1A81">
        <w:rPr>
          <w:rFonts w:ascii="Garamond" w:hAnsi="Garamond"/>
          <w:sz w:val="22"/>
          <w:szCs w:val="22"/>
          <w:highlight w:val="white"/>
        </w:rPr>
        <w:t xml:space="preserve">) </w:t>
      </w:r>
      <w:r>
        <w:rPr>
          <w:rFonts w:ascii="Garamond" w:hAnsi="Garamond"/>
          <w:sz w:val="22"/>
          <w:szCs w:val="22"/>
          <w:highlight w:val="white"/>
        </w:rPr>
        <w:tab/>
      </w:r>
      <w:r w:rsidR="00B91414" w:rsidRPr="00003CF5">
        <w:rPr>
          <w:rFonts w:ascii="Garamond" w:hAnsi="Garamond"/>
          <w:sz w:val="22"/>
          <w:szCs w:val="22"/>
          <w:highlight w:val="white"/>
        </w:rPr>
        <w:t xml:space="preserve">Besides the Covenant, Malawi has ratified the International Covenant on </w:t>
      </w:r>
      <w:r w:rsidR="006658BC" w:rsidRPr="00003CF5">
        <w:rPr>
          <w:rFonts w:ascii="Garamond" w:hAnsi="Garamond"/>
          <w:sz w:val="22"/>
          <w:szCs w:val="22"/>
          <w:highlight w:val="white"/>
        </w:rPr>
        <w:t>Civil</w:t>
      </w:r>
      <w:r w:rsidR="00B91414" w:rsidRPr="00003CF5">
        <w:rPr>
          <w:rFonts w:ascii="Garamond" w:hAnsi="Garamond"/>
          <w:sz w:val="22"/>
          <w:szCs w:val="22"/>
          <w:highlight w:val="white"/>
        </w:rPr>
        <w:t xml:space="preserve"> and Political Rights,</w:t>
      </w:r>
      <w:r w:rsidR="00B91414" w:rsidRPr="00003CF5">
        <w:rPr>
          <w:rStyle w:val="FootnoteReference"/>
          <w:rFonts w:ascii="Garamond" w:hAnsi="Garamond"/>
          <w:sz w:val="22"/>
          <w:szCs w:val="22"/>
          <w:highlight w:val="white"/>
        </w:rPr>
        <w:footnoteReference w:id="41"/>
      </w:r>
      <w:r w:rsidR="00B91414" w:rsidRPr="00003CF5">
        <w:rPr>
          <w:rFonts w:ascii="Garamond" w:hAnsi="Garamond"/>
          <w:sz w:val="22"/>
          <w:szCs w:val="22"/>
          <w:highlight w:val="white"/>
        </w:rPr>
        <w:t xml:space="preserve"> and the Covenant on the Prohibition of Discr</w:t>
      </w:r>
      <w:r w:rsidR="003E5B51" w:rsidRPr="00003CF5">
        <w:rPr>
          <w:rFonts w:ascii="Garamond" w:hAnsi="Garamond"/>
          <w:sz w:val="22"/>
          <w:szCs w:val="22"/>
          <w:highlight w:val="white"/>
        </w:rPr>
        <w:t>imination against Women (CEDAW</w:t>
      </w:r>
      <w:r w:rsidR="006121B5">
        <w:rPr>
          <w:rFonts w:ascii="Garamond" w:hAnsi="Garamond"/>
          <w:sz w:val="22"/>
          <w:szCs w:val="22"/>
          <w:highlight w:val="white"/>
        </w:rPr>
        <w:t>).</w:t>
      </w:r>
      <w:r w:rsidR="00B91414" w:rsidRPr="00003CF5">
        <w:rPr>
          <w:rStyle w:val="FootnoteReference"/>
          <w:rFonts w:ascii="Garamond" w:hAnsi="Garamond"/>
          <w:sz w:val="22"/>
          <w:szCs w:val="22"/>
        </w:rPr>
        <w:footnoteReference w:id="42"/>
      </w:r>
      <w:r w:rsidR="00B91414" w:rsidRPr="00003CF5">
        <w:rPr>
          <w:rFonts w:ascii="Garamond" w:hAnsi="Garamond"/>
          <w:sz w:val="22"/>
          <w:szCs w:val="22"/>
        </w:rPr>
        <w:t xml:space="preserve"> </w:t>
      </w:r>
      <w:r w:rsidR="003E5B51" w:rsidRPr="00003CF5">
        <w:rPr>
          <w:rFonts w:ascii="Garamond" w:hAnsi="Garamond"/>
          <w:sz w:val="22"/>
          <w:szCs w:val="22"/>
        </w:rPr>
        <w:t>Those treaty bodies have criticized restriction of abortion</w:t>
      </w:r>
      <w:r w:rsidR="00B91414" w:rsidRPr="00003CF5">
        <w:rPr>
          <w:rFonts w:ascii="Garamond" w:hAnsi="Garamond"/>
          <w:sz w:val="22"/>
          <w:szCs w:val="22"/>
        </w:rPr>
        <w:t xml:space="preserve">, too. For instance, in 2018, the CEDAW Committee released a report </w:t>
      </w:r>
      <w:r w:rsidR="006658BC" w:rsidRPr="00003CF5">
        <w:rPr>
          <w:rFonts w:ascii="Garamond" w:hAnsi="Garamond"/>
          <w:sz w:val="22"/>
          <w:szCs w:val="22"/>
        </w:rPr>
        <w:t>concerning</w:t>
      </w:r>
      <w:r w:rsidR="00B91414" w:rsidRPr="00003CF5">
        <w:rPr>
          <w:rFonts w:ascii="Garamond" w:hAnsi="Garamond"/>
          <w:sz w:val="22"/>
          <w:szCs w:val="22"/>
        </w:rPr>
        <w:t xml:space="preserve"> an inquiry </w:t>
      </w:r>
      <w:r w:rsidR="00C65BBD" w:rsidRPr="00003CF5">
        <w:rPr>
          <w:rFonts w:ascii="Garamond" w:hAnsi="Garamond"/>
          <w:sz w:val="22"/>
          <w:szCs w:val="22"/>
        </w:rPr>
        <w:t xml:space="preserve">concerning restrictions </w:t>
      </w:r>
      <w:r w:rsidR="006121B5">
        <w:rPr>
          <w:rFonts w:ascii="Garamond" w:hAnsi="Garamond"/>
          <w:sz w:val="22"/>
          <w:szCs w:val="22"/>
        </w:rPr>
        <w:t>on</w:t>
      </w:r>
      <w:r w:rsidR="006121B5" w:rsidRPr="00003CF5">
        <w:rPr>
          <w:rFonts w:ascii="Garamond" w:hAnsi="Garamond"/>
          <w:sz w:val="22"/>
          <w:szCs w:val="22"/>
        </w:rPr>
        <w:t xml:space="preserve"> </w:t>
      </w:r>
      <w:r w:rsidR="00C65BBD" w:rsidRPr="00003CF5">
        <w:rPr>
          <w:rFonts w:ascii="Garamond" w:hAnsi="Garamond"/>
          <w:sz w:val="22"/>
          <w:szCs w:val="22"/>
        </w:rPr>
        <w:t>abortion in Northern Ireland. In it, it found the</w:t>
      </w:r>
      <w:r w:rsidR="00B91414" w:rsidRPr="00003CF5">
        <w:rPr>
          <w:rFonts w:ascii="Garamond" w:hAnsi="Garamond"/>
          <w:sz w:val="22"/>
          <w:szCs w:val="22"/>
        </w:rPr>
        <w:t xml:space="preserve"> UK </w:t>
      </w:r>
      <w:r w:rsidR="006121B5">
        <w:rPr>
          <w:rFonts w:ascii="Garamond" w:hAnsi="Garamond"/>
          <w:sz w:val="22"/>
          <w:szCs w:val="22"/>
        </w:rPr>
        <w:t>violated</w:t>
      </w:r>
      <w:r w:rsidR="00B91414" w:rsidRPr="00003CF5">
        <w:rPr>
          <w:rFonts w:ascii="Garamond" w:hAnsi="Garamond"/>
          <w:sz w:val="22"/>
          <w:szCs w:val="22"/>
        </w:rPr>
        <w:t xml:space="preserve"> Article 8 of CEDAW because abortion restrictions that force women to carry their pregnancies to full term, resulting in mental and physical suffering, </w:t>
      </w:r>
      <w:r w:rsidR="006658BC" w:rsidRPr="00003CF5">
        <w:rPr>
          <w:rFonts w:ascii="Garamond" w:hAnsi="Garamond"/>
          <w:sz w:val="22"/>
          <w:szCs w:val="22"/>
        </w:rPr>
        <w:t>constitute</w:t>
      </w:r>
      <w:r w:rsidR="00B91414" w:rsidRPr="00003CF5">
        <w:rPr>
          <w:rFonts w:ascii="Garamond" w:hAnsi="Garamond"/>
          <w:sz w:val="22"/>
          <w:szCs w:val="22"/>
        </w:rPr>
        <w:t xml:space="preserve"> “violence against women.”</w:t>
      </w:r>
      <w:r w:rsidR="00B91414" w:rsidRPr="00003CF5">
        <w:rPr>
          <w:rStyle w:val="FootnoteReference"/>
          <w:rFonts w:ascii="Garamond" w:hAnsi="Garamond"/>
          <w:sz w:val="22"/>
          <w:szCs w:val="22"/>
        </w:rPr>
        <w:footnoteReference w:id="43"/>
      </w:r>
      <w:r w:rsidR="00B91414" w:rsidRPr="00003CF5">
        <w:rPr>
          <w:rFonts w:ascii="Garamond" w:hAnsi="Garamond"/>
          <w:sz w:val="22"/>
          <w:szCs w:val="22"/>
        </w:rPr>
        <w:t xml:space="preserve"> The CEDAW Committee urged the </w:t>
      </w:r>
      <w:r w:rsidR="00C65BBD" w:rsidRPr="00003CF5">
        <w:rPr>
          <w:rFonts w:ascii="Garamond" w:hAnsi="Garamond"/>
          <w:sz w:val="22"/>
          <w:szCs w:val="22"/>
        </w:rPr>
        <w:t>UK</w:t>
      </w:r>
      <w:r w:rsidR="00B91414" w:rsidRPr="00003CF5">
        <w:rPr>
          <w:rFonts w:ascii="Garamond" w:hAnsi="Garamond"/>
          <w:sz w:val="22"/>
          <w:szCs w:val="22"/>
        </w:rPr>
        <w:t xml:space="preserve"> to repeal sections of the law criminalizing abortion “so that no criminal charges can be brought against women and girls who undergo abortion or </w:t>
      </w:r>
      <w:r w:rsidR="00B91414" w:rsidRPr="00003CF5">
        <w:rPr>
          <w:rFonts w:ascii="Garamond" w:hAnsi="Garamond"/>
          <w:sz w:val="22"/>
          <w:szCs w:val="22"/>
        </w:rPr>
        <w:lastRenderedPageBreak/>
        <w:t>against qualified health care professionals and all others who provide and assist in the abortion.”</w:t>
      </w:r>
      <w:r w:rsidR="00B91414" w:rsidRPr="00003CF5">
        <w:rPr>
          <w:rStyle w:val="FootnoteReference"/>
          <w:rFonts w:ascii="Garamond" w:hAnsi="Garamond"/>
          <w:sz w:val="22"/>
          <w:szCs w:val="22"/>
        </w:rPr>
        <w:footnoteReference w:id="44"/>
      </w:r>
      <w:r w:rsidR="00C65BBD" w:rsidRPr="00003CF5">
        <w:rPr>
          <w:rFonts w:ascii="Garamond" w:hAnsi="Garamond"/>
          <w:sz w:val="22"/>
          <w:szCs w:val="22"/>
        </w:rPr>
        <w:t xml:space="preserve"> Also, i</w:t>
      </w:r>
      <w:r w:rsidR="00B91414" w:rsidRPr="00003CF5">
        <w:rPr>
          <w:rFonts w:ascii="Garamond" w:hAnsi="Garamond"/>
          <w:sz w:val="22"/>
          <w:szCs w:val="22"/>
        </w:rPr>
        <w:t>n General Recommendation No. 24 (Article 12 of the Convention: Women and Health</w:t>
      </w:r>
      <w:r w:rsidR="001E1A81">
        <w:rPr>
          <w:rFonts w:ascii="Garamond" w:hAnsi="Garamond"/>
          <w:sz w:val="22"/>
          <w:szCs w:val="22"/>
        </w:rPr>
        <w:t xml:space="preserve">) </w:t>
      </w:r>
      <w:r w:rsidR="00B91414" w:rsidRPr="00003CF5">
        <w:rPr>
          <w:rFonts w:ascii="Garamond" w:hAnsi="Garamond"/>
          <w:sz w:val="22"/>
          <w:szCs w:val="22"/>
        </w:rPr>
        <w:t>, the CEDAW Committee stated: “When possible, legislation criminalizing abortion should be amended, in order to withdraw punitive measures imposed on women who undergo abortion.”</w:t>
      </w:r>
      <w:r w:rsidR="00B91414" w:rsidRPr="00003CF5">
        <w:rPr>
          <w:rStyle w:val="FootnoteReference"/>
          <w:rFonts w:ascii="Garamond" w:hAnsi="Garamond"/>
          <w:sz w:val="22"/>
          <w:szCs w:val="22"/>
        </w:rPr>
        <w:footnoteReference w:id="45"/>
      </w:r>
    </w:p>
    <w:p w14:paraId="7F9292AD" w14:textId="2A33DF05" w:rsidR="00B91414" w:rsidRPr="00003CF5" w:rsidRDefault="00737A33" w:rsidP="00C9095C">
      <w:pPr>
        <w:widowControl w:val="0"/>
        <w:tabs>
          <w:tab w:val="right" w:leader="dot" w:pos="9270"/>
        </w:tabs>
        <w:spacing w:line="360" w:lineRule="auto"/>
        <w:ind w:left="-360" w:right="-270" w:firstLine="540"/>
        <w:jc w:val="both"/>
        <w:rPr>
          <w:rFonts w:ascii="Garamond" w:hAnsi="Garamond"/>
          <w:sz w:val="22"/>
          <w:szCs w:val="22"/>
        </w:rPr>
      </w:pPr>
      <w:r>
        <w:rPr>
          <w:rFonts w:ascii="Garamond" w:hAnsi="Garamond"/>
          <w:sz w:val="22"/>
          <w:szCs w:val="22"/>
        </w:rPr>
        <w:t>(21</w:t>
      </w:r>
      <w:r w:rsidR="001E1A81">
        <w:rPr>
          <w:rFonts w:ascii="Garamond" w:hAnsi="Garamond"/>
          <w:sz w:val="22"/>
          <w:szCs w:val="22"/>
        </w:rPr>
        <w:t xml:space="preserve">) </w:t>
      </w:r>
      <w:r>
        <w:rPr>
          <w:rFonts w:ascii="Garamond" w:hAnsi="Garamond"/>
          <w:sz w:val="22"/>
          <w:szCs w:val="22"/>
        </w:rPr>
        <w:tab/>
      </w:r>
      <w:r w:rsidR="00B91414" w:rsidRPr="00003CF5">
        <w:rPr>
          <w:rFonts w:ascii="Garamond" w:hAnsi="Garamond"/>
          <w:sz w:val="22"/>
          <w:szCs w:val="22"/>
        </w:rPr>
        <w:t>Malawi has gone through numerous CEDAW review cycles, dating back to at least 2006. The CEDAW Committee has repeatedly expressed concern over high maternal mortality rates and made recommendations to amend the laws to decriminalize abortion.</w:t>
      </w:r>
      <w:r w:rsidR="00B91414" w:rsidRPr="00003CF5">
        <w:rPr>
          <w:rStyle w:val="FootnoteReference"/>
          <w:rFonts w:ascii="Garamond" w:hAnsi="Garamond"/>
          <w:sz w:val="22"/>
          <w:szCs w:val="22"/>
        </w:rPr>
        <w:footnoteReference w:id="46"/>
      </w:r>
    </w:p>
    <w:p w14:paraId="3511F3D4" w14:textId="78DC4798" w:rsidR="00B91414" w:rsidRPr="00003CF5" w:rsidRDefault="00737A33" w:rsidP="00C9095C">
      <w:pPr>
        <w:widowControl w:val="0"/>
        <w:tabs>
          <w:tab w:val="right" w:leader="dot" w:pos="9270"/>
        </w:tabs>
        <w:spacing w:line="360" w:lineRule="auto"/>
        <w:ind w:left="-360" w:right="-270" w:firstLine="540"/>
        <w:jc w:val="both"/>
        <w:rPr>
          <w:rFonts w:ascii="Garamond" w:hAnsi="Garamond"/>
          <w:sz w:val="22"/>
          <w:szCs w:val="22"/>
        </w:rPr>
      </w:pPr>
      <w:r>
        <w:rPr>
          <w:rFonts w:ascii="Garamond" w:hAnsi="Garamond"/>
          <w:sz w:val="22"/>
          <w:szCs w:val="22"/>
        </w:rPr>
        <w:t>(22</w:t>
      </w:r>
      <w:r w:rsidR="001E1A81">
        <w:rPr>
          <w:rFonts w:ascii="Garamond" w:hAnsi="Garamond"/>
          <w:sz w:val="22"/>
          <w:szCs w:val="22"/>
        </w:rPr>
        <w:t xml:space="preserve">) </w:t>
      </w:r>
      <w:r>
        <w:rPr>
          <w:rFonts w:ascii="Garamond" w:hAnsi="Garamond"/>
          <w:sz w:val="22"/>
          <w:szCs w:val="22"/>
        </w:rPr>
        <w:tab/>
      </w:r>
      <w:r w:rsidR="00B91414" w:rsidRPr="00003CF5">
        <w:rPr>
          <w:rFonts w:ascii="Garamond" w:hAnsi="Garamond"/>
          <w:sz w:val="22"/>
          <w:szCs w:val="22"/>
        </w:rPr>
        <w:t xml:space="preserve">The Human Rights Committee, in </w:t>
      </w:r>
      <w:proofErr w:type="spellStart"/>
      <w:r w:rsidR="00F10994" w:rsidRPr="00C9095C">
        <w:rPr>
          <w:rFonts w:ascii="Garamond" w:hAnsi="Garamond"/>
          <w:i/>
          <w:sz w:val="22"/>
          <w:szCs w:val="22"/>
        </w:rPr>
        <w:t>Mellet</w:t>
      </w:r>
      <w:proofErr w:type="spellEnd"/>
      <w:r w:rsidR="00F10994" w:rsidRPr="00C9095C">
        <w:rPr>
          <w:rFonts w:ascii="Garamond" w:hAnsi="Garamond"/>
          <w:i/>
          <w:sz w:val="22"/>
          <w:szCs w:val="22"/>
        </w:rPr>
        <w:t xml:space="preserve"> v. Ireland</w:t>
      </w:r>
      <w:r w:rsidR="00F10994" w:rsidRPr="00003CF5">
        <w:rPr>
          <w:rFonts w:ascii="Garamond" w:hAnsi="Garamond"/>
          <w:sz w:val="22"/>
          <w:szCs w:val="22"/>
        </w:rPr>
        <w:t xml:space="preserve"> and </w:t>
      </w:r>
      <w:r w:rsidR="00F10994" w:rsidRPr="00C9095C">
        <w:rPr>
          <w:rFonts w:ascii="Garamond" w:hAnsi="Garamond"/>
          <w:i/>
          <w:sz w:val="22"/>
          <w:szCs w:val="22"/>
        </w:rPr>
        <w:t>Whelan v. Ireland</w:t>
      </w:r>
      <w:r w:rsidR="00F10994" w:rsidRPr="00003CF5">
        <w:rPr>
          <w:rFonts w:ascii="Garamond" w:hAnsi="Garamond"/>
          <w:sz w:val="22"/>
          <w:szCs w:val="22"/>
        </w:rPr>
        <w:t xml:space="preserve"> found that two women who were compelled to travel to a neighboring country to seek abortion care due to their home country’s abortion prohibition were subject to conditions of intense physical and mental suffering that constituted cruel, inhuman or degrading treatment</w:t>
      </w:r>
      <w:r w:rsidR="00B91414" w:rsidRPr="00003CF5">
        <w:rPr>
          <w:rFonts w:ascii="Garamond" w:hAnsi="Garamond"/>
          <w:sz w:val="22"/>
          <w:szCs w:val="22"/>
        </w:rPr>
        <w:t>.</w:t>
      </w:r>
      <w:r w:rsidR="00F10994" w:rsidRPr="00003CF5">
        <w:rPr>
          <w:rStyle w:val="FootnoteReference"/>
          <w:rFonts w:ascii="Garamond" w:hAnsi="Garamond"/>
          <w:sz w:val="22"/>
          <w:szCs w:val="22"/>
        </w:rPr>
        <w:footnoteReference w:id="47"/>
      </w:r>
      <w:r w:rsidR="00912D80" w:rsidRPr="00003CF5">
        <w:rPr>
          <w:rFonts w:ascii="Garamond" w:hAnsi="Garamond"/>
          <w:sz w:val="22"/>
          <w:szCs w:val="22"/>
        </w:rPr>
        <w:t xml:space="preserve"> </w:t>
      </w:r>
      <w:r w:rsidR="00F10994" w:rsidRPr="00003CF5">
        <w:rPr>
          <w:rFonts w:ascii="Garamond" w:hAnsi="Garamond"/>
          <w:sz w:val="22"/>
          <w:szCs w:val="22"/>
        </w:rPr>
        <w:t>In these cases, t</w:t>
      </w:r>
      <w:r w:rsidR="00912D80" w:rsidRPr="00003CF5">
        <w:rPr>
          <w:rFonts w:ascii="Garamond" w:hAnsi="Garamond"/>
          <w:sz w:val="22"/>
          <w:szCs w:val="22"/>
        </w:rPr>
        <w:t xml:space="preserve">he Committee </w:t>
      </w:r>
      <w:r w:rsidR="00F10994" w:rsidRPr="00003CF5">
        <w:rPr>
          <w:rFonts w:ascii="Garamond" w:hAnsi="Garamond"/>
          <w:sz w:val="22"/>
          <w:szCs w:val="22"/>
        </w:rPr>
        <w:t>also pointed out that “a separate source of severe emotional pain” stemmed from the shame and stigma brought forth by criminalization of abortion.</w:t>
      </w:r>
      <w:r w:rsidR="00F10994" w:rsidRPr="00003CF5">
        <w:rPr>
          <w:rStyle w:val="FootnoteReference"/>
          <w:rFonts w:ascii="Garamond" w:hAnsi="Garamond"/>
          <w:sz w:val="22"/>
          <w:szCs w:val="22"/>
        </w:rPr>
        <w:footnoteReference w:id="48"/>
      </w:r>
      <w:r w:rsidR="00F10994" w:rsidRPr="00003CF5">
        <w:rPr>
          <w:rFonts w:ascii="Garamond" w:hAnsi="Garamond"/>
          <w:sz w:val="22"/>
          <w:szCs w:val="22"/>
        </w:rPr>
        <w:t xml:space="preserve"> </w:t>
      </w:r>
      <w:r w:rsidR="00676A11" w:rsidRPr="00003CF5">
        <w:rPr>
          <w:rFonts w:ascii="Garamond" w:hAnsi="Garamond"/>
          <w:sz w:val="22"/>
          <w:szCs w:val="22"/>
        </w:rPr>
        <w:t xml:space="preserve">In General Comment 36, the Human Rights Committee </w:t>
      </w:r>
      <w:r w:rsidR="002977B7" w:rsidRPr="00003CF5">
        <w:rPr>
          <w:rFonts w:ascii="Garamond" w:hAnsi="Garamond"/>
          <w:sz w:val="22"/>
          <w:szCs w:val="22"/>
        </w:rPr>
        <w:t>stated</w:t>
      </w:r>
      <w:r w:rsidR="002F5D48" w:rsidRPr="00003CF5">
        <w:rPr>
          <w:rFonts w:ascii="Garamond" w:hAnsi="Garamond"/>
          <w:sz w:val="22"/>
          <w:szCs w:val="22"/>
        </w:rPr>
        <w:t xml:space="preserve"> that measures regulating abortion must not violate the right to life of a pregnant woman or girl and </w:t>
      </w:r>
      <w:r w:rsidR="00DC0959" w:rsidRPr="00003CF5">
        <w:rPr>
          <w:rFonts w:ascii="Garamond" w:hAnsi="Garamond"/>
          <w:sz w:val="22"/>
          <w:szCs w:val="22"/>
        </w:rPr>
        <w:t>noted</w:t>
      </w:r>
      <w:r w:rsidR="002F5D48" w:rsidRPr="00003CF5">
        <w:rPr>
          <w:rFonts w:ascii="Garamond" w:hAnsi="Garamond"/>
          <w:sz w:val="22"/>
          <w:szCs w:val="22"/>
        </w:rPr>
        <w:t xml:space="preserve"> that a State must revise </w:t>
      </w:r>
      <w:r w:rsidR="002977B7" w:rsidRPr="00003CF5">
        <w:rPr>
          <w:rFonts w:ascii="Garamond" w:hAnsi="Garamond"/>
          <w:sz w:val="22"/>
          <w:szCs w:val="22"/>
        </w:rPr>
        <w:t>its</w:t>
      </w:r>
      <w:r w:rsidR="002F5D48" w:rsidRPr="00003CF5">
        <w:rPr>
          <w:rFonts w:ascii="Garamond" w:hAnsi="Garamond"/>
          <w:sz w:val="22"/>
          <w:szCs w:val="22"/>
        </w:rPr>
        <w:t xml:space="preserve"> abortion laws accordingly when regulations lead women and girls to seek</w:t>
      </w:r>
      <w:r w:rsidR="00DC0959" w:rsidRPr="00003CF5">
        <w:rPr>
          <w:rFonts w:ascii="Garamond" w:hAnsi="Garamond"/>
          <w:sz w:val="22"/>
          <w:szCs w:val="22"/>
        </w:rPr>
        <w:t xml:space="preserve"> </w:t>
      </w:r>
      <w:r w:rsidR="002F5D48" w:rsidRPr="00003CF5">
        <w:rPr>
          <w:rFonts w:ascii="Garamond" w:hAnsi="Garamond"/>
          <w:sz w:val="22"/>
          <w:szCs w:val="22"/>
        </w:rPr>
        <w:t>unsafe abortions</w:t>
      </w:r>
      <w:r w:rsidR="00676A11" w:rsidRPr="00003CF5">
        <w:rPr>
          <w:rFonts w:ascii="Garamond" w:hAnsi="Garamond"/>
          <w:sz w:val="22"/>
          <w:szCs w:val="22"/>
        </w:rPr>
        <w:t>.</w:t>
      </w:r>
      <w:r w:rsidR="00676A11" w:rsidRPr="00003CF5">
        <w:rPr>
          <w:rStyle w:val="FootnoteReference"/>
          <w:rFonts w:ascii="Garamond" w:hAnsi="Garamond"/>
          <w:sz w:val="22"/>
          <w:szCs w:val="22"/>
        </w:rPr>
        <w:footnoteReference w:id="49"/>
      </w:r>
      <w:r w:rsidR="006472A8" w:rsidRPr="00003CF5">
        <w:rPr>
          <w:rFonts w:ascii="Garamond" w:hAnsi="Garamond"/>
          <w:sz w:val="22"/>
          <w:szCs w:val="22"/>
        </w:rPr>
        <w:t xml:space="preserve"> </w:t>
      </w:r>
      <w:r w:rsidR="002C305E" w:rsidRPr="00003CF5">
        <w:rPr>
          <w:rFonts w:ascii="Garamond" w:hAnsi="Garamond"/>
          <w:sz w:val="22"/>
          <w:szCs w:val="22"/>
        </w:rPr>
        <w:t>I</w:t>
      </w:r>
      <w:r w:rsidR="004C035D" w:rsidRPr="00003CF5">
        <w:rPr>
          <w:rFonts w:ascii="Garamond" w:hAnsi="Garamond"/>
          <w:sz w:val="22"/>
          <w:szCs w:val="22"/>
        </w:rPr>
        <w:t>n its Concluding Observations of its initial period</w:t>
      </w:r>
      <w:r w:rsidR="002C305E" w:rsidRPr="00003CF5">
        <w:rPr>
          <w:rFonts w:ascii="Garamond" w:hAnsi="Garamond"/>
          <w:sz w:val="22"/>
          <w:szCs w:val="22"/>
        </w:rPr>
        <w:t>ic</w:t>
      </w:r>
      <w:r w:rsidR="004C035D" w:rsidRPr="00003CF5">
        <w:rPr>
          <w:rFonts w:ascii="Garamond" w:hAnsi="Garamond"/>
          <w:sz w:val="22"/>
          <w:szCs w:val="22"/>
        </w:rPr>
        <w:t xml:space="preserve"> report, </w:t>
      </w:r>
      <w:r w:rsidR="002C305E" w:rsidRPr="00003CF5">
        <w:rPr>
          <w:rFonts w:ascii="Garamond" w:hAnsi="Garamond"/>
          <w:sz w:val="22"/>
          <w:szCs w:val="22"/>
        </w:rPr>
        <w:t xml:space="preserve">the </w:t>
      </w:r>
      <w:r w:rsidR="006774FD" w:rsidRPr="00003CF5">
        <w:rPr>
          <w:rFonts w:ascii="Garamond" w:hAnsi="Garamond"/>
          <w:sz w:val="22"/>
          <w:szCs w:val="22"/>
        </w:rPr>
        <w:t xml:space="preserve">Human Rights </w:t>
      </w:r>
      <w:r w:rsidR="002C305E" w:rsidRPr="00003CF5">
        <w:rPr>
          <w:rFonts w:ascii="Garamond" w:hAnsi="Garamond"/>
          <w:sz w:val="22"/>
          <w:szCs w:val="22"/>
        </w:rPr>
        <w:t xml:space="preserve">Committee urged Malawi </w:t>
      </w:r>
      <w:r w:rsidR="004C035D" w:rsidRPr="00003CF5">
        <w:rPr>
          <w:rFonts w:ascii="Garamond" w:hAnsi="Garamond"/>
          <w:sz w:val="22"/>
          <w:szCs w:val="22"/>
        </w:rPr>
        <w:t xml:space="preserve">to </w:t>
      </w:r>
      <w:r w:rsidR="002C305E" w:rsidRPr="00003CF5">
        <w:rPr>
          <w:rFonts w:ascii="Garamond" w:hAnsi="Garamond"/>
          <w:sz w:val="22"/>
          <w:szCs w:val="22"/>
        </w:rPr>
        <w:t>“urgently review its legislation on abortion and provide for additional exceptions,” and expressed concern at the frequency of unsafe abortion-related maternal deaths</w:t>
      </w:r>
      <w:r w:rsidR="004C035D" w:rsidRPr="00003CF5">
        <w:rPr>
          <w:rFonts w:ascii="Garamond" w:hAnsi="Garamond"/>
          <w:sz w:val="22"/>
          <w:szCs w:val="22"/>
        </w:rPr>
        <w:t>.</w:t>
      </w:r>
      <w:r w:rsidR="004C035D" w:rsidRPr="00003CF5">
        <w:rPr>
          <w:rStyle w:val="FootnoteReference"/>
          <w:rFonts w:ascii="Garamond" w:hAnsi="Garamond"/>
          <w:sz w:val="22"/>
          <w:szCs w:val="22"/>
        </w:rPr>
        <w:footnoteReference w:id="50"/>
      </w:r>
      <w:r w:rsidR="006774FD" w:rsidRPr="00003CF5">
        <w:rPr>
          <w:rFonts w:ascii="Garamond" w:hAnsi="Garamond"/>
          <w:sz w:val="22"/>
          <w:szCs w:val="22"/>
        </w:rPr>
        <w:t xml:space="preserve"> </w:t>
      </w:r>
      <w:r w:rsidR="00D11CC5" w:rsidRPr="00003CF5">
        <w:rPr>
          <w:rFonts w:ascii="Garamond" w:hAnsi="Garamond"/>
          <w:sz w:val="22"/>
          <w:szCs w:val="22"/>
        </w:rPr>
        <w:t xml:space="preserve">In </w:t>
      </w:r>
      <w:r w:rsidR="001A427C" w:rsidRPr="00003CF5">
        <w:rPr>
          <w:rFonts w:ascii="Garamond" w:hAnsi="Garamond"/>
          <w:sz w:val="22"/>
          <w:szCs w:val="22"/>
        </w:rPr>
        <w:t>its</w:t>
      </w:r>
      <w:r w:rsidR="00D11CC5" w:rsidRPr="00003CF5">
        <w:rPr>
          <w:rFonts w:ascii="Garamond" w:hAnsi="Garamond"/>
          <w:sz w:val="22"/>
          <w:szCs w:val="22"/>
        </w:rPr>
        <w:t xml:space="preserve"> Concluding Observations to Poland’s seventh periodic report, the Committee </w:t>
      </w:r>
      <w:r w:rsidR="006774FD" w:rsidRPr="00003CF5">
        <w:rPr>
          <w:rFonts w:ascii="Garamond" w:hAnsi="Garamond"/>
          <w:sz w:val="22"/>
          <w:szCs w:val="22"/>
        </w:rPr>
        <w:t xml:space="preserve">communicated alarm </w:t>
      </w:r>
      <w:r w:rsidR="00D11CC5" w:rsidRPr="00003CF5">
        <w:rPr>
          <w:rFonts w:ascii="Garamond" w:hAnsi="Garamond"/>
          <w:sz w:val="22"/>
          <w:szCs w:val="22"/>
        </w:rPr>
        <w:t>over</w:t>
      </w:r>
      <w:r w:rsidR="006774FD" w:rsidRPr="00003CF5">
        <w:rPr>
          <w:rFonts w:ascii="Garamond" w:hAnsi="Garamond"/>
          <w:sz w:val="22"/>
          <w:szCs w:val="22"/>
        </w:rPr>
        <w:t xml:space="preserve"> high numbers of “clandestine abortions which may put the lives and health of women at risk” and suggested ensuring legislation does not push women into seeking unsafe abortions.</w:t>
      </w:r>
      <w:r w:rsidR="006774FD" w:rsidRPr="00003CF5">
        <w:rPr>
          <w:rStyle w:val="FootnoteReference"/>
          <w:rFonts w:ascii="Garamond" w:hAnsi="Garamond"/>
          <w:sz w:val="22"/>
          <w:szCs w:val="22"/>
        </w:rPr>
        <w:footnoteReference w:id="51"/>
      </w:r>
      <w:r w:rsidR="00D11CC5" w:rsidRPr="00003CF5">
        <w:rPr>
          <w:rFonts w:ascii="Garamond" w:hAnsi="Garamond"/>
          <w:sz w:val="22"/>
          <w:szCs w:val="22"/>
        </w:rPr>
        <w:t xml:space="preserve"> The Committee again expressed concern over unsafe abortions in </w:t>
      </w:r>
      <w:r w:rsidR="001A427C" w:rsidRPr="00003CF5">
        <w:rPr>
          <w:rFonts w:ascii="Garamond" w:hAnsi="Garamond"/>
          <w:sz w:val="22"/>
          <w:szCs w:val="22"/>
        </w:rPr>
        <w:t>its</w:t>
      </w:r>
      <w:r w:rsidR="00D11CC5" w:rsidRPr="00003CF5">
        <w:rPr>
          <w:rFonts w:ascii="Garamond" w:hAnsi="Garamond"/>
          <w:sz w:val="22"/>
          <w:szCs w:val="22"/>
        </w:rPr>
        <w:t xml:space="preserve"> Concluding Observations to Jordan’s fifth periodic report </w:t>
      </w:r>
      <w:r w:rsidR="001A427C" w:rsidRPr="00003CF5">
        <w:rPr>
          <w:rFonts w:ascii="Garamond" w:hAnsi="Garamond"/>
          <w:sz w:val="22"/>
          <w:szCs w:val="22"/>
        </w:rPr>
        <w:t>because</w:t>
      </w:r>
      <w:r w:rsidR="00D11CC5" w:rsidRPr="00003CF5">
        <w:rPr>
          <w:rFonts w:ascii="Garamond" w:hAnsi="Garamond"/>
          <w:sz w:val="22"/>
          <w:szCs w:val="22"/>
        </w:rPr>
        <w:t xml:space="preserve"> no exceptions aside from when the life or health of the pregnant woman was at risk were codified into law.</w:t>
      </w:r>
      <w:r w:rsidR="00D11CC5" w:rsidRPr="00003CF5">
        <w:rPr>
          <w:rStyle w:val="FootnoteReference"/>
          <w:rFonts w:ascii="Garamond" w:hAnsi="Garamond"/>
          <w:sz w:val="22"/>
          <w:szCs w:val="22"/>
        </w:rPr>
        <w:footnoteReference w:id="52"/>
      </w:r>
    </w:p>
    <w:p w14:paraId="0CC3E4F5" w14:textId="5CFA1568" w:rsidR="00B91414" w:rsidRPr="00003CF5" w:rsidRDefault="00737A33" w:rsidP="00C9095C">
      <w:pPr>
        <w:widowControl w:val="0"/>
        <w:tabs>
          <w:tab w:val="right" w:leader="dot" w:pos="9270"/>
        </w:tabs>
        <w:spacing w:line="360" w:lineRule="auto"/>
        <w:ind w:left="-360" w:right="-270" w:firstLine="540"/>
        <w:jc w:val="both"/>
        <w:rPr>
          <w:rFonts w:ascii="Garamond" w:hAnsi="Garamond"/>
          <w:sz w:val="22"/>
          <w:szCs w:val="22"/>
        </w:rPr>
      </w:pPr>
      <w:r>
        <w:rPr>
          <w:rFonts w:ascii="Garamond" w:hAnsi="Garamond"/>
          <w:sz w:val="22"/>
          <w:szCs w:val="22"/>
        </w:rPr>
        <w:t>(23</w:t>
      </w:r>
      <w:r w:rsidR="001E1A81">
        <w:rPr>
          <w:rFonts w:ascii="Garamond" w:hAnsi="Garamond"/>
          <w:sz w:val="22"/>
          <w:szCs w:val="22"/>
        </w:rPr>
        <w:t xml:space="preserve">) </w:t>
      </w:r>
      <w:r>
        <w:rPr>
          <w:rFonts w:ascii="Garamond" w:hAnsi="Garamond"/>
          <w:sz w:val="22"/>
          <w:szCs w:val="22"/>
        </w:rPr>
        <w:tab/>
      </w:r>
      <w:r w:rsidR="00C65BBD" w:rsidRPr="00003CF5">
        <w:rPr>
          <w:rFonts w:ascii="Garamond" w:hAnsi="Garamond"/>
          <w:sz w:val="22"/>
          <w:szCs w:val="22"/>
        </w:rPr>
        <w:t>Likewise, t</w:t>
      </w:r>
      <w:r w:rsidR="00B91414" w:rsidRPr="00003CF5">
        <w:rPr>
          <w:rFonts w:ascii="Garamond" w:hAnsi="Garamond"/>
          <w:sz w:val="22"/>
          <w:szCs w:val="22"/>
        </w:rPr>
        <w:t xml:space="preserve">he UN Working Group on the issue of discrimination against women in law and in practice, a Human Rights Council’s special mandate, called for “decriminalization of the termination of pregnancy and repeal of </w:t>
      </w:r>
      <w:r w:rsidR="00B91414" w:rsidRPr="00003CF5">
        <w:rPr>
          <w:rFonts w:ascii="Garamond" w:hAnsi="Garamond"/>
          <w:sz w:val="22"/>
          <w:szCs w:val="22"/>
        </w:rPr>
        <w:lastRenderedPageBreak/>
        <w:t>restrictive abortion laws.”</w:t>
      </w:r>
      <w:r w:rsidR="00B91414" w:rsidRPr="00003CF5">
        <w:rPr>
          <w:rStyle w:val="FootnoteReference"/>
          <w:rFonts w:ascii="Garamond" w:hAnsi="Garamond"/>
          <w:sz w:val="22"/>
          <w:szCs w:val="22"/>
        </w:rPr>
        <w:footnoteReference w:id="53"/>
      </w:r>
    </w:p>
    <w:p w14:paraId="523355C8" w14:textId="7A724E0F" w:rsidR="00B91414" w:rsidRPr="00003CF5" w:rsidRDefault="00737A33" w:rsidP="00C9095C">
      <w:pPr>
        <w:widowControl w:val="0"/>
        <w:tabs>
          <w:tab w:val="right" w:leader="dot" w:pos="9270"/>
        </w:tabs>
        <w:spacing w:line="360" w:lineRule="auto"/>
        <w:ind w:left="-360" w:right="-270" w:firstLine="540"/>
        <w:jc w:val="both"/>
        <w:rPr>
          <w:rFonts w:ascii="Garamond" w:hAnsi="Garamond"/>
          <w:sz w:val="22"/>
          <w:szCs w:val="22"/>
        </w:rPr>
      </w:pPr>
      <w:r>
        <w:rPr>
          <w:rFonts w:ascii="Garamond" w:hAnsi="Garamond"/>
          <w:sz w:val="22"/>
          <w:szCs w:val="22"/>
        </w:rPr>
        <w:t>(24</w:t>
      </w:r>
      <w:r w:rsidR="001E1A81">
        <w:rPr>
          <w:rFonts w:ascii="Garamond" w:hAnsi="Garamond"/>
          <w:sz w:val="22"/>
          <w:szCs w:val="22"/>
        </w:rPr>
        <w:t xml:space="preserve">) </w:t>
      </w:r>
      <w:r>
        <w:rPr>
          <w:rFonts w:ascii="Garamond" w:hAnsi="Garamond"/>
          <w:sz w:val="22"/>
          <w:szCs w:val="22"/>
        </w:rPr>
        <w:tab/>
      </w:r>
      <w:r w:rsidR="00B91414" w:rsidRPr="00003CF5">
        <w:rPr>
          <w:rFonts w:ascii="Garamond" w:hAnsi="Garamond"/>
          <w:sz w:val="22"/>
          <w:szCs w:val="22"/>
        </w:rPr>
        <w:t>It needs to be noted that i</w:t>
      </w:r>
      <w:r w:rsidR="00B91414" w:rsidRPr="00003CF5">
        <w:rPr>
          <w:rFonts w:ascii="Garamond" w:hAnsi="Garamond"/>
          <w:sz w:val="22"/>
          <w:szCs w:val="22"/>
          <w:highlight w:val="white"/>
        </w:rPr>
        <w:t>n 2009, Malawi ratified the Maputo Protocol to the African Charter on Human and Peoples</w:t>
      </w:r>
      <w:r w:rsidR="008F472E">
        <w:rPr>
          <w:rFonts w:ascii="Garamond" w:hAnsi="Garamond"/>
          <w:sz w:val="22"/>
          <w:szCs w:val="22"/>
          <w:highlight w:val="white"/>
        </w:rPr>
        <w:t>’</w:t>
      </w:r>
      <w:r w:rsidR="00B91414" w:rsidRPr="00003CF5">
        <w:rPr>
          <w:rFonts w:ascii="Garamond" w:hAnsi="Garamond"/>
          <w:sz w:val="22"/>
          <w:szCs w:val="22"/>
          <w:highlight w:val="white"/>
        </w:rPr>
        <w:t xml:space="preserve"> Rights on the Rights of Women in Africa. It obliges ratifying States to authorize medical abortions “in cases of sexual assault, rape, incest, and where the continued pregnancy endangers the mental and physical health of the mother or the life of the mother or the fetus.”</w:t>
      </w:r>
      <w:r w:rsidR="00B91414" w:rsidRPr="00003CF5">
        <w:rPr>
          <w:rFonts w:ascii="Garamond" w:hAnsi="Garamond"/>
          <w:sz w:val="22"/>
          <w:szCs w:val="22"/>
          <w:highlight w:val="white"/>
          <w:vertAlign w:val="superscript"/>
        </w:rPr>
        <w:footnoteReference w:id="54"/>
      </w:r>
      <w:r w:rsidR="00B91414" w:rsidRPr="00003CF5">
        <w:rPr>
          <w:rFonts w:ascii="Garamond" w:hAnsi="Garamond"/>
          <w:sz w:val="22"/>
          <w:szCs w:val="22"/>
          <w:highlight w:val="white"/>
        </w:rPr>
        <w:t xml:space="preserve"> </w:t>
      </w:r>
    </w:p>
    <w:p w14:paraId="166EBE23" w14:textId="6B98ADCD" w:rsidR="00B91414" w:rsidRPr="00003CF5" w:rsidRDefault="00B91414" w:rsidP="00C9095C">
      <w:pPr>
        <w:widowControl w:val="0"/>
        <w:tabs>
          <w:tab w:val="right" w:leader="dot" w:pos="9270"/>
        </w:tabs>
        <w:spacing w:line="360" w:lineRule="auto"/>
        <w:ind w:left="-360" w:right="-270" w:firstLine="540"/>
        <w:jc w:val="both"/>
        <w:rPr>
          <w:rFonts w:ascii="Garamond" w:hAnsi="Garamond"/>
          <w:sz w:val="22"/>
          <w:szCs w:val="22"/>
          <w:highlight w:val="white"/>
        </w:rPr>
      </w:pPr>
      <w:r w:rsidRPr="00003CF5">
        <w:rPr>
          <w:rFonts w:ascii="Garamond" w:hAnsi="Garamond"/>
          <w:sz w:val="22"/>
          <w:szCs w:val="22"/>
          <w:highlight w:val="white"/>
        </w:rPr>
        <w:t>(</w:t>
      </w:r>
      <w:r w:rsidR="00737A33">
        <w:rPr>
          <w:rFonts w:ascii="Garamond" w:hAnsi="Garamond"/>
          <w:sz w:val="22"/>
          <w:szCs w:val="22"/>
          <w:highlight w:val="white"/>
        </w:rPr>
        <w:t>25</w:t>
      </w:r>
      <w:r w:rsidR="001E1A81">
        <w:rPr>
          <w:rFonts w:ascii="Garamond" w:hAnsi="Garamond"/>
          <w:sz w:val="22"/>
          <w:szCs w:val="22"/>
          <w:highlight w:val="white"/>
        </w:rPr>
        <w:t xml:space="preserve">) </w:t>
      </w:r>
      <w:r w:rsidRPr="00003CF5">
        <w:rPr>
          <w:rFonts w:ascii="Garamond" w:hAnsi="Garamond"/>
          <w:sz w:val="22"/>
          <w:szCs w:val="22"/>
          <w:highlight w:val="white"/>
        </w:rPr>
        <w:tab/>
        <w:t>In sum, the provisions of Malawi’s Penal Code criminalizing abortion can hardly be reconciled with the duties Malawi has under the treaties it has ratified, including the Covenant. Malawi has an international legal obligation to give full effect to the treaties it has ratified.</w:t>
      </w:r>
      <w:r w:rsidRPr="00003CF5">
        <w:rPr>
          <w:rStyle w:val="FootnoteReference"/>
          <w:rFonts w:ascii="Garamond" w:hAnsi="Garamond"/>
          <w:sz w:val="22"/>
          <w:szCs w:val="22"/>
          <w:highlight w:val="white"/>
        </w:rPr>
        <w:footnoteReference w:id="55"/>
      </w:r>
      <w:r w:rsidRPr="00003CF5">
        <w:rPr>
          <w:rFonts w:ascii="Garamond" w:hAnsi="Garamond"/>
          <w:sz w:val="22"/>
          <w:szCs w:val="22"/>
          <w:highlight w:val="white"/>
        </w:rPr>
        <w:t xml:space="preserve"> It also has an obligation, under its own Constitution, to incorporate into domestic law, by an Act of Parliament, any international agreement it has ratified.</w:t>
      </w:r>
      <w:r w:rsidRPr="00003CF5">
        <w:rPr>
          <w:rStyle w:val="FootnoteReference"/>
          <w:rFonts w:ascii="Garamond" w:hAnsi="Garamond"/>
          <w:sz w:val="22"/>
          <w:szCs w:val="22"/>
          <w:highlight w:val="white"/>
        </w:rPr>
        <w:footnoteReference w:id="56"/>
      </w:r>
      <w:r w:rsidRPr="00003CF5">
        <w:rPr>
          <w:rFonts w:ascii="Garamond" w:hAnsi="Garamond"/>
          <w:sz w:val="22"/>
          <w:szCs w:val="22"/>
          <w:highlight w:val="white"/>
        </w:rPr>
        <w:t xml:space="preserve"> </w:t>
      </w:r>
    </w:p>
    <w:p w14:paraId="31810E72" w14:textId="3BCA3031" w:rsidR="00B91414" w:rsidRPr="00003CF5" w:rsidRDefault="00B91414" w:rsidP="00241793">
      <w:pPr>
        <w:pStyle w:val="Heading2"/>
      </w:pPr>
      <w:bookmarkStart w:id="5" w:name="_Toc123043561"/>
      <w:r w:rsidRPr="00003CF5">
        <w:t>II</w:t>
      </w:r>
      <w:r w:rsidR="001E1A81">
        <w:t xml:space="preserve">) </w:t>
      </w:r>
      <w:r w:rsidRPr="00003CF5">
        <w:t xml:space="preserve">The </w:t>
      </w:r>
      <w:r w:rsidR="00803CA0" w:rsidRPr="00003CF5">
        <w:t>e</w:t>
      </w:r>
      <w:r w:rsidRPr="00003CF5">
        <w:t xml:space="preserve">xception to the </w:t>
      </w:r>
      <w:r w:rsidR="00803CA0" w:rsidRPr="00003CF5">
        <w:t>p</w:t>
      </w:r>
      <w:r w:rsidRPr="00003CF5">
        <w:t xml:space="preserve">rohibition of </w:t>
      </w:r>
      <w:r w:rsidR="00803CA0" w:rsidRPr="00003CF5">
        <w:t>a</w:t>
      </w:r>
      <w:r w:rsidRPr="00003CF5">
        <w:t xml:space="preserve">bortion is </w:t>
      </w:r>
      <w:r w:rsidR="00803CA0" w:rsidRPr="00003CF5">
        <w:t>a</w:t>
      </w:r>
      <w:r w:rsidRPr="00003CF5">
        <w:t xml:space="preserve">mbiguous and </w:t>
      </w:r>
      <w:r w:rsidR="00803CA0" w:rsidRPr="00003CF5">
        <w:t>v</w:t>
      </w:r>
      <w:r w:rsidRPr="00003CF5">
        <w:t>ague</w:t>
      </w:r>
      <w:bookmarkEnd w:id="5"/>
    </w:p>
    <w:p w14:paraId="3F13FB10" w14:textId="2711EEEA" w:rsidR="00B91414" w:rsidRPr="00003CF5" w:rsidRDefault="00B91414" w:rsidP="00C9095C">
      <w:pPr>
        <w:widowControl w:val="0"/>
        <w:tabs>
          <w:tab w:val="right" w:leader="dot" w:pos="9270"/>
        </w:tabs>
        <w:spacing w:line="360" w:lineRule="auto"/>
        <w:ind w:left="-360" w:right="-270" w:firstLine="540"/>
        <w:jc w:val="both"/>
        <w:rPr>
          <w:rFonts w:ascii="Garamond" w:hAnsi="Garamond"/>
          <w:sz w:val="22"/>
          <w:szCs w:val="22"/>
        </w:rPr>
      </w:pPr>
      <w:r w:rsidRPr="00003CF5">
        <w:rPr>
          <w:rFonts w:ascii="Garamond" w:hAnsi="Garamond"/>
          <w:sz w:val="22"/>
          <w:szCs w:val="22"/>
        </w:rPr>
        <w:t>(</w:t>
      </w:r>
      <w:r w:rsidR="00737A33">
        <w:rPr>
          <w:rFonts w:ascii="Garamond" w:hAnsi="Garamond"/>
          <w:sz w:val="22"/>
          <w:szCs w:val="22"/>
        </w:rPr>
        <w:t>26</w:t>
      </w:r>
      <w:r w:rsidR="001E1A81">
        <w:rPr>
          <w:rFonts w:ascii="Garamond" w:hAnsi="Garamond"/>
          <w:sz w:val="22"/>
          <w:szCs w:val="22"/>
        </w:rPr>
        <w:t xml:space="preserve">) </w:t>
      </w:r>
      <w:r w:rsidRPr="00003CF5">
        <w:rPr>
          <w:rFonts w:ascii="Garamond" w:hAnsi="Garamond"/>
          <w:sz w:val="22"/>
          <w:szCs w:val="22"/>
        </w:rPr>
        <w:t xml:space="preserve">The </w:t>
      </w:r>
      <w:r w:rsidR="00C65BBD" w:rsidRPr="00003CF5">
        <w:rPr>
          <w:rFonts w:ascii="Garamond" w:hAnsi="Garamond"/>
          <w:sz w:val="22"/>
          <w:szCs w:val="22"/>
        </w:rPr>
        <w:t>limited circumstance</w:t>
      </w:r>
      <w:r w:rsidRPr="00003CF5">
        <w:rPr>
          <w:rFonts w:ascii="Garamond" w:hAnsi="Garamond"/>
          <w:sz w:val="22"/>
          <w:szCs w:val="22"/>
        </w:rPr>
        <w:t xml:space="preserve"> in which abortion can legally take place in Malawi </w:t>
      </w:r>
      <w:r w:rsidR="00BA108C" w:rsidRPr="00003CF5">
        <w:rPr>
          <w:rFonts w:ascii="Garamond" w:hAnsi="Garamond"/>
          <w:sz w:val="22"/>
          <w:szCs w:val="22"/>
        </w:rPr>
        <w:t>is exceedingly narrow</w:t>
      </w:r>
      <w:r w:rsidRPr="00003CF5">
        <w:rPr>
          <w:rFonts w:ascii="Garamond" w:hAnsi="Garamond"/>
          <w:sz w:val="22"/>
          <w:szCs w:val="22"/>
        </w:rPr>
        <w:t xml:space="preserve"> and </w:t>
      </w:r>
      <w:r w:rsidR="00C65BBD" w:rsidRPr="00003CF5">
        <w:rPr>
          <w:rFonts w:ascii="Garamond" w:hAnsi="Garamond"/>
          <w:sz w:val="22"/>
          <w:szCs w:val="22"/>
        </w:rPr>
        <w:t>poorly</w:t>
      </w:r>
      <w:r w:rsidRPr="00003CF5">
        <w:rPr>
          <w:rFonts w:ascii="Garamond" w:hAnsi="Garamond"/>
          <w:sz w:val="22"/>
          <w:szCs w:val="22"/>
        </w:rPr>
        <w:t xml:space="preserve"> defined, with the effect of deterring abortion even when it could be performed legally. Under Article 243 of Malawi’s Penal Code, “</w:t>
      </w:r>
      <w:r w:rsidRPr="00003CF5">
        <w:rPr>
          <w:rFonts w:ascii="Garamond" w:hAnsi="Garamond"/>
          <w:i/>
          <w:sz w:val="22"/>
          <w:szCs w:val="22"/>
          <w:highlight w:val="white"/>
        </w:rPr>
        <w:t>[a] person is not criminally responsible for performing in good faith and with reasonable care and skill a surgical operation … upon an unborn child for the preservation of the mother’s life, if the performance of the operation is reasonable, having regard to the patient’s state at the time, and to all the circumstances of the case</w:t>
      </w:r>
      <w:r w:rsidRPr="00003CF5">
        <w:rPr>
          <w:rFonts w:ascii="Garamond" w:hAnsi="Garamond"/>
          <w:sz w:val="22"/>
          <w:szCs w:val="22"/>
          <w:highlight w:val="white"/>
        </w:rPr>
        <w:t>.”</w:t>
      </w:r>
      <w:r w:rsidRPr="00003CF5">
        <w:rPr>
          <w:rStyle w:val="FootnoteReference"/>
          <w:rFonts w:ascii="Garamond" w:hAnsi="Garamond"/>
          <w:sz w:val="22"/>
          <w:szCs w:val="22"/>
          <w:highlight w:val="white"/>
        </w:rPr>
        <w:footnoteReference w:id="57"/>
      </w:r>
      <w:r w:rsidRPr="00003CF5">
        <w:rPr>
          <w:rFonts w:ascii="Garamond" w:hAnsi="Garamond"/>
          <w:sz w:val="22"/>
          <w:szCs w:val="22"/>
        </w:rPr>
        <w:t xml:space="preserve"> </w:t>
      </w:r>
    </w:p>
    <w:p w14:paraId="7C9371DF" w14:textId="01A478D7" w:rsidR="00B91414" w:rsidRPr="00003CF5" w:rsidRDefault="00B91414" w:rsidP="00C9095C">
      <w:pPr>
        <w:widowControl w:val="0"/>
        <w:tabs>
          <w:tab w:val="right" w:leader="dot" w:pos="9270"/>
        </w:tabs>
        <w:spacing w:line="360" w:lineRule="auto"/>
        <w:ind w:left="-360" w:right="-270" w:firstLine="540"/>
        <w:jc w:val="both"/>
        <w:rPr>
          <w:rFonts w:ascii="Garamond" w:hAnsi="Garamond"/>
          <w:sz w:val="22"/>
          <w:szCs w:val="22"/>
        </w:rPr>
      </w:pPr>
      <w:r w:rsidRPr="00003CF5">
        <w:rPr>
          <w:rFonts w:ascii="Garamond" w:hAnsi="Garamond"/>
          <w:sz w:val="22"/>
          <w:szCs w:val="22"/>
        </w:rPr>
        <w:t>(</w:t>
      </w:r>
      <w:r w:rsidR="00737A33">
        <w:rPr>
          <w:rFonts w:ascii="Garamond" w:hAnsi="Garamond"/>
          <w:sz w:val="22"/>
          <w:szCs w:val="22"/>
        </w:rPr>
        <w:t>27</w:t>
      </w:r>
      <w:r w:rsidR="001E1A81">
        <w:rPr>
          <w:rFonts w:ascii="Garamond" w:hAnsi="Garamond"/>
          <w:sz w:val="22"/>
          <w:szCs w:val="22"/>
        </w:rPr>
        <w:t xml:space="preserve">) </w:t>
      </w:r>
      <w:r w:rsidRPr="00003CF5">
        <w:rPr>
          <w:rFonts w:ascii="Garamond" w:hAnsi="Garamond"/>
          <w:sz w:val="22"/>
          <w:szCs w:val="22"/>
        </w:rPr>
        <w:tab/>
        <w:t xml:space="preserve">Under the </w:t>
      </w:r>
      <w:r w:rsidR="003E215A" w:rsidRPr="00003CF5">
        <w:rPr>
          <w:rFonts w:ascii="Garamond" w:hAnsi="Garamond"/>
          <w:sz w:val="22"/>
          <w:szCs w:val="22"/>
        </w:rPr>
        <w:t xml:space="preserve">Malawi’s </w:t>
      </w:r>
      <w:r w:rsidRPr="00003CF5">
        <w:rPr>
          <w:rFonts w:ascii="Garamond" w:hAnsi="Garamond"/>
          <w:sz w:val="22"/>
          <w:szCs w:val="22"/>
        </w:rPr>
        <w:t xml:space="preserve">Ministry of Health </w:t>
      </w:r>
      <w:r w:rsidRPr="00FF1F50">
        <w:rPr>
          <w:rFonts w:ascii="Garamond" w:hAnsi="Garamond"/>
          <w:i/>
          <w:sz w:val="22"/>
          <w:szCs w:val="22"/>
        </w:rPr>
        <w:t xml:space="preserve">Standards and Guidelines for </w:t>
      </w:r>
      <w:r w:rsidR="00FF1F50" w:rsidRPr="00FF1F50">
        <w:rPr>
          <w:rFonts w:ascii="Garamond" w:hAnsi="Garamond"/>
          <w:i/>
          <w:sz w:val="22"/>
          <w:szCs w:val="22"/>
        </w:rPr>
        <w:t xml:space="preserve">Post </w:t>
      </w:r>
      <w:r w:rsidRPr="00FF1F50">
        <w:rPr>
          <w:rFonts w:ascii="Garamond" w:hAnsi="Garamond"/>
          <w:i/>
          <w:sz w:val="22"/>
          <w:szCs w:val="22"/>
        </w:rPr>
        <w:t>Abortion Care</w:t>
      </w:r>
      <w:r w:rsidRPr="00003CF5">
        <w:rPr>
          <w:rFonts w:ascii="Garamond" w:hAnsi="Garamond"/>
          <w:sz w:val="22"/>
          <w:szCs w:val="22"/>
        </w:rPr>
        <w:t xml:space="preserve">, in Malawi </w:t>
      </w:r>
      <w:r w:rsidR="00FF1F50">
        <w:rPr>
          <w:rFonts w:ascii="Garamond" w:hAnsi="Garamond"/>
          <w:sz w:val="22"/>
          <w:szCs w:val="22"/>
        </w:rPr>
        <w:t>health providers</w:t>
      </w:r>
      <w:r w:rsidR="00FF1F50" w:rsidRPr="00003CF5">
        <w:rPr>
          <w:rFonts w:ascii="Garamond" w:hAnsi="Garamond"/>
          <w:sz w:val="22"/>
          <w:szCs w:val="22"/>
        </w:rPr>
        <w:t xml:space="preserve"> </w:t>
      </w:r>
      <w:r w:rsidRPr="00003CF5">
        <w:rPr>
          <w:rFonts w:ascii="Garamond" w:hAnsi="Garamond"/>
          <w:sz w:val="22"/>
          <w:szCs w:val="22"/>
        </w:rPr>
        <w:t>are instructed to perform safe abortion care in case of obstetric and gynecological conditions, heart and vascular diseases, kidney diseases, cancers, blood diseases, and other conditions.</w:t>
      </w:r>
      <w:r w:rsidRPr="00003CF5">
        <w:rPr>
          <w:rStyle w:val="FootnoteReference"/>
          <w:rFonts w:ascii="Garamond" w:hAnsi="Garamond"/>
          <w:sz w:val="22"/>
          <w:szCs w:val="22"/>
        </w:rPr>
        <w:footnoteReference w:id="58"/>
      </w:r>
      <w:r w:rsidRPr="00003CF5">
        <w:rPr>
          <w:rFonts w:ascii="Garamond" w:hAnsi="Garamond"/>
          <w:sz w:val="22"/>
          <w:szCs w:val="22"/>
        </w:rPr>
        <w:t xml:space="preserve"> In all other cases</w:t>
      </w:r>
      <w:r w:rsidR="00BA108C" w:rsidRPr="00003CF5">
        <w:rPr>
          <w:rFonts w:ascii="Garamond" w:hAnsi="Garamond"/>
          <w:sz w:val="22"/>
          <w:szCs w:val="22"/>
        </w:rPr>
        <w:t>,</w:t>
      </w:r>
      <w:r w:rsidRPr="00003CF5">
        <w:rPr>
          <w:rFonts w:ascii="Garamond" w:hAnsi="Garamond"/>
          <w:sz w:val="22"/>
          <w:szCs w:val="22"/>
        </w:rPr>
        <w:t xml:space="preserve"> </w:t>
      </w:r>
      <w:r w:rsidR="00BA108C" w:rsidRPr="00003CF5">
        <w:rPr>
          <w:rFonts w:ascii="Garamond" w:hAnsi="Garamond"/>
          <w:sz w:val="22"/>
          <w:szCs w:val="22"/>
        </w:rPr>
        <w:t>the only guidance doctors</w:t>
      </w:r>
      <w:r w:rsidRPr="00003CF5">
        <w:rPr>
          <w:rFonts w:ascii="Garamond" w:hAnsi="Garamond"/>
          <w:sz w:val="22"/>
          <w:szCs w:val="22"/>
        </w:rPr>
        <w:t xml:space="preserve"> have is that they are instructed to use “clinical judgement of what is life-threatening for a particular woman.”</w:t>
      </w:r>
      <w:r w:rsidRPr="00003CF5">
        <w:rPr>
          <w:rStyle w:val="FootnoteReference"/>
          <w:rFonts w:ascii="Garamond" w:hAnsi="Garamond"/>
          <w:sz w:val="22"/>
          <w:szCs w:val="22"/>
        </w:rPr>
        <w:footnoteReference w:id="59"/>
      </w:r>
      <w:r w:rsidRPr="00003CF5">
        <w:rPr>
          <w:rFonts w:ascii="Garamond" w:hAnsi="Garamond"/>
          <w:sz w:val="22"/>
          <w:szCs w:val="22"/>
        </w:rPr>
        <w:t xml:space="preserve"> They are required to make that determination in good faith, but good faith is an exceedingly vague standard, particularly when one risks stiff criminal sanctions. Unsurprisingly, for fear of being proven wrong, </w:t>
      </w:r>
      <w:r w:rsidRPr="00C9095C">
        <w:rPr>
          <w:rFonts w:ascii="Garamond" w:hAnsi="Garamond"/>
          <w:i/>
          <w:sz w:val="22"/>
          <w:szCs w:val="22"/>
        </w:rPr>
        <w:t>ex post</w:t>
      </w:r>
      <w:r w:rsidRPr="00003CF5">
        <w:rPr>
          <w:rFonts w:ascii="Garamond" w:hAnsi="Garamond"/>
          <w:sz w:val="22"/>
          <w:szCs w:val="22"/>
        </w:rPr>
        <w:t xml:space="preserve">, in court, </w:t>
      </w:r>
      <w:r w:rsidR="00FF1F50">
        <w:rPr>
          <w:rFonts w:ascii="Garamond" w:hAnsi="Garamond"/>
          <w:sz w:val="22"/>
          <w:szCs w:val="22"/>
        </w:rPr>
        <w:t>health providers</w:t>
      </w:r>
      <w:r w:rsidRPr="00003CF5">
        <w:rPr>
          <w:rFonts w:ascii="Garamond" w:hAnsi="Garamond"/>
          <w:sz w:val="22"/>
          <w:szCs w:val="22"/>
        </w:rPr>
        <w:t xml:space="preserve"> refuse to </w:t>
      </w:r>
      <w:r w:rsidR="00FF1F50">
        <w:rPr>
          <w:rFonts w:ascii="Garamond" w:hAnsi="Garamond"/>
          <w:sz w:val="22"/>
          <w:szCs w:val="22"/>
        </w:rPr>
        <w:t>provide</w:t>
      </w:r>
      <w:r w:rsidR="00FF1F50" w:rsidRPr="00003CF5">
        <w:rPr>
          <w:rFonts w:ascii="Garamond" w:hAnsi="Garamond"/>
          <w:sz w:val="22"/>
          <w:szCs w:val="22"/>
        </w:rPr>
        <w:t xml:space="preserve"> </w:t>
      </w:r>
      <w:r w:rsidRPr="00003CF5">
        <w:rPr>
          <w:rFonts w:ascii="Garamond" w:hAnsi="Garamond"/>
          <w:sz w:val="22"/>
          <w:szCs w:val="22"/>
        </w:rPr>
        <w:t>an abortion.</w:t>
      </w:r>
      <w:r w:rsidRPr="00003CF5">
        <w:rPr>
          <w:rStyle w:val="FootnoteReference"/>
          <w:rFonts w:ascii="Garamond" w:hAnsi="Garamond"/>
          <w:sz w:val="22"/>
          <w:szCs w:val="22"/>
        </w:rPr>
        <w:footnoteReference w:id="60"/>
      </w:r>
      <w:r w:rsidRPr="00003CF5">
        <w:rPr>
          <w:rFonts w:ascii="Garamond" w:hAnsi="Garamond"/>
          <w:sz w:val="22"/>
          <w:szCs w:val="22"/>
        </w:rPr>
        <w:t xml:space="preserve"> That pushes many women </w:t>
      </w:r>
      <w:r w:rsidR="00BA108C" w:rsidRPr="00003CF5">
        <w:rPr>
          <w:rFonts w:ascii="Garamond" w:hAnsi="Garamond"/>
          <w:sz w:val="22"/>
          <w:szCs w:val="22"/>
        </w:rPr>
        <w:t xml:space="preserve">in </w:t>
      </w:r>
      <w:r w:rsidRPr="00003CF5">
        <w:rPr>
          <w:rFonts w:ascii="Garamond" w:hAnsi="Garamond"/>
          <w:sz w:val="22"/>
          <w:szCs w:val="22"/>
        </w:rPr>
        <w:t xml:space="preserve">Malawi to undergo unsafe abortions without </w:t>
      </w:r>
      <w:r w:rsidRPr="00003CF5">
        <w:rPr>
          <w:rFonts w:ascii="Garamond" w:hAnsi="Garamond"/>
          <w:sz w:val="22"/>
          <w:szCs w:val="22"/>
        </w:rPr>
        <w:lastRenderedPageBreak/>
        <w:t>professional assistance.</w:t>
      </w:r>
      <w:r w:rsidRPr="00003CF5">
        <w:rPr>
          <w:rStyle w:val="FootnoteReference"/>
          <w:rFonts w:ascii="Garamond" w:hAnsi="Garamond"/>
          <w:sz w:val="22"/>
          <w:szCs w:val="22"/>
        </w:rPr>
        <w:t xml:space="preserve"> </w:t>
      </w:r>
      <w:r w:rsidRPr="00003CF5">
        <w:rPr>
          <w:rStyle w:val="FootnoteReference"/>
          <w:rFonts w:ascii="Garamond" w:hAnsi="Garamond"/>
          <w:sz w:val="22"/>
          <w:szCs w:val="22"/>
        </w:rPr>
        <w:footnoteReference w:id="61"/>
      </w:r>
    </w:p>
    <w:p w14:paraId="3F8468C7" w14:textId="3B05F3C3" w:rsidR="00B91414" w:rsidRPr="00003CF5" w:rsidRDefault="00737A33" w:rsidP="00C9095C">
      <w:pPr>
        <w:widowControl w:val="0"/>
        <w:tabs>
          <w:tab w:val="right" w:leader="dot" w:pos="9270"/>
        </w:tabs>
        <w:spacing w:line="360" w:lineRule="auto"/>
        <w:ind w:left="-360" w:right="-270" w:firstLine="540"/>
        <w:jc w:val="both"/>
        <w:rPr>
          <w:rFonts w:ascii="Garamond" w:hAnsi="Garamond"/>
          <w:sz w:val="22"/>
          <w:szCs w:val="22"/>
        </w:rPr>
      </w:pPr>
      <w:r>
        <w:rPr>
          <w:rFonts w:ascii="Garamond" w:hAnsi="Garamond"/>
          <w:sz w:val="22"/>
          <w:szCs w:val="22"/>
        </w:rPr>
        <w:t>(28</w:t>
      </w:r>
      <w:r w:rsidR="001E1A81">
        <w:rPr>
          <w:rFonts w:ascii="Garamond" w:hAnsi="Garamond"/>
          <w:sz w:val="22"/>
          <w:szCs w:val="22"/>
        </w:rPr>
        <w:t xml:space="preserve">) </w:t>
      </w:r>
      <w:r>
        <w:rPr>
          <w:rFonts w:ascii="Garamond" w:hAnsi="Garamond"/>
          <w:sz w:val="22"/>
          <w:szCs w:val="22"/>
        </w:rPr>
        <w:tab/>
      </w:r>
      <w:r w:rsidR="00B91414" w:rsidRPr="00003CF5">
        <w:rPr>
          <w:rFonts w:ascii="Garamond" w:hAnsi="Garamond"/>
          <w:sz w:val="22"/>
          <w:szCs w:val="22"/>
        </w:rPr>
        <w:t xml:space="preserve">It is unclear whether abortion can be done also to preserve the mental health of the mother. International human rights law protects mental health as much as physical health. For instance, the World Health Organization defines sexual health as “a state of physical, emotional, </w:t>
      </w:r>
      <w:r w:rsidR="00B91414" w:rsidRPr="00003CF5">
        <w:rPr>
          <w:rFonts w:ascii="Garamond" w:hAnsi="Garamond"/>
          <w:i/>
          <w:iCs/>
          <w:sz w:val="22"/>
          <w:szCs w:val="22"/>
        </w:rPr>
        <w:t>mental</w:t>
      </w:r>
      <w:r w:rsidR="00B91414" w:rsidRPr="00003CF5">
        <w:rPr>
          <w:rFonts w:ascii="Garamond" w:hAnsi="Garamond"/>
          <w:sz w:val="22"/>
          <w:szCs w:val="22"/>
        </w:rPr>
        <w:t xml:space="preserve"> and social well-being in relation to sexuality.”</w:t>
      </w:r>
      <w:r w:rsidR="00B91414" w:rsidRPr="00003CF5">
        <w:rPr>
          <w:rStyle w:val="FootnoteReference"/>
          <w:rFonts w:ascii="Garamond" w:hAnsi="Garamond"/>
          <w:sz w:val="22"/>
          <w:szCs w:val="22"/>
        </w:rPr>
        <w:footnoteReference w:id="62"/>
      </w:r>
      <w:r w:rsidR="00B91414" w:rsidRPr="00003CF5">
        <w:rPr>
          <w:rFonts w:ascii="Garamond" w:hAnsi="Garamond"/>
          <w:sz w:val="22"/>
          <w:szCs w:val="22"/>
        </w:rPr>
        <w:t xml:space="preserve"> Women who are denied abortion report heightened anxiety and stress and diminished self-esteem.</w:t>
      </w:r>
      <w:r w:rsidR="00B91414" w:rsidRPr="00003CF5">
        <w:rPr>
          <w:rStyle w:val="FootnoteReference"/>
          <w:rFonts w:ascii="Garamond" w:hAnsi="Garamond"/>
          <w:sz w:val="22"/>
          <w:szCs w:val="22"/>
        </w:rPr>
        <w:footnoteReference w:id="63"/>
      </w:r>
      <w:r w:rsidR="00B91414" w:rsidRPr="00003CF5">
        <w:rPr>
          <w:rFonts w:ascii="Garamond" w:hAnsi="Garamond"/>
          <w:sz w:val="22"/>
          <w:szCs w:val="22"/>
        </w:rPr>
        <w:t xml:space="preserve"> One would conclude that </w:t>
      </w:r>
      <w:r w:rsidR="00FF1F50">
        <w:rPr>
          <w:rFonts w:ascii="Garamond" w:hAnsi="Garamond"/>
          <w:sz w:val="22"/>
          <w:szCs w:val="22"/>
        </w:rPr>
        <w:t>health providers</w:t>
      </w:r>
      <w:r w:rsidR="00B91414" w:rsidRPr="00003CF5">
        <w:rPr>
          <w:rFonts w:ascii="Garamond" w:hAnsi="Garamond"/>
          <w:sz w:val="22"/>
          <w:szCs w:val="22"/>
        </w:rPr>
        <w:t xml:space="preserve"> in Malawi should be allowed to practice abortion also to protect </w:t>
      </w:r>
      <w:r w:rsidR="00BA108C" w:rsidRPr="00003CF5">
        <w:rPr>
          <w:rFonts w:ascii="Garamond" w:hAnsi="Garamond"/>
          <w:sz w:val="22"/>
          <w:szCs w:val="22"/>
        </w:rPr>
        <w:t>the mother’s</w:t>
      </w:r>
      <w:r w:rsidR="00B91414" w:rsidRPr="00003CF5">
        <w:rPr>
          <w:rFonts w:ascii="Garamond" w:hAnsi="Garamond"/>
          <w:sz w:val="22"/>
          <w:szCs w:val="22"/>
        </w:rPr>
        <w:t xml:space="preserve"> mental health, but neither the Penal Code nor the </w:t>
      </w:r>
      <w:r w:rsidR="00B91414" w:rsidRPr="00FF1F50">
        <w:rPr>
          <w:rFonts w:ascii="Garamond" w:hAnsi="Garamond"/>
          <w:i/>
          <w:sz w:val="22"/>
          <w:szCs w:val="22"/>
        </w:rPr>
        <w:t xml:space="preserve">Standards and Guidelines for </w:t>
      </w:r>
      <w:r w:rsidR="00FF1F50" w:rsidRPr="00FF1F50">
        <w:rPr>
          <w:rFonts w:ascii="Garamond" w:hAnsi="Garamond"/>
          <w:i/>
          <w:sz w:val="22"/>
          <w:szCs w:val="22"/>
        </w:rPr>
        <w:t>Post</w:t>
      </w:r>
      <w:r w:rsidR="00B91414" w:rsidRPr="00FF1F50">
        <w:rPr>
          <w:rFonts w:ascii="Garamond" w:hAnsi="Garamond"/>
          <w:i/>
          <w:sz w:val="22"/>
          <w:szCs w:val="22"/>
        </w:rPr>
        <w:t xml:space="preserve"> Abortion Care</w:t>
      </w:r>
      <w:r w:rsidR="00B91414" w:rsidRPr="00003CF5">
        <w:rPr>
          <w:rFonts w:ascii="Garamond" w:hAnsi="Garamond"/>
          <w:sz w:val="22"/>
          <w:szCs w:val="22"/>
        </w:rPr>
        <w:t xml:space="preserve"> suggest as much. </w:t>
      </w:r>
      <w:r w:rsidR="00642B9C">
        <w:rPr>
          <w:rFonts w:ascii="Garamond" w:hAnsi="Garamond"/>
          <w:sz w:val="22"/>
          <w:szCs w:val="22"/>
        </w:rPr>
        <w:t>The</w:t>
      </w:r>
      <w:r w:rsidR="00B91414" w:rsidRPr="00003CF5">
        <w:rPr>
          <w:rFonts w:ascii="Garamond" w:hAnsi="Garamond"/>
          <w:sz w:val="22"/>
          <w:szCs w:val="22"/>
        </w:rPr>
        <w:t xml:space="preserve"> High Court of Malawi seemed to have excluded that. Recently, in </w:t>
      </w:r>
      <w:r w:rsidR="00B91414" w:rsidRPr="00003CF5">
        <w:rPr>
          <w:rFonts w:ascii="Garamond" w:hAnsi="Garamond"/>
          <w:i/>
          <w:sz w:val="22"/>
          <w:szCs w:val="22"/>
        </w:rPr>
        <w:t>CM v. QEH</w:t>
      </w:r>
      <w:r w:rsidR="00B91414" w:rsidRPr="00003CF5">
        <w:rPr>
          <w:rFonts w:ascii="Garamond" w:hAnsi="Garamond"/>
          <w:sz w:val="22"/>
          <w:szCs w:val="22"/>
        </w:rPr>
        <w:t>,</w:t>
      </w:r>
      <w:r w:rsidR="00B91414" w:rsidRPr="00003CF5">
        <w:rPr>
          <w:rStyle w:val="FootnoteReference"/>
          <w:rFonts w:ascii="Garamond" w:hAnsi="Garamond"/>
          <w:sz w:val="22"/>
          <w:szCs w:val="22"/>
        </w:rPr>
        <w:footnoteReference w:id="64"/>
      </w:r>
      <w:r w:rsidR="00B91414" w:rsidRPr="00003CF5">
        <w:rPr>
          <w:rFonts w:ascii="Garamond" w:hAnsi="Garamond"/>
          <w:sz w:val="22"/>
          <w:szCs w:val="22"/>
        </w:rPr>
        <w:t xml:space="preserve"> in an </w:t>
      </w:r>
      <w:r w:rsidR="00B91414" w:rsidRPr="00C9095C">
        <w:rPr>
          <w:rFonts w:ascii="Garamond" w:hAnsi="Garamond"/>
          <w:i/>
          <w:sz w:val="22"/>
          <w:szCs w:val="22"/>
        </w:rPr>
        <w:t>obiter dictum</w:t>
      </w:r>
      <w:r w:rsidR="00B91414" w:rsidRPr="00003CF5">
        <w:rPr>
          <w:rFonts w:ascii="Garamond" w:hAnsi="Garamond"/>
          <w:sz w:val="22"/>
          <w:szCs w:val="22"/>
        </w:rPr>
        <w:t xml:space="preserve">, it noted that if </w:t>
      </w:r>
      <w:r w:rsidR="00642B9C">
        <w:rPr>
          <w:rFonts w:ascii="Garamond" w:hAnsi="Garamond"/>
          <w:sz w:val="22"/>
          <w:szCs w:val="22"/>
        </w:rPr>
        <w:t xml:space="preserve">the </w:t>
      </w:r>
      <w:r w:rsidR="00B91414" w:rsidRPr="00003CF5">
        <w:rPr>
          <w:rFonts w:ascii="Garamond" w:hAnsi="Garamond"/>
          <w:sz w:val="22"/>
          <w:szCs w:val="22"/>
        </w:rPr>
        <w:t>judicial review had been granted, the plaintiff would have been denied her request for an abortion despite evidence that her mental and physical health had declined</w:t>
      </w:r>
      <w:r w:rsidR="003E215A">
        <w:rPr>
          <w:rFonts w:ascii="Garamond" w:hAnsi="Garamond"/>
          <w:sz w:val="22"/>
          <w:szCs w:val="22"/>
        </w:rPr>
        <w:t xml:space="preserve"> (</w:t>
      </w:r>
      <w:r w:rsidR="00B91414" w:rsidRPr="00003CF5">
        <w:rPr>
          <w:rFonts w:ascii="Garamond" w:hAnsi="Garamond"/>
          <w:sz w:val="22"/>
          <w:szCs w:val="22"/>
        </w:rPr>
        <w:t>she had attempted suicide</w:t>
      </w:r>
      <w:r w:rsidR="001E1A81">
        <w:rPr>
          <w:rFonts w:ascii="Garamond" w:hAnsi="Garamond"/>
          <w:sz w:val="22"/>
          <w:szCs w:val="22"/>
        </w:rPr>
        <w:t>)</w:t>
      </w:r>
      <w:r w:rsidR="00B91414" w:rsidRPr="00003CF5">
        <w:rPr>
          <w:rFonts w:ascii="Garamond" w:hAnsi="Garamond"/>
          <w:sz w:val="22"/>
          <w:szCs w:val="22"/>
        </w:rPr>
        <w:t>.</w:t>
      </w:r>
      <w:r w:rsidR="00B91414" w:rsidRPr="00003CF5">
        <w:rPr>
          <w:rStyle w:val="FootnoteReference"/>
          <w:rFonts w:ascii="Garamond" w:hAnsi="Garamond"/>
          <w:sz w:val="22"/>
          <w:szCs w:val="22"/>
        </w:rPr>
        <w:footnoteReference w:id="65"/>
      </w:r>
    </w:p>
    <w:p w14:paraId="55B4825E" w14:textId="6825F8ED" w:rsidR="00B91414" w:rsidRPr="00003CF5" w:rsidRDefault="00737A33" w:rsidP="00C9095C">
      <w:pPr>
        <w:widowControl w:val="0"/>
        <w:tabs>
          <w:tab w:val="right" w:leader="dot" w:pos="9270"/>
        </w:tabs>
        <w:spacing w:line="360" w:lineRule="auto"/>
        <w:ind w:left="-360" w:right="-270" w:firstLine="540"/>
        <w:jc w:val="both"/>
        <w:rPr>
          <w:rFonts w:ascii="Garamond" w:hAnsi="Garamond"/>
          <w:sz w:val="22"/>
          <w:szCs w:val="22"/>
        </w:rPr>
      </w:pPr>
      <w:r>
        <w:rPr>
          <w:rFonts w:ascii="Garamond" w:hAnsi="Garamond"/>
          <w:sz w:val="22"/>
          <w:szCs w:val="22"/>
        </w:rPr>
        <w:t>(29</w:t>
      </w:r>
      <w:r w:rsidR="001E1A81">
        <w:rPr>
          <w:rFonts w:ascii="Garamond" w:hAnsi="Garamond"/>
          <w:sz w:val="22"/>
          <w:szCs w:val="22"/>
        </w:rPr>
        <w:t xml:space="preserve">) </w:t>
      </w:r>
      <w:r>
        <w:rPr>
          <w:rFonts w:ascii="Garamond" w:hAnsi="Garamond"/>
          <w:sz w:val="22"/>
          <w:szCs w:val="22"/>
        </w:rPr>
        <w:tab/>
      </w:r>
      <w:r w:rsidR="00B91414" w:rsidRPr="00003CF5">
        <w:rPr>
          <w:rFonts w:ascii="Garamond" w:hAnsi="Garamond"/>
          <w:sz w:val="22"/>
          <w:szCs w:val="22"/>
        </w:rPr>
        <w:t xml:space="preserve">Lack of clarity on whether mental health might be ground for legal abortion is </w:t>
      </w:r>
      <w:r w:rsidR="00982145" w:rsidRPr="00003CF5">
        <w:rPr>
          <w:rFonts w:ascii="Garamond" w:hAnsi="Garamond"/>
          <w:sz w:val="22"/>
          <w:szCs w:val="22"/>
        </w:rPr>
        <w:t>even more</w:t>
      </w:r>
      <w:r w:rsidR="00B91414" w:rsidRPr="00003CF5">
        <w:rPr>
          <w:rFonts w:ascii="Garamond" w:hAnsi="Garamond"/>
          <w:sz w:val="22"/>
          <w:szCs w:val="22"/>
        </w:rPr>
        <w:t xml:space="preserve"> troubling if one considers that </w:t>
      </w:r>
      <w:r w:rsidR="00BA108C" w:rsidRPr="00003CF5">
        <w:rPr>
          <w:rFonts w:ascii="Garamond" w:hAnsi="Garamond"/>
          <w:sz w:val="22"/>
          <w:szCs w:val="22"/>
        </w:rPr>
        <w:t>the Penal Code does not allow abortion when</w:t>
      </w:r>
      <w:r w:rsidR="00B91414" w:rsidRPr="00003CF5">
        <w:rPr>
          <w:rFonts w:ascii="Garamond" w:hAnsi="Garamond"/>
          <w:sz w:val="22"/>
          <w:szCs w:val="22"/>
        </w:rPr>
        <w:t xml:space="preserve"> pregnancy is the result of rape, incest or defilement</w:t>
      </w:r>
      <w:r w:rsidR="003E215A">
        <w:rPr>
          <w:rFonts w:ascii="Garamond" w:hAnsi="Garamond"/>
          <w:sz w:val="22"/>
          <w:szCs w:val="22"/>
        </w:rPr>
        <w:t xml:space="preserve"> (i.e. sexual intercourse with a minor</w:t>
      </w:r>
      <w:r w:rsidR="001E1A81">
        <w:rPr>
          <w:rFonts w:ascii="Garamond" w:hAnsi="Garamond"/>
          <w:sz w:val="22"/>
          <w:szCs w:val="22"/>
        </w:rPr>
        <w:t>)</w:t>
      </w:r>
      <w:r w:rsidR="00B91414" w:rsidRPr="00003CF5">
        <w:rPr>
          <w:rFonts w:ascii="Garamond" w:hAnsi="Garamond"/>
          <w:sz w:val="22"/>
          <w:szCs w:val="22"/>
        </w:rPr>
        <w:t xml:space="preserve">. </w:t>
      </w:r>
      <w:r w:rsidR="00BA108C" w:rsidRPr="00003CF5">
        <w:rPr>
          <w:rFonts w:ascii="Garamond" w:hAnsi="Garamond"/>
          <w:sz w:val="22"/>
          <w:szCs w:val="22"/>
        </w:rPr>
        <w:t>Sadly, i</w:t>
      </w:r>
      <w:r w:rsidR="00B91414" w:rsidRPr="00003CF5">
        <w:rPr>
          <w:rFonts w:ascii="Garamond" w:hAnsi="Garamond"/>
          <w:sz w:val="22"/>
          <w:szCs w:val="22"/>
        </w:rPr>
        <w:t>t is estimated that in Malawi</w:t>
      </w:r>
      <w:r w:rsidR="00642B9C">
        <w:rPr>
          <w:rFonts w:ascii="Garamond" w:hAnsi="Garamond"/>
          <w:sz w:val="22"/>
          <w:szCs w:val="22"/>
        </w:rPr>
        <w:t>,</w:t>
      </w:r>
      <w:r w:rsidR="00B91414" w:rsidRPr="00003CF5">
        <w:rPr>
          <w:rFonts w:ascii="Garamond" w:hAnsi="Garamond"/>
          <w:sz w:val="22"/>
          <w:szCs w:val="22"/>
        </w:rPr>
        <w:t xml:space="preserve"> </w:t>
      </w:r>
      <w:r w:rsidR="00642B9C" w:rsidRPr="00642B9C">
        <w:rPr>
          <w:rFonts w:ascii="Garamond" w:hAnsi="Garamond"/>
          <w:sz w:val="22"/>
          <w:szCs w:val="22"/>
        </w:rPr>
        <w:t>38% of women in rural communities and 33% of women in urban communities between the ages</w:t>
      </w:r>
      <w:r w:rsidR="00B91414" w:rsidRPr="00003CF5">
        <w:rPr>
          <w:rFonts w:ascii="Garamond" w:hAnsi="Garamond"/>
          <w:sz w:val="22"/>
          <w:szCs w:val="22"/>
        </w:rPr>
        <w:t xml:space="preserve"> of 15 and 49 have experienced sexual violence.</w:t>
      </w:r>
      <w:r w:rsidR="00B91414" w:rsidRPr="00003CF5">
        <w:rPr>
          <w:rStyle w:val="FootnoteReference"/>
          <w:rFonts w:ascii="Garamond" w:hAnsi="Garamond"/>
          <w:sz w:val="22"/>
          <w:szCs w:val="22"/>
        </w:rPr>
        <w:footnoteReference w:id="66"/>
      </w:r>
    </w:p>
    <w:p w14:paraId="08FA3575" w14:textId="01809275" w:rsidR="00B91414" w:rsidRPr="00003CF5" w:rsidRDefault="00B91414" w:rsidP="00C9095C">
      <w:pPr>
        <w:widowControl w:val="0"/>
        <w:tabs>
          <w:tab w:val="right" w:leader="dot" w:pos="9270"/>
        </w:tabs>
        <w:spacing w:line="360" w:lineRule="auto"/>
        <w:ind w:left="-360" w:right="-270" w:firstLine="540"/>
        <w:jc w:val="both"/>
        <w:rPr>
          <w:rFonts w:ascii="Garamond" w:hAnsi="Garamond"/>
          <w:sz w:val="22"/>
          <w:szCs w:val="22"/>
        </w:rPr>
      </w:pPr>
      <w:r w:rsidRPr="00003CF5">
        <w:rPr>
          <w:rFonts w:ascii="Garamond" w:hAnsi="Garamond"/>
          <w:sz w:val="22"/>
          <w:szCs w:val="22"/>
        </w:rPr>
        <w:t>(</w:t>
      </w:r>
      <w:r w:rsidR="00737A33">
        <w:rPr>
          <w:rFonts w:ascii="Garamond" w:hAnsi="Garamond"/>
          <w:sz w:val="22"/>
          <w:szCs w:val="22"/>
        </w:rPr>
        <w:t>30</w:t>
      </w:r>
      <w:r w:rsidR="001E1A81">
        <w:rPr>
          <w:rFonts w:ascii="Garamond" w:hAnsi="Garamond"/>
          <w:sz w:val="22"/>
          <w:szCs w:val="22"/>
        </w:rPr>
        <w:t xml:space="preserve">) </w:t>
      </w:r>
      <w:r w:rsidRPr="00003CF5">
        <w:rPr>
          <w:rFonts w:ascii="Garamond" w:hAnsi="Garamond"/>
          <w:sz w:val="22"/>
          <w:szCs w:val="22"/>
        </w:rPr>
        <w:tab/>
        <w:t xml:space="preserve">The Human Rights Committee has recognized that limiting access to abortion for women who have been raped or sexually abused </w:t>
      </w:r>
      <w:r w:rsidR="00642B9C">
        <w:rPr>
          <w:rFonts w:ascii="Garamond" w:hAnsi="Garamond"/>
          <w:sz w:val="22"/>
          <w:szCs w:val="22"/>
        </w:rPr>
        <w:t>violates</w:t>
      </w:r>
      <w:r w:rsidRPr="00003CF5">
        <w:rPr>
          <w:rFonts w:ascii="Garamond" w:hAnsi="Garamond"/>
          <w:sz w:val="22"/>
          <w:szCs w:val="22"/>
        </w:rPr>
        <w:t xml:space="preserve"> their right to life.</w:t>
      </w:r>
      <w:r w:rsidRPr="00003CF5">
        <w:rPr>
          <w:rStyle w:val="FootnoteReference"/>
          <w:rFonts w:ascii="Garamond" w:hAnsi="Garamond"/>
          <w:sz w:val="22"/>
          <w:szCs w:val="22"/>
        </w:rPr>
        <w:footnoteReference w:id="67"/>
      </w:r>
      <w:r w:rsidRPr="00003CF5">
        <w:rPr>
          <w:rFonts w:ascii="Garamond" w:hAnsi="Garamond"/>
          <w:sz w:val="22"/>
          <w:szCs w:val="22"/>
        </w:rPr>
        <w:t xml:space="preserve"> The Committee against Torture has noted that limiting access to abortion for women who have been assaulted subjects them to continued “exposure to the violation committed against [them] and causes serious traumatic stress and a risk of long</w:t>
      </w:r>
      <w:r w:rsidRPr="00003CF5">
        <w:rPr>
          <w:rFonts w:ascii="Garamond" w:hAnsi="Garamond"/>
          <w:sz w:val="22"/>
          <w:szCs w:val="22"/>
        </w:rPr>
        <w:noBreakHyphen/>
        <w:t>lasting psychological problems such as anxiety and depression.”</w:t>
      </w:r>
      <w:r w:rsidRPr="00003CF5">
        <w:rPr>
          <w:rStyle w:val="FootnoteReference"/>
          <w:rFonts w:ascii="Garamond" w:hAnsi="Garamond"/>
          <w:sz w:val="22"/>
          <w:szCs w:val="22"/>
        </w:rPr>
        <w:footnoteReference w:id="68"/>
      </w:r>
      <w:r w:rsidRPr="00003CF5">
        <w:rPr>
          <w:rFonts w:ascii="Garamond" w:hAnsi="Garamond"/>
          <w:sz w:val="22"/>
          <w:szCs w:val="22"/>
        </w:rPr>
        <w:t xml:space="preserve"> </w:t>
      </w:r>
    </w:p>
    <w:p w14:paraId="01E16CCD" w14:textId="460A4CE6" w:rsidR="00B91414" w:rsidRPr="00003CF5" w:rsidRDefault="00B91414" w:rsidP="00C9095C">
      <w:pPr>
        <w:widowControl w:val="0"/>
        <w:tabs>
          <w:tab w:val="right" w:leader="dot" w:pos="9270"/>
        </w:tabs>
        <w:spacing w:line="360" w:lineRule="auto"/>
        <w:ind w:left="-360" w:right="-270" w:firstLine="540"/>
        <w:jc w:val="both"/>
        <w:rPr>
          <w:rFonts w:ascii="Garamond" w:hAnsi="Garamond"/>
          <w:sz w:val="22"/>
          <w:szCs w:val="22"/>
        </w:rPr>
      </w:pPr>
      <w:r w:rsidRPr="00003CF5">
        <w:rPr>
          <w:rFonts w:ascii="Garamond" w:hAnsi="Garamond"/>
          <w:sz w:val="22"/>
          <w:szCs w:val="22"/>
        </w:rPr>
        <w:t>(</w:t>
      </w:r>
      <w:r w:rsidR="00737A33">
        <w:rPr>
          <w:rFonts w:ascii="Garamond" w:hAnsi="Garamond"/>
          <w:sz w:val="22"/>
          <w:szCs w:val="22"/>
        </w:rPr>
        <w:t>31</w:t>
      </w:r>
      <w:r w:rsidR="001E1A81">
        <w:rPr>
          <w:rFonts w:ascii="Garamond" w:hAnsi="Garamond"/>
          <w:sz w:val="22"/>
          <w:szCs w:val="22"/>
        </w:rPr>
        <w:t xml:space="preserve">) </w:t>
      </w:r>
      <w:r w:rsidRPr="00003CF5">
        <w:rPr>
          <w:rFonts w:ascii="Garamond" w:hAnsi="Garamond"/>
          <w:sz w:val="22"/>
          <w:szCs w:val="22"/>
        </w:rPr>
        <w:tab/>
        <w:t xml:space="preserve">The World Health Organization has expressed the importance of abortion in instances of pregnancy resulting from sexual violence and indicated that there should not be “unnecessary administrative or judicial procedures </w:t>
      </w:r>
      <w:r w:rsidRPr="00003CF5">
        <w:rPr>
          <w:rFonts w:ascii="Garamond" w:hAnsi="Garamond"/>
          <w:sz w:val="22"/>
          <w:szCs w:val="22"/>
        </w:rPr>
        <w:lastRenderedPageBreak/>
        <w:t>such as requiring women to press charges or to identify the rapist.”</w:t>
      </w:r>
      <w:r w:rsidRPr="00003CF5">
        <w:rPr>
          <w:rStyle w:val="FootnoteReference"/>
          <w:rFonts w:ascii="Garamond" w:hAnsi="Garamond"/>
          <w:sz w:val="22"/>
          <w:szCs w:val="22"/>
        </w:rPr>
        <w:footnoteReference w:id="69"/>
      </w:r>
      <w:r w:rsidRPr="00003CF5">
        <w:rPr>
          <w:rFonts w:ascii="Garamond" w:hAnsi="Garamond"/>
          <w:sz w:val="22"/>
          <w:szCs w:val="22"/>
        </w:rPr>
        <w:t xml:space="preserve"> Similar procedures cause unnecessary delays, may subject women to victimization, and may cause incidents of sexual violence to go unreported.</w:t>
      </w:r>
      <w:r w:rsidRPr="00003CF5">
        <w:rPr>
          <w:rStyle w:val="FootnoteReference"/>
          <w:rFonts w:ascii="Garamond" w:hAnsi="Garamond"/>
          <w:sz w:val="22"/>
          <w:szCs w:val="22"/>
        </w:rPr>
        <w:footnoteReference w:id="70"/>
      </w:r>
    </w:p>
    <w:p w14:paraId="401796CA" w14:textId="4F897615" w:rsidR="00B91414" w:rsidRPr="00003CF5" w:rsidRDefault="00B91414" w:rsidP="00C9095C">
      <w:pPr>
        <w:widowControl w:val="0"/>
        <w:tabs>
          <w:tab w:val="right" w:leader="dot" w:pos="9270"/>
        </w:tabs>
        <w:spacing w:line="360" w:lineRule="auto"/>
        <w:ind w:left="-360" w:right="-270" w:firstLine="540"/>
        <w:jc w:val="both"/>
        <w:rPr>
          <w:rFonts w:ascii="Garamond" w:hAnsi="Garamond"/>
          <w:sz w:val="22"/>
          <w:szCs w:val="22"/>
        </w:rPr>
      </w:pPr>
      <w:r w:rsidRPr="00003CF5">
        <w:rPr>
          <w:rFonts w:ascii="Garamond" w:hAnsi="Garamond"/>
          <w:sz w:val="22"/>
          <w:szCs w:val="22"/>
        </w:rPr>
        <w:t>(</w:t>
      </w:r>
      <w:r w:rsidR="00737A33">
        <w:rPr>
          <w:rFonts w:ascii="Garamond" w:hAnsi="Garamond"/>
          <w:sz w:val="22"/>
          <w:szCs w:val="22"/>
        </w:rPr>
        <w:t>32</w:t>
      </w:r>
      <w:r w:rsidR="001E1A81">
        <w:rPr>
          <w:rFonts w:ascii="Garamond" w:hAnsi="Garamond"/>
          <w:sz w:val="22"/>
          <w:szCs w:val="22"/>
        </w:rPr>
        <w:t xml:space="preserve">) </w:t>
      </w:r>
      <w:r w:rsidRPr="00003CF5">
        <w:rPr>
          <w:rFonts w:ascii="Garamond" w:hAnsi="Garamond"/>
          <w:sz w:val="22"/>
          <w:szCs w:val="22"/>
        </w:rPr>
        <w:tab/>
        <w:t>As this Committee stated, “[v]</w:t>
      </w:r>
      <w:proofErr w:type="spellStart"/>
      <w:r w:rsidRPr="00003CF5">
        <w:rPr>
          <w:rFonts w:ascii="Garamond" w:hAnsi="Garamond"/>
          <w:sz w:val="22"/>
          <w:szCs w:val="22"/>
        </w:rPr>
        <w:t>iolations</w:t>
      </w:r>
      <w:proofErr w:type="spellEnd"/>
      <w:r w:rsidRPr="00003CF5">
        <w:rPr>
          <w:rFonts w:ascii="Garamond" w:hAnsi="Garamond"/>
          <w:sz w:val="22"/>
          <w:szCs w:val="22"/>
        </w:rPr>
        <w:t xml:space="preserve"> of the obligation to protect occur [also] when a State fails to take effective steps to prevent third parties from undermining the enjoyment of the right to sexual and reproductive health.”</w:t>
      </w:r>
      <w:r w:rsidRPr="00003CF5">
        <w:rPr>
          <w:rStyle w:val="FootnoteReference"/>
          <w:rFonts w:ascii="Garamond" w:hAnsi="Garamond"/>
          <w:sz w:val="22"/>
          <w:szCs w:val="22"/>
        </w:rPr>
        <w:footnoteReference w:id="71"/>
      </w:r>
      <w:r w:rsidRPr="00003CF5">
        <w:rPr>
          <w:rFonts w:ascii="Garamond" w:hAnsi="Garamond"/>
          <w:sz w:val="22"/>
          <w:szCs w:val="22"/>
        </w:rPr>
        <w:t xml:space="preserve"> Therefore, the Covenant arguably requires that pregnancies caused by rape, incest and defilement be included in ‘preservation of the mother’s life’ standard, without unnecessary and unreasonable limits.</w:t>
      </w:r>
    </w:p>
    <w:p w14:paraId="61827DD8" w14:textId="768567CA" w:rsidR="00DD5AAA" w:rsidRPr="00003CF5" w:rsidRDefault="00737A33" w:rsidP="00C9095C">
      <w:pPr>
        <w:widowControl w:val="0"/>
        <w:tabs>
          <w:tab w:val="right" w:leader="dot" w:pos="9270"/>
        </w:tabs>
        <w:spacing w:line="360" w:lineRule="auto"/>
        <w:ind w:left="-360" w:right="-270" w:firstLine="540"/>
        <w:jc w:val="both"/>
        <w:rPr>
          <w:rFonts w:ascii="Garamond" w:hAnsi="Garamond"/>
          <w:sz w:val="22"/>
          <w:szCs w:val="22"/>
        </w:rPr>
      </w:pPr>
      <w:r>
        <w:rPr>
          <w:rFonts w:ascii="Garamond" w:hAnsi="Garamond"/>
          <w:sz w:val="22"/>
          <w:szCs w:val="22"/>
        </w:rPr>
        <w:t>(33</w:t>
      </w:r>
      <w:r w:rsidR="001E1A81">
        <w:rPr>
          <w:rFonts w:ascii="Garamond" w:hAnsi="Garamond"/>
          <w:sz w:val="22"/>
          <w:szCs w:val="22"/>
        </w:rPr>
        <w:t xml:space="preserve">) </w:t>
      </w:r>
      <w:r>
        <w:rPr>
          <w:rFonts w:ascii="Garamond" w:hAnsi="Garamond"/>
          <w:sz w:val="22"/>
          <w:szCs w:val="22"/>
        </w:rPr>
        <w:tab/>
      </w:r>
      <w:r w:rsidR="00DD5AAA" w:rsidRPr="00003CF5">
        <w:rPr>
          <w:rFonts w:ascii="Garamond" w:hAnsi="Garamond"/>
          <w:sz w:val="22"/>
          <w:szCs w:val="22"/>
        </w:rPr>
        <w:t>As reported by UNICEF, Malawi has a serious problem with sexual violence against minors.</w:t>
      </w:r>
      <w:r w:rsidR="00DD5AAA" w:rsidRPr="00003CF5">
        <w:rPr>
          <w:rStyle w:val="FootnoteReference"/>
          <w:rFonts w:ascii="Garamond" w:hAnsi="Garamond"/>
          <w:sz w:val="22"/>
          <w:szCs w:val="22"/>
        </w:rPr>
        <w:footnoteReference w:id="72"/>
      </w:r>
      <w:r w:rsidR="00DD5AAA" w:rsidRPr="00003CF5">
        <w:rPr>
          <w:rFonts w:ascii="Garamond" w:hAnsi="Garamond"/>
          <w:sz w:val="22"/>
          <w:szCs w:val="22"/>
        </w:rPr>
        <w:t xml:space="preserve"> UNICEF has gone as far to say that “sexual violence against children knows no boundaries.”</w:t>
      </w:r>
      <w:r w:rsidR="00DD5AAA" w:rsidRPr="00003CF5">
        <w:rPr>
          <w:rStyle w:val="FootnoteReference"/>
          <w:rFonts w:ascii="Garamond" w:hAnsi="Garamond"/>
          <w:sz w:val="22"/>
          <w:szCs w:val="22"/>
        </w:rPr>
        <w:footnoteReference w:id="73"/>
      </w:r>
      <w:r w:rsidR="00DD5AAA" w:rsidRPr="00003CF5">
        <w:rPr>
          <w:rFonts w:ascii="Garamond" w:hAnsi="Garamond"/>
          <w:sz w:val="22"/>
          <w:szCs w:val="22"/>
        </w:rPr>
        <w:t xml:space="preserve"> This violence can often lead to long-term physical and mental health problems, including unwanted pregnancy. Reports indicate that girls in primary school are frequently at risk of sexual violence.</w:t>
      </w:r>
      <w:r w:rsidR="00DD5AAA" w:rsidRPr="00003CF5">
        <w:rPr>
          <w:rStyle w:val="FootnoteReference"/>
          <w:rFonts w:ascii="Garamond" w:hAnsi="Garamond"/>
          <w:sz w:val="22"/>
          <w:szCs w:val="22"/>
        </w:rPr>
        <w:footnoteReference w:id="74"/>
      </w:r>
    </w:p>
    <w:p w14:paraId="07B62FB6" w14:textId="01F693B6" w:rsidR="00B91414" w:rsidRPr="00003CF5" w:rsidRDefault="00737A33" w:rsidP="00C9095C">
      <w:pPr>
        <w:widowControl w:val="0"/>
        <w:tabs>
          <w:tab w:val="right" w:leader="dot" w:pos="9270"/>
        </w:tabs>
        <w:spacing w:line="360" w:lineRule="auto"/>
        <w:ind w:left="-360" w:right="-270" w:firstLine="540"/>
        <w:jc w:val="both"/>
        <w:rPr>
          <w:rFonts w:ascii="Garamond" w:hAnsi="Garamond"/>
          <w:sz w:val="22"/>
          <w:szCs w:val="22"/>
        </w:rPr>
      </w:pPr>
      <w:r>
        <w:rPr>
          <w:rFonts w:ascii="Garamond" w:hAnsi="Garamond"/>
          <w:sz w:val="22"/>
          <w:szCs w:val="22"/>
        </w:rPr>
        <w:t>(34</w:t>
      </w:r>
      <w:r w:rsidR="001E1A81">
        <w:rPr>
          <w:rFonts w:ascii="Garamond" w:hAnsi="Garamond"/>
          <w:sz w:val="22"/>
          <w:szCs w:val="22"/>
        </w:rPr>
        <w:t xml:space="preserve">) </w:t>
      </w:r>
      <w:r>
        <w:rPr>
          <w:rFonts w:ascii="Garamond" w:hAnsi="Garamond"/>
          <w:sz w:val="22"/>
          <w:szCs w:val="22"/>
        </w:rPr>
        <w:tab/>
      </w:r>
      <w:r w:rsidR="00B91414" w:rsidRPr="00003CF5">
        <w:rPr>
          <w:rFonts w:ascii="Garamond" w:hAnsi="Garamond"/>
          <w:sz w:val="22"/>
          <w:szCs w:val="22"/>
        </w:rPr>
        <w:t xml:space="preserve">It is also unclear whether </w:t>
      </w:r>
      <w:r w:rsidR="00FF1F50">
        <w:rPr>
          <w:rFonts w:ascii="Garamond" w:hAnsi="Garamond"/>
          <w:sz w:val="22"/>
          <w:szCs w:val="22"/>
        </w:rPr>
        <w:t>health providers</w:t>
      </w:r>
      <w:r w:rsidR="00B91414" w:rsidRPr="00003CF5">
        <w:rPr>
          <w:rFonts w:ascii="Garamond" w:hAnsi="Garamond"/>
          <w:sz w:val="22"/>
          <w:szCs w:val="22"/>
        </w:rPr>
        <w:t xml:space="preserve"> can legally perform abortion in Malawi on minor women. Adolescent pregnancy is risky and can have several serious consequences.</w:t>
      </w:r>
      <w:r w:rsidR="00B91414" w:rsidRPr="00003CF5">
        <w:rPr>
          <w:rStyle w:val="FootnoteReference"/>
          <w:rFonts w:ascii="Garamond" w:hAnsi="Garamond"/>
          <w:sz w:val="22"/>
          <w:szCs w:val="22"/>
        </w:rPr>
        <w:footnoteReference w:id="75"/>
      </w:r>
      <w:r w:rsidR="00B91414" w:rsidRPr="00003CF5">
        <w:rPr>
          <w:rFonts w:ascii="Garamond" w:hAnsi="Garamond"/>
          <w:sz w:val="22"/>
          <w:szCs w:val="22"/>
        </w:rPr>
        <w:t xml:space="preserve"> One of the consequences is the stigma tied to unwanted pregnancies in minors, which can lead to families disowning and communities marginalizing the pregnant girl.</w:t>
      </w:r>
      <w:r w:rsidR="00B91414" w:rsidRPr="00003CF5">
        <w:rPr>
          <w:rStyle w:val="FootnoteReference"/>
          <w:rFonts w:ascii="Garamond" w:hAnsi="Garamond"/>
          <w:sz w:val="22"/>
          <w:szCs w:val="22"/>
        </w:rPr>
        <w:footnoteReference w:id="76"/>
      </w:r>
      <w:r w:rsidR="00B91414" w:rsidRPr="00003CF5">
        <w:rPr>
          <w:rFonts w:ascii="Garamond" w:hAnsi="Garamond"/>
          <w:sz w:val="22"/>
          <w:szCs w:val="22"/>
        </w:rPr>
        <w:t xml:space="preserve"> Due to this stigma and heightened barriers of access to reproductive health, it is common for minors to seek unsafe abortions.</w:t>
      </w:r>
      <w:r w:rsidR="00B91414" w:rsidRPr="00003CF5">
        <w:rPr>
          <w:rStyle w:val="FootnoteReference"/>
          <w:rFonts w:ascii="Garamond" w:hAnsi="Garamond"/>
          <w:sz w:val="22"/>
          <w:szCs w:val="22"/>
        </w:rPr>
        <w:footnoteReference w:id="77"/>
      </w:r>
      <w:r w:rsidR="00B91414" w:rsidRPr="00003CF5">
        <w:rPr>
          <w:rFonts w:ascii="Garamond" w:hAnsi="Garamond"/>
          <w:sz w:val="22"/>
          <w:szCs w:val="22"/>
        </w:rPr>
        <w:t xml:space="preserve"> </w:t>
      </w:r>
    </w:p>
    <w:p w14:paraId="08A78606" w14:textId="7E152796" w:rsidR="00B91414" w:rsidRPr="00003CF5" w:rsidRDefault="00B91414" w:rsidP="00C9095C">
      <w:pPr>
        <w:widowControl w:val="0"/>
        <w:tabs>
          <w:tab w:val="right" w:leader="dot" w:pos="9270"/>
        </w:tabs>
        <w:spacing w:line="360" w:lineRule="auto"/>
        <w:ind w:left="-360" w:right="-270" w:firstLine="540"/>
        <w:jc w:val="both"/>
        <w:rPr>
          <w:rFonts w:ascii="Garamond" w:hAnsi="Garamond"/>
          <w:sz w:val="22"/>
          <w:szCs w:val="22"/>
        </w:rPr>
      </w:pPr>
      <w:r w:rsidRPr="00003CF5">
        <w:rPr>
          <w:rFonts w:ascii="Garamond" w:hAnsi="Garamond"/>
          <w:sz w:val="22"/>
          <w:szCs w:val="22"/>
        </w:rPr>
        <w:lastRenderedPageBreak/>
        <w:t>(</w:t>
      </w:r>
      <w:r w:rsidR="00737A33">
        <w:rPr>
          <w:rFonts w:ascii="Garamond" w:hAnsi="Garamond"/>
          <w:sz w:val="22"/>
          <w:szCs w:val="22"/>
        </w:rPr>
        <w:t>35</w:t>
      </w:r>
      <w:r w:rsidR="001E1A81">
        <w:rPr>
          <w:rFonts w:ascii="Garamond" w:hAnsi="Garamond"/>
          <w:sz w:val="22"/>
          <w:szCs w:val="22"/>
        </w:rPr>
        <w:t xml:space="preserve">) </w:t>
      </w:r>
      <w:r w:rsidRPr="00003CF5">
        <w:rPr>
          <w:rFonts w:ascii="Garamond" w:hAnsi="Garamond"/>
          <w:sz w:val="22"/>
          <w:szCs w:val="22"/>
        </w:rPr>
        <w:tab/>
      </w:r>
      <w:r w:rsidR="00DD5AAA" w:rsidRPr="00003CF5">
        <w:rPr>
          <w:rFonts w:ascii="Garamond" w:hAnsi="Garamond"/>
          <w:sz w:val="22"/>
          <w:szCs w:val="22"/>
        </w:rPr>
        <w:t>Young women have the same right to access abortion as mature women. The Committee on the Rights of the Child has reaffirmed that minors should have access to sexual and reproductive health services, including safe abortion.</w:t>
      </w:r>
      <w:r w:rsidR="00DD5AAA" w:rsidRPr="00003CF5">
        <w:rPr>
          <w:rStyle w:val="FootnoteReference"/>
          <w:rFonts w:ascii="Garamond" w:hAnsi="Garamond"/>
          <w:sz w:val="22"/>
          <w:szCs w:val="22"/>
        </w:rPr>
        <w:footnoteReference w:id="78"/>
      </w:r>
      <w:r w:rsidR="00DD5AAA" w:rsidRPr="00003CF5">
        <w:rPr>
          <w:rFonts w:ascii="Garamond" w:hAnsi="Garamond"/>
          <w:sz w:val="22"/>
          <w:szCs w:val="22"/>
        </w:rPr>
        <w:t xml:space="preserve"> </w:t>
      </w:r>
      <w:r w:rsidRPr="00003CF5">
        <w:rPr>
          <w:rFonts w:ascii="Garamond" w:hAnsi="Garamond"/>
          <w:sz w:val="22"/>
          <w:szCs w:val="22"/>
        </w:rPr>
        <w:t xml:space="preserve">As this honorable Committee </w:t>
      </w:r>
      <w:r w:rsidR="00DD5AAA" w:rsidRPr="00003CF5">
        <w:rPr>
          <w:rFonts w:ascii="Garamond" w:hAnsi="Garamond"/>
          <w:sz w:val="22"/>
          <w:szCs w:val="22"/>
        </w:rPr>
        <w:t xml:space="preserve">noted in General Comment </w:t>
      </w:r>
      <w:r w:rsidRPr="00003CF5">
        <w:rPr>
          <w:rFonts w:ascii="Garamond" w:hAnsi="Garamond"/>
          <w:sz w:val="22"/>
          <w:szCs w:val="22"/>
        </w:rPr>
        <w:t>22, barriers to accessing sexual and reproductive health should be removed and that State’s must guarantee “girls access to safe abortion services” to prevent unsafe abortions.</w:t>
      </w:r>
      <w:r w:rsidRPr="00003CF5">
        <w:rPr>
          <w:rStyle w:val="FootnoteReference"/>
          <w:rFonts w:ascii="Garamond" w:hAnsi="Garamond"/>
          <w:sz w:val="22"/>
          <w:szCs w:val="22"/>
        </w:rPr>
        <w:footnoteReference w:id="79"/>
      </w:r>
    </w:p>
    <w:p w14:paraId="1DCD39B9" w14:textId="7225B3F9" w:rsidR="00B91414" w:rsidRPr="00003CF5" w:rsidRDefault="00B91414" w:rsidP="00C9095C">
      <w:pPr>
        <w:widowControl w:val="0"/>
        <w:tabs>
          <w:tab w:val="right" w:leader="dot" w:pos="9270"/>
        </w:tabs>
        <w:spacing w:line="360" w:lineRule="auto"/>
        <w:ind w:left="-360" w:right="-270" w:firstLine="540"/>
        <w:jc w:val="both"/>
        <w:rPr>
          <w:rFonts w:ascii="Garamond" w:hAnsi="Garamond"/>
          <w:sz w:val="22"/>
          <w:szCs w:val="22"/>
        </w:rPr>
      </w:pPr>
      <w:r w:rsidRPr="00003CF5">
        <w:rPr>
          <w:rFonts w:ascii="Garamond" w:hAnsi="Garamond"/>
          <w:sz w:val="22"/>
          <w:szCs w:val="22"/>
        </w:rPr>
        <w:t>(</w:t>
      </w:r>
      <w:r w:rsidR="00737A33">
        <w:rPr>
          <w:rFonts w:ascii="Garamond" w:hAnsi="Garamond"/>
          <w:sz w:val="22"/>
          <w:szCs w:val="22"/>
        </w:rPr>
        <w:t>36</w:t>
      </w:r>
      <w:r w:rsidR="001E1A81">
        <w:rPr>
          <w:rFonts w:ascii="Garamond" w:hAnsi="Garamond"/>
          <w:sz w:val="22"/>
          <w:szCs w:val="22"/>
        </w:rPr>
        <w:t xml:space="preserve">) </w:t>
      </w:r>
      <w:r w:rsidRPr="00003CF5">
        <w:rPr>
          <w:rFonts w:ascii="Garamond" w:hAnsi="Garamond"/>
          <w:sz w:val="22"/>
          <w:szCs w:val="22"/>
        </w:rPr>
        <w:tab/>
        <w:t>It is unclear whether in Malawi a minor would require parental or guardian consent to obtain an abortion or other reproductive care. One would assume that this is the case. However, the silence of the law on the matter is problematic because it leaves minors without parental support from seeking safe abortions. The WHO has identified that minors avoid parental authorization due to fear of “anticipated violence, reproductive coercion and family disharmony.”</w:t>
      </w:r>
      <w:r w:rsidRPr="00003CF5">
        <w:rPr>
          <w:rStyle w:val="FootnoteReference"/>
          <w:rFonts w:ascii="Garamond" w:hAnsi="Garamond"/>
          <w:sz w:val="22"/>
          <w:szCs w:val="22"/>
        </w:rPr>
        <w:footnoteReference w:id="80"/>
      </w:r>
      <w:r w:rsidRPr="00003CF5">
        <w:rPr>
          <w:rFonts w:ascii="Garamond" w:hAnsi="Garamond"/>
          <w:sz w:val="22"/>
          <w:szCs w:val="22"/>
        </w:rPr>
        <w:t xml:space="preserve"> This avoidance often leads to delayed reproductive care for minors. The protection of a minor’s bodily autonomy is crucial for the protection of the minor’s rights to health.</w:t>
      </w:r>
    </w:p>
    <w:p w14:paraId="652C21C1" w14:textId="77CB70D1" w:rsidR="00B91414" w:rsidRPr="00003CF5" w:rsidRDefault="00B91414" w:rsidP="00C9095C">
      <w:pPr>
        <w:widowControl w:val="0"/>
        <w:tabs>
          <w:tab w:val="right" w:leader="dot" w:pos="9270"/>
        </w:tabs>
        <w:spacing w:line="360" w:lineRule="auto"/>
        <w:ind w:left="-360" w:right="-270" w:firstLine="540"/>
        <w:jc w:val="both"/>
        <w:rPr>
          <w:rFonts w:ascii="Garamond" w:hAnsi="Garamond"/>
          <w:sz w:val="22"/>
          <w:szCs w:val="22"/>
        </w:rPr>
      </w:pPr>
      <w:r w:rsidRPr="00003CF5">
        <w:rPr>
          <w:rFonts w:ascii="Garamond" w:hAnsi="Garamond"/>
          <w:sz w:val="22"/>
          <w:szCs w:val="22"/>
        </w:rPr>
        <w:t>(</w:t>
      </w:r>
      <w:r w:rsidR="00737A33">
        <w:rPr>
          <w:rFonts w:ascii="Garamond" w:hAnsi="Garamond"/>
          <w:sz w:val="22"/>
          <w:szCs w:val="22"/>
        </w:rPr>
        <w:t>37</w:t>
      </w:r>
      <w:r w:rsidR="001E1A81">
        <w:rPr>
          <w:rFonts w:ascii="Garamond" w:hAnsi="Garamond"/>
          <w:sz w:val="22"/>
          <w:szCs w:val="22"/>
        </w:rPr>
        <w:t xml:space="preserve">) </w:t>
      </w:r>
      <w:r w:rsidRPr="00003CF5">
        <w:rPr>
          <w:rFonts w:ascii="Garamond" w:hAnsi="Garamond"/>
          <w:sz w:val="22"/>
          <w:szCs w:val="22"/>
        </w:rPr>
        <w:t>Lastly, another troubling source of uncertainty is that the guidelines do not elucidate what the correct approach is to address instances when fetus is severely malformed or has other birth defects, making it unable to survive after birth.</w:t>
      </w:r>
      <w:r w:rsidRPr="00003CF5">
        <w:rPr>
          <w:rStyle w:val="FootnoteReference"/>
          <w:rFonts w:ascii="Garamond" w:hAnsi="Garamond"/>
          <w:sz w:val="22"/>
          <w:szCs w:val="22"/>
        </w:rPr>
        <w:footnoteReference w:id="81"/>
      </w:r>
    </w:p>
    <w:p w14:paraId="78225C30" w14:textId="5D698D41" w:rsidR="00803CA0" w:rsidRPr="00003CF5" w:rsidRDefault="00803CA0" w:rsidP="00241793">
      <w:pPr>
        <w:pStyle w:val="Heading2"/>
      </w:pPr>
      <w:bookmarkStart w:id="6" w:name="_Toc123043562"/>
      <w:r w:rsidRPr="00003CF5">
        <w:t>III</w:t>
      </w:r>
      <w:r w:rsidR="001E1A81">
        <w:t xml:space="preserve">) </w:t>
      </w:r>
      <w:r w:rsidR="00B91414" w:rsidRPr="00003CF5">
        <w:t xml:space="preserve">The criminalization of abortion violates </w:t>
      </w:r>
      <w:r w:rsidRPr="00003CF5">
        <w:t>several articles of the Covenant</w:t>
      </w:r>
      <w:bookmarkEnd w:id="6"/>
    </w:p>
    <w:p w14:paraId="6917E81D" w14:textId="72568E04" w:rsidR="00B91414" w:rsidRPr="00003CF5" w:rsidRDefault="00803CA0" w:rsidP="00C9095C">
      <w:pPr>
        <w:pStyle w:val="Heading3"/>
        <w:tabs>
          <w:tab w:val="right" w:leader="dot" w:pos="9270"/>
        </w:tabs>
        <w:ind w:left="-360" w:right="-270" w:firstLine="540"/>
        <w:rPr>
          <w:sz w:val="22"/>
          <w:szCs w:val="22"/>
        </w:rPr>
      </w:pPr>
      <w:bookmarkStart w:id="7" w:name="_Toc123043563"/>
      <w:r w:rsidRPr="00003CF5">
        <w:rPr>
          <w:sz w:val="22"/>
          <w:szCs w:val="22"/>
        </w:rPr>
        <w:t>a</w:t>
      </w:r>
      <w:r w:rsidR="001E1A81">
        <w:rPr>
          <w:sz w:val="22"/>
          <w:szCs w:val="22"/>
        </w:rPr>
        <w:t xml:space="preserve">) </w:t>
      </w:r>
      <w:r w:rsidR="00B91414" w:rsidRPr="00003CF5">
        <w:rPr>
          <w:sz w:val="22"/>
          <w:szCs w:val="22"/>
        </w:rPr>
        <w:t>Article 3</w:t>
      </w:r>
      <w:bookmarkEnd w:id="7"/>
      <w:r w:rsidR="00B91414" w:rsidRPr="00003CF5">
        <w:rPr>
          <w:sz w:val="22"/>
          <w:szCs w:val="22"/>
        </w:rPr>
        <w:t xml:space="preserve"> </w:t>
      </w:r>
    </w:p>
    <w:p w14:paraId="76EA0EEF" w14:textId="47CC0D4F" w:rsidR="00B91414" w:rsidRPr="00003CF5" w:rsidRDefault="00B91414" w:rsidP="00C9095C">
      <w:pPr>
        <w:widowControl w:val="0"/>
        <w:tabs>
          <w:tab w:val="right" w:leader="dot" w:pos="9270"/>
        </w:tabs>
        <w:spacing w:line="360" w:lineRule="auto"/>
        <w:ind w:left="-360" w:right="-270" w:firstLine="540"/>
        <w:jc w:val="both"/>
        <w:rPr>
          <w:rFonts w:ascii="Garamond" w:hAnsi="Garamond"/>
          <w:sz w:val="22"/>
          <w:szCs w:val="22"/>
        </w:rPr>
      </w:pPr>
      <w:r w:rsidRPr="00003CF5">
        <w:rPr>
          <w:rFonts w:ascii="Garamond" w:hAnsi="Garamond"/>
          <w:sz w:val="22"/>
          <w:szCs w:val="22"/>
        </w:rPr>
        <w:t>(</w:t>
      </w:r>
      <w:r w:rsidR="00737A33">
        <w:rPr>
          <w:rFonts w:ascii="Garamond" w:hAnsi="Garamond"/>
          <w:sz w:val="22"/>
          <w:szCs w:val="22"/>
        </w:rPr>
        <w:t>38</w:t>
      </w:r>
      <w:r w:rsidR="001E1A81">
        <w:rPr>
          <w:rFonts w:ascii="Garamond" w:hAnsi="Garamond"/>
          <w:sz w:val="22"/>
          <w:szCs w:val="22"/>
        </w:rPr>
        <w:t xml:space="preserve">) </w:t>
      </w:r>
      <w:r w:rsidRPr="00003CF5">
        <w:rPr>
          <w:rFonts w:ascii="Garamond" w:hAnsi="Garamond"/>
          <w:sz w:val="22"/>
          <w:szCs w:val="22"/>
        </w:rPr>
        <w:tab/>
        <w:t>Article 3 of the Covenant requires States party to ensure “the equal right of men and women to the enjoyment of all economic, social and cultural rights”.</w:t>
      </w:r>
      <w:r w:rsidRPr="00003CF5">
        <w:rPr>
          <w:rStyle w:val="FootnoteReference"/>
          <w:rFonts w:ascii="Garamond" w:hAnsi="Garamond"/>
          <w:sz w:val="22"/>
          <w:szCs w:val="22"/>
        </w:rPr>
        <w:footnoteReference w:id="82"/>
      </w:r>
      <w:r w:rsidRPr="00003CF5">
        <w:rPr>
          <w:rFonts w:ascii="Garamond" w:hAnsi="Garamond"/>
          <w:sz w:val="22"/>
          <w:szCs w:val="22"/>
        </w:rPr>
        <w:t xml:space="preserve"> The criminalization of abortion is inherently discriminatory</w:t>
      </w:r>
      <w:r w:rsidR="00DD5AAA" w:rsidRPr="00003CF5">
        <w:rPr>
          <w:rFonts w:ascii="Garamond" w:hAnsi="Garamond"/>
          <w:sz w:val="22"/>
          <w:szCs w:val="22"/>
        </w:rPr>
        <w:t xml:space="preserve">. </w:t>
      </w:r>
      <w:r w:rsidR="00912D80" w:rsidRPr="008472CB">
        <w:rPr>
          <w:rFonts w:ascii="Garamond" w:hAnsi="Garamond"/>
          <w:sz w:val="22"/>
          <w:szCs w:val="22"/>
        </w:rPr>
        <w:t>Malawi’s law discriminates against women by targeting and punishing women. The consequences laid out in the penal code</w:t>
      </w:r>
      <w:r w:rsidR="002401A3" w:rsidRPr="008472CB">
        <w:rPr>
          <w:rFonts w:ascii="Garamond" w:hAnsi="Garamond"/>
          <w:sz w:val="22"/>
          <w:szCs w:val="22"/>
        </w:rPr>
        <w:t>, which tellingly begin with “</w:t>
      </w:r>
      <w:r w:rsidR="002401A3" w:rsidRPr="008472CB">
        <w:rPr>
          <w:rFonts w:ascii="Garamond" w:hAnsi="Garamond"/>
          <w:i/>
          <w:sz w:val="22"/>
          <w:szCs w:val="22"/>
        </w:rPr>
        <w:t>[a</w:t>
      </w:r>
      <w:r w:rsidR="00A238E1">
        <w:rPr>
          <w:rFonts w:ascii="Garamond" w:hAnsi="Garamond"/>
          <w:i/>
          <w:sz w:val="22"/>
          <w:szCs w:val="22"/>
        </w:rPr>
        <w:t>]</w:t>
      </w:r>
      <w:proofErr w:type="spellStart"/>
      <w:r w:rsidR="002401A3" w:rsidRPr="008472CB">
        <w:rPr>
          <w:rFonts w:ascii="Garamond" w:hAnsi="Garamond"/>
          <w:i/>
          <w:sz w:val="22"/>
          <w:szCs w:val="22"/>
        </w:rPr>
        <w:t>ny</w:t>
      </w:r>
      <w:proofErr w:type="spellEnd"/>
      <w:r w:rsidR="002401A3" w:rsidRPr="008472CB">
        <w:rPr>
          <w:rFonts w:ascii="Garamond" w:hAnsi="Garamond"/>
          <w:i/>
          <w:sz w:val="22"/>
          <w:szCs w:val="22"/>
        </w:rPr>
        <w:t xml:space="preserve"> woman who</w:t>
      </w:r>
      <w:r w:rsidR="002401A3" w:rsidRPr="008472CB">
        <w:rPr>
          <w:rFonts w:ascii="Garamond" w:hAnsi="Garamond"/>
          <w:sz w:val="22"/>
          <w:szCs w:val="22"/>
        </w:rPr>
        <w:t>…”</w:t>
      </w:r>
      <w:r w:rsidR="002401A3" w:rsidRPr="008472CB">
        <w:rPr>
          <w:rStyle w:val="FootnoteReference"/>
          <w:rFonts w:ascii="Garamond" w:hAnsi="Garamond"/>
          <w:sz w:val="22"/>
          <w:szCs w:val="22"/>
        </w:rPr>
        <w:footnoteReference w:id="83"/>
      </w:r>
      <w:r w:rsidR="002401A3" w:rsidRPr="008472CB">
        <w:rPr>
          <w:rFonts w:ascii="Garamond" w:hAnsi="Garamond"/>
          <w:sz w:val="22"/>
          <w:szCs w:val="22"/>
        </w:rPr>
        <w:t xml:space="preserve">, </w:t>
      </w:r>
      <w:r w:rsidR="00912D80" w:rsidRPr="008472CB">
        <w:rPr>
          <w:rFonts w:ascii="Garamond" w:hAnsi="Garamond"/>
          <w:sz w:val="22"/>
          <w:szCs w:val="22"/>
        </w:rPr>
        <w:t xml:space="preserve">are only suffered by women, while men who are </w:t>
      </w:r>
      <w:r w:rsidR="00055A3F" w:rsidRPr="008472CB">
        <w:rPr>
          <w:rFonts w:ascii="Garamond" w:hAnsi="Garamond"/>
          <w:sz w:val="22"/>
          <w:szCs w:val="22"/>
        </w:rPr>
        <w:t>parties</w:t>
      </w:r>
      <w:r w:rsidR="00912D80" w:rsidRPr="008472CB">
        <w:rPr>
          <w:rFonts w:ascii="Garamond" w:hAnsi="Garamond"/>
          <w:sz w:val="22"/>
          <w:szCs w:val="22"/>
        </w:rPr>
        <w:t xml:space="preserve"> </w:t>
      </w:r>
      <w:r w:rsidR="00055A3F" w:rsidRPr="008472CB">
        <w:rPr>
          <w:rFonts w:ascii="Garamond" w:hAnsi="Garamond"/>
          <w:sz w:val="22"/>
          <w:szCs w:val="22"/>
        </w:rPr>
        <w:t>to</w:t>
      </w:r>
      <w:r w:rsidR="00912D80" w:rsidRPr="008472CB">
        <w:rPr>
          <w:rFonts w:ascii="Garamond" w:hAnsi="Garamond"/>
          <w:sz w:val="22"/>
          <w:szCs w:val="22"/>
        </w:rPr>
        <w:t xml:space="preserve"> the pregnancy remain unscathed. </w:t>
      </w:r>
      <w:r w:rsidR="00055A3F" w:rsidRPr="008472CB">
        <w:rPr>
          <w:rFonts w:ascii="Garamond" w:hAnsi="Garamond"/>
          <w:sz w:val="22"/>
          <w:szCs w:val="22"/>
        </w:rPr>
        <w:t>C</w:t>
      </w:r>
      <w:r w:rsidR="00912D80" w:rsidRPr="008472CB">
        <w:rPr>
          <w:rFonts w:ascii="Garamond" w:hAnsi="Garamond"/>
          <w:sz w:val="22"/>
          <w:szCs w:val="22"/>
        </w:rPr>
        <w:t xml:space="preserve">riminalization </w:t>
      </w:r>
      <w:r w:rsidR="008472CB">
        <w:rPr>
          <w:rFonts w:ascii="Garamond" w:hAnsi="Garamond"/>
          <w:sz w:val="22"/>
          <w:szCs w:val="22"/>
        </w:rPr>
        <w:t xml:space="preserve">also </w:t>
      </w:r>
      <w:r w:rsidR="00055A3F" w:rsidRPr="008472CB">
        <w:rPr>
          <w:rFonts w:ascii="Garamond" w:hAnsi="Garamond"/>
          <w:sz w:val="22"/>
          <w:szCs w:val="22"/>
        </w:rPr>
        <w:t xml:space="preserve">uniquely </w:t>
      </w:r>
      <w:r w:rsidR="00912D80" w:rsidRPr="008472CB">
        <w:rPr>
          <w:rFonts w:ascii="Garamond" w:hAnsi="Garamond"/>
          <w:sz w:val="22"/>
          <w:szCs w:val="22"/>
        </w:rPr>
        <w:t>impacts women</w:t>
      </w:r>
      <w:r w:rsidR="00055A3F" w:rsidRPr="008472CB">
        <w:rPr>
          <w:rFonts w:ascii="Garamond" w:hAnsi="Garamond"/>
          <w:sz w:val="22"/>
          <w:szCs w:val="22"/>
        </w:rPr>
        <w:t xml:space="preserve"> </w:t>
      </w:r>
      <w:r w:rsidR="00912D80" w:rsidRPr="008472CB">
        <w:rPr>
          <w:rFonts w:ascii="Garamond" w:hAnsi="Garamond"/>
          <w:sz w:val="22"/>
          <w:szCs w:val="22"/>
        </w:rPr>
        <w:t>by perpetuating stigma</w:t>
      </w:r>
      <w:r w:rsidR="00055A3F" w:rsidRPr="008472CB">
        <w:rPr>
          <w:rFonts w:ascii="Garamond" w:hAnsi="Garamond"/>
          <w:sz w:val="22"/>
          <w:szCs w:val="22"/>
        </w:rPr>
        <w:t xml:space="preserve"> surrounding women and abortion while</w:t>
      </w:r>
      <w:r w:rsidR="00912D80" w:rsidRPr="008472CB">
        <w:rPr>
          <w:rFonts w:ascii="Garamond" w:hAnsi="Garamond"/>
          <w:sz w:val="22"/>
          <w:szCs w:val="22"/>
        </w:rPr>
        <w:t xml:space="preserve"> depriving them of their privacy</w:t>
      </w:r>
      <w:r w:rsidR="00302021">
        <w:rPr>
          <w:rFonts w:ascii="Garamond" w:hAnsi="Garamond"/>
          <w:sz w:val="22"/>
          <w:szCs w:val="22"/>
        </w:rPr>
        <w:t xml:space="preserve">, </w:t>
      </w:r>
      <w:r w:rsidR="00912D80" w:rsidRPr="008472CB">
        <w:rPr>
          <w:rFonts w:ascii="Garamond" w:hAnsi="Garamond"/>
          <w:sz w:val="22"/>
          <w:szCs w:val="22"/>
        </w:rPr>
        <w:t>self-determination</w:t>
      </w:r>
      <w:r w:rsidR="00302021">
        <w:rPr>
          <w:rFonts w:ascii="Garamond" w:hAnsi="Garamond"/>
          <w:sz w:val="22"/>
          <w:szCs w:val="22"/>
        </w:rPr>
        <w:t>, and autonomous decision-making</w:t>
      </w:r>
      <w:r w:rsidR="00055A3F" w:rsidRPr="008472CB">
        <w:rPr>
          <w:rFonts w:ascii="Garamond" w:hAnsi="Garamond"/>
          <w:sz w:val="22"/>
          <w:szCs w:val="22"/>
        </w:rPr>
        <w:t xml:space="preserve">. </w:t>
      </w:r>
      <w:r w:rsidR="00302021">
        <w:rPr>
          <w:rFonts w:ascii="Garamond" w:hAnsi="Garamond"/>
          <w:sz w:val="22"/>
          <w:szCs w:val="22"/>
        </w:rPr>
        <w:t xml:space="preserve">Malawi is neglecting women’s health needs and failing to provide gender-sensitive and gender-specific healthcare. </w:t>
      </w:r>
      <w:r w:rsidR="00350C8B" w:rsidRPr="008472CB">
        <w:rPr>
          <w:rFonts w:ascii="Garamond" w:hAnsi="Garamond"/>
          <w:sz w:val="22"/>
          <w:szCs w:val="22"/>
        </w:rPr>
        <w:t xml:space="preserve">The </w:t>
      </w:r>
      <w:r w:rsidR="00350C8B" w:rsidRPr="008472CB">
        <w:rPr>
          <w:rFonts w:ascii="Garamond" w:hAnsi="Garamond"/>
          <w:sz w:val="22"/>
          <w:szCs w:val="22"/>
        </w:rPr>
        <w:lastRenderedPageBreak/>
        <w:t>concept of equality cannot be achieved under these circumstances.</w:t>
      </w:r>
      <w:r w:rsidR="00350C8B" w:rsidRPr="00003CF5">
        <w:rPr>
          <w:rFonts w:ascii="Garamond" w:hAnsi="Garamond"/>
          <w:sz w:val="22"/>
          <w:szCs w:val="22"/>
        </w:rPr>
        <w:t xml:space="preserve"> </w:t>
      </w:r>
    </w:p>
    <w:p w14:paraId="0C4BEAED" w14:textId="1D3A98D4" w:rsidR="00B91414" w:rsidRPr="00003CF5" w:rsidRDefault="00803CA0" w:rsidP="00C9095C">
      <w:pPr>
        <w:pStyle w:val="Heading3"/>
        <w:tabs>
          <w:tab w:val="right" w:leader="dot" w:pos="9270"/>
        </w:tabs>
        <w:ind w:left="-360" w:right="-270" w:firstLine="540"/>
        <w:rPr>
          <w:sz w:val="22"/>
          <w:szCs w:val="22"/>
        </w:rPr>
      </w:pPr>
      <w:bookmarkStart w:id="8" w:name="_Toc123043564"/>
      <w:r w:rsidRPr="00003CF5">
        <w:rPr>
          <w:sz w:val="22"/>
          <w:szCs w:val="22"/>
        </w:rPr>
        <w:t>b</w:t>
      </w:r>
      <w:r w:rsidR="001E1A81">
        <w:rPr>
          <w:sz w:val="22"/>
          <w:szCs w:val="22"/>
        </w:rPr>
        <w:t xml:space="preserve">) </w:t>
      </w:r>
      <w:r w:rsidRPr="00003CF5">
        <w:rPr>
          <w:sz w:val="22"/>
          <w:szCs w:val="22"/>
        </w:rPr>
        <w:t>Article 10</w:t>
      </w:r>
      <w:bookmarkEnd w:id="8"/>
    </w:p>
    <w:p w14:paraId="5C0CDE25" w14:textId="0BDC0B0D" w:rsidR="000218EC" w:rsidRPr="00003CF5" w:rsidRDefault="00737A33" w:rsidP="00C9095C">
      <w:pPr>
        <w:widowControl w:val="0"/>
        <w:tabs>
          <w:tab w:val="right" w:leader="dot" w:pos="9270"/>
        </w:tabs>
        <w:spacing w:line="360" w:lineRule="auto"/>
        <w:ind w:left="-360" w:right="-270" w:firstLine="540"/>
        <w:jc w:val="both"/>
        <w:rPr>
          <w:rFonts w:ascii="Garamond" w:hAnsi="Garamond"/>
          <w:sz w:val="22"/>
          <w:szCs w:val="22"/>
        </w:rPr>
      </w:pPr>
      <w:r>
        <w:rPr>
          <w:rFonts w:ascii="Garamond" w:hAnsi="Garamond"/>
          <w:sz w:val="22"/>
          <w:szCs w:val="22"/>
        </w:rPr>
        <w:t>(39</w:t>
      </w:r>
      <w:r w:rsidR="001E1A81">
        <w:rPr>
          <w:rFonts w:ascii="Garamond" w:hAnsi="Garamond"/>
          <w:sz w:val="22"/>
          <w:szCs w:val="22"/>
        </w:rPr>
        <w:t xml:space="preserve">) </w:t>
      </w:r>
      <w:r>
        <w:rPr>
          <w:rFonts w:ascii="Garamond" w:hAnsi="Garamond"/>
          <w:sz w:val="22"/>
          <w:szCs w:val="22"/>
        </w:rPr>
        <w:tab/>
      </w:r>
      <w:r w:rsidR="00961ABA">
        <w:rPr>
          <w:rFonts w:ascii="Garamond" w:hAnsi="Garamond"/>
          <w:sz w:val="22"/>
          <w:szCs w:val="22"/>
        </w:rPr>
        <w:t>Article 10 of the CESCR recognizes that “[t]he widest possible protection and assistance should be accorded to the family.”</w:t>
      </w:r>
      <w:r w:rsidR="002A54D7">
        <w:rPr>
          <w:rStyle w:val="FootnoteReference"/>
          <w:rFonts w:ascii="Garamond" w:hAnsi="Garamond"/>
          <w:sz w:val="22"/>
          <w:szCs w:val="22"/>
        </w:rPr>
        <w:footnoteReference w:id="84"/>
      </w:r>
      <w:r w:rsidR="00961ABA">
        <w:rPr>
          <w:rFonts w:ascii="Garamond" w:hAnsi="Garamond"/>
          <w:sz w:val="22"/>
          <w:szCs w:val="22"/>
        </w:rPr>
        <w:t xml:space="preserve"> Criminalizing abortion harms the family by hindering the</w:t>
      </w:r>
      <w:r w:rsidR="00B91414" w:rsidRPr="00003CF5">
        <w:rPr>
          <w:rFonts w:ascii="Garamond" w:hAnsi="Garamond"/>
          <w:sz w:val="22"/>
          <w:szCs w:val="22"/>
        </w:rPr>
        <w:t xml:space="preserve"> </w:t>
      </w:r>
      <w:r w:rsidR="00961ABA" w:rsidRPr="00961ABA">
        <w:rPr>
          <w:rFonts w:ascii="Garamond" w:hAnsi="Garamond"/>
          <w:sz w:val="22"/>
          <w:szCs w:val="22"/>
        </w:rPr>
        <w:t>r</w:t>
      </w:r>
      <w:r w:rsidR="00B91414" w:rsidRPr="00961ABA">
        <w:rPr>
          <w:rFonts w:ascii="Garamond" w:hAnsi="Garamond"/>
          <w:sz w:val="22"/>
          <w:szCs w:val="22"/>
        </w:rPr>
        <w:t xml:space="preserve">ight to </w:t>
      </w:r>
      <w:r w:rsidR="00B16703" w:rsidRPr="00961ABA">
        <w:rPr>
          <w:rFonts w:ascii="Garamond" w:hAnsi="Garamond"/>
          <w:sz w:val="22"/>
          <w:szCs w:val="22"/>
        </w:rPr>
        <w:t>choose</w:t>
      </w:r>
      <w:r w:rsidR="00B91414" w:rsidRPr="00961ABA">
        <w:rPr>
          <w:rFonts w:ascii="Garamond" w:hAnsi="Garamond"/>
          <w:sz w:val="22"/>
          <w:szCs w:val="22"/>
        </w:rPr>
        <w:t xml:space="preserve"> the number and spacing of children</w:t>
      </w:r>
      <w:r w:rsidR="00F4647E">
        <w:rPr>
          <w:rFonts w:ascii="Garamond" w:hAnsi="Garamond"/>
          <w:sz w:val="22"/>
          <w:szCs w:val="22"/>
        </w:rPr>
        <w:t xml:space="preserve"> and thus,</w:t>
      </w:r>
      <w:r w:rsidR="00B91414" w:rsidRPr="00961ABA">
        <w:rPr>
          <w:rFonts w:ascii="Garamond" w:hAnsi="Garamond"/>
          <w:sz w:val="22"/>
          <w:szCs w:val="22"/>
        </w:rPr>
        <w:t xml:space="preserve"> abortion cannot be a tool for family planning</w:t>
      </w:r>
      <w:r w:rsidR="00961ABA" w:rsidRPr="00961ABA">
        <w:rPr>
          <w:rFonts w:ascii="Garamond" w:hAnsi="Garamond"/>
          <w:sz w:val="22"/>
          <w:szCs w:val="22"/>
        </w:rPr>
        <w:t>.</w:t>
      </w:r>
      <w:r w:rsidR="00253A78">
        <w:rPr>
          <w:rFonts w:ascii="Garamond" w:hAnsi="Garamond"/>
          <w:sz w:val="22"/>
          <w:szCs w:val="22"/>
        </w:rPr>
        <w:t xml:space="preserve"> </w:t>
      </w:r>
      <w:r w:rsidR="00F4647E">
        <w:rPr>
          <w:rFonts w:ascii="Garamond" w:hAnsi="Garamond"/>
          <w:sz w:val="22"/>
          <w:szCs w:val="22"/>
        </w:rPr>
        <w:t>This can lead to unwanted pregnancies and ultimately, unwanted children</w:t>
      </w:r>
      <w:r w:rsidR="00620831">
        <w:rPr>
          <w:rFonts w:ascii="Garamond" w:hAnsi="Garamond"/>
          <w:sz w:val="22"/>
          <w:szCs w:val="22"/>
        </w:rPr>
        <w:t xml:space="preserve"> who may face abuse, abandonment, or even death</w:t>
      </w:r>
      <w:r w:rsidR="00F4647E">
        <w:rPr>
          <w:rFonts w:ascii="Garamond" w:hAnsi="Garamond"/>
          <w:sz w:val="22"/>
          <w:szCs w:val="22"/>
        </w:rPr>
        <w:t>.</w:t>
      </w:r>
      <w:r w:rsidR="00F4647E">
        <w:rPr>
          <w:rStyle w:val="FootnoteReference"/>
          <w:rFonts w:ascii="Garamond" w:hAnsi="Garamond"/>
          <w:sz w:val="22"/>
          <w:szCs w:val="22"/>
        </w:rPr>
        <w:footnoteReference w:id="85"/>
      </w:r>
      <w:r w:rsidR="00253A78">
        <w:rPr>
          <w:rFonts w:ascii="Garamond" w:hAnsi="Garamond"/>
          <w:sz w:val="22"/>
          <w:szCs w:val="22"/>
        </w:rPr>
        <w:t xml:space="preserve"> Often the decision of whether to use contraceptive methods lies with the husband while wives are expected to continue to have more children.</w:t>
      </w:r>
      <w:r w:rsidR="00253A78">
        <w:rPr>
          <w:rStyle w:val="FootnoteReference"/>
          <w:rFonts w:ascii="Garamond" w:hAnsi="Garamond"/>
          <w:sz w:val="22"/>
          <w:szCs w:val="22"/>
        </w:rPr>
        <w:footnoteReference w:id="86"/>
      </w:r>
      <w:r w:rsidR="00253A78">
        <w:rPr>
          <w:rFonts w:ascii="Garamond" w:hAnsi="Garamond"/>
          <w:sz w:val="22"/>
          <w:szCs w:val="22"/>
        </w:rPr>
        <w:t xml:space="preserve"> </w:t>
      </w:r>
      <w:r w:rsidR="00E36A0A">
        <w:rPr>
          <w:rFonts w:ascii="Garamond" w:hAnsi="Garamond"/>
          <w:sz w:val="22"/>
          <w:szCs w:val="22"/>
        </w:rPr>
        <w:t>A</w:t>
      </w:r>
      <w:r w:rsidR="00253A78">
        <w:rPr>
          <w:rFonts w:ascii="Garamond" w:hAnsi="Garamond"/>
          <w:sz w:val="22"/>
          <w:szCs w:val="22"/>
        </w:rPr>
        <w:t xml:space="preserve">bortion is </w:t>
      </w:r>
      <w:r w:rsidR="00E36A0A">
        <w:rPr>
          <w:rFonts w:ascii="Garamond" w:hAnsi="Garamond"/>
          <w:sz w:val="22"/>
          <w:szCs w:val="22"/>
        </w:rPr>
        <w:t>necessary</w:t>
      </w:r>
      <w:r w:rsidR="00253A78">
        <w:rPr>
          <w:rFonts w:ascii="Garamond" w:hAnsi="Garamond"/>
          <w:sz w:val="22"/>
          <w:szCs w:val="22"/>
        </w:rPr>
        <w:t xml:space="preserve"> </w:t>
      </w:r>
      <w:r w:rsidR="00E36A0A">
        <w:rPr>
          <w:rFonts w:ascii="Garamond" w:hAnsi="Garamond"/>
          <w:sz w:val="22"/>
          <w:szCs w:val="22"/>
        </w:rPr>
        <w:t>to</w:t>
      </w:r>
      <w:r w:rsidR="00253A78">
        <w:rPr>
          <w:rFonts w:ascii="Garamond" w:hAnsi="Garamond"/>
          <w:sz w:val="22"/>
          <w:szCs w:val="22"/>
        </w:rPr>
        <w:t xml:space="preserve"> </w:t>
      </w:r>
      <w:r w:rsidR="00E36A0A">
        <w:rPr>
          <w:rFonts w:ascii="Garamond" w:hAnsi="Garamond"/>
          <w:sz w:val="22"/>
          <w:szCs w:val="22"/>
        </w:rPr>
        <w:t>provide a means for</w:t>
      </w:r>
      <w:r w:rsidR="00253A78">
        <w:rPr>
          <w:rFonts w:ascii="Garamond" w:hAnsi="Garamond"/>
          <w:sz w:val="22"/>
          <w:szCs w:val="22"/>
        </w:rPr>
        <w:t xml:space="preserve"> women </w:t>
      </w:r>
      <w:r w:rsidR="00E36A0A">
        <w:rPr>
          <w:rFonts w:ascii="Garamond" w:hAnsi="Garamond"/>
          <w:sz w:val="22"/>
          <w:szCs w:val="22"/>
        </w:rPr>
        <w:t>to control these decisions</w:t>
      </w:r>
      <w:r w:rsidR="00253A78">
        <w:rPr>
          <w:rFonts w:ascii="Garamond" w:hAnsi="Garamond"/>
          <w:sz w:val="22"/>
          <w:szCs w:val="22"/>
        </w:rPr>
        <w:t>.</w:t>
      </w:r>
    </w:p>
    <w:p w14:paraId="6E867E8D" w14:textId="404189BB" w:rsidR="00B91414" w:rsidRPr="00003CF5" w:rsidRDefault="00803CA0" w:rsidP="00C9095C">
      <w:pPr>
        <w:pStyle w:val="Heading3"/>
        <w:tabs>
          <w:tab w:val="right" w:leader="dot" w:pos="9270"/>
        </w:tabs>
        <w:ind w:left="-360" w:right="-270" w:firstLine="540"/>
        <w:rPr>
          <w:sz w:val="22"/>
          <w:szCs w:val="22"/>
        </w:rPr>
      </w:pPr>
      <w:bookmarkStart w:id="9" w:name="_Toc123043565"/>
      <w:r w:rsidRPr="00003CF5">
        <w:rPr>
          <w:sz w:val="22"/>
          <w:szCs w:val="22"/>
        </w:rPr>
        <w:t>c</w:t>
      </w:r>
      <w:r w:rsidR="001E1A81">
        <w:rPr>
          <w:sz w:val="22"/>
          <w:szCs w:val="22"/>
        </w:rPr>
        <w:t xml:space="preserve">) </w:t>
      </w:r>
      <w:r w:rsidRPr="00003CF5">
        <w:rPr>
          <w:rStyle w:val="Heading3Char"/>
          <w:sz w:val="22"/>
          <w:szCs w:val="22"/>
        </w:rPr>
        <w:t>Article 12</w:t>
      </w:r>
      <w:bookmarkEnd w:id="9"/>
    </w:p>
    <w:p w14:paraId="38B1EB2C" w14:textId="5AF0E4E6" w:rsidR="00B91414" w:rsidRPr="00003CF5" w:rsidRDefault="00B91414" w:rsidP="00C9095C">
      <w:pPr>
        <w:widowControl w:val="0"/>
        <w:tabs>
          <w:tab w:val="right" w:leader="dot" w:pos="9270"/>
        </w:tabs>
        <w:spacing w:line="360" w:lineRule="auto"/>
        <w:ind w:left="-360" w:right="-270" w:firstLine="540"/>
        <w:jc w:val="both"/>
        <w:rPr>
          <w:rFonts w:ascii="Garamond" w:hAnsi="Garamond"/>
          <w:sz w:val="22"/>
          <w:szCs w:val="22"/>
        </w:rPr>
      </w:pPr>
      <w:r w:rsidRPr="00003CF5">
        <w:rPr>
          <w:rFonts w:ascii="Garamond" w:hAnsi="Garamond"/>
          <w:sz w:val="22"/>
          <w:szCs w:val="22"/>
        </w:rPr>
        <w:t>(</w:t>
      </w:r>
      <w:r w:rsidR="00737A33">
        <w:rPr>
          <w:rFonts w:ascii="Garamond" w:hAnsi="Garamond"/>
          <w:sz w:val="22"/>
          <w:szCs w:val="22"/>
        </w:rPr>
        <w:t>40</w:t>
      </w:r>
      <w:r w:rsidR="001E1A81">
        <w:rPr>
          <w:rFonts w:ascii="Garamond" w:hAnsi="Garamond"/>
          <w:sz w:val="22"/>
          <w:szCs w:val="22"/>
        </w:rPr>
        <w:t xml:space="preserve">) </w:t>
      </w:r>
      <w:r w:rsidRPr="00003CF5">
        <w:rPr>
          <w:rFonts w:ascii="Garamond" w:hAnsi="Garamond"/>
          <w:sz w:val="22"/>
          <w:szCs w:val="22"/>
        </w:rPr>
        <w:tab/>
        <w:t>Article 12 of the CESCR recognizes "the right of everyone to the enjoyment of the highest attainable standard of physical and mental health."</w:t>
      </w:r>
      <w:r w:rsidR="00E8208F">
        <w:rPr>
          <w:rStyle w:val="FootnoteReference"/>
          <w:rFonts w:ascii="Garamond" w:hAnsi="Garamond"/>
          <w:sz w:val="22"/>
          <w:szCs w:val="22"/>
        </w:rPr>
        <w:footnoteReference w:id="87"/>
      </w:r>
      <w:r w:rsidRPr="00003CF5">
        <w:rPr>
          <w:rFonts w:ascii="Garamond" w:hAnsi="Garamond"/>
          <w:sz w:val="22"/>
          <w:szCs w:val="22"/>
        </w:rPr>
        <w:t xml:space="preserve"> </w:t>
      </w:r>
      <w:r w:rsidR="00B16703" w:rsidRPr="00003CF5">
        <w:rPr>
          <w:rFonts w:ascii="Garamond" w:hAnsi="Garamond"/>
          <w:sz w:val="22"/>
          <w:szCs w:val="22"/>
        </w:rPr>
        <w:t>T</w:t>
      </w:r>
      <w:r w:rsidRPr="00003CF5">
        <w:rPr>
          <w:rFonts w:ascii="Garamond" w:hAnsi="Garamond"/>
          <w:sz w:val="22"/>
          <w:szCs w:val="22"/>
        </w:rPr>
        <w:t>he right to health includes a right to sexual health. Th</w:t>
      </w:r>
      <w:r w:rsidR="00B16703" w:rsidRPr="00003CF5">
        <w:rPr>
          <w:rFonts w:ascii="Garamond" w:hAnsi="Garamond"/>
          <w:sz w:val="22"/>
          <w:szCs w:val="22"/>
        </w:rPr>
        <w:t>is</w:t>
      </w:r>
      <w:r w:rsidRPr="00003CF5">
        <w:rPr>
          <w:rFonts w:ascii="Garamond" w:hAnsi="Garamond"/>
          <w:sz w:val="22"/>
          <w:szCs w:val="22"/>
        </w:rPr>
        <w:t xml:space="preserve"> Committee has said as much in General Comment </w:t>
      </w:r>
      <w:r w:rsidR="00B16703" w:rsidRPr="00003CF5">
        <w:rPr>
          <w:rFonts w:ascii="Garamond" w:hAnsi="Garamond"/>
          <w:sz w:val="22"/>
          <w:szCs w:val="22"/>
        </w:rPr>
        <w:t>14, when it stated that</w:t>
      </w:r>
      <w:r w:rsidRPr="00003CF5">
        <w:rPr>
          <w:rFonts w:ascii="Garamond" w:hAnsi="Garamond"/>
          <w:sz w:val="22"/>
          <w:szCs w:val="22"/>
        </w:rPr>
        <w:t xml:space="preserve"> “</w:t>
      </w:r>
      <w:r w:rsidR="00B16703" w:rsidRPr="00003CF5">
        <w:rPr>
          <w:rFonts w:ascii="Garamond" w:hAnsi="Garamond"/>
          <w:sz w:val="22"/>
          <w:szCs w:val="22"/>
        </w:rPr>
        <w:t>[t]</w:t>
      </w:r>
      <w:r w:rsidRPr="00003CF5">
        <w:rPr>
          <w:rFonts w:ascii="Garamond" w:hAnsi="Garamond"/>
          <w:sz w:val="22"/>
          <w:szCs w:val="22"/>
        </w:rPr>
        <w:t>he right to health contains both freedoms and entitlements…. including sexual and reproductive freedom.”</w:t>
      </w:r>
      <w:r w:rsidRPr="00003CF5">
        <w:rPr>
          <w:rStyle w:val="FootnoteReference"/>
          <w:rFonts w:ascii="Garamond" w:hAnsi="Garamond"/>
          <w:sz w:val="22"/>
          <w:szCs w:val="22"/>
        </w:rPr>
        <w:footnoteReference w:id="88"/>
      </w:r>
      <w:r w:rsidRPr="00003CF5">
        <w:rPr>
          <w:rFonts w:ascii="Garamond" w:hAnsi="Garamond"/>
          <w:sz w:val="22"/>
          <w:szCs w:val="22"/>
        </w:rPr>
        <w:t xml:space="preserve"> </w:t>
      </w:r>
    </w:p>
    <w:p w14:paraId="1C97CBE1" w14:textId="6166D035" w:rsidR="00B91414" w:rsidRPr="00003CF5" w:rsidRDefault="00B91414" w:rsidP="00C9095C">
      <w:pPr>
        <w:widowControl w:val="0"/>
        <w:tabs>
          <w:tab w:val="right" w:leader="dot" w:pos="9270"/>
        </w:tabs>
        <w:spacing w:line="360" w:lineRule="auto"/>
        <w:ind w:left="-360" w:right="-270" w:firstLine="540"/>
        <w:jc w:val="both"/>
        <w:rPr>
          <w:rFonts w:ascii="Garamond" w:hAnsi="Garamond"/>
          <w:sz w:val="22"/>
          <w:szCs w:val="22"/>
        </w:rPr>
      </w:pPr>
      <w:r w:rsidRPr="00003CF5">
        <w:rPr>
          <w:rFonts w:ascii="Garamond" w:hAnsi="Garamond"/>
          <w:sz w:val="22"/>
          <w:szCs w:val="22"/>
        </w:rPr>
        <w:t>(4</w:t>
      </w:r>
      <w:r w:rsidR="00737A33">
        <w:rPr>
          <w:rFonts w:ascii="Garamond" w:hAnsi="Garamond"/>
          <w:sz w:val="22"/>
          <w:szCs w:val="22"/>
        </w:rPr>
        <w:t>1</w:t>
      </w:r>
      <w:r w:rsidR="001E1A81">
        <w:rPr>
          <w:rFonts w:ascii="Garamond" w:hAnsi="Garamond"/>
          <w:sz w:val="22"/>
          <w:szCs w:val="22"/>
        </w:rPr>
        <w:t xml:space="preserve">) </w:t>
      </w:r>
      <w:r w:rsidRPr="00003CF5">
        <w:rPr>
          <w:rFonts w:ascii="Garamond" w:hAnsi="Garamond"/>
          <w:sz w:val="22"/>
          <w:szCs w:val="22"/>
        </w:rPr>
        <w:tab/>
        <w:t xml:space="preserve">Forcing women to carry a pregnancy under threat of criminal punishment can </w:t>
      </w:r>
      <w:r w:rsidR="00B16703" w:rsidRPr="00003CF5">
        <w:rPr>
          <w:rFonts w:ascii="Garamond" w:hAnsi="Garamond"/>
          <w:sz w:val="22"/>
          <w:szCs w:val="22"/>
        </w:rPr>
        <w:t>have</w:t>
      </w:r>
      <w:r w:rsidRPr="00003CF5">
        <w:rPr>
          <w:rFonts w:ascii="Garamond" w:hAnsi="Garamond"/>
          <w:sz w:val="22"/>
          <w:szCs w:val="22"/>
        </w:rPr>
        <w:t xml:space="preserve"> adverse mental and physical health implications. Unintended childbearing can be harmful to women’s wellbeing.</w:t>
      </w:r>
      <w:r w:rsidRPr="00003CF5">
        <w:rPr>
          <w:rStyle w:val="FootnoteReference"/>
          <w:rFonts w:ascii="Garamond" w:hAnsi="Garamond"/>
          <w:sz w:val="22"/>
          <w:szCs w:val="22"/>
        </w:rPr>
        <w:footnoteReference w:id="89"/>
      </w:r>
      <w:r w:rsidRPr="00003CF5">
        <w:rPr>
          <w:rFonts w:ascii="Garamond" w:hAnsi="Garamond"/>
          <w:sz w:val="22"/>
          <w:szCs w:val="22"/>
        </w:rPr>
        <w:t xml:space="preserve"> The American Psychological Association recognizes the bounty of research dating back decades establishing harm to women’s mental health when abortion is outlawed.</w:t>
      </w:r>
      <w:r w:rsidRPr="00003CF5">
        <w:rPr>
          <w:rStyle w:val="FootnoteReference"/>
          <w:rFonts w:ascii="Garamond" w:hAnsi="Garamond"/>
          <w:sz w:val="22"/>
          <w:szCs w:val="22"/>
        </w:rPr>
        <w:footnoteReference w:id="90"/>
      </w:r>
      <w:r w:rsidRPr="00003CF5">
        <w:rPr>
          <w:rFonts w:ascii="Garamond" w:hAnsi="Garamond"/>
          <w:sz w:val="22"/>
          <w:szCs w:val="22"/>
        </w:rPr>
        <w:t xml:space="preserve"> For example, births occurring earlier than desired can lead to an eventual health decline and result in higher rates of postpartum depression.</w:t>
      </w:r>
      <w:r w:rsidRPr="00003CF5">
        <w:rPr>
          <w:rStyle w:val="FootnoteReference"/>
          <w:rFonts w:ascii="Garamond" w:hAnsi="Garamond"/>
          <w:sz w:val="22"/>
          <w:szCs w:val="22"/>
        </w:rPr>
        <w:footnoteReference w:id="91"/>
      </w:r>
    </w:p>
    <w:p w14:paraId="067548DD" w14:textId="0A8A2A0F" w:rsidR="00B91414" w:rsidRPr="00003CF5" w:rsidRDefault="00B91414" w:rsidP="00C9095C">
      <w:pPr>
        <w:widowControl w:val="0"/>
        <w:tabs>
          <w:tab w:val="right" w:leader="dot" w:pos="9270"/>
        </w:tabs>
        <w:spacing w:line="360" w:lineRule="auto"/>
        <w:ind w:left="-360" w:right="-270" w:firstLine="540"/>
        <w:jc w:val="both"/>
        <w:rPr>
          <w:rFonts w:ascii="Garamond" w:hAnsi="Garamond"/>
          <w:sz w:val="22"/>
          <w:szCs w:val="22"/>
        </w:rPr>
      </w:pPr>
      <w:r w:rsidRPr="00003CF5">
        <w:rPr>
          <w:rFonts w:ascii="Garamond" w:hAnsi="Garamond"/>
          <w:sz w:val="22"/>
          <w:szCs w:val="22"/>
        </w:rPr>
        <w:t>(</w:t>
      </w:r>
      <w:r w:rsidR="00737A33">
        <w:rPr>
          <w:rFonts w:ascii="Garamond" w:hAnsi="Garamond"/>
          <w:sz w:val="22"/>
          <w:szCs w:val="22"/>
        </w:rPr>
        <w:t>42</w:t>
      </w:r>
      <w:r w:rsidR="001E1A81">
        <w:rPr>
          <w:rFonts w:ascii="Garamond" w:hAnsi="Garamond"/>
          <w:sz w:val="22"/>
          <w:szCs w:val="22"/>
        </w:rPr>
        <w:t xml:space="preserve">) </w:t>
      </w:r>
      <w:r w:rsidRPr="00003CF5">
        <w:rPr>
          <w:rFonts w:ascii="Garamond" w:hAnsi="Garamond"/>
          <w:sz w:val="22"/>
          <w:szCs w:val="22"/>
        </w:rPr>
        <w:tab/>
        <w:t xml:space="preserve">This Committee has already given States guidance as to the correct approaches </w:t>
      </w:r>
      <w:r w:rsidR="00B16703" w:rsidRPr="00003CF5">
        <w:rPr>
          <w:rFonts w:ascii="Garamond" w:hAnsi="Garamond"/>
          <w:sz w:val="22"/>
          <w:szCs w:val="22"/>
        </w:rPr>
        <w:t>they</w:t>
      </w:r>
      <w:r w:rsidRPr="00003CF5">
        <w:rPr>
          <w:rFonts w:ascii="Garamond" w:hAnsi="Garamond"/>
          <w:sz w:val="22"/>
          <w:szCs w:val="22"/>
        </w:rPr>
        <w:t xml:space="preserve"> can take to realize the right to health, including </w:t>
      </w:r>
      <w:r w:rsidR="00B16703" w:rsidRPr="00003CF5">
        <w:rPr>
          <w:rFonts w:ascii="Garamond" w:hAnsi="Garamond"/>
          <w:sz w:val="22"/>
          <w:szCs w:val="22"/>
        </w:rPr>
        <w:t xml:space="preserve">implementing </w:t>
      </w:r>
      <w:r w:rsidRPr="00003CF5">
        <w:rPr>
          <w:rFonts w:ascii="Garamond" w:hAnsi="Garamond"/>
          <w:sz w:val="22"/>
          <w:szCs w:val="22"/>
        </w:rPr>
        <w:t>health programs developed by the World Health Organization (WHO</w:t>
      </w:r>
      <w:r w:rsidR="001E1A81">
        <w:rPr>
          <w:rFonts w:ascii="Garamond" w:hAnsi="Garamond"/>
          <w:sz w:val="22"/>
          <w:szCs w:val="22"/>
        </w:rPr>
        <w:t xml:space="preserve">) </w:t>
      </w:r>
      <w:r w:rsidRPr="00003CF5">
        <w:rPr>
          <w:rFonts w:ascii="Garamond" w:hAnsi="Garamond"/>
          <w:sz w:val="22"/>
          <w:szCs w:val="22"/>
        </w:rPr>
        <w:t>.</w:t>
      </w:r>
      <w:r w:rsidRPr="00003CF5">
        <w:rPr>
          <w:rStyle w:val="FootnoteReference"/>
          <w:rFonts w:ascii="Garamond" w:hAnsi="Garamond"/>
          <w:sz w:val="22"/>
          <w:szCs w:val="22"/>
        </w:rPr>
        <w:footnoteReference w:id="92"/>
      </w:r>
      <w:r w:rsidRPr="00003CF5">
        <w:rPr>
          <w:rFonts w:ascii="Garamond" w:hAnsi="Garamond"/>
          <w:sz w:val="22"/>
          <w:szCs w:val="22"/>
        </w:rPr>
        <w:t xml:space="preserve"> The WHO recommends “removing medically unnecessary policy barriers to safe abortion, such as criminalization,” and acknowledges the dangers such policies can inflict on pregnant women including putting them at “greater risk of unsafe abortion, stigmatization, and health complications.” The WHO also recognizes that abortion restrictions will not lower </w:t>
      </w:r>
      <w:r w:rsidRPr="00003CF5">
        <w:rPr>
          <w:rFonts w:ascii="Garamond" w:hAnsi="Garamond"/>
          <w:sz w:val="22"/>
          <w:szCs w:val="22"/>
        </w:rPr>
        <w:lastRenderedPageBreak/>
        <w:t>the abortion rate, but instead lead women to seek unsafe abortion procedures which can ultimately harm their health.</w:t>
      </w:r>
      <w:r w:rsidRPr="00003CF5">
        <w:rPr>
          <w:rStyle w:val="FootnoteReference"/>
          <w:rFonts w:ascii="Garamond" w:hAnsi="Garamond"/>
          <w:sz w:val="22"/>
          <w:szCs w:val="22"/>
        </w:rPr>
        <w:footnoteReference w:id="93"/>
      </w:r>
      <w:r w:rsidRPr="00003CF5">
        <w:rPr>
          <w:rFonts w:ascii="Garamond" w:hAnsi="Garamond"/>
          <w:sz w:val="22"/>
          <w:szCs w:val="22"/>
        </w:rPr>
        <w:t xml:space="preserve"> Malawi’s </w:t>
      </w:r>
      <w:r w:rsidR="00C9095C">
        <w:rPr>
          <w:rFonts w:ascii="Garamond" w:hAnsi="Garamond"/>
          <w:sz w:val="22"/>
          <w:szCs w:val="22"/>
        </w:rPr>
        <w:t>P</w:t>
      </w:r>
      <w:r w:rsidR="00C9095C" w:rsidRPr="00003CF5">
        <w:rPr>
          <w:rFonts w:ascii="Garamond" w:hAnsi="Garamond"/>
          <w:sz w:val="22"/>
          <w:szCs w:val="22"/>
        </w:rPr>
        <w:t xml:space="preserve">enal </w:t>
      </w:r>
      <w:r w:rsidR="00C9095C">
        <w:rPr>
          <w:rFonts w:ascii="Garamond" w:hAnsi="Garamond"/>
          <w:sz w:val="22"/>
          <w:szCs w:val="22"/>
        </w:rPr>
        <w:t>C</w:t>
      </w:r>
      <w:r w:rsidRPr="00003CF5">
        <w:rPr>
          <w:rFonts w:ascii="Garamond" w:hAnsi="Garamond"/>
          <w:sz w:val="22"/>
          <w:szCs w:val="22"/>
        </w:rPr>
        <w:t>ode deters access to abortions and forces women to obtain abortions outside of a clean, controlled medical setting. As a wealth of research illustrates, this often results in complications and even death.</w:t>
      </w:r>
      <w:r w:rsidRPr="00003CF5">
        <w:rPr>
          <w:rStyle w:val="FootnoteReference"/>
          <w:rFonts w:ascii="Garamond" w:hAnsi="Garamond"/>
          <w:sz w:val="22"/>
          <w:szCs w:val="22"/>
        </w:rPr>
        <w:footnoteReference w:id="94"/>
      </w:r>
      <w:r w:rsidRPr="00003CF5">
        <w:rPr>
          <w:rFonts w:ascii="Garamond" w:hAnsi="Garamond"/>
          <w:sz w:val="22"/>
          <w:szCs w:val="22"/>
        </w:rPr>
        <w:t xml:space="preserve"> </w:t>
      </w:r>
    </w:p>
    <w:p w14:paraId="5C78FCC2" w14:textId="55CC3DF0" w:rsidR="00B91414" w:rsidRPr="00003CF5" w:rsidRDefault="00B91414" w:rsidP="00C9095C">
      <w:pPr>
        <w:widowControl w:val="0"/>
        <w:tabs>
          <w:tab w:val="right" w:leader="dot" w:pos="9270"/>
        </w:tabs>
        <w:spacing w:line="360" w:lineRule="auto"/>
        <w:ind w:left="-360" w:right="-270" w:firstLine="540"/>
        <w:jc w:val="both"/>
        <w:rPr>
          <w:rFonts w:ascii="Garamond" w:hAnsi="Garamond"/>
          <w:sz w:val="22"/>
          <w:szCs w:val="22"/>
        </w:rPr>
      </w:pPr>
      <w:r w:rsidRPr="00003CF5">
        <w:rPr>
          <w:rFonts w:ascii="Garamond" w:hAnsi="Garamond"/>
          <w:sz w:val="22"/>
          <w:szCs w:val="22"/>
        </w:rPr>
        <w:t>(</w:t>
      </w:r>
      <w:r w:rsidR="00737A33">
        <w:rPr>
          <w:rFonts w:ascii="Garamond" w:hAnsi="Garamond"/>
          <w:sz w:val="22"/>
          <w:szCs w:val="22"/>
        </w:rPr>
        <w:t>43</w:t>
      </w:r>
      <w:r w:rsidR="001E1A81">
        <w:rPr>
          <w:rFonts w:ascii="Garamond" w:hAnsi="Garamond"/>
          <w:sz w:val="22"/>
          <w:szCs w:val="22"/>
        </w:rPr>
        <w:t xml:space="preserve">) </w:t>
      </w:r>
      <w:r w:rsidRPr="00003CF5">
        <w:rPr>
          <w:rFonts w:ascii="Garamond" w:hAnsi="Garamond"/>
          <w:sz w:val="22"/>
          <w:szCs w:val="22"/>
        </w:rPr>
        <w:tab/>
        <w:t xml:space="preserve">Although in General Comment 22 </w:t>
      </w:r>
      <w:r w:rsidR="00B16703" w:rsidRPr="00003CF5">
        <w:rPr>
          <w:rFonts w:ascii="Garamond" w:hAnsi="Garamond"/>
          <w:sz w:val="22"/>
          <w:szCs w:val="22"/>
        </w:rPr>
        <w:t>this</w:t>
      </w:r>
      <w:r w:rsidRPr="00003CF5">
        <w:rPr>
          <w:rFonts w:ascii="Garamond" w:hAnsi="Garamond"/>
          <w:sz w:val="22"/>
          <w:szCs w:val="22"/>
        </w:rPr>
        <w:t xml:space="preserve"> Committee recognized that the full realization of the goal to guarantee the right to reproductive health is a duty to be discharged progressively, there are steps </w:t>
      </w:r>
      <w:r w:rsidR="00503518">
        <w:rPr>
          <w:rFonts w:ascii="Garamond" w:hAnsi="Garamond"/>
          <w:sz w:val="22"/>
          <w:szCs w:val="22"/>
        </w:rPr>
        <w:t xml:space="preserve">that </w:t>
      </w:r>
      <w:r w:rsidRPr="00003CF5">
        <w:rPr>
          <w:rFonts w:ascii="Garamond" w:hAnsi="Garamond"/>
          <w:sz w:val="22"/>
          <w:szCs w:val="22"/>
        </w:rPr>
        <w:t>can and must be taken immediately, or within a reasonably short period of time, including repealing or reforming laws that “nullify or impair the ability” to realize reproductive health.</w:t>
      </w:r>
      <w:r w:rsidRPr="00003CF5">
        <w:rPr>
          <w:rStyle w:val="FootnoteReference"/>
          <w:rFonts w:ascii="Garamond" w:hAnsi="Garamond"/>
          <w:sz w:val="22"/>
          <w:szCs w:val="22"/>
        </w:rPr>
        <w:footnoteReference w:id="95"/>
      </w:r>
      <w:r w:rsidRPr="00003CF5">
        <w:rPr>
          <w:rFonts w:ascii="Garamond" w:hAnsi="Garamond"/>
          <w:sz w:val="22"/>
          <w:szCs w:val="22"/>
        </w:rPr>
        <w:t xml:space="preserve"> </w:t>
      </w:r>
    </w:p>
    <w:p w14:paraId="2975FDEB" w14:textId="2A1389CA" w:rsidR="005B5071" w:rsidRPr="00003CF5" w:rsidRDefault="00B91414" w:rsidP="00C9095C">
      <w:pPr>
        <w:widowControl w:val="0"/>
        <w:tabs>
          <w:tab w:val="right" w:leader="dot" w:pos="9270"/>
        </w:tabs>
        <w:spacing w:line="360" w:lineRule="auto"/>
        <w:ind w:left="-360" w:right="-270" w:firstLine="540"/>
        <w:jc w:val="both"/>
        <w:rPr>
          <w:rFonts w:ascii="Garamond" w:hAnsi="Garamond"/>
          <w:sz w:val="22"/>
          <w:szCs w:val="22"/>
        </w:rPr>
      </w:pPr>
      <w:r w:rsidRPr="00003CF5">
        <w:rPr>
          <w:rFonts w:ascii="Garamond" w:hAnsi="Garamond"/>
          <w:sz w:val="22"/>
          <w:szCs w:val="22"/>
        </w:rPr>
        <w:t>(4</w:t>
      </w:r>
      <w:r w:rsidR="00737A33">
        <w:rPr>
          <w:rFonts w:ascii="Garamond" w:hAnsi="Garamond"/>
          <w:sz w:val="22"/>
          <w:szCs w:val="22"/>
        </w:rPr>
        <w:t>4</w:t>
      </w:r>
      <w:r w:rsidR="001E1A81">
        <w:rPr>
          <w:rFonts w:ascii="Garamond" w:hAnsi="Garamond"/>
          <w:sz w:val="22"/>
          <w:szCs w:val="22"/>
        </w:rPr>
        <w:t xml:space="preserve">) </w:t>
      </w:r>
      <w:r w:rsidRPr="00003CF5">
        <w:rPr>
          <w:rFonts w:ascii="Garamond" w:hAnsi="Garamond"/>
          <w:sz w:val="22"/>
          <w:szCs w:val="22"/>
        </w:rPr>
        <w:tab/>
        <w:t xml:space="preserve">The </w:t>
      </w:r>
      <w:r w:rsidR="00B16703" w:rsidRPr="00003CF5">
        <w:rPr>
          <w:rFonts w:ascii="Garamond" w:hAnsi="Garamond"/>
          <w:sz w:val="22"/>
          <w:szCs w:val="22"/>
        </w:rPr>
        <w:t xml:space="preserve">general </w:t>
      </w:r>
      <w:r w:rsidRPr="00003CF5">
        <w:rPr>
          <w:rFonts w:ascii="Garamond" w:hAnsi="Garamond"/>
          <w:sz w:val="22"/>
          <w:szCs w:val="22"/>
        </w:rPr>
        <w:t xml:space="preserve">criminalization of abortion deters </w:t>
      </w:r>
      <w:r w:rsidR="00FF1F50">
        <w:rPr>
          <w:rFonts w:ascii="Garamond" w:hAnsi="Garamond"/>
          <w:sz w:val="22"/>
          <w:szCs w:val="22"/>
        </w:rPr>
        <w:t>health providers</w:t>
      </w:r>
      <w:r w:rsidRPr="00003CF5">
        <w:rPr>
          <w:rFonts w:ascii="Garamond" w:hAnsi="Garamond"/>
          <w:sz w:val="22"/>
          <w:szCs w:val="22"/>
        </w:rPr>
        <w:t xml:space="preserve"> from </w:t>
      </w:r>
      <w:r w:rsidR="00B16703" w:rsidRPr="00003CF5">
        <w:rPr>
          <w:rFonts w:ascii="Garamond" w:hAnsi="Garamond"/>
          <w:sz w:val="22"/>
          <w:szCs w:val="22"/>
        </w:rPr>
        <w:t>performing</w:t>
      </w:r>
      <w:r w:rsidRPr="00003CF5">
        <w:rPr>
          <w:rFonts w:ascii="Garamond" w:hAnsi="Garamond"/>
          <w:sz w:val="22"/>
          <w:szCs w:val="22"/>
        </w:rPr>
        <w:t xml:space="preserve"> it, even when the law would allow </w:t>
      </w:r>
      <w:r w:rsidR="00B16703" w:rsidRPr="00003CF5">
        <w:rPr>
          <w:rFonts w:ascii="Garamond" w:hAnsi="Garamond"/>
          <w:sz w:val="22"/>
          <w:szCs w:val="22"/>
        </w:rPr>
        <w:t>them</w:t>
      </w:r>
      <w:r w:rsidRPr="00003CF5">
        <w:rPr>
          <w:rFonts w:ascii="Garamond" w:hAnsi="Garamond"/>
          <w:sz w:val="22"/>
          <w:szCs w:val="22"/>
        </w:rPr>
        <w:t xml:space="preserve"> to do it.</w:t>
      </w:r>
      <w:r w:rsidRPr="00003CF5">
        <w:rPr>
          <w:rStyle w:val="FootnoteReference"/>
          <w:rFonts w:ascii="Garamond" w:hAnsi="Garamond"/>
          <w:sz w:val="22"/>
          <w:szCs w:val="22"/>
        </w:rPr>
        <w:footnoteReference w:id="96"/>
      </w:r>
      <w:r w:rsidRPr="00003CF5">
        <w:rPr>
          <w:rFonts w:ascii="Garamond" w:hAnsi="Garamond"/>
          <w:sz w:val="22"/>
          <w:szCs w:val="22"/>
        </w:rPr>
        <w:t xml:space="preserve"> This compels women and girls to seek help from unskilled providers</w:t>
      </w:r>
      <w:r w:rsidR="00B16703" w:rsidRPr="00003CF5">
        <w:rPr>
          <w:rFonts w:ascii="Garamond" w:hAnsi="Garamond"/>
          <w:sz w:val="22"/>
          <w:szCs w:val="22"/>
        </w:rPr>
        <w:t>,</w:t>
      </w:r>
      <w:r w:rsidRPr="00003CF5">
        <w:rPr>
          <w:rStyle w:val="FootnoteReference"/>
          <w:rFonts w:ascii="Garamond" w:hAnsi="Garamond"/>
          <w:sz w:val="22"/>
          <w:szCs w:val="22"/>
        </w:rPr>
        <w:footnoteReference w:id="97"/>
      </w:r>
      <w:r w:rsidRPr="00003CF5">
        <w:rPr>
          <w:rFonts w:ascii="Garamond" w:hAnsi="Garamond"/>
          <w:sz w:val="22"/>
          <w:szCs w:val="22"/>
        </w:rPr>
        <w:t xml:space="preserve"> who lack adequate medical training</w:t>
      </w:r>
      <w:r w:rsidR="005B5071" w:rsidRPr="00003CF5">
        <w:rPr>
          <w:rFonts w:ascii="Garamond" w:hAnsi="Garamond"/>
          <w:sz w:val="22"/>
          <w:szCs w:val="22"/>
        </w:rPr>
        <w:t>,</w:t>
      </w:r>
      <w:r w:rsidRPr="00003CF5">
        <w:rPr>
          <w:rFonts w:ascii="Garamond" w:hAnsi="Garamond"/>
          <w:sz w:val="22"/>
          <w:szCs w:val="22"/>
        </w:rPr>
        <w:t xml:space="preserve"> put</w:t>
      </w:r>
      <w:r w:rsidR="005B5071" w:rsidRPr="00003CF5">
        <w:rPr>
          <w:rFonts w:ascii="Garamond" w:hAnsi="Garamond"/>
          <w:sz w:val="22"/>
          <w:szCs w:val="22"/>
        </w:rPr>
        <w:t>ting</w:t>
      </w:r>
      <w:r w:rsidRPr="00003CF5">
        <w:rPr>
          <w:rFonts w:ascii="Garamond" w:hAnsi="Garamond"/>
          <w:sz w:val="22"/>
          <w:szCs w:val="22"/>
        </w:rPr>
        <w:t xml:space="preserve"> their lives at risk.</w:t>
      </w:r>
      <w:r w:rsidRPr="00003CF5">
        <w:rPr>
          <w:rStyle w:val="FootnoteReference"/>
          <w:rFonts w:ascii="Garamond" w:hAnsi="Garamond"/>
          <w:sz w:val="22"/>
          <w:szCs w:val="22"/>
        </w:rPr>
        <w:footnoteReference w:id="98"/>
      </w:r>
      <w:r w:rsidRPr="00003CF5">
        <w:rPr>
          <w:rFonts w:ascii="Garamond" w:hAnsi="Garamond"/>
          <w:sz w:val="22"/>
          <w:szCs w:val="22"/>
        </w:rPr>
        <w:t xml:space="preserve"> Most women resort to less safe abortion methods from unskilled providers, traditional healers or self-induced</w:t>
      </w:r>
      <w:r w:rsidR="001607A9">
        <w:rPr>
          <w:rFonts w:ascii="Garamond" w:hAnsi="Garamond"/>
          <w:sz w:val="22"/>
          <w:szCs w:val="22"/>
        </w:rPr>
        <w:t xml:space="preserve"> </w:t>
      </w:r>
      <w:r w:rsidR="00CE27B2">
        <w:rPr>
          <w:rFonts w:ascii="Garamond" w:hAnsi="Garamond"/>
          <w:sz w:val="22"/>
          <w:szCs w:val="22"/>
        </w:rPr>
        <w:t>approaches</w:t>
      </w:r>
      <w:r w:rsidRPr="00003CF5">
        <w:rPr>
          <w:rFonts w:ascii="Garamond" w:hAnsi="Garamond"/>
          <w:sz w:val="22"/>
          <w:szCs w:val="22"/>
        </w:rPr>
        <w:t>, based on the advice of friends and family.</w:t>
      </w:r>
      <w:r w:rsidRPr="00003CF5">
        <w:rPr>
          <w:rStyle w:val="FootnoteReference"/>
          <w:rFonts w:ascii="Garamond" w:hAnsi="Garamond"/>
          <w:sz w:val="22"/>
          <w:szCs w:val="22"/>
        </w:rPr>
        <w:footnoteReference w:id="99"/>
      </w:r>
      <w:r w:rsidRPr="00003CF5">
        <w:rPr>
          <w:rFonts w:ascii="Garamond" w:hAnsi="Garamond"/>
          <w:sz w:val="22"/>
          <w:szCs w:val="22"/>
        </w:rPr>
        <w:t xml:space="preserve"> The methods include drinking detergent, taking dangerous herbs or pills, and piercing the uterus with objects such as a cassava stem or a bicycle spoke.</w:t>
      </w:r>
      <w:r w:rsidRPr="00003CF5">
        <w:rPr>
          <w:rStyle w:val="FootnoteReference"/>
          <w:rFonts w:ascii="Garamond" w:hAnsi="Garamond"/>
          <w:sz w:val="22"/>
          <w:szCs w:val="22"/>
        </w:rPr>
        <w:footnoteReference w:id="100"/>
      </w:r>
      <w:r w:rsidRPr="00003CF5">
        <w:rPr>
          <w:rFonts w:ascii="Garamond" w:hAnsi="Garamond"/>
          <w:sz w:val="22"/>
          <w:szCs w:val="22"/>
        </w:rPr>
        <w:t xml:space="preserve"> Sadly but unsurprisingly, Malawi </w:t>
      </w:r>
      <w:r w:rsidRPr="00003CF5">
        <w:rPr>
          <w:rFonts w:ascii="Garamond" w:hAnsi="Garamond"/>
          <w:sz w:val="22"/>
          <w:szCs w:val="22"/>
          <w:highlight w:val="white"/>
        </w:rPr>
        <w:t>is one of the States with the highest maternal mortality rate</w:t>
      </w:r>
      <w:r w:rsidR="00466BCC">
        <w:rPr>
          <w:rFonts w:ascii="Garamond" w:hAnsi="Garamond"/>
          <w:sz w:val="22"/>
          <w:szCs w:val="22"/>
          <w:highlight w:val="white"/>
        </w:rPr>
        <w:t>s</w:t>
      </w:r>
      <w:r w:rsidRPr="00003CF5">
        <w:rPr>
          <w:rFonts w:ascii="Garamond" w:hAnsi="Garamond"/>
          <w:sz w:val="22"/>
          <w:szCs w:val="22"/>
          <w:highlight w:val="white"/>
        </w:rPr>
        <w:t xml:space="preserve"> in the world.</w:t>
      </w:r>
      <w:r w:rsidRPr="00003CF5">
        <w:rPr>
          <w:rStyle w:val="FootnoteReference"/>
          <w:rFonts w:ascii="Garamond" w:hAnsi="Garamond"/>
          <w:sz w:val="22"/>
          <w:szCs w:val="22"/>
          <w:highlight w:val="white"/>
        </w:rPr>
        <w:footnoteReference w:id="101"/>
      </w:r>
      <w:r w:rsidRPr="00003CF5">
        <w:rPr>
          <w:rFonts w:ascii="Garamond" w:hAnsi="Garamond"/>
          <w:sz w:val="22"/>
          <w:szCs w:val="22"/>
          <w:highlight w:val="white"/>
        </w:rPr>
        <w:t xml:space="preserve"> Unsafe abortion is among the top five direct causes of maternal deaths.</w:t>
      </w:r>
      <w:r w:rsidRPr="00003CF5">
        <w:rPr>
          <w:rStyle w:val="FootnoteReference"/>
          <w:rFonts w:ascii="Garamond" w:hAnsi="Garamond"/>
          <w:sz w:val="22"/>
          <w:szCs w:val="22"/>
          <w:highlight w:val="white"/>
        </w:rPr>
        <w:footnoteReference w:id="102"/>
      </w:r>
      <w:r w:rsidRPr="00003CF5">
        <w:rPr>
          <w:rFonts w:ascii="Garamond" w:hAnsi="Garamond"/>
          <w:sz w:val="22"/>
          <w:szCs w:val="22"/>
          <w:highlight w:val="white"/>
        </w:rPr>
        <w:t xml:space="preserve"> It has been estimated that complications from abortion are the cause of 6–18% of maternal deaths in Malawi.</w:t>
      </w:r>
      <w:r w:rsidRPr="00003CF5">
        <w:rPr>
          <w:rStyle w:val="FootnoteReference"/>
          <w:rFonts w:ascii="Garamond" w:hAnsi="Garamond"/>
          <w:sz w:val="22"/>
          <w:szCs w:val="22"/>
          <w:highlight w:val="white"/>
        </w:rPr>
        <w:footnoteReference w:id="103"/>
      </w:r>
      <w:r w:rsidRPr="00003CF5">
        <w:rPr>
          <w:rFonts w:ascii="Garamond" w:hAnsi="Garamond"/>
          <w:sz w:val="22"/>
          <w:szCs w:val="22"/>
        </w:rPr>
        <w:t xml:space="preserve"> When not causing death, these methods can lead to permanent infertility and trauma to internal organs.</w:t>
      </w:r>
      <w:r w:rsidRPr="00003CF5">
        <w:rPr>
          <w:rStyle w:val="FootnoteReference"/>
          <w:rFonts w:ascii="Garamond" w:hAnsi="Garamond"/>
          <w:sz w:val="22"/>
          <w:szCs w:val="22"/>
        </w:rPr>
        <w:footnoteReference w:id="104"/>
      </w:r>
      <w:r w:rsidRPr="00003CF5">
        <w:rPr>
          <w:rFonts w:ascii="Garamond" w:hAnsi="Garamond"/>
          <w:sz w:val="22"/>
          <w:szCs w:val="22"/>
        </w:rPr>
        <w:t xml:space="preserve"> Of the 141,000 abortions were performed in 2015, 51,693 resulted in complications requiring post-abortion care.</w:t>
      </w:r>
      <w:r w:rsidRPr="00003CF5">
        <w:rPr>
          <w:rStyle w:val="FootnoteReference"/>
          <w:rFonts w:ascii="Garamond" w:hAnsi="Garamond"/>
          <w:sz w:val="22"/>
          <w:szCs w:val="22"/>
        </w:rPr>
        <w:footnoteReference w:id="105"/>
      </w:r>
    </w:p>
    <w:p w14:paraId="28857A57" w14:textId="492107A0" w:rsidR="00B91414" w:rsidRPr="00003CF5" w:rsidRDefault="00737A33" w:rsidP="00C9095C">
      <w:pPr>
        <w:widowControl w:val="0"/>
        <w:tabs>
          <w:tab w:val="right" w:leader="dot" w:pos="9270"/>
        </w:tabs>
        <w:spacing w:line="360" w:lineRule="auto"/>
        <w:ind w:left="-360" w:right="-270" w:firstLine="540"/>
        <w:jc w:val="both"/>
        <w:rPr>
          <w:rFonts w:ascii="Garamond" w:hAnsi="Garamond"/>
          <w:sz w:val="22"/>
          <w:szCs w:val="22"/>
        </w:rPr>
      </w:pPr>
      <w:r>
        <w:rPr>
          <w:rFonts w:ascii="Garamond" w:hAnsi="Garamond"/>
          <w:sz w:val="22"/>
          <w:szCs w:val="22"/>
        </w:rPr>
        <w:t>(45</w:t>
      </w:r>
      <w:r w:rsidR="001E1A81">
        <w:rPr>
          <w:rFonts w:ascii="Garamond" w:hAnsi="Garamond"/>
          <w:sz w:val="22"/>
          <w:szCs w:val="22"/>
        </w:rPr>
        <w:t xml:space="preserve">) </w:t>
      </w:r>
      <w:r>
        <w:rPr>
          <w:rFonts w:ascii="Garamond" w:hAnsi="Garamond"/>
          <w:sz w:val="22"/>
          <w:szCs w:val="22"/>
        </w:rPr>
        <w:tab/>
      </w:r>
      <w:r w:rsidR="00B91414" w:rsidRPr="00003CF5">
        <w:rPr>
          <w:rFonts w:ascii="Garamond" w:hAnsi="Garamond"/>
          <w:sz w:val="22"/>
          <w:szCs w:val="22"/>
        </w:rPr>
        <w:t xml:space="preserve">Moreover, in Malawi, abortion services are only provided by private hospitals. Public hospitals only provide </w:t>
      </w:r>
      <w:r w:rsidR="00B91414" w:rsidRPr="00003CF5">
        <w:rPr>
          <w:rFonts w:ascii="Garamond" w:hAnsi="Garamond"/>
          <w:sz w:val="22"/>
          <w:szCs w:val="22"/>
        </w:rPr>
        <w:lastRenderedPageBreak/>
        <w:t xml:space="preserve">post-abortion </w:t>
      </w:r>
      <w:r w:rsidR="00EC144A" w:rsidRPr="00003CF5">
        <w:rPr>
          <w:rFonts w:ascii="Garamond" w:hAnsi="Garamond"/>
          <w:sz w:val="22"/>
          <w:szCs w:val="22"/>
        </w:rPr>
        <w:t>care but</w:t>
      </w:r>
      <w:r w:rsidR="00B91414" w:rsidRPr="00003CF5">
        <w:rPr>
          <w:rFonts w:ascii="Garamond" w:hAnsi="Garamond"/>
          <w:sz w:val="22"/>
          <w:szCs w:val="22"/>
        </w:rPr>
        <w:t xml:space="preserve"> seeking post-</w:t>
      </w:r>
      <w:r w:rsidR="005B5071" w:rsidRPr="00003CF5">
        <w:rPr>
          <w:rFonts w:ascii="Garamond" w:hAnsi="Garamond"/>
          <w:sz w:val="22"/>
          <w:szCs w:val="22"/>
        </w:rPr>
        <w:t>abortion</w:t>
      </w:r>
      <w:r w:rsidR="00B91414" w:rsidRPr="00003CF5">
        <w:rPr>
          <w:rFonts w:ascii="Garamond" w:hAnsi="Garamond"/>
          <w:sz w:val="22"/>
          <w:szCs w:val="22"/>
        </w:rPr>
        <w:t xml:space="preserve"> care from a public hospital after having secured an illegal abortion, exposes both the woman and those who </w:t>
      </w:r>
      <w:r w:rsidR="005B5071" w:rsidRPr="00003CF5">
        <w:rPr>
          <w:rFonts w:ascii="Garamond" w:hAnsi="Garamond"/>
          <w:sz w:val="22"/>
          <w:szCs w:val="22"/>
        </w:rPr>
        <w:t>helped</w:t>
      </w:r>
      <w:r w:rsidR="00B91414" w:rsidRPr="00003CF5">
        <w:rPr>
          <w:rFonts w:ascii="Garamond" w:hAnsi="Garamond"/>
          <w:sz w:val="22"/>
          <w:szCs w:val="22"/>
        </w:rPr>
        <w:t xml:space="preserve"> her to the risk of prosecutions.</w:t>
      </w:r>
    </w:p>
    <w:p w14:paraId="23B3299C" w14:textId="65347A36" w:rsidR="00B91414" w:rsidRPr="00003CF5" w:rsidRDefault="00737A33" w:rsidP="00C9095C">
      <w:pPr>
        <w:widowControl w:val="0"/>
        <w:tabs>
          <w:tab w:val="right" w:leader="dot" w:pos="9270"/>
        </w:tabs>
        <w:spacing w:line="360" w:lineRule="auto"/>
        <w:ind w:left="-360" w:right="-270" w:firstLine="540"/>
        <w:jc w:val="both"/>
        <w:rPr>
          <w:rFonts w:ascii="Garamond" w:hAnsi="Garamond"/>
          <w:sz w:val="22"/>
          <w:szCs w:val="22"/>
        </w:rPr>
      </w:pPr>
      <w:r>
        <w:rPr>
          <w:rFonts w:ascii="Garamond" w:hAnsi="Garamond"/>
          <w:sz w:val="22"/>
          <w:szCs w:val="22"/>
        </w:rPr>
        <w:t>(46</w:t>
      </w:r>
      <w:r w:rsidR="001E1A81">
        <w:rPr>
          <w:rFonts w:ascii="Garamond" w:hAnsi="Garamond"/>
          <w:sz w:val="22"/>
          <w:szCs w:val="22"/>
        </w:rPr>
        <w:t xml:space="preserve">) </w:t>
      </w:r>
      <w:r>
        <w:rPr>
          <w:rFonts w:ascii="Garamond" w:hAnsi="Garamond"/>
          <w:sz w:val="22"/>
          <w:szCs w:val="22"/>
        </w:rPr>
        <w:tab/>
      </w:r>
      <w:r w:rsidR="00B91414" w:rsidRPr="00003CF5">
        <w:rPr>
          <w:rFonts w:ascii="Garamond" w:hAnsi="Garamond"/>
          <w:sz w:val="22"/>
          <w:szCs w:val="22"/>
        </w:rPr>
        <w:t>Access to safe and legal abortion services is diff</w:t>
      </w:r>
      <w:r w:rsidR="005B5071" w:rsidRPr="00003CF5">
        <w:rPr>
          <w:rFonts w:ascii="Garamond" w:hAnsi="Garamond"/>
          <w:sz w:val="22"/>
          <w:szCs w:val="22"/>
        </w:rPr>
        <w:t>ic</w:t>
      </w:r>
      <w:r w:rsidR="00B91414" w:rsidRPr="00003CF5">
        <w:rPr>
          <w:rFonts w:ascii="Garamond" w:hAnsi="Garamond"/>
          <w:sz w:val="22"/>
          <w:szCs w:val="22"/>
        </w:rPr>
        <w:t>ult in Malawi, but it is almost non-existent in rural areas. Because abortions cost roughly $63 to $128 (MK 64</w:t>
      </w:r>
      <w:r w:rsidR="005B5071" w:rsidRPr="00003CF5">
        <w:rPr>
          <w:rFonts w:ascii="Garamond" w:hAnsi="Garamond"/>
          <w:sz w:val="22"/>
          <w:szCs w:val="22"/>
        </w:rPr>
        <w:t>,</w:t>
      </w:r>
      <w:r w:rsidR="00B91414" w:rsidRPr="00003CF5">
        <w:rPr>
          <w:rFonts w:ascii="Garamond" w:hAnsi="Garamond"/>
          <w:sz w:val="22"/>
          <w:szCs w:val="22"/>
        </w:rPr>
        <w:t>575 to MK 131</w:t>
      </w:r>
      <w:r w:rsidR="005B5071" w:rsidRPr="00003CF5">
        <w:rPr>
          <w:rFonts w:ascii="Garamond" w:hAnsi="Garamond"/>
          <w:sz w:val="22"/>
          <w:szCs w:val="22"/>
        </w:rPr>
        <w:t>,</w:t>
      </w:r>
      <w:r w:rsidR="00B91414" w:rsidRPr="00003CF5">
        <w:rPr>
          <w:rFonts w:ascii="Garamond" w:hAnsi="Garamond"/>
          <w:sz w:val="22"/>
          <w:szCs w:val="22"/>
        </w:rPr>
        <w:t>200</w:t>
      </w:r>
      <w:r w:rsidR="001E1A81">
        <w:rPr>
          <w:rFonts w:ascii="Garamond" w:hAnsi="Garamond"/>
          <w:sz w:val="22"/>
          <w:szCs w:val="22"/>
        </w:rPr>
        <w:t xml:space="preserve">) </w:t>
      </w:r>
      <w:r w:rsidR="00B91414" w:rsidRPr="00003CF5">
        <w:rPr>
          <w:rFonts w:ascii="Garamond" w:hAnsi="Garamond"/>
          <w:sz w:val="22"/>
          <w:szCs w:val="22"/>
        </w:rPr>
        <w:t>depending on whether there are complications, these services are limited to women with adequate financial resources.</w:t>
      </w:r>
      <w:r w:rsidR="00B91414" w:rsidRPr="00003CF5">
        <w:rPr>
          <w:rFonts w:ascii="Garamond" w:hAnsi="Garamond"/>
          <w:sz w:val="22"/>
          <w:szCs w:val="22"/>
          <w:vertAlign w:val="superscript"/>
        </w:rPr>
        <w:footnoteReference w:id="106"/>
      </w:r>
      <w:r w:rsidR="00B91414" w:rsidRPr="00003CF5">
        <w:rPr>
          <w:rFonts w:ascii="Garamond" w:hAnsi="Garamond"/>
          <w:sz w:val="22"/>
          <w:szCs w:val="22"/>
        </w:rPr>
        <w:t xml:space="preserve"> Distance also reduces access to healthcare facilities. The</w:t>
      </w:r>
      <w:r w:rsidR="00A42C70" w:rsidRPr="00003CF5">
        <w:rPr>
          <w:rFonts w:ascii="Garamond" w:hAnsi="Garamond"/>
          <w:sz w:val="22"/>
          <w:szCs w:val="22"/>
        </w:rPr>
        <w:t xml:space="preserve"> UNAIDS</w:t>
      </w:r>
      <w:r w:rsidR="00B91414" w:rsidRPr="00003CF5">
        <w:rPr>
          <w:rFonts w:ascii="Garamond" w:hAnsi="Garamond"/>
          <w:sz w:val="22"/>
          <w:szCs w:val="22"/>
        </w:rPr>
        <w:t xml:space="preserve"> Committee has recommended that people should only live 5-8 kilometers from healthcare facility, but UNESCO estimated that 45% of people in Malawi live more than 5 kilometers away.</w:t>
      </w:r>
      <w:r w:rsidR="00B91414" w:rsidRPr="00003CF5">
        <w:rPr>
          <w:rStyle w:val="FootnoteReference"/>
          <w:rFonts w:ascii="Garamond" w:hAnsi="Garamond"/>
          <w:sz w:val="22"/>
          <w:szCs w:val="22"/>
        </w:rPr>
        <w:footnoteReference w:id="107"/>
      </w:r>
      <w:r w:rsidR="00B91414" w:rsidRPr="00003CF5">
        <w:rPr>
          <w:rFonts w:ascii="Garamond" w:hAnsi="Garamond"/>
          <w:sz w:val="22"/>
          <w:szCs w:val="22"/>
        </w:rPr>
        <w:t xml:space="preserve"> CEDAW also requires States “to ensure access for rural women to adequate health-care facilities.</w:t>
      </w:r>
      <w:r w:rsidR="00B91414" w:rsidRPr="00003CF5">
        <w:rPr>
          <w:rFonts w:ascii="Garamond" w:hAnsi="Garamond"/>
          <w:sz w:val="22"/>
          <w:szCs w:val="22"/>
          <w:vertAlign w:val="superscript"/>
        </w:rPr>
        <w:footnoteReference w:id="108"/>
      </w:r>
      <w:r w:rsidR="001E1A81">
        <w:rPr>
          <w:rFonts w:ascii="Garamond" w:hAnsi="Garamond"/>
          <w:sz w:val="22"/>
          <w:szCs w:val="22"/>
        </w:rPr>
        <w:t xml:space="preserve"> </w:t>
      </w:r>
    </w:p>
    <w:p w14:paraId="4319E26D" w14:textId="6ACE9048" w:rsidR="005B5071" w:rsidRPr="00003CF5" w:rsidRDefault="00B91414" w:rsidP="00C9095C">
      <w:pPr>
        <w:widowControl w:val="0"/>
        <w:tabs>
          <w:tab w:val="right" w:leader="dot" w:pos="9270"/>
        </w:tabs>
        <w:spacing w:line="360" w:lineRule="auto"/>
        <w:ind w:left="-360" w:right="-270" w:firstLine="540"/>
        <w:jc w:val="both"/>
        <w:rPr>
          <w:rFonts w:ascii="Garamond" w:hAnsi="Garamond"/>
          <w:sz w:val="22"/>
          <w:szCs w:val="22"/>
        </w:rPr>
      </w:pPr>
      <w:r w:rsidRPr="00003CF5">
        <w:rPr>
          <w:rFonts w:ascii="Garamond" w:hAnsi="Garamond"/>
          <w:sz w:val="22"/>
          <w:szCs w:val="22"/>
        </w:rPr>
        <w:t>(</w:t>
      </w:r>
      <w:r w:rsidR="00737A33">
        <w:rPr>
          <w:rFonts w:ascii="Garamond" w:hAnsi="Garamond"/>
          <w:sz w:val="22"/>
          <w:szCs w:val="22"/>
        </w:rPr>
        <w:t>47</w:t>
      </w:r>
      <w:r w:rsidR="001E1A81">
        <w:rPr>
          <w:rFonts w:ascii="Garamond" w:hAnsi="Garamond"/>
          <w:sz w:val="22"/>
          <w:szCs w:val="22"/>
        </w:rPr>
        <w:t xml:space="preserve">) </w:t>
      </w:r>
      <w:r w:rsidRPr="00003CF5">
        <w:rPr>
          <w:rFonts w:ascii="Garamond" w:hAnsi="Garamond"/>
          <w:sz w:val="22"/>
          <w:szCs w:val="22"/>
        </w:rPr>
        <w:tab/>
        <w:t>People living in rural communities do not even have adequate access to information about safe abortions.</w:t>
      </w:r>
      <w:r w:rsidR="005B5071" w:rsidRPr="00003CF5">
        <w:rPr>
          <w:rFonts w:ascii="Garamond" w:hAnsi="Garamond"/>
          <w:sz w:val="22"/>
          <w:szCs w:val="22"/>
        </w:rPr>
        <w:t xml:space="preserve"> Although people may know about abortion services provided in hospitals, misinformation about the side effects and its legality, cultural beliefs, and lack of awareness regarding health care prevent people from seeking formal abortion services.</w:t>
      </w:r>
      <w:r w:rsidR="005B5071" w:rsidRPr="00003CF5">
        <w:rPr>
          <w:rFonts w:ascii="Garamond" w:hAnsi="Garamond"/>
          <w:sz w:val="22"/>
          <w:szCs w:val="22"/>
          <w:vertAlign w:val="superscript"/>
        </w:rPr>
        <w:footnoteReference w:id="109"/>
      </w:r>
      <w:r w:rsidR="005B5071" w:rsidRPr="00003CF5">
        <w:rPr>
          <w:rFonts w:ascii="Garamond" w:hAnsi="Garamond"/>
          <w:sz w:val="22"/>
          <w:szCs w:val="22"/>
        </w:rPr>
        <w:t xml:space="preserve"> Instead, they turn to methods that are less reliable and more dangerous.</w:t>
      </w:r>
      <w:r w:rsidR="005B5071" w:rsidRPr="00003CF5">
        <w:rPr>
          <w:rFonts w:ascii="Garamond" w:hAnsi="Garamond"/>
          <w:sz w:val="22"/>
          <w:szCs w:val="22"/>
          <w:vertAlign w:val="superscript"/>
        </w:rPr>
        <w:footnoteReference w:id="110"/>
      </w:r>
      <w:r w:rsidRPr="00003CF5">
        <w:rPr>
          <w:rFonts w:ascii="Garamond" w:hAnsi="Garamond"/>
          <w:sz w:val="22"/>
          <w:szCs w:val="22"/>
        </w:rPr>
        <w:t xml:space="preserve"> </w:t>
      </w:r>
      <w:r w:rsidR="005B5071" w:rsidRPr="00003CF5">
        <w:rPr>
          <w:rFonts w:ascii="Garamond" w:hAnsi="Garamond"/>
          <w:sz w:val="22"/>
          <w:szCs w:val="22"/>
        </w:rPr>
        <w:t xml:space="preserve">These campaigns </w:t>
      </w:r>
      <w:r w:rsidR="00A42C70" w:rsidRPr="00003CF5">
        <w:rPr>
          <w:rFonts w:ascii="Garamond" w:hAnsi="Garamond"/>
          <w:sz w:val="22"/>
          <w:szCs w:val="22"/>
        </w:rPr>
        <w:t xml:space="preserve">should </w:t>
      </w:r>
      <w:r w:rsidR="005B5071" w:rsidRPr="00003CF5">
        <w:rPr>
          <w:rFonts w:ascii="Garamond" w:hAnsi="Garamond"/>
          <w:sz w:val="22"/>
          <w:szCs w:val="22"/>
        </w:rPr>
        <w:t>have included information about the abortion drug and that Penal Code 243 defends them in certain situations.</w:t>
      </w:r>
      <w:r w:rsidR="005B5071" w:rsidRPr="00003CF5">
        <w:rPr>
          <w:rFonts w:ascii="Garamond" w:hAnsi="Garamond"/>
          <w:sz w:val="22"/>
          <w:szCs w:val="22"/>
          <w:vertAlign w:val="superscript"/>
        </w:rPr>
        <w:footnoteReference w:id="111"/>
      </w:r>
      <w:r w:rsidR="001E1A81">
        <w:rPr>
          <w:rFonts w:ascii="Garamond" w:hAnsi="Garamond"/>
          <w:sz w:val="22"/>
          <w:szCs w:val="22"/>
        </w:rPr>
        <w:t xml:space="preserve"> </w:t>
      </w:r>
    </w:p>
    <w:p w14:paraId="664AD6CA" w14:textId="4B49D497" w:rsidR="00B91414" w:rsidRPr="00003CF5" w:rsidRDefault="00B91414" w:rsidP="00C9095C">
      <w:pPr>
        <w:pStyle w:val="Heading3"/>
        <w:tabs>
          <w:tab w:val="right" w:leader="dot" w:pos="9270"/>
        </w:tabs>
        <w:ind w:left="-360" w:right="-270" w:firstLine="540"/>
        <w:jc w:val="both"/>
        <w:rPr>
          <w:i/>
          <w:sz w:val="22"/>
          <w:szCs w:val="22"/>
          <w:u w:val="none"/>
        </w:rPr>
      </w:pPr>
      <w:bookmarkStart w:id="10" w:name="_Toc123043566"/>
      <w:r w:rsidRPr="00003CF5">
        <w:rPr>
          <w:sz w:val="22"/>
          <w:szCs w:val="22"/>
        </w:rPr>
        <w:t>d</w:t>
      </w:r>
      <w:r w:rsidR="001E1A81">
        <w:rPr>
          <w:i/>
          <w:sz w:val="22"/>
          <w:szCs w:val="22"/>
          <w:u w:val="none"/>
        </w:rPr>
        <w:t xml:space="preserve">) </w:t>
      </w:r>
      <w:r w:rsidR="00803CA0" w:rsidRPr="00003CF5">
        <w:rPr>
          <w:rStyle w:val="Heading3Char"/>
          <w:sz w:val="22"/>
          <w:szCs w:val="22"/>
        </w:rPr>
        <w:t>Article 15</w:t>
      </w:r>
      <w:bookmarkEnd w:id="10"/>
    </w:p>
    <w:p w14:paraId="601EE277" w14:textId="0240E9B3" w:rsidR="00B91414" w:rsidRPr="00003CF5" w:rsidRDefault="00B91414" w:rsidP="00C9095C">
      <w:pPr>
        <w:widowControl w:val="0"/>
        <w:tabs>
          <w:tab w:val="right" w:leader="dot" w:pos="9270"/>
        </w:tabs>
        <w:spacing w:line="360" w:lineRule="auto"/>
        <w:ind w:left="-360" w:right="-270" w:firstLine="540"/>
        <w:jc w:val="both"/>
        <w:rPr>
          <w:rFonts w:ascii="Garamond" w:hAnsi="Garamond"/>
          <w:sz w:val="22"/>
          <w:szCs w:val="22"/>
        </w:rPr>
      </w:pPr>
      <w:r w:rsidRPr="00003CF5">
        <w:rPr>
          <w:rFonts w:ascii="Garamond" w:hAnsi="Garamond"/>
          <w:sz w:val="22"/>
          <w:szCs w:val="22"/>
        </w:rPr>
        <w:t>(</w:t>
      </w:r>
      <w:r w:rsidR="00737A33">
        <w:rPr>
          <w:rFonts w:ascii="Garamond" w:hAnsi="Garamond"/>
          <w:sz w:val="22"/>
          <w:szCs w:val="22"/>
        </w:rPr>
        <w:t>4</w:t>
      </w:r>
      <w:r w:rsidRPr="00003CF5">
        <w:rPr>
          <w:rFonts w:ascii="Garamond" w:hAnsi="Garamond"/>
          <w:sz w:val="22"/>
          <w:szCs w:val="22"/>
        </w:rPr>
        <w:t>8</w:t>
      </w:r>
      <w:r w:rsidR="001E1A81">
        <w:rPr>
          <w:rFonts w:ascii="Garamond" w:hAnsi="Garamond"/>
          <w:sz w:val="22"/>
          <w:szCs w:val="22"/>
        </w:rPr>
        <w:t xml:space="preserve">) </w:t>
      </w:r>
      <w:r w:rsidRPr="00003CF5">
        <w:rPr>
          <w:rFonts w:ascii="Garamond" w:hAnsi="Garamond"/>
          <w:sz w:val="22"/>
          <w:szCs w:val="22"/>
        </w:rPr>
        <w:tab/>
        <w:t>Article 15.1.b recognizes "the right of everyone to enjoy the benefits of scientific progress and its applications."</w:t>
      </w:r>
      <w:r w:rsidR="00E8208F">
        <w:rPr>
          <w:rStyle w:val="FootnoteReference"/>
          <w:rFonts w:ascii="Garamond" w:hAnsi="Garamond"/>
          <w:sz w:val="22"/>
          <w:szCs w:val="22"/>
        </w:rPr>
        <w:footnoteReference w:id="112"/>
      </w:r>
      <w:r w:rsidRPr="00003CF5">
        <w:rPr>
          <w:rFonts w:ascii="Garamond" w:hAnsi="Garamond"/>
          <w:sz w:val="22"/>
          <w:szCs w:val="22"/>
        </w:rPr>
        <w:t xml:space="preserve"> Deterring women from seeking abortion that would be medically safe when performed legally, under safe conditions, is a denial of the enjoyment of the scientific progress in the field of reproductive health.</w:t>
      </w:r>
      <w:r w:rsidRPr="00003CF5">
        <w:rPr>
          <w:rStyle w:val="FootnoteReference"/>
          <w:rFonts w:ascii="Garamond" w:hAnsi="Garamond"/>
          <w:sz w:val="22"/>
          <w:szCs w:val="22"/>
        </w:rPr>
        <w:footnoteReference w:id="113"/>
      </w:r>
      <w:r w:rsidRPr="00003CF5">
        <w:rPr>
          <w:rFonts w:ascii="Garamond" w:hAnsi="Garamond"/>
          <w:sz w:val="22"/>
          <w:szCs w:val="22"/>
        </w:rPr>
        <w:t xml:space="preserve"> </w:t>
      </w:r>
    </w:p>
    <w:p w14:paraId="1BE2DC54" w14:textId="053CA559" w:rsidR="00B91414" w:rsidRPr="00003CF5" w:rsidRDefault="00737A33" w:rsidP="00C9095C">
      <w:pPr>
        <w:widowControl w:val="0"/>
        <w:tabs>
          <w:tab w:val="right" w:leader="dot" w:pos="9270"/>
        </w:tabs>
        <w:spacing w:line="360" w:lineRule="auto"/>
        <w:ind w:left="-360" w:right="-270" w:firstLine="540"/>
        <w:jc w:val="both"/>
        <w:rPr>
          <w:rFonts w:ascii="Garamond" w:hAnsi="Garamond"/>
          <w:sz w:val="22"/>
          <w:szCs w:val="22"/>
        </w:rPr>
      </w:pPr>
      <w:r>
        <w:rPr>
          <w:rFonts w:ascii="Garamond" w:hAnsi="Garamond"/>
          <w:sz w:val="22"/>
          <w:szCs w:val="22"/>
        </w:rPr>
        <w:t>(49</w:t>
      </w:r>
      <w:r w:rsidR="001E1A81">
        <w:rPr>
          <w:rFonts w:ascii="Garamond" w:hAnsi="Garamond"/>
          <w:sz w:val="22"/>
          <w:szCs w:val="22"/>
        </w:rPr>
        <w:t xml:space="preserve">) </w:t>
      </w:r>
      <w:r>
        <w:rPr>
          <w:rFonts w:ascii="Garamond" w:hAnsi="Garamond"/>
          <w:sz w:val="22"/>
          <w:szCs w:val="22"/>
        </w:rPr>
        <w:tab/>
      </w:r>
      <w:r w:rsidR="00B91414" w:rsidRPr="00003CF5">
        <w:rPr>
          <w:rFonts w:ascii="Garamond" w:hAnsi="Garamond"/>
          <w:sz w:val="22"/>
          <w:szCs w:val="22"/>
        </w:rPr>
        <w:t>As this Committee explained in General Comment 25, the right to “benefit” from science includes “the right of having scientific knowledge disseminated” and the duty of States to “form critical and responsible citizens who are able to participate fully in a democratic society.”</w:t>
      </w:r>
      <w:r w:rsidR="00B91414" w:rsidRPr="00003CF5">
        <w:rPr>
          <w:rStyle w:val="FootnoteReference"/>
          <w:rFonts w:ascii="Garamond" w:hAnsi="Garamond"/>
          <w:sz w:val="22"/>
          <w:szCs w:val="22"/>
        </w:rPr>
        <w:footnoteReference w:id="114"/>
      </w:r>
      <w:r w:rsidR="00B91414" w:rsidRPr="00003CF5">
        <w:rPr>
          <w:rFonts w:ascii="Garamond" w:hAnsi="Garamond"/>
          <w:sz w:val="22"/>
          <w:szCs w:val="22"/>
        </w:rPr>
        <w:t xml:space="preserve"> The Committee also stated that “States have to ensure the appropriate training of doctors and other medical personnel.”</w:t>
      </w:r>
      <w:r w:rsidR="00B91414" w:rsidRPr="00003CF5">
        <w:rPr>
          <w:rFonts w:ascii="Garamond" w:hAnsi="Garamond"/>
          <w:sz w:val="22"/>
          <w:szCs w:val="22"/>
          <w:vertAlign w:val="superscript"/>
        </w:rPr>
        <w:footnoteReference w:id="115"/>
      </w:r>
    </w:p>
    <w:p w14:paraId="692B47F9" w14:textId="5B6E3BB6" w:rsidR="00B91414" w:rsidRPr="00003CF5" w:rsidRDefault="00737A33" w:rsidP="00C9095C">
      <w:pPr>
        <w:widowControl w:val="0"/>
        <w:tabs>
          <w:tab w:val="right" w:leader="dot" w:pos="9270"/>
        </w:tabs>
        <w:spacing w:line="360" w:lineRule="auto"/>
        <w:ind w:left="-360" w:right="-270" w:firstLine="540"/>
        <w:jc w:val="both"/>
        <w:rPr>
          <w:rFonts w:ascii="Garamond" w:hAnsi="Garamond"/>
          <w:sz w:val="22"/>
          <w:szCs w:val="22"/>
        </w:rPr>
      </w:pPr>
      <w:r>
        <w:rPr>
          <w:rFonts w:ascii="Garamond" w:hAnsi="Garamond"/>
          <w:sz w:val="22"/>
          <w:szCs w:val="22"/>
        </w:rPr>
        <w:t>(50</w:t>
      </w:r>
      <w:r w:rsidR="001E1A81">
        <w:rPr>
          <w:rFonts w:ascii="Garamond" w:hAnsi="Garamond"/>
          <w:sz w:val="22"/>
          <w:szCs w:val="22"/>
        </w:rPr>
        <w:t xml:space="preserve">) </w:t>
      </w:r>
      <w:r w:rsidR="00FF1F50">
        <w:rPr>
          <w:rFonts w:ascii="Garamond" w:hAnsi="Garamond"/>
          <w:sz w:val="22"/>
          <w:szCs w:val="22"/>
        </w:rPr>
        <w:t>Health providers</w:t>
      </w:r>
      <w:r w:rsidR="00B91414" w:rsidRPr="00003CF5">
        <w:rPr>
          <w:rFonts w:ascii="Garamond" w:hAnsi="Garamond"/>
          <w:sz w:val="22"/>
          <w:szCs w:val="22"/>
        </w:rPr>
        <w:t xml:space="preserve"> in Malawi are not given the education they need to perform safe abortions. Currently </w:t>
      </w:r>
      <w:r w:rsidR="00B91414" w:rsidRPr="00003CF5">
        <w:rPr>
          <w:rFonts w:ascii="Garamond" w:hAnsi="Garamond"/>
          <w:sz w:val="22"/>
          <w:szCs w:val="22"/>
        </w:rPr>
        <w:lastRenderedPageBreak/>
        <w:t>medical students only get two to three days of abortion training in the sole medical school in Malawi.</w:t>
      </w:r>
      <w:r w:rsidR="00B91414" w:rsidRPr="00003CF5">
        <w:rPr>
          <w:rFonts w:ascii="Garamond" w:hAnsi="Garamond"/>
          <w:sz w:val="22"/>
          <w:szCs w:val="22"/>
          <w:vertAlign w:val="superscript"/>
        </w:rPr>
        <w:footnoteReference w:id="116"/>
      </w:r>
      <w:r w:rsidR="00B91414" w:rsidRPr="00003CF5">
        <w:rPr>
          <w:rFonts w:ascii="Garamond" w:hAnsi="Garamond"/>
          <w:sz w:val="22"/>
          <w:szCs w:val="22"/>
        </w:rPr>
        <w:t xml:space="preserve"> Doctors suggest that three to nine days are appropriate abortion training for doctors.</w:t>
      </w:r>
      <w:r w:rsidR="00B91414" w:rsidRPr="00003CF5">
        <w:rPr>
          <w:rFonts w:ascii="Garamond" w:hAnsi="Garamond"/>
          <w:sz w:val="22"/>
          <w:szCs w:val="22"/>
          <w:vertAlign w:val="superscript"/>
        </w:rPr>
        <w:footnoteReference w:id="117"/>
      </w:r>
    </w:p>
    <w:p w14:paraId="3C7503E8" w14:textId="2EF5AC1B" w:rsidR="00B91414" w:rsidRPr="00003CF5" w:rsidRDefault="00737A33" w:rsidP="00C9095C">
      <w:pPr>
        <w:widowControl w:val="0"/>
        <w:tabs>
          <w:tab w:val="right" w:leader="dot" w:pos="9270"/>
        </w:tabs>
        <w:spacing w:line="360" w:lineRule="auto"/>
        <w:ind w:left="-360" w:right="-270" w:firstLine="540"/>
        <w:jc w:val="both"/>
        <w:rPr>
          <w:rFonts w:ascii="Garamond" w:hAnsi="Garamond"/>
          <w:sz w:val="22"/>
          <w:szCs w:val="22"/>
        </w:rPr>
      </w:pPr>
      <w:r>
        <w:rPr>
          <w:rFonts w:ascii="Garamond" w:hAnsi="Garamond"/>
          <w:sz w:val="22"/>
          <w:szCs w:val="22"/>
        </w:rPr>
        <w:t>(51</w:t>
      </w:r>
      <w:r w:rsidR="001E1A81">
        <w:rPr>
          <w:rFonts w:ascii="Garamond" w:hAnsi="Garamond"/>
          <w:sz w:val="22"/>
          <w:szCs w:val="22"/>
        </w:rPr>
        <w:t xml:space="preserve">) </w:t>
      </w:r>
      <w:r>
        <w:rPr>
          <w:rFonts w:ascii="Garamond" w:hAnsi="Garamond"/>
          <w:sz w:val="22"/>
          <w:szCs w:val="22"/>
        </w:rPr>
        <w:tab/>
      </w:r>
      <w:r w:rsidR="00B91414" w:rsidRPr="00003CF5">
        <w:rPr>
          <w:rFonts w:ascii="Garamond" w:hAnsi="Garamond"/>
          <w:sz w:val="22"/>
          <w:szCs w:val="22"/>
        </w:rPr>
        <w:t xml:space="preserve">Although doctors in Malawi are trained in “Post Abortion Care”, they are not given any clear instruction as to when they can </w:t>
      </w:r>
      <w:r w:rsidR="00982145" w:rsidRPr="00003CF5">
        <w:rPr>
          <w:rFonts w:ascii="Garamond" w:hAnsi="Garamond"/>
          <w:sz w:val="22"/>
          <w:szCs w:val="22"/>
        </w:rPr>
        <w:t>legally</w:t>
      </w:r>
      <w:r w:rsidR="00B91414" w:rsidRPr="00003CF5">
        <w:rPr>
          <w:rFonts w:ascii="Garamond" w:hAnsi="Garamond"/>
          <w:sz w:val="22"/>
          <w:szCs w:val="22"/>
        </w:rPr>
        <w:t xml:space="preserve"> do so, leaving the instances of when they use their scientific knowledge of safe abortion limited. The vagueness of Penal Code Section 243 has led to a lack of doctors and public hospitals willing to perform legal abortion procedures.</w:t>
      </w:r>
      <w:r w:rsidR="00B91414" w:rsidRPr="00003CF5">
        <w:rPr>
          <w:rStyle w:val="FootnoteReference"/>
          <w:rFonts w:ascii="Garamond" w:hAnsi="Garamond"/>
          <w:sz w:val="22"/>
          <w:szCs w:val="22"/>
        </w:rPr>
        <w:footnoteReference w:id="118"/>
      </w:r>
      <w:r w:rsidR="00B91414" w:rsidRPr="00003CF5">
        <w:rPr>
          <w:rFonts w:ascii="Garamond" w:hAnsi="Garamond"/>
          <w:sz w:val="22"/>
          <w:szCs w:val="22"/>
        </w:rPr>
        <w:t xml:space="preserve"> Because there is not a comprehensive abortion law, </w:t>
      </w:r>
      <w:r w:rsidR="00FF1F50">
        <w:rPr>
          <w:rFonts w:ascii="Garamond" w:hAnsi="Garamond"/>
          <w:sz w:val="22"/>
          <w:szCs w:val="22"/>
        </w:rPr>
        <w:t>health providers</w:t>
      </w:r>
      <w:r w:rsidR="00B91414" w:rsidRPr="00003CF5">
        <w:rPr>
          <w:rFonts w:ascii="Garamond" w:hAnsi="Garamond"/>
          <w:sz w:val="22"/>
          <w:szCs w:val="22"/>
        </w:rPr>
        <w:t xml:space="preserve"> are independently relied upon to interpret the penal code and understandably end up interpreting the law conservatively for fear of prosecution.</w:t>
      </w:r>
      <w:r w:rsidR="00B91414" w:rsidRPr="00003CF5">
        <w:rPr>
          <w:rFonts w:ascii="Garamond" w:hAnsi="Garamond"/>
          <w:sz w:val="22"/>
          <w:szCs w:val="22"/>
          <w:vertAlign w:val="superscript"/>
        </w:rPr>
        <w:footnoteReference w:id="119"/>
      </w:r>
      <w:r w:rsidR="00B91414" w:rsidRPr="00003CF5">
        <w:rPr>
          <w:rFonts w:ascii="Garamond" w:hAnsi="Garamond"/>
          <w:sz w:val="22"/>
          <w:szCs w:val="22"/>
        </w:rPr>
        <w:t xml:space="preserve"> Besides, educating health providers will also help destigmatize women seeking abortion services.</w:t>
      </w:r>
    </w:p>
    <w:p w14:paraId="7023BD0F" w14:textId="0B00ABB3" w:rsidR="00B91414" w:rsidRPr="00351BF9" w:rsidRDefault="00737A33" w:rsidP="00351BF9">
      <w:pPr>
        <w:widowControl w:val="0"/>
        <w:tabs>
          <w:tab w:val="right" w:leader="dot" w:pos="9270"/>
        </w:tabs>
        <w:spacing w:line="360" w:lineRule="auto"/>
        <w:ind w:left="-360" w:right="-270" w:firstLine="540"/>
        <w:jc w:val="both"/>
        <w:rPr>
          <w:rFonts w:ascii="Garamond" w:hAnsi="Garamond"/>
          <w:i/>
          <w:sz w:val="22"/>
          <w:szCs w:val="22"/>
        </w:rPr>
      </w:pPr>
      <w:r>
        <w:rPr>
          <w:rFonts w:ascii="Garamond" w:hAnsi="Garamond"/>
          <w:sz w:val="22"/>
          <w:szCs w:val="22"/>
        </w:rPr>
        <w:t>(52</w:t>
      </w:r>
      <w:r w:rsidR="001E1A81">
        <w:rPr>
          <w:rFonts w:ascii="Garamond" w:hAnsi="Garamond"/>
          <w:sz w:val="22"/>
          <w:szCs w:val="22"/>
        </w:rPr>
        <w:t xml:space="preserve">) </w:t>
      </w:r>
      <w:r>
        <w:rPr>
          <w:rFonts w:ascii="Garamond" w:hAnsi="Garamond"/>
          <w:sz w:val="22"/>
          <w:szCs w:val="22"/>
        </w:rPr>
        <w:tab/>
      </w:r>
      <w:r w:rsidR="00B91414" w:rsidRPr="00003CF5">
        <w:rPr>
          <w:rFonts w:ascii="Garamond" w:hAnsi="Garamond"/>
          <w:sz w:val="22"/>
          <w:szCs w:val="22"/>
        </w:rPr>
        <w:t xml:space="preserve">It should be noted that </w:t>
      </w:r>
      <w:r w:rsidR="00C9095C" w:rsidRPr="00003CF5">
        <w:rPr>
          <w:rFonts w:ascii="Garamond" w:hAnsi="Garamond"/>
          <w:sz w:val="22"/>
          <w:szCs w:val="22"/>
        </w:rPr>
        <w:t xml:space="preserve">Malawi’s </w:t>
      </w:r>
      <w:r w:rsidR="00B91414" w:rsidRPr="00003CF5">
        <w:rPr>
          <w:rFonts w:ascii="Garamond" w:hAnsi="Garamond"/>
          <w:sz w:val="22"/>
          <w:szCs w:val="22"/>
        </w:rPr>
        <w:t xml:space="preserve">Ministry of Health </w:t>
      </w:r>
      <w:r w:rsidR="00B91414" w:rsidRPr="00547118">
        <w:rPr>
          <w:rFonts w:ascii="Garamond" w:hAnsi="Garamond"/>
          <w:i/>
          <w:sz w:val="22"/>
          <w:szCs w:val="22"/>
        </w:rPr>
        <w:t xml:space="preserve">Standards and Guidelines for </w:t>
      </w:r>
      <w:r w:rsidR="00FF1F50" w:rsidRPr="00547118">
        <w:rPr>
          <w:rFonts w:ascii="Garamond" w:hAnsi="Garamond"/>
          <w:i/>
          <w:sz w:val="22"/>
          <w:szCs w:val="22"/>
        </w:rPr>
        <w:t xml:space="preserve">Post </w:t>
      </w:r>
      <w:r w:rsidR="00B91414" w:rsidRPr="00547118">
        <w:rPr>
          <w:rFonts w:ascii="Garamond" w:hAnsi="Garamond"/>
          <w:i/>
          <w:sz w:val="22"/>
          <w:szCs w:val="22"/>
        </w:rPr>
        <w:t>Abortion Care</w:t>
      </w:r>
      <w:r w:rsidR="00B91414" w:rsidRPr="00003CF5">
        <w:rPr>
          <w:rFonts w:ascii="Garamond" w:hAnsi="Garamond"/>
          <w:sz w:val="22"/>
          <w:szCs w:val="22"/>
        </w:rPr>
        <w:t xml:space="preserve"> are not provided to the </w:t>
      </w:r>
      <w:r w:rsidR="00982145" w:rsidRPr="00003CF5">
        <w:rPr>
          <w:rFonts w:ascii="Garamond" w:hAnsi="Garamond"/>
          <w:sz w:val="22"/>
          <w:szCs w:val="22"/>
        </w:rPr>
        <w:t>public</w:t>
      </w:r>
      <w:r w:rsidR="00B91414" w:rsidRPr="00003CF5">
        <w:rPr>
          <w:rFonts w:ascii="Garamond" w:hAnsi="Garamond"/>
          <w:sz w:val="22"/>
          <w:szCs w:val="22"/>
        </w:rPr>
        <w:t>. Arguably, Article 15 of the Covenant requires that such information is provided also to the general population, not just to doctors. If women are to enjoy the benefits of scientific research</w:t>
      </w:r>
      <w:r w:rsidR="00B91414" w:rsidRPr="00003CF5">
        <w:rPr>
          <w:rStyle w:val="FootnoteReference"/>
          <w:rFonts w:ascii="Garamond" w:hAnsi="Garamond"/>
          <w:sz w:val="22"/>
          <w:szCs w:val="22"/>
        </w:rPr>
        <w:footnoteReference w:id="120"/>
      </w:r>
      <w:r w:rsidR="00B91414" w:rsidRPr="00003CF5">
        <w:rPr>
          <w:rFonts w:ascii="Garamond" w:hAnsi="Garamond"/>
          <w:sz w:val="22"/>
          <w:szCs w:val="22"/>
        </w:rPr>
        <w:t>, they must be informed in what qualifies them to access a legal abortion. Women need to know under what conditions they can seek a safe and legal abortion.</w:t>
      </w:r>
    </w:p>
    <w:p w14:paraId="2618EA3A" w14:textId="77777777" w:rsidR="00B91414" w:rsidRPr="00003CF5" w:rsidRDefault="00B91414" w:rsidP="00C9095C">
      <w:pPr>
        <w:pStyle w:val="Heading1"/>
        <w:tabs>
          <w:tab w:val="right" w:leader="dot" w:pos="9270"/>
        </w:tabs>
        <w:ind w:left="-360" w:right="-270" w:firstLine="540"/>
        <w:rPr>
          <w:sz w:val="22"/>
          <w:szCs w:val="22"/>
        </w:rPr>
      </w:pPr>
      <w:bookmarkStart w:id="11" w:name="_Toc123043567"/>
      <w:r w:rsidRPr="00003CF5">
        <w:rPr>
          <w:sz w:val="22"/>
          <w:szCs w:val="22"/>
        </w:rPr>
        <w:t>RECOMMENDATIONS</w:t>
      </w:r>
      <w:bookmarkEnd w:id="11"/>
    </w:p>
    <w:p w14:paraId="24DE7DA0" w14:textId="27D949F6" w:rsidR="00B91414" w:rsidRPr="00003CF5" w:rsidRDefault="00B91414" w:rsidP="00C9095C">
      <w:pPr>
        <w:pStyle w:val="NormalWeb"/>
        <w:widowControl w:val="0"/>
        <w:tabs>
          <w:tab w:val="right" w:leader="dot" w:pos="9270"/>
        </w:tabs>
        <w:spacing w:before="0" w:beforeAutospacing="0" w:after="0" w:afterAutospacing="0" w:line="360" w:lineRule="auto"/>
        <w:ind w:left="-360" w:right="-270" w:firstLine="540"/>
        <w:jc w:val="both"/>
        <w:rPr>
          <w:rFonts w:ascii="Garamond" w:hAnsi="Garamond"/>
          <w:sz w:val="22"/>
          <w:szCs w:val="22"/>
        </w:rPr>
      </w:pPr>
      <w:r w:rsidRPr="00003CF5">
        <w:rPr>
          <w:rFonts w:ascii="Garamond" w:hAnsi="Garamond"/>
          <w:sz w:val="22"/>
          <w:szCs w:val="22"/>
        </w:rPr>
        <w:t>(</w:t>
      </w:r>
      <w:r w:rsidR="00737A33">
        <w:rPr>
          <w:rFonts w:ascii="Garamond" w:hAnsi="Garamond"/>
          <w:sz w:val="22"/>
          <w:szCs w:val="22"/>
        </w:rPr>
        <w:t>53</w:t>
      </w:r>
      <w:r w:rsidR="001E1A81">
        <w:rPr>
          <w:rFonts w:ascii="Garamond" w:hAnsi="Garamond"/>
          <w:sz w:val="22"/>
          <w:szCs w:val="22"/>
        </w:rPr>
        <w:t xml:space="preserve">) </w:t>
      </w:r>
      <w:r w:rsidRPr="00003CF5">
        <w:rPr>
          <w:rStyle w:val="apple-tab-span"/>
          <w:rFonts w:ascii="Garamond" w:hAnsi="Garamond"/>
          <w:sz w:val="22"/>
          <w:szCs w:val="22"/>
        </w:rPr>
        <w:tab/>
      </w:r>
      <w:r w:rsidRPr="00003CF5">
        <w:rPr>
          <w:rFonts w:ascii="Garamond" w:hAnsi="Garamond"/>
          <w:sz w:val="22"/>
          <w:szCs w:val="22"/>
        </w:rPr>
        <w:t>We respectfully recommend this Honorable Committee include at least one of the following questions in the List of Issues it will prepare for Malawi.</w:t>
      </w:r>
    </w:p>
    <w:p w14:paraId="068632B4" w14:textId="414E29BB" w:rsidR="00B91414" w:rsidRDefault="00B91414" w:rsidP="00C9095C">
      <w:pPr>
        <w:pStyle w:val="NormalWeb"/>
        <w:widowControl w:val="0"/>
        <w:tabs>
          <w:tab w:val="right" w:leader="dot" w:pos="9270"/>
        </w:tabs>
        <w:spacing w:before="0" w:beforeAutospacing="0" w:after="0" w:afterAutospacing="0" w:line="360" w:lineRule="auto"/>
        <w:ind w:left="-360" w:right="-270" w:firstLine="540"/>
        <w:jc w:val="both"/>
        <w:rPr>
          <w:rFonts w:ascii="Garamond" w:hAnsi="Garamond"/>
          <w:b/>
          <w:i/>
          <w:sz w:val="22"/>
          <w:szCs w:val="22"/>
        </w:rPr>
      </w:pPr>
      <w:r w:rsidRPr="00D0100D">
        <w:rPr>
          <w:rFonts w:ascii="Garamond" w:hAnsi="Garamond"/>
          <w:b/>
          <w:i/>
          <w:sz w:val="22"/>
          <w:szCs w:val="22"/>
        </w:rPr>
        <w:t xml:space="preserve">1. </w:t>
      </w:r>
      <w:r w:rsidRPr="00D0100D">
        <w:rPr>
          <w:rStyle w:val="apple-tab-span"/>
          <w:rFonts w:ascii="Garamond" w:hAnsi="Garamond"/>
          <w:b/>
          <w:i/>
          <w:sz w:val="22"/>
          <w:szCs w:val="22"/>
        </w:rPr>
        <w:tab/>
      </w:r>
      <w:r w:rsidRPr="00D0100D">
        <w:rPr>
          <w:rFonts w:ascii="Garamond" w:hAnsi="Garamond"/>
          <w:b/>
          <w:i/>
          <w:sz w:val="22"/>
          <w:szCs w:val="22"/>
        </w:rPr>
        <w:t xml:space="preserve">Please explain </w:t>
      </w:r>
      <w:r w:rsidR="00310FBE">
        <w:rPr>
          <w:rFonts w:ascii="Garamond" w:hAnsi="Garamond"/>
          <w:b/>
          <w:i/>
          <w:sz w:val="22"/>
          <w:szCs w:val="22"/>
        </w:rPr>
        <w:t xml:space="preserve">whether Malawi has put in place measures or </w:t>
      </w:r>
      <w:r w:rsidRPr="00D0100D">
        <w:rPr>
          <w:rFonts w:ascii="Garamond" w:hAnsi="Garamond"/>
          <w:b/>
          <w:i/>
          <w:sz w:val="22"/>
          <w:szCs w:val="22"/>
        </w:rPr>
        <w:t>what steps Malawi intends to take to ensure availability and access to abortion by all women, and in particular women living in rural areas and to education to physicians in public hospitals</w:t>
      </w:r>
      <w:r w:rsidR="00C9095C" w:rsidRPr="00D0100D">
        <w:rPr>
          <w:rFonts w:ascii="Garamond" w:hAnsi="Garamond"/>
          <w:b/>
          <w:i/>
          <w:sz w:val="22"/>
          <w:szCs w:val="22"/>
        </w:rPr>
        <w:t>.</w:t>
      </w:r>
    </w:p>
    <w:p w14:paraId="6553D31E" w14:textId="77777777" w:rsidR="00B91414" w:rsidRPr="00D0100D" w:rsidRDefault="00B91414" w:rsidP="00C9095C">
      <w:pPr>
        <w:pStyle w:val="NormalWeb"/>
        <w:widowControl w:val="0"/>
        <w:tabs>
          <w:tab w:val="right" w:leader="dot" w:pos="9270"/>
        </w:tabs>
        <w:spacing w:before="0" w:beforeAutospacing="0" w:after="0" w:afterAutospacing="0" w:line="360" w:lineRule="auto"/>
        <w:ind w:left="-360" w:right="-270" w:firstLine="540"/>
        <w:jc w:val="both"/>
        <w:rPr>
          <w:rFonts w:ascii="Garamond" w:hAnsi="Garamond"/>
          <w:b/>
          <w:i/>
          <w:sz w:val="22"/>
          <w:szCs w:val="22"/>
        </w:rPr>
      </w:pPr>
      <w:r w:rsidRPr="00D0100D">
        <w:rPr>
          <w:rFonts w:ascii="Garamond" w:hAnsi="Garamond"/>
          <w:b/>
          <w:i/>
          <w:sz w:val="22"/>
          <w:szCs w:val="22"/>
        </w:rPr>
        <w:t xml:space="preserve">2. </w:t>
      </w:r>
      <w:r w:rsidRPr="00D0100D">
        <w:rPr>
          <w:rStyle w:val="apple-tab-span"/>
          <w:rFonts w:ascii="Garamond" w:hAnsi="Garamond"/>
          <w:b/>
          <w:i/>
          <w:sz w:val="22"/>
          <w:szCs w:val="22"/>
        </w:rPr>
        <w:tab/>
      </w:r>
      <w:r w:rsidRPr="00D0100D">
        <w:rPr>
          <w:rFonts w:ascii="Garamond" w:hAnsi="Garamond"/>
          <w:b/>
          <w:i/>
          <w:sz w:val="22"/>
          <w:szCs w:val="22"/>
        </w:rPr>
        <w:t>Please explain what steps Malawi intends to take to clarify the circumstances under which abortion can lawfully take place in Malawi so as to ensure availability and access to abortion by all women, and in particular women living in rural areas.</w:t>
      </w:r>
    </w:p>
    <w:p w14:paraId="5BD71AC9" w14:textId="77777777" w:rsidR="00B91414" w:rsidRPr="00D0100D" w:rsidRDefault="00B91414" w:rsidP="00C9095C">
      <w:pPr>
        <w:pStyle w:val="NormalWeb"/>
        <w:widowControl w:val="0"/>
        <w:tabs>
          <w:tab w:val="right" w:leader="dot" w:pos="9270"/>
        </w:tabs>
        <w:spacing w:before="0" w:beforeAutospacing="0" w:after="0" w:afterAutospacing="0" w:line="360" w:lineRule="auto"/>
        <w:ind w:left="-360" w:right="-270" w:firstLine="540"/>
        <w:jc w:val="both"/>
        <w:rPr>
          <w:rFonts w:ascii="Garamond" w:hAnsi="Garamond"/>
          <w:b/>
          <w:i/>
          <w:sz w:val="22"/>
          <w:szCs w:val="22"/>
        </w:rPr>
      </w:pPr>
      <w:r w:rsidRPr="00D0100D">
        <w:rPr>
          <w:rFonts w:ascii="Garamond" w:hAnsi="Garamond"/>
          <w:b/>
          <w:i/>
          <w:sz w:val="22"/>
          <w:szCs w:val="22"/>
        </w:rPr>
        <w:t xml:space="preserve">3. Please repeal </w:t>
      </w:r>
      <w:r w:rsidRPr="00D0100D">
        <w:rPr>
          <w:rFonts w:ascii="Garamond" w:eastAsia="Times New Roman" w:hAnsi="Garamond"/>
          <w:b/>
          <w:i/>
          <w:sz w:val="22"/>
          <w:szCs w:val="22"/>
        </w:rPr>
        <w:t>Articles 149</w:t>
      </w:r>
      <w:r w:rsidRPr="00D0100D">
        <w:rPr>
          <w:rFonts w:ascii="Garamond" w:hAnsi="Garamond"/>
          <w:b/>
          <w:i/>
          <w:sz w:val="22"/>
          <w:szCs w:val="22"/>
        </w:rPr>
        <w:t xml:space="preserve">, 150 &amp; </w:t>
      </w:r>
      <w:r w:rsidRPr="00D0100D">
        <w:rPr>
          <w:rFonts w:ascii="Garamond" w:eastAsia="Times New Roman" w:hAnsi="Garamond"/>
          <w:b/>
          <w:i/>
          <w:sz w:val="22"/>
          <w:szCs w:val="22"/>
        </w:rPr>
        <w:t>15</w:t>
      </w:r>
      <w:r w:rsidRPr="00D0100D">
        <w:rPr>
          <w:rFonts w:ascii="Garamond" w:hAnsi="Garamond"/>
          <w:b/>
          <w:i/>
          <w:sz w:val="22"/>
          <w:szCs w:val="22"/>
        </w:rPr>
        <w:t>1 of the Penal Code so that no criminal charges can be brought against women and girls who undergo abortion or against qualified health care professionals and all others who provide and assist in the abortion.</w:t>
      </w:r>
    </w:p>
    <w:p w14:paraId="662B78A5" w14:textId="137BC032" w:rsidR="00B91414" w:rsidRPr="00D0100D" w:rsidRDefault="00B91414" w:rsidP="00C9095C">
      <w:pPr>
        <w:pStyle w:val="NormalWeb"/>
        <w:widowControl w:val="0"/>
        <w:tabs>
          <w:tab w:val="right" w:leader="dot" w:pos="9270"/>
        </w:tabs>
        <w:spacing w:before="0" w:beforeAutospacing="0" w:after="0" w:afterAutospacing="0" w:line="360" w:lineRule="auto"/>
        <w:ind w:left="-360" w:right="-270" w:firstLine="540"/>
        <w:jc w:val="both"/>
        <w:rPr>
          <w:rFonts w:ascii="Garamond" w:hAnsi="Garamond"/>
          <w:b/>
          <w:i/>
          <w:sz w:val="22"/>
          <w:szCs w:val="22"/>
        </w:rPr>
      </w:pPr>
      <w:r w:rsidRPr="00D0100D">
        <w:rPr>
          <w:rFonts w:ascii="Garamond" w:hAnsi="Garamond"/>
          <w:b/>
          <w:i/>
          <w:sz w:val="22"/>
          <w:szCs w:val="22"/>
        </w:rPr>
        <w:t xml:space="preserve">4. Please provide up-to-date information on the number of women and </w:t>
      </w:r>
      <w:r w:rsidR="00FF1F50">
        <w:rPr>
          <w:rFonts w:ascii="Garamond" w:hAnsi="Garamond"/>
          <w:b/>
          <w:i/>
          <w:sz w:val="22"/>
          <w:szCs w:val="22"/>
        </w:rPr>
        <w:t xml:space="preserve">health </w:t>
      </w:r>
      <w:r w:rsidR="00547118">
        <w:rPr>
          <w:rFonts w:ascii="Garamond" w:hAnsi="Garamond"/>
          <w:b/>
          <w:i/>
          <w:sz w:val="22"/>
          <w:szCs w:val="22"/>
        </w:rPr>
        <w:t>providers</w:t>
      </w:r>
      <w:r w:rsidRPr="00D0100D">
        <w:rPr>
          <w:rFonts w:ascii="Garamond" w:hAnsi="Garamond"/>
          <w:b/>
          <w:i/>
          <w:sz w:val="22"/>
          <w:szCs w:val="22"/>
        </w:rPr>
        <w:t xml:space="preserve"> who have been prosecuted for abortion-related crimes.</w:t>
      </w:r>
    </w:p>
    <w:p w14:paraId="648FFB7D" w14:textId="2261E316" w:rsidR="00654E11" w:rsidRPr="00D0100D" w:rsidRDefault="00A258F7" w:rsidP="00C9095C">
      <w:pPr>
        <w:pStyle w:val="NormalWeb"/>
        <w:widowControl w:val="0"/>
        <w:tabs>
          <w:tab w:val="right" w:leader="dot" w:pos="9270"/>
        </w:tabs>
        <w:spacing w:before="0" w:beforeAutospacing="0" w:after="0" w:afterAutospacing="0" w:line="360" w:lineRule="auto"/>
        <w:ind w:left="-360" w:right="-270" w:firstLine="540"/>
        <w:jc w:val="both"/>
        <w:rPr>
          <w:rFonts w:ascii="Garamond" w:hAnsi="Garamond"/>
          <w:b/>
          <w:i/>
          <w:sz w:val="22"/>
          <w:szCs w:val="22"/>
        </w:rPr>
      </w:pPr>
      <w:r w:rsidRPr="00D0100D">
        <w:rPr>
          <w:rFonts w:ascii="Garamond" w:hAnsi="Garamond"/>
          <w:b/>
          <w:i/>
          <w:sz w:val="22"/>
          <w:szCs w:val="22"/>
        </w:rPr>
        <w:t>5</w:t>
      </w:r>
      <w:r w:rsidR="00B91414" w:rsidRPr="00D0100D">
        <w:rPr>
          <w:rFonts w:ascii="Garamond" w:hAnsi="Garamond"/>
          <w:b/>
          <w:i/>
          <w:sz w:val="22"/>
          <w:szCs w:val="22"/>
        </w:rPr>
        <w:t>. Please provide up-to-date data on maternal mortality and abortion complications.</w:t>
      </w:r>
    </w:p>
    <w:sectPr w:rsidR="00654E11" w:rsidRPr="00D0100D" w:rsidSect="006658BC">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1185D6" w14:textId="77777777" w:rsidR="00C85111" w:rsidRDefault="00C85111" w:rsidP="00B91414">
      <w:r>
        <w:separator/>
      </w:r>
    </w:p>
  </w:endnote>
  <w:endnote w:type="continuationSeparator" w:id="0">
    <w:p w14:paraId="2F1F0450" w14:textId="77777777" w:rsidR="00C85111" w:rsidRDefault="00C85111" w:rsidP="00B914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aramond">
    <w:panose1 w:val="02020404030301010803"/>
    <w:charset w:val="00"/>
    <w:family w:val="roman"/>
    <w:pitch w:val="variable"/>
    <w:sig w:usb0="00000287" w:usb1="00000002" w:usb2="00000000" w:usb3="00000000" w:csb0="0000009F" w:csb1="00000000"/>
  </w:font>
  <w:font w:name="Segoe UI">
    <w:panose1 w:val="020B0604020202020204"/>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061711"/>
      <w:docPartObj>
        <w:docPartGallery w:val="Page Numbers (Bottom of Page)"/>
        <w:docPartUnique/>
      </w:docPartObj>
    </w:sdtPr>
    <w:sdtEndPr>
      <w:rPr>
        <w:noProof/>
      </w:rPr>
    </w:sdtEndPr>
    <w:sdtContent>
      <w:p w14:paraId="28367D71" w14:textId="4BA40BF4" w:rsidR="00C4441B" w:rsidRDefault="00C4441B" w:rsidP="006658BC">
        <w:pPr>
          <w:pStyle w:val="Footer"/>
          <w:jc w:val="center"/>
        </w:pPr>
        <w:r>
          <w:fldChar w:fldCharType="begin"/>
        </w:r>
        <w:r>
          <w:instrText xml:space="preserve"> PAGE   \* MERGEFORMAT </w:instrText>
        </w:r>
        <w:r>
          <w:fldChar w:fldCharType="separate"/>
        </w:r>
        <w:r>
          <w:rPr>
            <w:noProof/>
          </w:rPr>
          <w:t>16</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AD315D" w14:textId="77777777" w:rsidR="00C85111" w:rsidRDefault="00C85111" w:rsidP="00B91414">
      <w:r>
        <w:separator/>
      </w:r>
    </w:p>
  </w:footnote>
  <w:footnote w:type="continuationSeparator" w:id="0">
    <w:p w14:paraId="347C8E32" w14:textId="77777777" w:rsidR="00C85111" w:rsidRDefault="00C85111" w:rsidP="00B91414">
      <w:r>
        <w:continuationSeparator/>
      </w:r>
    </w:p>
  </w:footnote>
  <w:footnote w:id="1">
    <w:p w14:paraId="468243B3" w14:textId="35C5696E" w:rsidR="00C4441B" w:rsidRPr="008F6D10" w:rsidRDefault="00C4441B" w:rsidP="00B91414">
      <w:pPr>
        <w:pStyle w:val="FootnoteText"/>
        <w:rPr>
          <w:rFonts w:ascii="Garamond" w:hAnsi="Garamond"/>
        </w:rPr>
      </w:pPr>
      <w:r w:rsidRPr="008F6D10">
        <w:rPr>
          <w:rStyle w:val="FootnoteReference"/>
          <w:rFonts w:ascii="Garamond" w:hAnsi="Garamond"/>
        </w:rPr>
        <w:footnoteRef/>
      </w:r>
      <w:r w:rsidRPr="008F6D10">
        <w:rPr>
          <w:rFonts w:ascii="Garamond" w:hAnsi="Garamond"/>
        </w:rPr>
        <w:t xml:space="preserve"> International Covenant on Economic, Social and Cultural Rights, </w:t>
      </w:r>
      <w:hyperlink r:id="rId1" w:history="1">
        <w:r w:rsidRPr="008F6D10">
          <w:rPr>
            <w:rStyle w:val="Hyperlink"/>
            <w:rFonts w:ascii="Garamond" w:hAnsi="Garamond"/>
          </w:rPr>
          <w:t>https://treaties.un.org/Pages/ViewDetails.aspx?src=IND&amp;mtdsg_no=IV-3&amp;chapter=4</w:t>
        </w:r>
      </w:hyperlink>
      <w:r w:rsidRPr="008F6D10">
        <w:rPr>
          <w:rFonts w:ascii="Garamond" w:hAnsi="Garamond"/>
        </w:rPr>
        <w:t xml:space="preserve"> [accessed 19 Dec 2022].</w:t>
      </w:r>
    </w:p>
  </w:footnote>
  <w:footnote w:id="2">
    <w:p w14:paraId="0E6C0345" w14:textId="3AA11F3E" w:rsidR="00C4441B" w:rsidRPr="008F6D10" w:rsidRDefault="00C4441B" w:rsidP="00B91414">
      <w:pPr>
        <w:pStyle w:val="FootnoteText"/>
        <w:rPr>
          <w:rFonts w:ascii="Garamond" w:hAnsi="Garamond"/>
        </w:rPr>
      </w:pPr>
      <w:r w:rsidRPr="008F6D10">
        <w:rPr>
          <w:rStyle w:val="FootnoteReference"/>
          <w:rFonts w:ascii="Garamond" w:hAnsi="Garamond"/>
        </w:rPr>
        <w:footnoteRef/>
      </w:r>
      <w:r w:rsidRPr="008F6D10">
        <w:rPr>
          <w:rFonts w:ascii="Garamond" w:hAnsi="Garamond"/>
        </w:rPr>
        <w:t xml:space="preserve"> Malawi Penal Code Chapter 7:01, Art. 243 Surgical Operation, Chapter XXII Offences endangering life or health. </w:t>
      </w:r>
      <w:hyperlink r:id="rId2" w:history="1">
        <w:r w:rsidRPr="008F6D10">
          <w:rPr>
            <w:rStyle w:val="Hyperlink"/>
            <w:rFonts w:ascii="Garamond" w:hAnsi="Garamond"/>
          </w:rPr>
          <w:t>https://www.malawilii.org/akn/mw/act/1929/22/eng%402014-12-31</w:t>
        </w:r>
      </w:hyperlink>
      <w:r w:rsidRPr="008F6D10">
        <w:rPr>
          <w:rFonts w:ascii="Garamond" w:hAnsi="Garamond"/>
        </w:rPr>
        <w:t xml:space="preserve"> [accessed 17 Dec 2022].</w:t>
      </w:r>
    </w:p>
  </w:footnote>
  <w:footnote w:id="3">
    <w:p w14:paraId="60C62E5A" w14:textId="60CFD2F5" w:rsidR="00C4441B" w:rsidRPr="008F6D10" w:rsidRDefault="00C4441B" w:rsidP="00B91414">
      <w:pPr>
        <w:rPr>
          <w:sz w:val="20"/>
          <w:szCs w:val="20"/>
        </w:rPr>
      </w:pPr>
      <w:r w:rsidRPr="008F6D10">
        <w:rPr>
          <w:rFonts w:ascii="Garamond" w:hAnsi="Garamond"/>
          <w:sz w:val="20"/>
          <w:szCs w:val="20"/>
          <w:vertAlign w:val="superscript"/>
        </w:rPr>
        <w:footnoteRef/>
      </w:r>
      <w:r w:rsidRPr="008F6D10">
        <w:rPr>
          <w:rFonts w:ascii="Garamond" w:hAnsi="Garamond"/>
          <w:sz w:val="20"/>
          <w:szCs w:val="20"/>
        </w:rPr>
        <w:t xml:space="preserve"> Guttmacher Institute,</w:t>
      </w:r>
      <w:r w:rsidRPr="008F6D10">
        <w:rPr>
          <w:rFonts w:ascii="Garamond" w:hAnsi="Garamond"/>
          <w:i/>
          <w:iCs/>
          <w:sz w:val="20"/>
          <w:szCs w:val="20"/>
        </w:rPr>
        <w:t xml:space="preserve"> Clandestine and Unsafe Abortion Common in Malawi</w:t>
      </w:r>
      <w:r w:rsidRPr="008F6D10">
        <w:rPr>
          <w:rFonts w:ascii="Garamond" w:hAnsi="Garamond"/>
          <w:sz w:val="20"/>
          <w:szCs w:val="20"/>
        </w:rPr>
        <w:t xml:space="preserve">, News Release (April 4, 2017), </w:t>
      </w:r>
      <w:hyperlink r:id="rId3" w:history="1">
        <w:r w:rsidRPr="008F6D10">
          <w:rPr>
            <w:rStyle w:val="Hyperlink"/>
            <w:sz w:val="20"/>
            <w:szCs w:val="20"/>
          </w:rPr>
          <w:t>https://www.guttmacher.org/news-release/2017/clandestine-and-unsafe-abortion-common-malawi</w:t>
        </w:r>
      </w:hyperlink>
      <w:r w:rsidRPr="00513584">
        <w:rPr>
          <w:rStyle w:val="Hyperlink"/>
          <w:rFonts w:ascii="Garamond" w:hAnsi="Garamond"/>
          <w:sz w:val="20"/>
          <w:szCs w:val="20"/>
          <w:u w:val="none"/>
        </w:rPr>
        <w:t xml:space="preserve"> </w:t>
      </w:r>
      <w:r w:rsidRPr="00513584">
        <w:rPr>
          <w:rFonts w:ascii="Garamond" w:hAnsi="Garamond"/>
          <w:color w:val="000000" w:themeColor="text1"/>
          <w:sz w:val="20"/>
          <w:szCs w:val="20"/>
        </w:rPr>
        <w:t xml:space="preserve">[accessed </w:t>
      </w:r>
      <w:r>
        <w:rPr>
          <w:rFonts w:ascii="Garamond" w:hAnsi="Garamond"/>
          <w:color w:val="000000" w:themeColor="text1"/>
          <w:sz w:val="20"/>
          <w:szCs w:val="20"/>
        </w:rPr>
        <w:t>28</w:t>
      </w:r>
      <w:r w:rsidRPr="00513584">
        <w:rPr>
          <w:rFonts w:ascii="Garamond" w:hAnsi="Garamond"/>
          <w:color w:val="000000" w:themeColor="text1"/>
          <w:sz w:val="20"/>
          <w:szCs w:val="20"/>
        </w:rPr>
        <w:t xml:space="preserve"> Dec 2022].</w:t>
      </w:r>
      <w:r w:rsidRPr="008F6D10">
        <w:rPr>
          <w:rFonts w:ascii="Garamond" w:hAnsi="Garamond"/>
          <w:sz w:val="20"/>
          <w:szCs w:val="20"/>
        </w:rPr>
        <w:t xml:space="preserve"> </w:t>
      </w:r>
    </w:p>
  </w:footnote>
  <w:footnote w:id="4">
    <w:p w14:paraId="2DED2D0E" w14:textId="73E67D27" w:rsidR="00C4441B" w:rsidRPr="008F6D10" w:rsidRDefault="00C4441B" w:rsidP="00B91414">
      <w:pPr>
        <w:rPr>
          <w:rFonts w:ascii="Garamond" w:hAnsi="Garamond"/>
          <w:sz w:val="20"/>
          <w:szCs w:val="20"/>
        </w:rPr>
      </w:pPr>
      <w:r w:rsidRPr="008F6D10">
        <w:rPr>
          <w:rFonts w:ascii="Garamond" w:hAnsi="Garamond"/>
          <w:sz w:val="20"/>
          <w:szCs w:val="20"/>
          <w:vertAlign w:val="superscript"/>
        </w:rPr>
        <w:footnoteRef/>
      </w:r>
      <w:r w:rsidRPr="008F6D10">
        <w:rPr>
          <w:rFonts w:ascii="Garamond" w:hAnsi="Garamond"/>
          <w:sz w:val="20"/>
          <w:szCs w:val="20"/>
        </w:rPr>
        <w:t xml:space="preserve"> </w:t>
      </w:r>
      <w:r w:rsidRPr="008F6D10">
        <w:rPr>
          <w:rFonts w:ascii="Garamond" w:hAnsi="Garamond"/>
          <w:i/>
          <w:iCs/>
          <w:sz w:val="20"/>
          <w:szCs w:val="20"/>
        </w:rPr>
        <w:t>Id.</w:t>
      </w:r>
      <w:r w:rsidRPr="008F6D10">
        <w:rPr>
          <w:rFonts w:ascii="Garamond" w:hAnsi="Garamond"/>
          <w:sz w:val="20"/>
          <w:szCs w:val="20"/>
        </w:rPr>
        <w:t xml:space="preserve"> </w:t>
      </w:r>
    </w:p>
  </w:footnote>
  <w:footnote w:id="5">
    <w:p w14:paraId="7EE63D4F" w14:textId="3A696634" w:rsidR="00C4441B" w:rsidRPr="008F6D10" w:rsidRDefault="00C4441B" w:rsidP="00B91414">
      <w:pPr>
        <w:rPr>
          <w:rFonts w:ascii="Garamond" w:hAnsi="Garamond"/>
          <w:sz w:val="20"/>
          <w:szCs w:val="20"/>
        </w:rPr>
      </w:pPr>
      <w:r w:rsidRPr="008F6D10">
        <w:rPr>
          <w:rFonts w:ascii="Garamond" w:hAnsi="Garamond"/>
          <w:sz w:val="20"/>
          <w:szCs w:val="20"/>
          <w:vertAlign w:val="superscript"/>
        </w:rPr>
        <w:footnoteRef/>
      </w:r>
      <w:r w:rsidRPr="008F6D10">
        <w:rPr>
          <w:rFonts w:ascii="Garamond" w:hAnsi="Garamond"/>
          <w:sz w:val="20"/>
          <w:szCs w:val="20"/>
        </w:rPr>
        <w:t xml:space="preserve"> Rachel N. Pine, </w:t>
      </w:r>
      <w:r w:rsidRPr="008F6D10">
        <w:rPr>
          <w:rFonts w:ascii="Garamond" w:hAnsi="Garamond"/>
          <w:i/>
          <w:sz w:val="20"/>
          <w:szCs w:val="20"/>
        </w:rPr>
        <w:t>Achieving Public Health Objectives through Family Planning Services</w:t>
      </w:r>
      <w:r w:rsidRPr="008F6D10">
        <w:rPr>
          <w:rFonts w:ascii="Garamond" w:hAnsi="Garamond"/>
          <w:sz w:val="20"/>
          <w:szCs w:val="20"/>
        </w:rPr>
        <w:t>, 1 Reproductive Health Matters 2 (November 1993) at 79,</w:t>
      </w:r>
      <w:r>
        <w:rPr>
          <w:rFonts w:ascii="Garamond" w:hAnsi="Garamond"/>
          <w:sz w:val="20"/>
          <w:szCs w:val="20"/>
        </w:rPr>
        <w:t xml:space="preserve"> </w:t>
      </w:r>
      <w:hyperlink r:id="rId4" w:history="1">
        <w:r w:rsidRPr="006A7D0E">
          <w:rPr>
            <w:rStyle w:val="Hyperlink"/>
            <w:rFonts w:ascii="Garamond" w:hAnsi="Garamond"/>
            <w:sz w:val="20"/>
            <w:szCs w:val="20"/>
          </w:rPr>
          <w:t>https://www.sciencedirect.com/science/article/abs/pii/096880809390010Q</w:t>
        </w:r>
      </w:hyperlink>
      <w:r>
        <w:rPr>
          <w:rStyle w:val="Hyperlink"/>
          <w:rFonts w:ascii="Garamond" w:hAnsi="Garamond"/>
          <w:sz w:val="20"/>
          <w:szCs w:val="20"/>
          <w:u w:val="none"/>
        </w:rPr>
        <w:t xml:space="preserve"> </w:t>
      </w:r>
      <w:r w:rsidRPr="00513584">
        <w:rPr>
          <w:rFonts w:ascii="Garamond" w:hAnsi="Garamond"/>
          <w:color w:val="000000" w:themeColor="text1"/>
          <w:sz w:val="20"/>
          <w:szCs w:val="20"/>
        </w:rPr>
        <w:t xml:space="preserve">[accessed </w:t>
      </w:r>
      <w:r>
        <w:rPr>
          <w:rFonts w:ascii="Garamond" w:hAnsi="Garamond"/>
          <w:color w:val="000000" w:themeColor="text1"/>
          <w:sz w:val="20"/>
          <w:szCs w:val="20"/>
        </w:rPr>
        <w:t>28</w:t>
      </w:r>
      <w:r w:rsidRPr="00513584">
        <w:rPr>
          <w:rFonts w:ascii="Garamond" w:hAnsi="Garamond"/>
          <w:color w:val="000000" w:themeColor="text1"/>
          <w:sz w:val="20"/>
          <w:szCs w:val="20"/>
        </w:rPr>
        <w:t xml:space="preserve"> Dec 2022]</w:t>
      </w:r>
      <w:r w:rsidRPr="008F6D10">
        <w:rPr>
          <w:rFonts w:ascii="Garamond" w:hAnsi="Garamond"/>
          <w:sz w:val="20"/>
          <w:szCs w:val="20"/>
        </w:rPr>
        <w:t>.</w:t>
      </w:r>
    </w:p>
  </w:footnote>
  <w:footnote w:id="6">
    <w:p w14:paraId="61CB0DFC" w14:textId="585B39D7" w:rsidR="00C4441B" w:rsidRPr="008F6D10" w:rsidRDefault="00C4441B" w:rsidP="00B91414">
      <w:pPr>
        <w:pStyle w:val="FootnoteText"/>
        <w:rPr>
          <w:rFonts w:ascii="Garamond" w:hAnsi="Garamond"/>
          <w:i/>
          <w:iCs/>
        </w:rPr>
      </w:pPr>
      <w:r w:rsidRPr="008F6D10">
        <w:rPr>
          <w:rStyle w:val="FootnoteReference"/>
          <w:rFonts w:ascii="Garamond" w:hAnsi="Garamond"/>
        </w:rPr>
        <w:footnoteRef/>
      </w:r>
      <w:r w:rsidRPr="008F6D10">
        <w:rPr>
          <w:rFonts w:ascii="Garamond" w:hAnsi="Garamond"/>
        </w:rPr>
        <w:t xml:space="preserve"> The Family Planning Association of Malawi found that women there seek abortion for a variety of reasons, including poverty, unplanned pregnancy, coercion, shame, and fear of being forced out of school. Family Planning Association of Malawi, </w:t>
      </w:r>
      <w:r w:rsidRPr="008F6D10">
        <w:rPr>
          <w:rFonts w:ascii="Garamond" w:hAnsi="Garamond"/>
          <w:i/>
          <w:iCs/>
        </w:rPr>
        <w:t>Magnitude, views and perceptions of people on abortion and post abortion care services in four Malawian districts</w:t>
      </w:r>
      <w:r w:rsidRPr="008F6D10">
        <w:rPr>
          <w:rFonts w:ascii="Garamond" w:hAnsi="Garamond"/>
        </w:rPr>
        <w:t>, Paper presented at the Third African Conference on Sexual Health and Rights in Abuja, Nigeria (2008).</w:t>
      </w:r>
      <w:r w:rsidRPr="008F6D10">
        <w:rPr>
          <w:rFonts w:ascii="Garamond" w:hAnsi="Garamond"/>
          <w:i/>
          <w:iCs/>
        </w:rPr>
        <w:t xml:space="preserve"> </w:t>
      </w:r>
    </w:p>
  </w:footnote>
  <w:footnote w:id="7">
    <w:p w14:paraId="45E47A5A" w14:textId="49BA0B5F" w:rsidR="00C4441B" w:rsidRPr="008F6D10" w:rsidRDefault="00C4441B" w:rsidP="00B91414">
      <w:pPr>
        <w:pStyle w:val="FootnoteText"/>
        <w:rPr>
          <w:rFonts w:ascii="Garamond" w:hAnsi="Garamond"/>
        </w:rPr>
      </w:pPr>
      <w:r w:rsidRPr="008F6D10">
        <w:rPr>
          <w:rStyle w:val="FootnoteReference"/>
          <w:rFonts w:ascii="Garamond" w:hAnsi="Garamond"/>
        </w:rPr>
        <w:footnoteRef/>
      </w:r>
      <w:r w:rsidRPr="008F6D10">
        <w:rPr>
          <w:rFonts w:ascii="Garamond" w:hAnsi="Garamond"/>
        </w:rPr>
        <w:t xml:space="preserve"> CESCR Committee, </w:t>
      </w:r>
      <w:r w:rsidRPr="008F6D10">
        <w:rPr>
          <w:rFonts w:ascii="Garamond" w:hAnsi="Garamond"/>
          <w:i/>
          <w:iCs/>
        </w:rPr>
        <w:t>Initial report submitted by Malawi under articles 16 and 17 of the Covenant, due in 1996</w:t>
      </w:r>
      <w:r w:rsidRPr="008F6D10">
        <w:rPr>
          <w:rFonts w:ascii="Garamond" w:hAnsi="Garamond"/>
        </w:rPr>
        <w:t>, para. 17 &amp; 129, U.N. Doc. CESCR/E/C.12/MWI/1 (2022).</w:t>
      </w:r>
    </w:p>
  </w:footnote>
  <w:footnote w:id="8">
    <w:p w14:paraId="6936A78F" w14:textId="4FB67264" w:rsidR="00C4441B" w:rsidRPr="008F6D10" w:rsidRDefault="00C4441B" w:rsidP="00B91414">
      <w:pPr>
        <w:pStyle w:val="FootnoteText"/>
        <w:rPr>
          <w:rFonts w:ascii="Garamond" w:hAnsi="Garamond"/>
          <w:i/>
          <w:iCs/>
        </w:rPr>
      </w:pPr>
      <w:r w:rsidRPr="008F6D10">
        <w:rPr>
          <w:rStyle w:val="FootnoteReference"/>
          <w:rFonts w:ascii="Garamond" w:hAnsi="Garamond"/>
        </w:rPr>
        <w:footnoteRef/>
      </w:r>
      <w:r w:rsidRPr="008F6D10">
        <w:rPr>
          <w:rFonts w:ascii="Garamond" w:hAnsi="Garamond"/>
        </w:rPr>
        <w:t xml:space="preserve"> </w:t>
      </w:r>
      <w:r w:rsidRPr="008F6D10">
        <w:rPr>
          <w:rFonts w:ascii="Garamond" w:hAnsi="Garamond"/>
          <w:bCs/>
          <w:i/>
          <w:iCs/>
        </w:rPr>
        <w:t>Id.</w:t>
      </w:r>
      <w:r w:rsidRPr="008F6D10">
        <w:rPr>
          <w:rFonts w:ascii="Garamond" w:hAnsi="Garamond"/>
          <w:bCs/>
        </w:rPr>
        <w:t xml:space="preserve">; </w:t>
      </w:r>
      <w:r w:rsidRPr="008F6D10">
        <w:rPr>
          <w:rFonts w:ascii="Garamond" w:hAnsi="Garamond"/>
        </w:rPr>
        <w:t xml:space="preserve">The Ministry of Health Malawi has acknowledged that women and girls terminate unwanted pregnancies through unsafe abortions which contributes to 18% of the high maternal mortality rate, which is one of the highest in the regions. Malawi Ministry of Health, </w:t>
      </w:r>
      <w:r w:rsidRPr="008F6D10">
        <w:rPr>
          <w:rFonts w:ascii="Garamond" w:hAnsi="Garamond"/>
          <w:i/>
          <w:iCs/>
        </w:rPr>
        <w:t>Standards and Guidelines for Comprehensive Abortion Care</w:t>
      </w:r>
      <w:r w:rsidRPr="008F6D10">
        <w:rPr>
          <w:rFonts w:ascii="Garamond" w:hAnsi="Garamond"/>
        </w:rPr>
        <w:t xml:space="preserve"> (2020) ; Women and girls who want an abortion often to turn to unsafe abortions due to fear of criminalization. WLSA and Georgetown Law,</w:t>
      </w:r>
      <w:r w:rsidRPr="008F6D10">
        <w:rPr>
          <w:rFonts w:ascii="Garamond" w:hAnsi="Garamond"/>
          <w:i/>
          <w:iCs/>
        </w:rPr>
        <w:t xml:space="preserve"> Through Her Eyes: The Harms of Abortion Criminalization and the Need for Reform</w:t>
      </w:r>
      <w:r w:rsidRPr="008F6D10">
        <w:rPr>
          <w:rFonts w:ascii="Garamond" w:hAnsi="Garamond"/>
        </w:rPr>
        <w:t xml:space="preserve">, p. 6-7, </w:t>
      </w:r>
      <w:hyperlink r:id="rId5" w:history="1">
        <w:r w:rsidRPr="006A7D0E">
          <w:rPr>
            <w:rStyle w:val="Hyperlink"/>
            <w:rFonts w:ascii="Garamond" w:hAnsi="Garamond"/>
          </w:rPr>
          <w:t>https://www.law.georgetown.edu/wp-content/uploads/2020/10/Through-Her-Eyes-The-Harms-of-Abortion-Criminalisation-and-the-Need-for-Reform.pdf</w:t>
        </w:r>
      </w:hyperlink>
      <w:r>
        <w:rPr>
          <w:rStyle w:val="Hyperlink"/>
          <w:rFonts w:ascii="Garamond" w:hAnsi="Garamond"/>
          <w:u w:val="none"/>
        </w:rPr>
        <w:t xml:space="preserve"> </w:t>
      </w:r>
      <w:r w:rsidRPr="00513584">
        <w:rPr>
          <w:rFonts w:ascii="Garamond" w:hAnsi="Garamond"/>
          <w:color w:val="000000" w:themeColor="text1"/>
        </w:rPr>
        <w:t xml:space="preserve">[accessed </w:t>
      </w:r>
      <w:r>
        <w:rPr>
          <w:rFonts w:ascii="Garamond" w:hAnsi="Garamond"/>
          <w:color w:val="000000" w:themeColor="text1"/>
        </w:rPr>
        <w:t>28</w:t>
      </w:r>
      <w:r w:rsidRPr="00513584">
        <w:rPr>
          <w:rFonts w:ascii="Garamond" w:hAnsi="Garamond"/>
          <w:color w:val="000000" w:themeColor="text1"/>
        </w:rPr>
        <w:t xml:space="preserve"> Dec 2022]</w:t>
      </w:r>
      <w:r>
        <w:rPr>
          <w:rFonts w:ascii="Garamond" w:hAnsi="Garamond"/>
        </w:rPr>
        <w:t>.</w:t>
      </w:r>
    </w:p>
  </w:footnote>
  <w:footnote w:id="9">
    <w:p w14:paraId="70C7031F" w14:textId="4A445477" w:rsidR="00C4441B" w:rsidRPr="008F6D10" w:rsidRDefault="00C4441B" w:rsidP="00B91414">
      <w:pPr>
        <w:pStyle w:val="FootnoteText"/>
        <w:rPr>
          <w:rFonts w:ascii="Garamond" w:hAnsi="Garamond"/>
        </w:rPr>
      </w:pPr>
      <w:r w:rsidRPr="008F6D10">
        <w:rPr>
          <w:rStyle w:val="FootnoteReference"/>
          <w:rFonts w:ascii="Garamond" w:hAnsi="Garamond"/>
        </w:rPr>
        <w:footnoteRef/>
      </w:r>
      <w:r w:rsidRPr="008F6D10">
        <w:rPr>
          <w:rFonts w:ascii="Garamond" w:hAnsi="Garamond"/>
        </w:rPr>
        <w:t xml:space="preserve"> CESCR Committee, </w:t>
      </w:r>
      <w:r w:rsidRPr="008F6D10">
        <w:rPr>
          <w:rFonts w:ascii="Garamond" w:hAnsi="Garamond"/>
          <w:i/>
          <w:iCs/>
        </w:rPr>
        <w:t>Initial report submitted by Malawi under articles 16 and 17 of the Covenant</w:t>
      </w:r>
      <w:r w:rsidRPr="008F6D10">
        <w:rPr>
          <w:rFonts w:ascii="Garamond" w:hAnsi="Garamond"/>
        </w:rPr>
        <w:t>,</w:t>
      </w:r>
      <w:r w:rsidRPr="008F6D10">
        <w:rPr>
          <w:rFonts w:ascii="Garamond" w:hAnsi="Garamond"/>
          <w:i/>
          <w:iCs/>
        </w:rPr>
        <w:t xml:space="preserve"> supra </w:t>
      </w:r>
      <w:r w:rsidRPr="008F6D10">
        <w:rPr>
          <w:rFonts w:ascii="Garamond" w:hAnsi="Garamond"/>
        </w:rPr>
        <w:t>note 7.</w:t>
      </w:r>
    </w:p>
  </w:footnote>
  <w:footnote w:id="10">
    <w:p w14:paraId="19A9DF85" w14:textId="2D854F4F" w:rsidR="00C4441B" w:rsidRPr="008F6D10" w:rsidRDefault="00C4441B">
      <w:pPr>
        <w:pStyle w:val="FootnoteText"/>
        <w:rPr>
          <w:rFonts w:ascii="Garamond" w:hAnsi="Garamond"/>
        </w:rPr>
      </w:pPr>
      <w:r w:rsidRPr="008F6D10">
        <w:rPr>
          <w:rStyle w:val="FootnoteReference"/>
          <w:rFonts w:ascii="Garamond" w:hAnsi="Garamond"/>
        </w:rPr>
        <w:footnoteRef/>
      </w:r>
      <w:r w:rsidRPr="008F6D10">
        <w:rPr>
          <w:rFonts w:ascii="Garamond" w:hAnsi="Garamond"/>
        </w:rPr>
        <w:t xml:space="preserve"> </w:t>
      </w:r>
      <w:hyperlink r:id="rId6" w:history="1">
        <w:r w:rsidRPr="006A7D0E">
          <w:rPr>
            <w:rStyle w:val="Hyperlink"/>
          </w:rPr>
          <w:t>https://www.wlsazim.co.zw/</w:t>
        </w:r>
      </w:hyperlink>
      <w:r>
        <w:t xml:space="preserve"> </w:t>
      </w:r>
      <w:r w:rsidRPr="008F6D10">
        <w:rPr>
          <w:rFonts w:ascii="Garamond" w:hAnsi="Garamond"/>
        </w:rPr>
        <w:t xml:space="preserve">[accessed </w:t>
      </w:r>
      <w:r>
        <w:rPr>
          <w:rFonts w:ascii="Garamond" w:hAnsi="Garamond"/>
        </w:rPr>
        <w:t>28</w:t>
      </w:r>
      <w:r w:rsidRPr="008F6D10">
        <w:rPr>
          <w:rFonts w:ascii="Garamond" w:hAnsi="Garamond"/>
        </w:rPr>
        <w:t xml:space="preserve"> Dec 2022]</w:t>
      </w:r>
      <w:r>
        <w:rPr>
          <w:rFonts w:ascii="Garamond" w:hAnsi="Garamond"/>
        </w:rPr>
        <w:t>.</w:t>
      </w:r>
    </w:p>
  </w:footnote>
  <w:footnote w:id="11">
    <w:p w14:paraId="1DCFA4DD" w14:textId="1361AA17" w:rsidR="00C4441B" w:rsidRPr="008F6D10" w:rsidRDefault="00C4441B" w:rsidP="00B91414">
      <w:pPr>
        <w:pStyle w:val="FootnoteText"/>
        <w:rPr>
          <w:rFonts w:ascii="Garamond" w:hAnsi="Garamond"/>
        </w:rPr>
      </w:pPr>
      <w:r w:rsidRPr="008F6D10">
        <w:rPr>
          <w:rStyle w:val="FootnoteReference"/>
          <w:rFonts w:ascii="Garamond" w:hAnsi="Garamond"/>
        </w:rPr>
        <w:footnoteRef/>
      </w:r>
      <w:r w:rsidRPr="008F6D10">
        <w:rPr>
          <w:rFonts w:ascii="Garamond" w:hAnsi="Garamond"/>
        </w:rPr>
        <w:t xml:space="preserve"> Malawi Penal Code Chapter 7:01, Art. 149 Attempts to procure abortion, Chapter VX Offences against morality, </w:t>
      </w:r>
      <w:hyperlink r:id="rId7" w:history="1">
        <w:r w:rsidRPr="006A7D0E">
          <w:rPr>
            <w:rStyle w:val="Hyperlink"/>
            <w:rFonts w:ascii="Garamond" w:hAnsi="Garamond"/>
          </w:rPr>
          <w:t>https://www.malawilii.org/akn/mw/act/1929/22/eng%402014-12-31</w:t>
        </w:r>
      </w:hyperlink>
      <w:r>
        <w:rPr>
          <w:rFonts w:ascii="Garamond" w:hAnsi="Garamond"/>
        </w:rPr>
        <w:t xml:space="preserve"> </w:t>
      </w:r>
      <w:r w:rsidRPr="008F6D10">
        <w:rPr>
          <w:rFonts w:ascii="Garamond" w:hAnsi="Garamond"/>
        </w:rPr>
        <w:t xml:space="preserve">[accessed </w:t>
      </w:r>
      <w:r>
        <w:rPr>
          <w:rFonts w:ascii="Garamond" w:hAnsi="Garamond"/>
        </w:rPr>
        <w:t>28</w:t>
      </w:r>
      <w:r w:rsidRPr="008F6D10">
        <w:rPr>
          <w:rFonts w:ascii="Garamond" w:hAnsi="Garamond"/>
        </w:rPr>
        <w:t xml:space="preserve"> Dec 2022]. </w:t>
      </w:r>
    </w:p>
  </w:footnote>
  <w:footnote w:id="12">
    <w:p w14:paraId="41F47BA4" w14:textId="77777777" w:rsidR="00C4441B" w:rsidRPr="008F6D10" w:rsidRDefault="00C4441B" w:rsidP="00B91414">
      <w:pPr>
        <w:pStyle w:val="FootnoteText"/>
        <w:rPr>
          <w:rFonts w:ascii="Garamond" w:hAnsi="Garamond"/>
        </w:rPr>
      </w:pPr>
      <w:r w:rsidRPr="008F6D10">
        <w:rPr>
          <w:rStyle w:val="FootnoteReference"/>
          <w:rFonts w:ascii="Garamond" w:hAnsi="Garamond"/>
        </w:rPr>
        <w:footnoteRef/>
      </w:r>
      <w:r w:rsidRPr="008F6D10">
        <w:rPr>
          <w:rFonts w:ascii="Garamond" w:hAnsi="Garamond"/>
        </w:rPr>
        <w:t xml:space="preserve"> </w:t>
      </w:r>
      <w:r w:rsidRPr="008F6D10">
        <w:rPr>
          <w:rFonts w:ascii="Garamond" w:hAnsi="Garamond"/>
          <w:i/>
          <w:iCs/>
        </w:rPr>
        <w:t>Id.</w:t>
      </w:r>
      <w:r w:rsidRPr="008F6D10">
        <w:rPr>
          <w:rFonts w:ascii="Garamond" w:hAnsi="Garamond"/>
        </w:rPr>
        <w:t xml:space="preserve"> at Art. 150 The like by woman with child.</w:t>
      </w:r>
    </w:p>
  </w:footnote>
  <w:footnote w:id="13">
    <w:p w14:paraId="5B3815BF" w14:textId="77777777" w:rsidR="00C4441B" w:rsidRPr="008F6D10" w:rsidRDefault="00C4441B" w:rsidP="00B91414">
      <w:pPr>
        <w:pStyle w:val="FootnoteText"/>
        <w:rPr>
          <w:rFonts w:ascii="Garamond" w:hAnsi="Garamond"/>
        </w:rPr>
      </w:pPr>
      <w:r w:rsidRPr="008F6D10">
        <w:rPr>
          <w:rStyle w:val="FootnoteReference"/>
          <w:rFonts w:ascii="Garamond" w:hAnsi="Garamond"/>
        </w:rPr>
        <w:footnoteRef/>
      </w:r>
      <w:r w:rsidRPr="008F6D10">
        <w:rPr>
          <w:rFonts w:ascii="Garamond" w:hAnsi="Garamond"/>
        </w:rPr>
        <w:t xml:space="preserve"> </w:t>
      </w:r>
      <w:r w:rsidRPr="008F6D10">
        <w:rPr>
          <w:rFonts w:ascii="Garamond" w:hAnsi="Garamond"/>
          <w:i/>
          <w:iCs/>
        </w:rPr>
        <w:t>Id.</w:t>
      </w:r>
      <w:r w:rsidRPr="008F6D10">
        <w:rPr>
          <w:rFonts w:ascii="Garamond" w:hAnsi="Garamond"/>
        </w:rPr>
        <w:t xml:space="preserve"> at Art. 151 Supplying drugs or instruments to procure abortion.</w:t>
      </w:r>
    </w:p>
  </w:footnote>
  <w:footnote w:id="14">
    <w:p w14:paraId="11A7320E" w14:textId="68180016" w:rsidR="00C4441B" w:rsidRPr="008F6D10" w:rsidRDefault="00C4441B" w:rsidP="00B91414">
      <w:pPr>
        <w:pStyle w:val="FootnoteText"/>
        <w:rPr>
          <w:rFonts w:ascii="Garamond" w:hAnsi="Garamond"/>
        </w:rPr>
      </w:pPr>
      <w:r w:rsidRPr="008F6D10">
        <w:rPr>
          <w:rStyle w:val="FootnoteReference"/>
          <w:rFonts w:ascii="Garamond" w:hAnsi="Garamond"/>
        </w:rPr>
        <w:footnoteRef/>
      </w:r>
      <w:r w:rsidRPr="008F6D10">
        <w:rPr>
          <w:rFonts w:ascii="Garamond" w:hAnsi="Garamond"/>
        </w:rPr>
        <w:t xml:space="preserve"> Malawi Penal Code, Art. 243 Surgical Operation, </w:t>
      </w:r>
      <w:r w:rsidRPr="008F6D10">
        <w:rPr>
          <w:rFonts w:ascii="Garamond" w:hAnsi="Garamond"/>
          <w:i/>
          <w:iCs/>
        </w:rPr>
        <w:t xml:space="preserve">supra </w:t>
      </w:r>
      <w:r w:rsidRPr="008F6D10">
        <w:rPr>
          <w:rFonts w:ascii="Garamond" w:hAnsi="Garamond"/>
        </w:rPr>
        <w:t xml:space="preserve">note 2. </w:t>
      </w:r>
    </w:p>
  </w:footnote>
  <w:footnote w:id="15">
    <w:p w14:paraId="56380B9E" w14:textId="6213BABF" w:rsidR="00C4441B" w:rsidRPr="008F6D10" w:rsidRDefault="00C4441B" w:rsidP="00B91414">
      <w:pPr>
        <w:rPr>
          <w:rFonts w:ascii="Garamond" w:hAnsi="Garamond"/>
          <w:sz w:val="20"/>
          <w:szCs w:val="20"/>
        </w:rPr>
      </w:pPr>
      <w:r w:rsidRPr="008F6D10">
        <w:rPr>
          <w:rFonts w:ascii="Garamond" w:hAnsi="Garamond"/>
          <w:sz w:val="20"/>
          <w:szCs w:val="20"/>
          <w:vertAlign w:val="superscript"/>
        </w:rPr>
        <w:footnoteRef/>
      </w:r>
      <w:r w:rsidRPr="008F6D10">
        <w:rPr>
          <w:rFonts w:ascii="Garamond" w:hAnsi="Garamond"/>
          <w:sz w:val="20"/>
          <w:szCs w:val="20"/>
        </w:rPr>
        <w:t xml:space="preserve"> The Government of Malawi Ministry of Health, </w:t>
      </w:r>
      <w:r w:rsidRPr="008F6D10">
        <w:rPr>
          <w:rFonts w:ascii="Garamond" w:hAnsi="Garamond"/>
          <w:i/>
          <w:sz w:val="20"/>
          <w:szCs w:val="20"/>
        </w:rPr>
        <w:t>National Sexual and Reproductive Health and Rights (SRHR) Policy</w:t>
      </w:r>
      <w:r w:rsidRPr="008F6D10">
        <w:rPr>
          <w:rFonts w:ascii="Garamond" w:hAnsi="Garamond"/>
          <w:sz w:val="20"/>
          <w:szCs w:val="20"/>
        </w:rPr>
        <w:t xml:space="preserve"> (2009</w:t>
      </w:r>
      <w:r>
        <w:rPr>
          <w:rFonts w:ascii="Garamond" w:hAnsi="Garamond"/>
          <w:sz w:val="20"/>
          <w:szCs w:val="20"/>
        </w:rPr>
        <w:t>)</w:t>
      </w:r>
      <w:r w:rsidRPr="008F6D10">
        <w:rPr>
          <w:rFonts w:ascii="Garamond" w:hAnsi="Garamond"/>
          <w:sz w:val="20"/>
          <w:szCs w:val="20"/>
        </w:rPr>
        <w:t>,</w:t>
      </w:r>
      <w:r>
        <w:rPr>
          <w:rFonts w:ascii="Garamond" w:hAnsi="Garamond"/>
          <w:sz w:val="20"/>
          <w:szCs w:val="20"/>
        </w:rPr>
        <w:t xml:space="preserve"> </w:t>
      </w:r>
      <w:hyperlink r:id="rId8" w:history="1">
        <w:r w:rsidRPr="006A7D0E">
          <w:rPr>
            <w:rStyle w:val="Hyperlink"/>
            <w:rFonts w:ascii="Garamond" w:hAnsi="Garamond"/>
            <w:sz w:val="20"/>
            <w:szCs w:val="20"/>
          </w:rPr>
          <w:t>http://nkhokwe.kuhes.ac.mw/handle/20.500.12845/174</w:t>
        </w:r>
      </w:hyperlink>
      <w:r>
        <w:rPr>
          <w:rFonts w:ascii="Garamond" w:hAnsi="Garamond"/>
          <w:sz w:val="20"/>
          <w:szCs w:val="20"/>
        </w:rPr>
        <w:t xml:space="preserve"> </w:t>
      </w:r>
      <w:r w:rsidRPr="008F6D10">
        <w:rPr>
          <w:rFonts w:ascii="Garamond" w:hAnsi="Garamond"/>
          <w:sz w:val="20"/>
          <w:szCs w:val="20"/>
        </w:rPr>
        <w:t xml:space="preserve">[accessed </w:t>
      </w:r>
      <w:r>
        <w:rPr>
          <w:rFonts w:ascii="Garamond" w:hAnsi="Garamond"/>
          <w:sz w:val="20"/>
          <w:szCs w:val="20"/>
        </w:rPr>
        <w:t>28</w:t>
      </w:r>
      <w:r w:rsidRPr="008F6D10">
        <w:rPr>
          <w:rFonts w:ascii="Garamond" w:hAnsi="Garamond"/>
          <w:sz w:val="20"/>
          <w:szCs w:val="20"/>
        </w:rPr>
        <w:t xml:space="preserve"> Dec 2022]</w:t>
      </w:r>
      <w:r>
        <w:rPr>
          <w:rFonts w:ascii="Garamond" w:hAnsi="Garamond"/>
          <w:sz w:val="20"/>
          <w:szCs w:val="20"/>
        </w:rPr>
        <w:t>.</w:t>
      </w:r>
    </w:p>
  </w:footnote>
  <w:footnote w:id="16">
    <w:p w14:paraId="3F227FA5" w14:textId="3F904BFE" w:rsidR="00C4441B" w:rsidRPr="008F6D10" w:rsidRDefault="00C4441B" w:rsidP="00B91414">
      <w:pPr>
        <w:pStyle w:val="FootnoteText"/>
        <w:rPr>
          <w:rFonts w:ascii="Garamond" w:hAnsi="Garamond"/>
        </w:rPr>
      </w:pPr>
      <w:r w:rsidRPr="008F6D10">
        <w:rPr>
          <w:rStyle w:val="FootnoteReference"/>
          <w:rFonts w:ascii="Garamond" w:hAnsi="Garamond"/>
        </w:rPr>
        <w:footnoteRef/>
      </w:r>
      <w:r w:rsidRPr="008F6D10">
        <w:rPr>
          <w:rFonts w:ascii="Garamond" w:hAnsi="Garamond"/>
        </w:rPr>
        <w:t xml:space="preserve"> The Government of Malawi Ministry of Health, </w:t>
      </w:r>
      <w:r w:rsidRPr="008F6D10">
        <w:rPr>
          <w:rFonts w:ascii="Garamond" w:hAnsi="Garamond"/>
          <w:i/>
          <w:iCs/>
        </w:rPr>
        <w:t>National Sexual and Reproductive Health and Rights (SRHR) Policy</w:t>
      </w:r>
      <w:r w:rsidRPr="008F6D10">
        <w:rPr>
          <w:rFonts w:ascii="Garamond" w:hAnsi="Garamond"/>
        </w:rPr>
        <w:t xml:space="preserve"> (2017)</w:t>
      </w:r>
      <w:r>
        <w:rPr>
          <w:rFonts w:ascii="Garamond" w:hAnsi="Garamond"/>
        </w:rPr>
        <w:t xml:space="preserve">, </w:t>
      </w:r>
      <w:hyperlink r:id="rId9" w:history="1">
        <w:r w:rsidRPr="006A7D0E">
          <w:rPr>
            <w:rStyle w:val="Hyperlink"/>
            <w:rFonts w:ascii="Garamond" w:hAnsi="Garamond"/>
          </w:rPr>
          <w:t>https://malawi.unfpa.org/sites/default/files/resource-pdf/Malawi_National_SRHR_Policy_2017-2022_16Nov17.pdf</w:t>
        </w:r>
      </w:hyperlink>
      <w:r>
        <w:rPr>
          <w:rFonts w:ascii="Garamond" w:hAnsi="Garamond"/>
          <w:u w:val="single"/>
        </w:rPr>
        <w:t xml:space="preserve"> </w:t>
      </w:r>
      <w:r w:rsidRPr="008F6D10">
        <w:rPr>
          <w:rFonts w:ascii="Garamond" w:hAnsi="Garamond"/>
        </w:rPr>
        <w:t xml:space="preserve">[accessed </w:t>
      </w:r>
      <w:r>
        <w:rPr>
          <w:rFonts w:ascii="Garamond" w:hAnsi="Garamond"/>
        </w:rPr>
        <w:t>28</w:t>
      </w:r>
      <w:r w:rsidRPr="008F6D10">
        <w:rPr>
          <w:rFonts w:ascii="Garamond" w:hAnsi="Garamond"/>
        </w:rPr>
        <w:t xml:space="preserve"> Dec 2022]</w:t>
      </w:r>
      <w:r>
        <w:rPr>
          <w:rFonts w:ascii="Garamond" w:hAnsi="Garamond"/>
        </w:rPr>
        <w:t>.</w:t>
      </w:r>
    </w:p>
  </w:footnote>
  <w:footnote w:id="17">
    <w:p w14:paraId="665C6906" w14:textId="44D579B3" w:rsidR="00C4441B" w:rsidRPr="008F6D10" w:rsidRDefault="00C4441B" w:rsidP="00B91414">
      <w:pPr>
        <w:rPr>
          <w:rFonts w:ascii="Garamond" w:hAnsi="Garamond"/>
          <w:sz w:val="20"/>
          <w:szCs w:val="20"/>
        </w:rPr>
      </w:pPr>
      <w:r w:rsidRPr="008F6D10">
        <w:rPr>
          <w:rFonts w:ascii="Garamond" w:hAnsi="Garamond"/>
          <w:sz w:val="20"/>
          <w:szCs w:val="20"/>
          <w:vertAlign w:val="superscript"/>
        </w:rPr>
        <w:footnoteRef/>
      </w:r>
      <w:r w:rsidRPr="008F6D10">
        <w:rPr>
          <w:rFonts w:ascii="Garamond" w:hAnsi="Garamond"/>
          <w:sz w:val="20"/>
          <w:szCs w:val="20"/>
        </w:rPr>
        <w:t xml:space="preserve"> Malawi Gender Equality Act, Chapter 25.06 (Commenced on 1 Apr. 2014</w:t>
      </w:r>
      <w:r>
        <w:rPr>
          <w:rFonts w:ascii="Garamond" w:hAnsi="Garamond"/>
          <w:sz w:val="20"/>
          <w:szCs w:val="20"/>
        </w:rPr>
        <w:t>)</w:t>
      </w:r>
      <w:r w:rsidRPr="008F6D10">
        <w:rPr>
          <w:rFonts w:ascii="Garamond" w:hAnsi="Garamond"/>
          <w:sz w:val="20"/>
          <w:szCs w:val="20"/>
        </w:rPr>
        <w:t>,</w:t>
      </w:r>
      <w:r>
        <w:rPr>
          <w:rFonts w:ascii="Garamond" w:hAnsi="Garamond"/>
          <w:sz w:val="20"/>
          <w:szCs w:val="20"/>
        </w:rPr>
        <w:t xml:space="preserve"> </w:t>
      </w:r>
      <w:hyperlink r:id="rId10" w:history="1">
        <w:r w:rsidRPr="006A7D0E">
          <w:rPr>
            <w:rStyle w:val="Hyperlink"/>
            <w:rFonts w:ascii="Garamond" w:hAnsi="Garamond"/>
            <w:sz w:val="20"/>
            <w:szCs w:val="20"/>
          </w:rPr>
          <w:t>https://www.malawilii.org/akn/mw/act/2013/3/eng%402014-12-31</w:t>
        </w:r>
      </w:hyperlink>
      <w:r>
        <w:rPr>
          <w:rFonts w:ascii="Garamond" w:hAnsi="Garamond"/>
          <w:sz w:val="20"/>
          <w:szCs w:val="20"/>
        </w:rPr>
        <w:t xml:space="preserve"> </w:t>
      </w:r>
      <w:r w:rsidRPr="008F6D10">
        <w:rPr>
          <w:rFonts w:ascii="Garamond" w:hAnsi="Garamond"/>
          <w:sz w:val="20"/>
          <w:szCs w:val="20"/>
        </w:rPr>
        <w:t xml:space="preserve">[accessed </w:t>
      </w:r>
      <w:r>
        <w:rPr>
          <w:rFonts w:ascii="Garamond" w:hAnsi="Garamond"/>
          <w:sz w:val="20"/>
          <w:szCs w:val="20"/>
        </w:rPr>
        <w:t>27</w:t>
      </w:r>
      <w:r w:rsidRPr="008F6D10">
        <w:rPr>
          <w:rFonts w:ascii="Garamond" w:hAnsi="Garamond"/>
          <w:sz w:val="20"/>
          <w:szCs w:val="20"/>
        </w:rPr>
        <w:t xml:space="preserve"> Dec 2022]</w:t>
      </w:r>
      <w:r>
        <w:rPr>
          <w:rFonts w:ascii="Garamond" w:hAnsi="Garamond"/>
          <w:sz w:val="20"/>
          <w:szCs w:val="20"/>
        </w:rPr>
        <w:t>.</w:t>
      </w:r>
    </w:p>
  </w:footnote>
  <w:footnote w:id="18">
    <w:p w14:paraId="023607B7" w14:textId="6E3E7183" w:rsidR="00C4441B" w:rsidRPr="008F6D10" w:rsidRDefault="00C4441B" w:rsidP="00B91414">
      <w:pPr>
        <w:rPr>
          <w:rFonts w:ascii="Garamond" w:hAnsi="Garamond"/>
          <w:b/>
          <w:bCs/>
          <w:sz w:val="20"/>
          <w:szCs w:val="20"/>
        </w:rPr>
      </w:pPr>
      <w:r w:rsidRPr="008F6D10">
        <w:rPr>
          <w:rFonts w:ascii="Garamond" w:hAnsi="Garamond"/>
          <w:sz w:val="20"/>
          <w:szCs w:val="20"/>
          <w:vertAlign w:val="superscript"/>
        </w:rPr>
        <w:footnoteRef/>
      </w:r>
      <w:r w:rsidRPr="008F6D10">
        <w:rPr>
          <w:rFonts w:ascii="Garamond" w:hAnsi="Garamond"/>
          <w:sz w:val="20"/>
          <w:szCs w:val="20"/>
        </w:rPr>
        <w:t xml:space="preserve"> </w:t>
      </w:r>
      <w:proofErr w:type="spellStart"/>
      <w:r w:rsidRPr="008F6D10">
        <w:rPr>
          <w:rFonts w:ascii="Garamond" w:hAnsi="Garamond"/>
          <w:sz w:val="20"/>
          <w:szCs w:val="20"/>
        </w:rPr>
        <w:t>Fanuel</w:t>
      </w:r>
      <w:proofErr w:type="spellEnd"/>
      <w:r w:rsidRPr="008F6D10">
        <w:rPr>
          <w:rFonts w:ascii="Garamond" w:hAnsi="Garamond"/>
          <w:sz w:val="20"/>
          <w:szCs w:val="20"/>
        </w:rPr>
        <w:t xml:space="preserve"> </w:t>
      </w:r>
      <w:proofErr w:type="spellStart"/>
      <w:r w:rsidRPr="008F6D10">
        <w:rPr>
          <w:rFonts w:ascii="Garamond" w:hAnsi="Garamond"/>
          <w:sz w:val="20"/>
          <w:szCs w:val="20"/>
        </w:rPr>
        <w:t>Bickton</w:t>
      </w:r>
      <w:proofErr w:type="spellEnd"/>
      <w:r w:rsidRPr="008F6D10">
        <w:rPr>
          <w:rFonts w:ascii="Garamond" w:hAnsi="Garamond"/>
          <w:sz w:val="20"/>
          <w:szCs w:val="20"/>
        </w:rPr>
        <w:t xml:space="preserve"> &amp; </w:t>
      </w:r>
      <w:proofErr w:type="spellStart"/>
      <w:r w:rsidRPr="008F6D10">
        <w:rPr>
          <w:rFonts w:ascii="Garamond" w:hAnsi="Garamond"/>
          <w:sz w:val="20"/>
          <w:szCs w:val="20"/>
        </w:rPr>
        <w:t>Thengo</w:t>
      </w:r>
      <w:proofErr w:type="spellEnd"/>
      <w:r w:rsidRPr="008F6D10">
        <w:rPr>
          <w:rFonts w:ascii="Garamond" w:hAnsi="Garamond"/>
          <w:sz w:val="20"/>
          <w:szCs w:val="20"/>
        </w:rPr>
        <w:t xml:space="preserve"> </w:t>
      </w:r>
      <w:proofErr w:type="spellStart"/>
      <w:r w:rsidRPr="008F6D10">
        <w:rPr>
          <w:rFonts w:ascii="Garamond" w:hAnsi="Garamond"/>
          <w:sz w:val="20"/>
          <w:szCs w:val="20"/>
        </w:rPr>
        <w:t>Kavinya</w:t>
      </w:r>
      <w:proofErr w:type="spellEnd"/>
      <w:r w:rsidRPr="008F6D10">
        <w:rPr>
          <w:rFonts w:ascii="Garamond" w:hAnsi="Garamond"/>
          <w:sz w:val="20"/>
          <w:szCs w:val="20"/>
        </w:rPr>
        <w:t xml:space="preserve">, </w:t>
      </w:r>
      <w:r w:rsidRPr="008F6D10">
        <w:rPr>
          <w:rFonts w:ascii="Garamond" w:hAnsi="Garamond"/>
          <w:i/>
          <w:iCs/>
          <w:sz w:val="20"/>
          <w:szCs w:val="20"/>
        </w:rPr>
        <w:t>Background on the Termination of Pregnancy Bill Debate in Malawi</w:t>
      </w:r>
      <w:r w:rsidRPr="008F6D10">
        <w:rPr>
          <w:rFonts w:ascii="Garamond" w:hAnsi="Garamond"/>
          <w:sz w:val="20"/>
          <w:szCs w:val="20"/>
        </w:rPr>
        <w:t>, Malawi Med Journal (29 Mar. 2017</w:t>
      </w:r>
      <w:r>
        <w:rPr>
          <w:rFonts w:ascii="Garamond" w:hAnsi="Garamond"/>
          <w:sz w:val="20"/>
          <w:szCs w:val="20"/>
        </w:rPr>
        <w:t>)</w:t>
      </w:r>
      <w:r w:rsidRPr="008F6D10">
        <w:rPr>
          <w:rFonts w:ascii="Garamond" w:hAnsi="Garamond"/>
          <w:sz w:val="20"/>
          <w:szCs w:val="20"/>
        </w:rPr>
        <w:t>,</w:t>
      </w:r>
      <w:r>
        <w:rPr>
          <w:rFonts w:ascii="Garamond" w:hAnsi="Garamond"/>
          <w:sz w:val="20"/>
          <w:szCs w:val="20"/>
        </w:rPr>
        <w:t xml:space="preserve"> </w:t>
      </w:r>
      <w:hyperlink r:id="rId11" w:history="1">
        <w:r w:rsidRPr="006A7D0E">
          <w:rPr>
            <w:rStyle w:val="Hyperlink"/>
            <w:rFonts w:ascii="Garamond" w:hAnsi="Garamond"/>
            <w:sz w:val="20"/>
            <w:szCs w:val="20"/>
          </w:rPr>
          <w:t>https://www.ncbi.nlm.nih.gov/pmc/articles/PMC5442498/</w:t>
        </w:r>
      </w:hyperlink>
      <w:r>
        <w:rPr>
          <w:rFonts w:ascii="Garamond" w:hAnsi="Garamond"/>
          <w:sz w:val="20"/>
          <w:szCs w:val="20"/>
        </w:rPr>
        <w:t xml:space="preserve"> </w:t>
      </w:r>
      <w:r w:rsidRPr="008F6D10">
        <w:rPr>
          <w:rFonts w:ascii="Garamond" w:hAnsi="Garamond"/>
          <w:sz w:val="20"/>
          <w:szCs w:val="20"/>
        </w:rPr>
        <w:t xml:space="preserve">[accessed </w:t>
      </w:r>
      <w:r>
        <w:rPr>
          <w:rFonts w:ascii="Garamond" w:hAnsi="Garamond"/>
          <w:sz w:val="20"/>
          <w:szCs w:val="20"/>
        </w:rPr>
        <w:t>27</w:t>
      </w:r>
      <w:r w:rsidRPr="008F6D10">
        <w:rPr>
          <w:rFonts w:ascii="Garamond" w:hAnsi="Garamond"/>
          <w:sz w:val="20"/>
          <w:szCs w:val="20"/>
        </w:rPr>
        <w:t xml:space="preserve"> Dec 2022]</w:t>
      </w:r>
      <w:r>
        <w:rPr>
          <w:rFonts w:ascii="Garamond" w:hAnsi="Garamond"/>
          <w:sz w:val="20"/>
          <w:szCs w:val="20"/>
        </w:rPr>
        <w:t>.</w:t>
      </w:r>
    </w:p>
  </w:footnote>
  <w:footnote w:id="19">
    <w:p w14:paraId="6DD2A69C" w14:textId="0F1861F0" w:rsidR="00C4441B" w:rsidRPr="006F7DD8" w:rsidRDefault="00C4441B" w:rsidP="00B91414">
      <w:pPr>
        <w:rPr>
          <w:rFonts w:ascii="Garamond" w:hAnsi="Garamond"/>
          <w:bCs/>
          <w:sz w:val="20"/>
          <w:szCs w:val="20"/>
        </w:rPr>
      </w:pPr>
      <w:r w:rsidRPr="008F6D10">
        <w:rPr>
          <w:rFonts w:ascii="Garamond" w:hAnsi="Garamond"/>
          <w:sz w:val="20"/>
          <w:szCs w:val="20"/>
          <w:vertAlign w:val="superscript"/>
        </w:rPr>
        <w:footnoteRef/>
      </w:r>
      <w:r w:rsidRPr="008F6D10">
        <w:rPr>
          <w:rFonts w:ascii="Garamond" w:hAnsi="Garamond"/>
          <w:sz w:val="20"/>
          <w:szCs w:val="20"/>
        </w:rPr>
        <w:t xml:space="preserve"> Malawi Penal Code Chapter 7:01, Art. 138(1) notes, “</w:t>
      </w:r>
      <w:r w:rsidRPr="008F6D10">
        <w:rPr>
          <w:rFonts w:ascii="Garamond" w:hAnsi="Garamond"/>
          <w:bCs/>
          <w:sz w:val="20"/>
          <w:szCs w:val="20"/>
        </w:rPr>
        <w:t>Defilement of girls under sixteen years of age,”</w:t>
      </w:r>
      <w:r w:rsidRPr="008F6D10">
        <w:rPr>
          <w:rFonts w:ascii="Garamond" w:hAnsi="Garamond"/>
          <w:sz w:val="20"/>
          <w:szCs w:val="20"/>
        </w:rPr>
        <w:t xml:space="preserve"> it is a crime to have sex with a girl under the age of 16</w:t>
      </w:r>
      <w:r w:rsidRPr="008F6D10">
        <w:rPr>
          <w:rFonts w:ascii="Garamond" w:hAnsi="Garamond"/>
          <w:b/>
          <w:bCs/>
          <w:sz w:val="20"/>
          <w:szCs w:val="20"/>
        </w:rPr>
        <w:t xml:space="preserve">. </w:t>
      </w:r>
      <w:hyperlink r:id="rId12" w:history="1">
        <w:r w:rsidRPr="006F7DD8">
          <w:rPr>
            <w:rStyle w:val="Hyperlink"/>
            <w:rFonts w:ascii="Garamond" w:hAnsi="Garamond"/>
            <w:bCs/>
            <w:sz w:val="20"/>
            <w:szCs w:val="20"/>
          </w:rPr>
          <w:t>https://www.malawilii.org/akn/mw/act/1929/22/eng%402014-12-31</w:t>
        </w:r>
      </w:hyperlink>
      <w:r w:rsidRPr="006F7DD8">
        <w:rPr>
          <w:rFonts w:ascii="Garamond" w:hAnsi="Garamond"/>
          <w:bCs/>
          <w:sz w:val="20"/>
          <w:szCs w:val="20"/>
        </w:rPr>
        <w:t xml:space="preserve"> </w:t>
      </w:r>
      <w:r w:rsidRPr="006F7DD8">
        <w:rPr>
          <w:rFonts w:ascii="Garamond" w:hAnsi="Garamond"/>
          <w:sz w:val="20"/>
          <w:szCs w:val="20"/>
        </w:rPr>
        <w:t xml:space="preserve">[accessed </w:t>
      </w:r>
      <w:r>
        <w:rPr>
          <w:rFonts w:ascii="Garamond" w:hAnsi="Garamond"/>
          <w:sz w:val="20"/>
          <w:szCs w:val="20"/>
        </w:rPr>
        <w:t>27</w:t>
      </w:r>
      <w:r w:rsidRPr="006F7DD8">
        <w:rPr>
          <w:rFonts w:ascii="Garamond" w:hAnsi="Garamond"/>
          <w:sz w:val="20"/>
          <w:szCs w:val="20"/>
        </w:rPr>
        <w:t xml:space="preserve"> Dec 2022].</w:t>
      </w:r>
    </w:p>
  </w:footnote>
  <w:footnote w:id="20">
    <w:p w14:paraId="454E922E" w14:textId="490D2E3A" w:rsidR="00C4441B" w:rsidRPr="008F6D10" w:rsidRDefault="00C4441B" w:rsidP="00B91414">
      <w:pPr>
        <w:pStyle w:val="FootnoteText"/>
        <w:rPr>
          <w:rFonts w:ascii="Garamond" w:hAnsi="Garamond"/>
        </w:rPr>
      </w:pPr>
      <w:r w:rsidRPr="008F6D10">
        <w:rPr>
          <w:rStyle w:val="FootnoteReference"/>
          <w:rFonts w:ascii="Garamond" w:hAnsi="Garamond"/>
        </w:rPr>
        <w:footnoteRef/>
      </w:r>
      <w:r w:rsidRPr="008F6D10">
        <w:rPr>
          <w:rFonts w:ascii="Garamond" w:hAnsi="Garamond"/>
        </w:rPr>
        <w:t xml:space="preserve"> Charles </w:t>
      </w:r>
      <w:proofErr w:type="spellStart"/>
      <w:r w:rsidRPr="008F6D10">
        <w:rPr>
          <w:rFonts w:ascii="Garamond" w:hAnsi="Garamond"/>
        </w:rPr>
        <w:t>Pensulo</w:t>
      </w:r>
      <w:proofErr w:type="spellEnd"/>
      <w:r w:rsidRPr="008F6D10">
        <w:rPr>
          <w:rFonts w:ascii="Garamond" w:hAnsi="Garamond"/>
        </w:rPr>
        <w:t xml:space="preserve">, </w:t>
      </w:r>
      <w:r w:rsidRPr="008F6D10">
        <w:rPr>
          <w:rFonts w:ascii="Garamond" w:hAnsi="Garamond"/>
          <w:bCs/>
          <w:i/>
        </w:rPr>
        <w:t xml:space="preserve">MPs Block Debate of Bill to Ease Malawi's Strict Abortion Law, </w:t>
      </w:r>
      <w:r w:rsidRPr="008F6D10">
        <w:rPr>
          <w:rFonts w:ascii="Garamond" w:hAnsi="Garamond"/>
          <w:bCs/>
        </w:rPr>
        <w:t>Reuters (11 Mar. 2021</w:t>
      </w:r>
      <w:r>
        <w:rPr>
          <w:rFonts w:ascii="Garamond" w:hAnsi="Garamond"/>
          <w:bCs/>
        </w:rPr>
        <w:t>)</w:t>
      </w:r>
      <w:r w:rsidRPr="008F6D10">
        <w:rPr>
          <w:rFonts w:ascii="Garamond" w:hAnsi="Garamond"/>
          <w:bCs/>
        </w:rPr>
        <w:t xml:space="preserve">, </w:t>
      </w:r>
      <w:hyperlink r:id="rId13" w:history="1">
        <w:r w:rsidRPr="006A7D0E">
          <w:rPr>
            <w:rStyle w:val="Hyperlink"/>
            <w:rFonts w:ascii="Garamond" w:hAnsi="Garamond"/>
            <w:bCs/>
          </w:rPr>
          <w:t>https://www.reuters.com/article/us-malawi-women-abortion-trfn/mps-block-debate-of-bill-to-ease-malawis-strict-abortion-law-idUSKBN2B32U0</w:t>
        </w:r>
      </w:hyperlink>
      <w:r>
        <w:rPr>
          <w:rFonts w:ascii="Garamond" w:hAnsi="Garamond"/>
          <w:bCs/>
        </w:rPr>
        <w:t xml:space="preserve"> </w:t>
      </w:r>
      <w:r w:rsidRPr="008F6D10">
        <w:rPr>
          <w:rFonts w:ascii="Garamond" w:hAnsi="Garamond"/>
        </w:rPr>
        <w:t xml:space="preserve">[accessed </w:t>
      </w:r>
      <w:r>
        <w:rPr>
          <w:rFonts w:ascii="Garamond" w:hAnsi="Garamond"/>
        </w:rPr>
        <w:t>27</w:t>
      </w:r>
      <w:r w:rsidRPr="008F6D10">
        <w:rPr>
          <w:rFonts w:ascii="Garamond" w:hAnsi="Garamond"/>
        </w:rPr>
        <w:t xml:space="preserve"> Dec 2022]</w:t>
      </w:r>
      <w:r>
        <w:rPr>
          <w:rFonts w:ascii="Garamond" w:hAnsi="Garamond"/>
        </w:rPr>
        <w:t>.</w:t>
      </w:r>
    </w:p>
  </w:footnote>
  <w:footnote w:id="21">
    <w:p w14:paraId="724AC1A7" w14:textId="3518A04A" w:rsidR="00C4441B" w:rsidRPr="008F6D10" w:rsidRDefault="00C4441B" w:rsidP="00B91414">
      <w:pPr>
        <w:pStyle w:val="FootnoteText"/>
        <w:rPr>
          <w:rFonts w:ascii="Garamond" w:hAnsi="Garamond"/>
        </w:rPr>
      </w:pPr>
      <w:r w:rsidRPr="008F6D10">
        <w:rPr>
          <w:rStyle w:val="FootnoteReference"/>
          <w:rFonts w:ascii="Garamond" w:hAnsi="Garamond"/>
        </w:rPr>
        <w:footnoteRef/>
      </w:r>
      <w:r w:rsidRPr="008F6D10">
        <w:rPr>
          <w:rFonts w:ascii="Garamond" w:hAnsi="Garamond"/>
        </w:rPr>
        <w:t xml:space="preserve"> Lameck </w:t>
      </w:r>
      <w:proofErr w:type="spellStart"/>
      <w:r w:rsidRPr="008F6D10">
        <w:rPr>
          <w:rFonts w:ascii="Garamond" w:hAnsi="Garamond"/>
        </w:rPr>
        <w:t>Masina</w:t>
      </w:r>
      <w:proofErr w:type="spellEnd"/>
      <w:r w:rsidRPr="008F6D10">
        <w:rPr>
          <w:rFonts w:ascii="Garamond" w:hAnsi="Garamond"/>
        </w:rPr>
        <w:t xml:space="preserve">, </w:t>
      </w:r>
      <w:r w:rsidRPr="008F6D10">
        <w:rPr>
          <w:rFonts w:ascii="Garamond" w:hAnsi="Garamond"/>
          <w:i/>
        </w:rPr>
        <w:t xml:space="preserve">Malawi Parliament Withdraws Abortion Rights Bill after Objections, </w:t>
      </w:r>
      <w:r w:rsidRPr="008F6D10">
        <w:rPr>
          <w:rFonts w:ascii="Garamond" w:hAnsi="Garamond"/>
        </w:rPr>
        <w:t>VOA (19 June 2021</w:t>
      </w:r>
      <w:r>
        <w:rPr>
          <w:rFonts w:ascii="Garamond" w:hAnsi="Garamond"/>
        </w:rPr>
        <w:t>)</w:t>
      </w:r>
      <w:r w:rsidRPr="008F6D10">
        <w:rPr>
          <w:rFonts w:ascii="Garamond" w:hAnsi="Garamond"/>
        </w:rPr>
        <w:t>,</w:t>
      </w:r>
    </w:p>
    <w:p w14:paraId="38F426CB" w14:textId="4AF37D98" w:rsidR="00C4441B" w:rsidRPr="008F6D10" w:rsidRDefault="00000000" w:rsidP="00B91414">
      <w:pPr>
        <w:pStyle w:val="FootnoteText"/>
        <w:rPr>
          <w:rFonts w:ascii="Garamond" w:hAnsi="Garamond"/>
        </w:rPr>
      </w:pPr>
      <w:hyperlink r:id="rId14" w:history="1">
        <w:r w:rsidR="00C4441B" w:rsidRPr="006A7D0E">
          <w:rPr>
            <w:rStyle w:val="Hyperlink"/>
            <w:rFonts w:ascii="Garamond" w:eastAsia="Times New Roman" w:hAnsi="Garamond"/>
          </w:rPr>
          <w:t>https://www.voanews.com/a/africa_malawi-parliament-withdraws-abortion-rights-bill-after-objections/6207221.html</w:t>
        </w:r>
      </w:hyperlink>
      <w:r w:rsidR="00C4441B">
        <w:rPr>
          <w:rFonts w:ascii="Garamond" w:eastAsia="Times New Roman" w:hAnsi="Garamond"/>
        </w:rPr>
        <w:t xml:space="preserve"> </w:t>
      </w:r>
      <w:r w:rsidR="00C4441B" w:rsidRPr="008F6D10">
        <w:rPr>
          <w:rFonts w:ascii="Garamond" w:hAnsi="Garamond"/>
        </w:rPr>
        <w:t xml:space="preserve">[accessed </w:t>
      </w:r>
      <w:r w:rsidR="00C4441B">
        <w:rPr>
          <w:rFonts w:ascii="Garamond" w:hAnsi="Garamond"/>
        </w:rPr>
        <w:t>2</w:t>
      </w:r>
      <w:r w:rsidR="00C4441B" w:rsidRPr="008F6D10">
        <w:rPr>
          <w:rFonts w:ascii="Garamond" w:hAnsi="Garamond"/>
        </w:rPr>
        <w:t>7 Dec 2022]</w:t>
      </w:r>
      <w:r w:rsidR="00C4441B" w:rsidRPr="008F6D10">
        <w:rPr>
          <w:rFonts w:ascii="Garamond" w:eastAsia="Times New Roman" w:hAnsi="Garamond"/>
        </w:rPr>
        <w:t>.</w:t>
      </w:r>
    </w:p>
  </w:footnote>
  <w:footnote w:id="22">
    <w:p w14:paraId="26F7D221" w14:textId="6CDF549B" w:rsidR="00C4441B" w:rsidRPr="008F6D10" w:rsidRDefault="00C4441B" w:rsidP="006658BC">
      <w:pPr>
        <w:rPr>
          <w:rFonts w:ascii="Garamond" w:hAnsi="Garamond"/>
          <w:sz w:val="20"/>
          <w:szCs w:val="20"/>
        </w:rPr>
      </w:pPr>
      <w:r w:rsidRPr="008F6D10">
        <w:rPr>
          <w:rFonts w:ascii="Garamond" w:hAnsi="Garamond"/>
          <w:sz w:val="20"/>
          <w:szCs w:val="20"/>
          <w:vertAlign w:val="superscript"/>
        </w:rPr>
        <w:footnoteRef/>
      </w:r>
      <w:r w:rsidRPr="008F6D10">
        <w:rPr>
          <w:rFonts w:ascii="Garamond" w:hAnsi="Garamond"/>
          <w:sz w:val="20"/>
          <w:szCs w:val="20"/>
        </w:rPr>
        <w:t xml:space="preserve"> </w:t>
      </w:r>
      <w:r w:rsidRPr="00310FBE">
        <w:rPr>
          <w:rFonts w:ascii="Garamond" w:hAnsi="Garamond"/>
          <w:sz w:val="20"/>
          <w:szCs w:val="20"/>
        </w:rPr>
        <w:t xml:space="preserve">Malawi Government Ministry of Health, </w:t>
      </w:r>
      <w:r w:rsidRPr="00310FBE">
        <w:rPr>
          <w:rFonts w:ascii="Garamond" w:hAnsi="Garamond"/>
          <w:i/>
          <w:iCs/>
          <w:sz w:val="20"/>
          <w:szCs w:val="20"/>
        </w:rPr>
        <w:t xml:space="preserve">Standards and Guidelines for Post Abortion Care </w:t>
      </w:r>
      <w:r w:rsidRPr="00310FBE">
        <w:rPr>
          <w:rFonts w:ascii="Garamond" w:hAnsi="Garamond"/>
          <w:sz w:val="20"/>
          <w:szCs w:val="20"/>
        </w:rPr>
        <w:t>(2020), https://drive.google.com/file/d/1hWvJ_4U7_G1NCwj5xaL3Jql-U-9_GyQ6/view</w:t>
      </w:r>
      <w:r w:rsidRPr="00310FBE" w:rsidDel="00C37D4B">
        <w:rPr>
          <w:rFonts w:ascii="Garamond" w:hAnsi="Garamond"/>
          <w:sz w:val="20"/>
          <w:szCs w:val="20"/>
        </w:rPr>
        <w:t xml:space="preserve"> </w:t>
      </w:r>
      <w:r w:rsidRPr="00310FBE">
        <w:rPr>
          <w:rFonts w:ascii="Garamond" w:hAnsi="Garamond"/>
          <w:sz w:val="20"/>
          <w:szCs w:val="20"/>
        </w:rPr>
        <w:t>[</w:t>
      </w:r>
      <w:r w:rsidRPr="008F6D10">
        <w:rPr>
          <w:rFonts w:ascii="Garamond" w:hAnsi="Garamond"/>
          <w:sz w:val="20"/>
          <w:szCs w:val="20"/>
        </w:rPr>
        <w:t xml:space="preserve">accessed </w:t>
      </w:r>
      <w:r>
        <w:rPr>
          <w:rFonts w:ascii="Garamond" w:hAnsi="Garamond"/>
          <w:sz w:val="20"/>
          <w:szCs w:val="20"/>
        </w:rPr>
        <w:t>2</w:t>
      </w:r>
      <w:r w:rsidRPr="008F6D10">
        <w:rPr>
          <w:rFonts w:ascii="Garamond" w:hAnsi="Garamond"/>
          <w:sz w:val="20"/>
          <w:szCs w:val="20"/>
        </w:rPr>
        <w:t>7 Dec 2022]</w:t>
      </w:r>
      <w:r>
        <w:rPr>
          <w:rFonts w:ascii="Garamond" w:hAnsi="Garamond"/>
          <w:sz w:val="20"/>
          <w:szCs w:val="20"/>
        </w:rPr>
        <w:t>.</w:t>
      </w:r>
    </w:p>
  </w:footnote>
  <w:footnote w:id="23">
    <w:p w14:paraId="0C44FD8E" w14:textId="5C8BACEE" w:rsidR="00C4441B" w:rsidRPr="008F6D10" w:rsidRDefault="00C4441B" w:rsidP="006658BC">
      <w:pPr>
        <w:pStyle w:val="FootnoteText"/>
        <w:rPr>
          <w:rFonts w:ascii="Garamond" w:hAnsi="Garamond"/>
        </w:rPr>
      </w:pPr>
      <w:r w:rsidRPr="008F6D10">
        <w:rPr>
          <w:rStyle w:val="FootnoteReference"/>
          <w:rFonts w:ascii="Garamond" w:hAnsi="Garamond"/>
        </w:rPr>
        <w:footnoteRef/>
      </w:r>
      <w:r w:rsidRPr="008F6D10">
        <w:rPr>
          <w:rFonts w:ascii="Garamond" w:hAnsi="Garamond"/>
        </w:rPr>
        <w:t xml:space="preserve"> The Standard Guidelines gives six circumstances that a doctor may need to perform an abortion for the preservation of the mother’s life. The first five circumstances are physical medical reasons, whereas the sixth circumstance, “other conditions,” recognizing that there are many health conditions that may risk the mother’s life. Despite leaving a broad sixth reason that includes mental health, the limited examples leave many medical professionals to believe that the law is limited to a few physical medical conditions. </w:t>
      </w:r>
      <w:r w:rsidRPr="008F6D10">
        <w:rPr>
          <w:rFonts w:ascii="Garamond" w:hAnsi="Garamond"/>
          <w:i/>
          <w:iCs/>
        </w:rPr>
        <w:t>Id</w:t>
      </w:r>
      <w:r w:rsidRPr="008F6D10">
        <w:rPr>
          <w:rFonts w:ascii="Garamond" w:hAnsi="Garamond"/>
        </w:rPr>
        <w:t>. at 14-15.</w:t>
      </w:r>
    </w:p>
  </w:footnote>
  <w:footnote w:id="24">
    <w:p w14:paraId="56D01821" w14:textId="77BE97AF" w:rsidR="00C4441B" w:rsidRPr="008F6D10" w:rsidRDefault="00C4441B" w:rsidP="006658BC">
      <w:pPr>
        <w:pStyle w:val="FootnoteText"/>
        <w:rPr>
          <w:rFonts w:ascii="Garamond" w:hAnsi="Garamond"/>
        </w:rPr>
      </w:pPr>
      <w:r w:rsidRPr="008F6D10">
        <w:rPr>
          <w:rStyle w:val="FootnoteReference"/>
          <w:rFonts w:ascii="Garamond" w:hAnsi="Garamond"/>
        </w:rPr>
        <w:footnoteRef/>
      </w:r>
      <w:r w:rsidRPr="008F6D10">
        <w:rPr>
          <w:rFonts w:ascii="Garamond" w:hAnsi="Garamond"/>
        </w:rPr>
        <w:t xml:space="preserve"> The examples of circumstances listed in the Standard Guide are limited to primarily physical conditions and only vaguely notes mental health conditions. The circumstances listed do not include sexual assault, rape, or incest, nor does it include circumstances where the mother is a minor. The absence of these circumstance further misleads medical professionals away from providing safe abortions in circumstances that may be covered by Penal Code Section 243. </w:t>
      </w:r>
      <w:r w:rsidRPr="008F6D10">
        <w:rPr>
          <w:rFonts w:ascii="Garamond" w:hAnsi="Garamond"/>
          <w:i/>
          <w:iCs/>
        </w:rPr>
        <w:t>Id</w:t>
      </w:r>
      <w:r w:rsidRPr="008F6D10">
        <w:rPr>
          <w:rFonts w:ascii="Garamond" w:hAnsi="Garamond"/>
        </w:rPr>
        <w:t>.</w:t>
      </w:r>
    </w:p>
  </w:footnote>
  <w:footnote w:id="25">
    <w:p w14:paraId="09810ECB" w14:textId="0B2C71B4" w:rsidR="00C4441B" w:rsidRPr="008F6D10" w:rsidRDefault="00C4441B" w:rsidP="00B91414">
      <w:pPr>
        <w:pStyle w:val="NormalWeb"/>
        <w:spacing w:before="0" w:beforeAutospacing="0" w:after="0" w:afterAutospacing="0"/>
        <w:rPr>
          <w:rFonts w:ascii="Garamond" w:hAnsi="Garamond"/>
          <w:sz w:val="20"/>
          <w:szCs w:val="20"/>
        </w:rPr>
      </w:pPr>
      <w:r w:rsidRPr="008F6D10">
        <w:rPr>
          <w:rStyle w:val="FootnoteReference"/>
          <w:rFonts w:ascii="Garamond" w:hAnsi="Garamond"/>
          <w:sz w:val="20"/>
          <w:szCs w:val="20"/>
        </w:rPr>
        <w:footnoteRef/>
      </w:r>
      <w:r w:rsidRPr="008F6D10">
        <w:rPr>
          <w:rFonts w:ascii="Garamond" w:hAnsi="Garamond"/>
          <w:sz w:val="20"/>
          <w:szCs w:val="20"/>
        </w:rPr>
        <w:t xml:space="preserve"> </w:t>
      </w:r>
      <w:r w:rsidRPr="008F6D10">
        <w:rPr>
          <w:rFonts w:ascii="Garamond" w:hAnsi="Garamond"/>
          <w:i/>
          <w:iCs/>
          <w:sz w:val="20"/>
          <w:szCs w:val="20"/>
        </w:rPr>
        <w:t>CM (Minor) vs The Hospital Director of Queen Elizabeth Central Hospital &amp; The Minister of Health</w:t>
      </w:r>
      <w:r w:rsidRPr="008F6D10">
        <w:rPr>
          <w:rFonts w:ascii="Garamond" w:hAnsi="Garamond"/>
          <w:sz w:val="20"/>
          <w:szCs w:val="20"/>
        </w:rPr>
        <w:t>: Judicial Review Cause Number 03 of 2021 (unreported) , High Court of Malawi, Zomba District Registry (15 June 2021</w:t>
      </w:r>
      <w:r>
        <w:rPr>
          <w:rFonts w:ascii="Garamond" w:hAnsi="Garamond"/>
          <w:sz w:val="20"/>
          <w:szCs w:val="20"/>
        </w:rPr>
        <w:t>)</w:t>
      </w:r>
      <w:r w:rsidRPr="008F6D10">
        <w:rPr>
          <w:rFonts w:ascii="Garamond" w:hAnsi="Garamond"/>
          <w:sz w:val="20"/>
          <w:szCs w:val="20"/>
        </w:rPr>
        <w:t>,</w:t>
      </w:r>
      <w:r>
        <w:rPr>
          <w:rFonts w:ascii="Garamond" w:hAnsi="Garamond"/>
          <w:sz w:val="20"/>
          <w:szCs w:val="20"/>
        </w:rPr>
        <w:t xml:space="preserve"> </w:t>
      </w:r>
      <w:hyperlink r:id="rId15" w:history="1">
        <w:r w:rsidRPr="006A7D0E">
          <w:rPr>
            <w:rStyle w:val="Hyperlink"/>
            <w:rFonts w:ascii="Garamond" w:hAnsi="Garamond"/>
            <w:sz w:val="20"/>
            <w:szCs w:val="20"/>
          </w:rPr>
          <w:t>https://malawilii.org/mw/judgment/high-court-general-division/2021/43</w:t>
        </w:r>
      </w:hyperlink>
      <w:r>
        <w:rPr>
          <w:rFonts w:ascii="Garamond" w:hAnsi="Garamond"/>
          <w:sz w:val="20"/>
          <w:szCs w:val="20"/>
        </w:rPr>
        <w:t xml:space="preserve"> </w:t>
      </w:r>
      <w:r w:rsidRPr="008F6D10">
        <w:rPr>
          <w:rFonts w:ascii="Garamond" w:hAnsi="Garamond"/>
          <w:sz w:val="20"/>
          <w:szCs w:val="20"/>
        </w:rPr>
        <w:t xml:space="preserve">[accessed </w:t>
      </w:r>
      <w:r>
        <w:rPr>
          <w:rFonts w:ascii="Garamond" w:hAnsi="Garamond"/>
          <w:sz w:val="20"/>
          <w:szCs w:val="20"/>
        </w:rPr>
        <w:t>2</w:t>
      </w:r>
      <w:r w:rsidRPr="008F6D10">
        <w:rPr>
          <w:rFonts w:ascii="Garamond" w:hAnsi="Garamond"/>
          <w:sz w:val="20"/>
          <w:szCs w:val="20"/>
        </w:rPr>
        <w:t>7 Dec 2022]</w:t>
      </w:r>
      <w:r>
        <w:rPr>
          <w:rFonts w:ascii="Garamond" w:hAnsi="Garamond"/>
          <w:sz w:val="20"/>
          <w:szCs w:val="20"/>
        </w:rPr>
        <w:t>.</w:t>
      </w:r>
    </w:p>
  </w:footnote>
  <w:footnote w:id="26">
    <w:p w14:paraId="37213B71" w14:textId="77777777" w:rsidR="00C4441B" w:rsidRPr="008F6D10" w:rsidRDefault="00C4441B" w:rsidP="00B91414">
      <w:pPr>
        <w:pStyle w:val="FootnoteText"/>
        <w:rPr>
          <w:rFonts w:ascii="Garamond" w:hAnsi="Garamond"/>
        </w:rPr>
      </w:pPr>
      <w:r w:rsidRPr="008F6D10">
        <w:rPr>
          <w:rStyle w:val="FootnoteReference"/>
          <w:rFonts w:ascii="Garamond" w:hAnsi="Garamond"/>
        </w:rPr>
        <w:footnoteRef/>
      </w:r>
      <w:r w:rsidRPr="008F6D10">
        <w:rPr>
          <w:rFonts w:ascii="Garamond" w:hAnsi="Garamond"/>
        </w:rPr>
        <w:t xml:space="preserve"> The court had the opportunity to review when mental and physical health deterioration, including suicidal thoughts, would be included in ‘for the preservation of the mother’s life’. </w:t>
      </w:r>
      <w:r w:rsidRPr="008F6D10">
        <w:rPr>
          <w:rFonts w:ascii="Garamond" w:hAnsi="Garamond"/>
          <w:i/>
          <w:iCs/>
        </w:rPr>
        <w:t>Id</w:t>
      </w:r>
      <w:r w:rsidRPr="008F6D10">
        <w:rPr>
          <w:rFonts w:ascii="Garamond" w:hAnsi="Garamond"/>
        </w:rPr>
        <w:t>.</w:t>
      </w:r>
    </w:p>
  </w:footnote>
  <w:footnote w:id="27">
    <w:p w14:paraId="31F200C5" w14:textId="3ED35DF2" w:rsidR="00C4441B" w:rsidRPr="008F6D10" w:rsidRDefault="00C4441B" w:rsidP="00616D64">
      <w:pPr>
        <w:pStyle w:val="FootnoteText"/>
        <w:rPr>
          <w:rFonts w:ascii="Garamond" w:hAnsi="Garamond"/>
        </w:rPr>
      </w:pPr>
      <w:r w:rsidRPr="008F6D10">
        <w:rPr>
          <w:rStyle w:val="FootnoteReference"/>
          <w:rFonts w:ascii="Garamond" w:hAnsi="Garamond"/>
        </w:rPr>
        <w:footnoteRef/>
      </w:r>
      <w:r w:rsidRPr="008F6D10">
        <w:rPr>
          <w:rFonts w:ascii="Garamond" w:hAnsi="Garamond"/>
        </w:rPr>
        <w:t xml:space="preserve"> “</w:t>
      </w:r>
      <w:r w:rsidRPr="008F6D10">
        <w:rPr>
          <w:rFonts w:ascii="Garamond" w:hAnsi="Garamond"/>
          <w:color w:val="151D23"/>
        </w:rPr>
        <w:t xml:space="preserve">The court clarified that women and girls seeking to access abortion in Malawi must present themselves before a health care provider and expressly make a request for abortion services based on an existing condition.” However, medical professionals have noted in interviews that it is common </w:t>
      </w:r>
      <w:r w:rsidRPr="008F6D10">
        <w:rPr>
          <w:rFonts w:ascii="Garamond" w:hAnsi="Garamond"/>
        </w:rPr>
        <w:t>practice for doctors to not record requests for abortion due to the risk of criminalization and prejudice against the woman.</w:t>
      </w:r>
      <w:r w:rsidRPr="008F6D10">
        <w:rPr>
          <w:rFonts w:ascii="Garamond" w:hAnsi="Garamond"/>
          <w:i/>
          <w:iCs/>
        </w:rPr>
        <w:t xml:space="preserve"> </w:t>
      </w:r>
      <w:r w:rsidRPr="008F6D10">
        <w:rPr>
          <w:rFonts w:ascii="Garamond" w:hAnsi="Garamond"/>
          <w:i/>
          <w:iCs/>
          <w:color w:val="151D23"/>
          <w:spacing w:val="8"/>
        </w:rPr>
        <w:t>CM v. The Hospital Director of Queen Elizabeth Central Hospital &amp; The Minister of Health (High Court of Malawi</w:t>
      </w:r>
      <w:r>
        <w:rPr>
          <w:rFonts w:ascii="Garamond" w:hAnsi="Garamond"/>
          <w:i/>
          <w:iCs/>
          <w:color w:val="151D23"/>
          <w:spacing w:val="8"/>
        </w:rPr>
        <w:t>)</w:t>
      </w:r>
      <w:r w:rsidRPr="008F6D10">
        <w:rPr>
          <w:rFonts w:ascii="Garamond" w:hAnsi="Garamond"/>
          <w:color w:val="151D23"/>
          <w:spacing w:val="8"/>
        </w:rPr>
        <w:t xml:space="preserve">, Center for Reproductive Rights (28 June 2021). </w:t>
      </w:r>
      <w:hyperlink r:id="rId16" w:history="1">
        <w:r w:rsidRPr="008F6D10">
          <w:rPr>
            <w:rStyle w:val="Hyperlink"/>
            <w:rFonts w:ascii="Garamond" w:hAnsi="Garamond"/>
            <w:spacing w:val="8"/>
          </w:rPr>
          <w:t>https://reproductiverights.org/case/cm-v-the-hospital-director-of-queen-elizabeth-central-hospital-the-minister-of-health-high-court-of-malawi/</w:t>
        </w:r>
      </w:hyperlink>
      <w:r w:rsidRPr="008F6D10">
        <w:rPr>
          <w:rFonts w:ascii="Garamond" w:hAnsi="Garamond"/>
          <w:color w:val="151D23"/>
          <w:spacing w:val="8"/>
        </w:rPr>
        <w:t xml:space="preserve"> </w:t>
      </w:r>
      <w:r w:rsidRPr="008F6D10">
        <w:rPr>
          <w:rFonts w:ascii="Garamond" w:hAnsi="Garamond"/>
        </w:rPr>
        <w:t xml:space="preserve">[accessed </w:t>
      </w:r>
      <w:r>
        <w:rPr>
          <w:rFonts w:ascii="Garamond" w:hAnsi="Garamond"/>
        </w:rPr>
        <w:t>2</w:t>
      </w:r>
      <w:r w:rsidRPr="008F6D10">
        <w:rPr>
          <w:rFonts w:ascii="Garamond" w:hAnsi="Garamond"/>
        </w:rPr>
        <w:t>7 Dec 2022]</w:t>
      </w:r>
      <w:r>
        <w:rPr>
          <w:rFonts w:ascii="Garamond" w:hAnsi="Garamond"/>
        </w:rPr>
        <w:t>.</w:t>
      </w:r>
    </w:p>
  </w:footnote>
  <w:footnote w:id="28">
    <w:p w14:paraId="368DC08E" w14:textId="4F5E3809" w:rsidR="00C4441B" w:rsidRPr="008F6D10" w:rsidRDefault="00C4441B" w:rsidP="00B91414">
      <w:pPr>
        <w:pStyle w:val="NormalWeb"/>
        <w:spacing w:before="0" w:beforeAutospacing="0" w:after="0" w:afterAutospacing="0"/>
        <w:rPr>
          <w:rFonts w:ascii="Garamond" w:hAnsi="Garamond"/>
          <w:sz w:val="20"/>
          <w:szCs w:val="20"/>
        </w:rPr>
      </w:pPr>
      <w:r w:rsidRPr="008F6D10">
        <w:rPr>
          <w:rStyle w:val="FootnoteReference"/>
          <w:rFonts w:ascii="Garamond" w:hAnsi="Garamond"/>
          <w:sz w:val="20"/>
          <w:szCs w:val="20"/>
        </w:rPr>
        <w:footnoteRef/>
      </w:r>
      <w:r w:rsidRPr="008F6D10">
        <w:rPr>
          <w:rFonts w:ascii="Garamond" w:hAnsi="Garamond"/>
          <w:sz w:val="20"/>
          <w:szCs w:val="20"/>
        </w:rPr>
        <w:t xml:space="preserve"> </w:t>
      </w:r>
      <w:r w:rsidRPr="008F6D10">
        <w:rPr>
          <w:rFonts w:ascii="Garamond" w:hAnsi="Garamond"/>
          <w:i/>
          <w:iCs/>
          <w:sz w:val="20"/>
          <w:szCs w:val="20"/>
        </w:rPr>
        <w:t xml:space="preserve">CM (Minor) vs The Hospital Director of Queen Elizabeth Central Hospital, supra </w:t>
      </w:r>
      <w:r w:rsidRPr="008F6D10">
        <w:rPr>
          <w:rFonts w:ascii="Garamond" w:hAnsi="Garamond"/>
          <w:sz w:val="20"/>
          <w:szCs w:val="20"/>
        </w:rPr>
        <w:t>note 25</w:t>
      </w:r>
      <w:r w:rsidR="0080151B">
        <w:rPr>
          <w:rFonts w:ascii="Garamond" w:hAnsi="Garamond"/>
          <w:sz w:val="20"/>
          <w:szCs w:val="20"/>
        </w:rPr>
        <w:t>.</w:t>
      </w:r>
    </w:p>
  </w:footnote>
  <w:footnote w:id="29">
    <w:p w14:paraId="03842BE4" w14:textId="05CD2FBE" w:rsidR="00C4441B" w:rsidRPr="008F6D10" w:rsidRDefault="00C4441B" w:rsidP="003E5B51">
      <w:pPr>
        <w:pStyle w:val="FootnoteText"/>
        <w:rPr>
          <w:rFonts w:ascii="Garamond" w:hAnsi="Garamond"/>
        </w:rPr>
      </w:pPr>
      <w:r w:rsidRPr="008F6D10">
        <w:rPr>
          <w:rStyle w:val="FootnoteReference"/>
          <w:rFonts w:ascii="Garamond" w:hAnsi="Garamond"/>
        </w:rPr>
        <w:footnoteRef/>
      </w:r>
      <w:r w:rsidRPr="008F6D10">
        <w:rPr>
          <w:rFonts w:ascii="Garamond" w:hAnsi="Garamond"/>
        </w:rPr>
        <w:t xml:space="preserve"> OHCHR</w:t>
      </w:r>
      <w:r w:rsidRPr="008F6D10">
        <w:rPr>
          <w:rFonts w:ascii="Garamond" w:hAnsi="Garamond"/>
          <w:i/>
          <w:iCs/>
        </w:rPr>
        <w:t xml:space="preserve">, Information Series on Sexual and Reproductive Health and Rights </w:t>
      </w:r>
      <w:r w:rsidRPr="008F6D10">
        <w:rPr>
          <w:rFonts w:ascii="Garamond" w:hAnsi="Garamond"/>
        </w:rPr>
        <w:t>(updated 2020),</w:t>
      </w:r>
      <w:r>
        <w:rPr>
          <w:rFonts w:ascii="Garamond" w:hAnsi="Garamond"/>
        </w:rPr>
        <w:t xml:space="preserve"> </w:t>
      </w:r>
      <w:hyperlink r:id="rId17" w:history="1">
        <w:r w:rsidRPr="006A7D0E">
          <w:rPr>
            <w:rStyle w:val="Hyperlink"/>
            <w:rFonts w:ascii="Garamond" w:hAnsi="Garamond"/>
          </w:rPr>
          <w:t>https://www.ohchr.org/sites/default/files/Documents/Issues/Women/WRGS/SexualHealth/INFO_Abortion_WEB.pdf</w:t>
        </w:r>
      </w:hyperlink>
      <w:r>
        <w:rPr>
          <w:rFonts w:ascii="Garamond" w:hAnsi="Garamond"/>
        </w:rPr>
        <w:t xml:space="preserve"> </w:t>
      </w:r>
      <w:r w:rsidRPr="008F6D10">
        <w:rPr>
          <w:rFonts w:ascii="Garamond" w:hAnsi="Garamond"/>
        </w:rPr>
        <w:t xml:space="preserve">[accessed </w:t>
      </w:r>
      <w:r>
        <w:rPr>
          <w:rFonts w:ascii="Garamond" w:hAnsi="Garamond"/>
        </w:rPr>
        <w:t>2</w:t>
      </w:r>
      <w:r w:rsidRPr="008F6D10">
        <w:rPr>
          <w:rFonts w:ascii="Garamond" w:hAnsi="Garamond"/>
        </w:rPr>
        <w:t>7 Dec 2022].</w:t>
      </w:r>
    </w:p>
  </w:footnote>
  <w:footnote w:id="30">
    <w:p w14:paraId="40A084DC" w14:textId="7915C46F" w:rsidR="00C4441B" w:rsidRPr="008F6D10" w:rsidRDefault="00C4441B" w:rsidP="00B91414">
      <w:pPr>
        <w:pStyle w:val="NormalWeb"/>
        <w:spacing w:before="0" w:beforeAutospacing="0" w:after="0" w:afterAutospacing="0"/>
        <w:rPr>
          <w:rFonts w:ascii="Garamond" w:eastAsia="Times New Roman" w:hAnsi="Garamond" w:cs="Calibri"/>
          <w:sz w:val="20"/>
          <w:szCs w:val="20"/>
        </w:rPr>
      </w:pPr>
      <w:r w:rsidRPr="008F6D10">
        <w:rPr>
          <w:rStyle w:val="FootnoteReference"/>
          <w:rFonts w:ascii="Garamond" w:hAnsi="Garamond"/>
          <w:sz w:val="20"/>
          <w:szCs w:val="20"/>
        </w:rPr>
        <w:footnoteRef/>
      </w:r>
      <w:r>
        <w:rPr>
          <w:rFonts w:ascii="Garamond" w:eastAsia="Times New Roman" w:hAnsi="Garamond" w:cs="Calibri"/>
          <w:sz w:val="20"/>
          <w:szCs w:val="20"/>
        </w:rPr>
        <w:t xml:space="preserve"> CESCR Committee, </w:t>
      </w:r>
      <w:r w:rsidRPr="008F6D10">
        <w:rPr>
          <w:rFonts w:ascii="Garamond" w:eastAsia="Times New Roman" w:hAnsi="Garamond" w:cs="Calibri"/>
          <w:i/>
          <w:iCs/>
          <w:sz w:val="20"/>
          <w:szCs w:val="20"/>
        </w:rPr>
        <w:t>Concluding Observations: Bolivia</w:t>
      </w:r>
      <w:r w:rsidRPr="008F6D10">
        <w:rPr>
          <w:rFonts w:ascii="Garamond" w:eastAsia="Times New Roman" w:hAnsi="Garamond" w:cs="Calibri"/>
          <w:sz w:val="20"/>
          <w:szCs w:val="20"/>
        </w:rPr>
        <w:t xml:space="preserve">, para. 54, U.N. Doc. E/C.12/BOL/CO/3 (2021). </w:t>
      </w:r>
    </w:p>
  </w:footnote>
  <w:footnote w:id="31">
    <w:p w14:paraId="6915C828" w14:textId="23176101" w:rsidR="00C4441B" w:rsidRPr="008F6D10" w:rsidRDefault="00C4441B" w:rsidP="00B91414">
      <w:pPr>
        <w:pStyle w:val="NormalWeb"/>
        <w:spacing w:before="0" w:beforeAutospacing="0" w:after="0" w:afterAutospacing="0"/>
        <w:rPr>
          <w:rFonts w:ascii="Garamond" w:eastAsia="Times New Roman" w:hAnsi="Garamond" w:cs="Calibri"/>
          <w:sz w:val="20"/>
          <w:szCs w:val="20"/>
        </w:rPr>
      </w:pPr>
      <w:r w:rsidRPr="008F6D10">
        <w:rPr>
          <w:rStyle w:val="FootnoteReference"/>
          <w:rFonts w:ascii="Garamond" w:hAnsi="Garamond"/>
          <w:sz w:val="20"/>
          <w:szCs w:val="20"/>
        </w:rPr>
        <w:footnoteRef/>
      </w:r>
      <w:r w:rsidRPr="008F6D10">
        <w:rPr>
          <w:rFonts w:ascii="Garamond" w:hAnsi="Garamond"/>
          <w:sz w:val="20"/>
          <w:szCs w:val="20"/>
        </w:rPr>
        <w:t xml:space="preserve"> </w:t>
      </w:r>
      <w:r>
        <w:rPr>
          <w:rFonts w:ascii="Garamond" w:eastAsia="Times New Roman" w:hAnsi="Garamond" w:cs="Calibri"/>
          <w:sz w:val="20"/>
          <w:szCs w:val="20"/>
        </w:rPr>
        <w:t xml:space="preserve">CESCR Committee, </w:t>
      </w:r>
      <w:r w:rsidRPr="008F6D10">
        <w:rPr>
          <w:rFonts w:ascii="Garamond" w:eastAsia="Times New Roman" w:hAnsi="Garamond" w:cs="Calibri"/>
          <w:i/>
          <w:iCs/>
          <w:sz w:val="20"/>
          <w:szCs w:val="20"/>
        </w:rPr>
        <w:t>Concluding Observations: Democratic Republic of the Congo</w:t>
      </w:r>
      <w:r w:rsidRPr="008F6D10">
        <w:rPr>
          <w:rFonts w:ascii="Garamond" w:eastAsia="Times New Roman" w:hAnsi="Garamond" w:cs="Calibri"/>
          <w:sz w:val="20"/>
          <w:szCs w:val="20"/>
        </w:rPr>
        <w:t xml:space="preserve">, para. 57, U.N. Doc. E/C.12/COD/CO/6 (2022). </w:t>
      </w:r>
    </w:p>
  </w:footnote>
  <w:footnote w:id="32">
    <w:p w14:paraId="03AC9761" w14:textId="52F0CC36" w:rsidR="00C4441B" w:rsidRPr="008F6D10" w:rsidRDefault="00C4441B" w:rsidP="00B91414">
      <w:pPr>
        <w:pStyle w:val="FootnoteText"/>
        <w:rPr>
          <w:rFonts w:ascii="Garamond" w:hAnsi="Garamond"/>
        </w:rPr>
      </w:pPr>
      <w:r w:rsidRPr="008F6D10">
        <w:rPr>
          <w:rStyle w:val="FootnoteReference"/>
          <w:rFonts w:ascii="Garamond" w:hAnsi="Garamond"/>
        </w:rPr>
        <w:footnoteRef/>
      </w:r>
      <w:r w:rsidRPr="008F6D10">
        <w:rPr>
          <w:rFonts w:ascii="Garamond" w:hAnsi="Garamond"/>
        </w:rPr>
        <w:t xml:space="preserve"> </w:t>
      </w:r>
      <w:r>
        <w:rPr>
          <w:rFonts w:ascii="Garamond" w:eastAsia="Times New Roman" w:hAnsi="Garamond"/>
        </w:rPr>
        <w:t xml:space="preserve">CESCR Committee, </w:t>
      </w:r>
      <w:r w:rsidRPr="008F6D10">
        <w:rPr>
          <w:rFonts w:ascii="Garamond" w:eastAsia="Times New Roman" w:hAnsi="Garamond"/>
          <w:i/>
          <w:iCs/>
        </w:rPr>
        <w:t>Concluding Observations: Bahrain</w:t>
      </w:r>
      <w:r w:rsidRPr="008F6D10">
        <w:rPr>
          <w:rFonts w:ascii="Garamond" w:eastAsia="Times New Roman" w:hAnsi="Garamond"/>
        </w:rPr>
        <w:t>, para. 44-45, U.N. Doc. E/C.12/BHR/CO/1 (2022): “The Committee is concerned about the criminalization of abortion…”.</w:t>
      </w:r>
    </w:p>
  </w:footnote>
  <w:footnote w:id="33">
    <w:p w14:paraId="0F38067C" w14:textId="48AF7D2E" w:rsidR="00C4441B" w:rsidRPr="008F6D10" w:rsidRDefault="00C4441B" w:rsidP="00B91414">
      <w:pPr>
        <w:pStyle w:val="NormalWeb"/>
        <w:spacing w:before="0" w:beforeAutospacing="0" w:after="0" w:afterAutospacing="0"/>
        <w:rPr>
          <w:rFonts w:ascii="Garamond" w:eastAsia="Times New Roman" w:hAnsi="Garamond" w:cs="Calibri"/>
          <w:sz w:val="20"/>
          <w:szCs w:val="20"/>
        </w:rPr>
      </w:pPr>
      <w:r w:rsidRPr="008F6D10">
        <w:rPr>
          <w:rStyle w:val="FootnoteReference"/>
          <w:rFonts w:ascii="Garamond" w:hAnsi="Garamond"/>
          <w:sz w:val="20"/>
          <w:szCs w:val="20"/>
        </w:rPr>
        <w:footnoteRef/>
      </w:r>
      <w:r w:rsidRPr="008F6D10">
        <w:rPr>
          <w:rFonts w:ascii="Garamond" w:hAnsi="Garamond"/>
          <w:sz w:val="20"/>
          <w:szCs w:val="20"/>
        </w:rPr>
        <w:t xml:space="preserve"> </w:t>
      </w:r>
      <w:r w:rsidRPr="008F6D10">
        <w:rPr>
          <w:rFonts w:ascii="Garamond" w:eastAsia="Times New Roman" w:hAnsi="Garamond" w:cs="Calibri"/>
          <w:sz w:val="20"/>
          <w:szCs w:val="20"/>
        </w:rPr>
        <w:t xml:space="preserve">CESCR, </w:t>
      </w:r>
      <w:r w:rsidRPr="008F6D10">
        <w:rPr>
          <w:rFonts w:ascii="Garamond" w:eastAsia="Times New Roman" w:hAnsi="Garamond" w:cs="Calibri"/>
          <w:i/>
          <w:iCs/>
          <w:sz w:val="20"/>
          <w:szCs w:val="20"/>
        </w:rPr>
        <w:t>General Comment No. 22: on the right to sexual and reproductive health</w:t>
      </w:r>
      <w:r w:rsidRPr="008F6D10">
        <w:rPr>
          <w:rFonts w:ascii="Garamond" w:eastAsia="Times New Roman" w:hAnsi="Garamond" w:cs="Calibri"/>
          <w:sz w:val="20"/>
          <w:szCs w:val="20"/>
        </w:rPr>
        <w:t xml:space="preserve"> (Art. 12), para. 38, 40, E/C.12/GC/22 (2 May 2016).</w:t>
      </w:r>
    </w:p>
  </w:footnote>
  <w:footnote w:id="34">
    <w:p w14:paraId="32D3A348" w14:textId="4EA13666" w:rsidR="00C4441B" w:rsidRPr="008F6D10" w:rsidRDefault="00C4441B">
      <w:pPr>
        <w:pStyle w:val="FootnoteText"/>
        <w:rPr>
          <w:rFonts w:ascii="Garamond" w:hAnsi="Garamond"/>
        </w:rPr>
      </w:pPr>
      <w:r w:rsidRPr="008F6D10">
        <w:rPr>
          <w:rStyle w:val="FootnoteReference"/>
          <w:rFonts w:ascii="Garamond" w:hAnsi="Garamond"/>
        </w:rPr>
        <w:footnoteRef/>
      </w:r>
      <w:r w:rsidRPr="008F6D10">
        <w:rPr>
          <w:rFonts w:ascii="Garamond" w:hAnsi="Garamond"/>
        </w:rPr>
        <w:t xml:space="preserve"> </w:t>
      </w:r>
      <w:r w:rsidRPr="008F6D10">
        <w:rPr>
          <w:rFonts w:ascii="Garamond" w:hAnsi="Garamond"/>
          <w:i/>
          <w:iCs/>
        </w:rPr>
        <w:t>Id.</w:t>
      </w:r>
      <w:r w:rsidRPr="008F6D10">
        <w:rPr>
          <w:rFonts w:ascii="Garamond" w:hAnsi="Garamond"/>
        </w:rPr>
        <w:t xml:space="preserve"> at para. 34.</w:t>
      </w:r>
    </w:p>
  </w:footnote>
  <w:footnote w:id="35">
    <w:p w14:paraId="2B44A2F5" w14:textId="19B0BE46" w:rsidR="00C4441B" w:rsidRPr="008F6D10" w:rsidRDefault="00C4441B">
      <w:pPr>
        <w:pStyle w:val="FootnoteText"/>
        <w:rPr>
          <w:rFonts w:ascii="Garamond" w:hAnsi="Garamond"/>
        </w:rPr>
      </w:pPr>
      <w:r w:rsidRPr="008F6D10">
        <w:rPr>
          <w:rStyle w:val="FootnoteReference"/>
          <w:rFonts w:ascii="Garamond" w:hAnsi="Garamond"/>
        </w:rPr>
        <w:footnoteRef/>
      </w:r>
      <w:r w:rsidRPr="008F6D10">
        <w:rPr>
          <w:rFonts w:ascii="Garamond" w:hAnsi="Garamond"/>
        </w:rPr>
        <w:t xml:space="preserve"> </w:t>
      </w:r>
      <w:r w:rsidRPr="008F6D10">
        <w:rPr>
          <w:rFonts w:ascii="Garamond" w:hAnsi="Garamond"/>
          <w:i/>
          <w:iCs/>
        </w:rPr>
        <w:t>Id</w:t>
      </w:r>
      <w:r w:rsidRPr="008F6D10">
        <w:rPr>
          <w:rFonts w:ascii="Garamond" w:hAnsi="Garamond"/>
        </w:rPr>
        <w:t xml:space="preserve">. at para. 10, 28. </w:t>
      </w:r>
    </w:p>
  </w:footnote>
  <w:footnote w:id="36">
    <w:p w14:paraId="3AE810F2" w14:textId="4D78B692" w:rsidR="00C4441B" w:rsidRPr="008F6D10" w:rsidRDefault="00C4441B">
      <w:pPr>
        <w:pStyle w:val="FootnoteText"/>
        <w:rPr>
          <w:rFonts w:ascii="Garamond" w:hAnsi="Garamond"/>
        </w:rPr>
      </w:pPr>
      <w:r w:rsidRPr="008F6D10">
        <w:rPr>
          <w:rStyle w:val="FootnoteReference"/>
          <w:rFonts w:ascii="Garamond" w:hAnsi="Garamond"/>
        </w:rPr>
        <w:footnoteRef/>
      </w:r>
      <w:r w:rsidRPr="008F6D10">
        <w:rPr>
          <w:rFonts w:ascii="Garamond" w:hAnsi="Garamond"/>
        </w:rPr>
        <w:t xml:space="preserve"> </w:t>
      </w:r>
      <w:r w:rsidRPr="008F6D10">
        <w:rPr>
          <w:rFonts w:ascii="Garamond" w:hAnsi="Garamond"/>
          <w:i/>
          <w:iCs/>
        </w:rPr>
        <w:t xml:space="preserve">Id. </w:t>
      </w:r>
      <w:r w:rsidRPr="008F6D10">
        <w:rPr>
          <w:rFonts w:ascii="Garamond" w:hAnsi="Garamond"/>
        </w:rPr>
        <w:t xml:space="preserve">at para. 28. </w:t>
      </w:r>
    </w:p>
  </w:footnote>
  <w:footnote w:id="37">
    <w:p w14:paraId="4258C72A" w14:textId="2B00E624" w:rsidR="00C4441B" w:rsidRPr="008F6D10" w:rsidRDefault="00C4441B">
      <w:pPr>
        <w:pStyle w:val="FootnoteText"/>
        <w:rPr>
          <w:rFonts w:ascii="Garamond" w:hAnsi="Garamond"/>
        </w:rPr>
      </w:pPr>
      <w:r w:rsidRPr="008F6D10">
        <w:rPr>
          <w:rStyle w:val="FootnoteReference"/>
          <w:rFonts w:ascii="Garamond" w:hAnsi="Garamond"/>
        </w:rPr>
        <w:footnoteRef/>
      </w:r>
      <w:r w:rsidRPr="008F6D10">
        <w:rPr>
          <w:rFonts w:ascii="Garamond" w:hAnsi="Garamond"/>
        </w:rPr>
        <w:t xml:space="preserve"> </w:t>
      </w:r>
      <w:r w:rsidRPr="008F6D10">
        <w:rPr>
          <w:rFonts w:ascii="Garamond" w:hAnsi="Garamond"/>
          <w:i/>
          <w:iCs/>
        </w:rPr>
        <w:t xml:space="preserve">Id. </w:t>
      </w:r>
      <w:r w:rsidRPr="008F6D10">
        <w:rPr>
          <w:rFonts w:ascii="Garamond" w:hAnsi="Garamond"/>
        </w:rPr>
        <w:t>at para. 40.</w:t>
      </w:r>
    </w:p>
  </w:footnote>
  <w:footnote w:id="38">
    <w:p w14:paraId="7631BD3A" w14:textId="1FA1EAD6" w:rsidR="00C4441B" w:rsidRPr="008F6D10" w:rsidRDefault="00C4441B">
      <w:pPr>
        <w:pStyle w:val="FootnoteText"/>
        <w:rPr>
          <w:rFonts w:ascii="Garamond" w:hAnsi="Garamond"/>
        </w:rPr>
      </w:pPr>
      <w:r w:rsidRPr="008F6D10">
        <w:rPr>
          <w:rStyle w:val="FootnoteReference"/>
          <w:rFonts w:ascii="Garamond" w:hAnsi="Garamond"/>
        </w:rPr>
        <w:footnoteRef/>
      </w:r>
      <w:r w:rsidRPr="008F6D10">
        <w:rPr>
          <w:rFonts w:ascii="Garamond" w:hAnsi="Garamond"/>
        </w:rPr>
        <w:t xml:space="preserve"> CESCR, </w:t>
      </w:r>
      <w:r w:rsidRPr="008F6D10">
        <w:rPr>
          <w:rFonts w:ascii="Garamond" w:hAnsi="Garamond"/>
          <w:i/>
          <w:iCs/>
        </w:rPr>
        <w:t>General Comment No. 14: The Right to the Highest Attainable Standard of Health</w:t>
      </w:r>
      <w:r w:rsidRPr="008F6D10">
        <w:rPr>
          <w:rFonts w:ascii="Garamond" w:hAnsi="Garamond"/>
        </w:rPr>
        <w:t xml:space="preserve"> (Art. 12), para. 1, E/C.12/2000/4 (11 Aug. 2000).</w:t>
      </w:r>
    </w:p>
  </w:footnote>
  <w:footnote w:id="39">
    <w:p w14:paraId="07CA0B15" w14:textId="5AC5E028" w:rsidR="00C4441B" w:rsidRPr="008F6D10" w:rsidRDefault="00C4441B">
      <w:pPr>
        <w:pStyle w:val="FootnoteText"/>
        <w:rPr>
          <w:rFonts w:ascii="Garamond" w:hAnsi="Garamond"/>
        </w:rPr>
      </w:pPr>
      <w:r w:rsidRPr="008F6D10">
        <w:rPr>
          <w:rStyle w:val="FootnoteReference"/>
          <w:rFonts w:ascii="Garamond" w:hAnsi="Garamond"/>
        </w:rPr>
        <w:footnoteRef/>
      </w:r>
      <w:r w:rsidRPr="008F6D10">
        <w:rPr>
          <w:rFonts w:ascii="Garamond" w:hAnsi="Garamond"/>
        </w:rPr>
        <w:t xml:space="preserve"> </w:t>
      </w:r>
      <w:r w:rsidRPr="008F6D10">
        <w:rPr>
          <w:rFonts w:ascii="Garamond" w:hAnsi="Garamond"/>
          <w:i/>
          <w:iCs/>
        </w:rPr>
        <w:t xml:space="preserve">Id. </w:t>
      </w:r>
      <w:r w:rsidRPr="008F6D10">
        <w:rPr>
          <w:rFonts w:ascii="Garamond" w:hAnsi="Garamond"/>
        </w:rPr>
        <w:t>at footnote 12.</w:t>
      </w:r>
    </w:p>
  </w:footnote>
  <w:footnote w:id="40">
    <w:p w14:paraId="4F72255A" w14:textId="48FDD8F3" w:rsidR="00C4441B" w:rsidRPr="008F6D10" w:rsidRDefault="00C4441B" w:rsidP="00545572">
      <w:pPr>
        <w:pStyle w:val="FootnoteText"/>
        <w:rPr>
          <w:rFonts w:ascii="Garamond" w:hAnsi="Garamond"/>
        </w:rPr>
      </w:pPr>
      <w:r w:rsidRPr="008F6D10">
        <w:rPr>
          <w:rStyle w:val="FootnoteReference"/>
          <w:rFonts w:ascii="Garamond" w:hAnsi="Garamond"/>
        </w:rPr>
        <w:footnoteRef/>
      </w:r>
      <w:r w:rsidRPr="008F6D10">
        <w:rPr>
          <w:rFonts w:ascii="Garamond" w:hAnsi="Garamond"/>
        </w:rPr>
        <w:t xml:space="preserve"> </w:t>
      </w:r>
      <w:r w:rsidRPr="008F6D10">
        <w:rPr>
          <w:rFonts w:ascii="Garamond" w:hAnsi="Garamond"/>
          <w:i/>
          <w:iCs/>
        </w:rPr>
        <w:t xml:space="preserve">Id. </w:t>
      </w:r>
      <w:r w:rsidRPr="008F6D10">
        <w:rPr>
          <w:rFonts w:ascii="Garamond" w:hAnsi="Garamond"/>
        </w:rPr>
        <w:t>at para. 34.</w:t>
      </w:r>
    </w:p>
  </w:footnote>
  <w:footnote w:id="41">
    <w:p w14:paraId="735D76E5" w14:textId="27344C95" w:rsidR="00C4441B" w:rsidRPr="006B289E" w:rsidRDefault="00C4441B" w:rsidP="006B289E">
      <w:r w:rsidRPr="008F6D10">
        <w:rPr>
          <w:rStyle w:val="FootnoteReference"/>
          <w:rFonts w:ascii="Garamond" w:hAnsi="Garamond"/>
          <w:sz w:val="20"/>
          <w:szCs w:val="20"/>
        </w:rPr>
        <w:footnoteRef/>
      </w:r>
      <w:r w:rsidRPr="008F6D10">
        <w:rPr>
          <w:rFonts w:ascii="Garamond" w:hAnsi="Garamond"/>
          <w:sz w:val="20"/>
          <w:szCs w:val="20"/>
        </w:rPr>
        <w:t xml:space="preserve"> International Covenant on Civil and Political Rights (ICCPR), acceded 22 Dec. 1993</w:t>
      </w:r>
      <w:r>
        <w:rPr>
          <w:rFonts w:ascii="Garamond" w:hAnsi="Garamond"/>
          <w:sz w:val="20"/>
          <w:szCs w:val="20"/>
        </w:rPr>
        <w:t xml:space="preserve">, </w:t>
      </w:r>
      <w:hyperlink r:id="rId18" w:history="1">
        <w:r w:rsidRPr="00251781">
          <w:rPr>
            <w:rStyle w:val="Hyperlink"/>
            <w:rFonts w:ascii="Garamond" w:hAnsi="Garamond"/>
            <w:sz w:val="20"/>
            <w:szCs w:val="20"/>
          </w:rPr>
          <w:t>https://tbinternet.ohchr.org/_layouts/15/TreatyBodyExternal/Treaty.aspx?CountryID=104&amp;Lang=en</w:t>
        </w:r>
      </w:hyperlink>
      <w:r>
        <w:rPr>
          <w:rFonts w:ascii="Garamond" w:hAnsi="Garamond"/>
          <w:sz w:val="20"/>
          <w:szCs w:val="20"/>
        </w:rPr>
        <w:t xml:space="preserve"> </w:t>
      </w:r>
      <w:r w:rsidRPr="008F6D10">
        <w:rPr>
          <w:rFonts w:ascii="Garamond" w:hAnsi="Garamond"/>
          <w:sz w:val="20"/>
          <w:szCs w:val="20"/>
        </w:rPr>
        <w:t xml:space="preserve">[accessed </w:t>
      </w:r>
      <w:r>
        <w:rPr>
          <w:rFonts w:ascii="Garamond" w:hAnsi="Garamond"/>
          <w:sz w:val="20"/>
          <w:szCs w:val="20"/>
        </w:rPr>
        <w:t>2</w:t>
      </w:r>
      <w:r w:rsidRPr="008F6D10">
        <w:rPr>
          <w:rFonts w:ascii="Garamond" w:hAnsi="Garamond"/>
          <w:sz w:val="20"/>
          <w:szCs w:val="20"/>
        </w:rPr>
        <w:t>7 Dec 2022]</w:t>
      </w:r>
      <w:r>
        <w:rPr>
          <w:rFonts w:ascii="Garamond" w:hAnsi="Garamond"/>
          <w:sz w:val="20"/>
          <w:szCs w:val="20"/>
        </w:rPr>
        <w:t>.</w:t>
      </w:r>
    </w:p>
  </w:footnote>
  <w:footnote w:id="42">
    <w:p w14:paraId="63A723B4" w14:textId="041175C1" w:rsidR="00C4441B" w:rsidRPr="008F6D10" w:rsidRDefault="00C4441B" w:rsidP="00B91414">
      <w:pPr>
        <w:pStyle w:val="FootnoteText"/>
        <w:rPr>
          <w:rFonts w:ascii="Garamond" w:hAnsi="Garamond"/>
        </w:rPr>
      </w:pPr>
      <w:r w:rsidRPr="008F6D10">
        <w:rPr>
          <w:rStyle w:val="FootnoteReference"/>
          <w:rFonts w:ascii="Garamond" w:hAnsi="Garamond"/>
        </w:rPr>
        <w:footnoteRef/>
      </w:r>
      <w:r w:rsidRPr="008F6D10">
        <w:rPr>
          <w:rFonts w:ascii="Garamond" w:hAnsi="Garamond"/>
        </w:rPr>
        <w:t xml:space="preserve"> Convention on the Elimination of All Forms of Discrimination against Women (CEDAW), acceded 12 March 1987</w:t>
      </w:r>
      <w:r>
        <w:rPr>
          <w:rFonts w:ascii="Garamond" w:hAnsi="Garamond"/>
        </w:rPr>
        <w:t xml:space="preserve">, </w:t>
      </w:r>
      <w:hyperlink r:id="rId19" w:history="1">
        <w:r w:rsidRPr="006A7D0E">
          <w:rPr>
            <w:rStyle w:val="Hyperlink"/>
            <w:rFonts w:ascii="Garamond" w:hAnsi="Garamond"/>
          </w:rPr>
          <w:t>https://tbinternet.ohchr.org/_layouts/15/TreatyBodyExternal/Treaty.aspx?CountryID=104&amp;Lang=en</w:t>
        </w:r>
      </w:hyperlink>
      <w:r>
        <w:rPr>
          <w:rFonts w:ascii="Garamond" w:hAnsi="Garamond"/>
        </w:rPr>
        <w:t xml:space="preserve"> </w:t>
      </w:r>
      <w:r w:rsidRPr="008F6D10">
        <w:rPr>
          <w:rFonts w:ascii="Garamond" w:hAnsi="Garamond"/>
        </w:rPr>
        <w:t xml:space="preserve">[accessed </w:t>
      </w:r>
      <w:r>
        <w:rPr>
          <w:rFonts w:ascii="Garamond" w:hAnsi="Garamond"/>
        </w:rPr>
        <w:t>2</w:t>
      </w:r>
      <w:r w:rsidRPr="008F6D10">
        <w:rPr>
          <w:rFonts w:ascii="Garamond" w:hAnsi="Garamond"/>
        </w:rPr>
        <w:t>7 Dec 2022]</w:t>
      </w:r>
      <w:r>
        <w:rPr>
          <w:rFonts w:ascii="Garamond" w:hAnsi="Garamond"/>
        </w:rPr>
        <w:t>.</w:t>
      </w:r>
    </w:p>
  </w:footnote>
  <w:footnote w:id="43">
    <w:p w14:paraId="1E119B9E" w14:textId="571D36D2" w:rsidR="00C4441B" w:rsidRPr="008F6D10" w:rsidRDefault="00C4441B" w:rsidP="00B91414">
      <w:pPr>
        <w:pStyle w:val="NormalWeb"/>
        <w:spacing w:before="0" w:beforeAutospacing="0" w:after="0" w:afterAutospacing="0"/>
        <w:rPr>
          <w:rFonts w:ascii="Garamond" w:eastAsia="Times New Roman" w:hAnsi="Garamond" w:cs="Calibri"/>
          <w:sz w:val="20"/>
          <w:szCs w:val="20"/>
        </w:rPr>
      </w:pPr>
      <w:r w:rsidRPr="008F6D10">
        <w:rPr>
          <w:rStyle w:val="FootnoteReference"/>
          <w:rFonts w:ascii="Garamond" w:hAnsi="Garamond"/>
          <w:sz w:val="20"/>
          <w:szCs w:val="20"/>
        </w:rPr>
        <w:footnoteRef/>
      </w:r>
      <w:r w:rsidRPr="008F6D10">
        <w:rPr>
          <w:rFonts w:ascii="Garamond" w:eastAsia="Times New Roman" w:hAnsi="Garamond" w:cs="Calibri"/>
          <w:sz w:val="20"/>
          <w:szCs w:val="20"/>
        </w:rPr>
        <w:t xml:space="preserve"> CEDAW Committee, </w:t>
      </w:r>
      <w:r w:rsidRPr="008F6D10">
        <w:rPr>
          <w:rFonts w:ascii="Garamond" w:eastAsia="Times New Roman" w:hAnsi="Garamond" w:cs="Calibri"/>
          <w:i/>
          <w:iCs/>
          <w:sz w:val="20"/>
          <w:szCs w:val="20"/>
        </w:rPr>
        <w:t>Inquiry concerning the United Kingdom of Great Britain and Northern Ireland under article 8 of the Optional Protocol to the Convention on the Elimination of All Forms of Discrimination against Women</w:t>
      </w:r>
      <w:r>
        <w:rPr>
          <w:rFonts w:ascii="Garamond" w:eastAsia="Times New Roman" w:hAnsi="Garamond" w:cs="Calibri"/>
          <w:sz w:val="20"/>
          <w:szCs w:val="20"/>
        </w:rPr>
        <w:t xml:space="preserve">, para. 65, U.N. </w:t>
      </w:r>
      <w:proofErr w:type="spellStart"/>
      <w:r>
        <w:rPr>
          <w:rFonts w:ascii="Garamond" w:eastAsia="Times New Roman" w:hAnsi="Garamond" w:cs="Calibri"/>
          <w:sz w:val="20"/>
          <w:szCs w:val="20"/>
        </w:rPr>
        <w:t>Doc.</w:t>
      </w:r>
      <w:r w:rsidRPr="008F6D10">
        <w:rPr>
          <w:rFonts w:ascii="Garamond" w:eastAsia="Times New Roman" w:hAnsi="Garamond" w:cs="Calibri"/>
          <w:sz w:val="20"/>
          <w:szCs w:val="20"/>
        </w:rPr>
        <w:t>CEDAW</w:t>
      </w:r>
      <w:proofErr w:type="spellEnd"/>
      <w:r w:rsidRPr="008F6D10">
        <w:rPr>
          <w:rFonts w:ascii="Garamond" w:eastAsia="Times New Roman" w:hAnsi="Garamond" w:cs="Calibri"/>
          <w:sz w:val="20"/>
          <w:szCs w:val="20"/>
        </w:rPr>
        <w:t>/C/OP.8/GBR/1 (2018).</w:t>
      </w:r>
    </w:p>
  </w:footnote>
  <w:footnote w:id="44">
    <w:p w14:paraId="248BAD1B" w14:textId="77777777" w:rsidR="00C4441B" w:rsidRPr="008F6D10" w:rsidRDefault="00C4441B" w:rsidP="00B91414">
      <w:pPr>
        <w:pStyle w:val="FootnoteText"/>
        <w:rPr>
          <w:rFonts w:ascii="Garamond" w:hAnsi="Garamond"/>
        </w:rPr>
      </w:pPr>
      <w:r w:rsidRPr="008F6D10">
        <w:rPr>
          <w:rStyle w:val="FootnoteReference"/>
          <w:rFonts w:ascii="Garamond" w:hAnsi="Garamond"/>
        </w:rPr>
        <w:footnoteRef/>
      </w:r>
      <w:r w:rsidRPr="008F6D10">
        <w:rPr>
          <w:rFonts w:ascii="Garamond" w:hAnsi="Garamond"/>
        </w:rPr>
        <w:t xml:space="preserve"> </w:t>
      </w:r>
      <w:r w:rsidRPr="008F6D10">
        <w:rPr>
          <w:rFonts w:ascii="Garamond" w:hAnsi="Garamond"/>
          <w:i/>
          <w:iCs/>
        </w:rPr>
        <w:t xml:space="preserve">Id. </w:t>
      </w:r>
      <w:r w:rsidRPr="008F6D10">
        <w:rPr>
          <w:rFonts w:ascii="Garamond" w:hAnsi="Garamond"/>
        </w:rPr>
        <w:t>at para. 85.</w:t>
      </w:r>
    </w:p>
  </w:footnote>
  <w:footnote w:id="45">
    <w:p w14:paraId="1D7C9AD6" w14:textId="054A3043" w:rsidR="00C4441B" w:rsidRPr="008F6D10" w:rsidRDefault="00C4441B" w:rsidP="00B91414">
      <w:pPr>
        <w:pStyle w:val="FootnoteText"/>
        <w:rPr>
          <w:rFonts w:ascii="Garamond" w:hAnsi="Garamond"/>
        </w:rPr>
      </w:pPr>
      <w:r w:rsidRPr="008F6D10">
        <w:rPr>
          <w:rStyle w:val="FootnoteReference"/>
          <w:rFonts w:ascii="Garamond" w:hAnsi="Garamond"/>
        </w:rPr>
        <w:footnoteRef/>
      </w:r>
      <w:r w:rsidRPr="008F6D10">
        <w:rPr>
          <w:rFonts w:ascii="Garamond" w:hAnsi="Garamond"/>
        </w:rPr>
        <w:t xml:space="preserve"> </w:t>
      </w:r>
      <w:r w:rsidRPr="008F6D10">
        <w:rPr>
          <w:rFonts w:ascii="Garamond" w:hAnsi="Garamond"/>
          <w:i/>
          <w:iCs/>
        </w:rPr>
        <w:t xml:space="preserve">Id. </w:t>
      </w:r>
      <w:r w:rsidRPr="008F6D10">
        <w:rPr>
          <w:rFonts w:ascii="Garamond" w:hAnsi="Garamond"/>
        </w:rPr>
        <w:t>at para. 31.</w:t>
      </w:r>
    </w:p>
  </w:footnote>
  <w:footnote w:id="46">
    <w:p w14:paraId="504CB5CB" w14:textId="3E86EC7B" w:rsidR="00C4441B" w:rsidRPr="008F6D10" w:rsidRDefault="00C4441B" w:rsidP="00B91414">
      <w:pPr>
        <w:pStyle w:val="FootnoteText"/>
        <w:rPr>
          <w:rFonts w:ascii="Garamond" w:hAnsi="Garamond"/>
        </w:rPr>
      </w:pPr>
      <w:r w:rsidRPr="008F6D10">
        <w:rPr>
          <w:rStyle w:val="FootnoteReference"/>
          <w:rFonts w:ascii="Garamond" w:hAnsi="Garamond"/>
        </w:rPr>
        <w:footnoteRef/>
      </w:r>
      <w:r w:rsidRPr="008F6D10">
        <w:rPr>
          <w:rFonts w:ascii="Garamond" w:hAnsi="Garamond"/>
        </w:rPr>
        <w:t xml:space="preserve"> </w:t>
      </w:r>
      <w:r w:rsidRPr="008F6D10">
        <w:rPr>
          <w:rFonts w:ascii="Garamond" w:hAnsi="Garamond" w:cs="Calibri"/>
        </w:rPr>
        <w:t>CEDAW Committee, </w:t>
      </w:r>
      <w:r w:rsidRPr="008F6D10">
        <w:rPr>
          <w:rFonts w:ascii="Garamond" w:hAnsi="Garamond" w:cs="Calibri"/>
          <w:i/>
          <w:iCs/>
        </w:rPr>
        <w:t>Concluding Observations: Malawi</w:t>
      </w:r>
      <w:r w:rsidRPr="008F6D10">
        <w:rPr>
          <w:rFonts w:ascii="Garamond" w:hAnsi="Garamond" w:cs="Calibri"/>
        </w:rPr>
        <w:t xml:space="preserve">, para. 31, U.N. Doc. CEDAW/C/MWI/CO/5 (2006): "The Committee is alarmed at the persistent high maternal mortality rate, particularly the number of deaths resulting from unsafe abortions;" CEDAW Committee, </w:t>
      </w:r>
      <w:r w:rsidRPr="008F6D10">
        <w:rPr>
          <w:rFonts w:ascii="Garamond" w:hAnsi="Garamond" w:cs="Calibri"/>
          <w:i/>
          <w:iCs/>
        </w:rPr>
        <w:t>Concluding Observations: Malawi</w:t>
      </w:r>
      <w:r w:rsidRPr="008F6D10">
        <w:rPr>
          <w:rFonts w:ascii="Garamond" w:hAnsi="Garamond" w:cs="Calibri"/>
        </w:rPr>
        <w:t xml:space="preserve">, para. 36-37, U.N. Doc. CEDAW/C/MWI/CO/6 (2010): "The Committee reiterates its previous concern about the high incidence of maternal mortality, particularly the number of deaths resulting from unsafe abortions;" CEDAW Committee, </w:t>
      </w:r>
      <w:r w:rsidRPr="008F6D10">
        <w:rPr>
          <w:rFonts w:ascii="Garamond" w:hAnsi="Garamond" w:cs="Calibri"/>
          <w:i/>
          <w:iCs/>
        </w:rPr>
        <w:t>Concluding Observations: Malawi</w:t>
      </w:r>
      <w:r w:rsidRPr="008F6D10">
        <w:rPr>
          <w:rFonts w:ascii="Garamond" w:hAnsi="Garamond" w:cs="Calibri"/>
        </w:rPr>
        <w:t>, para. 34-35, U.N. Doc. CEDAW/C/MWI/CO/7 (2015): "Amend legal provisions regulating abortion to legalize it…"</w:t>
      </w:r>
    </w:p>
  </w:footnote>
  <w:footnote w:id="47">
    <w:p w14:paraId="37BB4B27" w14:textId="6B01BF13" w:rsidR="00C4441B" w:rsidRPr="008F6D10" w:rsidRDefault="00C4441B" w:rsidP="00F10994">
      <w:pPr>
        <w:pStyle w:val="FootnoteText"/>
        <w:rPr>
          <w:rFonts w:ascii="Garamond" w:hAnsi="Garamond"/>
        </w:rPr>
      </w:pPr>
      <w:r w:rsidRPr="008F6D10">
        <w:rPr>
          <w:rStyle w:val="FootnoteReference"/>
          <w:rFonts w:ascii="Garamond" w:hAnsi="Garamond"/>
        </w:rPr>
        <w:footnoteRef/>
      </w:r>
      <w:r w:rsidRPr="008F6D10">
        <w:rPr>
          <w:rFonts w:ascii="Garamond" w:hAnsi="Garamond"/>
        </w:rPr>
        <w:t xml:space="preserve"> </w:t>
      </w:r>
      <w:proofErr w:type="spellStart"/>
      <w:r w:rsidRPr="008F6D10">
        <w:rPr>
          <w:rFonts w:ascii="Garamond" w:hAnsi="Garamond"/>
          <w:i/>
          <w:iCs/>
        </w:rPr>
        <w:t>Mellet</w:t>
      </w:r>
      <w:proofErr w:type="spellEnd"/>
      <w:r w:rsidRPr="008F6D10">
        <w:rPr>
          <w:rFonts w:ascii="Garamond" w:hAnsi="Garamond"/>
          <w:i/>
          <w:iCs/>
        </w:rPr>
        <w:t xml:space="preserve"> v. Ireland</w:t>
      </w:r>
      <w:r w:rsidRPr="008F6D10">
        <w:rPr>
          <w:rFonts w:ascii="Garamond" w:hAnsi="Garamond"/>
        </w:rPr>
        <w:t xml:space="preserve">, para. 9; </w:t>
      </w:r>
      <w:r w:rsidRPr="008F6D10">
        <w:rPr>
          <w:rFonts w:ascii="Garamond" w:hAnsi="Garamond"/>
          <w:i/>
          <w:iCs/>
        </w:rPr>
        <w:t>Whelan v. Ireland</w:t>
      </w:r>
      <w:r w:rsidRPr="008F6D10">
        <w:rPr>
          <w:rFonts w:ascii="Garamond" w:hAnsi="Garamond"/>
        </w:rPr>
        <w:t xml:space="preserve">, para. 9. </w:t>
      </w:r>
    </w:p>
  </w:footnote>
  <w:footnote w:id="48">
    <w:p w14:paraId="086187FC" w14:textId="477ADDDD" w:rsidR="00C4441B" w:rsidRPr="008F6D10" w:rsidRDefault="00C4441B" w:rsidP="00F10994">
      <w:pPr>
        <w:pStyle w:val="FootnoteText"/>
        <w:rPr>
          <w:rFonts w:ascii="Garamond" w:hAnsi="Garamond"/>
        </w:rPr>
      </w:pPr>
      <w:r w:rsidRPr="008F6D10">
        <w:rPr>
          <w:rStyle w:val="FootnoteReference"/>
          <w:rFonts w:ascii="Garamond" w:hAnsi="Garamond"/>
        </w:rPr>
        <w:footnoteRef/>
      </w:r>
      <w:r w:rsidRPr="008F6D10">
        <w:rPr>
          <w:rFonts w:ascii="Garamond" w:hAnsi="Garamond"/>
        </w:rPr>
        <w:t xml:space="preserve"> </w:t>
      </w:r>
      <w:r w:rsidRPr="008F6D10">
        <w:rPr>
          <w:rFonts w:ascii="Garamond" w:hAnsi="Garamond"/>
          <w:i/>
          <w:iCs/>
        </w:rPr>
        <w:t xml:space="preserve">Id. </w:t>
      </w:r>
      <w:proofErr w:type="spellStart"/>
      <w:r w:rsidRPr="008F6D10">
        <w:rPr>
          <w:rFonts w:ascii="Garamond" w:hAnsi="Garamond"/>
          <w:i/>
          <w:iCs/>
        </w:rPr>
        <w:t>Mellet</w:t>
      </w:r>
      <w:proofErr w:type="spellEnd"/>
      <w:r w:rsidRPr="008F6D10">
        <w:rPr>
          <w:rFonts w:ascii="Garamond" w:hAnsi="Garamond"/>
        </w:rPr>
        <w:t xml:space="preserve"> at para. 3.4. </w:t>
      </w:r>
    </w:p>
  </w:footnote>
  <w:footnote w:id="49">
    <w:p w14:paraId="5F4013CA" w14:textId="58648693" w:rsidR="00C4441B" w:rsidRPr="008F6D10" w:rsidRDefault="00C4441B">
      <w:pPr>
        <w:pStyle w:val="FootnoteText"/>
        <w:rPr>
          <w:rFonts w:ascii="Garamond" w:hAnsi="Garamond"/>
        </w:rPr>
      </w:pPr>
      <w:r w:rsidRPr="008F6D10">
        <w:rPr>
          <w:rStyle w:val="FootnoteReference"/>
          <w:rFonts w:ascii="Garamond" w:hAnsi="Garamond"/>
        </w:rPr>
        <w:footnoteRef/>
      </w:r>
      <w:r w:rsidRPr="008F6D10">
        <w:rPr>
          <w:rFonts w:ascii="Garamond" w:hAnsi="Garamond"/>
        </w:rPr>
        <w:t xml:space="preserve"> Human Rights Committee, </w:t>
      </w:r>
      <w:r w:rsidRPr="008F6D10">
        <w:rPr>
          <w:rFonts w:ascii="Garamond" w:hAnsi="Garamond"/>
          <w:i/>
          <w:iCs/>
        </w:rPr>
        <w:t>General Comment No. 36: The Right to Life</w:t>
      </w:r>
      <w:r w:rsidRPr="008F6D10">
        <w:rPr>
          <w:rFonts w:ascii="Garamond" w:hAnsi="Garamond"/>
        </w:rPr>
        <w:t xml:space="preserve"> (Art. 6) at para. 8, CCPR/C/GC/36 (3 Sept. 2019).</w:t>
      </w:r>
    </w:p>
  </w:footnote>
  <w:footnote w:id="50">
    <w:p w14:paraId="6D24D006" w14:textId="53B5951B" w:rsidR="00C4441B" w:rsidRPr="008F6D10" w:rsidRDefault="00C4441B">
      <w:pPr>
        <w:pStyle w:val="FootnoteText"/>
        <w:rPr>
          <w:rFonts w:ascii="Garamond" w:hAnsi="Garamond"/>
        </w:rPr>
      </w:pPr>
      <w:r w:rsidRPr="008F6D10">
        <w:rPr>
          <w:rStyle w:val="FootnoteReference"/>
          <w:rFonts w:ascii="Garamond" w:hAnsi="Garamond"/>
        </w:rPr>
        <w:footnoteRef/>
      </w:r>
      <w:r w:rsidRPr="008F6D10">
        <w:rPr>
          <w:rFonts w:ascii="Garamond" w:hAnsi="Garamond"/>
        </w:rPr>
        <w:t xml:space="preserve"> </w:t>
      </w:r>
      <w:r w:rsidRPr="008F6D10">
        <w:rPr>
          <w:rFonts w:ascii="Garamond" w:hAnsi="Garamond" w:cs="Calibri"/>
        </w:rPr>
        <w:t>Human Rights Committee, Concluding Observations on Malawi, para. 9, CCPR/C/MWI/CO/1/Add.1 (2014).</w:t>
      </w:r>
    </w:p>
  </w:footnote>
  <w:footnote w:id="51">
    <w:p w14:paraId="55143660" w14:textId="7CE61E2C" w:rsidR="00C4441B" w:rsidRPr="008F6D10" w:rsidRDefault="00C4441B">
      <w:pPr>
        <w:pStyle w:val="FootnoteText"/>
        <w:rPr>
          <w:rFonts w:ascii="Garamond" w:hAnsi="Garamond"/>
        </w:rPr>
      </w:pPr>
      <w:r w:rsidRPr="008F6D10">
        <w:rPr>
          <w:rStyle w:val="FootnoteReference"/>
          <w:rFonts w:ascii="Garamond" w:hAnsi="Garamond"/>
        </w:rPr>
        <w:footnoteRef/>
      </w:r>
      <w:r w:rsidRPr="008F6D10">
        <w:rPr>
          <w:rFonts w:ascii="Garamond" w:hAnsi="Garamond"/>
        </w:rPr>
        <w:t xml:space="preserve"> </w:t>
      </w:r>
      <w:r w:rsidRPr="008F6D10">
        <w:rPr>
          <w:rFonts w:ascii="Garamond" w:hAnsi="Garamond" w:cs="Calibri"/>
        </w:rPr>
        <w:t>Human Rights Committee, Concluding Observations on Poland, para. 23-24, CCPR/C/POL/CO/7 (2016).</w:t>
      </w:r>
    </w:p>
  </w:footnote>
  <w:footnote w:id="52">
    <w:p w14:paraId="72A253A0" w14:textId="255ECFF9" w:rsidR="00C4441B" w:rsidRPr="008F6D10" w:rsidRDefault="00C4441B">
      <w:pPr>
        <w:pStyle w:val="FootnoteText"/>
        <w:rPr>
          <w:rFonts w:ascii="Garamond" w:hAnsi="Garamond"/>
        </w:rPr>
      </w:pPr>
      <w:r w:rsidRPr="008F6D10">
        <w:rPr>
          <w:rStyle w:val="FootnoteReference"/>
          <w:rFonts w:ascii="Garamond" w:hAnsi="Garamond"/>
        </w:rPr>
        <w:footnoteRef/>
      </w:r>
      <w:r w:rsidRPr="008F6D10">
        <w:rPr>
          <w:rFonts w:ascii="Garamond" w:hAnsi="Garamond"/>
        </w:rPr>
        <w:t xml:space="preserve"> </w:t>
      </w:r>
      <w:r w:rsidRPr="008F6D10">
        <w:rPr>
          <w:rFonts w:ascii="Garamond" w:hAnsi="Garamond" w:cs="Calibri"/>
        </w:rPr>
        <w:t>Human Rights Committee, Concluding Observations on Jordan, para. 20, CCPR/C/JOR/CO/5 (2017).</w:t>
      </w:r>
    </w:p>
  </w:footnote>
  <w:footnote w:id="53">
    <w:p w14:paraId="29E71379" w14:textId="06A37B58" w:rsidR="00C4441B" w:rsidRPr="008F6D10" w:rsidRDefault="00C4441B" w:rsidP="00B91414">
      <w:pPr>
        <w:pStyle w:val="FootnoteText"/>
        <w:rPr>
          <w:rFonts w:ascii="Garamond" w:eastAsia="Times New Roman" w:hAnsi="Garamond"/>
        </w:rPr>
      </w:pPr>
      <w:r w:rsidRPr="008F6D10">
        <w:rPr>
          <w:rStyle w:val="FootnoteReference"/>
          <w:rFonts w:ascii="Garamond" w:hAnsi="Garamond"/>
        </w:rPr>
        <w:footnoteRef/>
      </w:r>
      <w:r w:rsidRPr="008F6D10">
        <w:rPr>
          <w:rFonts w:ascii="Garamond" w:hAnsi="Garamond"/>
        </w:rPr>
        <w:t xml:space="preserve"> </w:t>
      </w:r>
      <w:r w:rsidRPr="008F6D10">
        <w:rPr>
          <w:rFonts w:ascii="Garamond" w:eastAsia="Times New Roman" w:hAnsi="Garamond"/>
        </w:rPr>
        <w:t xml:space="preserve">The UN Working Group on the issue of discrimination against women in law and in practice: </w:t>
      </w:r>
      <w:r w:rsidRPr="008F6D10">
        <w:rPr>
          <w:rFonts w:ascii="Garamond" w:eastAsia="Times New Roman" w:hAnsi="Garamond"/>
          <w:i/>
          <w:iCs/>
        </w:rPr>
        <w:t>Women's Autonomy, Equality and Reproductive Health in International Human Rights: Between Recognition, Backlash and Regressive Trends</w:t>
      </w:r>
      <w:r w:rsidRPr="008F6D10">
        <w:rPr>
          <w:rFonts w:ascii="Garamond" w:eastAsia="Times New Roman" w:hAnsi="Garamond"/>
        </w:rPr>
        <w:t xml:space="preserve">, p. 4, </w:t>
      </w:r>
      <w:r>
        <w:rPr>
          <w:rFonts w:ascii="Garamond" w:eastAsia="Times New Roman" w:hAnsi="Garamond"/>
        </w:rPr>
        <w:t xml:space="preserve">2017, </w:t>
      </w:r>
      <w:hyperlink r:id="rId20" w:history="1">
        <w:r w:rsidRPr="00591FC1">
          <w:rPr>
            <w:rStyle w:val="Hyperlink"/>
            <w:rFonts w:ascii="Garamond" w:hAnsi="Garamond"/>
          </w:rPr>
          <w:t>https://www.ohchr.org/sites/default/files/Documents/Issues/Women/WG/WomensAutonomyEqualityReproductiveHealth.pdf</w:t>
        </w:r>
      </w:hyperlink>
      <w:r>
        <w:t xml:space="preserve"> </w:t>
      </w:r>
      <w:r w:rsidRPr="008F6D10">
        <w:rPr>
          <w:rFonts w:ascii="Garamond" w:hAnsi="Garamond"/>
        </w:rPr>
        <w:t xml:space="preserve">[accessed </w:t>
      </w:r>
      <w:r>
        <w:rPr>
          <w:rFonts w:ascii="Garamond" w:hAnsi="Garamond"/>
        </w:rPr>
        <w:t>2</w:t>
      </w:r>
      <w:r w:rsidRPr="008F6D10">
        <w:rPr>
          <w:rFonts w:ascii="Garamond" w:hAnsi="Garamond"/>
        </w:rPr>
        <w:t>7 Dec 2022].</w:t>
      </w:r>
    </w:p>
  </w:footnote>
  <w:footnote w:id="54">
    <w:p w14:paraId="20E2E3EC" w14:textId="0300A60E" w:rsidR="00C4441B" w:rsidRPr="008F6D10" w:rsidRDefault="00C4441B" w:rsidP="00B91414">
      <w:pPr>
        <w:rPr>
          <w:rFonts w:ascii="Garamond" w:hAnsi="Garamond"/>
          <w:sz w:val="20"/>
          <w:szCs w:val="20"/>
        </w:rPr>
      </w:pPr>
      <w:r w:rsidRPr="008F6D10">
        <w:rPr>
          <w:rFonts w:ascii="Garamond" w:hAnsi="Garamond"/>
          <w:sz w:val="20"/>
          <w:szCs w:val="20"/>
          <w:vertAlign w:val="superscript"/>
        </w:rPr>
        <w:footnoteRef/>
      </w:r>
      <w:r w:rsidRPr="008F6D10">
        <w:rPr>
          <w:rFonts w:ascii="Garamond" w:hAnsi="Garamond"/>
          <w:sz w:val="20"/>
          <w:szCs w:val="20"/>
        </w:rPr>
        <w:t xml:space="preserve"> African Union, </w:t>
      </w:r>
      <w:r w:rsidRPr="008F6D10">
        <w:rPr>
          <w:rFonts w:ascii="Garamond" w:hAnsi="Garamond"/>
          <w:i/>
          <w:iCs/>
          <w:sz w:val="20"/>
          <w:szCs w:val="20"/>
        </w:rPr>
        <w:t>Maputo Protocol to the African Charter on Human and Peoples’ Rights on the Rights of Women in Africa</w:t>
      </w:r>
      <w:r w:rsidRPr="008F6D10">
        <w:rPr>
          <w:rFonts w:ascii="Garamond" w:hAnsi="Garamond"/>
          <w:sz w:val="20"/>
          <w:szCs w:val="20"/>
        </w:rPr>
        <w:t xml:space="preserve">, Art 14(2) (c) Health and reproductive rights, </w:t>
      </w:r>
      <w:hyperlink r:id="rId21" w:history="1">
        <w:r w:rsidRPr="00591FC1">
          <w:rPr>
            <w:rStyle w:val="Hyperlink"/>
            <w:rFonts w:ascii="Garamond" w:hAnsi="Garamond"/>
            <w:sz w:val="20"/>
            <w:szCs w:val="20"/>
          </w:rPr>
          <w:t>https://au.int/sites/default/files/treaties/37077-treaty-charter_on_rights_of_women_in_africa.pdf</w:t>
        </w:r>
      </w:hyperlink>
      <w:r>
        <w:rPr>
          <w:sz w:val="20"/>
          <w:szCs w:val="20"/>
        </w:rPr>
        <w:t xml:space="preserve"> </w:t>
      </w:r>
      <w:r w:rsidRPr="008F6D10">
        <w:rPr>
          <w:rFonts w:ascii="Garamond" w:hAnsi="Garamond"/>
          <w:sz w:val="20"/>
          <w:szCs w:val="20"/>
        </w:rPr>
        <w:t xml:space="preserve">[accessed </w:t>
      </w:r>
      <w:r>
        <w:rPr>
          <w:rFonts w:ascii="Garamond" w:hAnsi="Garamond"/>
          <w:sz w:val="20"/>
          <w:szCs w:val="20"/>
        </w:rPr>
        <w:t>2</w:t>
      </w:r>
      <w:r w:rsidRPr="008F6D10">
        <w:rPr>
          <w:rFonts w:ascii="Garamond" w:hAnsi="Garamond"/>
          <w:sz w:val="20"/>
          <w:szCs w:val="20"/>
        </w:rPr>
        <w:t xml:space="preserve">7 Dec 2022]. </w:t>
      </w:r>
    </w:p>
  </w:footnote>
  <w:footnote w:id="55">
    <w:p w14:paraId="3B4E9BD8" w14:textId="3EA2E454" w:rsidR="00C4441B" w:rsidRPr="008F6D10" w:rsidRDefault="00C4441B" w:rsidP="00B91414">
      <w:pPr>
        <w:pStyle w:val="FootnoteText"/>
        <w:rPr>
          <w:rFonts w:ascii="Garamond" w:hAnsi="Garamond"/>
        </w:rPr>
      </w:pPr>
      <w:r w:rsidRPr="008F6D10">
        <w:rPr>
          <w:rStyle w:val="FootnoteReference"/>
          <w:rFonts w:ascii="Garamond" w:hAnsi="Garamond"/>
        </w:rPr>
        <w:footnoteRef/>
      </w:r>
      <w:r w:rsidRPr="008F6D10">
        <w:rPr>
          <w:rFonts w:ascii="Garamond" w:hAnsi="Garamond"/>
        </w:rPr>
        <w:t xml:space="preserve"> CESCR, Art. 2.1; Art. 3, Art. 10, Art. 12, Art. 15; CCPR, Art. 6, Art. 3, Art. 7, Art. 17; CEDAW, Art. 2, Art. 3, Art. 12, Art. 14, Art. 16; UDHR, Art. 3, Art.5, Art. 19; CAT, Art. 1.</w:t>
      </w:r>
    </w:p>
  </w:footnote>
  <w:footnote w:id="56">
    <w:p w14:paraId="51BD6F68" w14:textId="31494433" w:rsidR="00C4441B" w:rsidRPr="008F6D10" w:rsidRDefault="00C4441B" w:rsidP="00B91414">
      <w:pPr>
        <w:pStyle w:val="FootnoteText"/>
        <w:rPr>
          <w:rFonts w:ascii="Garamond" w:hAnsi="Garamond"/>
        </w:rPr>
      </w:pPr>
      <w:r w:rsidRPr="008F6D10">
        <w:rPr>
          <w:rStyle w:val="FootnoteReference"/>
          <w:rFonts w:ascii="Garamond" w:hAnsi="Garamond"/>
        </w:rPr>
        <w:footnoteRef/>
      </w:r>
      <w:r w:rsidRPr="008F6D10">
        <w:rPr>
          <w:rFonts w:ascii="Garamond" w:hAnsi="Garamond"/>
        </w:rPr>
        <w:t xml:space="preserve"> “Any international agreement entered into after the commencement of this Constitution shall form part of the law of the Republic if </w:t>
      </w:r>
      <w:proofErr w:type="gramStart"/>
      <w:r w:rsidRPr="008F6D10">
        <w:rPr>
          <w:rFonts w:ascii="Garamond" w:hAnsi="Garamond"/>
        </w:rPr>
        <w:t>so</w:t>
      </w:r>
      <w:proofErr w:type="gramEnd"/>
      <w:r w:rsidRPr="008F6D10">
        <w:rPr>
          <w:rFonts w:ascii="Garamond" w:hAnsi="Garamond"/>
        </w:rPr>
        <w:t xml:space="preserve"> provided by an Act of Parliament.” </w:t>
      </w:r>
      <w:r w:rsidRPr="008F6D10">
        <w:rPr>
          <w:rFonts w:ascii="Garamond" w:hAnsi="Garamond"/>
          <w:i/>
          <w:iCs/>
        </w:rPr>
        <w:t>Republic of Malawi (Constitution) Act of 1994, with amendments through 2017</w:t>
      </w:r>
      <w:r w:rsidRPr="008F6D10">
        <w:rPr>
          <w:rFonts w:ascii="Garamond" w:hAnsi="Garamond"/>
        </w:rPr>
        <w:t>, Section 211.1</w:t>
      </w:r>
      <w:r w:rsidRPr="00591FC1">
        <w:rPr>
          <w:rFonts w:ascii="Garamond" w:hAnsi="Garamond"/>
        </w:rPr>
        <w:t xml:space="preserve">, </w:t>
      </w:r>
      <w:hyperlink r:id="rId22" w:history="1">
        <w:r w:rsidRPr="00591FC1">
          <w:rPr>
            <w:rStyle w:val="Hyperlink"/>
            <w:rFonts w:ascii="Garamond" w:hAnsi="Garamond"/>
          </w:rPr>
          <w:t>https://www.constituteproject.org/constitution/Malawi_2017</w:t>
        </w:r>
      </w:hyperlink>
      <w:r>
        <w:t xml:space="preserve"> </w:t>
      </w:r>
      <w:r w:rsidRPr="008F6D10">
        <w:rPr>
          <w:rFonts w:ascii="Garamond" w:hAnsi="Garamond"/>
        </w:rPr>
        <w:t xml:space="preserve">[accessed </w:t>
      </w:r>
      <w:r>
        <w:rPr>
          <w:rFonts w:ascii="Garamond" w:hAnsi="Garamond"/>
        </w:rPr>
        <w:t>2</w:t>
      </w:r>
      <w:r w:rsidRPr="008F6D10">
        <w:rPr>
          <w:rFonts w:ascii="Garamond" w:hAnsi="Garamond"/>
        </w:rPr>
        <w:t>7 Dec 2022].</w:t>
      </w:r>
    </w:p>
  </w:footnote>
  <w:footnote w:id="57">
    <w:p w14:paraId="6B67BCA0" w14:textId="6787B9DA" w:rsidR="00C4441B" w:rsidRPr="008F6D10" w:rsidRDefault="00C4441B" w:rsidP="00B91414">
      <w:pPr>
        <w:pStyle w:val="FootnoteText"/>
        <w:rPr>
          <w:rFonts w:ascii="Garamond" w:hAnsi="Garamond"/>
        </w:rPr>
      </w:pPr>
      <w:r w:rsidRPr="008F6D10">
        <w:rPr>
          <w:rStyle w:val="FootnoteReference"/>
          <w:rFonts w:ascii="Garamond" w:hAnsi="Garamond"/>
        </w:rPr>
        <w:footnoteRef/>
      </w:r>
      <w:r w:rsidRPr="008F6D10">
        <w:rPr>
          <w:rFonts w:ascii="Garamond" w:hAnsi="Garamond"/>
        </w:rPr>
        <w:t xml:space="preserve"> Malawi Penal Code, Art. 243 Surgical Operation, </w:t>
      </w:r>
      <w:r w:rsidRPr="008F6D10">
        <w:rPr>
          <w:rFonts w:ascii="Garamond" w:hAnsi="Garamond"/>
          <w:i/>
          <w:iCs/>
        </w:rPr>
        <w:t xml:space="preserve">supra </w:t>
      </w:r>
      <w:r w:rsidRPr="008F6D10">
        <w:rPr>
          <w:rFonts w:ascii="Garamond" w:hAnsi="Garamond"/>
        </w:rPr>
        <w:t>note 2.</w:t>
      </w:r>
    </w:p>
  </w:footnote>
  <w:footnote w:id="58">
    <w:p w14:paraId="05BC29C9" w14:textId="09732A3A" w:rsidR="00C4441B" w:rsidRPr="008F6D10" w:rsidRDefault="00C4441B" w:rsidP="00B91414">
      <w:pPr>
        <w:pStyle w:val="FootnoteText"/>
        <w:rPr>
          <w:rFonts w:ascii="Garamond" w:hAnsi="Garamond"/>
        </w:rPr>
      </w:pPr>
      <w:r w:rsidRPr="008F6D10">
        <w:rPr>
          <w:rStyle w:val="FootnoteReference"/>
          <w:rFonts w:ascii="Garamond" w:hAnsi="Garamond"/>
        </w:rPr>
        <w:footnoteRef/>
      </w:r>
      <w:r w:rsidRPr="008F6D10">
        <w:rPr>
          <w:rFonts w:ascii="Garamond" w:hAnsi="Garamond"/>
        </w:rPr>
        <w:t xml:space="preserve"> Malawi Ministry of Health, </w:t>
      </w:r>
      <w:r w:rsidR="00310FBE" w:rsidRPr="00310FBE">
        <w:rPr>
          <w:rFonts w:ascii="Garamond" w:hAnsi="Garamond"/>
          <w:i/>
          <w:iCs/>
        </w:rPr>
        <w:t>Standards and Guidelines for Post Abortion Care</w:t>
      </w:r>
      <w:r w:rsidRPr="00FF1F50">
        <w:rPr>
          <w:rFonts w:ascii="Garamond" w:hAnsi="Garamond"/>
        </w:rPr>
        <w:t>,</w:t>
      </w:r>
      <w:r w:rsidRPr="00FF1F50">
        <w:rPr>
          <w:rFonts w:ascii="Garamond" w:hAnsi="Garamond"/>
          <w:i/>
          <w:iCs/>
        </w:rPr>
        <w:t xml:space="preserve"> supra </w:t>
      </w:r>
      <w:r w:rsidRPr="00FF1F50">
        <w:rPr>
          <w:rFonts w:ascii="Garamond" w:hAnsi="Garamond"/>
        </w:rPr>
        <w:t>note 22 at Section 1.2.</w:t>
      </w:r>
      <w:r w:rsidRPr="008F6D10">
        <w:rPr>
          <w:rFonts w:ascii="Garamond" w:hAnsi="Garamond"/>
        </w:rPr>
        <w:t xml:space="preserve"> </w:t>
      </w:r>
    </w:p>
  </w:footnote>
  <w:footnote w:id="59">
    <w:p w14:paraId="1E9BA79D" w14:textId="77777777" w:rsidR="00C4441B" w:rsidRPr="008F6D10" w:rsidRDefault="00C4441B" w:rsidP="00B91414">
      <w:pPr>
        <w:pStyle w:val="FootnoteText"/>
        <w:rPr>
          <w:rFonts w:ascii="Garamond" w:hAnsi="Garamond"/>
        </w:rPr>
      </w:pPr>
      <w:r w:rsidRPr="008F6D10">
        <w:rPr>
          <w:rStyle w:val="FootnoteReference"/>
          <w:rFonts w:ascii="Garamond" w:hAnsi="Garamond"/>
        </w:rPr>
        <w:footnoteRef/>
      </w:r>
      <w:r w:rsidRPr="008F6D10">
        <w:rPr>
          <w:rFonts w:ascii="Garamond" w:hAnsi="Garamond"/>
        </w:rPr>
        <w:t xml:space="preserve"> </w:t>
      </w:r>
      <w:r w:rsidRPr="008F6D10">
        <w:rPr>
          <w:rFonts w:ascii="Garamond" w:hAnsi="Garamond"/>
          <w:i/>
          <w:iCs/>
        </w:rPr>
        <w:t>Id</w:t>
      </w:r>
      <w:r w:rsidRPr="008F6D10">
        <w:rPr>
          <w:rFonts w:ascii="Garamond" w:hAnsi="Garamond"/>
        </w:rPr>
        <w:t>.</w:t>
      </w:r>
    </w:p>
  </w:footnote>
  <w:footnote w:id="60">
    <w:p w14:paraId="5479F03A" w14:textId="664319D8" w:rsidR="00C4441B" w:rsidRPr="008F6D10" w:rsidRDefault="00C4441B" w:rsidP="00B91414">
      <w:pPr>
        <w:pStyle w:val="FootnoteText"/>
        <w:rPr>
          <w:rFonts w:ascii="Garamond" w:hAnsi="Garamond"/>
        </w:rPr>
      </w:pPr>
      <w:r w:rsidRPr="008F6D10">
        <w:rPr>
          <w:rStyle w:val="FootnoteReference"/>
          <w:rFonts w:ascii="Garamond" w:hAnsi="Garamond"/>
        </w:rPr>
        <w:footnoteRef/>
      </w:r>
      <w:r w:rsidRPr="008F6D10">
        <w:rPr>
          <w:rFonts w:ascii="Garamond" w:hAnsi="Garamond"/>
        </w:rPr>
        <w:t xml:space="preserve"> Emily Jackson, et al., </w:t>
      </w:r>
      <w:r w:rsidRPr="008F6D10">
        <w:rPr>
          <w:rFonts w:ascii="Garamond" w:hAnsi="Garamond"/>
          <w:i/>
          <w:iCs/>
        </w:rPr>
        <w:t>A strategic assessment of unsafe abortion in Malawi</w:t>
      </w:r>
      <w:r w:rsidRPr="008F6D10">
        <w:rPr>
          <w:rFonts w:ascii="Garamond" w:hAnsi="Garamond"/>
        </w:rPr>
        <w:t xml:space="preserve">, Reproductive Health Matters, 19(37):133–143, 136, </w:t>
      </w:r>
      <w:r>
        <w:rPr>
          <w:rFonts w:ascii="Garamond" w:hAnsi="Garamond"/>
        </w:rPr>
        <w:t xml:space="preserve">2011, </w:t>
      </w:r>
      <w:hyperlink r:id="rId23" w:history="1">
        <w:r w:rsidRPr="00251781">
          <w:rPr>
            <w:rStyle w:val="Hyperlink"/>
            <w:rFonts w:ascii="Garamond" w:hAnsi="Garamond"/>
          </w:rPr>
          <w:t>https://pubmed.ncbi.nlm.nih.gov/21555094/</w:t>
        </w:r>
      </w:hyperlink>
      <w:r>
        <w:rPr>
          <w:rFonts w:ascii="Garamond" w:hAnsi="Garamond"/>
        </w:rPr>
        <w:t xml:space="preserve"> </w:t>
      </w:r>
      <w:r w:rsidRPr="008F6D10">
        <w:rPr>
          <w:rFonts w:ascii="Garamond" w:hAnsi="Garamond"/>
        </w:rPr>
        <w:t xml:space="preserve">[accessed </w:t>
      </w:r>
      <w:r>
        <w:rPr>
          <w:rFonts w:ascii="Garamond" w:hAnsi="Garamond"/>
        </w:rPr>
        <w:t>2</w:t>
      </w:r>
      <w:r w:rsidRPr="008F6D10">
        <w:rPr>
          <w:rFonts w:ascii="Garamond" w:hAnsi="Garamond"/>
        </w:rPr>
        <w:t>7 Dec 2022].</w:t>
      </w:r>
    </w:p>
  </w:footnote>
  <w:footnote w:id="61">
    <w:p w14:paraId="6501B1C4" w14:textId="603E06D2" w:rsidR="00C4441B" w:rsidRPr="008F6D10" w:rsidRDefault="00C4441B" w:rsidP="00B91414">
      <w:pPr>
        <w:pStyle w:val="FootnoteText"/>
        <w:rPr>
          <w:rFonts w:ascii="Garamond" w:hAnsi="Garamond"/>
        </w:rPr>
      </w:pPr>
      <w:r w:rsidRPr="008F6D10">
        <w:rPr>
          <w:rStyle w:val="FootnoteReference"/>
          <w:rFonts w:ascii="Garamond" w:hAnsi="Garamond"/>
        </w:rPr>
        <w:footnoteRef/>
      </w:r>
      <w:r w:rsidRPr="008F6D10">
        <w:rPr>
          <w:rFonts w:ascii="Garamond" w:hAnsi="Garamond"/>
        </w:rPr>
        <w:t xml:space="preserve"> “Unsafe abortion, performed by an unlicensed medical provider, in unhygienic conditions, or both, can result in serious medical complications, including death.” Brooke A. </w:t>
      </w:r>
      <w:proofErr w:type="spellStart"/>
      <w:r w:rsidRPr="008F6D10">
        <w:rPr>
          <w:rFonts w:ascii="Garamond" w:hAnsi="Garamond"/>
        </w:rPr>
        <w:t>Levandowski</w:t>
      </w:r>
      <w:proofErr w:type="spellEnd"/>
      <w:r w:rsidRPr="008F6D10">
        <w:rPr>
          <w:rFonts w:ascii="Garamond" w:hAnsi="Garamond"/>
        </w:rPr>
        <w:t xml:space="preserve">, Linda </w:t>
      </w:r>
      <w:proofErr w:type="spellStart"/>
      <w:r w:rsidRPr="008F6D10">
        <w:rPr>
          <w:rFonts w:ascii="Garamond" w:hAnsi="Garamond"/>
        </w:rPr>
        <w:t>Kalilani</w:t>
      </w:r>
      <w:proofErr w:type="spellEnd"/>
      <w:r w:rsidRPr="008F6D10">
        <w:rPr>
          <w:rFonts w:ascii="Garamond" w:hAnsi="Garamond"/>
        </w:rPr>
        <w:t xml:space="preserve">-Phiri, Fannie </w:t>
      </w:r>
      <w:proofErr w:type="spellStart"/>
      <w:r w:rsidRPr="008F6D10">
        <w:rPr>
          <w:rFonts w:ascii="Garamond" w:hAnsi="Garamond"/>
        </w:rPr>
        <w:t>Kachale</w:t>
      </w:r>
      <w:proofErr w:type="spellEnd"/>
      <w:r w:rsidRPr="008F6D10">
        <w:rPr>
          <w:rFonts w:ascii="Garamond" w:hAnsi="Garamond"/>
        </w:rPr>
        <w:t xml:space="preserve">, Paschal </w:t>
      </w:r>
      <w:proofErr w:type="spellStart"/>
      <w:r w:rsidRPr="008F6D10">
        <w:rPr>
          <w:rFonts w:ascii="Garamond" w:hAnsi="Garamond"/>
        </w:rPr>
        <w:t>Awah</w:t>
      </w:r>
      <w:proofErr w:type="spellEnd"/>
      <w:r w:rsidRPr="008F6D10">
        <w:rPr>
          <w:rFonts w:ascii="Garamond" w:hAnsi="Garamond"/>
        </w:rPr>
        <w:t xml:space="preserve">, Godfrey </w:t>
      </w:r>
      <w:proofErr w:type="spellStart"/>
      <w:r w:rsidRPr="008F6D10">
        <w:rPr>
          <w:rFonts w:ascii="Garamond" w:hAnsi="Garamond"/>
        </w:rPr>
        <w:t>Kangaude</w:t>
      </w:r>
      <w:proofErr w:type="spellEnd"/>
      <w:r w:rsidRPr="008F6D10">
        <w:rPr>
          <w:rFonts w:ascii="Garamond" w:hAnsi="Garamond"/>
        </w:rPr>
        <w:t xml:space="preserve">, </w:t>
      </w:r>
      <w:proofErr w:type="spellStart"/>
      <w:r w:rsidRPr="008F6D10">
        <w:rPr>
          <w:rFonts w:ascii="Garamond" w:hAnsi="Garamond"/>
        </w:rPr>
        <w:t>Chisale</w:t>
      </w:r>
      <w:proofErr w:type="spellEnd"/>
      <w:r w:rsidRPr="008F6D10">
        <w:rPr>
          <w:rFonts w:ascii="Garamond" w:hAnsi="Garamond"/>
        </w:rPr>
        <w:t xml:space="preserve"> Mhango, </w:t>
      </w:r>
      <w:r w:rsidRPr="008F6D10">
        <w:rPr>
          <w:rFonts w:ascii="Garamond" w:hAnsi="Garamond"/>
          <w:i/>
          <w:iCs/>
        </w:rPr>
        <w:t>Investigating social consequences of unwanted pregnancy and unsafe abortion in Malawi: The role of stigma</w:t>
      </w:r>
      <w:r w:rsidRPr="008F6D10">
        <w:rPr>
          <w:rFonts w:ascii="Garamond" w:hAnsi="Garamond"/>
        </w:rPr>
        <w:t xml:space="preserve">, </w:t>
      </w:r>
      <w:r w:rsidRPr="008F6D10">
        <w:rPr>
          <w:rFonts w:ascii="Garamond" w:hAnsi="Garamond"/>
          <w:shd w:val="clear" w:color="auto" w:fill="FFFFFF"/>
        </w:rPr>
        <w:t>Int. J. of Gynecological Obstetrics, 118 Supplement 2 (2012</w:t>
      </w:r>
      <w:r>
        <w:rPr>
          <w:rFonts w:ascii="Garamond" w:hAnsi="Garamond"/>
          <w:shd w:val="clear" w:color="auto" w:fill="FFFFFF"/>
        </w:rPr>
        <w:t>)</w:t>
      </w:r>
      <w:r w:rsidRPr="008F6D10">
        <w:rPr>
          <w:rFonts w:ascii="Garamond" w:hAnsi="Garamond"/>
          <w:shd w:val="clear" w:color="auto" w:fill="FFFFFF"/>
        </w:rPr>
        <w:t>,</w:t>
      </w:r>
      <w:r>
        <w:rPr>
          <w:rFonts w:ascii="Garamond" w:hAnsi="Garamond"/>
          <w:shd w:val="clear" w:color="auto" w:fill="FFFFFF"/>
        </w:rPr>
        <w:t xml:space="preserve"> </w:t>
      </w:r>
      <w:hyperlink r:id="rId24" w:history="1">
        <w:r w:rsidRPr="006A7D0E">
          <w:rPr>
            <w:rStyle w:val="Hyperlink"/>
            <w:rFonts w:ascii="Garamond" w:hAnsi="Garamond"/>
            <w:shd w:val="clear" w:color="auto" w:fill="FFFFFF"/>
          </w:rPr>
          <w:t>https://pubmed.ncbi.nlm.nih.gov/22920622/</w:t>
        </w:r>
      </w:hyperlink>
      <w:r>
        <w:rPr>
          <w:rFonts w:ascii="Garamond" w:hAnsi="Garamond"/>
          <w:shd w:val="clear" w:color="auto" w:fill="FFFFFF"/>
        </w:rPr>
        <w:t xml:space="preserve"> </w:t>
      </w:r>
      <w:r w:rsidRPr="008F6D10">
        <w:rPr>
          <w:rFonts w:ascii="Garamond" w:hAnsi="Garamond"/>
        </w:rPr>
        <w:t>[accessed 17 Dec 2022].</w:t>
      </w:r>
    </w:p>
  </w:footnote>
  <w:footnote w:id="62">
    <w:p w14:paraId="0D0D9E19" w14:textId="0DFA4E57" w:rsidR="00C4441B" w:rsidRPr="008F6D10" w:rsidRDefault="00C4441B" w:rsidP="00B91414">
      <w:pPr>
        <w:pStyle w:val="FootnoteText"/>
        <w:rPr>
          <w:rFonts w:ascii="Garamond" w:hAnsi="Garamond"/>
        </w:rPr>
      </w:pPr>
      <w:r w:rsidRPr="008F6D10">
        <w:rPr>
          <w:rStyle w:val="FootnoteReference"/>
          <w:rFonts w:ascii="Garamond" w:hAnsi="Garamond"/>
        </w:rPr>
        <w:footnoteRef/>
      </w:r>
      <w:r w:rsidRPr="008F6D10">
        <w:rPr>
          <w:rFonts w:ascii="Garamond" w:hAnsi="Garamond"/>
        </w:rPr>
        <w:t xml:space="preserve"> </w:t>
      </w:r>
      <w:r w:rsidRPr="008F6D10">
        <w:rPr>
          <w:rFonts w:ascii="Garamond" w:hAnsi="Garamond"/>
          <w:i/>
          <w:iCs/>
        </w:rPr>
        <w:t>See</w:t>
      </w:r>
      <w:r w:rsidRPr="008F6D10">
        <w:rPr>
          <w:rFonts w:ascii="Garamond" w:hAnsi="Garamond"/>
        </w:rPr>
        <w:t xml:space="preserve">, World Health Organization, </w:t>
      </w:r>
      <w:r w:rsidRPr="008F6D10">
        <w:rPr>
          <w:rFonts w:ascii="Garamond" w:hAnsi="Garamond"/>
          <w:i/>
          <w:iCs/>
        </w:rPr>
        <w:t>Sexual Health definition</w:t>
      </w:r>
      <w:r w:rsidRPr="008F6D10">
        <w:rPr>
          <w:rFonts w:ascii="Garamond" w:hAnsi="Garamond"/>
        </w:rPr>
        <w:t xml:space="preserve">, (WHO, 2006a) (emphasis added), </w:t>
      </w:r>
      <w:hyperlink r:id="rId25" w:history="1">
        <w:r w:rsidRPr="00251781">
          <w:rPr>
            <w:rStyle w:val="Hyperlink"/>
            <w:rFonts w:ascii="Garamond" w:hAnsi="Garamond"/>
          </w:rPr>
          <w:t>https://www.who.int/teams/sexual-and-reproductive-health-and-research-(srh)/areas-of-work/sexual-health</w:t>
        </w:r>
      </w:hyperlink>
      <w:r>
        <w:rPr>
          <w:rFonts w:ascii="Garamond" w:hAnsi="Garamond"/>
          <w:color w:val="0070C0"/>
        </w:rPr>
        <w:t xml:space="preserve"> </w:t>
      </w:r>
      <w:r w:rsidRPr="008F6D10">
        <w:rPr>
          <w:rFonts w:ascii="Garamond" w:hAnsi="Garamond"/>
        </w:rPr>
        <w:t xml:space="preserve">[accessed </w:t>
      </w:r>
      <w:r>
        <w:rPr>
          <w:rFonts w:ascii="Garamond" w:hAnsi="Garamond"/>
        </w:rPr>
        <w:t>29</w:t>
      </w:r>
      <w:r w:rsidRPr="008F6D10">
        <w:rPr>
          <w:rFonts w:ascii="Garamond" w:hAnsi="Garamond"/>
        </w:rPr>
        <w:t xml:space="preserve"> Dec 2022]</w:t>
      </w:r>
      <w:r>
        <w:rPr>
          <w:rFonts w:ascii="Garamond" w:hAnsi="Garamond"/>
          <w:color w:val="0070C0"/>
        </w:rPr>
        <w:t xml:space="preserve">; </w:t>
      </w:r>
      <w:r w:rsidRPr="008F6D10">
        <w:rPr>
          <w:rFonts w:ascii="Garamond" w:hAnsi="Garamond"/>
          <w:i/>
          <w:iCs/>
        </w:rPr>
        <w:t>See also</w:t>
      </w:r>
      <w:r w:rsidRPr="008F6D10">
        <w:rPr>
          <w:rFonts w:ascii="Garamond" w:hAnsi="Garamond"/>
        </w:rPr>
        <w:t xml:space="preserve">, </w:t>
      </w:r>
      <w:r w:rsidRPr="008F6D10">
        <w:rPr>
          <w:rFonts w:ascii="Garamond" w:eastAsia="Times New Roman" w:hAnsi="Garamond" w:cs="Calibri"/>
        </w:rPr>
        <w:t xml:space="preserve">CESCR, </w:t>
      </w:r>
      <w:r w:rsidRPr="008F6D10">
        <w:rPr>
          <w:rFonts w:ascii="Garamond" w:eastAsia="Times New Roman" w:hAnsi="Garamond" w:cs="Calibri"/>
          <w:i/>
          <w:iCs/>
        </w:rPr>
        <w:t>General Comment No. 22</w:t>
      </w:r>
      <w:r w:rsidRPr="008F6D10">
        <w:rPr>
          <w:rFonts w:ascii="Garamond" w:eastAsia="Times New Roman" w:hAnsi="Garamond" w:cs="Calibri"/>
        </w:rPr>
        <w:t xml:space="preserve">, </w:t>
      </w:r>
      <w:r w:rsidRPr="008F6D10">
        <w:rPr>
          <w:rFonts w:ascii="Garamond" w:eastAsia="Times New Roman" w:hAnsi="Garamond" w:cs="Calibri"/>
          <w:i/>
          <w:iCs/>
        </w:rPr>
        <w:t xml:space="preserve">supra </w:t>
      </w:r>
      <w:r w:rsidRPr="008F6D10">
        <w:rPr>
          <w:rFonts w:ascii="Garamond" w:eastAsia="Times New Roman" w:hAnsi="Garamond" w:cs="Calibri"/>
        </w:rPr>
        <w:t xml:space="preserve">note 33 at </w:t>
      </w:r>
      <w:r w:rsidRPr="008F6D10">
        <w:rPr>
          <w:rFonts w:ascii="Garamond" w:eastAsia="Times New Roman" w:hAnsi="Garamond"/>
        </w:rPr>
        <w:t xml:space="preserve">para. 5-6. </w:t>
      </w:r>
    </w:p>
  </w:footnote>
  <w:footnote w:id="63">
    <w:p w14:paraId="5E76DC27" w14:textId="2E7078BE" w:rsidR="00C4441B" w:rsidRPr="008F6D10" w:rsidRDefault="00C4441B" w:rsidP="00B91414">
      <w:pPr>
        <w:pStyle w:val="FootnoteText"/>
        <w:rPr>
          <w:rFonts w:ascii="Garamond" w:hAnsi="Garamond"/>
        </w:rPr>
      </w:pPr>
      <w:r w:rsidRPr="008F6D10">
        <w:rPr>
          <w:rStyle w:val="FootnoteReference"/>
          <w:rFonts w:ascii="Garamond" w:hAnsi="Garamond"/>
        </w:rPr>
        <w:footnoteRef/>
      </w:r>
      <w:r w:rsidRPr="008F6D10">
        <w:rPr>
          <w:rFonts w:ascii="Garamond" w:hAnsi="Garamond"/>
        </w:rPr>
        <w:t xml:space="preserve"> Zara Abrams, </w:t>
      </w:r>
      <w:r w:rsidRPr="008F6D10">
        <w:rPr>
          <w:rFonts w:ascii="Garamond" w:hAnsi="Garamond"/>
          <w:i/>
          <w:iCs/>
        </w:rPr>
        <w:t>The Facts About Abortion and Mental Health</w:t>
      </w:r>
      <w:r w:rsidRPr="008F6D10">
        <w:rPr>
          <w:rFonts w:ascii="Garamond" w:hAnsi="Garamond"/>
        </w:rPr>
        <w:t xml:space="preserve">, American Psychological Association (1 Sept. 2022), </w:t>
      </w:r>
      <w:hyperlink r:id="rId26" w:history="1">
        <w:r w:rsidRPr="00251781">
          <w:rPr>
            <w:rStyle w:val="Hyperlink"/>
            <w:rFonts w:ascii="Garamond" w:hAnsi="Garamond"/>
          </w:rPr>
          <w:t>https://www.apa.org/monitor/2022/09/news-facts-abortion-mental-health</w:t>
        </w:r>
      </w:hyperlink>
      <w:r>
        <w:rPr>
          <w:rFonts w:ascii="Garamond" w:hAnsi="Garamond"/>
        </w:rPr>
        <w:t xml:space="preserve"> </w:t>
      </w:r>
      <w:r w:rsidRPr="008F6D10">
        <w:rPr>
          <w:rFonts w:ascii="Garamond" w:hAnsi="Garamond"/>
        </w:rPr>
        <w:t xml:space="preserve">[accessed </w:t>
      </w:r>
      <w:r>
        <w:rPr>
          <w:rFonts w:ascii="Garamond" w:hAnsi="Garamond"/>
        </w:rPr>
        <w:t>2</w:t>
      </w:r>
      <w:r w:rsidRPr="008F6D10">
        <w:rPr>
          <w:rFonts w:ascii="Garamond" w:hAnsi="Garamond"/>
        </w:rPr>
        <w:t>7 Dec 2022].</w:t>
      </w:r>
    </w:p>
  </w:footnote>
  <w:footnote w:id="64">
    <w:p w14:paraId="10E8B16B" w14:textId="59CE6B10" w:rsidR="00C4441B" w:rsidRPr="008F6D10" w:rsidRDefault="00C4441B" w:rsidP="00B91414">
      <w:pPr>
        <w:pStyle w:val="NormalWeb"/>
        <w:spacing w:before="0" w:beforeAutospacing="0" w:after="0" w:afterAutospacing="0"/>
        <w:rPr>
          <w:rFonts w:ascii="Garamond" w:hAnsi="Garamond"/>
          <w:sz w:val="20"/>
          <w:szCs w:val="20"/>
        </w:rPr>
      </w:pPr>
      <w:r w:rsidRPr="008F6D10">
        <w:rPr>
          <w:rStyle w:val="FootnoteReference"/>
          <w:rFonts w:ascii="Garamond" w:hAnsi="Garamond"/>
          <w:sz w:val="20"/>
          <w:szCs w:val="20"/>
        </w:rPr>
        <w:footnoteRef/>
      </w:r>
      <w:r w:rsidRPr="008F6D10">
        <w:rPr>
          <w:rFonts w:ascii="Garamond" w:hAnsi="Garamond"/>
          <w:sz w:val="20"/>
          <w:szCs w:val="20"/>
        </w:rPr>
        <w:t xml:space="preserve"> </w:t>
      </w:r>
      <w:r w:rsidRPr="008F6D10">
        <w:rPr>
          <w:rFonts w:ascii="Garamond" w:hAnsi="Garamond"/>
          <w:i/>
          <w:iCs/>
          <w:sz w:val="20"/>
          <w:szCs w:val="20"/>
        </w:rPr>
        <w:t xml:space="preserve">CM (Minor) vs The Hospital Director of Queen Elizabeth Central Hospital, supra </w:t>
      </w:r>
      <w:r w:rsidRPr="008F6D10">
        <w:rPr>
          <w:rFonts w:ascii="Garamond" w:hAnsi="Garamond"/>
          <w:sz w:val="20"/>
          <w:szCs w:val="20"/>
        </w:rPr>
        <w:t xml:space="preserve">note 25. </w:t>
      </w:r>
    </w:p>
  </w:footnote>
  <w:footnote w:id="65">
    <w:p w14:paraId="49EB02E7" w14:textId="5B2AC548" w:rsidR="00C4441B" w:rsidRPr="008F6D10" w:rsidRDefault="00C4441B" w:rsidP="00B91414">
      <w:pPr>
        <w:pStyle w:val="NormalWeb"/>
        <w:spacing w:before="0" w:beforeAutospacing="0" w:after="0" w:afterAutospacing="0"/>
        <w:rPr>
          <w:rFonts w:ascii="Garamond" w:hAnsi="Garamond"/>
          <w:i/>
          <w:iCs/>
          <w:sz w:val="20"/>
          <w:szCs w:val="20"/>
        </w:rPr>
      </w:pPr>
      <w:r w:rsidRPr="008F6D10">
        <w:rPr>
          <w:rStyle w:val="FootnoteReference"/>
          <w:rFonts w:ascii="Garamond" w:hAnsi="Garamond"/>
          <w:i/>
          <w:iCs/>
          <w:sz w:val="20"/>
          <w:szCs w:val="20"/>
        </w:rPr>
        <w:footnoteRef/>
      </w:r>
      <w:r w:rsidRPr="008F6D10">
        <w:rPr>
          <w:rFonts w:ascii="Garamond" w:hAnsi="Garamond"/>
          <w:i/>
          <w:iCs/>
          <w:sz w:val="20"/>
          <w:szCs w:val="20"/>
        </w:rPr>
        <w:t xml:space="preserve"> Id. </w:t>
      </w:r>
    </w:p>
  </w:footnote>
  <w:footnote w:id="66">
    <w:p w14:paraId="57DB3820" w14:textId="1BDE865D" w:rsidR="00C4441B" w:rsidRPr="008F6D10" w:rsidRDefault="00C4441B" w:rsidP="00B91414">
      <w:pPr>
        <w:pStyle w:val="FootnoteText"/>
        <w:rPr>
          <w:rFonts w:ascii="Garamond" w:hAnsi="Garamond"/>
        </w:rPr>
      </w:pPr>
      <w:r w:rsidRPr="008F6D10">
        <w:rPr>
          <w:rStyle w:val="FootnoteReference"/>
          <w:rFonts w:ascii="Garamond" w:hAnsi="Garamond"/>
        </w:rPr>
        <w:footnoteRef/>
      </w:r>
      <w:r w:rsidRPr="008F6D10">
        <w:rPr>
          <w:rFonts w:ascii="Garamond" w:hAnsi="Garamond"/>
        </w:rPr>
        <w:t xml:space="preserve"> Spotlight Initiative,</w:t>
      </w:r>
      <w:r w:rsidRPr="008F6D10">
        <w:rPr>
          <w:rFonts w:ascii="Garamond" w:hAnsi="Garamond"/>
          <w:i/>
          <w:iCs/>
        </w:rPr>
        <w:t xml:space="preserve"> Ending Violence against women and girls in Malawi</w:t>
      </w:r>
      <w:r w:rsidRPr="008F6D10">
        <w:rPr>
          <w:rFonts w:ascii="Garamond" w:hAnsi="Garamond"/>
        </w:rPr>
        <w:t>, 13 fig. 2, 2020</w:t>
      </w:r>
      <w:r>
        <w:rPr>
          <w:rFonts w:ascii="Garamond" w:hAnsi="Garamond"/>
        </w:rPr>
        <w:t xml:space="preserve">, </w:t>
      </w:r>
      <w:hyperlink r:id="rId27" w:history="1">
        <w:r w:rsidRPr="00251781">
          <w:rPr>
            <w:rStyle w:val="Hyperlink"/>
            <w:rFonts w:ascii="Garamond" w:hAnsi="Garamond"/>
          </w:rPr>
          <w:t>https://www.unicef.org/malawi/sites/unicef.org.malawi/files/2020-07/Spotlight_Ending_Violence_Against_Women_andGirls_v2_15062020_WEB_0.pdf</w:t>
        </w:r>
      </w:hyperlink>
      <w:r>
        <w:rPr>
          <w:rFonts w:ascii="Garamond" w:hAnsi="Garamond"/>
        </w:rPr>
        <w:t xml:space="preserve"> </w:t>
      </w:r>
      <w:r w:rsidRPr="008F6D10">
        <w:rPr>
          <w:rFonts w:ascii="Garamond" w:hAnsi="Garamond"/>
        </w:rPr>
        <w:t xml:space="preserve">[accessed </w:t>
      </w:r>
      <w:r>
        <w:rPr>
          <w:rFonts w:ascii="Garamond" w:hAnsi="Garamond"/>
        </w:rPr>
        <w:t>29</w:t>
      </w:r>
      <w:r w:rsidRPr="008F6D10">
        <w:rPr>
          <w:rFonts w:ascii="Garamond" w:hAnsi="Garamond"/>
        </w:rPr>
        <w:t xml:space="preserve"> Dec 2022]</w:t>
      </w:r>
      <w:r>
        <w:rPr>
          <w:rFonts w:ascii="Garamond" w:hAnsi="Garamond"/>
        </w:rPr>
        <w:t>;</w:t>
      </w:r>
      <w:r w:rsidRPr="00E30BC0">
        <w:rPr>
          <w:rFonts w:ascii="Garamond" w:hAnsi="Garamond"/>
        </w:rPr>
        <w:t xml:space="preserve"> </w:t>
      </w:r>
      <w:r w:rsidRPr="008F6D10">
        <w:rPr>
          <w:rFonts w:ascii="Garamond" w:hAnsi="Garamond"/>
          <w:i/>
          <w:iCs/>
        </w:rPr>
        <w:t>See</w:t>
      </w:r>
      <w:r w:rsidRPr="008F6D10">
        <w:rPr>
          <w:rFonts w:ascii="Garamond" w:hAnsi="Garamond"/>
        </w:rPr>
        <w:t xml:space="preserve">, Charles </w:t>
      </w:r>
      <w:proofErr w:type="spellStart"/>
      <w:r w:rsidRPr="008F6D10">
        <w:rPr>
          <w:rFonts w:ascii="Garamond" w:hAnsi="Garamond"/>
        </w:rPr>
        <w:t>Pensulo</w:t>
      </w:r>
      <w:proofErr w:type="spellEnd"/>
      <w:r w:rsidRPr="008F6D10">
        <w:rPr>
          <w:rFonts w:ascii="Garamond" w:hAnsi="Garamond"/>
        </w:rPr>
        <w:t xml:space="preserve">, </w:t>
      </w:r>
      <w:r w:rsidRPr="008F6D10">
        <w:rPr>
          <w:rFonts w:ascii="Garamond" w:hAnsi="Garamond"/>
          <w:i/>
          <w:iCs/>
        </w:rPr>
        <w:t>Malawian Protesters Demand Tougher Penalties for Rape</w:t>
      </w:r>
      <w:r w:rsidRPr="008F6D10">
        <w:rPr>
          <w:rFonts w:ascii="Garamond" w:hAnsi="Garamond"/>
        </w:rPr>
        <w:t>, Thomas Reuters Foundation (16 November 2020),</w:t>
      </w:r>
      <w:r>
        <w:rPr>
          <w:rFonts w:ascii="Garamond" w:hAnsi="Garamond"/>
        </w:rPr>
        <w:t xml:space="preserve"> </w:t>
      </w:r>
      <w:hyperlink r:id="rId28" w:anchor=":~:text=About%2038%25%20of%20Malawian%20women,according%20to%20the%20United%20Nations" w:history="1">
        <w:r w:rsidRPr="00251781">
          <w:rPr>
            <w:rStyle w:val="Hyperlink"/>
            <w:rFonts w:ascii="Garamond" w:hAnsi="Garamond"/>
          </w:rPr>
          <w:t>https://news.trust.org/item/20201116165739-y9xew#:~:text=About%2038%25%20of%20Malawian%20women,according%20to%20the%20United%20Nations</w:t>
        </w:r>
      </w:hyperlink>
      <w:r>
        <w:rPr>
          <w:rFonts w:ascii="Garamond" w:hAnsi="Garamond"/>
        </w:rPr>
        <w:t xml:space="preserve"> [accessed 29 Dec 2022]</w:t>
      </w:r>
      <w:r w:rsidRPr="008F6D10">
        <w:rPr>
          <w:rFonts w:ascii="Garamond" w:hAnsi="Garamond"/>
        </w:rPr>
        <w:t xml:space="preserve">. </w:t>
      </w:r>
    </w:p>
  </w:footnote>
  <w:footnote w:id="67">
    <w:p w14:paraId="10050629" w14:textId="20275639" w:rsidR="00C4441B" w:rsidRPr="008F6D10" w:rsidRDefault="00C4441B" w:rsidP="00B91414">
      <w:pPr>
        <w:rPr>
          <w:rFonts w:ascii="Garamond" w:hAnsi="Garamond"/>
          <w:sz w:val="20"/>
          <w:szCs w:val="20"/>
        </w:rPr>
      </w:pPr>
      <w:r w:rsidRPr="008F6D10">
        <w:rPr>
          <w:rStyle w:val="FootnoteReference"/>
          <w:rFonts w:ascii="Garamond" w:hAnsi="Garamond"/>
          <w:sz w:val="20"/>
          <w:szCs w:val="20"/>
        </w:rPr>
        <w:footnoteRef/>
      </w:r>
      <w:r w:rsidRPr="008F6D10">
        <w:rPr>
          <w:rFonts w:ascii="Garamond" w:hAnsi="Garamond"/>
          <w:sz w:val="20"/>
          <w:szCs w:val="20"/>
        </w:rPr>
        <w:t xml:space="preserve"> Human Rights Committee, </w:t>
      </w:r>
      <w:r w:rsidRPr="008F6D10">
        <w:rPr>
          <w:rFonts w:ascii="Garamond" w:hAnsi="Garamond"/>
          <w:i/>
          <w:iCs/>
          <w:sz w:val="20"/>
          <w:szCs w:val="20"/>
        </w:rPr>
        <w:t xml:space="preserve">General Comment No. 36, supra </w:t>
      </w:r>
      <w:r w:rsidRPr="008F6D10">
        <w:rPr>
          <w:rFonts w:ascii="Garamond" w:hAnsi="Garamond"/>
          <w:sz w:val="20"/>
          <w:szCs w:val="20"/>
        </w:rPr>
        <w:t xml:space="preserve">note 49 at para. 8. </w:t>
      </w:r>
    </w:p>
  </w:footnote>
  <w:footnote w:id="68">
    <w:p w14:paraId="2BCA00E7" w14:textId="31692562" w:rsidR="00C4441B" w:rsidRPr="008F6D10" w:rsidRDefault="00C4441B" w:rsidP="00B91414">
      <w:pPr>
        <w:rPr>
          <w:rFonts w:ascii="Garamond" w:hAnsi="Garamond"/>
          <w:sz w:val="20"/>
          <w:szCs w:val="20"/>
        </w:rPr>
      </w:pPr>
      <w:r w:rsidRPr="008F6D10">
        <w:rPr>
          <w:rStyle w:val="FootnoteReference"/>
          <w:rFonts w:ascii="Garamond" w:hAnsi="Garamond"/>
          <w:sz w:val="20"/>
          <w:szCs w:val="20"/>
        </w:rPr>
        <w:footnoteRef/>
      </w:r>
      <w:r w:rsidRPr="008F6D10">
        <w:rPr>
          <w:rFonts w:ascii="Garamond" w:hAnsi="Garamond"/>
          <w:sz w:val="20"/>
          <w:szCs w:val="20"/>
        </w:rPr>
        <w:t xml:space="preserve"> CAT Committee, </w:t>
      </w:r>
      <w:r w:rsidRPr="008F6D10">
        <w:rPr>
          <w:rStyle w:val="Emphasis"/>
          <w:rFonts w:ascii="Garamond" w:eastAsiaTheme="majorEastAsia" w:hAnsi="Garamond"/>
          <w:sz w:val="20"/>
          <w:szCs w:val="20"/>
          <w:bdr w:val="none" w:sz="0" w:space="0" w:color="auto" w:frame="1"/>
        </w:rPr>
        <w:t>Concluding Observations: Nicaragua</w:t>
      </w:r>
      <w:r w:rsidRPr="008F6D10">
        <w:rPr>
          <w:rFonts w:ascii="Garamond" w:hAnsi="Garamond"/>
          <w:sz w:val="20"/>
          <w:szCs w:val="20"/>
        </w:rPr>
        <w:t xml:space="preserve">, para. 16, U.N. Doc. CAT/C/NIC/CO/1 (2009). </w:t>
      </w:r>
    </w:p>
  </w:footnote>
  <w:footnote w:id="69">
    <w:p w14:paraId="7F91659F" w14:textId="4EC12A55" w:rsidR="00C4441B" w:rsidRPr="00B91486" w:rsidRDefault="00C4441B" w:rsidP="00B91414">
      <w:pPr>
        <w:rPr>
          <w:rFonts w:ascii="Garamond" w:hAnsi="Garamond"/>
          <w:sz w:val="20"/>
          <w:szCs w:val="20"/>
        </w:rPr>
      </w:pPr>
      <w:r w:rsidRPr="00B91486">
        <w:rPr>
          <w:rStyle w:val="FootnoteReference"/>
          <w:rFonts w:ascii="Garamond" w:hAnsi="Garamond"/>
          <w:sz w:val="20"/>
          <w:szCs w:val="20"/>
        </w:rPr>
        <w:footnoteRef/>
      </w:r>
      <w:r w:rsidRPr="00B91486">
        <w:rPr>
          <w:rFonts w:ascii="Garamond" w:hAnsi="Garamond"/>
          <w:sz w:val="20"/>
          <w:szCs w:val="20"/>
        </w:rPr>
        <w:t xml:space="preserve"> World Health Organization, </w:t>
      </w:r>
      <w:r w:rsidRPr="00B91486">
        <w:rPr>
          <w:rFonts w:ascii="Garamond" w:hAnsi="Garamond"/>
          <w:i/>
          <w:iCs/>
          <w:sz w:val="20"/>
          <w:szCs w:val="20"/>
        </w:rPr>
        <w:t>Safe Abortion: Technical and Policy Guidance for Health Systems</w:t>
      </w:r>
      <w:r w:rsidRPr="00B91486">
        <w:rPr>
          <w:rFonts w:ascii="Garamond" w:hAnsi="Garamond"/>
          <w:sz w:val="20"/>
          <w:szCs w:val="20"/>
        </w:rPr>
        <w:t>, 2</w:t>
      </w:r>
      <w:r w:rsidRPr="00B91486">
        <w:rPr>
          <w:rFonts w:ascii="Garamond" w:hAnsi="Garamond"/>
          <w:sz w:val="20"/>
          <w:szCs w:val="20"/>
          <w:vertAlign w:val="superscript"/>
        </w:rPr>
        <w:t>nd</w:t>
      </w:r>
      <w:r w:rsidRPr="00B91486">
        <w:rPr>
          <w:rFonts w:ascii="Garamond" w:hAnsi="Garamond"/>
          <w:sz w:val="20"/>
          <w:szCs w:val="20"/>
        </w:rPr>
        <w:t xml:space="preserve"> ed.,</w:t>
      </w:r>
      <w:r w:rsidRPr="00B91486">
        <w:rPr>
          <w:rFonts w:ascii="Garamond" w:hAnsi="Garamond"/>
          <w:i/>
          <w:iCs/>
          <w:sz w:val="20"/>
          <w:szCs w:val="20"/>
        </w:rPr>
        <w:t xml:space="preserve"> </w:t>
      </w:r>
      <w:r w:rsidRPr="00B91486">
        <w:rPr>
          <w:rFonts w:ascii="Garamond" w:hAnsi="Garamond"/>
          <w:sz w:val="20"/>
          <w:szCs w:val="20"/>
        </w:rPr>
        <w:t xml:space="preserve">p. 76, (2012) , </w:t>
      </w:r>
      <w:hyperlink r:id="rId29" w:history="1">
        <w:r w:rsidRPr="00B91486">
          <w:rPr>
            <w:rStyle w:val="Hyperlink"/>
            <w:rFonts w:ascii="Garamond" w:hAnsi="Garamond"/>
            <w:sz w:val="20"/>
            <w:szCs w:val="20"/>
          </w:rPr>
          <w:t>https://apps.who.int/iris/bitstream/handle/10665/70914/9789241548434_eng.pdf;jsessionid=7D7261384A06937FFF02CB773EEB6FBE?sequence=1</w:t>
        </w:r>
      </w:hyperlink>
      <w:r w:rsidRPr="00B91486">
        <w:rPr>
          <w:rFonts w:ascii="Garamond" w:hAnsi="Garamond"/>
        </w:rPr>
        <w:t xml:space="preserve"> </w:t>
      </w:r>
      <w:r w:rsidRPr="00B91486">
        <w:rPr>
          <w:rFonts w:ascii="Garamond" w:hAnsi="Garamond"/>
          <w:sz w:val="20"/>
          <w:szCs w:val="20"/>
        </w:rPr>
        <w:t>[accessed 29 Dec 2022].</w:t>
      </w:r>
    </w:p>
  </w:footnote>
  <w:footnote w:id="70">
    <w:p w14:paraId="07F47E73" w14:textId="6D89AD5A" w:rsidR="00C4441B" w:rsidRPr="00B91486" w:rsidRDefault="00C4441B" w:rsidP="00B91414">
      <w:pPr>
        <w:pStyle w:val="FootnoteText"/>
        <w:rPr>
          <w:rFonts w:ascii="Garamond" w:hAnsi="Garamond"/>
        </w:rPr>
      </w:pPr>
      <w:r w:rsidRPr="00B91486">
        <w:rPr>
          <w:rStyle w:val="FootnoteReference"/>
          <w:rFonts w:ascii="Garamond" w:hAnsi="Garamond"/>
        </w:rPr>
        <w:footnoteRef/>
      </w:r>
      <w:r w:rsidRPr="00B91486">
        <w:rPr>
          <w:rFonts w:ascii="Garamond" w:hAnsi="Garamond"/>
        </w:rPr>
        <w:t xml:space="preserve"> WLSA and Georgetown Law,</w:t>
      </w:r>
      <w:r w:rsidRPr="00B91486">
        <w:rPr>
          <w:rFonts w:ascii="Garamond" w:hAnsi="Garamond"/>
          <w:i/>
          <w:iCs/>
        </w:rPr>
        <w:t xml:space="preserve"> Through Her Eyes: The Harms of Abortion Criminalization and the Need for Reform</w:t>
      </w:r>
      <w:r w:rsidRPr="00B91486">
        <w:rPr>
          <w:rFonts w:ascii="Garamond" w:hAnsi="Garamond"/>
        </w:rPr>
        <w:t xml:space="preserve">, </w:t>
      </w:r>
      <w:hyperlink r:id="rId30" w:history="1">
        <w:r w:rsidRPr="00B91486">
          <w:rPr>
            <w:rStyle w:val="Hyperlink"/>
            <w:rFonts w:ascii="Garamond" w:hAnsi="Garamond"/>
          </w:rPr>
          <w:t>https://www.law.georgetown.edu/wp-content/uploads/2020/10/Through-Her-Eyes-The-Harms-of-Abortion-Criminalisation-and-the-Need-for-Reform.pdf</w:t>
        </w:r>
      </w:hyperlink>
      <w:r w:rsidRPr="00B91486">
        <w:rPr>
          <w:rFonts w:ascii="Garamond" w:hAnsi="Garamond"/>
        </w:rPr>
        <w:t xml:space="preserve"> [accessed 29 Dec 2022].</w:t>
      </w:r>
    </w:p>
  </w:footnote>
  <w:footnote w:id="71">
    <w:p w14:paraId="49A3B4A7" w14:textId="3E638400" w:rsidR="00C4441B" w:rsidRPr="00B91486" w:rsidRDefault="00C4441B" w:rsidP="00B91414">
      <w:pPr>
        <w:pStyle w:val="FootnoteText"/>
        <w:rPr>
          <w:rFonts w:ascii="Garamond" w:hAnsi="Garamond"/>
        </w:rPr>
      </w:pPr>
      <w:r w:rsidRPr="00B91486">
        <w:rPr>
          <w:rStyle w:val="FootnoteReference"/>
          <w:rFonts w:ascii="Garamond" w:hAnsi="Garamond"/>
        </w:rPr>
        <w:footnoteRef/>
      </w:r>
      <w:r w:rsidRPr="00B91486">
        <w:rPr>
          <w:rFonts w:ascii="Garamond" w:hAnsi="Garamond"/>
        </w:rPr>
        <w:t xml:space="preserve"> </w:t>
      </w:r>
      <w:r w:rsidRPr="00B91486">
        <w:rPr>
          <w:rFonts w:ascii="Garamond" w:eastAsia="Times New Roman" w:hAnsi="Garamond" w:cs="Calibri"/>
        </w:rPr>
        <w:t xml:space="preserve">CESCR, </w:t>
      </w:r>
      <w:r w:rsidRPr="00B91486">
        <w:rPr>
          <w:rFonts w:ascii="Garamond" w:eastAsia="Times New Roman" w:hAnsi="Garamond" w:cs="Calibri"/>
          <w:i/>
          <w:iCs/>
        </w:rPr>
        <w:t>General Comment No. 22</w:t>
      </w:r>
      <w:r w:rsidRPr="00B91486">
        <w:rPr>
          <w:rFonts w:ascii="Garamond" w:eastAsia="Times New Roman" w:hAnsi="Garamond" w:cs="Calibri"/>
        </w:rPr>
        <w:t xml:space="preserve">, </w:t>
      </w:r>
      <w:r w:rsidRPr="00B91486">
        <w:rPr>
          <w:rFonts w:ascii="Garamond" w:eastAsia="Times New Roman" w:hAnsi="Garamond" w:cs="Calibri"/>
          <w:i/>
          <w:iCs/>
        </w:rPr>
        <w:t xml:space="preserve">supra </w:t>
      </w:r>
      <w:r w:rsidRPr="00B91486">
        <w:rPr>
          <w:rFonts w:ascii="Garamond" w:eastAsia="Times New Roman" w:hAnsi="Garamond" w:cs="Calibri"/>
        </w:rPr>
        <w:t xml:space="preserve">note 33 at </w:t>
      </w:r>
      <w:r w:rsidRPr="00B91486">
        <w:rPr>
          <w:rFonts w:ascii="Garamond" w:eastAsia="Times New Roman" w:hAnsi="Garamond"/>
        </w:rPr>
        <w:t>para. 59.</w:t>
      </w:r>
    </w:p>
  </w:footnote>
  <w:footnote w:id="72">
    <w:p w14:paraId="2E29B210" w14:textId="03A88EBC" w:rsidR="00C4441B" w:rsidRPr="00B91486" w:rsidRDefault="00C4441B" w:rsidP="00DD5AAA">
      <w:pPr>
        <w:pStyle w:val="FootnoteText"/>
        <w:rPr>
          <w:rFonts w:ascii="Garamond" w:hAnsi="Garamond"/>
        </w:rPr>
      </w:pPr>
      <w:r w:rsidRPr="00B91486">
        <w:rPr>
          <w:rStyle w:val="FootnoteReference"/>
          <w:rFonts w:ascii="Garamond" w:hAnsi="Garamond"/>
        </w:rPr>
        <w:footnoteRef/>
      </w:r>
      <w:r w:rsidRPr="00B91486">
        <w:rPr>
          <w:rFonts w:ascii="Garamond" w:hAnsi="Garamond"/>
        </w:rPr>
        <w:t xml:space="preserve"> UNICEF Malawi, </w:t>
      </w:r>
      <w:r w:rsidRPr="00B91486">
        <w:rPr>
          <w:rFonts w:ascii="Garamond" w:hAnsi="Garamond"/>
          <w:i/>
          <w:iCs/>
        </w:rPr>
        <w:t>Protecting children from violence is everyone’s responsibility</w:t>
      </w:r>
      <w:r w:rsidRPr="00B91486">
        <w:rPr>
          <w:rFonts w:ascii="Garamond" w:hAnsi="Garamond"/>
        </w:rPr>
        <w:t xml:space="preserve">, </w:t>
      </w:r>
      <w:hyperlink r:id="rId31" w:history="1">
        <w:r w:rsidRPr="00B91486">
          <w:rPr>
            <w:rStyle w:val="Hyperlink"/>
            <w:rFonts w:ascii="Garamond" w:hAnsi="Garamond"/>
          </w:rPr>
          <w:t>https://www.unicef.org/malawi/protecting-children-violence-everyones-responsibility</w:t>
        </w:r>
      </w:hyperlink>
      <w:r w:rsidRPr="00B91486">
        <w:rPr>
          <w:rFonts w:ascii="Garamond" w:hAnsi="Garamond"/>
        </w:rPr>
        <w:t xml:space="preserve"> [accessed 28 Dec 2022]; </w:t>
      </w:r>
      <w:r w:rsidRPr="00B91486">
        <w:rPr>
          <w:rFonts w:ascii="Garamond" w:hAnsi="Garamond"/>
          <w:i/>
          <w:iCs/>
        </w:rPr>
        <w:t>See</w:t>
      </w:r>
      <w:r w:rsidRPr="00B91486">
        <w:rPr>
          <w:rFonts w:ascii="Garamond" w:hAnsi="Garamond"/>
        </w:rPr>
        <w:t xml:space="preserve"> </w:t>
      </w:r>
      <w:r w:rsidRPr="00B91486">
        <w:rPr>
          <w:rFonts w:ascii="Garamond" w:hAnsi="Garamond"/>
          <w:i/>
          <w:iCs/>
        </w:rPr>
        <w:t>also</w:t>
      </w:r>
      <w:r w:rsidRPr="00B91486">
        <w:rPr>
          <w:rFonts w:ascii="Garamond" w:hAnsi="Garamond"/>
        </w:rPr>
        <w:t xml:space="preserve">, </w:t>
      </w:r>
      <w:r w:rsidRPr="00B91486">
        <w:rPr>
          <w:rFonts w:ascii="Garamond" w:hAnsi="Garamond"/>
          <w:i/>
          <w:iCs/>
        </w:rPr>
        <w:t>Malawi 2021 Human Rights Report</w:t>
      </w:r>
      <w:r w:rsidRPr="00B91486">
        <w:rPr>
          <w:rFonts w:ascii="Garamond" w:hAnsi="Garamond"/>
        </w:rPr>
        <w:t xml:space="preserve">, United States Department of State Bureau of Democracy, Human Rights and Labor (2021) </w:t>
      </w:r>
      <w:hyperlink r:id="rId32" w:history="1">
        <w:r w:rsidRPr="00B91486">
          <w:rPr>
            <w:rStyle w:val="Hyperlink"/>
            <w:rFonts w:ascii="Garamond" w:hAnsi="Garamond"/>
          </w:rPr>
          <w:t>https://www.state.gov/wp-content/uploads/2022/02/313615_MALAWI-2021-HUMAN-RIGHTS-REPORT.pdf</w:t>
        </w:r>
      </w:hyperlink>
      <w:r w:rsidRPr="00B91486">
        <w:rPr>
          <w:rFonts w:ascii="Garamond" w:hAnsi="Garamond"/>
        </w:rPr>
        <w:t xml:space="preserve"> [accessed 29 Dec 2022].</w:t>
      </w:r>
    </w:p>
  </w:footnote>
  <w:footnote w:id="73">
    <w:p w14:paraId="10A0E695" w14:textId="2594EC1E" w:rsidR="00C4441B" w:rsidRPr="00B91486" w:rsidRDefault="00C4441B" w:rsidP="00DD5AAA">
      <w:pPr>
        <w:pStyle w:val="FootnoteText"/>
        <w:rPr>
          <w:rFonts w:ascii="Garamond" w:hAnsi="Garamond"/>
        </w:rPr>
      </w:pPr>
      <w:r w:rsidRPr="00B91486">
        <w:rPr>
          <w:rStyle w:val="FootnoteReference"/>
          <w:rFonts w:ascii="Garamond" w:hAnsi="Garamond"/>
        </w:rPr>
        <w:footnoteRef/>
      </w:r>
      <w:r w:rsidRPr="00B91486">
        <w:rPr>
          <w:rFonts w:ascii="Garamond" w:hAnsi="Garamond"/>
        </w:rPr>
        <w:t xml:space="preserve"> UNICEF Malawi, </w:t>
      </w:r>
      <w:proofErr w:type="gramStart"/>
      <w:r w:rsidRPr="00B91486">
        <w:rPr>
          <w:rFonts w:ascii="Garamond" w:hAnsi="Garamond"/>
          <w:i/>
          <w:iCs/>
        </w:rPr>
        <w:t>Protecting</w:t>
      </w:r>
      <w:proofErr w:type="gramEnd"/>
      <w:r w:rsidRPr="00B91486">
        <w:rPr>
          <w:rFonts w:ascii="Garamond" w:hAnsi="Garamond"/>
          <w:i/>
          <w:iCs/>
        </w:rPr>
        <w:t xml:space="preserve"> children from violence is everyone’s responsibility</w:t>
      </w:r>
      <w:r w:rsidRPr="00B91486">
        <w:rPr>
          <w:rFonts w:ascii="Garamond" w:hAnsi="Garamond"/>
        </w:rPr>
        <w:t xml:space="preserve">, </w:t>
      </w:r>
      <w:r w:rsidRPr="00B91486">
        <w:rPr>
          <w:rFonts w:ascii="Garamond" w:hAnsi="Garamond"/>
          <w:i/>
          <w:iCs/>
        </w:rPr>
        <w:t xml:space="preserve">supra </w:t>
      </w:r>
      <w:r w:rsidRPr="00B91486">
        <w:rPr>
          <w:rFonts w:ascii="Garamond" w:hAnsi="Garamond"/>
        </w:rPr>
        <w:t>note 72.</w:t>
      </w:r>
    </w:p>
  </w:footnote>
  <w:footnote w:id="74">
    <w:p w14:paraId="07BAA2A5" w14:textId="4DF0E387" w:rsidR="00C4441B" w:rsidRPr="00B91486" w:rsidRDefault="00C4441B" w:rsidP="00DD5AAA">
      <w:pPr>
        <w:rPr>
          <w:rFonts w:ascii="Garamond" w:hAnsi="Garamond"/>
          <w:sz w:val="20"/>
          <w:szCs w:val="20"/>
        </w:rPr>
      </w:pPr>
      <w:r w:rsidRPr="00B91486">
        <w:rPr>
          <w:rStyle w:val="FootnoteReference"/>
          <w:rFonts w:ascii="Garamond" w:hAnsi="Garamond"/>
          <w:sz w:val="20"/>
          <w:szCs w:val="20"/>
        </w:rPr>
        <w:footnoteRef/>
      </w:r>
      <w:r w:rsidRPr="00B91486">
        <w:rPr>
          <w:rFonts w:ascii="Garamond" w:hAnsi="Garamond"/>
          <w:sz w:val="20"/>
          <w:szCs w:val="20"/>
        </w:rPr>
        <w:t xml:space="preserve"> “Primary school girls were routinely subject to aggressive sexual advances including rape and sexual abuse from older male students, male teachers, and ‘sugar daddies’ who target school girls. In tertiary schools, 67% girls experienced sexual harassment and 12% had been raped.” </w:t>
      </w:r>
      <w:r w:rsidRPr="00B91486">
        <w:rPr>
          <w:rFonts w:ascii="Garamond" w:hAnsi="Garamond"/>
          <w:i/>
          <w:iCs/>
          <w:sz w:val="20"/>
          <w:szCs w:val="20"/>
        </w:rPr>
        <w:t xml:space="preserve">Spotlight Initiative, Ending Violence against women and girls in Malawi, supra </w:t>
      </w:r>
      <w:r w:rsidRPr="00B91486">
        <w:rPr>
          <w:rFonts w:ascii="Garamond" w:hAnsi="Garamond"/>
          <w:sz w:val="20"/>
          <w:szCs w:val="20"/>
        </w:rPr>
        <w:t>note 66;</w:t>
      </w:r>
      <w:r w:rsidRPr="00B91486">
        <w:rPr>
          <w:rFonts w:ascii="Garamond" w:hAnsi="Garamond"/>
          <w:i/>
          <w:iCs/>
          <w:sz w:val="20"/>
          <w:szCs w:val="20"/>
        </w:rPr>
        <w:t xml:space="preserve"> See also</w:t>
      </w:r>
      <w:r w:rsidRPr="00B91486">
        <w:rPr>
          <w:rFonts w:ascii="Garamond" w:hAnsi="Garamond"/>
          <w:sz w:val="20"/>
          <w:szCs w:val="20"/>
        </w:rPr>
        <w:t>, “</w:t>
      </w:r>
      <w:r w:rsidRPr="00B91486">
        <w:rPr>
          <w:rFonts w:ascii="Garamond" w:hAnsi="Garamond"/>
          <w:sz w:val="20"/>
          <w:szCs w:val="20"/>
          <w:shd w:val="clear" w:color="auto" w:fill="FFFFFF"/>
        </w:rPr>
        <w:t xml:space="preserve">Malawi is a critical setting for preventing and responding to GBV, particularly sexual violence against young women, for whom the prevention evidence lags behind. Recent national data from Malawi reveal that an estimated one in five (21.8%) young adult women experienced sexual abuse prior to age 18, primarily perpetrated by boyfriends, classmates and acquaintances” Decker, M.R., Wood, S.N., </w:t>
      </w:r>
      <w:proofErr w:type="spellStart"/>
      <w:r w:rsidRPr="00B91486">
        <w:rPr>
          <w:rFonts w:ascii="Garamond" w:hAnsi="Garamond"/>
          <w:sz w:val="20"/>
          <w:szCs w:val="20"/>
          <w:shd w:val="clear" w:color="auto" w:fill="FFFFFF"/>
        </w:rPr>
        <w:t>Ndinda</w:t>
      </w:r>
      <w:proofErr w:type="spellEnd"/>
      <w:r w:rsidRPr="00B91486">
        <w:rPr>
          <w:rFonts w:ascii="Garamond" w:hAnsi="Garamond"/>
          <w:sz w:val="20"/>
          <w:szCs w:val="20"/>
          <w:shd w:val="clear" w:color="auto" w:fill="FFFFFF"/>
        </w:rPr>
        <w:t xml:space="preserve">, E. </w:t>
      </w:r>
      <w:r w:rsidRPr="00B91486">
        <w:rPr>
          <w:rFonts w:ascii="Garamond" w:hAnsi="Garamond"/>
          <w:i/>
          <w:iCs/>
          <w:sz w:val="20"/>
          <w:szCs w:val="20"/>
          <w:shd w:val="clear" w:color="auto" w:fill="FFFFFF"/>
        </w:rPr>
        <w:t>et al.,</w:t>
      </w:r>
      <w:r w:rsidRPr="00B91486">
        <w:rPr>
          <w:rFonts w:ascii="Garamond" w:hAnsi="Garamond"/>
          <w:sz w:val="20"/>
          <w:szCs w:val="20"/>
          <w:shd w:val="clear" w:color="auto" w:fill="FFFFFF"/>
        </w:rPr>
        <w:t xml:space="preserve"> </w:t>
      </w:r>
      <w:r w:rsidRPr="00B91486">
        <w:rPr>
          <w:rFonts w:ascii="Garamond" w:hAnsi="Garamond"/>
          <w:i/>
          <w:iCs/>
          <w:sz w:val="20"/>
          <w:szCs w:val="20"/>
          <w:shd w:val="clear" w:color="auto" w:fill="FFFFFF"/>
        </w:rPr>
        <w:t xml:space="preserve">Sexual violence among adolescent girls and young women in Malawi: a cluster-randomized controlled implementation trial of empowerment self-defense training, </w:t>
      </w:r>
      <w:r w:rsidRPr="00B91486">
        <w:rPr>
          <w:rFonts w:ascii="Garamond" w:hAnsi="Garamond"/>
          <w:sz w:val="20"/>
          <w:szCs w:val="20"/>
          <w:shd w:val="clear" w:color="auto" w:fill="FFFFFF"/>
        </w:rPr>
        <w:t xml:space="preserve">BMC Public Health 18, 1341 (2018) </w:t>
      </w:r>
      <w:hyperlink r:id="rId33" w:history="1">
        <w:r w:rsidRPr="00B91486">
          <w:rPr>
            <w:rStyle w:val="Hyperlink"/>
            <w:rFonts w:ascii="Garamond" w:hAnsi="Garamond"/>
            <w:sz w:val="20"/>
            <w:szCs w:val="20"/>
          </w:rPr>
          <w:t>https://bmcpublichealth.biomedcentral.com/articles/10.1186/s12889-018-6220-0</w:t>
        </w:r>
      </w:hyperlink>
      <w:r w:rsidRPr="00B91486">
        <w:rPr>
          <w:rFonts w:ascii="Garamond" w:hAnsi="Garamond"/>
        </w:rPr>
        <w:t xml:space="preserve"> </w:t>
      </w:r>
      <w:r w:rsidRPr="00B91486">
        <w:rPr>
          <w:rFonts w:ascii="Garamond" w:hAnsi="Garamond"/>
          <w:sz w:val="20"/>
          <w:szCs w:val="20"/>
        </w:rPr>
        <w:t>[accessed 29 Dec 2022].</w:t>
      </w:r>
    </w:p>
  </w:footnote>
  <w:footnote w:id="75">
    <w:p w14:paraId="4881B4D0" w14:textId="16974392" w:rsidR="00C4441B" w:rsidRPr="00B91486" w:rsidRDefault="00C4441B" w:rsidP="00B91414">
      <w:pPr>
        <w:rPr>
          <w:rFonts w:ascii="Garamond" w:hAnsi="Garamond"/>
          <w:sz w:val="20"/>
          <w:szCs w:val="20"/>
        </w:rPr>
      </w:pPr>
      <w:r w:rsidRPr="00B91486">
        <w:rPr>
          <w:rStyle w:val="FootnoteReference"/>
          <w:rFonts w:ascii="Garamond" w:hAnsi="Garamond"/>
          <w:sz w:val="20"/>
          <w:szCs w:val="20"/>
        </w:rPr>
        <w:footnoteRef/>
      </w:r>
      <w:r w:rsidRPr="00B91486">
        <w:rPr>
          <w:rFonts w:ascii="Garamond" w:hAnsi="Garamond"/>
          <w:sz w:val="20"/>
          <w:szCs w:val="20"/>
        </w:rPr>
        <w:t xml:space="preserve"> Godfrey </w:t>
      </w:r>
      <w:proofErr w:type="spellStart"/>
      <w:r w:rsidRPr="00B91486">
        <w:rPr>
          <w:rFonts w:ascii="Garamond" w:hAnsi="Garamond"/>
          <w:sz w:val="20"/>
          <w:szCs w:val="20"/>
        </w:rPr>
        <w:t>Dalitso</w:t>
      </w:r>
      <w:proofErr w:type="spellEnd"/>
      <w:r w:rsidRPr="00B91486">
        <w:rPr>
          <w:rFonts w:ascii="Garamond" w:hAnsi="Garamond"/>
          <w:sz w:val="20"/>
          <w:szCs w:val="20"/>
        </w:rPr>
        <w:t xml:space="preserve"> </w:t>
      </w:r>
      <w:proofErr w:type="spellStart"/>
      <w:r w:rsidRPr="00B91486">
        <w:rPr>
          <w:rFonts w:ascii="Garamond" w:hAnsi="Garamond"/>
          <w:sz w:val="20"/>
          <w:szCs w:val="20"/>
        </w:rPr>
        <w:t>Kangaude</w:t>
      </w:r>
      <w:proofErr w:type="spellEnd"/>
      <w:r w:rsidRPr="00B91486">
        <w:rPr>
          <w:rFonts w:ascii="Garamond" w:hAnsi="Garamond"/>
          <w:sz w:val="20"/>
          <w:szCs w:val="20"/>
        </w:rPr>
        <w:t xml:space="preserve">, Catriona Macleod, Ernestina Coast, and Tamara Fetters, </w:t>
      </w:r>
      <w:r w:rsidRPr="00B91486">
        <w:rPr>
          <w:rFonts w:ascii="Garamond" w:hAnsi="Garamond"/>
          <w:i/>
          <w:iCs/>
          <w:sz w:val="20"/>
          <w:szCs w:val="20"/>
        </w:rPr>
        <w:t>Integrating child rights standards in contraceptive and abortion care for minors in Africa</w:t>
      </w:r>
      <w:r w:rsidRPr="00B91486">
        <w:rPr>
          <w:rFonts w:ascii="Garamond" w:hAnsi="Garamond"/>
          <w:sz w:val="20"/>
          <w:szCs w:val="20"/>
        </w:rPr>
        <w:t xml:space="preserve">, </w:t>
      </w:r>
      <w:r w:rsidRPr="00B91486">
        <w:rPr>
          <w:rFonts w:ascii="Garamond" w:hAnsi="Garamond"/>
          <w:sz w:val="20"/>
          <w:szCs w:val="20"/>
          <w:shd w:val="clear" w:color="auto" w:fill="FFFFFF"/>
        </w:rPr>
        <w:t xml:space="preserve">Int. J. of Gynecological Obstetrics, 159(3) :998-1004 (2022 Dec.), </w:t>
      </w:r>
      <w:hyperlink r:id="rId34" w:history="1">
        <w:r w:rsidRPr="00B91486">
          <w:rPr>
            <w:rStyle w:val="Hyperlink"/>
            <w:rFonts w:ascii="Garamond" w:hAnsi="Garamond"/>
            <w:sz w:val="20"/>
            <w:szCs w:val="20"/>
          </w:rPr>
          <w:t>https://www.law.utoronto.ca/programs-centres/programs/irshl-reproductive-and-sexual-health-law/irshl-ijgo-ethical-and-legal</w:t>
        </w:r>
      </w:hyperlink>
      <w:r w:rsidRPr="00B91486">
        <w:rPr>
          <w:rFonts w:ascii="Garamond" w:hAnsi="Garamond"/>
          <w:sz w:val="20"/>
          <w:szCs w:val="20"/>
        </w:rPr>
        <w:t xml:space="preserve"> [accessed 29 Dec 2022].</w:t>
      </w:r>
    </w:p>
  </w:footnote>
  <w:footnote w:id="76">
    <w:p w14:paraId="330266EF" w14:textId="61E2C66D" w:rsidR="00C4441B" w:rsidRPr="008F6D10" w:rsidRDefault="00C4441B" w:rsidP="00B91414">
      <w:pPr>
        <w:pStyle w:val="FootnoteText"/>
        <w:rPr>
          <w:rFonts w:ascii="Garamond" w:hAnsi="Garamond"/>
        </w:rPr>
      </w:pPr>
      <w:r w:rsidRPr="00B91486">
        <w:rPr>
          <w:rStyle w:val="FootnoteReference"/>
          <w:rFonts w:ascii="Garamond" w:hAnsi="Garamond"/>
        </w:rPr>
        <w:footnoteRef/>
      </w:r>
      <w:r w:rsidRPr="00B91486">
        <w:rPr>
          <w:rFonts w:ascii="Garamond" w:hAnsi="Garamond"/>
        </w:rPr>
        <w:t xml:space="preserve"> Alister C. Munthali, Ann M. Moore, Sidon </w:t>
      </w:r>
      <w:proofErr w:type="spellStart"/>
      <w:r w:rsidRPr="00B91486">
        <w:rPr>
          <w:rFonts w:ascii="Garamond" w:hAnsi="Garamond"/>
        </w:rPr>
        <w:t>Konyani</w:t>
      </w:r>
      <w:proofErr w:type="spellEnd"/>
      <w:r w:rsidRPr="00B91486">
        <w:rPr>
          <w:rFonts w:ascii="Garamond" w:hAnsi="Garamond"/>
        </w:rPr>
        <w:t xml:space="preserve">, Bernie </w:t>
      </w:r>
      <w:proofErr w:type="spellStart"/>
      <w:r w:rsidRPr="00B91486">
        <w:rPr>
          <w:rFonts w:ascii="Garamond" w:hAnsi="Garamond"/>
        </w:rPr>
        <w:t>Zakeyo</w:t>
      </w:r>
      <w:proofErr w:type="spellEnd"/>
      <w:r w:rsidRPr="00B91486">
        <w:rPr>
          <w:rFonts w:ascii="Garamond" w:hAnsi="Garamond"/>
        </w:rPr>
        <w:t xml:space="preserve">, </w:t>
      </w:r>
      <w:r w:rsidRPr="00B91486">
        <w:rPr>
          <w:rFonts w:ascii="Garamond" w:hAnsi="Garamond"/>
          <w:i/>
          <w:iCs/>
        </w:rPr>
        <w:t xml:space="preserve">Qualitative Evidence of Adolescents’ Sexual and Reproductive Health Experiences in </w:t>
      </w:r>
      <w:proofErr w:type="spellStart"/>
      <w:r w:rsidRPr="00B91486">
        <w:rPr>
          <w:rFonts w:ascii="Garamond" w:hAnsi="Garamond"/>
          <w:i/>
          <w:iCs/>
        </w:rPr>
        <w:t>Slected</w:t>
      </w:r>
      <w:proofErr w:type="spellEnd"/>
      <w:r w:rsidRPr="00B91486">
        <w:rPr>
          <w:rFonts w:ascii="Garamond" w:hAnsi="Garamond"/>
          <w:i/>
          <w:iCs/>
        </w:rPr>
        <w:t xml:space="preserve"> Districts of Malawi</w:t>
      </w:r>
      <w:r w:rsidRPr="00B91486">
        <w:rPr>
          <w:rFonts w:ascii="Garamond" w:hAnsi="Garamond"/>
        </w:rPr>
        <w:t xml:space="preserve">, 27 (2006), </w:t>
      </w:r>
      <w:hyperlink r:id="rId35" w:history="1">
        <w:r w:rsidRPr="00B91486">
          <w:rPr>
            <w:rStyle w:val="Hyperlink"/>
            <w:rFonts w:ascii="Garamond" w:hAnsi="Garamond"/>
          </w:rPr>
          <w:t>https://citeseerx.ist.psu.edu/document?repid=rep1&amp;type=pdf&amp;doi=7282aaeb4fe0ab2e27c8215762a4c815b37c26c6</w:t>
        </w:r>
      </w:hyperlink>
      <w:r w:rsidRPr="00B91486">
        <w:rPr>
          <w:rFonts w:ascii="Garamond" w:hAnsi="Garamond"/>
        </w:rPr>
        <w:t xml:space="preserve"> [accessed 29 Dec 2022]. </w:t>
      </w:r>
    </w:p>
  </w:footnote>
  <w:footnote w:id="77">
    <w:p w14:paraId="7E33A15B" w14:textId="3FA4F696" w:rsidR="00C4441B" w:rsidRPr="008F6D10" w:rsidRDefault="00C4441B" w:rsidP="00B91414">
      <w:pPr>
        <w:pStyle w:val="NormalWeb"/>
        <w:spacing w:before="0" w:beforeAutospacing="0" w:after="0" w:afterAutospacing="0"/>
        <w:rPr>
          <w:rFonts w:ascii="Garamond" w:hAnsi="Garamond"/>
          <w:sz w:val="20"/>
          <w:szCs w:val="20"/>
        </w:rPr>
      </w:pPr>
      <w:r w:rsidRPr="008F6D10">
        <w:rPr>
          <w:rStyle w:val="FootnoteReference"/>
          <w:rFonts w:ascii="Garamond" w:hAnsi="Garamond"/>
          <w:sz w:val="20"/>
          <w:szCs w:val="20"/>
        </w:rPr>
        <w:footnoteRef/>
      </w:r>
      <w:r w:rsidRPr="008F6D10">
        <w:rPr>
          <w:rFonts w:ascii="Garamond" w:hAnsi="Garamond"/>
          <w:sz w:val="20"/>
          <w:szCs w:val="20"/>
        </w:rPr>
        <w:t xml:space="preserve"> “Adolescents are more likely to experience complications than older women, because they are more likely to delay seeking an abortion, encounter barriers to accessing safer services, use </w:t>
      </w:r>
      <w:proofErr w:type="gramStart"/>
      <w:r w:rsidRPr="008F6D10">
        <w:rPr>
          <w:rFonts w:ascii="Garamond" w:hAnsi="Garamond"/>
          <w:sz w:val="20"/>
          <w:szCs w:val="20"/>
        </w:rPr>
        <w:t>less</w:t>
      </w:r>
      <w:proofErr w:type="gramEnd"/>
      <w:r w:rsidRPr="008F6D10">
        <w:rPr>
          <w:rFonts w:ascii="Garamond" w:hAnsi="Garamond"/>
          <w:sz w:val="20"/>
          <w:szCs w:val="20"/>
        </w:rPr>
        <w:t xml:space="preserve"> safe methods, and present late when complications arise.” Godfrey </w:t>
      </w:r>
      <w:proofErr w:type="spellStart"/>
      <w:r w:rsidRPr="008F6D10">
        <w:rPr>
          <w:rFonts w:ascii="Garamond" w:hAnsi="Garamond"/>
          <w:sz w:val="20"/>
          <w:szCs w:val="20"/>
        </w:rPr>
        <w:t>Dalitso</w:t>
      </w:r>
      <w:proofErr w:type="spellEnd"/>
      <w:r w:rsidRPr="008F6D10">
        <w:rPr>
          <w:rFonts w:ascii="Garamond" w:hAnsi="Garamond"/>
          <w:sz w:val="20"/>
          <w:szCs w:val="20"/>
        </w:rPr>
        <w:t xml:space="preserve"> </w:t>
      </w:r>
      <w:proofErr w:type="spellStart"/>
      <w:r w:rsidRPr="008F6D10">
        <w:rPr>
          <w:rFonts w:ascii="Garamond" w:hAnsi="Garamond"/>
          <w:sz w:val="20"/>
          <w:szCs w:val="20"/>
        </w:rPr>
        <w:t>Kangaude</w:t>
      </w:r>
      <w:proofErr w:type="spellEnd"/>
      <w:r w:rsidRPr="008F6D10">
        <w:rPr>
          <w:rFonts w:ascii="Garamond" w:hAnsi="Garamond"/>
          <w:sz w:val="20"/>
          <w:szCs w:val="20"/>
        </w:rPr>
        <w:t xml:space="preserve">, Catriona Macleod, Ernestina Coast, and Tamara Fetters, </w:t>
      </w:r>
      <w:r w:rsidRPr="008F6D10">
        <w:rPr>
          <w:rFonts w:ascii="Garamond" w:hAnsi="Garamond"/>
          <w:i/>
          <w:iCs/>
          <w:sz w:val="20"/>
          <w:szCs w:val="20"/>
        </w:rPr>
        <w:t xml:space="preserve">supra </w:t>
      </w:r>
      <w:r w:rsidRPr="008F6D10">
        <w:rPr>
          <w:rFonts w:ascii="Garamond" w:hAnsi="Garamond"/>
          <w:sz w:val="20"/>
          <w:szCs w:val="20"/>
        </w:rPr>
        <w:t xml:space="preserve">note 75; Iqbal H Shah and Elisabeth </w:t>
      </w:r>
      <w:proofErr w:type="spellStart"/>
      <w:r w:rsidRPr="008F6D10">
        <w:rPr>
          <w:rFonts w:ascii="Garamond" w:hAnsi="Garamond"/>
          <w:sz w:val="20"/>
          <w:szCs w:val="20"/>
        </w:rPr>
        <w:t>Ahman</w:t>
      </w:r>
      <w:proofErr w:type="spellEnd"/>
      <w:r w:rsidRPr="008F6D10">
        <w:rPr>
          <w:rFonts w:ascii="Garamond" w:hAnsi="Garamond"/>
          <w:sz w:val="20"/>
          <w:szCs w:val="20"/>
        </w:rPr>
        <w:t xml:space="preserve">, </w:t>
      </w:r>
      <w:r w:rsidRPr="008F6D10">
        <w:rPr>
          <w:rFonts w:ascii="Garamond" w:hAnsi="Garamond"/>
          <w:i/>
          <w:iCs/>
          <w:sz w:val="20"/>
          <w:szCs w:val="20"/>
        </w:rPr>
        <w:t>Unsafe abortion differentials in 2008 by age and developing country region: high burden among young women</w:t>
      </w:r>
      <w:r w:rsidRPr="008F6D10">
        <w:rPr>
          <w:rFonts w:ascii="Garamond" w:hAnsi="Garamond"/>
          <w:sz w:val="20"/>
          <w:szCs w:val="20"/>
        </w:rPr>
        <w:t xml:space="preserve">, </w:t>
      </w:r>
      <w:proofErr w:type="spellStart"/>
      <w:r w:rsidRPr="008F6D10">
        <w:rPr>
          <w:rFonts w:ascii="Garamond" w:hAnsi="Garamond"/>
          <w:sz w:val="20"/>
          <w:szCs w:val="20"/>
        </w:rPr>
        <w:t>Reprod</w:t>
      </w:r>
      <w:proofErr w:type="spellEnd"/>
      <w:r w:rsidRPr="008F6D10">
        <w:rPr>
          <w:rFonts w:ascii="Garamond" w:hAnsi="Garamond"/>
          <w:sz w:val="20"/>
          <w:szCs w:val="20"/>
        </w:rPr>
        <w:t xml:space="preserve"> Health Matters, 20:169-173 (2012)</w:t>
      </w:r>
      <w:r>
        <w:rPr>
          <w:rFonts w:ascii="Garamond" w:hAnsi="Garamond"/>
          <w:sz w:val="20"/>
          <w:szCs w:val="20"/>
        </w:rPr>
        <w:t xml:space="preserve">, </w:t>
      </w:r>
      <w:hyperlink r:id="rId36" w:history="1">
        <w:r w:rsidRPr="00251781">
          <w:rPr>
            <w:rStyle w:val="Hyperlink"/>
            <w:rFonts w:ascii="Garamond" w:hAnsi="Garamond"/>
            <w:sz w:val="20"/>
            <w:szCs w:val="20"/>
          </w:rPr>
          <w:t>https://www.tandfonline.com/doi/pdf/10.1016/S0968-8080%2812%2939598-0?needAccess=true</w:t>
        </w:r>
      </w:hyperlink>
      <w:r>
        <w:rPr>
          <w:rFonts w:ascii="Garamond" w:hAnsi="Garamond"/>
          <w:sz w:val="20"/>
          <w:szCs w:val="20"/>
        </w:rPr>
        <w:t xml:space="preserve"> [accessed 29 Dec 2022]</w:t>
      </w:r>
      <w:r w:rsidRPr="00B91486">
        <w:rPr>
          <w:rFonts w:ascii="Garamond" w:hAnsi="Garamond"/>
          <w:sz w:val="20"/>
          <w:szCs w:val="20"/>
        </w:rPr>
        <w:t>.</w:t>
      </w:r>
      <w:r>
        <w:rPr>
          <w:rFonts w:ascii="Garamond" w:hAnsi="Garamond"/>
          <w:sz w:val="20"/>
          <w:szCs w:val="20"/>
        </w:rPr>
        <w:t xml:space="preserve"> </w:t>
      </w:r>
    </w:p>
  </w:footnote>
  <w:footnote w:id="78">
    <w:p w14:paraId="131E5A2E" w14:textId="3CBD9EFE" w:rsidR="00C4441B" w:rsidRPr="008F6D10" w:rsidRDefault="00C4441B" w:rsidP="00DD5AAA">
      <w:pPr>
        <w:pStyle w:val="FootnoteText"/>
        <w:rPr>
          <w:rFonts w:ascii="Garamond" w:hAnsi="Garamond"/>
        </w:rPr>
      </w:pPr>
      <w:r w:rsidRPr="008F6D10">
        <w:rPr>
          <w:rStyle w:val="FootnoteReference"/>
          <w:rFonts w:ascii="Garamond" w:hAnsi="Garamond"/>
        </w:rPr>
        <w:footnoteRef/>
      </w:r>
      <w:r w:rsidRPr="008F6D10">
        <w:rPr>
          <w:rFonts w:ascii="Garamond" w:hAnsi="Garamond"/>
        </w:rPr>
        <w:t xml:space="preserve"> Committee on the Rights of the Child, </w:t>
      </w:r>
      <w:r w:rsidRPr="008F6D10">
        <w:rPr>
          <w:rFonts w:ascii="Garamond" w:hAnsi="Garamond"/>
          <w:i/>
        </w:rPr>
        <w:t>General Comment No. 4 (2003) on Adolescent Health and Development in the Context of the Convention on the Rights of the Child</w:t>
      </w:r>
      <w:r w:rsidRPr="008F6D10">
        <w:rPr>
          <w:rFonts w:ascii="Garamond" w:eastAsia="Times New Roman" w:hAnsi="Garamond"/>
        </w:rPr>
        <w:t>, para. 27, CRC/GC/2003/4 (1 July 2003)</w:t>
      </w:r>
      <w:r w:rsidRPr="008F6D10">
        <w:rPr>
          <w:rFonts w:ascii="Garamond" w:hAnsi="Garamond"/>
        </w:rPr>
        <w:t>; Malawi ratified the Convention on the Right of the Child on January 2, 1991.</w:t>
      </w:r>
    </w:p>
  </w:footnote>
  <w:footnote w:id="79">
    <w:p w14:paraId="1DC22BA7" w14:textId="60E61034" w:rsidR="00C4441B" w:rsidRPr="008F6D10" w:rsidRDefault="00C4441B" w:rsidP="00B91414">
      <w:pPr>
        <w:pStyle w:val="FootnoteText"/>
        <w:rPr>
          <w:rFonts w:ascii="Garamond" w:hAnsi="Garamond"/>
        </w:rPr>
      </w:pPr>
      <w:r w:rsidRPr="008F6D10">
        <w:rPr>
          <w:rStyle w:val="FootnoteReference"/>
          <w:rFonts w:ascii="Garamond" w:hAnsi="Garamond"/>
        </w:rPr>
        <w:footnoteRef/>
      </w:r>
      <w:r w:rsidRPr="008F6D10">
        <w:rPr>
          <w:rFonts w:ascii="Garamond" w:hAnsi="Garamond"/>
        </w:rPr>
        <w:t xml:space="preserve"> </w:t>
      </w:r>
      <w:r w:rsidRPr="008F6D10">
        <w:rPr>
          <w:rFonts w:ascii="Garamond" w:eastAsia="Times New Roman" w:hAnsi="Garamond" w:cs="Calibri"/>
        </w:rPr>
        <w:t xml:space="preserve">CESCR, </w:t>
      </w:r>
      <w:r w:rsidRPr="008F6D10">
        <w:rPr>
          <w:rFonts w:ascii="Garamond" w:eastAsia="Times New Roman" w:hAnsi="Garamond" w:cs="Calibri"/>
          <w:i/>
          <w:iCs/>
        </w:rPr>
        <w:t>General Comment No. 22</w:t>
      </w:r>
      <w:r w:rsidRPr="008F6D10">
        <w:rPr>
          <w:rFonts w:ascii="Garamond" w:eastAsia="Times New Roman" w:hAnsi="Garamond" w:cs="Calibri"/>
        </w:rPr>
        <w:t xml:space="preserve">, </w:t>
      </w:r>
      <w:r w:rsidRPr="008F6D10">
        <w:rPr>
          <w:rFonts w:ascii="Garamond" w:eastAsia="Times New Roman" w:hAnsi="Garamond" w:cs="Calibri"/>
          <w:i/>
          <w:iCs/>
        </w:rPr>
        <w:t xml:space="preserve">supra </w:t>
      </w:r>
      <w:r w:rsidRPr="008F6D10">
        <w:rPr>
          <w:rFonts w:ascii="Garamond" w:eastAsia="Times New Roman" w:hAnsi="Garamond" w:cs="Calibri"/>
        </w:rPr>
        <w:t xml:space="preserve">note 33 at </w:t>
      </w:r>
      <w:r w:rsidRPr="008F6D10">
        <w:rPr>
          <w:rFonts w:ascii="Garamond" w:eastAsia="Times New Roman" w:hAnsi="Garamond"/>
        </w:rPr>
        <w:t xml:space="preserve">para. 28. </w:t>
      </w:r>
    </w:p>
  </w:footnote>
  <w:footnote w:id="80">
    <w:p w14:paraId="5FE017BB" w14:textId="1B75F312" w:rsidR="00C4441B" w:rsidRPr="0036211E" w:rsidRDefault="00C4441B" w:rsidP="00B91414">
      <w:pPr>
        <w:pStyle w:val="NormalWeb"/>
        <w:spacing w:before="0" w:beforeAutospacing="0" w:after="0" w:afterAutospacing="0"/>
        <w:rPr>
          <w:rFonts w:ascii="Garamond" w:hAnsi="Garamond"/>
          <w:sz w:val="20"/>
          <w:szCs w:val="20"/>
        </w:rPr>
      </w:pPr>
      <w:r w:rsidRPr="0036211E">
        <w:rPr>
          <w:rStyle w:val="FootnoteReference"/>
          <w:rFonts w:ascii="Garamond" w:hAnsi="Garamond"/>
          <w:sz w:val="20"/>
          <w:szCs w:val="20"/>
        </w:rPr>
        <w:footnoteRef/>
      </w:r>
      <w:r w:rsidRPr="0036211E">
        <w:rPr>
          <w:rFonts w:ascii="Garamond" w:hAnsi="Garamond"/>
          <w:sz w:val="20"/>
          <w:szCs w:val="20"/>
        </w:rPr>
        <w:t xml:space="preserve"> World Health Organization. </w:t>
      </w:r>
      <w:r w:rsidRPr="0036211E">
        <w:rPr>
          <w:rFonts w:ascii="Garamond" w:hAnsi="Garamond"/>
          <w:i/>
          <w:iCs/>
          <w:sz w:val="20"/>
          <w:szCs w:val="20"/>
        </w:rPr>
        <w:t>Abortion Care Guideline</w:t>
      </w:r>
      <w:r w:rsidRPr="0036211E">
        <w:rPr>
          <w:rFonts w:ascii="Garamond" w:hAnsi="Garamond"/>
          <w:sz w:val="20"/>
          <w:szCs w:val="20"/>
        </w:rPr>
        <w:t xml:space="preserve">, p. 43 (8 March 2022), </w:t>
      </w:r>
      <w:hyperlink r:id="rId37" w:history="1">
        <w:r w:rsidRPr="0036211E">
          <w:rPr>
            <w:rStyle w:val="Hyperlink"/>
            <w:rFonts w:ascii="Garamond" w:hAnsi="Garamond"/>
            <w:sz w:val="20"/>
            <w:szCs w:val="20"/>
          </w:rPr>
          <w:t>https://www.who.int/publications/i/item/9789240039483</w:t>
        </w:r>
      </w:hyperlink>
      <w:r w:rsidRPr="0036211E">
        <w:rPr>
          <w:rFonts w:ascii="Garamond" w:hAnsi="Garamond"/>
          <w:sz w:val="20"/>
          <w:szCs w:val="20"/>
        </w:rPr>
        <w:t xml:space="preserve"> [accessed 28 Dec 2022]. </w:t>
      </w:r>
    </w:p>
  </w:footnote>
  <w:footnote w:id="81">
    <w:p w14:paraId="32FB3D9F" w14:textId="685F3EA7" w:rsidR="00C4441B" w:rsidRPr="0036211E" w:rsidRDefault="00C4441B" w:rsidP="00B91414">
      <w:pPr>
        <w:rPr>
          <w:rFonts w:ascii="Garamond" w:hAnsi="Garamond" w:cs="Arial"/>
          <w:b/>
          <w:bCs/>
          <w:sz w:val="20"/>
          <w:szCs w:val="20"/>
        </w:rPr>
      </w:pPr>
      <w:r w:rsidRPr="0036211E">
        <w:rPr>
          <w:rStyle w:val="FootnoteReference"/>
          <w:rFonts w:ascii="Garamond" w:hAnsi="Garamond"/>
          <w:sz w:val="20"/>
          <w:szCs w:val="20"/>
        </w:rPr>
        <w:footnoteRef/>
      </w:r>
      <w:r w:rsidRPr="0036211E">
        <w:rPr>
          <w:rFonts w:ascii="Garamond" w:hAnsi="Garamond"/>
          <w:sz w:val="20"/>
          <w:szCs w:val="20"/>
        </w:rPr>
        <w:t xml:space="preserve"> “</w:t>
      </w:r>
      <w:r w:rsidRPr="0036211E">
        <w:rPr>
          <w:rFonts w:ascii="Garamond" w:hAnsi="Garamond" w:cs="Arial"/>
          <w:sz w:val="20"/>
          <w:szCs w:val="20"/>
        </w:rPr>
        <w:t xml:space="preserve">An estimated 240 000 newborns die worldwide within 28 days of birth every year due to birth defects. Birth defects cause a further 170 000 deaths of children between the ages of 1 month and 5 years.” </w:t>
      </w:r>
      <w:r w:rsidRPr="0036211E">
        <w:rPr>
          <w:rFonts w:ascii="Garamond" w:hAnsi="Garamond" w:cs="Arial"/>
          <w:i/>
          <w:iCs/>
          <w:sz w:val="20"/>
          <w:szCs w:val="20"/>
        </w:rPr>
        <w:t>Birth defects</w:t>
      </w:r>
      <w:r w:rsidRPr="0036211E">
        <w:rPr>
          <w:rFonts w:ascii="Garamond" w:hAnsi="Garamond" w:cs="Arial"/>
          <w:sz w:val="20"/>
          <w:szCs w:val="20"/>
        </w:rPr>
        <w:t xml:space="preserve">, WHO (28 Feb. 2022),  </w:t>
      </w:r>
      <w:hyperlink r:id="rId38" w:history="1">
        <w:r w:rsidRPr="0036211E">
          <w:rPr>
            <w:rStyle w:val="Hyperlink"/>
            <w:rFonts w:ascii="Garamond" w:hAnsi="Garamond"/>
            <w:sz w:val="20"/>
            <w:szCs w:val="20"/>
          </w:rPr>
          <w:t>https://www.who.int/news-room/fact-sheets/detail/birth-defects</w:t>
        </w:r>
      </w:hyperlink>
      <w:r w:rsidRPr="0036211E">
        <w:rPr>
          <w:rFonts w:ascii="Garamond" w:hAnsi="Garamond"/>
          <w:sz w:val="20"/>
          <w:szCs w:val="20"/>
        </w:rPr>
        <w:t xml:space="preserve"> [accessed 28 Dec 2022].</w:t>
      </w:r>
    </w:p>
  </w:footnote>
  <w:footnote w:id="82">
    <w:p w14:paraId="6B77CAAF" w14:textId="77777777" w:rsidR="00C4441B" w:rsidRPr="008F6D10" w:rsidRDefault="00C4441B" w:rsidP="00B91414">
      <w:pPr>
        <w:pStyle w:val="FootnoteText"/>
        <w:rPr>
          <w:rFonts w:ascii="Garamond" w:hAnsi="Garamond"/>
        </w:rPr>
      </w:pPr>
      <w:r w:rsidRPr="008F6D10">
        <w:rPr>
          <w:rStyle w:val="FootnoteReference"/>
          <w:rFonts w:ascii="Garamond" w:hAnsi="Garamond"/>
        </w:rPr>
        <w:footnoteRef/>
      </w:r>
      <w:r w:rsidRPr="008F6D10">
        <w:rPr>
          <w:rFonts w:ascii="Garamond" w:hAnsi="Garamond"/>
        </w:rPr>
        <w:t xml:space="preserve"> Covenant on Economic, Social, and Cultural Rights, Article 3.</w:t>
      </w:r>
    </w:p>
  </w:footnote>
  <w:footnote w:id="83">
    <w:p w14:paraId="4162CE5B" w14:textId="30FDDE08" w:rsidR="00C4441B" w:rsidRPr="008F6D10" w:rsidRDefault="00C4441B">
      <w:pPr>
        <w:pStyle w:val="FootnoteText"/>
        <w:rPr>
          <w:rFonts w:ascii="Garamond" w:hAnsi="Garamond"/>
        </w:rPr>
      </w:pPr>
      <w:r w:rsidRPr="008F6D10">
        <w:rPr>
          <w:rStyle w:val="FootnoteReference"/>
          <w:rFonts w:ascii="Garamond" w:hAnsi="Garamond"/>
        </w:rPr>
        <w:footnoteRef/>
      </w:r>
      <w:r w:rsidRPr="008F6D10">
        <w:rPr>
          <w:rFonts w:ascii="Garamond" w:hAnsi="Garamond"/>
        </w:rPr>
        <w:t xml:space="preserve"> </w:t>
      </w:r>
      <w:r w:rsidRPr="008F6D10">
        <w:rPr>
          <w:rFonts w:ascii="Garamond" w:hAnsi="Garamond"/>
          <w:i/>
          <w:iCs/>
        </w:rPr>
        <w:t>See</w:t>
      </w:r>
      <w:r w:rsidRPr="008F6D10">
        <w:rPr>
          <w:rFonts w:ascii="Garamond" w:hAnsi="Garamond"/>
        </w:rPr>
        <w:t xml:space="preserve"> Art. 150 The like by woman with child, </w:t>
      </w:r>
      <w:r w:rsidRPr="008F6D10">
        <w:rPr>
          <w:rFonts w:ascii="Garamond" w:hAnsi="Garamond"/>
          <w:i/>
          <w:iCs/>
        </w:rPr>
        <w:t>supra</w:t>
      </w:r>
      <w:r w:rsidRPr="008F6D10">
        <w:rPr>
          <w:rFonts w:ascii="Garamond" w:hAnsi="Garamond"/>
        </w:rPr>
        <w:t xml:space="preserve"> note 12.</w:t>
      </w:r>
    </w:p>
  </w:footnote>
  <w:footnote w:id="84">
    <w:p w14:paraId="4D666A2E" w14:textId="09E9E627" w:rsidR="00C4441B" w:rsidRPr="008F6D10" w:rsidRDefault="00C4441B">
      <w:pPr>
        <w:pStyle w:val="FootnoteText"/>
        <w:rPr>
          <w:rFonts w:ascii="Garamond" w:hAnsi="Garamond"/>
        </w:rPr>
      </w:pPr>
      <w:r w:rsidRPr="008F6D10">
        <w:rPr>
          <w:rStyle w:val="FootnoteReference"/>
          <w:rFonts w:ascii="Garamond" w:hAnsi="Garamond"/>
        </w:rPr>
        <w:footnoteRef/>
      </w:r>
      <w:r w:rsidRPr="008F6D10">
        <w:rPr>
          <w:rFonts w:ascii="Garamond" w:hAnsi="Garamond"/>
        </w:rPr>
        <w:t xml:space="preserve"> Covenant on Economic, Social, and Cultural Rights, Art. 10.1.</w:t>
      </w:r>
    </w:p>
  </w:footnote>
  <w:footnote w:id="85">
    <w:p w14:paraId="754A8FEB" w14:textId="3C879ECD" w:rsidR="00C4441B" w:rsidRPr="008F6D10" w:rsidRDefault="00C4441B">
      <w:pPr>
        <w:pStyle w:val="FootnoteText"/>
        <w:rPr>
          <w:rFonts w:ascii="Garamond" w:hAnsi="Garamond"/>
        </w:rPr>
      </w:pPr>
      <w:r w:rsidRPr="008F6D10">
        <w:rPr>
          <w:rStyle w:val="FootnoteReference"/>
          <w:rFonts w:ascii="Garamond" w:hAnsi="Garamond"/>
        </w:rPr>
        <w:footnoteRef/>
      </w:r>
      <w:r w:rsidRPr="008F6D10">
        <w:rPr>
          <w:rFonts w:ascii="Garamond" w:hAnsi="Garamond"/>
        </w:rPr>
        <w:t xml:space="preserve"> </w:t>
      </w:r>
      <w:r w:rsidRPr="008F6D10">
        <w:rPr>
          <w:rFonts w:ascii="Garamond" w:hAnsi="Garamond"/>
          <w:i/>
          <w:iCs/>
        </w:rPr>
        <w:t>Through Her Eyes</w:t>
      </w:r>
      <w:r w:rsidRPr="008F6D10">
        <w:rPr>
          <w:rFonts w:ascii="Garamond" w:hAnsi="Garamond"/>
        </w:rPr>
        <w:t xml:space="preserve">, </w:t>
      </w:r>
      <w:r w:rsidRPr="008F6D10">
        <w:rPr>
          <w:rFonts w:ascii="Garamond" w:hAnsi="Garamond"/>
          <w:i/>
          <w:iCs/>
        </w:rPr>
        <w:t xml:space="preserve">supra </w:t>
      </w:r>
      <w:r w:rsidRPr="008F6D10">
        <w:rPr>
          <w:rFonts w:ascii="Garamond" w:hAnsi="Garamond"/>
        </w:rPr>
        <w:t>note 70 at p. 10.</w:t>
      </w:r>
    </w:p>
  </w:footnote>
  <w:footnote w:id="86">
    <w:p w14:paraId="388467EB" w14:textId="0602DC36" w:rsidR="00C4441B" w:rsidRPr="008F6D10" w:rsidRDefault="00C4441B">
      <w:pPr>
        <w:pStyle w:val="FootnoteText"/>
        <w:rPr>
          <w:rFonts w:ascii="Garamond" w:hAnsi="Garamond"/>
          <w:i/>
          <w:iCs/>
        </w:rPr>
      </w:pPr>
      <w:r w:rsidRPr="008F6D10">
        <w:rPr>
          <w:rStyle w:val="FootnoteReference"/>
          <w:rFonts w:ascii="Garamond" w:hAnsi="Garamond"/>
        </w:rPr>
        <w:footnoteRef/>
      </w:r>
      <w:r w:rsidRPr="008F6D10">
        <w:rPr>
          <w:rFonts w:ascii="Garamond" w:hAnsi="Garamond"/>
        </w:rPr>
        <w:t xml:space="preserve"> </w:t>
      </w:r>
      <w:r w:rsidRPr="008F6D10">
        <w:rPr>
          <w:rFonts w:ascii="Garamond" w:hAnsi="Garamond"/>
          <w:i/>
          <w:iCs/>
        </w:rPr>
        <w:t>Id.</w:t>
      </w:r>
    </w:p>
  </w:footnote>
  <w:footnote w:id="87">
    <w:p w14:paraId="356CA2B0" w14:textId="42737D8E" w:rsidR="00C4441B" w:rsidRPr="008F6D10" w:rsidRDefault="00C4441B">
      <w:pPr>
        <w:pStyle w:val="FootnoteText"/>
        <w:rPr>
          <w:rFonts w:ascii="Garamond" w:hAnsi="Garamond"/>
        </w:rPr>
      </w:pPr>
      <w:r w:rsidRPr="008F6D10">
        <w:rPr>
          <w:rStyle w:val="FootnoteReference"/>
          <w:rFonts w:ascii="Garamond" w:hAnsi="Garamond"/>
        </w:rPr>
        <w:footnoteRef/>
      </w:r>
      <w:r w:rsidRPr="008F6D10">
        <w:rPr>
          <w:rFonts w:ascii="Garamond" w:hAnsi="Garamond"/>
        </w:rPr>
        <w:t xml:space="preserve"> Covenant on Economic, Social, and Cultural Rights, Art. 12.</w:t>
      </w:r>
    </w:p>
  </w:footnote>
  <w:footnote w:id="88">
    <w:p w14:paraId="6DA7982D" w14:textId="1ABFF8C0" w:rsidR="00C4441B" w:rsidRPr="008F6D10" w:rsidRDefault="00C4441B" w:rsidP="00B91414">
      <w:pPr>
        <w:pStyle w:val="FootnoteText"/>
        <w:rPr>
          <w:rFonts w:ascii="Garamond" w:eastAsia="Times New Roman" w:hAnsi="Garamond"/>
        </w:rPr>
      </w:pPr>
      <w:r w:rsidRPr="008F6D10">
        <w:rPr>
          <w:rStyle w:val="FootnoteReference"/>
          <w:rFonts w:ascii="Garamond" w:hAnsi="Garamond"/>
        </w:rPr>
        <w:footnoteRef/>
      </w:r>
      <w:r w:rsidRPr="008F6D10">
        <w:rPr>
          <w:rFonts w:ascii="Garamond" w:hAnsi="Garamond"/>
        </w:rPr>
        <w:t xml:space="preserve"> CESCR, </w:t>
      </w:r>
      <w:r w:rsidRPr="008F6D10">
        <w:rPr>
          <w:rFonts w:ascii="Garamond" w:hAnsi="Garamond"/>
          <w:i/>
          <w:iCs/>
        </w:rPr>
        <w:t>General Comment No. 14, supra</w:t>
      </w:r>
      <w:r w:rsidRPr="008F6D10">
        <w:rPr>
          <w:rFonts w:ascii="Garamond" w:hAnsi="Garamond"/>
        </w:rPr>
        <w:t xml:space="preserve"> note 38 at para. 8.</w:t>
      </w:r>
      <w:r w:rsidRPr="008F6D10">
        <w:rPr>
          <w:rFonts w:ascii="Garamond" w:eastAsia="Times New Roman" w:hAnsi="Garamond"/>
        </w:rPr>
        <w:t xml:space="preserve"> </w:t>
      </w:r>
    </w:p>
  </w:footnote>
  <w:footnote w:id="89">
    <w:p w14:paraId="5185F93F" w14:textId="67981B8F" w:rsidR="00C4441B" w:rsidRPr="0036211E" w:rsidRDefault="00C4441B" w:rsidP="00B91414">
      <w:pPr>
        <w:pStyle w:val="FootnoteText"/>
        <w:rPr>
          <w:rFonts w:ascii="Garamond" w:hAnsi="Garamond"/>
        </w:rPr>
      </w:pPr>
      <w:r w:rsidRPr="0036211E">
        <w:rPr>
          <w:rStyle w:val="FootnoteReference"/>
          <w:rFonts w:ascii="Garamond" w:hAnsi="Garamond"/>
        </w:rPr>
        <w:footnoteRef/>
      </w:r>
      <w:r w:rsidRPr="0036211E">
        <w:rPr>
          <w:rFonts w:ascii="Garamond" w:hAnsi="Garamond"/>
        </w:rPr>
        <w:t xml:space="preserve"> </w:t>
      </w:r>
      <w:r w:rsidRPr="0036211E">
        <w:rPr>
          <w:rFonts w:ascii="Garamond" w:hAnsi="Garamond" w:cs="Calibri"/>
        </w:rPr>
        <w:t xml:space="preserve">Sara </w:t>
      </w:r>
      <w:proofErr w:type="spellStart"/>
      <w:r w:rsidRPr="0036211E">
        <w:rPr>
          <w:rFonts w:ascii="Garamond" w:hAnsi="Garamond" w:cs="Calibri"/>
        </w:rPr>
        <w:t>Yeatman</w:t>
      </w:r>
      <w:proofErr w:type="spellEnd"/>
      <w:r w:rsidRPr="0036211E">
        <w:rPr>
          <w:rFonts w:ascii="Garamond" w:hAnsi="Garamond" w:cs="Calibri"/>
        </w:rPr>
        <w:t xml:space="preserve"> &amp; Emily Smith-Greenaway, </w:t>
      </w:r>
      <w:r w:rsidRPr="0036211E">
        <w:rPr>
          <w:rFonts w:ascii="Garamond" w:hAnsi="Garamond" w:cs="Calibri"/>
          <w:i/>
          <w:iCs/>
        </w:rPr>
        <w:t>Women’s health decline following (some) unintended births: A prospective study</w:t>
      </w:r>
      <w:r w:rsidRPr="0036211E">
        <w:rPr>
          <w:rFonts w:ascii="Garamond" w:hAnsi="Garamond" w:cs="Calibri"/>
        </w:rPr>
        <w:t xml:space="preserve">, Volume 45, Article 17, p. 551-52 (5 Aug. 2021) , </w:t>
      </w:r>
      <w:hyperlink r:id="rId39" w:history="1">
        <w:r w:rsidRPr="0036211E">
          <w:rPr>
            <w:rStyle w:val="Hyperlink"/>
            <w:rFonts w:ascii="Garamond" w:hAnsi="Garamond"/>
          </w:rPr>
          <w:t>https://www.demographic-research.org/volumes/vol45/17/45-17.pdf</w:t>
        </w:r>
      </w:hyperlink>
      <w:r w:rsidRPr="0036211E">
        <w:rPr>
          <w:rFonts w:ascii="Garamond" w:hAnsi="Garamond"/>
        </w:rPr>
        <w:t xml:space="preserve"> [accessed 29 Dec 2022].</w:t>
      </w:r>
    </w:p>
  </w:footnote>
  <w:footnote w:id="90">
    <w:p w14:paraId="1BB7CC51" w14:textId="66D7633A" w:rsidR="00C4441B" w:rsidRPr="008F6D10" w:rsidRDefault="00C4441B" w:rsidP="00B91414">
      <w:pPr>
        <w:pStyle w:val="NormalWeb"/>
        <w:spacing w:before="0" w:beforeAutospacing="0" w:after="0" w:afterAutospacing="0"/>
        <w:rPr>
          <w:rFonts w:ascii="Garamond" w:hAnsi="Garamond" w:cs="Calibri"/>
          <w:sz w:val="20"/>
          <w:szCs w:val="20"/>
        </w:rPr>
      </w:pPr>
      <w:r w:rsidRPr="008F6D10">
        <w:rPr>
          <w:rStyle w:val="FootnoteReference"/>
          <w:rFonts w:ascii="Garamond" w:hAnsi="Garamond"/>
          <w:sz w:val="20"/>
          <w:szCs w:val="20"/>
        </w:rPr>
        <w:footnoteRef/>
      </w:r>
      <w:r w:rsidRPr="008F6D10">
        <w:rPr>
          <w:rFonts w:ascii="Garamond" w:hAnsi="Garamond"/>
          <w:sz w:val="20"/>
          <w:szCs w:val="20"/>
        </w:rPr>
        <w:t xml:space="preserve"> </w:t>
      </w:r>
      <w:r w:rsidRPr="008F6D10">
        <w:rPr>
          <w:rFonts w:ascii="Garamond" w:hAnsi="Garamond" w:cs="Calibri"/>
          <w:sz w:val="20"/>
          <w:szCs w:val="20"/>
        </w:rPr>
        <w:t xml:space="preserve">Michelle </w:t>
      </w:r>
      <w:proofErr w:type="spellStart"/>
      <w:r w:rsidRPr="008F6D10">
        <w:rPr>
          <w:rFonts w:ascii="Garamond" w:hAnsi="Garamond" w:cs="Calibri"/>
          <w:sz w:val="20"/>
          <w:szCs w:val="20"/>
        </w:rPr>
        <w:t>Charness</w:t>
      </w:r>
      <w:proofErr w:type="spellEnd"/>
      <w:r w:rsidRPr="008F6D10">
        <w:rPr>
          <w:rFonts w:ascii="Garamond" w:hAnsi="Garamond" w:cs="Calibri"/>
          <w:sz w:val="20"/>
          <w:szCs w:val="20"/>
        </w:rPr>
        <w:t xml:space="preserve">, </w:t>
      </w:r>
      <w:r w:rsidRPr="008F6D10">
        <w:rPr>
          <w:rFonts w:ascii="Garamond" w:hAnsi="Garamond" w:cs="Calibri"/>
          <w:i/>
          <w:iCs/>
          <w:sz w:val="20"/>
          <w:szCs w:val="20"/>
        </w:rPr>
        <w:t xml:space="preserve">The Connection Between Mental Health and Abortion Rights: Women denied abortions are susceptible to physical and emotional hardship, </w:t>
      </w:r>
      <w:r w:rsidRPr="008F6D10">
        <w:rPr>
          <w:rFonts w:ascii="Garamond" w:hAnsi="Garamond" w:cs="Calibri"/>
          <w:sz w:val="20"/>
          <w:szCs w:val="20"/>
        </w:rPr>
        <w:t>Psychology Today (20 May 2022</w:t>
      </w:r>
      <w:r>
        <w:rPr>
          <w:rFonts w:ascii="Garamond" w:hAnsi="Garamond" w:cs="Calibri"/>
          <w:sz w:val="20"/>
          <w:szCs w:val="20"/>
        </w:rPr>
        <w:t>)</w:t>
      </w:r>
      <w:r w:rsidRPr="0036211E">
        <w:rPr>
          <w:rFonts w:ascii="Garamond" w:hAnsi="Garamond" w:cs="Calibri"/>
          <w:sz w:val="20"/>
          <w:szCs w:val="20"/>
        </w:rPr>
        <w:t xml:space="preserve">, </w:t>
      </w:r>
      <w:hyperlink r:id="rId40" w:history="1">
        <w:r w:rsidRPr="00251781">
          <w:rPr>
            <w:rStyle w:val="Hyperlink"/>
            <w:rFonts w:ascii="Garamond" w:hAnsi="Garamond" w:cs="Calibri"/>
            <w:sz w:val="20"/>
            <w:szCs w:val="20"/>
          </w:rPr>
          <w:t>https://www.psychologytoday.com/us/blog/intersecting-law-and-mental-health/202205/the-connection-between-mental-health-and-abortion</w:t>
        </w:r>
      </w:hyperlink>
      <w:r>
        <w:rPr>
          <w:rFonts w:ascii="Garamond" w:hAnsi="Garamond" w:cs="Calibri"/>
          <w:sz w:val="20"/>
          <w:szCs w:val="20"/>
        </w:rPr>
        <w:t xml:space="preserve"> [accessed 29 Dec 2022].</w:t>
      </w:r>
    </w:p>
  </w:footnote>
  <w:footnote w:id="91">
    <w:p w14:paraId="7525FE83" w14:textId="02F2A4D7" w:rsidR="00C4441B" w:rsidRPr="008F6D10" w:rsidRDefault="00C4441B" w:rsidP="00B91414">
      <w:pPr>
        <w:pStyle w:val="FootnoteText"/>
        <w:rPr>
          <w:rFonts w:ascii="Garamond" w:hAnsi="Garamond"/>
        </w:rPr>
      </w:pPr>
      <w:r w:rsidRPr="008F6D10">
        <w:rPr>
          <w:rStyle w:val="FootnoteReference"/>
          <w:rFonts w:ascii="Garamond" w:hAnsi="Garamond"/>
        </w:rPr>
        <w:footnoteRef/>
      </w:r>
      <w:r w:rsidRPr="008F6D10">
        <w:rPr>
          <w:rFonts w:ascii="Garamond" w:hAnsi="Garamond"/>
        </w:rPr>
        <w:t xml:space="preserve"> </w:t>
      </w:r>
      <w:proofErr w:type="spellStart"/>
      <w:r w:rsidRPr="008F6D10">
        <w:rPr>
          <w:rFonts w:ascii="Garamond" w:hAnsi="Garamond"/>
        </w:rPr>
        <w:t>Yeatman</w:t>
      </w:r>
      <w:proofErr w:type="spellEnd"/>
      <w:r w:rsidRPr="008F6D10">
        <w:rPr>
          <w:rFonts w:ascii="Garamond" w:hAnsi="Garamond"/>
        </w:rPr>
        <w:t xml:space="preserve"> &amp; Smith-Greenaway, </w:t>
      </w:r>
      <w:r w:rsidRPr="008F6D10">
        <w:rPr>
          <w:rFonts w:ascii="Garamond" w:hAnsi="Garamond"/>
          <w:i/>
          <w:iCs/>
        </w:rPr>
        <w:t xml:space="preserve">supra </w:t>
      </w:r>
      <w:r w:rsidRPr="008F6D10">
        <w:rPr>
          <w:rFonts w:ascii="Garamond" w:hAnsi="Garamond"/>
        </w:rPr>
        <w:t>note 89, at 548, 551-52.</w:t>
      </w:r>
    </w:p>
  </w:footnote>
  <w:footnote w:id="92">
    <w:p w14:paraId="4DA1E58B" w14:textId="2C087FB3" w:rsidR="00C4441B" w:rsidRPr="008F6D10" w:rsidRDefault="00C4441B" w:rsidP="00B91414">
      <w:pPr>
        <w:pStyle w:val="FootnoteText"/>
        <w:rPr>
          <w:rFonts w:ascii="Garamond" w:hAnsi="Garamond"/>
        </w:rPr>
      </w:pPr>
      <w:r w:rsidRPr="008F6D10">
        <w:rPr>
          <w:rStyle w:val="FootnoteReference"/>
          <w:rFonts w:ascii="Garamond" w:hAnsi="Garamond"/>
        </w:rPr>
        <w:footnoteRef/>
      </w:r>
      <w:r w:rsidRPr="008F6D10">
        <w:rPr>
          <w:rFonts w:ascii="Garamond" w:hAnsi="Garamond"/>
        </w:rPr>
        <w:t xml:space="preserve"> CESCR, </w:t>
      </w:r>
      <w:r w:rsidRPr="008F6D10">
        <w:rPr>
          <w:rFonts w:ascii="Garamond" w:hAnsi="Garamond"/>
          <w:i/>
          <w:iCs/>
        </w:rPr>
        <w:t>General Comment No. 14, supra</w:t>
      </w:r>
      <w:r w:rsidRPr="008F6D10">
        <w:rPr>
          <w:rFonts w:ascii="Garamond" w:hAnsi="Garamond"/>
        </w:rPr>
        <w:t xml:space="preserve"> note 38 at para. 1.</w:t>
      </w:r>
    </w:p>
  </w:footnote>
  <w:footnote w:id="93">
    <w:p w14:paraId="56EFEC5F" w14:textId="679A214D" w:rsidR="00C4441B" w:rsidRPr="006D6E13" w:rsidRDefault="00C4441B" w:rsidP="00B91414">
      <w:pPr>
        <w:pStyle w:val="NormalWeb"/>
        <w:spacing w:before="0" w:beforeAutospacing="0" w:after="0" w:afterAutospacing="0"/>
        <w:rPr>
          <w:rFonts w:ascii="Garamond" w:eastAsia="Times New Roman" w:hAnsi="Garamond" w:cs="Calibri"/>
          <w:sz w:val="20"/>
          <w:szCs w:val="20"/>
        </w:rPr>
      </w:pPr>
      <w:r w:rsidRPr="006D6E13">
        <w:rPr>
          <w:rStyle w:val="FootnoteReference"/>
          <w:rFonts w:ascii="Garamond" w:hAnsi="Garamond"/>
          <w:sz w:val="20"/>
          <w:szCs w:val="20"/>
        </w:rPr>
        <w:footnoteRef/>
      </w:r>
      <w:r w:rsidRPr="006D6E13">
        <w:rPr>
          <w:rFonts w:ascii="Garamond" w:hAnsi="Garamond"/>
          <w:sz w:val="20"/>
          <w:szCs w:val="20"/>
        </w:rPr>
        <w:t xml:space="preserve"> </w:t>
      </w:r>
      <w:r w:rsidRPr="006D6E13">
        <w:rPr>
          <w:rFonts w:ascii="Garamond" w:eastAsia="Times New Roman" w:hAnsi="Garamond" w:cs="Calibri"/>
          <w:sz w:val="20"/>
          <w:szCs w:val="20"/>
        </w:rPr>
        <w:t>World Health Organization</w:t>
      </w:r>
      <w:r w:rsidRPr="006D6E13">
        <w:rPr>
          <w:rFonts w:ascii="Garamond" w:eastAsia="Times New Roman" w:hAnsi="Garamond" w:cs="Calibri"/>
          <w:i/>
          <w:iCs/>
          <w:sz w:val="20"/>
          <w:szCs w:val="20"/>
        </w:rPr>
        <w:t>, WHO issues new guidelines on abortion to help countries deliver lifesaving care</w:t>
      </w:r>
      <w:r w:rsidRPr="006D6E13">
        <w:rPr>
          <w:rFonts w:ascii="Garamond" w:eastAsia="Times New Roman" w:hAnsi="Garamond" w:cs="Calibri"/>
          <w:sz w:val="20"/>
          <w:szCs w:val="20"/>
        </w:rPr>
        <w:t xml:space="preserve"> (9 March 2022),</w:t>
      </w:r>
      <w:r>
        <w:rPr>
          <w:rFonts w:ascii="Garamond" w:eastAsia="Times New Roman" w:hAnsi="Garamond" w:cs="Calibri"/>
          <w:sz w:val="20"/>
          <w:szCs w:val="20"/>
        </w:rPr>
        <w:t xml:space="preserve"> </w:t>
      </w:r>
      <w:hyperlink r:id="rId41" w:history="1">
        <w:r w:rsidRPr="00251781">
          <w:rPr>
            <w:rStyle w:val="Hyperlink"/>
            <w:rFonts w:ascii="Garamond" w:eastAsia="Times New Roman" w:hAnsi="Garamond" w:cs="Calibri"/>
            <w:sz w:val="20"/>
            <w:szCs w:val="20"/>
          </w:rPr>
          <w:t>https://www.who.int/news/item/09-03-2022-access-to-safe-abortion-critical-for-health-of-women-and-girls</w:t>
        </w:r>
      </w:hyperlink>
      <w:r>
        <w:rPr>
          <w:rFonts w:ascii="Garamond" w:eastAsia="Times New Roman" w:hAnsi="Garamond" w:cs="Calibri"/>
          <w:sz w:val="20"/>
          <w:szCs w:val="20"/>
        </w:rPr>
        <w:t xml:space="preserve"> [accessed 29 Dec 2022]</w:t>
      </w:r>
      <w:r w:rsidRPr="006D6E13">
        <w:rPr>
          <w:rFonts w:ascii="Garamond" w:eastAsia="Times New Roman" w:hAnsi="Garamond" w:cs="Calibri"/>
          <w:sz w:val="20"/>
          <w:szCs w:val="20"/>
        </w:rPr>
        <w:t>.</w:t>
      </w:r>
    </w:p>
  </w:footnote>
  <w:footnote w:id="94">
    <w:p w14:paraId="4D4BE169" w14:textId="69436740" w:rsidR="00C4441B" w:rsidRPr="008F6D10" w:rsidRDefault="00C4441B" w:rsidP="00B91414">
      <w:pPr>
        <w:pStyle w:val="FootnoteText"/>
        <w:rPr>
          <w:rFonts w:ascii="Garamond" w:hAnsi="Garamond"/>
        </w:rPr>
      </w:pPr>
      <w:r w:rsidRPr="006D6E13">
        <w:rPr>
          <w:rStyle w:val="FootnoteReference"/>
          <w:rFonts w:ascii="Garamond" w:hAnsi="Garamond"/>
        </w:rPr>
        <w:footnoteRef/>
      </w:r>
      <w:r w:rsidRPr="006D6E13">
        <w:rPr>
          <w:rFonts w:ascii="Garamond" w:hAnsi="Garamond"/>
        </w:rPr>
        <w:t xml:space="preserve"> </w:t>
      </w:r>
      <w:proofErr w:type="spellStart"/>
      <w:r w:rsidRPr="006D6E13">
        <w:rPr>
          <w:rFonts w:ascii="Garamond" w:hAnsi="Garamond"/>
        </w:rPr>
        <w:t>Wanangwa</w:t>
      </w:r>
      <w:proofErr w:type="spellEnd"/>
      <w:r w:rsidRPr="006D6E13">
        <w:rPr>
          <w:rFonts w:ascii="Garamond" w:hAnsi="Garamond"/>
        </w:rPr>
        <w:t xml:space="preserve"> </w:t>
      </w:r>
      <w:proofErr w:type="spellStart"/>
      <w:r w:rsidRPr="006D6E13">
        <w:rPr>
          <w:rFonts w:ascii="Garamond" w:hAnsi="Garamond"/>
        </w:rPr>
        <w:t>Chimwaza</w:t>
      </w:r>
      <w:proofErr w:type="spellEnd"/>
      <w:r w:rsidRPr="006D6E13">
        <w:rPr>
          <w:rFonts w:ascii="Garamond" w:hAnsi="Garamond"/>
        </w:rPr>
        <w:t xml:space="preserve"> et al., Incidence of Induced Abortion in Malawi, 2015, 12 PLOS One 1, 1 (2017) , </w:t>
      </w:r>
      <w:hyperlink r:id="rId42" w:history="1">
        <w:r w:rsidRPr="00251781">
          <w:rPr>
            <w:rStyle w:val="Hyperlink"/>
            <w:rFonts w:ascii="Garamond" w:hAnsi="Garamond"/>
          </w:rPr>
          <w:t>https://journals.plos.org/plosone/article?id=10.1371/journal.pone.0173639</w:t>
        </w:r>
      </w:hyperlink>
      <w:r>
        <w:rPr>
          <w:rFonts w:ascii="Garamond" w:hAnsi="Garamond"/>
        </w:rPr>
        <w:t xml:space="preserve"> [accessed 29 Dec 2022];</w:t>
      </w:r>
      <w:r w:rsidRPr="006D6E13">
        <w:rPr>
          <w:rFonts w:ascii="Garamond" w:hAnsi="Garamond"/>
        </w:rPr>
        <w:t xml:space="preserve"> Jack </w:t>
      </w:r>
      <w:proofErr w:type="spellStart"/>
      <w:r w:rsidRPr="006D6E13">
        <w:rPr>
          <w:rFonts w:ascii="Garamond" w:hAnsi="Garamond"/>
        </w:rPr>
        <w:t>McBrams</w:t>
      </w:r>
      <w:proofErr w:type="spellEnd"/>
      <w:r w:rsidRPr="006D6E13">
        <w:rPr>
          <w:rFonts w:ascii="Garamond" w:hAnsi="Garamond"/>
        </w:rPr>
        <w:t xml:space="preserve">, </w:t>
      </w:r>
      <w:r w:rsidRPr="006D6E13">
        <w:rPr>
          <w:rFonts w:ascii="Garamond" w:hAnsi="Garamond"/>
          <w:i/>
          <w:iCs/>
        </w:rPr>
        <w:t>Malawi: The Perils of Unsafe Abortion</w:t>
      </w:r>
      <w:r w:rsidRPr="006D6E13">
        <w:rPr>
          <w:rFonts w:ascii="Garamond" w:hAnsi="Garamond"/>
        </w:rPr>
        <w:t xml:space="preserve">, ZAM, 1 Dec. 2022, </w:t>
      </w:r>
      <w:hyperlink r:id="rId43" w:history="1">
        <w:r w:rsidRPr="006D6E13">
          <w:rPr>
            <w:rStyle w:val="Hyperlink"/>
            <w:rFonts w:ascii="Garamond" w:hAnsi="Garamond"/>
          </w:rPr>
          <w:t>https://www.zammagazine.com/investigations/1552-malawi-the-perils-of-unsafe-abortions</w:t>
        </w:r>
      </w:hyperlink>
      <w:r w:rsidRPr="006D6E13">
        <w:rPr>
          <w:rFonts w:ascii="Garamond" w:hAnsi="Garamond"/>
        </w:rPr>
        <w:t xml:space="preserve"> [accessed 29 Dec 2022].</w:t>
      </w:r>
    </w:p>
  </w:footnote>
  <w:footnote w:id="95">
    <w:p w14:paraId="73135E5F" w14:textId="6AF1AA10" w:rsidR="00C4441B" w:rsidRPr="008F6D10" w:rsidRDefault="00C4441B" w:rsidP="00B91414">
      <w:pPr>
        <w:pStyle w:val="NormalWeb"/>
        <w:spacing w:before="0" w:beforeAutospacing="0" w:after="0" w:afterAutospacing="0"/>
        <w:rPr>
          <w:rFonts w:ascii="Garamond" w:eastAsia="Times New Roman" w:hAnsi="Garamond" w:cs="Calibri"/>
          <w:sz w:val="20"/>
          <w:szCs w:val="20"/>
        </w:rPr>
      </w:pPr>
      <w:r w:rsidRPr="008F6D10">
        <w:rPr>
          <w:rStyle w:val="FootnoteReference"/>
          <w:rFonts w:ascii="Garamond" w:hAnsi="Garamond"/>
          <w:sz w:val="20"/>
          <w:szCs w:val="20"/>
        </w:rPr>
        <w:footnoteRef/>
      </w:r>
      <w:r w:rsidRPr="008F6D10">
        <w:rPr>
          <w:rFonts w:ascii="Garamond" w:eastAsia="Times New Roman" w:hAnsi="Garamond" w:cs="Calibri"/>
          <w:sz w:val="20"/>
          <w:szCs w:val="20"/>
        </w:rPr>
        <w:t xml:space="preserve"> CESCR, </w:t>
      </w:r>
      <w:r w:rsidRPr="008F6D10">
        <w:rPr>
          <w:rFonts w:ascii="Garamond" w:eastAsia="Times New Roman" w:hAnsi="Garamond" w:cs="Calibri"/>
          <w:i/>
          <w:iCs/>
          <w:sz w:val="20"/>
          <w:szCs w:val="20"/>
        </w:rPr>
        <w:t>General Comment No. 22</w:t>
      </w:r>
      <w:r w:rsidRPr="008F6D10">
        <w:rPr>
          <w:rFonts w:ascii="Garamond" w:eastAsia="Times New Roman" w:hAnsi="Garamond" w:cs="Calibri"/>
          <w:sz w:val="20"/>
          <w:szCs w:val="20"/>
        </w:rPr>
        <w:t xml:space="preserve">, </w:t>
      </w:r>
      <w:r w:rsidRPr="008F6D10">
        <w:rPr>
          <w:rFonts w:ascii="Garamond" w:eastAsia="Times New Roman" w:hAnsi="Garamond" w:cs="Calibri"/>
          <w:i/>
          <w:iCs/>
          <w:sz w:val="20"/>
          <w:szCs w:val="20"/>
        </w:rPr>
        <w:t xml:space="preserve">supra </w:t>
      </w:r>
      <w:r w:rsidRPr="008F6D10">
        <w:rPr>
          <w:rFonts w:ascii="Garamond" w:eastAsia="Times New Roman" w:hAnsi="Garamond" w:cs="Calibri"/>
          <w:sz w:val="20"/>
          <w:szCs w:val="20"/>
        </w:rPr>
        <w:t>note 33 at para. 34.</w:t>
      </w:r>
    </w:p>
  </w:footnote>
  <w:footnote w:id="96">
    <w:p w14:paraId="49184B90" w14:textId="40BE9637" w:rsidR="00C4441B" w:rsidRPr="008F6D10" w:rsidRDefault="00C4441B" w:rsidP="00B91414">
      <w:pPr>
        <w:pStyle w:val="FootnoteText"/>
        <w:rPr>
          <w:rFonts w:ascii="Garamond" w:hAnsi="Garamond"/>
        </w:rPr>
      </w:pPr>
      <w:r w:rsidRPr="008F6D10">
        <w:rPr>
          <w:rStyle w:val="FootnoteReference"/>
          <w:rFonts w:ascii="Garamond" w:hAnsi="Garamond"/>
        </w:rPr>
        <w:footnoteRef/>
      </w:r>
      <w:r w:rsidRPr="008F6D10">
        <w:rPr>
          <w:rFonts w:ascii="Garamond" w:hAnsi="Garamond"/>
        </w:rPr>
        <w:t xml:space="preserve"> “[The] majority of prochoice doctors do not openly offer abortion services because of fear of the law and discrimination associated with the same,” Interview with doctor in Malawi (Nov. 2022). </w:t>
      </w:r>
    </w:p>
  </w:footnote>
  <w:footnote w:id="97">
    <w:p w14:paraId="4417A044" w14:textId="6E568972" w:rsidR="00C4441B" w:rsidRPr="008F6D10" w:rsidRDefault="00C4441B" w:rsidP="00B91414">
      <w:pPr>
        <w:pStyle w:val="FootnoteText"/>
        <w:rPr>
          <w:rFonts w:ascii="Garamond" w:hAnsi="Garamond"/>
        </w:rPr>
      </w:pPr>
      <w:r w:rsidRPr="008F6D10">
        <w:rPr>
          <w:rStyle w:val="FootnoteReference"/>
          <w:rFonts w:ascii="Garamond" w:hAnsi="Garamond"/>
        </w:rPr>
        <w:footnoteRef/>
      </w:r>
      <w:r w:rsidRPr="008F6D10">
        <w:rPr>
          <w:rFonts w:ascii="Garamond" w:hAnsi="Garamond"/>
        </w:rPr>
        <w:t xml:space="preserve"> Malawi Law Commission, </w:t>
      </w:r>
      <w:r w:rsidRPr="008F6D10">
        <w:rPr>
          <w:rFonts w:ascii="Garamond" w:hAnsi="Garamond"/>
          <w:i/>
          <w:iCs/>
        </w:rPr>
        <w:t>Report of the Law Commission on the review of the law on abortion</w:t>
      </w:r>
      <w:r w:rsidRPr="008F6D10">
        <w:rPr>
          <w:rFonts w:ascii="Garamond" w:hAnsi="Garamond"/>
        </w:rPr>
        <w:t xml:space="preserve"> (2015), </w:t>
      </w:r>
      <w:hyperlink r:id="rId44" w:history="1">
        <w:r w:rsidRPr="008F6D10">
          <w:rPr>
            <w:rStyle w:val="Hyperlink"/>
            <w:rFonts w:ascii="Garamond" w:hAnsi="Garamond"/>
          </w:rPr>
          <w:t>https://www.lawcom.gov.mw/sites/default/files/Law%20Commission%20Report%20on%20the%20Review%20of%20the%20Law%20on%20Abortion.pdf</w:t>
        </w:r>
      </w:hyperlink>
      <w:r>
        <w:rPr>
          <w:rStyle w:val="Hyperlink"/>
          <w:rFonts w:ascii="Garamond" w:hAnsi="Garamond"/>
          <w:u w:val="none"/>
        </w:rPr>
        <w:t xml:space="preserve"> </w:t>
      </w:r>
      <w:r w:rsidRPr="006D6E13">
        <w:rPr>
          <w:rStyle w:val="Hyperlink"/>
          <w:rFonts w:ascii="Garamond" w:hAnsi="Garamond"/>
          <w:color w:val="auto"/>
          <w:u w:val="none"/>
        </w:rPr>
        <w:t>[accessed 29 Dec 2022]</w:t>
      </w:r>
      <w:r w:rsidRPr="006D6E13">
        <w:rPr>
          <w:rFonts w:ascii="Garamond" w:hAnsi="Garamond"/>
        </w:rPr>
        <w:t>.</w:t>
      </w:r>
    </w:p>
  </w:footnote>
  <w:footnote w:id="98">
    <w:p w14:paraId="596C1915" w14:textId="4012A6A0" w:rsidR="00C4441B" w:rsidRPr="008F6D10" w:rsidRDefault="00C4441B" w:rsidP="00B91414">
      <w:pPr>
        <w:pStyle w:val="FootnoteText"/>
        <w:rPr>
          <w:rFonts w:ascii="Garamond" w:hAnsi="Garamond"/>
        </w:rPr>
      </w:pPr>
      <w:r w:rsidRPr="008F6D10">
        <w:rPr>
          <w:rStyle w:val="FootnoteReference"/>
          <w:rFonts w:ascii="Garamond" w:hAnsi="Garamond"/>
        </w:rPr>
        <w:footnoteRef/>
      </w:r>
      <w:r w:rsidRPr="008F6D10">
        <w:rPr>
          <w:rFonts w:ascii="Garamond" w:hAnsi="Garamond"/>
        </w:rPr>
        <w:t xml:space="preserve"> </w:t>
      </w:r>
      <w:r w:rsidRPr="008F6D10">
        <w:rPr>
          <w:rFonts w:ascii="Garamond" w:hAnsi="Garamond"/>
          <w:i/>
          <w:iCs/>
        </w:rPr>
        <w:t>Through Her Eyes</w:t>
      </w:r>
      <w:r w:rsidRPr="008F6D10">
        <w:rPr>
          <w:rFonts w:ascii="Garamond" w:hAnsi="Garamond"/>
        </w:rPr>
        <w:t xml:space="preserve">, </w:t>
      </w:r>
      <w:r w:rsidRPr="008F6D10">
        <w:rPr>
          <w:rFonts w:ascii="Garamond" w:hAnsi="Garamond"/>
          <w:i/>
          <w:iCs/>
        </w:rPr>
        <w:t xml:space="preserve">supra </w:t>
      </w:r>
      <w:r w:rsidRPr="008F6D10">
        <w:rPr>
          <w:rFonts w:ascii="Garamond" w:hAnsi="Garamond"/>
        </w:rPr>
        <w:t>note 70.</w:t>
      </w:r>
    </w:p>
  </w:footnote>
  <w:footnote w:id="99">
    <w:p w14:paraId="230B264E" w14:textId="2EA0516B" w:rsidR="00C4441B" w:rsidRPr="008F6D10" w:rsidRDefault="00C4441B" w:rsidP="00B91414">
      <w:pPr>
        <w:pStyle w:val="FootnoteText"/>
        <w:rPr>
          <w:rFonts w:ascii="Garamond" w:hAnsi="Garamond"/>
        </w:rPr>
      </w:pPr>
      <w:r w:rsidRPr="008F6D10">
        <w:rPr>
          <w:rStyle w:val="FootnoteReference"/>
          <w:rFonts w:ascii="Garamond" w:hAnsi="Garamond"/>
        </w:rPr>
        <w:footnoteRef/>
      </w:r>
      <w:r w:rsidRPr="008F6D10">
        <w:rPr>
          <w:rFonts w:ascii="Garamond" w:hAnsi="Garamond"/>
        </w:rPr>
        <w:t xml:space="preserve"> Emily Jackson, </w:t>
      </w:r>
      <w:r w:rsidRPr="008F6D10">
        <w:rPr>
          <w:rFonts w:ascii="Garamond" w:hAnsi="Garamond"/>
          <w:i/>
          <w:iCs/>
        </w:rPr>
        <w:t xml:space="preserve">supra </w:t>
      </w:r>
      <w:r w:rsidRPr="008F6D10">
        <w:rPr>
          <w:rFonts w:ascii="Garamond" w:hAnsi="Garamond"/>
        </w:rPr>
        <w:t>note 60.</w:t>
      </w:r>
    </w:p>
  </w:footnote>
  <w:footnote w:id="100">
    <w:p w14:paraId="7DC9327C" w14:textId="77777777" w:rsidR="00C4441B" w:rsidRPr="008F6D10" w:rsidRDefault="00C4441B" w:rsidP="00B91414">
      <w:pPr>
        <w:pStyle w:val="FootnoteText"/>
        <w:rPr>
          <w:rFonts w:ascii="Garamond" w:hAnsi="Garamond"/>
        </w:rPr>
      </w:pPr>
      <w:r w:rsidRPr="008F6D10">
        <w:rPr>
          <w:rStyle w:val="FootnoteReference"/>
          <w:rFonts w:ascii="Garamond" w:hAnsi="Garamond"/>
        </w:rPr>
        <w:footnoteRef/>
      </w:r>
      <w:r w:rsidRPr="008F6D10">
        <w:rPr>
          <w:rFonts w:ascii="Garamond" w:hAnsi="Garamond"/>
        </w:rPr>
        <w:t xml:space="preserve"> </w:t>
      </w:r>
      <w:r w:rsidRPr="008F6D10">
        <w:rPr>
          <w:rFonts w:ascii="Garamond" w:hAnsi="Garamond"/>
          <w:i/>
          <w:iCs/>
        </w:rPr>
        <w:t>Id.</w:t>
      </w:r>
    </w:p>
  </w:footnote>
  <w:footnote w:id="101">
    <w:p w14:paraId="2AA2A912" w14:textId="689F179D" w:rsidR="00C4441B" w:rsidRPr="008F6D10" w:rsidRDefault="00C4441B" w:rsidP="00B91414">
      <w:pPr>
        <w:pStyle w:val="FootnoteText"/>
        <w:rPr>
          <w:rFonts w:ascii="Garamond" w:hAnsi="Garamond"/>
        </w:rPr>
      </w:pPr>
      <w:r w:rsidRPr="008F6D10">
        <w:rPr>
          <w:rStyle w:val="FootnoteReference"/>
          <w:rFonts w:ascii="Garamond" w:hAnsi="Garamond"/>
        </w:rPr>
        <w:footnoteRef/>
      </w:r>
      <w:r w:rsidRPr="008F6D10">
        <w:rPr>
          <w:rFonts w:ascii="Garamond" w:hAnsi="Garamond"/>
        </w:rPr>
        <w:t xml:space="preserve"> USAID, </w:t>
      </w:r>
      <w:r w:rsidRPr="008F6D10">
        <w:rPr>
          <w:rFonts w:ascii="Garamond" w:hAnsi="Garamond"/>
          <w:i/>
          <w:iCs/>
        </w:rPr>
        <w:t>Malawi Maternal, Neonatal and Child Health Fact Sheet</w:t>
      </w:r>
      <w:r w:rsidRPr="008F6D10">
        <w:rPr>
          <w:rFonts w:ascii="Garamond" w:hAnsi="Garamond"/>
        </w:rPr>
        <w:t xml:space="preserve">, </w:t>
      </w:r>
      <w:hyperlink r:id="rId45" w:history="1">
        <w:r w:rsidRPr="00251781">
          <w:rPr>
            <w:rStyle w:val="Hyperlink"/>
            <w:rFonts w:ascii="Garamond" w:hAnsi="Garamond"/>
          </w:rPr>
          <w:t>https://2012-2017.usaid.gov/malawi/fact-sheets/malawi-maternal-neonatal-and-child-health-fact-sheet</w:t>
        </w:r>
      </w:hyperlink>
      <w:r>
        <w:rPr>
          <w:rFonts w:ascii="Garamond" w:hAnsi="Garamond"/>
        </w:rPr>
        <w:t xml:space="preserve"> [accessed 29 Dec 2022].</w:t>
      </w:r>
    </w:p>
  </w:footnote>
  <w:footnote w:id="102">
    <w:p w14:paraId="3D3CF247" w14:textId="55E805D0" w:rsidR="00C4441B" w:rsidRPr="008F6D10" w:rsidRDefault="00C4441B" w:rsidP="00B91414">
      <w:pPr>
        <w:pStyle w:val="FootnoteText"/>
        <w:rPr>
          <w:rFonts w:ascii="Garamond" w:hAnsi="Garamond"/>
        </w:rPr>
      </w:pPr>
      <w:r w:rsidRPr="008F6D10">
        <w:rPr>
          <w:rStyle w:val="FootnoteReference"/>
          <w:rFonts w:ascii="Garamond" w:hAnsi="Garamond"/>
        </w:rPr>
        <w:footnoteRef/>
      </w:r>
      <w:r w:rsidRPr="008F6D10">
        <w:rPr>
          <w:rFonts w:ascii="Garamond" w:hAnsi="Garamond"/>
        </w:rPr>
        <w:t xml:space="preserve"> </w:t>
      </w:r>
      <w:r w:rsidRPr="008F6D10">
        <w:rPr>
          <w:rFonts w:ascii="Garamond" w:hAnsi="Garamond"/>
          <w:i/>
          <w:iCs/>
        </w:rPr>
        <w:t>Malawi MDG Endline Survey (MES) 2014 Report,</w:t>
      </w:r>
      <w:r w:rsidRPr="008F6D10">
        <w:rPr>
          <w:rFonts w:ascii="Garamond" w:hAnsi="Garamond"/>
        </w:rPr>
        <w:t xml:space="preserve"> National Statistical Office, </w:t>
      </w:r>
      <w:hyperlink r:id="rId46" w:history="1">
        <w:r w:rsidRPr="008F6D10">
          <w:rPr>
            <w:rStyle w:val="Hyperlink"/>
            <w:rFonts w:ascii="Garamond" w:hAnsi="Garamond"/>
          </w:rPr>
          <w:t>http://www.nsomalawi.mw/index.php?option=com_content&amp;view=article&amp;id=210&amp;Itemid=105</w:t>
        </w:r>
      </w:hyperlink>
      <w:r>
        <w:rPr>
          <w:rFonts w:ascii="Garamond" w:hAnsi="Garamond"/>
        </w:rPr>
        <w:t xml:space="preserve"> [accessed 29 Dec 2022];</w:t>
      </w:r>
      <w:r w:rsidRPr="008F6D10">
        <w:rPr>
          <w:rFonts w:ascii="Garamond" w:hAnsi="Garamond"/>
        </w:rPr>
        <w:t xml:space="preserve"> </w:t>
      </w:r>
      <w:r w:rsidRPr="008F6D10">
        <w:rPr>
          <w:rFonts w:ascii="Garamond" w:hAnsi="Garamond"/>
          <w:i/>
          <w:iCs/>
        </w:rPr>
        <w:t>See also</w:t>
      </w:r>
      <w:r w:rsidRPr="008F6D10">
        <w:rPr>
          <w:rFonts w:ascii="Garamond" w:hAnsi="Garamond"/>
        </w:rPr>
        <w:t xml:space="preserve"> Ministry of Health, </w:t>
      </w:r>
      <w:r w:rsidRPr="008F6D10">
        <w:rPr>
          <w:rFonts w:ascii="Garamond" w:hAnsi="Garamond"/>
          <w:i/>
          <w:iCs/>
        </w:rPr>
        <w:t>Malawi emergency obstetric and newborn care needs assessment</w:t>
      </w:r>
      <w:r w:rsidRPr="008F6D10">
        <w:rPr>
          <w:rFonts w:ascii="Garamond" w:hAnsi="Garamond"/>
        </w:rPr>
        <w:t xml:space="preserve"> (2014), </w:t>
      </w:r>
      <w:hyperlink r:id="rId47" w:history="1">
        <w:r w:rsidRPr="008F6D10">
          <w:rPr>
            <w:rStyle w:val="Hyperlink"/>
            <w:rFonts w:ascii="Garamond" w:hAnsi="Garamond"/>
          </w:rPr>
          <w:t>https://www.healthynewbornnetwork.org/hnn-content/uploads/Malawi-EmONC-Report-June-2015_FINAL.pdf</w:t>
        </w:r>
      </w:hyperlink>
      <w:r>
        <w:rPr>
          <w:rFonts w:ascii="Garamond" w:hAnsi="Garamond"/>
        </w:rPr>
        <w:t xml:space="preserve"> [accessed 27 Dec 2022].</w:t>
      </w:r>
      <w:r w:rsidRPr="008F6D10">
        <w:rPr>
          <w:rFonts w:ascii="Garamond" w:hAnsi="Garamond"/>
        </w:rPr>
        <w:t xml:space="preserve"> </w:t>
      </w:r>
    </w:p>
  </w:footnote>
  <w:footnote w:id="103">
    <w:p w14:paraId="6627665B" w14:textId="77777777" w:rsidR="00C4441B" w:rsidRPr="008F6D10" w:rsidRDefault="00C4441B" w:rsidP="00B91414">
      <w:pPr>
        <w:pStyle w:val="FootnoteText"/>
        <w:rPr>
          <w:rFonts w:ascii="Garamond" w:hAnsi="Garamond"/>
        </w:rPr>
      </w:pPr>
      <w:r w:rsidRPr="008F6D10">
        <w:rPr>
          <w:rStyle w:val="FootnoteReference"/>
          <w:rFonts w:ascii="Garamond" w:hAnsi="Garamond"/>
        </w:rPr>
        <w:footnoteRef/>
      </w:r>
      <w:r w:rsidRPr="008F6D10">
        <w:rPr>
          <w:rFonts w:ascii="Garamond" w:hAnsi="Garamond"/>
        </w:rPr>
        <w:t xml:space="preserve"> </w:t>
      </w:r>
      <w:r w:rsidRPr="008F6D10">
        <w:rPr>
          <w:rFonts w:ascii="Garamond" w:hAnsi="Garamond"/>
          <w:i/>
        </w:rPr>
        <w:t>Id.</w:t>
      </w:r>
      <w:r w:rsidRPr="008F6D10">
        <w:rPr>
          <w:rFonts w:ascii="Garamond" w:hAnsi="Garamond"/>
        </w:rPr>
        <w:t xml:space="preserve"> </w:t>
      </w:r>
    </w:p>
  </w:footnote>
  <w:footnote w:id="104">
    <w:p w14:paraId="108EA5BA" w14:textId="77777777" w:rsidR="00C4441B" w:rsidRPr="008F6D10" w:rsidRDefault="00C4441B" w:rsidP="00B91414">
      <w:pPr>
        <w:pStyle w:val="FootnoteText"/>
        <w:rPr>
          <w:rFonts w:ascii="Garamond" w:hAnsi="Garamond"/>
        </w:rPr>
      </w:pPr>
      <w:r w:rsidRPr="008F6D10">
        <w:rPr>
          <w:rStyle w:val="FootnoteReference"/>
          <w:rFonts w:ascii="Garamond" w:hAnsi="Garamond"/>
        </w:rPr>
        <w:footnoteRef/>
      </w:r>
      <w:r w:rsidRPr="008F6D10">
        <w:rPr>
          <w:rFonts w:ascii="Garamond" w:hAnsi="Garamond"/>
        </w:rPr>
        <w:t xml:space="preserve"> </w:t>
      </w:r>
      <w:r w:rsidRPr="008F6D10">
        <w:rPr>
          <w:rFonts w:ascii="Garamond" w:hAnsi="Garamond"/>
          <w:i/>
          <w:iCs/>
        </w:rPr>
        <w:t>Id</w:t>
      </w:r>
      <w:r w:rsidRPr="008F6D10">
        <w:rPr>
          <w:rFonts w:ascii="Garamond" w:hAnsi="Garamond"/>
        </w:rPr>
        <w:t xml:space="preserve">. </w:t>
      </w:r>
    </w:p>
  </w:footnote>
  <w:footnote w:id="105">
    <w:p w14:paraId="4B787CED" w14:textId="5D7B425D" w:rsidR="00C4441B" w:rsidRPr="008F6D10" w:rsidRDefault="00C4441B" w:rsidP="00B91414">
      <w:pPr>
        <w:pStyle w:val="FootnoteText"/>
        <w:rPr>
          <w:rFonts w:ascii="Garamond" w:hAnsi="Garamond"/>
        </w:rPr>
      </w:pPr>
      <w:r w:rsidRPr="008F6D10">
        <w:rPr>
          <w:rStyle w:val="FootnoteReference"/>
          <w:rFonts w:ascii="Garamond" w:hAnsi="Garamond"/>
        </w:rPr>
        <w:footnoteRef/>
      </w:r>
      <w:r w:rsidRPr="008F6D10">
        <w:rPr>
          <w:rFonts w:ascii="Garamond" w:hAnsi="Garamond"/>
        </w:rPr>
        <w:t xml:space="preserve"> </w:t>
      </w:r>
      <w:r w:rsidRPr="008F6D10">
        <w:rPr>
          <w:rFonts w:ascii="Garamond" w:hAnsi="Garamond"/>
          <w:i/>
          <w:iCs/>
        </w:rPr>
        <w:t>Through Her Eyes</w:t>
      </w:r>
      <w:r w:rsidRPr="008F6D10">
        <w:rPr>
          <w:rFonts w:ascii="Garamond" w:hAnsi="Garamond"/>
        </w:rPr>
        <w:t xml:space="preserve">, </w:t>
      </w:r>
      <w:r w:rsidRPr="008F6D10">
        <w:rPr>
          <w:rFonts w:ascii="Garamond" w:hAnsi="Garamond"/>
          <w:i/>
          <w:iCs/>
        </w:rPr>
        <w:t xml:space="preserve">supra </w:t>
      </w:r>
      <w:r w:rsidRPr="008F6D10">
        <w:rPr>
          <w:rFonts w:ascii="Garamond" w:hAnsi="Garamond"/>
        </w:rPr>
        <w:t xml:space="preserve">note 70 at p. 10. </w:t>
      </w:r>
    </w:p>
  </w:footnote>
  <w:footnote w:id="106">
    <w:p w14:paraId="685D7E51" w14:textId="2C60C4DE" w:rsidR="00C4441B" w:rsidRPr="008F6D10" w:rsidRDefault="00C4441B" w:rsidP="00B91414">
      <w:pPr>
        <w:rPr>
          <w:rFonts w:ascii="Garamond" w:hAnsi="Garamond"/>
          <w:sz w:val="20"/>
          <w:szCs w:val="20"/>
        </w:rPr>
      </w:pPr>
      <w:r w:rsidRPr="008F6D10">
        <w:rPr>
          <w:rFonts w:ascii="Garamond" w:hAnsi="Garamond"/>
          <w:sz w:val="20"/>
          <w:szCs w:val="20"/>
          <w:vertAlign w:val="superscript"/>
        </w:rPr>
        <w:footnoteRef/>
      </w:r>
      <w:r w:rsidRPr="008F6D10">
        <w:rPr>
          <w:rFonts w:ascii="Garamond" w:hAnsi="Garamond"/>
          <w:sz w:val="20"/>
          <w:szCs w:val="20"/>
        </w:rPr>
        <w:t xml:space="preserve"> Benson, Janie, et al., </w:t>
      </w:r>
      <w:r w:rsidRPr="008F6D10">
        <w:rPr>
          <w:rFonts w:ascii="Garamond" w:hAnsi="Garamond"/>
          <w:i/>
          <w:iCs/>
          <w:sz w:val="20"/>
          <w:szCs w:val="20"/>
        </w:rPr>
        <w:t>Costs of Postabortion Care in Public Sector Health Facilities in Malawi: A Cross-Sectional Survey</w:t>
      </w:r>
      <w:r w:rsidRPr="008F6D10">
        <w:rPr>
          <w:rFonts w:ascii="Garamond" w:hAnsi="Garamond"/>
          <w:sz w:val="20"/>
          <w:szCs w:val="20"/>
        </w:rPr>
        <w:t xml:space="preserve">, BMC Health Services Research, vol. 15, no. 1 (2015), </w:t>
      </w:r>
      <w:hyperlink r:id="rId48" w:history="1">
        <w:r w:rsidRPr="0075299E">
          <w:rPr>
            <w:rStyle w:val="Hyperlink"/>
            <w:rFonts w:ascii="Garamond" w:hAnsi="Garamond"/>
            <w:sz w:val="20"/>
            <w:szCs w:val="20"/>
          </w:rPr>
          <w:t>http://bmchealthservres.biomedcentral.com/articles/10.1186/s12913-015-1216-2</w:t>
        </w:r>
      </w:hyperlink>
      <w:r w:rsidRPr="0075299E">
        <w:rPr>
          <w:rFonts w:ascii="Garamond" w:hAnsi="Garamond"/>
          <w:sz w:val="20"/>
          <w:szCs w:val="20"/>
        </w:rPr>
        <w:t xml:space="preserve"> [accessed 29 Dec 2022].</w:t>
      </w:r>
    </w:p>
  </w:footnote>
  <w:footnote w:id="107">
    <w:p w14:paraId="65C3CAAE" w14:textId="2008620B" w:rsidR="00C4441B" w:rsidRPr="008F6D10" w:rsidRDefault="00C4441B" w:rsidP="00B91414">
      <w:pPr>
        <w:pStyle w:val="FootnoteText"/>
        <w:rPr>
          <w:rFonts w:ascii="Garamond" w:hAnsi="Garamond"/>
          <w:b/>
          <w:bCs/>
        </w:rPr>
      </w:pPr>
      <w:r w:rsidRPr="008F6D10">
        <w:rPr>
          <w:rStyle w:val="FootnoteReference"/>
          <w:rFonts w:ascii="Garamond" w:hAnsi="Garamond"/>
        </w:rPr>
        <w:footnoteRef/>
      </w:r>
      <w:r w:rsidRPr="008F6D10">
        <w:rPr>
          <w:rFonts w:ascii="Garamond" w:hAnsi="Garamond"/>
        </w:rPr>
        <w:t xml:space="preserve"> Palk, Laurence, et al., </w:t>
      </w:r>
      <w:r w:rsidRPr="008F6D10">
        <w:rPr>
          <w:rFonts w:ascii="Garamond" w:hAnsi="Garamond"/>
          <w:bCs/>
          <w:i/>
          <w:iCs/>
        </w:rPr>
        <w:t>Travel time to health-care facilities, mode of transportation, and HIV elimination in Malawi: a geospatial modelling analysis</w:t>
      </w:r>
      <w:r w:rsidRPr="008F6D10">
        <w:rPr>
          <w:rFonts w:ascii="Garamond" w:hAnsi="Garamond"/>
          <w:bCs/>
        </w:rPr>
        <w:t xml:space="preserve">, </w:t>
      </w:r>
      <w:r w:rsidRPr="008F6D10">
        <w:rPr>
          <w:rFonts w:ascii="Garamond" w:hAnsi="Garamond"/>
          <w:bCs/>
          <w:iCs/>
        </w:rPr>
        <w:t>The Lancet Global Healt</w:t>
      </w:r>
      <w:r w:rsidRPr="008F6D10">
        <w:rPr>
          <w:rFonts w:ascii="Garamond" w:hAnsi="Garamond"/>
          <w:bCs/>
          <w:i/>
        </w:rPr>
        <w:t>h</w:t>
      </w:r>
      <w:r w:rsidRPr="008F6D10">
        <w:rPr>
          <w:rFonts w:ascii="Garamond" w:hAnsi="Garamond"/>
          <w:bCs/>
        </w:rPr>
        <w:t xml:space="preserve">, vol. 8, issue 12 (Dec. 2020), </w:t>
      </w:r>
      <w:hyperlink r:id="rId49" w:history="1">
        <w:r w:rsidRPr="008F6D10">
          <w:rPr>
            <w:rStyle w:val="Hyperlink"/>
            <w:rFonts w:ascii="Garamond" w:hAnsi="Garamond"/>
            <w:bCs/>
          </w:rPr>
          <w:t>https://www.thelancet.com/journals/langlo/article/PIIS2214-109X(20) 30351-X/</w:t>
        </w:r>
        <w:proofErr w:type="spellStart"/>
        <w:r w:rsidRPr="008F6D10">
          <w:rPr>
            <w:rStyle w:val="Hyperlink"/>
            <w:rFonts w:ascii="Garamond" w:hAnsi="Garamond"/>
            <w:bCs/>
          </w:rPr>
          <w:t>fulltext</w:t>
        </w:r>
        <w:proofErr w:type="spellEnd"/>
      </w:hyperlink>
      <w:r>
        <w:rPr>
          <w:rFonts w:ascii="Garamond" w:hAnsi="Garamond"/>
          <w:bCs/>
        </w:rPr>
        <w:t xml:space="preserve"> [accessed 29 Dec 2022].</w:t>
      </w:r>
      <w:r w:rsidRPr="008F6D10">
        <w:rPr>
          <w:rFonts w:ascii="Garamond" w:hAnsi="Garamond"/>
          <w:bCs/>
        </w:rPr>
        <w:t xml:space="preserve"> </w:t>
      </w:r>
    </w:p>
  </w:footnote>
  <w:footnote w:id="108">
    <w:p w14:paraId="23436C93" w14:textId="67A4E93B" w:rsidR="00C4441B" w:rsidRPr="008F6D10" w:rsidRDefault="00C4441B" w:rsidP="00B91414">
      <w:pPr>
        <w:rPr>
          <w:rFonts w:ascii="Garamond" w:hAnsi="Garamond"/>
          <w:sz w:val="20"/>
          <w:szCs w:val="20"/>
          <w:highlight w:val="red"/>
        </w:rPr>
      </w:pPr>
      <w:r w:rsidRPr="008F6D10">
        <w:rPr>
          <w:rFonts w:ascii="Garamond" w:hAnsi="Garamond"/>
          <w:sz w:val="20"/>
          <w:szCs w:val="20"/>
          <w:vertAlign w:val="superscript"/>
        </w:rPr>
        <w:footnoteRef/>
      </w:r>
      <w:r w:rsidRPr="008F6D10">
        <w:rPr>
          <w:rFonts w:ascii="Garamond" w:hAnsi="Garamond"/>
          <w:sz w:val="20"/>
          <w:szCs w:val="20"/>
        </w:rPr>
        <w:t xml:space="preserve"> CEDAW, </w:t>
      </w:r>
      <w:r w:rsidRPr="008F6D10">
        <w:rPr>
          <w:rFonts w:ascii="Garamond" w:hAnsi="Garamond"/>
          <w:i/>
          <w:iCs/>
          <w:sz w:val="20"/>
          <w:szCs w:val="20"/>
        </w:rPr>
        <w:t>General Recommendation No. 24: Art. 12 of the Convention (Women and Health)</w:t>
      </w:r>
      <w:r w:rsidRPr="008F6D10">
        <w:rPr>
          <w:rFonts w:ascii="Garamond" w:hAnsi="Garamond"/>
          <w:sz w:val="20"/>
          <w:szCs w:val="20"/>
        </w:rPr>
        <w:t>, para. 28, A/54/38/Rev.1 (1999).</w:t>
      </w:r>
    </w:p>
  </w:footnote>
  <w:footnote w:id="109">
    <w:p w14:paraId="5726074F" w14:textId="49C4C713" w:rsidR="00C4441B" w:rsidRPr="008F6D10" w:rsidRDefault="00C4441B" w:rsidP="005B5071">
      <w:pPr>
        <w:pStyle w:val="FootnoteText"/>
        <w:rPr>
          <w:rFonts w:ascii="Garamond" w:hAnsi="Garamond"/>
        </w:rPr>
      </w:pPr>
      <w:r w:rsidRPr="008F6D10">
        <w:rPr>
          <w:rFonts w:ascii="Garamond" w:hAnsi="Garamond"/>
          <w:vertAlign w:val="superscript"/>
        </w:rPr>
        <w:footnoteRef/>
      </w:r>
      <w:r w:rsidRPr="008F6D10">
        <w:rPr>
          <w:rFonts w:ascii="Garamond" w:hAnsi="Garamond"/>
        </w:rPr>
        <w:t xml:space="preserve"> Emily Jackson, </w:t>
      </w:r>
      <w:r w:rsidRPr="008F6D10">
        <w:rPr>
          <w:rFonts w:ascii="Garamond" w:hAnsi="Garamond"/>
          <w:i/>
          <w:iCs/>
        </w:rPr>
        <w:t xml:space="preserve">supra </w:t>
      </w:r>
      <w:r w:rsidRPr="008F6D10">
        <w:rPr>
          <w:rFonts w:ascii="Garamond" w:hAnsi="Garamond"/>
        </w:rPr>
        <w:t>note 60.</w:t>
      </w:r>
    </w:p>
  </w:footnote>
  <w:footnote w:id="110">
    <w:p w14:paraId="68F3540A" w14:textId="5B15BFE0" w:rsidR="00C4441B" w:rsidRPr="008F6D10" w:rsidRDefault="00C4441B" w:rsidP="005B5071">
      <w:pPr>
        <w:pStyle w:val="FootnoteText"/>
        <w:rPr>
          <w:rFonts w:ascii="Garamond" w:hAnsi="Garamond"/>
        </w:rPr>
      </w:pPr>
      <w:r w:rsidRPr="008F6D10">
        <w:rPr>
          <w:rFonts w:ascii="Garamond" w:hAnsi="Garamond"/>
          <w:vertAlign w:val="superscript"/>
        </w:rPr>
        <w:footnoteRef/>
      </w:r>
      <w:r w:rsidRPr="008F6D10">
        <w:rPr>
          <w:rFonts w:ascii="Garamond" w:hAnsi="Garamond"/>
        </w:rPr>
        <w:t xml:space="preserve"> </w:t>
      </w:r>
      <w:r w:rsidRPr="008F6D10">
        <w:rPr>
          <w:rFonts w:ascii="Garamond" w:hAnsi="Garamond"/>
          <w:i/>
        </w:rPr>
        <w:t>Id</w:t>
      </w:r>
      <w:r w:rsidRPr="008F6D10">
        <w:rPr>
          <w:rFonts w:ascii="Garamond" w:hAnsi="Garamond"/>
        </w:rPr>
        <w:t xml:space="preserve">. </w:t>
      </w:r>
    </w:p>
  </w:footnote>
  <w:footnote w:id="111">
    <w:p w14:paraId="48C8A346" w14:textId="5082E863" w:rsidR="00C4441B" w:rsidRPr="008F6D10" w:rsidRDefault="00C4441B" w:rsidP="005B5071">
      <w:pPr>
        <w:rPr>
          <w:rFonts w:ascii="Garamond" w:hAnsi="Garamond"/>
          <w:b/>
          <w:bCs/>
          <w:sz w:val="20"/>
          <w:szCs w:val="20"/>
        </w:rPr>
      </w:pPr>
      <w:r w:rsidRPr="008F6D10">
        <w:rPr>
          <w:rFonts w:ascii="Garamond" w:hAnsi="Garamond"/>
          <w:sz w:val="20"/>
          <w:szCs w:val="20"/>
          <w:vertAlign w:val="superscript"/>
        </w:rPr>
        <w:footnoteRef/>
      </w:r>
      <w:r w:rsidRPr="008F6D10">
        <w:rPr>
          <w:rFonts w:ascii="Garamond" w:hAnsi="Garamond"/>
          <w:sz w:val="20"/>
          <w:szCs w:val="20"/>
        </w:rPr>
        <w:t xml:space="preserve"> Judith </w:t>
      </w:r>
      <w:proofErr w:type="spellStart"/>
      <w:r w:rsidRPr="008F6D10">
        <w:rPr>
          <w:rFonts w:ascii="Garamond" w:hAnsi="Garamond"/>
          <w:sz w:val="20"/>
          <w:szCs w:val="20"/>
        </w:rPr>
        <w:t>Daire</w:t>
      </w:r>
      <w:proofErr w:type="spellEnd"/>
      <w:r w:rsidRPr="008F6D10">
        <w:rPr>
          <w:rFonts w:ascii="Garamond" w:hAnsi="Garamond"/>
          <w:sz w:val="20"/>
          <w:szCs w:val="20"/>
        </w:rPr>
        <w:t xml:space="preserve">, Maren O. </w:t>
      </w:r>
      <w:proofErr w:type="spellStart"/>
      <w:r w:rsidRPr="008F6D10">
        <w:rPr>
          <w:rFonts w:ascii="Garamond" w:hAnsi="Garamond"/>
          <w:sz w:val="20"/>
          <w:szCs w:val="20"/>
        </w:rPr>
        <w:t>Kloster</w:t>
      </w:r>
      <w:proofErr w:type="spellEnd"/>
      <w:r w:rsidRPr="008F6D10">
        <w:rPr>
          <w:rFonts w:ascii="Garamond" w:hAnsi="Garamond"/>
          <w:sz w:val="20"/>
          <w:szCs w:val="20"/>
        </w:rPr>
        <w:t xml:space="preserve">, and </w:t>
      </w:r>
      <w:proofErr w:type="spellStart"/>
      <w:r w:rsidRPr="008F6D10">
        <w:rPr>
          <w:rFonts w:ascii="Garamond" w:hAnsi="Garamond"/>
          <w:sz w:val="20"/>
          <w:szCs w:val="20"/>
        </w:rPr>
        <w:t>Katerini</w:t>
      </w:r>
      <w:proofErr w:type="spellEnd"/>
      <w:r w:rsidRPr="008F6D10">
        <w:rPr>
          <w:rFonts w:ascii="Garamond" w:hAnsi="Garamond"/>
          <w:sz w:val="20"/>
          <w:szCs w:val="20"/>
        </w:rPr>
        <w:t xml:space="preserve"> T. </w:t>
      </w:r>
      <w:proofErr w:type="spellStart"/>
      <w:r w:rsidRPr="008F6D10">
        <w:rPr>
          <w:rFonts w:ascii="Garamond" w:hAnsi="Garamond"/>
          <w:sz w:val="20"/>
          <w:szCs w:val="20"/>
        </w:rPr>
        <w:t>Storeng</w:t>
      </w:r>
      <w:proofErr w:type="spellEnd"/>
      <w:r w:rsidRPr="008F6D10">
        <w:rPr>
          <w:rFonts w:ascii="Garamond" w:hAnsi="Garamond"/>
          <w:sz w:val="20"/>
          <w:szCs w:val="20"/>
        </w:rPr>
        <w:t xml:space="preserve">, </w:t>
      </w:r>
      <w:r w:rsidRPr="008F6D10">
        <w:rPr>
          <w:rFonts w:ascii="Garamond" w:hAnsi="Garamond"/>
          <w:i/>
          <w:iCs/>
          <w:sz w:val="20"/>
          <w:szCs w:val="20"/>
        </w:rPr>
        <w:t>Political Priority for Abortion Law Reform in Malawi: Transnational and National Influences</w:t>
      </w:r>
      <w:r w:rsidRPr="008F6D10">
        <w:rPr>
          <w:rFonts w:ascii="Garamond" w:hAnsi="Garamond"/>
          <w:sz w:val="20"/>
          <w:szCs w:val="20"/>
        </w:rPr>
        <w:t>, Health and Human Rights Journal (15 Mar. 2018),</w:t>
      </w:r>
      <w:r>
        <w:rPr>
          <w:rFonts w:ascii="Garamond" w:hAnsi="Garamond"/>
          <w:sz w:val="20"/>
          <w:szCs w:val="20"/>
        </w:rPr>
        <w:t xml:space="preserve"> </w:t>
      </w:r>
      <w:hyperlink r:id="rId50" w:history="1">
        <w:r w:rsidRPr="00251781">
          <w:rPr>
            <w:rStyle w:val="Hyperlink"/>
            <w:rFonts w:ascii="Garamond" w:hAnsi="Garamond"/>
            <w:sz w:val="20"/>
            <w:szCs w:val="20"/>
          </w:rPr>
          <w:t>https://www.hhrjournal.org/2018/03/</w:t>
        </w:r>
      </w:hyperlink>
      <w:r>
        <w:rPr>
          <w:rFonts w:ascii="Garamond" w:hAnsi="Garamond"/>
          <w:sz w:val="20"/>
          <w:szCs w:val="20"/>
        </w:rPr>
        <w:t xml:space="preserve"> [accessed 27 Dec 2022].</w:t>
      </w:r>
    </w:p>
  </w:footnote>
  <w:footnote w:id="112">
    <w:p w14:paraId="6E84BF53" w14:textId="3C14359D" w:rsidR="00C4441B" w:rsidRPr="008F6D10" w:rsidRDefault="00C4441B">
      <w:pPr>
        <w:pStyle w:val="FootnoteText"/>
        <w:rPr>
          <w:rFonts w:ascii="Garamond" w:hAnsi="Garamond"/>
        </w:rPr>
      </w:pPr>
      <w:r w:rsidRPr="008F6D10">
        <w:rPr>
          <w:rStyle w:val="FootnoteReference"/>
          <w:rFonts w:ascii="Garamond" w:hAnsi="Garamond"/>
        </w:rPr>
        <w:footnoteRef/>
      </w:r>
      <w:r w:rsidRPr="008F6D10">
        <w:rPr>
          <w:rFonts w:ascii="Garamond" w:hAnsi="Garamond"/>
        </w:rPr>
        <w:t xml:space="preserve"> Covenant on Economic, Social, and Cultural Rights, Art. 15.1.b.</w:t>
      </w:r>
    </w:p>
  </w:footnote>
  <w:footnote w:id="113">
    <w:p w14:paraId="2CA31D51" w14:textId="516F3063" w:rsidR="00C4441B" w:rsidRPr="008F6D10" w:rsidRDefault="00C4441B" w:rsidP="00B91414">
      <w:pPr>
        <w:pStyle w:val="NormalWeb"/>
        <w:spacing w:before="0" w:beforeAutospacing="0" w:after="0" w:afterAutospacing="0"/>
        <w:rPr>
          <w:rFonts w:ascii="Garamond" w:hAnsi="Garamond" w:cs="Calibri"/>
          <w:sz w:val="20"/>
          <w:szCs w:val="20"/>
        </w:rPr>
      </w:pPr>
      <w:r w:rsidRPr="008F6D10">
        <w:rPr>
          <w:rStyle w:val="FootnoteReference"/>
          <w:rFonts w:ascii="Garamond" w:hAnsi="Garamond"/>
          <w:sz w:val="20"/>
          <w:szCs w:val="20"/>
        </w:rPr>
        <w:footnoteRef/>
      </w:r>
      <w:r w:rsidRPr="008F6D10">
        <w:rPr>
          <w:rFonts w:ascii="Garamond" w:hAnsi="Garamond"/>
          <w:sz w:val="20"/>
          <w:szCs w:val="20"/>
        </w:rPr>
        <w:t xml:space="preserve"> </w:t>
      </w:r>
      <w:r w:rsidRPr="008F6D10">
        <w:rPr>
          <w:rFonts w:ascii="Garamond" w:hAnsi="Garamond" w:cs="Calibri"/>
          <w:sz w:val="20"/>
          <w:szCs w:val="20"/>
        </w:rPr>
        <w:t xml:space="preserve">Tambudzai </w:t>
      </w:r>
      <w:proofErr w:type="spellStart"/>
      <w:r w:rsidRPr="008F6D10">
        <w:rPr>
          <w:rFonts w:ascii="Garamond" w:hAnsi="Garamond" w:cs="Calibri"/>
          <w:sz w:val="20"/>
          <w:szCs w:val="20"/>
        </w:rPr>
        <w:t>Gonese</w:t>
      </w:r>
      <w:proofErr w:type="spellEnd"/>
      <w:r w:rsidRPr="008F6D10">
        <w:rPr>
          <w:rFonts w:ascii="Garamond" w:hAnsi="Garamond" w:cs="Calibri"/>
          <w:sz w:val="20"/>
          <w:szCs w:val="20"/>
        </w:rPr>
        <w:t xml:space="preserve">, </w:t>
      </w:r>
      <w:r w:rsidRPr="008F6D10">
        <w:rPr>
          <w:rFonts w:ascii="Garamond" w:hAnsi="Garamond" w:cs="Calibri"/>
          <w:i/>
          <w:iCs/>
          <w:sz w:val="20"/>
          <w:szCs w:val="20"/>
        </w:rPr>
        <w:t>Malawi’s obligation to enact the Termination of Pregnancy Bill</w:t>
      </w:r>
      <w:r w:rsidRPr="008F6D10">
        <w:rPr>
          <w:rFonts w:ascii="Garamond" w:hAnsi="Garamond" w:cs="Calibri"/>
          <w:sz w:val="20"/>
          <w:szCs w:val="20"/>
        </w:rPr>
        <w:t>, Southern Africa Litigation Centre (27 Sept. 2021),</w:t>
      </w:r>
      <w:r>
        <w:rPr>
          <w:rFonts w:ascii="Garamond" w:hAnsi="Garamond" w:cs="Calibri"/>
          <w:sz w:val="20"/>
          <w:szCs w:val="20"/>
        </w:rPr>
        <w:t xml:space="preserve"> </w:t>
      </w:r>
      <w:hyperlink r:id="rId51" w:history="1">
        <w:r w:rsidRPr="00251781">
          <w:rPr>
            <w:rStyle w:val="Hyperlink"/>
            <w:rFonts w:ascii="Garamond" w:hAnsi="Garamond" w:cs="Calibri"/>
            <w:sz w:val="20"/>
            <w:szCs w:val="20"/>
          </w:rPr>
          <w:t>https://www.southernafricalitigationcentre.org/2021/09/27/</w:t>
        </w:r>
      </w:hyperlink>
      <w:r>
        <w:rPr>
          <w:rFonts w:ascii="Garamond" w:hAnsi="Garamond" w:cs="Calibri"/>
          <w:sz w:val="20"/>
          <w:szCs w:val="20"/>
        </w:rPr>
        <w:t xml:space="preserve"> [accessed 29 Dec 2022].</w:t>
      </w:r>
      <w:r w:rsidRPr="008F6D10">
        <w:rPr>
          <w:rFonts w:ascii="Garamond" w:hAnsi="Garamond" w:cs="Calibri"/>
          <w:sz w:val="20"/>
          <w:szCs w:val="20"/>
        </w:rPr>
        <w:t xml:space="preserve"> </w:t>
      </w:r>
    </w:p>
  </w:footnote>
  <w:footnote w:id="114">
    <w:p w14:paraId="08A87B54" w14:textId="38CF1DEB" w:rsidR="00C4441B" w:rsidRPr="008F6D10" w:rsidRDefault="00C4441B" w:rsidP="00B91414">
      <w:pPr>
        <w:pStyle w:val="FootnoteText"/>
        <w:rPr>
          <w:rFonts w:ascii="Garamond" w:hAnsi="Garamond"/>
        </w:rPr>
      </w:pPr>
      <w:r w:rsidRPr="008F6D10">
        <w:rPr>
          <w:rStyle w:val="FootnoteReference"/>
          <w:rFonts w:ascii="Garamond" w:hAnsi="Garamond"/>
        </w:rPr>
        <w:footnoteRef/>
      </w:r>
      <w:r w:rsidRPr="008F6D10">
        <w:rPr>
          <w:rFonts w:ascii="Garamond" w:hAnsi="Garamond"/>
        </w:rPr>
        <w:t xml:space="preserve"> CESCR, </w:t>
      </w:r>
      <w:r w:rsidRPr="008F6D10">
        <w:rPr>
          <w:rFonts w:ascii="Garamond" w:eastAsia="Times New Roman" w:hAnsi="Garamond"/>
          <w:i/>
          <w:iCs/>
        </w:rPr>
        <w:t xml:space="preserve">General Comment No. 25 (2020) on science and economic, social and cultural rights (article 15 (1) (b), (2) , (3) and (4) of the International Covenant on Economic, Social and Cultural Rights) </w:t>
      </w:r>
      <w:r w:rsidRPr="008F6D10">
        <w:rPr>
          <w:rFonts w:ascii="Garamond" w:eastAsia="Times New Roman" w:hAnsi="Garamond"/>
        </w:rPr>
        <w:t>, para 8, E/C.12/GC/25 (30 April 2020).</w:t>
      </w:r>
    </w:p>
  </w:footnote>
  <w:footnote w:id="115">
    <w:p w14:paraId="42900342" w14:textId="6B99B368" w:rsidR="00C4441B" w:rsidRPr="008F6D10" w:rsidRDefault="00C4441B" w:rsidP="00B91414">
      <w:pPr>
        <w:rPr>
          <w:rFonts w:ascii="Garamond" w:hAnsi="Garamond"/>
          <w:sz w:val="20"/>
          <w:szCs w:val="20"/>
        </w:rPr>
      </w:pPr>
      <w:r w:rsidRPr="008F6D10">
        <w:rPr>
          <w:rFonts w:ascii="Garamond" w:hAnsi="Garamond"/>
          <w:sz w:val="20"/>
          <w:szCs w:val="20"/>
          <w:vertAlign w:val="superscript"/>
        </w:rPr>
        <w:footnoteRef/>
      </w:r>
      <w:r w:rsidRPr="008F6D10">
        <w:rPr>
          <w:rFonts w:ascii="Garamond" w:hAnsi="Garamond"/>
          <w:sz w:val="20"/>
          <w:szCs w:val="20"/>
        </w:rPr>
        <w:t xml:space="preserve"> </w:t>
      </w:r>
      <w:r w:rsidRPr="008F6D10">
        <w:rPr>
          <w:rFonts w:ascii="Garamond" w:hAnsi="Garamond"/>
          <w:i/>
          <w:sz w:val="20"/>
          <w:szCs w:val="20"/>
        </w:rPr>
        <w:t>Id.</w:t>
      </w:r>
      <w:r w:rsidRPr="008F6D10">
        <w:rPr>
          <w:rFonts w:ascii="Garamond" w:hAnsi="Garamond"/>
          <w:sz w:val="20"/>
          <w:szCs w:val="20"/>
        </w:rPr>
        <w:t>, para. 26.</w:t>
      </w:r>
    </w:p>
  </w:footnote>
  <w:footnote w:id="116">
    <w:p w14:paraId="29D9C83B" w14:textId="2F925D4B" w:rsidR="00C4441B" w:rsidRPr="008F6D10" w:rsidRDefault="00C4441B" w:rsidP="00B91414">
      <w:pPr>
        <w:rPr>
          <w:rFonts w:ascii="Garamond" w:hAnsi="Garamond"/>
          <w:sz w:val="20"/>
          <w:szCs w:val="20"/>
          <w:highlight w:val="yellow"/>
        </w:rPr>
      </w:pPr>
      <w:r w:rsidRPr="008F6D10">
        <w:rPr>
          <w:rFonts w:ascii="Garamond" w:hAnsi="Garamond"/>
          <w:sz w:val="20"/>
          <w:szCs w:val="20"/>
          <w:vertAlign w:val="superscript"/>
        </w:rPr>
        <w:footnoteRef/>
      </w:r>
      <w:r w:rsidRPr="008F6D10">
        <w:rPr>
          <w:rFonts w:ascii="Garamond" w:hAnsi="Garamond"/>
          <w:sz w:val="20"/>
          <w:szCs w:val="20"/>
        </w:rPr>
        <w:t xml:space="preserve"> </w:t>
      </w:r>
      <w:r w:rsidRPr="008F6D10">
        <w:rPr>
          <w:rFonts w:ascii="Garamond" w:hAnsi="Garamond" w:cs="Arial"/>
          <w:color w:val="000000"/>
          <w:kern w:val="36"/>
          <w:sz w:val="20"/>
          <w:szCs w:val="20"/>
        </w:rPr>
        <w:t xml:space="preserve">MSFC Staff, </w:t>
      </w:r>
      <w:r w:rsidRPr="008F6D10">
        <w:rPr>
          <w:rFonts w:ascii="Garamond" w:hAnsi="Garamond" w:cs="Arial"/>
          <w:i/>
          <w:iCs/>
          <w:color w:val="000000"/>
          <w:kern w:val="36"/>
          <w:sz w:val="20"/>
          <w:szCs w:val="20"/>
        </w:rPr>
        <w:t>Providing Safe Abortion in Rural and Low Resource Settings</w:t>
      </w:r>
      <w:r w:rsidRPr="008F6D10">
        <w:rPr>
          <w:rFonts w:ascii="Garamond" w:hAnsi="Garamond" w:cs="Arial"/>
          <w:color w:val="000000"/>
          <w:kern w:val="36"/>
          <w:sz w:val="20"/>
          <w:szCs w:val="20"/>
        </w:rPr>
        <w:t>, Medical Students for Choice (27 April 2022)</w:t>
      </w:r>
      <w:r>
        <w:rPr>
          <w:rFonts w:ascii="Garamond" w:hAnsi="Garamond" w:cs="Arial"/>
          <w:color w:val="000000"/>
          <w:kern w:val="36"/>
          <w:sz w:val="20"/>
          <w:szCs w:val="20"/>
        </w:rPr>
        <w:t xml:space="preserve">, </w:t>
      </w:r>
      <w:hyperlink r:id="rId52" w:history="1">
        <w:r w:rsidRPr="00251781">
          <w:rPr>
            <w:rStyle w:val="Hyperlink"/>
            <w:rFonts w:ascii="Garamond" w:hAnsi="Garamond" w:cs="Arial"/>
            <w:kern w:val="36"/>
            <w:sz w:val="20"/>
            <w:szCs w:val="20"/>
          </w:rPr>
          <w:t>https://msfc.org/providing-safe-abortion-in-rural-and-low-resource-settings/.[accessed</w:t>
        </w:r>
      </w:hyperlink>
      <w:r>
        <w:rPr>
          <w:rFonts w:ascii="Garamond" w:hAnsi="Garamond" w:cs="Arial"/>
          <w:color w:val="000000"/>
          <w:kern w:val="36"/>
          <w:sz w:val="20"/>
          <w:szCs w:val="20"/>
        </w:rPr>
        <w:t xml:space="preserve"> [accessed 27 Dec 2022]. </w:t>
      </w:r>
      <w:r w:rsidRPr="008F6D10">
        <w:rPr>
          <w:rFonts w:ascii="Garamond" w:hAnsi="Garamond" w:cs="Arial"/>
          <w:color w:val="000000"/>
          <w:kern w:val="36"/>
          <w:sz w:val="20"/>
          <w:szCs w:val="20"/>
        </w:rPr>
        <w:t xml:space="preserve"> </w:t>
      </w:r>
    </w:p>
  </w:footnote>
  <w:footnote w:id="117">
    <w:p w14:paraId="22E33D54" w14:textId="745EE739" w:rsidR="00C4441B" w:rsidRPr="008F6D10" w:rsidRDefault="00C4441B" w:rsidP="00B91414">
      <w:pPr>
        <w:rPr>
          <w:rFonts w:ascii="Garamond" w:hAnsi="Garamond"/>
          <w:sz w:val="20"/>
          <w:szCs w:val="20"/>
        </w:rPr>
      </w:pPr>
      <w:r w:rsidRPr="008F6D10">
        <w:rPr>
          <w:rFonts w:ascii="Garamond" w:hAnsi="Garamond"/>
          <w:sz w:val="20"/>
          <w:szCs w:val="20"/>
          <w:vertAlign w:val="superscript"/>
        </w:rPr>
        <w:footnoteRef/>
      </w:r>
      <w:r w:rsidRPr="008F6D10">
        <w:rPr>
          <w:rFonts w:ascii="Garamond" w:hAnsi="Garamond"/>
          <w:sz w:val="20"/>
          <w:szCs w:val="20"/>
        </w:rPr>
        <w:t xml:space="preserve"> Medical Students for Choice, </w:t>
      </w:r>
      <w:r w:rsidRPr="008F6D10">
        <w:rPr>
          <w:rFonts w:ascii="Garamond" w:hAnsi="Garamond"/>
          <w:i/>
          <w:iCs/>
          <w:sz w:val="20"/>
          <w:szCs w:val="20"/>
        </w:rPr>
        <w:t xml:space="preserve">Abortion Training, </w:t>
      </w:r>
      <w:hyperlink r:id="rId53" w:history="1">
        <w:r w:rsidRPr="008F6D10">
          <w:rPr>
            <w:rStyle w:val="Hyperlink"/>
            <w:rFonts w:ascii="Garamond" w:hAnsi="Garamond"/>
            <w:sz w:val="20"/>
            <w:szCs w:val="20"/>
          </w:rPr>
          <w:t>https://msfc.org/medical-students/msfc-abortion-training/</w:t>
        </w:r>
      </w:hyperlink>
      <w:r w:rsidRPr="008F6D10">
        <w:rPr>
          <w:rFonts w:ascii="Garamond" w:hAnsi="Garamond"/>
          <w:sz w:val="20"/>
          <w:szCs w:val="20"/>
        </w:rPr>
        <w:t xml:space="preserve"> [accessed 28 Dec. 2022].</w:t>
      </w:r>
    </w:p>
  </w:footnote>
  <w:footnote w:id="118">
    <w:p w14:paraId="02B47458" w14:textId="72A831AE" w:rsidR="00C4441B" w:rsidRPr="008F6D10" w:rsidRDefault="00C4441B" w:rsidP="00B91414">
      <w:pPr>
        <w:pStyle w:val="FootnoteText"/>
        <w:rPr>
          <w:rFonts w:ascii="Garamond" w:hAnsi="Garamond"/>
        </w:rPr>
      </w:pPr>
      <w:r w:rsidRPr="008F6D10">
        <w:rPr>
          <w:rStyle w:val="FootnoteReference"/>
          <w:rFonts w:ascii="Garamond" w:hAnsi="Garamond"/>
        </w:rPr>
        <w:footnoteRef/>
      </w:r>
      <w:r w:rsidRPr="008F6D10">
        <w:rPr>
          <w:rFonts w:ascii="Garamond" w:hAnsi="Garamond"/>
        </w:rPr>
        <w:t xml:space="preserve"> Emily Jackson, </w:t>
      </w:r>
      <w:r w:rsidRPr="008F6D10">
        <w:rPr>
          <w:rFonts w:ascii="Garamond" w:hAnsi="Garamond"/>
          <w:i/>
          <w:iCs/>
        </w:rPr>
        <w:t xml:space="preserve">supra </w:t>
      </w:r>
      <w:r w:rsidRPr="008F6D10">
        <w:rPr>
          <w:rFonts w:ascii="Garamond" w:hAnsi="Garamond"/>
        </w:rPr>
        <w:t>note 60.</w:t>
      </w:r>
    </w:p>
  </w:footnote>
  <w:footnote w:id="119">
    <w:p w14:paraId="5FE0099E" w14:textId="77777777" w:rsidR="00C4441B" w:rsidRPr="008F6D10" w:rsidRDefault="00C4441B" w:rsidP="00B91414">
      <w:pPr>
        <w:rPr>
          <w:rFonts w:ascii="Garamond" w:hAnsi="Garamond"/>
          <w:sz w:val="20"/>
          <w:szCs w:val="20"/>
        </w:rPr>
      </w:pPr>
      <w:r w:rsidRPr="008F6D10">
        <w:rPr>
          <w:rFonts w:ascii="Garamond" w:hAnsi="Garamond"/>
          <w:sz w:val="20"/>
          <w:szCs w:val="20"/>
          <w:vertAlign w:val="superscript"/>
        </w:rPr>
        <w:footnoteRef/>
      </w:r>
      <w:r w:rsidRPr="008F6D10">
        <w:rPr>
          <w:rFonts w:ascii="Garamond" w:hAnsi="Garamond"/>
          <w:sz w:val="20"/>
          <w:szCs w:val="20"/>
        </w:rPr>
        <w:t xml:space="preserve"> </w:t>
      </w:r>
      <w:r w:rsidRPr="008F6D10">
        <w:rPr>
          <w:rFonts w:ascii="Garamond" w:hAnsi="Garamond"/>
          <w:i/>
          <w:sz w:val="20"/>
          <w:szCs w:val="20"/>
        </w:rPr>
        <w:t>Id.</w:t>
      </w:r>
    </w:p>
  </w:footnote>
  <w:footnote w:id="120">
    <w:p w14:paraId="30DDCE57" w14:textId="5A89A002" w:rsidR="00C4441B" w:rsidRPr="008F6D10" w:rsidRDefault="00C4441B" w:rsidP="00B91414">
      <w:pPr>
        <w:pStyle w:val="FootnoteText"/>
        <w:rPr>
          <w:rFonts w:ascii="Garamond" w:hAnsi="Garamond"/>
        </w:rPr>
      </w:pPr>
      <w:r w:rsidRPr="008F6D10">
        <w:rPr>
          <w:rStyle w:val="FootnoteReference"/>
          <w:rFonts w:ascii="Garamond" w:hAnsi="Garamond"/>
        </w:rPr>
        <w:footnoteRef/>
      </w:r>
      <w:r w:rsidRPr="008F6D10">
        <w:rPr>
          <w:rFonts w:ascii="Garamond" w:hAnsi="Garamond"/>
        </w:rPr>
        <w:t xml:space="preserve"> CESCR, </w:t>
      </w:r>
      <w:r w:rsidRPr="008F6D10">
        <w:rPr>
          <w:rFonts w:ascii="Garamond" w:eastAsia="Times New Roman" w:hAnsi="Garamond"/>
          <w:i/>
          <w:iCs/>
        </w:rPr>
        <w:t xml:space="preserve">General Comment No. 25, supra </w:t>
      </w:r>
      <w:r w:rsidRPr="008F6D10">
        <w:rPr>
          <w:rFonts w:ascii="Garamond" w:eastAsia="Times New Roman" w:hAnsi="Garamond"/>
        </w:rPr>
        <w:t xml:space="preserve">note 114 at para 8.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D0698A"/>
    <w:multiLevelType w:val="hybridMultilevel"/>
    <w:tmpl w:val="0F883CFC"/>
    <w:lvl w:ilvl="0" w:tplc="D6E804CA">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46ED2ED7"/>
    <w:multiLevelType w:val="multilevel"/>
    <w:tmpl w:val="69348B8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15:restartNumberingAfterBreak="0">
    <w:nsid w:val="7D6F5D65"/>
    <w:multiLevelType w:val="multilevel"/>
    <w:tmpl w:val="888A78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35615695">
    <w:abstractNumId w:val="0"/>
  </w:num>
  <w:num w:numId="2" w16cid:durableId="2147240614">
    <w:abstractNumId w:val="1"/>
  </w:num>
  <w:num w:numId="3" w16cid:durableId="3384282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LMwMTE3NjYxMzQ1N7ZQ0lEKTi0uzszPAykwrAUA3hETQSwAAAA="/>
  </w:docVars>
  <w:rsids>
    <w:rsidRoot w:val="00B91414"/>
    <w:rsid w:val="00003CF5"/>
    <w:rsid w:val="00013AA7"/>
    <w:rsid w:val="000213A0"/>
    <w:rsid w:val="000218EC"/>
    <w:rsid w:val="00036CBD"/>
    <w:rsid w:val="00055A3F"/>
    <w:rsid w:val="00061533"/>
    <w:rsid w:val="000615EA"/>
    <w:rsid w:val="00063A8D"/>
    <w:rsid w:val="000A7D46"/>
    <w:rsid w:val="000C24A5"/>
    <w:rsid w:val="000D066C"/>
    <w:rsid w:val="00101C37"/>
    <w:rsid w:val="00107EE4"/>
    <w:rsid w:val="00132442"/>
    <w:rsid w:val="001607A9"/>
    <w:rsid w:val="00183226"/>
    <w:rsid w:val="001A427C"/>
    <w:rsid w:val="001B2710"/>
    <w:rsid w:val="001C0122"/>
    <w:rsid w:val="001C5F6C"/>
    <w:rsid w:val="001D1750"/>
    <w:rsid w:val="001E0341"/>
    <w:rsid w:val="001E1A81"/>
    <w:rsid w:val="001E40DB"/>
    <w:rsid w:val="001F05AC"/>
    <w:rsid w:val="001F51B2"/>
    <w:rsid w:val="001F5F07"/>
    <w:rsid w:val="0020042C"/>
    <w:rsid w:val="002147D7"/>
    <w:rsid w:val="002164EF"/>
    <w:rsid w:val="00223C8F"/>
    <w:rsid w:val="002401A3"/>
    <w:rsid w:val="00241793"/>
    <w:rsid w:val="002502D9"/>
    <w:rsid w:val="00253A78"/>
    <w:rsid w:val="00265D41"/>
    <w:rsid w:val="002660AF"/>
    <w:rsid w:val="00275AED"/>
    <w:rsid w:val="002977B7"/>
    <w:rsid w:val="002A1818"/>
    <w:rsid w:val="002A54D7"/>
    <w:rsid w:val="002C305E"/>
    <w:rsid w:val="002C3E65"/>
    <w:rsid w:val="002C571A"/>
    <w:rsid w:val="002E4820"/>
    <w:rsid w:val="002E6052"/>
    <w:rsid w:val="002F0D83"/>
    <w:rsid w:val="002F5D48"/>
    <w:rsid w:val="00302021"/>
    <w:rsid w:val="00310FBE"/>
    <w:rsid w:val="00346C18"/>
    <w:rsid w:val="00350C8B"/>
    <w:rsid w:val="00351383"/>
    <w:rsid w:val="00351BF9"/>
    <w:rsid w:val="003570E2"/>
    <w:rsid w:val="00360B7E"/>
    <w:rsid w:val="0036211E"/>
    <w:rsid w:val="003836B6"/>
    <w:rsid w:val="0039666E"/>
    <w:rsid w:val="003A2564"/>
    <w:rsid w:val="003A49AC"/>
    <w:rsid w:val="003B519F"/>
    <w:rsid w:val="003D4E2E"/>
    <w:rsid w:val="003E215A"/>
    <w:rsid w:val="003E5244"/>
    <w:rsid w:val="003E5B51"/>
    <w:rsid w:val="003E6542"/>
    <w:rsid w:val="003F0D12"/>
    <w:rsid w:val="00413D5D"/>
    <w:rsid w:val="004240E4"/>
    <w:rsid w:val="00434033"/>
    <w:rsid w:val="00434D0B"/>
    <w:rsid w:val="00466421"/>
    <w:rsid w:val="00466BCC"/>
    <w:rsid w:val="004678F3"/>
    <w:rsid w:val="004738AB"/>
    <w:rsid w:val="0049562A"/>
    <w:rsid w:val="004976F9"/>
    <w:rsid w:val="00497D74"/>
    <w:rsid w:val="004C035D"/>
    <w:rsid w:val="004C6E27"/>
    <w:rsid w:val="004F3429"/>
    <w:rsid w:val="00503518"/>
    <w:rsid w:val="00513584"/>
    <w:rsid w:val="00532EFE"/>
    <w:rsid w:val="00537B66"/>
    <w:rsid w:val="00540CAA"/>
    <w:rsid w:val="00542941"/>
    <w:rsid w:val="00545572"/>
    <w:rsid w:val="00547118"/>
    <w:rsid w:val="005650DA"/>
    <w:rsid w:val="00591FC1"/>
    <w:rsid w:val="005B4B10"/>
    <w:rsid w:val="005B5071"/>
    <w:rsid w:val="005D0063"/>
    <w:rsid w:val="005D27F4"/>
    <w:rsid w:val="005E60DA"/>
    <w:rsid w:val="005F223B"/>
    <w:rsid w:val="00605CA5"/>
    <w:rsid w:val="006113E6"/>
    <w:rsid w:val="006121B5"/>
    <w:rsid w:val="00614556"/>
    <w:rsid w:val="00614F33"/>
    <w:rsid w:val="00616D64"/>
    <w:rsid w:val="00620831"/>
    <w:rsid w:val="006224BD"/>
    <w:rsid w:val="00627518"/>
    <w:rsid w:val="00642B9C"/>
    <w:rsid w:val="006472A8"/>
    <w:rsid w:val="00654E11"/>
    <w:rsid w:val="0065613D"/>
    <w:rsid w:val="006568C0"/>
    <w:rsid w:val="00662327"/>
    <w:rsid w:val="006658BC"/>
    <w:rsid w:val="00676A11"/>
    <w:rsid w:val="006774FD"/>
    <w:rsid w:val="006800F2"/>
    <w:rsid w:val="006A4752"/>
    <w:rsid w:val="006B289E"/>
    <w:rsid w:val="006B6D0C"/>
    <w:rsid w:val="006C32A4"/>
    <w:rsid w:val="006D6E13"/>
    <w:rsid w:val="006E3919"/>
    <w:rsid w:val="006E70D4"/>
    <w:rsid w:val="006F4A32"/>
    <w:rsid w:val="006F7DD8"/>
    <w:rsid w:val="00704C25"/>
    <w:rsid w:val="007054DD"/>
    <w:rsid w:val="00714084"/>
    <w:rsid w:val="00723C3E"/>
    <w:rsid w:val="0073272F"/>
    <w:rsid w:val="0073636F"/>
    <w:rsid w:val="00737A33"/>
    <w:rsid w:val="00746837"/>
    <w:rsid w:val="00752216"/>
    <w:rsid w:val="0075299E"/>
    <w:rsid w:val="00770C27"/>
    <w:rsid w:val="00796C5A"/>
    <w:rsid w:val="00797A31"/>
    <w:rsid w:val="007B0FB4"/>
    <w:rsid w:val="007B4277"/>
    <w:rsid w:val="007B762E"/>
    <w:rsid w:val="007C2CB1"/>
    <w:rsid w:val="007D505E"/>
    <w:rsid w:val="007D5696"/>
    <w:rsid w:val="007E35B7"/>
    <w:rsid w:val="007E4DD1"/>
    <w:rsid w:val="007F41F8"/>
    <w:rsid w:val="00800CE8"/>
    <w:rsid w:val="0080151B"/>
    <w:rsid w:val="00803CA0"/>
    <w:rsid w:val="0081372A"/>
    <w:rsid w:val="008309DF"/>
    <w:rsid w:val="00833387"/>
    <w:rsid w:val="008436C9"/>
    <w:rsid w:val="008459C9"/>
    <w:rsid w:val="008472CB"/>
    <w:rsid w:val="00853178"/>
    <w:rsid w:val="00890D52"/>
    <w:rsid w:val="008B11C4"/>
    <w:rsid w:val="008D3EAD"/>
    <w:rsid w:val="008F472E"/>
    <w:rsid w:val="008F6D10"/>
    <w:rsid w:val="00912D80"/>
    <w:rsid w:val="0091479A"/>
    <w:rsid w:val="00917888"/>
    <w:rsid w:val="009278E5"/>
    <w:rsid w:val="00960406"/>
    <w:rsid w:val="00961ABA"/>
    <w:rsid w:val="00965894"/>
    <w:rsid w:val="00982145"/>
    <w:rsid w:val="009860F6"/>
    <w:rsid w:val="00994EDB"/>
    <w:rsid w:val="009B1277"/>
    <w:rsid w:val="009D2BF8"/>
    <w:rsid w:val="009D3096"/>
    <w:rsid w:val="009E613E"/>
    <w:rsid w:val="009F4B92"/>
    <w:rsid w:val="00A20D5C"/>
    <w:rsid w:val="00A21CC3"/>
    <w:rsid w:val="00A2232D"/>
    <w:rsid w:val="00A238E1"/>
    <w:rsid w:val="00A258F7"/>
    <w:rsid w:val="00A322EF"/>
    <w:rsid w:val="00A34484"/>
    <w:rsid w:val="00A42C70"/>
    <w:rsid w:val="00A46920"/>
    <w:rsid w:val="00A51F33"/>
    <w:rsid w:val="00A560D1"/>
    <w:rsid w:val="00A655D6"/>
    <w:rsid w:val="00A811D5"/>
    <w:rsid w:val="00AE6C95"/>
    <w:rsid w:val="00B079F0"/>
    <w:rsid w:val="00B07B0C"/>
    <w:rsid w:val="00B12DAC"/>
    <w:rsid w:val="00B16703"/>
    <w:rsid w:val="00B26575"/>
    <w:rsid w:val="00B404EA"/>
    <w:rsid w:val="00B42CC2"/>
    <w:rsid w:val="00B46245"/>
    <w:rsid w:val="00B7603C"/>
    <w:rsid w:val="00B7719E"/>
    <w:rsid w:val="00B8047B"/>
    <w:rsid w:val="00B91414"/>
    <w:rsid w:val="00B91486"/>
    <w:rsid w:val="00BA108C"/>
    <w:rsid w:val="00BC4B29"/>
    <w:rsid w:val="00BF6433"/>
    <w:rsid w:val="00BF77F3"/>
    <w:rsid w:val="00C1044D"/>
    <w:rsid w:val="00C12011"/>
    <w:rsid w:val="00C17001"/>
    <w:rsid w:val="00C27011"/>
    <w:rsid w:val="00C30F52"/>
    <w:rsid w:val="00C37D4B"/>
    <w:rsid w:val="00C4441B"/>
    <w:rsid w:val="00C46BFA"/>
    <w:rsid w:val="00C65BBD"/>
    <w:rsid w:val="00C66BE4"/>
    <w:rsid w:val="00C67DEB"/>
    <w:rsid w:val="00C700F9"/>
    <w:rsid w:val="00C72C6F"/>
    <w:rsid w:val="00C85111"/>
    <w:rsid w:val="00C9095C"/>
    <w:rsid w:val="00C91DAE"/>
    <w:rsid w:val="00C91FED"/>
    <w:rsid w:val="00C925E8"/>
    <w:rsid w:val="00C93657"/>
    <w:rsid w:val="00CD333F"/>
    <w:rsid w:val="00CD5A3D"/>
    <w:rsid w:val="00CE27B2"/>
    <w:rsid w:val="00CE473F"/>
    <w:rsid w:val="00D0100D"/>
    <w:rsid w:val="00D0561F"/>
    <w:rsid w:val="00D11CC5"/>
    <w:rsid w:val="00D14505"/>
    <w:rsid w:val="00D501CF"/>
    <w:rsid w:val="00D72CF7"/>
    <w:rsid w:val="00D85698"/>
    <w:rsid w:val="00D97DFF"/>
    <w:rsid w:val="00DA400F"/>
    <w:rsid w:val="00DA5A0E"/>
    <w:rsid w:val="00DB2623"/>
    <w:rsid w:val="00DC0959"/>
    <w:rsid w:val="00DC0F80"/>
    <w:rsid w:val="00DC1815"/>
    <w:rsid w:val="00DD5AAA"/>
    <w:rsid w:val="00DD5DA5"/>
    <w:rsid w:val="00DF7682"/>
    <w:rsid w:val="00E02850"/>
    <w:rsid w:val="00E25B5B"/>
    <w:rsid w:val="00E27915"/>
    <w:rsid w:val="00E30BC0"/>
    <w:rsid w:val="00E34D3F"/>
    <w:rsid w:val="00E36A0A"/>
    <w:rsid w:val="00E45D97"/>
    <w:rsid w:val="00E53BA0"/>
    <w:rsid w:val="00E701F2"/>
    <w:rsid w:val="00E733CA"/>
    <w:rsid w:val="00E8208F"/>
    <w:rsid w:val="00E944D2"/>
    <w:rsid w:val="00EA2BB5"/>
    <w:rsid w:val="00EB627A"/>
    <w:rsid w:val="00EB6B61"/>
    <w:rsid w:val="00EB7319"/>
    <w:rsid w:val="00EC1008"/>
    <w:rsid w:val="00EC144A"/>
    <w:rsid w:val="00EC2C78"/>
    <w:rsid w:val="00ED0555"/>
    <w:rsid w:val="00ED56EA"/>
    <w:rsid w:val="00EE6A72"/>
    <w:rsid w:val="00EF075D"/>
    <w:rsid w:val="00F02582"/>
    <w:rsid w:val="00F079D5"/>
    <w:rsid w:val="00F10994"/>
    <w:rsid w:val="00F11264"/>
    <w:rsid w:val="00F431E2"/>
    <w:rsid w:val="00F4647E"/>
    <w:rsid w:val="00F91AEC"/>
    <w:rsid w:val="00F95DDB"/>
    <w:rsid w:val="00F96C61"/>
    <w:rsid w:val="00F97539"/>
    <w:rsid w:val="00FC2AB0"/>
    <w:rsid w:val="00FE1620"/>
    <w:rsid w:val="00FE3E3F"/>
    <w:rsid w:val="00FF1F50"/>
    <w:rsid w:val="00FF59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61CA2"/>
  <w15:chartTrackingRefBased/>
  <w15:docId w15:val="{EB8F52F6-97B3-4D5A-A6F8-62C7017B7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6D64"/>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autoRedefine/>
    <w:uiPriority w:val="9"/>
    <w:qFormat/>
    <w:rsid w:val="00B91414"/>
    <w:pPr>
      <w:widowControl w:val="0"/>
      <w:spacing w:before="100" w:beforeAutospacing="1" w:after="100" w:afterAutospacing="1" w:line="360" w:lineRule="auto"/>
      <w:ind w:firstLine="720"/>
      <w:outlineLvl w:val="0"/>
    </w:pPr>
    <w:rPr>
      <w:rFonts w:ascii="Garamond" w:eastAsiaTheme="minorHAnsi" w:hAnsi="Garamond"/>
      <w:b/>
    </w:rPr>
  </w:style>
  <w:style w:type="paragraph" w:styleId="Heading2">
    <w:name w:val="heading 2"/>
    <w:basedOn w:val="Normal"/>
    <w:next w:val="Normal"/>
    <w:link w:val="Heading2Char"/>
    <w:autoRedefine/>
    <w:uiPriority w:val="9"/>
    <w:unhideWhenUsed/>
    <w:qFormat/>
    <w:rsid w:val="00241793"/>
    <w:pPr>
      <w:widowControl w:val="0"/>
      <w:tabs>
        <w:tab w:val="right" w:leader="dot" w:pos="9270"/>
      </w:tabs>
      <w:spacing w:before="100" w:beforeAutospacing="1" w:after="100" w:afterAutospacing="1" w:line="360" w:lineRule="auto"/>
      <w:ind w:left="-360" w:right="-270" w:firstLine="540"/>
      <w:outlineLvl w:val="1"/>
    </w:pPr>
    <w:rPr>
      <w:rFonts w:ascii="Garamond" w:eastAsiaTheme="majorEastAsia" w:hAnsi="Garamond" w:cstheme="majorBidi"/>
      <w:i/>
      <w:color w:val="000000" w:themeColor="text1"/>
    </w:rPr>
  </w:style>
  <w:style w:type="paragraph" w:styleId="Heading3">
    <w:name w:val="heading 3"/>
    <w:basedOn w:val="Normal"/>
    <w:next w:val="Normal"/>
    <w:link w:val="Heading3Char"/>
    <w:uiPriority w:val="9"/>
    <w:unhideWhenUsed/>
    <w:qFormat/>
    <w:rsid w:val="00B91414"/>
    <w:pPr>
      <w:keepNext/>
      <w:keepLines/>
      <w:spacing w:before="100" w:beforeAutospacing="1" w:after="100" w:afterAutospacing="1"/>
      <w:ind w:firstLine="720"/>
      <w:outlineLvl w:val="2"/>
    </w:pPr>
    <w:rPr>
      <w:rFonts w:ascii="Garamond" w:eastAsiaTheme="majorEastAsia" w:hAnsi="Garamond" w:cstheme="majorBidi"/>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1414"/>
    <w:rPr>
      <w:rFonts w:ascii="Garamond" w:hAnsi="Garamond" w:cs="Times New Roman"/>
      <w:b/>
      <w:sz w:val="24"/>
      <w:szCs w:val="24"/>
    </w:rPr>
  </w:style>
  <w:style w:type="character" w:customStyle="1" w:styleId="Heading2Char">
    <w:name w:val="Heading 2 Char"/>
    <w:basedOn w:val="DefaultParagraphFont"/>
    <w:link w:val="Heading2"/>
    <w:uiPriority w:val="9"/>
    <w:rsid w:val="00241793"/>
    <w:rPr>
      <w:rFonts w:ascii="Garamond" w:eastAsiaTheme="majorEastAsia" w:hAnsi="Garamond" w:cstheme="majorBidi"/>
      <w:i/>
      <w:color w:val="000000" w:themeColor="text1"/>
      <w:sz w:val="24"/>
      <w:szCs w:val="24"/>
    </w:rPr>
  </w:style>
  <w:style w:type="character" w:customStyle="1" w:styleId="Heading3Char">
    <w:name w:val="Heading 3 Char"/>
    <w:basedOn w:val="DefaultParagraphFont"/>
    <w:link w:val="Heading3"/>
    <w:uiPriority w:val="9"/>
    <w:rsid w:val="00B91414"/>
    <w:rPr>
      <w:rFonts w:ascii="Garamond" w:eastAsiaTheme="majorEastAsia" w:hAnsi="Garamond" w:cstheme="majorBidi"/>
      <w:sz w:val="24"/>
      <w:szCs w:val="24"/>
      <w:u w:val="single"/>
    </w:rPr>
  </w:style>
  <w:style w:type="paragraph" w:styleId="NormalWeb">
    <w:name w:val="Normal (Web)"/>
    <w:basedOn w:val="Normal"/>
    <w:uiPriority w:val="99"/>
    <w:unhideWhenUsed/>
    <w:rsid w:val="00B91414"/>
    <w:pPr>
      <w:spacing w:before="100" w:beforeAutospacing="1" w:after="100" w:afterAutospacing="1"/>
    </w:pPr>
    <w:rPr>
      <w:rFonts w:eastAsiaTheme="minorHAnsi"/>
    </w:rPr>
  </w:style>
  <w:style w:type="character" w:customStyle="1" w:styleId="apple-tab-span">
    <w:name w:val="apple-tab-span"/>
    <w:basedOn w:val="DefaultParagraphFont"/>
    <w:rsid w:val="00B91414"/>
  </w:style>
  <w:style w:type="paragraph" w:styleId="FootnoteText">
    <w:name w:val="footnote text"/>
    <w:basedOn w:val="Normal"/>
    <w:link w:val="FootnoteTextChar"/>
    <w:uiPriority w:val="99"/>
    <w:unhideWhenUsed/>
    <w:rsid w:val="00B91414"/>
    <w:rPr>
      <w:rFonts w:eastAsiaTheme="minorHAnsi"/>
      <w:sz w:val="20"/>
      <w:szCs w:val="20"/>
    </w:rPr>
  </w:style>
  <w:style w:type="character" w:customStyle="1" w:styleId="FootnoteTextChar">
    <w:name w:val="Footnote Text Char"/>
    <w:basedOn w:val="DefaultParagraphFont"/>
    <w:link w:val="FootnoteText"/>
    <w:uiPriority w:val="99"/>
    <w:rsid w:val="00B91414"/>
    <w:rPr>
      <w:rFonts w:ascii="Times New Roman" w:hAnsi="Times New Roman" w:cs="Times New Roman"/>
      <w:sz w:val="20"/>
      <w:szCs w:val="20"/>
    </w:rPr>
  </w:style>
  <w:style w:type="character" w:styleId="FootnoteReference">
    <w:name w:val="footnote reference"/>
    <w:basedOn w:val="DefaultParagraphFont"/>
    <w:uiPriority w:val="99"/>
    <w:unhideWhenUsed/>
    <w:rsid w:val="00B91414"/>
    <w:rPr>
      <w:vertAlign w:val="superscript"/>
    </w:rPr>
  </w:style>
  <w:style w:type="character" w:styleId="Hyperlink">
    <w:name w:val="Hyperlink"/>
    <w:basedOn w:val="DefaultParagraphFont"/>
    <w:uiPriority w:val="99"/>
    <w:unhideWhenUsed/>
    <w:rsid w:val="00B91414"/>
    <w:rPr>
      <w:color w:val="0563C1" w:themeColor="hyperlink"/>
      <w:u w:val="single"/>
    </w:rPr>
  </w:style>
  <w:style w:type="character" w:styleId="Emphasis">
    <w:name w:val="Emphasis"/>
    <w:basedOn w:val="DefaultParagraphFont"/>
    <w:uiPriority w:val="20"/>
    <w:qFormat/>
    <w:rsid w:val="00B91414"/>
    <w:rPr>
      <w:i/>
      <w:iCs/>
    </w:rPr>
  </w:style>
  <w:style w:type="character" w:styleId="CommentReference">
    <w:name w:val="annotation reference"/>
    <w:basedOn w:val="DefaultParagraphFont"/>
    <w:uiPriority w:val="99"/>
    <w:semiHidden/>
    <w:unhideWhenUsed/>
    <w:rsid w:val="00B91414"/>
    <w:rPr>
      <w:sz w:val="16"/>
      <w:szCs w:val="16"/>
    </w:rPr>
  </w:style>
  <w:style w:type="paragraph" w:styleId="CommentText">
    <w:name w:val="annotation text"/>
    <w:basedOn w:val="Normal"/>
    <w:link w:val="CommentTextChar"/>
    <w:uiPriority w:val="99"/>
    <w:unhideWhenUsed/>
    <w:rsid w:val="00B91414"/>
    <w:rPr>
      <w:rFonts w:eastAsiaTheme="minorHAnsi"/>
      <w:sz w:val="20"/>
      <w:szCs w:val="20"/>
    </w:rPr>
  </w:style>
  <w:style w:type="character" w:customStyle="1" w:styleId="CommentTextChar">
    <w:name w:val="Comment Text Char"/>
    <w:basedOn w:val="DefaultParagraphFont"/>
    <w:link w:val="CommentText"/>
    <w:uiPriority w:val="99"/>
    <w:rsid w:val="00B91414"/>
    <w:rPr>
      <w:rFonts w:ascii="Times New Roman" w:hAnsi="Times New Roman" w:cs="Times New Roman"/>
      <w:sz w:val="20"/>
      <w:szCs w:val="20"/>
    </w:rPr>
  </w:style>
  <w:style w:type="paragraph" w:styleId="Footer">
    <w:name w:val="footer"/>
    <w:basedOn w:val="Normal"/>
    <w:link w:val="FooterChar"/>
    <w:uiPriority w:val="99"/>
    <w:unhideWhenUsed/>
    <w:rsid w:val="00B91414"/>
    <w:pPr>
      <w:tabs>
        <w:tab w:val="center" w:pos="4680"/>
        <w:tab w:val="right" w:pos="9360"/>
      </w:tabs>
    </w:pPr>
    <w:rPr>
      <w:rFonts w:eastAsiaTheme="minorHAnsi"/>
    </w:rPr>
  </w:style>
  <w:style w:type="character" w:customStyle="1" w:styleId="FooterChar">
    <w:name w:val="Footer Char"/>
    <w:basedOn w:val="DefaultParagraphFont"/>
    <w:link w:val="Footer"/>
    <w:uiPriority w:val="99"/>
    <w:rsid w:val="00B91414"/>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B91414"/>
    <w:rPr>
      <w:rFonts w:ascii="Segoe UI" w:eastAsiaTheme="minorHAnsi" w:hAnsi="Segoe UI" w:cs="Segoe UI"/>
      <w:sz w:val="18"/>
      <w:szCs w:val="18"/>
    </w:rPr>
  </w:style>
  <w:style w:type="character" w:customStyle="1" w:styleId="BalloonTextChar">
    <w:name w:val="Balloon Text Char"/>
    <w:basedOn w:val="DefaultParagraphFont"/>
    <w:link w:val="BalloonText"/>
    <w:uiPriority w:val="99"/>
    <w:semiHidden/>
    <w:rsid w:val="00B91414"/>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5B5071"/>
    <w:rPr>
      <w:b/>
      <w:bCs/>
    </w:rPr>
  </w:style>
  <w:style w:type="character" w:customStyle="1" w:styleId="CommentSubjectChar">
    <w:name w:val="Comment Subject Char"/>
    <w:basedOn w:val="CommentTextChar"/>
    <w:link w:val="CommentSubject"/>
    <w:uiPriority w:val="99"/>
    <w:semiHidden/>
    <w:rsid w:val="005B5071"/>
    <w:rPr>
      <w:rFonts w:ascii="Times New Roman" w:hAnsi="Times New Roman" w:cs="Times New Roman"/>
      <w:b/>
      <w:bCs/>
      <w:sz w:val="20"/>
      <w:szCs w:val="20"/>
    </w:rPr>
  </w:style>
  <w:style w:type="character" w:styleId="FollowedHyperlink">
    <w:name w:val="FollowedHyperlink"/>
    <w:basedOn w:val="DefaultParagraphFont"/>
    <w:uiPriority w:val="99"/>
    <w:semiHidden/>
    <w:unhideWhenUsed/>
    <w:rsid w:val="001F05AC"/>
    <w:rPr>
      <w:color w:val="954F72" w:themeColor="followedHyperlink"/>
      <w:u w:val="single"/>
    </w:rPr>
  </w:style>
  <w:style w:type="character" w:customStyle="1" w:styleId="UnresolvedMention1">
    <w:name w:val="Unresolved Mention1"/>
    <w:basedOn w:val="DefaultParagraphFont"/>
    <w:uiPriority w:val="99"/>
    <w:semiHidden/>
    <w:unhideWhenUsed/>
    <w:rsid w:val="00723C3E"/>
    <w:rPr>
      <w:color w:val="605E5C"/>
      <w:shd w:val="clear" w:color="auto" w:fill="E1DFDD"/>
    </w:rPr>
  </w:style>
  <w:style w:type="paragraph" w:styleId="TOC1">
    <w:name w:val="toc 1"/>
    <w:basedOn w:val="Normal"/>
    <w:next w:val="Normal"/>
    <w:autoRedefine/>
    <w:uiPriority w:val="39"/>
    <w:unhideWhenUsed/>
    <w:rsid w:val="00C9095C"/>
    <w:pPr>
      <w:spacing w:after="100"/>
    </w:pPr>
    <w:rPr>
      <w:rFonts w:eastAsiaTheme="minorHAnsi"/>
    </w:rPr>
  </w:style>
  <w:style w:type="paragraph" w:styleId="TOC2">
    <w:name w:val="toc 2"/>
    <w:basedOn w:val="Normal"/>
    <w:next w:val="Normal"/>
    <w:autoRedefine/>
    <w:uiPriority w:val="39"/>
    <w:unhideWhenUsed/>
    <w:rsid w:val="00C9095C"/>
    <w:pPr>
      <w:spacing w:after="100"/>
      <w:ind w:left="240"/>
    </w:pPr>
    <w:rPr>
      <w:rFonts w:eastAsiaTheme="minorHAnsi"/>
    </w:rPr>
  </w:style>
  <w:style w:type="paragraph" w:styleId="TOC3">
    <w:name w:val="toc 3"/>
    <w:basedOn w:val="Normal"/>
    <w:next w:val="Normal"/>
    <w:autoRedefine/>
    <w:uiPriority w:val="39"/>
    <w:unhideWhenUsed/>
    <w:rsid w:val="00C9095C"/>
    <w:pPr>
      <w:spacing w:after="100"/>
      <w:ind w:left="480"/>
    </w:pPr>
    <w:rPr>
      <w:rFonts w:eastAsiaTheme="minorHAnsi"/>
    </w:rPr>
  </w:style>
  <w:style w:type="character" w:customStyle="1" w:styleId="UnresolvedMention2">
    <w:name w:val="Unresolved Mention2"/>
    <w:basedOn w:val="DefaultParagraphFont"/>
    <w:uiPriority w:val="99"/>
    <w:semiHidden/>
    <w:unhideWhenUsed/>
    <w:rsid w:val="002660AF"/>
    <w:rPr>
      <w:color w:val="605E5C"/>
      <w:shd w:val="clear" w:color="auto" w:fill="E1DFDD"/>
    </w:rPr>
  </w:style>
  <w:style w:type="character" w:styleId="UnresolvedMention">
    <w:name w:val="Unresolved Mention"/>
    <w:basedOn w:val="DefaultParagraphFont"/>
    <w:uiPriority w:val="99"/>
    <w:semiHidden/>
    <w:unhideWhenUsed/>
    <w:rsid w:val="00C27011"/>
    <w:rPr>
      <w:color w:val="605E5C"/>
      <w:shd w:val="clear" w:color="auto" w:fill="E1DFDD"/>
    </w:rPr>
  </w:style>
  <w:style w:type="paragraph" w:styleId="Revision">
    <w:name w:val="Revision"/>
    <w:hidden/>
    <w:uiPriority w:val="99"/>
    <w:semiHidden/>
    <w:rsid w:val="005650DA"/>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899038">
      <w:bodyDiv w:val="1"/>
      <w:marLeft w:val="0"/>
      <w:marRight w:val="0"/>
      <w:marTop w:val="0"/>
      <w:marBottom w:val="0"/>
      <w:divBdr>
        <w:top w:val="none" w:sz="0" w:space="0" w:color="auto"/>
        <w:left w:val="none" w:sz="0" w:space="0" w:color="auto"/>
        <w:bottom w:val="none" w:sz="0" w:space="0" w:color="auto"/>
        <w:right w:val="none" w:sz="0" w:space="0" w:color="auto"/>
      </w:divBdr>
      <w:divsChild>
        <w:div w:id="1026253745">
          <w:marLeft w:val="0"/>
          <w:marRight w:val="0"/>
          <w:marTop w:val="0"/>
          <w:marBottom w:val="0"/>
          <w:divBdr>
            <w:top w:val="none" w:sz="0" w:space="0" w:color="auto"/>
            <w:left w:val="none" w:sz="0" w:space="0" w:color="auto"/>
            <w:bottom w:val="none" w:sz="0" w:space="0" w:color="auto"/>
            <w:right w:val="none" w:sz="0" w:space="0" w:color="auto"/>
          </w:divBdr>
          <w:divsChild>
            <w:div w:id="2083478646">
              <w:marLeft w:val="0"/>
              <w:marRight w:val="0"/>
              <w:marTop w:val="0"/>
              <w:marBottom w:val="0"/>
              <w:divBdr>
                <w:top w:val="none" w:sz="0" w:space="0" w:color="auto"/>
                <w:left w:val="none" w:sz="0" w:space="0" w:color="auto"/>
                <w:bottom w:val="none" w:sz="0" w:space="0" w:color="auto"/>
                <w:right w:val="none" w:sz="0" w:space="0" w:color="auto"/>
              </w:divBdr>
              <w:divsChild>
                <w:div w:id="257181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3604403">
      <w:bodyDiv w:val="1"/>
      <w:marLeft w:val="0"/>
      <w:marRight w:val="0"/>
      <w:marTop w:val="0"/>
      <w:marBottom w:val="0"/>
      <w:divBdr>
        <w:top w:val="none" w:sz="0" w:space="0" w:color="auto"/>
        <w:left w:val="none" w:sz="0" w:space="0" w:color="auto"/>
        <w:bottom w:val="none" w:sz="0" w:space="0" w:color="auto"/>
        <w:right w:val="none" w:sz="0" w:space="0" w:color="auto"/>
      </w:divBdr>
    </w:div>
    <w:div w:id="327900881">
      <w:bodyDiv w:val="1"/>
      <w:marLeft w:val="0"/>
      <w:marRight w:val="0"/>
      <w:marTop w:val="0"/>
      <w:marBottom w:val="0"/>
      <w:divBdr>
        <w:top w:val="none" w:sz="0" w:space="0" w:color="auto"/>
        <w:left w:val="none" w:sz="0" w:space="0" w:color="auto"/>
        <w:bottom w:val="none" w:sz="0" w:space="0" w:color="auto"/>
        <w:right w:val="none" w:sz="0" w:space="0" w:color="auto"/>
      </w:divBdr>
      <w:divsChild>
        <w:div w:id="538663983">
          <w:marLeft w:val="0"/>
          <w:marRight w:val="0"/>
          <w:marTop w:val="0"/>
          <w:marBottom w:val="0"/>
          <w:divBdr>
            <w:top w:val="none" w:sz="0" w:space="0" w:color="auto"/>
            <w:left w:val="none" w:sz="0" w:space="0" w:color="auto"/>
            <w:bottom w:val="none" w:sz="0" w:space="0" w:color="auto"/>
            <w:right w:val="none" w:sz="0" w:space="0" w:color="auto"/>
          </w:divBdr>
          <w:divsChild>
            <w:div w:id="511644844">
              <w:marLeft w:val="0"/>
              <w:marRight w:val="0"/>
              <w:marTop w:val="0"/>
              <w:marBottom w:val="0"/>
              <w:divBdr>
                <w:top w:val="none" w:sz="0" w:space="0" w:color="auto"/>
                <w:left w:val="none" w:sz="0" w:space="0" w:color="auto"/>
                <w:bottom w:val="none" w:sz="0" w:space="0" w:color="auto"/>
                <w:right w:val="none" w:sz="0" w:space="0" w:color="auto"/>
              </w:divBdr>
              <w:divsChild>
                <w:div w:id="1132820">
                  <w:marLeft w:val="0"/>
                  <w:marRight w:val="0"/>
                  <w:marTop w:val="0"/>
                  <w:marBottom w:val="0"/>
                  <w:divBdr>
                    <w:top w:val="none" w:sz="0" w:space="0" w:color="auto"/>
                    <w:left w:val="none" w:sz="0" w:space="0" w:color="auto"/>
                    <w:bottom w:val="none" w:sz="0" w:space="0" w:color="auto"/>
                    <w:right w:val="none" w:sz="0" w:space="0" w:color="auto"/>
                  </w:divBdr>
                  <w:divsChild>
                    <w:div w:id="1395853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6761168">
      <w:bodyDiv w:val="1"/>
      <w:marLeft w:val="0"/>
      <w:marRight w:val="0"/>
      <w:marTop w:val="0"/>
      <w:marBottom w:val="0"/>
      <w:divBdr>
        <w:top w:val="none" w:sz="0" w:space="0" w:color="auto"/>
        <w:left w:val="none" w:sz="0" w:space="0" w:color="auto"/>
        <w:bottom w:val="none" w:sz="0" w:space="0" w:color="auto"/>
        <w:right w:val="none" w:sz="0" w:space="0" w:color="auto"/>
      </w:divBdr>
      <w:divsChild>
        <w:div w:id="525678426">
          <w:marLeft w:val="0"/>
          <w:marRight w:val="0"/>
          <w:marTop w:val="0"/>
          <w:marBottom w:val="0"/>
          <w:divBdr>
            <w:top w:val="none" w:sz="0" w:space="0" w:color="auto"/>
            <w:left w:val="none" w:sz="0" w:space="0" w:color="auto"/>
            <w:bottom w:val="none" w:sz="0" w:space="0" w:color="auto"/>
            <w:right w:val="none" w:sz="0" w:space="0" w:color="auto"/>
          </w:divBdr>
          <w:divsChild>
            <w:div w:id="47532031">
              <w:marLeft w:val="0"/>
              <w:marRight w:val="0"/>
              <w:marTop w:val="0"/>
              <w:marBottom w:val="0"/>
              <w:divBdr>
                <w:top w:val="none" w:sz="0" w:space="0" w:color="auto"/>
                <w:left w:val="none" w:sz="0" w:space="0" w:color="auto"/>
                <w:bottom w:val="none" w:sz="0" w:space="0" w:color="auto"/>
                <w:right w:val="none" w:sz="0" w:space="0" w:color="auto"/>
              </w:divBdr>
              <w:divsChild>
                <w:div w:id="5059784">
                  <w:marLeft w:val="0"/>
                  <w:marRight w:val="0"/>
                  <w:marTop w:val="0"/>
                  <w:marBottom w:val="0"/>
                  <w:divBdr>
                    <w:top w:val="none" w:sz="0" w:space="0" w:color="auto"/>
                    <w:left w:val="none" w:sz="0" w:space="0" w:color="auto"/>
                    <w:bottom w:val="none" w:sz="0" w:space="0" w:color="auto"/>
                    <w:right w:val="none" w:sz="0" w:space="0" w:color="auto"/>
                  </w:divBdr>
                  <w:divsChild>
                    <w:div w:id="1489322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4569066">
      <w:bodyDiv w:val="1"/>
      <w:marLeft w:val="0"/>
      <w:marRight w:val="0"/>
      <w:marTop w:val="0"/>
      <w:marBottom w:val="0"/>
      <w:divBdr>
        <w:top w:val="none" w:sz="0" w:space="0" w:color="auto"/>
        <w:left w:val="none" w:sz="0" w:space="0" w:color="auto"/>
        <w:bottom w:val="none" w:sz="0" w:space="0" w:color="auto"/>
        <w:right w:val="none" w:sz="0" w:space="0" w:color="auto"/>
      </w:divBdr>
      <w:divsChild>
        <w:div w:id="1457411899">
          <w:marLeft w:val="0"/>
          <w:marRight w:val="0"/>
          <w:marTop w:val="0"/>
          <w:marBottom w:val="0"/>
          <w:divBdr>
            <w:top w:val="none" w:sz="0" w:space="0" w:color="auto"/>
            <w:left w:val="none" w:sz="0" w:space="0" w:color="auto"/>
            <w:bottom w:val="none" w:sz="0" w:space="0" w:color="auto"/>
            <w:right w:val="none" w:sz="0" w:space="0" w:color="auto"/>
          </w:divBdr>
          <w:divsChild>
            <w:div w:id="1742167389">
              <w:marLeft w:val="0"/>
              <w:marRight w:val="0"/>
              <w:marTop w:val="0"/>
              <w:marBottom w:val="0"/>
              <w:divBdr>
                <w:top w:val="none" w:sz="0" w:space="0" w:color="auto"/>
                <w:left w:val="none" w:sz="0" w:space="0" w:color="auto"/>
                <w:bottom w:val="none" w:sz="0" w:space="0" w:color="auto"/>
                <w:right w:val="none" w:sz="0" w:space="0" w:color="auto"/>
              </w:divBdr>
              <w:divsChild>
                <w:div w:id="624653580">
                  <w:marLeft w:val="0"/>
                  <w:marRight w:val="0"/>
                  <w:marTop w:val="0"/>
                  <w:marBottom w:val="0"/>
                  <w:divBdr>
                    <w:top w:val="none" w:sz="0" w:space="0" w:color="auto"/>
                    <w:left w:val="none" w:sz="0" w:space="0" w:color="auto"/>
                    <w:bottom w:val="none" w:sz="0" w:space="0" w:color="auto"/>
                    <w:right w:val="none" w:sz="0" w:space="0" w:color="auto"/>
                  </w:divBdr>
                  <w:divsChild>
                    <w:div w:id="1194266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2861318">
      <w:bodyDiv w:val="1"/>
      <w:marLeft w:val="0"/>
      <w:marRight w:val="0"/>
      <w:marTop w:val="0"/>
      <w:marBottom w:val="0"/>
      <w:divBdr>
        <w:top w:val="none" w:sz="0" w:space="0" w:color="auto"/>
        <w:left w:val="none" w:sz="0" w:space="0" w:color="auto"/>
        <w:bottom w:val="none" w:sz="0" w:space="0" w:color="auto"/>
        <w:right w:val="none" w:sz="0" w:space="0" w:color="auto"/>
      </w:divBdr>
    </w:div>
    <w:div w:id="649284066">
      <w:bodyDiv w:val="1"/>
      <w:marLeft w:val="0"/>
      <w:marRight w:val="0"/>
      <w:marTop w:val="0"/>
      <w:marBottom w:val="0"/>
      <w:divBdr>
        <w:top w:val="none" w:sz="0" w:space="0" w:color="auto"/>
        <w:left w:val="none" w:sz="0" w:space="0" w:color="auto"/>
        <w:bottom w:val="none" w:sz="0" w:space="0" w:color="auto"/>
        <w:right w:val="none" w:sz="0" w:space="0" w:color="auto"/>
      </w:divBdr>
    </w:div>
    <w:div w:id="694231593">
      <w:bodyDiv w:val="1"/>
      <w:marLeft w:val="0"/>
      <w:marRight w:val="0"/>
      <w:marTop w:val="0"/>
      <w:marBottom w:val="0"/>
      <w:divBdr>
        <w:top w:val="none" w:sz="0" w:space="0" w:color="auto"/>
        <w:left w:val="none" w:sz="0" w:space="0" w:color="auto"/>
        <w:bottom w:val="none" w:sz="0" w:space="0" w:color="auto"/>
        <w:right w:val="none" w:sz="0" w:space="0" w:color="auto"/>
      </w:divBdr>
      <w:divsChild>
        <w:div w:id="1452751407">
          <w:marLeft w:val="0"/>
          <w:marRight w:val="0"/>
          <w:marTop w:val="0"/>
          <w:marBottom w:val="0"/>
          <w:divBdr>
            <w:top w:val="none" w:sz="0" w:space="0" w:color="auto"/>
            <w:left w:val="none" w:sz="0" w:space="0" w:color="auto"/>
            <w:bottom w:val="none" w:sz="0" w:space="0" w:color="auto"/>
            <w:right w:val="none" w:sz="0" w:space="0" w:color="auto"/>
          </w:divBdr>
          <w:divsChild>
            <w:div w:id="1990279258">
              <w:marLeft w:val="0"/>
              <w:marRight w:val="0"/>
              <w:marTop w:val="0"/>
              <w:marBottom w:val="0"/>
              <w:divBdr>
                <w:top w:val="none" w:sz="0" w:space="0" w:color="auto"/>
                <w:left w:val="none" w:sz="0" w:space="0" w:color="auto"/>
                <w:bottom w:val="none" w:sz="0" w:space="0" w:color="auto"/>
                <w:right w:val="none" w:sz="0" w:space="0" w:color="auto"/>
              </w:divBdr>
              <w:divsChild>
                <w:div w:id="342628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4107595">
      <w:bodyDiv w:val="1"/>
      <w:marLeft w:val="0"/>
      <w:marRight w:val="0"/>
      <w:marTop w:val="0"/>
      <w:marBottom w:val="0"/>
      <w:divBdr>
        <w:top w:val="none" w:sz="0" w:space="0" w:color="auto"/>
        <w:left w:val="none" w:sz="0" w:space="0" w:color="auto"/>
        <w:bottom w:val="none" w:sz="0" w:space="0" w:color="auto"/>
        <w:right w:val="none" w:sz="0" w:space="0" w:color="auto"/>
      </w:divBdr>
      <w:divsChild>
        <w:div w:id="2141802599">
          <w:marLeft w:val="0"/>
          <w:marRight w:val="0"/>
          <w:marTop w:val="0"/>
          <w:marBottom w:val="0"/>
          <w:divBdr>
            <w:top w:val="none" w:sz="0" w:space="0" w:color="auto"/>
            <w:left w:val="none" w:sz="0" w:space="0" w:color="auto"/>
            <w:bottom w:val="none" w:sz="0" w:space="0" w:color="auto"/>
            <w:right w:val="none" w:sz="0" w:space="0" w:color="auto"/>
          </w:divBdr>
          <w:divsChild>
            <w:div w:id="899442171">
              <w:marLeft w:val="0"/>
              <w:marRight w:val="0"/>
              <w:marTop w:val="0"/>
              <w:marBottom w:val="0"/>
              <w:divBdr>
                <w:top w:val="none" w:sz="0" w:space="0" w:color="auto"/>
                <w:left w:val="none" w:sz="0" w:space="0" w:color="auto"/>
                <w:bottom w:val="none" w:sz="0" w:space="0" w:color="auto"/>
                <w:right w:val="none" w:sz="0" w:space="0" w:color="auto"/>
              </w:divBdr>
              <w:divsChild>
                <w:div w:id="1284339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2847424">
      <w:bodyDiv w:val="1"/>
      <w:marLeft w:val="0"/>
      <w:marRight w:val="0"/>
      <w:marTop w:val="0"/>
      <w:marBottom w:val="0"/>
      <w:divBdr>
        <w:top w:val="none" w:sz="0" w:space="0" w:color="auto"/>
        <w:left w:val="none" w:sz="0" w:space="0" w:color="auto"/>
        <w:bottom w:val="none" w:sz="0" w:space="0" w:color="auto"/>
        <w:right w:val="none" w:sz="0" w:space="0" w:color="auto"/>
      </w:divBdr>
    </w:div>
    <w:div w:id="786973235">
      <w:bodyDiv w:val="1"/>
      <w:marLeft w:val="0"/>
      <w:marRight w:val="0"/>
      <w:marTop w:val="0"/>
      <w:marBottom w:val="0"/>
      <w:divBdr>
        <w:top w:val="none" w:sz="0" w:space="0" w:color="auto"/>
        <w:left w:val="none" w:sz="0" w:space="0" w:color="auto"/>
        <w:bottom w:val="none" w:sz="0" w:space="0" w:color="auto"/>
        <w:right w:val="none" w:sz="0" w:space="0" w:color="auto"/>
      </w:divBdr>
      <w:divsChild>
        <w:div w:id="587884562">
          <w:marLeft w:val="0"/>
          <w:marRight w:val="0"/>
          <w:marTop w:val="0"/>
          <w:marBottom w:val="0"/>
          <w:divBdr>
            <w:top w:val="none" w:sz="0" w:space="0" w:color="auto"/>
            <w:left w:val="none" w:sz="0" w:space="0" w:color="auto"/>
            <w:bottom w:val="none" w:sz="0" w:space="0" w:color="auto"/>
            <w:right w:val="none" w:sz="0" w:space="0" w:color="auto"/>
          </w:divBdr>
          <w:divsChild>
            <w:div w:id="2075470668">
              <w:marLeft w:val="0"/>
              <w:marRight w:val="0"/>
              <w:marTop w:val="0"/>
              <w:marBottom w:val="0"/>
              <w:divBdr>
                <w:top w:val="none" w:sz="0" w:space="0" w:color="auto"/>
                <w:left w:val="none" w:sz="0" w:space="0" w:color="auto"/>
                <w:bottom w:val="none" w:sz="0" w:space="0" w:color="auto"/>
                <w:right w:val="none" w:sz="0" w:space="0" w:color="auto"/>
              </w:divBdr>
              <w:divsChild>
                <w:div w:id="1276213747">
                  <w:marLeft w:val="0"/>
                  <w:marRight w:val="0"/>
                  <w:marTop w:val="0"/>
                  <w:marBottom w:val="0"/>
                  <w:divBdr>
                    <w:top w:val="none" w:sz="0" w:space="0" w:color="auto"/>
                    <w:left w:val="none" w:sz="0" w:space="0" w:color="auto"/>
                    <w:bottom w:val="none" w:sz="0" w:space="0" w:color="auto"/>
                    <w:right w:val="none" w:sz="0" w:space="0" w:color="auto"/>
                  </w:divBdr>
                  <w:divsChild>
                    <w:div w:id="232349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1413294">
      <w:bodyDiv w:val="1"/>
      <w:marLeft w:val="0"/>
      <w:marRight w:val="0"/>
      <w:marTop w:val="0"/>
      <w:marBottom w:val="0"/>
      <w:divBdr>
        <w:top w:val="none" w:sz="0" w:space="0" w:color="auto"/>
        <w:left w:val="none" w:sz="0" w:space="0" w:color="auto"/>
        <w:bottom w:val="none" w:sz="0" w:space="0" w:color="auto"/>
        <w:right w:val="none" w:sz="0" w:space="0" w:color="auto"/>
      </w:divBdr>
    </w:div>
    <w:div w:id="1003632773">
      <w:bodyDiv w:val="1"/>
      <w:marLeft w:val="0"/>
      <w:marRight w:val="0"/>
      <w:marTop w:val="0"/>
      <w:marBottom w:val="0"/>
      <w:divBdr>
        <w:top w:val="none" w:sz="0" w:space="0" w:color="auto"/>
        <w:left w:val="none" w:sz="0" w:space="0" w:color="auto"/>
        <w:bottom w:val="none" w:sz="0" w:space="0" w:color="auto"/>
        <w:right w:val="none" w:sz="0" w:space="0" w:color="auto"/>
      </w:divBdr>
      <w:divsChild>
        <w:div w:id="367067237">
          <w:marLeft w:val="0"/>
          <w:marRight w:val="0"/>
          <w:marTop w:val="0"/>
          <w:marBottom w:val="0"/>
          <w:divBdr>
            <w:top w:val="none" w:sz="0" w:space="0" w:color="auto"/>
            <w:left w:val="none" w:sz="0" w:space="0" w:color="auto"/>
            <w:bottom w:val="none" w:sz="0" w:space="0" w:color="auto"/>
            <w:right w:val="none" w:sz="0" w:space="0" w:color="auto"/>
          </w:divBdr>
          <w:divsChild>
            <w:div w:id="1425221201">
              <w:marLeft w:val="0"/>
              <w:marRight w:val="0"/>
              <w:marTop w:val="0"/>
              <w:marBottom w:val="0"/>
              <w:divBdr>
                <w:top w:val="none" w:sz="0" w:space="0" w:color="auto"/>
                <w:left w:val="none" w:sz="0" w:space="0" w:color="auto"/>
                <w:bottom w:val="none" w:sz="0" w:space="0" w:color="auto"/>
                <w:right w:val="none" w:sz="0" w:space="0" w:color="auto"/>
              </w:divBdr>
              <w:divsChild>
                <w:div w:id="1843231301">
                  <w:marLeft w:val="0"/>
                  <w:marRight w:val="0"/>
                  <w:marTop w:val="0"/>
                  <w:marBottom w:val="0"/>
                  <w:divBdr>
                    <w:top w:val="none" w:sz="0" w:space="0" w:color="auto"/>
                    <w:left w:val="none" w:sz="0" w:space="0" w:color="auto"/>
                    <w:bottom w:val="none" w:sz="0" w:space="0" w:color="auto"/>
                    <w:right w:val="none" w:sz="0" w:space="0" w:color="auto"/>
                  </w:divBdr>
                  <w:divsChild>
                    <w:div w:id="1171525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3066260">
      <w:bodyDiv w:val="1"/>
      <w:marLeft w:val="0"/>
      <w:marRight w:val="0"/>
      <w:marTop w:val="0"/>
      <w:marBottom w:val="0"/>
      <w:divBdr>
        <w:top w:val="none" w:sz="0" w:space="0" w:color="auto"/>
        <w:left w:val="none" w:sz="0" w:space="0" w:color="auto"/>
        <w:bottom w:val="none" w:sz="0" w:space="0" w:color="auto"/>
        <w:right w:val="none" w:sz="0" w:space="0" w:color="auto"/>
      </w:divBdr>
      <w:divsChild>
        <w:div w:id="239485645">
          <w:marLeft w:val="0"/>
          <w:marRight w:val="0"/>
          <w:marTop w:val="0"/>
          <w:marBottom w:val="0"/>
          <w:divBdr>
            <w:top w:val="none" w:sz="0" w:space="0" w:color="auto"/>
            <w:left w:val="none" w:sz="0" w:space="0" w:color="auto"/>
            <w:bottom w:val="none" w:sz="0" w:space="0" w:color="auto"/>
            <w:right w:val="none" w:sz="0" w:space="0" w:color="auto"/>
          </w:divBdr>
          <w:divsChild>
            <w:div w:id="1035037697">
              <w:marLeft w:val="0"/>
              <w:marRight w:val="0"/>
              <w:marTop w:val="0"/>
              <w:marBottom w:val="0"/>
              <w:divBdr>
                <w:top w:val="none" w:sz="0" w:space="0" w:color="auto"/>
                <w:left w:val="none" w:sz="0" w:space="0" w:color="auto"/>
                <w:bottom w:val="none" w:sz="0" w:space="0" w:color="auto"/>
                <w:right w:val="none" w:sz="0" w:space="0" w:color="auto"/>
              </w:divBdr>
              <w:divsChild>
                <w:div w:id="664478520">
                  <w:marLeft w:val="0"/>
                  <w:marRight w:val="0"/>
                  <w:marTop w:val="0"/>
                  <w:marBottom w:val="0"/>
                  <w:divBdr>
                    <w:top w:val="none" w:sz="0" w:space="0" w:color="auto"/>
                    <w:left w:val="none" w:sz="0" w:space="0" w:color="auto"/>
                    <w:bottom w:val="none" w:sz="0" w:space="0" w:color="auto"/>
                    <w:right w:val="none" w:sz="0" w:space="0" w:color="auto"/>
                  </w:divBdr>
                  <w:divsChild>
                    <w:div w:id="692925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6194625">
      <w:bodyDiv w:val="1"/>
      <w:marLeft w:val="0"/>
      <w:marRight w:val="0"/>
      <w:marTop w:val="0"/>
      <w:marBottom w:val="0"/>
      <w:divBdr>
        <w:top w:val="none" w:sz="0" w:space="0" w:color="auto"/>
        <w:left w:val="none" w:sz="0" w:space="0" w:color="auto"/>
        <w:bottom w:val="none" w:sz="0" w:space="0" w:color="auto"/>
        <w:right w:val="none" w:sz="0" w:space="0" w:color="auto"/>
      </w:divBdr>
      <w:divsChild>
        <w:div w:id="1343822431">
          <w:marLeft w:val="0"/>
          <w:marRight w:val="0"/>
          <w:marTop w:val="0"/>
          <w:marBottom w:val="0"/>
          <w:divBdr>
            <w:top w:val="none" w:sz="0" w:space="0" w:color="auto"/>
            <w:left w:val="none" w:sz="0" w:space="0" w:color="auto"/>
            <w:bottom w:val="none" w:sz="0" w:space="0" w:color="auto"/>
            <w:right w:val="none" w:sz="0" w:space="0" w:color="auto"/>
          </w:divBdr>
          <w:divsChild>
            <w:div w:id="725956180">
              <w:marLeft w:val="0"/>
              <w:marRight w:val="0"/>
              <w:marTop w:val="0"/>
              <w:marBottom w:val="0"/>
              <w:divBdr>
                <w:top w:val="none" w:sz="0" w:space="0" w:color="auto"/>
                <w:left w:val="none" w:sz="0" w:space="0" w:color="auto"/>
                <w:bottom w:val="none" w:sz="0" w:space="0" w:color="auto"/>
                <w:right w:val="none" w:sz="0" w:space="0" w:color="auto"/>
              </w:divBdr>
              <w:divsChild>
                <w:div w:id="123905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9399263">
      <w:bodyDiv w:val="1"/>
      <w:marLeft w:val="0"/>
      <w:marRight w:val="0"/>
      <w:marTop w:val="0"/>
      <w:marBottom w:val="0"/>
      <w:divBdr>
        <w:top w:val="none" w:sz="0" w:space="0" w:color="auto"/>
        <w:left w:val="none" w:sz="0" w:space="0" w:color="auto"/>
        <w:bottom w:val="none" w:sz="0" w:space="0" w:color="auto"/>
        <w:right w:val="none" w:sz="0" w:space="0" w:color="auto"/>
      </w:divBdr>
      <w:divsChild>
        <w:div w:id="1047342372">
          <w:marLeft w:val="0"/>
          <w:marRight w:val="0"/>
          <w:marTop w:val="0"/>
          <w:marBottom w:val="0"/>
          <w:divBdr>
            <w:top w:val="none" w:sz="0" w:space="0" w:color="auto"/>
            <w:left w:val="none" w:sz="0" w:space="0" w:color="auto"/>
            <w:bottom w:val="none" w:sz="0" w:space="0" w:color="auto"/>
            <w:right w:val="none" w:sz="0" w:space="0" w:color="auto"/>
          </w:divBdr>
          <w:divsChild>
            <w:div w:id="1516916993">
              <w:marLeft w:val="0"/>
              <w:marRight w:val="0"/>
              <w:marTop w:val="0"/>
              <w:marBottom w:val="0"/>
              <w:divBdr>
                <w:top w:val="none" w:sz="0" w:space="0" w:color="auto"/>
                <w:left w:val="none" w:sz="0" w:space="0" w:color="auto"/>
                <w:bottom w:val="none" w:sz="0" w:space="0" w:color="auto"/>
                <w:right w:val="none" w:sz="0" w:space="0" w:color="auto"/>
              </w:divBdr>
              <w:divsChild>
                <w:div w:id="1341857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7401204">
      <w:bodyDiv w:val="1"/>
      <w:marLeft w:val="0"/>
      <w:marRight w:val="0"/>
      <w:marTop w:val="0"/>
      <w:marBottom w:val="0"/>
      <w:divBdr>
        <w:top w:val="none" w:sz="0" w:space="0" w:color="auto"/>
        <w:left w:val="none" w:sz="0" w:space="0" w:color="auto"/>
        <w:bottom w:val="none" w:sz="0" w:space="0" w:color="auto"/>
        <w:right w:val="none" w:sz="0" w:space="0" w:color="auto"/>
      </w:divBdr>
    </w:div>
    <w:div w:id="1356269642">
      <w:bodyDiv w:val="1"/>
      <w:marLeft w:val="0"/>
      <w:marRight w:val="0"/>
      <w:marTop w:val="0"/>
      <w:marBottom w:val="0"/>
      <w:divBdr>
        <w:top w:val="none" w:sz="0" w:space="0" w:color="auto"/>
        <w:left w:val="none" w:sz="0" w:space="0" w:color="auto"/>
        <w:bottom w:val="none" w:sz="0" w:space="0" w:color="auto"/>
        <w:right w:val="none" w:sz="0" w:space="0" w:color="auto"/>
      </w:divBdr>
    </w:div>
    <w:div w:id="1409424274">
      <w:bodyDiv w:val="1"/>
      <w:marLeft w:val="0"/>
      <w:marRight w:val="0"/>
      <w:marTop w:val="0"/>
      <w:marBottom w:val="0"/>
      <w:divBdr>
        <w:top w:val="none" w:sz="0" w:space="0" w:color="auto"/>
        <w:left w:val="none" w:sz="0" w:space="0" w:color="auto"/>
        <w:bottom w:val="none" w:sz="0" w:space="0" w:color="auto"/>
        <w:right w:val="none" w:sz="0" w:space="0" w:color="auto"/>
      </w:divBdr>
    </w:div>
    <w:div w:id="1477450227">
      <w:bodyDiv w:val="1"/>
      <w:marLeft w:val="0"/>
      <w:marRight w:val="0"/>
      <w:marTop w:val="0"/>
      <w:marBottom w:val="0"/>
      <w:divBdr>
        <w:top w:val="none" w:sz="0" w:space="0" w:color="auto"/>
        <w:left w:val="none" w:sz="0" w:space="0" w:color="auto"/>
        <w:bottom w:val="none" w:sz="0" w:space="0" w:color="auto"/>
        <w:right w:val="none" w:sz="0" w:space="0" w:color="auto"/>
      </w:divBdr>
      <w:divsChild>
        <w:div w:id="183515686">
          <w:marLeft w:val="0"/>
          <w:marRight w:val="0"/>
          <w:marTop w:val="0"/>
          <w:marBottom w:val="0"/>
          <w:divBdr>
            <w:top w:val="none" w:sz="0" w:space="0" w:color="auto"/>
            <w:left w:val="none" w:sz="0" w:space="0" w:color="auto"/>
            <w:bottom w:val="none" w:sz="0" w:space="0" w:color="auto"/>
            <w:right w:val="none" w:sz="0" w:space="0" w:color="auto"/>
          </w:divBdr>
          <w:divsChild>
            <w:div w:id="105123881">
              <w:marLeft w:val="0"/>
              <w:marRight w:val="0"/>
              <w:marTop w:val="0"/>
              <w:marBottom w:val="0"/>
              <w:divBdr>
                <w:top w:val="none" w:sz="0" w:space="0" w:color="auto"/>
                <w:left w:val="none" w:sz="0" w:space="0" w:color="auto"/>
                <w:bottom w:val="none" w:sz="0" w:space="0" w:color="auto"/>
                <w:right w:val="none" w:sz="0" w:space="0" w:color="auto"/>
              </w:divBdr>
              <w:divsChild>
                <w:div w:id="1185559052">
                  <w:marLeft w:val="0"/>
                  <w:marRight w:val="0"/>
                  <w:marTop w:val="0"/>
                  <w:marBottom w:val="0"/>
                  <w:divBdr>
                    <w:top w:val="none" w:sz="0" w:space="0" w:color="auto"/>
                    <w:left w:val="none" w:sz="0" w:space="0" w:color="auto"/>
                    <w:bottom w:val="none" w:sz="0" w:space="0" w:color="auto"/>
                    <w:right w:val="none" w:sz="0" w:space="0" w:color="auto"/>
                  </w:divBdr>
                  <w:divsChild>
                    <w:div w:id="1666711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0351943">
      <w:bodyDiv w:val="1"/>
      <w:marLeft w:val="0"/>
      <w:marRight w:val="0"/>
      <w:marTop w:val="0"/>
      <w:marBottom w:val="0"/>
      <w:divBdr>
        <w:top w:val="none" w:sz="0" w:space="0" w:color="auto"/>
        <w:left w:val="none" w:sz="0" w:space="0" w:color="auto"/>
        <w:bottom w:val="none" w:sz="0" w:space="0" w:color="auto"/>
        <w:right w:val="none" w:sz="0" w:space="0" w:color="auto"/>
      </w:divBdr>
      <w:divsChild>
        <w:div w:id="88081728">
          <w:marLeft w:val="0"/>
          <w:marRight w:val="0"/>
          <w:marTop w:val="0"/>
          <w:marBottom w:val="0"/>
          <w:divBdr>
            <w:top w:val="none" w:sz="0" w:space="0" w:color="auto"/>
            <w:left w:val="none" w:sz="0" w:space="0" w:color="auto"/>
            <w:bottom w:val="none" w:sz="0" w:space="0" w:color="auto"/>
            <w:right w:val="none" w:sz="0" w:space="0" w:color="auto"/>
          </w:divBdr>
          <w:divsChild>
            <w:div w:id="708800046">
              <w:marLeft w:val="0"/>
              <w:marRight w:val="0"/>
              <w:marTop w:val="0"/>
              <w:marBottom w:val="0"/>
              <w:divBdr>
                <w:top w:val="none" w:sz="0" w:space="0" w:color="auto"/>
                <w:left w:val="none" w:sz="0" w:space="0" w:color="auto"/>
                <w:bottom w:val="none" w:sz="0" w:space="0" w:color="auto"/>
                <w:right w:val="none" w:sz="0" w:space="0" w:color="auto"/>
              </w:divBdr>
              <w:divsChild>
                <w:div w:id="2019454715">
                  <w:marLeft w:val="0"/>
                  <w:marRight w:val="0"/>
                  <w:marTop w:val="0"/>
                  <w:marBottom w:val="0"/>
                  <w:divBdr>
                    <w:top w:val="none" w:sz="0" w:space="0" w:color="auto"/>
                    <w:left w:val="none" w:sz="0" w:space="0" w:color="auto"/>
                    <w:bottom w:val="none" w:sz="0" w:space="0" w:color="auto"/>
                    <w:right w:val="none" w:sz="0" w:space="0" w:color="auto"/>
                  </w:divBdr>
                  <w:divsChild>
                    <w:div w:id="1826820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0067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kangaude2013@lawnet.ucla.ed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himz.m@gmail.com" TargetMode="External"/><Relationship Id="rId5" Type="http://schemas.openxmlformats.org/officeDocument/2006/relationships/webSettings" Target="webSettings.xml"/><Relationship Id="rId10" Type="http://schemas.openxmlformats.org/officeDocument/2006/relationships/hyperlink" Target="mailto:lunguclara@gmail.com" TargetMode="External"/><Relationship Id="rId4" Type="http://schemas.openxmlformats.org/officeDocument/2006/relationships/settings" Target="settings.xml"/><Relationship Id="rId9" Type="http://schemas.openxmlformats.org/officeDocument/2006/relationships/hyperlink" Target="mailto:cesare.romano@lls.edu"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3" Type="http://schemas.openxmlformats.org/officeDocument/2006/relationships/hyperlink" Target="https://www.reuters.com/article/us-malawi-women-abortion-trfn/mps-block-debate-of-bill-to-ease-malawis-strict-abortion-law-idUSKBN2B32U0" TargetMode="External"/><Relationship Id="rId18" Type="http://schemas.openxmlformats.org/officeDocument/2006/relationships/hyperlink" Target="https://tbinternet.ohchr.org/_layouts/15/TreatyBodyExternal/Treaty.aspx?CountryID=104&amp;Lang=en" TargetMode="External"/><Relationship Id="rId26" Type="http://schemas.openxmlformats.org/officeDocument/2006/relationships/hyperlink" Target="https://www.apa.org/monitor/2022/09/news-facts-abortion-mental-health" TargetMode="External"/><Relationship Id="rId39" Type="http://schemas.openxmlformats.org/officeDocument/2006/relationships/hyperlink" Target="https://www.demographic-research.org/volumes/vol45/17/45-17.pdf" TargetMode="External"/><Relationship Id="rId21" Type="http://schemas.openxmlformats.org/officeDocument/2006/relationships/hyperlink" Target="https://au.int/sites/default/files/treaties/37077-treaty-charter_on_rights_of_women_in_africa.pdf" TargetMode="External"/><Relationship Id="rId34" Type="http://schemas.openxmlformats.org/officeDocument/2006/relationships/hyperlink" Target="https://www.law.utoronto.ca/programs-centres/programs/irshl-reproductive-and-sexual-health-law/irshl-ijgo-ethical-and-legal" TargetMode="External"/><Relationship Id="rId42" Type="http://schemas.openxmlformats.org/officeDocument/2006/relationships/hyperlink" Target="https://journals.plos.org/plosone/article?id=10.1371/journal.pone.0173639" TargetMode="External"/><Relationship Id="rId47" Type="http://schemas.openxmlformats.org/officeDocument/2006/relationships/hyperlink" Target="https://www.healthynewbornnetwork.org/hnn-content/uploads/Malawi-EmONC-Report-June-2015_FINAL.pdf" TargetMode="External"/><Relationship Id="rId50" Type="http://schemas.openxmlformats.org/officeDocument/2006/relationships/hyperlink" Target="https://www.hhrjournal.org/2018/03/" TargetMode="External"/><Relationship Id="rId7" Type="http://schemas.openxmlformats.org/officeDocument/2006/relationships/hyperlink" Target="https://www.malawilii.org/akn/mw/act/1929/22/eng%402014-12-31" TargetMode="External"/><Relationship Id="rId2" Type="http://schemas.openxmlformats.org/officeDocument/2006/relationships/hyperlink" Target="https://www.malawilii.org/akn/mw/act/1929/22/eng%402014-12-31" TargetMode="External"/><Relationship Id="rId16" Type="http://schemas.openxmlformats.org/officeDocument/2006/relationships/hyperlink" Target="https://reproductiverights.org/case/cm-v-the-hospital-director-of-queen-elizabeth-central-hospital-the-minister-of-health-high-court-of-malawi/" TargetMode="External"/><Relationship Id="rId29" Type="http://schemas.openxmlformats.org/officeDocument/2006/relationships/hyperlink" Target="https://apps.who.int/iris/bitstream/handle/10665/70914/9789241548434_eng.pdf;jsessionid=7D7261384A06937FFF02CB773EEB6FBE?sequence=1" TargetMode="External"/><Relationship Id="rId11" Type="http://schemas.openxmlformats.org/officeDocument/2006/relationships/hyperlink" Target="https://www.ncbi.nlm.nih.gov/pmc/articles/PMC5442498/" TargetMode="External"/><Relationship Id="rId24" Type="http://schemas.openxmlformats.org/officeDocument/2006/relationships/hyperlink" Target="https://pubmed.ncbi.nlm.nih.gov/22920622/" TargetMode="External"/><Relationship Id="rId32" Type="http://schemas.openxmlformats.org/officeDocument/2006/relationships/hyperlink" Target="https://www.state.gov/wp-content/uploads/2022/02/313615_MALAWI-2021-HUMAN-RIGHTS-REPORT.pdf" TargetMode="External"/><Relationship Id="rId37" Type="http://schemas.openxmlformats.org/officeDocument/2006/relationships/hyperlink" Target="https://www.who.int/publications/i/item/9789240039483" TargetMode="External"/><Relationship Id="rId40" Type="http://schemas.openxmlformats.org/officeDocument/2006/relationships/hyperlink" Target="https://www.psychologytoday.com/us/blog/intersecting-law-and-mental-health/202205/the-connection-between-mental-health-and-abortion" TargetMode="External"/><Relationship Id="rId45" Type="http://schemas.openxmlformats.org/officeDocument/2006/relationships/hyperlink" Target="https://2012-2017.usaid.gov/malawi/fact-sheets/malawi-maternal-neonatal-and-child-health-fact-sheet" TargetMode="External"/><Relationship Id="rId53" Type="http://schemas.openxmlformats.org/officeDocument/2006/relationships/hyperlink" Target="https://msfc.org/medical-students/msfc-abortion-training/" TargetMode="External"/><Relationship Id="rId5" Type="http://schemas.openxmlformats.org/officeDocument/2006/relationships/hyperlink" Target="https://www.law.georgetown.edu/wp-content/uploads/2020/10/Through-Her-Eyes-The-Harms-of-Abortion-Criminalisation-and-the-Need-for-Reform.pdf" TargetMode="External"/><Relationship Id="rId10" Type="http://schemas.openxmlformats.org/officeDocument/2006/relationships/hyperlink" Target="https://www.malawilii.org/akn/mw/act/2013/3/eng%402014-12-31" TargetMode="External"/><Relationship Id="rId19" Type="http://schemas.openxmlformats.org/officeDocument/2006/relationships/hyperlink" Target="https://tbinternet.ohchr.org/_layouts/15/TreatyBodyExternal/Treaty.aspx?CountryID=104&amp;Lang=en" TargetMode="External"/><Relationship Id="rId31" Type="http://schemas.openxmlformats.org/officeDocument/2006/relationships/hyperlink" Target="https://www.unicef.org/malawi/protecting-children-violence-everyones-responsibility" TargetMode="External"/><Relationship Id="rId44" Type="http://schemas.openxmlformats.org/officeDocument/2006/relationships/hyperlink" Target="https://www.lawcom.gov.mw/sites/default/files/Law%20Commission%20Report%20on%20the%20Review%20of%20the%20Law%20on%20Abortion.pdf" TargetMode="External"/><Relationship Id="rId52" Type="http://schemas.openxmlformats.org/officeDocument/2006/relationships/hyperlink" Target="https://msfc.org/providing-safe-abortion-in-rural-and-low-resource-settings/.%5baccessed" TargetMode="External"/><Relationship Id="rId4" Type="http://schemas.openxmlformats.org/officeDocument/2006/relationships/hyperlink" Target="https://www.sciencedirect.com/science/article/abs/pii/096880809390010Q" TargetMode="External"/><Relationship Id="rId9" Type="http://schemas.openxmlformats.org/officeDocument/2006/relationships/hyperlink" Target="https://malawi.unfpa.org/sites/default/files/resource-pdf/Malawi_National_SRHR_Policy_2017-2022_16Nov17.pdf" TargetMode="External"/><Relationship Id="rId14" Type="http://schemas.openxmlformats.org/officeDocument/2006/relationships/hyperlink" Target="https://www.voanews.com/a/africa_malawi-parliament-withdraws-abortion-rights-bill-after-objections/6207221.html" TargetMode="External"/><Relationship Id="rId22" Type="http://schemas.openxmlformats.org/officeDocument/2006/relationships/hyperlink" Target="https://www.constituteproject.org/constitution/Malawi_2017" TargetMode="External"/><Relationship Id="rId27" Type="http://schemas.openxmlformats.org/officeDocument/2006/relationships/hyperlink" Target="https://www.unicef.org/malawi/sites/unicef.org.malawi/files/2020-07/Spotlight_Ending_Violence_Against_Women_andGirls_v2_15062020_WEB_0.pdf" TargetMode="External"/><Relationship Id="rId30" Type="http://schemas.openxmlformats.org/officeDocument/2006/relationships/hyperlink" Target="https://www.law.georgetown.edu/wp-content/uploads/2020/10/Through-Her-Eyes-The-Harms-of-Abortion-Criminalisation-and-the-Need-for-Reform.pdf" TargetMode="External"/><Relationship Id="rId35" Type="http://schemas.openxmlformats.org/officeDocument/2006/relationships/hyperlink" Target="https://citeseerx.ist.psu.edu/document?repid=rep1&amp;type=pdf&amp;doi=7282aaeb4fe0ab2e27c8215762a4c815b37c26c6" TargetMode="External"/><Relationship Id="rId43" Type="http://schemas.openxmlformats.org/officeDocument/2006/relationships/hyperlink" Target="https://www.zammagazine.com/investigations/1552-malawi-the-perils-of-unsafe-abortions" TargetMode="External"/><Relationship Id="rId48" Type="http://schemas.openxmlformats.org/officeDocument/2006/relationships/hyperlink" Target="http://bmchealthservres.biomedcentral.com/articles/10.1186/s12913-015-1216-2" TargetMode="External"/><Relationship Id="rId8" Type="http://schemas.openxmlformats.org/officeDocument/2006/relationships/hyperlink" Target="http://nkhokwe.kuhes.ac.mw/handle/20.500.12845/174" TargetMode="External"/><Relationship Id="rId51" Type="http://schemas.openxmlformats.org/officeDocument/2006/relationships/hyperlink" Target="https://www.southernafricalitigationcentre.org/2021/09/27/" TargetMode="External"/><Relationship Id="rId3" Type="http://schemas.openxmlformats.org/officeDocument/2006/relationships/hyperlink" Target="https://www.guttmacher.org/news-release/2017/clandestine-and-unsafe-abortion-common-malawi" TargetMode="External"/><Relationship Id="rId12" Type="http://schemas.openxmlformats.org/officeDocument/2006/relationships/hyperlink" Target="https://www.malawilii.org/akn/mw/act/1929/22/eng%402014-12-31" TargetMode="External"/><Relationship Id="rId17" Type="http://schemas.openxmlformats.org/officeDocument/2006/relationships/hyperlink" Target="https://www.ohchr.org/sites/default/files/Documents/Issues/Women/WRGS/SexualHealth/INFO_Abortion_WEB.pdf" TargetMode="External"/><Relationship Id="rId25" Type="http://schemas.openxmlformats.org/officeDocument/2006/relationships/hyperlink" Target="https://www.who.int/teams/sexual-and-reproductive-health-and-research-(srh)/areas-of-work/sexual-health" TargetMode="External"/><Relationship Id="rId33" Type="http://schemas.openxmlformats.org/officeDocument/2006/relationships/hyperlink" Target="https://bmcpublichealth.biomedcentral.com/articles/10.1186/s12889-018-6220-0" TargetMode="External"/><Relationship Id="rId38" Type="http://schemas.openxmlformats.org/officeDocument/2006/relationships/hyperlink" Target="https://www.who.int/news-room/fact-sheets/detail/birth-defects" TargetMode="External"/><Relationship Id="rId46" Type="http://schemas.openxmlformats.org/officeDocument/2006/relationships/hyperlink" Target="http://www.nsomalawi.mw/index.php?option=com_content&amp;view=article&amp;id=210&amp;Itemid=105" TargetMode="External"/><Relationship Id="rId20" Type="http://schemas.openxmlformats.org/officeDocument/2006/relationships/hyperlink" Target="https://www.ohchr.org/sites/default/files/Documents/Issues/Women/WG/WomensAutonomyEqualityReproductiveHealth.pdf" TargetMode="External"/><Relationship Id="rId41" Type="http://schemas.openxmlformats.org/officeDocument/2006/relationships/hyperlink" Target="https://www.who.int/news/item/09-03-2022-access-to-safe-abortion-critical-for-health-of-women-and-girls" TargetMode="External"/><Relationship Id="rId1" Type="http://schemas.openxmlformats.org/officeDocument/2006/relationships/hyperlink" Target="https://treaties.un.org/Pages/ViewDetails.aspx?src=IND&amp;mtdsg_no=IV-3&amp;chapter=4" TargetMode="External"/><Relationship Id="rId6" Type="http://schemas.openxmlformats.org/officeDocument/2006/relationships/hyperlink" Target="https://www.wlsazim.co.zw/" TargetMode="External"/><Relationship Id="rId15" Type="http://schemas.openxmlformats.org/officeDocument/2006/relationships/hyperlink" Target="https://malawilii.org/mw/judgment/high-court-general-division/2021/43" TargetMode="External"/><Relationship Id="rId23" Type="http://schemas.openxmlformats.org/officeDocument/2006/relationships/hyperlink" Target="https://pubmed.ncbi.nlm.nih.gov/21555094/" TargetMode="External"/><Relationship Id="rId28" Type="http://schemas.openxmlformats.org/officeDocument/2006/relationships/hyperlink" Target="https://news.trust.org/item/20201116165739-y9xew" TargetMode="External"/><Relationship Id="rId36" Type="http://schemas.openxmlformats.org/officeDocument/2006/relationships/hyperlink" Target="https://www.tandfonline.com/doi/pdf/10.1016/S0968-8080%2812%2939598-0?needAccess=true" TargetMode="External"/><Relationship Id="rId49" Type="http://schemas.openxmlformats.org/officeDocument/2006/relationships/hyperlink" Target="https://www.thelancet.com/journals/langlo/article/PIIS2214-109X(20)30351-X/fulltex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E8842C-4453-924A-B84D-248B245F79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16</Pages>
  <Words>5136</Words>
  <Characters>29277</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LMU</Company>
  <LinksUpToDate>false</LinksUpToDate>
  <CharactersWithSpaces>34345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Romano, Cesare</dc:creator>
  <cp:keywords/>
  <dc:description/>
  <cp:lastModifiedBy>Mars, Megan</cp:lastModifiedBy>
  <cp:revision>20</cp:revision>
  <dcterms:created xsi:type="dcterms:W3CDTF">2023-01-04T03:11:00Z</dcterms:created>
  <dcterms:modified xsi:type="dcterms:W3CDTF">2023-01-04T03:58:00Z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a000ad0c6397f29da4f191b080804ad390f42a7ff89acc45d08acc7301b1d6b3</vt:lpwstr>
  </property>
</Properties>
</file>