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26D7C4" w14:textId="77777777" w:rsidR="002E224A" w:rsidRPr="007C734C" w:rsidRDefault="009A245A" w:rsidP="007C734C">
      <w:pPr>
        <w:tabs>
          <w:tab w:val="left" w:pos="2464"/>
        </w:tabs>
        <w:spacing w:after="120" w:line="480" w:lineRule="auto"/>
        <w:ind w:firstLine="709"/>
        <w:rPr>
          <w:sz w:val="23"/>
          <w:szCs w:val="23"/>
        </w:rPr>
      </w:pPr>
      <w:bookmarkStart w:id="0" w:name="_GoBack"/>
      <w:bookmarkEnd w:id="0"/>
      <w:r>
        <w:rPr>
          <w:sz w:val="23"/>
          <w:szCs w:val="23"/>
        </w:rPr>
        <w:t>Ladies and Gentlemen,</w:t>
      </w:r>
    </w:p>
    <w:p w14:paraId="70306CFE" w14:textId="77777777" w:rsidR="009A245A" w:rsidRPr="007C734C" w:rsidRDefault="009A245A" w:rsidP="007C734C">
      <w:pPr>
        <w:tabs>
          <w:tab w:val="left" w:pos="2464"/>
        </w:tabs>
        <w:spacing w:after="120" w:line="480" w:lineRule="auto"/>
        <w:ind w:firstLine="709"/>
        <w:jc w:val="both"/>
        <w:rPr>
          <w:sz w:val="23"/>
          <w:szCs w:val="23"/>
        </w:rPr>
      </w:pPr>
      <w:r>
        <w:rPr>
          <w:sz w:val="23"/>
          <w:szCs w:val="23"/>
        </w:rPr>
        <w:t xml:space="preserve">I am honoured to speak on behalf of the Polish delegation to the United Nations Office at Geneva on the date when the Committee against Torture reviews the </w:t>
      </w:r>
      <w:r>
        <w:rPr>
          <w:i/>
          <w:iCs/>
          <w:sz w:val="23"/>
          <w:szCs w:val="23"/>
        </w:rPr>
        <w:t>Periodic Report of the Government of the Republic of Poland on the implementation of the UN Convention against Torture and Other Cruel, Inhuman or Degrading Treatment or Punishment for 2014–2017</w:t>
      </w:r>
      <w:r>
        <w:rPr>
          <w:sz w:val="23"/>
          <w:szCs w:val="23"/>
        </w:rPr>
        <w:t>.</w:t>
      </w:r>
    </w:p>
    <w:p w14:paraId="0CD2309B" w14:textId="02B5F5FA" w:rsidR="005A4FB0" w:rsidRPr="007C734C" w:rsidRDefault="00546200" w:rsidP="007C734C">
      <w:pPr>
        <w:tabs>
          <w:tab w:val="left" w:pos="2464"/>
        </w:tabs>
        <w:spacing w:after="120" w:line="480" w:lineRule="auto"/>
        <w:ind w:firstLine="709"/>
        <w:jc w:val="both"/>
        <w:rPr>
          <w:sz w:val="23"/>
          <w:szCs w:val="23"/>
        </w:rPr>
      </w:pPr>
      <w:r>
        <w:rPr>
          <w:sz w:val="23"/>
          <w:szCs w:val="23"/>
        </w:rPr>
        <w:t>Firstly, let me thank Mr Chairman for the invitation to take</w:t>
      </w:r>
      <w:r w:rsidR="003672F7">
        <w:rPr>
          <w:sz w:val="23"/>
          <w:szCs w:val="23"/>
        </w:rPr>
        <w:t xml:space="preserve"> part in Committee’s</w:t>
      </w:r>
      <w:r>
        <w:rPr>
          <w:sz w:val="23"/>
          <w:szCs w:val="23"/>
        </w:rPr>
        <w:t xml:space="preserve"> 67</w:t>
      </w:r>
      <w:r>
        <w:rPr>
          <w:sz w:val="23"/>
          <w:szCs w:val="23"/>
          <w:vertAlign w:val="superscript"/>
        </w:rPr>
        <w:t>th</w:t>
      </w:r>
      <w:r>
        <w:rPr>
          <w:sz w:val="23"/>
          <w:szCs w:val="23"/>
        </w:rPr>
        <w:t xml:space="preserve">session. I wish to express my recognition and respect for steps taken by the Committee to increase the effectiveness of fight against torture and against any other actions as a result of which any person is deprived of dignity intrinsic of human being. </w:t>
      </w:r>
    </w:p>
    <w:p w14:paraId="769F662C" w14:textId="77777777" w:rsidR="003A3FBF" w:rsidRPr="007C734C" w:rsidRDefault="00FF372F" w:rsidP="007C734C">
      <w:pPr>
        <w:tabs>
          <w:tab w:val="left" w:pos="2464"/>
        </w:tabs>
        <w:spacing w:after="120" w:line="480" w:lineRule="auto"/>
        <w:ind w:firstLine="709"/>
        <w:jc w:val="both"/>
        <w:rPr>
          <w:sz w:val="23"/>
          <w:szCs w:val="23"/>
        </w:rPr>
      </w:pPr>
      <w:r>
        <w:rPr>
          <w:sz w:val="23"/>
          <w:szCs w:val="23"/>
        </w:rPr>
        <w:t xml:space="preserve">I would like to emphasise that the Republic of Poland, while diligently satisfying the obligation to universally and effectively respect human rights and fundamental freedoms, continues its efforts to prevent, within its own territory, any actions or omissions that would violate the provisions of the UN Convention against Torture and Other Cruel, Inhuman or Degrading Treatment or Punishment.    </w:t>
      </w:r>
    </w:p>
    <w:p w14:paraId="5C1FAB35" w14:textId="2DBC71C5" w:rsidR="002F3040" w:rsidRPr="007C734C" w:rsidRDefault="00150B4A" w:rsidP="007C734C">
      <w:pPr>
        <w:tabs>
          <w:tab w:val="left" w:pos="2464"/>
        </w:tabs>
        <w:spacing w:after="120" w:line="480" w:lineRule="auto"/>
        <w:ind w:firstLine="709"/>
        <w:jc w:val="both"/>
        <w:rPr>
          <w:sz w:val="23"/>
          <w:szCs w:val="23"/>
        </w:rPr>
      </w:pPr>
      <w:r>
        <w:rPr>
          <w:sz w:val="23"/>
          <w:szCs w:val="23"/>
        </w:rPr>
        <w:t>In the Polish criminal law any acts covered by the definition of torture as set forth in international instruments, such as a violation of bodily integrity, punishable threats, dependent person abuse, causing bodily injury or forcing another person by violence or unlawful threat into a specific behaviour, are considered crimes. The Polish Criminal Code provides for penalties for a public officer who displayed any behaviour that constitutes torture. A list of crimes includes also a crime consisting in the extortion of confessions by a public officer with the use of violence, unlawful threats or physical or psychological abuse. The Polish Criminal Code penalises also acts consisting in psychological or physical abuse against a person deprived of liberty or behaviour of an officer who allows such acts to be committed.</w:t>
      </w:r>
    </w:p>
    <w:p w14:paraId="45F7E898" w14:textId="77777777" w:rsidR="0039344E" w:rsidRPr="007C734C" w:rsidRDefault="004E5573" w:rsidP="007C734C">
      <w:pPr>
        <w:tabs>
          <w:tab w:val="left" w:pos="2464"/>
        </w:tabs>
        <w:spacing w:after="120" w:line="480" w:lineRule="auto"/>
        <w:ind w:firstLine="709"/>
        <w:jc w:val="both"/>
        <w:rPr>
          <w:sz w:val="23"/>
          <w:szCs w:val="23"/>
        </w:rPr>
      </w:pPr>
      <w:r>
        <w:rPr>
          <w:sz w:val="23"/>
          <w:szCs w:val="23"/>
        </w:rPr>
        <w:lastRenderedPageBreak/>
        <w:t xml:space="preserve"> </w:t>
      </w:r>
      <w:r>
        <w:rPr>
          <w:i/>
          <w:iCs/>
          <w:sz w:val="23"/>
          <w:szCs w:val="23"/>
        </w:rPr>
        <w:t xml:space="preserve">Guidelines of the Prosecutor General of 27 June 2014 on the conduct by public prosecutors of proceedings into crimes related to deprivation of life and inhuman or degrading treatment of punishment where defendants are police officers or other public officers </w:t>
      </w:r>
      <w:r>
        <w:rPr>
          <w:sz w:val="23"/>
          <w:szCs w:val="23"/>
        </w:rPr>
        <w:t xml:space="preserve">remain valid and are followed. The guidelines were issued to ensure effective and swift examination of any reported complaint regarding torture and inhuman treatment of persons deprived of liberty.  The Supra-Regional Public Prosecutor's Offices are required to forward information on any case in this field to the National Public Prosecutor's Office. In each case, superior public prosecutor’s offices are notified on initiated proceedings. In each supra-regional and regional public prosecutor’s office there is a coordinator for crimes committed by the Police's officers, who supervises and monitors such cases. To ensure impartiality and objectivity, such cases are transferred to another organisational unit of public prosecutor's office as an exemption from the general principle of geographical jurisdiction. </w:t>
      </w:r>
    </w:p>
    <w:p w14:paraId="52A2EEFA" w14:textId="1B727E27" w:rsidR="008D375E" w:rsidRPr="007C734C" w:rsidRDefault="005240E8" w:rsidP="007C734C">
      <w:pPr>
        <w:tabs>
          <w:tab w:val="left" w:pos="2464"/>
        </w:tabs>
        <w:spacing w:after="120" w:line="480" w:lineRule="auto"/>
        <w:ind w:firstLine="709"/>
        <w:jc w:val="both"/>
        <w:rPr>
          <w:sz w:val="23"/>
          <w:szCs w:val="23"/>
        </w:rPr>
      </w:pPr>
      <w:r>
        <w:rPr>
          <w:sz w:val="23"/>
          <w:szCs w:val="23"/>
        </w:rPr>
        <w:t xml:space="preserve">A particular focus in the actions taken by the public prosecutor’s office is family violence. Public prosecutors of domestic public prosecution organisational units have improved their professional qualifications by taking part in various workshops and conferences on counteracting family violence, focusing on criminal proceedings and actions to be taken outside the framework of criminal proceedings, as well as on cooperation with other entities active in this field. Currently public prosecutors are required to follow the </w:t>
      </w:r>
      <w:r w:rsidRPr="00825AB5">
        <w:rPr>
          <w:i/>
          <w:sz w:val="23"/>
          <w:szCs w:val="23"/>
        </w:rPr>
        <w:t>guidelines of the Prosecutor General of 22 February 2016 concerning the code of conduct for public prosecutor’s organisational units in the area of counteracting family violence</w:t>
      </w:r>
      <w:r>
        <w:rPr>
          <w:sz w:val="23"/>
          <w:szCs w:val="23"/>
        </w:rPr>
        <w:t xml:space="preserve">. </w:t>
      </w:r>
      <w:r w:rsidR="00726E77">
        <w:rPr>
          <w:sz w:val="23"/>
          <w:szCs w:val="23"/>
        </w:rPr>
        <w:t>In order t</w:t>
      </w:r>
      <w:r>
        <w:rPr>
          <w:sz w:val="23"/>
          <w:szCs w:val="23"/>
        </w:rPr>
        <w:t xml:space="preserve">o raise their professional qualifications, public prosecutors took part in training sessions on proceedings relating to family violence; perpetrators and victims in family violence; adult victim management; situation of a child as a victim of family violence and impact of violence on children’s psychological health; and legal regulations aimed at strengthening the protection of victims of family violence. To improve the quality of proceedings, the </w:t>
      </w:r>
      <w:r w:rsidR="001E6765">
        <w:rPr>
          <w:i/>
          <w:sz w:val="23"/>
          <w:szCs w:val="23"/>
        </w:rPr>
        <w:t>M</w:t>
      </w:r>
      <w:r w:rsidRPr="00825AB5">
        <w:rPr>
          <w:i/>
          <w:sz w:val="23"/>
          <w:szCs w:val="23"/>
        </w:rPr>
        <w:t xml:space="preserve">ethodology of conducting criminal proceedings relating to violence </w:t>
      </w:r>
      <w:r w:rsidRPr="00825AB5">
        <w:rPr>
          <w:i/>
          <w:sz w:val="23"/>
          <w:szCs w:val="23"/>
        </w:rPr>
        <w:lastRenderedPageBreak/>
        <w:t>family cases</w:t>
      </w:r>
      <w:r>
        <w:rPr>
          <w:sz w:val="23"/>
          <w:szCs w:val="23"/>
        </w:rPr>
        <w:t xml:space="preserve"> was developed and disseminated among all public prosecution organisational units.  During the training sessions, the issues of support for crime victims and the cooperation with organisations established to help victims and support institutions were also discussed.</w:t>
      </w:r>
    </w:p>
    <w:p w14:paraId="4FB6CBE7" w14:textId="77777777" w:rsidR="004906A7" w:rsidRPr="007C734C" w:rsidRDefault="005E070B" w:rsidP="007C734C">
      <w:pPr>
        <w:tabs>
          <w:tab w:val="left" w:pos="2464"/>
        </w:tabs>
        <w:spacing w:after="120" w:line="480" w:lineRule="auto"/>
        <w:ind w:firstLine="709"/>
        <w:jc w:val="both"/>
        <w:rPr>
          <w:sz w:val="23"/>
          <w:szCs w:val="23"/>
        </w:rPr>
      </w:pPr>
      <w:r>
        <w:rPr>
          <w:sz w:val="23"/>
          <w:szCs w:val="23"/>
        </w:rPr>
        <w:t>The National School of Judiciary and Public Prosecution organises training sessions on the widely understood prohibition of torture and other cruel, inhuman or degrading treatment or punishment addressed to judges, public prosecutors, judge-trainees and public prosecutor-trainees, court clerks, judge assistants and public prosecutor assistants. In 2019–2021, the following new training events are planned in the thematic area covered by the Convention:</w:t>
      </w:r>
    </w:p>
    <w:p w14:paraId="32B94A04" w14:textId="77777777" w:rsidR="004906A7" w:rsidRPr="007C734C" w:rsidRDefault="004906A7" w:rsidP="007C734C">
      <w:pPr>
        <w:tabs>
          <w:tab w:val="left" w:pos="2464"/>
        </w:tabs>
        <w:spacing w:after="120" w:line="480" w:lineRule="auto"/>
        <w:ind w:firstLine="709"/>
        <w:jc w:val="both"/>
        <w:rPr>
          <w:sz w:val="23"/>
          <w:szCs w:val="23"/>
        </w:rPr>
      </w:pPr>
      <w:r>
        <w:rPr>
          <w:sz w:val="23"/>
          <w:szCs w:val="23"/>
        </w:rPr>
        <w:t>1.  seminars on the rights of the injured parties, including seminars attended by the experts from the European Union Agency for Fundamental Rights from Vienna, the authors of ‘Justice for victims of violent crime’ manuals,</w:t>
      </w:r>
    </w:p>
    <w:p w14:paraId="095940EA" w14:textId="77777777" w:rsidR="004906A7" w:rsidRPr="007C734C" w:rsidRDefault="004906A7" w:rsidP="007C734C">
      <w:pPr>
        <w:tabs>
          <w:tab w:val="left" w:pos="2464"/>
        </w:tabs>
        <w:spacing w:after="120" w:line="480" w:lineRule="auto"/>
        <w:ind w:firstLine="709"/>
        <w:jc w:val="both"/>
        <w:rPr>
          <w:sz w:val="23"/>
          <w:szCs w:val="23"/>
        </w:rPr>
      </w:pPr>
      <w:r>
        <w:rPr>
          <w:sz w:val="23"/>
          <w:szCs w:val="23"/>
        </w:rPr>
        <w:t xml:space="preserve">2.  introduction of an e-learning course prepared by the Council of Europe, </w:t>
      </w:r>
      <w:r>
        <w:rPr>
          <w:i/>
          <w:sz w:val="23"/>
          <w:szCs w:val="23"/>
        </w:rPr>
        <w:t>Human Rights Education for Legal Professionals</w:t>
      </w:r>
      <w:r>
        <w:rPr>
          <w:sz w:val="23"/>
          <w:szCs w:val="23"/>
        </w:rPr>
        <w:t>, for penitentiary judges and attorneys-at-law working for the Office of the General Counsel to the Republic of Poland concerning the rights of people with disabilities, focused in particular on people with disabilities detained in pre-trial detention centres and correctional facilities, which will be available in Polish,</w:t>
      </w:r>
    </w:p>
    <w:p w14:paraId="401C1318" w14:textId="77777777" w:rsidR="004906A7" w:rsidRPr="007C734C" w:rsidRDefault="004906A7" w:rsidP="007C734C">
      <w:pPr>
        <w:tabs>
          <w:tab w:val="left" w:pos="2464"/>
        </w:tabs>
        <w:spacing w:after="120" w:line="480" w:lineRule="auto"/>
        <w:ind w:firstLine="709"/>
        <w:jc w:val="both"/>
        <w:rPr>
          <w:sz w:val="23"/>
          <w:szCs w:val="23"/>
        </w:rPr>
      </w:pPr>
      <w:r>
        <w:rPr>
          <w:sz w:val="23"/>
          <w:szCs w:val="23"/>
        </w:rPr>
        <w:t>3. seminars on the rights of people with disabilities with invited speakers such as judges-lecturers, but also people with disabilities who are members of organisations advocating for people with disabilities.</w:t>
      </w:r>
    </w:p>
    <w:p w14:paraId="10156181" w14:textId="125E680D" w:rsidR="003D3EA6" w:rsidRPr="007C734C" w:rsidRDefault="00520759" w:rsidP="007C734C">
      <w:pPr>
        <w:tabs>
          <w:tab w:val="left" w:pos="2464"/>
        </w:tabs>
        <w:spacing w:after="120" w:line="480" w:lineRule="auto"/>
        <w:ind w:firstLine="709"/>
        <w:jc w:val="both"/>
        <w:rPr>
          <w:sz w:val="23"/>
          <w:szCs w:val="23"/>
        </w:rPr>
      </w:pPr>
      <w:r>
        <w:rPr>
          <w:sz w:val="23"/>
          <w:szCs w:val="23"/>
        </w:rPr>
        <w:t xml:space="preserve">Continued efforts are made to improve the situation of detainees in pre-trial detention centres and correctional facilities. As part of </w:t>
      </w:r>
      <w:r>
        <w:rPr>
          <w:i/>
          <w:iCs/>
          <w:sz w:val="23"/>
          <w:szCs w:val="23"/>
        </w:rPr>
        <w:t>The programme of the Modernisation of the Prison Service in 2017–2020</w:t>
      </w:r>
      <w:r>
        <w:rPr>
          <w:sz w:val="23"/>
          <w:szCs w:val="23"/>
        </w:rPr>
        <w:t xml:space="preserve">, PLN 1.5 million was allocated within a four-year perspective to provide the Prison Service with adequate equipment (including the modernisation of medical treatment entities), to improve conditions of detention by comprehensive overhaul work in residential </w:t>
      </w:r>
      <w:r>
        <w:rPr>
          <w:sz w:val="23"/>
          <w:szCs w:val="23"/>
        </w:rPr>
        <w:lastRenderedPageBreak/>
        <w:t>parts of prisons, as well as to build modern correctional facilities. At the same time in 2018 old facilities, where the conditions were the most difficult, were made subject to the process of liquidation.</w:t>
      </w:r>
    </w:p>
    <w:p w14:paraId="1F4A46EA" w14:textId="41547F8B" w:rsidR="004E5573" w:rsidRPr="007C734C" w:rsidRDefault="003F689C" w:rsidP="007C734C">
      <w:pPr>
        <w:tabs>
          <w:tab w:val="left" w:pos="2464"/>
        </w:tabs>
        <w:spacing w:after="120" w:line="480" w:lineRule="auto"/>
        <w:ind w:firstLine="709"/>
        <w:jc w:val="both"/>
        <w:rPr>
          <w:sz w:val="23"/>
          <w:szCs w:val="23"/>
        </w:rPr>
      </w:pPr>
      <w:r>
        <w:rPr>
          <w:sz w:val="23"/>
          <w:szCs w:val="23"/>
        </w:rPr>
        <w:t xml:space="preserve">It should be emphasised that Poland has made a significant progress in the area of migrant detention since 2012. The seven years in question witnessed key changes in terms of managing guarded detention centres. The changes included the improvement of detention conditions in guarded detention centres, </w:t>
      </w:r>
      <w:r w:rsidR="001E6765">
        <w:rPr>
          <w:sz w:val="23"/>
          <w:szCs w:val="23"/>
        </w:rPr>
        <w:t xml:space="preserve">successive </w:t>
      </w:r>
      <w:r>
        <w:rPr>
          <w:sz w:val="23"/>
          <w:szCs w:val="23"/>
        </w:rPr>
        <w:t xml:space="preserve">elimination of window bars, liberalisation of the </w:t>
      </w:r>
      <w:r w:rsidR="001E6765">
        <w:rPr>
          <w:sz w:val="23"/>
          <w:szCs w:val="23"/>
        </w:rPr>
        <w:t xml:space="preserve">detention </w:t>
      </w:r>
      <w:r>
        <w:rPr>
          <w:sz w:val="23"/>
          <w:szCs w:val="23"/>
        </w:rPr>
        <w:t xml:space="preserve">rules, departure from solutions of prison nature, as well as the introduction of rules for </w:t>
      </w:r>
      <w:r w:rsidR="00590B20">
        <w:rPr>
          <w:sz w:val="23"/>
          <w:szCs w:val="23"/>
        </w:rPr>
        <w:t>vulnerable</w:t>
      </w:r>
      <w:r w:rsidR="001E6765">
        <w:rPr>
          <w:sz w:val="23"/>
          <w:szCs w:val="23"/>
        </w:rPr>
        <w:t xml:space="preserve"> </w:t>
      </w:r>
      <w:r>
        <w:rPr>
          <w:sz w:val="23"/>
          <w:szCs w:val="23"/>
        </w:rPr>
        <w:t>groups, to name just a few. It was also essential to implement alternatives to detention in 2014 by means of the Act on Foreigners of 12 December 2013.</w:t>
      </w:r>
    </w:p>
    <w:p w14:paraId="7F8F498F" w14:textId="77777777" w:rsidR="00E56DCB" w:rsidRPr="007C734C" w:rsidRDefault="00E56DCB" w:rsidP="007C734C">
      <w:pPr>
        <w:tabs>
          <w:tab w:val="left" w:pos="2464"/>
        </w:tabs>
        <w:spacing w:after="120" w:line="480" w:lineRule="auto"/>
        <w:ind w:firstLine="709"/>
        <w:jc w:val="both"/>
        <w:rPr>
          <w:sz w:val="23"/>
          <w:szCs w:val="23"/>
        </w:rPr>
      </w:pPr>
      <w:r>
        <w:rPr>
          <w:sz w:val="23"/>
          <w:szCs w:val="23"/>
        </w:rPr>
        <w:t xml:space="preserve">To counteract family violence, specialised support centres for family violence victims have been established and maintained. The facilities provide specialised support services for people experiencing violence in the family, including shelter and specialised advisory services. There were 35 facilities by 2018, and in 2018 thanks to the funds from the State budget another facility of this type was opened in Krakow, while the next one is planned to be open in 2019. In 2017, specialised support centres for the victims of violence provided services for 8,558 people, which represents a growth of 22% when compared to the previous year.  </w:t>
      </w:r>
    </w:p>
    <w:p w14:paraId="3705E8E3" w14:textId="77777777" w:rsidR="00E56DCB" w:rsidRPr="007C734C" w:rsidRDefault="00E56DCB" w:rsidP="007C734C">
      <w:pPr>
        <w:tabs>
          <w:tab w:val="left" w:pos="2464"/>
        </w:tabs>
        <w:spacing w:after="120" w:line="480" w:lineRule="auto"/>
        <w:ind w:firstLine="709"/>
        <w:jc w:val="both"/>
        <w:rPr>
          <w:sz w:val="23"/>
          <w:szCs w:val="23"/>
        </w:rPr>
      </w:pPr>
      <w:r>
        <w:rPr>
          <w:sz w:val="23"/>
          <w:szCs w:val="23"/>
        </w:rPr>
        <w:t>As part of a task carried out by local governments supported financially from the State budget, behaviour-modelling correctional and educational programmes are carried out for people using violence in the family.  In 2017, as many as 9,101 beneficiaries participated in the programmes. Correctional and educational behaviour-modelling efforts are complemented by psychological therapy for domestic violence perpetrators. In 2017, 177 programmes were launched, with the number of beneficiaries amounting to 1,312.</w:t>
      </w:r>
    </w:p>
    <w:p w14:paraId="4E9C3403" w14:textId="0A18AE1A" w:rsidR="003672F7" w:rsidRPr="00F84C9D" w:rsidRDefault="003672F7" w:rsidP="003672F7">
      <w:pPr>
        <w:tabs>
          <w:tab w:val="left" w:pos="2464"/>
        </w:tabs>
        <w:spacing w:after="120" w:line="480" w:lineRule="auto"/>
        <w:ind w:firstLine="709"/>
        <w:jc w:val="both"/>
        <w:rPr>
          <w:sz w:val="23"/>
          <w:szCs w:val="23"/>
        </w:rPr>
      </w:pPr>
      <w:r>
        <w:rPr>
          <w:sz w:val="23"/>
          <w:szCs w:val="23"/>
        </w:rPr>
        <w:lastRenderedPageBreak/>
        <w:t xml:space="preserve">Every year, the national budget allocates a sum of 3 million PLN to the Support Programme entitled </w:t>
      </w:r>
      <w:r w:rsidR="009B41C7">
        <w:rPr>
          <w:sz w:val="23"/>
          <w:szCs w:val="23"/>
        </w:rPr>
        <w:t>‘</w:t>
      </w:r>
      <w:r>
        <w:rPr>
          <w:i/>
          <w:sz w:val="23"/>
          <w:szCs w:val="23"/>
        </w:rPr>
        <w:t>Support for Local Government Units in Creating a System for Counteracting Violence in the Family</w:t>
      </w:r>
      <w:r w:rsidR="00590B20">
        <w:rPr>
          <w:i/>
          <w:sz w:val="23"/>
          <w:szCs w:val="23"/>
        </w:rPr>
        <w:t>.</w:t>
      </w:r>
      <w:r w:rsidR="009B41C7">
        <w:rPr>
          <w:sz w:val="23"/>
          <w:szCs w:val="23"/>
        </w:rPr>
        <w:t>’</w:t>
      </w:r>
      <w:r>
        <w:rPr>
          <w:sz w:val="23"/>
          <w:szCs w:val="23"/>
        </w:rPr>
        <w:t xml:space="preserve"> The </w:t>
      </w:r>
      <w:r w:rsidR="009B41C7">
        <w:rPr>
          <w:sz w:val="23"/>
          <w:szCs w:val="23"/>
        </w:rPr>
        <w:t xml:space="preserve">aim </w:t>
      </w:r>
      <w:r>
        <w:rPr>
          <w:sz w:val="23"/>
          <w:szCs w:val="23"/>
        </w:rPr>
        <w:t xml:space="preserve">of the Programme is </w:t>
      </w:r>
      <w:r w:rsidR="009B41C7">
        <w:rPr>
          <w:sz w:val="23"/>
          <w:szCs w:val="23"/>
        </w:rPr>
        <w:t xml:space="preserve">to </w:t>
      </w:r>
      <w:r>
        <w:rPr>
          <w:sz w:val="23"/>
          <w:szCs w:val="23"/>
        </w:rPr>
        <w:t>co-financ</w:t>
      </w:r>
      <w:r w:rsidR="009B41C7">
        <w:rPr>
          <w:sz w:val="23"/>
          <w:szCs w:val="23"/>
        </w:rPr>
        <w:t>e the creation</w:t>
      </w:r>
      <w:r>
        <w:rPr>
          <w:sz w:val="23"/>
          <w:szCs w:val="23"/>
        </w:rPr>
        <w:t xml:space="preserve"> an integrated system of counteracting domestic violence</w:t>
      </w:r>
      <w:r w:rsidR="009B41C7">
        <w:rPr>
          <w:sz w:val="23"/>
          <w:szCs w:val="23"/>
        </w:rPr>
        <w:t xml:space="preserve"> together with local governments on communal, </w:t>
      </w:r>
      <w:proofErr w:type="spellStart"/>
      <w:r w:rsidR="009B41C7">
        <w:rPr>
          <w:sz w:val="23"/>
          <w:szCs w:val="23"/>
        </w:rPr>
        <w:t>poviat</w:t>
      </w:r>
      <w:proofErr w:type="spellEnd"/>
      <w:r w:rsidR="009B41C7">
        <w:rPr>
          <w:sz w:val="23"/>
          <w:szCs w:val="23"/>
        </w:rPr>
        <w:t xml:space="preserve"> and </w:t>
      </w:r>
      <w:proofErr w:type="spellStart"/>
      <w:r w:rsidR="009B41C7">
        <w:rPr>
          <w:sz w:val="23"/>
          <w:szCs w:val="23"/>
        </w:rPr>
        <w:t>voivodeship</w:t>
      </w:r>
      <w:proofErr w:type="spellEnd"/>
      <w:r w:rsidR="009B41C7">
        <w:rPr>
          <w:sz w:val="23"/>
          <w:szCs w:val="23"/>
        </w:rPr>
        <w:t xml:space="preserve"> level</w:t>
      </w:r>
      <w:r>
        <w:rPr>
          <w:sz w:val="23"/>
          <w:szCs w:val="23"/>
        </w:rPr>
        <w:t xml:space="preserve">. Each year, approximately 90 projects receive co-financing under the Programme. </w:t>
      </w:r>
    </w:p>
    <w:p w14:paraId="59842BC2" w14:textId="3DDB7BD4" w:rsidR="003672F7" w:rsidRPr="00F84C9D" w:rsidRDefault="003672F7" w:rsidP="003672F7">
      <w:pPr>
        <w:tabs>
          <w:tab w:val="left" w:pos="2464"/>
        </w:tabs>
        <w:spacing w:after="120" w:line="480" w:lineRule="auto"/>
        <w:ind w:firstLine="709"/>
        <w:jc w:val="both"/>
        <w:rPr>
          <w:sz w:val="23"/>
          <w:szCs w:val="23"/>
        </w:rPr>
      </w:pPr>
      <w:r>
        <w:rPr>
          <w:sz w:val="23"/>
          <w:szCs w:val="23"/>
        </w:rPr>
        <w:t xml:space="preserve">In accordance with the National Programme for Counteracting Domestic Violence, every two years a nationwide study is conducted in order to estimate the scale of the problem of domestic violence </w:t>
      </w:r>
      <w:r w:rsidR="00590B20">
        <w:rPr>
          <w:sz w:val="23"/>
          <w:szCs w:val="23"/>
        </w:rPr>
        <w:t xml:space="preserve">and </w:t>
      </w:r>
      <w:r>
        <w:rPr>
          <w:sz w:val="23"/>
          <w:szCs w:val="23"/>
        </w:rPr>
        <w:t xml:space="preserve">to assess the functioning of the support system for the abused. Furthermore, since 2017, a </w:t>
      </w:r>
      <w:r w:rsidR="005F3BE4">
        <w:rPr>
          <w:sz w:val="23"/>
          <w:szCs w:val="23"/>
        </w:rPr>
        <w:t xml:space="preserve">24/7 </w:t>
      </w:r>
      <w:r>
        <w:rPr>
          <w:sz w:val="23"/>
          <w:szCs w:val="23"/>
        </w:rPr>
        <w:t xml:space="preserve">helpline has been set up for </w:t>
      </w:r>
      <w:r w:rsidR="005F3BE4">
        <w:rPr>
          <w:sz w:val="23"/>
          <w:szCs w:val="23"/>
        </w:rPr>
        <w:t xml:space="preserve">the victims of domestic violence </w:t>
      </w:r>
      <w:r>
        <w:rPr>
          <w:sz w:val="23"/>
          <w:szCs w:val="23"/>
        </w:rPr>
        <w:t xml:space="preserve">seeking support. The Program provides training for people working in the area of preventing domestic violence, </w:t>
      </w:r>
      <w:r w:rsidR="00590B20">
        <w:rPr>
          <w:sz w:val="23"/>
          <w:szCs w:val="23"/>
        </w:rPr>
        <w:t>such as:</w:t>
      </w:r>
      <w:r>
        <w:rPr>
          <w:sz w:val="23"/>
          <w:szCs w:val="23"/>
        </w:rPr>
        <w:t xml:space="preserve"> social workers, police officers, court-appointed family guardians, representatives of education or health care. In 2017, </w:t>
      </w:r>
      <w:r w:rsidR="00590B20">
        <w:rPr>
          <w:sz w:val="23"/>
          <w:szCs w:val="23"/>
        </w:rPr>
        <w:t xml:space="preserve">the number of such persons amounted to </w:t>
      </w:r>
      <w:r>
        <w:rPr>
          <w:sz w:val="23"/>
          <w:szCs w:val="23"/>
        </w:rPr>
        <w:t>2</w:t>
      </w:r>
      <w:r w:rsidR="005F3BE4">
        <w:rPr>
          <w:sz w:val="23"/>
          <w:szCs w:val="23"/>
        </w:rPr>
        <w:t>,</w:t>
      </w:r>
      <w:r>
        <w:rPr>
          <w:sz w:val="23"/>
          <w:szCs w:val="23"/>
        </w:rPr>
        <w:t>742. In 2019, the amount transferred to voivodship marshals for this purpose will be doubled in relation to 2018 and will amount to 1,600,000 PLN.</w:t>
      </w:r>
    </w:p>
    <w:p w14:paraId="3E8F950F" w14:textId="54EB3B02" w:rsidR="003672F7" w:rsidRPr="00F84C9D" w:rsidRDefault="003672F7" w:rsidP="003672F7">
      <w:pPr>
        <w:tabs>
          <w:tab w:val="left" w:pos="2464"/>
        </w:tabs>
        <w:spacing w:after="120" w:line="480" w:lineRule="auto"/>
        <w:ind w:firstLine="709"/>
        <w:jc w:val="both"/>
        <w:rPr>
          <w:sz w:val="23"/>
          <w:szCs w:val="23"/>
        </w:rPr>
      </w:pPr>
      <w:r>
        <w:rPr>
          <w:sz w:val="23"/>
          <w:szCs w:val="23"/>
        </w:rPr>
        <w:t xml:space="preserve">It should also be noted that the Government of the Republic of Poland has </w:t>
      </w:r>
      <w:r w:rsidR="005F3BE4">
        <w:rPr>
          <w:sz w:val="23"/>
          <w:szCs w:val="23"/>
        </w:rPr>
        <w:t>taken significant measures in order to implement the judgments of the European Court of Human Rights in Strasbourg, where Court found a violation of Article 3 of the European Convention on Human Rights</w:t>
      </w:r>
      <w:r>
        <w:rPr>
          <w:sz w:val="23"/>
          <w:szCs w:val="23"/>
        </w:rPr>
        <w:t xml:space="preserve">, both in terms of amending the law and existing practice, as well as awareness-raising and educational activities directed at responsible entities. </w:t>
      </w:r>
      <w:r w:rsidR="00C6760B">
        <w:rPr>
          <w:sz w:val="23"/>
          <w:szCs w:val="23"/>
        </w:rPr>
        <w:t>In this context, it is vital to mention</w:t>
      </w:r>
      <w:r>
        <w:rPr>
          <w:sz w:val="23"/>
          <w:szCs w:val="23"/>
        </w:rPr>
        <w:t xml:space="preserve"> the cases of </w:t>
      </w:r>
      <w:proofErr w:type="spellStart"/>
      <w:r>
        <w:rPr>
          <w:sz w:val="23"/>
          <w:szCs w:val="23"/>
        </w:rPr>
        <w:t>Dzwonkowski</w:t>
      </w:r>
      <w:proofErr w:type="spellEnd"/>
      <w:r>
        <w:rPr>
          <w:sz w:val="23"/>
          <w:szCs w:val="23"/>
        </w:rPr>
        <w:t xml:space="preserve"> v. Poland, </w:t>
      </w:r>
      <w:proofErr w:type="spellStart"/>
      <w:r>
        <w:rPr>
          <w:sz w:val="23"/>
          <w:szCs w:val="23"/>
        </w:rPr>
        <w:t>Orchowski</w:t>
      </w:r>
      <w:proofErr w:type="spellEnd"/>
      <w:r>
        <w:rPr>
          <w:sz w:val="23"/>
          <w:szCs w:val="23"/>
        </w:rPr>
        <w:t xml:space="preserve"> v. Poland, and </w:t>
      </w:r>
      <w:proofErr w:type="spellStart"/>
      <w:r>
        <w:rPr>
          <w:sz w:val="23"/>
          <w:szCs w:val="23"/>
        </w:rPr>
        <w:t>Kaprykowski</w:t>
      </w:r>
      <w:proofErr w:type="spellEnd"/>
      <w:r>
        <w:rPr>
          <w:sz w:val="23"/>
          <w:szCs w:val="23"/>
        </w:rPr>
        <w:t xml:space="preserve"> v. Poland. Supervision over the execution of the above-mentioned judgments was completed by the Committee of Ministers in 2016.</w:t>
      </w:r>
    </w:p>
    <w:p w14:paraId="2556234A" w14:textId="3A966EE6" w:rsidR="003672F7" w:rsidRPr="00F84C9D" w:rsidRDefault="00C6760B" w:rsidP="003672F7">
      <w:pPr>
        <w:tabs>
          <w:tab w:val="left" w:pos="2464"/>
        </w:tabs>
        <w:spacing w:after="120" w:line="480" w:lineRule="auto"/>
        <w:ind w:firstLine="709"/>
        <w:jc w:val="both"/>
        <w:rPr>
          <w:sz w:val="23"/>
          <w:szCs w:val="23"/>
        </w:rPr>
      </w:pPr>
      <w:r>
        <w:rPr>
          <w:sz w:val="23"/>
          <w:szCs w:val="23"/>
        </w:rPr>
        <w:lastRenderedPageBreak/>
        <w:t>The</w:t>
      </w:r>
      <w:r w:rsidR="003672F7">
        <w:rPr>
          <w:sz w:val="23"/>
          <w:szCs w:val="23"/>
        </w:rPr>
        <w:t xml:space="preserve"> activities</w:t>
      </w:r>
      <w:r>
        <w:rPr>
          <w:sz w:val="23"/>
          <w:szCs w:val="23"/>
        </w:rPr>
        <w:t xml:space="preserve"> of the Ministry of Foreign Affairs</w:t>
      </w:r>
      <w:r w:rsidR="003672F7">
        <w:rPr>
          <w:sz w:val="23"/>
          <w:szCs w:val="23"/>
        </w:rPr>
        <w:t xml:space="preserve"> aim</w:t>
      </w:r>
      <w:r>
        <w:rPr>
          <w:sz w:val="23"/>
          <w:szCs w:val="23"/>
        </w:rPr>
        <w:t>ing to raise</w:t>
      </w:r>
      <w:r w:rsidR="003672F7">
        <w:rPr>
          <w:sz w:val="23"/>
          <w:szCs w:val="23"/>
        </w:rPr>
        <w:t xml:space="preserve"> awareness in terms of international standards of human rights protection of persons deprived of liberty</w:t>
      </w:r>
      <w:r>
        <w:rPr>
          <w:sz w:val="23"/>
          <w:szCs w:val="23"/>
        </w:rPr>
        <w:t xml:space="preserve"> included</w:t>
      </w:r>
      <w:r w:rsidR="003672F7">
        <w:rPr>
          <w:sz w:val="23"/>
          <w:szCs w:val="23"/>
        </w:rPr>
        <w:t xml:space="preserve"> organis</w:t>
      </w:r>
      <w:r>
        <w:rPr>
          <w:sz w:val="23"/>
          <w:szCs w:val="23"/>
        </w:rPr>
        <w:t>ation, in cooperation with the Central Board of Prison Service</w:t>
      </w:r>
      <w:r w:rsidDel="00C6760B">
        <w:rPr>
          <w:sz w:val="23"/>
          <w:szCs w:val="23"/>
        </w:rPr>
        <w:t xml:space="preserve"> </w:t>
      </w:r>
      <w:r>
        <w:rPr>
          <w:sz w:val="23"/>
          <w:szCs w:val="23"/>
        </w:rPr>
        <w:t>,</w:t>
      </w:r>
      <w:r w:rsidR="003672F7">
        <w:rPr>
          <w:sz w:val="23"/>
          <w:szCs w:val="23"/>
        </w:rPr>
        <w:t xml:space="preserve"> the </w:t>
      </w:r>
      <w:r w:rsidR="00E150A6">
        <w:rPr>
          <w:sz w:val="23"/>
          <w:szCs w:val="23"/>
        </w:rPr>
        <w:t>10</w:t>
      </w:r>
      <w:r w:rsidR="00E150A6" w:rsidRPr="00825AB5">
        <w:rPr>
          <w:sz w:val="23"/>
          <w:szCs w:val="23"/>
          <w:vertAlign w:val="superscript"/>
        </w:rPr>
        <w:t>th</w:t>
      </w:r>
      <w:r w:rsidR="003672F7">
        <w:rPr>
          <w:sz w:val="23"/>
          <w:szCs w:val="23"/>
        </w:rPr>
        <w:t xml:space="preserve"> Warsaw Seminar entitled </w:t>
      </w:r>
      <w:r w:rsidR="00E150A6">
        <w:rPr>
          <w:sz w:val="23"/>
          <w:szCs w:val="23"/>
        </w:rPr>
        <w:t>‘</w:t>
      </w:r>
      <w:r w:rsidR="003672F7">
        <w:rPr>
          <w:sz w:val="23"/>
          <w:szCs w:val="23"/>
        </w:rPr>
        <w:t>Positive and negative state obligations towards persons deprived of their liberty – current challenges of the Polish penitentiary system</w:t>
      </w:r>
      <w:r w:rsidR="00E150A6">
        <w:rPr>
          <w:sz w:val="23"/>
          <w:szCs w:val="23"/>
        </w:rPr>
        <w:t>’</w:t>
      </w:r>
      <w:r>
        <w:rPr>
          <w:sz w:val="23"/>
          <w:szCs w:val="23"/>
        </w:rPr>
        <w:t xml:space="preserve"> on 14 October 2016.</w:t>
      </w:r>
      <w:r w:rsidR="003672F7">
        <w:rPr>
          <w:sz w:val="23"/>
          <w:szCs w:val="23"/>
        </w:rPr>
        <w:t xml:space="preserve"> The conference aimed at a thorough analysis of the contemporary penitentiary system in terms of the protection of human rights and the prohibition of torture and inhuman treatment, in particular in the context of applications to the European Court of Human Rights in Strasbourg concerning the rights of detainees. After the Seminar, a publication </w:t>
      </w:r>
      <w:r w:rsidR="00E150A6">
        <w:rPr>
          <w:sz w:val="23"/>
          <w:szCs w:val="23"/>
        </w:rPr>
        <w:t>with</w:t>
      </w:r>
      <w:r w:rsidR="003672F7">
        <w:rPr>
          <w:sz w:val="23"/>
          <w:szCs w:val="23"/>
        </w:rPr>
        <w:t xml:space="preserve"> papers delivered by panellists and document</w:t>
      </w:r>
      <w:r w:rsidR="00E150A6">
        <w:rPr>
          <w:sz w:val="23"/>
          <w:szCs w:val="23"/>
        </w:rPr>
        <w:t>ing</w:t>
      </w:r>
      <w:r w:rsidR="003672F7">
        <w:rPr>
          <w:sz w:val="23"/>
          <w:szCs w:val="23"/>
        </w:rPr>
        <w:t xml:space="preserve"> discussion</w:t>
      </w:r>
      <w:r w:rsidR="00E150A6">
        <w:rPr>
          <w:sz w:val="23"/>
          <w:szCs w:val="23"/>
        </w:rPr>
        <w:t xml:space="preserve">s </w:t>
      </w:r>
      <w:r w:rsidR="003672F7">
        <w:rPr>
          <w:sz w:val="23"/>
          <w:szCs w:val="23"/>
        </w:rPr>
        <w:t xml:space="preserve">was </w:t>
      </w:r>
      <w:r w:rsidR="00E150A6">
        <w:rPr>
          <w:sz w:val="23"/>
          <w:szCs w:val="23"/>
        </w:rPr>
        <w:t xml:space="preserve">published and </w:t>
      </w:r>
      <w:r w:rsidR="003672F7">
        <w:rPr>
          <w:sz w:val="23"/>
          <w:szCs w:val="23"/>
        </w:rPr>
        <w:t>widely disseminated, also within the prison service.</w:t>
      </w:r>
    </w:p>
    <w:p w14:paraId="74948241" w14:textId="268861D9" w:rsidR="003672F7" w:rsidRPr="00F84C9D" w:rsidRDefault="00E150A6" w:rsidP="003672F7">
      <w:pPr>
        <w:tabs>
          <w:tab w:val="left" w:pos="2464"/>
        </w:tabs>
        <w:spacing w:after="120" w:line="480" w:lineRule="auto"/>
        <w:ind w:firstLine="709"/>
        <w:jc w:val="both"/>
        <w:rPr>
          <w:sz w:val="23"/>
          <w:szCs w:val="23"/>
        </w:rPr>
      </w:pPr>
      <w:r>
        <w:rPr>
          <w:sz w:val="23"/>
          <w:szCs w:val="23"/>
        </w:rPr>
        <w:t xml:space="preserve">To ensure the fulfilment of the </w:t>
      </w:r>
      <w:r w:rsidR="003672F7">
        <w:rPr>
          <w:sz w:val="23"/>
          <w:szCs w:val="23"/>
        </w:rPr>
        <w:t>judgments of the Court of Justice in the case</w:t>
      </w:r>
      <w:r>
        <w:rPr>
          <w:sz w:val="23"/>
          <w:szCs w:val="23"/>
        </w:rPr>
        <w:t>s</w:t>
      </w:r>
      <w:r w:rsidR="003672F7">
        <w:rPr>
          <w:sz w:val="23"/>
          <w:szCs w:val="23"/>
        </w:rPr>
        <w:t xml:space="preserve"> </w:t>
      </w:r>
      <w:r>
        <w:rPr>
          <w:sz w:val="23"/>
          <w:szCs w:val="23"/>
        </w:rPr>
        <w:t xml:space="preserve">versus Poland </w:t>
      </w:r>
      <w:r w:rsidR="003672F7">
        <w:rPr>
          <w:sz w:val="23"/>
          <w:szCs w:val="23"/>
        </w:rPr>
        <w:t>concerning violations of Article 3 of the Convention are regularly translated. Additionally, in order to prevent possible violations, the judgment of the Court of Justice on torture and inhuman treatment or punishment in cases involving other countries are translated</w:t>
      </w:r>
      <w:r>
        <w:rPr>
          <w:sz w:val="23"/>
          <w:szCs w:val="23"/>
        </w:rPr>
        <w:t xml:space="preserve"> as well</w:t>
      </w:r>
      <w:r w:rsidR="003672F7">
        <w:rPr>
          <w:sz w:val="23"/>
          <w:szCs w:val="23"/>
        </w:rPr>
        <w:t>. The translations are being prepared within the framework of the Agreement on Translation</w:t>
      </w:r>
      <w:r w:rsidR="00590B20">
        <w:rPr>
          <w:sz w:val="23"/>
          <w:szCs w:val="23"/>
        </w:rPr>
        <w:t xml:space="preserve"> and Access to</w:t>
      </w:r>
      <w:r w:rsidR="003672F7">
        <w:rPr>
          <w:sz w:val="23"/>
          <w:szCs w:val="23"/>
        </w:rPr>
        <w:t xml:space="preserve"> the European Court of Human Rights</w:t>
      </w:r>
      <w:r w:rsidR="00590B20">
        <w:rPr>
          <w:sz w:val="23"/>
          <w:szCs w:val="23"/>
        </w:rPr>
        <w:t xml:space="preserve"> judgments</w:t>
      </w:r>
      <w:r w:rsidR="003672F7">
        <w:rPr>
          <w:sz w:val="23"/>
          <w:szCs w:val="23"/>
        </w:rPr>
        <w:t xml:space="preserve"> in Strasbourg signed on 24 March 2014 between the Minister of Justice, the Minister of Foreign Affairs, the Constitutional Tribunal and the Supreme Administrative Court, </w:t>
      </w:r>
      <w:r w:rsidR="00590B20">
        <w:rPr>
          <w:sz w:val="23"/>
          <w:szCs w:val="23"/>
        </w:rPr>
        <w:t>joined by</w:t>
      </w:r>
      <w:r w:rsidR="003672F7">
        <w:rPr>
          <w:sz w:val="23"/>
          <w:szCs w:val="23"/>
        </w:rPr>
        <w:t xml:space="preserve"> the Prosecutor-General on 31 August 2015.</w:t>
      </w:r>
    </w:p>
    <w:p w14:paraId="0055F68C" w14:textId="4FEE0E62" w:rsidR="003672F7" w:rsidRPr="00F84C9D" w:rsidRDefault="003672F7" w:rsidP="003672F7">
      <w:pPr>
        <w:tabs>
          <w:tab w:val="left" w:pos="2464"/>
        </w:tabs>
        <w:spacing w:after="120" w:line="480" w:lineRule="auto"/>
        <w:ind w:firstLine="709"/>
        <w:jc w:val="both"/>
        <w:rPr>
          <w:sz w:val="23"/>
          <w:szCs w:val="23"/>
        </w:rPr>
      </w:pPr>
      <w:r>
        <w:rPr>
          <w:sz w:val="23"/>
          <w:szCs w:val="23"/>
        </w:rPr>
        <w:t xml:space="preserve">As I do not want to take the time </w:t>
      </w:r>
      <w:r w:rsidR="00590B20">
        <w:rPr>
          <w:sz w:val="23"/>
          <w:szCs w:val="23"/>
        </w:rPr>
        <w:t xml:space="preserve">necessary </w:t>
      </w:r>
      <w:r>
        <w:rPr>
          <w:sz w:val="23"/>
          <w:szCs w:val="23"/>
        </w:rPr>
        <w:t xml:space="preserve">to consider the latest Periodic Report of the Government of the Republic of Poland on the implementation of the UN Convention against Torture and Other Cruel, Inhuman or Degrading Treatment or Punishment for 2014–2017, let me limit my speech to the above </w:t>
      </w:r>
      <w:r w:rsidR="00590B20">
        <w:rPr>
          <w:sz w:val="23"/>
          <w:szCs w:val="23"/>
        </w:rPr>
        <w:t>observations</w:t>
      </w:r>
      <w:r>
        <w:rPr>
          <w:sz w:val="23"/>
          <w:szCs w:val="23"/>
        </w:rPr>
        <w:t xml:space="preserve">. The members of the Polish delegation present in the room will do their utmost to </w:t>
      </w:r>
      <w:r w:rsidR="00590B20">
        <w:rPr>
          <w:sz w:val="23"/>
          <w:szCs w:val="23"/>
        </w:rPr>
        <w:t>answer</w:t>
      </w:r>
      <w:r>
        <w:rPr>
          <w:sz w:val="23"/>
          <w:szCs w:val="23"/>
        </w:rPr>
        <w:t xml:space="preserve"> questions of the Committee members</w:t>
      </w:r>
      <w:r w:rsidR="00590B20">
        <w:rPr>
          <w:sz w:val="23"/>
          <w:szCs w:val="23"/>
        </w:rPr>
        <w:t xml:space="preserve"> in comprehensive manner</w:t>
      </w:r>
      <w:r>
        <w:rPr>
          <w:sz w:val="23"/>
          <w:szCs w:val="23"/>
        </w:rPr>
        <w:t xml:space="preserve">. </w:t>
      </w:r>
    </w:p>
    <w:p w14:paraId="0471C944" w14:textId="025C9991" w:rsidR="003672F7" w:rsidRPr="003672F7" w:rsidRDefault="003672F7" w:rsidP="00825AB5">
      <w:pPr>
        <w:tabs>
          <w:tab w:val="left" w:pos="2464"/>
        </w:tabs>
        <w:spacing w:after="120" w:line="480" w:lineRule="auto"/>
        <w:ind w:firstLine="709"/>
        <w:jc w:val="both"/>
        <w:rPr>
          <w:sz w:val="23"/>
          <w:szCs w:val="23"/>
        </w:rPr>
      </w:pPr>
      <w:r>
        <w:rPr>
          <w:sz w:val="23"/>
          <w:szCs w:val="23"/>
        </w:rPr>
        <w:lastRenderedPageBreak/>
        <w:t xml:space="preserve">I wish the members of the Committee </w:t>
      </w:r>
      <w:r w:rsidR="00590B20">
        <w:rPr>
          <w:sz w:val="23"/>
          <w:szCs w:val="23"/>
        </w:rPr>
        <w:t xml:space="preserve">a </w:t>
      </w:r>
      <w:r>
        <w:rPr>
          <w:sz w:val="23"/>
          <w:szCs w:val="23"/>
        </w:rPr>
        <w:t xml:space="preserve">productive discussion, and I am giving the floor to the Chairman. </w:t>
      </w:r>
    </w:p>
    <w:sectPr w:rsidR="003672F7" w:rsidRPr="003672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45A"/>
    <w:rsid w:val="00014ACB"/>
    <w:rsid w:val="00045642"/>
    <w:rsid w:val="00084EFC"/>
    <w:rsid w:val="000944F2"/>
    <w:rsid w:val="00112E07"/>
    <w:rsid w:val="001504E4"/>
    <w:rsid w:val="00150B4A"/>
    <w:rsid w:val="001511A7"/>
    <w:rsid w:val="00193CDF"/>
    <w:rsid w:val="001C2687"/>
    <w:rsid w:val="001E6765"/>
    <w:rsid w:val="00215857"/>
    <w:rsid w:val="002400E3"/>
    <w:rsid w:val="00256395"/>
    <w:rsid w:val="002E224A"/>
    <w:rsid w:val="002F3040"/>
    <w:rsid w:val="00353BCC"/>
    <w:rsid w:val="003672F7"/>
    <w:rsid w:val="0039344E"/>
    <w:rsid w:val="003A3FBF"/>
    <w:rsid w:val="003D3EA6"/>
    <w:rsid w:val="003D7F45"/>
    <w:rsid w:val="003F689C"/>
    <w:rsid w:val="00445408"/>
    <w:rsid w:val="00474589"/>
    <w:rsid w:val="004906A7"/>
    <w:rsid w:val="004D150E"/>
    <w:rsid w:val="004E5573"/>
    <w:rsid w:val="00512532"/>
    <w:rsid w:val="00520759"/>
    <w:rsid w:val="005240E8"/>
    <w:rsid w:val="00546200"/>
    <w:rsid w:val="00590B20"/>
    <w:rsid w:val="005A4FB0"/>
    <w:rsid w:val="005A7115"/>
    <w:rsid w:val="005E070B"/>
    <w:rsid w:val="005F3BE4"/>
    <w:rsid w:val="006144B0"/>
    <w:rsid w:val="00650249"/>
    <w:rsid w:val="006651E8"/>
    <w:rsid w:val="006733F2"/>
    <w:rsid w:val="00685C86"/>
    <w:rsid w:val="006B4066"/>
    <w:rsid w:val="006C79C0"/>
    <w:rsid w:val="0071585F"/>
    <w:rsid w:val="00726E77"/>
    <w:rsid w:val="00731379"/>
    <w:rsid w:val="007636B9"/>
    <w:rsid w:val="00765C83"/>
    <w:rsid w:val="0077119B"/>
    <w:rsid w:val="007B1EEF"/>
    <w:rsid w:val="007C734C"/>
    <w:rsid w:val="007D55D2"/>
    <w:rsid w:val="007D5ACD"/>
    <w:rsid w:val="00825AB5"/>
    <w:rsid w:val="00874024"/>
    <w:rsid w:val="008A0654"/>
    <w:rsid w:val="008D375E"/>
    <w:rsid w:val="0099774F"/>
    <w:rsid w:val="009A245A"/>
    <w:rsid w:val="009B41C7"/>
    <w:rsid w:val="009D5A7C"/>
    <w:rsid w:val="009E6849"/>
    <w:rsid w:val="00A05BF3"/>
    <w:rsid w:val="00A96F7D"/>
    <w:rsid w:val="00AA5486"/>
    <w:rsid w:val="00AA57CD"/>
    <w:rsid w:val="00B06D9B"/>
    <w:rsid w:val="00B257CB"/>
    <w:rsid w:val="00B338D9"/>
    <w:rsid w:val="00B34749"/>
    <w:rsid w:val="00B579C5"/>
    <w:rsid w:val="00B66CFC"/>
    <w:rsid w:val="00B92A11"/>
    <w:rsid w:val="00BD3CDE"/>
    <w:rsid w:val="00C1349B"/>
    <w:rsid w:val="00C16C74"/>
    <w:rsid w:val="00C6760B"/>
    <w:rsid w:val="00C8336F"/>
    <w:rsid w:val="00CB2B3C"/>
    <w:rsid w:val="00CE28DF"/>
    <w:rsid w:val="00D20AD5"/>
    <w:rsid w:val="00D64642"/>
    <w:rsid w:val="00D91DCB"/>
    <w:rsid w:val="00DA1F93"/>
    <w:rsid w:val="00DA7140"/>
    <w:rsid w:val="00E150A6"/>
    <w:rsid w:val="00E33E0A"/>
    <w:rsid w:val="00E4554C"/>
    <w:rsid w:val="00E56DCB"/>
    <w:rsid w:val="00E72022"/>
    <w:rsid w:val="00FC6D8F"/>
    <w:rsid w:val="00FF37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75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link w:val="TekstkomentarzaZnak"/>
    <w:uiPriority w:val="99"/>
    <w:semiHidden/>
    <w:unhideWhenUsed/>
    <w:rsid w:val="003672F7"/>
    <w:pPr>
      <w:spacing w:after="160" w:line="240" w:lineRule="auto"/>
    </w:pPr>
    <w:rPr>
      <w:sz w:val="20"/>
      <w:szCs w:val="20"/>
    </w:rPr>
  </w:style>
  <w:style w:type="character" w:customStyle="1" w:styleId="TekstkomentarzaZnak">
    <w:name w:val="Tekst komentarza Znak"/>
    <w:basedOn w:val="Domylnaczcionkaakapitu"/>
    <w:link w:val="Tekstkomentarza"/>
    <w:uiPriority w:val="99"/>
    <w:semiHidden/>
    <w:rsid w:val="003672F7"/>
    <w:rPr>
      <w:sz w:val="20"/>
      <w:szCs w:val="20"/>
    </w:rPr>
  </w:style>
  <w:style w:type="character" w:styleId="Odwoaniedokomentarza">
    <w:name w:val="annotation reference"/>
    <w:uiPriority w:val="99"/>
    <w:semiHidden/>
    <w:unhideWhenUsed/>
    <w:rsid w:val="003672F7"/>
    <w:rPr>
      <w:sz w:val="16"/>
      <w:szCs w:val="16"/>
    </w:rPr>
  </w:style>
  <w:style w:type="paragraph" w:styleId="Tekstdymka">
    <w:name w:val="Balloon Text"/>
    <w:basedOn w:val="Normalny"/>
    <w:link w:val="TekstdymkaZnak"/>
    <w:uiPriority w:val="99"/>
    <w:semiHidden/>
    <w:unhideWhenUsed/>
    <w:rsid w:val="003672F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72F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link w:val="TekstkomentarzaZnak"/>
    <w:uiPriority w:val="99"/>
    <w:semiHidden/>
    <w:unhideWhenUsed/>
    <w:rsid w:val="003672F7"/>
    <w:pPr>
      <w:spacing w:after="160" w:line="240" w:lineRule="auto"/>
    </w:pPr>
    <w:rPr>
      <w:sz w:val="20"/>
      <w:szCs w:val="20"/>
    </w:rPr>
  </w:style>
  <w:style w:type="character" w:customStyle="1" w:styleId="TekstkomentarzaZnak">
    <w:name w:val="Tekst komentarza Znak"/>
    <w:basedOn w:val="Domylnaczcionkaakapitu"/>
    <w:link w:val="Tekstkomentarza"/>
    <w:uiPriority w:val="99"/>
    <w:semiHidden/>
    <w:rsid w:val="003672F7"/>
    <w:rPr>
      <w:sz w:val="20"/>
      <w:szCs w:val="20"/>
    </w:rPr>
  </w:style>
  <w:style w:type="character" w:styleId="Odwoaniedokomentarza">
    <w:name w:val="annotation reference"/>
    <w:uiPriority w:val="99"/>
    <w:semiHidden/>
    <w:unhideWhenUsed/>
    <w:rsid w:val="003672F7"/>
    <w:rPr>
      <w:sz w:val="16"/>
      <w:szCs w:val="16"/>
    </w:rPr>
  </w:style>
  <w:style w:type="paragraph" w:styleId="Tekstdymka">
    <w:name w:val="Balloon Text"/>
    <w:basedOn w:val="Normalny"/>
    <w:link w:val="TekstdymkaZnak"/>
    <w:uiPriority w:val="99"/>
    <w:semiHidden/>
    <w:unhideWhenUsed/>
    <w:rsid w:val="003672F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72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9E883B-7411-43BD-B2F3-225FD036DD09}">
  <ds:schemaRefs>
    <ds:schemaRef ds:uri="http://schemas.openxmlformats.org/officeDocument/2006/bibliography"/>
  </ds:schemaRefs>
</ds:datastoreItem>
</file>

<file path=customXml/itemProps2.xml><?xml version="1.0" encoding="utf-8"?>
<ds:datastoreItem xmlns:ds="http://schemas.openxmlformats.org/officeDocument/2006/customXml" ds:itemID="{033798D0-CE81-466B-869E-C1B95EBBA647}"/>
</file>

<file path=customXml/itemProps3.xml><?xml version="1.0" encoding="utf-8"?>
<ds:datastoreItem xmlns:ds="http://schemas.openxmlformats.org/officeDocument/2006/customXml" ds:itemID="{44BAA54C-1924-42EE-A085-B2A9C77B5B6B}"/>
</file>

<file path=customXml/itemProps4.xml><?xml version="1.0" encoding="utf-8"?>
<ds:datastoreItem xmlns:ds="http://schemas.openxmlformats.org/officeDocument/2006/customXml" ds:itemID="{B7A38683-BBF7-4199-A574-AA63F92C135A}"/>
</file>

<file path=docProps/app.xml><?xml version="1.0" encoding="utf-8"?>
<Properties xmlns="http://schemas.openxmlformats.org/officeDocument/2006/extended-properties" xmlns:vt="http://schemas.openxmlformats.org/officeDocument/2006/docPropsVTypes">
  <Template>Normal</Template>
  <TotalTime>1</TotalTime>
  <Pages>7</Pages>
  <Words>1780</Words>
  <Characters>10683</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12439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Charkiewicz Piotr  (DWMPC)</dc:creator>
  <cp:lastModifiedBy>Kaczor Paweł  (DWMPC)</cp:lastModifiedBy>
  <cp:revision>2</cp:revision>
  <dcterms:created xsi:type="dcterms:W3CDTF">2019-07-19T12:43:00Z</dcterms:created>
  <dcterms:modified xsi:type="dcterms:W3CDTF">2019-07-19T12:43:00Z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