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fill="FFFFFF"/>
        <w:spacing w:line="240" w:lineRule="auto"/>
        <w:jc w:val="right"/>
        <w:rPr>
          <w:rFonts w:ascii="Times New Roman" w:hAnsi="Times New Roman" w:eastAsia="Times New Roman" w:cs="Times New Roman"/>
          <w:b/>
          <w:i/>
          <w:sz w:val="24"/>
          <w:szCs w:val="24"/>
          <w:u w:val="single"/>
        </w:rPr>
      </w:pPr>
      <w:r>
        <w:rPr>
          <w:rFonts w:ascii="Times New Roman" w:hAnsi="Times New Roman" w:eastAsia="Times New Roman" w:cs="Times New Roman"/>
          <w:b/>
          <w:i/>
          <w:sz w:val="24"/>
          <w:szCs w:val="24"/>
          <w:u w:val="single"/>
          <w:rtl w:val="0"/>
        </w:rPr>
        <w:t>Check against delivery</w:t>
      </w:r>
    </w:p>
    <w:p>
      <w:pPr>
        <w:shd w:val="clear" w:fill="FFFFFF"/>
        <w:spacing w:line="240" w:lineRule="auto"/>
        <w:jc w:val="center"/>
        <w:rPr>
          <w:rFonts w:ascii="Times New Roman" w:hAnsi="Times New Roman" w:eastAsia="Times New Roman" w:cs="Times New Roman"/>
          <w:b/>
          <w:sz w:val="24"/>
          <w:szCs w:val="24"/>
        </w:rPr>
      </w:pPr>
    </w:p>
    <w:p>
      <w:pPr>
        <w:shd w:val="clear" w:fill="FFFFFF"/>
        <w:spacing w:line="240" w:lineRule="auto"/>
        <w:jc w:val="center"/>
        <w:rPr>
          <w:rFonts w:ascii="Times New Roman" w:hAnsi="Times New Roman" w:eastAsia="Times New Roman" w:cs="Times New Roman"/>
          <w:b/>
          <w:sz w:val="24"/>
          <w:szCs w:val="24"/>
        </w:rPr>
      </w:pPr>
    </w:p>
    <w:p>
      <w:pPr>
        <w:shd w:val="clear" w:fill="FFFFFF"/>
        <w:spacing w:line="240" w:lineRule="auto"/>
        <w:jc w:val="center"/>
        <w:rPr>
          <w:rFonts w:ascii="Times New Roman" w:hAnsi="Times New Roman" w:eastAsia="Times New Roman" w:cs="Times New Roman"/>
          <w:b/>
          <w:sz w:val="24"/>
          <w:szCs w:val="24"/>
        </w:rPr>
      </w:pPr>
    </w:p>
    <w:p>
      <w:pPr>
        <w:shd w:val="clear" w:fill="FFFFFF"/>
        <w:spacing w:line="240" w:lineRule="auto"/>
        <w:jc w:val="center"/>
        <w:rPr>
          <w:rFonts w:ascii="Times New Roman" w:hAnsi="Times New Roman" w:eastAsia="Times New Roman" w:cs="Times New Roman"/>
          <w:b/>
          <w:sz w:val="24"/>
          <w:szCs w:val="24"/>
        </w:rPr>
      </w:pPr>
    </w:p>
    <w:p>
      <w:pPr>
        <w:shd w:val="clear" w:fill="FFFFFF"/>
        <w:spacing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drawing>
          <wp:inline distT="114300" distB="114300" distL="114300" distR="114300">
            <wp:extent cx="2990215" cy="197104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2990775" cy="1971192"/>
                    </a:xfrm>
                    <a:prstGeom prst="rect">
                      <a:avLst/>
                    </a:prstGeom>
                  </pic:spPr>
                </pic:pic>
              </a:graphicData>
            </a:graphic>
          </wp:inline>
        </w:drawing>
      </w:r>
    </w:p>
    <w:p>
      <w:pPr>
        <w:shd w:val="clear" w:fill="FFFFFF"/>
        <w:spacing w:line="240" w:lineRule="auto"/>
        <w:jc w:val="center"/>
        <w:rPr>
          <w:rFonts w:ascii="Times New Roman" w:hAnsi="Times New Roman" w:eastAsia="Times New Roman" w:cs="Times New Roman"/>
          <w:b/>
          <w:sz w:val="24"/>
          <w:szCs w:val="24"/>
        </w:rPr>
      </w:pPr>
    </w:p>
    <w:p>
      <w:pPr>
        <w:shd w:val="clear" w:fill="FFFFFF"/>
        <w:spacing w:line="240" w:lineRule="auto"/>
        <w:jc w:val="center"/>
        <w:rPr>
          <w:rFonts w:ascii="Times New Roman" w:hAnsi="Times New Roman" w:eastAsia="Times New Roman" w:cs="Times New Roman"/>
          <w:b/>
          <w:sz w:val="24"/>
          <w:szCs w:val="24"/>
        </w:rPr>
      </w:pPr>
    </w:p>
    <w:p>
      <w:pPr>
        <w:shd w:val="clear" w:fill="FFFFFF"/>
        <w:spacing w:line="240" w:lineRule="auto"/>
        <w:jc w:val="center"/>
        <w:rPr>
          <w:rFonts w:ascii="Times New Roman" w:hAnsi="Times New Roman" w:eastAsia="Times New Roman" w:cs="Times New Roman"/>
          <w:b/>
          <w:sz w:val="24"/>
          <w:szCs w:val="24"/>
        </w:rPr>
      </w:pPr>
    </w:p>
    <w:p>
      <w:pPr>
        <w:shd w:val="clear" w:fill="FFFFFF"/>
        <w:spacing w:line="240" w:lineRule="auto"/>
        <w:jc w:val="center"/>
        <w:rPr>
          <w:rFonts w:ascii="Times New Roman" w:hAnsi="Times New Roman" w:eastAsia="Times New Roman" w:cs="Times New Roman"/>
          <w:b/>
          <w:sz w:val="24"/>
          <w:szCs w:val="24"/>
        </w:rPr>
      </w:pPr>
    </w:p>
    <w:p>
      <w:pPr>
        <w:shd w:val="clear" w:fill="FFFFFF"/>
        <w:spacing w:line="240" w:lineRule="auto"/>
        <w:jc w:val="center"/>
        <w:rPr>
          <w:rFonts w:ascii="Times New Roman" w:hAnsi="Times New Roman" w:eastAsia="Times New Roman" w:cs="Times New Roman"/>
          <w:b/>
          <w:sz w:val="24"/>
          <w:szCs w:val="24"/>
        </w:rPr>
      </w:pPr>
    </w:p>
    <w:p>
      <w:pPr>
        <w:shd w:val="clear" w:fill="FFFFFF"/>
        <w:spacing w:line="360" w:lineRule="auto"/>
        <w:jc w:val="center"/>
        <w:rPr>
          <w:rFonts w:ascii="Times New Roman" w:hAnsi="Times New Roman" w:eastAsia="Times New Roman" w:cs="Times New Roman"/>
          <w:b/>
          <w:sz w:val="32"/>
          <w:szCs w:val="32"/>
        </w:rPr>
      </w:pPr>
      <w:r>
        <w:rPr>
          <w:rFonts w:ascii="Times New Roman" w:hAnsi="Times New Roman" w:eastAsia="Times New Roman" w:cs="Times New Roman"/>
          <w:b/>
          <w:sz w:val="32"/>
          <w:szCs w:val="32"/>
          <w:rtl w:val="0"/>
        </w:rPr>
        <w:t>Statement by Ms. Kesang Deki</w:t>
      </w:r>
    </w:p>
    <w:p>
      <w:pPr>
        <w:shd w:val="clear" w:fill="FFFFFF"/>
        <w:spacing w:line="360" w:lineRule="auto"/>
        <w:jc w:val="center"/>
        <w:rPr>
          <w:rFonts w:ascii="Times New Roman" w:hAnsi="Times New Roman" w:eastAsia="Times New Roman" w:cs="Times New Roman"/>
          <w:b/>
          <w:sz w:val="32"/>
          <w:szCs w:val="32"/>
        </w:rPr>
      </w:pPr>
      <w:r>
        <w:rPr>
          <w:rFonts w:ascii="Times New Roman" w:hAnsi="Times New Roman" w:eastAsia="Times New Roman" w:cs="Times New Roman"/>
          <w:b/>
          <w:sz w:val="32"/>
          <w:szCs w:val="32"/>
          <w:rtl w:val="0"/>
        </w:rPr>
        <w:t xml:space="preserve"> Cabinet Secretary and Leader of the Delegation </w:t>
      </w:r>
    </w:p>
    <w:p>
      <w:pPr>
        <w:shd w:val="clear" w:fill="FFFFFF"/>
        <w:spacing w:line="360" w:lineRule="auto"/>
        <w:jc w:val="center"/>
        <w:rPr>
          <w:rFonts w:ascii="Times New Roman" w:hAnsi="Times New Roman" w:eastAsia="Times New Roman" w:cs="Times New Roman"/>
          <w:b/>
          <w:sz w:val="32"/>
          <w:szCs w:val="32"/>
        </w:rPr>
      </w:pPr>
      <w:r>
        <w:rPr>
          <w:rFonts w:ascii="Times New Roman" w:hAnsi="Times New Roman" w:eastAsia="Times New Roman" w:cs="Times New Roman"/>
          <w:b/>
          <w:sz w:val="32"/>
          <w:szCs w:val="32"/>
          <w:rtl w:val="0"/>
        </w:rPr>
        <w:t xml:space="preserve">of the Kingdom of Bhutan </w:t>
      </w:r>
    </w:p>
    <w:p>
      <w:pPr>
        <w:shd w:val="clear" w:fill="FFFFFF"/>
        <w:spacing w:line="360" w:lineRule="auto"/>
        <w:jc w:val="center"/>
        <w:rPr>
          <w:rFonts w:ascii="Times New Roman" w:hAnsi="Times New Roman" w:eastAsia="Times New Roman" w:cs="Times New Roman"/>
          <w:b/>
          <w:sz w:val="32"/>
          <w:szCs w:val="32"/>
        </w:rPr>
      </w:pPr>
      <w:r>
        <w:rPr>
          <w:rFonts w:ascii="Times New Roman" w:hAnsi="Times New Roman" w:eastAsia="Times New Roman" w:cs="Times New Roman"/>
          <w:b/>
          <w:sz w:val="32"/>
          <w:szCs w:val="32"/>
          <w:rtl w:val="0"/>
        </w:rPr>
        <w:t xml:space="preserve">to the 86th Session of the Committee on the Convention on the Elimination of All Forms of Discrimination Against Women </w:t>
      </w:r>
    </w:p>
    <w:p>
      <w:pPr>
        <w:shd w:val="clear" w:fill="FFFFFF"/>
        <w:spacing w:line="240" w:lineRule="auto"/>
        <w:jc w:val="center"/>
        <w:rPr>
          <w:rFonts w:ascii="Times New Roman" w:hAnsi="Times New Roman" w:eastAsia="Times New Roman" w:cs="Times New Roman"/>
          <w:b/>
          <w:sz w:val="32"/>
          <w:szCs w:val="32"/>
        </w:rPr>
      </w:pPr>
    </w:p>
    <w:p>
      <w:pPr>
        <w:shd w:val="clear" w:fill="FFFFFF"/>
        <w:spacing w:line="240" w:lineRule="auto"/>
        <w:jc w:val="center"/>
        <w:rPr>
          <w:rFonts w:ascii="Times New Roman" w:hAnsi="Times New Roman" w:eastAsia="Times New Roman" w:cs="Times New Roman"/>
          <w:b/>
          <w:sz w:val="32"/>
          <w:szCs w:val="32"/>
        </w:rPr>
      </w:pPr>
      <w:r>
        <w:rPr>
          <w:rFonts w:ascii="Times New Roman" w:hAnsi="Times New Roman" w:eastAsia="Times New Roman" w:cs="Times New Roman"/>
          <w:b/>
          <w:sz w:val="32"/>
          <w:szCs w:val="32"/>
          <w:rtl w:val="0"/>
        </w:rPr>
        <w:t>10 October 2023</w:t>
      </w:r>
    </w:p>
    <w:p>
      <w:pPr>
        <w:shd w:val="clear" w:fill="FFFFFF"/>
        <w:spacing w:line="240" w:lineRule="auto"/>
        <w:jc w:val="center"/>
        <w:rPr>
          <w:rFonts w:ascii="Times New Roman" w:hAnsi="Times New Roman" w:eastAsia="Times New Roman" w:cs="Times New Roman"/>
          <w:b/>
          <w:sz w:val="32"/>
          <w:szCs w:val="32"/>
        </w:rPr>
      </w:pPr>
      <w:r>
        <w:rPr>
          <w:rFonts w:ascii="Times New Roman" w:hAnsi="Times New Roman" w:eastAsia="Times New Roman" w:cs="Times New Roman"/>
          <w:b/>
          <w:sz w:val="32"/>
          <w:szCs w:val="32"/>
          <w:rtl w:val="0"/>
        </w:rPr>
        <w:t>Geneva, Switzerland</w:t>
      </w:r>
    </w:p>
    <w:p>
      <w:pPr>
        <w:shd w:val="clear" w:fill="FFFFFF"/>
        <w:spacing w:before="200" w:after="240" w:line="240" w:lineRule="auto"/>
        <w:jc w:val="both"/>
        <w:rPr>
          <w:rFonts w:ascii="Times New Roman" w:hAnsi="Times New Roman" w:eastAsia="Times New Roman" w:cs="Times New Roman"/>
          <w:b/>
          <w:sz w:val="24"/>
          <w:szCs w:val="24"/>
        </w:rPr>
      </w:pPr>
      <w:r>
        <w:br w:type="page"/>
      </w:r>
      <w:r>
        <w:rPr>
          <w:rFonts w:ascii="Times New Roman" w:hAnsi="Times New Roman" w:eastAsia="Times New Roman" w:cs="Times New Roman"/>
          <w:b/>
          <w:sz w:val="24"/>
          <w:szCs w:val="24"/>
          <w:rtl w:val="0"/>
        </w:rPr>
        <w:t xml:space="preserve"> </w:t>
      </w:r>
    </w:p>
    <w:p>
      <w:pPr>
        <w:shd w:val="clear" w:fill="FFFFFF"/>
        <w:spacing w:before="200" w:after="24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Madam Chair, </w:t>
      </w:r>
    </w:p>
    <w:p>
      <w:pPr>
        <w:shd w:val="clear" w:fill="FFFFFF"/>
        <w:spacing w:after="30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Distinguished members of the Committee,</w:t>
      </w:r>
    </w:p>
    <w:p>
      <w:pPr>
        <w:shd w:val="clear" w:fill="FFFFFF"/>
        <w:spacing w:after="30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Representatives of CSOs,</w:t>
      </w:r>
    </w:p>
    <w:p>
      <w:pPr>
        <w:shd w:val="clear" w:fill="FFFFFF"/>
        <w:spacing w:after="30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Ladies and Gentlemen,</w:t>
      </w:r>
    </w:p>
    <w:p>
      <w:pPr>
        <w:shd w:val="clear" w:fill="FFFFFF"/>
        <w:spacing w:before="300" w:after="30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It is a great honor and privilege for me to lead the Bhutanese delegation to present the 10th Periodic </w:t>
      </w:r>
      <w:r>
        <w:rPr>
          <w:rFonts w:ascii="Times New Roman" w:hAnsi="Times New Roman" w:eastAsia="Times New Roman" w:cs="Times New Roman"/>
          <w:b/>
          <w:sz w:val="24"/>
          <w:szCs w:val="24"/>
          <w:rtl w:val="0"/>
        </w:rPr>
        <w:t>Report of Bhutan to the Convention on the Elimination of Discrimination against Women.</w:t>
      </w:r>
      <w:r>
        <w:rPr>
          <w:rFonts w:ascii="Times New Roman" w:hAnsi="Times New Roman" w:eastAsia="Times New Roman" w:cs="Times New Roman"/>
          <w:sz w:val="24"/>
          <w:szCs w:val="24"/>
          <w:rtl w:val="0"/>
        </w:rPr>
        <w:t xml:space="preserve"> My delegation comprises representatives and experts from primary stakeholders involved in policy initiatives and implementation of the Convention in Bhutan. </w:t>
      </w:r>
    </w:p>
    <w:p>
      <w:pPr>
        <w:shd w:val="clear" w:fill="FFFFFF"/>
        <w:spacing w:before="300" w:after="30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Madam Chair, </w:t>
      </w:r>
    </w:p>
    <w:p>
      <w:pPr>
        <w:shd w:val="clear" w:fill="FFFFFF"/>
        <w:spacing w:before="300" w:after="30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Please allow me to introduce my delegation </w:t>
      </w:r>
    </w:p>
    <w:p>
      <w:pPr>
        <w:numPr>
          <w:ilvl w:val="0"/>
          <w:numId w:val="1"/>
        </w:numPr>
        <w:shd w:val="clear" w:fill="FFFFFF"/>
        <w:spacing w:before="300" w:after="0" w:afterAutospacing="0"/>
        <w:ind w:left="720" w:right="0" w:hanging="360"/>
        <w:jc w:val="both"/>
        <w:rPr>
          <w:sz w:val="24"/>
          <w:szCs w:val="24"/>
        </w:rPr>
      </w:pPr>
      <w:r>
        <w:rPr>
          <w:rFonts w:ascii="Times New Roman" w:hAnsi="Times New Roman" w:eastAsia="Times New Roman" w:cs="Times New Roman"/>
          <w:sz w:val="24"/>
          <w:szCs w:val="24"/>
          <w:rtl w:val="0"/>
        </w:rPr>
        <w:t>From the Secretariat to the</w:t>
      </w:r>
      <w:r>
        <w:rPr>
          <w:rFonts w:ascii="Times New Roman" w:hAnsi="Times New Roman" w:eastAsia="Times New Roman" w:cs="Times New Roman"/>
          <w:b/>
          <w:sz w:val="24"/>
          <w:szCs w:val="24"/>
          <w:rtl w:val="0"/>
        </w:rPr>
        <w:t xml:space="preserve"> </w:t>
      </w:r>
      <w:r>
        <w:rPr>
          <w:rFonts w:ascii="Times New Roman" w:hAnsi="Times New Roman" w:eastAsia="Times New Roman" w:cs="Times New Roman"/>
          <w:sz w:val="24"/>
          <w:szCs w:val="24"/>
          <w:rtl w:val="0"/>
        </w:rPr>
        <w:t xml:space="preserve">National Commission for Women and Children (NCWC): </w:t>
      </w:r>
      <w:r>
        <w:rPr>
          <w:rFonts w:ascii="Times New Roman" w:hAnsi="Times New Roman" w:eastAsia="Times New Roman" w:cs="Times New Roman"/>
          <w:b/>
          <w:sz w:val="24"/>
          <w:szCs w:val="24"/>
          <w:rtl w:val="0"/>
        </w:rPr>
        <w:t>Mr. Tashi Namgyal,</w:t>
      </w:r>
      <w:r>
        <w:rPr>
          <w:rFonts w:ascii="Times New Roman" w:hAnsi="Times New Roman" w:eastAsia="Times New Roman" w:cs="Times New Roman"/>
          <w:sz w:val="24"/>
          <w:szCs w:val="24"/>
          <w:rtl w:val="0"/>
        </w:rPr>
        <w:t xml:space="preserve"> Director, Department of Education Programmes and </w:t>
      </w:r>
      <w:r>
        <w:rPr>
          <w:rFonts w:ascii="Times New Roman" w:hAnsi="Times New Roman" w:eastAsia="Times New Roman" w:cs="Times New Roman"/>
          <w:b/>
          <w:sz w:val="24"/>
          <w:szCs w:val="24"/>
          <w:rtl w:val="0"/>
        </w:rPr>
        <w:t>Ms. Ugyen Tshomo</w:t>
      </w:r>
      <w:r>
        <w:rPr>
          <w:rFonts w:ascii="Times New Roman" w:hAnsi="Times New Roman" w:eastAsia="Times New Roman" w:cs="Times New Roman"/>
          <w:sz w:val="24"/>
          <w:szCs w:val="24"/>
          <w:rtl w:val="0"/>
        </w:rPr>
        <w:t xml:space="preserve">, Chief of the Women and Child Division. </w:t>
      </w:r>
    </w:p>
    <w:p>
      <w:pPr>
        <w:numPr>
          <w:ilvl w:val="0"/>
          <w:numId w:val="1"/>
        </w:numPr>
        <w:shd w:val="clear" w:fill="FFFFFF"/>
        <w:spacing w:before="200" w:after="0"/>
        <w:ind w:left="720" w:hanging="360"/>
        <w:jc w:val="both"/>
        <w:rPr>
          <w:sz w:val="24"/>
          <w:szCs w:val="24"/>
        </w:rPr>
      </w:pPr>
      <w:r>
        <w:rPr>
          <w:rFonts w:ascii="Times New Roman" w:hAnsi="Times New Roman" w:eastAsia="Times New Roman" w:cs="Times New Roman"/>
          <w:b/>
          <w:sz w:val="24"/>
          <w:szCs w:val="24"/>
          <w:rtl w:val="0"/>
        </w:rPr>
        <w:t xml:space="preserve">Judge Ms. Pelden Wangmo </w:t>
      </w:r>
      <w:r>
        <w:rPr>
          <w:rFonts w:ascii="Times New Roman" w:hAnsi="Times New Roman" w:eastAsia="Times New Roman" w:cs="Times New Roman"/>
          <w:sz w:val="24"/>
          <w:szCs w:val="24"/>
          <w:rtl w:val="0"/>
        </w:rPr>
        <w:t xml:space="preserve">of the Family and Child Bench, Thimphu District Court </w:t>
      </w:r>
    </w:p>
    <w:p>
      <w:pPr>
        <w:numPr>
          <w:ilvl w:val="0"/>
          <w:numId w:val="1"/>
        </w:numPr>
        <w:shd w:val="clear" w:fill="FFFFFF"/>
        <w:spacing w:before="200" w:after="120"/>
        <w:ind w:left="720" w:hanging="360"/>
        <w:jc w:val="both"/>
        <w:rPr>
          <w:sz w:val="24"/>
          <w:szCs w:val="24"/>
        </w:rPr>
      </w:pPr>
      <w:r>
        <w:rPr>
          <w:rFonts w:ascii="Times New Roman" w:hAnsi="Times New Roman" w:eastAsia="Times New Roman" w:cs="Times New Roman"/>
          <w:b/>
          <w:sz w:val="24"/>
          <w:szCs w:val="24"/>
          <w:rtl w:val="0"/>
        </w:rPr>
        <w:t>Mr. Jamyang Tenzin</w:t>
      </w:r>
      <w:r>
        <w:rPr>
          <w:rFonts w:ascii="Times New Roman" w:hAnsi="Times New Roman" w:eastAsia="Times New Roman" w:cs="Times New Roman"/>
          <w:sz w:val="24"/>
          <w:szCs w:val="24"/>
          <w:rtl w:val="0"/>
        </w:rPr>
        <w:t xml:space="preserve">, Deputy Chief Attorney from the Office of the Prime Minister. </w:t>
      </w:r>
      <w:r>
        <w:rPr>
          <w:rFonts w:ascii="Times New Roman" w:hAnsi="Times New Roman" w:eastAsia="Times New Roman" w:cs="Times New Roman"/>
          <w:b/>
          <w:sz w:val="24"/>
          <w:szCs w:val="24"/>
          <w:rtl w:val="0"/>
        </w:rPr>
        <w:t>Ms. Ugyen Tshomo</w:t>
      </w:r>
      <w:r>
        <w:rPr>
          <w:rFonts w:ascii="Times New Roman" w:hAnsi="Times New Roman" w:eastAsia="Times New Roman" w:cs="Times New Roman"/>
          <w:sz w:val="24"/>
          <w:szCs w:val="24"/>
          <w:rtl w:val="0"/>
        </w:rPr>
        <w:t xml:space="preserve">, Deputy Chief Legal Officer of The PEMA Secretariat. </w:t>
      </w:r>
      <w:r>
        <w:rPr>
          <w:rFonts w:ascii="Times New Roman" w:hAnsi="Times New Roman" w:eastAsia="Times New Roman" w:cs="Times New Roman"/>
          <w:b/>
          <w:sz w:val="24"/>
          <w:szCs w:val="24"/>
          <w:rtl w:val="0"/>
        </w:rPr>
        <w:t>Ms. Dorji Lhamo</w:t>
      </w:r>
      <w:r>
        <w:rPr>
          <w:rFonts w:ascii="Times New Roman" w:hAnsi="Times New Roman" w:eastAsia="Times New Roman" w:cs="Times New Roman"/>
          <w:sz w:val="24"/>
          <w:szCs w:val="24"/>
          <w:rtl w:val="0"/>
        </w:rPr>
        <w:t xml:space="preserve">, Chief Planning Officer of the Royal University of Bhutan / Member of Gender Expert Group, </w:t>
      </w:r>
      <w:r>
        <w:rPr>
          <w:rFonts w:ascii="Times New Roman" w:hAnsi="Times New Roman" w:eastAsia="Times New Roman" w:cs="Times New Roman"/>
          <w:b/>
          <w:sz w:val="24"/>
          <w:szCs w:val="24"/>
          <w:rtl w:val="0"/>
        </w:rPr>
        <w:t>Ms. Choney Dema</w:t>
      </w:r>
      <w:r>
        <w:rPr>
          <w:rFonts w:ascii="Times New Roman" w:hAnsi="Times New Roman" w:eastAsia="Times New Roman" w:cs="Times New Roman"/>
          <w:sz w:val="24"/>
          <w:szCs w:val="24"/>
          <w:rtl w:val="0"/>
        </w:rPr>
        <w:t xml:space="preserve">, Programme officer at the National Medical Services and </w:t>
      </w:r>
      <w:r>
        <w:rPr>
          <w:rFonts w:ascii="Times New Roman" w:hAnsi="Times New Roman" w:eastAsia="Times New Roman" w:cs="Times New Roman"/>
          <w:b/>
          <w:sz w:val="24"/>
          <w:szCs w:val="24"/>
          <w:rtl w:val="0"/>
        </w:rPr>
        <w:t>Ms. Dechen Pelmo</w:t>
      </w:r>
      <w:r>
        <w:rPr>
          <w:rFonts w:ascii="Times New Roman" w:hAnsi="Times New Roman" w:eastAsia="Times New Roman" w:cs="Times New Roman"/>
          <w:sz w:val="24"/>
          <w:szCs w:val="24"/>
          <w:rtl w:val="0"/>
        </w:rPr>
        <w:t>, Deputy Chief of the Social</w:t>
      </w:r>
      <w:r>
        <w:rPr>
          <w:rFonts w:ascii="Times New Roman" w:hAnsi="Times New Roman" w:eastAsia="Times New Roman" w:cs="Times New Roman"/>
          <w:sz w:val="24"/>
          <w:szCs w:val="24"/>
          <w:highlight w:val="white"/>
          <w:rtl w:val="0"/>
        </w:rPr>
        <w:t xml:space="preserve"> and Development </w:t>
      </w:r>
      <w:r>
        <w:rPr>
          <w:rFonts w:ascii="Times New Roman" w:hAnsi="Times New Roman" w:eastAsia="Times New Roman" w:cs="Times New Roman"/>
          <w:sz w:val="24"/>
          <w:szCs w:val="24"/>
          <w:rtl w:val="0"/>
        </w:rPr>
        <w:t xml:space="preserve">Division, Ministry of Foreign Affairs and External Trade. </w:t>
      </w:r>
    </w:p>
    <w:p>
      <w:pPr>
        <w:numPr>
          <w:ilvl w:val="0"/>
          <w:numId w:val="1"/>
        </w:numPr>
        <w:shd w:val="clear" w:fill="FFFFFF"/>
        <w:spacing w:before="240" w:after="240"/>
        <w:ind w:left="720" w:hanging="360"/>
        <w:jc w:val="both"/>
        <w:rPr>
          <w:sz w:val="24"/>
          <w:szCs w:val="24"/>
        </w:rPr>
      </w:pPr>
      <w:r>
        <w:rPr>
          <w:rFonts w:ascii="Times New Roman" w:hAnsi="Times New Roman" w:eastAsia="Times New Roman" w:cs="Times New Roman"/>
          <w:sz w:val="24"/>
          <w:szCs w:val="24"/>
          <w:rtl w:val="0"/>
        </w:rPr>
        <w:t>And from</w:t>
      </w:r>
      <w:r>
        <w:rPr>
          <w:rFonts w:ascii="Times New Roman" w:hAnsi="Times New Roman" w:eastAsia="Times New Roman" w:cs="Times New Roman"/>
          <w:b/>
          <w:sz w:val="24"/>
          <w:szCs w:val="24"/>
          <w:rtl w:val="0"/>
        </w:rPr>
        <w:t xml:space="preserve"> </w:t>
      </w:r>
      <w:r>
        <w:rPr>
          <w:rFonts w:ascii="Times New Roman" w:hAnsi="Times New Roman" w:eastAsia="Times New Roman" w:cs="Times New Roman"/>
          <w:sz w:val="24"/>
          <w:szCs w:val="24"/>
          <w:rtl w:val="0"/>
        </w:rPr>
        <w:t>the Permanent Mission of the Kingdom of Bhutan to the United Nations and other International Organizations in Geneva, Ambassador</w:t>
      </w:r>
      <w:r>
        <w:rPr>
          <w:rFonts w:ascii="Times New Roman" w:hAnsi="Times New Roman" w:eastAsia="Times New Roman" w:cs="Times New Roman"/>
          <w:b/>
          <w:sz w:val="24"/>
          <w:szCs w:val="24"/>
          <w:rtl w:val="0"/>
        </w:rPr>
        <w:t xml:space="preserve"> Tenzin R. Wangchuk, </w:t>
      </w:r>
      <w:r>
        <w:rPr>
          <w:rFonts w:ascii="Times New Roman" w:hAnsi="Times New Roman" w:eastAsia="Times New Roman" w:cs="Times New Roman"/>
          <w:sz w:val="24"/>
          <w:szCs w:val="24"/>
          <w:rtl w:val="0"/>
        </w:rPr>
        <w:t xml:space="preserve">and </w:t>
      </w:r>
      <w:r>
        <w:rPr>
          <w:rFonts w:ascii="Times New Roman" w:hAnsi="Times New Roman" w:eastAsia="Times New Roman" w:cs="Times New Roman"/>
          <w:b/>
          <w:sz w:val="24"/>
          <w:szCs w:val="24"/>
          <w:rtl w:val="0"/>
        </w:rPr>
        <w:t>Deputy Permanent Representative, Ms. Rinchen Dema.</w:t>
      </w:r>
    </w:p>
    <w:p>
      <w:pPr>
        <w:pBdr>
          <w:top w:val="none" w:color="auto" w:sz="0" w:space="0"/>
          <w:left w:val="none" w:color="auto" w:sz="0" w:space="0"/>
          <w:bottom w:val="none" w:color="auto" w:sz="0" w:space="0"/>
          <w:right w:val="none" w:color="auto" w:sz="0" w:space="0"/>
          <w:between w:val="none" w:color="auto" w:sz="0" w:space="0"/>
        </w:pBdr>
        <w:shd w:val="clear" w:fill="FFFFFF"/>
        <w:spacing w:before="240" w:after="24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Madam Chair,</w:t>
      </w:r>
    </w:p>
    <w:p>
      <w:pPr>
        <w:numPr>
          <w:ilvl w:val="0"/>
          <w:numId w:val="2"/>
        </w:numPr>
        <w:shd w:val="clear" w:fill="FFFFFF"/>
        <w:spacing w:before="300" w:after="300"/>
        <w:ind w:left="720" w:hanging="540"/>
        <w:jc w:val="both"/>
        <w:rPr>
          <w:sz w:val="24"/>
          <w:szCs w:val="24"/>
        </w:rPr>
      </w:pPr>
      <w:r>
        <w:rPr>
          <w:rFonts w:ascii="Times New Roman" w:hAnsi="Times New Roman" w:eastAsia="Times New Roman" w:cs="Times New Roman"/>
          <w:sz w:val="24"/>
          <w:szCs w:val="24"/>
          <w:rtl w:val="0"/>
        </w:rPr>
        <w:t xml:space="preserve">As a State Party to the Convention and guided by our national development philosophy of Gross National Happiness, Bhutan remains committed in pursuing policies that ensure the overall wellbeing of all persons, and in particular vulnerable groups such as women, children, elderly and those with disabilities. Towards this end, a number of initiatives and programs have been undertaken, which I will highlight in a moment. </w:t>
      </w:r>
    </w:p>
    <w:p>
      <w:pPr>
        <w:numPr>
          <w:ilvl w:val="0"/>
          <w:numId w:val="2"/>
        </w:numPr>
        <w:shd w:val="clear" w:fill="FFFFFF"/>
        <w:spacing w:before="300" w:after="300"/>
        <w:ind w:left="720" w:hanging="540"/>
        <w:jc w:val="both"/>
        <w:rPr>
          <w:sz w:val="24"/>
          <w:szCs w:val="24"/>
        </w:rPr>
      </w:pPr>
      <w:r>
        <w:rPr>
          <w:rFonts w:ascii="Times New Roman" w:hAnsi="Times New Roman" w:eastAsia="Times New Roman" w:cs="Times New Roman"/>
          <w:sz w:val="24"/>
          <w:szCs w:val="24"/>
          <w:rtl w:val="0"/>
        </w:rPr>
        <w:t xml:space="preserve">CEDAW was the first international human rights instrument ratified by Bhutan (in the early 1980s) which indicates the strong will and priority of the Government towards the rights of women. I therefore wish to seize this opportunity to reaffirm and reiterate Bhutan's unwavering commitment in pursuing women’s upliftment and ensuring their equitable participation in social, economic, cultural, and political spheres. </w:t>
      </w:r>
    </w:p>
    <w:p>
      <w:pPr>
        <w:numPr>
          <w:ilvl w:val="0"/>
          <w:numId w:val="2"/>
        </w:numPr>
        <w:spacing w:after="160" w:line="276" w:lineRule="auto"/>
        <w:ind w:left="720" w:hanging="540"/>
        <w:jc w:val="both"/>
        <w:rPr>
          <w:sz w:val="24"/>
          <w:szCs w:val="24"/>
        </w:rPr>
      </w:pPr>
      <w:r>
        <w:rPr>
          <w:rFonts w:ascii="Times New Roman" w:hAnsi="Times New Roman" w:eastAsia="Times New Roman" w:cs="Times New Roman"/>
          <w:sz w:val="24"/>
          <w:szCs w:val="24"/>
          <w:rtl w:val="0"/>
        </w:rPr>
        <w:t>Allow me to highlight the major developments and policy interventions since our last report in 2016. These could be further elaborated, if required, during the course of our dialogue.</w:t>
      </w:r>
    </w:p>
    <w:p>
      <w:pPr>
        <w:spacing w:before="240" w:after="240"/>
        <w:jc w:val="both"/>
        <w:rPr>
          <w:rFonts w:ascii="Times New Roman" w:hAnsi="Times New Roman" w:eastAsia="Times New Roman" w:cs="Times New Roman"/>
          <w:i/>
          <w:sz w:val="24"/>
          <w:szCs w:val="24"/>
        </w:rPr>
      </w:pPr>
      <w:r>
        <w:rPr>
          <w:rFonts w:ascii="Times New Roman" w:hAnsi="Times New Roman" w:eastAsia="Times New Roman" w:cs="Times New Roman"/>
          <w:i/>
          <w:sz w:val="24"/>
          <w:szCs w:val="24"/>
          <w:rtl w:val="0"/>
        </w:rPr>
        <w:t>Harmonization of Laws, Access to justice and legal complaint mechanisms</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 xml:space="preserve">As reported earlier, the National Law Review Task Force was constituted in 2015, on the command of His Majesty The King to harmonize and consolidate our laws. In 2018, the Task Force completed its work and submitted its recommendations, based on which amendments were carried out across the entire gamut of national laws. Of particular relevance and importance to the Convention is the amendment of Section 213 of the Penal Code of Bhutan to decriminalize homosexuality. The other amendments are those related to Section 203, 204 and 154 which have been duly reflected in our 10 Periodic report. </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 xml:space="preserve">In 2017, a specialized Family and Child Bench was established in the Capital for resolving family and children related matters. The Bench has since then decided 3041 cases including 571 Court Annexed Mediation (CAM). </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 xml:space="preserve">In 2022,  a legal aid center was instituted in the Bhutan National Legal Institute to  provide legal aid services. Since its establishment, a  total of 54 applicants were provided with Legal Aid services, out of which 57.4% were women. </w:t>
      </w:r>
    </w:p>
    <w:p>
      <w:pPr>
        <w:numPr>
          <w:ilvl w:val="0"/>
          <w:numId w:val="2"/>
        </w:numPr>
        <w:spacing w:after="120"/>
        <w:ind w:left="720" w:hanging="540"/>
        <w:jc w:val="both"/>
        <w:rPr>
          <w:sz w:val="24"/>
          <w:szCs w:val="24"/>
        </w:rPr>
      </w:pPr>
      <w:r>
        <w:rPr>
          <w:rFonts w:ascii="Times New Roman" w:hAnsi="Times New Roman" w:eastAsia="Times New Roman" w:cs="Times New Roman"/>
          <w:sz w:val="24"/>
          <w:szCs w:val="24"/>
          <w:rtl w:val="0"/>
        </w:rPr>
        <w:t xml:space="preserve">With regard to Women and Child Protection Services, the Royal Bhutan Police has significantly expanded its services. In addition to the existing 14 Desks and three Units, two additional Women and Child Protection Desks are being established in 2023. Initiatives are underway to extend the facility to three more districts by 2024, ensuring coverage across all 20 districts. </w:t>
      </w:r>
    </w:p>
    <w:p>
      <w:pPr>
        <w:spacing w:before="240" w:after="240"/>
        <w:jc w:val="both"/>
        <w:rPr>
          <w:rFonts w:ascii="Times New Roman" w:hAnsi="Times New Roman" w:eastAsia="Times New Roman" w:cs="Times New Roman"/>
          <w:i/>
          <w:sz w:val="24"/>
          <w:szCs w:val="24"/>
        </w:rPr>
      </w:pPr>
      <w:r>
        <w:rPr>
          <w:rFonts w:ascii="Times New Roman" w:hAnsi="Times New Roman" w:eastAsia="Times New Roman" w:cs="Times New Roman"/>
          <w:i/>
          <w:sz w:val="24"/>
          <w:szCs w:val="24"/>
          <w:rtl w:val="0"/>
        </w:rPr>
        <w:t>National machinery for the advancement of women</w:t>
      </w:r>
    </w:p>
    <w:p>
      <w:pPr>
        <w:numPr>
          <w:ilvl w:val="0"/>
          <w:numId w:val="2"/>
        </w:numPr>
        <w:spacing w:after="120"/>
        <w:ind w:left="720" w:hanging="540"/>
        <w:jc w:val="both"/>
        <w:rPr>
          <w:sz w:val="24"/>
          <w:szCs w:val="24"/>
        </w:rPr>
      </w:pPr>
      <w:r>
        <w:rPr>
          <w:rFonts w:ascii="Times New Roman" w:hAnsi="Times New Roman" w:eastAsia="Times New Roman" w:cs="Times New Roman"/>
          <w:b/>
          <w:sz w:val="24"/>
          <w:szCs w:val="24"/>
          <w:highlight w:val="white"/>
          <w:rtl w:val="0"/>
        </w:rPr>
        <w:t xml:space="preserve">NCWC : </w:t>
      </w:r>
      <w:r>
        <w:rPr>
          <w:rFonts w:ascii="Times New Roman" w:hAnsi="Times New Roman" w:eastAsia="Times New Roman" w:cs="Times New Roman"/>
          <w:sz w:val="24"/>
          <w:szCs w:val="24"/>
          <w:highlight w:val="white"/>
          <w:rtl w:val="0"/>
        </w:rPr>
        <w:t xml:space="preserve">The NCWC has been restructured with a restrategised mandate </w:t>
      </w:r>
      <w:r>
        <w:rPr>
          <w:rFonts w:ascii="Times New Roman" w:hAnsi="Times New Roman" w:eastAsia="Times New Roman" w:cs="Times New Roman"/>
          <w:sz w:val="24"/>
          <w:szCs w:val="24"/>
          <w:rtl w:val="0"/>
        </w:rPr>
        <w:t xml:space="preserve"> focusing on policy, regulation, and reporting. </w:t>
      </w:r>
      <w:r>
        <w:rPr>
          <w:rFonts w:ascii="Times New Roman" w:hAnsi="Times New Roman" w:eastAsia="Times New Roman" w:cs="Times New Roman"/>
          <w:sz w:val="24"/>
          <w:szCs w:val="24"/>
          <w:highlight w:val="white"/>
          <w:rtl w:val="0"/>
        </w:rPr>
        <w:t xml:space="preserve">This strategic realignment is designed to streamline and enhance the efficiency of the Commission. </w:t>
      </w:r>
    </w:p>
    <w:p>
      <w:pPr>
        <w:numPr>
          <w:ilvl w:val="0"/>
          <w:numId w:val="2"/>
        </w:numPr>
        <w:spacing w:after="120"/>
        <w:ind w:left="720" w:hanging="540"/>
        <w:jc w:val="both"/>
        <w:rPr>
          <w:sz w:val="24"/>
          <w:szCs w:val="24"/>
        </w:rPr>
      </w:pPr>
      <w:r>
        <w:rPr>
          <w:rFonts w:ascii="Times New Roman" w:hAnsi="Times New Roman" w:eastAsia="Times New Roman" w:cs="Times New Roman"/>
          <w:sz w:val="24"/>
          <w:szCs w:val="24"/>
          <w:rtl w:val="0"/>
        </w:rPr>
        <w:t xml:space="preserve">A new institution - </w:t>
      </w:r>
      <w:r>
        <w:rPr>
          <w:rFonts w:ascii="Times New Roman" w:hAnsi="Times New Roman" w:eastAsia="Times New Roman" w:cs="Times New Roman"/>
          <w:b/>
          <w:sz w:val="24"/>
          <w:szCs w:val="24"/>
          <w:rtl w:val="0"/>
        </w:rPr>
        <w:t>The</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b/>
          <w:sz w:val="24"/>
          <w:szCs w:val="24"/>
          <w:rtl w:val="0"/>
        </w:rPr>
        <w:t xml:space="preserve">PEMA </w:t>
      </w:r>
      <w:r>
        <w:rPr>
          <w:rFonts w:ascii="Times New Roman" w:hAnsi="Times New Roman" w:eastAsia="Times New Roman" w:cs="Times New Roman"/>
          <w:sz w:val="24"/>
          <w:szCs w:val="24"/>
          <w:rtl w:val="0"/>
        </w:rPr>
        <w:t xml:space="preserve">has been established as the nodal agency for mental health under the leadership and guidance of Her Majesty The Gyaltsuen (The Queen) in 2021. In addition, the service components of NCWC and erstwhile Bhutan Narcotic Control Agency have been transferred to The PEMA. </w:t>
      </w:r>
    </w:p>
    <w:p>
      <w:pPr>
        <w:spacing w:before="240" w:after="240"/>
        <w:jc w:val="both"/>
        <w:rPr>
          <w:rFonts w:ascii="Times New Roman" w:hAnsi="Times New Roman" w:eastAsia="Times New Roman" w:cs="Times New Roman"/>
          <w:b/>
          <w:sz w:val="24"/>
          <w:szCs w:val="24"/>
        </w:rPr>
      </w:pPr>
      <w:r>
        <w:rPr>
          <w:rFonts w:ascii="Times New Roman" w:hAnsi="Times New Roman" w:eastAsia="Times New Roman" w:cs="Times New Roman"/>
          <w:i/>
          <w:sz w:val="24"/>
          <w:szCs w:val="24"/>
          <w:rtl w:val="0"/>
        </w:rPr>
        <w:t xml:space="preserve">Ongoing Policy Initiatives    </w:t>
      </w:r>
      <w:r>
        <w:rPr>
          <w:rFonts w:ascii="Times New Roman" w:hAnsi="Times New Roman" w:eastAsia="Times New Roman" w:cs="Times New Roman"/>
          <w:b/>
          <w:sz w:val="24"/>
          <w:szCs w:val="24"/>
          <w:rtl w:val="0"/>
        </w:rPr>
        <w:t xml:space="preserve">    </w:t>
      </w:r>
    </w:p>
    <w:p>
      <w:pPr>
        <w:numPr>
          <w:ilvl w:val="0"/>
          <w:numId w:val="2"/>
        </w:numPr>
        <w:spacing w:after="120"/>
        <w:ind w:left="720" w:hanging="540"/>
        <w:jc w:val="both"/>
        <w:rPr>
          <w:sz w:val="24"/>
          <w:szCs w:val="24"/>
        </w:rPr>
      </w:pPr>
      <w:r>
        <w:rPr>
          <w:rFonts w:ascii="Times New Roman" w:hAnsi="Times New Roman" w:eastAsia="Times New Roman" w:cs="Times New Roman"/>
          <w:sz w:val="24"/>
          <w:szCs w:val="24"/>
          <w:rtl w:val="0"/>
        </w:rPr>
        <w:t xml:space="preserve">The Royal Government of Bhutan is in the process of formulating the 13th Five Year Plan for the period 2024-2029 with the long term National Goal of transforming into a High Income Nation underpinned by the three Principles of  People, Progress and Prosperity. A noteworthy strategy in the 13th FYP will include Social Protection as one of the three domains in the social cluster development plan. </w:t>
      </w:r>
    </w:p>
    <w:p>
      <w:pPr>
        <w:numPr>
          <w:ilvl w:val="0"/>
          <w:numId w:val="2"/>
        </w:numPr>
        <w:spacing w:after="120"/>
        <w:ind w:left="720" w:hanging="540"/>
        <w:jc w:val="both"/>
        <w:rPr>
          <w:sz w:val="24"/>
          <w:szCs w:val="24"/>
        </w:rPr>
      </w:pPr>
      <w:r>
        <w:rPr>
          <w:rFonts w:ascii="Times New Roman" w:hAnsi="Times New Roman" w:eastAsia="Times New Roman" w:cs="Times New Roman"/>
          <w:sz w:val="24"/>
          <w:szCs w:val="24"/>
          <w:rtl w:val="0"/>
        </w:rPr>
        <w:t xml:space="preserve">We are also happy to report that the National Gender Equality Policy (NGEP) 2020, the National Child Policy and Sexual Violence Policy are currently under review. </w:t>
      </w:r>
    </w:p>
    <w:p>
      <w:pPr>
        <w:numPr>
          <w:ilvl w:val="0"/>
          <w:numId w:val="2"/>
        </w:numPr>
        <w:spacing w:after="0"/>
        <w:ind w:left="720" w:hanging="540"/>
        <w:jc w:val="both"/>
        <w:rPr>
          <w:sz w:val="24"/>
          <w:szCs w:val="24"/>
        </w:rPr>
      </w:pPr>
      <w:r>
        <w:rPr>
          <w:rFonts w:ascii="Times New Roman" w:hAnsi="Times New Roman" w:eastAsia="Times New Roman" w:cs="Times New Roman"/>
          <w:sz w:val="24"/>
          <w:szCs w:val="24"/>
          <w:rtl w:val="0"/>
        </w:rPr>
        <w:t xml:space="preserve">The 2020 Policy to Accelerate Mother and Child Health (MCH) Outcome, is set to be launched on 14 October 2023.  This initiative aims to improve the availability, accessibility and quality MCH services for vulnerable pregnant and lactating mothers through the implementation of a conditional cash transfer (CCT) support mechanism. </w:t>
      </w:r>
    </w:p>
    <w:p>
      <w:pPr>
        <w:spacing w:before="240" w:after="240"/>
        <w:jc w:val="both"/>
        <w:rPr>
          <w:rFonts w:ascii="Times New Roman" w:hAnsi="Times New Roman" w:eastAsia="Times New Roman" w:cs="Times New Roman"/>
          <w:i/>
          <w:sz w:val="24"/>
          <w:szCs w:val="24"/>
        </w:rPr>
      </w:pPr>
      <w:r>
        <w:rPr>
          <w:rFonts w:ascii="Times New Roman" w:hAnsi="Times New Roman" w:eastAsia="Times New Roman" w:cs="Times New Roman"/>
          <w:i/>
          <w:sz w:val="24"/>
          <w:szCs w:val="24"/>
          <w:rtl w:val="0"/>
        </w:rPr>
        <w:t>Updates on treaty actions</w:t>
      </w:r>
    </w:p>
    <w:p>
      <w:pPr>
        <w:numPr>
          <w:ilvl w:val="0"/>
          <w:numId w:val="2"/>
        </w:numPr>
        <w:spacing w:after="120"/>
        <w:ind w:left="720" w:hanging="540"/>
        <w:jc w:val="both"/>
        <w:rPr>
          <w:sz w:val="24"/>
          <w:szCs w:val="24"/>
        </w:rPr>
      </w:pPr>
      <w:r>
        <w:rPr>
          <w:rFonts w:ascii="Times New Roman" w:hAnsi="Times New Roman" w:eastAsia="Times New Roman" w:cs="Times New Roman"/>
          <w:sz w:val="24"/>
          <w:szCs w:val="24"/>
          <w:rtl w:val="0"/>
        </w:rPr>
        <w:t xml:space="preserve">As a responsible member of the international  community, Bhutan remains committed to gradually ratifying additional international instruments based on  our  national needs, priorities and level of readiness. In keeping with such efforts , I am pleased to report that the Parliament of Bhutan ratified: </w:t>
      </w:r>
    </w:p>
    <w:p>
      <w:pPr>
        <w:numPr>
          <w:ilvl w:val="0"/>
          <w:numId w:val="3"/>
        </w:numPr>
        <w:ind w:left="1440" w:hanging="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The United Nations Convention Against Transnational Organized Crime and its Protocol in December 2022 and</w:t>
      </w:r>
    </w:p>
    <w:p>
      <w:pPr>
        <w:numPr>
          <w:ilvl w:val="0"/>
          <w:numId w:val="3"/>
        </w:numPr>
        <w:ind w:left="1440" w:hanging="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The BIMSTEC Convention on Cooperation in Combating International Terrorism, Transnational Organized Crime, and Illicit Drug Trafficking in 2020.</w:t>
      </w:r>
    </w:p>
    <w:p>
      <w:pPr>
        <w:ind w:left="1440" w:firstLine="0"/>
        <w:jc w:val="both"/>
        <w:rPr>
          <w:rFonts w:ascii="Times New Roman" w:hAnsi="Times New Roman" w:eastAsia="Times New Roman" w:cs="Times New Roman"/>
          <w:sz w:val="24"/>
          <w:szCs w:val="24"/>
        </w:rPr>
      </w:pPr>
    </w:p>
    <w:p>
      <w:pPr>
        <w:numPr>
          <w:ilvl w:val="0"/>
          <w:numId w:val="2"/>
        </w:numPr>
        <w:spacing w:after="120"/>
        <w:ind w:left="720" w:hanging="540"/>
        <w:jc w:val="both"/>
        <w:rPr>
          <w:sz w:val="24"/>
          <w:szCs w:val="24"/>
        </w:rPr>
      </w:pPr>
      <w:r>
        <w:rPr>
          <w:rFonts w:ascii="Times New Roman" w:hAnsi="Times New Roman" w:eastAsia="Times New Roman" w:cs="Times New Roman"/>
          <w:sz w:val="24"/>
          <w:szCs w:val="24"/>
          <w:rtl w:val="0"/>
        </w:rPr>
        <w:t xml:space="preserve">Furthermore, the National Assembly and the National Council adopted the Convention on the Rights of Persons with Disabilities (CRPD),  which is currently in the final stages of the ratification process.  </w:t>
      </w:r>
    </w:p>
    <w:p>
      <w:pPr>
        <w:pBdr>
          <w:top w:val="none" w:color="auto" w:sz="0" w:space="0"/>
          <w:left w:val="none" w:color="auto" w:sz="0" w:space="0"/>
          <w:bottom w:val="none" w:color="auto" w:sz="0" w:space="0"/>
          <w:right w:val="none" w:color="auto" w:sz="0" w:space="0"/>
          <w:between w:val="none" w:color="auto" w:sz="0" w:space="0"/>
        </w:pBdr>
        <w:spacing w:before="240" w:after="240"/>
        <w:jc w:val="both"/>
        <w:rPr>
          <w:rFonts w:ascii="Times New Roman" w:hAnsi="Times New Roman" w:eastAsia="Times New Roman" w:cs="Times New Roman"/>
          <w:i/>
          <w:sz w:val="24"/>
          <w:szCs w:val="24"/>
        </w:rPr>
      </w:pPr>
      <w:r>
        <w:rPr>
          <w:rFonts w:ascii="Times New Roman" w:hAnsi="Times New Roman" w:eastAsia="Times New Roman" w:cs="Times New Roman"/>
          <w:i/>
          <w:sz w:val="24"/>
          <w:szCs w:val="24"/>
          <w:rtl w:val="0"/>
        </w:rPr>
        <w:t xml:space="preserve">Women in Leadership role </w:t>
      </w:r>
    </w:p>
    <w:p>
      <w:pPr>
        <w:numPr>
          <w:ilvl w:val="0"/>
          <w:numId w:val="2"/>
        </w:numPr>
        <w:spacing w:after="120"/>
        <w:ind w:left="720" w:hanging="540"/>
        <w:jc w:val="both"/>
        <w:rPr>
          <w:sz w:val="24"/>
          <w:szCs w:val="24"/>
        </w:rPr>
      </w:pPr>
      <w:r>
        <w:rPr>
          <w:rFonts w:ascii="Times New Roman" w:hAnsi="Times New Roman" w:eastAsia="Times New Roman" w:cs="Times New Roman"/>
          <w:sz w:val="24"/>
          <w:szCs w:val="24"/>
          <w:rtl w:val="0"/>
        </w:rPr>
        <w:t>In the Global Gender Gap Index 2023, Bhutan progressed from 126th position in 2022 to 103rd out of 146 countries. This is a significant progress in narrowing the gender gap, with a score increase of +4.5 percentage points from 2022.</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 xml:space="preserve">Bhutanese women continue to engage and take leadership roles in international forums on issues related to women. </w:t>
      </w:r>
      <w:r>
        <w:rPr>
          <w:rFonts w:ascii="Times New Roman" w:hAnsi="Times New Roman" w:eastAsia="Times New Roman" w:cs="Times New Roman"/>
          <w:sz w:val="24"/>
          <w:szCs w:val="24"/>
          <w:highlight w:val="white"/>
          <w:rtl w:val="0"/>
        </w:rPr>
        <w:t xml:space="preserve">Most notably, Her Majesty the Queen Mother Sangay Choden Wangchuck, UNFPA Goodwill Ambassador in Bhutan was awarded the individual laureate for the </w:t>
      </w:r>
      <w:r>
        <w:rPr>
          <w:rFonts w:ascii="Times New Roman" w:hAnsi="Times New Roman" w:eastAsia="Times New Roman" w:cs="Times New Roman"/>
          <w:sz w:val="24"/>
          <w:szCs w:val="24"/>
          <w:rtl w:val="0"/>
        </w:rPr>
        <w:t>2020 UN Population Award</w:t>
      </w:r>
      <w:r>
        <w:rPr>
          <w:rFonts w:ascii="Times New Roman" w:hAnsi="Times New Roman" w:eastAsia="Times New Roman" w:cs="Times New Roman"/>
          <w:sz w:val="24"/>
          <w:szCs w:val="24"/>
          <w:highlight w:val="white"/>
          <w:rtl w:val="0"/>
        </w:rPr>
        <w:t xml:space="preserve"> to recognize her outstanding contribution in raising awareness on reproductive health issues.</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 xml:space="preserve">Minister for Health, Lyonpo Dechen Wangmo served as the Chair of the 74th Session of the World Health Assembly in 2021 and as Vice Chair of the 76th World Health Assembly in 2023. </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 xml:space="preserve">Bhutanese women play an active role in several UN Peacekeeping Missions around the world and their representation is well above the UN target of 17%. In the foreign service, 26% of our diplomats working abroad are women. </w:t>
      </w:r>
    </w:p>
    <w:p>
      <w:pPr>
        <w:numPr>
          <w:ilvl w:val="0"/>
          <w:numId w:val="2"/>
        </w:numPr>
        <w:spacing w:after="120"/>
        <w:ind w:left="720" w:hanging="540"/>
        <w:jc w:val="both"/>
        <w:rPr>
          <w:sz w:val="24"/>
          <w:szCs w:val="24"/>
        </w:rPr>
      </w:pPr>
      <w:r>
        <w:rPr>
          <w:rFonts w:ascii="Times New Roman" w:hAnsi="Times New Roman" w:eastAsia="Times New Roman" w:cs="Times New Roman"/>
          <w:sz w:val="24"/>
          <w:szCs w:val="24"/>
          <w:rtl w:val="0"/>
        </w:rPr>
        <w:t xml:space="preserve">Recognizing our efforts in combating Trafficking in Persons (TIP), a female officer from the Royal Bhutan Police was honored by the US State Department as one of the ten  "Trafficking in Persons Report Heroes' for 2020." </w:t>
      </w:r>
    </w:p>
    <w:p>
      <w:pPr>
        <w:numPr>
          <w:ilvl w:val="0"/>
          <w:numId w:val="2"/>
        </w:numPr>
        <w:spacing w:after="120"/>
        <w:ind w:left="720" w:hanging="540"/>
        <w:jc w:val="both"/>
        <w:rPr>
          <w:sz w:val="24"/>
          <w:szCs w:val="24"/>
        </w:rPr>
      </w:pPr>
      <w:r>
        <w:rPr>
          <w:rFonts w:ascii="Times New Roman" w:hAnsi="Times New Roman" w:eastAsia="Times New Roman" w:cs="Times New Roman"/>
          <w:sz w:val="24"/>
          <w:szCs w:val="24"/>
          <w:rtl w:val="0"/>
        </w:rPr>
        <w:t>Women's participation in both the National Council and the National Assembly has remained relatively consistent over the years with women constituting close to 50% of the total voters. As of September 2023, 15.2% of Parliamentary seats are held by women, an increase from 13.9% in 2008.</w:t>
      </w:r>
    </w:p>
    <w:p>
      <w:pPr>
        <w:numPr>
          <w:ilvl w:val="0"/>
          <w:numId w:val="2"/>
        </w:numPr>
        <w:spacing w:after="120"/>
        <w:ind w:left="720" w:hanging="540"/>
        <w:jc w:val="both"/>
        <w:rPr>
          <w:sz w:val="24"/>
          <w:szCs w:val="24"/>
        </w:rPr>
      </w:pPr>
      <w:r>
        <w:rPr>
          <w:rFonts w:ascii="Times New Roman" w:hAnsi="Times New Roman" w:eastAsia="Times New Roman" w:cs="Times New Roman"/>
          <w:sz w:val="24"/>
          <w:szCs w:val="24"/>
          <w:rtl w:val="0"/>
        </w:rPr>
        <w:t xml:space="preserve">Over the past six years, women’s representation in the civil service has increased from 36% in 2016 to 44% in 2022 in the professional and management positions, and from 10% in 2016 to 23% as of 1st October 2023 in the executive and specialist positions. As of 1st October 2023, women hold 16% of the executive positions surpassing the 15% target for 2023 in the Gender Equality Strategy (2018-2023) with four of the 10 government secretaries being women.  </w:t>
      </w:r>
    </w:p>
    <w:p>
      <w:pPr>
        <w:numPr>
          <w:ilvl w:val="0"/>
          <w:numId w:val="2"/>
        </w:numPr>
        <w:spacing w:after="120"/>
        <w:ind w:left="720" w:hanging="540"/>
        <w:jc w:val="both"/>
        <w:rPr>
          <w:sz w:val="24"/>
          <w:szCs w:val="24"/>
        </w:rPr>
      </w:pPr>
      <w:r>
        <w:rPr>
          <w:rFonts w:ascii="Times New Roman" w:hAnsi="Times New Roman" w:eastAsia="Times New Roman" w:cs="Times New Roman"/>
          <w:sz w:val="24"/>
          <w:szCs w:val="24"/>
          <w:rtl w:val="0"/>
        </w:rPr>
        <w:t xml:space="preserve">Women hold 13.9% of the Constitutional posts. In the Judiciary, 50% of the workforce is women with 27% as district level judges and 59% as  bench clerks. </w:t>
      </w:r>
    </w:p>
    <w:p>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120" w:line="276" w:lineRule="auto"/>
        <w:ind w:left="720" w:right="0" w:hanging="540"/>
        <w:jc w:val="both"/>
        <w:rPr>
          <w:sz w:val="24"/>
          <w:szCs w:val="24"/>
        </w:rPr>
      </w:pPr>
      <w:r>
        <w:rPr>
          <w:rFonts w:ascii="Times New Roman" w:hAnsi="Times New Roman" w:eastAsia="Times New Roman" w:cs="Times New Roman"/>
          <w:sz w:val="24"/>
          <w:szCs w:val="24"/>
          <w:rtl w:val="0"/>
        </w:rPr>
        <w:t xml:space="preserve">Similarly, women's representation in the Board of Directors has increased from 25% in 2022 to 37% in 2023 in the Druk Holding and Investment (commercial arm of the government) and from 9% in 2018 to 11% in 2022 in the State Owned Companies. </w:t>
      </w:r>
    </w:p>
    <w:p>
      <w:pPr>
        <w:numPr>
          <w:ilvl w:val="0"/>
          <w:numId w:val="2"/>
        </w:numPr>
        <w:spacing w:after="120"/>
        <w:ind w:left="720" w:hanging="540"/>
        <w:jc w:val="both"/>
        <w:rPr>
          <w:sz w:val="24"/>
          <w:szCs w:val="24"/>
        </w:rPr>
      </w:pPr>
      <w:r>
        <w:rPr>
          <w:rFonts w:ascii="Times New Roman" w:hAnsi="Times New Roman" w:eastAsia="Times New Roman" w:cs="Times New Roman"/>
          <w:sz w:val="24"/>
          <w:szCs w:val="24"/>
          <w:rtl w:val="0"/>
        </w:rPr>
        <w:t xml:space="preserve">Despite the progress, we are far from achieving gender parity. We acknowledge the need to further increase women’s representation at all levels and the Royal Government is committed to implementing interventions that address barriers including socio-cultural perception about women leadership. </w:t>
      </w:r>
    </w:p>
    <w:p>
      <w:pPr>
        <w:pBdr>
          <w:top w:val="none" w:color="auto" w:sz="0" w:space="0"/>
          <w:left w:val="none" w:color="auto" w:sz="0" w:space="0"/>
          <w:bottom w:val="none" w:color="auto" w:sz="0" w:space="0"/>
          <w:right w:val="none" w:color="auto" w:sz="0" w:space="0"/>
          <w:between w:val="none" w:color="auto" w:sz="0" w:space="0"/>
        </w:pBdr>
        <w:spacing w:before="240" w:after="240"/>
        <w:jc w:val="both"/>
        <w:rPr>
          <w:rFonts w:ascii="Times New Roman" w:hAnsi="Times New Roman" w:eastAsia="Times New Roman" w:cs="Times New Roman"/>
          <w:i/>
          <w:sz w:val="24"/>
          <w:szCs w:val="24"/>
        </w:rPr>
      </w:pPr>
      <w:r>
        <w:rPr>
          <w:rFonts w:ascii="Times New Roman" w:hAnsi="Times New Roman" w:eastAsia="Times New Roman" w:cs="Times New Roman"/>
          <w:i/>
          <w:sz w:val="24"/>
          <w:szCs w:val="24"/>
          <w:rtl w:val="0"/>
        </w:rPr>
        <w:t>Bhutan’s response to the COVID-19 pandemic and lessons learnt</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Bhutan successfully navigated the three-year long COVID-19 pandemic with minimal loss of lives. This success is a testimony to the importance of an informed and selfless leadership provided by His Majesty The King and a strong primary health care system the Royal Government has been investing in for many decades.</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 xml:space="preserve">It is worth mentioning that close to 30,000 </w:t>
      </w:r>
      <w:r>
        <w:rPr>
          <w:rFonts w:ascii="Times New Roman" w:hAnsi="Times New Roman" w:eastAsia="Times New Roman" w:cs="Times New Roman"/>
          <w:i/>
          <w:sz w:val="24"/>
          <w:szCs w:val="24"/>
          <w:rtl w:val="0"/>
        </w:rPr>
        <w:t>Desuups</w:t>
      </w:r>
      <w:r>
        <w:rPr>
          <w:rFonts w:ascii="Times New Roman" w:hAnsi="Times New Roman" w:eastAsia="Times New Roman" w:cs="Times New Roman"/>
          <w:sz w:val="24"/>
          <w:szCs w:val="24"/>
          <w:rtl w:val="0"/>
        </w:rPr>
        <w:t xml:space="preserve"> (Guardian of Peace/volunteers) were trained as front liners to advocate on Gender Based Violence along with COVID-19 protocols for smooth and undisrupted responses and service delivery.</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 xml:space="preserve">To ensure uninterrupted access to maternal health services, mobile iCTG (cardiotocography) service was introduced in November 2020. Since the introduction of this service, it has seen incremental growth of patients/clients. As of August 2023, a total of </w:t>
      </w:r>
      <w:r>
        <w:rPr>
          <w:rFonts w:ascii="Times New Roman" w:hAnsi="Times New Roman" w:eastAsia="Times New Roman" w:cs="Times New Roman"/>
          <w:b/>
          <w:sz w:val="24"/>
          <w:szCs w:val="24"/>
          <w:rtl w:val="0"/>
        </w:rPr>
        <w:t>9615 pregnant women have availed this service</w:t>
      </w:r>
      <w:r>
        <w:rPr>
          <w:rFonts w:ascii="Times New Roman" w:hAnsi="Times New Roman" w:eastAsia="Times New Roman" w:cs="Times New Roman"/>
          <w:sz w:val="24"/>
          <w:szCs w:val="24"/>
          <w:rtl w:val="0"/>
        </w:rPr>
        <w:t>.</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highlight w:val="white"/>
          <w:rtl w:val="0"/>
        </w:rPr>
        <w:t>In view of the rising mental health cases, aggravated</w:t>
      </w:r>
      <w:r>
        <w:rPr>
          <w:rFonts w:ascii="Times New Roman" w:hAnsi="Times New Roman" w:eastAsia="Times New Roman" w:cs="Times New Roman"/>
          <w:sz w:val="24"/>
          <w:szCs w:val="24"/>
          <w:shd w:val="clear" w:fill="F7F7F8"/>
          <w:rtl w:val="0"/>
        </w:rPr>
        <w:t xml:space="preserve"> </w:t>
      </w:r>
      <w:r>
        <w:rPr>
          <w:rFonts w:ascii="Times New Roman" w:hAnsi="Times New Roman" w:eastAsia="Times New Roman" w:cs="Times New Roman"/>
          <w:sz w:val="24"/>
          <w:szCs w:val="24"/>
          <w:highlight w:val="white"/>
          <w:rtl w:val="0"/>
        </w:rPr>
        <w:t>by the pandemic and recognizing access to mental health care as an important component of a comprehensive national health service, the Royal Government undertook the following initiatives:</w:t>
      </w:r>
    </w:p>
    <w:p>
      <w:pPr>
        <w:numPr>
          <w:ilvl w:val="0"/>
          <w:numId w:val="4"/>
        </w:numPr>
        <w:pBdr>
          <w:top w:val="none" w:color="auto" w:sz="0" w:space="0"/>
          <w:left w:val="none" w:color="auto" w:sz="0" w:space="0"/>
          <w:bottom w:val="none" w:color="auto" w:sz="0" w:space="0"/>
          <w:right w:val="none" w:color="auto" w:sz="0" w:space="0"/>
          <w:between w:val="none" w:color="auto" w:sz="0" w:space="0"/>
        </w:pBdr>
        <w:spacing w:after="0" w:afterAutospacing="0"/>
        <w:ind w:left="1440" w:hanging="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Construction of a dedicated 60-bedded hospital to provide  comprehensive mental health services in July 2023, with completion anticipated by the end of 2025.</w:t>
      </w:r>
    </w:p>
    <w:p>
      <w:pPr>
        <w:numPr>
          <w:ilvl w:val="0"/>
          <w:numId w:val="4"/>
        </w:numPr>
        <w:pBdr>
          <w:top w:val="none" w:color="auto" w:sz="0" w:space="0"/>
          <w:left w:val="none" w:color="auto" w:sz="0" w:space="0"/>
          <w:bottom w:val="none" w:color="auto" w:sz="0" w:space="0"/>
          <w:right w:val="none" w:color="auto" w:sz="0" w:space="0"/>
          <w:between w:val="none" w:color="auto" w:sz="0" w:space="0"/>
        </w:pBdr>
        <w:spacing w:after="0" w:afterAutospacing="0"/>
        <w:ind w:left="1440" w:hanging="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Launch of e-counselling service in June 2023 to complement the online case management services initiated during COVID-19 and to provide end-to-end referral and support services. </w:t>
      </w:r>
    </w:p>
    <w:p>
      <w:pPr>
        <w:numPr>
          <w:ilvl w:val="0"/>
          <w:numId w:val="4"/>
        </w:numPr>
        <w:pBdr>
          <w:top w:val="none" w:color="auto" w:sz="0" w:space="0"/>
          <w:left w:val="none" w:color="auto" w:sz="0" w:space="0"/>
          <w:bottom w:val="none" w:color="auto" w:sz="0" w:space="0"/>
          <w:right w:val="none" w:color="auto" w:sz="0" w:space="0"/>
          <w:between w:val="none" w:color="auto" w:sz="0" w:space="0"/>
        </w:pBdr>
        <w:spacing w:after="0" w:afterAutospacing="0"/>
        <w:ind w:left="1440" w:hanging="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Launch of the PEMA helpline on 10 October 2022 to support individuals facing mental health issues and suicidal tendencies.</w:t>
      </w:r>
    </w:p>
    <w:p>
      <w:pPr>
        <w:numPr>
          <w:ilvl w:val="0"/>
          <w:numId w:val="4"/>
        </w:numPr>
        <w:pBdr>
          <w:top w:val="none" w:color="auto" w:sz="0" w:space="0"/>
          <w:left w:val="none" w:color="auto" w:sz="0" w:space="0"/>
          <w:bottom w:val="none" w:color="auto" w:sz="0" w:space="0"/>
          <w:right w:val="none" w:color="auto" w:sz="0" w:space="0"/>
          <w:between w:val="none" w:color="auto" w:sz="0" w:space="0"/>
        </w:pBdr>
        <w:spacing w:after="0"/>
        <w:ind w:left="1440" w:hanging="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Training of relevant education professionals to enhance counseling and wellbeing services in schools.</w:t>
      </w:r>
    </w:p>
    <w:p>
      <w:pPr>
        <w:pBdr>
          <w:top w:val="none" w:color="auto" w:sz="0" w:space="0"/>
          <w:left w:val="none" w:color="auto" w:sz="0" w:space="0"/>
          <w:bottom w:val="none" w:color="auto" w:sz="0" w:space="0"/>
          <w:right w:val="none" w:color="auto" w:sz="0" w:space="0"/>
          <w:between w:val="none" w:color="auto" w:sz="0" w:space="0"/>
        </w:pBdr>
        <w:spacing w:after="0"/>
        <w:ind w:left="2160" w:firstLine="0"/>
        <w:jc w:val="both"/>
        <w:rPr>
          <w:rFonts w:ascii="Times New Roman" w:hAnsi="Times New Roman" w:eastAsia="Times New Roman" w:cs="Times New Roman"/>
          <w:sz w:val="24"/>
          <w:szCs w:val="24"/>
        </w:rPr>
      </w:pPr>
    </w:p>
    <w:p>
      <w:pPr>
        <w:pBdr>
          <w:top w:val="none" w:color="auto" w:sz="0" w:space="0"/>
          <w:left w:val="none" w:color="auto" w:sz="0" w:space="0"/>
          <w:bottom w:val="none" w:color="auto" w:sz="0" w:space="0"/>
          <w:right w:val="none" w:color="auto" w:sz="0" w:space="0"/>
          <w:between w:val="none" w:color="auto" w:sz="0" w:space="0"/>
        </w:pBdr>
        <w:spacing w:after="0"/>
        <w:ind w:left="0" w:firstLine="0"/>
        <w:jc w:val="both"/>
        <w:rPr>
          <w:rFonts w:ascii="Times New Roman" w:hAnsi="Times New Roman" w:eastAsia="Times New Roman" w:cs="Times New Roman"/>
          <w:i/>
          <w:sz w:val="24"/>
          <w:szCs w:val="24"/>
        </w:rPr>
      </w:pPr>
      <w:r>
        <w:rPr>
          <w:rFonts w:ascii="Times New Roman" w:hAnsi="Times New Roman" w:eastAsia="Times New Roman" w:cs="Times New Roman"/>
          <w:i/>
          <w:sz w:val="24"/>
          <w:szCs w:val="24"/>
          <w:rtl w:val="0"/>
        </w:rPr>
        <w:t xml:space="preserve">Improving access to education and employment </w:t>
      </w:r>
    </w:p>
    <w:p>
      <w:pPr>
        <w:pBdr>
          <w:top w:val="none" w:color="auto" w:sz="0" w:space="0"/>
          <w:left w:val="none" w:color="auto" w:sz="0" w:space="0"/>
          <w:bottom w:val="none" w:color="auto" w:sz="0" w:space="0"/>
          <w:right w:val="none" w:color="auto" w:sz="0" w:space="0"/>
          <w:between w:val="none" w:color="auto" w:sz="0" w:space="0"/>
        </w:pBdr>
        <w:spacing w:after="0"/>
        <w:ind w:left="0" w:firstLine="0"/>
        <w:jc w:val="both"/>
        <w:rPr>
          <w:rFonts w:ascii="Times New Roman" w:hAnsi="Times New Roman" w:eastAsia="Times New Roman" w:cs="Times New Roman"/>
          <w:i/>
          <w:sz w:val="24"/>
          <w:szCs w:val="24"/>
        </w:rPr>
      </w:pP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 xml:space="preserve">As of 2023 Bhutan has successfully achieved gender parity in primary and secondary education. At the tertiary level, female enrolment increased from 46%  in 2019 to 49%  in 2022. </w:t>
      </w:r>
      <w:r>
        <w:rPr>
          <w:rFonts w:ascii="Times New Roman" w:hAnsi="Times New Roman" w:eastAsia="Times New Roman" w:cs="Times New Roman"/>
          <w:b/>
          <w:sz w:val="24"/>
          <w:szCs w:val="24"/>
          <w:rtl w:val="0"/>
        </w:rPr>
        <w:t xml:space="preserve"> </w:t>
      </w:r>
      <w:r>
        <w:rPr>
          <w:rFonts w:ascii="Times New Roman" w:hAnsi="Times New Roman" w:eastAsia="Times New Roman" w:cs="Times New Roman"/>
          <w:sz w:val="24"/>
          <w:szCs w:val="24"/>
          <w:rtl w:val="0"/>
        </w:rPr>
        <w:t xml:space="preserve">Women represented 65% of the first three cohorts at the Jigme Singye Wangchuck school of Law (JSW). </w:t>
      </w:r>
    </w:p>
    <w:p>
      <w:pPr>
        <w:numPr>
          <w:ilvl w:val="0"/>
          <w:numId w:val="2"/>
        </w:numPr>
        <w:spacing w:after="120"/>
        <w:ind w:left="720" w:hanging="540"/>
        <w:jc w:val="both"/>
        <w:rPr>
          <w:sz w:val="24"/>
          <w:szCs w:val="24"/>
        </w:rPr>
      </w:pPr>
      <w:r>
        <w:rPr>
          <w:rFonts w:ascii="Times New Roman" w:hAnsi="Times New Roman" w:eastAsia="Times New Roman" w:cs="Times New Roman"/>
          <w:sz w:val="24"/>
          <w:szCs w:val="24"/>
          <w:rtl w:val="0"/>
        </w:rPr>
        <w:t xml:space="preserve">The dropout rate for girls between primary to secondary levels averaged only 2.3%  from 2020-2022 which was partially due to the school feeding program covering 63.9%  of the student population. The program will be further expanded to cover an additional 21%  of students by 2024. </w:t>
      </w:r>
    </w:p>
    <w:p>
      <w:pPr>
        <w:numPr>
          <w:ilvl w:val="0"/>
          <w:numId w:val="2"/>
        </w:numPr>
        <w:spacing w:after="120"/>
        <w:ind w:left="720" w:hanging="540"/>
        <w:jc w:val="both"/>
        <w:rPr>
          <w:sz w:val="24"/>
          <w:szCs w:val="24"/>
        </w:rPr>
      </w:pPr>
      <w:r>
        <w:rPr>
          <w:rFonts w:ascii="Times New Roman" w:hAnsi="Times New Roman" w:eastAsia="Times New Roman" w:cs="Times New Roman"/>
          <w:sz w:val="24"/>
          <w:szCs w:val="24"/>
          <w:rtl w:val="0"/>
        </w:rPr>
        <w:t>Long term initiatives such as the merit-based King's Scholarships has been instituted in June 2022 to nurture promising Bhutanese youth for the Civil Service. 78% of the selected scholars were girls in 2022-23 and 86% in 2023-24.</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Similarly, the annual ex-country undergraduate scholarships witnessed an increase in female awardees from 56.1% in 2021 to 60.75%  in 2022, indicating a positive development.</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 xml:space="preserve">Over the last five years, ECCD enrollment also increased from 21% in 2019 to  37.6% in 2023. One of the key focus areas for education in the draft 13th FYP and next 10 years is to achieve a 100% enrollment rate in ECCD. </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In terms of curricula, gender equality, sensitivity, stereotyping and prejudices have been broached as content matters in languages, social studies and science subjects. All 22 curriculum frameworks and instructional guides for 75 subjects were reviewed and revised in 2022.</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 xml:space="preserve">Further, Comprehensive Sexuality Education (CSE) was introduced in 2022 through a pilot program in 3 schools. The piloting of CSE was found to be impactful and has now been scaled up to 173 other schools in 2023. </w:t>
      </w:r>
    </w:p>
    <w:p>
      <w:pPr>
        <w:pBdr>
          <w:top w:val="none" w:color="auto" w:sz="0" w:space="0"/>
          <w:left w:val="none" w:color="auto" w:sz="0" w:space="0"/>
          <w:bottom w:val="none" w:color="auto" w:sz="0" w:space="0"/>
          <w:right w:val="none" w:color="auto" w:sz="0" w:space="0"/>
          <w:between w:val="none" w:color="auto" w:sz="0" w:space="0"/>
        </w:pBdr>
        <w:spacing w:before="240" w:after="240"/>
        <w:jc w:val="both"/>
        <w:rPr>
          <w:rFonts w:ascii="Times New Roman" w:hAnsi="Times New Roman" w:eastAsia="Times New Roman" w:cs="Times New Roman"/>
          <w:i/>
          <w:sz w:val="24"/>
          <w:szCs w:val="24"/>
        </w:rPr>
      </w:pPr>
      <w:r>
        <w:rPr>
          <w:rFonts w:ascii="Times New Roman" w:hAnsi="Times New Roman" w:eastAsia="Times New Roman" w:cs="Times New Roman"/>
          <w:i/>
          <w:sz w:val="24"/>
          <w:szCs w:val="24"/>
          <w:rtl w:val="0"/>
        </w:rPr>
        <w:t>Addressing Gender Based violence</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Based on the recommendations from the Gender Based Violence project, known as "</w:t>
      </w:r>
      <w:r>
        <w:rPr>
          <w:rFonts w:ascii="Times New Roman" w:hAnsi="Times New Roman" w:eastAsia="Times New Roman" w:cs="Times New Roman"/>
          <w:i/>
          <w:sz w:val="24"/>
          <w:szCs w:val="24"/>
          <w:rtl w:val="0"/>
        </w:rPr>
        <w:t>Gakey Lamtoen"</w:t>
      </w:r>
      <w:r>
        <w:rPr>
          <w:rFonts w:ascii="Times New Roman" w:hAnsi="Times New Roman" w:eastAsia="Times New Roman" w:cs="Times New Roman"/>
          <w:sz w:val="24"/>
          <w:szCs w:val="24"/>
          <w:rtl w:val="0"/>
        </w:rPr>
        <w:t xml:space="preserve"> or 'The Path to Happiness,' an advocacy program called "Parenting without Violence" is now being implemented in three districts (Thimphu, Dagana, and Zhemgang). Furthermore, gender components are integrated into mainstream education programs, such as counseling programs and scouting, where there are a total of 130,260 scouts, comprising 51% girls.</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 xml:space="preserve">Recognizing the existence of Intimate Partner Violence, a risk factor analysis study was conducted in 2022. The findings from the study will be used to plan targeted interventions. </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Since our last report, four additional community</w:t>
      </w:r>
      <w:r>
        <w:rPr>
          <w:rFonts w:ascii="Times New Roman" w:hAnsi="Times New Roman" w:eastAsia="Times New Roman" w:cs="Times New Roman"/>
          <w:sz w:val="24"/>
          <w:szCs w:val="24"/>
          <w:highlight w:val="white"/>
          <w:rtl w:val="0"/>
        </w:rPr>
        <w:t xml:space="preserve"> service centers</w:t>
      </w:r>
      <w:r>
        <w:rPr>
          <w:rFonts w:ascii="Times New Roman" w:hAnsi="Times New Roman" w:eastAsia="Times New Roman" w:cs="Times New Roman"/>
          <w:sz w:val="24"/>
          <w:szCs w:val="24"/>
          <w:rtl w:val="0"/>
        </w:rPr>
        <w:t xml:space="preserve"> have been</w:t>
      </w:r>
      <w:r>
        <w:rPr>
          <w:rFonts w:ascii="Times New Roman" w:hAnsi="Times New Roman" w:eastAsia="Times New Roman" w:cs="Times New Roman"/>
          <w:sz w:val="24"/>
          <w:szCs w:val="24"/>
          <w:highlight w:val="white"/>
          <w:rtl w:val="0"/>
        </w:rPr>
        <w:t xml:space="preserve"> established taking the total number of community service centers to seven. The centers offer livelihood and reintegration programs, awareness campaigns and community engagement on key social and health issues. </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 xml:space="preserve">An economic costing for Violence Against Women and Girls(VAWG) was undertaken in 2022, which is currently under peer review. The data from the study will support reporting on the Sustainable Development Goals (SDGs), in particular SDG 5.1 and SDG 16.2. </w:t>
      </w:r>
    </w:p>
    <w:p>
      <w:pPr>
        <w:pBdr>
          <w:top w:val="none" w:color="auto" w:sz="0" w:space="0"/>
          <w:left w:val="none" w:color="auto" w:sz="0" w:space="0"/>
          <w:bottom w:val="none" w:color="auto" w:sz="0" w:space="0"/>
          <w:right w:val="none" w:color="auto" w:sz="0" w:space="0"/>
          <w:between w:val="none" w:color="auto" w:sz="0" w:space="0"/>
        </w:pBdr>
        <w:spacing w:before="240" w:after="240"/>
        <w:jc w:val="both"/>
        <w:rPr>
          <w:rFonts w:ascii="Times New Roman" w:hAnsi="Times New Roman" w:eastAsia="Times New Roman" w:cs="Times New Roman"/>
          <w:i/>
          <w:sz w:val="24"/>
          <w:szCs w:val="24"/>
        </w:rPr>
      </w:pPr>
      <w:r>
        <w:rPr>
          <w:rFonts w:ascii="Times New Roman" w:hAnsi="Times New Roman" w:eastAsia="Times New Roman" w:cs="Times New Roman"/>
          <w:i/>
          <w:sz w:val="24"/>
          <w:szCs w:val="24"/>
          <w:rtl w:val="0"/>
        </w:rPr>
        <w:t xml:space="preserve">Gender and Climate Change Adaptation </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 xml:space="preserve">Following the National Climate Change Policy 2020 and Nationally Determined Contribution studies, a National Adaptation Plan (NAP) was launched in September 2023, emphasizing gender equality and disaster risk management.  The NCWC engaged in preparation of all national level plans for climate change adaptation and disaster, ensuring mainstreaming of gender issues and highlighting the differentiated impact of climate change and disaster. Despite these advances, Bhutan recognizes the need for external support in terms of resources, expertise and capacity building to further these initiatives. </w:t>
      </w:r>
    </w:p>
    <w:p>
      <w:pPr>
        <w:pBdr>
          <w:top w:val="none" w:color="auto" w:sz="0" w:space="0"/>
          <w:left w:val="none" w:color="auto" w:sz="0" w:space="0"/>
          <w:bottom w:val="none" w:color="auto" w:sz="0" w:space="0"/>
          <w:right w:val="none" w:color="auto" w:sz="0" w:space="0"/>
          <w:between w:val="none" w:color="auto" w:sz="0" w:space="0"/>
        </w:pBdr>
        <w:spacing w:before="240" w:after="240"/>
        <w:jc w:val="both"/>
        <w:rPr>
          <w:rFonts w:ascii="Times New Roman" w:hAnsi="Times New Roman" w:eastAsia="Times New Roman" w:cs="Times New Roman"/>
          <w:sz w:val="24"/>
          <w:szCs w:val="24"/>
        </w:rPr>
      </w:pPr>
      <w:r>
        <w:rPr>
          <w:rFonts w:ascii="Times New Roman" w:hAnsi="Times New Roman" w:eastAsia="Times New Roman" w:cs="Times New Roman"/>
          <w:i/>
          <w:sz w:val="24"/>
          <w:szCs w:val="24"/>
          <w:rtl w:val="0"/>
        </w:rPr>
        <w:t>Ensuring Essential Health Services for Women</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 xml:space="preserve">The Health Flagship project has achieved remarkable screening rates, with 90.81% for high-risk HPV and 93% for breast cancer among women aged 30-65 years. The detection of 154 cervical cancer and 74 breast cancer cases through this project holds promise for better treatment outcomes and decreased mortality.  </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 xml:space="preserve">Family planning services are available in every health facility in the country. Through outreach clinics and village health workers, family planning services are made available in remote communities. </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 xml:space="preserve">Bhutan has made strides in adolescent health with all 53 hospitals offering Adolescent Friendly Health Services (counseling on family planning, prevention of unwanted pregnancies and practicing safe sex) through trained health workers. In 2022, </w:t>
      </w:r>
      <w:r>
        <w:rPr>
          <w:rFonts w:ascii="Times New Roman" w:hAnsi="Times New Roman" w:eastAsia="Times New Roman" w:cs="Times New Roman"/>
          <w:b/>
          <w:sz w:val="24"/>
          <w:szCs w:val="24"/>
          <w:rtl w:val="0"/>
        </w:rPr>
        <w:t>7494 adolescents</w:t>
      </w:r>
      <w:r>
        <w:rPr>
          <w:rFonts w:ascii="Times New Roman" w:hAnsi="Times New Roman" w:eastAsia="Times New Roman" w:cs="Times New Roman"/>
          <w:sz w:val="24"/>
          <w:szCs w:val="24"/>
          <w:rtl w:val="0"/>
        </w:rPr>
        <w:t xml:space="preserve"> availed these services.</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Further enhancing the reach, Adolescent Friendly Health Services have been recently integrated with Youth Friendly Integrated Service Centers. Moreover, school health coordinators are  being trained on adolescent health priorities using the draft training module. The draft training module will be finalized by mid 2024 and it is proposed to be integrated into the pre-service teacher training curriculum.</w:t>
      </w:r>
    </w:p>
    <w:p>
      <w:pPr>
        <w:spacing w:after="140"/>
        <w:jc w:val="both"/>
        <w:rPr>
          <w:rFonts w:ascii="Times New Roman" w:hAnsi="Times New Roman" w:eastAsia="Times New Roman" w:cs="Times New Roman"/>
          <w:sz w:val="24"/>
          <w:szCs w:val="24"/>
        </w:rPr>
      </w:pPr>
      <w:r>
        <w:rPr>
          <w:rFonts w:ascii="Times New Roman" w:hAnsi="Times New Roman" w:eastAsia="Times New Roman" w:cs="Times New Roman"/>
          <w:i/>
          <w:sz w:val="24"/>
          <w:szCs w:val="24"/>
          <w:rtl w:val="0"/>
        </w:rPr>
        <w:t xml:space="preserve">Promotion of mental wellbeing of women and girls </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In May 2023, The PEMA Secretariat and the Department of Education Programmes rolled out the Health and Wellbeing Pilot programme in Thimphu, using WHO-validated screening tools (such as ASSIST, GAD, ACE and PHQ).</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 xml:space="preserve">Education officers, Principals, School Guidance Counselors and Wellbeing focal teachers of Higher Secondary Schools in all districts have been trained in preparation for the nationwide comprehensive Health and Wellbeing Screening. </w:t>
      </w:r>
    </w:p>
    <w:p>
      <w:pPr>
        <w:numPr>
          <w:ilvl w:val="0"/>
          <w:numId w:val="2"/>
        </w:numPr>
        <w:spacing w:after="120"/>
        <w:ind w:left="720" w:hanging="540"/>
        <w:jc w:val="both"/>
        <w:rPr>
          <w:sz w:val="24"/>
          <w:szCs w:val="24"/>
        </w:rPr>
      </w:pPr>
      <w:r>
        <w:rPr>
          <w:rFonts w:ascii="Times New Roman" w:hAnsi="Times New Roman" w:eastAsia="Times New Roman" w:cs="Times New Roman"/>
          <w:sz w:val="24"/>
          <w:szCs w:val="24"/>
          <w:rtl w:val="0"/>
        </w:rPr>
        <w:t>Substance Use Disorder (SUD) Treatment and Care services are operational in four hospitals. Additionally, all hospitals nationwide provide services for those grappling with substance use, including detoxification. Furthermore, a 100-bedded National Drug Treatment and Rehabilitation Centre with 20 beds specifically dedicated for women with SUD is being established.</w:t>
      </w:r>
    </w:p>
    <w:p>
      <w:pPr>
        <w:spacing w:after="120"/>
        <w:ind w:left="0" w:firstLine="0"/>
        <w:jc w:val="both"/>
        <w:rPr>
          <w:rFonts w:ascii="Times New Roman" w:hAnsi="Times New Roman" w:eastAsia="Times New Roman" w:cs="Times New Roman"/>
          <w:i/>
          <w:sz w:val="24"/>
          <w:szCs w:val="24"/>
        </w:rPr>
      </w:pPr>
      <w:r>
        <w:rPr>
          <w:rFonts w:ascii="Times New Roman" w:hAnsi="Times New Roman" w:eastAsia="Times New Roman" w:cs="Times New Roman"/>
          <w:i/>
          <w:sz w:val="24"/>
          <w:szCs w:val="24"/>
          <w:rtl w:val="0"/>
        </w:rPr>
        <w:t>Emerging Challenges for Bhutan</w:t>
      </w:r>
    </w:p>
    <w:p>
      <w:pPr>
        <w:numPr>
          <w:ilvl w:val="0"/>
          <w:numId w:val="2"/>
        </w:numPr>
        <w:spacing w:after="120"/>
        <w:ind w:left="720" w:hanging="540"/>
        <w:jc w:val="both"/>
        <w:rPr>
          <w:sz w:val="24"/>
          <w:szCs w:val="24"/>
        </w:rPr>
      </w:pPr>
      <w:r>
        <w:rPr>
          <w:rFonts w:ascii="Times New Roman" w:hAnsi="Times New Roman" w:eastAsia="Times New Roman" w:cs="Times New Roman"/>
          <w:sz w:val="24"/>
          <w:szCs w:val="24"/>
          <w:rtl w:val="0"/>
        </w:rPr>
        <w:t xml:space="preserve">As Bhutan approaches its graduation from the category of Least Developed Countries by December 2023, the loss of international support measures after graduation, the external shocks coupled with internal imbalances pose risks to the macroeconomic stability. </w:t>
      </w:r>
    </w:p>
    <w:p>
      <w:pPr>
        <w:numPr>
          <w:ilvl w:val="0"/>
          <w:numId w:val="2"/>
        </w:numPr>
        <w:spacing w:after="120"/>
        <w:ind w:left="720" w:hanging="540"/>
        <w:jc w:val="both"/>
        <w:rPr>
          <w:sz w:val="24"/>
          <w:szCs w:val="24"/>
        </w:rPr>
      </w:pPr>
      <w:r>
        <w:rPr>
          <w:rFonts w:ascii="Times New Roman" w:hAnsi="Times New Roman" w:eastAsia="Times New Roman" w:cs="Times New Roman"/>
          <w:sz w:val="24"/>
          <w:szCs w:val="24"/>
          <w:rtl w:val="0"/>
        </w:rPr>
        <w:t>In the last two years, the overall labor force participation rate declined from 69% in 2021 to 63.1%  in 2022. The female labor force participation rate significantly decreased from 65.3%  in 2021 to 53.5%  in 2022.</w:t>
      </w:r>
    </w:p>
    <w:p>
      <w:pPr>
        <w:numPr>
          <w:ilvl w:val="0"/>
          <w:numId w:val="2"/>
        </w:numPr>
        <w:spacing w:after="120"/>
        <w:ind w:left="720" w:hanging="540"/>
        <w:jc w:val="both"/>
        <w:rPr>
          <w:sz w:val="24"/>
          <w:szCs w:val="24"/>
        </w:rPr>
      </w:pPr>
      <w:r>
        <w:rPr>
          <w:rFonts w:ascii="Times New Roman" w:hAnsi="Times New Roman" w:eastAsia="Times New Roman" w:cs="Times New Roman"/>
          <w:sz w:val="24"/>
          <w:szCs w:val="24"/>
          <w:rtl w:val="0"/>
        </w:rPr>
        <w:t xml:space="preserve">The civil service attrition rate tripled from 4.82%  in 2021 to 12.22%  as of August 2023. This represents a significant loss of qualified and trained professionals.. In turn, this has severely impacted the capacity of various government agencies in delivering services effectively. Rebuilding the capacities of our public institutions will take time and investment. </w:t>
      </w:r>
      <w:r>
        <w:rPr>
          <w:rFonts w:ascii="Times New Roman" w:hAnsi="Times New Roman" w:eastAsia="Times New Roman" w:cs="Times New Roman"/>
          <w:sz w:val="24"/>
          <w:szCs w:val="24"/>
          <w:highlight w:val="white"/>
          <w:rtl w:val="0"/>
        </w:rPr>
        <w:t xml:space="preserve"> </w:t>
      </w:r>
    </w:p>
    <w:p>
      <w:pPr>
        <w:numPr>
          <w:ilvl w:val="0"/>
          <w:numId w:val="2"/>
        </w:numPr>
        <w:spacing w:after="120"/>
        <w:ind w:left="720" w:hanging="540"/>
        <w:jc w:val="both"/>
        <w:rPr>
          <w:sz w:val="24"/>
          <w:szCs w:val="24"/>
          <w:highlight w:val="white"/>
        </w:rPr>
      </w:pPr>
      <w:r>
        <w:rPr>
          <w:rFonts w:ascii="Times New Roman" w:hAnsi="Times New Roman" w:eastAsia="Times New Roman" w:cs="Times New Roman"/>
          <w:sz w:val="24"/>
          <w:szCs w:val="24"/>
          <w:highlight w:val="white"/>
          <w:rtl w:val="0"/>
        </w:rPr>
        <w:t xml:space="preserve">Another major challenge is the effects of global warming, which is affecting the two main drivers of our economy, i.e. agriculture and generation of hydro power. Needless to say, women are most affected by the adverse impact of climate change. The global response to aid countries like </w:t>
      </w:r>
      <w:r>
        <w:rPr>
          <w:rFonts w:ascii="Times New Roman" w:hAnsi="Times New Roman" w:eastAsia="Times New Roman" w:cs="Times New Roman"/>
          <w:sz w:val="24"/>
          <w:szCs w:val="24"/>
          <w:rtl w:val="0"/>
        </w:rPr>
        <w:t xml:space="preserve">Bhutan to deal with climate change has been far from satisfactory. </w:t>
      </w:r>
    </w:p>
    <w:p>
      <w:pPr>
        <w:pBdr>
          <w:top w:val="none" w:color="auto" w:sz="0" w:space="0"/>
          <w:left w:val="none" w:color="auto" w:sz="0" w:space="0"/>
          <w:bottom w:val="none" w:color="auto" w:sz="0" w:space="0"/>
          <w:right w:val="none" w:color="auto" w:sz="0" w:space="0"/>
          <w:between w:val="none" w:color="auto" w:sz="0" w:space="0"/>
        </w:pBdr>
        <w:spacing w:after="140"/>
        <w:jc w:val="both"/>
        <w:rPr>
          <w:rFonts w:ascii="Times New Roman" w:hAnsi="Times New Roman" w:eastAsia="Times New Roman" w:cs="Times New Roman"/>
          <w:sz w:val="24"/>
          <w:szCs w:val="24"/>
        </w:rPr>
      </w:pPr>
      <w:r>
        <w:rPr>
          <w:rFonts w:ascii="Times New Roman" w:hAnsi="Times New Roman" w:eastAsia="Times New Roman" w:cs="Times New Roman"/>
          <w:i/>
          <w:sz w:val="24"/>
          <w:szCs w:val="24"/>
          <w:rtl w:val="0"/>
        </w:rPr>
        <w:t>In Conclusion, Madam Chair, Distinguished members of the Committee</w:t>
      </w:r>
      <w:r>
        <w:rPr>
          <w:rFonts w:ascii="Times New Roman" w:hAnsi="Times New Roman" w:eastAsia="Times New Roman" w:cs="Times New Roman"/>
          <w:sz w:val="24"/>
          <w:szCs w:val="24"/>
          <w:rtl w:val="0"/>
        </w:rPr>
        <w:t>,</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120"/>
        <w:ind w:left="720" w:hanging="540"/>
        <w:jc w:val="both"/>
        <w:rPr>
          <w:sz w:val="24"/>
          <w:szCs w:val="24"/>
        </w:rPr>
      </w:pPr>
      <w:r>
        <w:rPr>
          <w:rFonts w:ascii="Times New Roman" w:hAnsi="Times New Roman" w:eastAsia="Times New Roman" w:cs="Times New Roman"/>
          <w:sz w:val="24"/>
          <w:szCs w:val="24"/>
          <w:rtl w:val="0"/>
        </w:rPr>
        <w:t>My delegation and I look forward to a fruitful discussion, and believe that it will inform and strengthen the efforts to enhance the implementation of CEDAW in Bhutan. We look forward to your invaluable insights based on our 10th Periodic Report and other observations that the Committee may have. I am hopeful that my delegation and I will be able to give you a better understanding of the progress Bhutan has achieved in recent years, as well as the challenges that lie before us.</w:t>
      </w:r>
    </w:p>
    <w:p>
      <w:pPr>
        <w:pBdr>
          <w:top w:val="none" w:color="auto" w:sz="0" w:space="0"/>
          <w:left w:val="none" w:color="auto" w:sz="0" w:space="0"/>
          <w:bottom w:val="none" w:color="auto" w:sz="0" w:space="0"/>
          <w:right w:val="none" w:color="auto" w:sz="0" w:space="0"/>
          <w:between w:val="none" w:color="auto" w:sz="0" w:space="0"/>
        </w:pBdr>
        <w:spacing w:after="120"/>
        <w:ind w:left="720" w:firstLine="0"/>
        <w:jc w:val="both"/>
        <w:rPr>
          <w:rFonts w:ascii="Times New Roman" w:hAnsi="Times New Roman" w:eastAsia="Times New Roman" w:cs="Times New Roman"/>
          <w:sz w:val="24"/>
          <w:szCs w:val="24"/>
          <w:rtl w:val="0"/>
        </w:rPr>
      </w:pPr>
    </w:p>
    <w:p>
      <w:pPr>
        <w:pBdr>
          <w:top w:val="none" w:color="auto" w:sz="0" w:space="0"/>
          <w:left w:val="none" w:color="auto" w:sz="0" w:space="0"/>
          <w:bottom w:val="none" w:color="auto" w:sz="0" w:space="0"/>
          <w:right w:val="none" w:color="auto" w:sz="0" w:space="0"/>
          <w:between w:val="none" w:color="auto" w:sz="0" w:space="0"/>
        </w:pBdr>
        <w:spacing w:after="120"/>
        <w:ind w:left="720" w:firstLine="0"/>
        <w:jc w:val="both"/>
        <w:rPr>
          <w:rFonts w:ascii="Times New Roman" w:hAnsi="Times New Roman" w:eastAsia="Times New Roman" w:cs="Times New Roman"/>
          <w:b/>
          <w:sz w:val="24"/>
          <w:szCs w:val="24"/>
          <w:u w:val="single"/>
        </w:rPr>
      </w:pPr>
      <w:bookmarkStart w:id="0" w:name="_GoBack"/>
      <w:bookmarkEnd w:id="0"/>
      <w:r>
        <w:rPr>
          <w:rFonts w:ascii="Times New Roman" w:hAnsi="Times New Roman" w:eastAsia="Times New Roman" w:cs="Times New Roman"/>
          <w:sz w:val="24"/>
          <w:szCs w:val="24"/>
          <w:rtl w:val="0"/>
        </w:rPr>
        <w:t>Thank you and Tashi Delek!.</w:t>
      </w:r>
    </w:p>
    <w:sectPr>
      <w:headerReference r:id="rId4" w:type="first"/>
      <w:footerReference r:id="rId6" w:type="first"/>
      <w:headerReference r:id="rId3" w:type="default"/>
      <w:footerReference r:id="rId5" w:type="default"/>
      <w:pgSz w:w="12240" w:h="15840"/>
      <w:pgMar w:top="1440" w:right="1440" w:bottom="1440" w:left="1440" w:header="720" w:footer="720" w:gutter="0"/>
      <w:pgNumType w:start="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86"/>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SimSun">
    <w:altName w:val="宋体-简"/>
    <w:panose1 w:val="00000000000000000000"/>
    <w:charset w:val="86"/>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ascii="Times New Roman" w:hAnsi="Times New Roman" w:eastAsia="Times New Roman" w:cs="Times New Roman"/>
      </w:rPr>
    </w:pPr>
    <w:r>
      <w:fldChar w:fldCharType="begin"/>
    </w:r>
    <w:r>
      <w:instrText xml:space="preserve">PAGE</w:instrText>
    </w:r>
    <w:r>
      <w:fldChar w:fldCharType="separate"/>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ascii="Times New Roman" w:hAnsi="Times New Roman" w:eastAsia="Times New Roman" w:cs="Times New Roman"/>
      </w:rPr>
    </w:pPr>
    <w:r>
      <w:rPr>
        <w:rFonts w:ascii="Times New Roman" w:hAnsi="Times New Roman" w:eastAsia="Times New Roman" w:cs="Times New Roman"/>
      </w:rPr>
      <w:fldChar w:fldCharType="begin"/>
    </w:r>
    <w:r>
      <w:rPr>
        <w:rFonts w:ascii="Times New Roman" w:hAnsi="Times New Roman" w:eastAsia="Times New Roman" w:cs="Times New Roman"/>
      </w:rPr>
      <w:instrText xml:space="preserve">PAGE</w:instrText>
    </w:r>
    <w:r>
      <w:rPr>
        <w:rFonts w:ascii="Times New Roman" w:hAnsi="Times New Roman" w:eastAsia="Times New Roman" w:cs="Times New Roman"/>
      </w:rPr>
      <w:fldChar w:fldCharType="separate"/>
    </w:r>
    <w:r>
      <w:rPr>
        <w:rFonts w:ascii="Times New Roman" w:hAnsi="Times New Roman" w:eastAsia="Times New Roman" w:cs="Times New Roma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23F55B"/>
    <w:multiLevelType w:val="multilevel"/>
    <w:tmpl w:val="6523F55B"/>
    <w:lvl w:ilvl="0" w:tentative="0">
      <w:start w:val="1"/>
      <w:numFmt w:val="lowerRoman"/>
      <w:lvlText w:val="(%1)"/>
      <w:lvlJc w:val="right"/>
      <w:pPr>
        <w:ind w:left="720" w:hanging="360"/>
      </w:pPr>
      <w:rPr>
        <w:rFonts w:ascii="Times New Roman" w:hAnsi="Times New Roman" w:eastAsia="Times New Roman" w:cs="Times New Roman"/>
        <w:b w:val="0"/>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1">
    <w:nsid w:val="6523F566"/>
    <w:multiLevelType w:val="multilevel"/>
    <w:tmpl w:val="6523F566"/>
    <w:lvl w:ilvl="0" w:tentative="0">
      <w:start w:val="1"/>
      <w:numFmt w:val="decimal"/>
      <w:lvlText w:val="%1."/>
      <w:lvlJc w:val="right"/>
      <w:pPr>
        <w:ind w:left="720" w:hanging="540"/>
      </w:pPr>
      <w:rPr>
        <w:rFonts w:ascii="Times New Roman" w:hAnsi="Times New Roman" w:eastAsia="Times New Roman" w:cs="Times New Roman"/>
        <w:b w:val="0"/>
        <w:u w:val="none"/>
      </w:rPr>
    </w:lvl>
    <w:lvl w:ilvl="1" w:tentative="0">
      <w:start w:val="1"/>
      <w:numFmt w:val="decimal"/>
      <w:lvlText w:val="%1.%2."/>
      <w:lvlJc w:val="right"/>
      <w:pPr>
        <w:ind w:left="1440" w:hanging="360"/>
      </w:pPr>
      <w:rPr>
        <w:u w:val="none"/>
      </w:rPr>
    </w:lvl>
    <w:lvl w:ilvl="2" w:tentative="0">
      <w:start w:val="1"/>
      <w:numFmt w:val="decimal"/>
      <w:lvlText w:val="%1.%2.%3."/>
      <w:lvlJc w:val="right"/>
      <w:pPr>
        <w:ind w:left="2160" w:hanging="360"/>
      </w:pPr>
      <w:rPr>
        <w:u w:val="none"/>
      </w:rPr>
    </w:lvl>
    <w:lvl w:ilvl="3" w:tentative="0">
      <w:start w:val="1"/>
      <w:numFmt w:val="decimal"/>
      <w:lvlText w:val="%1.%2.%3.%4."/>
      <w:lvlJc w:val="right"/>
      <w:pPr>
        <w:ind w:left="2880" w:hanging="360"/>
      </w:pPr>
      <w:rPr>
        <w:u w:val="none"/>
      </w:rPr>
    </w:lvl>
    <w:lvl w:ilvl="4" w:tentative="0">
      <w:start w:val="1"/>
      <w:numFmt w:val="decimal"/>
      <w:lvlText w:val="%1.%2.%3.%4.%5."/>
      <w:lvlJc w:val="right"/>
      <w:pPr>
        <w:ind w:left="3600" w:hanging="360"/>
      </w:pPr>
      <w:rPr>
        <w:u w:val="none"/>
      </w:rPr>
    </w:lvl>
    <w:lvl w:ilvl="5" w:tentative="0">
      <w:start w:val="1"/>
      <w:numFmt w:val="decimal"/>
      <w:lvlText w:val="%1.%2.%3.%4.%5.%6."/>
      <w:lvlJc w:val="right"/>
      <w:pPr>
        <w:ind w:left="4320" w:hanging="360"/>
      </w:pPr>
      <w:rPr>
        <w:u w:val="none"/>
      </w:rPr>
    </w:lvl>
    <w:lvl w:ilvl="6" w:tentative="0">
      <w:start w:val="1"/>
      <w:numFmt w:val="decimal"/>
      <w:lvlText w:val="%1.%2.%3.%4.%5.%6.%7."/>
      <w:lvlJc w:val="right"/>
      <w:pPr>
        <w:ind w:left="5040" w:hanging="360"/>
      </w:pPr>
      <w:rPr>
        <w:u w:val="none"/>
      </w:rPr>
    </w:lvl>
    <w:lvl w:ilvl="7" w:tentative="0">
      <w:start w:val="1"/>
      <w:numFmt w:val="decimal"/>
      <w:lvlText w:val="%1.%2.%3.%4.%5.%6.%7.%8."/>
      <w:lvlJc w:val="right"/>
      <w:pPr>
        <w:ind w:left="5760" w:hanging="360"/>
      </w:pPr>
      <w:rPr>
        <w:u w:val="none"/>
      </w:rPr>
    </w:lvl>
    <w:lvl w:ilvl="8" w:tentative="0">
      <w:start w:val="1"/>
      <w:numFmt w:val="decimal"/>
      <w:lvlText w:val="%1.%2.%3.%4.%5.%6.%7.%8.%9."/>
      <w:lvlJc w:val="right"/>
      <w:pPr>
        <w:ind w:left="6480" w:hanging="360"/>
      </w:pPr>
      <w:rPr>
        <w:u w:val="none"/>
      </w:rPr>
    </w:lvl>
  </w:abstractNum>
  <w:abstractNum w:abstractNumId="2">
    <w:nsid w:val="6523F571"/>
    <w:multiLevelType w:val="multilevel"/>
    <w:tmpl w:val="6523F571"/>
    <w:lvl w:ilvl="0" w:tentative="0">
      <w:start w:val="1"/>
      <w:numFmt w:val="bullet"/>
      <w:lvlText w:val="●"/>
      <w:lvlJc w:val="left"/>
      <w:pPr>
        <w:ind w:left="1440" w:hanging="360"/>
      </w:pPr>
      <w:rPr>
        <w:u w:val="none"/>
      </w:rPr>
    </w:lvl>
    <w:lvl w:ilvl="1" w:tentative="0">
      <w:start w:val="1"/>
      <w:numFmt w:val="bullet"/>
      <w:lvlText w:val="○"/>
      <w:lvlJc w:val="left"/>
      <w:pPr>
        <w:ind w:left="2160" w:hanging="360"/>
      </w:pPr>
      <w:rPr>
        <w:u w:val="none"/>
      </w:rPr>
    </w:lvl>
    <w:lvl w:ilvl="2" w:tentative="0">
      <w:start w:val="1"/>
      <w:numFmt w:val="bullet"/>
      <w:lvlText w:val="■"/>
      <w:lvlJc w:val="left"/>
      <w:pPr>
        <w:ind w:left="2880" w:hanging="360"/>
      </w:pPr>
      <w:rPr>
        <w:u w:val="none"/>
      </w:rPr>
    </w:lvl>
    <w:lvl w:ilvl="3" w:tentative="0">
      <w:start w:val="1"/>
      <w:numFmt w:val="bullet"/>
      <w:lvlText w:val="●"/>
      <w:lvlJc w:val="left"/>
      <w:pPr>
        <w:ind w:left="3600" w:hanging="360"/>
      </w:pPr>
      <w:rPr>
        <w:u w:val="none"/>
      </w:rPr>
    </w:lvl>
    <w:lvl w:ilvl="4" w:tentative="0">
      <w:start w:val="1"/>
      <w:numFmt w:val="bullet"/>
      <w:lvlText w:val="○"/>
      <w:lvlJc w:val="left"/>
      <w:pPr>
        <w:ind w:left="4320" w:hanging="360"/>
      </w:pPr>
      <w:rPr>
        <w:u w:val="none"/>
      </w:rPr>
    </w:lvl>
    <w:lvl w:ilvl="5" w:tentative="0">
      <w:start w:val="1"/>
      <w:numFmt w:val="bullet"/>
      <w:lvlText w:val="■"/>
      <w:lvlJc w:val="left"/>
      <w:pPr>
        <w:ind w:left="5040" w:hanging="360"/>
      </w:pPr>
      <w:rPr>
        <w:u w:val="none"/>
      </w:rPr>
    </w:lvl>
    <w:lvl w:ilvl="6" w:tentative="0">
      <w:start w:val="1"/>
      <w:numFmt w:val="bullet"/>
      <w:lvlText w:val="●"/>
      <w:lvlJc w:val="left"/>
      <w:pPr>
        <w:ind w:left="5760" w:hanging="360"/>
      </w:pPr>
      <w:rPr>
        <w:u w:val="none"/>
      </w:rPr>
    </w:lvl>
    <w:lvl w:ilvl="7" w:tentative="0">
      <w:start w:val="1"/>
      <w:numFmt w:val="bullet"/>
      <w:lvlText w:val="○"/>
      <w:lvlJc w:val="left"/>
      <w:pPr>
        <w:ind w:left="6480" w:hanging="360"/>
      </w:pPr>
      <w:rPr>
        <w:u w:val="none"/>
      </w:rPr>
    </w:lvl>
    <w:lvl w:ilvl="8" w:tentative="0">
      <w:start w:val="1"/>
      <w:numFmt w:val="bullet"/>
      <w:lvlText w:val="■"/>
      <w:lvlJc w:val="left"/>
      <w:pPr>
        <w:ind w:left="7200" w:hanging="360"/>
      </w:pPr>
      <w:rPr>
        <w:u w:val="none"/>
      </w:rPr>
    </w:lvl>
  </w:abstractNum>
  <w:abstractNum w:abstractNumId="3">
    <w:nsid w:val="6523F57C"/>
    <w:multiLevelType w:val="multilevel"/>
    <w:tmpl w:val="6523F57C"/>
    <w:lvl w:ilvl="0" w:tentative="0">
      <w:start w:val="1"/>
      <w:numFmt w:val="lowerLetter"/>
      <w:lvlText w:val="%1."/>
      <w:lvlJc w:val="left"/>
      <w:pPr>
        <w:ind w:left="2160" w:hanging="360"/>
      </w:pPr>
      <w:rPr>
        <w:u w:val="none"/>
      </w:rPr>
    </w:lvl>
    <w:lvl w:ilvl="1" w:tentative="0">
      <w:start w:val="1"/>
      <w:numFmt w:val="lowerRoman"/>
      <w:lvlText w:val="%2."/>
      <w:lvlJc w:val="right"/>
      <w:pPr>
        <w:ind w:left="2880" w:hanging="360"/>
      </w:pPr>
      <w:rPr>
        <w:u w:val="none"/>
      </w:rPr>
    </w:lvl>
    <w:lvl w:ilvl="2" w:tentative="0">
      <w:start w:val="1"/>
      <w:numFmt w:val="decimal"/>
      <w:lvlText w:val="%3."/>
      <w:lvlJc w:val="left"/>
      <w:pPr>
        <w:ind w:left="3600" w:hanging="360"/>
      </w:pPr>
      <w:rPr>
        <w:u w:val="none"/>
      </w:rPr>
    </w:lvl>
    <w:lvl w:ilvl="3" w:tentative="0">
      <w:start w:val="1"/>
      <w:numFmt w:val="lowerLetter"/>
      <w:lvlText w:val="%4."/>
      <w:lvlJc w:val="left"/>
      <w:pPr>
        <w:ind w:left="4320" w:hanging="360"/>
      </w:pPr>
      <w:rPr>
        <w:u w:val="none"/>
      </w:rPr>
    </w:lvl>
    <w:lvl w:ilvl="4" w:tentative="0">
      <w:start w:val="1"/>
      <w:numFmt w:val="lowerRoman"/>
      <w:lvlText w:val="%5."/>
      <w:lvlJc w:val="right"/>
      <w:pPr>
        <w:ind w:left="5040" w:hanging="360"/>
      </w:pPr>
      <w:rPr>
        <w:u w:val="none"/>
      </w:rPr>
    </w:lvl>
    <w:lvl w:ilvl="5" w:tentative="0">
      <w:start w:val="1"/>
      <w:numFmt w:val="decimal"/>
      <w:lvlText w:val="%6."/>
      <w:lvlJc w:val="left"/>
      <w:pPr>
        <w:ind w:left="5760" w:hanging="360"/>
      </w:pPr>
      <w:rPr>
        <w:u w:val="none"/>
      </w:rPr>
    </w:lvl>
    <w:lvl w:ilvl="6" w:tentative="0">
      <w:start w:val="1"/>
      <w:numFmt w:val="lowerLetter"/>
      <w:lvlText w:val="%7."/>
      <w:lvlJc w:val="left"/>
      <w:pPr>
        <w:ind w:left="6480" w:hanging="360"/>
      </w:pPr>
      <w:rPr>
        <w:u w:val="none"/>
      </w:rPr>
    </w:lvl>
    <w:lvl w:ilvl="7" w:tentative="0">
      <w:start w:val="1"/>
      <w:numFmt w:val="lowerRoman"/>
      <w:lvlText w:val="%8."/>
      <w:lvlJc w:val="right"/>
      <w:pPr>
        <w:ind w:left="7200" w:hanging="360"/>
      </w:pPr>
      <w:rPr>
        <w:u w:val="none"/>
      </w:rPr>
    </w:lvl>
    <w:lvl w:ilvl="8" w:tentative="0">
      <w:start w:val="1"/>
      <w:numFmt w:val="decimal"/>
      <w:lvlText w:val="%9."/>
      <w:lvlJc w:val="left"/>
      <w:pPr>
        <w:ind w:left="7920" w:hanging="360"/>
      </w:pPr>
      <w:rPr>
        <w:u w:val="none"/>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3"/>
  <w:documentProtection w:enforcement="0"/>
  <w:defaultTabStop w:val="720"/>
  <w:compat>
    <w:compatSetting w:name="compatibilityMode" w:uri="http://schemas.microsoft.com/office/word" w:val="15"/>
  </w:compat>
  <w:rsids>
    <w:rsidRoot w:val="00000000"/>
    <w:rsid w:val="3F3F797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Arial" w:hAnsi="Arial" w:eastAsia="Arial" w:cs="Arial"/>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en"/>
    </w:rPr>
  </w:style>
  <w:style w:type="paragraph" w:styleId="2">
    <w:name w:val="heading 1"/>
    <w:basedOn w:val="1"/>
    <w:next w:val="1"/>
    <w:uiPriority w:val="0"/>
    <w:pPr>
      <w:keepNext/>
      <w:keepLines/>
      <w:spacing w:before="400" w:after="120"/>
    </w:pPr>
    <w:rPr>
      <w:sz w:val="40"/>
      <w:szCs w:val="40"/>
    </w:rPr>
  </w:style>
  <w:style w:type="paragraph" w:styleId="3">
    <w:name w:val="heading 2"/>
    <w:basedOn w:val="1"/>
    <w:next w:val="1"/>
    <w:uiPriority w:val="0"/>
    <w:pPr>
      <w:keepNext/>
      <w:keepLines/>
      <w:spacing w:before="360" w:after="120"/>
    </w:pPr>
    <w:rPr>
      <w:sz w:val="32"/>
      <w:szCs w:val="32"/>
    </w:rPr>
  </w:style>
  <w:style w:type="paragraph" w:styleId="4">
    <w:name w:val="heading 3"/>
    <w:basedOn w:val="1"/>
    <w:next w:val="1"/>
    <w:uiPriority w:val="0"/>
    <w:pPr>
      <w:keepNext/>
      <w:keepLines/>
      <w:spacing w:before="320" w:after="80"/>
    </w:pPr>
    <w:rPr>
      <w:color w:val="434343"/>
      <w:sz w:val="28"/>
      <w:szCs w:val="28"/>
    </w:rPr>
  </w:style>
  <w:style w:type="paragraph" w:styleId="5">
    <w:name w:val="heading 4"/>
    <w:basedOn w:val="1"/>
    <w:next w:val="1"/>
    <w:uiPriority w:val="0"/>
    <w:pPr>
      <w:keepNext/>
      <w:keepLines/>
      <w:spacing w:before="280" w:after="80"/>
    </w:pPr>
    <w:rPr>
      <w:color w:val="666666"/>
      <w:sz w:val="24"/>
      <w:szCs w:val="24"/>
    </w:rPr>
  </w:style>
  <w:style w:type="paragraph" w:styleId="6">
    <w:name w:val="heading 5"/>
    <w:basedOn w:val="1"/>
    <w:next w:val="1"/>
    <w:uiPriority w:val="0"/>
    <w:pPr>
      <w:keepNext/>
      <w:keepLines/>
      <w:spacing w:before="240" w:after="80"/>
    </w:pPr>
    <w:rPr>
      <w:color w:val="666666"/>
    </w:rPr>
  </w:style>
  <w:style w:type="paragraph" w:styleId="7">
    <w:name w:val="heading 6"/>
    <w:basedOn w:val="1"/>
    <w:next w:val="1"/>
    <w:uiPriority w:val="0"/>
    <w:pPr>
      <w:keepNext/>
      <w:keepLines/>
      <w:spacing w:before="240" w:after="80"/>
    </w:pPr>
    <w:rPr>
      <w:i/>
      <w:color w:val="666666"/>
    </w:rPr>
  </w:style>
  <w:style w:type="character" w:default="1" w:styleId="10">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8">
    <w:name w:val="Subtitle"/>
    <w:basedOn w:val="1"/>
    <w:next w:val="1"/>
    <w:uiPriority w:val="0"/>
    <w:pPr>
      <w:keepNext/>
      <w:keepLines/>
      <w:spacing w:after="320"/>
    </w:pPr>
    <w:rPr>
      <w:color w:val="666666"/>
      <w:sz w:val="30"/>
      <w:szCs w:val="30"/>
    </w:rPr>
  </w:style>
  <w:style w:type="paragraph" w:styleId="9">
    <w:name w:val="Title"/>
    <w:basedOn w:val="1"/>
    <w:next w:val="1"/>
    <w:uiPriority w:val="0"/>
    <w:pPr>
      <w:keepNext/>
      <w:keepLines/>
      <w:spacing w:after="60"/>
    </w:pPr>
    <w:rPr>
      <w:sz w:val="52"/>
      <w:szCs w:val="52"/>
    </w:rPr>
  </w:style>
  <w:style w:type="table" w:customStyle="1" w:styleId="12">
    <w:name w:val="Table Normal1"/>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ScaleCrop>false</ScaleCrop>
  <LinksUpToDate>false</LinksUpToDate>
  <Application>WPS Office_3.1.4.5932_F1E327BC-269C-435d-A152-05C5408002CA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2023-10-09T14:41:05Z</dcterms:created>
  <dc:creator>Data</dc:creator>
  <cp:lastModifiedBy>pmbgeneva</cp:lastModifiedBy>
  <dcterms:modified xsi:type="dcterms:W3CDTF">2023-10-09T14:41:52Z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1033-3.1.4.5932</vt:lpwstr>
  </property>
</Properties>
</file>