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848AA" w14:textId="77777777" w:rsidR="009F413D" w:rsidRPr="009F413D" w:rsidRDefault="009F413D" w:rsidP="009F413D">
      <w:pPr>
        <w:spacing w:before="120" w:after="120" w:line="240" w:lineRule="auto"/>
        <w:jc w:val="center"/>
        <w:rPr>
          <w:rFonts w:asciiTheme="majorBidi" w:eastAsia="Times New Roman" w:hAnsiTheme="majorBidi" w:cstheme="majorBidi"/>
          <w:b/>
          <w:bCs/>
          <w:color w:val="385623" w:themeColor="accent6" w:themeShade="80"/>
          <w:kern w:val="0"/>
          <w:sz w:val="28"/>
          <w:szCs w:val="28"/>
          <w14:ligatures w14:val="none"/>
        </w:rPr>
      </w:pPr>
      <w:r w:rsidRPr="009F413D">
        <w:rPr>
          <w:rFonts w:asciiTheme="majorBidi" w:eastAsia="Times New Roman" w:hAnsiTheme="majorBidi" w:cstheme="majorBidi"/>
          <w:b/>
          <w:bCs/>
          <w:color w:val="385623" w:themeColor="accent6" w:themeShade="80"/>
          <w:kern w:val="0"/>
          <w:sz w:val="28"/>
          <w:szCs w:val="28"/>
          <w14:ligatures w14:val="none"/>
        </w:rPr>
        <w:t>Report submitted to the Committee against Torture regarding Austria</w:t>
      </w:r>
    </w:p>
    <w:p w14:paraId="14AC98D0" w14:textId="012F388B" w:rsidR="00340D06" w:rsidRDefault="009F413D" w:rsidP="009F413D">
      <w:pPr>
        <w:spacing w:before="120" w:after="120" w:line="240" w:lineRule="auto"/>
        <w:jc w:val="center"/>
        <w:rPr>
          <w:rFonts w:asciiTheme="majorBidi" w:eastAsia="Times New Roman" w:hAnsiTheme="majorBidi" w:cstheme="majorBidi"/>
          <w:color w:val="70AD47" w:themeColor="accent6"/>
          <w:kern w:val="0"/>
          <w:sz w:val="24"/>
          <w:szCs w:val="24"/>
          <w14:ligatures w14:val="none"/>
        </w:rPr>
      </w:pPr>
      <w:r w:rsidRPr="009F413D">
        <w:rPr>
          <w:rFonts w:asciiTheme="majorBidi" w:eastAsia="Times New Roman" w:hAnsiTheme="majorBidi" w:cstheme="majorBidi"/>
          <w:color w:val="70AD47" w:themeColor="accent6"/>
          <w:kern w:val="0"/>
          <w:sz w:val="24"/>
          <w:szCs w:val="24"/>
          <w14:ligatures w14:val="none"/>
        </w:rPr>
        <w:t>International Alliance for Peace and Development</w:t>
      </w:r>
    </w:p>
    <w:p w14:paraId="5F7CB85B" w14:textId="77777777" w:rsidR="009F413D" w:rsidRDefault="009F413D" w:rsidP="009F413D">
      <w:pPr>
        <w:rPr>
          <w:rFonts w:asciiTheme="majorBidi" w:eastAsia="Times New Roman" w:hAnsiTheme="majorBidi" w:cstheme="majorBidi"/>
          <w:sz w:val="24"/>
          <w:szCs w:val="24"/>
        </w:rPr>
      </w:pPr>
    </w:p>
    <w:p w14:paraId="561F4AFE" w14:textId="37C9C3EA" w:rsidR="009F413D" w:rsidRDefault="009F413D" w:rsidP="009F413D">
      <w:pPr>
        <w:rPr>
          <w:rFonts w:asciiTheme="majorBidi" w:eastAsia="Times New Roman" w:hAnsiTheme="majorBidi" w:cstheme="majorBidi"/>
          <w:sz w:val="24"/>
          <w:szCs w:val="24"/>
        </w:rPr>
      </w:pPr>
      <w:r w:rsidRPr="009F413D">
        <w:rPr>
          <w:rFonts w:asciiTheme="majorBidi" w:eastAsia="Times New Roman" w:hAnsiTheme="majorBidi" w:cstheme="majorBidi"/>
          <w:sz w:val="24"/>
          <w:szCs w:val="24"/>
        </w:rPr>
        <w:t xml:space="preserve">Austria acceded to the Convention against Torture on July 29, 1987, and Austria followed its ratification of the Convention with a supplementary declaration, whereby Austria considered Article 15 of the Convention as the legal basis for the inadmissibility of using statements proven to have been extracted as a result of torture. Austria also acceded to the Optional Protocol annexed to the Convention on December 4, 2002. In 2012, the Austrian Ombudsman Council was assigned to act as a national mechanism for the prevention of torture in Austria. Ratification of the Optional Protocol by Austria required the establishment of a national preventive mechanism for the prevention of torture, the allocation of additional resources to it, and the appointment of independent members within </w:t>
      </w:r>
      <w:r>
        <w:rPr>
          <w:rFonts w:asciiTheme="majorBidi" w:eastAsia="Times New Roman" w:hAnsiTheme="majorBidi" w:cstheme="majorBidi"/>
          <w:sz w:val="24"/>
          <w:szCs w:val="24"/>
        </w:rPr>
        <w:t>t</w:t>
      </w:r>
      <w:r w:rsidRPr="009F413D">
        <w:rPr>
          <w:rFonts w:asciiTheme="majorBidi" w:eastAsia="Times New Roman" w:hAnsiTheme="majorBidi" w:cstheme="majorBidi"/>
          <w:sz w:val="24"/>
          <w:szCs w:val="24"/>
        </w:rPr>
        <w:t>his mechanism.</w:t>
      </w:r>
    </w:p>
    <w:p w14:paraId="592822B1" w14:textId="235094DA" w:rsidR="009F413D" w:rsidRDefault="009F413D" w:rsidP="009F413D">
      <w:pPr>
        <w:rPr>
          <w:rFonts w:asciiTheme="majorBidi" w:eastAsia="Times New Roman" w:hAnsiTheme="majorBidi" w:cstheme="majorBidi"/>
          <w:sz w:val="24"/>
          <w:szCs w:val="24"/>
        </w:rPr>
      </w:pPr>
      <w:r w:rsidRPr="009F413D">
        <w:rPr>
          <w:rFonts w:asciiTheme="majorBidi" w:eastAsia="Times New Roman" w:hAnsiTheme="majorBidi" w:cstheme="majorBidi"/>
          <w:sz w:val="24"/>
          <w:szCs w:val="24"/>
        </w:rPr>
        <w:t>Austria submitted its seventh periodic report on February 25, 2020, and the report was supposed to be submitted on December 9, 2019. During the work of the 79th session of the Committee against Torture, scheduled to be held from April 15 to May 10, 2024, Austria is subject to review of its national report, and the International Alliance for Peace and Development reviewed Austria’s responses to List of recent issues submitted by the Committee</w:t>
      </w:r>
      <w:r>
        <w:rPr>
          <w:rFonts w:asciiTheme="majorBidi" w:eastAsia="Times New Roman" w:hAnsiTheme="majorBidi" w:cstheme="majorBidi"/>
          <w:sz w:val="24"/>
          <w:szCs w:val="24"/>
        </w:rPr>
        <w:t>.</w:t>
      </w:r>
      <w:r w:rsidRPr="009F413D">
        <w:rPr>
          <w:rFonts w:asciiTheme="majorBidi" w:eastAsia="Times New Roman" w:hAnsiTheme="majorBidi" w:cstheme="majorBidi"/>
          <w:sz w:val="24"/>
          <w:szCs w:val="24"/>
        </w:rPr>
        <w:t xml:space="preserve"> The Alliance notes many positive steps regarding the Austrian Government's implementation of its obligations under the Convention as well as its actions to reduce allegations of suspected inhumane treatment by law enforcement forces in prisons and detention centers. However, there remained a number of concerns that Austria had not covered in its report to the Committee. In this report, the International Alliance for Peace and Development provides its contribution in clarifying the extent of Austria’s commitment to implementing the principles and provisions of the Convention and the measures taken by it to implement the recommendations submitted to it, as well as the extent to which Austria has implemented specific provisions in the Convention against Torture.</w:t>
      </w:r>
    </w:p>
    <w:p w14:paraId="0A5CC9B1" w14:textId="0CD50565" w:rsidR="009F413D" w:rsidRPr="008B1DF0" w:rsidRDefault="009F413D" w:rsidP="009F413D">
      <w:pPr>
        <w:rPr>
          <w:rFonts w:asciiTheme="majorBidi" w:eastAsia="Times New Roman" w:hAnsiTheme="majorBidi" w:cstheme="majorBidi"/>
          <w:b/>
          <w:bCs/>
          <w:color w:val="385623" w:themeColor="accent6" w:themeShade="80"/>
          <w:sz w:val="24"/>
          <w:szCs w:val="24"/>
        </w:rPr>
      </w:pPr>
      <w:r w:rsidRPr="008B1DF0">
        <w:rPr>
          <w:rFonts w:asciiTheme="majorBidi" w:eastAsia="Times New Roman" w:hAnsiTheme="majorBidi" w:cstheme="majorBidi"/>
          <w:b/>
          <w:bCs/>
          <w:color w:val="385623" w:themeColor="accent6" w:themeShade="80"/>
          <w:sz w:val="24"/>
          <w:szCs w:val="24"/>
        </w:rPr>
        <w:t>First: Austria’s obligations to respond to the recommendations submitted by the committee:</w:t>
      </w:r>
    </w:p>
    <w:p w14:paraId="24B24380" w14:textId="23CB158B" w:rsidR="009F413D" w:rsidRPr="009F413D" w:rsidRDefault="009F413D" w:rsidP="009F413D">
      <w:pPr>
        <w:rPr>
          <w:rFonts w:asciiTheme="majorBidi" w:eastAsia="Times New Roman" w:hAnsiTheme="majorBidi" w:cstheme="majorBidi"/>
          <w:sz w:val="24"/>
          <w:szCs w:val="24"/>
        </w:rPr>
      </w:pPr>
      <w:r w:rsidRPr="009F413D">
        <w:rPr>
          <w:rFonts w:asciiTheme="majorBidi" w:eastAsia="Times New Roman" w:hAnsiTheme="majorBidi" w:cstheme="majorBidi"/>
          <w:sz w:val="24"/>
          <w:szCs w:val="24"/>
        </w:rPr>
        <w:t>The recommendation to establish an independent body to investigate allegations of ill-treatment by police officers remained the most important recommendation submitted to Austria. The International Alliance for Peace and Development reviewed the measures taken by Austria to establish this mechanism. These measures included steps that have not yet been completed to establish an independent mechanism to investigate allegations of ill-treatment. The treatment brought against the security authorities is represented by the Public Prosecution in charge of conducting investigations, in addition to the independent judiciary</w:t>
      </w:r>
      <w:r w:rsidR="003775B3">
        <w:rPr>
          <w:rStyle w:val="FootnoteReference"/>
          <w:rFonts w:asciiTheme="majorBidi" w:eastAsia="Times New Roman" w:hAnsiTheme="majorBidi" w:cstheme="majorBidi"/>
          <w:sz w:val="24"/>
          <w:szCs w:val="24"/>
        </w:rPr>
        <w:footnoteReference w:id="1"/>
      </w:r>
      <w:r w:rsidRPr="009F413D">
        <w:rPr>
          <w:rFonts w:asciiTheme="majorBidi" w:eastAsia="Times New Roman" w:hAnsiTheme="majorBidi" w:cstheme="majorBidi"/>
          <w:sz w:val="24"/>
          <w:szCs w:val="24"/>
        </w:rPr>
        <w:t>.</w:t>
      </w:r>
    </w:p>
    <w:p w14:paraId="5F8773D2" w14:textId="604088CE" w:rsidR="009F413D" w:rsidRDefault="009F413D" w:rsidP="009F413D">
      <w:pPr>
        <w:rPr>
          <w:rFonts w:asciiTheme="majorBidi" w:eastAsia="Times New Roman" w:hAnsiTheme="majorBidi" w:cstheme="majorBidi"/>
          <w:sz w:val="24"/>
          <w:szCs w:val="24"/>
        </w:rPr>
      </w:pPr>
      <w:r w:rsidRPr="009F413D">
        <w:rPr>
          <w:rFonts w:asciiTheme="majorBidi" w:eastAsia="Times New Roman" w:hAnsiTheme="majorBidi" w:cstheme="majorBidi"/>
          <w:sz w:val="24"/>
          <w:szCs w:val="24"/>
        </w:rPr>
        <w:t xml:space="preserve">The Austrian government had also promised to make changes that would allow the establishment of this mechanism, and the government program for the period 2020-2024 presented in January 2020 includes the establishment of an independent investigative body to investigate mistreatment by police </w:t>
      </w:r>
      <w:r w:rsidRPr="009F413D">
        <w:rPr>
          <w:rFonts w:asciiTheme="majorBidi" w:eastAsia="Times New Roman" w:hAnsiTheme="majorBidi" w:cstheme="majorBidi"/>
          <w:sz w:val="24"/>
          <w:szCs w:val="24"/>
        </w:rPr>
        <w:lastRenderedPageBreak/>
        <w:t>officers. The Austrian federal government also promised that this body would be available by mid-2020. However, the body has not been established yet. Reports against police officers usually end up in the Federal Bureau of Anti-Corruption (BAK), which is a department affiliated with the Ministry of the Interior and lacks any form of independence. It is also accused of receiving bribes and participating in widespread corruption operations</w:t>
      </w:r>
      <w:r w:rsidR="003775B3">
        <w:rPr>
          <w:rStyle w:val="FootnoteReference"/>
          <w:rFonts w:asciiTheme="majorBidi" w:eastAsia="Times New Roman" w:hAnsiTheme="majorBidi" w:cstheme="majorBidi"/>
          <w:sz w:val="24"/>
          <w:szCs w:val="24"/>
        </w:rPr>
        <w:footnoteReference w:id="2"/>
      </w:r>
      <w:r w:rsidRPr="009F413D">
        <w:rPr>
          <w:rFonts w:asciiTheme="majorBidi" w:eastAsia="Times New Roman" w:hAnsiTheme="majorBidi" w:cstheme="majorBidi"/>
          <w:sz w:val="24"/>
          <w:szCs w:val="24"/>
        </w:rPr>
        <w:t>. The Alliance therefore estimates that police accountability will be effective when police actions are monitored by independent institutions, including independent bodies and national human rights institutions, also known as national human rights commissions, operating under the Paris Principles. This requires Austria to provide guarantees and actual procedures in order to establish this independent body, far from the police, the prosecution, or even the judiciary, to prevent impunity and ensure its integrity.</w:t>
      </w:r>
      <w:r>
        <w:rPr>
          <w:rFonts w:asciiTheme="majorBidi" w:eastAsia="Times New Roman" w:hAnsiTheme="majorBidi" w:cstheme="majorBidi"/>
          <w:sz w:val="24"/>
          <w:szCs w:val="24"/>
        </w:rPr>
        <w:t xml:space="preserve"> </w:t>
      </w:r>
    </w:p>
    <w:p w14:paraId="228AFF02" w14:textId="1C5FE3CD" w:rsidR="008B1DF0" w:rsidRPr="008B1DF0" w:rsidRDefault="008B1DF0" w:rsidP="008B1DF0">
      <w:pPr>
        <w:rPr>
          <w:rFonts w:asciiTheme="majorBidi" w:eastAsia="Times New Roman" w:hAnsiTheme="majorBidi" w:cstheme="majorBidi"/>
          <w:b/>
          <w:bCs/>
          <w:color w:val="385623" w:themeColor="accent6" w:themeShade="80"/>
          <w:sz w:val="24"/>
          <w:szCs w:val="24"/>
        </w:rPr>
      </w:pPr>
      <w:r w:rsidRPr="008B1DF0">
        <w:rPr>
          <w:rFonts w:asciiTheme="majorBidi" w:eastAsia="Times New Roman" w:hAnsiTheme="majorBidi" w:cstheme="majorBidi"/>
          <w:b/>
          <w:bCs/>
          <w:color w:val="385623" w:themeColor="accent6" w:themeShade="80"/>
          <w:sz w:val="24"/>
          <w:szCs w:val="24"/>
        </w:rPr>
        <w:t>Second: Austria’s obligations to implement some provisions of the agreement:</w:t>
      </w:r>
    </w:p>
    <w:p w14:paraId="4965AC0B" w14:textId="74C9131A" w:rsidR="008B1DF0" w:rsidRPr="008B1DF0" w:rsidRDefault="008B1DF0" w:rsidP="008B1DF0">
      <w:pPr>
        <w:pStyle w:val="ListParagraph"/>
        <w:numPr>
          <w:ilvl w:val="0"/>
          <w:numId w:val="26"/>
        </w:numPr>
        <w:rPr>
          <w:rFonts w:asciiTheme="majorBidi" w:eastAsia="Times New Roman" w:hAnsiTheme="majorBidi" w:cstheme="majorBidi"/>
          <w:b/>
          <w:bCs/>
          <w:sz w:val="24"/>
          <w:szCs w:val="24"/>
        </w:rPr>
      </w:pPr>
      <w:r w:rsidRPr="008B1DF0">
        <w:rPr>
          <w:rFonts w:asciiTheme="majorBidi" w:eastAsia="Times New Roman" w:hAnsiTheme="majorBidi" w:cstheme="majorBidi"/>
          <w:b/>
          <w:bCs/>
          <w:sz w:val="24"/>
          <w:szCs w:val="24"/>
        </w:rPr>
        <w:t>Prohibition of the expulsion, return or extradition of foreigners if there is a threat that they will be subjected to torture (Article 3)</w:t>
      </w:r>
    </w:p>
    <w:p w14:paraId="50E4C166" w14:textId="7CCFAA2E" w:rsidR="009F413D"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Austria expressed its commitment to Article 3 of the Convention, which states that no State Party may expel, return, or extradite any person to another State if it has substantial grounds for believing that he or she would be in danger of being subjected to torture</w:t>
      </w:r>
      <w:r w:rsidR="00000D5D">
        <w:rPr>
          <w:rStyle w:val="FootnoteReference"/>
          <w:rFonts w:asciiTheme="majorBidi" w:eastAsia="Times New Roman" w:hAnsiTheme="majorBidi" w:cstheme="majorBidi"/>
          <w:sz w:val="24"/>
          <w:szCs w:val="24"/>
        </w:rPr>
        <w:footnoteReference w:id="3"/>
      </w:r>
      <w:r w:rsidRPr="008B1DF0">
        <w:rPr>
          <w:rFonts w:asciiTheme="majorBidi" w:eastAsia="Times New Roman" w:hAnsiTheme="majorBidi" w:cstheme="majorBidi"/>
          <w:sz w:val="24"/>
          <w:szCs w:val="24"/>
        </w:rPr>
        <w:t xml:space="preserve">. However, the </w:t>
      </w:r>
      <w:r>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notes with concern the approval of the Ministry of Justice in Austria to extradite some persons wanted from other countries under the pretext of the existence of diplomatic conditions guaranteeing them protection in the requesting countries</w:t>
      </w:r>
      <w:r w:rsidR="00000D5D">
        <w:rPr>
          <w:rStyle w:val="FootnoteReference"/>
          <w:rFonts w:asciiTheme="majorBidi" w:eastAsia="Times New Roman" w:hAnsiTheme="majorBidi" w:cstheme="majorBidi"/>
          <w:sz w:val="24"/>
          <w:szCs w:val="24"/>
        </w:rPr>
        <w:footnoteReference w:id="4"/>
      </w:r>
      <w:r w:rsidRPr="008B1DF0">
        <w:rPr>
          <w:rFonts w:asciiTheme="majorBidi" w:eastAsia="Times New Roman" w:hAnsiTheme="majorBidi" w:cstheme="majorBidi"/>
          <w:sz w:val="24"/>
          <w:szCs w:val="24"/>
        </w:rPr>
        <w:t>. This contradicts Austria’s own responses to the revised draft General Comment No. 1 of 2017 regarding the implementation of Article 3 of Convention against Torture and Other Cruel, Inhuman or Degrading Treatment or Punishment, where Austria clarified that the exposure of a person to be extradited to torture or inhuman or degrading treatment cannot be compensated for through diplomatic guarantees</w:t>
      </w:r>
      <w:r w:rsidR="00000D5D">
        <w:rPr>
          <w:rStyle w:val="FootnoteReference"/>
          <w:rFonts w:asciiTheme="majorBidi" w:eastAsia="Times New Roman" w:hAnsiTheme="majorBidi" w:cstheme="majorBidi"/>
          <w:sz w:val="24"/>
          <w:szCs w:val="24"/>
        </w:rPr>
        <w:footnoteReference w:id="5"/>
      </w:r>
      <w:r w:rsidRPr="008B1DF0">
        <w:rPr>
          <w:rFonts w:asciiTheme="majorBidi" w:eastAsia="Times New Roman" w:hAnsiTheme="majorBidi" w:cstheme="majorBidi"/>
          <w:sz w:val="24"/>
          <w:szCs w:val="24"/>
        </w:rPr>
        <w:t>.</w:t>
      </w:r>
    </w:p>
    <w:p w14:paraId="57A99FD4" w14:textId="22C56E34" w:rsid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There are concerns among the International Alliance for Peace and Development regarding government plans in Austria to sign agreements with other European countries such as the United Kingdom in order to work on the deportation of refugees and asylum seekers to a third country. The Alliance hopes that Austria will not take this step until after evaluating the impact of these agreements on refugees</w:t>
      </w:r>
      <w:r>
        <w:rPr>
          <w:rFonts w:asciiTheme="majorBidi" w:eastAsia="Times New Roman" w:hAnsiTheme="majorBidi" w:cstheme="majorBidi"/>
          <w:sz w:val="24"/>
          <w:szCs w:val="24"/>
        </w:rPr>
        <w:t xml:space="preserve"> a</w:t>
      </w:r>
      <w:r w:rsidRPr="008B1DF0">
        <w:rPr>
          <w:rFonts w:asciiTheme="majorBidi" w:eastAsia="Times New Roman" w:hAnsiTheme="majorBidi" w:cstheme="majorBidi"/>
          <w:sz w:val="24"/>
          <w:szCs w:val="24"/>
        </w:rPr>
        <w:t>nd asylum seekers</w:t>
      </w:r>
      <w:r>
        <w:rPr>
          <w:rFonts w:asciiTheme="majorBidi" w:eastAsia="Times New Roman" w:hAnsiTheme="majorBidi" w:cstheme="majorBidi"/>
          <w:sz w:val="24"/>
          <w:szCs w:val="24"/>
        </w:rPr>
        <w:t>, a</w:t>
      </w:r>
      <w:r w:rsidRPr="008B1DF0">
        <w:rPr>
          <w:rFonts w:asciiTheme="majorBidi" w:eastAsia="Times New Roman" w:hAnsiTheme="majorBidi" w:cstheme="majorBidi"/>
          <w:sz w:val="24"/>
          <w:szCs w:val="24"/>
        </w:rPr>
        <w:t>nd to ensure that this process may not result in refugees and asylum seekers being subjected to torture in the third country that may receive them</w:t>
      </w:r>
      <w:r w:rsidR="00000D5D">
        <w:rPr>
          <w:rStyle w:val="FootnoteReference"/>
          <w:rFonts w:asciiTheme="majorBidi" w:eastAsia="Times New Roman" w:hAnsiTheme="majorBidi" w:cstheme="majorBidi"/>
          <w:sz w:val="24"/>
          <w:szCs w:val="24"/>
        </w:rPr>
        <w:footnoteReference w:id="6"/>
      </w:r>
      <w:r w:rsidRPr="008B1DF0">
        <w:rPr>
          <w:rFonts w:asciiTheme="majorBidi" w:eastAsia="Times New Roman" w:hAnsiTheme="majorBidi" w:cstheme="majorBidi"/>
          <w:sz w:val="24"/>
          <w:szCs w:val="24"/>
        </w:rPr>
        <w:t xml:space="preserve">. The potential policy under the agreement ensures that Austria allows asylum seekers to return to Austria if their asylum applications have been approved. As for those who do not accept their asylum applications, they will </w:t>
      </w:r>
      <w:r w:rsidRPr="008B1DF0">
        <w:rPr>
          <w:rFonts w:asciiTheme="majorBidi" w:eastAsia="Times New Roman" w:hAnsiTheme="majorBidi" w:cstheme="majorBidi"/>
          <w:sz w:val="24"/>
          <w:szCs w:val="24"/>
        </w:rPr>
        <w:lastRenderedPageBreak/>
        <w:t xml:space="preserve">be </w:t>
      </w:r>
      <w:r>
        <w:rPr>
          <w:rFonts w:asciiTheme="majorBidi" w:eastAsia="Times New Roman" w:hAnsiTheme="majorBidi" w:cstheme="majorBidi"/>
          <w:sz w:val="24"/>
          <w:szCs w:val="24"/>
        </w:rPr>
        <w:t>subject</w:t>
      </w:r>
      <w:r w:rsidRPr="008B1DF0">
        <w:rPr>
          <w:rFonts w:asciiTheme="majorBidi" w:eastAsia="Times New Roman" w:hAnsiTheme="majorBidi" w:cstheme="majorBidi"/>
          <w:sz w:val="24"/>
          <w:szCs w:val="24"/>
        </w:rPr>
        <w:t xml:space="preserve"> to return to </w:t>
      </w:r>
      <w:r>
        <w:rPr>
          <w:rFonts w:asciiTheme="majorBidi" w:eastAsia="Times New Roman" w:hAnsiTheme="majorBidi" w:cstheme="majorBidi"/>
          <w:sz w:val="24"/>
          <w:szCs w:val="24"/>
        </w:rPr>
        <w:t>their</w:t>
      </w:r>
      <w:r w:rsidRPr="008B1DF0">
        <w:rPr>
          <w:rFonts w:asciiTheme="majorBidi" w:eastAsia="Times New Roman" w:hAnsiTheme="majorBidi" w:cstheme="majorBidi"/>
          <w:sz w:val="24"/>
          <w:szCs w:val="24"/>
        </w:rPr>
        <w:t xml:space="preserve"> country of origin, which is a step that may expose the asylum seeker to torture in his country of origin, in contravention of Article 3 of the Convention</w:t>
      </w:r>
      <w:r w:rsidR="00000D5D">
        <w:rPr>
          <w:rStyle w:val="FootnoteReference"/>
          <w:rFonts w:asciiTheme="majorBidi" w:eastAsia="Times New Roman" w:hAnsiTheme="majorBidi" w:cstheme="majorBidi"/>
          <w:sz w:val="24"/>
          <w:szCs w:val="24"/>
        </w:rPr>
        <w:footnoteReference w:id="7"/>
      </w:r>
      <w:r>
        <w:rPr>
          <w:rFonts w:asciiTheme="majorBidi" w:eastAsia="Times New Roman" w:hAnsiTheme="majorBidi" w:cstheme="majorBidi"/>
          <w:sz w:val="24"/>
          <w:szCs w:val="24"/>
        </w:rPr>
        <w:t>.</w:t>
      </w:r>
    </w:p>
    <w:p w14:paraId="013A8EF2" w14:textId="5D638C47" w:rsid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In a related context, domestic politics in Austria have long been influenced by public debates about the treatment of migrants and refugees during periods of heightened migration and asylum pressures as xenophobic political forces mobilized support for many anti-migrant policies and agendas, leading to increased rates of detention and the deportation of migrants. Detention centers in Austria have also come under constant criticism for limited provision of adequate medical care, minimal natural light, ventilation and hygiene measures, and limiting the time people spend outside. There are also reports that the Austrian police were involved in several cases of illegal returns of refugees to Slovenia, followed by multiple returns to Bosnia in September 2022</w:t>
      </w:r>
      <w:r w:rsidR="00000D5D">
        <w:rPr>
          <w:rStyle w:val="FootnoteReference"/>
          <w:rFonts w:asciiTheme="majorBidi" w:eastAsia="Times New Roman" w:hAnsiTheme="majorBidi" w:cstheme="majorBidi"/>
          <w:sz w:val="24"/>
          <w:szCs w:val="24"/>
        </w:rPr>
        <w:footnoteReference w:id="8"/>
      </w:r>
      <w:r w:rsidRPr="008B1DF0">
        <w:rPr>
          <w:rFonts w:asciiTheme="majorBidi" w:eastAsia="Times New Roman" w:hAnsiTheme="majorBidi" w:cstheme="majorBidi"/>
          <w:sz w:val="24"/>
          <w:szCs w:val="24"/>
        </w:rPr>
        <w:t>. Also on the other hand, during the Corona pandemic, Austria was one of the countries that deported refugees and migrants despite knowing that they were exposed to danger. This contradicts the provisions of Article Three of the Convention.</w:t>
      </w:r>
    </w:p>
    <w:p w14:paraId="04BB0243" w14:textId="79C1811A" w:rsidR="008B1DF0" w:rsidRPr="008B1DF0" w:rsidRDefault="008B1DF0" w:rsidP="008B1DF0">
      <w:pPr>
        <w:pStyle w:val="ListParagraph"/>
        <w:numPr>
          <w:ilvl w:val="0"/>
          <w:numId w:val="26"/>
        </w:numPr>
        <w:rPr>
          <w:rFonts w:asciiTheme="majorBidi" w:eastAsia="Times New Roman" w:hAnsiTheme="majorBidi" w:cstheme="majorBidi"/>
          <w:b/>
          <w:bCs/>
          <w:sz w:val="24"/>
          <w:szCs w:val="24"/>
        </w:rPr>
      </w:pPr>
      <w:r w:rsidRPr="008B1DF0">
        <w:rPr>
          <w:rFonts w:asciiTheme="majorBidi" w:eastAsia="Times New Roman" w:hAnsiTheme="majorBidi" w:cstheme="majorBidi"/>
          <w:b/>
          <w:bCs/>
          <w:sz w:val="24"/>
          <w:szCs w:val="24"/>
        </w:rPr>
        <w:t>Education and training in the field of combating torture (Article 10)</w:t>
      </w:r>
    </w:p>
    <w:p w14:paraId="15527100" w14:textId="765FC994" w:rsidR="008B1DF0" w:rsidRP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 xml:space="preserve">The Alliance estimates police training and officer education in Austria in two phases; The first is basic training related to the prohibition of torture and includes eight lessons on the concept of torture, oversight and implementation mechanisms. Secondly, professional ethics and social sciences, which includes 16 lessons covering the values and role of police forces in society; Professional ethics and the European Code of Police Ethics. The </w:t>
      </w:r>
      <w:r>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also notes that under Austria's Administrative Penal Code of 1991, arrest and detention must be carried out with respect for human dignity and good treatment of the detained person</w:t>
      </w:r>
      <w:r>
        <w:rPr>
          <w:rFonts w:asciiTheme="majorBidi" w:eastAsia="Times New Roman" w:hAnsiTheme="majorBidi" w:cstheme="majorBidi"/>
          <w:sz w:val="24"/>
          <w:szCs w:val="24"/>
        </w:rPr>
        <w:t>, b</w:t>
      </w:r>
      <w:r w:rsidRPr="008B1DF0">
        <w:rPr>
          <w:rFonts w:asciiTheme="majorBidi" w:eastAsia="Times New Roman" w:hAnsiTheme="majorBidi" w:cstheme="majorBidi"/>
          <w:sz w:val="24"/>
          <w:szCs w:val="24"/>
        </w:rPr>
        <w:t>ut the 1969 Act (as amended) regulates police use of firearms and is far more lenient than international law allows, because it expressly permits the use of a firearm to overcome resistance to a lawful action by an officer, to enforce a lawful arrest and to prevent the escape of a lawfully detained person</w:t>
      </w:r>
      <w:r w:rsidR="00000D5D">
        <w:rPr>
          <w:rStyle w:val="FootnoteReference"/>
          <w:rFonts w:asciiTheme="majorBidi" w:eastAsia="Times New Roman" w:hAnsiTheme="majorBidi" w:cstheme="majorBidi"/>
          <w:sz w:val="24"/>
          <w:szCs w:val="24"/>
        </w:rPr>
        <w:footnoteReference w:id="9"/>
      </w:r>
      <w:r w:rsidRPr="008B1DF0">
        <w:rPr>
          <w:rFonts w:asciiTheme="majorBidi" w:eastAsia="Times New Roman" w:hAnsiTheme="majorBidi" w:cstheme="majorBidi"/>
          <w:sz w:val="24"/>
          <w:szCs w:val="24"/>
        </w:rPr>
        <w:t>.</w:t>
      </w:r>
    </w:p>
    <w:p w14:paraId="2D110BCF" w14:textId="2E9F25C1" w:rsid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 xml:space="preserve">In a related context, the </w:t>
      </w:r>
      <w:r>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noted that participation in human rights training courses is mandatory for all prison employees. Therefore, training courses form an integral part of the education provided by the Penal Service Academy. The </w:t>
      </w:r>
      <w:r>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also notes that the Manual for the Effective Investigation and Documentation of Torture, known as the Istanbul Protocol, is discussed in human rights training courses, however, training on the Protocol is provided only to medical personnel. Austria also did not explain in its recent report to the Committee the specific training courses that prison staff had received to raise awareness of the provisions of the Convention. The </w:t>
      </w:r>
      <w:r>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also notes that training courses related to human rights in general and the provisions of the Convention in particular are limited for workers in immigration detention centers.</w:t>
      </w:r>
    </w:p>
    <w:p w14:paraId="4FAB32F7" w14:textId="2448A059" w:rsidR="008B1DF0" w:rsidRPr="008B1DF0" w:rsidRDefault="008B1DF0" w:rsidP="008B1DF0">
      <w:pPr>
        <w:pStyle w:val="ListParagraph"/>
        <w:numPr>
          <w:ilvl w:val="0"/>
          <w:numId w:val="26"/>
        </w:numPr>
        <w:rPr>
          <w:rFonts w:asciiTheme="majorBidi" w:eastAsia="Times New Roman" w:hAnsiTheme="majorBidi" w:cstheme="majorBidi"/>
          <w:b/>
          <w:bCs/>
          <w:sz w:val="24"/>
          <w:szCs w:val="24"/>
        </w:rPr>
      </w:pPr>
      <w:r w:rsidRPr="008B1DF0">
        <w:rPr>
          <w:rFonts w:asciiTheme="majorBidi" w:eastAsia="Times New Roman" w:hAnsiTheme="majorBidi" w:cstheme="majorBidi"/>
          <w:b/>
          <w:bCs/>
          <w:sz w:val="24"/>
          <w:szCs w:val="24"/>
        </w:rPr>
        <w:t>The right of torture victims to submit complaints (Article 13)</w:t>
      </w:r>
    </w:p>
    <w:p w14:paraId="75CF0505" w14:textId="7E86B22F" w:rsidR="008B1DF0" w:rsidRP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 xml:space="preserve">In a recent list of issues, the Committee requested from Austria statistical data on the number of complaints, investigations, prosecutions, convictions and punishments for torture and ill-treatment, including excessive use of force, by law enforcement and prison officials, and recent examples of such complaints. Although Austria clarified the complaints in its report submitted to the committee, the </w:t>
      </w:r>
      <w:r w:rsidR="003503A8">
        <w:rPr>
          <w:rFonts w:asciiTheme="majorBidi" w:eastAsia="Times New Roman" w:hAnsiTheme="majorBidi" w:cstheme="majorBidi"/>
          <w:sz w:val="24"/>
          <w:szCs w:val="24"/>
        </w:rPr>
        <w:lastRenderedPageBreak/>
        <w:t>Alliance</w:t>
      </w:r>
      <w:r w:rsidRPr="008B1DF0">
        <w:rPr>
          <w:rFonts w:asciiTheme="majorBidi" w:eastAsia="Times New Roman" w:hAnsiTheme="majorBidi" w:cstheme="majorBidi"/>
          <w:sz w:val="24"/>
          <w:szCs w:val="24"/>
        </w:rPr>
        <w:t xml:space="preserve"> notes that Austria did not address what the committee requested regarding the existence of recent examples of complaints. There is also a discrepancy between the number of complaints included by Austria in its report and the number of complaints documented by independent human rights organizations, which indicate that there are approximately 300 complaints of police mistreatment in the country annually, and in general, convicted police officers received only suspended sentences</w:t>
      </w:r>
      <w:r w:rsidR="00000D5D">
        <w:rPr>
          <w:rStyle w:val="FootnoteReference"/>
          <w:rFonts w:asciiTheme="majorBidi" w:eastAsia="Times New Roman" w:hAnsiTheme="majorBidi" w:cstheme="majorBidi"/>
          <w:sz w:val="24"/>
          <w:szCs w:val="24"/>
        </w:rPr>
        <w:footnoteReference w:id="10"/>
      </w:r>
      <w:r w:rsidRPr="008B1DF0">
        <w:rPr>
          <w:rFonts w:asciiTheme="majorBidi" w:eastAsia="Times New Roman" w:hAnsiTheme="majorBidi" w:cstheme="majorBidi"/>
          <w:sz w:val="24"/>
          <w:szCs w:val="24"/>
        </w:rPr>
        <w:t>.</w:t>
      </w:r>
    </w:p>
    <w:p w14:paraId="28491685" w14:textId="51902BDF" w:rsidR="008B1DF0" w:rsidRDefault="008B1DF0" w:rsidP="008B1DF0">
      <w:pPr>
        <w:rPr>
          <w:rFonts w:asciiTheme="majorBidi" w:eastAsia="Times New Roman" w:hAnsiTheme="majorBidi" w:cstheme="majorBidi"/>
          <w:sz w:val="24"/>
          <w:szCs w:val="24"/>
        </w:rPr>
      </w:pPr>
      <w:r w:rsidRPr="008B1DF0">
        <w:rPr>
          <w:rFonts w:asciiTheme="majorBidi" w:eastAsia="Times New Roman" w:hAnsiTheme="majorBidi" w:cstheme="majorBidi"/>
          <w:sz w:val="24"/>
          <w:szCs w:val="24"/>
        </w:rPr>
        <w:t xml:space="preserve">Although impunity was not a prevailing situation within the police forces, the </w:t>
      </w:r>
      <w:r w:rsidR="003503A8">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reviewed reports indicating that corruption in the </w:t>
      </w:r>
      <w:r w:rsidR="003503A8" w:rsidRPr="003503A8">
        <w:rPr>
          <w:rFonts w:asciiTheme="majorBidi" w:eastAsia="Times New Roman" w:hAnsiTheme="majorBidi" w:cstheme="majorBidi"/>
          <w:sz w:val="24"/>
          <w:szCs w:val="24"/>
        </w:rPr>
        <w:t>Federal Bureau of Anti-Corruption (BAK)</w:t>
      </w:r>
      <w:r w:rsidR="003503A8">
        <w:rPr>
          <w:rFonts w:asciiTheme="majorBidi" w:eastAsia="Times New Roman" w:hAnsiTheme="majorBidi" w:cstheme="majorBidi"/>
          <w:sz w:val="24"/>
          <w:szCs w:val="24"/>
        </w:rPr>
        <w:t xml:space="preserve"> </w:t>
      </w:r>
      <w:r w:rsidRPr="008B1DF0">
        <w:rPr>
          <w:rFonts w:asciiTheme="majorBidi" w:eastAsia="Times New Roman" w:hAnsiTheme="majorBidi" w:cstheme="majorBidi"/>
          <w:sz w:val="24"/>
          <w:szCs w:val="24"/>
        </w:rPr>
        <w:t>had an impact on the impunity of some police officers, and it reported to the Committee for the Prevention of Torture of the Council of Europe that investigations into allegations of ill-treatment were not Completely independent or impartial</w:t>
      </w:r>
      <w:r w:rsidR="00000D5D">
        <w:rPr>
          <w:rStyle w:val="FootnoteReference"/>
          <w:rFonts w:asciiTheme="majorBidi" w:eastAsia="Times New Roman" w:hAnsiTheme="majorBidi" w:cstheme="majorBidi"/>
          <w:sz w:val="24"/>
          <w:szCs w:val="24"/>
        </w:rPr>
        <w:footnoteReference w:id="11"/>
      </w:r>
      <w:r w:rsidRPr="008B1DF0">
        <w:rPr>
          <w:rFonts w:asciiTheme="majorBidi" w:eastAsia="Times New Roman" w:hAnsiTheme="majorBidi" w:cstheme="majorBidi"/>
          <w:sz w:val="24"/>
          <w:szCs w:val="24"/>
        </w:rPr>
        <w:t xml:space="preserve">, the </w:t>
      </w:r>
      <w:r w:rsidR="003503A8">
        <w:rPr>
          <w:rFonts w:asciiTheme="majorBidi" w:eastAsia="Times New Roman" w:hAnsiTheme="majorBidi" w:cstheme="majorBidi"/>
          <w:sz w:val="24"/>
          <w:szCs w:val="24"/>
        </w:rPr>
        <w:t>Alliance</w:t>
      </w:r>
      <w:r w:rsidRPr="008B1DF0">
        <w:rPr>
          <w:rFonts w:asciiTheme="majorBidi" w:eastAsia="Times New Roman" w:hAnsiTheme="majorBidi" w:cstheme="majorBidi"/>
          <w:sz w:val="24"/>
          <w:szCs w:val="24"/>
        </w:rPr>
        <w:t xml:space="preserve"> documented a journalist being physically assaulted by police officers. However, it is not clear whether an impartial investigation was opened into this incident. Usually, reports against police officers end up in </w:t>
      </w:r>
      <w:r w:rsidR="003503A8" w:rsidRPr="003503A8">
        <w:rPr>
          <w:rFonts w:asciiTheme="majorBidi" w:eastAsia="Times New Roman" w:hAnsiTheme="majorBidi" w:cstheme="majorBidi"/>
          <w:sz w:val="24"/>
          <w:szCs w:val="24"/>
        </w:rPr>
        <w:t>the Federal Bureau of Anti-Corruption (BAK),</w:t>
      </w:r>
      <w:r w:rsidRPr="008B1DF0">
        <w:rPr>
          <w:rFonts w:asciiTheme="majorBidi" w:eastAsia="Times New Roman" w:hAnsiTheme="majorBidi" w:cstheme="majorBidi"/>
          <w:sz w:val="24"/>
          <w:szCs w:val="24"/>
        </w:rPr>
        <w:t xml:space="preserve"> which is a department affiliated with the Ministry of the Interior</w:t>
      </w:r>
      <w:r w:rsidR="003503A8">
        <w:rPr>
          <w:rFonts w:asciiTheme="majorBidi" w:eastAsia="Times New Roman" w:hAnsiTheme="majorBidi" w:cstheme="majorBidi"/>
          <w:sz w:val="24"/>
          <w:szCs w:val="24"/>
        </w:rPr>
        <w:t>, and is not</w:t>
      </w:r>
      <w:r w:rsidRPr="008B1DF0">
        <w:rPr>
          <w:rFonts w:asciiTheme="majorBidi" w:eastAsia="Times New Roman" w:hAnsiTheme="majorBidi" w:cstheme="majorBidi"/>
          <w:sz w:val="24"/>
          <w:szCs w:val="24"/>
        </w:rPr>
        <w:t xml:space="preserve"> independent at all</w:t>
      </w:r>
      <w:r w:rsidR="00000D5D">
        <w:rPr>
          <w:rStyle w:val="FootnoteReference"/>
          <w:rFonts w:asciiTheme="majorBidi" w:eastAsia="Times New Roman" w:hAnsiTheme="majorBidi" w:cstheme="majorBidi"/>
          <w:sz w:val="24"/>
          <w:szCs w:val="24"/>
        </w:rPr>
        <w:footnoteReference w:id="12"/>
      </w:r>
      <w:r w:rsidRPr="008B1DF0">
        <w:rPr>
          <w:rFonts w:asciiTheme="majorBidi" w:eastAsia="Times New Roman" w:hAnsiTheme="majorBidi" w:cstheme="majorBidi"/>
          <w:sz w:val="24"/>
          <w:szCs w:val="24"/>
        </w:rPr>
        <w:t>. The International Alliance for Peace and Development supports the recommendations calling for the establishment of an independent body to receive complaints from prisoners against allegations of ill-treatment in prisons.</w:t>
      </w:r>
    </w:p>
    <w:p w14:paraId="0CF88F9B" w14:textId="77777777" w:rsidR="003503A8" w:rsidRPr="003503A8" w:rsidRDefault="003503A8" w:rsidP="003503A8">
      <w:pPr>
        <w:pStyle w:val="ListParagraph"/>
        <w:numPr>
          <w:ilvl w:val="0"/>
          <w:numId w:val="26"/>
        </w:numPr>
        <w:rPr>
          <w:rFonts w:asciiTheme="majorBidi" w:eastAsia="Times New Roman" w:hAnsiTheme="majorBidi" w:cstheme="majorBidi"/>
          <w:b/>
          <w:bCs/>
          <w:sz w:val="24"/>
          <w:szCs w:val="24"/>
        </w:rPr>
      </w:pPr>
      <w:r w:rsidRPr="003503A8">
        <w:rPr>
          <w:rFonts w:asciiTheme="majorBidi" w:eastAsia="Times New Roman" w:hAnsiTheme="majorBidi" w:cstheme="majorBidi"/>
          <w:b/>
          <w:bCs/>
          <w:sz w:val="24"/>
          <w:szCs w:val="24"/>
        </w:rPr>
        <w:t>Measures to prevent torture in places of detention (Article 11)</w:t>
      </w:r>
    </w:p>
    <w:p w14:paraId="6AF6B912" w14:textId="4166AD70" w:rsidR="003503A8" w:rsidRDefault="003503A8" w:rsidP="003503A8">
      <w:pPr>
        <w:rPr>
          <w:rFonts w:asciiTheme="majorBidi" w:eastAsia="Times New Roman" w:hAnsiTheme="majorBidi" w:cstheme="majorBidi"/>
          <w:sz w:val="24"/>
          <w:szCs w:val="24"/>
        </w:rPr>
      </w:pPr>
      <w:r w:rsidRPr="003503A8">
        <w:rPr>
          <w:rFonts w:asciiTheme="majorBidi" w:eastAsia="Times New Roman" w:hAnsiTheme="majorBidi" w:cstheme="majorBidi"/>
          <w:sz w:val="24"/>
          <w:szCs w:val="24"/>
        </w:rPr>
        <w:t xml:space="preserve">The </w:t>
      </w:r>
      <w:r>
        <w:rPr>
          <w:rFonts w:asciiTheme="majorBidi" w:eastAsia="Times New Roman" w:hAnsiTheme="majorBidi" w:cstheme="majorBidi"/>
          <w:sz w:val="24"/>
          <w:szCs w:val="24"/>
        </w:rPr>
        <w:t>Alliance</w:t>
      </w:r>
      <w:r w:rsidRPr="003503A8">
        <w:rPr>
          <w:rFonts w:asciiTheme="majorBidi" w:eastAsia="Times New Roman" w:hAnsiTheme="majorBidi" w:cstheme="majorBidi"/>
          <w:sz w:val="24"/>
          <w:szCs w:val="24"/>
        </w:rPr>
        <w:t xml:space="preserve"> noted a range of measures taken by Austria to reduce forms of torture and ill-treatment. However, the presence of a lawyer during police interrogation was not available for all persons in detention who could not afford to appoint a lawyer to act on their behalf. As of the end of 2020, there was no mechanism to identify vulnerable people in detention centers, with reports confirming that conditions in the Vienna </w:t>
      </w:r>
      <w:proofErr w:type="spellStart"/>
      <w:r w:rsidRPr="003503A8">
        <w:rPr>
          <w:rFonts w:asciiTheme="majorBidi" w:eastAsia="Times New Roman" w:hAnsiTheme="majorBidi" w:cstheme="majorBidi"/>
          <w:sz w:val="24"/>
          <w:szCs w:val="24"/>
        </w:rPr>
        <w:t>Hernasseur</w:t>
      </w:r>
      <w:proofErr w:type="spellEnd"/>
      <w:r w:rsidRPr="003503A8">
        <w:rPr>
          <w:rFonts w:asciiTheme="majorBidi" w:eastAsia="Times New Roman" w:hAnsiTheme="majorBidi" w:cstheme="majorBidi"/>
          <w:sz w:val="24"/>
          <w:szCs w:val="24"/>
        </w:rPr>
        <w:t xml:space="preserve"> </w:t>
      </w:r>
      <w:proofErr w:type="spellStart"/>
      <w:r w:rsidRPr="003503A8">
        <w:rPr>
          <w:rFonts w:asciiTheme="majorBidi" w:eastAsia="Times New Roman" w:hAnsiTheme="majorBidi" w:cstheme="majorBidi"/>
          <w:sz w:val="24"/>
          <w:szCs w:val="24"/>
        </w:rPr>
        <w:t>Görtel</w:t>
      </w:r>
      <w:proofErr w:type="spellEnd"/>
      <w:r w:rsidRPr="003503A8">
        <w:rPr>
          <w:rFonts w:asciiTheme="majorBidi" w:eastAsia="Times New Roman" w:hAnsiTheme="majorBidi" w:cstheme="majorBidi"/>
          <w:sz w:val="24"/>
          <w:szCs w:val="24"/>
        </w:rPr>
        <w:t xml:space="preserve"> and Vienna </w:t>
      </w:r>
      <w:proofErr w:type="spellStart"/>
      <w:r w:rsidRPr="003503A8">
        <w:rPr>
          <w:rFonts w:asciiTheme="majorBidi" w:eastAsia="Times New Roman" w:hAnsiTheme="majorBidi" w:cstheme="majorBidi"/>
          <w:sz w:val="24"/>
          <w:szCs w:val="24"/>
        </w:rPr>
        <w:t>Rossauer</w:t>
      </w:r>
      <w:proofErr w:type="spellEnd"/>
      <w:r w:rsidRPr="003503A8">
        <w:rPr>
          <w:rFonts w:asciiTheme="majorBidi" w:eastAsia="Times New Roman" w:hAnsiTheme="majorBidi" w:cstheme="majorBidi"/>
          <w:sz w:val="24"/>
          <w:szCs w:val="24"/>
        </w:rPr>
        <w:t xml:space="preserve"> </w:t>
      </w:r>
      <w:proofErr w:type="spellStart"/>
      <w:r w:rsidRPr="003503A8">
        <w:rPr>
          <w:rFonts w:asciiTheme="majorBidi" w:eastAsia="Times New Roman" w:hAnsiTheme="majorBidi" w:cstheme="majorBidi"/>
          <w:sz w:val="24"/>
          <w:szCs w:val="24"/>
        </w:rPr>
        <w:t>Lände</w:t>
      </w:r>
      <w:proofErr w:type="spellEnd"/>
      <w:r w:rsidRPr="003503A8">
        <w:rPr>
          <w:rFonts w:asciiTheme="majorBidi" w:eastAsia="Times New Roman" w:hAnsiTheme="majorBidi" w:cstheme="majorBidi"/>
          <w:sz w:val="24"/>
          <w:szCs w:val="24"/>
        </w:rPr>
        <w:t xml:space="preserve"> detention centers were particularly unsuitable due to poor prison management.</w:t>
      </w:r>
      <w:r>
        <w:rPr>
          <w:rFonts w:asciiTheme="majorBidi" w:eastAsia="Times New Roman" w:hAnsiTheme="majorBidi" w:cstheme="majorBidi"/>
          <w:sz w:val="24"/>
          <w:szCs w:val="24"/>
        </w:rPr>
        <w:t xml:space="preserve"> </w:t>
      </w:r>
      <w:r w:rsidRPr="003503A8">
        <w:rPr>
          <w:rFonts w:asciiTheme="majorBidi" w:eastAsia="Times New Roman" w:hAnsiTheme="majorBidi" w:cstheme="majorBidi"/>
          <w:sz w:val="24"/>
          <w:szCs w:val="24"/>
        </w:rPr>
        <w:t>The death of an elderly detainee who suffered from critical health problems was also documented, leading to questions about whether the detention conditions were legal or not</w:t>
      </w:r>
      <w:r w:rsidR="00000D5D">
        <w:rPr>
          <w:rStyle w:val="FootnoteReference"/>
          <w:rFonts w:asciiTheme="majorBidi" w:eastAsia="Times New Roman" w:hAnsiTheme="majorBidi" w:cstheme="majorBidi"/>
          <w:sz w:val="24"/>
          <w:szCs w:val="24"/>
        </w:rPr>
        <w:footnoteReference w:id="13"/>
      </w:r>
      <w:r w:rsidRPr="003503A8">
        <w:rPr>
          <w:rFonts w:asciiTheme="majorBidi" w:eastAsia="Times New Roman" w:hAnsiTheme="majorBidi" w:cstheme="majorBidi"/>
          <w:sz w:val="24"/>
          <w:szCs w:val="24"/>
        </w:rPr>
        <w:t>. It was also confirmed in 2023 that most of the accommodation and public areas in these prisons were in a deteriorating condition, whether the corridors or the cells and their sanitary annexes appeared to be in poor condition. In addition to documenting some verbal abuse of a racist or xenophobic nature in the prisons of Innsbruck and Vienna-</w:t>
      </w:r>
      <w:proofErr w:type="spellStart"/>
      <w:r w:rsidRPr="003503A8">
        <w:rPr>
          <w:rFonts w:asciiTheme="majorBidi" w:eastAsia="Times New Roman" w:hAnsiTheme="majorBidi" w:cstheme="majorBidi"/>
          <w:sz w:val="24"/>
          <w:szCs w:val="24"/>
        </w:rPr>
        <w:t>Josefstadt</w:t>
      </w:r>
      <w:proofErr w:type="spellEnd"/>
      <w:r w:rsidRPr="003503A8">
        <w:rPr>
          <w:rFonts w:asciiTheme="majorBidi" w:eastAsia="Times New Roman" w:hAnsiTheme="majorBidi" w:cstheme="majorBidi"/>
          <w:sz w:val="24"/>
          <w:szCs w:val="24"/>
        </w:rPr>
        <w:t>, in addition to the lengthy period of confinement in detention rooms of up to 23 hours a day</w:t>
      </w:r>
      <w:r w:rsidR="00000D5D">
        <w:rPr>
          <w:rStyle w:val="FootnoteReference"/>
          <w:rFonts w:asciiTheme="majorBidi" w:eastAsia="Times New Roman" w:hAnsiTheme="majorBidi" w:cstheme="majorBidi"/>
          <w:sz w:val="24"/>
          <w:szCs w:val="24"/>
        </w:rPr>
        <w:footnoteReference w:id="14"/>
      </w:r>
      <w:r w:rsidRPr="003503A8">
        <w:rPr>
          <w:rFonts w:asciiTheme="majorBidi" w:eastAsia="Times New Roman" w:hAnsiTheme="majorBidi" w:cstheme="majorBidi"/>
          <w:sz w:val="24"/>
          <w:szCs w:val="24"/>
        </w:rPr>
        <w:t>. This requires the state to allow civil society and the Austrian Ombudsman to visit these prisons on a regular basis and to hear detainees express their complaints.</w:t>
      </w:r>
    </w:p>
    <w:p w14:paraId="53B4C6D0" w14:textId="68A10C56" w:rsidR="003775B3" w:rsidRPr="003775B3" w:rsidRDefault="003775B3" w:rsidP="003775B3">
      <w:pPr>
        <w:pStyle w:val="ListParagraph"/>
        <w:numPr>
          <w:ilvl w:val="0"/>
          <w:numId w:val="26"/>
        </w:numPr>
        <w:rPr>
          <w:rFonts w:asciiTheme="majorBidi" w:eastAsia="Times New Roman" w:hAnsiTheme="majorBidi" w:cstheme="majorBidi"/>
          <w:b/>
          <w:bCs/>
          <w:sz w:val="24"/>
          <w:szCs w:val="24"/>
        </w:rPr>
      </w:pPr>
      <w:r w:rsidRPr="003775B3">
        <w:rPr>
          <w:rFonts w:asciiTheme="majorBidi" w:eastAsia="Times New Roman" w:hAnsiTheme="majorBidi" w:cstheme="majorBidi"/>
          <w:b/>
          <w:bCs/>
          <w:sz w:val="24"/>
          <w:szCs w:val="24"/>
        </w:rPr>
        <w:lastRenderedPageBreak/>
        <w:t>The victim’s right to claim compensation (Article 14)</w:t>
      </w:r>
    </w:p>
    <w:p w14:paraId="4C02154B" w14:textId="5D31CB90" w:rsidR="003775B3" w:rsidRDefault="003775B3" w:rsidP="003775B3">
      <w:p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Austria is obligated to pay compensation to victims alleged to have been subjected to torture or ill-treatment. It is also bound by the decisions of the European Court of Human Rights. Therefore, in cases where the European Court rules that there has been a violation of one or more of the rights stipulated in the Convention, Austria is required to implement the provisions of the Agreement, for example</w:t>
      </w:r>
      <w:r>
        <w:rPr>
          <w:rFonts w:asciiTheme="majorBidi" w:eastAsia="Times New Roman" w:hAnsiTheme="majorBidi" w:cstheme="majorBidi"/>
          <w:sz w:val="24"/>
          <w:szCs w:val="24"/>
        </w:rPr>
        <w:t xml:space="preserve"> b</w:t>
      </w:r>
      <w:r w:rsidRPr="003775B3">
        <w:rPr>
          <w:rFonts w:asciiTheme="majorBidi" w:eastAsia="Times New Roman" w:hAnsiTheme="majorBidi" w:cstheme="majorBidi"/>
          <w:sz w:val="24"/>
          <w:szCs w:val="24"/>
        </w:rPr>
        <w:t>y paying compensation. The federal government also uses court decisions as an important tool to improve the protection of human rights in Austria through amendments to legal provisions or training programs for the judiciary and police. In all cases, persons who have suffered physical injury or health damage due to an intentional and illegal act punishable by imprisonment for more than six months are entitled to assistance under the Crime Victims Act. However, there remains a lack of data on compensation received by those affected by ill-treatment.</w:t>
      </w:r>
    </w:p>
    <w:p w14:paraId="7C16EA13" w14:textId="77777777" w:rsidR="003775B3" w:rsidRPr="003775B3" w:rsidRDefault="003775B3" w:rsidP="003775B3">
      <w:pPr>
        <w:rPr>
          <w:rFonts w:asciiTheme="majorBidi" w:eastAsia="Times New Roman" w:hAnsiTheme="majorBidi" w:cstheme="majorBidi"/>
          <w:b/>
          <w:bCs/>
          <w:color w:val="385623" w:themeColor="accent6" w:themeShade="80"/>
          <w:sz w:val="24"/>
          <w:szCs w:val="24"/>
        </w:rPr>
      </w:pPr>
      <w:r w:rsidRPr="003775B3">
        <w:rPr>
          <w:rFonts w:asciiTheme="majorBidi" w:eastAsia="Times New Roman" w:hAnsiTheme="majorBidi" w:cstheme="majorBidi"/>
          <w:b/>
          <w:bCs/>
          <w:color w:val="385623" w:themeColor="accent6" w:themeShade="80"/>
          <w:sz w:val="24"/>
          <w:szCs w:val="24"/>
        </w:rPr>
        <w:t>The International Alliance for Peace and Development recommends the following:</w:t>
      </w:r>
    </w:p>
    <w:p w14:paraId="161ED377" w14:textId="2C79D964"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Urging Austria to quickly submit periodic reports to the Committee against Torture</w:t>
      </w:r>
      <w:r>
        <w:rPr>
          <w:rFonts w:asciiTheme="majorBidi" w:eastAsia="Times New Roman" w:hAnsiTheme="majorBidi" w:cstheme="majorBidi"/>
          <w:sz w:val="24"/>
          <w:szCs w:val="24"/>
        </w:rPr>
        <w:t>.</w:t>
      </w:r>
    </w:p>
    <w:p w14:paraId="37A339BF" w14:textId="59959FA1"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Open completely independent and impartial investigations into allegations of torture in prisons documented by non-governmental organizations</w:t>
      </w:r>
      <w:r>
        <w:rPr>
          <w:rFonts w:asciiTheme="majorBidi" w:eastAsia="Times New Roman" w:hAnsiTheme="majorBidi" w:cstheme="majorBidi"/>
          <w:sz w:val="24"/>
          <w:szCs w:val="24"/>
        </w:rPr>
        <w:t>.</w:t>
      </w:r>
    </w:p>
    <w:p w14:paraId="0BEB3319" w14:textId="6BE9067B"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Abolishing what is known as “diplomatic guarantees” as a condition for extraditing people to their countries of origin, which may make them vulnerable to ill-treatment and torture.</w:t>
      </w:r>
    </w:p>
    <w:p w14:paraId="59141056" w14:textId="4EC975FC"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Increase training programs for persons working in immigration detention centers, particularly related to the provisions of the Convention against Torture</w:t>
      </w:r>
      <w:r>
        <w:rPr>
          <w:rFonts w:asciiTheme="majorBidi" w:eastAsia="Times New Roman" w:hAnsiTheme="majorBidi" w:cstheme="majorBidi"/>
          <w:sz w:val="24"/>
          <w:szCs w:val="24"/>
        </w:rPr>
        <w:t>.</w:t>
      </w:r>
    </w:p>
    <w:p w14:paraId="71C38D4E" w14:textId="62774C57"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 xml:space="preserve">Canceling plans to deport refugees and asylum seekers to third countries until their asylum requests are decided and not returning them again to their country of origin if the asylum request is not accepted in accordance with Article </w:t>
      </w:r>
      <w:r>
        <w:rPr>
          <w:rFonts w:asciiTheme="majorBidi" w:eastAsia="Times New Roman" w:hAnsiTheme="majorBidi" w:cstheme="majorBidi"/>
          <w:sz w:val="24"/>
          <w:szCs w:val="24"/>
        </w:rPr>
        <w:t>3</w:t>
      </w:r>
      <w:r w:rsidRPr="003775B3">
        <w:rPr>
          <w:rFonts w:asciiTheme="majorBidi" w:eastAsia="Times New Roman" w:hAnsiTheme="majorBidi" w:cstheme="majorBidi"/>
          <w:sz w:val="24"/>
          <w:szCs w:val="24"/>
        </w:rPr>
        <w:t xml:space="preserve"> of the Convention.</w:t>
      </w:r>
    </w:p>
    <w:p w14:paraId="7610CFE9" w14:textId="15B8A284"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Establishing a national preventive mechanism to prevent torture pursuant to the ratification of the Optional Protocol to the Convention</w:t>
      </w:r>
      <w:r>
        <w:rPr>
          <w:rFonts w:asciiTheme="majorBidi" w:eastAsia="Times New Roman" w:hAnsiTheme="majorBidi" w:cstheme="majorBidi"/>
          <w:sz w:val="24"/>
          <w:szCs w:val="24"/>
        </w:rPr>
        <w:t>.</w:t>
      </w:r>
    </w:p>
    <w:p w14:paraId="5B320EAB" w14:textId="2A699EA6" w:rsid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Granting defendants the right to seek assistance from a lawyer even if they are unable to pay the lawyer’s fees</w:t>
      </w:r>
      <w:r>
        <w:rPr>
          <w:rFonts w:asciiTheme="majorBidi" w:eastAsia="Times New Roman" w:hAnsiTheme="majorBidi" w:cstheme="majorBidi"/>
          <w:sz w:val="24"/>
          <w:szCs w:val="24"/>
        </w:rPr>
        <w:t>.</w:t>
      </w:r>
    </w:p>
    <w:p w14:paraId="77449E4F" w14:textId="30F808B1" w:rsidR="003775B3" w:rsidRPr="003775B3" w:rsidRDefault="003775B3" w:rsidP="003775B3">
      <w:pPr>
        <w:pStyle w:val="ListParagraph"/>
        <w:numPr>
          <w:ilvl w:val="0"/>
          <w:numId w:val="27"/>
        </w:numPr>
        <w:rPr>
          <w:rFonts w:asciiTheme="majorBidi" w:eastAsia="Times New Roman" w:hAnsiTheme="majorBidi" w:cstheme="majorBidi"/>
          <w:sz w:val="24"/>
          <w:szCs w:val="24"/>
        </w:rPr>
      </w:pPr>
      <w:r w:rsidRPr="003775B3">
        <w:rPr>
          <w:rFonts w:asciiTheme="majorBidi" w:eastAsia="Times New Roman" w:hAnsiTheme="majorBidi" w:cstheme="majorBidi"/>
          <w:sz w:val="24"/>
          <w:szCs w:val="24"/>
        </w:rPr>
        <w:t>Establish an independent body to receive complaints regarding allegations of ill-treatment by prison staff</w:t>
      </w:r>
      <w:r>
        <w:rPr>
          <w:rFonts w:asciiTheme="majorBidi" w:eastAsia="Times New Roman" w:hAnsiTheme="majorBidi" w:cstheme="majorBidi"/>
          <w:sz w:val="24"/>
          <w:szCs w:val="24"/>
        </w:rPr>
        <w:t>.</w:t>
      </w:r>
    </w:p>
    <w:p w14:paraId="604E66E8" w14:textId="77777777" w:rsidR="008B1DF0" w:rsidRPr="009F413D" w:rsidRDefault="008B1DF0" w:rsidP="008B1DF0">
      <w:pPr>
        <w:rPr>
          <w:rFonts w:asciiTheme="majorBidi" w:eastAsia="Times New Roman" w:hAnsiTheme="majorBidi" w:cstheme="majorBidi"/>
          <w:sz w:val="24"/>
          <w:szCs w:val="24"/>
        </w:rPr>
      </w:pPr>
    </w:p>
    <w:sectPr w:rsidR="008B1DF0" w:rsidRPr="009F413D">
      <w:footerReference w:type="default" r:id="rId8"/>
      <w:headerReference w:type="first" r:id="rId9"/>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D1F21" w14:textId="77777777" w:rsidR="00613B8E" w:rsidRDefault="00613B8E" w:rsidP="003D1884">
      <w:pPr>
        <w:spacing w:after="0" w:line="240" w:lineRule="auto"/>
      </w:pPr>
      <w:r>
        <w:separator/>
      </w:r>
    </w:p>
  </w:endnote>
  <w:endnote w:type="continuationSeparator" w:id="0">
    <w:p w14:paraId="477DF548" w14:textId="77777777" w:rsidR="00613B8E" w:rsidRDefault="00613B8E"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61217" w14:textId="77777777" w:rsidR="00613B8E" w:rsidRDefault="00613B8E" w:rsidP="003D1884">
      <w:pPr>
        <w:spacing w:after="0" w:line="240" w:lineRule="auto"/>
      </w:pPr>
      <w:r>
        <w:separator/>
      </w:r>
    </w:p>
  </w:footnote>
  <w:footnote w:type="continuationSeparator" w:id="0">
    <w:p w14:paraId="5D54B7E8" w14:textId="77777777" w:rsidR="00613B8E" w:rsidRDefault="00613B8E" w:rsidP="003D1884">
      <w:pPr>
        <w:spacing w:after="0" w:line="240" w:lineRule="auto"/>
      </w:pPr>
      <w:r>
        <w:continuationSeparator/>
      </w:r>
    </w:p>
  </w:footnote>
  <w:footnote w:id="1">
    <w:p w14:paraId="41064B84" w14:textId="77D877ED" w:rsidR="003775B3" w:rsidRDefault="003775B3">
      <w:pPr>
        <w:pStyle w:val="FootnoteText"/>
      </w:pPr>
      <w:r>
        <w:rPr>
          <w:rStyle w:val="FootnoteReference"/>
        </w:rPr>
        <w:footnoteRef/>
      </w:r>
      <w:r>
        <w:t xml:space="preserve"> R</w:t>
      </w:r>
      <w:r w:rsidRPr="003775B3">
        <w:t>efer to Austria report on the committee’s website, paragraph 7.</w:t>
      </w:r>
    </w:p>
  </w:footnote>
  <w:footnote w:id="2">
    <w:p w14:paraId="26CD35BB" w14:textId="5132F562" w:rsidR="003775B3" w:rsidRDefault="003775B3">
      <w:pPr>
        <w:pStyle w:val="FootnoteText"/>
      </w:pPr>
      <w:r>
        <w:rPr>
          <w:rStyle w:val="FootnoteReference"/>
        </w:rPr>
        <w:footnoteRef/>
      </w:r>
      <w:r>
        <w:t xml:space="preserve"> </w:t>
      </w:r>
      <w:r w:rsidRPr="003775B3">
        <w:t xml:space="preserve">Austria: Call for an Independent Law Enforcement Body, In-Depth News, 24 Dec 2022, link, </w:t>
      </w:r>
      <w:hyperlink r:id="rId1" w:history="1">
        <w:r w:rsidRPr="0021376B">
          <w:rPr>
            <w:rStyle w:val="Hyperlink"/>
          </w:rPr>
          <w:t>https://indepthnews.net/austria-call-for-an-independent-law-enforcement-body/</w:t>
        </w:r>
      </w:hyperlink>
      <w:r>
        <w:t xml:space="preserve"> </w:t>
      </w:r>
    </w:p>
  </w:footnote>
  <w:footnote w:id="3">
    <w:p w14:paraId="277DAB22" w14:textId="6941555E" w:rsidR="00000D5D" w:rsidRDefault="00000D5D">
      <w:pPr>
        <w:pStyle w:val="FootnoteText"/>
      </w:pPr>
      <w:r>
        <w:rPr>
          <w:rStyle w:val="FootnoteReference"/>
        </w:rPr>
        <w:footnoteRef/>
      </w:r>
      <w:r>
        <w:t xml:space="preserve"> </w:t>
      </w:r>
      <w:r w:rsidRPr="00000D5D">
        <w:t xml:space="preserve">The text of Article 3 of the Convention against Torture can be consulted on the website of the High Commissioner for Human Rights at the link: </w:t>
      </w:r>
      <w:hyperlink r:id="rId2" w:history="1">
        <w:r w:rsidRPr="0021376B">
          <w:rPr>
            <w:rStyle w:val="Hyperlink"/>
          </w:rPr>
          <w:t>https://www.ohchr.org/ar/instruments-mechanisms/instruments/convention-against-torture-and-other-cruel-inhuman-or-degrading</w:t>
        </w:r>
      </w:hyperlink>
      <w:r>
        <w:t xml:space="preserve"> </w:t>
      </w:r>
    </w:p>
  </w:footnote>
  <w:footnote w:id="4">
    <w:p w14:paraId="63750ABC" w14:textId="2B8A5FFC" w:rsidR="00000D5D" w:rsidRDefault="00000D5D">
      <w:pPr>
        <w:pStyle w:val="FootnoteText"/>
      </w:pPr>
      <w:r>
        <w:rPr>
          <w:rStyle w:val="FootnoteReference"/>
        </w:rPr>
        <w:footnoteRef/>
      </w:r>
      <w:r>
        <w:t xml:space="preserve"> </w:t>
      </w:r>
      <w:r w:rsidRPr="00000D5D">
        <w:t xml:space="preserve">Replies to the list of issues prior to reporting, </w:t>
      </w:r>
      <w:hyperlink r:id="rId3" w:history="1">
        <w:r w:rsidRPr="0021376B">
          <w:rPr>
            <w:rStyle w:val="Hyperlink"/>
          </w:rPr>
          <w:t>https://tinyurl.com/2jzzxxsc</w:t>
        </w:r>
      </w:hyperlink>
      <w:r>
        <w:t xml:space="preserve"> </w:t>
      </w:r>
    </w:p>
  </w:footnote>
  <w:footnote w:id="5">
    <w:p w14:paraId="45C0ACD5" w14:textId="2A1AAF98" w:rsidR="00000D5D" w:rsidRDefault="00000D5D">
      <w:pPr>
        <w:pStyle w:val="FootnoteText"/>
      </w:pPr>
      <w:r>
        <w:rPr>
          <w:rStyle w:val="FootnoteReference"/>
        </w:rPr>
        <w:footnoteRef/>
      </w:r>
      <w:r>
        <w:t xml:space="preserve"> </w:t>
      </w:r>
      <w:r w:rsidRPr="00000D5D">
        <w:t xml:space="preserve">Austrian comments on the draft revised General Comment No. 1 (2017) on the implementation of Article 3 of the Convention against Torture and Other Cruel, Inhuman or Degrading Treatment or Punishment (CAT) in the context of Article 22 (CAT/C/60/R.2), Page 1, </w:t>
      </w:r>
      <w:hyperlink r:id="rId4" w:history="1">
        <w:r w:rsidRPr="0021376B">
          <w:rPr>
            <w:rStyle w:val="Hyperlink"/>
          </w:rPr>
          <w:t>https://tinyurl.com/yeuk3d9n</w:t>
        </w:r>
      </w:hyperlink>
      <w:r>
        <w:t xml:space="preserve"> </w:t>
      </w:r>
    </w:p>
  </w:footnote>
  <w:footnote w:id="6">
    <w:p w14:paraId="4D380C0A" w14:textId="703E5811" w:rsidR="00000D5D" w:rsidRDefault="00000D5D">
      <w:pPr>
        <w:pStyle w:val="FootnoteText"/>
      </w:pPr>
      <w:r>
        <w:rPr>
          <w:rStyle w:val="FootnoteReference"/>
        </w:rPr>
        <w:footnoteRef/>
      </w:r>
      <w:r>
        <w:t xml:space="preserve"> </w:t>
      </w:r>
      <w:r w:rsidRPr="00000D5D">
        <w:t xml:space="preserve">Austria plans to offshore asylum seekers, like the UK, </w:t>
      </w:r>
      <w:hyperlink r:id="rId5" w:history="1">
        <w:r w:rsidRPr="0021376B">
          <w:rPr>
            <w:rStyle w:val="Hyperlink"/>
          </w:rPr>
          <w:t>https://www.infomigrants.net/en/post/53013/austria-plans-to-offshore-asylum-seekers-like-the-uk</w:t>
        </w:r>
      </w:hyperlink>
      <w:r>
        <w:t xml:space="preserve"> </w:t>
      </w:r>
    </w:p>
  </w:footnote>
  <w:footnote w:id="7">
    <w:p w14:paraId="0B217545" w14:textId="1272C748" w:rsidR="00000D5D" w:rsidRDefault="00000D5D">
      <w:pPr>
        <w:pStyle w:val="FootnoteText"/>
      </w:pPr>
      <w:r>
        <w:rPr>
          <w:rStyle w:val="FootnoteReference"/>
        </w:rPr>
        <w:footnoteRef/>
      </w:r>
      <w:r>
        <w:t xml:space="preserve"> Ibid</w:t>
      </w:r>
    </w:p>
  </w:footnote>
  <w:footnote w:id="8">
    <w:p w14:paraId="4F096B77" w14:textId="36651BFA" w:rsidR="00000D5D" w:rsidRDefault="00000D5D">
      <w:pPr>
        <w:pStyle w:val="FootnoteText"/>
      </w:pPr>
      <w:r>
        <w:rPr>
          <w:rStyle w:val="FootnoteReference"/>
        </w:rPr>
        <w:footnoteRef/>
      </w:r>
      <w:r>
        <w:t xml:space="preserve"> </w:t>
      </w:r>
      <w:r w:rsidRPr="00000D5D">
        <w:t xml:space="preserve">Austria Immigration Detention Profile, Global Detention Project, April 2023, link, </w:t>
      </w:r>
      <w:hyperlink r:id="rId6" w:anchor="country-report" w:history="1">
        <w:r w:rsidRPr="0021376B">
          <w:rPr>
            <w:rStyle w:val="Hyperlink"/>
          </w:rPr>
          <w:t>https://www.globaldetentionproject.org/countries/europe/austria#country-report</w:t>
        </w:r>
      </w:hyperlink>
      <w:r>
        <w:t xml:space="preserve"> </w:t>
      </w:r>
    </w:p>
  </w:footnote>
  <w:footnote w:id="9">
    <w:p w14:paraId="53C537C3" w14:textId="408C086A" w:rsidR="00000D5D" w:rsidRDefault="00000D5D">
      <w:pPr>
        <w:pStyle w:val="FootnoteText"/>
      </w:pPr>
      <w:r>
        <w:rPr>
          <w:rStyle w:val="FootnoteReference"/>
        </w:rPr>
        <w:footnoteRef/>
      </w:r>
      <w:r>
        <w:t xml:space="preserve"> </w:t>
      </w:r>
      <w:r w:rsidRPr="00000D5D">
        <w:t xml:space="preserve">Austria, The Law on Police Use of Force, 2022, link, </w:t>
      </w:r>
      <w:hyperlink r:id="rId7" w:history="1">
        <w:r w:rsidRPr="0021376B">
          <w:rPr>
            <w:rStyle w:val="Hyperlink"/>
          </w:rPr>
          <w:t>https://www.policinglaw.info/country/austria</w:t>
        </w:r>
      </w:hyperlink>
      <w:r>
        <w:t xml:space="preserve"> </w:t>
      </w:r>
    </w:p>
  </w:footnote>
  <w:footnote w:id="10">
    <w:p w14:paraId="106E9E94" w14:textId="0AE54DA5" w:rsidR="00000D5D" w:rsidRDefault="00000D5D">
      <w:pPr>
        <w:pStyle w:val="FootnoteText"/>
      </w:pPr>
      <w:r>
        <w:rPr>
          <w:rStyle w:val="FootnoteReference"/>
        </w:rPr>
        <w:footnoteRef/>
      </w:r>
      <w:r>
        <w:t xml:space="preserve"> </w:t>
      </w:r>
      <w:r w:rsidRPr="00000D5D">
        <w:t xml:space="preserve">2022 Country Reports on Human Rights Practices: Austria, Bureau of Democracy, Human Rights, and Labor, 2023, link, </w:t>
      </w:r>
      <w:hyperlink r:id="rId8" w:history="1">
        <w:r w:rsidRPr="0021376B">
          <w:rPr>
            <w:rStyle w:val="Hyperlink"/>
          </w:rPr>
          <w:t>https://www.state.gov/reports/2022-country-reports-on-human-rights-practices/austria/</w:t>
        </w:r>
      </w:hyperlink>
      <w:r>
        <w:t xml:space="preserve"> </w:t>
      </w:r>
    </w:p>
  </w:footnote>
  <w:footnote w:id="11">
    <w:p w14:paraId="441B6F31" w14:textId="65117B53" w:rsidR="00000D5D" w:rsidRDefault="00000D5D">
      <w:pPr>
        <w:pStyle w:val="FootnoteText"/>
      </w:pPr>
      <w:r>
        <w:rPr>
          <w:rStyle w:val="FootnoteReference"/>
        </w:rPr>
        <w:footnoteRef/>
      </w:r>
      <w:r>
        <w:t xml:space="preserve"> </w:t>
      </w:r>
      <w:r w:rsidRPr="00000D5D">
        <w:t xml:space="preserve">Council of Europe anti-torture Committee (CPT) publishes report on its 2021 visit to Austria, </w:t>
      </w:r>
      <w:hyperlink r:id="rId9" w:history="1">
        <w:r w:rsidRPr="0021376B">
          <w:rPr>
            <w:rStyle w:val="Hyperlink"/>
          </w:rPr>
          <w:t>https://www.coe.int/en/web/cpt/-/council-of-europe-anti-torture-committee-cpt-publishes-report-on-its-2021-visit-to-austria</w:t>
        </w:r>
      </w:hyperlink>
      <w:r>
        <w:t xml:space="preserve"> </w:t>
      </w:r>
    </w:p>
  </w:footnote>
  <w:footnote w:id="12">
    <w:p w14:paraId="22EFE354" w14:textId="2C3FD74D" w:rsidR="00000D5D" w:rsidRDefault="00000D5D">
      <w:pPr>
        <w:pStyle w:val="FootnoteText"/>
      </w:pPr>
      <w:r>
        <w:rPr>
          <w:rStyle w:val="FootnoteReference"/>
        </w:rPr>
        <w:footnoteRef/>
      </w:r>
      <w:r>
        <w:t xml:space="preserve"> </w:t>
      </w:r>
      <w:r w:rsidRPr="00000D5D">
        <w:t xml:space="preserve">Austria: Call for an Independent Law Enforcement Body, In-Depth News, 24 Dec 2022, link, </w:t>
      </w:r>
      <w:hyperlink r:id="rId10" w:history="1">
        <w:r w:rsidRPr="0021376B">
          <w:rPr>
            <w:rStyle w:val="Hyperlink"/>
          </w:rPr>
          <w:t>https://indepthnews.net/austria-call-for-an-independent-law-enforcement-body/</w:t>
        </w:r>
      </w:hyperlink>
      <w:r>
        <w:t xml:space="preserve"> </w:t>
      </w:r>
    </w:p>
  </w:footnote>
  <w:footnote w:id="13">
    <w:p w14:paraId="70F559E3" w14:textId="5C528DDD" w:rsidR="00000D5D" w:rsidRDefault="00000D5D">
      <w:pPr>
        <w:pStyle w:val="FootnoteText"/>
      </w:pPr>
      <w:r>
        <w:rPr>
          <w:rStyle w:val="FootnoteReference"/>
        </w:rPr>
        <w:footnoteRef/>
      </w:r>
      <w:r>
        <w:t xml:space="preserve"> </w:t>
      </w:r>
      <w:r w:rsidRPr="00000D5D">
        <w:t xml:space="preserve">Country Report: Austria, The Asylum Information Database (AIDA), 2022, link,  </w:t>
      </w:r>
      <w:hyperlink r:id="rId11" w:history="1">
        <w:r w:rsidRPr="0021376B">
          <w:rPr>
            <w:rStyle w:val="Hyperlink"/>
          </w:rPr>
          <w:t>https://asylumineurope.org/wp-content/uploads/2023/05/AIDA-AT_2022-Update.pdf</w:t>
        </w:r>
      </w:hyperlink>
      <w:r>
        <w:t xml:space="preserve"> </w:t>
      </w:r>
    </w:p>
  </w:footnote>
  <w:footnote w:id="14">
    <w:p w14:paraId="1B18796E" w14:textId="6A60AFA3" w:rsidR="00000D5D" w:rsidRDefault="00000D5D">
      <w:pPr>
        <w:pStyle w:val="FootnoteText"/>
      </w:pPr>
      <w:r>
        <w:rPr>
          <w:rStyle w:val="FootnoteReference"/>
        </w:rPr>
        <w:footnoteRef/>
      </w:r>
      <w:r>
        <w:t xml:space="preserve"> </w:t>
      </w:r>
      <w:r w:rsidRPr="00000D5D">
        <w:t xml:space="preserve">Council of Europe anti-torture Committee (CPT) publishes report on its 2021 visit to Austria, Council of Europe, 27 Jun 2023, link, </w:t>
      </w:r>
      <w:hyperlink r:id="rId12" w:history="1">
        <w:r w:rsidRPr="0021376B">
          <w:rPr>
            <w:rStyle w:val="Hyperlink"/>
          </w:rPr>
          <w:t>https://www.coe.int/en/web/cpt/-/council-of-europe-anti-torture-committee-cpt-publishes-report-on-its-2021-visit-to-austria</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8B6A4C"/>
    <w:multiLevelType w:val="hybridMultilevel"/>
    <w:tmpl w:val="954E59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4"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F3725E0"/>
    <w:multiLevelType w:val="hybridMultilevel"/>
    <w:tmpl w:val="F15256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23117043">
    <w:abstractNumId w:val="3"/>
  </w:num>
  <w:num w:numId="2" w16cid:durableId="1733964038">
    <w:abstractNumId w:val="13"/>
  </w:num>
  <w:num w:numId="3" w16cid:durableId="1057122983">
    <w:abstractNumId w:val="22"/>
  </w:num>
  <w:num w:numId="4" w16cid:durableId="599484416">
    <w:abstractNumId w:val="12"/>
  </w:num>
  <w:num w:numId="5" w16cid:durableId="221990767">
    <w:abstractNumId w:val="26"/>
  </w:num>
  <w:num w:numId="6" w16cid:durableId="1184974759">
    <w:abstractNumId w:val="2"/>
  </w:num>
  <w:num w:numId="7" w16cid:durableId="719747233">
    <w:abstractNumId w:val="7"/>
  </w:num>
  <w:num w:numId="8" w16cid:durableId="2082218265">
    <w:abstractNumId w:val="14"/>
  </w:num>
  <w:num w:numId="9" w16cid:durableId="44522668">
    <w:abstractNumId w:val="15"/>
  </w:num>
  <w:num w:numId="10" w16cid:durableId="384570591">
    <w:abstractNumId w:val="17"/>
  </w:num>
  <w:num w:numId="11" w16cid:durableId="955409921">
    <w:abstractNumId w:val="1"/>
  </w:num>
  <w:num w:numId="12" w16cid:durableId="329604790">
    <w:abstractNumId w:val="0"/>
  </w:num>
  <w:num w:numId="13" w16cid:durableId="499975853">
    <w:abstractNumId w:val="18"/>
  </w:num>
  <w:num w:numId="14" w16cid:durableId="933244681">
    <w:abstractNumId w:val="20"/>
  </w:num>
  <w:num w:numId="15" w16cid:durableId="1029186210">
    <w:abstractNumId w:val="23"/>
  </w:num>
  <w:num w:numId="16" w16cid:durableId="510409883">
    <w:abstractNumId w:val="21"/>
  </w:num>
  <w:num w:numId="17" w16cid:durableId="1424718560">
    <w:abstractNumId w:val="5"/>
  </w:num>
  <w:num w:numId="18" w16cid:durableId="1266771858">
    <w:abstractNumId w:val="16"/>
  </w:num>
  <w:num w:numId="19" w16cid:durableId="1307006074">
    <w:abstractNumId w:val="6"/>
  </w:num>
  <w:num w:numId="20" w16cid:durableId="596136773">
    <w:abstractNumId w:val="11"/>
  </w:num>
  <w:num w:numId="21" w16cid:durableId="31420069">
    <w:abstractNumId w:val="8"/>
  </w:num>
  <w:num w:numId="22" w16cid:durableId="334383903">
    <w:abstractNumId w:val="24"/>
  </w:num>
  <w:num w:numId="23" w16cid:durableId="1430659545">
    <w:abstractNumId w:val="10"/>
  </w:num>
  <w:num w:numId="24" w16cid:durableId="155460974">
    <w:abstractNumId w:val="19"/>
  </w:num>
  <w:num w:numId="25" w16cid:durableId="722827196">
    <w:abstractNumId w:val="4"/>
  </w:num>
  <w:num w:numId="26" w16cid:durableId="1936284741">
    <w:abstractNumId w:val="9"/>
  </w:num>
  <w:num w:numId="27" w16cid:durableId="11090888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00D5D"/>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7B97"/>
    <w:rsid w:val="001374D3"/>
    <w:rsid w:val="00137D94"/>
    <w:rsid w:val="00137FA4"/>
    <w:rsid w:val="00145C8B"/>
    <w:rsid w:val="00155A14"/>
    <w:rsid w:val="001751C8"/>
    <w:rsid w:val="00176BE1"/>
    <w:rsid w:val="001A5CB1"/>
    <w:rsid w:val="001B3856"/>
    <w:rsid w:val="001D2801"/>
    <w:rsid w:val="001E0F28"/>
    <w:rsid w:val="001E5853"/>
    <w:rsid w:val="001F17D0"/>
    <w:rsid w:val="00204088"/>
    <w:rsid w:val="0021413B"/>
    <w:rsid w:val="00220D6B"/>
    <w:rsid w:val="00273EAA"/>
    <w:rsid w:val="0027781D"/>
    <w:rsid w:val="00287FC0"/>
    <w:rsid w:val="00292DF1"/>
    <w:rsid w:val="002A6B29"/>
    <w:rsid w:val="002F1224"/>
    <w:rsid w:val="00304121"/>
    <w:rsid w:val="003174DA"/>
    <w:rsid w:val="00340D06"/>
    <w:rsid w:val="003503A8"/>
    <w:rsid w:val="003775B3"/>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53347"/>
    <w:rsid w:val="00563368"/>
    <w:rsid w:val="005C5F24"/>
    <w:rsid w:val="005D2424"/>
    <w:rsid w:val="005D7270"/>
    <w:rsid w:val="005E07AC"/>
    <w:rsid w:val="005E1A66"/>
    <w:rsid w:val="00605C13"/>
    <w:rsid w:val="00605E6A"/>
    <w:rsid w:val="00613B8E"/>
    <w:rsid w:val="00623B00"/>
    <w:rsid w:val="0063407D"/>
    <w:rsid w:val="00661876"/>
    <w:rsid w:val="00672538"/>
    <w:rsid w:val="006857E8"/>
    <w:rsid w:val="00690CA6"/>
    <w:rsid w:val="006A5B98"/>
    <w:rsid w:val="006D29FD"/>
    <w:rsid w:val="006D5294"/>
    <w:rsid w:val="006D7846"/>
    <w:rsid w:val="007001BC"/>
    <w:rsid w:val="00716EF6"/>
    <w:rsid w:val="007203A5"/>
    <w:rsid w:val="007253A8"/>
    <w:rsid w:val="00726C7D"/>
    <w:rsid w:val="00756631"/>
    <w:rsid w:val="007719B0"/>
    <w:rsid w:val="007809DA"/>
    <w:rsid w:val="007A3308"/>
    <w:rsid w:val="007D795E"/>
    <w:rsid w:val="007E687B"/>
    <w:rsid w:val="0080014F"/>
    <w:rsid w:val="00832E45"/>
    <w:rsid w:val="008738FB"/>
    <w:rsid w:val="00877E2D"/>
    <w:rsid w:val="008A1847"/>
    <w:rsid w:val="008B1DF0"/>
    <w:rsid w:val="008C49F7"/>
    <w:rsid w:val="008D520A"/>
    <w:rsid w:val="00904745"/>
    <w:rsid w:val="0096340C"/>
    <w:rsid w:val="0096779B"/>
    <w:rsid w:val="009852FE"/>
    <w:rsid w:val="009940AF"/>
    <w:rsid w:val="00996355"/>
    <w:rsid w:val="009A47EF"/>
    <w:rsid w:val="009C68A7"/>
    <w:rsid w:val="009D18CE"/>
    <w:rsid w:val="009E120E"/>
    <w:rsid w:val="009E5640"/>
    <w:rsid w:val="009F413D"/>
    <w:rsid w:val="00A16414"/>
    <w:rsid w:val="00A42355"/>
    <w:rsid w:val="00A52770"/>
    <w:rsid w:val="00A641E3"/>
    <w:rsid w:val="00A66799"/>
    <w:rsid w:val="00A73091"/>
    <w:rsid w:val="00B02619"/>
    <w:rsid w:val="00B30326"/>
    <w:rsid w:val="00B544FE"/>
    <w:rsid w:val="00B567EF"/>
    <w:rsid w:val="00B86C51"/>
    <w:rsid w:val="00BC412F"/>
    <w:rsid w:val="00BD5A19"/>
    <w:rsid w:val="00BE0F32"/>
    <w:rsid w:val="00C26EB5"/>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4081E"/>
    <w:rsid w:val="00E53BB1"/>
    <w:rsid w:val="00E55D80"/>
    <w:rsid w:val="00E56E43"/>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reports/2022-country-reports-on-human-rights-practices/austria/" TargetMode="External"/><Relationship Id="rId3" Type="http://schemas.openxmlformats.org/officeDocument/2006/relationships/hyperlink" Target="https://tinyurl.com/2jzzxxsc" TargetMode="External"/><Relationship Id="rId7" Type="http://schemas.openxmlformats.org/officeDocument/2006/relationships/hyperlink" Target="https://www.policinglaw.info/country/austria" TargetMode="External"/><Relationship Id="rId12" Type="http://schemas.openxmlformats.org/officeDocument/2006/relationships/hyperlink" Target="https://www.coe.int/en/web/cpt/-/council-of-europe-anti-torture-committee-cpt-publishes-report-on-its-2021-visit-to-austria" TargetMode="External"/><Relationship Id="rId2" Type="http://schemas.openxmlformats.org/officeDocument/2006/relationships/hyperlink" Target="https://www.ohchr.org/ar/instruments-mechanisms/instruments/convention-against-torture-and-other-cruel-inhuman-or-degrading" TargetMode="External"/><Relationship Id="rId1" Type="http://schemas.openxmlformats.org/officeDocument/2006/relationships/hyperlink" Target="https://indepthnews.net/austria-call-for-an-independent-law-enforcement-body/" TargetMode="External"/><Relationship Id="rId6" Type="http://schemas.openxmlformats.org/officeDocument/2006/relationships/hyperlink" Target="https://www.globaldetentionproject.org/countries/europe/austria" TargetMode="External"/><Relationship Id="rId11" Type="http://schemas.openxmlformats.org/officeDocument/2006/relationships/hyperlink" Target="https://asylumineurope.org/wp-content/uploads/2023/05/AIDA-AT_2022-Update.pdf" TargetMode="External"/><Relationship Id="rId5" Type="http://schemas.openxmlformats.org/officeDocument/2006/relationships/hyperlink" Target="https://www.infomigrants.net/en/post/53013/austria-plans-to-offshore-asylum-seekers-like-the-uk" TargetMode="External"/><Relationship Id="rId10" Type="http://schemas.openxmlformats.org/officeDocument/2006/relationships/hyperlink" Target="https://indepthnews.net/austria-call-for-an-independent-law-enforcement-body/" TargetMode="External"/><Relationship Id="rId4" Type="http://schemas.openxmlformats.org/officeDocument/2006/relationships/hyperlink" Target="https://tinyurl.com/yeuk3d9n" TargetMode="External"/><Relationship Id="rId9" Type="http://schemas.openxmlformats.org/officeDocument/2006/relationships/hyperlink" Target="https://www.coe.int/en/web/cpt/-/council-of-europe-anti-torture-committee-cpt-publishes-report-on-its-2021-visit-to-austr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2273</Words>
  <Characters>12500</Characters>
  <Application>Microsoft Office Word</Application>
  <DocSecurity>4</DocSecurity>
  <Lines>104</Lines>
  <Paragraphs>29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Youssef Hamdan</cp:lastModifiedBy>
  <cp:revision>2</cp:revision>
  <dcterms:created xsi:type="dcterms:W3CDTF">2024-03-18T09:34:00Z</dcterms:created>
  <dcterms:modified xsi:type="dcterms:W3CDTF">2024-03-18T09:34:00Z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ies>
</file>