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578B0" w14:textId="08CAD251" w:rsidR="00A40BE5" w:rsidRDefault="00F35D88" w:rsidP="00A40BE5">
      <w:pPr>
        <w:pStyle w:val="Heading1"/>
      </w:pPr>
      <w:bookmarkStart w:id="0" w:name="_Toc511052159"/>
      <w:bookmarkStart w:id="1" w:name="_GoBack"/>
      <w:bookmarkEnd w:id="1"/>
      <w:r>
        <w:t xml:space="preserve">Joint </w:t>
      </w:r>
      <w:r w:rsidR="00A40BE5">
        <w:t xml:space="preserve">civil society report to the United Nations Committee on the Rights of the Child: review of New Zealand, </w:t>
      </w:r>
      <w:r>
        <w:t xml:space="preserve">May </w:t>
      </w:r>
      <w:r w:rsidR="00A40BE5">
        <w:t xml:space="preserve">2022 </w:t>
      </w:r>
      <w:bookmarkEnd w:id="0"/>
    </w:p>
    <w:p w14:paraId="3B8967A0" w14:textId="4738F874" w:rsidR="00B73CC0" w:rsidRPr="00B73CC0" w:rsidRDefault="004E2741" w:rsidP="00B73CC0">
      <w:pPr>
        <w:rPr>
          <w:rFonts w:asciiTheme="majorHAnsi" w:hAnsiTheme="majorHAnsi"/>
          <w:sz w:val="22"/>
          <w:szCs w:val="22"/>
        </w:rPr>
      </w:pPr>
      <w:r>
        <w:rPr>
          <w:rFonts w:asciiTheme="majorHAnsi" w:hAnsiTheme="majorHAnsi"/>
          <w:sz w:val="22"/>
          <w:szCs w:val="22"/>
        </w:rPr>
        <w:t xml:space="preserve">Comprehensive public report, </w:t>
      </w:r>
      <w:r w:rsidR="00B73CC0">
        <w:rPr>
          <w:rFonts w:asciiTheme="majorHAnsi" w:hAnsiTheme="majorHAnsi"/>
          <w:sz w:val="22"/>
          <w:szCs w:val="22"/>
        </w:rPr>
        <w:t>8,607 words, excluding annexes</w:t>
      </w:r>
    </w:p>
    <w:p w14:paraId="39E571AE" w14:textId="3246EC1D" w:rsidR="00C84CEC" w:rsidRDefault="00C84CEC" w:rsidP="00C84CEC">
      <w:pPr>
        <w:pStyle w:val="Heading2"/>
      </w:pPr>
      <w:r>
        <w:t>Summary of recommendations</w:t>
      </w:r>
    </w:p>
    <w:p w14:paraId="303C6271" w14:textId="42CEDC88" w:rsidR="00C84CEC" w:rsidRDefault="00C84CEC" w:rsidP="00C84CEC">
      <w:pPr>
        <w:widowControl w:val="0"/>
        <w:autoSpaceDE w:val="0"/>
        <w:autoSpaceDN w:val="0"/>
        <w:adjustRightInd w:val="0"/>
        <w:rPr>
          <w:rFonts w:asciiTheme="majorHAnsi" w:hAnsiTheme="majorHAnsi" w:cs="Times"/>
          <w:color w:val="000000"/>
          <w:sz w:val="22"/>
          <w:szCs w:val="22"/>
        </w:rPr>
      </w:pPr>
      <w:r w:rsidRPr="00C84CEC">
        <w:rPr>
          <w:rFonts w:asciiTheme="majorHAnsi" w:hAnsiTheme="majorHAnsi" w:cs="Times"/>
          <w:color w:val="000000"/>
          <w:sz w:val="22"/>
          <w:szCs w:val="22"/>
        </w:rPr>
        <w:t xml:space="preserve">Recommendation </w:t>
      </w:r>
      <w:r w:rsidR="008618FF">
        <w:rPr>
          <w:rFonts w:asciiTheme="majorHAnsi" w:hAnsiTheme="majorHAnsi" w:cs="Times"/>
          <w:color w:val="000000"/>
          <w:sz w:val="22"/>
          <w:szCs w:val="22"/>
        </w:rPr>
        <w:t xml:space="preserve">1 </w:t>
      </w:r>
      <w:r w:rsidRPr="00C84CEC">
        <w:rPr>
          <w:rFonts w:asciiTheme="majorHAnsi" w:hAnsiTheme="majorHAnsi" w:cs="Times"/>
          <w:color w:val="000000"/>
          <w:sz w:val="22"/>
          <w:szCs w:val="22"/>
        </w:rPr>
        <w:t xml:space="preserve">– </w:t>
      </w:r>
      <w:r w:rsidR="00A7647E">
        <w:rPr>
          <w:rFonts w:asciiTheme="majorHAnsi" w:hAnsiTheme="majorHAnsi" w:cs="Times"/>
          <w:color w:val="000000"/>
          <w:sz w:val="22"/>
          <w:szCs w:val="22"/>
        </w:rPr>
        <w:t>T</w:t>
      </w:r>
      <w:r w:rsidRPr="00C84CEC">
        <w:rPr>
          <w:rFonts w:asciiTheme="majorHAnsi" w:hAnsiTheme="majorHAnsi" w:cs="Times"/>
          <w:color w:val="000000"/>
          <w:sz w:val="22"/>
          <w:szCs w:val="22"/>
        </w:rPr>
        <w:t>he State Party should provide for independent investigation, adjudication and redress for violations of children’s rights caused or contributed to by Pfizer Comirnaty COVID-19 injections, and provide effective remedies and reparations for violations of the rights of the child, including deaths and disability, taking into account that children can be more vulnerable to the effects of abuse of their rights than adults, that the effects can be irreversible and result in lifelong damage.</w:t>
      </w:r>
    </w:p>
    <w:p w14:paraId="73090FC6" w14:textId="77777777" w:rsidR="00C84CEC" w:rsidRDefault="00C84CEC" w:rsidP="00C84CEC">
      <w:pPr>
        <w:widowControl w:val="0"/>
        <w:autoSpaceDE w:val="0"/>
        <w:autoSpaceDN w:val="0"/>
        <w:adjustRightInd w:val="0"/>
        <w:rPr>
          <w:rFonts w:asciiTheme="majorHAnsi" w:hAnsiTheme="majorHAnsi" w:cs="Times"/>
          <w:color w:val="000000"/>
          <w:sz w:val="22"/>
          <w:szCs w:val="22"/>
        </w:rPr>
      </w:pPr>
    </w:p>
    <w:p w14:paraId="7EDA94AB" w14:textId="7B327932" w:rsidR="00C84CEC" w:rsidRPr="00C84CEC" w:rsidRDefault="00C84CEC" w:rsidP="00C84CEC">
      <w:pPr>
        <w:widowControl w:val="0"/>
        <w:autoSpaceDE w:val="0"/>
        <w:autoSpaceDN w:val="0"/>
        <w:adjustRightInd w:val="0"/>
        <w:rPr>
          <w:rFonts w:asciiTheme="majorHAnsi" w:hAnsiTheme="majorHAnsi" w:cs="Times New Roman"/>
          <w:color w:val="000000"/>
          <w:sz w:val="22"/>
          <w:szCs w:val="22"/>
        </w:rPr>
      </w:pPr>
      <w:r w:rsidRPr="00C84CEC">
        <w:rPr>
          <w:rFonts w:asciiTheme="majorHAnsi" w:hAnsiTheme="majorHAnsi" w:cs="Times New Roman"/>
          <w:color w:val="000000"/>
          <w:sz w:val="22"/>
          <w:szCs w:val="22"/>
        </w:rPr>
        <w:t xml:space="preserve">Recommendation </w:t>
      </w:r>
      <w:r w:rsidR="008618FF">
        <w:rPr>
          <w:rFonts w:asciiTheme="majorHAnsi" w:hAnsiTheme="majorHAnsi" w:cs="Times New Roman"/>
          <w:color w:val="000000"/>
          <w:sz w:val="22"/>
          <w:szCs w:val="22"/>
        </w:rPr>
        <w:t xml:space="preserve">2 </w:t>
      </w:r>
      <w:r w:rsidRPr="00C84CEC">
        <w:rPr>
          <w:rFonts w:asciiTheme="majorHAnsi" w:hAnsiTheme="majorHAnsi" w:cs="Times New Roman"/>
          <w:color w:val="000000"/>
          <w:sz w:val="22"/>
          <w:szCs w:val="22"/>
        </w:rPr>
        <w:t xml:space="preserve">– </w:t>
      </w:r>
      <w:r w:rsidR="00A7647E">
        <w:rPr>
          <w:rFonts w:asciiTheme="majorHAnsi" w:hAnsiTheme="majorHAnsi" w:cs="Times New Roman"/>
          <w:color w:val="000000"/>
          <w:sz w:val="22"/>
          <w:szCs w:val="22"/>
        </w:rPr>
        <w:t>T</w:t>
      </w:r>
      <w:r w:rsidRPr="00C84CEC">
        <w:rPr>
          <w:rFonts w:asciiTheme="majorHAnsi" w:hAnsiTheme="majorHAnsi" w:cs="Times New Roman"/>
          <w:color w:val="000000"/>
          <w:sz w:val="22"/>
          <w:szCs w:val="22"/>
        </w:rPr>
        <w:t>he State Party should revise its COVID-19 vaccination policy for all those aged up to 18 years of age to reflect the best interests of the child, not the best interests of others in the family or community, i.e. where the risks of COVID do not outweigh the risks of vaccination for the individual child, the child should not be vaccinated.</w:t>
      </w:r>
    </w:p>
    <w:p w14:paraId="3DAF0834" w14:textId="77777777" w:rsidR="00C84CEC" w:rsidRPr="00C84CEC" w:rsidRDefault="00C84CEC" w:rsidP="00C84CEC">
      <w:pPr>
        <w:widowControl w:val="0"/>
        <w:autoSpaceDE w:val="0"/>
        <w:autoSpaceDN w:val="0"/>
        <w:adjustRightInd w:val="0"/>
        <w:rPr>
          <w:rFonts w:asciiTheme="majorHAnsi" w:hAnsiTheme="majorHAnsi" w:cs="Times"/>
          <w:color w:val="000000"/>
          <w:sz w:val="22"/>
          <w:szCs w:val="22"/>
        </w:rPr>
      </w:pPr>
    </w:p>
    <w:p w14:paraId="5119C98E" w14:textId="3038AD9B" w:rsidR="008618FF" w:rsidRPr="008618FF" w:rsidRDefault="008618FF" w:rsidP="008618FF">
      <w:pPr>
        <w:widowControl w:val="0"/>
        <w:tabs>
          <w:tab w:val="left" w:pos="220"/>
          <w:tab w:val="left" w:pos="720"/>
        </w:tabs>
        <w:autoSpaceDE w:val="0"/>
        <w:autoSpaceDN w:val="0"/>
        <w:adjustRightInd w:val="0"/>
        <w:rPr>
          <w:rFonts w:asciiTheme="majorHAnsi" w:hAnsiTheme="majorHAnsi" w:cs="Times"/>
          <w:color w:val="000000"/>
          <w:sz w:val="22"/>
          <w:szCs w:val="22"/>
        </w:rPr>
      </w:pPr>
      <w:r w:rsidRPr="008618FF">
        <w:rPr>
          <w:rFonts w:asciiTheme="majorHAnsi" w:hAnsiTheme="majorHAnsi" w:cs="Times"/>
          <w:color w:val="000000"/>
          <w:sz w:val="22"/>
          <w:szCs w:val="22"/>
        </w:rPr>
        <w:t xml:space="preserve">Recommendation </w:t>
      </w:r>
      <w:r>
        <w:rPr>
          <w:rFonts w:asciiTheme="majorHAnsi" w:hAnsiTheme="majorHAnsi" w:cs="Times"/>
          <w:color w:val="000000"/>
          <w:sz w:val="22"/>
          <w:szCs w:val="22"/>
        </w:rPr>
        <w:t xml:space="preserve">3 </w:t>
      </w:r>
      <w:r w:rsidRPr="008618FF">
        <w:rPr>
          <w:rFonts w:asciiTheme="majorHAnsi" w:hAnsiTheme="majorHAnsi" w:cs="Times"/>
          <w:color w:val="000000"/>
          <w:sz w:val="22"/>
          <w:szCs w:val="22"/>
        </w:rPr>
        <w:t xml:space="preserve">– </w:t>
      </w:r>
      <w:r w:rsidR="00A7647E">
        <w:rPr>
          <w:rFonts w:asciiTheme="majorHAnsi" w:hAnsiTheme="majorHAnsi" w:cs="Times"/>
          <w:color w:val="000000"/>
          <w:sz w:val="22"/>
          <w:szCs w:val="22"/>
        </w:rPr>
        <w:t>T</w:t>
      </w:r>
      <w:r w:rsidRPr="008618FF">
        <w:rPr>
          <w:rFonts w:asciiTheme="majorHAnsi" w:hAnsiTheme="majorHAnsi" w:cs="Times"/>
          <w:color w:val="000000"/>
          <w:sz w:val="22"/>
          <w:szCs w:val="22"/>
        </w:rPr>
        <w:t>he State Party must protect against human rights abuse against children within its territory by Pfizer</w:t>
      </w:r>
      <w:r w:rsidR="00FC12D1">
        <w:rPr>
          <w:rFonts w:asciiTheme="majorHAnsi" w:hAnsiTheme="majorHAnsi" w:cs="Times"/>
          <w:color w:val="000000"/>
          <w:sz w:val="22"/>
          <w:szCs w:val="22"/>
        </w:rPr>
        <w:t>, including through mandatory reporting, investigation and autopsies of vaccine injuries and deaths</w:t>
      </w:r>
      <w:r w:rsidRPr="008618FF">
        <w:rPr>
          <w:rFonts w:asciiTheme="majorHAnsi" w:hAnsiTheme="majorHAnsi" w:cs="Times"/>
          <w:color w:val="000000"/>
          <w:sz w:val="22"/>
          <w:szCs w:val="22"/>
        </w:rPr>
        <w:t>. This requires taking appropriate steps to prevent, investigate, punish and redress such abuse, including through independent third party investigation and review of allegations of non-disclosure agreements and bribery involved in cases of children’s deaths proximate to C</w:t>
      </w:r>
      <w:r>
        <w:rPr>
          <w:rFonts w:asciiTheme="majorHAnsi" w:hAnsiTheme="majorHAnsi" w:cs="Times"/>
          <w:color w:val="000000"/>
          <w:sz w:val="22"/>
          <w:szCs w:val="22"/>
        </w:rPr>
        <w:t>OVID</w:t>
      </w:r>
      <w:r w:rsidRPr="008618FF">
        <w:rPr>
          <w:rFonts w:asciiTheme="majorHAnsi" w:hAnsiTheme="majorHAnsi" w:cs="Times"/>
          <w:color w:val="000000"/>
          <w:sz w:val="22"/>
          <w:szCs w:val="22"/>
        </w:rPr>
        <w:t>-19 jab, in accordance with effective remedy criteria in UN</w:t>
      </w:r>
      <w:r w:rsidR="00C85485">
        <w:rPr>
          <w:rFonts w:asciiTheme="majorHAnsi" w:hAnsiTheme="majorHAnsi" w:cs="Times"/>
          <w:color w:val="000000"/>
          <w:sz w:val="22"/>
          <w:szCs w:val="22"/>
        </w:rPr>
        <w:t xml:space="preserve"> </w:t>
      </w:r>
      <w:r w:rsidRPr="008618FF">
        <w:rPr>
          <w:rFonts w:asciiTheme="majorHAnsi" w:hAnsiTheme="majorHAnsi" w:cs="Times"/>
          <w:color w:val="000000"/>
          <w:sz w:val="22"/>
          <w:szCs w:val="22"/>
        </w:rPr>
        <w:t>G</w:t>
      </w:r>
      <w:r w:rsidR="00C85485">
        <w:rPr>
          <w:rFonts w:asciiTheme="majorHAnsi" w:hAnsiTheme="majorHAnsi" w:cs="Times"/>
          <w:color w:val="000000"/>
          <w:sz w:val="22"/>
          <w:szCs w:val="22"/>
        </w:rPr>
        <w:t xml:space="preserve">uiding </w:t>
      </w:r>
      <w:r w:rsidRPr="008618FF">
        <w:rPr>
          <w:rFonts w:asciiTheme="majorHAnsi" w:hAnsiTheme="majorHAnsi" w:cs="Times"/>
          <w:color w:val="000000"/>
          <w:sz w:val="22"/>
          <w:szCs w:val="22"/>
        </w:rPr>
        <w:t>P</w:t>
      </w:r>
      <w:r w:rsidR="00C85485">
        <w:rPr>
          <w:rFonts w:asciiTheme="majorHAnsi" w:hAnsiTheme="majorHAnsi" w:cs="Times"/>
          <w:color w:val="000000"/>
          <w:sz w:val="22"/>
          <w:szCs w:val="22"/>
        </w:rPr>
        <w:t>rinciple (UNGP) on Business and Human Rights</w:t>
      </w:r>
      <w:r w:rsidRPr="008618FF">
        <w:rPr>
          <w:rFonts w:asciiTheme="majorHAnsi" w:hAnsiTheme="majorHAnsi" w:cs="Times"/>
          <w:color w:val="000000"/>
          <w:sz w:val="22"/>
          <w:szCs w:val="22"/>
        </w:rPr>
        <w:t xml:space="preserve"> </w:t>
      </w:r>
      <w:r w:rsidR="00C85485">
        <w:rPr>
          <w:rFonts w:asciiTheme="majorHAnsi" w:hAnsiTheme="majorHAnsi" w:cs="Times"/>
          <w:color w:val="000000"/>
          <w:sz w:val="22"/>
          <w:szCs w:val="22"/>
        </w:rPr>
        <w:t>R</w:t>
      </w:r>
      <w:r w:rsidRPr="008618FF">
        <w:rPr>
          <w:rFonts w:asciiTheme="majorHAnsi" w:hAnsiTheme="majorHAnsi" w:cs="Times"/>
          <w:color w:val="000000"/>
          <w:sz w:val="22"/>
          <w:szCs w:val="22"/>
        </w:rPr>
        <w:t>ule 31</w:t>
      </w:r>
      <w:r w:rsidRPr="008618FF">
        <w:rPr>
          <w:rStyle w:val="FootnoteReference"/>
          <w:rFonts w:cs="Times"/>
          <w:color w:val="000000"/>
          <w:szCs w:val="22"/>
        </w:rPr>
        <w:footnoteReference w:id="1"/>
      </w:r>
      <w:r w:rsidRPr="008618FF">
        <w:rPr>
          <w:rFonts w:asciiTheme="majorHAnsi" w:hAnsiTheme="majorHAnsi" w:cs="Times"/>
          <w:color w:val="000000"/>
          <w:sz w:val="22"/>
          <w:szCs w:val="22"/>
        </w:rPr>
        <w:t xml:space="preserve"> and through redress in accordance with effective remedy (UNGP rule 25</w:t>
      </w:r>
      <w:r w:rsidRPr="008618FF">
        <w:rPr>
          <w:rStyle w:val="FootnoteReference"/>
          <w:rFonts w:cs="Times"/>
          <w:color w:val="000000"/>
          <w:szCs w:val="22"/>
        </w:rPr>
        <w:footnoteReference w:id="2"/>
      </w:r>
      <w:r w:rsidRPr="008618FF">
        <w:rPr>
          <w:rFonts w:asciiTheme="majorHAnsi" w:hAnsiTheme="majorHAnsi" w:cs="Times"/>
          <w:color w:val="000000"/>
          <w:sz w:val="22"/>
          <w:szCs w:val="22"/>
        </w:rPr>
        <w:t>)</w:t>
      </w:r>
      <w:r w:rsidR="00FC12D1">
        <w:rPr>
          <w:rFonts w:asciiTheme="majorHAnsi" w:hAnsiTheme="majorHAnsi" w:cs="Times"/>
          <w:color w:val="000000"/>
          <w:sz w:val="22"/>
          <w:szCs w:val="22"/>
        </w:rPr>
        <w:t>.</w:t>
      </w:r>
      <w:r w:rsidRPr="008618FF">
        <w:rPr>
          <w:rFonts w:asciiTheme="majorHAnsi" w:hAnsiTheme="majorHAnsi" w:cs="Times"/>
          <w:color w:val="000000"/>
          <w:sz w:val="22"/>
          <w:szCs w:val="22"/>
        </w:rPr>
        <w:t xml:space="preserve"> </w:t>
      </w:r>
    </w:p>
    <w:p w14:paraId="65DCEE72" w14:textId="77777777" w:rsidR="00C84CEC" w:rsidRDefault="00C84CEC" w:rsidP="00C84CEC"/>
    <w:p w14:paraId="4ADD4552" w14:textId="2F3AB365" w:rsidR="00700649" w:rsidRPr="00700649" w:rsidRDefault="00700649" w:rsidP="00700649">
      <w:pPr>
        <w:widowControl w:val="0"/>
        <w:autoSpaceDE w:val="0"/>
        <w:autoSpaceDN w:val="0"/>
        <w:adjustRightInd w:val="0"/>
        <w:rPr>
          <w:rFonts w:asciiTheme="majorHAnsi" w:hAnsiTheme="majorHAnsi" w:cs="Times New Roman"/>
          <w:color w:val="000000"/>
          <w:sz w:val="22"/>
          <w:szCs w:val="22"/>
        </w:rPr>
      </w:pPr>
      <w:r w:rsidRPr="00700649">
        <w:rPr>
          <w:rFonts w:asciiTheme="majorHAnsi" w:hAnsiTheme="majorHAnsi" w:cs="Times New Roman"/>
          <w:color w:val="000000"/>
          <w:sz w:val="22"/>
          <w:szCs w:val="22"/>
        </w:rPr>
        <w:t xml:space="preserve">Recommendation 4 – </w:t>
      </w:r>
      <w:r w:rsidR="00A7647E">
        <w:rPr>
          <w:rFonts w:asciiTheme="majorHAnsi" w:hAnsiTheme="majorHAnsi" w:cs="Times New Roman"/>
          <w:color w:val="000000"/>
          <w:sz w:val="22"/>
          <w:szCs w:val="22"/>
        </w:rPr>
        <w:t>T</w:t>
      </w:r>
      <w:r w:rsidRPr="00700649">
        <w:rPr>
          <w:rFonts w:asciiTheme="majorHAnsi" w:hAnsiTheme="majorHAnsi" w:cs="Times New Roman"/>
          <w:color w:val="000000"/>
          <w:sz w:val="22"/>
          <w:szCs w:val="22"/>
        </w:rPr>
        <w:t>he State Party should ensure that mainstream media refrain from portrayals that perpetuate discrimination, including against unvaccinated children and disabled children, and that where COVID-19 injections messages are broadcast they also inform parents and children about the risks associated with such injections, including death and disability.</w:t>
      </w:r>
    </w:p>
    <w:p w14:paraId="25B93EE5" w14:textId="77777777" w:rsidR="00700649" w:rsidRPr="00700649" w:rsidRDefault="00700649" w:rsidP="00700649">
      <w:pPr>
        <w:widowControl w:val="0"/>
        <w:autoSpaceDE w:val="0"/>
        <w:autoSpaceDN w:val="0"/>
        <w:adjustRightInd w:val="0"/>
        <w:rPr>
          <w:rFonts w:asciiTheme="majorHAnsi" w:hAnsiTheme="majorHAnsi" w:cs="Times New Roman"/>
          <w:color w:val="000000"/>
          <w:sz w:val="22"/>
          <w:szCs w:val="22"/>
        </w:rPr>
      </w:pPr>
    </w:p>
    <w:p w14:paraId="4EAEA471" w14:textId="6ECF7B14" w:rsidR="00700649" w:rsidRPr="00700649" w:rsidRDefault="00700649" w:rsidP="00700649">
      <w:pPr>
        <w:widowControl w:val="0"/>
        <w:autoSpaceDE w:val="0"/>
        <w:autoSpaceDN w:val="0"/>
        <w:adjustRightInd w:val="0"/>
        <w:rPr>
          <w:rFonts w:asciiTheme="majorHAnsi" w:hAnsiTheme="majorHAnsi" w:cs="Times New Roman"/>
          <w:color w:val="000000"/>
          <w:sz w:val="22"/>
          <w:szCs w:val="22"/>
        </w:rPr>
      </w:pPr>
      <w:r w:rsidRPr="00700649">
        <w:rPr>
          <w:rFonts w:asciiTheme="majorHAnsi" w:hAnsiTheme="majorHAnsi" w:cs="Times New Roman"/>
          <w:color w:val="000000"/>
          <w:sz w:val="22"/>
          <w:szCs w:val="22"/>
        </w:rPr>
        <w:t xml:space="preserve">Recommendation 5 – </w:t>
      </w:r>
      <w:r w:rsidR="00A7647E">
        <w:rPr>
          <w:rFonts w:asciiTheme="majorHAnsi" w:hAnsiTheme="majorHAnsi" w:cs="Times New Roman"/>
          <w:color w:val="000000"/>
          <w:sz w:val="22"/>
          <w:szCs w:val="22"/>
        </w:rPr>
        <w:t>T</w:t>
      </w:r>
      <w:r w:rsidRPr="00700649">
        <w:rPr>
          <w:rFonts w:asciiTheme="majorHAnsi" w:hAnsiTheme="majorHAnsi" w:cs="Times New Roman"/>
          <w:color w:val="000000"/>
          <w:sz w:val="22"/>
          <w:szCs w:val="22"/>
        </w:rPr>
        <w:t>he State Party should not make, sponsor, encourage or disseminate statements that they know or should reasonably know to be false,</w:t>
      </w:r>
      <w:r w:rsidRPr="00700649">
        <w:rPr>
          <w:rStyle w:val="FootnoteReference"/>
          <w:rFonts w:ascii="Calibri" w:eastAsia="Calibri" w:hAnsi="Calibri" w:cs="Calibri"/>
          <w:color w:val="000000"/>
          <w:sz w:val="22"/>
          <w:szCs w:val="22"/>
        </w:rPr>
        <w:t xml:space="preserve"> </w:t>
      </w:r>
      <w:r w:rsidRPr="00700649">
        <w:rPr>
          <w:rStyle w:val="FootnoteReference"/>
          <w:rFonts w:ascii="Calibri" w:eastAsia="Calibri" w:hAnsi="Calibri" w:cs="Calibri"/>
          <w:color w:val="000000"/>
          <w:sz w:val="22"/>
          <w:szCs w:val="22"/>
        </w:rPr>
        <w:footnoteReference w:id="3"/>
      </w:r>
      <w:r w:rsidRPr="00700649">
        <w:rPr>
          <w:rFonts w:asciiTheme="majorHAnsi" w:hAnsiTheme="majorHAnsi" w:cs="Times New Roman"/>
          <w:color w:val="000000"/>
          <w:sz w:val="22"/>
          <w:szCs w:val="22"/>
        </w:rPr>
        <w:t xml:space="preserve"> including the false statement that the COVID-19 injections are “safe and effective” for children.</w:t>
      </w:r>
    </w:p>
    <w:p w14:paraId="51A8915C" w14:textId="77777777" w:rsidR="00700649" w:rsidRDefault="00700649" w:rsidP="00C84CEC"/>
    <w:p w14:paraId="576BD134" w14:textId="213BE980" w:rsidR="00700649" w:rsidRPr="00700649" w:rsidRDefault="00A7647E" w:rsidP="00700649">
      <w:pPr>
        <w:spacing w:after="100" w:afterAutospacing="1"/>
        <w:rPr>
          <w:rFonts w:asciiTheme="majorHAnsi" w:hAnsiTheme="majorHAnsi" w:cs="Times New Roman"/>
          <w:sz w:val="22"/>
          <w:szCs w:val="22"/>
          <w:lang w:val="en-AU" w:eastAsia="en-US"/>
        </w:rPr>
      </w:pPr>
      <w:r>
        <w:rPr>
          <w:rFonts w:asciiTheme="majorHAnsi" w:hAnsiTheme="majorHAnsi" w:cs="Times New Roman"/>
          <w:sz w:val="22"/>
          <w:szCs w:val="22"/>
          <w:lang w:val="en-AU" w:eastAsia="en-US"/>
        </w:rPr>
        <w:lastRenderedPageBreak/>
        <w:t>Recommendation 6 – C</w:t>
      </w:r>
      <w:r w:rsidR="00700649" w:rsidRPr="00700649">
        <w:rPr>
          <w:rFonts w:asciiTheme="majorHAnsi" w:hAnsiTheme="majorHAnsi" w:cs="Times New Roman"/>
          <w:sz w:val="22"/>
          <w:szCs w:val="22"/>
          <w:lang w:val="en-AU" w:eastAsia="en-US"/>
        </w:rPr>
        <w:t>hildren in New Zealand should not be subjected to any medical or scientific experimentation that may be detrimental to their health, including the provisionally consented COVID-19 injections that have risks</w:t>
      </w:r>
      <w:r w:rsidR="00F054C4">
        <w:rPr>
          <w:rFonts w:asciiTheme="majorHAnsi" w:hAnsiTheme="majorHAnsi" w:cs="Times New Roman"/>
          <w:sz w:val="22"/>
          <w:szCs w:val="22"/>
          <w:lang w:val="en-AU" w:eastAsia="en-US"/>
        </w:rPr>
        <w:t xml:space="preserve"> of death or disability.</w:t>
      </w:r>
    </w:p>
    <w:p w14:paraId="57C858FE" w14:textId="698A1363" w:rsidR="00E25963" w:rsidRPr="00E25963" w:rsidRDefault="00E25963" w:rsidP="00E25963">
      <w:pPr>
        <w:widowControl w:val="0"/>
        <w:autoSpaceDE w:val="0"/>
        <w:autoSpaceDN w:val="0"/>
        <w:adjustRightInd w:val="0"/>
        <w:rPr>
          <w:rFonts w:asciiTheme="majorHAnsi" w:hAnsiTheme="majorHAnsi" w:cs="Times New Roman"/>
          <w:color w:val="000000"/>
          <w:sz w:val="22"/>
          <w:szCs w:val="22"/>
        </w:rPr>
      </w:pPr>
      <w:r w:rsidRPr="00E25963">
        <w:rPr>
          <w:rFonts w:asciiTheme="majorHAnsi" w:hAnsiTheme="majorHAnsi" w:cs="Times"/>
          <w:color w:val="000000"/>
          <w:sz w:val="22"/>
          <w:szCs w:val="22"/>
        </w:rPr>
        <w:t xml:space="preserve">Recommendation 7 – </w:t>
      </w:r>
      <w:r w:rsidR="00A7647E">
        <w:rPr>
          <w:rFonts w:asciiTheme="majorHAnsi" w:hAnsiTheme="majorHAnsi" w:cs="Times"/>
          <w:color w:val="000000"/>
          <w:sz w:val="22"/>
          <w:szCs w:val="22"/>
        </w:rPr>
        <w:t>T</w:t>
      </w:r>
      <w:r w:rsidRPr="00E25963">
        <w:rPr>
          <w:rFonts w:asciiTheme="majorHAnsi" w:hAnsiTheme="majorHAnsi" w:cs="Times"/>
          <w:color w:val="000000"/>
          <w:sz w:val="22"/>
          <w:szCs w:val="22"/>
        </w:rPr>
        <w:t>he State Party shall ensure that a child shall not be separated from his or her parents against their will, including on the basis of refusal of medical treatment or vaccine status.</w:t>
      </w:r>
    </w:p>
    <w:p w14:paraId="319FB83D" w14:textId="77777777" w:rsidR="00700649" w:rsidRDefault="00700649" w:rsidP="00C84CEC"/>
    <w:p w14:paraId="3F2F6E33" w14:textId="75E2F557" w:rsidR="00A7647E" w:rsidRDefault="00A7647E" w:rsidP="00A7647E">
      <w:pPr>
        <w:widowControl w:val="0"/>
        <w:autoSpaceDE w:val="0"/>
        <w:autoSpaceDN w:val="0"/>
        <w:adjustRightInd w:val="0"/>
        <w:rPr>
          <w:rFonts w:asciiTheme="majorHAnsi" w:hAnsiTheme="majorHAnsi" w:cs="Times New Roman"/>
          <w:color w:val="000000"/>
          <w:sz w:val="22"/>
          <w:szCs w:val="22"/>
        </w:rPr>
      </w:pPr>
      <w:r w:rsidRPr="00A7647E">
        <w:rPr>
          <w:rFonts w:asciiTheme="majorHAnsi" w:hAnsiTheme="majorHAnsi" w:cs="Times New Roman"/>
          <w:color w:val="000000"/>
          <w:sz w:val="22"/>
          <w:szCs w:val="22"/>
        </w:rPr>
        <w:t>Recommendation 8</w:t>
      </w:r>
      <w:r w:rsidR="00F054C4">
        <w:rPr>
          <w:rFonts w:asciiTheme="majorHAnsi" w:hAnsiTheme="majorHAnsi" w:cs="Times New Roman"/>
          <w:color w:val="000000"/>
          <w:sz w:val="22"/>
          <w:szCs w:val="22"/>
        </w:rPr>
        <w:t xml:space="preserve"> –</w:t>
      </w:r>
      <w:r w:rsidRPr="00A7647E">
        <w:rPr>
          <w:rFonts w:asciiTheme="majorHAnsi" w:hAnsiTheme="majorHAnsi" w:cs="Times New Roman"/>
          <w:color w:val="000000"/>
          <w:sz w:val="22"/>
          <w:szCs w:val="22"/>
        </w:rPr>
        <w:t xml:space="preserve"> </w:t>
      </w:r>
      <w:r>
        <w:rPr>
          <w:rFonts w:asciiTheme="majorHAnsi" w:hAnsiTheme="majorHAnsi" w:cs="Times New Roman"/>
          <w:color w:val="000000"/>
          <w:sz w:val="22"/>
          <w:szCs w:val="22"/>
        </w:rPr>
        <w:t>T</w:t>
      </w:r>
      <w:r w:rsidRPr="00A7647E">
        <w:rPr>
          <w:rFonts w:asciiTheme="majorHAnsi" w:hAnsiTheme="majorHAnsi" w:cs="Times New Roman"/>
          <w:color w:val="000000"/>
          <w:sz w:val="22"/>
          <w:szCs w:val="22"/>
        </w:rPr>
        <w:t>he State Party should ensure that children with disabilities have their best interests taken as a primary consideration, i.e. the right to choose between the COVID-19 vaccine or early treatment, including the use of antiviral medicines (such as Ivermectin).  The advantages of all possible treatments must be weighed against all possible risks and side effects for the individual child. The State Party shall ensure that those children who do not get the COVID-19 injection are not excluded from active participation in the community, through restricting access to all kinds of services, including cultural activities, including by third parties.</w:t>
      </w:r>
    </w:p>
    <w:p w14:paraId="0FDC01D1" w14:textId="77777777" w:rsidR="00EE3545" w:rsidRPr="00EE3545" w:rsidRDefault="00EE3545" w:rsidP="00A7647E">
      <w:pPr>
        <w:widowControl w:val="0"/>
        <w:autoSpaceDE w:val="0"/>
        <w:autoSpaceDN w:val="0"/>
        <w:adjustRightInd w:val="0"/>
        <w:rPr>
          <w:rFonts w:asciiTheme="majorHAnsi" w:hAnsiTheme="majorHAnsi" w:cs="Times New Roman"/>
          <w:color w:val="000000"/>
          <w:sz w:val="22"/>
          <w:szCs w:val="22"/>
        </w:rPr>
      </w:pPr>
    </w:p>
    <w:p w14:paraId="18C10026" w14:textId="1D12DED7" w:rsidR="00A7647E" w:rsidRPr="00EE3545" w:rsidRDefault="00EE3545" w:rsidP="00EE3545">
      <w:pPr>
        <w:widowControl w:val="0"/>
        <w:autoSpaceDE w:val="0"/>
        <w:autoSpaceDN w:val="0"/>
        <w:adjustRightInd w:val="0"/>
        <w:rPr>
          <w:rFonts w:asciiTheme="majorHAnsi" w:hAnsiTheme="majorHAnsi"/>
          <w:sz w:val="22"/>
          <w:szCs w:val="22"/>
        </w:rPr>
      </w:pPr>
      <w:r w:rsidRPr="00EE3545">
        <w:rPr>
          <w:rFonts w:asciiTheme="majorHAnsi" w:hAnsiTheme="majorHAnsi"/>
          <w:sz w:val="22"/>
          <w:szCs w:val="22"/>
        </w:rPr>
        <w:t>Recommendation 9 - The State Party should take immediate action to prevent third parties, including Councils and businesses, from interfering in or restricting the right of all children, without discrimination on any ground including vaccine status, to access all recreational, cultural and artistic environments, including public and private spaces, natural spaces, parks, playgrounds, sporting venues, museums, cinemas, libraries, theatres, as well as to cultural activities, services and events, including through legislation, regulations, guidelines and widespread awareness raising.</w:t>
      </w:r>
    </w:p>
    <w:p w14:paraId="7223DAFD" w14:textId="77777777" w:rsidR="00CE4767" w:rsidRPr="00CE4767" w:rsidRDefault="00CE4767" w:rsidP="00CE4767">
      <w:pPr>
        <w:pStyle w:val="Heading2"/>
        <w:rPr>
          <w:sz w:val="24"/>
          <w:szCs w:val="24"/>
        </w:rPr>
      </w:pPr>
      <w:r>
        <w:t xml:space="preserve">General measures of implementation (arts. 4, 42 and 44, para. 6, of the Convention) </w:t>
      </w:r>
    </w:p>
    <w:p w14:paraId="45BAABD9" w14:textId="5DBC648F" w:rsidR="00511BD6" w:rsidRDefault="00511BD6" w:rsidP="009861F4">
      <w:pPr>
        <w:widowControl w:val="0"/>
        <w:autoSpaceDE w:val="0"/>
        <w:autoSpaceDN w:val="0"/>
        <w:adjustRightInd w:val="0"/>
        <w:rPr>
          <w:rFonts w:asciiTheme="majorHAnsi" w:hAnsiTheme="majorHAnsi" w:cs="Times New Roman"/>
          <w:color w:val="000000"/>
          <w:sz w:val="22"/>
          <w:szCs w:val="22"/>
        </w:rPr>
      </w:pPr>
      <w:r>
        <w:rPr>
          <w:rFonts w:asciiTheme="majorHAnsi" w:hAnsiTheme="majorHAnsi" w:cs="Times New Roman"/>
          <w:color w:val="000000"/>
          <w:sz w:val="22"/>
          <w:szCs w:val="22"/>
        </w:rPr>
        <w:t xml:space="preserve">The </w:t>
      </w:r>
      <w:r w:rsidRPr="00DE43F0">
        <w:rPr>
          <w:rFonts w:asciiTheme="majorHAnsi" w:hAnsiTheme="majorHAnsi" w:cs="Times New Roman"/>
          <w:b/>
          <w:color w:val="000000"/>
          <w:sz w:val="22"/>
          <w:szCs w:val="22"/>
        </w:rPr>
        <w:t xml:space="preserve">activities of pharmaceutical business corporations, particularly Pfizer, </w:t>
      </w:r>
      <w:r w:rsidR="00AC11CA" w:rsidRPr="00DE43F0">
        <w:rPr>
          <w:rFonts w:asciiTheme="majorHAnsi" w:hAnsiTheme="majorHAnsi" w:cs="Times New Roman"/>
          <w:b/>
          <w:color w:val="000000"/>
          <w:sz w:val="22"/>
          <w:szCs w:val="22"/>
        </w:rPr>
        <w:t>have negatively affected the enjoyment by children of their rights</w:t>
      </w:r>
      <w:r w:rsidR="001D6D98" w:rsidRPr="00DE43F0">
        <w:rPr>
          <w:rFonts w:asciiTheme="majorHAnsi" w:hAnsiTheme="majorHAnsi" w:cs="Times New Roman"/>
          <w:b/>
          <w:color w:val="000000"/>
          <w:sz w:val="22"/>
          <w:szCs w:val="22"/>
        </w:rPr>
        <w:t xml:space="preserve"> </w:t>
      </w:r>
      <w:r w:rsidR="001D6D98">
        <w:rPr>
          <w:rFonts w:asciiTheme="majorHAnsi" w:hAnsiTheme="majorHAnsi" w:cs="Times New Roman"/>
          <w:color w:val="000000"/>
          <w:sz w:val="22"/>
          <w:szCs w:val="22"/>
        </w:rPr>
        <w:t xml:space="preserve">(see summary of impacts in </w:t>
      </w:r>
      <w:r w:rsidR="00DE43F0">
        <w:rPr>
          <w:rFonts w:asciiTheme="majorHAnsi" w:hAnsiTheme="majorHAnsi" w:cs="Times New Roman"/>
          <w:color w:val="000000"/>
          <w:sz w:val="22"/>
          <w:szCs w:val="22"/>
        </w:rPr>
        <w:t xml:space="preserve">Open Letter on Vaccinating Children </w:t>
      </w:r>
      <w:r w:rsidR="001D6D98">
        <w:rPr>
          <w:rFonts w:asciiTheme="majorHAnsi" w:hAnsiTheme="majorHAnsi" w:cs="Times New Roman"/>
          <w:color w:val="000000"/>
          <w:sz w:val="22"/>
          <w:szCs w:val="22"/>
        </w:rPr>
        <w:t>by New Zealand Doctors Speaking Out with Science</w:t>
      </w:r>
      <w:r w:rsidR="001D6D98">
        <w:rPr>
          <w:rStyle w:val="FootnoteReference"/>
          <w:rFonts w:cs="Times New Roman"/>
          <w:color w:val="000000"/>
          <w:szCs w:val="22"/>
        </w:rPr>
        <w:footnoteReference w:id="4"/>
      </w:r>
      <w:r w:rsidR="004A76F7">
        <w:rPr>
          <w:rFonts w:asciiTheme="majorHAnsi" w:hAnsiTheme="majorHAnsi" w:cs="Times New Roman"/>
          <w:color w:val="000000"/>
          <w:sz w:val="22"/>
          <w:szCs w:val="22"/>
        </w:rPr>
        <w:t xml:space="preserve"> including </w:t>
      </w:r>
      <w:r w:rsidR="004A76F7" w:rsidRPr="00C23E1D">
        <w:rPr>
          <w:rFonts w:asciiTheme="majorHAnsi" w:hAnsiTheme="majorHAnsi" w:cs="Times New Roman"/>
          <w:b/>
          <w:color w:val="000000"/>
          <w:sz w:val="22"/>
          <w:szCs w:val="22"/>
        </w:rPr>
        <w:t xml:space="preserve">severe adverse events </w:t>
      </w:r>
      <w:r w:rsidR="001810B3">
        <w:rPr>
          <w:rFonts w:asciiTheme="majorHAnsi" w:hAnsiTheme="majorHAnsi" w:cs="Times New Roman"/>
          <w:b/>
          <w:color w:val="000000"/>
          <w:sz w:val="22"/>
          <w:szCs w:val="22"/>
        </w:rPr>
        <w:t xml:space="preserve">causing disability </w:t>
      </w:r>
      <w:r w:rsidR="004A76F7" w:rsidRPr="00C23E1D">
        <w:rPr>
          <w:rFonts w:asciiTheme="majorHAnsi" w:hAnsiTheme="majorHAnsi" w:cs="Times New Roman"/>
          <w:b/>
          <w:color w:val="000000"/>
          <w:sz w:val="22"/>
          <w:szCs w:val="22"/>
        </w:rPr>
        <w:t xml:space="preserve">and death shortly after injections </w:t>
      </w:r>
      <w:r w:rsidR="004A76F7">
        <w:rPr>
          <w:rFonts w:asciiTheme="majorHAnsi" w:hAnsiTheme="majorHAnsi" w:cs="Times New Roman"/>
          <w:color w:val="000000"/>
          <w:sz w:val="22"/>
          <w:szCs w:val="22"/>
        </w:rPr>
        <w:t>with Pfizer Comirnaty</w:t>
      </w:r>
      <w:r w:rsidR="00C23E1D">
        <w:rPr>
          <w:rFonts w:asciiTheme="majorHAnsi" w:hAnsiTheme="majorHAnsi" w:cs="Times New Roman"/>
          <w:color w:val="000000"/>
          <w:sz w:val="22"/>
          <w:szCs w:val="22"/>
        </w:rPr>
        <w:t xml:space="preserve"> COVID-19 </w:t>
      </w:r>
      <w:r w:rsidR="002E6A5E">
        <w:rPr>
          <w:rFonts w:asciiTheme="majorHAnsi" w:hAnsiTheme="majorHAnsi" w:cs="Times New Roman"/>
          <w:color w:val="000000"/>
          <w:sz w:val="22"/>
          <w:szCs w:val="22"/>
        </w:rPr>
        <w:t>“vaccines”</w:t>
      </w:r>
      <w:r w:rsidR="001D6D98">
        <w:rPr>
          <w:rFonts w:asciiTheme="majorHAnsi" w:hAnsiTheme="majorHAnsi" w:cs="Times New Roman"/>
          <w:color w:val="000000"/>
          <w:sz w:val="22"/>
          <w:szCs w:val="22"/>
        </w:rPr>
        <w:t>)</w:t>
      </w:r>
      <w:r w:rsidR="002A6EEA">
        <w:rPr>
          <w:rFonts w:asciiTheme="majorHAnsi" w:hAnsiTheme="majorHAnsi" w:cs="Times New Roman"/>
          <w:color w:val="000000"/>
          <w:sz w:val="22"/>
          <w:szCs w:val="22"/>
        </w:rPr>
        <w:t xml:space="preserve">. </w:t>
      </w:r>
      <w:r w:rsidR="002E6A5E" w:rsidRPr="002E6A5E">
        <w:rPr>
          <w:rFonts w:asciiTheme="majorHAnsi" w:hAnsiTheme="majorHAnsi" w:cs="Times New Roman"/>
          <w:color w:val="000000"/>
          <w:sz w:val="22"/>
          <w:szCs w:val="22"/>
        </w:rPr>
        <w:t>The rights negatively affected include the following: r</w:t>
      </w:r>
      <w:r w:rsidR="00034103" w:rsidRPr="002E6A5E">
        <w:rPr>
          <w:rFonts w:asciiTheme="majorHAnsi" w:hAnsiTheme="majorHAnsi" w:cs="Times New Roman"/>
          <w:color w:val="000000"/>
          <w:sz w:val="22"/>
          <w:szCs w:val="22"/>
        </w:rPr>
        <w:t xml:space="preserve">ight </w:t>
      </w:r>
      <w:r w:rsidR="00B83690" w:rsidRPr="002E6A5E">
        <w:rPr>
          <w:rFonts w:asciiTheme="majorHAnsi" w:hAnsiTheme="majorHAnsi" w:cs="Times New Roman"/>
          <w:color w:val="000000"/>
          <w:sz w:val="22"/>
          <w:szCs w:val="22"/>
        </w:rPr>
        <w:t>to life</w:t>
      </w:r>
      <w:r w:rsidR="00034103" w:rsidRPr="002E6A5E">
        <w:rPr>
          <w:rFonts w:asciiTheme="majorHAnsi" w:hAnsiTheme="majorHAnsi" w:cs="Times New Roman"/>
          <w:color w:val="000000"/>
          <w:sz w:val="22"/>
          <w:szCs w:val="22"/>
        </w:rPr>
        <w:t xml:space="preserve"> (article 6)</w:t>
      </w:r>
      <w:r w:rsidR="00B83690" w:rsidRPr="002E6A5E">
        <w:rPr>
          <w:rFonts w:asciiTheme="majorHAnsi" w:hAnsiTheme="majorHAnsi" w:cs="Times New Roman"/>
          <w:color w:val="000000"/>
          <w:sz w:val="22"/>
          <w:szCs w:val="22"/>
        </w:rPr>
        <w:t xml:space="preserve">, </w:t>
      </w:r>
      <w:r w:rsidR="00034103" w:rsidRPr="002E6A5E">
        <w:rPr>
          <w:rFonts w:asciiTheme="majorHAnsi" w:hAnsiTheme="majorHAnsi" w:cs="Times New Roman"/>
          <w:color w:val="000000"/>
          <w:sz w:val="22"/>
          <w:szCs w:val="22"/>
        </w:rPr>
        <w:t>right not to be separated from parents (article 9),</w:t>
      </w:r>
      <w:r w:rsidR="005034C0" w:rsidRPr="002E6A5E">
        <w:rPr>
          <w:rFonts w:asciiTheme="majorHAnsi" w:hAnsiTheme="majorHAnsi" w:cs="Times New Roman"/>
          <w:color w:val="000000"/>
          <w:sz w:val="22"/>
          <w:szCs w:val="22"/>
        </w:rPr>
        <w:t xml:space="preserve"> right to freedom of expression and to seek, receive and impart information and ideas of all kinds (article 13), </w:t>
      </w:r>
      <w:r w:rsidR="0016022D" w:rsidRPr="002E6A5E">
        <w:rPr>
          <w:rFonts w:asciiTheme="majorHAnsi" w:hAnsiTheme="majorHAnsi" w:cs="Times New Roman"/>
          <w:color w:val="000000"/>
          <w:sz w:val="22"/>
          <w:szCs w:val="22"/>
        </w:rPr>
        <w:t>right to protection from injury (article 19), right of disabled child to special care (article 23)</w:t>
      </w:r>
      <w:r w:rsidR="00A610F3" w:rsidRPr="002E6A5E">
        <w:rPr>
          <w:rFonts w:asciiTheme="majorHAnsi" w:hAnsiTheme="majorHAnsi" w:cs="Times New Roman"/>
          <w:color w:val="000000"/>
          <w:sz w:val="22"/>
          <w:szCs w:val="22"/>
        </w:rPr>
        <w:t>, right to</w:t>
      </w:r>
      <w:r w:rsidR="00034103" w:rsidRPr="002E6A5E">
        <w:rPr>
          <w:rFonts w:asciiTheme="majorHAnsi" w:hAnsiTheme="majorHAnsi" w:cs="Times New Roman"/>
          <w:color w:val="000000"/>
          <w:sz w:val="22"/>
          <w:szCs w:val="22"/>
        </w:rPr>
        <w:t xml:space="preserve"> </w:t>
      </w:r>
      <w:r w:rsidR="00A610F3" w:rsidRPr="002E6A5E">
        <w:rPr>
          <w:rFonts w:asciiTheme="majorHAnsi" w:hAnsiTheme="majorHAnsi" w:cs="Times New Roman"/>
          <w:color w:val="000000"/>
          <w:sz w:val="22"/>
          <w:szCs w:val="22"/>
        </w:rPr>
        <w:t xml:space="preserve">enjoyment of the highest attainable standard of </w:t>
      </w:r>
      <w:r w:rsidR="00B83690" w:rsidRPr="002E6A5E">
        <w:rPr>
          <w:rFonts w:asciiTheme="majorHAnsi" w:hAnsiTheme="majorHAnsi" w:cs="Times New Roman"/>
          <w:color w:val="000000"/>
          <w:sz w:val="22"/>
          <w:szCs w:val="22"/>
        </w:rPr>
        <w:t>health</w:t>
      </w:r>
      <w:r w:rsidR="00A610F3" w:rsidRPr="002E6A5E">
        <w:rPr>
          <w:rFonts w:asciiTheme="majorHAnsi" w:hAnsiTheme="majorHAnsi" w:cs="Times New Roman"/>
          <w:color w:val="000000"/>
          <w:sz w:val="22"/>
          <w:szCs w:val="22"/>
        </w:rPr>
        <w:t xml:space="preserve"> (article 24)</w:t>
      </w:r>
      <w:r w:rsidR="00B83690" w:rsidRPr="002E6A5E">
        <w:rPr>
          <w:rFonts w:asciiTheme="majorHAnsi" w:hAnsiTheme="majorHAnsi" w:cs="Times New Roman"/>
          <w:color w:val="000000"/>
          <w:sz w:val="22"/>
          <w:szCs w:val="22"/>
        </w:rPr>
        <w:t xml:space="preserve">, </w:t>
      </w:r>
      <w:r w:rsidR="002E6A5E" w:rsidRPr="002E6A5E">
        <w:rPr>
          <w:rFonts w:asciiTheme="majorHAnsi" w:hAnsiTheme="majorHAnsi" w:cs="Times New Roman"/>
          <w:color w:val="000000"/>
          <w:sz w:val="22"/>
          <w:szCs w:val="22"/>
        </w:rPr>
        <w:t xml:space="preserve">and the </w:t>
      </w:r>
      <w:r w:rsidR="00CF5765" w:rsidRPr="002E6A5E">
        <w:rPr>
          <w:rFonts w:asciiTheme="majorHAnsi" w:hAnsiTheme="majorHAnsi" w:cs="Times New Roman"/>
          <w:color w:val="000000"/>
          <w:sz w:val="22"/>
          <w:szCs w:val="22"/>
        </w:rPr>
        <w:t>right to engage in play and recreational activities and to participate freely in cultural life and the arts (article 31).</w:t>
      </w:r>
      <w:r w:rsidR="00B83690" w:rsidRPr="002E6A5E">
        <w:rPr>
          <w:rFonts w:asciiTheme="majorHAnsi" w:hAnsiTheme="majorHAnsi" w:cs="Times New Roman"/>
          <w:color w:val="000000"/>
          <w:sz w:val="22"/>
          <w:szCs w:val="22"/>
        </w:rPr>
        <w:t xml:space="preserve"> </w:t>
      </w:r>
      <w:r w:rsidR="002A6EEA" w:rsidRPr="002E6A5E">
        <w:rPr>
          <w:rFonts w:asciiTheme="majorHAnsi" w:hAnsiTheme="majorHAnsi" w:cs="Times New Roman"/>
          <w:b/>
          <w:color w:val="000000"/>
          <w:sz w:val="22"/>
          <w:szCs w:val="22"/>
        </w:rPr>
        <w:t>Despite repeated requests to a wide</w:t>
      </w:r>
      <w:r w:rsidR="002A6EEA">
        <w:rPr>
          <w:rFonts w:asciiTheme="majorHAnsi" w:hAnsiTheme="majorHAnsi" w:cs="Times New Roman"/>
          <w:b/>
          <w:color w:val="000000"/>
          <w:sz w:val="22"/>
          <w:szCs w:val="22"/>
        </w:rPr>
        <w:t xml:space="preserve"> range of </w:t>
      </w:r>
      <w:r w:rsidR="001B01D2">
        <w:rPr>
          <w:rFonts w:asciiTheme="majorHAnsi" w:hAnsiTheme="majorHAnsi" w:cs="Times New Roman"/>
          <w:b/>
          <w:color w:val="000000"/>
          <w:sz w:val="22"/>
          <w:szCs w:val="22"/>
        </w:rPr>
        <w:t>institutions in New Zealand, n</w:t>
      </w:r>
      <w:r w:rsidR="00AC11CA" w:rsidRPr="00DE43F0">
        <w:rPr>
          <w:rFonts w:asciiTheme="majorHAnsi" w:hAnsiTheme="majorHAnsi" w:cs="Times New Roman"/>
          <w:b/>
          <w:color w:val="000000"/>
          <w:sz w:val="22"/>
          <w:szCs w:val="22"/>
        </w:rPr>
        <w:t>o measures have been taken to investigate, adjudicate, repair or regulate the impacts</w:t>
      </w:r>
      <w:r w:rsidR="002E6A5E">
        <w:rPr>
          <w:rFonts w:asciiTheme="majorHAnsi" w:hAnsiTheme="majorHAnsi" w:cs="Times New Roman"/>
          <w:b/>
          <w:color w:val="000000"/>
          <w:sz w:val="22"/>
          <w:szCs w:val="22"/>
        </w:rPr>
        <w:t xml:space="preserve">, particularly the severe adverse events </w:t>
      </w:r>
      <w:r w:rsidR="001810B3">
        <w:rPr>
          <w:rFonts w:asciiTheme="majorHAnsi" w:hAnsiTheme="majorHAnsi" w:cs="Times New Roman"/>
          <w:b/>
          <w:color w:val="000000"/>
          <w:sz w:val="22"/>
          <w:szCs w:val="22"/>
        </w:rPr>
        <w:t xml:space="preserve">causing disability </w:t>
      </w:r>
      <w:r w:rsidR="002E6A5E">
        <w:rPr>
          <w:rFonts w:asciiTheme="majorHAnsi" w:hAnsiTheme="majorHAnsi" w:cs="Times New Roman"/>
          <w:b/>
          <w:color w:val="000000"/>
          <w:sz w:val="22"/>
          <w:szCs w:val="22"/>
        </w:rPr>
        <w:t>and deaths proximate to Pfizer injections</w:t>
      </w:r>
      <w:r w:rsidR="00AC11CA">
        <w:rPr>
          <w:rFonts w:asciiTheme="majorHAnsi" w:hAnsiTheme="majorHAnsi" w:cs="Times New Roman"/>
          <w:color w:val="000000"/>
          <w:sz w:val="22"/>
          <w:szCs w:val="22"/>
        </w:rPr>
        <w:t>.</w:t>
      </w:r>
      <w:r w:rsidR="00484B48">
        <w:rPr>
          <w:rFonts w:asciiTheme="majorHAnsi" w:hAnsiTheme="majorHAnsi" w:cs="Times New Roman"/>
          <w:color w:val="000000"/>
          <w:sz w:val="22"/>
          <w:szCs w:val="22"/>
        </w:rPr>
        <w:t xml:space="preserve"> Chief among the institutions who have failed to investigate, adjudicate, repair or regulate the impacts of Pfizer Corporation on the enjoyment by ch</w:t>
      </w:r>
      <w:r w:rsidR="00484B48" w:rsidRPr="00C96645">
        <w:rPr>
          <w:rFonts w:asciiTheme="majorHAnsi" w:hAnsiTheme="majorHAnsi" w:cs="Times New Roman"/>
          <w:color w:val="000000"/>
          <w:sz w:val="22"/>
          <w:szCs w:val="22"/>
        </w:rPr>
        <w:t>ildren of their rights</w:t>
      </w:r>
      <w:r w:rsidR="006824B3" w:rsidRPr="00C96645">
        <w:rPr>
          <w:rFonts w:asciiTheme="majorHAnsi" w:hAnsiTheme="majorHAnsi" w:cs="Times New Roman"/>
          <w:color w:val="000000"/>
          <w:sz w:val="22"/>
          <w:szCs w:val="22"/>
        </w:rPr>
        <w:t xml:space="preserve"> are the New Zealand Human Rights Commission,</w:t>
      </w:r>
      <w:r w:rsidR="007573D0" w:rsidRPr="00C96645">
        <w:rPr>
          <w:rStyle w:val="FootnoteReference"/>
          <w:rFonts w:cs="Times New Roman"/>
          <w:color w:val="000000"/>
          <w:szCs w:val="22"/>
        </w:rPr>
        <w:footnoteReference w:id="5"/>
      </w:r>
      <w:r w:rsidR="006824B3" w:rsidRPr="00C96645">
        <w:rPr>
          <w:rFonts w:asciiTheme="majorHAnsi" w:hAnsiTheme="majorHAnsi" w:cs="Times New Roman"/>
          <w:color w:val="000000"/>
          <w:sz w:val="22"/>
          <w:szCs w:val="22"/>
        </w:rPr>
        <w:t xml:space="preserve"> </w:t>
      </w:r>
      <w:r w:rsidR="00EB4E74" w:rsidRPr="00C96645">
        <w:rPr>
          <w:rFonts w:asciiTheme="majorHAnsi" w:hAnsiTheme="majorHAnsi" w:cs="Times New Roman"/>
          <w:color w:val="000000"/>
          <w:sz w:val="22"/>
          <w:szCs w:val="22"/>
        </w:rPr>
        <w:lastRenderedPageBreak/>
        <w:t>Ombudsman,</w:t>
      </w:r>
      <w:r w:rsidR="007F57BA" w:rsidRPr="00C96645">
        <w:rPr>
          <w:rStyle w:val="FootnoteReference"/>
          <w:rFonts w:cs="Times New Roman"/>
          <w:color w:val="000000"/>
          <w:szCs w:val="22"/>
        </w:rPr>
        <w:footnoteReference w:id="6"/>
      </w:r>
      <w:r w:rsidR="00EB4E74" w:rsidRPr="00C96645">
        <w:rPr>
          <w:rFonts w:asciiTheme="majorHAnsi" w:hAnsiTheme="majorHAnsi" w:cs="Times New Roman"/>
          <w:color w:val="000000"/>
          <w:sz w:val="22"/>
          <w:szCs w:val="22"/>
        </w:rPr>
        <w:t xml:space="preserve"> </w:t>
      </w:r>
      <w:r w:rsidR="0004717F" w:rsidRPr="00C96645">
        <w:rPr>
          <w:rFonts w:asciiTheme="majorHAnsi" w:hAnsiTheme="majorHAnsi" w:cs="Times New Roman"/>
          <w:color w:val="000000"/>
          <w:sz w:val="22"/>
          <w:szCs w:val="22"/>
        </w:rPr>
        <w:t>M</w:t>
      </w:r>
      <w:r w:rsidR="0004717F">
        <w:rPr>
          <w:rFonts w:asciiTheme="majorHAnsi" w:hAnsiTheme="majorHAnsi" w:cs="Times New Roman"/>
          <w:color w:val="000000"/>
          <w:sz w:val="22"/>
          <w:szCs w:val="22"/>
        </w:rPr>
        <w:t>edical Council of New Zealand,</w:t>
      </w:r>
      <w:r w:rsidR="00CB0FDF">
        <w:rPr>
          <w:rStyle w:val="FootnoteReference"/>
          <w:rFonts w:cs="Times New Roman"/>
          <w:color w:val="000000"/>
          <w:szCs w:val="22"/>
        </w:rPr>
        <w:footnoteReference w:id="7"/>
      </w:r>
      <w:r w:rsidR="0004717F">
        <w:rPr>
          <w:rFonts w:asciiTheme="majorHAnsi" w:hAnsiTheme="majorHAnsi" w:cs="Times New Roman"/>
          <w:color w:val="000000"/>
          <w:sz w:val="22"/>
          <w:szCs w:val="22"/>
        </w:rPr>
        <w:t xml:space="preserve"> </w:t>
      </w:r>
      <w:r w:rsidR="0003305C">
        <w:rPr>
          <w:rFonts w:asciiTheme="majorHAnsi" w:hAnsiTheme="majorHAnsi" w:cs="Times New Roman"/>
          <w:color w:val="000000"/>
          <w:sz w:val="22"/>
          <w:szCs w:val="22"/>
        </w:rPr>
        <w:t>Medsafe</w:t>
      </w:r>
      <w:r w:rsidR="00EB4E74">
        <w:rPr>
          <w:rFonts w:asciiTheme="majorHAnsi" w:hAnsiTheme="majorHAnsi" w:cs="Times New Roman"/>
          <w:color w:val="000000"/>
          <w:sz w:val="22"/>
          <w:szCs w:val="22"/>
        </w:rPr>
        <w:t xml:space="preserve"> (New Zealand Medicines and Medical Devices Safety Authority)</w:t>
      </w:r>
      <w:r w:rsidR="0003305C">
        <w:rPr>
          <w:rFonts w:asciiTheme="majorHAnsi" w:hAnsiTheme="majorHAnsi" w:cs="Times New Roman"/>
          <w:color w:val="000000"/>
          <w:sz w:val="22"/>
          <w:szCs w:val="22"/>
        </w:rPr>
        <w:t>,</w:t>
      </w:r>
      <w:r w:rsidR="00415034">
        <w:rPr>
          <w:rStyle w:val="FootnoteReference"/>
          <w:rFonts w:cs="Times New Roman"/>
          <w:color w:val="000000"/>
          <w:szCs w:val="22"/>
        </w:rPr>
        <w:footnoteReference w:id="8"/>
      </w:r>
      <w:r w:rsidR="0003305C">
        <w:rPr>
          <w:rFonts w:asciiTheme="majorHAnsi" w:hAnsiTheme="majorHAnsi" w:cs="Times New Roman"/>
          <w:color w:val="000000"/>
          <w:sz w:val="22"/>
          <w:szCs w:val="22"/>
        </w:rPr>
        <w:t xml:space="preserve"> </w:t>
      </w:r>
      <w:r w:rsidR="00A82A95">
        <w:rPr>
          <w:rFonts w:asciiTheme="majorHAnsi" w:hAnsiTheme="majorHAnsi" w:cs="Times New Roman"/>
          <w:color w:val="000000"/>
          <w:sz w:val="22"/>
          <w:szCs w:val="22"/>
        </w:rPr>
        <w:t>Royal New Zealand College of GPs,</w:t>
      </w:r>
      <w:r w:rsidR="00A82A95">
        <w:rPr>
          <w:rStyle w:val="FootnoteReference"/>
          <w:rFonts w:cs="Times New Roman"/>
          <w:color w:val="000000"/>
          <w:szCs w:val="22"/>
        </w:rPr>
        <w:footnoteReference w:id="9"/>
      </w:r>
      <w:r w:rsidR="00A82A95">
        <w:rPr>
          <w:rFonts w:asciiTheme="majorHAnsi" w:hAnsiTheme="majorHAnsi" w:cs="Times New Roman"/>
          <w:color w:val="000000"/>
          <w:sz w:val="22"/>
          <w:szCs w:val="22"/>
        </w:rPr>
        <w:t xml:space="preserve"> </w:t>
      </w:r>
      <w:r w:rsidR="0028649C">
        <w:rPr>
          <w:rFonts w:asciiTheme="majorHAnsi" w:hAnsiTheme="majorHAnsi" w:cs="Times New Roman"/>
          <w:color w:val="000000"/>
          <w:sz w:val="22"/>
          <w:szCs w:val="22"/>
        </w:rPr>
        <w:t>New Zealand Prime Minister,</w:t>
      </w:r>
      <w:r w:rsidR="001D371C" w:rsidRPr="001D371C">
        <w:rPr>
          <w:rStyle w:val="FootnoteReference"/>
          <w:rFonts w:cs="Times New Roman"/>
          <w:color w:val="000000"/>
          <w:szCs w:val="22"/>
        </w:rPr>
        <w:t xml:space="preserve"> </w:t>
      </w:r>
      <w:r w:rsidR="001D371C">
        <w:rPr>
          <w:rStyle w:val="FootnoteReference"/>
          <w:rFonts w:cs="Times New Roman"/>
          <w:color w:val="000000"/>
          <w:szCs w:val="22"/>
        </w:rPr>
        <w:footnoteReference w:id="10"/>
      </w:r>
      <w:r w:rsidR="0028649C">
        <w:rPr>
          <w:rFonts w:asciiTheme="majorHAnsi" w:hAnsiTheme="majorHAnsi" w:cs="Times New Roman"/>
          <w:color w:val="000000"/>
          <w:sz w:val="22"/>
          <w:szCs w:val="22"/>
        </w:rPr>
        <w:t xml:space="preserve"> </w:t>
      </w:r>
      <w:r w:rsidR="00CB2648">
        <w:rPr>
          <w:rFonts w:asciiTheme="majorHAnsi" w:hAnsiTheme="majorHAnsi" w:cs="Times New Roman"/>
          <w:color w:val="000000"/>
          <w:sz w:val="22"/>
          <w:szCs w:val="22"/>
        </w:rPr>
        <w:t xml:space="preserve">the </w:t>
      </w:r>
      <w:r w:rsidR="00D42663">
        <w:rPr>
          <w:rFonts w:asciiTheme="majorHAnsi" w:hAnsiTheme="majorHAnsi" w:cs="Times New Roman"/>
          <w:color w:val="000000"/>
          <w:sz w:val="22"/>
          <w:szCs w:val="22"/>
        </w:rPr>
        <w:t>Ministry of Health,</w:t>
      </w:r>
      <w:r w:rsidR="00D42663">
        <w:rPr>
          <w:rStyle w:val="FootnoteReference"/>
          <w:rFonts w:cs="Times New Roman"/>
          <w:color w:val="000000"/>
          <w:szCs w:val="22"/>
        </w:rPr>
        <w:footnoteReference w:id="11"/>
      </w:r>
      <w:r w:rsidR="00D42663">
        <w:rPr>
          <w:rFonts w:asciiTheme="majorHAnsi" w:hAnsiTheme="majorHAnsi" w:cs="Times New Roman"/>
          <w:color w:val="000000"/>
          <w:sz w:val="22"/>
          <w:szCs w:val="22"/>
        </w:rPr>
        <w:t xml:space="preserve"> </w:t>
      </w:r>
      <w:r w:rsidR="00586224">
        <w:rPr>
          <w:rFonts w:asciiTheme="majorHAnsi" w:hAnsiTheme="majorHAnsi" w:cs="Times New Roman"/>
          <w:color w:val="000000"/>
          <w:sz w:val="22"/>
          <w:szCs w:val="22"/>
        </w:rPr>
        <w:t>all New Zealand Members of Parliament,</w:t>
      </w:r>
      <w:r w:rsidR="00586224">
        <w:rPr>
          <w:rStyle w:val="FootnoteReference"/>
          <w:rFonts w:cs="Times New Roman"/>
          <w:color w:val="000000"/>
          <w:szCs w:val="22"/>
        </w:rPr>
        <w:footnoteReference w:id="12"/>
      </w:r>
      <w:r w:rsidR="00586224">
        <w:rPr>
          <w:rFonts w:asciiTheme="majorHAnsi" w:hAnsiTheme="majorHAnsi" w:cs="Times New Roman"/>
          <w:color w:val="000000"/>
          <w:sz w:val="22"/>
          <w:szCs w:val="22"/>
        </w:rPr>
        <w:t xml:space="preserve"> </w:t>
      </w:r>
      <w:r w:rsidR="00672129">
        <w:rPr>
          <w:rFonts w:asciiTheme="majorHAnsi" w:hAnsiTheme="majorHAnsi" w:cs="Times New Roman"/>
          <w:color w:val="000000"/>
          <w:sz w:val="22"/>
          <w:szCs w:val="22"/>
        </w:rPr>
        <w:t>Auditor General,</w:t>
      </w:r>
      <w:r w:rsidR="00672129">
        <w:rPr>
          <w:rStyle w:val="FootnoteReference"/>
          <w:rFonts w:cs="Times New Roman"/>
          <w:color w:val="000000"/>
          <w:szCs w:val="22"/>
        </w:rPr>
        <w:footnoteReference w:id="13"/>
      </w:r>
      <w:r w:rsidR="00672129">
        <w:rPr>
          <w:rFonts w:asciiTheme="majorHAnsi" w:hAnsiTheme="majorHAnsi" w:cs="Times New Roman"/>
          <w:color w:val="000000"/>
          <w:sz w:val="22"/>
          <w:szCs w:val="22"/>
        </w:rPr>
        <w:t xml:space="preserve"> </w:t>
      </w:r>
      <w:r w:rsidR="00CB2648">
        <w:rPr>
          <w:rFonts w:asciiTheme="majorHAnsi" w:hAnsiTheme="majorHAnsi" w:cs="Times New Roman"/>
          <w:color w:val="000000"/>
          <w:sz w:val="22"/>
          <w:szCs w:val="22"/>
        </w:rPr>
        <w:t>among others.</w:t>
      </w:r>
      <w:r w:rsidR="00AE06F5">
        <w:rPr>
          <w:rStyle w:val="FootnoteReference"/>
          <w:rFonts w:cs="Times New Roman"/>
          <w:color w:val="000000"/>
          <w:szCs w:val="22"/>
        </w:rPr>
        <w:footnoteReference w:id="14"/>
      </w:r>
    </w:p>
    <w:p w14:paraId="556D0D5D" w14:textId="77777777" w:rsidR="009861F4" w:rsidRDefault="009861F4" w:rsidP="009861F4">
      <w:pPr>
        <w:widowControl w:val="0"/>
        <w:autoSpaceDE w:val="0"/>
        <w:autoSpaceDN w:val="0"/>
        <w:adjustRightInd w:val="0"/>
        <w:rPr>
          <w:rFonts w:asciiTheme="majorHAnsi" w:hAnsiTheme="majorHAnsi" w:cs="Times New Roman"/>
          <w:color w:val="000000"/>
          <w:sz w:val="22"/>
          <w:szCs w:val="22"/>
        </w:rPr>
      </w:pPr>
    </w:p>
    <w:p w14:paraId="6C4BB2C9" w14:textId="63E9F22F" w:rsidR="00BC77D1" w:rsidRPr="009C1FC2" w:rsidRDefault="00BC77D1" w:rsidP="00EC6E10">
      <w:pPr>
        <w:widowControl w:val="0"/>
        <w:autoSpaceDE w:val="0"/>
        <w:autoSpaceDN w:val="0"/>
        <w:adjustRightInd w:val="0"/>
        <w:rPr>
          <w:rStyle w:val="SingleTxtGCar"/>
          <w:rFonts w:asciiTheme="majorHAnsi" w:eastAsiaTheme="minorEastAsia" w:hAnsiTheme="majorHAnsi" w:cs="Times"/>
          <w:color w:val="000000"/>
          <w:sz w:val="22"/>
          <w:szCs w:val="22"/>
          <w:lang w:val="en-US" w:eastAsia="ja-JP"/>
        </w:rPr>
      </w:pPr>
      <w:r>
        <w:rPr>
          <w:rFonts w:asciiTheme="majorHAnsi" w:hAnsiTheme="majorHAnsi" w:cs="Times New Roman"/>
          <w:color w:val="000000"/>
          <w:sz w:val="22"/>
          <w:szCs w:val="22"/>
        </w:rPr>
        <w:t>New Zealand should take into account the Committee on the Rights of t</w:t>
      </w:r>
      <w:r w:rsidR="0005257E">
        <w:rPr>
          <w:rFonts w:asciiTheme="majorHAnsi" w:hAnsiTheme="majorHAnsi" w:cs="Times New Roman"/>
          <w:color w:val="000000"/>
          <w:sz w:val="22"/>
          <w:szCs w:val="22"/>
        </w:rPr>
        <w:t xml:space="preserve">he Child’s General Comment </w:t>
      </w:r>
      <w:r w:rsidR="00A16AA4" w:rsidRPr="00A53683">
        <w:rPr>
          <w:rFonts w:asciiTheme="majorHAnsi" w:hAnsiTheme="majorHAnsi" w:cs="Times New Roman"/>
          <w:b/>
          <w:color w:val="000000"/>
          <w:sz w:val="22"/>
          <w:szCs w:val="22"/>
        </w:rPr>
        <w:t>No. 16 (2013) on State obligations regarding the impact of the business sector on children’s rights</w:t>
      </w:r>
      <w:r w:rsidR="00A16AA4" w:rsidRPr="00065132">
        <w:rPr>
          <w:rFonts w:asciiTheme="majorHAnsi" w:hAnsiTheme="majorHAnsi" w:cs="Times New Roman"/>
          <w:color w:val="000000"/>
          <w:sz w:val="22"/>
          <w:szCs w:val="22"/>
        </w:rPr>
        <w:t>.</w:t>
      </w:r>
      <w:r w:rsidR="00065132">
        <w:rPr>
          <w:rStyle w:val="FootnoteReference"/>
          <w:rFonts w:cs="Times New Roman"/>
          <w:color w:val="000000"/>
          <w:szCs w:val="22"/>
        </w:rPr>
        <w:footnoteReference w:id="15"/>
      </w:r>
      <w:r w:rsidR="00A16AA4" w:rsidRPr="009861F4">
        <w:rPr>
          <w:rFonts w:asciiTheme="majorHAnsi" w:hAnsiTheme="majorHAnsi" w:cs="Times New Roman"/>
          <w:color w:val="000000"/>
          <w:sz w:val="22"/>
          <w:szCs w:val="22"/>
        </w:rPr>
        <w:t xml:space="preserve"> </w:t>
      </w:r>
      <w:r w:rsidR="00065132">
        <w:rPr>
          <w:rFonts w:asciiTheme="majorHAnsi" w:hAnsiTheme="majorHAnsi" w:cs="Times New Roman"/>
          <w:color w:val="000000"/>
          <w:sz w:val="22"/>
          <w:szCs w:val="22"/>
        </w:rPr>
        <w:t xml:space="preserve">Notably, </w:t>
      </w:r>
      <w:r w:rsidR="00EC3607">
        <w:rPr>
          <w:rFonts w:asciiTheme="majorHAnsi" w:hAnsiTheme="majorHAnsi" w:cs="Times New Roman"/>
          <w:color w:val="000000"/>
          <w:sz w:val="22"/>
          <w:szCs w:val="22"/>
        </w:rPr>
        <w:t xml:space="preserve">this highlights the fact that </w:t>
      </w:r>
      <w:r w:rsidRPr="00097A3D">
        <w:rPr>
          <w:rStyle w:val="SingleTxtGCar"/>
          <w:rFonts w:asciiTheme="majorHAnsi" w:eastAsiaTheme="minorEastAsia" w:hAnsiTheme="majorHAnsi"/>
          <w:b/>
          <w:sz w:val="22"/>
          <w:szCs w:val="22"/>
          <w:lang w:eastAsia="en-GB"/>
        </w:rPr>
        <w:t xml:space="preserve">States have an obligation to protect </w:t>
      </w:r>
      <w:r w:rsidRPr="00F13BC2">
        <w:rPr>
          <w:rStyle w:val="SingleTxtGCar"/>
          <w:rFonts w:asciiTheme="majorHAnsi" w:eastAsiaTheme="minorEastAsia" w:hAnsiTheme="majorHAnsi"/>
          <w:b/>
          <w:sz w:val="22"/>
          <w:szCs w:val="22"/>
          <w:lang w:eastAsia="en-GB"/>
        </w:rPr>
        <w:t>against infringements of rights guaranteed under the Convention by third parties</w:t>
      </w:r>
      <w:r w:rsidR="006A5A48" w:rsidRPr="00F13BC2">
        <w:rPr>
          <w:rStyle w:val="SingleTxtGCar"/>
          <w:rFonts w:asciiTheme="majorHAnsi" w:eastAsiaTheme="minorEastAsia" w:hAnsiTheme="majorHAnsi"/>
          <w:b/>
          <w:sz w:val="22"/>
          <w:szCs w:val="22"/>
          <w:lang w:eastAsia="en-GB"/>
        </w:rPr>
        <w:t>,</w:t>
      </w:r>
      <w:r w:rsidR="00EC3607" w:rsidRPr="00F13BC2">
        <w:rPr>
          <w:rStyle w:val="FootnoteReference"/>
          <w:rFonts w:cs="Times New Roman"/>
          <w:b/>
          <w:szCs w:val="22"/>
          <w:lang w:val="x-none" w:eastAsia="en-GB"/>
        </w:rPr>
        <w:footnoteReference w:id="16"/>
      </w:r>
      <w:r w:rsidRPr="00F13BC2">
        <w:rPr>
          <w:rStyle w:val="SingleTxtGCar"/>
          <w:rFonts w:asciiTheme="majorHAnsi" w:eastAsiaTheme="minorEastAsia" w:hAnsiTheme="majorHAnsi"/>
          <w:b/>
          <w:sz w:val="22"/>
          <w:szCs w:val="22"/>
          <w:lang w:eastAsia="en-GB"/>
        </w:rPr>
        <w:t xml:space="preserve"> </w:t>
      </w:r>
      <w:r w:rsidR="006A5A48" w:rsidRPr="00F13BC2">
        <w:rPr>
          <w:rStyle w:val="SingleTxtGCar"/>
          <w:rFonts w:asciiTheme="majorHAnsi" w:eastAsiaTheme="minorEastAsia" w:hAnsiTheme="majorHAnsi"/>
          <w:b/>
          <w:sz w:val="22"/>
          <w:szCs w:val="22"/>
          <w:lang w:eastAsia="en-GB"/>
        </w:rPr>
        <w:t xml:space="preserve">including </w:t>
      </w:r>
      <w:r w:rsidRPr="00F13BC2">
        <w:rPr>
          <w:rStyle w:val="SingleTxtGCar"/>
          <w:rFonts w:asciiTheme="majorHAnsi" w:eastAsiaTheme="minorEastAsia" w:hAnsiTheme="majorHAnsi"/>
          <w:b/>
          <w:sz w:val="22"/>
          <w:szCs w:val="22"/>
          <w:lang w:eastAsia="en-GB"/>
        </w:rPr>
        <w:t>the business sector</w:t>
      </w:r>
      <w:r w:rsidRPr="00732D37">
        <w:rPr>
          <w:rStyle w:val="SingleTxtGCar"/>
          <w:rFonts w:asciiTheme="majorHAnsi" w:eastAsiaTheme="minorEastAsia" w:hAnsiTheme="majorHAnsi"/>
          <w:sz w:val="22"/>
          <w:szCs w:val="22"/>
          <w:lang w:eastAsia="en-GB"/>
        </w:rPr>
        <w:t xml:space="preserve">. It means that States must take all necessary, appropriate and reasonable measures to prevent business enterprises from causing or contributing to abuses of children’s rights. </w:t>
      </w:r>
      <w:r w:rsidRPr="00097A3D">
        <w:rPr>
          <w:rStyle w:val="SingleTxtGCar"/>
          <w:rFonts w:asciiTheme="majorHAnsi" w:eastAsiaTheme="minorEastAsia" w:hAnsiTheme="majorHAnsi"/>
          <w:b/>
          <w:sz w:val="22"/>
          <w:szCs w:val="22"/>
          <w:lang w:eastAsia="en-GB"/>
        </w:rPr>
        <w:t>States must investigate, adjudicate and redress violations of children’s rights caused or contributed to by a business enterprise</w:t>
      </w:r>
      <w:r w:rsidRPr="00097A3D">
        <w:rPr>
          <w:rStyle w:val="SingleTxtGCar"/>
          <w:rFonts w:asciiTheme="majorHAnsi" w:eastAsiaTheme="minorEastAsia" w:hAnsiTheme="majorHAnsi"/>
          <w:sz w:val="22"/>
          <w:szCs w:val="22"/>
          <w:lang w:eastAsia="en-GB"/>
        </w:rPr>
        <w:t xml:space="preserve">. A State is therefore responsible for infringements of children’s rights caused or contributed to by business enterprises where it has failed to undertake necessary, appropriate and reasonable measures to prevent and remedy such infringements or otherwise collaborated with or tolerated the infringements.  </w:t>
      </w:r>
      <w:r w:rsidR="00EC6E10">
        <w:rPr>
          <w:rStyle w:val="SingleTxtGCar"/>
          <w:rFonts w:asciiTheme="majorHAnsi" w:eastAsiaTheme="minorEastAsia" w:hAnsiTheme="majorHAnsi"/>
          <w:sz w:val="22"/>
          <w:szCs w:val="22"/>
          <w:lang w:eastAsia="en-GB"/>
        </w:rPr>
        <w:t xml:space="preserve">Moreover, </w:t>
      </w:r>
      <w:r w:rsidRPr="00097A3D">
        <w:rPr>
          <w:rStyle w:val="SingleTxtGCar"/>
          <w:rFonts w:asciiTheme="majorHAnsi" w:eastAsiaTheme="minorEastAsia" w:hAnsiTheme="majorHAnsi"/>
          <w:b/>
          <w:sz w:val="22"/>
          <w:szCs w:val="22"/>
          <w:lang w:eastAsia="en-GB"/>
        </w:rPr>
        <w:t>States have an obligation to provide effective remedies and reparations for violations of the rights of the child, including by third parties such as business enterprises.</w:t>
      </w:r>
      <w:r w:rsidR="00732D37">
        <w:rPr>
          <w:rStyle w:val="FootnoteReference"/>
          <w:rFonts w:cs="Times New Roman"/>
          <w:b/>
          <w:szCs w:val="22"/>
          <w:lang w:val="x-none" w:eastAsia="en-GB"/>
        </w:rPr>
        <w:footnoteReference w:id="17"/>
      </w:r>
      <w:r w:rsidRPr="00097A3D">
        <w:rPr>
          <w:rStyle w:val="SingleTxtGCar"/>
          <w:rFonts w:asciiTheme="majorHAnsi" w:eastAsiaTheme="minorEastAsia" w:hAnsiTheme="majorHAnsi"/>
          <w:b/>
          <w:sz w:val="22"/>
          <w:szCs w:val="22"/>
          <w:lang w:eastAsia="en-GB"/>
        </w:rPr>
        <w:t xml:space="preserve"> </w:t>
      </w:r>
      <w:r w:rsidRPr="00780E9F">
        <w:rPr>
          <w:rStyle w:val="SingleTxtGCar"/>
          <w:rFonts w:asciiTheme="majorHAnsi" w:eastAsiaTheme="minorEastAsia" w:hAnsiTheme="majorHAnsi"/>
          <w:sz w:val="22"/>
          <w:szCs w:val="22"/>
          <w:lang w:eastAsia="en-GB"/>
        </w:rPr>
        <w:t xml:space="preserve">The Committee states in its </w:t>
      </w:r>
      <w:r w:rsidR="009C1FC2" w:rsidRPr="009C1FC2">
        <w:rPr>
          <w:rStyle w:val="SingleTxtGCar"/>
          <w:rFonts w:asciiTheme="majorHAnsi" w:eastAsiaTheme="minorEastAsia" w:hAnsiTheme="majorHAnsi"/>
          <w:b/>
          <w:sz w:val="22"/>
          <w:szCs w:val="22"/>
          <w:lang w:eastAsia="en-GB"/>
        </w:rPr>
        <w:t>G</w:t>
      </w:r>
      <w:r w:rsidRPr="009C1FC2">
        <w:rPr>
          <w:rStyle w:val="SingleTxtGCar"/>
          <w:rFonts w:asciiTheme="majorHAnsi" w:eastAsiaTheme="minorEastAsia" w:hAnsiTheme="majorHAnsi"/>
          <w:b/>
          <w:sz w:val="22"/>
          <w:szCs w:val="22"/>
          <w:lang w:eastAsia="en-GB"/>
        </w:rPr>
        <w:t xml:space="preserve">eneral </w:t>
      </w:r>
      <w:r w:rsidR="009C1FC2" w:rsidRPr="009C1FC2">
        <w:rPr>
          <w:rStyle w:val="SingleTxtGCar"/>
          <w:rFonts w:asciiTheme="majorHAnsi" w:eastAsiaTheme="minorEastAsia" w:hAnsiTheme="majorHAnsi"/>
          <w:b/>
          <w:sz w:val="22"/>
          <w:szCs w:val="22"/>
          <w:lang w:eastAsia="en-GB"/>
        </w:rPr>
        <w:t>C</w:t>
      </w:r>
      <w:r w:rsidRPr="009C1FC2">
        <w:rPr>
          <w:rStyle w:val="SingleTxtGCar"/>
          <w:rFonts w:asciiTheme="majorHAnsi" w:eastAsiaTheme="minorEastAsia" w:hAnsiTheme="majorHAnsi"/>
          <w:b/>
          <w:sz w:val="22"/>
          <w:szCs w:val="22"/>
          <w:lang w:eastAsia="en-GB"/>
        </w:rPr>
        <w:t xml:space="preserve">omment No. 5 </w:t>
      </w:r>
      <w:r w:rsidR="005818CA" w:rsidRPr="009C1FC2">
        <w:rPr>
          <w:rStyle w:val="SingleTxtGCar"/>
          <w:rFonts w:asciiTheme="majorHAnsi" w:eastAsiaTheme="minorEastAsia" w:hAnsiTheme="majorHAnsi"/>
          <w:b/>
          <w:sz w:val="22"/>
          <w:szCs w:val="22"/>
          <w:lang w:eastAsia="en-GB"/>
        </w:rPr>
        <w:t xml:space="preserve">(2003) on </w:t>
      </w:r>
      <w:r w:rsidR="005818CA" w:rsidRPr="009C1FC2">
        <w:rPr>
          <w:rFonts w:asciiTheme="majorHAnsi" w:hAnsiTheme="majorHAnsi" w:cs="Times"/>
          <w:b/>
          <w:bCs/>
          <w:color w:val="000000"/>
          <w:sz w:val="22"/>
          <w:szCs w:val="22"/>
        </w:rPr>
        <w:t xml:space="preserve">General measures of implementation of the Convention on the Rights of the Child </w:t>
      </w:r>
      <w:r w:rsidRPr="00780E9F">
        <w:rPr>
          <w:rStyle w:val="SingleTxtGCar"/>
          <w:rFonts w:asciiTheme="majorHAnsi" w:eastAsiaTheme="minorEastAsia" w:hAnsiTheme="majorHAnsi"/>
          <w:sz w:val="22"/>
          <w:szCs w:val="22"/>
          <w:lang w:eastAsia="en-GB"/>
        </w:rPr>
        <w:t xml:space="preserve">that </w:t>
      </w:r>
      <w:r w:rsidRPr="009C1FC2">
        <w:rPr>
          <w:rStyle w:val="SingleTxtGCar"/>
          <w:rFonts w:asciiTheme="majorHAnsi" w:eastAsiaTheme="minorEastAsia" w:hAnsiTheme="majorHAnsi"/>
          <w:b/>
          <w:sz w:val="22"/>
          <w:szCs w:val="22"/>
          <w:lang w:eastAsia="en-GB"/>
        </w:rPr>
        <w:t>for rights to have meaning, effective remedies must be available to redress violations</w:t>
      </w:r>
      <w:r w:rsidRPr="00780E9F">
        <w:rPr>
          <w:rStyle w:val="SingleTxtGCar"/>
          <w:rFonts w:asciiTheme="majorHAnsi" w:eastAsiaTheme="minorEastAsia" w:hAnsiTheme="majorHAnsi"/>
          <w:sz w:val="22"/>
          <w:szCs w:val="22"/>
          <w:lang w:eastAsia="en-GB"/>
        </w:rPr>
        <w:t>.</w:t>
      </w:r>
      <w:r w:rsidRPr="00780E9F">
        <w:rPr>
          <w:rStyle w:val="FootnoteReference"/>
          <w:rFonts w:asciiTheme="majorHAnsi" w:hAnsiTheme="majorHAnsi"/>
          <w:sz w:val="22"/>
          <w:szCs w:val="22"/>
          <w:lang w:eastAsia="en-GB"/>
        </w:rPr>
        <w:footnoteReference w:id="18"/>
      </w:r>
      <w:r w:rsidRPr="00780E9F">
        <w:rPr>
          <w:rStyle w:val="SingleTxtGCar"/>
          <w:rFonts w:asciiTheme="majorHAnsi" w:eastAsiaTheme="minorEastAsia" w:hAnsiTheme="majorHAnsi"/>
          <w:sz w:val="22"/>
          <w:szCs w:val="22"/>
          <w:lang w:eastAsia="en-GB"/>
        </w:rPr>
        <w:t xml:space="preserve"> Several provisions in the Convention call for penalties, compensation, judicial action and measures to promote recovery after harm caused or contributed to by third parties.</w:t>
      </w:r>
      <w:r w:rsidRPr="00780E9F">
        <w:rPr>
          <w:rStyle w:val="FootnoteReference"/>
          <w:rFonts w:asciiTheme="majorHAnsi" w:hAnsiTheme="majorHAnsi"/>
          <w:sz w:val="22"/>
          <w:szCs w:val="22"/>
          <w:lang w:eastAsia="en-GB"/>
        </w:rPr>
        <w:footnoteReference w:id="19"/>
      </w:r>
      <w:r w:rsidRPr="00780E9F">
        <w:rPr>
          <w:rStyle w:val="SingleTxtGCar"/>
          <w:rFonts w:asciiTheme="majorHAnsi" w:eastAsiaTheme="minorEastAsia" w:hAnsiTheme="majorHAnsi"/>
          <w:sz w:val="22"/>
          <w:szCs w:val="22"/>
          <w:lang w:eastAsia="en-GB"/>
        </w:rPr>
        <w:t xml:space="preserve"> </w:t>
      </w:r>
      <w:r w:rsidRPr="00097A3D">
        <w:rPr>
          <w:rStyle w:val="SingleTxtGCar"/>
          <w:rFonts w:asciiTheme="majorHAnsi" w:eastAsiaTheme="minorEastAsia" w:hAnsiTheme="majorHAnsi"/>
          <w:b/>
          <w:sz w:val="22"/>
          <w:szCs w:val="22"/>
          <w:lang w:eastAsia="en-GB"/>
        </w:rPr>
        <w:t>When determining the level or form of reparation, mechanisms should take into account that children can be more vulnerable to the effects of abuse of their rights than adults and that the effects can be irreversible and result in lifelong damage</w:t>
      </w:r>
      <w:r w:rsidRPr="00097A3D">
        <w:rPr>
          <w:rStyle w:val="SingleTxtGCar"/>
          <w:rFonts w:asciiTheme="majorHAnsi" w:eastAsiaTheme="minorEastAsia" w:hAnsiTheme="majorHAnsi"/>
          <w:sz w:val="22"/>
          <w:szCs w:val="22"/>
          <w:lang w:eastAsia="en-GB"/>
        </w:rPr>
        <w:t xml:space="preserve">. </w:t>
      </w:r>
    </w:p>
    <w:p w14:paraId="5FBB09E1" w14:textId="77777777" w:rsidR="002F055C" w:rsidRDefault="002F055C" w:rsidP="00BC77D1">
      <w:pPr>
        <w:widowControl w:val="0"/>
        <w:autoSpaceDE w:val="0"/>
        <w:autoSpaceDN w:val="0"/>
        <w:adjustRightInd w:val="0"/>
        <w:rPr>
          <w:rFonts w:asciiTheme="majorHAnsi" w:hAnsiTheme="majorHAnsi" w:cs="Times"/>
          <w:color w:val="000000"/>
          <w:sz w:val="22"/>
          <w:szCs w:val="22"/>
        </w:rPr>
      </w:pPr>
    </w:p>
    <w:p w14:paraId="1F86E093" w14:textId="2E1E48BF" w:rsidR="009C4767" w:rsidRPr="00FA0BE6" w:rsidRDefault="002F055C" w:rsidP="009861F4">
      <w:pPr>
        <w:widowControl w:val="0"/>
        <w:autoSpaceDE w:val="0"/>
        <w:autoSpaceDN w:val="0"/>
        <w:adjustRightInd w:val="0"/>
        <w:rPr>
          <w:rFonts w:asciiTheme="majorHAnsi" w:hAnsiTheme="majorHAnsi" w:cs="Times"/>
          <w:b/>
          <w:i/>
          <w:color w:val="000000"/>
          <w:sz w:val="22"/>
          <w:szCs w:val="22"/>
        </w:rPr>
      </w:pPr>
      <w:r w:rsidRPr="00FA0BE6">
        <w:rPr>
          <w:rFonts w:asciiTheme="majorHAnsi" w:hAnsiTheme="majorHAnsi" w:cs="Times"/>
          <w:b/>
          <w:i/>
          <w:color w:val="000000"/>
          <w:sz w:val="22"/>
          <w:szCs w:val="22"/>
        </w:rPr>
        <w:t xml:space="preserve">Recommendation </w:t>
      </w:r>
      <w:r w:rsidR="008618FF" w:rsidRPr="00FA0BE6">
        <w:rPr>
          <w:rFonts w:asciiTheme="majorHAnsi" w:hAnsiTheme="majorHAnsi" w:cs="Times"/>
          <w:b/>
          <w:i/>
          <w:color w:val="000000"/>
          <w:sz w:val="22"/>
          <w:szCs w:val="22"/>
        </w:rPr>
        <w:t xml:space="preserve">1 </w:t>
      </w:r>
      <w:r w:rsidRPr="00FA0BE6">
        <w:rPr>
          <w:rFonts w:asciiTheme="majorHAnsi" w:hAnsiTheme="majorHAnsi" w:cs="Times"/>
          <w:b/>
          <w:i/>
          <w:color w:val="000000"/>
          <w:sz w:val="22"/>
          <w:szCs w:val="22"/>
        </w:rPr>
        <w:t xml:space="preserve">– </w:t>
      </w:r>
      <w:r w:rsidR="00D06E9E" w:rsidRPr="00FA0BE6">
        <w:rPr>
          <w:rFonts w:asciiTheme="majorHAnsi" w:hAnsiTheme="majorHAnsi" w:cs="Times"/>
          <w:b/>
          <w:i/>
          <w:color w:val="000000"/>
          <w:sz w:val="22"/>
          <w:szCs w:val="22"/>
        </w:rPr>
        <w:t xml:space="preserve">the State Party </w:t>
      </w:r>
      <w:r w:rsidR="00903EB3" w:rsidRPr="00FA0BE6">
        <w:rPr>
          <w:rFonts w:asciiTheme="majorHAnsi" w:hAnsiTheme="majorHAnsi" w:cs="Times"/>
          <w:b/>
          <w:i/>
          <w:color w:val="000000"/>
          <w:sz w:val="22"/>
          <w:szCs w:val="22"/>
        </w:rPr>
        <w:t xml:space="preserve">should </w:t>
      </w:r>
      <w:r w:rsidR="00D5770A" w:rsidRPr="00FA0BE6">
        <w:rPr>
          <w:rFonts w:asciiTheme="majorHAnsi" w:hAnsiTheme="majorHAnsi" w:cs="Times"/>
          <w:b/>
          <w:i/>
          <w:color w:val="000000"/>
          <w:sz w:val="22"/>
          <w:szCs w:val="22"/>
        </w:rPr>
        <w:t>provide for independent investigation, adjudication</w:t>
      </w:r>
      <w:r w:rsidRPr="00FA0BE6">
        <w:rPr>
          <w:rFonts w:asciiTheme="majorHAnsi" w:hAnsiTheme="majorHAnsi" w:cs="Times"/>
          <w:b/>
          <w:i/>
          <w:color w:val="000000"/>
          <w:sz w:val="22"/>
          <w:szCs w:val="22"/>
        </w:rPr>
        <w:t xml:space="preserve"> and redress </w:t>
      </w:r>
      <w:r w:rsidR="00D5770A" w:rsidRPr="00FA0BE6">
        <w:rPr>
          <w:rFonts w:asciiTheme="majorHAnsi" w:hAnsiTheme="majorHAnsi" w:cs="Times"/>
          <w:b/>
          <w:i/>
          <w:color w:val="000000"/>
          <w:sz w:val="22"/>
          <w:szCs w:val="22"/>
        </w:rPr>
        <w:t xml:space="preserve">for </w:t>
      </w:r>
      <w:r w:rsidRPr="00FA0BE6">
        <w:rPr>
          <w:rFonts w:asciiTheme="majorHAnsi" w:hAnsiTheme="majorHAnsi" w:cs="Times"/>
          <w:b/>
          <w:i/>
          <w:color w:val="000000"/>
          <w:sz w:val="22"/>
          <w:szCs w:val="22"/>
        </w:rPr>
        <w:t>violations of children’s rights caused or contributed to by Pfizer Comirnaty</w:t>
      </w:r>
      <w:r w:rsidR="00D41479" w:rsidRPr="00FA0BE6">
        <w:rPr>
          <w:rFonts w:asciiTheme="majorHAnsi" w:hAnsiTheme="majorHAnsi" w:cs="Times"/>
          <w:b/>
          <w:i/>
          <w:color w:val="000000"/>
          <w:sz w:val="22"/>
          <w:szCs w:val="22"/>
        </w:rPr>
        <w:t xml:space="preserve"> COVID-19 injections, and provide effective remedies and reparations for violations of the rights of the child, including deaths and </w:t>
      </w:r>
      <w:r w:rsidR="00903EB3" w:rsidRPr="00FA0BE6">
        <w:rPr>
          <w:rFonts w:asciiTheme="majorHAnsi" w:hAnsiTheme="majorHAnsi" w:cs="Times"/>
          <w:b/>
          <w:i/>
          <w:color w:val="000000"/>
          <w:sz w:val="22"/>
          <w:szCs w:val="22"/>
        </w:rPr>
        <w:t>disability</w:t>
      </w:r>
      <w:r w:rsidR="00D41479" w:rsidRPr="00FA0BE6">
        <w:rPr>
          <w:rFonts w:asciiTheme="majorHAnsi" w:hAnsiTheme="majorHAnsi" w:cs="Times"/>
          <w:b/>
          <w:i/>
          <w:color w:val="000000"/>
          <w:sz w:val="22"/>
          <w:szCs w:val="22"/>
        </w:rPr>
        <w:t>, taking into account that children can be more vulnerable to the effects of abuse of their rights than adults, that the effects can be irreversible and result in lifelong damage.</w:t>
      </w:r>
    </w:p>
    <w:p w14:paraId="56DF38C6" w14:textId="188188DC" w:rsidR="00171C53" w:rsidRDefault="00171C53" w:rsidP="00171C53">
      <w:pPr>
        <w:pStyle w:val="Heading2"/>
      </w:pPr>
      <w:r>
        <w:t xml:space="preserve">General principles (arts. 2, 3, 6 and 12) </w:t>
      </w:r>
    </w:p>
    <w:p w14:paraId="48176488" w14:textId="04D3CE24" w:rsidR="00A53683" w:rsidRDefault="00867BAB" w:rsidP="00C50757">
      <w:pPr>
        <w:pStyle w:val="Heading2"/>
      </w:pPr>
      <w:r>
        <w:t>Article 3 - best interests of the child</w:t>
      </w:r>
    </w:p>
    <w:p w14:paraId="5A941989" w14:textId="19A0D499" w:rsidR="00941ED2" w:rsidRPr="00C96645" w:rsidRDefault="001B2D5F" w:rsidP="00C96645">
      <w:pPr>
        <w:widowControl w:val="0"/>
        <w:autoSpaceDE w:val="0"/>
        <w:autoSpaceDN w:val="0"/>
        <w:adjustRightInd w:val="0"/>
        <w:rPr>
          <w:rFonts w:asciiTheme="majorHAnsi" w:hAnsiTheme="majorHAnsi" w:cs="Times New Roman"/>
          <w:color w:val="000000"/>
          <w:sz w:val="22"/>
          <w:szCs w:val="22"/>
        </w:rPr>
      </w:pPr>
      <w:r w:rsidRPr="00C96645">
        <w:rPr>
          <w:rFonts w:asciiTheme="majorHAnsi" w:hAnsiTheme="majorHAnsi" w:cs="Times New Roman"/>
          <w:b/>
          <w:sz w:val="22"/>
          <w:szCs w:val="22"/>
        </w:rPr>
        <w:t>New Zealand government COVID-19</w:t>
      </w:r>
      <w:r w:rsidR="005659FA" w:rsidRPr="00C96645">
        <w:rPr>
          <w:rFonts w:asciiTheme="majorHAnsi" w:hAnsiTheme="majorHAnsi" w:cs="Times New Roman"/>
          <w:b/>
          <w:sz w:val="22"/>
          <w:szCs w:val="22"/>
        </w:rPr>
        <w:t xml:space="preserve"> </w:t>
      </w:r>
      <w:r w:rsidR="00EF20C6" w:rsidRPr="00C96645">
        <w:rPr>
          <w:rFonts w:asciiTheme="majorHAnsi" w:hAnsiTheme="majorHAnsi" w:cs="Times New Roman"/>
          <w:b/>
          <w:sz w:val="22"/>
          <w:szCs w:val="22"/>
        </w:rPr>
        <w:t xml:space="preserve">vaccination </w:t>
      </w:r>
      <w:r w:rsidRPr="00C96645">
        <w:rPr>
          <w:rFonts w:asciiTheme="majorHAnsi" w:hAnsiTheme="majorHAnsi" w:cs="Times New Roman"/>
          <w:b/>
          <w:sz w:val="22"/>
          <w:szCs w:val="22"/>
        </w:rPr>
        <w:t xml:space="preserve">policy </w:t>
      </w:r>
      <w:r w:rsidR="00EF20C6" w:rsidRPr="00C96645">
        <w:rPr>
          <w:rFonts w:asciiTheme="majorHAnsi" w:hAnsiTheme="majorHAnsi" w:cs="Times New Roman"/>
          <w:b/>
          <w:sz w:val="22"/>
          <w:szCs w:val="22"/>
        </w:rPr>
        <w:t xml:space="preserve">for children </w:t>
      </w:r>
      <w:r w:rsidR="005659FA" w:rsidRPr="00C96645">
        <w:rPr>
          <w:rFonts w:asciiTheme="majorHAnsi" w:hAnsiTheme="majorHAnsi" w:cs="Times New Roman"/>
          <w:b/>
          <w:sz w:val="22"/>
          <w:szCs w:val="22"/>
        </w:rPr>
        <w:t>is contrary to the best interests of the child</w:t>
      </w:r>
      <w:r w:rsidR="005659FA" w:rsidRPr="00C96645">
        <w:rPr>
          <w:rFonts w:asciiTheme="majorHAnsi" w:hAnsiTheme="majorHAnsi" w:cs="Times New Roman"/>
          <w:sz w:val="22"/>
          <w:szCs w:val="22"/>
        </w:rPr>
        <w:t>. The government states that immunizing children helps protect family members whose health makes t</w:t>
      </w:r>
      <w:r w:rsidR="000C0CC6" w:rsidRPr="00C96645">
        <w:rPr>
          <w:rFonts w:asciiTheme="majorHAnsi" w:hAnsiTheme="majorHAnsi" w:cs="Times New Roman"/>
          <w:sz w:val="22"/>
          <w:szCs w:val="22"/>
        </w:rPr>
        <w:t>hem more vulnerable to COVID-19:</w:t>
      </w:r>
      <w:r w:rsidR="005659FA" w:rsidRPr="00C96645">
        <w:rPr>
          <w:rFonts w:asciiTheme="majorHAnsi" w:hAnsiTheme="majorHAnsi" w:cs="Times New Roman"/>
          <w:sz w:val="22"/>
          <w:szCs w:val="22"/>
        </w:rPr>
        <w:t xml:space="preserve"> </w:t>
      </w:r>
      <w:r w:rsidR="000C0CC6" w:rsidRPr="00C96645">
        <w:rPr>
          <w:rFonts w:asciiTheme="majorHAnsi" w:eastAsia="Times New Roman" w:hAnsiTheme="majorHAnsi" w:cs="Arial"/>
          <w:sz w:val="22"/>
          <w:szCs w:val="22"/>
          <w:shd w:val="clear" w:color="auto" w:fill="FFFFFF"/>
          <w:lang w:val="en-AU" w:eastAsia="en-US"/>
        </w:rPr>
        <w:t>“</w:t>
      </w:r>
      <w:r w:rsidR="005659FA" w:rsidRPr="00C96645">
        <w:rPr>
          <w:rFonts w:asciiTheme="majorHAnsi" w:eastAsia="Times New Roman" w:hAnsiTheme="majorHAnsi" w:cs="Arial"/>
          <w:sz w:val="22"/>
          <w:szCs w:val="22"/>
          <w:shd w:val="clear" w:color="auto" w:fill="FFFFFF"/>
          <w:lang w:val="en-AU" w:eastAsia="en-US"/>
        </w:rPr>
        <w:t xml:space="preserve">Like adults, if your </w:t>
      </w:r>
      <w:r w:rsidR="005659FA" w:rsidRPr="00C96645">
        <w:rPr>
          <w:rFonts w:asciiTheme="majorHAnsi" w:eastAsia="Times New Roman" w:hAnsiTheme="majorHAnsi" w:cs="Arial"/>
          <w:i/>
          <w:sz w:val="22"/>
          <w:szCs w:val="22"/>
          <w:shd w:val="clear" w:color="auto" w:fill="FFFFFF"/>
          <w:lang w:val="en-AU" w:eastAsia="en-US"/>
        </w:rPr>
        <w:t xml:space="preserve">tamariki </w:t>
      </w:r>
      <w:r w:rsidR="005659FA" w:rsidRPr="00C96645">
        <w:rPr>
          <w:rFonts w:asciiTheme="majorHAnsi" w:eastAsia="Times New Roman" w:hAnsiTheme="majorHAnsi" w:cs="Arial"/>
          <w:sz w:val="22"/>
          <w:szCs w:val="22"/>
          <w:shd w:val="clear" w:color="auto" w:fill="FFFFFF"/>
          <w:lang w:val="en-AU" w:eastAsia="en-US"/>
        </w:rPr>
        <w:t xml:space="preserve">are infected with COVID-19 they may transmit the virus to other people. Immunising </w:t>
      </w:r>
      <w:r w:rsidR="005659FA" w:rsidRPr="00C96645">
        <w:rPr>
          <w:rFonts w:asciiTheme="majorHAnsi" w:eastAsia="Times New Roman" w:hAnsiTheme="majorHAnsi" w:cs="Arial"/>
          <w:i/>
          <w:sz w:val="22"/>
          <w:szCs w:val="22"/>
          <w:shd w:val="clear" w:color="auto" w:fill="FFFFFF"/>
          <w:lang w:val="en-AU" w:eastAsia="en-US"/>
        </w:rPr>
        <w:t xml:space="preserve">tamariki </w:t>
      </w:r>
      <w:r w:rsidR="005659FA" w:rsidRPr="00C96645">
        <w:rPr>
          <w:rFonts w:asciiTheme="majorHAnsi" w:eastAsia="Times New Roman" w:hAnsiTheme="majorHAnsi" w:cs="Arial"/>
          <w:sz w:val="22"/>
          <w:szCs w:val="22"/>
          <w:shd w:val="clear" w:color="auto" w:fill="FFFFFF"/>
          <w:lang w:val="en-AU" w:eastAsia="en-US"/>
        </w:rPr>
        <w:t xml:space="preserve">helps protect </w:t>
      </w:r>
      <w:r w:rsidR="005659FA" w:rsidRPr="00C96645">
        <w:rPr>
          <w:rFonts w:asciiTheme="majorHAnsi" w:eastAsia="Times New Roman" w:hAnsiTheme="majorHAnsi" w:cs="Arial"/>
          <w:i/>
          <w:sz w:val="22"/>
          <w:szCs w:val="22"/>
          <w:shd w:val="clear" w:color="auto" w:fill="FFFFFF"/>
          <w:lang w:val="en-AU" w:eastAsia="en-US"/>
        </w:rPr>
        <w:t xml:space="preserve">whānau </w:t>
      </w:r>
      <w:r w:rsidR="005659FA" w:rsidRPr="00C96645">
        <w:rPr>
          <w:rFonts w:asciiTheme="majorHAnsi" w:eastAsia="Times New Roman" w:hAnsiTheme="majorHAnsi" w:cs="Arial"/>
          <w:sz w:val="22"/>
          <w:szCs w:val="22"/>
          <w:shd w:val="clear" w:color="auto" w:fill="FFFFFF"/>
          <w:lang w:val="en-AU" w:eastAsia="en-US"/>
        </w:rPr>
        <w:t>members whose health makes them more vulnerable to COVID-19.</w:t>
      </w:r>
      <w:r w:rsidR="000C0CC6" w:rsidRPr="00C96645">
        <w:rPr>
          <w:rFonts w:asciiTheme="majorHAnsi" w:eastAsia="Times New Roman" w:hAnsiTheme="majorHAnsi" w:cs="Arial"/>
          <w:sz w:val="22"/>
          <w:szCs w:val="22"/>
          <w:shd w:val="clear" w:color="auto" w:fill="FFFFFF"/>
          <w:lang w:val="en-AU" w:eastAsia="en-US"/>
        </w:rPr>
        <w:t>”</w:t>
      </w:r>
      <w:r w:rsidR="00C96645">
        <w:rPr>
          <w:rStyle w:val="FootnoteReference"/>
          <w:rFonts w:eastAsia="Times New Roman" w:cs="Arial"/>
          <w:szCs w:val="22"/>
          <w:shd w:val="clear" w:color="auto" w:fill="FFFFFF"/>
          <w:lang w:val="en-AU" w:eastAsia="en-US"/>
        </w:rPr>
        <w:footnoteReference w:id="20"/>
      </w:r>
      <w:r w:rsidR="005659FA" w:rsidRPr="00C96645">
        <w:rPr>
          <w:rFonts w:asciiTheme="majorHAnsi" w:eastAsia="Times New Roman" w:hAnsiTheme="majorHAnsi" w:cs="Arial"/>
          <w:sz w:val="22"/>
          <w:szCs w:val="22"/>
          <w:shd w:val="clear" w:color="auto" w:fill="FFFFFF"/>
          <w:lang w:val="en-AU" w:eastAsia="en-US"/>
        </w:rPr>
        <w:t xml:space="preserve"> </w:t>
      </w:r>
      <w:r w:rsidR="000C0CC6">
        <w:rPr>
          <w:rFonts w:asciiTheme="majorHAnsi" w:hAnsiTheme="majorHAnsi" w:cs="Times New Roman"/>
          <w:color w:val="000000"/>
          <w:sz w:val="22"/>
          <w:szCs w:val="22"/>
        </w:rPr>
        <w:t xml:space="preserve">The policy is not about whether or not immunizing children </w:t>
      </w:r>
      <w:r w:rsidR="006E0847">
        <w:rPr>
          <w:rFonts w:asciiTheme="majorHAnsi" w:hAnsiTheme="majorHAnsi" w:cs="Times New Roman"/>
          <w:color w:val="000000"/>
          <w:sz w:val="22"/>
          <w:szCs w:val="22"/>
        </w:rPr>
        <w:t>(</w:t>
      </w:r>
      <w:r w:rsidR="006E0847" w:rsidRPr="006E0847">
        <w:rPr>
          <w:rFonts w:asciiTheme="majorHAnsi" w:hAnsiTheme="majorHAnsi" w:cs="Times New Roman"/>
          <w:i/>
          <w:color w:val="000000"/>
          <w:sz w:val="22"/>
          <w:szCs w:val="22"/>
        </w:rPr>
        <w:t>tamariki</w:t>
      </w:r>
      <w:r w:rsidR="006E0847">
        <w:rPr>
          <w:rFonts w:asciiTheme="majorHAnsi" w:hAnsiTheme="majorHAnsi" w:cs="Times New Roman"/>
          <w:color w:val="000000"/>
          <w:sz w:val="22"/>
          <w:szCs w:val="22"/>
        </w:rPr>
        <w:t xml:space="preserve">) </w:t>
      </w:r>
      <w:r w:rsidR="000C0CC6">
        <w:rPr>
          <w:rFonts w:asciiTheme="majorHAnsi" w:hAnsiTheme="majorHAnsi" w:cs="Times New Roman"/>
          <w:color w:val="000000"/>
          <w:sz w:val="22"/>
          <w:szCs w:val="22"/>
        </w:rPr>
        <w:t>is in the best interests of the child; it is about whether it is in the best interests of other members of the child’s family</w:t>
      </w:r>
      <w:r w:rsidR="006E0847">
        <w:rPr>
          <w:rFonts w:asciiTheme="majorHAnsi" w:hAnsiTheme="majorHAnsi" w:cs="Times New Roman"/>
          <w:color w:val="000000"/>
          <w:sz w:val="22"/>
          <w:szCs w:val="22"/>
        </w:rPr>
        <w:t xml:space="preserve"> (</w:t>
      </w:r>
      <w:r w:rsidR="006E0847" w:rsidRPr="006E0847">
        <w:rPr>
          <w:rFonts w:asciiTheme="majorHAnsi" w:eastAsia="Times New Roman" w:hAnsiTheme="majorHAnsi" w:cs="Arial"/>
          <w:i/>
          <w:color w:val="002639"/>
          <w:sz w:val="22"/>
          <w:szCs w:val="22"/>
          <w:shd w:val="clear" w:color="auto" w:fill="FFFFFF"/>
          <w:lang w:val="en-AU" w:eastAsia="en-US"/>
        </w:rPr>
        <w:t>whānau</w:t>
      </w:r>
      <w:r w:rsidR="006E0847">
        <w:rPr>
          <w:rFonts w:asciiTheme="majorHAnsi" w:eastAsia="Times New Roman" w:hAnsiTheme="majorHAnsi" w:cs="Arial"/>
          <w:color w:val="002639"/>
          <w:sz w:val="22"/>
          <w:szCs w:val="22"/>
          <w:shd w:val="clear" w:color="auto" w:fill="FFFFFF"/>
          <w:lang w:val="en-AU" w:eastAsia="en-US"/>
        </w:rPr>
        <w:t>)</w:t>
      </w:r>
      <w:r w:rsidR="000C0CC6">
        <w:rPr>
          <w:rFonts w:asciiTheme="majorHAnsi" w:hAnsiTheme="majorHAnsi" w:cs="Times New Roman"/>
          <w:color w:val="000000"/>
          <w:sz w:val="22"/>
          <w:szCs w:val="22"/>
        </w:rPr>
        <w:t>, including grandparents.</w:t>
      </w:r>
      <w:r w:rsidR="00941ED2">
        <w:rPr>
          <w:rFonts w:asciiTheme="majorHAnsi" w:hAnsiTheme="majorHAnsi" w:cs="Times New Roman"/>
          <w:color w:val="000000"/>
          <w:sz w:val="22"/>
          <w:szCs w:val="22"/>
        </w:rPr>
        <w:t xml:space="preserve"> The policy states that</w:t>
      </w:r>
      <w:r w:rsidR="00F0681D">
        <w:rPr>
          <w:rFonts w:asciiTheme="majorHAnsi" w:hAnsiTheme="majorHAnsi" w:cs="Times New Roman"/>
          <w:color w:val="000000"/>
          <w:sz w:val="22"/>
          <w:szCs w:val="22"/>
        </w:rPr>
        <w:t>:</w:t>
      </w:r>
      <w:r w:rsidR="00C96645">
        <w:rPr>
          <w:rFonts w:asciiTheme="majorHAnsi" w:hAnsiTheme="majorHAnsi" w:cs="Times New Roman"/>
          <w:color w:val="000000"/>
          <w:sz w:val="22"/>
          <w:szCs w:val="22"/>
        </w:rPr>
        <w:t xml:space="preserve"> </w:t>
      </w:r>
      <w:r w:rsidR="00F0681D" w:rsidRPr="00F0681D">
        <w:rPr>
          <w:rFonts w:asciiTheme="majorHAnsi" w:hAnsiTheme="majorHAnsi" w:cs="Times New Roman"/>
          <w:sz w:val="22"/>
          <w:szCs w:val="22"/>
        </w:rPr>
        <w:t>“</w:t>
      </w:r>
      <w:r w:rsidR="00941ED2" w:rsidRPr="00F0681D">
        <w:rPr>
          <w:rFonts w:asciiTheme="majorHAnsi" w:hAnsiTheme="majorHAnsi" w:cs="Arial"/>
          <w:sz w:val="22"/>
          <w:szCs w:val="22"/>
          <w:lang w:val="en-AU" w:eastAsia="en-US"/>
        </w:rPr>
        <w:t>COVID-19 generally has mild effects in children and is rarely severe or fatal.</w:t>
      </w:r>
      <w:r w:rsidR="00F0681D" w:rsidRPr="00F0681D">
        <w:rPr>
          <w:rFonts w:asciiTheme="majorHAnsi" w:hAnsiTheme="majorHAnsi" w:cs="Times New Roman"/>
          <w:sz w:val="22"/>
          <w:szCs w:val="22"/>
        </w:rPr>
        <w:t xml:space="preserve"> </w:t>
      </w:r>
      <w:r w:rsidR="00941ED2" w:rsidRPr="00F0681D">
        <w:rPr>
          <w:rFonts w:asciiTheme="majorHAnsi" w:hAnsiTheme="majorHAnsi" w:cs="Arial"/>
          <w:sz w:val="22"/>
          <w:szCs w:val="22"/>
          <w:lang w:val="en-AU" w:eastAsia="en-US"/>
        </w:rPr>
        <w:t>Children and who have COVID-19 will commonly have no symptoms or only mild respiratory symptoms – similar to a cold.</w:t>
      </w:r>
      <w:r w:rsidR="00F0681D" w:rsidRPr="00F0681D">
        <w:rPr>
          <w:rFonts w:asciiTheme="majorHAnsi" w:hAnsiTheme="majorHAnsi" w:cs="Arial"/>
          <w:sz w:val="22"/>
          <w:szCs w:val="22"/>
          <w:lang w:val="en-AU" w:eastAsia="en-US"/>
        </w:rPr>
        <w:t>”</w:t>
      </w:r>
      <w:r w:rsidR="00C96645">
        <w:rPr>
          <w:rStyle w:val="FootnoteReference"/>
          <w:rFonts w:cs="Arial"/>
          <w:szCs w:val="22"/>
          <w:lang w:val="en-AU" w:eastAsia="en-US"/>
        </w:rPr>
        <w:footnoteReference w:id="21"/>
      </w:r>
      <w:r w:rsidR="00F0681D" w:rsidRPr="00F0681D">
        <w:rPr>
          <w:rFonts w:asciiTheme="majorHAnsi" w:hAnsiTheme="majorHAnsi" w:cs="Arial"/>
          <w:sz w:val="22"/>
          <w:szCs w:val="22"/>
          <w:lang w:val="en-AU" w:eastAsia="en-US"/>
        </w:rPr>
        <w:t xml:space="preserve"> </w:t>
      </w:r>
    </w:p>
    <w:p w14:paraId="129CB244" w14:textId="77777777" w:rsidR="00C84721" w:rsidRDefault="00C84721" w:rsidP="00A53683">
      <w:pPr>
        <w:widowControl w:val="0"/>
        <w:autoSpaceDE w:val="0"/>
        <w:autoSpaceDN w:val="0"/>
        <w:adjustRightInd w:val="0"/>
        <w:rPr>
          <w:rFonts w:asciiTheme="majorHAnsi" w:hAnsiTheme="majorHAnsi" w:cs="Times New Roman"/>
          <w:color w:val="000000"/>
          <w:sz w:val="22"/>
          <w:szCs w:val="22"/>
        </w:rPr>
      </w:pPr>
    </w:p>
    <w:p w14:paraId="275C58BD" w14:textId="3F80DE70" w:rsidR="00C27EBE" w:rsidRPr="005B2C86" w:rsidRDefault="005355C8" w:rsidP="002D4DF2">
      <w:pPr>
        <w:rPr>
          <w:rFonts w:asciiTheme="majorHAnsi" w:hAnsiTheme="majorHAnsi" w:cs="Times New Roman"/>
          <w:color w:val="000000"/>
          <w:sz w:val="22"/>
          <w:szCs w:val="22"/>
        </w:rPr>
      </w:pPr>
      <w:r>
        <w:rPr>
          <w:rFonts w:asciiTheme="majorHAnsi" w:hAnsiTheme="majorHAnsi" w:cs="Times New Roman"/>
          <w:color w:val="000000"/>
          <w:sz w:val="22"/>
          <w:szCs w:val="22"/>
        </w:rPr>
        <w:t xml:space="preserve">There have been total 260,484 </w:t>
      </w:r>
      <w:r w:rsidR="005B2C86">
        <w:rPr>
          <w:rFonts w:asciiTheme="majorHAnsi" w:hAnsiTheme="majorHAnsi" w:cs="Times New Roman"/>
          <w:color w:val="000000"/>
          <w:sz w:val="22"/>
          <w:szCs w:val="22"/>
        </w:rPr>
        <w:t xml:space="preserve">COVID-19 </w:t>
      </w:r>
      <w:r>
        <w:rPr>
          <w:rFonts w:asciiTheme="majorHAnsi" w:hAnsiTheme="majorHAnsi" w:cs="Times New Roman"/>
          <w:color w:val="000000"/>
          <w:sz w:val="22"/>
          <w:szCs w:val="22"/>
        </w:rPr>
        <w:t>cases in NZ aged 0-19 with 3 deaths.</w:t>
      </w:r>
      <w:r w:rsidR="005B2C86">
        <w:rPr>
          <w:rFonts w:asciiTheme="majorHAnsi" w:hAnsiTheme="majorHAnsi" w:cs="Times New Roman"/>
          <w:color w:val="000000"/>
          <w:sz w:val="22"/>
          <w:szCs w:val="22"/>
        </w:rPr>
        <w:t xml:space="preserve"> </w:t>
      </w:r>
      <w:r w:rsidR="00A36D36" w:rsidRPr="00C27EBE">
        <w:rPr>
          <w:rFonts w:asciiTheme="majorHAnsi" w:hAnsiTheme="majorHAnsi" w:cs="Times New Roman"/>
          <w:color w:val="000000"/>
          <w:sz w:val="22"/>
          <w:szCs w:val="22"/>
        </w:rPr>
        <w:t xml:space="preserve">On the other hand, the vaccine has caused death and disablement for children. </w:t>
      </w:r>
      <w:r w:rsidR="00C27EBE" w:rsidRPr="00C27EBE">
        <w:rPr>
          <w:rFonts w:asciiTheme="majorHAnsi" w:hAnsiTheme="majorHAnsi" w:cs="Times New Roman"/>
          <w:color w:val="000000"/>
          <w:sz w:val="22"/>
          <w:szCs w:val="22"/>
        </w:rPr>
        <w:t xml:space="preserve">Please see Pfizer data here: </w:t>
      </w:r>
      <w:hyperlink r:id="rId7" w:history="1">
        <w:r w:rsidR="00C27EBE" w:rsidRPr="00C27EBE">
          <w:rPr>
            <w:rStyle w:val="Hyperlink"/>
            <w:rFonts w:asciiTheme="majorHAnsi" w:hAnsiTheme="majorHAnsi" w:cs="Times New Roman"/>
            <w:sz w:val="22"/>
            <w:szCs w:val="22"/>
          </w:rPr>
          <w:t>https://phmpt.org/wp-content/uploads/2021/11/5.3.6-postmarketing-experience.pdf?fbclid=IwAR0yiIBk--hMDKl524a61TIffvrhWyxfYFsdgpXNXPg01z5lcURRzOGZPIs</w:t>
        </w:r>
      </w:hyperlink>
      <w:r w:rsidR="00C27EBE" w:rsidRPr="00977AE6">
        <w:rPr>
          <w:rFonts w:asciiTheme="majorHAnsi" w:hAnsiTheme="majorHAnsi" w:cs="Times New Roman"/>
          <w:color w:val="000000"/>
          <w:sz w:val="22"/>
          <w:szCs w:val="22"/>
        </w:rPr>
        <w:t xml:space="preserve"> </w:t>
      </w:r>
      <w:r w:rsidR="0062583F" w:rsidRPr="00732019">
        <w:rPr>
          <w:rFonts w:asciiTheme="majorHAnsi" w:hAnsiTheme="majorHAnsi" w:cs="Times New Roman"/>
          <w:color w:val="000000"/>
          <w:sz w:val="22"/>
          <w:szCs w:val="22"/>
        </w:rPr>
        <w:t>In New Zealand, t</w:t>
      </w:r>
      <w:r w:rsidR="004C3B14" w:rsidRPr="00732019">
        <w:rPr>
          <w:rFonts w:asciiTheme="majorHAnsi" w:hAnsiTheme="majorHAnsi" w:cs="Times New Roman"/>
          <w:color w:val="000000"/>
          <w:sz w:val="22"/>
          <w:szCs w:val="22"/>
        </w:rPr>
        <w:t xml:space="preserve">he COVID-19 vaccine has caused </w:t>
      </w:r>
      <w:r w:rsidR="0062583F" w:rsidRPr="00732019">
        <w:rPr>
          <w:rFonts w:asciiTheme="majorHAnsi" w:hAnsiTheme="majorHAnsi" w:cs="Times New Roman"/>
          <w:color w:val="000000"/>
          <w:sz w:val="22"/>
          <w:szCs w:val="22"/>
        </w:rPr>
        <w:t>20</w:t>
      </w:r>
      <w:r w:rsidR="004C3B14" w:rsidRPr="00732019">
        <w:rPr>
          <w:rFonts w:asciiTheme="majorHAnsi" w:hAnsiTheme="majorHAnsi" w:cs="Times New Roman"/>
          <w:color w:val="000000"/>
          <w:sz w:val="22"/>
          <w:szCs w:val="22"/>
        </w:rPr>
        <w:t xml:space="preserve"> deaths and </w:t>
      </w:r>
      <w:r w:rsidR="00B74600">
        <w:rPr>
          <w:rFonts w:asciiTheme="majorHAnsi" w:hAnsiTheme="majorHAnsi" w:cs="Times New Roman"/>
          <w:color w:val="000000"/>
          <w:sz w:val="22"/>
          <w:szCs w:val="22"/>
        </w:rPr>
        <w:t>5,494</w:t>
      </w:r>
      <w:r w:rsidR="004C3B14" w:rsidRPr="00732019">
        <w:rPr>
          <w:rFonts w:asciiTheme="majorHAnsi" w:hAnsiTheme="majorHAnsi" w:cs="Times New Roman"/>
          <w:color w:val="000000"/>
          <w:sz w:val="22"/>
          <w:szCs w:val="22"/>
        </w:rPr>
        <w:t xml:space="preserve"> adverse events for </w:t>
      </w:r>
      <w:r w:rsidR="0062583F" w:rsidRPr="00732019">
        <w:rPr>
          <w:rFonts w:asciiTheme="majorHAnsi" w:hAnsiTheme="majorHAnsi" w:cs="Times New Roman"/>
          <w:color w:val="000000"/>
          <w:sz w:val="22"/>
          <w:szCs w:val="22"/>
        </w:rPr>
        <w:t>children, including 62 spontaneous abortions</w:t>
      </w:r>
      <w:r w:rsidR="004C3B14" w:rsidRPr="00732019">
        <w:rPr>
          <w:rFonts w:asciiTheme="majorHAnsi" w:hAnsiTheme="majorHAnsi" w:cs="Times New Roman"/>
          <w:color w:val="000000"/>
          <w:sz w:val="22"/>
          <w:szCs w:val="22"/>
        </w:rPr>
        <w:t>.</w:t>
      </w:r>
      <w:r w:rsidR="0062583F" w:rsidRPr="00732019">
        <w:rPr>
          <w:rStyle w:val="FootnoteReference"/>
          <w:rFonts w:cs="Times New Roman"/>
          <w:color w:val="000000"/>
          <w:szCs w:val="22"/>
        </w:rPr>
        <w:footnoteReference w:id="22"/>
      </w:r>
      <w:r w:rsidR="004C3B14" w:rsidRPr="00AC4520">
        <w:rPr>
          <w:rFonts w:asciiTheme="majorHAnsi" w:hAnsiTheme="majorHAnsi" w:cs="Times New Roman"/>
          <w:b/>
          <w:color w:val="000000"/>
          <w:sz w:val="22"/>
          <w:szCs w:val="22"/>
        </w:rPr>
        <w:t xml:space="preserve"> </w:t>
      </w:r>
      <w:r w:rsidR="005B2C86" w:rsidRPr="00A776B3">
        <w:rPr>
          <w:rFonts w:asciiTheme="majorHAnsi" w:hAnsiTheme="majorHAnsi" w:cs="Times New Roman"/>
          <w:b/>
          <w:color w:val="000000"/>
          <w:sz w:val="22"/>
          <w:szCs w:val="22"/>
        </w:rPr>
        <w:t>Note that this is nearly seven times the number of deaths in children from COVID-19 itself.</w:t>
      </w:r>
      <w:r w:rsidR="005B2C86" w:rsidRPr="005B2C86">
        <w:rPr>
          <w:rFonts w:asciiTheme="majorHAnsi" w:hAnsiTheme="majorHAnsi" w:cs="Times New Roman"/>
          <w:color w:val="000000"/>
          <w:sz w:val="22"/>
          <w:szCs w:val="22"/>
        </w:rPr>
        <w:t xml:space="preserve"> </w:t>
      </w:r>
      <w:r w:rsidR="00DC7BC7">
        <w:rPr>
          <w:rFonts w:asciiTheme="majorHAnsi" w:hAnsiTheme="majorHAnsi" w:cs="Times New Roman"/>
          <w:color w:val="000000"/>
          <w:sz w:val="22"/>
          <w:szCs w:val="22"/>
        </w:rPr>
        <w:t>In the U</w:t>
      </w:r>
      <w:r w:rsidR="0015204B">
        <w:rPr>
          <w:rFonts w:asciiTheme="majorHAnsi" w:hAnsiTheme="majorHAnsi" w:cs="Times New Roman"/>
          <w:color w:val="000000"/>
          <w:sz w:val="22"/>
          <w:szCs w:val="22"/>
        </w:rPr>
        <w:t>.</w:t>
      </w:r>
      <w:r w:rsidR="00DC7BC7">
        <w:rPr>
          <w:rFonts w:asciiTheme="majorHAnsi" w:hAnsiTheme="majorHAnsi" w:cs="Times New Roman"/>
          <w:color w:val="000000"/>
          <w:sz w:val="22"/>
          <w:szCs w:val="22"/>
        </w:rPr>
        <w:t>S</w:t>
      </w:r>
      <w:r w:rsidR="0015204B">
        <w:rPr>
          <w:rFonts w:asciiTheme="majorHAnsi" w:hAnsiTheme="majorHAnsi" w:cs="Times New Roman"/>
          <w:color w:val="000000"/>
          <w:sz w:val="22"/>
          <w:szCs w:val="22"/>
        </w:rPr>
        <w:t>.</w:t>
      </w:r>
      <w:r w:rsidR="00DC7BC7">
        <w:rPr>
          <w:rFonts w:asciiTheme="majorHAnsi" w:hAnsiTheme="majorHAnsi" w:cs="Times New Roman"/>
          <w:color w:val="000000"/>
          <w:sz w:val="22"/>
          <w:szCs w:val="22"/>
        </w:rPr>
        <w:t xml:space="preserve">, the COVID-19 vaccine has caused 68 deaths and </w:t>
      </w:r>
      <w:r w:rsidR="00DC7BC7" w:rsidRPr="000A1DF4">
        <w:rPr>
          <w:rFonts w:asciiTheme="majorHAnsi" w:hAnsiTheme="majorHAnsi" w:cs="Times New Roman"/>
          <w:sz w:val="22"/>
          <w:szCs w:val="22"/>
        </w:rPr>
        <w:t>55,886 adverse events</w:t>
      </w:r>
      <w:r w:rsidR="00B46061">
        <w:rPr>
          <w:rFonts w:asciiTheme="majorHAnsi" w:hAnsiTheme="majorHAnsi" w:cs="Times New Roman"/>
          <w:sz w:val="22"/>
          <w:szCs w:val="22"/>
        </w:rPr>
        <w:t xml:space="preserve"> in children</w:t>
      </w:r>
      <w:r w:rsidR="00DC7BC7" w:rsidRPr="000A1DF4">
        <w:rPr>
          <w:rFonts w:asciiTheme="majorHAnsi" w:hAnsiTheme="majorHAnsi" w:cs="Times New Roman"/>
          <w:sz w:val="22"/>
          <w:szCs w:val="22"/>
        </w:rPr>
        <w:t>.</w:t>
      </w:r>
      <w:r w:rsidR="00B765FE" w:rsidRPr="000A1DF4">
        <w:rPr>
          <w:rStyle w:val="FootnoteReference"/>
          <w:rFonts w:asciiTheme="majorHAnsi" w:hAnsiTheme="majorHAnsi" w:cs="Times New Roman"/>
          <w:sz w:val="22"/>
          <w:szCs w:val="22"/>
        </w:rPr>
        <w:footnoteReference w:id="23"/>
      </w:r>
      <w:r w:rsidR="004C3B14" w:rsidRPr="000A1DF4">
        <w:rPr>
          <w:rFonts w:asciiTheme="majorHAnsi" w:hAnsiTheme="majorHAnsi" w:cs="Times New Roman"/>
          <w:sz w:val="22"/>
          <w:szCs w:val="22"/>
        </w:rPr>
        <w:t xml:space="preserve"> </w:t>
      </w:r>
      <w:r w:rsidR="000A1DF4" w:rsidRPr="000A1DF4">
        <w:rPr>
          <w:rStyle w:val="has-inline-color"/>
          <w:rFonts w:asciiTheme="majorHAnsi" w:eastAsia="Times New Roman" w:hAnsiTheme="majorHAnsi" w:cs="Times New Roman"/>
          <w:bCs/>
          <w:sz w:val="22"/>
          <w:szCs w:val="22"/>
        </w:rPr>
        <w:t>Note that</w:t>
      </w:r>
      <w:r w:rsidR="0015204B">
        <w:rPr>
          <w:rStyle w:val="has-inline-color"/>
          <w:rFonts w:asciiTheme="majorHAnsi" w:eastAsia="Times New Roman" w:hAnsiTheme="majorHAnsi" w:cs="Times New Roman"/>
          <w:bCs/>
          <w:sz w:val="22"/>
          <w:szCs w:val="22"/>
        </w:rPr>
        <w:t xml:space="preserve"> in the U.S.</w:t>
      </w:r>
      <w:r w:rsidR="000A1DF4" w:rsidRPr="000A1DF4">
        <w:rPr>
          <w:rStyle w:val="has-inline-color"/>
          <w:rFonts w:asciiTheme="majorHAnsi" w:eastAsia="Times New Roman" w:hAnsiTheme="majorHAnsi" w:cs="Times New Roman"/>
          <w:bCs/>
          <w:sz w:val="22"/>
          <w:szCs w:val="22"/>
        </w:rPr>
        <w:t xml:space="preserve"> the </w:t>
      </w:r>
      <w:r w:rsidR="000A1DF4" w:rsidRPr="00AE4FAC">
        <w:rPr>
          <w:rStyle w:val="has-inline-color"/>
          <w:rFonts w:asciiTheme="majorHAnsi" w:eastAsia="Times New Roman" w:hAnsiTheme="majorHAnsi" w:cs="Times New Roman"/>
          <w:b/>
          <w:bCs/>
          <w:sz w:val="22"/>
          <w:szCs w:val="22"/>
        </w:rPr>
        <w:t>total number of deaths associated with the COVID-19 vaccines (</w:t>
      </w:r>
      <w:r w:rsidR="000A1DF4" w:rsidRPr="00AE4FAC">
        <w:rPr>
          <w:rFonts w:asciiTheme="majorHAnsi" w:eastAsia="Times New Roman" w:hAnsiTheme="majorHAnsi" w:cs="Times New Roman"/>
          <w:b/>
          <w:sz w:val="22"/>
          <w:szCs w:val="22"/>
          <w:shd w:val="clear" w:color="auto" w:fill="FFFFFF"/>
          <w:lang w:val="en-AU" w:eastAsia="en-US"/>
        </w:rPr>
        <w:t>26,976</w:t>
      </w:r>
      <w:r w:rsidR="000A1DF4" w:rsidRPr="00AE4FAC">
        <w:rPr>
          <w:rFonts w:asciiTheme="majorHAnsi" w:eastAsia="Times New Roman" w:hAnsiTheme="majorHAnsi" w:cs="Times New Roman"/>
          <w:b/>
          <w:bCs/>
          <w:sz w:val="22"/>
          <w:szCs w:val="22"/>
          <w:lang w:val="en-AU" w:eastAsia="en-US"/>
        </w:rPr>
        <w:t xml:space="preserve">) </w:t>
      </w:r>
      <w:r w:rsidR="000A1DF4" w:rsidRPr="00AE4FAC">
        <w:rPr>
          <w:rStyle w:val="has-inline-color"/>
          <w:rFonts w:asciiTheme="majorHAnsi" w:eastAsia="Times New Roman" w:hAnsiTheme="majorHAnsi" w:cs="Times New Roman"/>
          <w:b/>
          <w:bCs/>
          <w:sz w:val="22"/>
          <w:szCs w:val="22"/>
        </w:rPr>
        <w:t>is more than double the number of deaths associated with</w:t>
      </w:r>
      <w:r w:rsidR="000A1DF4" w:rsidRPr="00AE4FAC">
        <w:rPr>
          <w:rStyle w:val="apple-converted-space"/>
          <w:rFonts w:asciiTheme="majorHAnsi" w:eastAsia="Times New Roman" w:hAnsiTheme="majorHAnsi" w:cs="Times New Roman"/>
          <w:b/>
          <w:bCs/>
          <w:sz w:val="22"/>
          <w:szCs w:val="22"/>
        </w:rPr>
        <w:t> </w:t>
      </w:r>
      <w:r w:rsidR="000A1DF4" w:rsidRPr="00AE4FAC">
        <w:rPr>
          <w:rStyle w:val="has-inline-color"/>
          <w:rFonts w:asciiTheme="majorHAnsi" w:eastAsia="Times New Roman" w:hAnsiTheme="majorHAnsi" w:cs="Times New Roman"/>
          <w:b/>
          <w:bCs/>
          <w:sz w:val="22"/>
          <w:szCs w:val="22"/>
        </w:rPr>
        <w:t>all other vaccines combined</w:t>
      </w:r>
      <w:r w:rsidR="000A1DF4" w:rsidRPr="00AE4FAC">
        <w:rPr>
          <w:rStyle w:val="apple-converted-space"/>
          <w:rFonts w:asciiTheme="majorHAnsi" w:eastAsia="Times New Roman" w:hAnsiTheme="majorHAnsi" w:cs="Times New Roman"/>
          <w:b/>
          <w:bCs/>
          <w:sz w:val="22"/>
          <w:szCs w:val="22"/>
        </w:rPr>
        <w:t> (</w:t>
      </w:r>
      <w:r w:rsidR="000A1DF4" w:rsidRPr="00AE4FAC">
        <w:rPr>
          <w:rFonts w:asciiTheme="majorHAnsi" w:eastAsia="Times New Roman" w:hAnsiTheme="majorHAnsi" w:cs="Times New Roman"/>
          <w:b/>
          <w:sz w:val="22"/>
          <w:szCs w:val="22"/>
          <w:shd w:val="clear" w:color="auto" w:fill="FFFFFF"/>
        </w:rPr>
        <w:t>9,633</w:t>
      </w:r>
      <w:r w:rsidR="000A1DF4" w:rsidRPr="00AE4FAC">
        <w:rPr>
          <w:rStyle w:val="has-inline-color"/>
          <w:rFonts w:asciiTheme="majorHAnsi" w:eastAsia="Times New Roman" w:hAnsiTheme="majorHAnsi" w:cs="Times New Roman"/>
          <w:b/>
          <w:bCs/>
          <w:sz w:val="22"/>
          <w:szCs w:val="22"/>
        </w:rPr>
        <w:t>) since the year 1990</w:t>
      </w:r>
      <w:r w:rsidR="000A1DF4" w:rsidRPr="000A1DF4">
        <w:rPr>
          <w:rStyle w:val="has-inline-color"/>
          <w:rFonts w:asciiTheme="majorHAnsi" w:eastAsia="Times New Roman" w:hAnsiTheme="majorHAnsi" w:cs="Times New Roman"/>
          <w:bCs/>
          <w:sz w:val="22"/>
          <w:szCs w:val="22"/>
        </w:rPr>
        <w:t>.</w:t>
      </w:r>
      <w:r w:rsidR="004B6C9C" w:rsidRPr="004B6C9C">
        <w:rPr>
          <w:rStyle w:val="FootnoteReference"/>
          <w:rFonts w:asciiTheme="majorHAnsi" w:hAnsiTheme="majorHAnsi" w:cs="Times New Roman"/>
          <w:sz w:val="22"/>
          <w:szCs w:val="22"/>
        </w:rPr>
        <w:t xml:space="preserve"> </w:t>
      </w:r>
      <w:r w:rsidR="004B6C9C" w:rsidRPr="000A1DF4">
        <w:rPr>
          <w:rStyle w:val="FootnoteReference"/>
          <w:rFonts w:asciiTheme="majorHAnsi" w:hAnsiTheme="majorHAnsi" w:cs="Times New Roman"/>
          <w:sz w:val="22"/>
          <w:szCs w:val="22"/>
        </w:rPr>
        <w:footnoteReference w:id="24"/>
      </w:r>
    </w:p>
    <w:p w14:paraId="4A0A4F5D" w14:textId="77777777" w:rsidR="002D4DF2" w:rsidRPr="002D4DF2" w:rsidRDefault="002D4DF2" w:rsidP="002D4DF2">
      <w:pPr>
        <w:rPr>
          <w:rFonts w:asciiTheme="majorHAnsi" w:eastAsia="Times New Roman" w:hAnsiTheme="majorHAnsi" w:cs="Times New Roman"/>
          <w:sz w:val="22"/>
          <w:szCs w:val="22"/>
        </w:rPr>
      </w:pPr>
    </w:p>
    <w:p w14:paraId="43CAB6D3" w14:textId="3DDC063B" w:rsidR="00DA5B66" w:rsidRPr="005B3D48" w:rsidRDefault="00C27EBE" w:rsidP="005B3D48">
      <w:pPr>
        <w:widowControl w:val="0"/>
        <w:autoSpaceDE w:val="0"/>
        <w:autoSpaceDN w:val="0"/>
        <w:adjustRightInd w:val="0"/>
        <w:rPr>
          <w:rFonts w:asciiTheme="majorHAnsi" w:hAnsiTheme="majorHAnsi" w:cs="Times New Roman"/>
          <w:color w:val="000000"/>
          <w:sz w:val="22"/>
          <w:szCs w:val="22"/>
        </w:rPr>
      </w:pPr>
      <w:r>
        <w:rPr>
          <w:rFonts w:asciiTheme="majorHAnsi" w:hAnsiTheme="majorHAnsi" w:cs="Times New Roman"/>
          <w:color w:val="000000"/>
          <w:sz w:val="22"/>
          <w:szCs w:val="22"/>
        </w:rPr>
        <w:t xml:space="preserve">In summary, </w:t>
      </w:r>
      <w:r w:rsidR="00FA42E3">
        <w:rPr>
          <w:rFonts w:asciiTheme="majorHAnsi" w:hAnsiTheme="majorHAnsi" w:cs="Times New Roman"/>
          <w:color w:val="000000"/>
          <w:sz w:val="22"/>
          <w:szCs w:val="22"/>
        </w:rPr>
        <w:t>COVID-19 in children is a mild flu-like illness,</w:t>
      </w:r>
      <w:r w:rsidR="00FA42E3">
        <w:rPr>
          <w:rStyle w:val="FootnoteReference"/>
          <w:rFonts w:cs="Times New Roman"/>
          <w:color w:val="000000"/>
          <w:szCs w:val="22"/>
        </w:rPr>
        <w:footnoteReference w:id="25"/>
      </w:r>
      <w:r w:rsidR="00FA42E3">
        <w:rPr>
          <w:rFonts w:asciiTheme="majorHAnsi" w:hAnsiTheme="majorHAnsi" w:cs="Times New Roman"/>
          <w:color w:val="000000"/>
          <w:sz w:val="22"/>
          <w:szCs w:val="22"/>
        </w:rPr>
        <w:t xml:space="preserve"> and </w:t>
      </w:r>
      <w:r>
        <w:rPr>
          <w:rFonts w:asciiTheme="majorHAnsi" w:hAnsiTheme="majorHAnsi" w:cs="Times New Roman"/>
          <w:color w:val="000000"/>
          <w:sz w:val="22"/>
          <w:szCs w:val="22"/>
        </w:rPr>
        <w:t>t</w:t>
      </w:r>
      <w:r w:rsidR="005A0784">
        <w:rPr>
          <w:rFonts w:asciiTheme="majorHAnsi" w:hAnsiTheme="majorHAnsi" w:cs="Times New Roman"/>
          <w:color w:val="000000"/>
          <w:sz w:val="22"/>
          <w:szCs w:val="22"/>
        </w:rPr>
        <w:t xml:space="preserve">he risks in children are </w:t>
      </w:r>
      <w:r w:rsidR="005237ED">
        <w:rPr>
          <w:rFonts w:asciiTheme="majorHAnsi" w:hAnsiTheme="majorHAnsi" w:cs="Times New Roman"/>
          <w:color w:val="000000"/>
          <w:sz w:val="22"/>
          <w:szCs w:val="22"/>
        </w:rPr>
        <w:t>rarely severe or fatal</w:t>
      </w:r>
      <w:r w:rsidR="005A0784">
        <w:rPr>
          <w:rFonts w:asciiTheme="majorHAnsi" w:hAnsiTheme="majorHAnsi" w:cs="Times New Roman"/>
          <w:color w:val="000000"/>
          <w:sz w:val="22"/>
          <w:szCs w:val="22"/>
        </w:rPr>
        <w:t xml:space="preserve">, but the risks of vaccination in children are death and disablement. </w:t>
      </w:r>
      <w:r w:rsidR="00E17AD3" w:rsidRPr="00535BDC">
        <w:rPr>
          <w:rFonts w:asciiTheme="majorHAnsi" w:hAnsiTheme="majorHAnsi" w:cs="Times New Roman"/>
          <w:b/>
          <w:color w:val="000000"/>
          <w:sz w:val="22"/>
          <w:szCs w:val="22"/>
        </w:rPr>
        <w:t>Without vaccination, children are 99.98% protected against COVID-19,</w:t>
      </w:r>
      <w:r w:rsidR="003E281A" w:rsidRPr="00535BDC">
        <w:rPr>
          <w:rStyle w:val="FootnoteReference"/>
          <w:rFonts w:cs="Times New Roman"/>
          <w:b/>
          <w:color w:val="000000"/>
          <w:szCs w:val="22"/>
        </w:rPr>
        <w:footnoteReference w:id="26"/>
      </w:r>
      <w:r w:rsidR="00E17AD3" w:rsidRPr="00535BDC">
        <w:rPr>
          <w:rFonts w:asciiTheme="majorHAnsi" w:hAnsiTheme="majorHAnsi" w:cs="Times New Roman"/>
          <w:b/>
          <w:color w:val="000000"/>
          <w:sz w:val="22"/>
          <w:szCs w:val="22"/>
        </w:rPr>
        <w:t xml:space="preserve"> and 100% protected against vaccine deaths and disability.</w:t>
      </w:r>
      <w:r w:rsidR="00FA42E3">
        <w:rPr>
          <w:rFonts w:asciiTheme="majorHAnsi" w:hAnsiTheme="majorHAnsi" w:cs="Times New Roman"/>
          <w:color w:val="000000"/>
          <w:sz w:val="22"/>
          <w:szCs w:val="22"/>
        </w:rPr>
        <w:t xml:space="preserve"> The vaccine is not in the best interests of the child. </w:t>
      </w:r>
      <w:r w:rsidR="004876B9">
        <w:rPr>
          <w:rFonts w:asciiTheme="majorHAnsi" w:hAnsiTheme="majorHAnsi" w:cs="Times New Roman"/>
          <w:color w:val="000000"/>
          <w:sz w:val="22"/>
          <w:szCs w:val="22"/>
        </w:rPr>
        <w:t xml:space="preserve">Yet the New Zealand government vaccine policy for children states that children should get vaccinated for </w:t>
      </w:r>
      <w:r w:rsidR="00B35250">
        <w:rPr>
          <w:rFonts w:asciiTheme="majorHAnsi" w:hAnsiTheme="majorHAnsi" w:cs="Times New Roman"/>
          <w:color w:val="000000"/>
          <w:sz w:val="22"/>
          <w:szCs w:val="22"/>
        </w:rPr>
        <w:t>the benefit of others in their family, including grandparents.</w:t>
      </w:r>
      <w:r w:rsidR="005B3D48">
        <w:rPr>
          <w:rFonts w:asciiTheme="majorHAnsi" w:hAnsiTheme="majorHAnsi" w:cs="Times New Roman"/>
          <w:color w:val="000000"/>
          <w:sz w:val="22"/>
          <w:szCs w:val="22"/>
        </w:rPr>
        <w:t xml:space="preserve"> </w:t>
      </w:r>
      <w:r w:rsidR="00105858">
        <w:rPr>
          <w:rFonts w:asciiTheme="majorHAnsi" w:hAnsiTheme="majorHAnsi" w:cs="Times New Roman"/>
          <w:color w:val="000000"/>
          <w:sz w:val="22"/>
          <w:szCs w:val="22"/>
        </w:rPr>
        <w:t xml:space="preserve">New Zealand </w:t>
      </w:r>
      <w:r w:rsidR="00B62AE1" w:rsidRPr="00A53683">
        <w:rPr>
          <w:rFonts w:asciiTheme="majorHAnsi" w:hAnsiTheme="majorHAnsi" w:cs="Times New Roman"/>
          <w:color w:val="000000"/>
          <w:sz w:val="22"/>
          <w:szCs w:val="22"/>
        </w:rPr>
        <w:t xml:space="preserve">should take into account the </w:t>
      </w:r>
      <w:r w:rsidR="00105858">
        <w:rPr>
          <w:rFonts w:asciiTheme="majorHAnsi" w:hAnsiTheme="majorHAnsi" w:cs="Times New Roman"/>
          <w:b/>
          <w:color w:val="000000"/>
          <w:sz w:val="22"/>
          <w:szCs w:val="22"/>
        </w:rPr>
        <w:t>Committee’s general comment</w:t>
      </w:r>
      <w:r w:rsidR="00B62AE1" w:rsidRPr="0078617F">
        <w:rPr>
          <w:rFonts w:asciiTheme="majorHAnsi" w:hAnsiTheme="majorHAnsi" w:cs="Times New Roman"/>
          <w:b/>
          <w:color w:val="000000"/>
          <w:sz w:val="22"/>
          <w:szCs w:val="22"/>
        </w:rPr>
        <w:t xml:space="preserve"> No. 14 (2013) on the right of the child to have his or her best interests taken as a primary consideration</w:t>
      </w:r>
      <w:r w:rsidR="00105858">
        <w:rPr>
          <w:rFonts w:asciiTheme="majorHAnsi" w:hAnsiTheme="majorHAnsi" w:cs="Times New Roman"/>
          <w:color w:val="000000"/>
          <w:sz w:val="22"/>
          <w:szCs w:val="22"/>
        </w:rPr>
        <w:t xml:space="preserve"> </w:t>
      </w:r>
      <w:r w:rsidR="00105858" w:rsidRPr="00105858">
        <w:rPr>
          <w:rFonts w:asciiTheme="majorHAnsi" w:hAnsiTheme="majorHAnsi" w:cs="Times"/>
          <w:color w:val="000000"/>
          <w:sz w:val="22"/>
          <w:szCs w:val="22"/>
        </w:rPr>
        <w:t>in all actions, including u</w:t>
      </w:r>
      <w:r w:rsidR="002513BD" w:rsidRPr="00105858">
        <w:rPr>
          <w:rFonts w:asciiTheme="majorHAnsi" w:hAnsiTheme="majorHAnsi" w:cs="Times"/>
          <w:color w:val="000000"/>
          <w:sz w:val="22"/>
          <w:szCs w:val="22"/>
        </w:rPr>
        <w:t>pholding the child’s best interests in the coordination and implementation of policies at the national, regional and local levels</w:t>
      </w:r>
      <w:r w:rsidR="00E56937">
        <w:rPr>
          <w:rFonts w:asciiTheme="majorHAnsi" w:hAnsiTheme="majorHAnsi" w:cs="Times"/>
          <w:b/>
          <w:color w:val="000000"/>
          <w:sz w:val="22"/>
          <w:szCs w:val="22"/>
        </w:rPr>
        <w:t>.</w:t>
      </w:r>
      <w:r w:rsidR="00E56937">
        <w:rPr>
          <w:rStyle w:val="FootnoteReference"/>
          <w:rFonts w:cs="Times"/>
          <w:b/>
          <w:color w:val="000000"/>
          <w:szCs w:val="22"/>
        </w:rPr>
        <w:footnoteReference w:id="27"/>
      </w:r>
      <w:r w:rsidR="000C3F45" w:rsidRPr="00E56937">
        <w:rPr>
          <w:rFonts w:asciiTheme="majorHAnsi" w:hAnsiTheme="majorHAnsi" w:cs="Times"/>
          <w:color w:val="000000"/>
          <w:position w:val="-3"/>
          <w:sz w:val="22"/>
          <w:szCs w:val="22"/>
        </w:rPr>
        <w:t xml:space="preserve"> </w:t>
      </w:r>
    </w:p>
    <w:p w14:paraId="5C5D6262" w14:textId="77777777" w:rsidR="0051682C" w:rsidRDefault="0051682C" w:rsidP="0051682C">
      <w:pPr>
        <w:widowControl w:val="0"/>
        <w:autoSpaceDE w:val="0"/>
        <w:autoSpaceDN w:val="0"/>
        <w:adjustRightInd w:val="0"/>
        <w:rPr>
          <w:rFonts w:asciiTheme="majorHAnsi" w:hAnsiTheme="majorHAnsi" w:cs="Times New Roman"/>
          <w:color w:val="000000"/>
          <w:sz w:val="22"/>
          <w:szCs w:val="22"/>
        </w:rPr>
      </w:pPr>
    </w:p>
    <w:p w14:paraId="41C6E84E" w14:textId="5AD99D7A" w:rsidR="00901200" w:rsidRPr="00FA0BE6" w:rsidRDefault="00F27D8A" w:rsidP="0051682C">
      <w:pPr>
        <w:widowControl w:val="0"/>
        <w:autoSpaceDE w:val="0"/>
        <w:autoSpaceDN w:val="0"/>
        <w:adjustRightInd w:val="0"/>
        <w:rPr>
          <w:rFonts w:asciiTheme="majorHAnsi" w:hAnsiTheme="majorHAnsi" w:cs="Times New Roman"/>
          <w:b/>
          <w:i/>
          <w:color w:val="000000"/>
          <w:sz w:val="22"/>
          <w:szCs w:val="22"/>
        </w:rPr>
      </w:pPr>
      <w:r w:rsidRPr="00FA0BE6">
        <w:rPr>
          <w:rFonts w:asciiTheme="majorHAnsi" w:hAnsiTheme="majorHAnsi" w:cs="Times New Roman"/>
          <w:b/>
          <w:i/>
          <w:color w:val="000000"/>
          <w:sz w:val="22"/>
          <w:szCs w:val="22"/>
        </w:rPr>
        <w:t xml:space="preserve">Recommendation </w:t>
      </w:r>
      <w:r w:rsidR="008618FF" w:rsidRPr="00FA0BE6">
        <w:rPr>
          <w:rFonts w:asciiTheme="majorHAnsi" w:hAnsiTheme="majorHAnsi" w:cs="Times New Roman"/>
          <w:b/>
          <w:i/>
          <w:color w:val="000000"/>
          <w:sz w:val="22"/>
          <w:szCs w:val="22"/>
        </w:rPr>
        <w:t xml:space="preserve">2 </w:t>
      </w:r>
      <w:r w:rsidRPr="00FA0BE6">
        <w:rPr>
          <w:rFonts w:asciiTheme="majorHAnsi" w:hAnsiTheme="majorHAnsi" w:cs="Times New Roman"/>
          <w:b/>
          <w:i/>
          <w:color w:val="000000"/>
          <w:sz w:val="22"/>
          <w:szCs w:val="22"/>
        </w:rPr>
        <w:t>– the State Party should revise its COVID-19 vaccination policy for all those aged up to</w:t>
      </w:r>
      <w:r w:rsidR="00901200" w:rsidRPr="00FA0BE6">
        <w:rPr>
          <w:rFonts w:asciiTheme="majorHAnsi" w:hAnsiTheme="majorHAnsi" w:cs="Times New Roman"/>
          <w:b/>
          <w:i/>
          <w:color w:val="000000"/>
          <w:sz w:val="22"/>
          <w:szCs w:val="22"/>
        </w:rPr>
        <w:t xml:space="preserve"> 18 years of age to reflect the best interests of the child, not the best interests of others in the family or community</w:t>
      </w:r>
      <w:r w:rsidR="00931FD5" w:rsidRPr="00FA0BE6">
        <w:rPr>
          <w:rFonts w:asciiTheme="majorHAnsi" w:hAnsiTheme="majorHAnsi" w:cs="Times New Roman"/>
          <w:b/>
          <w:i/>
          <w:color w:val="000000"/>
          <w:sz w:val="22"/>
          <w:szCs w:val="22"/>
        </w:rPr>
        <w:t xml:space="preserve">, i.e. where the risks of COVID do not outweigh the risks of vaccination for </w:t>
      </w:r>
      <w:r w:rsidR="005F20D6" w:rsidRPr="00FA0BE6">
        <w:rPr>
          <w:rFonts w:asciiTheme="majorHAnsi" w:hAnsiTheme="majorHAnsi" w:cs="Times New Roman"/>
          <w:b/>
          <w:i/>
          <w:color w:val="000000"/>
          <w:sz w:val="22"/>
          <w:szCs w:val="22"/>
        </w:rPr>
        <w:t>the individual child</w:t>
      </w:r>
      <w:r w:rsidR="00931FD5" w:rsidRPr="00FA0BE6">
        <w:rPr>
          <w:rFonts w:asciiTheme="majorHAnsi" w:hAnsiTheme="majorHAnsi" w:cs="Times New Roman"/>
          <w:b/>
          <w:i/>
          <w:color w:val="000000"/>
          <w:sz w:val="22"/>
          <w:szCs w:val="22"/>
        </w:rPr>
        <w:t xml:space="preserve">, </w:t>
      </w:r>
      <w:r w:rsidR="0023194B" w:rsidRPr="00FA0BE6">
        <w:rPr>
          <w:rFonts w:asciiTheme="majorHAnsi" w:hAnsiTheme="majorHAnsi" w:cs="Times New Roman"/>
          <w:b/>
          <w:i/>
          <w:color w:val="000000"/>
          <w:sz w:val="22"/>
          <w:szCs w:val="22"/>
        </w:rPr>
        <w:t>the child should not be vaccinated</w:t>
      </w:r>
      <w:r w:rsidR="00901200" w:rsidRPr="00FA0BE6">
        <w:rPr>
          <w:rFonts w:asciiTheme="majorHAnsi" w:hAnsiTheme="majorHAnsi" w:cs="Times New Roman"/>
          <w:b/>
          <w:i/>
          <w:color w:val="000000"/>
          <w:sz w:val="22"/>
          <w:szCs w:val="22"/>
        </w:rPr>
        <w:t>.</w:t>
      </w:r>
    </w:p>
    <w:p w14:paraId="7C2748EB" w14:textId="756BB6D6" w:rsidR="002A68FF" w:rsidRPr="00307A78" w:rsidRDefault="00C676CD" w:rsidP="00307A78">
      <w:pPr>
        <w:pStyle w:val="Heading2"/>
      </w:pPr>
      <w:r w:rsidRPr="00352AD1">
        <w:t>Article 6 – right to life, survival and development</w:t>
      </w:r>
    </w:p>
    <w:p w14:paraId="2B1908B5" w14:textId="7F06B187" w:rsidR="00B97964" w:rsidRDefault="00C20088" w:rsidP="001E687A">
      <w:pPr>
        <w:widowControl w:val="0"/>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 xml:space="preserve">Article 6(1) requires New Zealand to recognize the inherent right of every child to life. </w:t>
      </w:r>
      <w:r w:rsidR="00A267B0">
        <w:rPr>
          <w:rFonts w:asciiTheme="majorHAnsi" w:hAnsiTheme="majorHAnsi" w:cs="Times"/>
          <w:color w:val="000000"/>
          <w:sz w:val="22"/>
          <w:szCs w:val="22"/>
        </w:rPr>
        <w:t>Article 6(2)</w:t>
      </w:r>
      <w:r w:rsidR="00E507AC">
        <w:rPr>
          <w:rFonts w:asciiTheme="majorHAnsi" w:hAnsiTheme="majorHAnsi" w:cs="Times"/>
          <w:color w:val="000000"/>
          <w:sz w:val="22"/>
          <w:szCs w:val="22"/>
        </w:rPr>
        <w:t xml:space="preserve"> requires New Zealand to ensure to the maximum extent possible the survival of the child. </w:t>
      </w:r>
      <w:r w:rsidR="00A70739">
        <w:rPr>
          <w:rFonts w:asciiTheme="majorHAnsi" w:hAnsiTheme="majorHAnsi" w:cs="Times"/>
          <w:color w:val="000000"/>
          <w:sz w:val="22"/>
          <w:szCs w:val="22"/>
        </w:rPr>
        <w:t>However, w</w:t>
      </w:r>
      <w:r w:rsidR="00E11FC2">
        <w:rPr>
          <w:rFonts w:asciiTheme="majorHAnsi" w:hAnsiTheme="majorHAnsi" w:cs="Times"/>
          <w:color w:val="000000"/>
          <w:sz w:val="22"/>
          <w:szCs w:val="22"/>
        </w:rPr>
        <w:t xml:space="preserve">e have </w:t>
      </w:r>
      <w:r w:rsidR="00E11FC2" w:rsidRPr="00922F05">
        <w:rPr>
          <w:rFonts w:asciiTheme="majorHAnsi" w:hAnsiTheme="majorHAnsi" w:cs="Times"/>
          <w:b/>
          <w:color w:val="000000"/>
          <w:sz w:val="22"/>
          <w:szCs w:val="22"/>
        </w:rPr>
        <w:t xml:space="preserve">reports of </w:t>
      </w:r>
      <w:r w:rsidR="00DF5BDA" w:rsidRPr="00922F05">
        <w:rPr>
          <w:rFonts w:asciiTheme="majorHAnsi" w:hAnsiTheme="majorHAnsi" w:cs="Times"/>
          <w:b/>
          <w:color w:val="000000"/>
          <w:sz w:val="22"/>
          <w:szCs w:val="22"/>
        </w:rPr>
        <w:t xml:space="preserve">20 </w:t>
      </w:r>
      <w:r w:rsidR="00E11FC2" w:rsidRPr="00922F05">
        <w:rPr>
          <w:rFonts w:asciiTheme="majorHAnsi" w:hAnsiTheme="majorHAnsi" w:cs="Times"/>
          <w:b/>
          <w:color w:val="000000"/>
          <w:sz w:val="22"/>
          <w:szCs w:val="22"/>
        </w:rPr>
        <w:t>children dying proximate to the COVID-19 vaccine</w:t>
      </w:r>
      <w:r w:rsidR="00E11FC2">
        <w:rPr>
          <w:rFonts w:asciiTheme="majorHAnsi" w:hAnsiTheme="majorHAnsi" w:cs="Times"/>
          <w:color w:val="000000"/>
          <w:sz w:val="22"/>
          <w:szCs w:val="22"/>
        </w:rPr>
        <w:t xml:space="preserve">, </w:t>
      </w:r>
      <w:r w:rsidR="00A70739">
        <w:rPr>
          <w:rFonts w:asciiTheme="majorHAnsi" w:hAnsiTheme="majorHAnsi" w:cs="Times"/>
          <w:color w:val="000000"/>
          <w:sz w:val="22"/>
          <w:szCs w:val="22"/>
        </w:rPr>
        <w:t xml:space="preserve">which </w:t>
      </w:r>
      <w:r w:rsidR="00FA1CBD">
        <w:rPr>
          <w:rFonts w:asciiTheme="majorHAnsi" w:hAnsiTheme="majorHAnsi" w:cs="Times"/>
          <w:color w:val="000000"/>
          <w:sz w:val="22"/>
          <w:szCs w:val="22"/>
        </w:rPr>
        <w:t xml:space="preserve">has been available for 12-17 year olds since August 2021 and for 5-11 year olds since January 2022. Moreover, we have </w:t>
      </w:r>
      <w:r w:rsidR="00FA1CBD" w:rsidRPr="000E08DB">
        <w:rPr>
          <w:rFonts w:asciiTheme="majorHAnsi" w:hAnsiTheme="majorHAnsi" w:cs="Times"/>
          <w:b/>
          <w:color w:val="000000"/>
          <w:sz w:val="22"/>
          <w:szCs w:val="22"/>
        </w:rPr>
        <w:t xml:space="preserve">reports of </w:t>
      </w:r>
      <w:r w:rsidR="00E11FC2" w:rsidRPr="000E08DB">
        <w:rPr>
          <w:rFonts w:asciiTheme="majorHAnsi" w:hAnsiTheme="majorHAnsi" w:cs="Times"/>
          <w:b/>
          <w:color w:val="000000"/>
          <w:sz w:val="22"/>
          <w:szCs w:val="22"/>
        </w:rPr>
        <w:t xml:space="preserve">government coercion </w:t>
      </w:r>
      <w:r w:rsidR="006F4070" w:rsidRPr="000E08DB">
        <w:rPr>
          <w:rFonts w:asciiTheme="majorHAnsi" w:hAnsiTheme="majorHAnsi" w:cs="Times"/>
          <w:b/>
          <w:color w:val="000000"/>
          <w:sz w:val="22"/>
          <w:szCs w:val="22"/>
        </w:rPr>
        <w:t xml:space="preserve">to cover up the cause of death with </w:t>
      </w:r>
      <w:r w:rsidR="00FA1CBD" w:rsidRPr="000E08DB">
        <w:rPr>
          <w:rFonts w:asciiTheme="majorHAnsi" w:hAnsiTheme="majorHAnsi" w:cs="Times"/>
          <w:b/>
          <w:color w:val="000000"/>
          <w:sz w:val="22"/>
          <w:szCs w:val="22"/>
        </w:rPr>
        <w:t xml:space="preserve">significant </w:t>
      </w:r>
      <w:r w:rsidR="006F4070" w:rsidRPr="000E08DB">
        <w:rPr>
          <w:rFonts w:asciiTheme="majorHAnsi" w:hAnsiTheme="majorHAnsi" w:cs="Times"/>
          <w:b/>
          <w:color w:val="000000"/>
          <w:sz w:val="22"/>
          <w:szCs w:val="22"/>
        </w:rPr>
        <w:t xml:space="preserve">payments </w:t>
      </w:r>
      <w:r w:rsidR="00FA1CBD" w:rsidRPr="000E08DB">
        <w:rPr>
          <w:rFonts w:asciiTheme="majorHAnsi" w:hAnsiTheme="majorHAnsi" w:cs="Times"/>
          <w:b/>
          <w:color w:val="000000"/>
          <w:sz w:val="22"/>
          <w:szCs w:val="22"/>
        </w:rPr>
        <w:t xml:space="preserve">(ranging from $150,000 NZD-$800,000 NZD) </w:t>
      </w:r>
      <w:r w:rsidR="006F4070" w:rsidRPr="000E08DB">
        <w:rPr>
          <w:rFonts w:asciiTheme="majorHAnsi" w:hAnsiTheme="majorHAnsi" w:cs="Times"/>
          <w:b/>
          <w:color w:val="000000"/>
          <w:sz w:val="22"/>
          <w:szCs w:val="22"/>
        </w:rPr>
        <w:t>and non-disclosure agreements.</w:t>
      </w:r>
      <w:r w:rsidR="00A205C3" w:rsidRPr="000E08DB">
        <w:rPr>
          <w:rFonts w:asciiTheme="majorHAnsi" w:hAnsiTheme="majorHAnsi" w:cs="Times"/>
          <w:b/>
          <w:color w:val="000000"/>
          <w:sz w:val="22"/>
          <w:szCs w:val="22"/>
        </w:rPr>
        <w:t xml:space="preserve">  These have include several reports of siblin</w:t>
      </w:r>
      <w:r w:rsidR="00A13E9F" w:rsidRPr="000E08DB">
        <w:rPr>
          <w:rFonts w:asciiTheme="majorHAnsi" w:hAnsiTheme="majorHAnsi" w:cs="Times"/>
          <w:b/>
          <w:color w:val="000000"/>
          <w:sz w:val="22"/>
          <w:szCs w:val="22"/>
        </w:rPr>
        <w:t>g deaths</w:t>
      </w:r>
      <w:r w:rsidR="00A13E9F">
        <w:rPr>
          <w:rFonts w:asciiTheme="majorHAnsi" w:hAnsiTheme="majorHAnsi" w:cs="Times"/>
          <w:color w:val="000000"/>
          <w:sz w:val="22"/>
          <w:szCs w:val="22"/>
        </w:rPr>
        <w:t>, including s</w:t>
      </w:r>
      <w:r w:rsidR="006F4070" w:rsidRPr="00A13E9F">
        <w:rPr>
          <w:rFonts w:asciiTheme="majorHAnsi" w:hAnsiTheme="majorHAnsi" w:cs="Times"/>
          <w:color w:val="000000"/>
          <w:sz w:val="22"/>
          <w:szCs w:val="22"/>
        </w:rPr>
        <w:t xml:space="preserve">iblings aged 7 and 5 </w:t>
      </w:r>
      <w:r w:rsidR="00456A2F">
        <w:rPr>
          <w:rFonts w:asciiTheme="majorHAnsi" w:hAnsiTheme="majorHAnsi" w:cs="Times"/>
          <w:color w:val="000000"/>
          <w:sz w:val="22"/>
          <w:szCs w:val="22"/>
        </w:rPr>
        <w:t xml:space="preserve">in the same family </w:t>
      </w:r>
      <w:r w:rsidR="00A13E9F">
        <w:rPr>
          <w:rFonts w:asciiTheme="majorHAnsi" w:hAnsiTheme="majorHAnsi" w:cs="Times"/>
          <w:color w:val="000000"/>
          <w:sz w:val="22"/>
          <w:szCs w:val="22"/>
        </w:rPr>
        <w:t xml:space="preserve">who </w:t>
      </w:r>
      <w:r w:rsidR="00A13E9F" w:rsidRPr="000E08DB">
        <w:rPr>
          <w:rFonts w:asciiTheme="majorHAnsi" w:hAnsiTheme="majorHAnsi" w:cs="Times"/>
          <w:b/>
          <w:color w:val="000000"/>
          <w:sz w:val="22"/>
          <w:szCs w:val="22"/>
        </w:rPr>
        <w:t xml:space="preserve">both </w:t>
      </w:r>
      <w:r w:rsidR="006F4070" w:rsidRPr="000E08DB">
        <w:rPr>
          <w:rFonts w:asciiTheme="majorHAnsi" w:hAnsiTheme="majorHAnsi" w:cs="Times"/>
          <w:b/>
          <w:color w:val="000000"/>
          <w:sz w:val="22"/>
          <w:szCs w:val="22"/>
        </w:rPr>
        <w:t xml:space="preserve">died in same week as </w:t>
      </w:r>
      <w:r w:rsidR="00A13E9F" w:rsidRPr="000E08DB">
        <w:rPr>
          <w:rFonts w:asciiTheme="majorHAnsi" w:hAnsiTheme="majorHAnsi" w:cs="Times"/>
          <w:b/>
          <w:color w:val="000000"/>
          <w:sz w:val="22"/>
          <w:szCs w:val="22"/>
        </w:rPr>
        <w:t xml:space="preserve">they </w:t>
      </w:r>
      <w:r w:rsidR="006F4070" w:rsidRPr="000E08DB">
        <w:rPr>
          <w:rFonts w:asciiTheme="majorHAnsi" w:hAnsiTheme="majorHAnsi" w:cs="Times"/>
          <w:b/>
          <w:color w:val="000000"/>
          <w:sz w:val="22"/>
          <w:szCs w:val="22"/>
        </w:rPr>
        <w:t>received jab</w:t>
      </w:r>
      <w:r w:rsidR="00A13E9F">
        <w:rPr>
          <w:rFonts w:asciiTheme="majorHAnsi" w:hAnsiTheme="majorHAnsi" w:cs="Times"/>
          <w:color w:val="000000"/>
          <w:sz w:val="22"/>
          <w:szCs w:val="22"/>
        </w:rPr>
        <w:t>, and s</w:t>
      </w:r>
      <w:r w:rsidR="00B97964" w:rsidRPr="00A13E9F">
        <w:rPr>
          <w:rFonts w:asciiTheme="majorHAnsi" w:hAnsiTheme="majorHAnsi" w:cs="Times"/>
          <w:color w:val="000000"/>
          <w:sz w:val="22"/>
          <w:szCs w:val="22"/>
        </w:rPr>
        <w:t xml:space="preserve">iblings </w:t>
      </w:r>
      <w:r w:rsidR="00456A2F">
        <w:rPr>
          <w:rFonts w:asciiTheme="majorHAnsi" w:hAnsiTheme="majorHAnsi" w:cs="Times"/>
          <w:color w:val="000000"/>
          <w:sz w:val="22"/>
          <w:szCs w:val="22"/>
        </w:rPr>
        <w:t xml:space="preserve">in another family </w:t>
      </w:r>
      <w:r w:rsidR="00B97964" w:rsidRPr="00A13E9F">
        <w:rPr>
          <w:rFonts w:asciiTheme="majorHAnsi" w:hAnsiTheme="majorHAnsi" w:cs="Times"/>
          <w:color w:val="000000"/>
          <w:sz w:val="22"/>
          <w:szCs w:val="22"/>
        </w:rPr>
        <w:t>aged 15 and 17</w:t>
      </w:r>
      <w:r w:rsidR="00456A2F">
        <w:rPr>
          <w:rFonts w:asciiTheme="majorHAnsi" w:hAnsiTheme="majorHAnsi" w:cs="Times"/>
          <w:color w:val="000000"/>
          <w:sz w:val="22"/>
          <w:szCs w:val="22"/>
        </w:rPr>
        <w:t xml:space="preserve"> who died soon after receiving the jab</w:t>
      </w:r>
      <w:r w:rsidR="00A13E9F">
        <w:rPr>
          <w:rFonts w:asciiTheme="majorHAnsi" w:hAnsiTheme="majorHAnsi" w:cs="Times"/>
          <w:color w:val="000000"/>
          <w:sz w:val="22"/>
          <w:szCs w:val="22"/>
        </w:rPr>
        <w:t>.</w:t>
      </w:r>
      <w:r w:rsidR="003668E5">
        <w:rPr>
          <w:rStyle w:val="FootnoteReference"/>
          <w:rFonts w:cs="Times"/>
          <w:color w:val="000000"/>
          <w:szCs w:val="22"/>
        </w:rPr>
        <w:footnoteReference w:id="28"/>
      </w:r>
      <w:r w:rsidR="00520DDE">
        <w:rPr>
          <w:rFonts w:asciiTheme="majorHAnsi" w:hAnsiTheme="majorHAnsi" w:cs="Times"/>
          <w:color w:val="000000"/>
          <w:sz w:val="22"/>
          <w:szCs w:val="22"/>
        </w:rPr>
        <w:t xml:space="preserve"> </w:t>
      </w:r>
      <w:r w:rsidR="001E687A" w:rsidRPr="005026AA">
        <w:rPr>
          <w:rFonts w:asciiTheme="majorHAnsi" w:hAnsiTheme="majorHAnsi" w:cs="Times New Roman"/>
          <w:color w:val="000000"/>
          <w:sz w:val="22"/>
          <w:szCs w:val="22"/>
        </w:rPr>
        <w:t>Ne</w:t>
      </w:r>
      <w:r w:rsidR="00520DDE">
        <w:rPr>
          <w:rFonts w:asciiTheme="majorHAnsi" w:hAnsiTheme="majorHAnsi" w:cs="Times New Roman"/>
          <w:color w:val="000000"/>
          <w:sz w:val="22"/>
          <w:szCs w:val="22"/>
        </w:rPr>
        <w:t>w Zealand government data shows</w:t>
      </w:r>
      <w:r w:rsidR="00520DDE">
        <w:rPr>
          <w:rFonts w:asciiTheme="majorHAnsi" w:hAnsiTheme="majorHAnsi" w:cs="Times"/>
          <w:color w:val="000000"/>
          <w:sz w:val="22"/>
          <w:szCs w:val="22"/>
        </w:rPr>
        <w:t xml:space="preserve"> </w:t>
      </w:r>
      <w:r w:rsidR="001E687A" w:rsidRPr="00520DDE">
        <w:rPr>
          <w:rFonts w:asciiTheme="majorHAnsi" w:hAnsiTheme="majorHAnsi" w:cs="Times New Roman"/>
          <w:color w:val="000000"/>
          <w:sz w:val="22"/>
          <w:szCs w:val="22"/>
        </w:rPr>
        <w:t>11 observed deaths aged 12-19 up to 21 days after Pfizer dose 1, 19 February 2021 to 31 January 2022</w:t>
      </w:r>
      <w:r w:rsidR="00520DDE">
        <w:rPr>
          <w:rFonts w:asciiTheme="majorHAnsi" w:hAnsiTheme="majorHAnsi" w:cs="Times New Roman"/>
          <w:color w:val="000000"/>
          <w:sz w:val="22"/>
          <w:szCs w:val="22"/>
        </w:rPr>
        <w:t>;</w:t>
      </w:r>
      <w:r w:rsidR="00405385">
        <w:rPr>
          <w:rStyle w:val="FootnoteReference"/>
          <w:rFonts w:cs="Times New Roman"/>
          <w:color w:val="000000"/>
          <w:szCs w:val="22"/>
        </w:rPr>
        <w:footnoteReference w:id="29"/>
      </w:r>
      <w:r w:rsidR="00520DDE">
        <w:rPr>
          <w:rFonts w:asciiTheme="majorHAnsi" w:hAnsiTheme="majorHAnsi" w:cs="Times New Roman"/>
          <w:color w:val="000000"/>
          <w:sz w:val="22"/>
          <w:szCs w:val="22"/>
        </w:rPr>
        <w:t xml:space="preserve"> and</w:t>
      </w:r>
      <w:r w:rsidR="00520DDE">
        <w:rPr>
          <w:rFonts w:asciiTheme="majorHAnsi" w:hAnsiTheme="majorHAnsi" w:cs="Times"/>
          <w:color w:val="000000"/>
          <w:sz w:val="22"/>
          <w:szCs w:val="22"/>
        </w:rPr>
        <w:t xml:space="preserve"> </w:t>
      </w:r>
      <w:r w:rsidR="001E687A" w:rsidRPr="00520DDE">
        <w:rPr>
          <w:rFonts w:asciiTheme="majorHAnsi" w:hAnsiTheme="majorHAnsi" w:cs="Times New Roman"/>
          <w:color w:val="000000"/>
          <w:sz w:val="22"/>
          <w:szCs w:val="22"/>
        </w:rPr>
        <w:t>9 observed deaths aged 12-19 up to 21 days after Pfizer dose 2, 19 February 2021 to 31 January 2022</w:t>
      </w:r>
      <w:r w:rsidR="00520DDE">
        <w:rPr>
          <w:rFonts w:asciiTheme="majorHAnsi" w:hAnsiTheme="majorHAnsi" w:cs="Times New Roman"/>
          <w:color w:val="000000"/>
          <w:sz w:val="22"/>
          <w:szCs w:val="22"/>
        </w:rPr>
        <w:t>.</w:t>
      </w:r>
      <w:r w:rsidR="00520DDE">
        <w:rPr>
          <w:rStyle w:val="FootnoteReference"/>
          <w:rFonts w:cs="Times New Roman"/>
          <w:color w:val="000000"/>
          <w:szCs w:val="22"/>
        </w:rPr>
        <w:footnoteReference w:id="30"/>
      </w:r>
      <w:r w:rsidR="00520DDE">
        <w:rPr>
          <w:rFonts w:asciiTheme="majorHAnsi" w:hAnsiTheme="majorHAnsi" w:cs="Times"/>
          <w:color w:val="000000"/>
          <w:sz w:val="22"/>
          <w:szCs w:val="22"/>
        </w:rPr>
        <w:t xml:space="preserve"> The citizen’s register of vaccine deaths/</w:t>
      </w:r>
      <w:r w:rsidR="000325A6">
        <w:rPr>
          <w:rFonts w:asciiTheme="majorHAnsi" w:hAnsiTheme="majorHAnsi" w:cs="Times"/>
          <w:color w:val="000000"/>
          <w:sz w:val="22"/>
          <w:szCs w:val="22"/>
        </w:rPr>
        <w:t>NZ Health Forum data</w:t>
      </w:r>
      <w:r w:rsidR="00362527">
        <w:rPr>
          <w:rStyle w:val="FootnoteReference"/>
          <w:rFonts w:cs="Times"/>
          <w:color w:val="000000"/>
          <w:szCs w:val="22"/>
        </w:rPr>
        <w:footnoteReference w:id="31"/>
      </w:r>
      <w:r w:rsidR="000325A6">
        <w:rPr>
          <w:rFonts w:asciiTheme="majorHAnsi" w:hAnsiTheme="majorHAnsi" w:cs="Times"/>
          <w:color w:val="000000"/>
          <w:sz w:val="22"/>
          <w:szCs w:val="22"/>
        </w:rPr>
        <w:t xml:space="preserve"> shows:</w:t>
      </w:r>
    </w:p>
    <w:p w14:paraId="5B98034F" w14:textId="77777777" w:rsidR="006405B3" w:rsidRDefault="006405B3" w:rsidP="001E687A">
      <w:pPr>
        <w:widowControl w:val="0"/>
        <w:tabs>
          <w:tab w:val="left" w:pos="220"/>
          <w:tab w:val="left" w:pos="720"/>
        </w:tabs>
        <w:autoSpaceDE w:val="0"/>
        <w:autoSpaceDN w:val="0"/>
        <w:adjustRightInd w:val="0"/>
        <w:rPr>
          <w:rFonts w:asciiTheme="majorHAnsi" w:hAnsiTheme="majorHAnsi" w:cs="Times"/>
          <w:color w:val="000000"/>
          <w:sz w:val="22"/>
          <w:szCs w:val="22"/>
        </w:rPr>
      </w:pPr>
    </w:p>
    <w:p w14:paraId="7285822E" w14:textId="7E7DF749" w:rsidR="000325A6" w:rsidRDefault="00D22889"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Female 10-19</w:t>
      </w:r>
      <w:r>
        <w:rPr>
          <w:rFonts w:asciiTheme="majorHAnsi" w:hAnsiTheme="majorHAnsi" w:cs="Times"/>
          <w:color w:val="000000"/>
          <w:sz w:val="22"/>
          <w:szCs w:val="22"/>
        </w:rPr>
        <w:tab/>
        <w:t xml:space="preserve">, Bay of Islands, October 2021, </w:t>
      </w:r>
      <w:r w:rsidR="005E5B6E">
        <w:rPr>
          <w:rFonts w:asciiTheme="majorHAnsi" w:hAnsiTheme="majorHAnsi" w:cs="Times"/>
          <w:color w:val="000000"/>
          <w:sz w:val="22"/>
          <w:szCs w:val="22"/>
        </w:rPr>
        <w:t>death after jab 1, asthma attack, myocarditis</w:t>
      </w:r>
    </w:p>
    <w:p w14:paraId="1371595D" w14:textId="6F648357" w:rsidR="005E5B6E" w:rsidRDefault="005E5B6E"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 xml:space="preserve">Male, 10-19, Northland, September 2021, death after </w:t>
      </w:r>
      <w:r w:rsidR="000A10F0">
        <w:rPr>
          <w:rFonts w:asciiTheme="majorHAnsi" w:hAnsiTheme="majorHAnsi" w:cs="Times"/>
          <w:color w:val="000000"/>
          <w:sz w:val="22"/>
          <w:szCs w:val="22"/>
        </w:rPr>
        <w:t>jab 1, heart attack, seizure</w:t>
      </w:r>
    </w:p>
    <w:p w14:paraId="6EFCB2CE" w14:textId="5E2D905F" w:rsidR="000A10F0" w:rsidRDefault="000A10F0"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 xml:space="preserve">Female 0-9, </w:t>
      </w:r>
      <w:r w:rsidR="008F7A52">
        <w:rPr>
          <w:rFonts w:asciiTheme="majorHAnsi" w:hAnsiTheme="majorHAnsi" w:cs="Times"/>
          <w:color w:val="000000"/>
          <w:sz w:val="22"/>
          <w:szCs w:val="22"/>
        </w:rPr>
        <w:t>N</w:t>
      </w:r>
      <w:r>
        <w:rPr>
          <w:rFonts w:asciiTheme="majorHAnsi" w:hAnsiTheme="majorHAnsi" w:cs="Times"/>
          <w:color w:val="000000"/>
          <w:sz w:val="22"/>
          <w:szCs w:val="22"/>
        </w:rPr>
        <w:t>orthland, December 2021, secondary in utero baby death</w:t>
      </w:r>
    </w:p>
    <w:p w14:paraId="007AD970" w14:textId="6C69D2BB" w:rsidR="000A10F0" w:rsidRDefault="008F7A52"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Female 10-19, Northland, December 2021, death after jab 1, brain bleed, clots</w:t>
      </w:r>
    </w:p>
    <w:p w14:paraId="1985D3E5" w14:textId="3DC6447F" w:rsidR="00D43335" w:rsidRDefault="008F7A52"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Female 10-19</w:t>
      </w:r>
      <w:r w:rsidR="00D43335">
        <w:rPr>
          <w:rFonts w:asciiTheme="majorHAnsi" w:hAnsiTheme="majorHAnsi" w:cs="Times"/>
          <w:color w:val="000000"/>
          <w:sz w:val="22"/>
          <w:szCs w:val="22"/>
        </w:rPr>
        <w:t>, Auckland, September 2021, death after jab 2, multiple blood clots leg</w:t>
      </w:r>
    </w:p>
    <w:p w14:paraId="32C64D11" w14:textId="535A6DF2" w:rsidR="008F7A52" w:rsidRDefault="00D43335"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 xml:space="preserve">Female 0-9, Auckland, </w:t>
      </w:r>
      <w:r w:rsidR="00504D56">
        <w:rPr>
          <w:rFonts w:asciiTheme="majorHAnsi" w:hAnsiTheme="majorHAnsi" w:cs="Times"/>
          <w:color w:val="000000"/>
          <w:sz w:val="22"/>
          <w:szCs w:val="22"/>
        </w:rPr>
        <w:t>June 2021, death after jab 1, sudden baby secondary death, mother had clots</w:t>
      </w:r>
    </w:p>
    <w:p w14:paraId="71C5FBD1" w14:textId="18B945C1" w:rsidR="00504D56" w:rsidRDefault="00384F70"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Male, 0-9, Auckland, October 2021, death after jab 1, secondary full term in utero death</w:t>
      </w:r>
    </w:p>
    <w:p w14:paraId="088CB2F0" w14:textId="481529A7" w:rsidR="00384F70" w:rsidRDefault="00384F70"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Male, 10-19, Auckland, November 2021, death after jab 1</w:t>
      </w:r>
    </w:p>
    <w:p w14:paraId="2C509C3C" w14:textId="28FE8AF7" w:rsidR="00EA67D5" w:rsidRDefault="00EA67D5"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Female 10-19, Hawkes Bay, October 2021, death after jab 2</w:t>
      </w:r>
    </w:p>
    <w:p w14:paraId="15B05A2C" w14:textId="084F45B0" w:rsidR="002571F2" w:rsidRDefault="002571F2"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Baby 0-9, Manawatu, September 2021, death after jab 1, secondary in utero baby death</w:t>
      </w:r>
    </w:p>
    <w:p w14:paraId="32F7BAD6" w14:textId="25C0C7F2" w:rsidR="002571F2" w:rsidRDefault="004B354D"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 xml:space="preserve">Male 0-9, Manawatu, </w:t>
      </w:r>
      <w:r w:rsidR="00A85DE2">
        <w:rPr>
          <w:rFonts w:asciiTheme="majorHAnsi" w:hAnsiTheme="majorHAnsi" w:cs="Times"/>
          <w:color w:val="000000"/>
          <w:sz w:val="22"/>
          <w:szCs w:val="22"/>
        </w:rPr>
        <w:t>October 2021, secondary baby death</w:t>
      </w:r>
    </w:p>
    <w:p w14:paraId="6FC34695" w14:textId="1AD11EC0" w:rsidR="00A85DE2" w:rsidRDefault="00A85DE2"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Baby 0-9, Manawatu, October 2021, death after jab 1, secondary in utero baby death</w:t>
      </w:r>
    </w:p>
    <w:p w14:paraId="731BAA4D" w14:textId="482C03B4" w:rsidR="009478AA" w:rsidRDefault="00613716"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Male 0-9, Manawatu, January 2022, death after jab 1, heart attack</w:t>
      </w:r>
    </w:p>
    <w:p w14:paraId="4FFA1608" w14:textId="439C814D" w:rsidR="00613716" w:rsidRDefault="00613716"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 xml:space="preserve">Male 10-19, Nelson, November 2021, </w:t>
      </w:r>
      <w:r w:rsidR="00EB3D4B">
        <w:rPr>
          <w:rFonts w:asciiTheme="majorHAnsi" w:hAnsiTheme="majorHAnsi" w:cs="Times"/>
          <w:color w:val="000000"/>
          <w:sz w:val="22"/>
          <w:szCs w:val="22"/>
        </w:rPr>
        <w:t>sudden death after jab 1</w:t>
      </w:r>
    </w:p>
    <w:p w14:paraId="1877B662" w14:textId="19671BC9" w:rsidR="00EB3D4B" w:rsidRDefault="00EB3D4B" w:rsidP="000325A6">
      <w:pPr>
        <w:pStyle w:val="ListParagraph"/>
        <w:widowControl w:val="0"/>
        <w:numPr>
          <w:ilvl w:val="0"/>
          <w:numId w:val="13"/>
        </w:numPr>
        <w:tabs>
          <w:tab w:val="left" w:pos="220"/>
          <w:tab w:val="left" w:pos="720"/>
        </w:tabs>
        <w:autoSpaceDE w:val="0"/>
        <w:autoSpaceDN w:val="0"/>
        <w:adjustRightInd w:val="0"/>
        <w:rPr>
          <w:rFonts w:asciiTheme="majorHAnsi" w:hAnsiTheme="majorHAnsi" w:cs="Times"/>
          <w:color w:val="000000"/>
          <w:sz w:val="22"/>
          <w:szCs w:val="22"/>
        </w:rPr>
      </w:pPr>
      <w:r>
        <w:rPr>
          <w:rFonts w:asciiTheme="majorHAnsi" w:hAnsiTheme="majorHAnsi" w:cs="Times"/>
          <w:color w:val="000000"/>
          <w:sz w:val="22"/>
          <w:szCs w:val="22"/>
        </w:rPr>
        <w:t>Male 10-19, Otago, February 2022, seizure/medical event after jab 2</w:t>
      </w:r>
      <w:r w:rsidR="00520DDE">
        <w:rPr>
          <w:rFonts w:asciiTheme="majorHAnsi" w:hAnsiTheme="majorHAnsi" w:cs="Times"/>
          <w:color w:val="000000"/>
          <w:sz w:val="22"/>
          <w:szCs w:val="22"/>
        </w:rPr>
        <w:t>.</w:t>
      </w:r>
      <w:r w:rsidR="00D043ED">
        <w:rPr>
          <w:rStyle w:val="FootnoteReference"/>
          <w:rFonts w:cs="Times"/>
          <w:color w:val="000000"/>
          <w:szCs w:val="22"/>
        </w:rPr>
        <w:footnoteReference w:id="32"/>
      </w:r>
    </w:p>
    <w:p w14:paraId="541D06C2" w14:textId="77777777" w:rsidR="00D74DE3" w:rsidRDefault="00D74DE3" w:rsidP="00D74DE3">
      <w:pPr>
        <w:widowControl w:val="0"/>
        <w:tabs>
          <w:tab w:val="left" w:pos="220"/>
          <w:tab w:val="left" w:pos="720"/>
        </w:tabs>
        <w:autoSpaceDE w:val="0"/>
        <w:autoSpaceDN w:val="0"/>
        <w:adjustRightInd w:val="0"/>
        <w:rPr>
          <w:rFonts w:asciiTheme="majorHAnsi" w:hAnsiTheme="majorHAnsi" w:cs="Times"/>
          <w:color w:val="000000"/>
          <w:sz w:val="22"/>
          <w:szCs w:val="22"/>
        </w:rPr>
      </w:pPr>
    </w:p>
    <w:p w14:paraId="5DE6E89A" w14:textId="77777777" w:rsidR="009338CE" w:rsidRDefault="002A68FF" w:rsidP="009338CE">
      <w:pPr>
        <w:rPr>
          <w:rFonts w:asciiTheme="majorHAnsi" w:hAnsiTheme="majorHAnsi" w:cs="Times New Roman"/>
          <w:bCs/>
          <w:sz w:val="22"/>
          <w:szCs w:val="22"/>
          <w:lang w:val="en-AU" w:eastAsia="en-US"/>
        </w:rPr>
      </w:pPr>
      <w:r w:rsidRPr="00EF4754">
        <w:rPr>
          <w:rFonts w:asciiTheme="majorHAnsi" w:hAnsiTheme="majorHAnsi" w:cs="Times New Roman"/>
          <w:bCs/>
          <w:sz w:val="22"/>
          <w:szCs w:val="22"/>
          <w:lang w:val="en-AU" w:eastAsia="en-US"/>
        </w:rPr>
        <w:t xml:space="preserve">In accordance with </w:t>
      </w:r>
      <w:r w:rsidRPr="00FC1DBF">
        <w:rPr>
          <w:rFonts w:asciiTheme="majorHAnsi" w:hAnsiTheme="majorHAnsi" w:cs="Times New Roman"/>
          <w:b/>
          <w:bCs/>
          <w:sz w:val="22"/>
          <w:szCs w:val="22"/>
          <w:lang w:val="en-AU" w:eastAsia="en-US"/>
        </w:rPr>
        <w:t>UN Guiding Principle on Business and Human Rights #1, States must protect against human rights abuse within their territory and/or jurisdiction by third parties</w:t>
      </w:r>
      <w:r w:rsidRPr="00EF4754">
        <w:rPr>
          <w:rFonts w:asciiTheme="majorHAnsi" w:hAnsiTheme="majorHAnsi" w:cs="Times New Roman"/>
          <w:bCs/>
          <w:sz w:val="22"/>
          <w:szCs w:val="22"/>
          <w:lang w:val="en-AU" w:eastAsia="en-US"/>
        </w:rPr>
        <w:t>, including business enterprises</w:t>
      </w:r>
      <w:r w:rsidR="001A2751">
        <w:rPr>
          <w:rFonts w:asciiTheme="majorHAnsi" w:hAnsiTheme="majorHAnsi" w:cs="Times New Roman"/>
          <w:bCs/>
          <w:sz w:val="22"/>
          <w:szCs w:val="22"/>
          <w:lang w:val="en-AU" w:eastAsia="en-US"/>
        </w:rPr>
        <w:t xml:space="preserve"> such as Pfizer</w:t>
      </w:r>
      <w:r w:rsidR="00DF5BDA">
        <w:rPr>
          <w:rFonts w:asciiTheme="majorHAnsi" w:hAnsiTheme="majorHAnsi" w:cs="Times New Roman"/>
          <w:bCs/>
          <w:sz w:val="22"/>
          <w:szCs w:val="22"/>
          <w:lang w:val="en-AU" w:eastAsia="en-US"/>
        </w:rPr>
        <w:t>, which has been the principal commercial supplier of COVID-19 vaccines in New Zealand</w:t>
      </w:r>
      <w:r w:rsidRPr="00EF4754">
        <w:rPr>
          <w:rFonts w:asciiTheme="majorHAnsi" w:hAnsiTheme="majorHAnsi" w:cs="Times New Roman"/>
          <w:bCs/>
          <w:sz w:val="22"/>
          <w:szCs w:val="22"/>
          <w:lang w:val="en-AU" w:eastAsia="en-US"/>
        </w:rPr>
        <w:t xml:space="preserve">. </w:t>
      </w:r>
      <w:r w:rsidR="00446997" w:rsidRPr="00FC1DBF">
        <w:rPr>
          <w:rFonts w:asciiTheme="majorHAnsi" w:hAnsiTheme="majorHAnsi" w:cs="Times New Roman"/>
          <w:b/>
          <w:bCs/>
          <w:sz w:val="22"/>
          <w:szCs w:val="22"/>
          <w:lang w:val="en-AU" w:eastAsia="en-US"/>
        </w:rPr>
        <w:t>UN G</w:t>
      </w:r>
      <w:r w:rsidR="0058111D">
        <w:rPr>
          <w:rFonts w:asciiTheme="majorHAnsi" w:hAnsiTheme="majorHAnsi" w:cs="Times New Roman"/>
          <w:b/>
          <w:bCs/>
          <w:sz w:val="22"/>
          <w:szCs w:val="22"/>
          <w:lang w:val="en-AU" w:eastAsia="en-US"/>
        </w:rPr>
        <w:t xml:space="preserve">uiding </w:t>
      </w:r>
      <w:r w:rsidR="00446997" w:rsidRPr="00FC1DBF">
        <w:rPr>
          <w:rFonts w:asciiTheme="majorHAnsi" w:hAnsiTheme="majorHAnsi" w:cs="Times New Roman"/>
          <w:b/>
          <w:bCs/>
          <w:sz w:val="22"/>
          <w:szCs w:val="22"/>
          <w:lang w:val="en-AU" w:eastAsia="en-US"/>
        </w:rPr>
        <w:t>P</w:t>
      </w:r>
      <w:r w:rsidR="0058111D">
        <w:rPr>
          <w:rFonts w:asciiTheme="majorHAnsi" w:hAnsiTheme="majorHAnsi" w:cs="Times New Roman"/>
          <w:b/>
          <w:bCs/>
          <w:sz w:val="22"/>
          <w:szCs w:val="22"/>
          <w:lang w:val="en-AU" w:eastAsia="en-US"/>
        </w:rPr>
        <w:t>rinciple</w:t>
      </w:r>
      <w:r w:rsidR="00446997" w:rsidRPr="00FC1DBF">
        <w:rPr>
          <w:rFonts w:asciiTheme="majorHAnsi" w:hAnsiTheme="majorHAnsi" w:cs="Times New Roman"/>
          <w:b/>
          <w:bCs/>
          <w:sz w:val="22"/>
          <w:szCs w:val="22"/>
          <w:lang w:val="en-AU" w:eastAsia="en-US"/>
        </w:rPr>
        <w:t xml:space="preserve"> #1</w:t>
      </w:r>
      <w:r w:rsidRPr="00FC1DBF">
        <w:rPr>
          <w:rFonts w:asciiTheme="majorHAnsi" w:hAnsiTheme="majorHAnsi" w:cs="Times New Roman"/>
          <w:b/>
          <w:bCs/>
          <w:sz w:val="22"/>
          <w:szCs w:val="22"/>
          <w:lang w:val="en-AU" w:eastAsia="en-US"/>
        </w:rPr>
        <w:t xml:space="preserve"> requires taking appropriate steps to prevent, investigate, punish and redress such abuse through effective policies, legislation, regulations and adjudication.</w:t>
      </w:r>
      <w:r w:rsidR="003E2A81">
        <w:rPr>
          <w:rStyle w:val="FootnoteReference"/>
          <w:rFonts w:cs="Times New Roman"/>
          <w:b/>
          <w:bCs/>
          <w:szCs w:val="22"/>
          <w:lang w:val="en-AU" w:eastAsia="en-US"/>
        </w:rPr>
        <w:footnoteReference w:id="33"/>
      </w:r>
      <w:r w:rsidRPr="00FC1DBF">
        <w:rPr>
          <w:rFonts w:asciiTheme="majorHAnsi" w:hAnsiTheme="majorHAnsi" w:cs="Times New Roman"/>
          <w:b/>
          <w:bCs/>
          <w:sz w:val="22"/>
          <w:szCs w:val="22"/>
          <w:lang w:val="en-AU" w:eastAsia="en-US"/>
        </w:rPr>
        <w:t xml:space="preserve"> </w:t>
      </w:r>
      <w:r w:rsidR="001A2751">
        <w:rPr>
          <w:rFonts w:asciiTheme="majorHAnsi" w:hAnsiTheme="majorHAnsi" w:cs="Times New Roman"/>
          <w:bCs/>
          <w:sz w:val="22"/>
          <w:szCs w:val="22"/>
          <w:lang w:val="en-AU" w:eastAsia="en-US"/>
        </w:rPr>
        <w:t xml:space="preserve">However, in New Zealand there have been </w:t>
      </w:r>
      <w:r w:rsidR="009506D6">
        <w:rPr>
          <w:rFonts w:asciiTheme="majorHAnsi" w:hAnsiTheme="majorHAnsi" w:cs="Times New Roman"/>
          <w:bCs/>
          <w:sz w:val="22"/>
          <w:szCs w:val="22"/>
          <w:lang w:val="en-AU" w:eastAsia="en-US"/>
        </w:rPr>
        <w:t xml:space="preserve">at least 20 </w:t>
      </w:r>
      <w:r w:rsidR="001A2751">
        <w:rPr>
          <w:rFonts w:asciiTheme="majorHAnsi" w:hAnsiTheme="majorHAnsi" w:cs="Times New Roman"/>
          <w:bCs/>
          <w:sz w:val="22"/>
          <w:szCs w:val="22"/>
          <w:lang w:val="en-AU" w:eastAsia="en-US"/>
        </w:rPr>
        <w:t xml:space="preserve">sudden deaths of children proximate to either the first or second Pfizer jab, yet there </w:t>
      </w:r>
      <w:r w:rsidR="0019660F">
        <w:rPr>
          <w:rFonts w:asciiTheme="majorHAnsi" w:hAnsiTheme="majorHAnsi" w:cs="Times New Roman"/>
          <w:bCs/>
          <w:sz w:val="22"/>
          <w:szCs w:val="22"/>
          <w:lang w:val="en-AU" w:eastAsia="en-US"/>
        </w:rPr>
        <w:t>have b</w:t>
      </w:r>
      <w:r w:rsidR="00323D84">
        <w:rPr>
          <w:rFonts w:asciiTheme="majorHAnsi" w:hAnsiTheme="majorHAnsi" w:cs="Times New Roman"/>
          <w:bCs/>
          <w:sz w:val="22"/>
          <w:szCs w:val="22"/>
          <w:lang w:val="en-AU" w:eastAsia="en-US"/>
        </w:rPr>
        <w:t>een no mandatory investigations</w:t>
      </w:r>
      <w:r w:rsidR="0019660F">
        <w:rPr>
          <w:rFonts w:asciiTheme="majorHAnsi" w:hAnsiTheme="majorHAnsi" w:cs="Times New Roman"/>
          <w:bCs/>
          <w:sz w:val="22"/>
          <w:szCs w:val="22"/>
          <w:lang w:val="en-AU" w:eastAsia="en-US"/>
        </w:rPr>
        <w:t xml:space="preserve"> </w:t>
      </w:r>
      <w:r w:rsidR="00323D84">
        <w:rPr>
          <w:rFonts w:asciiTheme="majorHAnsi" w:hAnsiTheme="majorHAnsi" w:cs="Times New Roman"/>
          <w:bCs/>
          <w:sz w:val="22"/>
          <w:szCs w:val="22"/>
          <w:lang w:val="en-AU" w:eastAsia="en-US"/>
        </w:rPr>
        <w:t xml:space="preserve">or </w:t>
      </w:r>
      <w:r w:rsidR="0019660F">
        <w:rPr>
          <w:rFonts w:asciiTheme="majorHAnsi" w:hAnsiTheme="majorHAnsi" w:cs="Times New Roman"/>
          <w:bCs/>
          <w:sz w:val="22"/>
          <w:szCs w:val="22"/>
          <w:lang w:val="en-AU" w:eastAsia="en-US"/>
        </w:rPr>
        <w:t>autopsie</w:t>
      </w:r>
      <w:r w:rsidR="00323D84">
        <w:rPr>
          <w:rFonts w:asciiTheme="majorHAnsi" w:hAnsiTheme="majorHAnsi" w:cs="Times New Roman"/>
          <w:bCs/>
          <w:sz w:val="22"/>
          <w:szCs w:val="22"/>
          <w:lang w:val="en-AU" w:eastAsia="en-US"/>
        </w:rPr>
        <w:t>s of sudden deaths of children in such instances. We have reports that such bodies have been cremated rather than buried</w:t>
      </w:r>
      <w:r w:rsidR="00313E4F">
        <w:rPr>
          <w:rFonts w:asciiTheme="majorHAnsi" w:hAnsiTheme="majorHAnsi" w:cs="Times New Roman"/>
          <w:bCs/>
          <w:sz w:val="22"/>
          <w:szCs w:val="22"/>
          <w:lang w:val="en-AU" w:eastAsia="en-US"/>
        </w:rPr>
        <w:t xml:space="preserve"> (to prevent autopsies at a later date)</w:t>
      </w:r>
      <w:r w:rsidR="00323D84">
        <w:rPr>
          <w:rFonts w:asciiTheme="majorHAnsi" w:hAnsiTheme="majorHAnsi" w:cs="Times New Roman"/>
          <w:bCs/>
          <w:sz w:val="22"/>
          <w:szCs w:val="22"/>
          <w:lang w:val="en-AU" w:eastAsia="en-US"/>
        </w:rPr>
        <w:t>, and that payouts and non-disclosure agreements were required</w:t>
      </w:r>
      <w:r w:rsidR="008B3E8F">
        <w:rPr>
          <w:rFonts w:asciiTheme="majorHAnsi" w:hAnsiTheme="majorHAnsi" w:cs="Times New Roman"/>
          <w:bCs/>
          <w:sz w:val="22"/>
          <w:szCs w:val="22"/>
          <w:lang w:val="en-AU" w:eastAsia="en-US"/>
        </w:rPr>
        <w:t>, amounting to corruption</w:t>
      </w:r>
      <w:r w:rsidR="00BF4078">
        <w:rPr>
          <w:rFonts w:asciiTheme="majorHAnsi" w:hAnsiTheme="majorHAnsi" w:cs="Times New Roman"/>
          <w:bCs/>
          <w:sz w:val="22"/>
          <w:szCs w:val="22"/>
          <w:lang w:val="en-AU" w:eastAsia="en-US"/>
        </w:rPr>
        <w:t xml:space="preserve"> on the part of the New Zealand Government</w:t>
      </w:r>
      <w:r w:rsidR="00323D84">
        <w:rPr>
          <w:rFonts w:asciiTheme="majorHAnsi" w:hAnsiTheme="majorHAnsi" w:cs="Times New Roman"/>
          <w:bCs/>
          <w:sz w:val="22"/>
          <w:szCs w:val="22"/>
          <w:lang w:val="en-AU" w:eastAsia="en-US"/>
        </w:rPr>
        <w:t>.</w:t>
      </w:r>
      <w:r w:rsidR="00B33668">
        <w:rPr>
          <w:rStyle w:val="FootnoteReference"/>
          <w:rFonts w:cs="Times New Roman"/>
          <w:bCs/>
          <w:szCs w:val="22"/>
          <w:lang w:val="en-AU" w:eastAsia="en-US"/>
        </w:rPr>
        <w:footnoteReference w:id="34"/>
      </w:r>
      <w:r w:rsidR="00446997">
        <w:rPr>
          <w:rFonts w:asciiTheme="majorHAnsi" w:hAnsiTheme="majorHAnsi" w:cs="Times New Roman"/>
          <w:bCs/>
          <w:sz w:val="22"/>
          <w:szCs w:val="22"/>
          <w:lang w:val="en-AU" w:eastAsia="en-US"/>
        </w:rPr>
        <w:t xml:space="preserve"> </w:t>
      </w:r>
      <w:r w:rsidR="00933DFE">
        <w:rPr>
          <w:rFonts w:asciiTheme="majorHAnsi" w:hAnsiTheme="majorHAnsi" w:cs="Times New Roman"/>
          <w:bCs/>
          <w:sz w:val="22"/>
          <w:szCs w:val="22"/>
          <w:lang w:val="en-AU" w:eastAsia="en-US"/>
        </w:rPr>
        <w:t xml:space="preserve">The </w:t>
      </w:r>
      <w:r w:rsidR="00933DFE" w:rsidRPr="000E08DB">
        <w:rPr>
          <w:rFonts w:asciiTheme="majorHAnsi" w:hAnsiTheme="majorHAnsi" w:cs="Times New Roman"/>
          <w:b/>
          <w:bCs/>
          <w:sz w:val="22"/>
          <w:szCs w:val="22"/>
          <w:lang w:val="en-AU" w:eastAsia="en-US"/>
        </w:rPr>
        <w:t>State Party has f</w:t>
      </w:r>
      <w:r w:rsidR="000E08DB" w:rsidRPr="000E08DB">
        <w:rPr>
          <w:rFonts w:asciiTheme="majorHAnsi" w:hAnsiTheme="majorHAnsi" w:cs="Times New Roman"/>
          <w:b/>
          <w:bCs/>
          <w:sz w:val="22"/>
          <w:szCs w:val="22"/>
          <w:lang w:val="en-AU" w:eastAsia="en-US"/>
        </w:rPr>
        <w:t>a</w:t>
      </w:r>
      <w:r w:rsidR="00933DFE" w:rsidRPr="000E08DB">
        <w:rPr>
          <w:rFonts w:asciiTheme="majorHAnsi" w:hAnsiTheme="majorHAnsi" w:cs="Times New Roman"/>
          <w:b/>
          <w:bCs/>
          <w:sz w:val="22"/>
          <w:szCs w:val="22"/>
          <w:lang w:val="en-AU" w:eastAsia="en-US"/>
        </w:rPr>
        <w:t>iled in its obligation to protect children from harm by third parties</w:t>
      </w:r>
      <w:r w:rsidR="001B696B" w:rsidRPr="000E08DB">
        <w:rPr>
          <w:rFonts w:asciiTheme="majorHAnsi" w:hAnsiTheme="majorHAnsi" w:cs="Times New Roman"/>
          <w:b/>
          <w:bCs/>
          <w:sz w:val="22"/>
          <w:szCs w:val="22"/>
          <w:lang w:val="en-AU" w:eastAsia="en-US"/>
        </w:rPr>
        <w:t>, such as Pfizer, and to provide a remedy</w:t>
      </w:r>
      <w:r w:rsidR="001B696B">
        <w:rPr>
          <w:rFonts w:asciiTheme="majorHAnsi" w:hAnsiTheme="majorHAnsi" w:cs="Times New Roman"/>
          <w:bCs/>
          <w:sz w:val="22"/>
          <w:szCs w:val="22"/>
          <w:lang w:val="en-AU" w:eastAsia="en-US"/>
        </w:rPr>
        <w:t>.</w:t>
      </w:r>
    </w:p>
    <w:p w14:paraId="1778D784" w14:textId="77777777" w:rsidR="009338CE" w:rsidRDefault="009338CE" w:rsidP="009338CE">
      <w:pPr>
        <w:rPr>
          <w:rFonts w:asciiTheme="majorHAnsi" w:hAnsiTheme="majorHAnsi" w:cs="Times New Roman"/>
          <w:bCs/>
          <w:sz w:val="22"/>
          <w:szCs w:val="22"/>
          <w:lang w:val="en-AU" w:eastAsia="en-US"/>
        </w:rPr>
      </w:pPr>
    </w:p>
    <w:p w14:paraId="04C45A02" w14:textId="7E763269" w:rsidR="009338CE" w:rsidRPr="009338CE" w:rsidRDefault="00FC12D1" w:rsidP="009338CE">
      <w:pPr>
        <w:rPr>
          <w:rFonts w:asciiTheme="majorHAnsi" w:hAnsiTheme="majorHAnsi" w:cs="Times New Roman"/>
          <w:b/>
          <w:sz w:val="22"/>
          <w:szCs w:val="22"/>
          <w:lang w:val="en-AU" w:eastAsia="en-US"/>
        </w:rPr>
      </w:pPr>
      <w:r w:rsidRPr="009338CE">
        <w:rPr>
          <w:rFonts w:asciiTheme="majorHAnsi" w:hAnsiTheme="majorHAnsi" w:cs="Times"/>
          <w:b/>
          <w:i/>
          <w:color w:val="000000"/>
          <w:sz w:val="22"/>
          <w:szCs w:val="22"/>
        </w:rPr>
        <w:t>Recommendation 3 – The State Party must protect against human rights abuse against children within its territory by Pfizer, including through mandatory reporting, investigation and autopsies of vaccine injuries and deaths. This requires taking appropriate steps to prevent, investigate, punish and redress such abuse, including through independent third party investigation and review of allegations of non-disclosure agreements and bribery involved in cases of children’s deaths proximate to COVID-19 jab, in accordance with effective remedy criteria in UN Guiding Principle (UNGP) on Business and Human Rights Rule 31</w:t>
      </w:r>
      <w:r w:rsidRPr="009338CE">
        <w:rPr>
          <w:rStyle w:val="FootnoteReference"/>
          <w:rFonts w:asciiTheme="majorHAnsi" w:hAnsiTheme="majorHAnsi" w:cs="Times"/>
          <w:b/>
          <w:i/>
          <w:color w:val="000000"/>
          <w:sz w:val="22"/>
          <w:szCs w:val="22"/>
        </w:rPr>
        <w:footnoteReference w:id="35"/>
      </w:r>
      <w:r w:rsidRPr="009338CE">
        <w:rPr>
          <w:rFonts w:asciiTheme="majorHAnsi" w:hAnsiTheme="majorHAnsi" w:cs="Times"/>
          <w:b/>
          <w:i/>
          <w:color w:val="000000"/>
          <w:sz w:val="22"/>
          <w:szCs w:val="22"/>
        </w:rPr>
        <w:t xml:space="preserve"> and through redress in accordance with effective remedy (UNGP rule 25</w:t>
      </w:r>
      <w:r w:rsidRPr="009338CE">
        <w:rPr>
          <w:rStyle w:val="FootnoteReference"/>
          <w:rFonts w:asciiTheme="majorHAnsi" w:hAnsiTheme="majorHAnsi" w:cs="Times"/>
          <w:b/>
          <w:i/>
          <w:color w:val="000000"/>
          <w:sz w:val="22"/>
          <w:szCs w:val="22"/>
        </w:rPr>
        <w:footnoteReference w:id="36"/>
      </w:r>
      <w:r w:rsidRPr="009338CE">
        <w:rPr>
          <w:rFonts w:asciiTheme="majorHAnsi" w:hAnsiTheme="majorHAnsi" w:cs="Times"/>
          <w:b/>
          <w:i/>
          <w:color w:val="000000"/>
          <w:sz w:val="22"/>
          <w:szCs w:val="22"/>
        </w:rPr>
        <w:t>).</w:t>
      </w:r>
    </w:p>
    <w:p w14:paraId="0B6DC77C" w14:textId="7BBDAAC8" w:rsidR="003E0C3B" w:rsidRPr="00F04A02" w:rsidRDefault="003E0C3B" w:rsidP="00F04A02">
      <w:pPr>
        <w:pStyle w:val="Heading2"/>
      </w:pPr>
      <w:r w:rsidRPr="00BF5B28">
        <w:t xml:space="preserve">Civil rights and freedoms </w:t>
      </w:r>
      <w:r w:rsidR="00F04A02" w:rsidRPr="00BF5B28">
        <w:t xml:space="preserve">- </w:t>
      </w:r>
      <w:r w:rsidRPr="00BF5B28">
        <w:t>Freedom of expression and the right to seek, receive</w:t>
      </w:r>
      <w:r w:rsidRPr="00227C9F">
        <w:t xml:space="preserve"> and impart information (art. 13); Access to information from a diversity of sources and protection from material harmful to a child’s well-being (art. 17). </w:t>
      </w:r>
    </w:p>
    <w:p w14:paraId="7844165F" w14:textId="35CDB966" w:rsidR="00874AC4" w:rsidRDefault="00874AC4" w:rsidP="00874AC4">
      <w:pPr>
        <w:pStyle w:val="Subtitle"/>
      </w:pPr>
      <w:r>
        <w:t>Mass media perpetuation of discrimination</w:t>
      </w:r>
      <w:r w:rsidR="00B351EA">
        <w:t xml:space="preserve"> and failure to inform about risks of COVID-19 vaccination</w:t>
      </w:r>
    </w:p>
    <w:p w14:paraId="609596AB" w14:textId="4ECD3878" w:rsidR="00BC733D" w:rsidRPr="003838A6" w:rsidRDefault="00472118" w:rsidP="003838A6">
      <w:pPr>
        <w:widowControl w:val="0"/>
        <w:autoSpaceDE w:val="0"/>
        <w:autoSpaceDN w:val="0"/>
        <w:adjustRightInd w:val="0"/>
        <w:rPr>
          <w:rFonts w:asciiTheme="majorHAnsi" w:hAnsiTheme="majorHAnsi" w:cs="Times New Roman"/>
          <w:b/>
          <w:color w:val="000000"/>
          <w:sz w:val="22"/>
          <w:szCs w:val="22"/>
        </w:rPr>
      </w:pPr>
      <w:r>
        <w:rPr>
          <w:rFonts w:asciiTheme="majorHAnsi" w:hAnsiTheme="majorHAnsi" w:cs="Times New Roman"/>
          <w:color w:val="000000"/>
          <w:sz w:val="22"/>
          <w:szCs w:val="22"/>
        </w:rPr>
        <w:t>T</w:t>
      </w:r>
      <w:r w:rsidR="003E0C3B" w:rsidRPr="0078617F">
        <w:rPr>
          <w:rFonts w:asciiTheme="majorHAnsi" w:hAnsiTheme="majorHAnsi" w:cs="Times New Roman"/>
          <w:color w:val="000000"/>
          <w:sz w:val="22"/>
          <w:szCs w:val="22"/>
        </w:rPr>
        <w:t xml:space="preserve">he </w:t>
      </w:r>
      <w:r>
        <w:rPr>
          <w:rFonts w:asciiTheme="majorHAnsi" w:hAnsiTheme="majorHAnsi" w:cs="Times New Roman"/>
          <w:color w:val="000000"/>
          <w:sz w:val="22"/>
          <w:szCs w:val="22"/>
        </w:rPr>
        <w:t xml:space="preserve">Committee on the Rights of the Child has commented on the </w:t>
      </w:r>
      <w:r w:rsidR="003E0C3B" w:rsidRPr="0078617F">
        <w:rPr>
          <w:rFonts w:asciiTheme="majorHAnsi" w:hAnsiTheme="majorHAnsi" w:cs="Times New Roman"/>
          <w:color w:val="000000"/>
          <w:sz w:val="22"/>
          <w:szCs w:val="22"/>
        </w:rPr>
        <w:t xml:space="preserve">particular </w:t>
      </w:r>
      <w:r w:rsidR="003E0C3B" w:rsidRPr="00F12B1B">
        <w:rPr>
          <w:rFonts w:asciiTheme="majorHAnsi" w:hAnsiTheme="majorHAnsi" w:cs="Times New Roman"/>
          <w:color w:val="000000"/>
          <w:sz w:val="22"/>
          <w:szCs w:val="22"/>
        </w:rPr>
        <w:t>role of the media with regard to the promotion and protection of child rights</w:t>
      </w:r>
      <w:r w:rsidRPr="00F12B1B">
        <w:rPr>
          <w:rFonts w:asciiTheme="majorHAnsi" w:hAnsiTheme="majorHAnsi" w:cs="Times New Roman"/>
          <w:color w:val="000000"/>
          <w:sz w:val="22"/>
          <w:szCs w:val="22"/>
        </w:rPr>
        <w:t xml:space="preserve"> in its </w:t>
      </w:r>
      <w:r>
        <w:rPr>
          <w:rFonts w:asciiTheme="majorHAnsi" w:hAnsiTheme="majorHAnsi" w:cs="Times New Roman"/>
          <w:b/>
          <w:color w:val="000000"/>
          <w:sz w:val="22"/>
          <w:szCs w:val="22"/>
        </w:rPr>
        <w:t>G</w:t>
      </w:r>
      <w:r w:rsidR="00BC733D" w:rsidRPr="009861F4">
        <w:rPr>
          <w:rFonts w:asciiTheme="majorHAnsi" w:hAnsiTheme="majorHAnsi" w:cs="Times New Roman"/>
          <w:b/>
          <w:color w:val="000000"/>
          <w:sz w:val="22"/>
          <w:szCs w:val="22"/>
        </w:rPr>
        <w:t>eneral comment</w:t>
      </w:r>
      <w:r w:rsidR="00BC733D" w:rsidRPr="00A53683">
        <w:rPr>
          <w:rFonts w:asciiTheme="majorHAnsi" w:hAnsiTheme="majorHAnsi" w:cs="Times New Roman"/>
          <w:b/>
          <w:color w:val="000000"/>
          <w:sz w:val="22"/>
          <w:szCs w:val="22"/>
        </w:rPr>
        <w:t xml:space="preserve"> No. 16 (2013) on State obligations regarding the impact of the business sector on children’s rights</w:t>
      </w:r>
      <w:r w:rsidR="00BC733D" w:rsidRPr="009861F4">
        <w:rPr>
          <w:rFonts w:asciiTheme="majorHAnsi" w:hAnsiTheme="majorHAnsi" w:cs="Times New Roman"/>
          <w:color w:val="000000"/>
          <w:sz w:val="22"/>
          <w:szCs w:val="22"/>
        </w:rPr>
        <w:t xml:space="preserve">. </w:t>
      </w:r>
      <w:r w:rsidR="00BC733D" w:rsidRPr="00F12B1B">
        <w:rPr>
          <w:rStyle w:val="SingleTxtGCar"/>
          <w:rFonts w:asciiTheme="majorHAnsi" w:eastAsiaTheme="minorEastAsia" w:hAnsiTheme="majorHAnsi"/>
          <w:sz w:val="22"/>
          <w:szCs w:val="22"/>
          <w:lang w:eastAsia="en-GB"/>
        </w:rPr>
        <w:t xml:space="preserve">The mass media industry, including advertising and marketing industries, can have positive as well as negative impacts on children’s rights. </w:t>
      </w:r>
      <w:r w:rsidR="00BC733D" w:rsidRPr="00097A3D">
        <w:rPr>
          <w:rStyle w:val="SingleTxtGCar"/>
          <w:rFonts w:asciiTheme="majorHAnsi" w:eastAsiaTheme="minorEastAsia" w:hAnsiTheme="majorHAnsi"/>
          <w:b/>
          <w:sz w:val="22"/>
          <w:szCs w:val="22"/>
          <w:lang w:eastAsia="en-GB"/>
        </w:rPr>
        <w:t xml:space="preserve">Under article 17 of the Convention, States have obligations to encourage the mass media, including private media, to disseminate information and materials of social and cultural benefit to the child, for example regarding healthy lifestyles. </w:t>
      </w:r>
      <w:r w:rsidR="00BC733D" w:rsidRPr="00F12B1B">
        <w:rPr>
          <w:rStyle w:val="SingleTxtGCar"/>
          <w:rFonts w:asciiTheme="majorHAnsi" w:eastAsiaTheme="minorEastAsia" w:hAnsiTheme="majorHAnsi"/>
          <w:sz w:val="22"/>
          <w:szCs w:val="22"/>
          <w:lang w:eastAsia="en-GB"/>
        </w:rPr>
        <w:t xml:space="preserve">The media must be regulated appropriately to protect children from harmful information, especially materials that portray or reinforce discrimination, while recognizing children's right to information and freedom of expression. </w:t>
      </w:r>
      <w:r w:rsidR="00BC733D" w:rsidRPr="00097A3D">
        <w:rPr>
          <w:rStyle w:val="SingleTxtGCar"/>
          <w:rFonts w:asciiTheme="majorHAnsi" w:eastAsiaTheme="minorEastAsia" w:hAnsiTheme="majorHAnsi"/>
          <w:b/>
          <w:sz w:val="22"/>
          <w:szCs w:val="22"/>
          <w:lang w:eastAsia="en-GB"/>
        </w:rPr>
        <w:t>States should encourage the mass media to develop guidelines to ensure full respect for the rights of the child, including their protection from portrayals that perpetuate discrimination, in all media coverage</w:t>
      </w:r>
      <w:r w:rsidR="00BC733D" w:rsidRPr="00097A3D">
        <w:rPr>
          <w:rStyle w:val="SingleTxtGCar"/>
          <w:rFonts w:asciiTheme="majorHAnsi" w:eastAsiaTheme="minorEastAsia" w:hAnsiTheme="majorHAnsi"/>
          <w:sz w:val="22"/>
          <w:szCs w:val="22"/>
          <w:lang w:eastAsia="en-GB"/>
        </w:rPr>
        <w:t xml:space="preserve">. </w:t>
      </w:r>
      <w:r w:rsidR="00BC733D" w:rsidRPr="0081338E">
        <w:rPr>
          <w:rStyle w:val="SingleTxtGCar"/>
          <w:rFonts w:asciiTheme="majorHAnsi" w:eastAsiaTheme="minorEastAsia" w:hAnsiTheme="majorHAnsi"/>
          <w:sz w:val="22"/>
          <w:szCs w:val="22"/>
          <w:lang w:eastAsia="en-GB"/>
        </w:rPr>
        <w:t>Children may regard marketing and advertisements that are transmitted through the media as truthful and unbiased and consequently can consume and use products that are harmful. </w:t>
      </w:r>
      <w:r w:rsidR="007813F2" w:rsidRPr="0081338E">
        <w:rPr>
          <w:rStyle w:val="SingleTxtGCar"/>
          <w:rFonts w:asciiTheme="majorHAnsi" w:eastAsiaTheme="minorEastAsia" w:hAnsiTheme="majorHAnsi"/>
          <w:sz w:val="22"/>
          <w:szCs w:val="22"/>
          <w:lang w:eastAsia="en-GB"/>
        </w:rPr>
        <w:t xml:space="preserve"> </w:t>
      </w:r>
      <w:r w:rsidR="00BC733D" w:rsidRPr="00097A3D">
        <w:rPr>
          <w:rStyle w:val="SingleTxtGCar"/>
          <w:rFonts w:asciiTheme="majorHAnsi" w:eastAsiaTheme="minorEastAsia" w:hAnsiTheme="majorHAnsi"/>
          <w:b/>
          <w:sz w:val="22"/>
          <w:szCs w:val="22"/>
          <w:lang w:eastAsia="en-GB"/>
        </w:rPr>
        <w:t>States should ensure that marketing and advertising do not have adverse impacts on children’s rights by adopting appropriate regulation and encouraging business enterprises to adhere to codes of conduct and use clear and accurate product labelling and information that allow parents and children to make informed consumer decisions</w:t>
      </w:r>
      <w:r w:rsidR="00BC733D" w:rsidRPr="00097A3D">
        <w:rPr>
          <w:rStyle w:val="SingleTxtGCar"/>
          <w:rFonts w:asciiTheme="majorHAnsi" w:eastAsiaTheme="minorEastAsia" w:hAnsiTheme="majorHAnsi"/>
          <w:sz w:val="22"/>
          <w:szCs w:val="22"/>
          <w:lang w:eastAsia="en-GB"/>
        </w:rPr>
        <w:t>.</w:t>
      </w:r>
      <w:r w:rsidR="003838A6">
        <w:rPr>
          <w:rStyle w:val="FootnoteReference"/>
          <w:rFonts w:cs="Times New Roman"/>
          <w:szCs w:val="22"/>
          <w:lang w:val="x-none" w:eastAsia="en-GB"/>
        </w:rPr>
        <w:footnoteReference w:id="37"/>
      </w:r>
    </w:p>
    <w:p w14:paraId="7427BAAA" w14:textId="77777777" w:rsidR="00015DE6" w:rsidRDefault="00015DE6" w:rsidP="0078617F">
      <w:pPr>
        <w:widowControl w:val="0"/>
        <w:autoSpaceDE w:val="0"/>
        <w:autoSpaceDN w:val="0"/>
        <w:adjustRightInd w:val="0"/>
        <w:rPr>
          <w:rFonts w:asciiTheme="majorHAnsi" w:hAnsiTheme="majorHAnsi" w:cs="Times New Roman"/>
          <w:color w:val="000000"/>
          <w:sz w:val="22"/>
          <w:szCs w:val="22"/>
        </w:rPr>
      </w:pPr>
    </w:p>
    <w:p w14:paraId="4EB2B8BB" w14:textId="32C89402" w:rsidR="004D495D" w:rsidRDefault="00B47CFB" w:rsidP="00672A1A">
      <w:pPr>
        <w:rPr>
          <w:rFonts w:ascii="Calibri" w:eastAsia="Calibri" w:hAnsi="Calibri" w:cs="Calibri"/>
          <w:color w:val="000000"/>
          <w:sz w:val="22"/>
          <w:szCs w:val="22"/>
        </w:rPr>
      </w:pPr>
      <w:r w:rsidRPr="00EC3DA4">
        <w:rPr>
          <w:rFonts w:asciiTheme="majorHAnsi" w:hAnsiTheme="majorHAnsi" w:cs="Times New Roman"/>
          <w:sz w:val="22"/>
          <w:szCs w:val="22"/>
        </w:rPr>
        <w:t>Notwithstanding, the New Zealand mainstream media has con</w:t>
      </w:r>
      <w:r w:rsidR="005A1C54" w:rsidRPr="00EC3DA4">
        <w:rPr>
          <w:rFonts w:asciiTheme="majorHAnsi" w:hAnsiTheme="majorHAnsi" w:cs="Times New Roman"/>
          <w:sz w:val="22"/>
          <w:szCs w:val="22"/>
        </w:rPr>
        <w:t>sistently broadcast</w:t>
      </w:r>
      <w:r w:rsidRPr="00EC3DA4">
        <w:rPr>
          <w:rFonts w:asciiTheme="majorHAnsi" w:hAnsiTheme="majorHAnsi" w:cs="Times New Roman"/>
          <w:sz w:val="22"/>
          <w:szCs w:val="22"/>
        </w:rPr>
        <w:t xml:space="preserve"> the Government’s “safe and effective” message about the Pfi</w:t>
      </w:r>
      <w:r w:rsidR="005A1C54" w:rsidRPr="00EC3DA4">
        <w:rPr>
          <w:rFonts w:asciiTheme="majorHAnsi" w:hAnsiTheme="majorHAnsi" w:cs="Times New Roman"/>
          <w:sz w:val="22"/>
          <w:szCs w:val="22"/>
        </w:rPr>
        <w:t xml:space="preserve">zer vaccine, </w:t>
      </w:r>
      <w:r w:rsidR="005A1C54" w:rsidRPr="002E63AF">
        <w:rPr>
          <w:rFonts w:asciiTheme="majorHAnsi" w:hAnsiTheme="majorHAnsi" w:cs="Times New Roman"/>
          <w:b/>
          <w:sz w:val="22"/>
          <w:szCs w:val="22"/>
        </w:rPr>
        <w:t xml:space="preserve">without informing </w:t>
      </w:r>
      <w:r w:rsidRPr="002E63AF">
        <w:rPr>
          <w:rFonts w:asciiTheme="majorHAnsi" w:hAnsiTheme="majorHAnsi" w:cs="Times New Roman"/>
          <w:b/>
          <w:sz w:val="22"/>
          <w:szCs w:val="22"/>
        </w:rPr>
        <w:t>parents or children about the risks associated</w:t>
      </w:r>
      <w:r w:rsidR="009462B0" w:rsidRPr="002E63AF">
        <w:rPr>
          <w:rFonts w:asciiTheme="majorHAnsi" w:hAnsiTheme="majorHAnsi" w:cs="Times New Roman"/>
          <w:b/>
          <w:sz w:val="22"/>
          <w:szCs w:val="22"/>
        </w:rPr>
        <w:t xml:space="preserve"> </w:t>
      </w:r>
      <w:r w:rsidRPr="002E63AF">
        <w:rPr>
          <w:rFonts w:asciiTheme="majorHAnsi" w:hAnsiTheme="majorHAnsi" w:cs="Times New Roman"/>
          <w:b/>
          <w:sz w:val="22"/>
          <w:szCs w:val="22"/>
        </w:rPr>
        <w:t>with the COVID-19 injections</w:t>
      </w:r>
      <w:r w:rsidR="002E63AF">
        <w:rPr>
          <w:rFonts w:asciiTheme="majorHAnsi" w:hAnsiTheme="majorHAnsi" w:cs="Times New Roman"/>
          <w:sz w:val="22"/>
          <w:szCs w:val="22"/>
        </w:rPr>
        <w:t xml:space="preserve">, </w:t>
      </w:r>
      <w:r w:rsidR="00D65F21">
        <w:rPr>
          <w:rFonts w:asciiTheme="majorHAnsi" w:hAnsiTheme="majorHAnsi" w:cs="Times New Roman"/>
          <w:sz w:val="22"/>
          <w:szCs w:val="22"/>
        </w:rPr>
        <w:t>which does not allow for the making of informed consumer decisions</w:t>
      </w:r>
      <w:r w:rsidRPr="00EC3DA4">
        <w:rPr>
          <w:rFonts w:asciiTheme="majorHAnsi" w:hAnsiTheme="majorHAnsi" w:cs="Times New Roman"/>
          <w:sz w:val="22"/>
          <w:szCs w:val="22"/>
        </w:rPr>
        <w:t>.</w:t>
      </w:r>
      <w:r w:rsidR="00F15E9D">
        <w:rPr>
          <w:rStyle w:val="FootnoteReference"/>
          <w:rFonts w:cs="Times New Roman"/>
          <w:szCs w:val="22"/>
        </w:rPr>
        <w:footnoteReference w:id="38"/>
      </w:r>
      <w:r w:rsidRPr="00EC3DA4">
        <w:rPr>
          <w:rFonts w:asciiTheme="majorHAnsi" w:hAnsiTheme="majorHAnsi" w:cs="Times New Roman"/>
          <w:sz w:val="22"/>
          <w:szCs w:val="22"/>
        </w:rPr>
        <w:t xml:space="preserve">  </w:t>
      </w:r>
      <w:r w:rsidR="00EC3DA4" w:rsidRPr="00EC3DA4">
        <w:rPr>
          <w:rFonts w:asciiTheme="majorHAnsi" w:hAnsiTheme="majorHAnsi" w:cs="Times New Roman"/>
          <w:sz w:val="22"/>
          <w:szCs w:val="22"/>
        </w:rPr>
        <w:t>However, c</w:t>
      </w:r>
      <w:r w:rsidR="009462B0" w:rsidRPr="00EC3DA4">
        <w:rPr>
          <w:rFonts w:asciiTheme="majorHAnsi" w:hAnsiTheme="majorHAnsi" w:cs="Times New Roman"/>
          <w:sz w:val="22"/>
          <w:szCs w:val="22"/>
        </w:rPr>
        <w:t>omplaints to the Broadcasting Standards Authority result in decisions which always side with the Government.  For example, New Zealand Doctors Speaking Out with</w:t>
      </w:r>
      <w:r w:rsidR="00D202FE" w:rsidRPr="00EC3DA4">
        <w:rPr>
          <w:rFonts w:asciiTheme="majorHAnsi" w:hAnsiTheme="majorHAnsi" w:cs="Times New Roman"/>
          <w:sz w:val="22"/>
          <w:szCs w:val="22"/>
        </w:rPr>
        <w:t xml:space="preserve"> Science complained to the BSA about a one sided broadcast on the 7pm national news in October 2021</w:t>
      </w:r>
      <w:r w:rsidR="00EC3DA4" w:rsidRPr="00EC3DA4">
        <w:rPr>
          <w:rFonts w:asciiTheme="majorHAnsi" w:hAnsiTheme="majorHAnsi" w:cs="Times New Roman"/>
          <w:sz w:val="22"/>
          <w:szCs w:val="22"/>
        </w:rPr>
        <w:t xml:space="preserve">, </w:t>
      </w:r>
      <w:r w:rsidR="00EC3DA4" w:rsidRPr="00EC3DA4">
        <w:rPr>
          <w:rFonts w:asciiTheme="majorHAnsi" w:eastAsia="Times New Roman" w:hAnsiTheme="majorHAnsi" w:cs="Times New Roman"/>
          <w:sz w:val="22"/>
          <w:szCs w:val="22"/>
          <w:shd w:val="clear" w:color="auto" w:fill="FFFFFF"/>
          <w:lang w:val="en-AU" w:eastAsia="en-US"/>
        </w:rPr>
        <w:t>identifying numerous breaches of the Broadcasting Standards Authority Free-To-Air Television Code Standard 9 – Accuracy.</w:t>
      </w:r>
      <w:r w:rsidR="00D65F21" w:rsidRPr="00D65F21">
        <w:rPr>
          <w:rStyle w:val="FootnoteReference"/>
          <w:rFonts w:asciiTheme="majorHAnsi" w:hAnsiTheme="majorHAnsi" w:cs="Times New Roman"/>
          <w:sz w:val="22"/>
          <w:szCs w:val="22"/>
        </w:rPr>
        <w:t xml:space="preserve"> </w:t>
      </w:r>
      <w:r w:rsidR="00D65F21" w:rsidRPr="00EC3DA4">
        <w:rPr>
          <w:rStyle w:val="FootnoteReference"/>
          <w:rFonts w:asciiTheme="majorHAnsi" w:hAnsiTheme="majorHAnsi" w:cs="Times New Roman"/>
          <w:sz w:val="22"/>
          <w:szCs w:val="22"/>
        </w:rPr>
        <w:footnoteReference w:id="39"/>
      </w:r>
      <w:r w:rsidR="000D6BD3">
        <w:rPr>
          <w:rStyle w:val="FootnoteReference"/>
          <w:rFonts w:asciiTheme="majorHAnsi" w:hAnsiTheme="majorHAnsi" w:cs="Times New Roman"/>
          <w:sz w:val="22"/>
          <w:szCs w:val="22"/>
        </w:rPr>
        <w:t xml:space="preserve"> </w:t>
      </w:r>
      <w:r w:rsidR="000D6BD3" w:rsidRPr="00672A1A">
        <w:rPr>
          <w:rStyle w:val="FootnoteReference"/>
          <w:rFonts w:asciiTheme="majorHAnsi" w:hAnsiTheme="majorHAnsi" w:cs="Times New Roman"/>
          <w:sz w:val="22"/>
          <w:szCs w:val="22"/>
          <w:vertAlign w:val="baseline"/>
        </w:rPr>
        <w:t xml:space="preserve">Moreover, </w:t>
      </w:r>
      <w:r w:rsidR="0074522A" w:rsidRPr="00672A1A">
        <w:rPr>
          <w:rFonts w:ascii="Calibri" w:eastAsia="Calibri" w:hAnsi="Calibri" w:cs="Calibri"/>
          <w:b/>
          <w:color w:val="000000"/>
          <w:sz w:val="22"/>
          <w:szCs w:val="22"/>
        </w:rPr>
        <w:t>a</w:t>
      </w:r>
      <w:r w:rsidR="000D6BD3" w:rsidRPr="00672A1A">
        <w:rPr>
          <w:rFonts w:ascii="Calibri" w:eastAsia="Calibri" w:hAnsi="Calibri" w:cs="Calibri"/>
          <w:b/>
          <w:color w:val="000000"/>
          <w:sz w:val="22"/>
          <w:szCs w:val="22"/>
        </w:rPr>
        <w:t>nyone who dares counter the Government’s narrative is dismissed and censored usi</w:t>
      </w:r>
      <w:r w:rsidR="000D6BD3" w:rsidRPr="005B3CE4">
        <w:rPr>
          <w:rFonts w:ascii="Calibri" w:eastAsia="Calibri" w:hAnsi="Calibri" w:cs="Calibri"/>
          <w:b/>
          <w:color w:val="000000"/>
          <w:sz w:val="22"/>
          <w:szCs w:val="22"/>
        </w:rPr>
        <w:t xml:space="preserve">ng derogatory terms </w:t>
      </w:r>
      <w:r w:rsidR="000D6BD3">
        <w:rPr>
          <w:rFonts w:ascii="Calibri" w:eastAsia="Calibri" w:hAnsi="Calibri" w:cs="Calibri"/>
          <w:b/>
          <w:color w:val="000000"/>
          <w:sz w:val="22"/>
          <w:szCs w:val="22"/>
        </w:rPr>
        <w:t>such as “selfish”, “anti-vaxxer</w:t>
      </w:r>
      <w:r w:rsidR="000D6BD3" w:rsidRPr="005B3CE4">
        <w:rPr>
          <w:rFonts w:ascii="Calibri" w:eastAsia="Calibri" w:hAnsi="Calibri" w:cs="Calibri"/>
          <w:b/>
          <w:color w:val="000000"/>
          <w:sz w:val="22"/>
          <w:szCs w:val="22"/>
        </w:rPr>
        <w:t>”</w:t>
      </w:r>
      <w:r w:rsidR="000D6BD3">
        <w:rPr>
          <w:rFonts w:ascii="Calibri" w:eastAsia="Calibri" w:hAnsi="Calibri" w:cs="Calibri"/>
          <w:b/>
          <w:color w:val="000000"/>
          <w:sz w:val="22"/>
          <w:szCs w:val="22"/>
        </w:rPr>
        <w:t>, including in the mainstream media</w:t>
      </w:r>
      <w:r w:rsidR="00362C7E">
        <w:rPr>
          <w:rStyle w:val="FootnoteReference"/>
          <w:rFonts w:cs="Times New Roman"/>
          <w:szCs w:val="22"/>
          <w:lang w:val="x-none" w:eastAsia="en-GB"/>
        </w:rPr>
        <w:footnoteReference w:id="40"/>
      </w:r>
      <w:r w:rsidR="0074522A">
        <w:rPr>
          <w:rFonts w:ascii="Calibri" w:eastAsia="Calibri" w:hAnsi="Calibri" w:cs="Calibri"/>
          <w:b/>
          <w:color w:val="000000"/>
          <w:sz w:val="22"/>
          <w:szCs w:val="22"/>
        </w:rPr>
        <w:t xml:space="preserve"> </w:t>
      </w:r>
      <w:r w:rsidR="0074522A" w:rsidRPr="0074522A">
        <w:rPr>
          <w:rFonts w:ascii="Calibri" w:eastAsia="Calibri" w:hAnsi="Calibri" w:cs="Calibri"/>
          <w:color w:val="000000"/>
          <w:sz w:val="22"/>
          <w:szCs w:val="22"/>
        </w:rPr>
        <w:t>(see below)</w:t>
      </w:r>
      <w:r w:rsidR="00672A1A">
        <w:rPr>
          <w:rFonts w:ascii="Calibri" w:eastAsia="Calibri" w:hAnsi="Calibri" w:cs="Calibri"/>
          <w:color w:val="000000"/>
          <w:sz w:val="22"/>
          <w:szCs w:val="22"/>
        </w:rPr>
        <w:t>, which perpetuates discrimination</w:t>
      </w:r>
      <w:r w:rsidR="000D6BD3" w:rsidRPr="00F04F66">
        <w:rPr>
          <w:rFonts w:ascii="Calibri" w:eastAsia="Calibri" w:hAnsi="Calibri" w:cs="Calibri"/>
          <w:color w:val="000000"/>
          <w:sz w:val="22"/>
          <w:szCs w:val="22"/>
        </w:rPr>
        <w:t xml:space="preserve">.  </w:t>
      </w:r>
    </w:p>
    <w:p w14:paraId="5EF7B75F" w14:textId="77777777" w:rsidR="00672A1A" w:rsidRPr="00672A1A" w:rsidRDefault="00672A1A" w:rsidP="00672A1A">
      <w:pPr>
        <w:rPr>
          <w:rFonts w:asciiTheme="majorHAnsi" w:eastAsia="Times New Roman" w:hAnsiTheme="majorHAnsi" w:cs="Times New Roman"/>
          <w:sz w:val="22"/>
          <w:szCs w:val="22"/>
          <w:lang w:val="en-AU" w:eastAsia="en-US"/>
        </w:rPr>
      </w:pPr>
    </w:p>
    <w:p w14:paraId="1B338DCD" w14:textId="5DD85145" w:rsidR="00FC509A" w:rsidRPr="007A4959" w:rsidRDefault="004D495D" w:rsidP="004D495D">
      <w:pPr>
        <w:pStyle w:val="Subtitle"/>
      </w:pPr>
      <w:r>
        <w:t>Difficult access to information about risks, uncertainties and alternatives to vaccination sufficient to provide informed consent</w:t>
      </w:r>
    </w:p>
    <w:p w14:paraId="50917E3F" w14:textId="1ED1C003" w:rsidR="00F06ACB" w:rsidRPr="00585D50" w:rsidRDefault="003273AE" w:rsidP="00F06ACB">
      <w:pPr>
        <w:pStyle w:val="Normal1"/>
        <w:rPr>
          <w:rFonts w:asciiTheme="majorHAnsi" w:hAnsiTheme="majorHAnsi"/>
          <w:sz w:val="22"/>
          <w:szCs w:val="22"/>
        </w:rPr>
      </w:pPr>
      <w:r>
        <w:rPr>
          <w:rFonts w:asciiTheme="majorHAnsi" w:eastAsia="Calibri" w:hAnsiTheme="majorHAnsi" w:cs="Calibri"/>
          <w:sz w:val="22"/>
          <w:szCs w:val="22"/>
        </w:rPr>
        <w:t>Moreover, i</w:t>
      </w:r>
      <w:r w:rsidR="00F06ACB" w:rsidRPr="00585D50">
        <w:rPr>
          <w:rFonts w:asciiTheme="majorHAnsi" w:eastAsia="Calibri" w:hAnsiTheme="majorHAnsi" w:cs="Calibri"/>
          <w:sz w:val="22"/>
          <w:szCs w:val="22"/>
        </w:rPr>
        <w:t>t has been v</w:t>
      </w:r>
      <w:r w:rsidR="00F06ACB" w:rsidRPr="003273AE">
        <w:rPr>
          <w:rFonts w:asciiTheme="majorHAnsi" w:eastAsia="Calibri" w:hAnsiTheme="majorHAnsi" w:cs="Calibri"/>
          <w:b/>
          <w:sz w:val="22"/>
          <w:szCs w:val="22"/>
        </w:rPr>
        <w:t>ery difficult to access information on the risks, benefits, uncertainties and alternatives to vaccination sufficient for providing informed consent</w:t>
      </w:r>
      <w:r w:rsidR="00F06ACB" w:rsidRPr="00585D50">
        <w:rPr>
          <w:rFonts w:asciiTheme="majorHAnsi" w:eastAsia="Calibri" w:hAnsiTheme="majorHAnsi" w:cs="Calibri"/>
          <w:sz w:val="22"/>
          <w:szCs w:val="22"/>
        </w:rPr>
        <w:t xml:space="preserve">.  The New Zealand Government and Medical Council of New Zealand have effectively forced a single narrative that the COVID-19 vaccines are “safe and effective”, and have </w:t>
      </w:r>
      <w:r w:rsidR="00F06ACB" w:rsidRPr="002D02B1">
        <w:rPr>
          <w:rFonts w:asciiTheme="majorHAnsi" w:eastAsia="Calibri" w:hAnsiTheme="majorHAnsi" w:cs="Calibri"/>
          <w:b/>
          <w:sz w:val="22"/>
          <w:szCs w:val="22"/>
        </w:rPr>
        <w:t xml:space="preserve">directly impeded medical doctors from informing their patients about the risks of such vaccines, through use of threats and coercion, suspension of medical licenses of doctors who provide their patients with the ability to make informed consent </w:t>
      </w:r>
      <w:r w:rsidR="00F06ACB" w:rsidRPr="00585D50">
        <w:rPr>
          <w:rFonts w:asciiTheme="majorHAnsi" w:eastAsia="Calibri" w:hAnsiTheme="majorHAnsi" w:cs="Calibri"/>
          <w:sz w:val="22"/>
          <w:szCs w:val="22"/>
        </w:rPr>
        <w:t>(see below).  This is despite Medsafe declining full consent for the PfizerVax and on 3 February 2021 and again on 21 June 2021 giving only Section 23 "Provisional Consent" subject to 58 conditions, which required more information on safety, effectiveness and product integrity, and t</w:t>
      </w:r>
      <w:r w:rsidR="00F06ACB" w:rsidRPr="002D02B1">
        <w:rPr>
          <w:rFonts w:asciiTheme="majorHAnsi" w:eastAsia="Calibri" w:hAnsiTheme="majorHAnsi" w:cs="Calibri"/>
          <w:sz w:val="22"/>
          <w:szCs w:val="22"/>
        </w:rPr>
        <w:t xml:space="preserve">he findings of the High Court in the </w:t>
      </w:r>
      <w:r w:rsidR="00F06ACB" w:rsidRPr="00362C7E">
        <w:rPr>
          <w:rFonts w:asciiTheme="majorHAnsi" w:eastAsia="Calibri" w:hAnsiTheme="majorHAnsi" w:cs="Calibri"/>
          <w:i/>
          <w:sz w:val="22"/>
          <w:szCs w:val="22"/>
        </w:rPr>
        <w:t>Nga Kaitiaki Tuko Ihu Medical Society challenge</w:t>
      </w:r>
      <w:r w:rsidRPr="002D02B1">
        <w:rPr>
          <w:rStyle w:val="FootnoteReference"/>
          <w:rFonts w:eastAsia="Calibri" w:cs="Calibri"/>
          <w:szCs w:val="22"/>
        </w:rPr>
        <w:footnoteReference w:id="41"/>
      </w:r>
      <w:r w:rsidR="00F06ACB" w:rsidRPr="002D02B1">
        <w:rPr>
          <w:rFonts w:asciiTheme="majorHAnsi" w:eastAsia="Calibri" w:hAnsiTheme="majorHAnsi" w:cs="Calibri"/>
          <w:sz w:val="22"/>
          <w:szCs w:val="22"/>
        </w:rPr>
        <w:t xml:space="preserve"> which re</w:t>
      </w:r>
      <w:r w:rsidR="00F06ACB" w:rsidRPr="00585D50">
        <w:rPr>
          <w:rFonts w:asciiTheme="majorHAnsi" w:eastAsia="Calibri" w:hAnsiTheme="majorHAnsi" w:cs="Calibri"/>
          <w:sz w:val="22"/>
          <w:szCs w:val="22"/>
        </w:rPr>
        <w:t>sulted in Parliament making an emergency retrospective change to the Medicines Act the next day. Please see also Pfizer’s publication of extensive vaccine injuries</w:t>
      </w:r>
      <w:r w:rsidR="002D02B1">
        <w:rPr>
          <w:rFonts w:asciiTheme="majorHAnsi" w:eastAsia="Calibri" w:hAnsiTheme="majorHAnsi" w:cs="Calibri"/>
          <w:sz w:val="22"/>
          <w:szCs w:val="22"/>
        </w:rPr>
        <w:t>.</w:t>
      </w:r>
      <w:r w:rsidR="002D02B1">
        <w:rPr>
          <w:rStyle w:val="FootnoteReference"/>
          <w:rFonts w:eastAsia="Calibri" w:cs="Calibri"/>
          <w:szCs w:val="22"/>
        </w:rPr>
        <w:footnoteReference w:id="42"/>
      </w:r>
      <w:r w:rsidR="00F06ACB" w:rsidRPr="00585D50">
        <w:rPr>
          <w:rFonts w:asciiTheme="majorHAnsi" w:eastAsia="Calibri" w:hAnsiTheme="majorHAnsi" w:cs="Calibri"/>
          <w:sz w:val="22"/>
          <w:szCs w:val="22"/>
        </w:rPr>
        <w:t xml:space="preserve"> </w:t>
      </w:r>
    </w:p>
    <w:p w14:paraId="78A50DA7" w14:textId="77777777" w:rsidR="00F06ACB" w:rsidRDefault="00F06ACB" w:rsidP="00F06ACB">
      <w:pPr>
        <w:pStyle w:val="Normal1"/>
      </w:pPr>
    </w:p>
    <w:p w14:paraId="6F09A68B" w14:textId="5CBAD823" w:rsidR="00F06ACB" w:rsidRPr="002C2D6E" w:rsidRDefault="002C2D6E" w:rsidP="00F06ACB">
      <w:pPr>
        <w:pStyle w:val="Normal1"/>
        <w:rPr>
          <w:rFonts w:ascii="Calibri" w:eastAsia="Calibri" w:hAnsi="Calibri" w:cs="Calibri"/>
          <w:color w:val="000000"/>
          <w:sz w:val="22"/>
          <w:szCs w:val="22"/>
          <w:highlight w:val="white"/>
        </w:rPr>
      </w:pPr>
      <w:r>
        <w:rPr>
          <w:rFonts w:ascii="Calibri" w:eastAsia="Calibri" w:hAnsi="Calibri" w:cs="Calibri"/>
          <w:sz w:val="22"/>
          <w:szCs w:val="22"/>
        </w:rPr>
        <w:t xml:space="preserve">This </w:t>
      </w:r>
      <w:r w:rsidRPr="002C2D6E">
        <w:rPr>
          <w:rFonts w:ascii="Calibri" w:eastAsia="Calibri" w:hAnsi="Calibri" w:cs="Calibri"/>
          <w:b/>
          <w:sz w:val="22"/>
          <w:szCs w:val="22"/>
        </w:rPr>
        <w:t>violates the right of children, including disabled children, to access information and both the risks and benefits of vaccination, particularly as it relates to individual medical conditions</w:t>
      </w:r>
      <w:r>
        <w:rPr>
          <w:rFonts w:ascii="Calibri" w:eastAsia="Calibri" w:hAnsi="Calibri" w:cs="Calibri"/>
          <w:sz w:val="22"/>
          <w:szCs w:val="22"/>
        </w:rPr>
        <w:t xml:space="preserve">.  </w:t>
      </w:r>
      <w:r w:rsidR="00F06ACB">
        <w:rPr>
          <w:rFonts w:ascii="Calibri" w:eastAsia="Calibri" w:hAnsi="Calibri" w:cs="Calibri"/>
          <w:sz w:val="22"/>
          <w:szCs w:val="22"/>
        </w:rPr>
        <w:t xml:space="preserve">This violates the right to freedom of expression, which includes the freedom to receive and impart information of all kinds. It forces doctors to violate their Hippocratic oath to “do no harm”.  It violates people’s right to refuse medical treatment. Moreover, the fact that doctors have been punished for speaking out about the risks of these vaccines is unlawful discrimination based on their dissenting political views. Moreover, </w:t>
      </w:r>
      <w:r w:rsidR="00F06ACB" w:rsidRPr="00B966DA">
        <w:rPr>
          <w:rFonts w:ascii="Calibri" w:eastAsia="Calibri" w:hAnsi="Calibri" w:cs="Calibri"/>
          <w:b/>
          <w:sz w:val="22"/>
          <w:szCs w:val="22"/>
        </w:rPr>
        <w:t xml:space="preserve">doctors, scientists and others who have spoken out against the government agenda have done so with absolutely no financial interests at stake </w:t>
      </w:r>
      <w:r w:rsidR="00F06ACB">
        <w:rPr>
          <w:rFonts w:ascii="Calibri" w:eastAsia="Calibri" w:hAnsi="Calibri" w:cs="Calibri"/>
          <w:sz w:val="22"/>
          <w:szCs w:val="22"/>
        </w:rPr>
        <w:t xml:space="preserve">– no one paid them to voice their opinions, they made no money by doing so, and </w:t>
      </w:r>
      <w:r w:rsidR="00F06ACB" w:rsidRPr="00B966DA">
        <w:rPr>
          <w:rFonts w:ascii="Calibri" w:eastAsia="Calibri" w:hAnsi="Calibri" w:cs="Calibri"/>
          <w:b/>
          <w:sz w:val="22"/>
          <w:szCs w:val="22"/>
        </w:rPr>
        <w:t>in fact many of those who have spoken out have lost their jobs as a result</w:t>
      </w:r>
      <w:r w:rsidR="00F06ACB">
        <w:rPr>
          <w:rFonts w:ascii="Calibri" w:eastAsia="Calibri" w:hAnsi="Calibri" w:cs="Calibri"/>
          <w:sz w:val="22"/>
          <w:szCs w:val="22"/>
        </w:rPr>
        <w:t xml:space="preserve">, so their </w:t>
      </w:r>
      <w:r w:rsidR="00F06ACB" w:rsidRPr="008B78E5">
        <w:rPr>
          <w:rFonts w:ascii="Calibri" w:eastAsia="Calibri" w:hAnsi="Calibri" w:cs="Calibri"/>
          <w:sz w:val="22"/>
          <w:szCs w:val="22"/>
        </w:rPr>
        <w:t xml:space="preserve">motives are pristine.  Can the New Zealand Government say the same?  The Government has </w:t>
      </w:r>
      <w:r w:rsidR="00F06ACB">
        <w:rPr>
          <w:rFonts w:ascii="Calibri" w:eastAsia="Calibri" w:hAnsi="Calibri" w:cs="Calibri"/>
          <w:sz w:val="22"/>
          <w:szCs w:val="22"/>
        </w:rPr>
        <w:t xml:space="preserve">consistently refused to publish their contract with Pfizer, hiding behind a veil of corporate secrecy.  The </w:t>
      </w:r>
      <w:r w:rsidR="00F06ACB" w:rsidRPr="00842E97">
        <w:rPr>
          <w:rFonts w:ascii="Calibri" w:eastAsia="Calibri" w:hAnsi="Calibri" w:cs="Calibri"/>
          <w:b/>
          <w:sz w:val="22"/>
          <w:szCs w:val="22"/>
        </w:rPr>
        <w:t xml:space="preserve">UN Special Rapporteur on the right of everyone to the highest attainable standard of physical and mental health </w:t>
      </w:r>
      <w:r w:rsidR="00F06ACB">
        <w:rPr>
          <w:rFonts w:ascii="Calibri" w:eastAsia="Calibri" w:hAnsi="Calibri" w:cs="Calibri"/>
          <w:sz w:val="22"/>
          <w:szCs w:val="22"/>
        </w:rPr>
        <w:t xml:space="preserve">in a report to the Secretary-General in July 2020 noted that he had previously </w:t>
      </w:r>
      <w:r w:rsidR="00F06ACB" w:rsidRPr="001777B0">
        <w:rPr>
          <w:rFonts w:asciiTheme="majorHAnsi" w:hAnsiTheme="majorHAnsi"/>
          <w:sz w:val="22"/>
          <w:szCs w:val="22"/>
        </w:rPr>
        <w:t xml:space="preserve">drawn attention to the </w:t>
      </w:r>
      <w:r w:rsidR="00F06ACB" w:rsidRPr="00842E97">
        <w:rPr>
          <w:rFonts w:asciiTheme="majorHAnsi" w:hAnsiTheme="majorHAnsi"/>
          <w:b/>
          <w:sz w:val="22"/>
          <w:szCs w:val="22"/>
        </w:rPr>
        <w:t>devastating effect of corruption on good governance, the rule of law, development and the equitable enjoyment of all human rights, including the right to health</w:t>
      </w:r>
      <w:r w:rsidR="00F06ACB" w:rsidRPr="001777B0">
        <w:rPr>
          <w:rFonts w:asciiTheme="majorHAnsi" w:hAnsiTheme="majorHAnsi"/>
          <w:sz w:val="22"/>
          <w:szCs w:val="22"/>
        </w:rPr>
        <w:t>.</w:t>
      </w:r>
      <w:r w:rsidR="00F06ACB">
        <w:rPr>
          <w:rStyle w:val="FootnoteReference"/>
          <w:rFonts w:asciiTheme="majorHAnsi" w:hAnsiTheme="majorHAnsi"/>
          <w:sz w:val="22"/>
          <w:szCs w:val="22"/>
        </w:rPr>
        <w:footnoteReference w:id="43"/>
      </w:r>
      <w:r w:rsidR="00F06ACB" w:rsidRPr="001777B0">
        <w:rPr>
          <w:rFonts w:asciiTheme="majorHAnsi" w:hAnsiTheme="majorHAnsi"/>
          <w:sz w:val="22"/>
          <w:szCs w:val="22"/>
        </w:rPr>
        <w:t xml:space="preserve"> </w:t>
      </w:r>
      <w:r w:rsidR="00F06ACB">
        <w:rPr>
          <w:rFonts w:asciiTheme="majorHAnsi" w:hAnsiTheme="majorHAnsi"/>
          <w:sz w:val="22"/>
          <w:szCs w:val="22"/>
        </w:rPr>
        <w:t>He noted that i</w:t>
      </w:r>
      <w:r w:rsidR="00F06ACB" w:rsidRPr="001777B0">
        <w:rPr>
          <w:rFonts w:asciiTheme="majorHAnsi" w:hAnsiTheme="majorHAnsi"/>
          <w:sz w:val="22"/>
          <w:szCs w:val="22"/>
        </w:rPr>
        <w:t xml:space="preserve">n many countries, health care is among the most corrupt sectors. This is of concern during the COVID-19 pandemic, owing to the increase in urgent government procurement and distribution. </w:t>
      </w:r>
      <w:r w:rsidR="00F06ACB" w:rsidRPr="009E4206">
        <w:rPr>
          <w:rFonts w:asciiTheme="majorHAnsi" w:hAnsiTheme="majorHAnsi"/>
          <w:b/>
          <w:sz w:val="22"/>
          <w:szCs w:val="22"/>
        </w:rPr>
        <w:t>Corruption originates from power imbalances, is perpetuated by non-transparent decision-making and reinforces ineffective and harmful policymaking and health-care services provision</w:t>
      </w:r>
      <w:r w:rsidR="00F06ACB" w:rsidRPr="001777B0">
        <w:rPr>
          <w:rFonts w:asciiTheme="majorHAnsi" w:hAnsiTheme="majorHAnsi"/>
          <w:sz w:val="22"/>
          <w:szCs w:val="22"/>
        </w:rPr>
        <w:t>.</w:t>
      </w:r>
      <w:r w:rsidR="00F06ACB" w:rsidRPr="00842E97">
        <w:rPr>
          <w:rStyle w:val="FootnoteReference"/>
          <w:rFonts w:asciiTheme="majorHAnsi" w:hAnsiTheme="majorHAnsi"/>
          <w:sz w:val="22"/>
          <w:szCs w:val="22"/>
        </w:rPr>
        <w:t xml:space="preserve"> </w:t>
      </w:r>
      <w:r w:rsidR="00F06ACB">
        <w:rPr>
          <w:rStyle w:val="FootnoteReference"/>
          <w:rFonts w:asciiTheme="majorHAnsi" w:hAnsiTheme="majorHAnsi"/>
          <w:sz w:val="22"/>
          <w:szCs w:val="22"/>
        </w:rPr>
        <w:footnoteReference w:id="44"/>
      </w:r>
      <w:r w:rsidR="00F06ACB" w:rsidRPr="001777B0">
        <w:rPr>
          <w:rFonts w:asciiTheme="majorHAnsi" w:hAnsiTheme="majorHAnsi"/>
          <w:sz w:val="22"/>
          <w:szCs w:val="22"/>
        </w:rPr>
        <w:t xml:space="preserve"> </w:t>
      </w:r>
      <w:r w:rsidR="00F06ACB">
        <w:rPr>
          <w:rFonts w:asciiTheme="majorHAnsi" w:eastAsia="Calibri" w:hAnsiTheme="majorHAnsi" w:cs="Calibri"/>
          <w:sz w:val="22"/>
          <w:szCs w:val="22"/>
        </w:rPr>
        <w:t xml:space="preserve">He observed that </w:t>
      </w:r>
      <w:r w:rsidR="00F06ACB">
        <w:rPr>
          <w:rFonts w:asciiTheme="majorHAnsi" w:hAnsiTheme="majorHAnsi"/>
          <w:sz w:val="22"/>
          <w:szCs w:val="22"/>
        </w:rPr>
        <w:t>m</w:t>
      </w:r>
      <w:r w:rsidR="00F06ACB" w:rsidRPr="001777B0">
        <w:rPr>
          <w:rFonts w:asciiTheme="majorHAnsi" w:hAnsiTheme="majorHAnsi"/>
          <w:sz w:val="22"/>
          <w:szCs w:val="22"/>
        </w:rPr>
        <w:t>any political decisions made at the early stages of the COVID-19 pandemic suggest an allegiance to business and profits rather than to people’s human rights entitlements.</w:t>
      </w:r>
      <w:r w:rsidR="00F06ACB" w:rsidRPr="007F463D">
        <w:rPr>
          <w:rStyle w:val="FootnoteReference"/>
          <w:rFonts w:asciiTheme="majorHAnsi" w:hAnsiTheme="majorHAnsi"/>
          <w:sz w:val="22"/>
          <w:szCs w:val="22"/>
        </w:rPr>
        <w:t xml:space="preserve"> </w:t>
      </w:r>
      <w:r w:rsidR="00F06ACB">
        <w:rPr>
          <w:rStyle w:val="FootnoteReference"/>
          <w:rFonts w:asciiTheme="majorHAnsi" w:hAnsiTheme="majorHAnsi"/>
          <w:sz w:val="22"/>
          <w:szCs w:val="22"/>
        </w:rPr>
        <w:footnoteReference w:id="45"/>
      </w:r>
      <w:r w:rsidR="00F06ACB" w:rsidRPr="001777B0">
        <w:rPr>
          <w:rFonts w:asciiTheme="majorHAnsi" w:hAnsiTheme="majorHAnsi"/>
          <w:sz w:val="22"/>
          <w:szCs w:val="22"/>
        </w:rPr>
        <w:t xml:space="preserve"> To address the suspicion of corrupti</w:t>
      </w:r>
      <w:r w:rsidR="00F06ACB">
        <w:rPr>
          <w:rFonts w:asciiTheme="majorHAnsi" w:hAnsiTheme="majorHAnsi"/>
          <w:sz w:val="22"/>
          <w:szCs w:val="22"/>
        </w:rPr>
        <w:t xml:space="preserve">on, the </w:t>
      </w:r>
      <w:r w:rsidR="00F06ACB" w:rsidRPr="009E4206">
        <w:rPr>
          <w:rFonts w:asciiTheme="majorHAnsi" w:hAnsiTheme="majorHAnsi"/>
          <w:b/>
          <w:sz w:val="22"/>
          <w:szCs w:val="22"/>
        </w:rPr>
        <w:t>Special Rapporteur urged States to be transparent and to follow the advice of the Committee on Economic, Social and Cultural Rights to use the best available scientific evidence to protect public health</w:t>
      </w:r>
      <w:r w:rsidR="00F06ACB" w:rsidRPr="001777B0">
        <w:rPr>
          <w:rFonts w:asciiTheme="majorHAnsi" w:hAnsiTheme="majorHAnsi"/>
          <w:sz w:val="22"/>
          <w:szCs w:val="22"/>
        </w:rPr>
        <w:t>.</w:t>
      </w:r>
      <w:r w:rsidR="00F06ACB" w:rsidRPr="007F463D">
        <w:rPr>
          <w:rStyle w:val="FootnoteReference"/>
          <w:rFonts w:asciiTheme="majorHAnsi" w:hAnsiTheme="majorHAnsi"/>
          <w:sz w:val="22"/>
          <w:szCs w:val="22"/>
        </w:rPr>
        <w:t xml:space="preserve"> </w:t>
      </w:r>
      <w:r w:rsidR="00F06ACB">
        <w:rPr>
          <w:rStyle w:val="FootnoteReference"/>
          <w:rFonts w:asciiTheme="majorHAnsi" w:hAnsiTheme="majorHAnsi"/>
          <w:sz w:val="22"/>
          <w:szCs w:val="22"/>
        </w:rPr>
        <w:footnoteReference w:id="46"/>
      </w:r>
      <w:r w:rsidR="00F06ACB">
        <w:rPr>
          <w:rFonts w:asciiTheme="majorHAnsi" w:hAnsiTheme="majorHAnsi"/>
          <w:sz w:val="22"/>
          <w:szCs w:val="22"/>
        </w:rPr>
        <w:t xml:space="preserve"> </w:t>
      </w:r>
    </w:p>
    <w:p w14:paraId="473B6EC0" w14:textId="77777777" w:rsidR="00F06ACB" w:rsidRDefault="00F06ACB" w:rsidP="00F06ACB">
      <w:pPr>
        <w:pStyle w:val="Normal1"/>
        <w:rPr>
          <w:rFonts w:ascii="Calibri" w:eastAsia="Calibri" w:hAnsi="Calibri" w:cs="Calibri"/>
          <w:color w:val="000000"/>
          <w:sz w:val="22"/>
          <w:szCs w:val="22"/>
          <w:highlight w:val="white"/>
        </w:rPr>
      </w:pPr>
    </w:p>
    <w:p w14:paraId="4E149D15" w14:textId="5F17A7CC" w:rsidR="00F06ACB" w:rsidRPr="007C5A46" w:rsidRDefault="00F06ACB" w:rsidP="00F06ACB">
      <w:pPr>
        <w:pStyle w:val="Normal1"/>
        <w:rPr>
          <w:rFonts w:ascii="Calibri" w:eastAsia="Calibri" w:hAnsi="Calibri" w:cs="Calibri"/>
          <w:sz w:val="22"/>
          <w:szCs w:val="22"/>
        </w:rPr>
      </w:pPr>
      <w:r>
        <w:rPr>
          <w:rFonts w:ascii="Calibri" w:eastAsia="Calibri" w:hAnsi="Calibri" w:cs="Calibri"/>
          <w:color w:val="000000"/>
          <w:sz w:val="22"/>
          <w:szCs w:val="22"/>
          <w:highlight w:val="white"/>
        </w:rPr>
        <w:t xml:space="preserve">Please see </w:t>
      </w:r>
      <w:r w:rsidR="00ED7000">
        <w:rPr>
          <w:rFonts w:ascii="Calibri" w:eastAsia="Calibri" w:hAnsi="Calibri" w:cs="Calibri"/>
          <w:b/>
          <w:color w:val="000000"/>
          <w:sz w:val="22"/>
          <w:szCs w:val="22"/>
        </w:rPr>
        <w:t xml:space="preserve">Annex 1 </w:t>
      </w:r>
      <w:r>
        <w:rPr>
          <w:rFonts w:ascii="Calibri" w:eastAsia="Calibri" w:hAnsi="Calibri" w:cs="Calibri"/>
          <w:color w:val="000000"/>
          <w:sz w:val="22"/>
          <w:szCs w:val="22"/>
          <w:highlight w:val="white"/>
        </w:rPr>
        <w:t xml:space="preserve">which is a </w:t>
      </w:r>
      <w:r w:rsidRPr="009C5850">
        <w:rPr>
          <w:rFonts w:ascii="Calibri" w:eastAsia="Calibri" w:hAnsi="Calibri" w:cs="Calibri"/>
          <w:b/>
          <w:color w:val="000000"/>
          <w:sz w:val="22"/>
          <w:szCs w:val="22"/>
          <w:highlight w:val="white"/>
        </w:rPr>
        <w:t xml:space="preserve">summary of scientific studies by a medical doctor explaining the risks of the vaccine – a narrative that has been deliberately censored, smeared, and kept from New Zealand </w:t>
      </w:r>
      <w:r w:rsidR="009C5850">
        <w:rPr>
          <w:rFonts w:ascii="Calibri" w:eastAsia="Calibri" w:hAnsi="Calibri" w:cs="Calibri"/>
          <w:b/>
          <w:color w:val="000000"/>
          <w:sz w:val="22"/>
          <w:szCs w:val="22"/>
          <w:highlight w:val="white"/>
        </w:rPr>
        <w:t xml:space="preserve">children and their parents </w:t>
      </w:r>
      <w:r>
        <w:rPr>
          <w:rFonts w:ascii="Calibri" w:eastAsia="Calibri" w:hAnsi="Calibri" w:cs="Calibri"/>
          <w:color w:val="000000"/>
          <w:sz w:val="22"/>
          <w:szCs w:val="22"/>
          <w:highlight w:val="white"/>
        </w:rPr>
        <w:t>in violation of their right to receive and impart information of all kinds.</w:t>
      </w:r>
      <w:r>
        <w:rPr>
          <w:rFonts w:ascii="Calibri" w:eastAsia="Calibri" w:hAnsi="Calibri" w:cs="Calibri"/>
          <w:color w:val="000000"/>
          <w:sz w:val="22"/>
          <w:szCs w:val="22"/>
        </w:rPr>
        <w:t xml:space="preserve">  The </w:t>
      </w:r>
      <w:r w:rsidRPr="003633C8">
        <w:rPr>
          <w:rFonts w:ascii="Calibri" w:eastAsia="Calibri" w:hAnsi="Calibri" w:cs="Calibri"/>
          <w:b/>
          <w:color w:val="000000"/>
          <w:sz w:val="22"/>
          <w:szCs w:val="22"/>
        </w:rPr>
        <w:t>Special Rapporteur on the promotion and protection of the right to freedom of opinion and expression, Irene Khan, in her April 2021 report on “</w:t>
      </w:r>
      <w:r w:rsidRPr="003633C8">
        <w:rPr>
          <w:rFonts w:ascii="Calibri" w:eastAsia="Calibri" w:hAnsi="Calibri" w:cs="Calibri"/>
          <w:b/>
          <w:i/>
          <w:color w:val="000000"/>
          <w:sz w:val="22"/>
          <w:szCs w:val="22"/>
        </w:rPr>
        <w:t>Disinformation and freedom of opinion and expression”</w:t>
      </w:r>
      <w:r w:rsidRPr="003633C8">
        <w:rPr>
          <w:rFonts w:ascii="Calibri" w:eastAsia="Calibri" w:hAnsi="Calibri" w:cs="Calibri"/>
          <w:b/>
          <w:color w:val="000000"/>
          <w:sz w:val="22"/>
          <w:szCs w:val="22"/>
        </w:rPr>
        <w:t>,</w:t>
      </w:r>
      <w:r w:rsidRPr="003633C8">
        <w:rPr>
          <w:rStyle w:val="FootnoteReference"/>
          <w:rFonts w:ascii="Calibri" w:eastAsia="Calibri" w:hAnsi="Calibri" w:cs="Calibri"/>
          <w:b/>
          <w:color w:val="000000"/>
          <w:sz w:val="22"/>
          <w:szCs w:val="22"/>
        </w:rPr>
        <w:footnoteReference w:id="47"/>
      </w:r>
      <w:r w:rsidRPr="003633C8">
        <w:rPr>
          <w:rFonts w:ascii="Calibri" w:eastAsia="Calibri" w:hAnsi="Calibri" w:cs="Calibri"/>
          <w:b/>
          <w:color w:val="000000"/>
          <w:sz w:val="22"/>
          <w:szCs w:val="22"/>
        </w:rPr>
        <w:t xml:space="preserve"> has noted efforts by some Governments to withhold or falsify information.</w:t>
      </w:r>
      <w:r>
        <w:rPr>
          <w:rStyle w:val="FootnoteReference"/>
          <w:rFonts w:ascii="Calibri" w:eastAsia="Calibri" w:hAnsi="Calibri" w:cs="Calibri"/>
          <w:color w:val="000000"/>
          <w:sz w:val="22"/>
          <w:szCs w:val="22"/>
        </w:rPr>
        <w:footnoteReference w:id="48"/>
      </w:r>
      <w:r>
        <w:rPr>
          <w:rFonts w:ascii="Calibri" w:eastAsia="Calibri" w:hAnsi="Calibri" w:cs="Calibri"/>
          <w:color w:val="000000"/>
          <w:sz w:val="36"/>
          <w:szCs w:val="36"/>
          <w:vertAlign w:val="superscript"/>
        </w:rPr>
        <w:t xml:space="preserve"> </w:t>
      </w:r>
      <w:r>
        <w:rPr>
          <w:rFonts w:ascii="Calibri" w:eastAsia="Calibri" w:hAnsi="Calibri" w:cs="Calibri"/>
          <w:color w:val="000000"/>
          <w:sz w:val="22"/>
          <w:szCs w:val="22"/>
        </w:rPr>
        <w:t>The European Commission has described disinformation as verifiably false or misleading information that, cumulatively, is created, presented and disseminated for economic gain or to intentionally deceive the public and that may cause public harm.</w:t>
      </w:r>
      <w:r>
        <w:rPr>
          <w:rStyle w:val="FootnoteReference"/>
          <w:rFonts w:ascii="Calibri" w:eastAsia="Calibri" w:hAnsi="Calibri" w:cs="Calibri"/>
          <w:color w:val="000000"/>
          <w:sz w:val="22"/>
          <w:szCs w:val="22"/>
        </w:rPr>
        <w:footnoteReference w:id="49"/>
      </w:r>
      <w:r>
        <w:rPr>
          <w:rFonts w:ascii="Calibri" w:eastAsia="Calibri" w:hAnsi="Calibri" w:cs="Calibri"/>
          <w:color w:val="000000"/>
          <w:sz w:val="36"/>
          <w:szCs w:val="36"/>
          <w:vertAlign w:val="superscript"/>
        </w:rPr>
        <w:t xml:space="preserve"> </w:t>
      </w:r>
      <w:r>
        <w:rPr>
          <w:rFonts w:ascii="Calibri" w:eastAsia="Calibri" w:hAnsi="Calibri" w:cs="Calibri"/>
          <w:color w:val="000000"/>
          <w:sz w:val="22"/>
          <w:szCs w:val="22"/>
        </w:rPr>
        <w:t xml:space="preserve">For the purposes of the Special Rapporteur report, </w:t>
      </w:r>
      <w:r w:rsidRPr="007C5A46">
        <w:rPr>
          <w:rFonts w:ascii="Calibri" w:eastAsia="Calibri" w:hAnsi="Calibri" w:cs="Calibri"/>
          <w:b/>
          <w:color w:val="000000"/>
          <w:sz w:val="22"/>
          <w:szCs w:val="22"/>
        </w:rPr>
        <w:t xml:space="preserve">disinformation </w:t>
      </w:r>
      <w:r>
        <w:rPr>
          <w:rFonts w:ascii="Calibri" w:eastAsia="Calibri" w:hAnsi="Calibri" w:cs="Calibri"/>
          <w:color w:val="000000"/>
          <w:sz w:val="22"/>
          <w:szCs w:val="22"/>
        </w:rPr>
        <w:t xml:space="preserve">is understood as false information that is disseminated intentionally to cause serious social harm and </w:t>
      </w:r>
      <w:r w:rsidRPr="007C5A46">
        <w:rPr>
          <w:rFonts w:ascii="Calibri" w:eastAsia="Calibri" w:hAnsi="Calibri" w:cs="Calibri"/>
          <w:b/>
          <w:color w:val="000000"/>
          <w:sz w:val="22"/>
          <w:szCs w:val="22"/>
        </w:rPr>
        <w:t xml:space="preserve">misinformation </w:t>
      </w:r>
      <w:r>
        <w:rPr>
          <w:rFonts w:ascii="Calibri" w:eastAsia="Calibri" w:hAnsi="Calibri" w:cs="Calibri"/>
          <w:color w:val="000000"/>
          <w:sz w:val="22"/>
          <w:szCs w:val="22"/>
        </w:rPr>
        <w:t>as the dissemination of false information unknowingly.</w:t>
      </w:r>
      <w:r w:rsidRPr="006A325D">
        <w:rPr>
          <w:rStyle w:val="FootnoteReference"/>
          <w:rFonts w:ascii="Calibri" w:eastAsia="Calibri" w:hAnsi="Calibri" w:cs="Calibri"/>
          <w:color w:val="000000"/>
          <w:sz w:val="22"/>
          <w:szCs w:val="22"/>
        </w:rPr>
        <w:t xml:space="preserve"> </w:t>
      </w:r>
      <w:r>
        <w:rPr>
          <w:rStyle w:val="FootnoteReference"/>
          <w:rFonts w:ascii="Calibri" w:eastAsia="Calibri" w:hAnsi="Calibri" w:cs="Calibri"/>
          <w:color w:val="000000"/>
          <w:sz w:val="22"/>
          <w:szCs w:val="22"/>
        </w:rPr>
        <w:footnoteReference w:id="50"/>
      </w:r>
      <w:r>
        <w:rPr>
          <w:rFonts w:ascii="Calibri" w:eastAsia="Calibri" w:hAnsi="Calibri" w:cs="Calibri"/>
          <w:color w:val="000000"/>
          <w:sz w:val="22"/>
          <w:szCs w:val="22"/>
        </w:rPr>
        <w:t xml:space="preserve"> The Special Rapporteur notes the right to seek, receive and impart information and ideas of all kinds, regardless of frontiers and through any media. While freedom of opinion is absolute, freedom of expression may be restricted under certain circumstances. The State has a duty to refrain from interfering with that right and also an obligation to ensure that others, including businesses, do not interfere with it.</w:t>
      </w:r>
      <w:r w:rsidRPr="00EB2DF1">
        <w:rPr>
          <w:rStyle w:val="FootnoteReference"/>
          <w:rFonts w:ascii="Calibri" w:eastAsia="Calibri" w:hAnsi="Calibri" w:cs="Calibri"/>
          <w:color w:val="000000"/>
          <w:sz w:val="22"/>
          <w:szCs w:val="22"/>
        </w:rPr>
        <w:t xml:space="preserve"> </w:t>
      </w:r>
      <w:r>
        <w:rPr>
          <w:rStyle w:val="FootnoteReference"/>
          <w:rFonts w:ascii="Calibri" w:eastAsia="Calibri" w:hAnsi="Calibri" w:cs="Calibri"/>
          <w:color w:val="000000"/>
          <w:sz w:val="22"/>
          <w:szCs w:val="22"/>
        </w:rPr>
        <w:footnoteReference w:id="51"/>
      </w:r>
      <w:r>
        <w:rPr>
          <w:rFonts w:ascii="Calibri" w:eastAsia="Calibri" w:hAnsi="Calibri" w:cs="Calibri"/>
          <w:color w:val="000000"/>
          <w:sz w:val="22"/>
          <w:szCs w:val="22"/>
        </w:rPr>
        <w:t xml:space="preserve"> </w:t>
      </w:r>
    </w:p>
    <w:p w14:paraId="07DB0699" w14:textId="77777777" w:rsidR="00F06ACB" w:rsidRDefault="00F06ACB" w:rsidP="00F06ACB">
      <w:pPr>
        <w:rPr>
          <w:rFonts w:ascii="Calibri" w:eastAsia="Calibri" w:hAnsi="Calibri" w:cs="Calibri"/>
          <w:b/>
          <w:color w:val="000000"/>
          <w:sz w:val="22"/>
          <w:szCs w:val="22"/>
        </w:rPr>
      </w:pPr>
    </w:p>
    <w:p w14:paraId="7898D87F" w14:textId="77D86783" w:rsidR="00F06ACB" w:rsidRDefault="00F06ACB" w:rsidP="00F06ACB">
      <w:pPr>
        <w:pStyle w:val="Normal1"/>
        <w:widowControl w:val="0"/>
        <w:rPr>
          <w:rFonts w:ascii="Calibri" w:eastAsia="Calibri" w:hAnsi="Calibri" w:cs="Calibri"/>
          <w:color w:val="000000"/>
          <w:sz w:val="22"/>
          <w:szCs w:val="22"/>
        </w:rPr>
      </w:pPr>
      <w:r w:rsidRPr="00F44400">
        <w:rPr>
          <w:rFonts w:ascii="Calibri" w:eastAsia="Calibri" w:hAnsi="Calibri" w:cs="Calibri"/>
          <w:color w:val="000000"/>
          <w:sz w:val="22"/>
          <w:szCs w:val="22"/>
        </w:rPr>
        <w:t xml:space="preserve">The Special Rapporteur notes that </w:t>
      </w:r>
      <w:r w:rsidRPr="00F44400">
        <w:rPr>
          <w:rFonts w:ascii="Calibri" w:eastAsia="Calibri" w:hAnsi="Calibri" w:cs="Calibri"/>
          <w:b/>
          <w:color w:val="000000"/>
          <w:sz w:val="22"/>
          <w:szCs w:val="22"/>
        </w:rPr>
        <w:t>State-sponsored disinformation</w:t>
      </w:r>
      <w:r w:rsidRPr="00F44400">
        <w:rPr>
          <w:rFonts w:ascii="Calibri" w:eastAsia="Calibri" w:hAnsi="Calibri" w:cs="Calibri"/>
          <w:color w:val="000000"/>
          <w:sz w:val="22"/>
          <w:szCs w:val="22"/>
        </w:rPr>
        <w:t xml:space="preserve"> </w:t>
      </w:r>
      <w:r>
        <w:rPr>
          <w:rFonts w:ascii="Calibri" w:eastAsia="Calibri" w:hAnsi="Calibri" w:cs="Calibri"/>
          <w:color w:val="000000"/>
          <w:sz w:val="22"/>
          <w:szCs w:val="22"/>
        </w:rPr>
        <w:t>can emanate from State institutions directly or from proxies targeting audiences within the State’s own territory or abroad for political and strategic aims.</w:t>
      </w:r>
      <w:r>
        <w:rPr>
          <w:rFonts w:ascii="Calibri" w:eastAsia="Calibri" w:hAnsi="Calibri" w:cs="Calibri"/>
          <w:color w:val="000000"/>
          <w:sz w:val="36"/>
          <w:szCs w:val="36"/>
          <w:vertAlign w:val="superscript"/>
        </w:rPr>
        <w:t xml:space="preserve"> </w:t>
      </w:r>
      <w:r>
        <w:rPr>
          <w:rFonts w:ascii="Calibri" w:eastAsia="Calibri" w:hAnsi="Calibri" w:cs="Calibri"/>
          <w:color w:val="000000"/>
          <w:sz w:val="22"/>
          <w:szCs w:val="22"/>
        </w:rPr>
        <w:t xml:space="preserve">In the digital age, new techniques have significantly expanded the scale, speed and spread of such operations. </w:t>
      </w:r>
      <w:r w:rsidRPr="00F44400">
        <w:rPr>
          <w:rFonts w:ascii="Calibri" w:eastAsia="Calibri" w:hAnsi="Calibri" w:cs="Calibri"/>
          <w:b/>
          <w:color w:val="000000"/>
          <w:sz w:val="22"/>
          <w:szCs w:val="22"/>
        </w:rPr>
        <w:t>When combined with the power, means and reach of a State, their impact can be devastating for human rights. Where States systematically and simultaneously suppress other sources while promoting their own false narratives, they are denying individuals the right to seek and receive information</w:t>
      </w:r>
      <w:r>
        <w:rPr>
          <w:rFonts w:ascii="Calibri" w:eastAsia="Calibri" w:hAnsi="Calibri" w:cs="Calibri"/>
          <w:color w:val="000000"/>
          <w:sz w:val="22"/>
          <w:szCs w:val="22"/>
        </w:rPr>
        <w:t>.</w:t>
      </w:r>
      <w:r>
        <w:rPr>
          <w:rStyle w:val="FootnoteReference"/>
          <w:rFonts w:ascii="Calibri" w:eastAsia="Calibri" w:hAnsi="Calibri" w:cs="Calibri"/>
          <w:color w:val="000000"/>
          <w:sz w:val="22"/>
          <w:szCs w:val="22"/>
        </w:rPr>
        <w:footnoteReference w:id="52"/>
      </w:r>
      <w:r>
        <w:rPr>
          <w:rFonts w:ascii="Calibri" w:eastAsia="Calibri" w:hAnsi="Calibri" w:cs="Calibri"/>
          <w:color w:val="000000"/>
          <w:sz w:val="22"/>
          <w:szCs w:val="22"/>
        </w:rPr>
        <w:t xml:space="preserve">  The Special Rapporteur also notes that in recent years, in a number of countries, </w:t>
      </w:r>
      <w:r w:rsidRPr="00657127">
        <w:rPr>
          <w:rFonts w:ascii="Calibri" w:eastAsia="Calibri" w:hAnsi="Calibri" w:cs="Calibri"/>
          <w:b/>
          <w:color w:val="000000"/>
          <w:sz w:val="22"/>
          <w:szCs w:val="22"/>
        </w:rPr>
        <w:t xml:space="preserve">State-led disinformation campaigns have sought to </w:t>
      </w:r>
      <w:r>
        <w:rPr>
          <w:rFonts w:ascii="Calibri" w:eastAsia="Calibri" w:hAnsi="Calibri" w:cs="Calibri"/>
          <w:color w:val="000000"/>
          <w:sz w:val="22"/>
          <w:szCs w:val="22"/>
        </w:rPr>
        <w:t xml:space="preserve">influence elections and other political processes, </w:t>
      </w:r>
      <w:r w:rsidRPr="00657127">
        <w:rPr>
          <w:rFonts w:ascii="Calibri" w:eastAsia="Calibri" w:hAnsi="Calibri" w:cs="Calibri"/>
          <w:b/>
          <w:color w:val="000000"/>
          <w:sz w:val="22"/>
          <w:szCs w:val="22"/>
        </w:rPr>
        <w:t>control the narrative of public debates or curb protests against and criticisms of Governments</w:t>
      </w:r>
      <w:r>
        <w:rPr>
          <w:rFonts w:ascii="Calibri" w:eastAsia="Calibri" w:hAnsi="Calibri" w:cs="Calibri"/>
          <w:color w:val="000000"/>
          <w:sz w:val="22"/>
          <w:szCs w:val="22"/>
        </w:rPr>
        <w:t xml:space="preserve">. </w:t>
      </w:r>
      <w:r w:rsidRPr="00657127">
        <w:rPr>
          <w:rFonts w:ascii="Calibri" w:eastAsia="Calibri" w:hAnsi="Calibri" w:cs="Calibri"/>
          <w:b/>
          <w:color w:val="000000"/>
          <w:sz w:val="22"/>
          <w:szCs w:val="22"/>
        </w:rPr>
        <w:t>In the context of the COVID- 19 pandemic, there have been various instances of State actors providing false information on infection rates, fatality figures and health-care advice</w:t>
      </w:r>
      <w:r>
        <w:rPr>
          <w:rFonts w:ascii="Calibri" w:eastAsia="Calibri" w:hAnsi="Calibri" w:cs="Calibri"/>
          <w:color w:val="000000"/>
          <w:sz w:val="22"/>
          <w:szCs w:val="22"/>
        </w:rPr>
        <w:t xml:space="preserve">. Such disinformation has been </w:t>
      </w:r>
      <w:r w:rsidRPr="00DC1AF5">
        <w:rPr>
          <w:rFonts w:ascii="Calibri" w:eastAsia="Calibri" w:hAnsi="Calibri" w:cs="Calibri"/>
          <w:b/>
          <w:color w:val="000000"/>
          <w:sz w:val="22"/>
          <w:szCs w:val="22"/>
        </w:rPr>
        <w:t>detrimental to efforts to control the pandemic, endangering the rights to health and life, as well as people’s trust in public information and State institutions</w:t>
      </w:r>
      <w:r>
        <w:rPr>
          <w:rFonts w:ascii="Calibri" w:eastAsia="Calibri" w:hAnsi="Calibri" w:cs="Calibri"/>
          <w:color w:val="000000"/>
          <w:sz w:val="22"/>
          <w:szCs w:val="22"/>
        </w:rPr>
        <w:t>.</w:t>
      </w:r>
      <w:r>
        <w:rPr>
          <w:rStyle w:val="FootnoteReference"/>
          <w:rFonts w:ascii="Calibri" w:eastAsia="Calibri" w:hAnsi="Calibri" w:cs="Calibri"/>
          <w:color w:val="000000"/>
          <w:sz w:val="22"/>
          <w:szCs w:val="22"/>
        </w:rPr>
        <w:footnoteReference w:id="53"/>
      </w:r>
      <w:r>
        <w:rPr>
          <w:rFonts w:ascii="Calibri" w:eastAsia="Calibri" w:hAnsi="Calibri" w:cs="Calibri"/>
          <w:color w:val="000000"/>
          <w:sz w:val="36"/>
          <w:szCs w:val="36"/>
          <w:vertAlign w:val="superscript"/>
        </w:rPr>
        <w:t xml:space="preserve"> </w:t>
      </w:r>
      <w:r>
        <w:rPr>
          <w:rFonts w:ascii="Calibri" w:eastAsia="Calibri" w:hAnsi="Calibri" w:cs="Calibri"/>
          <w:color w:val="000000"/>
          <w:sz w:val="22"/>
          <w:szCs w:val="22"/>
        </w:rPr>
        <w:t xml:space="preserve">There is growing evidence that </w:t>
      </w:r>
      <w:r w:rsidRPr="00DC1AF5">
        <w:rPr>
          <w:rFonts w:ascii="Calibri" w:eastAsia="Calibri" w:hAnsi="Calibri" w:cs="Calibri"/>
          <w:b/>
          <w:color w:val="000000"/>
          <w:sz w:val="22"/>
          <w:szCs w:val="22"/>
        </w:rPr>
        <w:t>disinformation tends to thrive where human rights are constrained, where the public information regime is not robust and where media quality, diversity and independence is weak</w:t>
      </w:r>
      <w:r>
        <w:rPr>
          <w:rFonts w:ascii="Calibri" w:eastAsia="Calibri" w:hAnsi="Calibri" w:cs="Calibri"/>
          <w:color w:val="000000"/>
          <w:sz w:val="22"/>
          <w:szCs w:val="22"/>
        </w:rPr>
        <w:t xml:space="preserve">. Conversely, where freedom of opinion and expression is protected, civil society, journalists and others are able to challenge falsehoods and present alternative viewpoints. That makes international human rights a powerful and appropriate framework for addressing disinformation. </w:t>
      </w:r>
    </w:p>
    <w:p w14:paraId="1AB673D4" w14:textId="77777777" w:rsidR="00F06ACB" w:rsidRDefault="00F06ACB" w:rsidP="00F06ACB">
      <w:pPr>
        <w:pStyle w:val="Normal1"/>
        <w:widowControl w:val="0"/>
        <w:rPr>
          <w:rFonts w:ascii="Calibri" w:eastAsia="Calibri" w:hAnsi="Calibri" w:cs="Calibri"/>
          <w:color w:val="000000"/>
          <w:sz w:val="22"/>
          <w:szCs w:val="22"/>
        </w:rPr>
      </w:pPr>
    </w:p>
    <w:p w14:paraId="648650DF" w14:textId="46DD9D88" w:rsidR="00F06ACB" w:rsidRPr="00767F6A" w:rsidRDefault="00F06ACB" w:rsidP="00767F6A">
      <w:pPr>
        <w:widowControl w:val="0"/>
        <w:autoSpaceDE w:val="0"/>
        <w:autoSpaceDN w:val="0"/>
        <w:adjustRightInd w:val="0"/>
        <w:rPr>
          <w:rFonts w:asciiTheme="majorHAnsi" w:hAnsiTheme="majorHAnsi" w:cs="Times"/>
          <w:color w:val="000000"/>
          <w:sz w:val="22"/>
          <w:szCs w:val="22"/>
        </w:rPr>
      </w:pPr>
      <w:r w:rsidRPr="00F04F66">
        <w:rPr>
          <w:rFonts w:ascii="Calibri" w:eastAsia="Calibri" w:hAnsi="Calibri" w:cs="Calibri"/>
          <w:color w:val="000000"/>
          <w:sz w:val="22"/>
          <w:szCs w:val="22"/>
        </w:rPr>
        <w:t xml:space="preserve">It would appear that New Zealand is in a situation where the </w:t>
      </w:r>
      <w:r w:rsidRPr="00F04F66">
        <w:rPr>
          <w:rFonts w:ascii="Calibri" w:eastAsia="Calibri" w:hAnsi="Calibri" w:cs="Calibri"/>
          <w:b/>
          <w:color w:val="000000"/>
          <w:sz w:val="22"/>
          <w:szCs w:val="22"/>
        </w:rPr>
        <w:t>New Zealand Government has engaged in a State-sponsored disinformation campaign, systematically suppressing sources of science which do not comport with its “single source of truth”</w:t>
      </w:r>
      <w:r w:rsidRPr="00F04F66">
        <w:rPr>
          <w:rStyle w:val="FootnoteReference"/>
          <w:rFonts w:ascii="Calibri" w:eastAsia="Calibri" w:hAnsi="Calibri" w:cs="Calibri"/>
          <w:b/>
          <w:color w:val="000000"/>
          <w:sz w:val="22"/>
          <w:szCs w:val="22"/>
        </w:rPr>
        <w:footnoteReference w:id="54"/>
      </w:r>
      <w:r w:rsidRPr="00F04F66">
        <w:rPr>
          <w:rFonts w:ascii="Calibri" w:eastAsia="Calibri" w:hAnsi="Calibri" w:cs="Calibri"/>
          <w:b/>
          <w:color w:val="000000"/>
          <w:sz w:val="22"/>
          <w:szCs w:val="22"/>
        </w:rPr>
        <w:t xml:space="preserve"> narrative that the injections are “safe and effective”, in violation of New Zealanders’ right to seek and receive information</w:t>
      </w:r>
      <w:r w:rsidRPr="00F04F66">
        <w:rPr>
          <w:rFonts w:ascii="Calibri" w:eastAsia="Calibri" w:hAnsi="Calibri" w:cs="Calibri"/>
          <w:color w:val="000000"/>
          <w:sz w:val="22"/>
          <w:szCs w:val="22"/>
        </w:rPr>
        <w:t xml:space="preserve">.  The State-led disinformation campaign in New Zealand has sought to control the narrative of public debates by suppressing by any means possible voices of medical doctors who seek to counter the false narratives of the New Zealand Government, thereby controlling the narrative of public scientific debates.  </w:t>
      </w:r>
      <w:r w:rsidRPr="005B3CE4">
        <w:rPr>
          <w:rFonts w:ascii="Calibri" w:eastAsia="Calibri" w:hAnsi="Calibri" w:cs="Calibri"/>
          <w:b/>
          <w:color w:val="000000"/>
          <w:sz w:val="22"/>
          <w:szCs w:val="22"/>
        </w:rPr>
        <w:t xml:space="preserve">Anyone who dares counter the Government’s narrative is dismissed and censored using derogatory terms </w:t>
      </w:r>
      <w:r>
        <w:rPr>
          <w:rFonts w:ascii="Calibri" w:eastAsia="Calibri" w:hAnsi="Calibri" w:cs="Calibri"/>
          <w:b/>
          <w:color w:val="000000"/>
          <w:sz w:val="22"/>
          <w:szCs w:val="22"/>
        </w:rPr>
        <w:t>such as “selfish”, “anti-vaxxer</w:t>
      </w:r>
      <w:r w:rsidRPr="005B3CE4">
        <w:rPr>
          <w:rFonts w:ascii="Calibri" w:eastAsia="Calibri" w:hAnsi="Calibri" w:cs="Calibri"/>
          <w:b/>
          <w:color w:val="000000"/>
          <w:sz w:val="22"/>
          <w:szCs w:val="22"/>
        </w:rPr>
        <w:t>”</w:t>
      </w:r>
      <w:r w:rsidR="004C1EDB">
        <w:rPr>
          <w:rFonts w:ascii="Calibri" w:eastAsia="Calibri" w:hAnsi="Calibri" w:cs="Calibri"/>
          <w:b/>
          <w:color w:val="000000"/>
          <w:sz w:val="22"/>
          <w:szCs w:val="22"/>
        </w:rPr>
        <w:t>, including in the mainstream media</w:t>
      </w:r>
      <w:r w:rsidRPr="00F04F66">
        <w:rPr>
          <w:rFonts w:ascii="Calibri" w:eastAsia="Calibri" w:hAnsi="Calibri" w:cs="Calibri"/>
          <w:color w:val="000000"/>
          <w:sz w:val="22"/>
          <w:szCs w:val="22"/>
        </w:rPr>
        <w:t xml:space="preserve">.  It is notable that the latter </w:t>
      </w:r>
      <w:r w:rsidRPr="005B3CE4">
        <w:rPr>
          <w:rFonts w:ascii="Calibri" w:eastAsia="Calibri" w:hAnsi="Calibri" w:cs="Calibri"/>
          <w:b/>
          <w:color w:val="000000"/>
          <w:sz w:val="22"/>
          <w:szCs w:val="22"/>
        </w:rPr>
        <w:t xml:space="preserve">term is not only derogatory but also patently untrue: vaccine injured disabled people actively sought to get vaccinated in line with the Government directives to do so; thereafter when they were left disabled and unable to carry out normal daily living activities, precisely from the supposedly “safe and effective” injection, they were subject to hostility and brought into contempt, a public attitude fostered from the </w:t>
      </w:r>
      <w:r w:rsidR="00B14217">
        <w:rPr>
          <w:rFonts w:ascii="Calibri" w:eastAsia="Calibri" w:hAnsi="Calibri" w:cs="Calibri"/>
          <w:b/>
          <w:color w:val="000000"/>
          <w:sz w:val="22"/>
          <w:szCs w:val="22"/>
        </w:rPr>
        <w:t xml:space="preserve">Government’s </w:t>
      </w:r>
      <w:r>
        <w:rPr>
          <w:rFonts w:ascii="Calibri" w:eastAsia="Calibri" w:hAnsi="Calibri" w:cs="Calibri"/>
          <w:b/>
          <w:color w:val="000000"/>
          <w:sz w:val="22"/>
          <w:szCs w:val="22"/>
        </w:rPr>
        <w:t xml:space="preserve">so-called </w:t>
      </w:r>
      <w:r w:rsidRPr="005B3CE4">
        <w:rPr>
          <w:rFonts w:ascii="Calibri" w:eastAsia="Calibri" w:hAnsi="Calibri" w:cs="Calibri"/>
          <w:b/>
          <w:color w:val="000000"/>
          <w:sz w:val="22"/>
          <w:szCs w:val="22"/>
        </w:rPr>
        <w:t>“podium of truth”</w:t>
      </w:r>
      <w:r w:rsidRPr="00F04F66">
        <w:rPr>
          <w:rFonts w:ascii="Calibri" w:eastAsia="Calibri" w:hAnsi="Calibri" w:cs="Calibri"/>
          <w:color w:val="000000"/>
          <w:sz w:val="22"/>
          <w:szCs w:val="22"/>
        </w:rPr>
        <w:t xml:space="preserve">.  </w:t>
      </w:r>
      <w:r w:rsidRPr="005B3CE4">
        <w:rPr>
          <w:rFonts w:ascii="Calibri" w:eastAsia="Calibri" w:hAnsi="Calibri" w:cs="Calibri"/>
          <w:b/>
          <w:color w:val="000000"/>
          <w:sz w:val="22"/>
          <w:szCs w:val="22"/>
        </w:rPr>
        <w:t>Please see explanation of how the New Zealand Government has provided false information on infection rates, fatality figures and health care advice for example in these articles</w:t>
      </w:r>
      <w:r w:rsidRPr="00F04F66">
        <w:rPr>
          <w:rFonts w:ascii="Calibri" w:eastAsia="Calibri" w:hAnsi="Calibri" w:cs="Calibri"/>
          <w:color w:val="000000"/>
          <w:sz w:val="22"/>
          <w:szCs w:val="22"/>
        </w:rPr>
        <w:t xml:space="preserve">: </w:t>
      </w:r>
      <w:hyperlink r:id="rId8" w:history="1">
        <w:r w:rsidRPr="00C22ACA">
          <w:rPr>
            <w:rStyle w:val="Hyperlink"/>
            <w:rFonts w:ascii="Calibri" w:eastAsia="Calibri" w:hAnsi="Calibri" w:cs="Calibri"/>
            <w:color w:val="0000FF"/>
            <w:sz w:val="22"/>
            <w:szCs w:val="22"/>
          </w:rPr>
          <w:t>https://hatchardreport.com/is-the-nz-government-confused-or-deliberately-misleading-us/</w:t>
        </w:r>
      </w:hyperlink>
      <w:r w:rsidRPr="00C22ACA">
        <w:rPr>
          <w:rFonts w:ascii="Calibri" w:eastAsia="Calibri" w:hAnsi="Calibri" w:cs="Calibri"/>
          <w:color w:val="0000FF"/>
          <w:sz w:val="22"/>
          <w:szCs w:val="22"/>
        </w:rPr>
        <w:t xml:space="preserve"> ; </w:t>
      </w:r>
      <w:hyperlink r:id="rId9" w:history="1">
        <w:r w:rsidR="00767F6A" w:rsidRPr="000B1558">
          <w:rPr>
            <w:rStyle w:val="Hyperlink"/>
            <w:rFonts w:asciiTheme="majorHAnsi" w:hAnsiTheme="majorHAnsi" w:cs="Times"/>
            <w:sz w:val="22"/>
            <w:szCs w:val="22"/>
          </w:rPr>
          <w:t>https://hatchardreport.com/pfizer-vaccine-unknown-adverse-effects/</w:t>
        </w:r>
      </w:hyperlink>
      <w:r w:rsidRPr="00C22ACA">
        <w:rPr>
          <w:rFonts w:ascii="Calibri" w:eastAsia="Calibri" w:hAnsi="Calibri" w:cs="Calibri"/>
          <w:color w:val="0000FF"/>
          <w:sz w:val="22"/>
          <w:szCs w:val="22"/>
        </w:rPr>
        <w:t xml:space="preserve">; </w:t>
      </w:r>
      <w:hyperlink r:id="rId10" w:history="1">
        <w:r w:rsidRPr="00C22ACA">
          <w:rPr>
            <w:rStyle w:val="Hyperlink"/>
            <w:rFonts w:ascii="Calibri" w:eastAsia="Calibri" w:hAnsi="Calibri" w:cs="Calibri"/>
            <w:color w:val="0000FF"/>
            <w:sz w:val="22"/>
            <w:szCs w:val="22"/>
          </w:rPr>
          <w:t>https://hatchardreport.com/the-problems-with-our-pandemic-response-run-deep/</w:t>
        </w:r>
      </w:hyperlink>
      <w:r w:rsidRPr="00C22ACA">
        <w:rPr>
          <w:rFonts w:ascii="Calibri" w:eastAsia="Calibri" w:hAnsi="Calibri" w:cs="Calibri"/>
          <w:color w:val="0000FF"/>
          <w:sz w:val="22"/>
          <w:szCs w:val="22"/>
        </w:rPr>
        <w:t xml:space="preserve"> </w:t>
      </w:r>
      <w:r>
        <w:rPr>
          <w:rFonts w:ascii="Calibri" w:eastAsia="Calibri" w:hAnsi="Calibri" w:cs="Calibri"/>
          <w:color w:val="000000"/>
          <w:sz w:val="22"/>
          <w:szCs w:val="22"/>
        </w:rPr>
        <w:t xml:space="preserve">; </w:t>
      </w:r>
      <w:hyperlink r:id="rId11" w:history="1">
        <w:r w:rsidRPr="000903D3">
          <w:rPr>
            <w:rStyle w:val="Hyperlink"/>
            <w:rFonts w:ascii="Calibri" w:eastAsia="Calibri" w:hAnsi="Calibri" w:cs="Calibri"/>
            <w:sz w:val="22"/>
            <w:szCs w:val="22"/>
          </w:rPr>
          <w:t>https://dailytelegraph.co.nz/news/casualties-litter-the-roadside-on-new-zealands-route-to-covid-19/</w:t>
        </w:r>
      </w:hyperlink>
      <w:r>
        <w:rPr>
          <w:rFonts w:ascii="Calibri" w:eastAsia="Calibri" w:hAnsi="Calibri" w:cs="Calibri"/>
          <w:color w:val="000000"/>
          <w:sz w:val="22"/>
          <w:szCs w:val="22"/>
        </w:rPr>
        <w:t xml:space="preserve"> </w:t>
      </w:r>
      <w:r w:rsidRPr="00F04F66">
        <w:rPr>
          <w:rFonts w:ascii="Calibri" w:eastAsia="Calibri" w:hAnsi="Calibri" w:cs="Calibri"/>
          <w:color w:val="000000"/>
          <w:sz w:val="22"/>
          <w:szCs w:val="22"/>
        </w:rPr>
        <w:t>and many othe</w:t>
      </w:r>
      <w:r>
        <w:rPr>
          <w:rFonts w:ascii="Calibri" w:eastAsia="Calibri" w:hAnsi="Calibri" w:cs="Calibri"/>
          <w:color w:val="000000"/>
          <w:sz w:val="22"/>
          <w:szCs w:val="22"/>
        </w:rPr>
        <w:t>r</w:t>
      </w:r>
      <w:r w:rsidRPr="00F04F66">
        <w:rPr>
          <w:rFonts w:ascii="Calibri" w:eastAsia="Calibri" w:hAnsi="Calibri" w:cs="Calibri"/>
          <w:color w:val="000000"/>
          <w:sz w:val="22"/>
          <w:szCs w:val="22"/>
        </w:rPr>
        <w:t xml:space="preserve">s at </w:t>
      </w:r>
      <w:hyperlink r:id="rId12" w:history="1">
        <w:r w:rsidRPr="00C22ACA">
          <w:rPr>
            <w:rStyle w:val="Hyperlink"/>
            <w:rFonts w:ascii="Calibri" w:eastAsia="Calibri" w:hAnsi="Calibri" w:cs="Calibri"/>
            <w:color w:val="0000FF"/>
            <w:sz w:val="22"/>
            <w:szCs w:val="22"/>
          </w:rPr>
          <w:t>www.hatchardreport.com</w:t>
        </w:r>
      </w:hyperlink>
      <w:r>
        <w:rPr>
          <w:rFonts w:ascii="Calibri" w:eastAsia="Calibri" w:hAnsi="Calibri" w:cs="Calibri"/>
          <w:color w:val="000000"/>
          <w:sz w:val="22"/>
          <w:szCs w:val="22"/>
        </w:rPr>
        <w:t>.</w:t>
      </w:r>
      <w:r w:rsidRPr="00F04F66">
        <w:rPr>
          <w:rFonts w:ascii="Calibri" w:eastAsia="Calibri" w:hAnsi="Calibri" w:cs="Calibri"/>
          <w:color w:val="000000"/>
          <w:sz w:val="22"/>
          <w:szCs w:val="22"/>
        </w:rPr>
        <w:t xml:space="preserve">  Such State sponsored disinformation has endangered </w:t>
      </w:r>
      <w:r w:rsidR="00767F6A">
        <w:rPr>
          <w:rFonts w:ascii="Calibri" w:eastAsia="Calibri" w:hAnsi="Calibri" w:cs="Calibri"/>
          <w:color w:val="000000"/>
          <w:sz w:val="22"/>
          <w:szCs w:val="22"/>
        </w:rPr>
        <w:t>children</w:t>
      </w:r>
      <w:r w:rsidRPr="00F04F66">
        <w:rPr>
          <w:rFonts w:ascii="Calibri" w:eastAsia="Calibri" w:hAnsi="Calibri" w:cs="Calibri"/>
          <w:color w:val="000000"/>
          <w:sz w:val="22"/>
          <w:szCs w:val="22"/>
        </w:rPr>
        <w:t xml:space="preserve">’s rights to health and life, increased New Zealand’s population of disabled people, and eroded people’s trust in public information and State institutions. Such disinformation has thrived in New Zealand because human rights are constrained, the public information regime is neither robust nor transparent, and mainstream media quality, diversity and independence </w:t>
      </w:r>
      <w:r>
        <w:rPr>
          <w:rFonts w:ascii="Calibri" w:eastAsia="Calibri" w:hAnsi="Calibri" w:cs="Calibri"/>
          <w:color w:val="000000"/>
          <w:sz w:val="22"/>
          <w:szCs w:val="22"/>
        </w:rPr>
        <w:t xml:space="preserve">are </w:t>
      </w:r>
      <w:r w:rsidRPr="00F04F66">
        <w:rPr>
          <w:rFonts w:ascii="Calibri" w:eastAsia="Calibri" w:hAnsi="Calibri" w:cs="Calibri"/>
          <w:color w:val="000000"/>
          <w:sz w:val="22"/>
          <w:szCs w:val="22"/>
        </w:rPr>
        <w:t>weak.</w:t>
      </w:r>
    </w:p>
    <w:p w14:paraId="486B1F02" w14:textId="77777777" w:rsidR="00F06ACB" w:rsidRDefault="00F06ACB" w:rsidP="0078617F">
      <w:pPr>
        <w:widowControl w:val="0"/>
        <w:autoSpaceDE w:val="0"/>
        <w:autoSpaceDN w:val="0"/>
        <w:adjustRightInd w:val="0"/>
        <w:rPr>
          <w:rFonts w:asciiTheme="majorHAnsi" w:hAnsiTheme="majorHAnsi" w:cs="Times New Roman"/>
          <w:color w:val="000000"/>
          <w:sz w:val="22"/>
          <w:szCs w:val="22"/>
        </w:rPr>
      </w:pPr>
    </w:p>
    <w:p w14:paraId="143C0466" w14:textId="42620491" w:rsidR="00015DE6" w:rsidRPr="00FA0BE6" w:rsidRDefault="00015DE6" w:rsidP="00015DE6">
      <w:pPr>
        <w:widowControl w:val="0"/>
        <w:autoSpaceDE w:val="0"/>
        <w:autoSpaceDN w:val="0"/>
        <w:adjustRightInd w:val="0"/>
        <w:rPr>
          <w:rFonts w:asciiTheme="majorHAnsi" w:hAnsiTheme="majorHAnsi" w:cs="Times New Roman"/>
          <w:b/>
          <w:i/>
          <w:color w:val="000000"/>
          <w:sz w:val="22"/>
          <w:szCs w:val="22"/>
        </w:rPr>
      </w:pPr>
      <w:r w:rsidRPr="00FA0BE6">
        <w:rPr>
          <w:rFonts w:asciiTheme="majorHAnsi" w:hAnsiTheme="majorHAnsi" w:cs="Times New Roman"/>
          <w:b/>
          <w:i/>
          <w:color w:val="000000"/>
          <w:sz w:val="22"/>
          <w:szCs w:val="22"/>
        </w:rPr>
        <w:t xml:space="preserve">Recommendation </w:t>
      </w:r>
      <w:r w:rsidR="00C85485" w:rsidRPr="00FA0BE6">
        <w:rPr>
          <w:rFonts w:asciiTheme="majorHAnsi" w:hAnsiTheme="majorHAnsi" w:cs="Times New Roman"/>
          <w:b/>
          <w:i/>
          <w:color w:val="000000"/>
          <w:sz w:val="22"/>
          <w:szCs w:val="22"/>
        </w:rPr>
        <w:t xml:space="preserve">4 </w:t>
      </w:r>
      <w:r w:rsidRPr="00FA0BE6">
        <w:rPr>
          <w:rFonts w:asciiTheme="majorHAnsi" w:hAnsiTheme="majorHAnsi" w:cs="Times New Roman"/>
          <w:b/>
          <w:i/>
          <w:color w:val="000000"/>
          <w:sz w:val="22"/>
          <w:szCs w:val="22"/>
        </w:rPr>
        <w:t>– the State Party should ensure that mainstream media refrain from portrayals that perpetuate discrimination, including against unvaccinated children and disabled children, and that where COVID-19 injections messages are broadcast they also inform parents and children about the risks associated with such injections</w:t>
      </w:r>
      <w:r w:rsidR="00417985" w:rsidRPr="00FA0BE6">
        <w:rPr>
          <w:rFonts w:asciiTheme="majorHAnsi" w:hAnsiTheme="majorHAnsi" w:cs="Times New Roman"/>
          <w:b/>
          <w:i/>
          <w:color w:val="000000"/>
          <w:sz w:val="22"/>
          <w:szCs w:val="22"/>
        </w:rPr>
        <w:t>, including death and disability</w:t>
      </w:r>
      <w:r w:rsidRPr="00FA0BE6">
        <w:rPr>
          <w:rFonts w:asciiTheme="majorHAnsi" w:hAnsiTheme="majorHAnsi" w:cs="Times New Roman"/>
          <w:b/>
          <w:i/>
          <w:color w:val="000000"/>
          <w:sz w:val="22"/>
          <w:szCs w:val="22"/>
        </w:rPr>
        <w:t>.</w:t>
      </w:r>
    </w:p>
    <w:p w14:paraId="47334071" w14:textId="77777777" w:rsidR="00015DE6" w:rsidRPr="00FA0BE6" w:rsidRDefault="00015DE6" w:rsidP="0078617F">
      <w:pPr>
        <w:widowControl w:val="0"/>
        <w:autoSpaceDE w:val="0"/>
        <w:autoSpaceDN w:val="0"/>
        <w:adjustRightInd w:val="0"/>
        <w:rPr>
          <w:rFonts w:asciiTheme="majorHAnsi" w:hAnsiTheme="majorHAnsi" w:cs="Times New Roman"/>
          <w:i/>
          <w:color w:val="000000"/>
          <w:sz w:val="22"/>
          <w:szCs w:val="22"/>
        </w:rPr>
      </w:pPr>
    </w:p>
    <w:p w14:paraId="4A65A709" w14:textId="4D55C766" w:rsidR="005C48B3" w:rsidRPr="00FA0BE6" w:rsidRDefault="00532DB8" w:rsidP="0078617F">
      <w:pPr>
        <w:widowControl w:val="0"/>
        <w:autoSpaceDE w:val="0"/>
        <w:autoSpaceDN w:val="0"/>
        <w:adjustRightInd w:val="0"/>
        <w:rPr>
          <w:rFonts w:asciiTheme="majorHAnsi" w:hAnsiTheme="majorHAnsi" w:cs="Times New Roman"/>
          <w:b/>
          <w:i/>
          <w:color w:val="000000"/>
          <w:sz w:val="22"/>
          <w:szCs w:val="22"/>
        </w:rPr>
      </w:pPr>
      <w:r w:rsidRPr="00FA0BE6">
        <w:rPr>
          <w:rFonts w:asciiTheme="majorHAnsi" w:hAnsiTheme="majorHAnsi" w:cs="Times New Roman"/>
          <w:b/>
          <w:i/>
          <w:color w:val="000000"/>
          <w:sz w:val="22"/>
          <w:szCs w:val="22"/>
        </w:rPr>
        <w:t xml:space="preserve">Recommendation </w:t>
      </w:r>
      <w:r w:rsidR="00C85485" w:rsidRPr="00FA0BE6">
        <w:rPr>
          <w:rFonts w:asciiTheme="majorHAnsi" w:hAnsiTheme="majorHAnsi" w:cs="Times New Roman"/>
          <w:b/>
          <w:i/>
          <w:color w:val="000000"/>
          <w:sz w:val="22"/>
          <w:szCs w:val="22"/>
        </w:rPr>
        <w:t xml:space="preserve">5 </w:t>
      </w:r>
      <w:r w:rsidRPr="00FA0BE6">
        <w:rPr>
          <w:rFonts w:asciiTheme="majorHAnsi" w:hAnsiTheme="majorHAnsi" w:cs="Times New Roman"/>
          <w:b/>
          <w:i/>
          <w:color w:val="000000"/>
          <w:sz w:val="22"/>
          <w:szCs w:val="22"/>
        </w:rPr>
        <w:t>– the State Party should not make, sponsor, encourage or disseminate statements that they know or should reasonably know to be false,</w:t>
      </w:r>
      <w:r w:rsidR="005C48B3" w:rsidRPr="00FA0BE6">
        <w:rPr>
          <w:rStyle w:val="FootnoteReference"/>
          <w:rFonts w:ascii="Calibri" w:eastAsia="Calibri" w:hAnsi="Calibri" w:cs="Calibri"/>
          <w:i/>
          <w:color w:val="000000"/>
          <w:sz w:val="22"/>
          <w:szCs w:val="22"/>
        </w:rPr>
        <w:t xml:space="preserve"> </w:t>
      </w:r>
      <w:r w:rsidR="005C48B3" w:rsidRPr="00FA0BE6">
        <w:rPr>
          <w:rStyle w:val="FootnoteReference"/>
          <w:rFonts w:ascii="Calibri" w:eastAsia="Calibri" w:hAnsi="Calibri" w:cs="Calibri"/>
          <w:i/>
          <w:color w:val="000000"/>
          <w:sz w:val="22"/>
          <w:szCs w:val="22"/>
        </w:rPr>
        <w:footnoteReference w:id="55"/>
      </w:r>
      <w:r w:rsidRPr="00FA0BE6">
        <w:rPr>
          <w:rFonts w:asciiTheme="majorHAnsi" w:hAnsiTheme="majorHAnsi" w:cs="Times New Roman"/>
          <w:b/>
          <w:i/>
          <w:color w:val="000000"/>
          <w:sz w:val="22"/>
          <w:szCs w:val="22"/>
        </w:rPr>
        <w:t xml:space="preserve"> including </w:t>
      </w:r>
      <w:r w:rsidR="005C48B3" w:rsidRPr="00FA0BE6">
        <w:rPr>
          <w:rFonts w:asciiTheme="majorHAnsi" w:hAnsiTheme="majorHAnsi" w:cs="Times New Roman"/>
          <w:b/>
          <w:i/>
          <w:color w:val="000000"/>
          <w:sz w:val="22"/>
          <w:szCs w:val="22"/>
        </w:rPr>
        <w:t xml:space="preserve">the false statement </w:t>
      </w:r>
      <w:r w:rsidRPr="00FA0BE6">
        <w:rPr>
          <w:rFonts w:asciiTheme="majorHAnsi" w:hAnsiTheme="majorHAnsi" w:cs="Times New Roman"/>
          <w:b/>
          <w:i/>
          <w:color w:val="000000"/>
          <w:sz w:val="22"/>
          <w:szCs w:val="22"/>
        </w:rPr>
        <w:t xml:space="preserve">that the COVID-19 injections are “safe and effective” for </w:t>
      </w:r>
      <w:r w:rsidR="005C48B3" w:rsidRPr="00FA0BE6">
        <w:rPr>
          <w:rFonts w:asciiTheme="majorHAnsi" w:hAnsiTheme="majorHAnsi" w:cs="Times New Roman"/>
          <w:b/>
          <w:i/>
          <w:color w:val="000000"/>
          <w:sz w:val="22"/>
          <w:szCs w:val="22"/>
        </w:rPr>
        <w:t>children.</w:t>
      </w:r>
    </w:p>
    <w:p w14:paraId="4783297D" w14:textId="77777777" w:rsidR="003C0E00" w:rsidRDefault="003C0E00" w:rsidP="003C0E00">
      <w:pPr>
        <w:pStyle w:val="Heading2"/>
      </w:pPr>
      <w:r w:rsidRPr="00EF14B2">
        <w:t>Violence against children (arts. 19, 24, para. 3, 28, para. 2, 34, 37 (a) and 39)</w:t>
      </w:r>
      <w:r>
        <w:t xml:space="preserve"> </w:t>
      </w:r>
    </w:p>
    <w:p w14:paraId="7720F269" w14:textId="7175FECE" w:rsidR="00AD0457" w:rsidRPr="00AD0457" w:rsidRDefault="00AD0457" w:rsidP="00AD0457">
      <w:pPr>
        <w:pStyle w:val="Heading2"/>
      </w:pPr>
      <w:r>
        <w:t xml:space="preserve">Prohibition and elimination of all forms of harmful practices (article 24, para 3) </w:t>
      </w:r>
    </w:p>
    <w:p w14:paraId="49F6A46C" w14:textId="2E464757" w:rsidR="00B64508" w:rsidRPr="006D58AE" w:rsidRDefault="00EF14B2" w:rsidP="006D58AE">
      <w:pPr>
        <w:pStyle w:val="Heading2"/>
        <w:rPr>
          <w:rFonts w:cs="Times"/>
        </w:rPr>
      </w:pPr>
      <w:r w:rsidRPr="00EF14B2">
        <w:t>R</w:t>
      </w:r>
      <w:r w:rsidR="003C0E00" w:rsidRPr="00EF14B2">
        <w:t xml:space="preserve">ight not to be subjected to cruel, inhuman or degrading treatment or punishment, including </w:t>
      </w:r>
      <w:r w:rsidRPr="00EF14B2">
        <w:t xml:space="preserve">medical or scientific experimentation without the free consent of the person concerned </w:t>
      </w:r>
      <w:r w:rsidR="003C0E00" w:rsidRPr="00EF14B2">
        <w:t xml:space="preserve">(arts. 37 (a) and 28, para. 2); </w:t>
      </w:r>
    </w:p>
    <w:p w14:paraId="2390E4B8" w14:textId="13BAACD3" w:rsidR="00B64508" w:rsidRDefault="00805645" w:rsidP="00B64508">
      <w:pPr>
        <w:widowControl w:val="0"/>
        <w:autoSpaceDE w:val="0"/>
        <w:autoSpaceDN w:val="0"/>
        <w:adjustRightInd w:val="0"/>
        <w:rPr>
          <w:rFonts w:asciiTheme="majorHAnsi" w:hAnsiTheme="majorHAnsi" w:cs="Times New Roman"/>
          <w:sz w:val="22"/>
          <w:szCs w:val="22"/>
          <w:lang w:val="en-AU" w:eastAsia="en-US"/>
        </w:rPr>
      </w:pPr>
      <w:r>
        <w:rPr>
          <w:rFonts w:asciiTheme="majorHAnsi" w:hAnsiTheme="majorHAnsi" w:cs="Times New Roman"/>
          <w:color w:val="000000"/>
          <w:sz w:val="22"/>
          <w:szCs w:val="22"/>
        </w:rPr>
        <w:t>The J</w:t>
      </w:r>
      <w:r w:rsidR="003C0E00" w:rsidRPr="00163DBB">
        <w:rPr>
          <w:rFonts w:asciiTheme="majorHAnsi" w:hAnsiTheme="majorHAnsi" w:cs="Times New Roman"/>
          <w:color w:val="000000"/>
          <w:sz w:val="22"/>
          <w:szCs w:val="22"/>
        </w:rPr>
        <w:t xml:space="preserve">oint </w:t>
      </w:r>
      <w:r>
        <w:rPr>
          <w:rFonts w:asciiTheme="majorHAnsi" w:hAnsiTheme="majorHAnsi" w:cs="Times New Roman"/>
          <w:color w:val="000000"/>
          <w:sz w:val="22"/>
          <w:szCs w:val="22"/>
        </w:rPr>
        <w:t>G</w:t>
      </w:r>
      <w:r w:rsidR="003C0E00" w:rsidRPr="00163DBB">
        <w:rPr>
          <w:rFonts w:asciiTheme="majorHAnsi" w:hAnsiTheme="majorHAnsi" w:cs="Times New Roman"/>
          <w:color w:val="000000"/>
          <w:sz w:val="22"/>
          <w:szCs w:val="22"/>
        </w:rPr>
        <w:t xml:space="preserve">eneral </w:t>
      </w:r>
      <w:r>
        <w:rPr>
          <w:rFonts w:asciiTheme="majorHAnsi" w:hAnsiTheme="majorHAnsi" w:cs="Times New Roman"/>
          <w:color w:val="000000"/>
          <w:sz w:val="22"/>
          <w:szCs w:val="22"/>
        </w:rPr>
        <w:t>R</w:t>
      </w:r>
      <w:r w:rsidR="003C0E00" w:rsidRPr="00163DBB">
        <w:rPr>
          <w:rFonts w:asciiTheme="majorHAnsi" w:hAnsiTheme="majorHAnsi" w:cs="Times New Roman"/>
          <w:color w:val="000000"/>
          <w:sz w:val="22"/>
          <w:szCs w:val="22"/>
        </w:rPr>
        <w:t>ecommendation No. 31 of the Committee on the Elimination of Discrimination against Women/</w:t>
      </w:r>
      <w:r>
        <w:rPr>
          <w:rFonts w:asciiTheme="majorHAnsi" w:hAnsiTheme="majorHAnsi" w:cs="Times New Roman"/>
          <w:b/>
          <w:color w:val="000000"/>
          <w:sz w:val="22"/>
          <w:szCs w:val="22"/>
        </w:rPr>
        <w:t>G</w:t>
      </w:r>
      <w:r w:rsidR="003C0E00" w:rsidRPr="00A2017B">
        <w:rPr>
          <w:rFonts w:asciiTheme="majorHAnsi" w:hAnsiTheme="majorHAnsi" w:cs="Times New Roman"/>
          <w:b/>
          <w:color w:val="000000"/>
          <w:sz w:val="22"/>
          <w:szCs w:val="22"/>
        </w:rPr>
        <w:t xml:space="preserve">eneral </w:t>
      </w:r>
      <w:r>
        <w:rPr>
          <w:rFonts w:asciiTheme="majorHAnsi" w:hAnsiTheme="majorHAnsi" w:cs="Times New Roman"/>
          <w:b/>
          <w:color w:val="000000"/>
          <w:sz w:val="22"/>
          <w:szCs w:val="22"/>
        </w:rPr>
        <w:t>C</w:t>
      </w:r>
      <w:r w:rsidR="003C0E00" w:rsidRPr="00A2017B">
        <w:rPr>
          <w:rFonts w:asciiTheme="majorHAnsi" w:hAnsiTheme="majorHAnsi" w:cs="Times New Roman"/>
          <w:b/>
          <w:color w:val="000000"/>
          <w:sz w:val="22"/>
          <w:szCs w:val="22"/>
        </w:rPr>
        <w:t>omment No. 18 (2014) of the Committee on the Rights of the Child on harmful practices</w:t>
      </w:r>
      <w:r>
        <w:rPr>
          <w:rFonts w:asciiTheme="majorHAnsi" w:hAnsiTheme="majorHAnsi" w:cs="Times New Roman"/>
          <w:color w:val="000000"/>
          <w:sz w:val="22"/>
          <w:szCs w:val="22"/>
        </w:rPr>
        <w:t xml:space="preserve"> states that </w:t>
      </w:r>
      <w:r>
        <w:rPr>
          <w:rFonts w:asciiTheme="majorHAnsi" w:hAnsiTheme="majorHAnsi"/>
          <w:sz w:val="22"/>
          <w:szCs w:val="22"/>
        </w:rPr>
        <w:t>p</w:t>
      </w:r>
      <w:r w:rsidR="009236C2" w:rsidRPr="00F25585">
        <w:rPr>
          <w:rFonts w:asciiTheme="majorHAnsi" w:hAnsiTheme="majorHAnsi"/>
          <w:sz w:val="22"/>
          <w:szCs w:val="22"/>
        </w:rPr>
        <w:t xml:space="preserve">ractices having been identified as </w:t>
      </w:r>
      <w:r w:rsidR="009236C2" w:rsidRPr="00F048DE">
        <w:rPr>
          <w:rFonts w:asciiTheme="majorHAnsi" w:hAnsiTheme="majorHAnsi"/>
          <w:b/>
          <w:sz w:val="22"/>
          <w:szCs w:val="22"/>
        </w:rPr>
        <w:t>harmful practices include</w:t>
      </w:r>
      <w:r w:rsidR="00C76690" w:rsidRPr="00F048DE">
        <w:rPr>
          <w:rFonts w:asciiTheme="majorHAnsi" w:hAnsiTheme="majorHAnsi"/>
          <w:b/>
          <w:sz w:val="22"/>
          <w:szCs w:val="22"/>
        </w:rPr>
        <w:t>… children undergoing medical treatment to comply with social norms, rather than for medical or health reasons</w:t>
      </w:r>
      <w:r w:rsidR="00C76690" w:rsidRPr="00F25585">
        <w:rPr>
          <w:rFonts w:asciiTheme="majorHAnsi" w:hAnsiTheme="majorHAnsi"/>
          <w:sz w:val="22"/>
          <w:szCs w:val="22"/>
        </w:rPr>
        <w:t>.</w:t>
      </w:r>
      <w:r w:rsidR="00800A4F">
        <w:rPr>
          <w:rStyle w:val="FootnoteReference"/>
          <w:szCs w:val="22"/>
        </w:rPr>
        <w:footnoteReference w:id="56"/>
      </w:r>
      <w:r w:rsidR="00C76690" w:rsidRPr="00F25585">
        <w:rPr>
          <w:rFonts w:asciiTheme="majorHAnsi" w:hAnsiTheme="majorHAnsi"/>
          <w:sz w:val="22"/>
          <w:szCs w:val="22"/>
        </w:rPr>
        <w:t xml:space="preserve"> </w:t>
      </w:r>
      <w:r w:rsidR="00505BDA" w:rsidRPr="00F25585">
        <w:rPr>
          <w:rFonts w:asciiTheme="majorHAnsi" w:hAnsiTheme="majorHAnsi" w:cs="Times New Roman"/>
          <w:sz w:val="22"/>
          <w:szCs w:val="22"/>
          <w:lang w:val="en-AU" w:eastAsia="en-US"/>
        </w:rPr>
        <w:t xml:space="preserve">For the purposes of the present joint general recommendation/general comment, </w:t>
      </w:r>
      <w:r w:rsidR="00505BDA" w:rsidRPr="0022283A">
        <w:rPr>
          <w:rFonts w:asciiTheme="majorHAnsi" w:hAnsiTheme="majorHAnsi" w:cs="Times New Roman"/>
          <w:b/>
          <w:sz w:val="22"/>
          <w:szCs w:val="22"/>
          <w:lang w:val="en-AU" w:eastAsia="en-US"/>
        </w:rPr>
        <w:t>practices should meet the following criteria to be regarded as harmful</w:t>
      </w:r>
      <w:r w:rsidR="00505BDA" w:rsidRPr="00F25585">
        <w:rPr>
          <w:rFonts w:asciiTheme="majorHAnsi" w:hAnsiTheme="majorHAnsi" w:cs="Times New Roman"/>
          <w:sz w:val="22"/>
          <w:szCs w:val="22"/>
          <w:lang w:val="en-AU" w:eastAsia="en-US"/>
        </w:rPr>
        <w:t xml:space="preserve">: (a) They constitute a denial of the dignity and/or integrity of the individual and a </w:t>
      </w:r>
      <w:r w:rsidR="00505BDA" w:rsidRPr="0022283A">
        <w:rPr>
          <w:rFonts w:asciiTheme="majorHAnsi" w:hAnsiTheme="majorHAnsi" w:cs="Times New Roman"/>
          <w:b/>
          <w:sz w:val="22"/>
          <w:szCs w:val="22"/>
          <w:lang w:val="en-AU" w:eastAsia="en-US"/>
        </w:rPr>
        <w:t xml:space="preserve">violation of the human rights and fundamental freedoms </w:t>
      </w:r>
      <w:r w:rsidR="00505BDA" w:rsidRPr="00F25585">
        <w:rPr>
          <w:rFonts w:asciiTheme="majorHAnsi" w:hAnsiTheme="majorHAnsi" w:cs="Times New Roman"/>
          <w:sz w:val="22"/>
          <w:szCs w:val="22"/>
          <w:lang w:val="en-AU" w:eastAsia="en-US"/>
        </w:rPr>
        <w:t xml:space="preserve">enshrined in the two Conventions; (b) They constitute </w:t>
      </w:r>
      <w:r w:rsidR="00505BDA" w:rsidRPr="0022283A">
        <w:rPr>
          <w:rFonts w:asciiTheme="majorHAnsi" w:hAnsiTheme="majorHAnsi" w:cs="Times New Roman"/>
          <w:b/>
          <w:sz w:val="22"/>
          <w:szCs w:val="22"/>
          <w:lang w:val="en-AU" w:eastAsia="en-US"/>
        </w:rPr>
        <w:t xml:space="preserve">discrimination against </w:t>
      </w:r>
      <w:r w:rsidR="00505BDA" w:rsidRPr="00F25585">
        <w:rPr>
          <w:rFonts w:asciiTheme="majorHAnsi" w:hAnsiTheme="majorHAnsi" w:cs="Times New Roman"/>
          <w:sz w:val="22"/>
          <w:szCs w:val="22"/>
          <w:lang w:val="en-AU" w:eastAsia="en-US"/>
        </w:rPr>
        <w:t xml:space="preserve">women or </w:t>
      </w:r>
      <w:r w:rsidR="00505BDA" w:rsidRPr="00842342">
        <w:rPr>
          <w:rFonts w:asciiTheme="majorHAnsi" w:hAnsiTheme="majorHAnsi" w:cs="Times New Roman"/>
          <w:b/>
          <w:sz w:val="22"/>
          <w:szCs w:val="22"/>
          <w:lang w:val="en-AU" w:eastAsia="en-US"/>
        </w:rPr>
        <w:t xml:space="preserve">children and are harmful insofar as they result in negative consequences for them as individuals or groups, including physical, psychological, economic and social harm </w:t>
      </w:r>
      <w:r w:rsidR="00505BDA" w:rsidRPr="00F25585">
        <w:rPr>
          <w:rFonts w:asciiTheme="majorHAnsi" w:hAnsiTheme="majorHAnsi" w:cs="Times New Roman"/>
          <w:sz w:val="22"/>
          <w:szCs w:val="22"/>
          <w:lang w:val="en-AU" w:eastAsia="en-US"/>
        </w:rPr>
        <w:t xml:space="preserve">and </w:t>
      </w:r>
      <w:r w:rsidR="00505BDA" w:rsidRPr="00842342">
        <w:rPr>
          <w:rFonts w:asciiTheme="majorHAnsi" w:hAnsiTheme="majorHAnsi" w:cs="Times New Roman"/>
          <w:b/>
          <w:sz w:val="22"/>
          <w:szCs w:val="22"/>
          <w:lang w:val="en-AU" w:eastAsia="en-US"/>
        </w:rPr>
        <w:t>limitations on their capacity to participate fully in society or develop and reach their full potential</w:t>
      </w:r>
      <w:r w:rsidR="00505BDA" w:rsidRPr="00F25585">
        <w:rPr>
          <w:rFonts w:asciiTheme="majorHAnsi" w:hAnsiTheme="majorHAnsi" w:cs="Times New Roman"/>
          <w:sz w:val="22"/>
          <w:szCs w:val="22"/>
          <w:lang w:val="en-AU" w:eastAsia="en-US"/>
        </w:rPr>
        <w:t>;</w:t>
      </w:r>
      <w:r w:rsidR="009A5B22">
        <w:rPr>
          <w:rFonts w:asciiTheme="majorHAnsi" w:hAnsiTheme="majorHAnsi" w:cs="Times New Roman"/>
          <w:color w:val="000000"/>
          <w:sz w:val="22"/>
          <w:szCs w:val="22"/>
        </w:rPr>
        <w:t xml:space="preserve"> </w:t>
      </w:r>
      <w:r w:rsidR="00505BDA" w:rsidRPr="00F25585">
        <w:rPr>
          <w:rFonts w:asciiTheme="majorHAnsi" w:hAnsiTheme="majorHAnsi" w:cs="Times New Roman"/>
          <w:sz w:val="22"/>
          <w:szCs w:val="22"/>
          <w:lang w:val="en-AU" w:eastAsia="en-US"/>
        </w:rPr>
        <w:t xml:space="preserve">(c) They are traditional, re-emerging or </w:t>
      </w:r>
      <w:r w:rsidR="00505BDA" w:rsidRPr="00842342">
        <w:rPr>
          <w:rFonts w:asciiTheme="majorHAnsi" w:hAnsiTheme="majorHAnsi" w:cs="Times New Roman"/>
          <w:b/>
          <w:sz w:val="22"/>
          <w:szCs w:val="22"/>
          <w:lang w:val="en-AU" w:eastAsia="en-US"/>
        </w:rPr>
        <w:t xml:space="preserve">emerging practices that are prescribed and/or kept in place by social norms that perpetuate inequality of </w:t>
      </w:r>
      <w:r w:rsidR="00505BDA" w:rsidRPr="00F25585">
        <w:rPr>
          <w:rFonts w:asciiTheme="majorHAnsi" w:hAnsiTheme="majorHAnsi" w:cs="Times New Roman"/>
          <w:sz w:val="22"/>
          <w:szCs w:val="22"/>
          <w:lang w:val="en-AU" w:eastAsia="en-US"/>
        </w:rPr>
        <w:t xml:space="preserve">women and </w:t>
      </w:r>
      <w:r w:rsidR="00505BDA" w:rsidRPr="00842342">
        <w:rPr>
          <w:rFonts w:asciiTheme="majorHAnsi" w:hAnsiTheme="majorHAnsi" w:cs="Times New Roman"/>
          <w:b/>
          <w:sz w:val="22"/>
          <w:szCs w:val="22"/>
          <w:lang w:val="en-AU" w:eastAsia="en-US"/>
        </w:rPr>
        <w:t xml:space="preserve">children, on the basis of </w:t>
      </w:r>
      <w:r w:rsidR="00505BDA" w:rsidRPr="00F25585">
        <w:rPr>
          <w:rFonts w:asciiTheme="majorHAnsi" w:hAnsiTheme="majorHAnsi" w:cs="Times New Roman"/>
          <w:sz w:val="22"/>
          <w:szCs w:val="22"/>
          <w:lang w:val="en-AU" w:eastAsia="en-US"/>
        </w:rPr>
        <w:t xml:space="preserve">sex, gender, </w:t>
      </w:r>
      <w:r w:rsidR="00505BDA" w:rsidRPr="00842342">
        <w:rPr>
          <w:rFonts w:asciiTheme="majorHAnsi" w:hAnsiTheme="majorHAnsi" w:cs="Times New Roman"/>
          <w:b/>
          <w:sz w:val="22"/>
          <w:szCs w:val="22"/>
          <w:lang w:val="en-AU" w:eastAsia="en-US"/>
        </w:rPr>
        <w:t>age and other intersecting factors</w:t>
      </w:r>
      <w:r w:rsidR="00505BDA" w:rsidRPr="00F25585">
        <w:rPr>
          <w:rFonts w:asciiTheme="majorHAnsi" w:hAnsiTheme="majorHAnsi" w:cs="Times New Roman"/>
          <w:sz w:val="22"/>
          <w:szCs w:val="22"/>
          <w:lang w:val="en-AU" w:eastAsia="en-US"/>
        </w:rPr>
        <w:t xml:space="preserve">; </w:t>
      </w:r>
      <w:r w:rsidR="009A5B22">
        <w:rPr>
          <w:rFonts w:asciiTheme="majorHAnsi" w:hAnsiTheme="majorHAnsi" w:cs="Times New Roman"/>
          <w:sz w:val="22"/>
          <w:szCs w:val="22"/>
          <w:lang w:val="en-AU" w:eastAsia="en-US"/>
        </w:rPr>
        <w:t xml:space="preserve">and </w:t>
      </w:r>
      <w:r w:rsidR="00505BDA" w:rsidRPr="00F25585">
        <w:rPr>
          <w:rFonts w:asciiTheme="majorHAnsi" w:hAnsiTheme="majorHAnsi" w:cs="Times New Roman"/>
          <w:sz w:val="22"/>
          <w:szCs w:val="22"/>
          <w:lang w:val="en-AU" w:eastAsia="en-US"/>
        </w:rPr>
        <w:t xml:space="preserve">(d) They are </w:t>
      </w:r>
      <w:r w:rsidR="00505BDA" w:rsidRPr="00842342">
        <w:rPr>
          <w:rFonts w:asciiTheme="majorHAnsi" w:hAnsiTheme="majorHAnsi" w:cs="Times New Roman"/>
          <w:b/>
          <w:sz w:val="22"/>
          <w:szCs w:val="22"/>
          <w:lang w:val="en-AU" w:eastAsia="en-US"/>
        </w:rPr>
        <w:t xml:space="preserve">imposed on children by family members, community members or society at large, regardless of whether the victim </w:t>
      </w:r>
      <w:r w:rsidR="00C40718">
        <w:rPr>
          <w:rFonts w:asciiTheme="majorHAnsi" w:hAnsiTheme="majorHAnsi" w:cs="Times New Roman"/>
          <w:b/>
          <w:sz w:val="22"/>
          <w:szCs w:val="22"/>
          <w:lang w:val="en-AU" w:eastAsia="en-US"/>
        </w:rPr>
        <w:t>provides, or is able to provide</w:t>
      </w:r>
      <w:r w:rsidR="00505BDA" w:rsidRPr="00842342">
        <w:rPr>
          <w:rFonts w:asciiTheme="majorHAnsi" w:hAnsiTheme="majorHAnsi" w:cs="Times New Roman"/>
          <w:b/>
          <w:sz w:val="22"/>
          <w:szCs w:val="22"/>
          <w:lang w:val="en-AU" w:eastAsia="en-US"/>
        </w:rPr>
        <w:t xml:space="preserve"> full, free and informed consent</w:t>
      </w:r>
      <w:r w:rsidR="00505BDA" w:rsidRPr="00F25585">
        <w:rPr>
          <w:rFonts w:asciiTheme="majorHAnsi" w:hAnsiTheme="majorHAnsi" w:cs="Times New Roman"/>
          <w:sz w:val="22"/>
          <w:szCs w:val="22"/>
          <w:lang w:val="en-AU" w:eastAsia="en-US"/>
        </w:rPr>
        <w:t>.</w:t>
      </w:r>
      <w:r w:rsidR="000F540D">
        <w:rPr>
          <w:rStyle w:val="FootnoteReference"/>
          <w:rFonts w:cs="Times New Roman"/>
          <w:szCs w:val="22"/>
          <w:lang w:val="en-AU" w:eastAsia="en-US"/>
        </w:rPr>
        <w:footnoteReference w:id="57"/>
      </w:r>
      <w:r w:rsidR="00B64508">
        <w:rPr>
          <w:rFonts w:asciiTheme="majorHAnsi" w:hAnsiTheme="majorHAnsi" w:cs="Times New Roman"/>
          <w:sz w:val="22"/>
          <w:szCs w:val="22"/>
          <w:lang w:val="en-AU" w:eastAsia="en-US"/>
        </w:rPr>
        <w:t xml:space="preserve"> </w:t>
      </w:r>
    </w:p>
    <w:p w14:paraId="747D6A3A" w14:textId="77777777" w:rsidR="00B64508" w:rsidRDefault="00B64508" w:rsidP="00B64508">
      <w:pPr>
        <w:widowControl w:val="0"/>
        <w:autoSpaceDE w:val="0"/>
        <w:autoSpaceDN w:val="0"/>
        <w:adjustRightInd w:val="0"/>
        <w:rPr>
          <w:rFonts w:asciiTheme="majorHAnsi" w:hAnsiTheme="majorHAnsi" w:cs="Times New Roman"/>
          <w:sz w:val="22"/>
          <w:szCs w:val="22"/>
          <w:lang w:val="en-AU" w:eastAsia="en-US"/>
        </w:rPr>
      </w:pPr>
    </w:p>
    <w:p w14:paraId="7674A42D" w14:textId="77777777" w:rsidR="006B4D3F" w:rsidRDefault="008331C1" w:rsidP="006B4D3F">
      <w:pPr>
        <w:widowControl w:val="0"/>
        <w:autoSpaceDE w:val="0"/>
        <w:autoSpaceDN w:val="0"/>
        <w:adjustRightInd w:val="0"/>
        <w:rPr>
          <w:rFonts w:asciiTheme="majorHAnsi" w:hAnsiTheme="majorHAnsi" w:cs="Times New Roman"/>
          <w:sz w:val="22"/>
          <w:szCs w:val="22"/>
          <w:lang w:val="en-AU" w:eastAsia="en-US"/>
        </w:rPr>
      </w:pPr>
      <w:r w:rsidRPr="0012273D">
        <w:rPr>
          <w:rFonts w:asciiTheme="majorHAnsi" w:hAnsiTheme="majorHAnsi" w:cs="Times New Roman"/>
          <w:b/>
          <w:sz w:val="22"/>
          <w:szCs w:val="22"/>
          <w:lang w:val="en-AU" w:eastAsia="en-US"/>
        </w:rPr>
        <w:t>COVID-19 vaccines for children are a harmful practice</w:t>
      </w:r>
      <w:r>
        <w:rPr>
          <w:rFonts w:asciiTheme="majorHAnsi" w:hAnsiTheme="majorHAnsi" w:cs="Times New Roman"/>
          <w:sz w:val="22"/>
          <w:szCs w:val="22"/>
          <w:lang w:val="en-AU" w:eastAsia="en-US"/>
        </w:rPr>
        <w:t xml:space="preserve">. </w:t>
      </w:r>
      <w:r w:rsidR="00024D8C">
        <w:rPr>
          <w:rFonts w:asciiTheme="majorHAnsi" w:hAnsiTheme="majorHAnsi" w:cs="Times New Roman"/>
          <w:sz w:val="22"/>
          <w:szCs w:val="22"/>
          <w:lang w:val="en-AU" w:eastAsia="en-US"/>
        </w:rPr>
        <w:t xml:space="preserve">Vaccination of children when there is next to no risk from COVID-19, but the risks of vaccination include death and disability, </w:t>
      </w:r>
      <w:r w:rsidR="00B64508">
        <w:rPr>
          <w:rFonts w:asciiTheme="majorHAnsi" w:hAnsiTheme="majorHAnsi" w:cs="Times New Roman"/>
          <w:sz w:val="22"/>
          <w:szCs w:val="22"/>
          <w:lang w:val="en-AU" w:eastAsia="en-US"/>
        </w:rPr>
        <w:t xml:space="preserve">is a violation of human rights because it violates </w:t>
      </w:r>
      <w:r w:rsidR="005F579B">
        <w:rPr>
          <w:rFonts w:asciiTheme="majorHAnsi" w:hAnsiTheme="majorHAnsi" w:cs="Times New Roman"/>
          <w:sz w:val="22"/>
          <w:szCs w:val="22"/>
          <w:lang w:val="en-AU" w:eastAsia="en-US"/>
        </w:rPr>
        <w:t xml:space="preserve">children’s </w:t>
      </w:r>
      <w:r w:rsidR="00B64508">
        <w:rPr>
          <w:rFonts w:asciiTheme="majorHAnsi" w:hAnsiTheme="majorHAnsi" w:cs="Times New Roman"/>
          <w:sz w:val="22"/>
          <w:szCs w:val="22"/>
          <w:lang w:val="en-AU" w:eastAsia="en-US"/>
        </w:rPr>
        <w:t xml:space="preserve">right to be free from medical or scientific experimentation without free consent; </w:t>
      </w:r>
      <w:r w:rsidR="000E47F4">
        <w:rPr>
          <w:rFonts w:asciiTheme="majorHAnsi" w:hAnsiTheme="majorHAnsi" w:cs="Times New Roman"/>
          <w:sz w:val="22"/>
          <w:szCs w:val="22"/>
          <w:lang w:val="en-AU" w:eastAsia="en-US"/>
        </w:rPr>
        <w:t>it constitutes discrimination against children and is harmful because it can result in negative consequences</w:t>
      </w:r>
      <w:r w:rsidR="003A0134">
        <w:rPr>
          <w:rFonts w:asciiTheme="majorHAnsi" w:hAnsiTheme="majorHAnsi" w:cs="Times New Roman"/>
          <w:sz w:val="22"/>
          <w:szCs w:val="22"/>
          <w:lang w:val="en-AU" w:eastAsia="en-US"/>
        </w:rPr>
        <w:t xml:space="preserve"> for groups of children, including physical/psychological harm and disability</w:t>
      </w:r>
      <w:r w:rsidR="005F579B">
        <w:rPr>
          <w:rFonts w:asciiTheme="majorHAnsi" w:hAnsiTheme="majorHAnsi" w:cs="Times New Roman"/>
          <w:sz w:val="22"/>
          <w:szCs w:val="22"/>
          <w:lang w:val="en-AU" w:eastAsia="en-US"/>
        </w:rPr>
        <w:t xml:space="preserve">; it is an emerging practice that is prescribed and kept in place by social norms that perpetuate inequality of children on the basis of age and vaccination status; and </w:t>
      </w:r>
      <w:r w:rsidR="00C40718">
        <w:rPr>
          <w:rFonts w:asciiTheme="majorHAnsi" w:hAnsiTheme="majorHAnsi" w:cs="Times New Roman"/>
          <w:sz w:val="22"/>
          <w:szCs w:val="22"/>
          <w:lang w:val="en-AU" w:eastAsia="en-US"/>
        </w:rPr>
        <w:t>it is imposed on children by family members, community members and society at large, regardless of whether the child is able to provide full, free and informed consent.</w:t>
      </w:r>
      <w:r>
        <w:rPr>
          <w:rFonts w:asciiTheme="majorHAnsi" w:hAnsiTheme="majorHAnsi" w:cs="Times New Roman"/>
          <w:sz w:val="22"/>
          <w:szCs w:val="22"/>
          <w:lang w:val="en-AU" w:eastAsia="en-US"/>
        </w:rPr>
        <w:t xml:space="preserve">  </w:t>
      </w:r>
    </w:p>
    <w:p w14:paraId="5889EFCC" w14:textId="77777777" w:rsidR="006B4D3F" w:rsidRDefault="006B4D3F" w:rsidP="006B4D3F">
      <w:pPr>
        <w:widowControl w:val="0"/>
        <w:autoSpaceDE w:val="0"/>
        <w:autoSpaceDN w:val="0"/>
        <w:adjustRightInd w:val="0"/>
        <w:rPr>
          <w:rFonts w:asciiTheme="majorHAnsi" w:hAnsiTheme="majorHAnsi" w:cs="Times New Roman"/>
          <w:sz w:val="22"/>
          <w:szCs w:val="22"/>
          <w:lang w:val="en-AU" w:eastAsia="en-US"/>
        </w:rPr>
      </w:pPr>
    </w:p>
    <w:p w14:paraId="7353D0C8" w14:textId="595E0773" w:rsidR="00530045" w:rsidRDefault="008331C1" w:rsidP="006B4D3F">
      <w:pPr>
        <w:widowControl w:val="0"/>
        <w:autoSpaceDE w:val="0"/>
        <w:autoSpaceDN w:val="0"/>
        <w:adjustRightInd w:val="0"/>
        <w:rPr>
          <w:rFonts w:asciiTheme="majorHAnsi" w:hAnsiTheme="majorHAnsi" w:cs="Times New Roman"/>
          <w:sz w:val="22"/>
          <w:szCs w:val="22"/>
          <w:lang w:val="en-AU" w:eastAsia="en-US"/>
        </w:rPr>
      </w:pPr>
      <w:r>
        <w:rPr>
          <w:rFonts w:asciiTheme="majorHAnsi" w:hAnsiTheme="majorHAnsi" w:cs="Times New Roman"/>
          <w:sz w:val="22"/>
          <w:szCs w:val="22"/>
          <w:lang w:val="en-AU" w:eastAsia="en-US"/>
        </w:rPr>
        <w:t>The Human Rights Committee in its</w:t>
      </w:r>
      <w:bookmarkStart w:id="2" w:name="_Toc481083405"/>
      <w:bookmarkStart w:id="3" w:name="_Toc70389004"/>
      <w:bookmarkStart w:id="4" w:name="_Toc70516973"/>
      <w:bookmarkStart w:id="5" w:name="_Toc200433630"/>
      <w:bookmarkStart w:id="6" w:name="_Toc200441515"/>
      <w:bookmarkStart w:id="7" w:name="_Toc200785394"/>
      <w:r>
        <w:rPr>
          <w:rFonts w:asciiTheme="majorHAnsi" w:hAnsiTheme="majorHAnsi" w:cs="Times New Roman"/>
          <w:color w:val="000000"/>
          <w:sz w:val="22"/>
          <w:szCs w:val="22"/>
        </w:rPr>
        <w:t xml:space="preserve"> </w:t>
      </w:r>
      <w:r w:rsidR="00086E3D" w:rsidRPr="00F25585">
        <w:rPr>
          <w:rFonts w:asciiTheme="majorHAnsi" w:hAnsiTheme="majorHAnsi"/>
          <w:b/>
          <w:sz w:val="22"/>
          <w:szCs w:val="22"/>
        </w:rPr>
        <w:t>General comment No. 20:  Article 7 (Prohibition of torture, or other cruel, inhuman or degrading treatment or punishment)</w:t>
      </w:r>
      <w:bookmarkEnd w:id="2"/>
      <w:bookmarkEnd w:id="3"/>
      <w:bookmarkEnd w:id="4"/>
      <w:bookmarkEnd w:id="5"/>
      <w:bookmarkEnd w:id="6"/>
      <w:bookmarkEnd w:id="7"/>
      <w:r w:rsidR="00086E3D" w:rsidRPr="00F25585">
        <w:rPr>
          <w:rFonts w:asciiTheme="majorHAnsi" w:hAnsiTheme="majorHAnsi"/>
          <w:b/>
          <w:sz w:val="22"/>
          <w:szCs w:val="22"/>
        </w:rPr>
        <w:t>, 1992</w:t>
      </w:r>
      <w:r>
        <w:rPr>
          <w:rFonts w:asciiTheme="majorHAnsi" w:hAnsiTheme="majorHAnsi"/>
          <w:sz w:val="22"/>
          <w:szCs w:val="22"/>
        </w:rPr>
        <w:t xml:space="preserve"> notes that Article 7 expressly prohibits medical or scientific experimentation without the free consent of the person concerned</w:t>
      </w:r>
      <w:r w:rsidR="006B4D3F">
        <w:rPr>
          <w:rFonts w:asciiTheme="majorHAnsi" w:hAnsiTheme="majorHAnsi"/>
          <w:sz w:val="22"/>
          <w:szCs w:val="22"/>
        </w:rPr>
        <w:t xml:space="preserve">.  The right is absolute, allowing for no limitation on this right. </w:t>
      </w:r>
      <w:r w:rsidR="00554639" w:rsidRPr="00B727FF">
        <w:rPr>
          <w:rFonts w:asciiTheme="majorHAnsi" w:hAnsiTheme="majorHAnsi"/>
          <w:b/>
          <w:sz w:val="22"/>
          <w:szCs w:val="22"/>
        </w:rPr>
        <w:t xml:space="preserve">The Committee </w:t>
      </w:r>
      <w:r w:rsidR="006B4D3F">
        <w:rPr>
          <w:rFonts w:asciiTheme="majorHAnsi" w:hAnsiTheme="majorHAnsi"/>
          <w:b/>
          <w:sz w:val="22"/>
          <w:szCs w:val="22"/>
        </w:rPr>
        <w:t>observes</w:t>
      </w:r>
      <w:r w:rsidR="00554639" w:rsidRPr="00B727FF">
        <w:rPr>
          <w:rFonts w:asciiTheme="majorHAnsi" w:hAnsiTheme="majorHAnsi"/>
          <w:b/>
          <w:sz w:val="22"/>
          <w:szCs w:val="22"/>
        </w:rPr>
        <w:t xml:space="preserve"> that special protection in regard to such experiments is necessary in the case of persons not capable of giving valid consent</w:t>
      </w:r>
      <w:r w:rsidR="00554639" w:rsidRPr="00F25585">
        <w:rPr>
          <w:rFonts w:asciiTheme="majorHAnsi" w:hAnsiTheme="majorHAnsi"/>
          <w:sz w:val="22"/>
          <w:szCs w:val="22"/>
        </w:rPr>
        <w:t xml:space="preserve">. </w:t>
      </w:r>
      <w:r w:rsidR="00554639" w:rsidRPr="00530045">
        <w:rPr>
          <w:rFonts w:asciiTheme="majorHAnsi" w:hAnsiTheme="majorHAnsi"/>
          <w:b/>
          <w:sz w:val="22"/>
          <w:szCs w:val="22"/>
        </w:rPr>
        <w:t>Such persons should not be subjected to any medical or scientific experimentation that may be detrimental to their health.</w:t>
      </w:r>
      <w:r w:rsidR="006B4D3F">
        <w:rPr>
          <w:rFonts w:asciiTheme="majorHAnsi" w:hAnsiTheme="majorHAnsi"/>
          <w:b/>
          <w:sz w:val="22"/>
          <w:szCs w:val="22"/>
        </w:rPr>
        <w:t xml:space="preserve"> </w:t>
      </w:r>
      <w:r w:rsidR="00530045">
        <w:rPr>
          <w:rFonts w:asciiTheme="majorHAnsi" w:hAnsiTheme="majorHAnsi" w:cs="Times New Roman"/>
          <w:sz w:val="22"/>
          <w:szCs w:val="22"/>
          <w:lang w:val="en-AU" w:eastAsia="en-US"/>
        </w:rPr>
        <w:t>The COVID-19 injections are clearly and officially</w:t>
      </w:r>
      <w:r w:rsidR="00530045" w:rsidRPr="00F25585">
        <w:rPr>
          <w:rFonts w:asciiTheme="majorHAnsi" w:hAnsiTheme="majorHAnsi" w:cs="Times New Roman"/>
          <w:sz w:val="22"/>
          <w:szCs w:val="22"/>
          <w:lang w:val="en-AU" w:eastAsia="en-US"/>
        </w:rPr>
        <w:t xml:space="preserve"> experimental, given </w:t>
      </w:r>
      <w:r w:rsidR="00530045">
        <w:rPr>
          <w:rFonts w:asciiTheme="majorHAnsi" w:hAnsiTheme="majorHAnsi" w:cs="Times New Roman"/>
          <w:sz w:val="22"/>
          <w:szCs w:val="22"/>
          <w:lang w:val="en-AU" w:eastAsia="en-US"/>
        </w:rPr>
        <w:t xml:space="preserve">the </w:t>
      </w:r>
      <w:r w:rsidR="00530045" w:rsidRPr="00F25585">
        <w:rPr>
          <w:rFonts w:asciiTheme="majorHAnsi" w:hAnsiTheme="majorHAnsi" w:cs="Times New Roman"/>
          <w:sz w:val="22"/>
          <w:szCs w:val="22"/>
          <w:lang w:val="en-AU" w:eastAsia="en-US"/>
        </w:rPr>
        <w:t>rapid and limited clinical testing, and its official designation as a treatment with provisional consent only, issued by emergency use authorisation, under section 26 of the Medicines Act. In normal clinical trials, any and every possible adverse event is watched for, and the trial halted during investigations of any possible harm. Pfizer’s own reports from the early rollout in the US make for grim and sobering reading.</w:t>
      </w:r>
      <w:r w:rsidR="00530045">
        <w:rPr>
          <w:rFonts w:asciiTheme="majorHAnsi" w:hAnsiTheme="majorHAnsi" w:cs="Times New Roman"/>
          <w:sz w:val="22"/>
          <w:szCs w:val="22"/>
          <w:lang w:val="en-AU" w:eastAsia="en-US"/>
        </w:rPr>
        <w:t xml:space="preserve"> </w:t>
      </w:r>
      <w:r w:rsidR="00530045" w:rsidRPr="00F25585">
        <w:rPr>
          <w:rFonts w:asciiTheme="majorHAnsi" w:hAnsiTheme="majorHAnsi" w:cs="Times New Roman"/>
          <w:sz w:val="22"/>
          <w:szCs w:val="22"/>
          <w:lang w:val="en-AU" w:eastAsia="en-US"/>
        </w:rPr>
        <w:t xml:space="preserve">Despite this, in NZ reporting of adverse events following Comirnaty remains voluntary, and even frankly discouraged, as described by many victims, their families, health care workers and staffers within </w:t>
      </w:r>
      <w:r w:rsidR="003A74AC">
        <w:rPr>
          <w:rFonts w:asciiTheme="majorHAnsi" w:hAnsiTheme="majorHAnsi" w:cs="Times New Roman"/>
          <w:sz w:val="22"/>
          <w:szCs w:val="22"/>
          <w:lang w:val="en-AU" w:eastAsia="en-US"/>
        </w:rPr>
        <w:t xml:space="preserve">the </w:t>
      </w:r>
      <w:r w:rsidR="00530045" w:rsidRPr="00F25585">
        <w:rPr>
          <w:rFonts w:asciiTheme="majorHAnsi" w:hAnsiTheme="majorHAnsi" w:cs="Times New Roman"/>
          <w:sz w:val="22"/>
          <w:szCs w:val="22"/>
          <w:lang w:val="en-AU" w:eastAsia="en-US"/>
        </w:rPr>
        <w:t>M</w:t>
      </w:r>
      <w:r w:rsidR="003A74AC">
        <w:rPr>
          <w:rFonts w:asciiTheme="majorHAnsi" w:hAnsiTheme="majorHAnsi" w:cs="Times New Roman"/>
          <w:sz w:val="22"/>
          <w:szCs w:val="22"/>
          <w:lang w:val="en-AU" w:eastAsia="en-US"/>
        </w:rPr>
        <w:t xml:space="preserve">inistry </w:t>
      </w:r>
      <w:r w:rsidR="00530045" w:rsidRPr="00F25585">
        <w:rPr>
          <w:rFonts w:asciiTheme="majorHAnsi" w:hAnsiTheme="majorHAnsi" w:cs="Times New Roman"/>
          <w:sz w:val="22"/>
          <w:szCs w:val="22"/>
          <w:lang w:val="en-AU" w:eastAsia="en-US"/>
        </w:rPr>
        <w:t>o</w:t>
      </w:r>
      <w:r w:rsidR="003A74AC">
        <w:rPr>
          <w:rFonts w:asciiTheme="majorHAnsi" w:hAnsiTheme="majorHAnsi" w:cs="Times New Roman"/>
          <w:sz w:val="22"/>
          <w:szCs w:val="22"/>
          <w:lang w:val="en-AU" w:eastAsia="en-US"/>
        </w:rPr>
        <w:t xml:space="preserve">f </w:t>
      </w:r>
      <w:r w:rsidR="00530045" w:rsidRPr="00F25585">
        <w:rPr>
          <w:rFonts w:asciiTheme="majorHAnsi" w:hAnsiTheme="majorHAnsi" w:cs="Times New Roman"/>
          <w:sz w:val="22"/>
          <w:szCs w:val="22"/>
          <w:lang w:val="en-AU" w:eastAsia="en-US"/>
        </w:rPr>
        <w:t>H</w:t>
      </w:r>
      <w:r w:rsidR="003A74AC">
        <w:rPr>
          <w:rFonts w:asciiTheme="majorHAnsi" w:hAnsiTheme="majorHAnsi" w:cs="Times New Roman"/>
          <w:sz w:val="22"/>
          <w:szCs w:val="22"/>
          <w:lang w:val="en-AU" w:eastAsia="en-US"/>
        </w:rPr>
        <w:t>ealth</w:t>
      </w:r>
      <w:r w:rsidR="00530045" w:rsidRPr="00F25585">
        <w:rPr>
          <w:rFonts w:asciiTheme="majorHAnsi" w:hAnsiTheme="majorHAnsi" w:cs="Times New Roman"/>
          <w:sz w:val="22"/>
          <w:szCs w:val="22"/>
          <w:lang w:val="en-AU" w:eastAsia="en-US"/>
        </w:rPr>
        <w:t>.</w:t>
      </w:r>
    </w:p>
    <w:p w14:paraId="67313AD4" w14:textId="77777777" w:rsidR="002A35AA" w:rsidRPr="006B4D3F" w:rsidRDefault="002A35AA" w:rsidP="006B4D3F">
      <w:pPr>
        <w:widowControl w:val="0"/>
        <w:autoSpaceDE w:val="0"/>
        <w:autoSpaceDN w:val="0"/>
        <w:adjustRightInd w:val="0"/>
        <w:rPr>
          <w:rFonts w:asciiTheme="majorHAnsi" w:hAnsiTheme="majorHAnsi"/>
          <w:b/>
          <w:sz w:val="22"/>
          <w:szCs w:val="22"/>
        </w:rPr>
      </w:pPr>
    </w:p>
    <w:p w14:paraId="5D03C2F8" w14:textId="62D415FC" w:rsidR="008F5D20" w:rsidRPr="00FE4DE6" w:rsidRDefault="008F5D20" w:rsidP="00530045">
      <w:pPr>
        <w:spacing w:after="100" w:afterAutospacing="1"/>
        <w:rPr>
          <w:rFonts w:asciiTheme="majorHAnsi" w:hAnsiTheme="majorHAnsi" w:cs="Times New Roman"/>
          <w:b/>
          <w:i/>
          <w:sz w:val="22"/>
          <w:szCs w:val="22"/>
          <w:lang w:val="en-AU" w:eastAsia="en-US"/>
        </w:rPr>
      </w:pPr>
      <w:r w:rsidRPr="00FE4DE6">
        <w:rPr>
          <w:rFonts w:asciiTheme="majorHAnsi" w:hAnsiTheme="majorHAnsi" w:cs="Times New Roman"/>
          <w:b/>
          <w:i/>
          <w:sz w:val="22"/>
          <w:szCs w:val="22"/>
          <w:lang w:val="en-AU" w:eastAsia="en-US"/>
        </w:rPr>
        <w:t xml:space="preserve">Recommendation </w:t>
      </w:r>
      <w:r w:rsidR="00700649" w:rsidRPr="00FE4DE6">
        <w:rPr>
          <w:rFonts w:asciiTheme="majorHAnsi" w:hAnsiTheme="majorHAnsi" w:cs="Times New Roman"/>
          <w:b/>
          <w:i/>
          <w:sz w:val="22"/>
          <w:szCs w:val="22"/>
          <w:lang w:val="en-AU" w:eastAsia="en-US"/>
        </w:rPr>
        <w:t xml:space="preserve">6 </w:t>
      </w:r>
      <w:r w:rsidRPr="00FE4DE6">
        <w:rPr>
          <w:rFonts w:asciiTheme="majorHAnsi" w:hAnsiTheme="majorHAnsi" w:cs="Times New Roman"/>
          <w:b/>
          <w:i/>
          <w:sz w:val="22"/>
          <w:szCs w:val="22"/>
          <w:lang w:val="en-AU" w:eastAsia="en-US"/>
        </w:rPr>
        <w:t xml:space="preserve">– children in New Zealand should not be subjected to any medical or scientific experimentation that may be detrimental to their health, including the provisionally consented COVID-19 injections </w:t>
      </w:r>
      <w:r w:rsidR="00AD0457" w:rsidRPr="00FE4DE6">
        <w:rPr>
          <w:rFonts w:asciiTheme="majorHAnsi" w:hAnsiTheme="majorHAnsi" w:cs="Times New Roman"/>
          <w:b/>
          <w:i/>
          <w:sz w:val="22"/>
          <w:szCs w:val="22"/>
          <w:lang w:val="en-AU" w:eastAsia="en-US"/>
        </w:rPr>
        <w:t>that hav</w:t>
      </w:r>
      <w:r w:rsidR="00FE4DE6">
        <w:rPr>
          <w:rFonts w:asciiTheme="majorHAnsi" w:hAnsiTheme="majorHAnsi" w:cs="Times New Roman"/>
          <w:b/>
          <w:i/>
          <w:sz w:val="22"/>
          <w:szCs w:val="22"/>
          <w:lang w:val="en-AU" w:eastAsia="en-US"/>
        </w:rPr>
        <w:t>e risks of death or disability.</w:t>
      </w:r>
    </w:p>
    <w:p w14:paraId="27D1FE0F" w14:textId="2ED2E352" w:rsidR="00E87B35" w:rsidRPr="00B54776" w:rsidRDefault="008B1E51" w:rsidP="00B54776">
      <w:pPr>
        <w:pStyle w:val="Heading2"/>
      </w:pPr>
      <w:r>
        <w:t xml:space="preserve">Family environment and alternative care (arts. 5, 9–11, 18, paras. 1 and 2, 20, 21, 25 and 27, para. 4) </w:t>
      </w:r>
    </w:p>
    <w:p w14:paraId="75C19295" w14:textId="31575639" w:rsidR="001667A7" w:rsidRPr="008851B5" w:rsidRDefault="00D038A3" w:rsidP="008851B5">
      <w:pPr>
        <w:rPr>
          <w:rFonts w:asciiTheme="majorHAnsi" w:eastAsia="Times New Roman" w:hAnsiTheme="majorHAnsi" w:cs="Times New Roman"/>
          <w:sz w:val="22"/>
          <w:szCs w:val="22"/>
          <w:lang w:val="en-AU" w:eastAsia="en-US"/>
        </w:rPr>
      </w:pPr>
      <w:r w:rsidRPr="00411481">
        <w:rPr>
          <w:rFonts w:asciiTheme="majorHAnsi" w:hAnsiTheme="majorHAnsi" w:cs="Times New Roman"/>
          <w:color w:val="000000"/>
          <w:sz w:val="22"/>
          <w:szCs w:val="22"/>
        </w:rPr>
        <w:t>Article 9 states that, “</w:t>
      </w:r>
      <w:r w:rsidRPr="00411481">
        <w:rPr>
          <w:rFonts w:asciiTheme="majorHAnsi" w:hAnsiTheme="majorHAnsi" w:cs="Times New Roman"/>
          <w:b/>
          <w:color w:val="000000"/>
          <w:sz w:val="22"/>
          <w:szCs w:val="22"/>
        </w:rPr>
        <w:t>a child shall not be separated from his or her parents against their will</w:t>
      </w:r>
      <w:r w:rsidR="00F47298" w:rsidRPr="00411481">
        <w:rPr>
          <w:rFonts w:asciiTheme="majorHAnsi" w:hAnsiTheme="majorHAnsi" w:cs="Times New Roman"/>
          <w:color w:val="000000"/>
          <w:sz w:val="22"/>
          <w:szCs w:val="22"/>
        </w:rPr>
        <w:t xml:space="preserve">.”  Notwithstanding, </w:t>
      </w:r>
      <w:r w:rsidR="00A55440">
        <w:rPr>
          <w:rFonts w:asciiTheme="majorHAnsi" w:hAnsiTheme="majorHAnsi" w:cs="Times New Roman"/>
          <w:color w:val="000000"/>
          <w:sz w:val="22"/>
          <w:szCs w:val="22"/>
        </w:rPr>
        <w:t>several children have been separated from their parents in order to be forcibly vaccinated/</w:t>
      </w:r>
      <w:r w:rsidR="008851B5">
        <w:rPr>
          <w:rFonts w:asciiTheme="majorHAnsi" w:hAnsiTheme="majorHAnsi" w:cs="Times New Roman"/>
          <w:color w:val="000000"/>
          <w:sz w:val="22"/>
          <w:szCs w:val="22"/>
        </w:rPr>
        <w:t xml:space="preserve">forced into a medical procedure. For example, </w:t>
      </w:r>
      <w:r w:rsidR="00427359" w:rsidRPr="00411481">
        <w:rPr>
          <w:rFonts w:asciiTheme="majorHAnsi" w:hAnsiTheme="majorHAnsi" w:cs="Times New Roman"/>
          <w:color w:val="000000"/>
          <w:sz w:val="22"/>
          <w:szCs w:val="22"/>
        </w:rPr>
        <w:t xml:space="preserve">in 2022 </w:t>
      </w:r>
      <w:r w:rsidR="00F47298" w:rsidRPr="00411481">
        <w:rPr>
          <w:rFonts w:asciiTheme="majorHAnsi" w:hAnsiTheme="majorHAnsi" w:cs="Times New Roman"/>
          <w:color w:val="000000"/>
          <w:sz w:val="22"/>
          <w:szCs w:val="22"/>
        </w:rPr>
        <w:t xml:space="preserve">a Family Court Judge </w:t>
      </w:r>
      <w:r w:rsidR="00583A36" w:rsidRPr="00411481">
        <w:rPr>
          <w:rFonts w:asciiTheme="majorHAnsi" w:hAnsiTheme="majorHAnsi" w:cs="Times New Roman"/>
          <w:color w:val="000000"/>
          <w:sz w:val="22"/>
          <w:szCs w:val="22"/>
        </w:rPr>
        <w:t>ordered that children get vaccinated and banned their father from contact with such children.</w:t>
      </w:r>
      <w:r w:rsidR="00B54776" w:rsidRPr="00411481">
        <w:rPr>
          <w:rFonts w:asciiTheme="majorHAnsi" w:hAnsiTheme="majorHAnsi" w:cs="Times New Roman"/>
          <w:color w:val="000000"/>
          <w:sz w:val="22"/>
          <w:szCs w:val="22"/>
        </w:rPr>
        <w:t xml:space="preserve"> </w:t>
      </w:r>
      <w:r w:rsidR="00411481" w:rsidRPr="00411481">
        <w:rPr>
          <w:rFonts w:asciiTheme="majorHAnsi" w:eastAsia="Times New Roman" w:hAnsiTheme="majorHAnsi" w:cs="Times New Roman"/>
          <w:color w:val="000000"/>
          <w:sz w:val="22"/>
          <w:szCs w:val="22"/>
          <w:shd w:val="clear" w:color="auto" w:fill="FFFFFF"/>
          <w:lang w:val="en-AU" w:eastAsia="en-US"/>
        </w:rPr>
        <w:t>Instead of getting vaccinated the father had proposed that he would wear a mask, frequently sanitise his hands, and ensure any meeting took place outdoors in order to still have contact with his children.</w:t>
      </w:r>
      <w:r w:rsidR="00411481" w:rsidRPr="00411481">
        <w:rPr>
          <w:rFonts w:asciiTheme="majorHAnsi" w:eastAsia="Times New Roman" w:hAnsiTheme="majorHAnsi" w:cs="Times New Roman"/>
          <w:sz w:val="22"/>
          <w:szCs w:val="22"/>
          <w:lang w:val="en-AU" w:eastAsia="en-US"/>
        </w:rPr>
        <w:t xml:space="preserve"> </w:t>
      </w:r>
      <w:r w:rsidR="001667A7" w:rsidRPr="00411481">
        <w:rPr>
          <w:rFonts w:asciiTheme="majorHAnsi" w:eastAsia="Times New Roman" w:hAnsiTheme="majorHAnsi" w:cs="Times New Roman"/>
          <w:sz w:val="22"/>
          <w:szCs w:val="22"/>
          <w:shd w:val="clear" w:color="auto" w:fill="FFFFFF"/>
          <w:lang w:val="en-AU" w:eastAsia="en-US"/>
        </w:rPr>
        <w:t>Ultimately the Judge said he wasn't willing to take the risk and ruled the father's contact be suspended until all three children had been vaccinated "to their General Practitioner's satisfaction".</w:t>
      </w:r>
      <w:r w:rsidR="00B54776" w:rsidRPr="00411481">
        <w:rPr>
          <w:rFonts w:asciiTheme="majorHAnsi" w:hAnsiTheme="majorHAnsi" w:cs="Times New Roman"/>
          <w:color w:val="000000"/>
          <w:sz w:val="22"/>
          <w:szCs w:val="22"/>
        </w:rPr>
        <w:t xml:space="preserve"> </w:t>
      </w:r>
      <w:r w:rsidR="001667A7" w:rsidRPr="00411481">
        <w:rPr>
          <w:rFonts w:asciiTheme="majorHAnsi" w:eastAsia="Times New Roman" w:hAnsiTheme="majorHAnsi" w:cs="Times New Roman"/>
          <w:sz w:val="22"/>
          <w:szCs w:val="22"/>
          <w:shd w:val="clear" w:color="auto" w:fill="FFFFFF"/>
          <w:lang w:val="en-AU" w:eastAsia="en-US"/>
        </w:rPr>
        <w:t xml:space="preserve">"Indeed, if [the boy] was in the care of two parents who were refusing to vaccinate him, I would consider having him removed from their care until such time as he could be properly vaccinated," </w:t>
      </w:r>
      <w:r w:rsidR="00E01326">
        <w:rPr>
          <w:rFonts w:asciiTheme="majorHAnsi" w:eastAsia="Times New Roman" w:hAnsiTheme="majorHAnsi" w:cs="Times New Roman"/>
          <w:sz w:val="22"/>
          <w:szCs w:val="22"/>
          <w:shd w:val="clear" w:color="auto" w:fill="FFFFFF"/>
          <w:lang w:val="en-AU" w:eastAsia="en-US"/>
        </w:rPr>
        <w:t>the Judge</w:t>
      </w:r>
      <w:r w:rsidR="001667A7" w:rsidRPr="00411481">
        <w:rPr>
          <w:rFonts w:asciiTheme="majorHAnsi" w:eastAsia="Times New Roman" w:hAnsiTheme="majorHAnsi" w:cs="Times New Roman"/>
          <w:sz w:val="22"/>
          <w:szCs w:val="22"/>
          <w:shd w:val="clear" w:color="auto" w:fill="FFFFFF"/>
          <w:lang w:val="en-AU" w:eastAsia="en-US"/>
        </w:rPr>
        <w:t xml:space="preserve"> said.</w:t>
      </w:r>
      <w:r w:rsidR="00B54776" w:rsidRPr="00411481">
        <w:rPr>
          <w:rStyle w:val="FootnoteReference"/>
          <w:rFonts w:asciiTheme="majorHAnsi" w:hAnsiTheme="majorHAnsi" w:cs="Times New Roman"/>
          <w:color w:val="000000"/>
          <w:sz w:val="22"/>
          <w:szCs w:val="22"/>
        </w:rPr>
        <w:t xml:space="preserve"> </w:t>
      </w:r>
      <w:r w:rsidR="00B54776" w:rsidRPr="00411481">
        <w:rPr>
          <w:rStyle w:val="FootnoteReference"/>
          <w:rFonts w:asciiTheme="majorHAnsi" w:hAnsiTheme="majorHAnsi" w:cs="Times New Roman"/>
          <w:color w:val="000000"/>
          <w:sz w:val="22"/>
          <w:szCs w:val="22"/>
        </w:rPr>
        <w:footnoteReference w:id="58"/>
      </w:r>
      <w:r w:rsidR="008851B5">
        <w:rPr>
          <w:rFonts w:asciiTheme="majorHAnsi" w:eastAsia="Times New Roman" w:hAnsiTheme="majorHAnsi" w:cs="Times New Roman"/>
          <w:sz w:val="22"/>
          <w:szCs w:val="22"/>
          <w:lang w:val="en-AU" w:eastAsia="en-US"/>
        </w:rPr>
        <w:t xml:space="preserve"> </w:t>
      </w:r>
      <w:r w:rsidR="00841573">
        <w:rPr>
          <w:rFonts w:asciiTheme="majorHAnsi" w:hAnsiTheme="majorHAnsi" w:cs="Times New Roman"/>
          <w:color w:val="000000"/>
          <w:sz w:val="22"/>
          <w:szCs w:val="22"/>
        </w:rPr>
        <w:t xml:space="preserve">Moreover, a Family Court Judge ordered in 2021 that </w:t>
      </w:r>
      <w:r w:rsidR="00BC5234">
        <w:rPr>
          <w:rFonts w:asciiTheme="majorHAnsi" w:hAnsiTheme="majorHAnsi" w:cs="Times New Roman"/>
          <w:color w:val="000000"/>
          <w:sz w:val="22"/>
          <w:szCs w:val="22"/>
        </w:rPr>
        <w:t>a four year old child be separated from her parents and placed in state care in order to be vaccinated</w:t>
      </w:r>
      <w:r w:rsidR="00595DC9">
        <w:rPr>
          <w:rFonts w:asciiTheme="majorHAnsi" w:hAnsiTheme="majorHAnsi" w:cs="Times New Roman"/>
          <w:color w:val="000000"/>
          <w:sz w:val="22"/>
          <w:szCs w:val="22"/>
        </w:rPr>
        <w:t xml:space="preserve"> with no less than 10 childhood vaccines, against the wishes of her father</w:t>
      </w:r>
      <w:r w:rsidR="00BC5234">
        <w:rPr>
          <w:rFonts w:asciiTheme="majorHAnsi" w:hAnsiTheme="majorHAnsi" w:cs="Times New Roman"/>
          <w:color w:val="000000"/>
          <w:sz w:val="22"/>
          <w:szCs w:val="22"/>
        </w:rPr>
        <w:t>.</w:t>
      </w:r>
      <w:r w:rsidR="00595DC9">
        <w:rPr>
          <w:rStyle w:val="FootnoteReference"/>
          <w:rFonts w:cs="Times New Roman"/>
          <w:color w:val="000000"/>
          <w:szCs w:val="22"/>
        </w:rPr>
        <w:footnoteReference w:id="59"/>
      </w:r>
    </w:p>
    <w:p w14:paraId="121C4208" w14:textId="77777777" w:rsidR="00841573" w:rsidRDefault="00841573" w:rsidP="006D4802">
      <w:pPr>
        <w:widowControl w:val="0"/>
        <w:autoSpaceDE w:val="0"/>
        <w:autoSpaceDN w:val="0"/>
        <w:adjustRightInd w:val="0"/>
        <w:rPr>
          <w:rFonts w:asciiTheme="majorHAnsi" w:hAnsiTheme="majorHAnsi" w:cs="Times New Roman"/>
          <w:color w:val="000000"/>
          <w:sz w:val="22"/>
          <w:szCs w:val="22"/>
        </w:rPr>
      </w:pPr>
    </w:p>
    <w:p w14:paraId="02512C79" w14:textId="4C7F02FD" w:rsidR="00A1647B" w:rsidRDefault="001F0131" w:rsidP="00E877CA">
      <w:pPr>
        <w:widowControl w:val="0"/>
        <w:autoSpaceDE w:val="0"/>
        <w:autoSpaceDN w:val="0"/>
        <w:adjustRightInd w:val="0"/>
        <w:rPr>
          <w:rFonts w:asciiTheme="majorHAnsi" w:hAnsiTheme="majorHAnsi" w:cs="Times"/>
          <w:color w:val="000000"/>
          <w:sz w:val="22"/>
          <w:szCs w:val="22"/>
        </w:rPr>
      </w:pPr>
      <w:r>
        <w:rPr>
          <w:rFonts w:asciiTheme="majorHAnsi" w:hAnsiTheme="majorHAnsi" w:cs="Times New Roman"/>
          <w:color w:val="000000"/>
          <w:sz w:val="22"/>
          <w:szCs w:val="22"/>
        </w:rPr>
        <w:t xml:space="preserve">New Zealand </w:t>
      </w:r>
      <w:r w:rsidR="00391E15" w:rsidRPr="006D4802">
        <w:rPr>
          <w:rFonts w:asciiTheme="majorHAnsi" w:hAnsiTheme="majorHAnsi" w:cs="Times New Roman"/>
          <w:color w:val="000000"/>
          <w:sz w:val="22"/>
          <w:szCs w:val="22"/>
        </w:rPr>
        <w:t xml:space="preserve">should take into account the </w:t>
      </w:r>
      <w:r w:rsidR="00312F8D">
        <w:rPr>
          <w:rFonts w:asciiTheme="majorHAnsi" w:hAnsiTheme="majorHAnsi" w:cs="Times New Roman"/>
          <w:b/>
          <w:color w:val="000000"/>
          <w:sz w:val="22"/>
          <w:szCs w:val="22"/>
        </w:rPr>
        <w:t>Committee’s general comment</w:t>
      </w:r>
      <w:r w:rsidR="00312F8D" w:rsidRPr="0078617F">
        <w:rPr>
          <w:rFonts w:asciiTheme="majorHAnsi" w:hAnsiTheme="majorHAnsi" w:cs="Times New Roman"/>
          <w:b/>
          <w:color w:val="000000"/>
          <w:sz w:val="22"/>
          <w:szCs w:val="22"/>
        </w:rPr>
        <w:t xml:space="preserve"> No. 14 (2013) on the right of the child to have his or her best interests taken as a primary consideration</w:t>
      </w:r>
      <w:r w:rsidR="005E152A">
        <w:rPr>
          <w:rFonts w:asciiTheme="majorHAnsi" w:hAnsiTheme="majorHAnsi" w:cs="Times New Roman"/>
          <w:color w:val="000000"/>
          <w:sz w:val="22"/>
          <w:szCs w:val="22"/>
        </w:rPr>
        <w:t xml:space="preserve">, which notes that </w:t>
      </w:r>
      <w:r w:rsidR="005E152A">
        <w:rPr>
          <w:rFonts w:asciiTheme="majorHAnsi" w:hAnsiTheme="majorHAnsi" w:cs="Times"/>
          <w:b/>
          <w:color w:val="000000"/>
          <w:sz w:val="22"/>
          <w:szCs w:val="22"/>
        </w:rPr>
        <w:t>p</w:t>
      </w:r>
      <w:r w:rsidR="00AA320A" w:rsidRPr="00312F8D">
        <w:rPr>
          <w:rFonts w:asciiTheme="majorHAnsi" w:hAnsiTheme="majorHAnsi" w:cs="Times"/>
          <w:b/>
          <w:color w:val="000000"/>
          <w:sz w:val="22"/>
          <w:szCs w:val="22"/>
        </w:rPr>
        <w:t>reventing family separation and preserving family unity are important components of the child protection system</w:t>
      </w:r>
      <w:r w:rsidR="00AA320A" w:rsidRPr="00E877CA">
        <w:rPr>
          <w:rFonts w:asciiTheme="majorHAnsi" w:hAnsiTheme="majorHAnsi" w:cs="Times"/>
          <w:color w:val="000000"/>
          <w:sz w:val="22"/>
          <w:szCs w:val="22"/>
        </w:rPr>
        <w:t xml:space="preserve">, and are based on the right provided for in article 9, paragraph 1, which requires “that a child shall not be separated from his or her parents against their will, except when [...] such separation is necessary for the best interests of the child”. </w:t>
      </w:r>
      <w:r w:rsidR="00AA320A" w:rsidRPr="00926CAE">
        <w:rPr>
          <w:rFonts w:asciiTheme="majorHAnsi" w:hAnsiTheme="majorHAnsi" w:cs="Times"/>
          <w:b/>
          <w:color w:val="000000"/>
          <w:sz w:val="22"/>
          <w:szCs w:val="22"/>
        </w:rPr>
        <w:t>Given the gravity of the impact on the child of separation from his or her parents, such separation should only occur as a last resort measure</w:t>
      </w:r>
      <w:r w:rsidR="00AA320A" w:rsidRPr="00E877CA">
        <w:rPr>
          <w:rFonts w:asciiTheme="majorHAnsi" w:hAnsiTheme="majorHAnsi" w:cs="Times"/>
          <w:color w:val="000000"/>
          <w:sz w:val="22"/>
          <w:szCs w:val="22"/>
        </w:rPr>
        <w:t>, as when the child is in danger of experiencing imminent harm or when otherwise necessary; separation should not take place if less intrusive measures could protect the child.</w:t>
      </w:r>
      <w:r w:rsidR="00D94F03">
        <w:rPr>
          <w:rStyle w:val="FootnoteReference"/>
          <w:rFonts w:cs="Times"/>
          <w:color w:val="000000"/>
          <w:szCs w:val="22"/>
        </w:rPr>
        <w:footnoteReference w:id="60"/>
      </w:r>
      <w:r w:rsidR="00AA320A" w:rsidRPr="00E877CA">
        <w:rPr>
          <w:rFonts w:asciiTheme="majorHAnsi" w:hAnsiTheme="majorHAnsi" w:cs="Times"/>
          <w:color w:val="000000"/>
          <w:sz w:val="22"/>
          <w:szCs w:val="22"/>
        </w:rPr>
        <w:t xml:space="preserve"> </w:t>
      </w:r>
    </w:p>
    <w:p w14:paraId="3B164AA7" w14:textId="77777777" w:rsidR="003D4402" w:rsidRDefault="003D4402" w:rsidP="00E877CA">
      <w:pPr>
        <w:widowControl w:val="0"/>
        <w:autoSpaceDE w:val="0"/>
        <w:autoSpaceDN w:val="0"/>
        <w:adjustRightInd w:val="0"/>
        <w:rPr>
          <w:rFonts w:asciiTheme="majorHAnsi" w:hAnsiTheme="majorHAnsi" w:cs="Times"/>
          <w:color w:val="000000"/>
          <w:sz w:val="22"/>
          <w:szCs w:val="22"/>
        </w:rPr>
      </w:pPr>
    </w:p>
    <w:p w14:paraId="613ABB16" w14:textId="5E4597F2" w:rsidR="003D4402" w:rsidRPr="00FE4DE6" w:rsidRDefault="00EB569B" w:rsidP="00E877CA">
      <w:pPr>
        <w:widowControl w:val="0"/>
        <w:autoSpaceDE w:val="0"/>
        <w:autoSpaceDN w:val="0"/>
        <w:adjustRightInd w:val="0"/>
        <w:rPr>
          <w:rFonts w:asciiTheme="majorHAnsi" w:hAnsiTheme="majorHAnsi" w:cs="Times New Roman"/>
          <w:b/>
          <w:i/>
          <w:color w:val="000000"/>
          <w:sz w:val="22"/>
          <w:szCs w:val="22"/>
        </w:rPr>
      </w:pPr>
      <w:r w:rsidRPr="00FE4DE6">
        <w:rPr>
          <w:rFonts w:asciiTheme="majorHAnsi" w:hAnsiTheme="majorHAnsi" w:cs="Times"/>
          <w:b/>
          <w:i/>
          <w:color w:val="000000"/>
          <w:sz w:val="22"/>
          <w:szCs w:val="22"/>
        </w:rPr>
        <w:t xml:space="preserve">Recommendation </w:t>
      </w:r>
      <w:r w:rsidR="00700649" w:rsidRPr="00FE4DE6">
        <w:rPr>
          <w:rFonts w:asciiTheme="majorHAnsi" w:hAnsiTheme="majorHAnsi" w:cs="Times"/>
          <w:b/>
          <w:i/>
          <w:color w:val="000000"/>
          <w:sz w:val="22"/>
          <w:szCs w:val="22"/>
        </w:rPr>
        <w:t xml:space="preserve">7 </w:t>
      </w:r>
      <w:r w:rsidR="001C01B8" w:rsidRPr="00FE4DE6">
        <w:rPr>
          <w:rFonts w:asciiTheme="majorHAnsi" w:hAnsiTheme="majorHAnsi" w:cs="Times"/>
          <w:b/>
          <w:i/>
          <w:color w:val="000000"/>
          <w:sz w:val="22"/>
          <w:szCs w:val="22"/>
        </w:rPr>
        <w:t>–</w:t>
      </w:r>
      <w:r w:rsidRPr="00FE4DE6">
        <w:rPr>
          <w:rFonts w:asciiTheme="majorHAnsi" w:hAnsiTheme="majorHAnsi" w:cs="Times"/>
          <w:b/>
          <w:i/>
          <w:color w:val="000000"/>
          <w:sz w:val="22"/>
          <w:szCs w:val="22"/>
        </w:rPr>
        <w:t xml:space="preserve"> </w:t>
      </w:r>
      <w:r w:rsidR="001C01B8" w:rsidRPr="00FE4DE6">
        <w:rPr>
          <w:rFonts w:asciiTheme="majorHAnsi" w:hAnsiTheme="majorHAnsi" w:cs="Times"/>
          <w:b/>
          <w:i/>
          <w:color w:val="000000"/>
          <w:sz w:val="22"/>
          <w:szCs w:val="22"/>
        </w:rPr>
        <w:t xml:space="preserve">the State Party shall ensure that a child shall not be separated from his or her parents against their will, including on the basis of </w:t>
      </w:r>
      <w:r w:rsidR="00A07539" w:rsidRPr="00FE4DE6">
        <w:rPr>
          <w:rFonts w:asciiTheme="majorHAnsi" w:hAnsiTheme="majorHAnsi" w:cs="Times"/>
          <w:b/>
          <w:i/>
          <w:color w:val="000000"/>
          <w:sz w:val="22"/>
          <w:szCs w:val="22"/>
        </w:rPr>
        <w:t>refusal of medical treatment or vaccine status.</w:t>
      </w:r>
    </w:p>
    <w:p w14:paraId="4E0DEBC5" w14:textId="773CF646" w:rsidR="00391E15" w:rsidRPr="00391E15" w:rsidRDefault="00391E15" w:rsidP="00391E15">
      <w:pPr>
        <w:pStyle w:val="Heading2"/>
      </w:pPr>
      <w:r w:rsidRPr="00E20AFA">
        <w:t xml:space="preserve">Disability, basic health and welfare (arts. 6, 18, para. 3, 23, </w:t>
      </w:r>
      <w:r w:rsidR="004675AA" w:rsidRPr="00E20AFA">
        <w:t>24, 26, 27, paras. 1–3, and 33)</w:t>
      </w:r>
    </w:p>
    <w:p w14:paraId="693FF105" w14:textId="7EDB7A2D" w:rsidR="0029138E" w:rsidRPr="00B30E59" w:rsidRDefault="0029138E" w:rsidP="006D4802">
      <w:pPr>
        <w:widowControl w:val="0"/>
        <w:autoSpaceDE w:val="0"/>
        <w:autoSpaceDN w:val="0"/>
        <w:adjustRightInd w:val="0"/>
        <w:rPr>
          <w:rFonts w:asciiTheme="majorHAnsi" w:hAnsiTheme="majorHAnsi" w:cs="Times New Roman"/>
          <w:b/>
          <w:color w:val="000000"/>
          <w:sz w:val="22"/>
          <w:szCs w:val="22"/>
        </w:rPr>
      </w:pPr>
      <w:r>
        <w:rPr>
          <w:rFonts w:asciiTheme="majorHAnsi" w:hAnsiTheme="majorHAnsi" w:cs="Times New Roman"/>
          <w:color w:val="000000"/>
          <w:sz w:val="22"/>
          <w:szCs w:val="22"/>
        </w:rPr>
        <w:t xml:space="preserve">Please see article 23 submission below, included with article 31 submission.  </w:t>
      </w:r>
      <w:r w:rsidRPr="00B30E59">
        <w:rPr>
          <w:rFonts w:asciiTheme="majorHAnsi" w:hAnsiTheme="majorHAnsi" w:cs="Times New Roman"/>
          <w:b/>
          <w:color w:val="000000"/>
          <w:sz w:val="22"/>
          <w:szCs w:val="22"/>
        </w:rPr>
        <w:t>Children with disabilities who are unable to get the COVID-19 injection</w:t>
      </w:r>
      <w:r w:rsidR="007B7F3C" w:rsidRPr="00B30E59">
        <w:rPr>
          <w:rFonts w:asciiTheme="majorHAnsi" w:hAnsiTheme="majorHAnsi" w:cs="Times New Roman"/>
          <w:b/>
          <w:color w:val="000000"/>
          <w:sz w:val="22"/>
          <w:szCs w:val="22"/>
        </w:rPr>
        <w:t xml:space="preserve"> are excluded from active participation in the community, through restricting access to all kinds of services, in particular to cultural activities.</w:t>
      </w:r>
    </w:p>
    <w:p w14:paraId="3BA094F1" w14:textId="77777777" w:rsidR="003E5EE2" w:rsidRDefault="003E5EE2" w:rsidP="006D4802">
      <w:pPr>
        <w:widowControl w:val="0"/>
        <w:autoSpaceDE w:val="0"/>
        <w:autoSpaceDN w:val="0"/>
        <w:adjustRightInd w:val="0"/>
        <w:rPr>
          <w:rFonts w:asciiTheme="majorHAnsi" w:hAnsiTheme="majorHAnsi" w:cs="Times New Roman"/>
          <w:color w:val="000000"/>
          <w:sz w:val="22"/>
          <w:szCs w:val="22"/>
        </w:rPr>
      </w:pPr>
    </w:p>
    <w:p w14:paraId="3CFC9DBF" w14:textId="5C9CB52B" w:rsidR="003474BF" w:rsidRDefault="00EB7230" w:rsidP="00E42780">
      <w:pPr>
        <w:widowControl w:val="0"/>
        <w:autoSpaceDE w:val="0"/>
        <w:autoSpaceDN w:val="0"/>
        <w:adjustRightInd w:val="0"/>
        <w:rPr>
          <w:rFonts w:asciiTheme="majorHAnsi" w:hAnsiTheme="majorHAnsi" w:cs="Times"/>
          <w:color w:val="000000"/>
          <w:sz w:val="22"/>
          <w:szCs w:val="22"/>
        </w:rPr>
      </w:pPr>
      <w:r>
        <w:rPr>
          <w:rFonts w:asciiTheme="majorHAnsi" w:hAnsiTheme="majorHAnsi" w:cs="Times New Roman"/>
          <w:color w:val="000000"/>
          <w:sz w:val="22"/>
          <w:szCs w:val="22"/>
        </w:rPr>
        <w:t xml:space="preserve">New Zealand </w:t>
      </w:r>
      <w:r w:rsidRPr="00A53683">
        <w:rPr>
          <w:rFonts w:asciiTheme="majorHAnsi" w:hAnsiTheme="majorHAnsi" w:cs="Times New Roman"/>
          <w:color w:val="000000"/>
          <w:sz w:val="22"/>
          <w:szCs w:val="22"/>
        </w:rPr>
        <w:t xml:space="preserve">should take into account the </w:t>
      </w:r>
      <w:r>
        <w:rPr>
          <w:rFonts w:asciiTheme="majorHAnsi" w:hAnsiTheme="majorHAnsi" w:cs="Times New Roman"/>
          <w:b/>
          <w:color w:val="000000"/>
          <w:sz w:val="22"/>
          <w:szCs w:val="22"/>
        </w:rPr>
        <w:t>Committee’s general comment</w:t>
      </w:r>
      <w:r w:rsidRPr="0078617F">
        <w:rPr>
          <w:rFonts w:asciiTheme="majorHAnsi" w:hAnsiTheme="majorHAnsi" w:cs="Times New Roman"/>
          <w:b/>
          <w:color w:val="000000"/>
          <w:sz w:val="22"/>
          <w:szCs w:val="22"/>
        </w:rPr>
        <w:t xml:space="preserve"> No. 14 (2013) on the right of the child to have his or her best interests taken as a primary consideration</w:t>
      </w:r>
      <w:r>
        <w:rPr>
          <w:rFonts w:asciiTheme="majorHAnsi" w:hAnsiTheme="majorHAnsi" w:cs="Times New Roman"/>
          <w:color w:val="000000"/>
          <w:sz w:val="22"/>
          <w:szCs w:val="22"/>
        </w:rPr>
        <w:t xml:space="preserve"> </w:t>
      </w:r>
      <w:r w:rsidRPr="00105858">
        <w:rPr>
          <w:rFonts w:asciiTheme="majorHAnsi" w:hAnsiTheme="majorHAnsi" w:cs="Times"/>
          <w:color w:val="000000"/>
          <w:sz w:val="22"/>
          <w:szCs w:val="22"/>
        </w:rPr>
        <w:t>in all actions, including</w:t>
      </w:r>
      <w:r w:rsidR="009A4D88">
        <w:rPr>
          <w:rFonts w:asciiTheme="majorHAnsi" w:hAnsiTheme="majorHAnsi" w:cs="Times"/>
          <w:color w:val="000000"/>
          <w:sz w:val="22"/>
          <w:szCs w:val="22"/>
        </w:rPr>
        <w:t xml:space="preserve"> where it notes that the child’s</w:t>
      </w:r>
      <w:r w:rsidR="009A4D88">
        <w:rPr>
          <w:rFonts w:asciiTheme="majorHAnsi" w:hAnsiTheme="majorHAnsi" w:cs="Times New Roman"/>
          <w:color w:val="000000"/>
          <w:sz w:val="22"/>
          <w:szCs w:val="22"/>
        </w:rPr>
        <w:t xml:space="preserve"> </w:t>
      </w:r>
      <w:r w:rsidR="003E5EE2" w:rsidRPr="00E877CA">
        <w:rPr>
          <w:rFonts w:asciiTheme="majorHAnsi" w:hAnsiTheme="majorHAnsi" w:cs="Times"/>
          <w:color w:val="000000"/>
          <w:sz w:val="22"/>
          <w:szCs w:val="22"/>
        </w:rPr>
        <w:t xml:space="preserve">right to health (art. 24) and his or her health condition are central in assessing the child’s best interest. </w:t>
      </w:r>
      <w:r w:rsidR="003E5EE2" w:rsidRPr="00926CAE">
        <w:rPr>
          <w:rFonts w:asciiTheme="majorHAnsi" w:hAnsiTheme="majorHAnsi" w:cs="Times"/>
          <w:b/>
          <w:color w:val="000000"/>
          <w:sz w:val="22"/>
          <w:szCs w:val="22"/>
        </w:rPr>
        <w:t>However, if there is more than one possible treatment for a health condition or if the outcome of a treatment is uncertain, the advantages of all possible treatments must be weighed against all possible risks and side effects</w:t>
      </w:r>
      <w:r w:rsidR="003E5EE2" w:rsidRPr="00E877CA">
        <w:rPr>
          <w:rFonts w:asciiTheme="majorHAnsi" w:hAnsiTheme="majorHAnsi" w:cs="Times"/>
          <w:color w:val="000000"/>
          <w:sz w:val="22"/>
          <w:szCs w:val="22"/>
        </w:rPr>
        <w:t xml:space="preserve">. In this respect, children should be provided with adequate and appropriate information in order to understand the situation and all the relevant aspects in relation to their interests, and be allowed, when possible, to give their consent in an informed manner. </w:t>
      </w:r>
    </w:p>
    <w:p w14:paraId="02DF0E43" w14:textId="77777777" w:rsidR="009A4D88" w:rsidRDefault="009A4D88" w:rsidP="00E42780">
      <w:pPr>
        <w:widowControl w:val="0"/>
        <w:autoSpaceDE w:val="0"/>
        <w:autoSpaceDN w:val="0"/>
        <w:adjustRightInd w:val="0"/>
        <w:rPr>
          <w:rFonts w:asciiTheme="majorHAnsi" w:hAnsiTheme="majorHAnsi" w:cs="Times"/>
          <w:color w:val="000000"/>
          <w:sz w:val="22"/>
          <w:szCs w:val="22"/>
        </w:rPr>
      </w:pPr>
    </w:p>
    <w:p w14:paraId="3AABA60A" w14:textId="3340D8BB" w:rsidR="00B7493B" w:rsidRPr="001A0AA2" w:rsidRDefault="00AD6457" w:rsidP="001A0AA2">
      <w:pPr>
        <w:pStyle w:val="Normal1"/>
        <w:pBdr>
          <w:top w:val="nil"/>
          <w:left w:val="nil"/>
          <w:bottom w:val="nil"/>
          <w:right w:val="nil"/>
          <w:between w:val="nil"/>
        </w:pBdr>
        <w:rPr>
          <w:rFonts w:ascii="Calibri" w:eastAsia="Calibri" w:hAnsi="Calibri" w:cs="Calibri"/>
          <w:color w:val="000000"/>
          <w:sz w:val="22"/>
          <w:szCs w:val="22"/>
        </w:rPr>
      </w:pPr>
      <w:r w:rsidRPr="000C42A3">
        <w:rPr>
          <w:rFonts w:ascii="Calibri" w:eastAsia="Calibri" w:hAnsi="Calibri" w:cs="Calibri"/>
          <w:color w:val="000000"/>
          <w:sz w:val="22"/>
          <w:szCs w:val="22"/>
          <w:highlight w:val="white"/>
        </w:rPr>
        <w:t xml:space="preserve">Please see </w:t>
      </w:r>
      <w:r w:rsidR="00F06F33">
        <w:rPr>
          <w:rFonts w:ascii="Calibri" w:eastAsia="Calibri" w:hAnsi="Calibri" w:cs="Calibri"/>
          <w:b/>
          <w:color w:val="000000"/>
          <w:sz w:val="22"/>
          <w:szCs w:val="22"/>
        </w:rPr>
        <w:t xml:space="preserve">Annex 1 </w:t>
      </w:r>
      <w:r w:rsidRPr="000E5C01">
        <w:rPr>
          <w:rFonts w:ascii="Calibri" w:eastAsia="Calibri" w:hAnsi="Calibri" w:cs="Calibri"/>
          <w:color w:val="000000"/>
          <w:sz w:val="22"/>
          <w:szCs w:val="22"/>
        </w:rPr>
        <w:t xml:space="preserve">which </w:t>
      </w:r>
      <w:r>
        <w:rPr>
          <w:rFonts w:ascii="Calibri" w:eastAsia="Calibri" w:hAnsi="Calibri" w:cs="Calibri"/>
          <w:color w:val="000000"/>
          <w:sz w:val="22"/>
          <w:szCs w:val="22"/>
          <w:highlight w:val="white"/>
        </w:rPr>
        <w:t xml:space="preserve">is a summary of scientific studies by a medical doctor explaining a COVID narrative which informs of the risks of the vaccine, as well as the </w:t>
      </w:r>
      <w:r w:rsidRPr="00AD6457">
        <w:rPr>
          <w:rFonts w:ascii="Calibri" w:eastAsia="Calibri" w:hAnsi="Calibri" w:cs="Calibri"/>
          <w:b/>
          <w:color w:val="000000"/>
          <w:sz w:val="22"/>
          <w:szCs w:val="22"/>
          <w:highlight w:val="white"/>
        </w:rPr>
        <w:t>globally identified early treatment protocols, which include antivirals – a narrative that has been deliberately censored, smeared, and kept from New Zealand citizens by the New Zealand Government in violation of their right to receive and impart information of all kinds</w:t>
      </w:r>
      <w:r>
        <w:rPr>
          <w:rFonts w:ascii="Calibri" w:eastAsia="Calibri" w:hAnsi="Calibri" w:cs="Calibri"/>
          <w:color w:val="000000"/>
          <w:sz w:val="22"/>
          <w:szCs w:val="22"/>
          <w:highlight w:val="white"/>
        </w:rPr>
        <w:t>.</w:t>
      </w:r>
      <w:r>
        <w:rPr>
          <w:rFonts w:ascii="Calibri" w:eastAsia="Calibri" w:hAnsi="Calibri" w:cs="Calibri"/>
          <w:color w:val="000000"/>
          <w:sz w:val="22"/>
          <w:szCs w:val="22"/>
        </w:rPr>
        <w:t xml:space="preserve"> Among other studies identified, please see STUDY: IVER</w:t>
      </w:r>
      <w:r w:rsidR="001A0AA2">
        <w:rPr>
          <w:rFonts w:ascii="Calibri" w:eastAsia="Calibri" w:hAnsi="Calibri" w:cs="Calibri"/>
          <w:color w:val="000000"/>
          <w:sz w:val="22"/>
          <w:szCs w:val="22"/>
        </w:rPr>
        <w:t>MECTIN TOP OF LIST FOR TREATING OMICRON</w:t>
      </w:r>
      <w:r w:rsidR="001A0AA2">
        <w:rPr>
          <w:rStyle w:val="FootnoteReference"/>
          <w:rFonts w:eastAsia="Calibri" w:cs="Calibri"/>
          <w:color w:val="000000"/>
          <w:szCs w:val="22"/>
        </w:rPr>
        <w:footnoteReference w:id="61"/>
      </w:r>
      <w:r>
        <w:rPr>
          <w:rFonts w:ascii="Calibri" w:eastAsia="Calibri" w:hAnsi="Calibri" w:cs="Calibri"/>
          <w:color w:val="000000"/>
          <w:sz w:val="22"/>
          <w:szCs w:val="22"/>
        </w:rPr>
        <w:t xml:space="preserve"> which concludes: “</w:t>
      </w:r>
      <w:r w:rsidRPr="000C42A3">
        <w:rPr>
          <w:rFonts w:ascii="Calibri" w:eastAsia="Calibri" w:hAnsi="Calibri" w:cs="Calibri"/>
          <w:i/>
          <w:color w:val="000000"/>
          <w:sz w:val="22"/>
          <w:szCs w:val="22"/>
        </w:rPr>
        <w:t>The world is now afraid of the highly infectious omicron variant, and research is required to know about this variant. Our study gave an insight into its probable molecular consequences about infectivity and pathogenicity of the Omicron variant. The study also demonstrated that the highly infectious B.1.620 strain may be the origin of the Omicron variant, and mutations in all major proteins made omicron less pathogenic. Through docking analysis, we revealed that the mutations in spike protein increased its binding affinity for its main receptor ACE2 while decreased binding affinity for its co-receptor NRP-1. All the promising drugs that target the main protease would also be effective against this variant; however, Ivermectin shows the strongest binding affinity, and Nirmatrelvir (Paxlovid), MPro 13b, and Lopinavir may be more effective against this variant.</w:t>
      </w:r>
      <w:r>
        <w:rPr>
          <w:rFonts w:ascii="Calibri" w:eastAsia="Calibri" w:hAnsi="Calibri" w:cs="Calibri"/>
          <w:color w:val="000000"/>
          <w:sz w:val="22"/>
          <w:szCs w:val="22"/>
        </w:rPr>
        <w:t>”</w:t>
      </w:r>
      <w:r w:rsidR="001A0AA2">
        <w:rPr>
          <w:rFonts w:ascii="Calibri" w:eastAsia="Calibri" w:hAnsi="Calibri" w:cs="Calibri"/>
          <w:color w:val="000000"/>
          <w:sz w:val="22"/>
          <w:szCs w:val="22"/>
        </w:rPr>
        <w:t xml:space="preserve"> </w:t>
      </w:r>
      <w:r w:rsidR="00B7493B">
        <w:rPr>
          <w:rFonts w:ascii="Calibri" w:eastAsia="Calibri" w:hAnsi="Calibri" w:cs="Calibri"/>
          <w:color w:val="000000"/>
          <w:sz w:val="22"/>
          <w:szCs w:val="22"/>
        </w:rPr>
        <w:t xml:space="preserve">Please </w:t>
      </w:r>
      <w:r w:rsidR="001A0AA2">
        <w:rPr>
          <w:rFonts w:ascii="Calibri" w:eastAsia="Calibri" w:hAnsi="Calibri" w:cs="Calibri"/>
          <w:color w:val="000000"/>
          <w:sz w:val="22"/>
          <w:szCs w:val="22"/>
        </w:rPr>
        <w:t xml:space="preserve">also </w:t>
      </w:r>
      <w:r w:rsidR="00B7493B">
        <w:rPr>
          <w:rFonts w:ascii="Calibri" w:eastAsia="Calibri" w:hAnsi="Calibri" w:cs="Calibri"/>
          <w:color w:val="000000"/>
          <w:sz w:val="22"/>
          <w:szCs w:val="22"/>
        </w:rPr>
        <w:t xml:space="preserve">see submission of two NZDSOS doctors, with names redacted </w:t>
      </w:r>
      <w:r w:rsidR="00B7493B" w:rsidRPr="000E5C01">
        <w:rPr>
          <w:rFonts w:ascii="Calibri" w:eastAsia="Calibri" w:hAnsi="Calibri" w:cs="Calibri"/>
          <w:b/>
          <w:color w:val="000000"/>
          <w:sz w:val="22"/>
          <w:szCs w:val="22"/>
        </w:rPr>
        <w:t>(</w:t>
      </w:r>
      <w:r w:rsidR="00E20993">
        <w:rPr>
          <w:rFonts w:ascii="Calibri" w:eastAsia="Calibri" w:hAnsi="Calibri" w:cs="Calibri"/>
          <w:b/>
          <w:color w:val="000000"/>
          <w:sz w:val="22"/>
          <w:szCs w:val="22"/>
        </w:rPr>
        <w:t>Annex 2</w:t>
      </w:r>
      <w:r w:rsidR="00B7493B" w:rsidRPr="000E5C01">
        <w:rPr>
          <w:rFonts w:ascii="Calibri" w:eastAsia="Calibri" w:hAnsi="Calibri" w:cs="Calibri"/>
          <w:b/>
          <w:color w:val="000000"/>
          <w:sz w:val="22"/>
          <w:szCs w:val="22"/>
        </w:rPr>
        <w:t>)</w:t>
      </w:r>
      <w:r w:rsidR="00B7493B">
        <w:rPr>
          <w:rFonts w:ascii="Calibri" w:eastAsia="Calibri" w:hAnsi="Calibri" w:cs="Calibri"/>
          <w:color w:val="000000"/>
          <w:sz w:val="22"/>
          <w:szCs w:val="22"/>
        </w:rPr>
        <w:t xml:space="preserve"> regarding difficult access to information about anti-viral medications Ivermectin and Hydroxychloroquine</w:t>
      </w:r>
      <w:r w:rsidR="001A0AA2">
        <w:rPr>
          <w:rFonts w:ascii="Calibri" w:eastAsia="Calibri" w:hAnsi="Calibri" w:cs="Calibri"/>
          <w:color w:val="000000"/>
          <w:sz w:val="22"/>
          <w:szCs w:val="22"/>
        </w:rPr>
        <w:t>.</w:t>
      </w:r>
      <w:r w:rsidR="00B7493B">
        <w:rPr>
          <w:rFonts w:ascii="Calibri" w:eastAsia="Calibri" w:hAnsi="Calibri" w:cs="Calibri"/>
          <w:color w:val="000000"/>
          <w:sz w:val="22"/>
          <w:szCs w:val="22"/>
        </w:rPr>
        <w:t xml:space="preserve"> </w:t>
      </w:r>
    </w:p>
    <w:p w14:paraId="660D9231" w14:textId="77777777" w:rsidR="00B7493B" w:rsidRDefault="00B7493B" w:rsidP="00B7493B">
      <w:pPr>
        <w:pStyle w:val="Normal1"/>
        <w:rPr>
          <w:rFonts w:ascii="Calibri" w:eastAsia="Calibri" w:hAnsi="Calibri" w:cs="Calibri"/>
          <w:sz w:val="22"/>
          <w:szCs w:val="22"/>
        </w:rPr>
      </w:pPr>
    </w:p>
    <w:p w14:paraId="31AE435C" w14:textId="77777777" w:rsidR="00B7493B" w:rsidRPr="00E20AFA" w:rsidRDefault="00B7493B" w:rsidP="00B7493B">
      <w:pPr>
        <w:pStyle w:val="Normal1"/>
        <w:rPr>
          <w:rFonts w:ascii="Calibri" w:eastAsia="Calibri" w:hAnsi="Calibri" w:cs="Calibri"/>
          <w:sz w:val="22"/>
          <w:szCs w:val="22"/>
        </w:rPr>
      </w:pPr>
      <w:r w:rsidRPr="00E20AFA">
        <w:rPr>
          <w:rFonts w:ascii="Calibri" w:eastAsia="Calibri" w:hAnsi="Calibri" w:cs="Calibri"/>
          <w:color w:val="000000"/>
          <w:sz w:val="22"/>
          <w:szCs w:val="22"/>
        </w:rPr>
        <w:t>The government is actively discriminating against people with disabilities and undermining the well-established principles of informed consent, that were articulated by Dame Sylvia Cartwright in her Inquiry into Cervical Cancer </w:t>
      </w:r>
      <w:hyperlink r:id="rId13">
        <w:r w:rsidRPr="00E20AFA">
          <w:rPr>
            <w:rFonts w:ascii="Calibri" w:eastAsia="Calibri" w:hAnsi="Calibri" w:cs="Calibri"/>
            <w:color w:val="0000FF"/>
            <w:sz w:val="22"/>
            <w:szCs w:val="22"/>
            <w:u w:val="single"/>
          </w:rPr>
          <w:t>https://www.womens-health.org.nz/the-cartwright-inquiry/</w:t>
        </w:r>
      </w:hyperlink>
    </w:p>
    <w:p w14:paraId="14551BBF" w14:textId="5424A64E" w:rsidR="00B7493B" w:rsidRPr="00E20AFA" w:rsidRDefault="00B7493B" w:rsidP="00B7493B">
      <w:pPr>
        <w:pStyle w:val="Normal1"/>
        <w:rPr>
          <w:rFonts w:ascii="Calibri" w:eastAsia="Calibri" w:hAnsi="Calibri" w:cs="Calibri"/>
          <w:color w:val="000000"/>
          <w:sz w:val="22"/>
          <w:szCs w:val="22"/>
        </w:rPr>
      </w:pPr>
      <w:r w:rsidRPr="00E20AFA">
        <w:rPr>
          <w:rFonts w:ascii="Calibri" w:eastAsia="Calibri" w:hAnsi="Calibri" w:cs="Calibri"/>
          <w:color w:val="000000"/>
          <w:sz w:val="22"/>
          <w:szCs w:val="22"/>
        </w:rPr>
        <w:t>and enshrined in the Health and Disabilities Code. Informed consent requires that practitioners discuss with patients the risks, benefits, uncertainties and alternative treatments so patients can make informed decisions. </w:t>
      </w:r>
      <w:hyperlink r:id="rId14">
        <w:r w:rsidRPr="00E20AFA">
          <w:rPr>
            <w:rFonts w:ascii="Calibri" w:eastAsia="Calibri" w:hAnsi="Calibri" w:cs="Calibri"/>
            <w:color w:val="0000FF"/>
            <w:sz w:val="22"/>
            <w:szCs w:val="22"/>
            <w:u w:val="single"/>
          </w:rPr>
          <w:t>https://www.hdc.org.nz/your-rights/about-the-code/code-of-health-and-disability-services-consumers-rights/</w:t>
        </w:r>
      </w:hyperlink>
      <w:r w:rsidR="00131C0F" w:rsidRPr="00E20AFA">
        <w:rPr>
          <w:rFonts w:ascii="Calibri" w:eastAsia="Calibri" w:hAnsi="Calibri" w:cs="Calibri"/>
          <w:color w:val="000000"/>
          <w:sz w:val="22"/>
          <w:szCs w:val="22"/>
        </w:rPr>
        <w:t xml:space="preserve">  </w:t>
      </w:r>
      <w:r w:rsidRPr="00E20AFA">
        <w:rPr>
          <w:rFonts w:ascii="Calibri" w:eastAsia="Calibri" w:hAnsi="Calibri" w:cs="Calibri"/>
          <w:color w:val="000000"/>
          <w:sz w:val="22"/>
          <w:szCs w:val="22"/>
        </w:rPr>
        <w:t>Despite this, during the Covid pandemic, NZ government agencies have chosen one preferred medical treatment and taken actions to severely restrict, and in some cases block access to alternative treatments.</w:t>
      </w:r>
      <w:r w:rsidR="00E60009">
        <w:rPr>
          <w:rFonts w:ascii="Calibri" w:eastAsia="Calibri" w:hAnsi="Calibri" w:cs="Calibri"/>
          <w:color w:val="000000"/>
          <w:sz w:val="22"/>
          <w:szCs w:val="22"/>
        </w:rPr>
        <w:t xml:space="preserve"> </w:t>
      </w:r>
      <w:r w:rsidRPr="00E20AFA">
        <w:rPr>
          <w:rFonts w:ascii="Calibri" w:eastAsia="Calibri" w:hAnsi="Calibri" w:cs="Calibri"/>
          <w:color w:val="000000"/>
          <w:sz w:val="22"/>
          <w:szCs w:val="22"/>
        </w:rPr>
        <w:t>This has included:</w:t>
      </w:r>
    </w:p>
    <w:p w14:paraId="201618E0" w14:textId="7B76B690" w:rsidR="00B7493B" w:rsidRPr="00E20AFA" w:rsidRDefault="00B7493B" w:rsidP="00B7493B">
      <w:pPr>
        <w:pStyle w:val="Normal1"/>
        <w:rPr>
          <w:rFonts w:ascii="Calibri" w:eastAsia="Calibri" w:hAnsi="Calibri" w:cs="Calibri"/>
          <w:color w:val="000000"/>
          <w:sz w:val="22"/>
          <w:szCs w:val="22"/>
        </w:rPr>
      </w:pPr>
      <w:r w:rsidRPr="00E20AFA">
        <w:rPr>
          <w:rFonts w:ascii="Calibri" w:eastAsia="Calibri" w:hAnsi="Calibri" w:cs="Calibri"/>
          <w:color w:val="000000"/>
          <w:sz w:val="22"/>
          <w:szCs w:val="22"/>
        </w:rPr>
        <w:t xml:space="preserve">a) </w:t>
      </w:r>
      <w:r w:rsidR="00AD6457" w:rsidRPr="00E20AFA">
        <w:rPr>
          <w:rFonts w:ascii="Calibri" w:eastAsia="Calibri" w:hAnsi="Calibri" w:cs="Calibri"/>
          <w:color w:val="000000"/>
          <w:sz w:val="22"/>
          <w:szCs w:val="22"/>
        </w:rPr>
        <w:t>A</w:t>
      </w:r>
      <w:r w:rsidRPr="00E20AFA">
        <w:rPr>
          <w:rFonts w:ascii="Calibri" w:eastAsia="Calibri" w:hAnsi="Calibri" w:cs="Calibri"/>
          <w:color w:val="000000"/>
          <w:sz w:val="22"/>
          <w:szCs w:val="22"/>
        </w:rPr>
        <w:t>ctively sanctioning health practitioners who seek informed consent from their patients, with the Ministry of Health making formal complaints against practitioners who discuss risk, uncertainties and/or alternative/early treatments with their patients (</w:t>
      </w:r>
      <w:hyperlink r:id="rId15">
        <w:r w:rsidRPr="00E20AFA">
          <w:rPr>
            <w:rFonts w:ascii="Calibri" w:eastAsia="Calibri" w:hAnsi="Calibri" w:cs="Calibri"/>
            <w:color w:val="0000FF"/>
            <w:sz w:val="22"/>
            <w:szCs w:val="22"/>
            <w:u w:val="single"/>
          </w:rPr>
          <w:t>https://covid19criticalcare.com/covid-19-protocols/</w:t>
        </w:r>
      </w:hyperlink>
      <w:r w:rsidRPr="00E20AFA">
        <w:rPr>
          <w:rFonts w:ascii="Calibri" w:eastAsia="Calibri" w:hAnsi="Calibri" w:cs="Calibri"/>
          <w:sz w:val="22"/>
          <w:szCs w:val="22"/>
        </w:rPr>
        <w:t>)</w:t>
      </w:r>
      <w:r w:rsidRPr="00E20AFA">
        <w:rPr>
          <w:rFonts w:ascii="Calibri" w:eastAsia="Calibri" w:hAnsi="Calibri" w:cs="Calibri"/>
          <w:color w:val="000000"/>
          <w:sz w:val="22"/>
          <w:szCs w:val="22"/>
        </w:rPr>
        <w:t>; </w:t>
      </w:r>
    </w:p>
    <w:p w14:paraId="0AC4FC7B" w14:textId="77777777" w:rsidR="00B7493B" w:rsidRPr="00E20AFA" w:rsidRDefault="00A50196" w:rsidP="00B7493B">
      <w:pPr>
        <w:pStyle w:val="Normal1"/>
        <w:rPr>
          <w:rFonts w:ascii="Calibri" w:eastAsia="Calibri" w:hAnsi="Calibri" w:cs="Calibri"/>
          <w:color w:val="000000"/>
          <w:sz w:val="22"/>
          <w:szCs w:val="22"/>
        </w:rPr>
      </w:pPr>
      <w:hyperlink r:id="rId16">
        <w:r w:rsidR="00B7493B" w:rsidRPr="00E20AFA">
          <w:rPr>
            <w:rFonts w:ascii="Calibri" w:eastAsia="Calibri" w:hAnsi="Calibri" w:cs="Calibri"/>
            <w:color w:val="0000FF"/>
            <w:sz w:val="22"/>
            <w:szCs w:val="22"/>
            <w:u w:val="single"/>
          </w:rPr>
          <w:t>https://www.rnz.co.nz/news/national/464442/doctors-suspended-over-anti-vax-claims-win-court-appeals</w:t>
        </w:r>
      </w:hyperlink>
      <w:r w:rsidR="00B7493B" w:rsidRPr="00E20AFA">
        <w:rPr>
          <w:rFonts w:ascii="Calibri" w:eastAsia="Calibri" w:hAnsi="Calibri" w:cs="Calibri"/>
          <w:color w:val="000000"/>
          <w:sz w:val="22"/>
          <w:szCs w:val="22"/>
        </w:rPr>
        <w:t> and</w:t>
      </w:r>
    </w:p>
    <w:p w14:paraId="4216A984" w14:textId="77777777" w:rsidR="00B7493B" w:rsidRPr="00E20AFA" w:rsidRDefault="00B7493B" w:rsidP="00B7493B">
      <w:pPr>
        <w:pStyle w:val="Normal1"/>
        <w:rPr>
          <w:rFonts w:ascii="Calibri" w:eastAsia="Calibri" w:hAnsi="Calibri" w:cs="Calibri"/>
          <w:color w:val="000000"/>
          <w:sz w:val="22"/>
          <w:szCs w:val="22"/>
        </w:rPr>
      </w:pPr>
    </w:p>
    <w:p w14:paraId="7A71F495" w14:textId="77777777" w:rsidR="00B7493B" w:rsidRPr="00E20AFA" w:rsidRDefault="00B7493B" w:rsidP="00B7493B">
      <w:pPr>
        <w:pStyle w:val="Normal1"/>
        <w:rPr>
          <w:rFonts w:ascii="Calibri" w:eastAsia="Calibri" w:hAnsi="Calibri" w:cs="Calibri"/>
          <w:color w:val="000000"/>
          <w:sz w:val="22"/>
          <w:szCs w:val="22"/>
        </w:rPr>
      </w:pPr>
      <w:r w:rsidRPr="00E20AFA">
        <w:rPr>
          <w:rFonts w:ascii="Calibri" w:eastAsia="Calibri" w:hAnsi="Calibri" w:cs="Calibri"/>
          <w:color w:val="000000"/>
          <w:sz w:val="22"/>
          <w:szCs w:val="22"/>
        </w:rPr>
        <w:t>b) The Ministry of Health restricting access to, and in some cases seizing alternative treatments that are well established as being safe and effective overseas. Once example is an appeal to the Tauranga District Court by a Murupara GP over the seizure by the Ministry of Health of Ivermectin he had imported for his patients in anticipation of the Covid arriving in his community. The decision was reserved by Judge Spear, and is expected soon. refer: </w:t>
      </w:r>
      <w:hyperlink r:id="rId17">
        <w:r w:rsidRPr="00E20AFA">
          <w:rPr>
            <w:rFonts w:ascii="Calibri" w:eastAsia="Calibri" w:hAnsi="Calibri" w:cs="Calibri"/>
            <w:color w:val="0000FF"/>
            <w:sz w:val="22"/>
            <w:szCs w:val="22"/>
            <w:u w:val="single"/>
          </w:rPr>
          <w:t>https://www.stuff.co.nz/national/health/coronavirus/128210064/contaminated-ivermectin-in-controversial-murupara-doctors-seized-import-court-hears</w:t>
        </w:r>
      </w:hyperlink>
    </w:p>
    <w:p w14:paraId="00C0EAD9" w14:textId="77777777" w:rsidR="00B7493B" w:rsidRPr="00E20AFA" w:rsidRDefault="00B7493B" w:rsidP="00B7493B">
      <w:pPr>
        <w:pStyle w:val="Normal1"/>
        <w:rPr>
          <w:rFonts w:ascii="Calibri" w:eastAsia="Calibri" w:hAnsi="Calibri" w:cs="Calibri"/>
          <w:color w:val="000000"/>
          <w:sz w:val="22"/>
          <w:szCs w:val="22"/>
        </w:rPr>
      </w:pPr>
    </w:p>
    <w:p w14:paraId="03FE3DE9" w14:textId="77777777" w:rsidR="00B7493B" w:rsidRPr="00E20AFA" w:rsidRDefault="00B7493B" w:rsidP="00B7493B">
      <w:pPr>
        <w:pStyle w:val="Normal1"/>
        <w:rPr>
          <w:rFonts w:ascii="Calibri" w:eastAsia="Calibri" w:hAnsi="Calibri" w:cs="Calibri"/>
          <w:color w:val="000000"/>
          <w:sz w:val="22"/>
          <w:szCs w:val="22"/>
        </w:rPr>
      </w:pPr>
      <w:r w:rsidRPr="00E20AFA">
        <w:rPr>
          <w:rFonts w:ascii="Calibri" w:eastAsia="Calibri" w:hAnsi="Calibri" w:cs="Calibri"/>
          <w:color w:val="000000"/>
          <w:sz w:val="22"/>
          <w:szCs w:val="22"/>
        </w:rPr>
        <w:t>c) This risk of patients importing medications themselves if they cannot lawfully source them in New Zealand.</w:t>
      </w:r>
    </w:p>
    <w:p w14:paraId="4B99B42A" w14:textId="77777777" w:rsidR="00B7493B" w:rsidRPr="00E20AFA" w:rsidRDefault="00B7493B" w:rsidP="00B7493B">
      <w:pPr>
        <w:pStyle w:val="Normal1"/>
        <w:rPr>
          <w:rFonts w:ascii="Calibri" w:eastAsia="Calibri" w:hAnsi="Calibri" w:cs="Calibri"/>
          <w:color w:val="000000"/>
          <w:sz w:val="22"/>
          <w:szCs w:val="22"/>
        </w:rPr>
      </w:pPr>
      <w:r w:rsidRPr="00E20AFA">
        <w:rPr>
          <w:rFonts w:ascii="Calibri" w:eastAsia="Calibri" w:hAnsi="Calibri" w:cs="Calibri"/>
          <w:color w:val="000000"/>
          <w:sz w:val="22"/>
          <w:szCs w:val="22"/>
        </w:rPr>
        <w:t>refer: </w:t>
      </w:r>
      <w:hyperlink r:id="rId18">
        <w:r w:rsidRPr="00E20AFA">
          <w:rPr>
            <w:rFonts w:ascii="Calibri" w:eastAsia="Calibri" w:hAnsi="Calibri" w:cs="Calibri"/>
            <w:color w:val="0000FF"/>
            <w:sz w:val="22"/>
            <w:szCs w:val="22"/>
            <w:u w:val="single"/>
          </w:rPr>
          <w:t>https://www.medsafe.govt.nz/consumers/miet/importmedicines.asp</w:t>
        </w:r>
      </w:hyperlink>
    </w:p>
    <w:p w14:paraId="62A18E26" w14:textId="77777777" w:rsidR="00B7493B" w:rsidRDefault="00B7493B" w:rsidP="00B7493B">
      <w:pPr>
        <w:pStyle w:val="Normal1"/>
        <w:rPr>
          <w:rFonts w:ascii="Calibri" w:eastAsia="Calibri" w:hAnsi="Calibri" w:cs="Calibri"/>
          <w:color w:val="000000"/>
          <w:sz w:val="22"/>
          <w:szCs w:val="22"/>
        </w:rPr>
      </w:pPr>
    </w:p>
    <w:p w14:paraId="292E5F37" w14:textId="416BE55D" w:rsidR="00B7493B" w:rsidRDefault="00B7493B" w:rsidP="00B7493B">
      <w:pPr>
        <w:pStyle w:val="Normal1"/>
        <w:rPr>
          <w:rFonts w:ascii="Calibri" w:eastAsia="Calibri" w:hAnsi="Calibri" w:cs="Calibri"/>
          <w:color w:val="000000"/>
          <w:sz w:val="22"/>
          <w:szCs w:val="22"/>
        </w:rPr>
      </w:pPr>
      <w:r>
        <w:rPr>
          <w:rFonts w:ascii="Calibri" w:eastAsia="Calibri" w:hAnsi="Calibri" w:cs="Calibri"/>
          <w:color w:val="000000"/>
          <w:sz w:val="22"/>
          <w:szCs w:val="22"/>
        </w:rPr>
        <w:t xml:space="preserve">This discrimination has had particularly severe impacts for </w:t>
      </w:r>
      <w:r w:rsidR="004675AA">
        <w:rPr>
          <w:rFonts w:ascii="Calibri" w:eastAsia="Calibri" w:hAnsi="Calibri" w:cs="Calibri"/>
          <w:color w:val="000000"/>
          <w:sz w:val="22"/>
          <w:szCs w:val="22"/>
        </w:rPr>
        <w:t xml:space="preserve">children </w:t>
      </w:r>
      <w:r>
        <w:rPr>
          <w:rFonts w:ascii="Calibri" w:eastAsia="Calibri" w:hAnsi="Calibri" w:cs="Calibri"/>
          <w:color w:val="000000"/>
          <w:sz w:val="22"/>
          <w:szCs w:val="22"/>
        </w:rPr>
        <w:t>with disabilities, who often have complex medical needs. They often need personalised assessment by competent practitioners who have an in depth understanding of the person's medical history, other medications they use, and any allergies, auto immune disorders or other contraindications, and personal preferences.</w:t>
      </w:r>
      <w:r w:rsidR="00131C0F">
        <w:rPr>
          <w:rFonts w:ascii="Calibri" w:eastAsia="Calibri" w:hAnsi="Calibri" w:cs="Calibri"/>
          <w:color w:val="000000"/>
          <w:sz w:val="22"/>
          <w:szCs w:val="22"/>
        </w:rPr>
        <w:t xml:space="preserve"> </w:t>
      </w:r>
      <w:r w:rsidR="004675AA">
        <w:rPr>
          <w:rFonts w:ascii="Calibri" w:eastAsia="Calibri" w:hAnsi="Calibri" w:cs="Calibri"/>
          <w:color w:val="000000"/>
          <w:sz w:val="22"/>
          <w:szCs w:val="22"/>
        </w:rPr>
        <w:t xml:space="preserve">Children </w:t>
      </w:r>
      <w:r>
        <w:rPr>
          <w:rFonts w:ascii="Calibri" w:eastAsia="Calibri" w:hAnsi="Calibri" w:cs="Calibri"/>
          <w:color w:val="000000"/>
          <w:sz w:val="22"/>
          <w:szCs w:val="22"/>
        </w:rPr>
        <w:t>who have suffered an adverse reaction after a medical treatment need special consideration to assess the risks of them having further treatment with the same medicine, or whether another approach should be adopted. The very narrow approach to exemptions creates extreme difficulties for those who have suffered vaccine injuries or post vaccine injuries which may have been caused or contributed to by the vaccine. The government's "one size fits all" appro</w:t>
      </w:r>
      <w:r w:rsidR="000C0F86">
        <w:rPr>
          <w:rFonts w:ascii="Calibri" w:eastAsia="Calibri" w:hAnsi="Calibri" w:cs="Calibri"/>
          <w:color w:val="000000"/>
          <w:sz w:val="22"/>
          <w:szCs w:val="22"/>
        </w:rPr>
        <w:t>ach towards management of Covid</w:t>
      </w:r>
      <w:r>
        <w:rPr>
          <w:rFonts w:ascii="Calibri" w:eastAsia="Calibri" w:hAnsi="Calibri" w:cs="Calibri"/>
          <w:color w:val="000000"/>
          <w:sz w:val="22"/>
          <w:szCs w:val="22"/>
        </w:rPr>
        <w:t xml:space="preserve"> accordingly discriminates against and has particularly serious adverse effects for </w:t>
      </w:r>
      <w:r w:rsidR="004675AA">
        <w:rPr>
          <w:rFonts w:ascii="Calibri" w:eastAsia="Calibri" w:hAnsi="Calibri" w:cs="Calibri"/>
          <w:color w:val="000000"/>
          <w:sz w:val="22"/>
          <w:szCs w:val="22"/>
        </w:rPr>
        <w:t xml:space="preserve">children </w:t>
      </w:r>
      <w:r>
        <w:rPr>
          <w:rFonts w:ascii="Calibri" w:eastAsia="Calibri" w:hAnsi="Calibri" w:cs="Calibri"/>
          <w:color w:val="000000"/>
          <w:sz w:val="22"/>
          <w:szCs w:val="22"/>
        </w:rPr>
        <w:t xml:space="preserve">with disabilities, </w:t>
      </w:r>
      <w:r w:rsidR="004675AA">
        <w:rPr>
          <w:rFonts w:ascii="Calibri" w:eastAsia="Calibri" w:hAnsi="Calibri" w:cs="Calibri"/>
          <w:color w:val="000000"/>
          <w:sz w:val="22"/>
          <w:szCs w:val="22"/>
        </w:rPr>
        <w:t xml:space="preserve">and children disabled with </w:t>
      </w:r>
      <w:r>
        <w:rPr>
          <w:rFonts w:ascii="Calibri" w:eastAsia="Calibri" w:hAnsi="Calibri" w:cs="Calibri"/>
          <w:color w:val="000000"/>
          <w:sz w:val="22"/>
          <w:szCs w:val="22"/>
        </w:rPr>
        <w:t>vaccine injuries. </w:t>
      </w:r>
    </w:p>
    <w:p w14:paraId="23B50385" w14:textId="77777777" w:rsidR="000C16D7" w:rsidRDefault="000C16D7" w:rsidP="00B7493B">
      <w:pPr>
        <w:pStyle w:val="Normal1"/>
        <w:rPr>
          <w:rFonts w:ascii="Calibri" w:eastAsia="Calibri" w:hAnsi="Calibri" w:cs="Calibri"/>
          <w:color w:val="000000"/>
          <w:sz w:val="22"/>
          <w:szCs w:val="22"/>
        </w:rPr>
      </w:pPr>
    </w:p>
    <w:p w14:paraId="4206CE5B" w14:textId="7ED3027D" w:rsidR="004B674A" w:rsidRPr="005B5B40" w:rsidRDefault="000C16D7" w:rsidP="000C16D7">
      <w:pPr>
        <w:widowControl w:val="0"/>
        <w:autoSpaceDE w:val="0"/>
        <w:autoSpaceDN w:val="0"/>
        <w:adjustRightInd w:val="0"/>
        <w:rPr>
          <w:rFonts w:asciiTheme="majorHAnsi" w:hAnsiTheme="majorHAnsi" w:cs="Times New Roman"/>
          <w:b/>
          <w:i/>
          <w:color w:val="000000"/>
          <w:sz w:val="22"/>
          <w:szCs w:val="22"/>
        </w:rPr>
      </w:pPr>
      <w:r w:rsidRPr="00FE4DE6">
        <w:rPr>
          <w:rFonts w:asciiTheme="majorHAnsi" w:hAnsiTheme="majorHAnsi" w:cs="Times New Roman"/>
          <w:b/>
          <w:i/>
          <w:color w:val="000000"/>
          <w:sz w:val="22"/>
          <w:szCs w:val="22"/>
        </w:rPr>
        <w:t>Recommendation</w:t>
      </w:r>
      <w:r w:rsidR="00E25963" w:rsidRPr="00FE4DE6">
        <w:rPr>
          <w:rFonts w:asciiTheme="majorHAnsi" w:hAnsiTheme="majorHAnsi" w:cs="Times New Roman"/>
          <w:b/>
          <w:i/>
          <w:color w:val="000000"/>
          <w:sz w:val="22"/>
          <w:szCs w:val="22"/>
        </w:rPr>
        <w:t xml:space="preserve"> 8</w:t>
      </w:r>
      <w:r w:rsidRPr="00FE4DE6">
        <w:rPr>
          <w:rFonts w:asciiTheme="majorHAnsi" w:hAnsiTheme="majorHAnsi" w:cs="Times New Roman"/>
          <w:b/>
          <w:i/>
          <w:color w:val="000000"/>
          <w:sz w:val="22"/>
          <w:szCs w:val="22"/>
        </w:rPr>
        <w:t>: the State Party should ensure that children with disabilities have their best interests taken as a primary consideration</w:t>
      </w:r>
      <w:r w:rsidR="00C9581E" w:rsidRPr="00FE4DE6">
        <w:rPr>
          <w:rFonts w:asciiTheme="majorHAnsi" w:hAnsiTheme="majorHAnsi" w:cs="Times New Roman"/>
          <w:b/>
          <w:i/>
          <w:color w:val="000000"/>
          <w:sz w:val="22"/>
          <w:szCs w:val="22"/>
        </w:rPr>
        <w:t>, i.e. the right to choose between the COVID-19 vaccine or early treatment, including the use of antiviral medicines (such as Ivermectin)</w:t>
      </w:r>
      <w:r w:rsidR="004B674A" w:rsidRPr="00FE4DE6">
        <w:rPr>
          <w:rFonts w:asciiTheme="majorHAnsi" w:hAnsiTheme="majorHAnsi" w:cs="Times New Roman"/>
          <w:b/>
          <w:i/>
          <w:color w:val="000000"/>
          <w:sz w:val="22"/>
          <w:szCs w:val="22"/>
        </w:rPr>
        <w:t>.  The advantages of all possible treatments must be weighed against all possible risks and side effects for the individual child.</w:t>
      </w:r>
      <w:r w:rsidR="00FA5843" w:rsidRPr="00FE4DE6">
        <w:rPr>
          <w:rFonts w:asciiTheme="majorHAnsi" w:hAnsiTheme="majorHAnsi" w:cs="Times New Roman"/>
          <w:b/>
          <w:i/>
          <w:color w:val="000000"/>
          <w:sz w:val="22"/>
          <w:szCs w:val="22"/>
        </w:rPr>
        <w:t xml:space="preserve"> The State Party shall ensure that those children who do not get the COVID-19 injection are not excluded from active participation in the community, through restricting access to all kinds of services, including cultural activities</w:t>
      </w:r>
      <w:r w:rsidR="00A7647E" w:rsidRPr="00FE4DE6">
        <w:rPr>
          <w:rFonts w:asciiTheme="majorHAnsi" w:hAnsiTheme="majorHAnsi" w:cs="Times New Roman"/>
          <w:b/>
          <w:i/>
          <w:color w:val="000000"/>
          <w:sz w:val="22"/>
          <w:szCs w:val="22"/>
        </w:rPr>
        <w:t>, including by third parties</w:t>
      </w:r>
      <w:r w:rsidR="00FA5843" w:rsidRPr="00FE4DE6">
        <w:rPr>
          <w:rFonts w:asciiTheme="majorHAnsi" w:hAnsiTheme="majorHAnsi" w:cs="Times New Roman"/>
          <w:b/>
          <w:i/>
          <w:color w:val="000000"/>
          <w:sz w:val="22"/>
          <w:szCs w:val="22"/>
        </w:rPr>
        <w:t>.</w:t>
      </w:r>
    </w:p>
    <w:p w14:paraId="1A3C29FA" w14:textId="0BC5C3FE" w:rsidR="002A2E30" w:rsidRDefault="002A2E30" w:rsidP="002A2E30">
      <w:pPr>
        <w:pStyle w:val="Heading2"/>
      </w:pPr>
      <w:r>
        <w:t xml:space="preserve">Education, leisure and cultural activities (arts. 28–31) </w:t>
      </w:r>
    </w:p>
    <w:p w14:paraId="4F2F2D84" w14:textId="6DD1CC29" w:rsidR="00306C50" w:rsidRPr="00770042" w:rsidRDefault="00213191" w:rsidP="00306C50">
      <w:pPr>
        <w:widowControl w:val="0"/>
        <w:autoSpaceDE w:val="0"/>
        <w:autoSpaceDN w:val="0"/>
        <w:adjustRightInd w:val="0"/>
        <w:rPr>
          <w:rFonts w:asciiTheme="majorHAnsi" w:hAnsiTheme="majorHAnsi" w:cs="Times New Roman"/>
          <w:b/>
          <w:color w:val="000000"/>
          <w:sz w:val="22"/>
          <w:szCs w:val="22"/>
        </w:rPr>
      </w:pPr>
      <w:r w:rsidRPr="007A4B0F">
        <w:rPr>
          <w:rFonts w:asciiTheme="majorHAnsi" w:hAnsiTheme="majorHAnsi" w:cs="Times New Roman"/>
          <w:color w:val="000000"/>
          <w:sz w:val="22"/>
          <w:szCs w:val="22"/>
        </w:rPr>
        <w:t xml:space="preserve">From 1 December 2021 to 5 </w:t>
      </w:r>
      <w:r w:rsidR="00F16622" w:rsidRPr="007A4B0F">
        <w:rPr>
          <w:rFonts w:asciiTheme="majorHAnsi" w:hAnsiTheme="majorHAnsi" w:cs="Times New Roman"/>
          <w:color w:val="000000"/>
          <w:sz w:val="22"/>
          <w:szCs w:val="22"/>
        </w:rPr>
        <w:t xml:space="preserve">April 2022 the New Zealand Government required a COVID-19 vaccine pass to be used to access businesses, events and services, including </w:t>
      </w:r>
      <w:r w:rsidR="00EF26FD" w:rsidRPr="007A4B0F">
        <w:rPr>
          <w:rFonts w:asciiTheme="majorHAnsi" w:hAnsiTheme="majorHAnsi" w:cs="Times"/>
          <w:color w:val="000000"/>
          <w:sz w:val="22"/>
          <w:szCs w:val="22"/>
        </w:rPr>
        <w:t>recreational, cultural and artistic environments, including public and private spaces, natural spaces, parks, playgrounds, sporting venues, museums, cinemas, libraries, theatres, as well as to cultural activities, services and events.</w:t>
      </w:r>
      <w:r w:rsidR="007A4B0F" w:rsidRPr="007A4B0F">
        <w:rPr>
          <w:rStyle w:val="FootnoteReference"/>
          <w:rFonts w:asciiTheme="majorHAnsi" w:hAnsiTheme="majorHAnsi" w:cs="Times"/>
          <w:color w:val="000000"/>
          <w:sz w:val="22"/>
          <w:szCs w:val="22"/>
        </w:rPr>
        <w:footnoteReference w:id="62"/>
      </w:r>
      <w:r w:rsidR="00EF26FD" w:rsidRPr="007A4B0F">
        <w:rPr>
          <w:rFonts w:asciiTheme="majorHAnsi" w:hAnsiTheme="majorHAnsi" w:cs="Times"/>
          <w:color w:val="000000"/>
          <w:sz w:val="22"/>
          <w:szCs w:val="22"/>
        </w:rPr>
        <w:t xml:space="preserve"> </w:t>
      </w:r>
      <w:r w:rsidR="00306C50">
        <w:rPr>
          <w:rFonts w:asciiTheme="majorHAnsi" w:hAnsiTheme="majorHAnsi" w:cs="Times New Roman"/>
          <w:color w:val="000000"/>
          <w:sz w:val="22"/>
          <w:szCs w:val="22"/>
        </w:rPr>
        <w:t>For example, the Auckland City Council</w:t>
      </w:r>
      <w:r w:rsidR="00CB7EE7">
        <w:rPr>
          <w:rFonts w:asciiTheme="majorHAnsi" w:hAnsiTheme="majorHAnsi" w:cs="Times New Roman"/>
          <w:color w:val="000000"/>
          <w:sz w:val="22"/>
          <w:szCs w:val="22"/>
        </w:rPr>
        <w:t xml:space="preserve"> required vaccine passes to access </w:t>
      </w:r>
      <w:r w:rsidR="00D72A79" w:rsidRPr="00F8702D">
        <w:rPr>
          <w:rFonts w:asciiTheme="majorHAnsi" w:eastAsia="Times New Roman" w:hAnsiTheme="majorHAnsi" w:cs="Times New Roman"/>
          <w:color w:val="222222"/>
          <w:sz w:val="22"/>
          <w:szCs w:val="22"/>
          <w:lang w:val="en-AU" w:eastAsia="en-US"/>
        </w:rPr>
        <w:t>Gyms/Fitness Functions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 xml:space="preserve">Learn to swim programmes (for </w:t>
      </w:r>
      <w:r w:rsidR="008228B1">
        <w:rPr>
          <w:rFonts w:asciiTheme="majorHAnsi" w:eastAsia="Times New Roman" w:hAnsiTheme="majorHAnsi" w:cs="Times New Roman"/>
          <w:color w:val="222222"/>
          <w:sz w:val="22"/>
          <w:szCs w:val="22"/>
          <w:lang w:val="en-AU" w:eastAsia="en-US"/>
        </w:rPr>
        <w:t xml:space="preserve">those </w:t>
      </w:r>
      <w:r w:rsidR="00D72A79" w:rsidRPr="00F8702D">
        <w:rPr>
          <w:rFonts w:asciiTheme="majorHAnsi" w:eastAsia="Times New Roman" w:hAnsiTheme="majorHAnsi" w:cs="Times New Roman"/>
          <w:color w:val="222222"/>
          <w:sz w:val="22"/>
          <w:szCs w:val="22"/>
          <w:lang w:val="en-AU" w:eastAsia="en-US"/>
        </w:rPr>
        <w:t>older than 12 years)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Recreation/Leisure Centres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Pools and aquatic centres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Holiday parks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Libraries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Arts facilities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Council-run events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Community centres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Animal shelters</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Service Centres (integrated and standalone)</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Cemetery offices (alternative arrangements can be made)</w:t>
      </w:r>
      <w:r w:rsidR="00CB7EE7">
        <w:rPr>
          <w:rFonts w:asciiTheme="majorHAnsi" w:hAnsiTheme="majorHAnsi" w:cs="Times New Roman"/>
          <w:color w:val="000000"/>
          <w:sz w:val="22"/>
          <w:szCs w:val="22"/>
        </w:rPr>
        <w:t xml:space="preserve">; </w:t>
      </w:r>
      <w:r w:rsidR="00D72A79" w:rsidRPr="00F8702D">
        <w:rPr>
          <w:rFonts w:asciiTheme="majorHAnsi" w:eastAsia="Times New Roman" w:hAnsiTheme="majorHAnsi" w:cs="Times New Roman"/>
          <w:color w:val="222222"/>
          <w:sz w:val="22"/>
          <w:szCs w:val="22"/>
          <w:lang w:val="en-AU" w:eastAsia="en-US"/>
        </w:rPr>
        <w:t>Visitor Centres – Arataki, Botanic Gardens</w:t>
      </w:r>
      <w:r w:rsidR="00CB7EE7">
        <w:rPr>
          <w:rFonts w:asciiTheme="majorHAnsi" w:eastAsia="Times New Roman" w:hAnsiTheme="majorHAnsi" w:cs="Times New Roman"/>
          <w:color w:val="222222"/>
          <w:sz w:val="22"/>
          <w:szCs w:val="22"/>
          <w:lang w:val="en-AU" w:eastAsia="en-US"/>
        </w:rPr>
        <w:t xml:space="preserve">; and </w:t>
      </w:r>
      <w:r w:rsidR="00D72A79" w:rsidRPr="00F8702D">
        <w:rPr>
          <w:rFonts w:asciiTheme="majorHAnsi" w:eastAsia="Times New Roman" w:hAnsiTheme="majorHAnsi" w:cs="Times New Roman"/>
          <w:color w:val="222222"/>
          <w:sz w:val="22"/>
          <w:szCs w:val="22"/>
          <w:lang w:val="en-AU" w:eastAsia="en-US"/>
        </w:rPr>
        <w:t>Tipping Point (Waitākere) recycling centre</w:t>
      </w:r>
      <w:r w:rsidR="00CB7EE7">
        <w:rPr>
          <w:rFonts w:asciiTheme="majorHAnsi" w:eastAsia="Times New Roman" w:hAnsiTheme="majorHAnsi" w:cs="Times New Roman"/>
          <w:color w:val="222222"/>
          <w:sz w:val="22"/>
          <w:szCs w:val="22"/>
          <w:lang w:val="en-AU" w:eastAsia="en-US"/>
        </w:rPr>
        <w:t>.</w:t>
      </w:r>
      <w:r w:rsidR="007D4D80">
        <w:rPr>
          <w:rStyle w:val="FootnoteReference"/>
          <w:rFonts w:eastAsia="Times New Roman" w:cs="Times New Roman"/>
          <w:color w:val="222222"/>
          <w:szCs w:val="22"/>
          <w:lang w:val="en-AU" w:eastAsia="en-US"/>
        </w:rPr>
        <w:footnoteReference w:id="63"/>
      </w:r>
      <w:r w:rsidR="00770042">
        <w:rPr>
          <w:rFonts w:asciiTheme="majorHAnsi" w:eastAsia="Times New Roman" w:hAnsiTheme="majorHAnsi" w:cs="Times New Roman"/>
          <w:color w:val="222222"/>
          <w:sz w:val="22"/>
          <w:szCs w:val="22"/>
          <w:lang w:val="en-AU" w:eastAsia="en-US"/>
        </w:rPr>
        <w:t xml:space="preserve"> </w:t>
      </w:r>
      <w:r w:rsidR="00770042" w:rsidRPr="007A4B0F">
        <w:rPr>
          <w:rFonts w:asciiTheme="majorHAnsi" w:hAnsiTheme="majorHAnsi" w:cs="Times"/>
          <w:color w:val="000000"/>
          <w:sz w:val="22"/>
          <w:szCs w:val="22"/>
        </w:rPr>
        <w:t xml:space="preserve">This had the effect in practice of </w:t>
      </w:r>
      <w:r w:rsidR="00770042" w:rsidRPr="007A4B0F">
        <w:rPr>
          <w:rFonts w:asciiTheme="majorHAnsi" w:hAnsiTheme="majorHAnsi" w:cs="Times"/>
          <w:b/>
          <w:color w:val="000000"/>
          <w:sz w:val="22"/>
          <w:szCs w:val="22"/>
        </w:rPr>
        <w:t>excluding unvaccinated children, children with disabilities that are unable to safely get vaccinated, or children with unvaccinated parents from accessing such spaces for rest, leisure, play, recreational activities, cultural life and the arts</w:t>
      </w:r>
      <w:r w:rsidR="00770042" w:rsidRPr="00770042">
        <w:rPr>
          <w:rFonts w:asciiTheme="majorHAnsi" w:hAnsiTheme="majorHAnsi" w:cs="Times"/>
          <w:color w:val="000000"/>
          <w:sz w:val="22"/>
          <w:szCs w:val="22"/>
        </w:rPr>
        <w:t>, in violation of article 31.</w:t>
      </w:r>
      <w:r w:rsidR="00770042">
        <w:rPr>
          <w:rFonts w:asciiTheme="majorHAnsi" w:hAnsiTheme="majorHAnsi" w:cs="Times New Roman"/>
          <w:b/>
          <w:color w:val="000000"/>
          <w:sz w:val="22"/>
          <w:szCs w:val="22"/>
        </w:rPr>
        <w:t xml:space="preserve"> </w:t>
      </w:r>
      <w:r w:rsidR="00306C50" w:rsidRPr="007A4B0F">
        <w:rPr>
          <w:rFonts w:asciiTheme="majorHAnsi" w:hAnsiTheme="majorHAnsi" w:cs="Times New Roman"/>
          <w:color w:val="000000"/>
          <w:sz w:val="22"/>
          <w:szCs w:val="22"/>
        </w:rPr>
        <w:t xml:space="preserve">From 5 April 2022, </w:t>
      </w:r>
      <w:r w:rsidR="00306C50" w:rsidRPr="007A4B0F">
        <w:rPr>
          <w:rFonts w:asciiTheme="majorHAnsi" w:eastAsia="Times New Roman" w:hAnsiTheme="majorHAnsi" w:cs="Times New Roman"/>
          <w:color w:val="231F20"/>
          <w:sz w:val="22"/>
          <w:szCs w:val="22"/>
          <w:lang w:val="en-AU" w:eastAsia="en-US"/>
        </w:rPr>
        <w:t xml:space="preserve">the Government no longer requires My Vaccine Pass to be used to access businesses, events and services. </w:t>
      </w:r>
      <w:r w:rsidR="00306C50" w:rsidRPr="00056CAD">
        <w:rPr>
          <w:rFonts w:asciiTheme="majorHAnsi" w:eastAsia="Times New Roman" w:hAnsiTheme="majorHAnsi" w:cs="Times New Roman"/>
          <w:b/>
          <w:color w:val="231F20"/>
          <w:sz w:val="22"/>
          <w:szCs w:val="22"/>
          <w:lang w:val="en-AU" w:eastAsia="en-US"/>
        </w:rPr>
        <w:t>However, businesses can still choose to require My Vaccine Pass as a condition of entry.</w:t>
      </w:r>
      <w:r w:rsidR="00306C50" w:rsidRPr="007A4B0F">
        <w:rPr>
          <w:rStyle w:val="FootnoteReference"/>
          <w:rFonts w:asciiTheme="majorHAnsi" w:hAnsiTheme="majorHAnsi" w:cs="Times"/>
          <w:color w:val="000000"/>
          <w:sz w:val="22"/>
          <w:szCs w:val="22"/>
        </w:rPr>
        <w:t xml:space="preserve"> </w:t>
      </w:r>
      <w:r w:rsidR="00306C50" w:rsidRPr="007A4B0F">
        <w:rPr>
          <w:rStyle w:val="FootnoteReference"/>
          <w:rFonts w:asciiTheme="majorHAnsi" w:hAnsiTheme="majorHAnsi" w:cs="Times"/>
          <w:color w:val="000000"/>
          <w:sz w:val="22"/>
          <w:szCs w:val="22"/>
        </w:rPr>
        <w:footnoteReference w:id="64"/>
      </w:r>
      <w:r w:rsidR="00306C50" w:rsidRPr="007A4B0F">
        <w:rPr>
          <w:rFonts w:asciiTheme="majorHAnsi" w:eastAsia="Times New Roman" w:hAnsiTheme="majorHAnsi" w:cs="Times New Roman"/>
          <w:color w:val="231F20"/>
          <w:sz w:val="22"/>
          <w:szCs w:val="22"/>
          <w:lang w:val="en-AU" w:eastAsia="en-US"/>
        </w:rPr>
        <w:t> </w:t>
      </w:r>
    </w:p>
    <w:p w14:paraId="71A66BCF" w14:textId="77777777" w:rsidR="00801C2D" w:rsidRDefault="00801C2D" w:rsidP="00801C2D">
      <w:pPr>
        <w:widowControl w:val="0"/>
        <w:autoSpaceDE w:val="0"/>
        <w:autoSpaceDN w:val="0"/>
        <w:adjustRightInd w:val="0"/>
        <w:rPr>
          <w:rFonts w:asciiTheme="majorHAnsi" w:hAnsiTheme="majorHAnsi" w:cs="Times New Roman"/>
          <w:color w:val="000000"/>
          <w:sz w:val="22"/>
          <w:szCs w:val="22"/>
        </w:rPr>
      </w:pPr>
    </w:p>
    <w:p w14:paraId="49B0DFD3" w14:textId="17590BE9" w:rsidR="00801C2D" w:rsidRDefault="003A4D5E" w:rsidP="002E56AD">
      <w:pPr>
        <w:widowControl w:val="0"/>
        <w:autoSpaceDE w:val="0"/>
        <w:autoSpaceDN w:val="0"/>
        <w:adjustRightInd w:val="0"/>
        <w:rPr>
          <w:rFonts w:asciiTheme="majorHAnsi" w:hAnsiTheme="majorHAnsi" w:cs="Times"/>
          <w:color w:val="000000"/>
          <w:sz w:val="22"/>
          <w:szCs w:val="22"/>
        </w:rPr>
      </w:pPr>
      <w:r>
        <w:rPr>
          <w:rFonts w:asciiTheme="majorHAnsi" w:hAnsiTheme="majorHAnsi" w:cs="Times New Roman"/>
          <w:color w:val="000000"/>
          <w:sz w:val="22"/>
          <w:szCs w:val="22"/>
        </w:rPr>
        <w:t xml:space="preserve">The Committee on the Rights of the Child </w:t>
      </w:r>
      <w:r w:rsidR="003F6C96">
        <w:rPr>
          <w:rFonts w:asciiTheme="majorHAnsi" w:hAnsiTheme="majorHAnsi" w:cs="Times New Roman"/>
          <w:color w:val="000000"/>
          <w:sz w:val="22"/>
          <w:szCs w:val="22"/>
        </w:rPr>
        <w:t xml:space="preserve">in its </w:t>
      </w:r>
      <w:r w:rsidRPr="003A4D5E">
        <w:rPr>
          <w:rFonts w:asciiTheme="majorHAnsi" w:hAnsiTheme="majorHAnsi" w:cs="Times New Roman"/>
          <w:b/>
          <w:color w:val="000000"/>
          <w:sz w:val="22"/>
          <w:szCs w:val="22"/>
        </w:rPr>
        <w:t xml:space="preserve">General Comment </w:t>
      </w:r>
      <w:r w:rsidRPr="00A00FEE">
        <w:rPr>
          <w:rFonts w:asciiTheme="majorHAnsi" w:hAnsiTheme="majorHAnsi" w:cs="Times New Roman"/>
          <w:b/>
          <w:color w:val="000000"/>
          <w:sz w:val="22"/>
          <w:szCs w:val="22"/>
        </w:rPr>
        <w:t>No. 17 (2013) on the right of the child to rest, leisure, play, recreational activities, cultural life and the arts (art. 31)</w:t>
      </w:r>
      <w:r>
        <w:rPr>
          <w:rFonts w:asciiTheme="majorHAnsi" w:hAnsiTheme="majorHAnsi" w:cs="Times New Roman"/>
          <w:b/>
          <w:color w:val="000000"/>
          <w:sz w:val="22"/>
          <w:szCs w:val="22"/>
        </w:rPr>
        <w:t xml:space="preserve"> </w:t>
      </w:r>
      <w:r w:rsidR="00801C2D" w:rsidRPr="002E5F1A">
        <w:rPr>
          <w:rFonts w:asciiTheme="majorHAnsi" w:hAnsiTheme="majorHAnsi" w:cs="Times"/>
          <w:color w:val="000000"/>
          <w:position w:val="-3"/>
          <w:sz w:val="22"/>
          <w:szCs w:val="22"/>
        </w:rPr>
        <w:t xml:space="preserve">CRC/C/GC/17 </w:t>
      </w:r>
      <w:r w:rsidR="003F6C96" w:rsidRPr="00C67FB2">
        <w:rPr>
          <w:rFonts w:asciiTheme="majorHAnsi" w:hAnsiTheme="majorHAnsi" w:cs="Times"/>
          <w:color w:val="000000"/>
          <w:sz w:val="22"/>
          <w:szCs w:val="22"/>
        </w:rPr>
        <w:t>wa</w:t>
      </w:r>
      <w:r w:rsidR="00801C2D" w:rsidRPr="00C67FB2">
        <w:rPr>
          <w:rFonts w:asciiTheme="majorHAnsi" w:hAnsiTheme="majorHAnsi" w:cs="Times"/>
          <w:color w:val="000000"/>
          <w:sz w:val="22"/>
          <w:szCs w:val="22"/>
        </w:rPr>
        <w:t>s particularly concerned about the difficulties faced by particular categories of children in relation to enjoyment and conditions of equality of the rights defined in article 31, especially children with disabilities</w:t>
      </w:r>
      <w:r w:rsidR="003F6C96" w:rsidRPr="00C67FB2">
        <w:rPr>
          <w:rFonts w:asciiTheme="majorHAnsi" w:hAnsiTheme="majorHAnsi" w:cs="Times"/>
          <w:color w:val="000000"/>
          <w:sz w:val="22"/>
          <w:szCs w:val="22"/>
        </w:rPr>
        <w:t>.</w:t>
      </w:r>
      <w:r w:rsidR="008228B1">
        <w:rPr>
          <w:rStyle w:val="FootnoteReference"/>
          <w:rFonts w:cs="Times"/>
          <w:color w:val="000000"/>
          <w:szCs w:val="22"/>
        </w:rPr>
        <w:footnoteReference w:id="65"/>
      </w:r>
      <w:r w:rsidR="003F6C96" w:rsidRPr="00C67FB2">
        <w:rPr>
          <w:rFonts w:asciiTheme="majorHAnsi" w:hAnsiTheme="majorHAnsi" w:cs="Times"/>
          <w:color w:val="000000"/>
          <w:sz w:val="22"/>
          <w:szCs w:val="22"/>
        </w:rPr>
        <w:t xml:space="preserve"> The Committee emphasized</w:t>
      </w:r>
      <w:r w:rsidR="00801C2D" w:rsidRPr="00C67FB2">
        <w:rPr>
          <w:rFonts w:asciiTheme="majorHAnsi" w:hAnsiTheme="majorHAnsi" w:cs="Times"/>
          <w:color w:val="000000"/>
          <w:sz w:val="22"/>
          <w:szCs w:val="22"/>
        </w:rPr>
        <w:t xml:space="preserve"> that States parties shall take all appropriate measures to ensure that all children have the opportunity to realize their rights under article 31 without discrimination of any kind, irrespective of the child’s or his or her parent’s or legal guardian’s political or other opinion, disability, or other status</w:t>
      </w:r>
      <w:r w:rsidR="00C67FB2" w:rsidRPr="00C67FB2">
        <w:rPr>
          <w:rFonts w:asciiTheme="majorHAnsi" w:hAnsiTheme="majorHAnsi" w:cs="Times"/>
          <w:color w:val="000000"/>
          <w:sz w:val="22"/>
          <w:szCs w:val="22"/>
        </w:rPr>
        <w:t xml:space="preserve"> (e.g. vaccine status)</w:t>
      </w:r>
      <w:r w:rsidR="005025B2">
        <w:rPr>
          <w:rFonts w:asciiTheme="majorHAnsi" w:hAnsiTheme="majorHAnsi" w:cs="Times"/>
          <w:color w:val="000000"/>
          <w:sz w:val="22"/>
          <w:szCs w:val="22"/>
        </w:rPr>
        <w:t xml:space="preserve"> (article 2 non-discrimination)</w:t>
      </w:r>
      <w:r w:rsidR="00801C2D" w:rsidRPr="00C67FB2">
        <w:rPr>
          <w:rFonts w:asciiTheme="majorHAnsi" w:hAnsiTheme="majorHAnsi" w:cs="Times"/>
          <w:color w:val="000000"/>
          <w:sz w:val="22"/>
          <w:szCs w:val="22"/>
        </w:rPr>
        <w:t>.</w:t>
      </w:r>
      <w:r w:rsidR="005025B2">
        <w:rPr>
          <w:rFonts w:asciiTheme="majorHAnsi" w:hAnsiTheme="majorHAnsi" w:cs="Times"/>
          <w:color w:val="000000"/>
          <w:sz w:val="22"/>
          <w:szCs w:val="22"/>
        </w:rPr>
        <w:t xml:space="preserve"> It noted that </w:t>
      </w:r>
      <w:r w:rsidR="005025B2" w:rsidRPr="005F3E45">
        <w:rPr>
          <w:rFonts w:asciiTheme="majorHAnsi" w:hAnsiTheme="majorHAnsi" w:cs="Times"/>
          <w:b/>
          <w:color w:val="000000"/>
          <w:sz w:val="22"/>
          <w:szCs w:val="22"/>
        </w:rPr>
        <w:t>article 15 provides that c</w:t>
      </w:r>
      <w:r w:rsidR="00801C2D" w:rsidRPr="004F5CFE">
        <w:rPr>
          <w:rFonts w:asciiTheme="majorHAnsi" w:hAnsiTheme="majorHAnsi" w:cs="Times"/>
          <w:b/>
          <w:color w:val="000000"/>
          <w:sz w:val="22"/>
          <w:szCs w:val="22"/>
        </w:rPr>
        <w:t xml:space="preserve">hildren have the right to exercise choice in their </w:t>
      </w:r>
      <w:r w:rsidR="00801C2D" w:rsidRPr="005C4675">
        <w:rPr>
          <w:rFonts w:asciiTheme="majorHAnsi" w:hAnsiTheme="majorHAnsi" w:cs="Times"/>
          <w:b/>
          <w:color w:val="000000"/>
          <w:sz w:val="22"/>
          <w:szCs w:val="22"/>
        </w:rPr>
        <w:t>membership of social, cultural, sporting and other forms of organization</w:t>
      </w:r>
      <w:r w:rsidR="00801C2D" w:rsidRPr="002E5F1A">
        <w:rPr>
          <w:rFonts w:asciiTheme="majorHAnsi" w:hAnsiTheme="majorHAnsi" w:cs="Times"/>
          <w:color w:val="000000"/>
          <w:sz w:val="22"/>
          <w:szCs w:val="22"/>
        </w:rPr>
        <w:t xml:space="preserve">. Children need to engage with peers of both sexes, as well as with people of different abilities, classes, cultures and ages, in order to learn cooperation, tolerance, sharing and resourcefulness. Play and recreation create the opportunities for the formation of friendships and can play a key role in strengthening civil society, contributing towards the social, moral and emotional development of the child, shaping culture and building communities. </w:t>
      </w:r>
      <w:r w:rsidR="00801C2D" w:rsidRPr="005C4675">
        <w:rPr>
          <w:rFonts w:asciiTheme="majorHAnsi" w:hAnsiTheme="majorHAnsi" w:cs="Times"/>
          <w:b/>
          <w:color w:val="000000"/>
          <w:sz w:val="22"/>
          <w:szCs w:val="22"/>
        </w:rPr>
        <w:t>State parties must facilitate opportunities to enable children to meet freely with their peers at the community level</w:t>
      </w:r>
      <w:r w:rsidR="00801C2D" w:rsidRPr="002E5F1A">
        <w:rPr>
          <w:rFonts w:asciiTheme="majorHAnsi" w:hAnsiTheme="majorHAnsi" w:cs="Times"/>
          <w:color w:val="000000"/>
          <w:sz w:val="22"/>
          <w:szCs w:val="22"/>
        </w:rPr>
        <w:t xml:space="preserve">. </w:t>
      </w:r>
      <w:r w:rsidR="001F037E">
        <w:rPr>
          <w:rFonts w:asciiTheme="majorHAnsi" w:hAnsiTheme="majorHAnsi" w:cs="Times"/>
          <w:color w:val="000000"/>
          <w:sz w:val="22"/>
          <w:szCs w:val="22"/>
        </w:rPr>
        <w:t xml:space="preserve">The Committee also noted that </w:t>
      </w:r>
      <w:r w:rsidR="001F037E" w:rsidRPr="005F3E45">
        <w:rPr>
          <w:rFonts w:asciiTheme="majorHAnsi" w:hAnsiTheme="majorHAnsi" w:cs="Times"/>
          <w:b/>
          <w:color w:val="000000"/>
          <w:sz w:val="22"/>
          <w:szCs w:val="22"/>
        </w:rPr>
        <w:t>article 23 requires that</w:t>
      </w:r>
      <w:r w:rsidR="001F037E" w:rsidRPr="005F3E45">
        <w:rPr>
          <w:rFonts w:asciiTheme="majorHAnsi" w:hAnsiTheme="majorHAnsi" w:cs="Times New Roman"/>
          <w:b/>
          <w:color w:val="000000"/>
          <w:sz w:val="22"/>
          <w:szCs w:val="22"/>
        </w:rPr>
        <w:t xml:space="preserve"> </w:t>
      </w:r>
      <w:r w:rsidR="001F037E">
        <w:rPr>
          <w:rFonts w:asciiTheme="majorHAnsi" w:hAnsiTheme="majorHAnsi" w:cs="Times New Roman"/>
          <w:b/>
          <w:color w:val="000000"/>
          <w:sz w:val="22"/>
          <w:szCs w:val="22"/>
        </w:rPr>
        <w:t>a</w:t>
      </w:r>
      <w:r w:rsidR="00801C2D" w:rsidRPr="005C4675">
        <w:rPr>
          <w:rFonts w:asciiTheme="majorHAnsi" w:hAnsiTheme="majorHAnsi" w:cs="Times"/>
          <w:b/>
          <w:color w:val="000000"/>
          <w:sz w:val="22"/>
          <w:szCs w:val="22"/>
        </w:rPr>
        <w:t>ccessible and inclusive environments and facilities must be made available to children with disabilities to enable them to enjoy their rights under article 31</w:t>
      </w:r>
      <w:r w:rsidR="00801C2D" w:rsidRPr="002E5F1A">
        <w:rPr>
          <w:rFonts w:asciiTheme="majorHAnsi" w:hAnsiTheme="majorHAnsi" w:cs="Times"/>
          <w:color w:val="000000"/>
          <w:sz w:val="22"/>
          <w:szCs w:val="22"/>
        </w:rPr>
        <w:t xml:space="preserve">. Families, caregivers and professionals must recognize the value of inclusive play, both as a right and as a means of achieving optimum development, for children with disabilities. States parties should promote opportunities for children with disabilities, as equal and active participants in play, recreation and cultural and artistic life, by awareness-raising among adults and peers, and by providing age-appropriate support or assistance. </w:t>
      </w:r>
      <w:r w:rsidR="002E56AD">
        <w:rPr>
          <w:rFonts w:asciiTheme="majorHAnsi" w:hAnsiTheme="majorHAnsi" w:cs="Times New Roman"/>
          <w:b/>
          <w:color w:val="000000"/>
          <w:sz w:val="22"/>
          <w:szCs w:val="22"/>
        </w:rPr>
        <w:t xml:space="preserve">Regarding </w:t>
      </w:r>
      <w:r w:rsidR="002E56AD">
        <w:rPr>
          <w:rFonts w:asciiTheme="majorHAnsi" w:hAnsiTheme="majorHAnsi" w:cs="Times"/>
          <w:b/>
          <w:color w:val="000000"/>
          <w:sz w:val="22"/>
          <w:szCs w:val="22"/>
        </w:rPr>
        <w:t>c</w:t>
      </w:r>
      <w:r w:rsidR="00801C2D" w:rsidRPr="00D20F8E">
        <w:rPr>
          <w:rFonts w:asciiTheme="majorHAnsi" w:hAnsiTheme="majorHAnsi" w:cs="Times"/>
          <w:b/>
          <w:color w:val="000000"/>
          <w:sz w:val="22"/>
          <w:szCs w:val="22"/>
        </w:rPr>
        <w:t>hildren with disabilities</w:t>
      </w:r>
      <w:r w:rsidR="002E56AD">
        <w:rPr>
          <w:rFonts w:asciiTheme="majorHAnsi" w:hAnsiTheme="majorHAnsi" w:cs="Times"/>
          <w:b/>
          <w:color w:val="000000"/>
          <w:sz w:val="22"/>
          <w:szCs w:val="22"/>
        </w:rPr>
        <w:t>, the Committee noted that m</w:t>
      </w:r>
      <w:r w:rsidR="00801C2D" w:rsidRPr="00D20F8E">
        <w:rPr>
          <w:rFonts w:asciiTheme="majorHAnsi" w:hAnsiTheme="majorHAnsi" w:cs="Times"/>
          <w:b/>
          <w:color w:val="000000"/>
          <w:sz w:val="22"/>
          <w:szCs w:val="22"/>
        </w:rPr>
        <w:t>ultiple barriers impede access by children with disabilities to the rights provided for in article 31, including exclusion from informal and social arenas where friendships are formed and where play and recreation take place</w:t>
      </w:r>
      <w:r w:rsidR="00801C2D" w:rsidRPr="002E5F1A">
        <w:rPr>
          <w:rFonts w:asciiTheme="majorHAnsi" w:hAnsiTheme="majorHAnsi" w:cs="Times"/>
          <w:color w:val="000000"/>
          <w:sz w:val="22"/>
          <w:szCs w:val="22"/>
        </w:rPr>
        <w:t xml:space="preserve">; isolation at the home; </w:t>
      </w:r>
      <w:r w:rsidR="00801C2D" w:rsidRPr="00D20F8E">
        <w:rPr>
          <w:rFonts w:asciiTheme="majorHAnsi" w:hAnsiTheme="majorHAnsi" w:cs="Times"/>
          <w:b/>
          <w:color w:val="000000"/>
          <w:sz w:val="22"/>
          <w:szCs w:val="22"/>
        </w:rPr>
        <w:t>cultural attitudes and negative stereotypes which are hostile to and rejecting of children with disabilities</w:t>
      </w:r>
      <w:r w:rsidR="00801C2D" w:rsidRPr="002E5F1A">
        <w:rPr>
          <w:rFonts w:asciiTheme="majorHAnsi" w:hAnsiTheme="majorHAnsi" w:cs="Times"/>
          <w:color w:val="000000"/>
          <w:sz w:val="22"/>
          <w:szCs w:val="22"/>
        </w:rPr>
        <w:t>; inaccessibility of</w:t>
      </w:r>
      <w:r w:rsidR="005F3E45">
        <w:rPr>
          <w:rFonts w:asciiTheme="majorHAnsi" w:hAnsiTheme="majorHAnsi" w:cs="Times"/>
          <w:color w:val="000000"/>
          <w:sz w:val="22"/>
          <w:szCs w:val="22"/>
        </w:rPr>
        <w:t xml:space="preserve"> </w:t>
      </w:r>
      <w:r w:rsidR="00801C2D" w:rsidRPr="002E5F1A">
        <w:rPr>
          <w:rFonts w:asciiTheme="majorHAnsi" w:hAnsiTheme="majorHAnsi" w:cs="Times"/>
          <w:color w:val="000000"/>
          <w:sz w:val="22"/>
          <w:szCs w:val="22"/>
        </w:rPr>
        <w:t xml:space="preserve">public spaces, parks, playgrounds and equipment, cinemas, theatres, concert halls, sports facilities and arenas; </w:t>
      </w:r>
      <w:r w:rsidR="002E56AD">
        <w:rPr>
          <w:rFonts w:asciiTheme="majorHAnsi" w:hAnsiTheme="majorHAnsi" w:cs="Times"/>
          <w:color w:val="000000"/>
          <w:sz w:val="22"/>
          <w:szCs w:val="22"/>
        </w:rPr>
        <w:t xml:space="preserve">and </w:t>
      </w:r>
      <w:r w:rsidR="00801C2D" w:rsidRPr="00D20F8E">
        <w:rPr>
          <w:rFonts w:asciiTheme="majorHAnsi" w:hAnsiTheme="majorHAnsi" w:cs="Times"/>
          <w:b/>
          <w:color w:val="000000"/>
          <w:sz w:val="22"/>
          <w:szCs w:val="22"/>
        </w:rPr>
        <w:t>policies that exclude them from sporting or cultural venues on the grounds of safety</w:t>
      </w:r>
      <w:r w:rsidR="00801C2D" w:rsidRPr="002E5F1A">
        <w:rPr>
          <w:rFonts w:asciiTheme="majorHAnsi" w:hAnsiTheme="majorHAnsi" w:cs="Times"/>
          <w:color w:val="000000"/>
          <w:sz w:val="22"/>
          <w:szCs w:val="22"/>
        </w:rPr>
        <w:t xml:space="preserve">. Pro-active measures are needed to remove barriers and promote accessibility to and availability of inclusive opportunities for children with disabilities to participate in all these activities. </w:t>
      </w:r>
    </w:p>
    <w:p w14:paraId="6A5818AD" w14:textId="77777777" w:rsidR="008E4A7A" w:rsidRPr="002E56AD" w:rsidRDefault="008E4A7A" w:rsidP="002E56AD">
      <w:pPr>
        <w:widowControl w:val="0"/>
        <w:autoSpaceDE w:val="0"/>
        <w:autoSpaceDN w:val="0"/>
        <w:adjustRightInd w:val="0"/>
        <w:rPr>
          <w:rFonts w:asciiTheme="majorHAnsi" w:hAnsiTheme="majorHAnsi" w:cs="Times New Roman"/>
          <w:b/>
          <w:color w:val="000000"/>
          <w:sz w:val="22"/>
          <w:szCs w:val="22"/>
        </w:rPr>
      </w:pPr>
    </w:p>
    <w:p w14:paraId="00D9758E" w14:textId="724FC6C1" w:rsidR="00056CAD" w:rsidRPr="00FE4DE6" w:rsidRDefault="00EE3545" w:rsidP="00056CAD">
      <w:pPr>
        <w:widowControl w:val="0"/>
        <w:autoSpaceDE w:val="0"/>
        <w:autoSpaceDN w:val="0"/>
        <w:adjustRightInd w:val="0"/>
        <w:rPr>
          <w:rFonts w:asciiTheme="majorHAnsi" w:hAnsiTheme="majorHAnsi"/>
          <w:b/>
          <w:i/>
          <w:sz w:val="22"/>
          <w:szCs w:val="22"/>
        </w:rPr>
      </w:pPr>
      <w:r w:rsidRPr="00FE4DE6">
        <w:rPr>
          <w:rFonts w:asciiTheme="majorHAnsi" w:hAnsiTheme="majorHAnsi"/>
          <w:b/>
          <w:i/>
          <w:sz w:val="22"/>
          <w:szCs w:val="22"/>
        </w:rPr>
        <w:t xml:space="preserve">Recommendation 9 - </w:t>
      </w:r>
      <w:r w:rsidR="00056CAD" w:rsidRPr="00FE4DE6">
        <w:rPr>
          <w:rFonts w:asciiTheme="majorHAnsi" w:hAnsiTheme="majorHAnsi"/>
          <w:b/>
          <w:i/>
          <w:sz w:val="22"/>
          <w:szCs w:val="22"/>
        </w:rPr>
        <w:t xml:space="preserve">The State Party should take </w:t>
      </w:r>
      <w:r w:rsidR="005F3E45" w:rsidRPr="00FE4DE6">
        <w:rPr>
          <w:rFonts w:asciiTheme="majorHAnsi" w:hAnsiTheme="majorHAnsi"/>
          <w:b/>
          <w:i/>
          <w:sz w:val="22"/>
          <w:szCs w:val="22"/>
        </w:rPr>
        <w:t xml:space="preserve">immediate </w:t>
      </w:r>
      <w:r w:rsidR="00056CAD" w:rsidRPr="00FE4DE6">
        <w:rPr>
          <w:rFonts w:asciiTheme="majorHAnsi" w:hAnsiTheme="majorHAnsi"/>
          <w:b/>
          <w:i/>
          <w:sz w:val="22"/>
          <w:szCs w:val="22"/>
        </w:rPr>
        <w:t>action to prevent third parties, including Councils and businesses, from interfering in or restricting the right of all children, without discrimination on any ground including vaccine status, to access all recreational, cultural and artistic environments, including public and private spaces, natural spaces, parks, playgrounds, sporting venues, museums, cinemas, libraries, theatres, as well as to cultural activities, services and events, including through legislation, regulations, guidelines and widespread awareness raising.</w:t>
      </w:r>
    </w:p>
    <w:p w14:paraId="4ACB5BC6" w14:textId="70F5263D" w:rsidR="00DB1138" w:rsidRDefault="00F92A2B" w:rsidP="00F92A2B">
      <w:pPr>
        <w:pStyle w:val="Heading2"/>
      </w:pPr>
      <w:r>
        <w:t>About the authors</w:t>
      </w:r>
    </w:p>
    <w:p w14:paraId="6760CAF4" w14:textId="0E912A7A" w:rsidR="00CD2805" w:rsidRDefault="00CD2805" w:rsidP="00F92A2B">
      <w:pPr>
        <w:rPr>
          <w:rFonts w:asciiTheme="majorHAnsi" w:hAnsiTheme="majorHAnsi" w:cs="Arial"/>
          <w:color w:val="000000"/>
          <w:sz w:val="22"/>
          <w:szCs w:val="22"/>
          <w:lang w:val="en-AU" w:eastAsia="en-US"/>
        </w:rPr>
      </w:pPr>
      <w:r>
        <w:rPr>
          <w:rFonts w:asciiTheme="majorHAnsi" w:hAnsiTheme="majorHAnsi" w:cs="Arial"/>
          <w:b/>
          <w:color w:val="000000"/>
          <w:sz w:val="22"/>
          <w:szCs w:val="22"/>
          <w:lang w:val="en-AU" w:eastAsia="en-US"/>
        </w:rPr>
        <w:t>New Zealand Doctors Speaking Out with Science (NZDSOS)</w:t>
      </w:r>
      <w:r>
        <w:rPr>
          <w:rFonts w:asciiTheme="majorHAnsi" w:hAnsiTheme="majorHAnsi" w:cs="Arial"/>
          <w:color w:val="000000"/>
          <w:sz w:val="22"/>
          <w:szCs w:val="22"/>
          <w:lang w:val="en-AU" w:eastAsia="en-US"/>
        </w:rPr>
        <w:t xml:space="preserve"> is </w:t>
      </w:r>
      <w:r w:rsidR="00DB0A72">
        <w:rPr>
          <w:rFonts w:asciiTheme="majorHAnsi" w:hAnsiTheme="majorHAnsi" w:cs="Arial"/>
          <w:color w:val="000000"/>
          <w:sz w:val="22"/>
          <w:szCs w:val="22"/>
          <w:lang w:val="en-AU" w:eastAsia="en-US"/>
        </w:rPr>
        <w:t xml:space="preserve">a group of </w:t>
      </w:r>
      <w:r w:rsidR="00C27E0E">
        <w:rPr>
          <w:rFonts w:asciiTheme="majorHAnsi" w:hAnsiTheme="majorHAnsi" w:cs="Arial"/>
          <w:color w:val="000000"/>
          <w:sz w:val="22"/>
          <w:szCs w:val="22"/>
          <w:lang w:val="en-AU" w:eastAsia="en-US"/>
        </w:rPr>
        <w:t xml:space="preserve">100+ </w:t>
      </w:r>
      <w:r w:rsidR="00DB0A72">
        <w:rPr>
          <w:rFonts w:asciiTheme="majorHAnsi" w:hAnsiTheme="majorHAnsi" w:cs="Arial"/>
          <w:color w:val="000000"/>
          <w:sz w:val="22"/>
          <w:szCs w:val="22"/>
          <w:lang w:val="en-AU" w:eastAsia="en-US"/>
        </w:rPr>
        <w:t xml:space="preserve">health professionals including doctors, </w:t>
      </w:r>
      <w:r w:rsidR="00C27E0E">
        <w:rPr>
          <w:rFonts w:asciiTheme="majorHAnsi" w:hAnsiTheme="majorHAnsi" w:cs="Arial"/>
          <w:color w:val="000000"/>
          <w:sz w:val="22"/>
          <w:szCs w:val="22"/>
          <w:lang w:val="en-AU" w:eastAsia="en-US"/>
        </w:rPr>
        <w:t xml:space="preserve">scientists, </w:t>
      </w:r>
      <w:r w:rsidR="00DB0A72">
        <w:rPr>
          <w:rFonts w:asciiTheme="majorHAnsi" w:hAnsiTheme="majorHAnsi" w:cs="Arial"/>
          <w:color w:val="000000"/>
          <w:sz w:val="22"/>
          <w:szCs w:val="22"/>
          <w:lang w:val="en-AU" w:eastAsia="en-US"/>
        </w:rPr>
        <w:t>dentists, pharmacists and vet</w:t>
      </w:r>
      <w:r w:rsidR="00E566E3">
        <w:rPr>
          <w:rFonts w:asciiTheme="majorHAnsi" w:hAnsiTheme="majorHAnsi" w:cs="Arial"/>
          <w:color w:val="000000"/>
          <w:sz w:val="22"/>
          <w:szCs w:val="22"/>
          <w:lang w:val="en-AU" w:eastAsia="en-US"/>
        </w:rPr>
        <w:t>erinarian</w:t>
      </w:r>
      <w:r w:rsidR="00DB0A72">
        <w:rPr>
          <w:rFonts w:asciiTheme="majorHAnsi" w:hAnsiTheme="majorHAnsi" w:cs="Arial"/>
          <w:color w:val="000000"/>
          <w:sz w:val="22"/>
          <w:szCs w:val="22"/>
          <w:lang w:val="en-AU" w:eastAsia="en-US"/>
        </w:rPr>
        <w:t>s</w:t>
      </w:r>
      <w:r w:rsidR="00DD421F">
        <w:rPr>
          <w:rFonts w:asciiTheme="majorHAnsi" w:hAnsiTheme="majorHAnsi" w:cs="Arial"/>
          <w:color w:val="000000"/>
          <w:sz w:val="22"/>
          <w:szCs w:val="22"/>
          <w:lang w:val="en-AU" w:eastAsia="en-US"/>
        </w:rPr>
        <w:t>. Formed in April 2021, it has expressed concerns about the Pfizer Comirnaty COVID-19 injection</w:t>
      </w:r>
      <w:r w:rsidR="00021623">
        <w:rPr>
          <w:rFonts w:asciiTheme="majorHAnsi" w:hAnsiTheme="majorHAnsi" w:cs="Arial"/>
          <w:color w:val="000000"/>
          <w:sz w:val="22"/>
          <w:szCs w:val="22"/>
          <w:lang w:val="en-AU" w:eastAsia="en-US"/>
        </w:rPr>
        <w:t xml:space="preserve"> </w:t>
      </w:r>
      <w:r w:rsidR="00E4553F">
        <w:rPr>
          <w:rFonts w:asciiTheme="majorHAnsi" w:hAnsiTheme="majorHAnsi" w:cs="Arial"/>
          <w:color w:val="000000"/>
          <w:sz w:val="22"/>
          <w:szCs w:val="22"/>
          <w:lang w:val="en-AU" w:eastAsia="en-US"/>
        </w:rPr>
        <w:t xml:space="preserve">and the need for informed consent </w:t>
      </w:r>
      <w:r w:rsidR="00021623">
        <w:rPr>
          <w:rFonts w:asciiTheme="majorHAnsi" w:hAnsiTheme="majorHAnsi" w:cs="Arial"/>
          <w:color w:val="000000"/>
          <w:sz w:val="22"/>
          <w:szCs w:val="22"/>
          <w:lang w:val="en-AU" w:eastAsia="en-US"/>
        </w:rPr>
        <w:t>to a wide range of public institutions and through litigation</w:t>
      </w:r>
      <w:r w:rsidR="00DD421F">
        <w:rPr>
          <w:rFonts w:asciiTheme="majorHAnsi" w:hAnsiTheme="majorHAnsi" w:cs="Arial"/>
          <w:color w:val="000000"/>
          <w:sz w:val="22"/>
          <w:szCs w:val="22"/>
          <w:lang w:val="en-AU" w:eastAsia="en-US"/>
        </w:rPr>
        <w:t>.</w:t>
      </w:r>
      <w:r w:rsidR="00DB79D5">
        <w:rPr>
          <w:rFonts w:asciiTheme="majorHAnsi" w:hAnsiTheme="majorHAnsi" w:cs="Arial"/>
          <w:color w:val="000000"/>
          <w:sz w:val="22"/>
          <w:szCs w:val="22"/>
          <w:lang w:val="en-AU" w:eastAsia="en-US"/>
        </w:rPr>
        <w:t xml:space="preserve">  </w:t>
      </w:r>
      <w:r w:rsidR="002022EE">
        <w:rPr>
          <w:rFonts w:asciiTheme="majorHAnsi" w:hAnsiTheme="majorHAnsi" w:cs="Arial"/>
          <w:color w:val="000000"/>
          <w:sz w:val="22"/>
          <w:szCs w:val="22"/>
          <w:lang w:val="en-AU" w:eastAsia="en-US"/>
        </w:rPr>
        <w:t xml:space="preserve">NZDSOS runs an online clinic to assist the thousands of vaccine injured people in New Zealand. </w:t>
      </w:r>
      <w:hyperlink r:id="rId19" w:history="1">
        <w:r w:rsidR="00DB79D5" w:rsidRPr="00A85306">
          <w:rPr>
            <w:rStyle w:val="Hyperlink"/>
            <w:rFonts w:asciiTheme="majorHAnsi" w:hAnsiTheme="majorHAnsi" w:cs="Arial"/>
            <w:sz w:val="22"/>
            <w:szCs w:val="22"/>
            <w:lang w:val="en-AU" w:eastAsia="en-US"/>
          </w:rPr>
          <w:t>www.nzdsos.com</w:t>
        </w:r>
      </w:hyperlink>
      <w:r w:rsidR="00DB79D5">
        <w:rPr>
          <w:rFonts w:asciiTheme="majorHAnsi" w:hAnsiTheme="majorHAnsi" w:cs="Arial"/>
          <w:color w:val="000000"/>
          <w:sz w:val="22"/>
          <w:szCs w:val="22"/>
          <w:lang w:val="en-AU" w:eastAsia="en-US"/>
        </w:rPr>
        <w:t xml:space="preserve"> </w:t>
      </w:r>
    </w:p>
    <w:p w14:paraId="2C842798" w14:textId="77777777" w:rsidR="00CD2805" w:rsidRDefault="00CD2805" w:rsidP="00F92A2B">
      <w:pPr>
        <w:rPr>
          <w:rFonts w:asciiTheme="majorHAnsi" w:hAnsiTheme="majorHAnsi" w:cs="Arial"/>
          <w:color w:val="000000"/>
          <w:sz w:val="22"/>
          <w:szCs w:val="22"/>
          <w:lang w:val="en-AU" w:eastAsia="en-US"/>
        </w:rPr>
      </w:pPr>
    </w:p>
    <w:p w14:paraId="2F7A7BC0" w14:textId="2D8E165D" w:rsidR="002164BB" w:rsidRPr="00B53B73" w:rsidRDefault="00AB78A0" w:rsidP="00B53B73">
      <w:pPr>
        <w:rPr>
          <w:rFonts w:asciiTheme="majorHAnsi" w:hAnsiTheme="majorHAnsi" w:cs="Arial"/>
          <w:color w:val="000000"/>
          <w:sz w:val="22"/>
          <w:szCs w:val="22"/>
          <w:lang w:val="en-AU" w:eastAsia="en-US"/>
        </w:rPr>
      </w:pPr>
      <w:r w:rsidRPr="00A3137D">
        <w:rPr>
          <w:rFonts w:asciiTheme="majorHAnsi" w:hAnsiTheme="majorHAnsi" w:cs="Arial"/>
          <w:b/>
          <w:color w:val="000000"/>
          <w:sz w:val="22"/>
          <w:szCs w:val="22"/>
          <w:lang w:val="en-AU" w:eastAsia="en-US"/>
        </w:rPr>
        <w:t xml:space="preserve">New Zealand Health Forum </w:t>
      </w:r>
      <w:r w:rsidRPr="00A3137D">
        <w:rPr>
          <w:rFonts w:asciiTheme="majorHAnsi" w:hAnsiTheme="majorHAnsi" w:cs="Arial"/>
          <w:color w:val="000000"/>
          <w:sz w:val="22"/>
          <w:szCs w:val="22"/>
          <w:lang w:val="en-AU" w:eastAsia="en-US"/>
        </w:rPr>
        <w:t xml:space="preserve">is a </w:t>
      </w:r>
      <w:r>
        <w:rPr>
          <w:rFonts w:asciiTheme="majorHAnsi" w:hAnsiTheme="majorHAnsi" w:cs="Arial"/>
          <w:color w:val="000000"/>
          <w:sz w:val="22"/>
          <w:szCs w:val="22"/>
          <w:lang w:val="en-AU" w:eastAsia="en-US"/>
        </w:rPr>
        <w:t>s</w:t>
      </w:r>
      <w:r w:rsidR="005C2F93">
        <w:rPr>
          <w:rFonts w:asciiTheme="majorHAnsi" w:hAnsiTheme="majorHAnsi" w:cs="Arial"/>
          <w:color w:val="000000"/>
          <w:sz w:val="22"/>
          <w:szCs w:val="22"/>
          <w:lang w:val="en-AU" w:eastAsia="en-US"/>
        </w:rPr>
        <w:t xml:space="preserve">ocial media group started </w:t>
      </w:r>
      <w:r>
        <w:rPr>
          <w:rFonts w:asciiTheme="majorHAnsi" w:hAnsiTheme="majorHAnsi" w:cs="Arial"/>
          <w:color w:val="000000"/>
          <w:sz w:val="22"/>
          <w:szCs w:val="22"/>
          <w:lang w:val="en-AU" w:eastAsia="en-US"/>
        </w:rPr>
        <w:t>in early 2021 in New Zealand with 40,000 me</w:t>
      </w:r>
      <w:r w:rsidR="005C2F93">
        <w:rPr>
          <w:rFonts w:asciiTheme="majorHAnsi" w:hAnsiTheme="majorHAnsi" w:cs="Arial"/>
          <w:color w:val="000000"/>
          <w:sz w:val="22"/>
          <w:szCs w:val="22"/>
          <w:lang w:val="en-AU" w:eastAsia="en-US"/>
        </w:rPr>
        <w:t>mbers</w:t>
      </w:r>
      <w:r>
        <w:rPr>
          <w:rFonts w:asciiTheme="majorHAnsi" w:hAnsiTheme="majorHAnsi" w:cs="Arial"/>
          <w:color w:val="000000"/>
          <w:sz w:val="22"/>
          <w:szCs w:val="22"/>
          <w:lang w:val="en-AU" w:eastAsia="en-US"/>
        </w:rPr>
        <w:t xml:space="preserve"> nationwide</w:t>
      </w:r>
      <w:r w:rsidR="005C2F93">
        <w:rPr>
          <w:rFonts w:asciiTheme="majorHAnsi" w:hAnsiTheme="majorHAnsi" w:cs="Arial"/>
          <w:color w:val="000000"/>
          <w:sz w:val="22"/>
          <w:szCs w:val="22"/>
          <w:lang w:val="en-AU" w:eastAsia="en-US"/>
        </w:rPr>
        <w:t>. We stand for the right of New Zealanders to access full and honest risk benefit information</w:t>
      </w:r>
      <w:r w:rsidR="00E53B83">
        <w:rPr>
          <w:rFonts w:asciiTheme="majorHAnsi" w:hAnsiTheme="majorHAnsi" w:cs="Arial"/>
          <w:color w:val="000000"/>
          <w:sz w:val="22"/>
          <w:szCs w:val="22"/>
          <w:lang w:val="en-AU" w:eastAsia="en-US"/>
        </w:rPr>
        <w:t xml:space="preserve"> </w:t>
      </w:r>
      <w:r w:rsidR="005C2F93">
        <w:rPr>
          <w:rFonts w:asciiTheme="majorHAnsi" w:hAnsiTheme="majorHAnsi" w:cs="Arial"/>
          <w:color w:val="000000"/>
          <w:sz w:val="22"/>
          <w:szCs w:val="22"/>
          <w:lang w:val="en-AU" w:eastAsia="en-US"/>
        </w:rPr>
        <w:t xml:space="preserve">with which to make an informed consent choice around COVID-19 vaccination. We respect the right of every New Zealander to make a medically autonomous decision free from coercion and mandates. We </w:t>
      </w:r>
      <w:r w:rsidR="00E53B83">
        <w:rPr>
          <w:rFonts w:asciiTheme="majorHAnsi" w:hAnsiTheme="majorHAnsi" w:cs="Arial"/>
          <w:color w:val="000000"/>
          <w:sz w:val="22"/>
          <w:szCs w:val="22"/>
          <w:lang w:val="en-AU" w:eastAsia="en-US"/>
        </w:rPr>
        <w:t xml:space="preserve">advocate </w:t>
      </w:r>
      <w:r w:rsidR="005C2F93">
        <w:rPr>
          <w:rFonts w:asciiTheme="majorHAnsi" w:hAnsiTheme="majorHAnsi" w:cs="Arial"/>
          <w:color w:val="000000"/>
          <w:sz w:val="22"/>
          <w:szCs w:val="22"/>
          <w:lang w:val="en-AU" w:eastAsia="en-US"/>
        </w:rPr>
        <w:t>for the rights and full comp</w:t>
      </w:r>
      <w:r>
        <w:rPr>
          <w:rFonts w:asciiTheme="majorHAnsi" w:hAnsiTheme="majorHAnsi" w:cs="Arial"/>
          <w:color w:val="000000"/>
          <w:sz w:val="22"/>
          <w:szCs w:val="22"/>
          <w:lang w:val="en-AU" w:eastAsia="en-US"/>
        </w:rPr>
        <w:t xml:space="preserve">ensation of COVID-19 vaccine injured </w:t>
      </w:r>
      <w:r w:rsidR="00E53B83">
        <w:rPr>
          <w:rFonts w:asciiTheme="majorHAnsi" w:hAnsiTheme="majorHAnsi" w:cs="Arial"/>
          <w:color w:val="000000"/>
          <w:sz w:val="22"/>
          <w:szCs w:val="22"/>
          <w:lang w:val="en-AU" w:eastAsia="en-US"/>
        </w:rPr>
        <w:t xml:space="preserve">and bereaved </w:t>
      </w:r>
      <w:r>
        <w:rPr>
          <w:rFonts w:asciiTheme="majorHAnsi" w:hAnsiTheme="majorHAnsi" w:cs="Arial"/>
          <w:color w:val="000000"/>
          <w:sz w:val="22"/>
          <w:szCs w:val="22"/>
          <w:lang w:val="en-AU" w:eastAsia="en-US"/>
        </w:rPr>
        <w:t>New Zealanders.</w:t>
      </w:r>
      <w:r w:rsidR="00E53B83">
        <w:rPr>
          <w:rFonts w:asciiTheme="majorHAnsi" w:hAnsiTheme="majorHAnsi" w:cs="Arial"/>
          <w:color w:val="000000"/>
          <w:sz w:val="22"/>
          <w:szCs w:val="22"/>
          <w:lang w:val="en-AU" w:eastAsia="en-US"/>
        </w:rPr>
        <w:t xml:space="preserve"> </w:t>
      </w:r>
      <w:hyperlink r:id="rId20" w:history="1">
        <w:r w:rsidR="00E53B83" w:rsidRPr="00167279">
          <w:rPr>
            <w:rStyle w:val="Hyperlink"/>
            <w:rFonts w:ascii="Calibri" w:hAnsi="Calibri" w:cs="Calibri"/>
            <w:sz w:val="22"/>
            <w:szCs w:val="22"/>
          </w:rPr>
          <w:t>https://www.facebook.com/groups/thehealthforumnz</w:t>
        </w:r>
      </w:hyperlink>
      <w:r w:rsidR="00E53B83">
        <w:rPr>
          <w:rFonts w:ascii="Calibri" w:hAnsi="Calibri" w:cs="Calibri"/>
          <w:color w:val="0B4CB4"/>
          <w:sz w:val="22"/>
          <w:szCs w:val="22"/>
        </w:rPr>
        <w:t xml:space="preserve"> </w:t>
      </w:r>
      <w:r w:rsidR="00B53B73" w:rsidRPr="00A3137D">
        <w:rPr>
          <w:rFonts w:ascii="Calibri" w:hAnsi="Calibri" w:cs="Calibri"/>
          <w:color w:val="0B4CB4"/>
          <w:sz w:val="22"/>
          <w:szCs w:val="22"/>
        </w:rPr>
        <w:t xml:space="preserve"> </w:t>
      </w:r>
    </w:p>
    <w:p w14:paraId="04108353" w14:textId="77777777" w:rsidR="00694EA9" w:rsidRPr="00CD2805" w:rsidRDefault="00694EA9" w:rsidP="00F92A2B">
      <w:pPr>
        <w:rPr>
          <w:rFonts w:asciiTheme="majorHAnsi" w:hAnsiTheme="majorHAnsi" w:cs="Arial"/>
          <w:color w:val="000000"/>
          <w:sz w:val="22"/>
          <w:szCs w:val="22"/>
          <w:lang w:val="en-AU" w:eastAsia="en-US"/>
        </w:rPr>
      </w:pPr>
    </w:p>
    <w:p w14:paraId="56014791" w14:textId="6E0B5F63" w:rsidR="00E15147" w:rsidRPr="00CD2805" w:rsidRDefault="00F92A2B" w:rsidP="00F92A2B">
      <w:pPr>
        <w:rPr>
          <w:rFonts w:asciiTheme="majorHAnsi" w:hAnsiTheme="majorHAnsi" w:cs="Arial"/>
          <w:color w:val="000000"/>
          <w:sz w:val="22"/>
          <w:szCs w:val="22"/>
          <w:lang w:val="en-AU" w:eastAsia="en-US"/>
        </w:rPr>
      </w:pPr>
      <w:r w:rsidRPr="00CD2805">
        <w:rPr>
          <w:rFonts w:asciiTheme="majorHAnsi" w:hAnsiTheme="majorHAnsi" w:cs="Arial"/>
          <w:b/>
          <w:color w:val="000000"/>
          <w:sz w:val="22"/>
          <w:szCs w:val="22"/>
          <w:lang w:val="en-AU" w:eastAsia="en-US"/>
        </w:rPr>
        <w:t xml:space="preserve">New Zealand Lawyers Speaking Out with Science (NZLSOS) </w:t>
      </w:r>
      <w:r>
        <w:rPr>
          <w:rFonts w:asciiTheme="majorHAnsi" w:hAnsiTheme="majorHAnsi" w:cs="Arial"/>
          <w:color w:val="000000"/>
          <w:sz w:val="22"/>
          <w:szCs w:val="22"/>
          <w:lang w:val="en-AU" w:eastAsia="en-US"/>
        </w:rPr>
        <w:t>is a</w:t>
      </w:r>
      <w:r w:rsidR="00E15147">
        <w:rPr>
          <w:rFonts w:asciiTheme="majorHAnsi" w:hAnsiTheme="majorHAnsi" w:cs="Arial"/>
          <w:color w:val="000000"/>
          <w:sz w:val="22"/>
          <w:szCs w:val="22"/>
          <w:lang w:val="en-AU" w:eastAsia="en-US"/>
        </w:rPr>
        <w:t>n organisation</w:t>
      </w:r>
      <w:r w:rsidR="00CD2805">
        <w:rPr>
          <w:rFonts w:asciiTheme="majorHAnsi" w:hAnsiTheme="majorHAnsi" w:cs="Arial"/>
          <w:color w:val="000000"/>
          <w:sz w:val="22"/>
          <w:szCs w:val="22"/>
          <w:lang w:val="en-AU" w:eastAsia="en-US"/>
        </w:rPr>
        <w:t xml:space="preserve"> formed by </w:t>
      </w:r>
      <w:r w:rsidR="00920A2E">
        <w:rPr>
          <w:rFonts w:asciiTheme="majorHAnsi" w:eastAsia="Times New Roman" w:hAnsiTheme="majorHAnsi" w:cs="Times New Roman"/>
          <w:color w:val="000000"/>
          <w:sz w:val="22"/>
          <w:szCs w:val="22"/>
          <w:lang w:val="en-AU" w:eastAsia="en-US"/>
        </w:rPr>
        <w:t xml:space="preserve">a </w:t>
      </w:r>
      <w:r w:rsidR="00CD2805">
        <w:rPr>
          <w:rFonts w:asciiTheme="majorHAnsi" w:eastAsia="Times New Roman" w:hAnsiTheme="majorHAnsi" w:cs="Times New Roman"/>
          <w:color w:val="000000"/>
          <w:sz w:val="22"/>
          <w:szCs w:val="22"/>
          <w:lang w:val="en-AU" w:eastAsia="en-US"/>
        </w:rPr>
        <w:t xml:space="preserve">group of lawyers </w:t>
      </w:r>
      <w:r w:rsidR="0067583E">
        <w:rPr>
          <w:rFonts w:asciiTheme="majorHAnsi" w:eastAsia="Times New Roman" w:hAnsiTheme="majorHAnsi" w:cs="Times New Roman"/>
          <w:color w:val="000000"/>
          <w:sz w:val="22"/>
          <w:szCs w:val="22"/>
          <w:lang w:val="en-AU" w:eastAsia="en-US"/>
        </w:rPr>
        <w:t xml:space="preserve">in early 2022 </w:t>
      </w:r>
      <w:r w:rsidR="00CD2805">
        <w:rPr>
          <w:rFonts w:asciiTheme="majorHAnsi" w:eastAsia="Times New Roman" w:hAnsiTheme="majorHAnsi" w:cs="Times New Roman"/>
          <w:color w:val="000000"/>
          <w:sz w:val="22"/>
          <w:szCs w:val="22"/>
          <w:lang w:val="en-AU" w:eastAsia="en-US"/>
        </w:rPr>
        <w:t>to advocate that government policy must be based upon inalienable human rights, fundamental freedoms and uncensored science.</w:t>
      </w:r>
    </w:p>
    <w:p w14:paraId="36F12734" w14:textId="77777777" w:rsidR="00CD2805" w:rsidRDefault="00CD2805" w:rsidP="00F92A2B">
      <w:pPr>
        <w:rPr>
          <w:rFonts w:asciiTheme="majorHAnsi" w:hAnsiTheme="majorHAnsi" w:cs="Arial"/>
          <w:color w:val="000000"/>
          <w:sz w:val="22"/>
          <w:szCs w:val="22"/>
          <w:lang w:val="en-AU" w:eastAsia="en-US"/>
        </w:rPr>
      </w:pPr>
    </w:p>
    <w:p w14:paraId="0B4D180F" w14:textId="4AE4F0D7" w:rsidR="00694EA9" w:rsidRPr="00E36A3D" w:rsidRDefault="00694EA9" w:rsidP="00E36A3D">
      <w:pPr>
        <w:pStyle w:val="NormalWeb"/>
        <w:spacing w:before="0" w:beforeAutospacing="0" w:after="0" w:afterAutospacing="0"/>
        <w:rPr>
          <w:rFonts w:asciiTheme="majorHAnsi" w:hAnsiTheme="majorHAnsi"/>
          <w:color w:val="000000"/>
          <w:sz w:val="22"/>
          <w:szCs w:val="22"/>
        </w:rPr>
      </w:pPr>
      <w:r w:rsidRPr="00E36A3D">
        <w:rPr>
          <w:rFonts w:asciiTheme="majorHAnsi" w:hAnsiTheme="majorHAnsi" w:cs="Arial"/>
          <w:b/>
          <w:color w:val="000000"/>
          <w:sz w:val="22"/>
          <w:szCs w:val="22"/>
        </w:rPr>
        <w:t>Silent No More</w:t>
      </w:r>
      <w:r w:rsidR="00E36A3D" w:rsidRPr="00E36A3D">
        <w:rPr>
          <w:rFonts w:asciiTheme="majorHAnsi" w:hAnsiTheme="majorHAnsi" w:cs="Arial"/>
          <w:b/>
          <w:color w:val="000000"/>
          <w:sz w:val="22"/>
          <w:szCs w:val="22"/>
        </w:rPr>
        <w:t xml:space="preserve"> </w:t>
      </w:r>
      <w:r w:rsidR="00E36A3D" w:rsidRPr="00E36A3D">
        <w:rPr>
          <w:rFonts w:asciiTheme="majorHAnsi" w:hAnsiTheme="majorHAnsi"/>
          <w:color w:val="000000"/>
          <w:sz w:val="22"/>
          <w:szCs w:val="22"/>
        </w:rPr>
        <w:t>is a movement to support those who have been inj</w:t>
      </w:r>
      <w:r w:rsidR="00E36A3D">
        <w:rPr>
          <w:rFonts w:asciiTheme="majorHAnsi" w:hAnsiTheme="majorHAnsi"/>
          <w:color w:val="000000"/>
          <w:sz w:val="22"/>
          <w:szCs w:val="22"/>
        </w:rPr>
        <w:t>ured by Covid 19 vaccines in NZ</w:t>
      </w:r>
      <w:r w:rsidR="00DB1A7C">
        <w:rPr>
          <w:rFonts w:asciiTheme="majorHAnsi" w:hAnsiTheme="majorHAnsi"/>
          <w:color w:val="000000"/>
          <w:sz w:val="22"/>
          <w:szCs w:val="22"/>
        </w:rPr>
        <w:t>, formed in early 2022</w:t>
      </w:r>
      <w:r w:rsidR="00E36A3D" w:rsidRPr="00E36A3D">
        <w:rPr>
          <w:rFonts w:asciiTheme="majorHAnsi" w:hAnsiTheme="majorHAnsi"/>
          <w:color w:val="000000"/>
          <w:sz w:val="22"/>
          <w:szCs w:val="22"/>
        </w:rPr>
        <w:t>.</w:t>
      </w:r>
      <w:r w:rsidR="00E36A3D">
        <w:rPr>
          <w:rFonts w:asciiTheme="majorHAnsi" w:hAnsiTheme="majorHAnsi"/>
          <w:color w:val="000000"/>
          <w:sz w:val="22"/>
          <w:szCs w:val="22"/>
        </w:rPr>
        <w:t xml:space="preserve"> </w:t>
      </w:r>
      <w:hyperlink r:id="rId21" w:history="1">
        <w:r w:rsidR="0067583E" w:rsidRPr="00A85306">
          <w:rPr>
            <w:rStyle w:val="Hyperlink"/>
            <w:rFonts w:asciiTheme="majorHAnsi" w:hAnsiTheme="majorHAnsi"/>
            <w:sz w:val="22"/>
            <w:szCs w:val="22"/>
          </w:rPr>
          <w:t>https://silentnomorenz.com/</w:t>
        </w:r>
      </w:hyperlink>
      <w:r w:rsidR="0067583E">
        <w:rPr>
          <w:rFonts w:asciiTheme="majorHAnsi" w:hAnsiTheme="majorHAnsi"/>
          <w:color w:val="000000"/>
          <w:sz w:val="22"/>
          <w:szCs w:val="22"/>
        </w:rPr>
        <w:t xml:space="preserve"> </w:t>
      </w:r>
    </w:p>
    <w:p w14:paraId="27A0B724" w14:textId="77777777" w:rsidR="00694EA9" w:rsidRDefault="00694EA9" w:rsidP="00F92A2B">
      <w:pPr>
        <w:rPr>
          <w:rFonts w:asciiTheme="majorHAnsi" w:hAnsiTheme="majorHAnsi" w:cs="Arial"/>
          <w:color w:val="000000"/>
          <w:sz w:val="22"/>
          <w:szCs w:val="22"/>
          <w:lang w:val="en-AU" w:eastAsia="en-US"/>
        </w:rPr>
      </w:pPr>
    </w:p>
    <w:p w14:paraId="7595AACF" w14:textId="3AF70E1B" w:rsidR="00F9796C" w:rsidRPr="00B61B75" w:rsidRDefault="00694EA9" w:rsidP="00B61B75">
      <w:pPr>
        <w:pStyle w:val="Heading4"/>
        <w:spacing w:before="0"/>
        <w:rPr>
          <w:rFonts w:eastAsia="Times New Roman" w:cs="Times New Roman"/>
          <w:b w:val="0"/>
          <w:bCs w:val="0"/>
          <w:i w:val="0"/>
          <w:color w:val="auto"/>
          <w:sz w:val="22"/>
          <w:szCs w:val="22"/>
        </w:rPr>
      </w:pPr>
      <w:r w:rsidRPr="00B61B75">
        <w:rPr>
          <w:rFonts w:cs="Arial"/>
          <w:i w:val="0"/>
          <w:color w:val="auto"/>
          <w:sz w:val="22"/>
          <w:szCs w:val="22"/>
          <w:lang w:val="en-AU" w:eastAsia="en-US"/>
        </w:rPr>
        <w:t xml:space="preserve">The Hood </w:t>
      </w:r>
      <w:r w:rsidR="00F9796C" w:rsidRPr="00B61B75">
        <w:rPr>
          <w:rFonts w:cs="Arial"/>
          <w:b w:val="0"/>
          <w:i w:val="0"/>
          <w:color w:val="auto"/>
          <w:sz w:val="22"/>
          <w:szCs w:val="22"/>
          <w:lang w:val="en-AU" w:eastAsia="en-US"/>
        </w:rPr>
        <w:t xml:space="preserve">is </w:t>
      </w:r>
      <w:r w:rsidR="00F9796C" w:rsidRPr="00B61B75">
        <w:rPr>
          <w:rFonts w:cs="Times New Roman"/>
          <w:b w:val="0"/>
          <w:i w:val="0"/>
          <w:color w:val="auto"/>
          <w:sz w:val="22"/>
          <w:szCs w:val="22"/>
          <w:lang w:val="en-AU" w:eastAsia="en-US"/>
        </w:rPr>
        <w:t xml:space="preserve">a community of Kiwis from all walks of life, seeking unbiased answers. Uninterested in politics and heartily opposed to division, </w:t>
      </w:r>
      <w:r w:rsidR="00B61B75" w:rsidRPr="00B61B75">
        <w:rPr>
          <w:rFonts w:cs="Times New Roman"/>
          <w:b w:val="0"/>
          <w:i w:val="0"/>
          <w:color w:val="auto"/>
          <w:sz w:val="22"/>
          <w:szCs w:val="22"/>
          <w:lang w:val="en-AU" w:eastAsia="en-US"/>
        </w:rPr>
        <w:t xml:space="preserve">The Hood is composed of </w:t>
      </w:r>
      <w:r w:rsidR="00F9796C" w:rsidRPr="00B61B75">
        <w:rPr>
          <w:rFonts w:cs="Times New Roman"/>
          <w:b w:val="0"/>
          <w:i w:val="0"/>
          <w:color w:val="auto"/>
          <w:sz w:val="22"/>
          <w:szCs w:val="22"/>
          <w:lang w:val="en-AU" w:eastAsia="en-US"/>
        </w:rPr>
        <w:t>parents, doctors, nurses, academics, scientists, lawyers and concerned humans who share a common goal: to make the best decision for our children regarding Covid vaccination.</w:t>
      </w:r>
      <w:r w:rsidR="00B61B75" w:rsidRPr="00B61B75">
        <w:rPr>
          <w:rFonts w:cs="Times New Roman"/>
          <w:b w:val="0"/>
          <w:i w:val="0"/>
          <w:color w:val="auto"/>
          <w:sz w:val="22"/>
          <w:szCs w:val="22"/>
          <w:lang w:val="en-AU" w:eastAsia="en-US"/>
        </w:rPr>
        <w:t xml:space="preserve"> </w:t>
      </w:r>
      <w:r w:rsidR="00B61B75" w:rsidRPr="00B61B75">
        <w:rPr>
          <w:rFonts w:eastAsia="Times New Roman" w:cs="Times New Roman"/>
          <w:b w:val="0"/>
          <w:i w:val="0"/>
          <w:color w:val="auto"/>
          <w:sz w:val="22"/>
          <w:szCs w:val="22"/>
          <w:shd w:val="clear" w:color="auto" w:fill="FFFFFF"/>
          <w:lang w:val="en-AU" w:eastAsia="en-US"/>
        </w:rPr>
        <w:t>Members</w:t>
      </w:r>
      <w:r w:rsidR="00F9796C" w:rsidRPr="00B61B75">
        <w:rPr>
          <w:rFonts w:eastAsia="Times New Roman" w:cs="Times New Roman"/>
          <w:b w:val="0"/>
          <w:i w:val="0"/>
          <w:color w:val="auto"/>
          <w:sz w:val="22"/>
          <w:szCs w:val="22"/>
          <w:shd w:val="clear" w:color="auto" w:fill="FFFFFF"/>
          <w:lang w:val="en-AU" w:eastAsia="en-US"/>
        </w:rPr>
        <w:t xml:space="preserve"> are</w:t>
      </w:r>
      <w:r w:rsidR="00B61B75" w:rsidRPr="00B61B75">
        <w:rPr>
          <w:rFonts w:eastAsia="Times New Roman" w:cs="Times New Roman"/>
          <w:b w:val="0"/>
          <w:i w:val="0"/>
          <w:color w:val="auto"/>
          <w:sz w:val="22"/>
          <w:szCs w:val="22"/>
          <w:shd w:val="clear" w:color="auto" w:fill="FFFFFF"/>
          <w:lang w:val="en-AU" w:eastAsia="en-US"/>
        </w:rPr>
        <w:t xml:space="preserve"> no</w:t>
      </w:r>
      <w:r w:rsidR="00F9796C" w:rsidRPr="00B61B75">
        <w:rPr>
          <w:rFonts w:eastAsia="Times New Roman" w:cs="Times New Roman"/>
          <w:b w:val="0"/>
          <w:i w:val="0"/>
          <w:color w:val="auto"/>
          <w:sz w:val="22"/>
          <w:szCs w:val="22"/>
          <w:shd w:val="clear" w:color="auto" w:fill="FFFFFF"/>
          <w:lang w:val="en-AU" w:eastAsia="en-US"/>
        </w:rPr>
        <w:t xml:space="preserve">t ‘anti-vax’; in fact, many have vaccinated </w:t>
      </w:r>
      <w:r w:rsidR="00FA5C15">
        <w:rPr>
          <w:rFonts w:eastAsia="Times New Roman" w:cs="Times New Roman"/>
          <w:b w:val="0"/>
          <w:i w:val="0"/>
          <w:color w:val="auto"/>
          <w:sz w:val="22"/>
          <w:szCs w:val="22"/>
          <w:shd w:val="clear" w:color="auto" w:fill="FFFFFF"/>
          <w:lang w:val="en-AU" w:eastAsia="en-US"/>
        </w:rPr>
        <w:t xml:space="preserve">their </w:t>
      </w:r>
      <w:r w:rsidR="00F9796C" w:rsidRPr="00B61B75">
        <w:rPr>
          <w:rFonts w:eastAsia="Times New Roman" w:cs="Times New Roman"/>
          <w:b w:val="0"/>
          <w:i w:val="0"/>
          <w:color w:val="auto"/>
          <w:sz w:val="22"/>
          <w:szCs w:val="22"/>
          <w:shd w:val="clear" w:color="auto" w:fill="FFFFFF"/>
          <w:lang w:val="en-AU" w:eastAsia="en-US"/>
        </w:rPr>
        <w:t xml:space="preserve">children against measles, mumps, rubella and other childhood illnesses. But there are just too many unknowns with the Pfizer vaccine and not enough evidence to convince </w:t>
      </w:r>
      <w:r w:rsidR="00EF42A8">
        <w:rPr>
          <w:rFonts w:eastAsia="Times New Roman" w:cs="Times New Roman"/>
          <w:b w:val="0"/>
          <w:i w:val="0"/>
          <w:color w:val="auto"/>
          <w:sz w:val="22"/>
          <w:szCs w:val="22"/>
          <w:shd w:val="clear" w:color="auto" w:fill="FFFFFF"/>
          <w:lang w:val="en-AU" w:eastAsia="en-US"/>
        </w:rPr>
        <w:t xml:space="preserve">this community </w:t>
      </w:r>
      <w:r w:rsidR="00F9796C" w:rsidRPr="00B61B75">
        <w:rPr>
          <w:rFonts w:eastAsia="Times New Roman" w:cs="Times New Roman"/>
          <w:b w:val="0"/>
          <w:i w:val="0"/>
          <w:color w:val="auto"/>
          <w:sz w:val="22"/>
          <w:szCs w:val="22"/>
          <w:shd w:val="clear" w:color="auto" w:fill="FFFFFF"/>
          <w:lang w:val="en-AU" w:eastAsia="en-US"/>
        </w:rPr>
        <w:t>that the benefits of vaccination outweigh the risks.</w:t>
      </w:r>
      <w:r w:rsidR="00F70E68">
        <w:rPr>
          <w:rFonts w:eastAsia="Times New Roman" w:cs="Times New Roman"/>
          <w:b w:val="0"/>
          <w:i w:val="0"/>
          <w:color w:val="auto"/>
          <w:sz w:val="22"/>
          <w:szCs w:val="22"/>
          <w:shd w:val="clear" w:color="auto" w:fill="FFFFFF"/>
          <w:lang w:val="en-AU" w:eastAsia="en-US"/>
        </w:rPr>
        <w:t xml:space="preserve"> </w:t>
      </w:r>
      <w:hyperlink r:id="rId22" w:history="1">
        <w:r w:rsidR="00B61B75" w:rsidRPr="00A85306">
          <w:rPr>
            <w:rStyle w:val="Hyperlink"/>
            <w:rFonts w:eastAsia="Times New Roman" w:cs="Times New Roman"/>
            <w:b w:val="0"/>
            <w:i w:val="0"/>
            <w:sz w:val="22"/>
            <w:szCs w:val="22"/>
            <w:shd w:val="clear" w:color="auto" w:fill="FFFFFF"/>
            <w:lang w:val="en-AU" w:eastAsia="en-US"/>
          </w:rPr>
          <w:t>https://thehoodnz.com</w:t>
        </w:r>
      </w:hyperlink>
      <w:r w:rsidR="00B61B75">
        <w:rPr>
          <w:rFonts w:eastAsia="Times New Roman" w:cs="Times New Roman"/>
          <w:b w:val="0"/>
          <w:i w:val="0"/>
          <w:color w:val="auto"/>
          <w:sz w:val="22"/>
          <w:szCs w:val="22"/>
          <w:shd w:val="clear" w:color="auto" w:fill="FFFFFF"/>
          <w:lang w:val="en-AU" w:eastAsia="en-US"/>
        </w:rPr>
        <w:t xml:space="preserve"> </w:t>
      </w:r>
    </w:p>
    <w:p w14:paraId="38C7CB48" w14:textId="77777777" w:rsidR="00694EA9" w:rsidRPr="00F92A2B" w:rsidRDefault="00694EA9" w:rsidP="00F92A2B">
      <w:pPr>
        <w:rPr>
          <w:rFonts w:asciiTheme="majorHAnsi" w:hAnsiTheme="majorHAnsi" w:cs="Arial"/>
          <w:color w:val="000000"/>
          <w:sz w:val="22"/>
          <w:szCs w:val="22"/>
          <w:lang w:val="en-AU" w:eastAsia="en-US"/>
        </w:rPr>
      </w:pPr>
    </w:p>
    <w:p w14:paraId="26A70846" w14:textId="3EFCAF6C" w:rsidR="00F92A2B" w:rsidRDefault="00F92A2B" w:rsidP="00F92A2B">
      <w:pPr>
        <w:rPr>
          <w:rFonts w:asciiTheme="majorHAnsi" w:hAnsiTheme="majorHAnsi" w:cs="Arial"/>
          <w:color w:val="000000"/>
          <w:sz w:val="22"/>
          <w:szCs w:val="22"/>
          <w:lang w:val="en-AU" w:eastAsia="en-US"/>
        </w:rPr>
      </w:pPr>
      <w:r w:rsidRPr="00CD2805">
        <w:rPr>
          <w:rFonts w:asciiTheme="majorHAnsi" w:hAnsiTheme="majorHAnsi" w:cs="Arial"/>
          <w:b/>
          <w:color w:val="000000"/>
          <w:sz w:val="22"/>
          <w:szCs w:val="22"/>
          <w:lang w:val="en-AU" w:eastAsia="en-US"/>
        </w:rPr>
        <w:t xml:space="preserve">Voices for Freedom (VFF) </w:t>
      </w:r>
      <w:r w:rsidRPr="00F92A2B">
        <w:rPr>
          <w:rFonts w:asciiTheme="majorHAnsi" w:hAnsiTheme="majorHAnsi" w:cs="Arial"/>
          <w:color w:val="000000"/>
          <w:sz w:val="22"/>
          <w:szCs w:val="22"/>
          <w:lang w:val="en-AU" w:eastAsia="en-US"/>
        </w:rPr>
        <w:t>is a grassroots, not for profit, community advocacy organisation focused on raising awareness of the human issues associated with the Government’s response to Covid-19 and other matters impacting on the rights and freedoms of New Zealanders.</w:t>
      </w:r>
      <w:r>
        <w:rPr>
          <w:rFonts w:asciiTheme="majorHAnsi" w:hAnsiTheme="majorHAnsi" w:cs="Times New Roman"/>
          <w:color w:val="000000"/>
          <w:sz w:val="18"/>
          <w:szCs w:val="18"/>
          <w:lang w:val="en-AU" w:eastAsia="en-US"/>
        </w:rPr>
        <w:t xml:space="preserve"> </w:t>
      </w:r>
      <w:r w:rsidR="00EF42A8">
        <w:rPr>
          <w:rFonts w:asciiTheme="majorHAnsi" w:hAnsiTheme="majorHAnsi" w:cs="Arial"/>
          <w:color w:val="000000"/>
          <w:sz w:val="22"/>
          <w:szCs w:val="22"/>
          <w:lang w:val="en-AU" w:eastAsia="en-US"/>
        </w:rPr>
        <w:t>Its</w:t>
      </w:r>
      <w:r w:rsidRPr="00F92A2B">
        <w:rPr>
          <w:rFonts w:asciiTheme="majorHAnsi" w:hAnsiTheme="majorHAnsi" w:cs="Arial"/>
          <w:color w:val="000000"/>
          <w:sz w:val="22"/>
          <w:szCs w:val="22"/>
          <w:lang w:val="en-AU" w:eastAsia="en-US"/>
        </w:rPr>
        <w:t xml:space="preserve"> audience exceeds 100,000 members spread throughout the country. </w:t>
      </w:r>
      <w:r w:rsidR="00EF42A8">
        <w:rPr>
          <w:rFonts w:asciiTheme="majorHAnsi" w:hAnsiTheme="majorHAnsi" w:cs="Arial"/>
          <w:color w:val="000000"/>
          <w:sz w:val="22"/>
          <w:szCs w:val="22"/>
          <w:lang w:val="en-AU" w:eastAsia="en-US"/>
        </w:rPr>
        <w:t xml:space="preserve">Its </w:t>
      </w:r>
      <w:r w:rsidRPr="00F92A2B">
        <w:rPr>
          <w:rFonts w:asciiTheme="majorHAnsi" w:hAnsiTheme="majorHAnsi" w:cs="Arial"/>
          <w:color w:val="000000"/>
          <w:sz w:val="22"/>
          <w:szCs w:val="22"/>
          <w:lang w:val="en-AU" w:eastAsia="en-US"/>
        </w:rPr>
        <w:t>supporters are diverse in nature and span all ages, ethnicities, socio-economic groups, religious and political beliefs, and abilities.</w:t>
      </w:r>
      <w:r w:rsidR="00DB1A7C">
        <w:rPr>
          <w:rFonts w:asciiTheme="majorHAnsi" w:hAnsiTheme="majorHAnsi" w:cs="Arial"/>
          <w:color w:val="000000"/>
          <w:sz w:val="22"/>
          <w:szCs w:val="22"/>
          <w:lang w:val="en-AU" w:eastAsia="en-US"/>
        </w:rPr>
        <w:t xml:space="preserve"> It was formed in December 2020.</w:t>
      </w:r>
      <w:r w:rsidR="00DB79D5">
        <w:rPr>
          <w:rFonts w:asciiTheme="majorHAnsi" w:hAnsiTheme="majorHAnsi" w:cs="Arial"/>
          <w:color w:val="000000"/>
          <w:sz w:val="22"/>
          <w:szCs w:val="22"/>
          <w:lang w:val="en-AU" w:eastAsia="en-US"/>
        </w:rPr>
        <w:t xml:space="preserve"> </w:t>
      </w:r>
      <w:hyperlink r:id="rId23" w:history="1">
        <w:r w:rsidR="00DB79D5" w:rsidRPr="00A85306">
          <w:rPr>
            <w:rStyle w:val="Hyperlink"/>
            <w:rFonts w:asciiTheme="majorHAnsi" w:hAnsiTheme="majorHAnsi" w:cs="Arial"/>
            <w:sz w:val="22"/>
            <w:szCs w:val="22"/>
            <w:lang w:val="en-AU" w:eastAsia="en-US"/>
          </w:rPr>
          <w:t>http://voicesforfreedom.co.nz</w:t>
        </w:r>
      </w:hyperlink>
      <w:r w:rsidR="00DB79D5">
        <w:rPr>
          <w:rFonts w:asciiTheme="majorHAnsi" w:hAnsiTheme="majorHAnsi" w:cs="Arial"/>
          <w:color w:val="000000"/>
          <w:sz w:val="22"/>
          <w:szCs w:val="22"/>
          <w:lang w:val="en-AU" w:eastAsia="en-US"/>
        </w:rPr>
        <w:t xml:space="preserve"> </w:t>
      </w:r>
    </w:p>
    <w:p w14:paraId="4BB57E86" w14:textId="29FD630C" w:rsidR="00545FBB" w:rsidRDefault="00C012BB" w:rsidP="00545FBB">
      <w:pPr>
        <w:pStyle w:val="Heading2"/>
      </w:pPr>
      <w:r>
        <w:rPr>
          <w:lang w:val="en-AU" w:eastAsia="en-US"/>
        </w:rPr>
        <w:t xml:space="preserve">Annex 1: </w:t>
      </w:r>
      <w:r w:rsidR="00545FBB">
        <w:t>S</w:t>
      </w:r>
      <w:r w:rsidR="00270C96">
        <w:t>ummary by a medical doctor of scientific studies that counter the New Zealand government narrative </w:t>
      </w:r>
    </w:p>
    <w:p w14:paraId="0AE2D9BC" w14:textId="0CC3AE87" w:rsidR="00270C96" w:rsidRDefault="00270C96" w:rsidP="00545FBB">
      <w:pPr>
        <w:pStyle w:val="Heading2"/>
        <w:spacing w:before="0"/>
        <w:rPr>
          <w:rFonts w:cs="Arial"/>
          <w:b w:val="0"/>
          <w:color w:val="000000"/>
          <w:sz w:val="22"/>
          <w:szCs w:val="22"/>
        </w:rPr>
      </w:pPr>
      <w:r w:rsidRPr="00545FBB">
        <w:rPr>
          <w:rFonts w:cs="Arial"/>
          <w:b w:val="0"/>
          <w:color w:val="000000"/>
          <w:sz w:val="22"/>
          <w:szCs w:val="22"/>
        </w:rPr>
        <w:t xml:space="preserve">This paper shows that the mRNA vaccinations double the risk of blood clots and heart attacks and heart failure and that this increased risk persists for at least 2.5 months after the last jab is given. It is written by a well recognised and highly respected cardiac surgeon. A similar finding was made by another team who were too afraid to publish it in case of censorship and loss of funding for opposing the narrative. </w:t>
      </w:r>
    </w:p>
    <w:p w14:paraId="24EAC33F" w14:textId="77777777" w:rsidR="00925C62" w:rsidRPr="00925C62" w:rsidRDefault="00925C62" w:rsidP="00925C62"/>
    <w:p w14:paraId="6B5DF998" w14:textId="2AABDD1B" w:rsidR="00925C62" w:rsidRPr="00925C62" w:rsidRDefault="00270C96" w:rsidP="00925C62">
      <w:pPr>
        <w:widowControl w:val="0"/>
        <w:autoSpaceDE w:val="0"/>
        <w:autoSpaceDN w:val="0"/>
        <w:adjustRightInd w:val="0"/>
        <w:rPr>
          <w:rFonts w:asciiTheme="majorHAnsi" w:hAnsiTheme="majorHAnsi" w:cs="Times"/>
          <w:color w:val="000000"/>
          <w:sz w:val="22"/>
          <w:szCs w:val="22"/>
        </w:rPr>
      </w:pPr>
      <w:r w:rsidRPr="00925C62">
        <w:rPr>
          <w:rFonts w:asciiTheme="majorHAnsi" w:hAnsiTheme="majorHAnsi" w:cs="Helvetica Neue"/>
          <w:b/>
          <w:bCs/>
          <w:color w:val="0003FF"/>
          <w:sz w:val="22"/>
          <w:szCs w:val="22"/>
        </w:rPr>
        <w:t>mRNA COVID Vaccines Dramatically Increase Endothelial Inflammatory Markers and ACS Risk as Measured by the PULS Cardiac Test: a Warning </w:t>
      </w:r>
      <w:r w:rsidRPr="00925C62">
        <w:rPr>
          <w:rFonts w:asciiTheme="majorHAnsi" w:hAnsiTheme="majorHAnsi" w:cs="Helvetica Neue"/>
          <w:color w:val="0003FF"/>
          <w:sz w:val="22"/>
          <w:szCs w:val="22"/>
        </w:rPr>
        <w:t xml:space="preserve">These changes resulted in an increase of the PULS score from 11% 5 yr ACS risk to 25% 5 yr ACS risk. At the time of this report, these changes persist for at least 2.5 months post second dose of vac.We conclude that the mRNA vacs dramatically increase inflammation on the endothelium and T cell infiltration of cardiac muscle and may account for the observations of increased thrombosis, cardiomyopathy, and other vascular events following vaccination. NOV 29.11.21 : </w:t>
      </w:r>
      <w:r w:rsidR="00756BF4">
        <w:rPr>
          <w:rFonts w:asciiTheme="majorHAnsi" w:hAnsiTheme="majorHAnsi" w:cs="Helvetica Neue"/>
          <w:color w:val="0003FF"/>
          <w:sz w:val="22"/>
          <w:szCs w:val="22"/>
        </w:rPr>
        <w:t>FORC</w:t>
      </w:r>
      <w:r w:rsidR="00756BF4" w:rsidRPr="00925C62">
        <w:rPr>
          <w:rFonts w:asciiTheme="majorHAnsi" w:hAnsiTheme="majorHAnsi" w:cs="Helvetica Neue"/>
          <w:color w:val="0003FF"/>
          <w:sz w:val="22"/>
          <w:szCs w:val="22"/>
        </w:rPr>
        <w:t>ED</w:t>
      </w:r>
      <w:r w:rsidRPr="00925C62">
        <w:rPr>
          <w:rFonts w:asciiTheme="majorHAnsi" w:hAnsiTheme="majorHAnsi" w:cs="Helvetica Neue"/>
          <w:color w:val="0003FF"/>
          <w:sz w:val="22"/>
          <w:szCs w:val="22"/>
        </w:rPr>
        <w:t xml:space="preserve"> TO RETRACT PAPER BY </w:t>
      </w:r>
      <w:r w:rsidR="00756BF4" w:rsidRPr="00925C62">
        <w:rPr>
          <w:rFonts w:asciiTheme="majorHAnsi" w:hAnsiTheme="majorHAnsi" w:cs="Helvetica Neue"/>
          <w:color w:val="0003FF"/>
          <w:sz w:val="22"/>
          <w:szCs w:val="22"/>
        </w:rPr>
        <w:t>BIG</w:t>
      </w:r>
      <w:r w:rsidR="00756BF4">
        <w:rPr>
          <w:rFonts w:asciiTheme="majorHAnsi" w:hAnsiTheme="majorHAnsi" w:cs="Helvetica Neue"/>
          <w:color w:val="0003FF"/>
          <w:sz w:val="22"/>
          <w:szCs w:val="22"/>
        </w:rPr>
        <w:t xml:space="preserve"> </w:t>
      </w:r>
      <w:r w:rsidR="00756BF4" w:rsidRPr="00925C62">
        <w:rPr>
          <w:rFonts w:asciiTheme="majorHAnsi" w:hAnsiTheme="majorHAnsi" w:cs="Helvetica Neue"/>
          <w:color w:val="0003FF"/>
          <w:sz w:val="22"/>
          <w:szCs w:val="22"/>
        </w:rPr>
        <w:t>PHARMA</w:t>
      </w:r>
      <w:r w:rsidRPr="00925C62">
        <w:rPr>
          <w:rFonts w:asciiTheme="majorHAnsi" w:hAnsiTheme="majorHAnsi" w:cs="Helvetica Neue"/>
          <w:color w:val="0003FF"/>
          <w:sz w:val="22"/>
          <w:szCs w:val="22"/>
        </w:rPr>
        <w:t xml:space="preserve"> FOR NO REASON </w:t>
      </w:r>
      <w:r w:rsidR="00925C62">
        <w:rPr>
          <w:rFonts w:asciiTheme="majorHAnsi" w:hAnsiTheme="majorHAnsi" w:cs="Times"/>
          <w:color w:val="000000"/>
          <w:sz w:val="22"/>
          <w:szCs w:val="22"/>
        </w:rPr>
        <w:br/>
      </w:r>
    </w:p>
    <w:p w14:paraId="7532DB56" w14:textId="3F5A268E" w:rsidR="00270C96" w:rsidRPr="00925C62" w:rsidRDefault="00756BF4" w:rsidP="00925C62">
      <w:pPr>
        <w:widowControl w:val="0"/>
        <w:autoSpaceDE w:val="0"/>
        <w:autoSpaceDN w:val="0"/>
        <w:adjustRightInd w:val="0"/>
        <w:rPr>
          <w:rFonts w:asciiTheme="majorHAnsi" w:hAnsiTheme="majorHAnsi" w:cs="Times"/>
          <w:color w:val="000000"/>
          <w:sz w:val="22"/>
          <w:szCs w:val="22"/>
        </w:rPr>
      </w:pPr>
      <w:r w:rsidRPr="00925C62">
        <w:rPr>
          <w:rFonts w:asciiTheme="majorHAnsi" w:hAnsiTheme="majorHAnsi" w:cs="Helvetica Neue"/>
          <w:b/>
          <w:bCs/>
          <w:color w:val="353535"/>
          <w:sz w:val="22"/>
          <w:szCs w:val="22"/>
        </w:rPr>
        <w:t>ARTERIOSCLEROSIS, THROMBOSIS, VASCULAR BIOLOGY SESSION TITLE: DAMPS, INFECTION AND CARDIOVASCULAR METABOLISM Abstract 10712: Mrna COVID Vaccines Dramatically Increase Endothelial Inflammatory Markers and ACS Risk as Measured by the PULS Cardiac Test: a Warning Steven R Gundry Originally published</w:t>
      </w:r>
      <w:r>
        <w:rPr>
          <w:rFonts w:asciiTheme="majorHAnsi" w:hAnsiTheme="majorHAnsi" w:cs="Helvetica Neue"/>
          <w:b/>
          <w:bCs/>
          <w:color w:val="353535"/>
          <w:sz w:val="22"/>
          <w:szCs w:val="22"/>
        </w:rPr>
        <w:t xml:space="preserve"> </w:t>
      </w:r>
      <w:r w:rsidRPr="00925C62">
        <w:rPr>
          <w:rFonts w:asciiTheme="majorHAnsi" w:hAnsiTheme="majorHAnsi" w:cs="Helvetica Neue"/>
          <w:color w:val="353535"/>
          <w:sz w:val="22"/>
          <w:szCs w:val="22"/>
        </w:rPr>
        <w:t>8 Nov 2021</w:t>
      </w:r>
      <w:r>
        <w:rPr>
          <w:rFonts w:asciiTheme="majorHAnsi" w:hAnsiTheme="majorHAnsi" w:cs="Helvetica Neue"/>
          <w:color w:val="353535"/>
          <w:sz w:val="22"/>
          <w:szCs w:val="22"/>
        </w:rPr>
        <w:t xml:space="preserve"> </w:t>
      </w:r>
      <w:r w:rsidRPr="00925C62">
        <w:rPr>
          <w:rFonts w:asciiTheme="majorHAnsi" w:hAnsiTheme="majorHAnsi" w:cs="Helvetica Neue"/>
          <w:color w:val="353535"/>
          <w:sz w:val="22"/>
          <w:szCs w:val="22"/>
        </w:rPr>
        <w:t xml:space="preserve">Circulation. </w:t>
      </w:r>
      <w:r w:rsidR="00270C96" w:rsidRPr="00925C62">
        <w:rPr>
          <w:rFonts w:asciiTheme="majorHAnsi" w:hAnsiTheme="majorHAnsi" w:cs="Helvetica Neue"/>
          <w:color w:val="353535"/>
          <w:sz w:val="22"/>
          <w:szCs w:val="22"/>
        </w:rPr>
        <w:t xml:space="preserve">2021;144:A10712 </w:t>
      </w:r>
    </w:p>
    <w:p w14:paraId="3B155A18" w14:textId="77777777" w:rsidR="00270C96" w:rsidRPr="00925C62" w:rsidRDefault="00270C96" w:rsidP="00925C62">
      <w:pPr>
        <w:widowControl w:val="0"/>
        <w:autoSpaceDE w:val="0"/>
        <w:autoSpaceDN w:val="0"/>
        <w:adjustRightInd w:val="0"/>
        <w:rPr>
          <w:rFonts w:asciiTheme="majorHAnsi" w:hAnsiTheme="majorHAnsi" w:cs="Times"/>
          <w:color w:val="000000"/>
          <w:sz w:val="22"/>
          <w:szCs w:val="22"/>
        </w:rPr>
      </w:pPr>
      <w:r w:rsidRPr="00925C62">
        <w:rPr>
          <w:rFonts w:asciiTheme="majorHAnsi" w:hAnsiTheme="majorHAnsi" w:cs="Helvetica Neue"/>
          <w:b/>
          <w:bCs/>
          <w:color w:val="353535"/>
          <w:sz w:val="22"/>
          <w:szCs w:val="22"/>
        </w:rPr>
        <w:t xml:space="preserve">Abstract </w:t>
      </w:r>
    </w:p>
    <w:p w14:paraId="17A289B6" w14:textId="08462D49" w:rsidR="00270C96" w:rsidRPr="00925C62" w:rsidRDefault="00270C96" w:rsidP="00925C62">
      <w:pPr>
        <w:widowControl w:val="0"/>
        <w:autoSpaceDE w:val="0"/>
        <w:autoSpaceDN w:val="0"/>
        <w:adjustRightInd w:val="0"/>
        <w:rPr>
          <w:rFonts w:asciiTheme="majorHAnsi" w:hAnsiTheme="majorHAnsi" w:cs="Times"/>
          <w:color w:val="000000"/>
          <w:sz w:val="22"/>
          <w:szCs w:val="22"/>
        </w:rPr>
      </w:pPr>
      <w:r w:rsidRPr="00925C62">
        <w:rPr>
          <w:rFonts w:asciiTheme="majorHAnsi" w:hAnsiTheme="majorHAnsi" w:cs="Helvetica Neue"/>
          <w:color w:val="353535"/>
          <w:sz w:val="22"/>
          <w:szCs w:val="22"/>
        </w:rPr>
        <w:t xml:space="preserve">Our group has been using the PLUS Cardiac Test (GD Biosciences, Inc, Irvine, CA) a clinically validated measurement of multiple protein biomarkers which generates a score predicting the 5 yr risk (percentage chance) of a new Acute Coronary Syndrome (ACS). The score is based on changes from the norm of multiple protein biomarkers including IL-16, a proinflammatory cytokine, soluble Fas, an inducer of apoptosis, and Hepatocyte Growth Factor (HGF)which serves as a marker for chemotaxis of T-cells into epithelium and cardiac tissue, among other markers. Elevation above the norm increases the PULS score, while decreases below the norm lowers the PULS </w:t>
      </w:r>
      <w:r w:rsidR="00756BF4" w:rsidRPr="00925C62">
        <w:rPr>
          <w:rFonts w:asciiTheme="majorHAnsi" w:hAnsiTheme="majorHAnsi" w:cs="Helvetica Neue"/>
          <w:color w:val="353535"/>
          <w:sz w:val="22"/>
          <w:szCs w:val="22"/>
        </w:rPr>
        <w:t>score.</w:t>
      </w:r>
      <w:r w:rsidR="00756BF4">
        <w:rPr>
          <w:rFonts w:asciiTheme="majorHAnsi" w:hAnsiTheme="majorHAnsi" w:cs="Helvetica Neue"/>
          <w:color w:val="353535"/>
          <w:sz w:val="22"/>
          <w:szCs w:val="22"/>
        </w:rPr>
        <w:t xml:space="preserve"> </w:t>
      </w:r>
      <w:r w:rsidR="00756BF4" w:rsidRPr="00925C62">
        <w:rPr>
          <w:rFonts w:asciiTheme="majorHAnsi" w:hAnsiTheme="majorHAnsi" w:cs="Helvetica Neue"/>
          <w:color w:val="353535"/>
          <w:sz w:val="22"/>
          <w:szCs w:val="22"/>
        </w:rPr>
        <w:t>The</w:t>
      </w:r>
      <w:r w:rsidRPr="00925C62">
        <w:rPr>
          <w:rFonts w:asciiTheme="majorHAnsi" w:hAnsiTheme="majorHAnsi" w:cs="Helvetica Neue"/>
          <w:color w:val="353535"/>
          <w:sz w:val="22"/>
          <w:szCs w:val="22"/>
        </w:rPr>
        <w:t xml:space="preserve"> score has been measured every 3-6 months in our patient population for 8 years. Recently, with the advent of the mRNA COVID 19 vaccines (vac) by Moderna and Pfizer, dramatic changes in the PULS score became apparent in most </w:t>
      </w:r>
      <w:r w:rsidR="00756BF4" w:rsidRPr="00925C62">
        <w:rPr>
          <w:rFonts w:asciiTheme="majorHAnsi" w:hAnsiTheme="majorHAnsi" w:cs="Helvetica Neue"/>
          <w:color w:val="353535"/>
          <w:sz w:val="22"/>
          <w:szCs w:val="22"/>
        </w:rPr>
        <w:t>patients.</w:t>
      </w:r>
      <w:r w:rsidR="00756BF4">
        <w:rPr>
          <w:rFonts w:asciiTheme="majorHAnsi" w:hAnsiTheme="majorHAnsi" w:cs="Helvetica Neue"/>
          <w:color w:val="353535"/>
          <w:sz w:val="22"/>
          <w:szCs w:val="22"/>
        </w:rPr>
        <w:t xml:space="preserve"> </w:t>
      </w:r>
      <w:r w:rsidR="00756BF4" w:rsidRPr="00925C62">
        <w:rPr>
          <w:rFonts w:asciiTheme="majorHAnsi" w:hAnsiTheme="majorHAnsi" w:cs="Helvetica Neue"/>
          <w:color w:val="353535"/>
          <w:sz w:val="22"/>
          <w:szCs w:val="22"/>
        </w:rPr>
        <w:t>This</w:t>
      </w:r>
      <w:r w:rsidRPr="00925C62">
        <w:rPr>
          <w:rFonts w:asciiTheme="majorHAnsi" w:hAnsiTheme="majorHAnsi" w:cs="Helvetica Neue"/>
          <w:color w:val="353535"/>
          <w:sz w:val="22"/>
          <w:szCs w:val="22"/>
        </w:rPr>
        <w:t xml:space="preserve"> report summarizes those results. A total of 566 pts, aged 28 to 97, M:F ratio 1:1 seen in a preventive cardiology practice had a new PULS test drawn from 2 to 10 weeks following the 2nd COVID shot and was compared to the previous PULS score drawn 3 to 5 months previously pre- shot. Baseline IL-16 increased from 35=/-20 above the norm to 82 =/- 75 above the norm post-vac; sFas increased from 22+/- 15 above the norm to 46=/-24 above the norm post-vac; HGF increased from 42+/-12 above the norm to 86+/-31 above the norm post-vac. These changes resulted in an increase of the PULS score from 11% 5 yr ACS risk to 25% 5 yr ACS risk. At the time of this report, these changes persist for at least 2.5 months post second dose of vac.We conclude that the mRNA vacs dramatically increase inflammation on the endothelium and T cell infiltration of cardiac muscle and may account for the observations of increased thrombosis, cardiomyopathy, and other vascular events following vaccination. </w:t>
      </w:r>
      <w:r w:rsidRPr="00925C62">
        <w:rPr>
          <w:rFonts w:asciiTheme="majorHAnsi" w:hAnsiTheme="majorHAnsi" w:cs="Arial"/>
          <w:color w:val="0000FF"/>
          <w:sz w:val="22"/>
          <w:szCs w:val="22"/>
        </w:rPr>
        <w:t>https://www.ahajournals.org/doi/10.1161/circ.144.suppl_1.10712 </w:t>
      </w:r>
      <w:r w:rsidRPr="00925C62">
        <w:rPr>
          <w:rFonts w:asciiTheme="majorHAnsi" w:hAnsiTheme="majorHAnsi" w:cs="Helvetica Neue"/>
          <w:color w:val="353535"/>
          <w:sz w:val="22"/>
          <w:szCs w:val="22"/>
        </w:rPr>
        <w:t xml:space="preserve">+ </w:t>
      </w:r>
      <w:r w:rsidRPr="00925C62">
        <w:rPr>
          <w:rFonts w:asciiTheme="majorHAnsi" w:hAnsiTheme="majorHAnsi" w:cs="Helvetica Neue"/>
          <w:color w:val="0000FF"/>
          <w:sz w:val="22"/>
          <w:szCs w:val="22"/>
        </w:rPr>
        <w:t xml:space="preserve">https://brandnewtube.com/watch/finally-medical-proof-the-covid-jab-is-quot- murder-quot_TWpj5FDYSrjRIsT.html </w:t>
      </w:r>
    </w:p>
    <w:p w14:paraId="5189D140" w14:textId="6D30E191" w:rsidR="00270C96" w:rsidRDefault="00270C96" w:rsidP="00270C96">
      <w:pPr>
        <w:widowControl w:val="0"/>
        <w:autoSpaceDE w:val="0"/>
        <w:autoSpaceDN w:val="0"/>
        <w:adjustRightInd w:val="0"/>
        <w:spacing w:after="240" w:line="360" w:lineRule="atLeast"/>
        <w:rPr>
          <w:rFonts w:ascii="Times" w:hAnsi="Times" w:cs="Times"/>
          <w:color w:val="000000"/>
        </w:rPr>
      </w:pPr>
    </w:p>
    <w:p w14:paraId="2F2D5EB1"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0000FF"/>
          <w:sz w:val="22"/>
          <w:szCs w:val="22"/>
        </w:rPr>
        <w:t>https://www.thecardiologyadvisor.com/home/topics/acs/acute-coronary- syndrome-acs-biomarkers-mrna-covid19-vaccine/ </w:t>
      </w:r>
      <w:r w:rsidRPr="00350F21">
        <w:rPr>
          <w:rFonts w:asciiTheme="majorHAnsi" w:hAnsiTheme="majorHAnsi" w:cs="Helvetica Neue"/>
          <w:color w:val="353535"/>
          <w:sz w:val="22"/>
          <w:szCs w:val="22"/>
        </w:rPr>
        <w:t xml:space="preserve">+ Another study concluding that Pfizer damages the heart. </w:t>
      </w:r>
    </w:p>
    <w:p w14:paraId="7A9668FD" w14:textId="77777777" w:rsidR="00270C96" w:rsidRPr="00332FC3" w:rsidRDefault="00270C96" w:rsidP="00350F21">
      <w:pPr>
        <w:widowControl w:val="0"/>
        <w:autoSpaceDE w:val="0"/>
        <w:autoSpaceDN w:val="0"/>
        <w:adjustRightInd w:val="0"/>
        <w:rPr>
          <w:rFonts w:asciiTheme="majorHAnsi" w:hAnsiTheme="majorHAnsi" w:cs="Times"/>
          <w:color w:val="000000"/>
          <w:sz w:val="22"/>
          <w:szCs w:val="22"/>
        </w:rPr>
      </w:pPr>
      <w:r w:rsidRPr="00332FC3">
        <w:rPr>
          <w:rFonts w:asciiTheme="majorHAnsi" w:hAnsiTheme="majorHAnsi" w:cs="Helvetica Neue"/>
          <w:bCs/>
          <w:color w:val="353535"/>
          <w:sz w:val="22"/>
          <w:szCs w:val="22"/>
        </w:rPr>
        <w:t xml:space="preserve">"'They aren't going to publish their findings, they are concerned about losing research money' Dr Aseem Malhotra reveals a cardiology researcher found similar results to a new report showing an increase in risk of heart attack following the mRNA COVID vaccine. </w:t>
      </w:r>
    </w:p>
    <w:p w14:paraId="7746B70E" w14:textId="77777777" w:rsidR="00270C96" w:rsidRPr="00332FC3" w:rsidRDefault="00270C96" w:rsidP="00350F21">
      <w:pPr>
        <w:widowControl w:val="0"/>
        <w:autoSpaceDE w:val="0"/>
        <w:autoSpaceDN w:val="0"/>
        <w:adjustRightInd w:val="0"/>
        <w:rPr>
          <w:rFonts w:asciiTheme="majorHAnsi" w:hAnsiTheme="majorHAnsi" w:cs="Times"/>
          <w:color w:val="000000"/>
          <w:sz w:val="22"/>
          <w:szCs w:val="22"/>
        </w:rPr>
      </w:pPr>
      <w:r w:rsidRPr="00332FC3">
        <w:rPr>
          <w:rFonts w:asciiTheme="majorHAnsi" w:hAnsiTheme="majorHAnsi" w:cs="Arial"/>
          <w:bCs/>
          <w:color w:val="0000FF"/>
          <w:sz w:val="22"/>
          <w:szCs w:val="22"/>
        </w:rPr>
        <w:t xml:space="preserve">https://t.co/63evorQwlJ </w:t>
      </w:r>
    </w:p>
    <w:p w14:paraId="02F34724" w14:textId="77777777" w:rsidR="00332FC3" w:rsidRPr="00332FC3" w:rsidRDefault="00332FC3" w:rsidP="00350F21">
      <w:pPr>
        <w:widowControl w:val="0"/>
        <w:autoSpaceDE w:val="0"/>
        <w:autoSpaceDN w:val="0"/>
        <w:adjustRightInd w:val="0"/>
        <w:rPr>
          <w:rFonts w:asciiTheme="majorHAnsi" w:hAnsiTheme="majorHAnsi" w:cs="Times"/>
          <w:color w:val="000000"/>
          <w:sz w:val="22"/>
          <w:szCs w:val="22"/>
        </w:rPr>
      </w:pPr>
    </w:p>
    <w:p w14:paraId="10A2FB60"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strongly suggests that because the spike protein has certain areas that are very similar to human DNA the antibodies made to spike might get confused and attack human cells instead. This is called auto-immune disease and is incurable. </w:t>
      </w:r>
    </w:p>
    <w:p w14:paraId="57925562"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Do Covid-19 RNA-based vaccines put people at risk of immune-mediated diseases? </w:t>
      </w:r>
      <w:r w:rsidRPr="00350F21">
        <w:rPr>
          <w:rFonts w:asciiTheme="majorHAnsi" w:hAnsiTheme="majorHAnsi" w:cs="Helvetica Neue"/>
          <w:color w:val="353535"/>
          <w:sz w:val="22"/>
          <w:szCs w:val="22"/>
        </w:rPr>
        <w:t xml:space="preserve">In reply to “potential antigenic cross-reactivity between SARS-CoV-2 and human tissue with a possible link to an increase in autoimmune diseases”. </w:t>
      </w:r>
      <w:r w:rsidRPr="00350F21">
        <w:rPr>
          <w:rFonts w:asciiTheme="majorHAnsi" w:hAnsiTheme="majorHAnsi" w:cs="Helvetica Neue"/>
          <w:color w:val="0000FF"/>
          <w:sz w:val="22"/>
          <w:szCs w:val="22"/>
        </w:rPr>
        <w:t xml:space="preserve">https://www.ncbi.nlm.nih.gov/labs/pmc/articles/PMC7833091/ </w:t>
      </w:r>
    </w:p>
    <w:p w14:paraId="0F4954E6" w14:textId="77777777" w:rsidR="006D04B0" w:rsidRDefault="006D04B0" w:rsidP="00350F21">
      <w:pPr>
        <w:widowControl w:val="0"/>
        <w:autoSpaceDE w:val="0"/>
        <w:autoSpaceDN w:val="0"/>
        <w:adjustRightInd w:val="0"/>
        <w:rPr>
          <w:rFonts w:asciiTheme="majorHAnsi" w:hAnsiTheme="majorHAnsi" w:cs="Arial"/>
          <w:color w:val="000000"/>
          <w:sz w:val="22"/>
          <w:szCs w:val="22"/>
        </w:rPr>
      </w:pPr>
    </w:p>
    <w:p w14:paraId="23E283B2"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US military data shows huge rises in almost all diseases tracked following vaccine administration. Heart disease, brain disease, lung disease, miscarriages - all increase by hundreds of percent points. </w:t>
      </w:r>
    </w:p>
    <w:p w14:paraId="43E2F724"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The substack article is not social media. Substack is a site that analyses data and puts it into terms easily understandable by non-medical and non-scientific people. Within the substack article are links to science papers, military letters etc which provide further proof of the vaccine injuries and of attempts by government to cover these up. As a quick summary of increases in diseases in the vaccinated I have made the list below : </w:t>
      </w:r>
    </w:p>
    <w:p w14:paraId="705A21EE" w14:textId="5699C0E1" w:rsidR="00270C96" w:rsidRPr="006D04B0" w:rsidRDefault="00270C96" w:rsidP="006D04B0">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Times"/>
          <w:color w:val="141414"/>
          <w:sz w:val="22"/>
          <w:szCs w:val="22"/>
        </w:rPr>
        <w:t xml:space="preserve">1. Hypertension – 2,081% increase 2. Diseases of the nervous system – 948% increase 3. Malignant neoplasms of esophagus – 794% increase 4. Multiple sclerosis – 580% increase 5. Malignant neoplasms of digestive organs – 524% increase 6. Guillain-Barre syndrome – 451% increase 7. Breast cancer – 387% increase 8. Demyelinating – 387% increase 9. Neoplasms of thyroid and other endocrine glands – 374% increase </w:t>
      </w:r>
      <w:r w:rsidR="006D04B0">
        <w:rPr>
          <w:rFonts w:asciiTheme="majorHAnsi" w:hAnsiTheme="majorHAnsi" w:cs="Times"/>
          <w:color w:val="000000"/>
          <w:sz w:val="22"/>
          <w:szCs w:val="22"/>
        </w:rPr>
        <w:t xml:space="preserve">10. </w:t>
      </w:r>
      <w:r w:rsidRPr="00350F21">
        <w:rPr>
          <w:rFonts w:asciiTheme="majorHAnsi" w:hAnsiTheme="majorHAnsi" w:cs="Times"/>
          <w:color w:val="141414"/>
          <w:sz w:val="22"/>
          <w:szCs w:val="22"/>
        </w:rPr>
        <w:t>Fem</w:t>
      </w:r>
      <w:r w:rsidR="006D04B0">
        <w:rPr>
          <w:rFonts w:asciiTheme="majorHAnsi" w:hAnsiTheme="majorHAnsi" w:cs="Times"/>
          <w:color w:val="141414"/>
          <w:sz w:val="22"/>
          <w:szCs w:val="22"/>
        </w:rPr>
        <w:t xml:space="preserve">ale infertility – 372% increase; 11. </w:t>
      </w:r>
      <w:r w:rsidRPr="00350F21">
        <w:rPr>
          <w:rFonts w:asciiTheme="majorHAnsi" w:hAnsiTheme="majorHAnsi" w:cs="Times"/>
          <w:color w:val="141414"/>
          <w:sz w:val="22"/>
          <w:szCs w:val="22"/>
        </w:rPr>
        <w:t>Pul</w:t>
      </w:r>
      <w:r w:rsidR="006D04B0">
        <w:rPr>
          <w:rFonts w:asciiTheme="majorHAnsi" w:hAnsiTheme="majorHAnsi" w:cs="Times"/>
          <w:color w:val="141414"/>
          <w:sz w:val="22"/>
          <w:szCs w:val="22"/>
        </w:rPr>
        <w:t xml:space="preserve">monary embolism – 368% increase; 12. Migraines – 352% increase; 13. </w:t>
      </w:r>
      <w:r w:rsidRPr="00350F21">
        <w:rPr>
          <w:rFonts w:asciiTheme="majorHAnsi" w:hAnsiTheme="majorHAnsi" w:cs="Times"/>
          <w:color w:val="141414"/>
          <w:sz w:val="22"/>
          <w:szCs w:val="22"/>
        </w:rPr>
        <w:t>Ovar</w:t>
      </w:r>
      <w:r w:rsidR="006D04B0">
        <w:rPr>
          <w:rFonts w:asciiTheme="majorHAnsi" w:hAnsiTheme="majorHAnsi" w:cs="Times"/>
          <w:color w:val="141414"/>
          <w:sz w:val="22"/>
          <w:szCs w:val="22"/>
        </w:rPr>
        <w:t xml:space="preserve">ian dysfunction – 337% increase; 14. </w:t>
      </w:r>
      <w:r w:rsidRPr="00350F21">
        <w:rPr>
          <w:rFonts w:asciiTheme="majorHAnsi" w:hAnsiTheme="majorHAnsi" w:cs="Times"/>
          <w:color w:val="141414"/>
          <w:sz w:val="22"/>
          <w:szCs w:val="22"/>
        </w:rPr>
        <w:t>Te</w:t>
      </w:r>
      <w:r w:rsidR="006D04B0">
        <w:rPr>
          <w:rFonts w:asciiTheme="majorHAnsi" w:hAnsiTheme="majorHAnsi" w:cs="Times"/>
          <w:color w:val="141414"/>
          <w:sz w:val="22"/>
          <w:szCs w:val="22"/>
        </w:rPr>
        <w:t xml:space="preserve">sticular cancer – 269% </w:t>
      </w:r>
      <w:r w:rsidR="00756BF4">
        <w:rPr>
          <w:rFonts w:asciiTheme="majorHAnsi" w:hAnsiTheme="majorHAnsi" w:cs="Times"/>
          <w:color w:val="141414"/>
          <w:sz w:val="22"/>
          <w:szCs w:val="22"/>
        </w:rPr>
        <w:t>increase 15</w:t>
      </w:r>
      <w:r w:rsidR="006D04B0">
        <w:rPr>
          <w:rFonts w:asciiTheme="majorHAnsi" w:hAnsiTheme="majorHAnsi" w:cs="Times"/>
          <w:color w:val="141414"/>
          <w:sz w:val="22"/>
          <w:szCs w:val="22"/>
        </w:rPr>
        <w:t xml:space="preserve">. </w:t>
      </w:r>
      <w:r w:rsidRPr="00350F21">
        <w:rPr>
          <w:rFonts w:asciiTheme="majorHAnsi" w:hAnsiTheme="majorHAnsi" w:cs="Times"/>
          <w:color w:val="141414"/>
          <w:sz w:val="22"/>
          <w:szCs w:val="22"/>
        </w:rPr>
        <w:t>Tachycardia – 202% increase  </w:t>
      </w:r>
    </w:p>
    <w:p w14:paraId="4CD48C17" w14:textId="77777777" w:rsidR="00270C96" w:rsidRDefault="00270C96" w:rsidP="00350F21">
      <w:pPr>
        <w:widowControl w:val="0"/>
        <w:autoSpaceDE w:val="0"/>
        <w:autoSpaceDN w:val="0"/>
        <w:adjustRightInd w:val="0"/>
        <w:rPr>
          <w:rFonts w:asciiTheme="majorHAnsi" w:hAnsiTheme="majorHAnsi" w:cs="Helvetica Neue"/>
          <w:color w:val="0000FF"/>
          <w:sz w:val="22"/>
          <w:szCs w:val="22"/>
        </w:rPr>
      </w:pPr>
      <w:r w:rsidRPr="00350F21">
        <w:rPr>
          <w:rFonts w:asciiTheme="majorHAnsi" w:hAnsiTheme="majorHAnsi" w:cs="Helvetica Neue"/>
          <w:color w:val="0000FF"/>
          <w:sz w:val="22"/>
          <w:szCs w:val="22"/>
        </w:rPr>
        <w:t>https://www.georgiarecord.com/military-med-skyrocketing-disease-data- leaked-biden-regime-knowingly-continues-destruction-of-force/ </w:t>
      </w:r>
      <w:r w:rsidRPr="00350F21">
        <w:rPr>
          <w:rFonts w:asciiTheme="majorHAnsi" w:hAnsiTheme="majorHAnsi" w:cs="Helvetica Neue"/>
          <w:color w:val="353535"/>
          <w:sz w:val="22"/>
          <w:szCs w:val="22"/>
        </w:rPr>
        <w:t>+ </w:t>
      </w:r>
      <w:r w:rsidRPr="00350F21">
        <w:rPr>
          <w:rFonts w:asciiTheme="majorHAnsi" w:hAnsiTheme="majorHAnsi" w:cs="Helvetica Neue"/>
          <w:color w:val="0000FF"/>
          <w:sz w:val="22"/>
          <w:szCs w:val="22"/>
        </w:rPr>
        <w:t xml:space="preserve">https://stevekirsch.substack.com/p/this-medical-data-from-the-us- dod?utm_source=url </w:t>
      </w:r>
    </w:p>
    <w:p w14:paraId="08154365" w14:textId="77777777" w:rsidR="006D04B0" w:rsidRPr="00350F21" w:rsidRDefault="006D04B0" w:rsidP="00350F21">
      <w:pPr>
        <w:widowControl w:val="0"/>
        <w:autoSpaceDE w:val="0"/>
        <w:autoSpaceDN w:val="0"/>
        <w:adjustRightInd w:val="0"/>
        <w:rPr>
          <w:rFonts w:asciiTheme="majorHAnsi" w:hAnsiTheme="majorHAnsi" w:cs="Times"/>
          <w:color w:val="000000"/>
          <w:sz w:val="22"/>
          <w:szCs w:val="22"/>
        </w:rPr>
      </w:pPr>
    </w:p>
    <w:p w14:paraId="110F261A" w14:textId="00DD2929"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Below is an article written collaboratively by doctors in the Canadian Care Alliance that points out how the vaccines are causing side effects such as those listed above and how they are failing to prevent transmission, serious disease, hospitalisation and even death. It explains in detail how Pfizer used poorly designed and fraudulent trials and looks at the first 500 pages of data released by Pfizer. It also explains why using the relative risk ratio (RRR) is deceptive and how to analyse efficacy using the ordinarily used absolute risk ratio (ARR). </w:t>
      </w:r>
      <w:r w:rsidR="008829BB" w:rsidRPr="00350F21">
        <w:rPr>
          <w:rFonts w:asciiTheme="majorHAnsi" w:hAnsiTheme="majorHAnsi" w:cs="Arial"/>
          <w:color w:val="000000"/>
          <w:sz w:val="22"/>
          <w:szCs w:val="22"/>
        </w:rPr>
        <w:t>Usually we use ARR but governments worldwide chose to promote the vaccines using the RRR because it gives a reading that looks good e</w:t>
      </w:r>
      <w:r w:rsidR="008829BB">
        <w:rPr>
          <w:rFonts w:asciiTheme="majorHAnsi" w:hAnsiTheme="majorHAnsi" w:cs="Arial"/>
          <w:color w:val="000000"/>
          <w:sz w:val="22"/>
          <w:szCs w:val="22"/>
        </w:rPr>
        <w:t>.</w:t>
      </w:r>
      <w:r w:rsidR="008829BB" w:rsidRPr="00350F21">
        <w:rPr>
          <w:rFonts w:asciiTheme="majorHAnsi" w:hAnsiTheme="majorHAnsi" w:cs="Arial"/>
          <w:color w:val="000000"/>
          <w:sz w:val="22"/>
          <w:szCs w:val="22"/>
        </w:rPr>
        <w:t>g</w:t>
      </w:r>
      <w:r w:rsidR="008829BB">
        <w:rPr>
          <w:rFonts w:asciiTheme="majorHAnsi" w:hAnsiTheme="majorHAnsi" w:cs="Arial"/>
          <w:color w:val="000000"/>
          <w:sz w:val="22"/>
          <w:szCs w:val="22"/>
        </w:rPr>
        <w:t>.</w:t>
      </w:r>
      <w:r w:rsidR="008829BB" w:rsidRPr="00350F21">
        <w:rPr>
          <w:rFonts w:asciiTheme="majorHAnsi" w:hAnsiTheme="majorHAnsi" w:cs="Arial"/>
          <w:color w:val="000000"/>
          <w:sz w:val="22"/>
          <w:szCs w:val="22"/>
        </w:rPr>
        <w:t xml:space="preserve"> 95% but which essentially means nothing when the ARR at the time was 0.8%, meaning that with the vaccine you are 99.2 % as likely to catch covid as the unvaccinated person. </w:t>
      </w:r>
      <w:r w:rsidRPr="00350F21">
        <w:rPr>
          <w:rFonts w:asciiTheme="majorHAnsi" w:hAnsiTheme="majorHAnsi" w:cs="Arial"/>
          <w:color w:val="000000"/>
          <w:sz w:val="22"/>
          <w:szCs w:val="22"/>
        </w:rPr>
        <w:t xml:space="preserve">Not such an advantage after all and looks bad for advertising. The ARR is now in the negatives which means that the vaccinated person is more likely to catch covid than the unvaccinated. In some groups the ARR is negative 136% making the vaccinated 136% more likely to catch covid than the unvaccinated. Yet our government persists with the lie that the vaccine is 95% effective. </w:t>
      </w:r>
      <w:r w:rsidRPr="00350F21">
        <w:rPr>
          <w:rFonts w:asciiTheme="majorHAnsi" w:hAnsiTheme="majorHAnsi" w:cs="Arial"/>
          <w:color w:val="0000FF"/>
          <w:sz w:val="22"/>
          <w:szCs w:val="22"/>
        </w:rPr>
        <w:t xml:space="preserve">https://www.canadiancovidcarealliance.org/wp-content/uploads/2021/12/The- COVID-19-Inoculations-More-Harm-Than-Good-REV-Dec-16-2021.pdf </w:t>
      </w:r>
    </w:p>
    <w:p w14:paraId="32C7321D" w14:textId="77777777" w:rsidR="006D04B0" w:rsidRDefault="006D04B0" w:rsidP="00350F21">
      <w:pPr>
        <w:widowControl w:val="0"/>
        <w:autoSpaceDE w:val="0"/>
        <w:autoSpaceDN w:val="0"/>
        <w:adjustRightInd w:val="0"/>
        <w:rPr>
          <w:rFonts w:asciiTheme="majorHAnsi" w:hAnsiTheme="majorHAnsi" w:cs="Cambria"/>
          <w:color w:val="000000"/>
          <w:sz w:val="22"/>
          <w:szCs w:val="22"/>
        </w:rPr>
      </w:pPr>
    </w:p>
    <w:p w14:paraId="1FBD4EE7" w14:textId="13E72BF9" w:rsidR="00270C96" w:rsidRDefault="00270C96" w:rsidP="00350F21">
      <w:pPr>
        <w:widowControl w:val="0"/>
        <w:autoSpaceDE w:val="0"/>
        <w:autoSpaceDN w:val="0"/>
        <w:adjustRightInd w:val="0"/>
        <w:rPr>
          <w:rFonts w:asciiTheme="majorHAnsi" w:hAnsiTheme="majorHAnsi" w:cs="Helvetica Neue"/>
          <w:color w:val="353535"/>
          <w:sz w:val="22"/>
          <w:szCs w:val="22"/>
        </w:rPr>
      </w:pPr>
      <w:r w:rsidRPr="00350F21">
        <w:rPr>
          <w:rFonts w:asciiTheme="majorHAnsi" w:hAnsiTheme="majorHAnsi" w:cs="Helvetica Neue"/>
          <w:color w:val="353535"/>
          <w:sz w:val="22"/>
          <w:szCs w:val="22"/>
        </w:rPr>
        <w:t xml:space="preserve">This article discusses the treatment protocol devised by New York </w:t>
      </w:r>
      <w:r w:rsidR="00057DA0">
        <w:rPr>
          <w:rFonts w:asciiTheme="majorHAnsi" w:hAnsiTheme="majorHAnsi" w:cs="Helvetica Neue"/>
          <w:color w:val="353535"/>
          <w:sz w:val="22"/>
          <w:szCs w:val="22"/>
        </w:rPr>
        <w:t>D</w:t>
      </w:r>
      <w:r w:rsidRPr="00350F21">
        <w:rPr>
          <w:rFonts w:asciiTheme="majorHAnsi" w:hAnsiTheme="majorHAnsi" w:cs="Helvetica Neue"/>
          <w:color w:val="353535"/>
          <w:sz w:val="22"/>
          <w:szCs w:val="22"/>
        </w:rPr>
        <w:t xml:space="preserve">octor Zelenko. This protocol has famously been used to treat covid successfully and thereby save 1000s of lives yet has been labelled dangerous misinformation. Additionally, the drugs it uses, which for many decades have been used safely and effectively for all manner of disorders have been condemned as dangerous by the use of flawed and falsified studies which promote that lie. </w:t>
      </w:r>
    </w:p>
    <w:p w14:paraId="268EAF99" w14:textId="77777777" w:rsidR="00057DA0" w:rsidRPr="00350F21" w:rsidRDefault="00057DA0" w:rsidP="00350F21">
      <w:pPr>
        <w:widowControl w:val="0"/>
        <w:autoSpaceDE w:val="0"/>
        <w:autoSpaceDN w:val="0"/>
        <w:adjustRightInd w:val="0"/>
        <w:rPr>
          <w:rFonts w:asciiTheme="majorHAnsi" w:hAnsiTheme="majorHAnsi" w:cs="Times"/>
          <w:color w:val="000000"/>
          <w:sz w:val="22"/>
          <w:szCs w:val="22"/>
        </w:rPr>
      </w:pPr>
    </w:p>
    <w:p w14:paraId="3C88AF30"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Treatment with hydroxychloroquine (HCQ), zinc, and azithromycin (AZM), also known as the Zelenko protocol, and treatment with intravenous (IV) vitamin C (IVC) have shown encouraging results in a large number of trials worldwide. In addition, vitamin D levels are an important indicator of the severity of symptoms in patients with COVID-19. </w:t>
      </w:r>
      <w:r w:rsidRPr="00350F21">
        <w:rPr>
          <w:rFonts w:asciiTheme="majorHAnsi" w:hAnsiTheme="majorHAnsi" w:cs="Helvetica Neue"/>
          <w:color w:val="0000FF"/>
          <w:sz w:val="22"/>
          <w:szCs w:val="22"/>
        </w:rPr>
        <w:t xml:space="preserve">https://www.ncbi.nlm.nih.gov/labs/pmc/articles/PMC8712288/ </w:t>
      </w:r>
    </w:p>
    <w:p w14:paraId="1EDA53C3" w14:textId="77777777" w:rsidR="006D04B0" w:rsidRDefault="006D04B0" w:rsidP="00350F21">
      <w:pPr>
        <w:widowControl w:val="0"/>
        <w:autoSpaceDE w:val="0"/>
        <w:autoSpaceDN w:val="0"/>
        <w:adjustRightInd w:val="0"/>
        <w:rPr>
          <w:rFonts w:asciiTheme="majorHAnsi" w:hAnsiTheme="majorHAnsi" w:cs="Arial"/>
          <w:color w:val="000000"/>
          <w:sz w:val="22"/>
          <w:szCs w:val="22"/>
        </w:rPr>
      </w:pPr>
    </w:p>
    <w:p w14:paraId="62B591E9" w14:textId="77777777" w:rsidR="00270C96" w:rsidRDefault="00270C96" w:rsidP="00350F21">
      <w:pPr>
        <w:widowControl w:val="0"/>
        <w:autoSpaceDE w:val="0"/>
        <w:autoSpaceDN w:val="0"/>
        <w:adjustRightInd w:val="0"/>
        <w:rPr>
          <w:rFonts w:asciiTheme="majorHAnsi" w:hAnsiTheme="majorHAnsi" w:cs="Arial"/>
          <w:color w:val="000000"/>
          <w:sz w:val="22"/>
          <w:szCs w:val="22"/>
        </w:rPr>
      </w:pPr>
      <w:r w:rsidRPr="00350F21">
        <w:rPr>
          <w:rFonts w:asciiTheme="majorHAnsi" w:hAnsiTheme="majorHAnsi" w:cs="Arial"/>
          <w:color w:val="000000"/>
          <w:sz w:val="22"/>
          <w:szCs w:val="22"/>
        </w:rPr>
        <w:t xml:space="preserve">This article discusses that the production of spike protein via the vaccine mRNA continues for an unknown period of time after the jab is given. The found that spike was being produced for at least 60 days after the jab - they stopped recording at the 60 day mark. This is very concerning as with each subsequent jab there is at least a further 2 months of spike exposure and given that we know that spike is the toxic part of the disease and the toxic part of the vaccine this results in prolonged exposure to side effects. </w:t>
      </w:r>
    </w:p>
    <w:p w14:paraId="38CC0F6C" w14:textId="77777777" w:rsidR="006D04B0" w:rsidRPr="00350F21" w:rsidRDefault="006D04B0" w:rsidP="00350F21">
      <w:pPr>
        <w:widowControl w:val="0"/>
        <w:autoSpaceDE w:val="0"/>
        <w:autoSpaceDN w:val="0"/>
        <w:adjustRightInd w:val="0"/>
        <w:rPr>
          <w:rFonts w:asciiTheme="majorHAnsi" w:hAnsiTheme="majorHAnsi" w:cs="Times"/>
          <w:color w:val="000000"/>
          <w:sz w:val="22"/>
          <w:szCs w:val="22"/>
        </w:rPr>
      </w:pPr>
    </w:p>
    <w:p w14:paraId="6AAB90CD"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b/>
          <w:bCs/>
          <w:color w:val="000000"/>
          <w:sz w:val="22"/>
          <w:szCs w:val="22"/>
        </w:rPr>
        <w:t>Prolonged detection of vaccine mRNA in LN GCs, and spike antigen in LN GCs and blood following SARS-CoV-2 mRNA vaccination : </w:t>
      </w:r>
      <w:r w:rsidRPr="00350F21">
        <w:rPr>
          <w:rFonts w:asciiTheme="majorHAnsi" w:hAnsiTheme="majorHAnsi" w:cs="Arial"/>
          <w:b/>
          <w:bCs/>
          <w:color w:val="FB0207"/>
          <w:sz w:val="22"/>
          <w:szCs w:val="22"/>
        </w:rPr>
        <w:t>60 days at least. Testing stopped at 60 days. </w:t>
      </w:r>
      <w:r w:rsidRPr="00350F21">
        <w:rPr>
          <w:rFonts w:asciiTheme="majorHAnsi" w:hAnsiTheme="majorHAnsi" w:cs="Helvetica Neue"/>
          <w:color w:val="353535"/>
          <w:sz w:val="22"/>
          <w:szCs w:val="22"/>
        </w:rPr>
        <w:t xml:space="preserve">The paper also notes that the antibody response is IgG, not IgA or IgM. </w:t>
      </w:r>
    </w:p>
    <w:p w14:paraId="52DEFDA9"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b/>
          <w:bCs/>
          <w:color w:val="353535"/>
          <w:sz w:val="22"/>
          <w:szCs w:val="22"/>
        </w:rPr>
        <w:t xml:space="preserve">IgA and IgM antibodies produce a strong mucosal immune response needed for respiratory diseases, </w:t>
      </w:r>
      <w:r w:rsidRPr="00350F21">
        <w:rPr>
          <w:rFonts w:asciiTheme="majorHAnsi" w:hAnsiTheme="majorHAnsi" w:cs="Helvetica Neue"/>
          <w:color w:val="353535"/>
          <w:sz w:val="22"/>
          <w:szCs w:val="22"/>
        </w:rPr>
        <w:t xml:space="preserve">unlike IgG. Protein expression is not being turned off, because the immune response against the mRNA/pseudouridine complex is either not happening or is ineffective. </w:t>
      </w:r>
    </w:p>
    <w:p w14:paraId="4FB6198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It may also be that the mRNA/pseudouridine complex has a longer half-life than normal mRNA. In either case, this is regulatory nightmare. </w:t>
      </w:r>
      <w:r w:rsidRPr="00350F21">
        <w:rPr>
          <w:rFonts w:asciiTheme="majorHAnsi" w:hAnsiTheme="majorHAnsi" w:cs="Helvetica Neue"/>
          <w:b/>
          <w:bCs/>
          <w:color w:val="0000FF"/>
          <w:sz w:val="22"/>
          <w:szCs w:val="22"/>
        </w:rPr>
        <w:t xml:space="preserve">https://www.cell.com/cell/pdf/S0092-8674(22)00076- 9.pdf?_returnURL=https%3A%2F%2Flinkinghub.elsevier.com%2Fretri eve%2Fpii%2FS0092867422000769%3Fshowall%3Dtrue </w:t>
      </w:r>
    </w:p>
    <w:p w14:paraId="077862D4" w14:textId="77777777" w:rsidR="006D04B0" w:rsidRDefault="006D04B0" w:rsidP="00350F21">
      <w:pPr>
        <w:widowControl w:val="0"/>
        <w:autoSpaceDE w:val="0"/>
        <w:autoSpaceDN w:val="0"/>
        <w:adjustRightInd w:val="0"/>
        <w:rPr>
          <w:rFonts w:asciiTheme="majorHAnsi" w:hAnsiTheme="majorHAnsi" w:cs="Cambria"/>
          <w:color w:val="000000"/>
          <w:sz w:val="22"/>
          <w:szCs w:val="22"/>
        </w:rPr>
      </w:pPr>
    </w:p>
    <w:p w14:paraId="5AAC53B1"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The public is repeatedly told by the government that the spike protein is only made in the muscle and only for a few days. Japanese studies in late 2020 showed the lipid nanoparticles carried the mRNA to almost all organs of the body and therefore spike is being produced in almost all organs of the body - not just in the arm as our government falsely tells us. The government is aware of this as we have shown them the research papers. </w:t>
      </w:r>
      <w:r w:rsidRPr="00350F21">
        <w:rPr>
          <w:rFonts w:asciiTheme="majorHAnsi" w:hAnsiTheme="majorHAnsi" w:cs="Arial"/>
          <w:color w:val="0000FF"/>
          <w:sz w:val="22"/>
          <w:szCs w:val="22"/>
        </w:rPr>
        <w:t xml:space="preserve">https://www.naturalnews.com/files/Pfizer-bio-distribution-confidential- document-translated-to-english.pdf </w:t>
      </w:r>
    </w:p>
    <w:p w14:paraId="30740229" w14:textId="77777777" w:rsidR="006D04B0" w:rsidRDefault="006D04B0" w:rsidP="00350F21">
      <w:pPr>
        <w:widowControl w:val="0"/>
        <w:autoSpaceDE w:val="0"/>
        <w:autoSpaceDN w:val="0"/>
        <w:adjustRightInd w:val="0"/>
        <w:rPr>
          <w:rFonts w:asciiTheme="majorHAnsi" w:hAnsiTheme="majorHAnsi" w:cs="Arial"/>
          <w:color w:val="000000"/>
          <w:sz w:val="22"/>
          <w:szCs w:val="22"/>
        </w:rPr>
      </w:pPr>
    </w:p>
    <w:p w14:paraId="20139DEC"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article discusses how the immune system is damaged by the spike protein turning off genes that suppress cancer growth and by turning off genes that promote DNA repair. This is very concerning as we are already seeing huge increases in cancer in the vaccinated population. It is also concerning because it demonstrates that spike enters the nucleus of the cell and we were constantly told by the government that this is not possible. The paper also shows severe disturbances of regulation of cells when spike is carried to points far from its manufacture, causing brain disease, myocarditis, spinal cord damage, liver damage etc. </w:t>
      </w:r>
    </w:p>
    <w:p w14:paraId="2B9E1A70"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b/>
          <w:bCs/>
          <w:color w:val="000000"/>
          <w:sz w:val="22"/>
          <w:szCs w:val="22"/>
        </w:rPr>
        <w:t>Innate Immune Suppression by SARS-CoV-2 mRNA Vaccinations</w:t>
      </w:r>
      <w:r w:rsidRPr="00350F21">
        <w:rPr>
          <w:rFonts w:asciiTheme="majorHAnsi" w:hAnsiTheme="majorHAnsi" w:cs="Helvetica Neue"/>
          <w:b/>
          <w:bCs/>
          <w:color w:val="000000"/>
          <w:sz w:val="22"/>
          <w:szCs w:val="22"/>
        </w:rPr>
        <w:t xml:space="preserve">: </w:t>
      </w:r>
      <w:r w:rsidRPr="00350F21">
        <w:rPr>
          <w:rFonts w:asciiTheme="majorHAnsi" w:hAnsiTheme="majorHAnsi" w:cs="Helvetica Neue"/>
          <w:b/>
          <w:bCs/>
          <w:color w:val="353535"/>
          <w:sz w:val="22"/>
          <w:szCs w:val="22"/>
        </w:rPr>
        <w:t>T The role of G-quadruplexes, exosomes and microRNAs </w:t>
      </w:r>
      <w:r w:rsidRPr="00350F21">
        <w:rPr>
          <w:rFonts w:asciiTheme="majorHAnsi" w:hAnsiTheme="majorHAnsi" w:cs="Helvetica Neue"/>
          <w:color w:val="353535"/>
          <w:sz w:val="22"/>
          <w:szCs w:val="22"/>
        </w:rPr>
        <w:t xml:space="preserve">January 21, 2022 Abstract </w:t>
      </w:r>
    </w:p>
    <w:p w14:paraId="5E95F4E4" w14:textId="30BE7A14"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The mRNA SARS-CoV-2 vaccines were brought to market in response to the widely perceived public health crises of Covid-19. The utilization of mRNA vaccines in the context of infectious disease had no precedent, but desperate times seemed to call for desperate measures. The mRNA vaccines utilize genetically modified mRNA encoding spike proteins. These alterations hide the mRNA from cellular defenses, promote a longer biological half-life for the proteins, and provoke higher overall spike protein production. However, both experimental and observational evidence reveals a very different immune response to the vaccines compared to the response to infection with SARS- CoV-2. As we will show, the genetic modifications introduced by the vaccine are likely the source of these differential responses. In this paper, we present the evidence that vaccination, unlike natural infection, induces a profound impairment in type I interferon signaling, which has diverse adverse consequences to human health. We explain the mechanism by which immune cells release into the circulation large quantities of exosomes containing spike protein along with critical microRNAs that induce a signaling response in recipient cells at distant sites. We also identify potential profound disturbances in regulatory control of protein synthesis and cancer surveillance. These disturbances are shown to have a potentially direct causal link to neurodegenerative disease, myocarditis, immune thrombocytopenia, Bell’s palsy, liver disease, impaired adaptive immunity, increased tumorigenesis, and DNA damage. We show evidence from adverse event reports in the VAERS database supporting our hypothesis. We believe a comprehensive risk/benefit assessment of the mRNA vaccines excludes them as positive contributors to public health, even in the context of the Covid-19 pandemic. </w:t>
      </w:r>
      <w:r w:rsidRPr="00350F21">
        <w:rPr>
          <w:rFonts w:asciiTheme="majorHAnsi" w:hAnsiTheme="majorHAnsi" w:cs="Helvetica Neue"/>
          <w:color w:val="0000FF"/>
          <w:sz w:val="22"/>
          <w:szCs w:val="22"/>
        </w:rPr>
        <w:t xml:space="preserve">https://www.researchgate.net/publication/357994624_Innate_Immune_Suppres sion_by_SARS-CoV-2_mRNA_Vaccinations_The_role_of_G- quadruplexes_exosomes_and_microRNAs </w:t>
      </w:r>
    </w:p>
    <w:p w14:paraId="165E2005" w14:textId="77777777" w:rsidR="006D04B0" w:rsidRDefault="006D04B0" w:rsidP="00350F21">
      <w:pPr>
        <w:widowControl w:val="0"/>
        <w:autoSpaceDE w:val="0"/>
        <w:autoSpaceDN w:val="0"/>
        <w:adjustRightInd w:val="0"/>
        <w:rPr>
          <w:rFonts w:asciiTheme="majorHAnsi" w:hAnsiTheme="majorHAnsi" w:cs="Arial"/>
          <w:color w:val="000000"/>
          <w:sz w:val="22"/>
          <w:szCs w:val="22"/>
        </w:rPr>
      </w:pPr>
    </w:p>
    <w:p w14:paraId="39E0A9B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is another study that shows how the vaccine can destroy response to covid infections by leading to the production of non-neutralising antibodies which make the virus more likely to enter immune cells and more likely to replicate inside those cells thus leading to overwhelming infection. This is called Antibody Dependent Enhancement and is happening in hospitals already. In previous coronavirus vaccine trials ADE led to the death ops most of the animal subjects. Pfizer trials did not last long enough to assess for ADE but anyone with any knowledge of vaccines would be aware of the risk and the stupidity of proceeding with a warp-speed development. </w:t>
      </w:r>
      <w:r w:rsidRPr="00350F21">
        <w:rPr>
          <w:rFonts w:asciiTheme="majorHAnsi" w:hAnsiTheme="majorHAnsi" w:cs="Helvetica Neue"/>
          <w:color w:val="0000FF"/>
          <w:sz w:val="22"/>
          <w:szCs w:val="22"/>
        </w:rPr>
        <w:t xml:space="preserve">https://principia-scientific.com/study-covid-19-vaccine-can-destroy-your- immune-system/ </w:t>
      </w:r>
    </w:p>
    <w:p w14:paraId="33FF0F9F" w14:textId="77777777" w:rsidR="006D04B0" w:rsidRDefault="006D04B0" w:rsidP="00350F21">
      <w:pPr>
        <w:widowControl w:val="0"/>
        <w:autoSpaceDE w:val="0"/>
        <w:autoSpaceDN w:val="0"/>
        <w:adjustRightInd w:val="0"/>
        <w:rPr>
          <w:rFonts w:asciiTheme="majorHAnsi" w:hAnsiTheme="majorHAnsi" w:cs="Arial"/>
          <w:color w:val="000000"/>
          <w:sz w:val="22"/>
          <w:szCs w:val="22"/>
        </w:rPr>
      </w:pPr>
    </w:p>
    <w:p w14:paraId="7ADBB7FB" w14:textId="45E59A1A"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shows how the vaccine can cause mad cow disease and dementia. Patients in USA are presenting as early as four months following vaccination with pronounced </w:t>
      </w:r>
      <w:r w:rsidR="008829BB" w:rsidRPr="00350F21">
        <w:rPr>
          <w:rFonts w:asciiTheme="majorHAnsi" w:hAnsiTheme="majorHAnsi" w:cs="Arial"/>
          <w:color w:val="000000"/>
          <w:sz w:val="22"/>
          <w:szCs w:val="22"/>
        </w:rPr>
        <w:t>dem</w:t>
      </w:r>
      <w:r w:rsidR="008829BB">
        <w:rPr>
          <w:rFonts w:asciiTheme="majorHAnsi" w:hAnsiTheme="majorHAnsi" w:cs="Arial"/>
          <w:color w:val="000000"/>
          <w:sz w:val="22"/>
          <w:szCs w:val="22"/>
        </w:rPr>
        <w:t>e</w:t>
      </w:r>
      <w:r w:rsidR="008829BB" w:rsidRPr="00350F21">
        <w:rPr>
          <w:rFonts w:asciiTheme="majorHAnsi" w:hAnsiTheme="majorHAnsi" w:cs="Arial"/>
          <w:color w:val="000000"/>
          <w:sz w:val="22"/>
          <w:szCs w:val="22"/>
        </w:rPr>
        <w:t>ntia</w:t>
      </w:r>
      <w:r w:rsidRPr="00350F21">
        <w:rPr>
          <w:rFonts w:asciiTheme="majorHAnsi" w:hAnsiTheme="majorHAnsi" w:cs="Arial"/>
          <w:color w:val="000000"/>
          <w:sz w:val="22"/>
          <w:szCs w:val="22"/>
        </w:rPr>
        <w:t xml:space="preserve">. </w:t>
      </w:r>
    </w:p>
    <w:p w14:paraId="5A2E049B"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It has been found that the Wuhan coronavirus (Covid-19) injection from Pfizer and BioNTech causes long-term neurological conditions like Alzheimer’s and Lou Gehrig’s disease. Published in the journal </w:t>
      </w:r>
      <w:r w:rsidRPr="00350F21">
        <w:rPr>
          <w:rFonts w:asciiTheme="majorHAnsi" w:hAnsiTheme="majorHAnsi" w:cs="Arial"/>
          <w:i/>
          <w:iCs/>
          <w:color w:val="000000"/>
          <w:sz w:val="22"/>
          <w:szCs w:val="22"/>
        </w:rPr>
        <w:t>Microbiology &amp; Infectious Diseases</w:t>
      </w:r>
      <w:r w:rsidRPr="00350F21">
        <w:rPr>
          <w:rFonts w:asciiTheme="majorHAnsi" w:hAnsiTheme="majorHAnsi" w:cs="Arial"/>
          <w:color w:val="000000"/>
          <w:sz w:val="22"/>
          <w:szCs w:val="22"/>
        </w:rPr>
        <w:t xml:space="preserve">, reveals that the Pfizer jab has the potential to induce prion-based diseases. </w:t>
      </w:r>
    </w:p>
    <w:p w14:paraId="327381DB"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PRION DISEASES </w:t>
      </w:r>
    </w:p>
    <w:p w14:paraId="1449765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FF"/>
          <w:sz w:val="22"/>
          <w:szCs w:val="22"/>
        </w:rPr>
        <w:t xml:space="preserve">https://scivisionpub.com/pdfs/covid19-rna-based-vaccines-and-the-risk- of-prion-disease-1503.pdfhttps://dreddymd.com/2021/04/28/covid-19- vaccine-from-pfizer-confirmed-to-cause-brain-damage- neurodegenerative-disease/ </w:t>
      </w:r>
    </w:p>
    <w:p w14:paraId="5B071C41" w14:textId="77777777" w:rsidR="006D04B0" w:rsidRDefault="006D04B0" w:rsidP="00350F21">
      <w:pPr>
        <w:widowControl w:val="0"/>
        <w:autoSpaceDE w:val="0"/>
        <w:autoSpaceDN w:val="0"/>
        <w:adjustRightInd w:val="0"/>
        <w:rPr>
          <w:rFonts w:asciiTheme="majorHAnsi" w:hAnsiTheme="majorHAnsi" w:cs="Cambria"/>
          <w:color w:val="000000"/>
          <w:sz w:val="22"/>
          <w:szCs w:val="22"/>
        </w:rPr>
      </w:pPr>
    </w:p>
    <w:p w14:paraId="476714BA" w14:textId="7A08327F"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w:t>
      </w:r>
      <w:r w:rsidR="00D36A70">
        <w:rPr>
          <w:rFonts w:asciiTheme="majorHAnsi" w:hAnsiTheme="majorHAnsi" w:cs="Arial"/>
          <w:color w:val="000000"/>
          <w:sz w:val="22"/>
          <w:szCs w:val="22"/>
        </w:rPr>
        <w:t xml:space="preserve">confirms that </w:t>
      </w:r>
      <w:r w:rsidRPr="00350F21">
        <w:rPr>
          <w:rFonts w:asciiTheme="majorHAnsi" w:hAnsiTheme="majorHAnsi" w:cs="Arial"/>
          <w:color w:val="000000"/>
          <w:sz w:val="22"/>
          <w:szCs w:val="22"/>
        </w:rPr>
        <w:t>this is an experimental vaccine. </w:t>
      </w:r>
      <w:r w:rsidR="00D36A70">
        <w:rPr>
          <w:rFonts w:asciiTheme="majorHAnsi" w:hAnsiTheme="majorHAnsi" w:cs="Arial"/>
          <w:color w:val="000000"/>
          <w:sz w:val="22"/>
          <w:szCs w:val="22"/>
        </w:rPr>
        <w:t>T</w:t>
      </w:r>
      <w:r w:rsidRPr="00350F21">
        <w:rPr>
          <w:rFonts w:asciiTheme="majorHAnsi" w:hAnsiTheme="majorHAnsi" w:cs="Arial"/>
          <w:color w:val="000000"/>
          <w:sz w:val="22"/>
          <w:szCs w:val="22"/>
        </w:rPr>
        <w:t xml:space="preserve">his phase of the experiment does not end until 2023 for adults and 2025 for children - as per Pfizer itself. </w:t>
      </w:r>
    </w:p>
    <w:p w14:paraId="5892F41E"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b/>
          <w:bCs/>
          <w:color w:val="353535"/>
          <w:sz w:val="22"/>
          <w:szCs w:val="22"/>
        </w:rPr>
        <w:t xml:space="preserve">Covid-19 vaccines and treatments: we must have raw data, now </w:t>
      </w:r>
    </w:p>
    <w:p w14:paraId="18AC06DB"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i/>
          <w:iCs/>
          <w:color w:val="353535"/>
          <w:sz w:val="22"/>
          <w:szCs w:val="22"/>
        </w:rPr>
        <w:t xml:space="preserve">BMJ </w:t>
      </w:r>
      <w:r w:rsidRPr="00350F21">
        <w:rPr>
          <w:rFonts w:asciiTheme="majorHAnsi" w:hAnsiTheme="majorHAnsi" w:cs="Helvetica Neue"/>
          <w:color w:val="353535"/>
          <w:sz w:val="22"/>
          <w:szCs w:val="22"/>
        </w:rPr>
        <w:t xml:space="preserve">2022; 376 doi: </w:t>
      </w:r>
      <w:r w:rsidRPr="00350F21">
        <w:rPr>
          <w:rFonts w:asciiTheme="majorHAnsi" w:hAnsiTheme="majorHAnsi" w:cs="Helvetica Neue"/>
          <w:color w:val="DCA10D"/>
          <w:sz w:val="22"/>
          <w:szCs w:val="22"/>
        </w:rPr>
        <w:t xml:space="preserve">https://doi.org/10.1136/bmj.o102 </w:t>
      </w:r>
      <w:r w:rsidRPr="00350F21">
        <w:rPr>
          <w:rFonts w:asciiTheme="majorHAnsi" w:hAnsiTheme="majorHAnsi" w:cs="Helvetica Neue"/>
          <w:color w:val="353535"/>
          <w:sz w:val="22"/>
          <w:szCs w:val="22"/>
        </w:rPr>
        <w:t>(Published 19 January 2022) Pfizer’s pivotal covid vaccine trial was funded by the company and designed, run, analysed, and authored by Pfizer employees. The company and the contract research organisations that carried out the trial hold all the data.</w:t>
      </w:r>
      <w:r w:rsidRPr="00350F21">
        <w:rPr>
          <w:rFonts w:asciiTheme="majorHAnsi" w:hAnsiTheme="majorHAnsi" w:cs="Helvetica Neue"/>
          <w:b/>
          <w:bCs/>
          <w:color w:val="353535"/>
          <w:sz w:val="22"/>
          <w:szCs w:val="22"/>
        </w:rPr>
        <w:t xml:space="preserve">17 </w:t>
      </w:r>
      <w:r w:rsidRPr="00350F21">
        <w:rPr>
          <w:rFonts w:asciiTheme="majorHAnsi" w:hAnsiTheme="majorHAnsi" w:cs="Helvetica Neue"/>
          <w:color w:val="353535"/>
          <w:sz w:val="22"/>
          <w:szCs w:val="22"/>
        </w:rPr>
        <w:t xml:space="preserve">And Pfizer has indicated that it will not begin entertaining requests for trial data until May 2025, 24 months after the primary study completion date, which is listed on </w:t>
      </w:r>
      <w:r w:rsidRPr="00350F21">
        <w:rPr>
          <w:rFonts w:asciiTheme="majorHAnsi" w:hAnsiTheme="majorHAnsi" w:cs="Helvetica Neue"/>
          <w:color w:val="0000FF"/>
          <w:sz w:val="22"/>
          <w:szCs w:val="22"/>
        </w:rPr>
        <w:t xml:space="preserve">ClinicalTrials.gov </w:t>
      </w:r>
      <w:r w:rsidRPr="00350F21">
        <w:rPr>
          <w:rFonts w:asciiTheme="majorHAnsi" w:hAnsiTheme="majorHAnsi" w:cs="Helvetica Neue"/>
          <w:color w:val="353535"/>
          <w:sz w:val="22"/>
          <w:szCs w:val="22"/>
        </w:rPr>
        <w:t>as 15 May 2023 (</w:t>
      </w:r>
      <w:r w:rsidRPr="00350F21">
        <w:rPr>
          <w:rFonts w:asciiTheme="majorHAnsi" w:hAnsiTheme="majorHAnsi" w:cs="Helvetica Neue"/>
          <w:color w:val="DCA10D"/>
          <w:sz w:val="22"/>
          <w:szCs w:val="22"/>
        </w:rPr>
        <w:t>NCT04368728</w:t>
      </w:r>
      <w:r w:rsidRPr="00350F21">
        <w:rPr>
          <w:rFonts w:asciiTheme="majorHAnsi" w:hAnsiTheme="majorHAnsi" w:cs="Helvetica Neue"/>
          <w:color w:val="353535"/>
          <w:sz w:val="22"/>
          <w:szCs w:val="22"/>
        </w:rPr>
        <w:t xml:space="preserve">). </w:t>
      </w:r>
    </w:p>
    <w:p w14:paraId="1A8FBEE0" w14:textId="77777777" w:rsidR="00270C96" w:rsidRDefault="00270C96" w:rsidP="00350F21">
      <w:pPr>
        <w:widowControl w:val="0"/>
        <w:autoSpaceDE w:val="0"/>
        <w:autoSpaceDN w:val="0"/>
        <w:adjustRightInd w:val="0"/>
        <w:rPr>
          <w:rFonts w:asciiTheme="majorHAnsi" w:hAnsiTheme="majorHAnsi" w:cs="Helvetica Neue"/>
          <w:color w:val="0000FF"/>
          <w:sz w:val="22"/>
          <w:szCs w:val="22"/>
        </w:rPr>
      </w:pPr>
      <w:r w:rsidRPr="00350F21">
        <w:rPr>
          <w:rFonts w:asciiTheme="majorHAnsi" w:hAnsiTheme="majorHAnsi" w:cs="Helvetica Neue"/>
          <w:color w:val="0000FF"/>
          <w:sz w:val="22"/>
          <w:szCs w:val="22"/>
        </w:rPr>
        <w:t xml:space="preserve">https://www.bmj.com/content/376/bmj.o102 </w:t>
      </w:r>
    </w:p>
    <w:p w14:paraId="27862501" w14:textId="77777777" w:rsidR="00D36A70" w:rsidRPr="00350F21" w:rsidRDefault="00D36A70" w:rsidP="00350F21">
      <w:pPr>
        <w:widowControl w:val="0"/>
        <w:autoSpaceDE w:val="0"/>
        <w:autoSpaceDN w:val="0"/>
        <w:adjustRightInd w:val="0"/>
        <w:rPr>
          <w:rFonts w:asciiTheme="majorHAnsi" w:hAnsiTheme="majorHAnsi" w:cs="Times"/>
          <w:color w:val="000000"/>
          <w:sz w:val="22"/>
          <w:szCs w:val="22"/>
        </w:rPr>
      </w:pPr>
    </w:p>
    <w:p w14:paraId="245F42D1" w14:textId="6B466EE6"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discusses how the cause of death was found on autopsy to be the spike protein. It should be read by all NZ pathologists as the process of autopsy </w:t>
      </w:r>
      <w:r w:rsidR="00D36A70">
        <w:rPr>
          <w:rFonts w:asciiTheme="majorHAnsi" w:hAnsiTheme="majorHAnsi" w:cs="Arial"/>
          <w:color w:val="000000"/>
          <w:sz w:val="22"/>
          <w:szCs w:val="22"/>
        </w:rPr>
        <w:t>i</w:t>
      </w:r>
      <w:r w:rsidRPr="00350F21">
        <w:rPr>
          <w:rFonts w:asciiTheme="majorHAnsi" w:hAnsiTheme="majorHAnsi" w:cs="Arial"/>
          <w:color w:val="000000"/>
          <w:sz w:val="22"/>
          <w:szCs w:val="22"/>
        </w:rPr>
        <w:t xml:space="preserve">s very specific and likely not being followed in NZ. Of note is that there are many, many reports from the public of the government paying for cremation of their relatives suspected of being killed by the vaccine and that this includes Maori families who ordinarily would never cremate a body. One has to wonder if it is to prevent the body being exhumed at a later date in order for a spike specific autopsy to be performed. </w:t>
      </w:r>
    </w:p>
    <w:p w14:paraId="08196D76" w14:textId="77777777" w:rsidR="009F1C0E" w:rsidRDefault="009F1C0E" w:rsidP="00350F21">
      <w:pPr>
        <w:widowControl w:val="0"/>
        <w:autoSpaceDE w:val="0"/>
        <w:autoSpaceDN w:val="0"/>
        <w:adjustRightInd w:val="0"/>
        <w:rPr>
          <w:rFonts w:asciiTheme="majorHAnsi" w:hAnsiTheme="majorHAnsi" w:cs="Helvetica Neue"/>
          <w:b/>
          <w:bCs/>
          <w:color w:val="353535"/>
          <w:sz w:val="22"/>
          <w:szCs w:val="22"/>
        </w:rPr>
      </w:pPr>
    </w:p>
    <w:p w14:paraId="7593045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b/>
          <w:bCs/>
          <w:color w:val="353535"/>
          <w:sz w:val="22"/>
          <w:szCs w:val="22"/>
        </w:rPr>
        <w:t>First time detection of the vaccine spike protein in a person who died after vaccination against Covid-19 </w:t>
      </w:r>
      <w:r w:rsidRPr="00350F21">
        <w:rPr>
          <w:rFonts w:asciiTheme="majorHAnsi" w:hAnsiTheme="majorHAnsi" w:cs="Helvetica Neue"/>
          <w:color w:val="353535"/>
          <w:sz w:val="22"/>
          <w:szCs w:val="22"/>
        </w:rPr>
        <w:t xml:space="preserve">The suspicion that the spike protein formed in the body as a result of the "vaccination" against Covid-19 could be responsible for the pathologically observed inflammations and lesions of vessels has now been confirmed immunohistologically for the first time. </w:t>
      </w:r>
    </w:p>
    <w:p w14:paraId="241A9B8E"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The pathologists Prof. Dr. Arne Burkhardt and Prof. Dr. Walter Lang and their team have succeeded in reliably detecting the vaccine spike protein in the vessels of a person who died 4 months after "vaccination" and who had vascular lesions and also vaccine-induced myocarditis. Detection was successful using an antibody specific for the spike protein by conventional immunohistochemistry on the tissue sections. </w:t>
      </w:r>
    </w:p>
    <w:p w14:paraId="5288FDBD" w14:textId="77777777" w:rsidR="009F1C0E" w:rsidRDefault="009F1C0E" w:rsidP="00350F21">
      <w:pPr>
        <w:widowControl w:val="0"/>
        <w:autoSpaceDE w:val="0"/>
        <w:autoSpaceDN w:val="0"/>
        <w:adjustRightInd w:val="0"/>
        <w:rPr>
          <w:rFonts w:asciiTheme="majorHAnsi" w:hAnsiTheme="majorHAnsi" w:cs="Helvetica Neue"/>
          <w:color w:val="353535"/>
          <w:sz w:val="22"/>
          <w:szCs w:val="22"/>
        </w:rPr>
      </w:pPr>
    </w:p>
    <w:p w14:paraId="2BCE6C8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The described detection method can be applied to all organ and cell damage in which conspicuous pathological findings are found after "vaccination" against Covid-19. From this follows: For ethical, legal and scientific reasons, all histopathological examinations in connection with damage due to "vaccination" against Covid-19 must be accompanied with this method with immediate effect. Reutlingen, January 17, 2022 Prof. Dr. Arne Burkhardt Prof. Dr. Walter Lang Web: </w:t>
      </w:r>
    </w:p>
    <w:p w14:paraId="29265DFF"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0000FF"/>
          <w:sz w:val="22"/>
          <w:szCs w:val="22"/>
        </w:rPr>
        <w:t xml:space="preserve">https://pathologie-konferenz.de/en </w:t>
      </w:r>
    </w:p>
    <w:p w14:paraId="6C7B2C80" w14:textId="77777777" w:rsidR="009F1C0E" w:rsidRDefault="009F1C0E" w:rsidP="00350F21">
      <w:pPr>
        <w:widowControl w:val="0"/>
        <w:autoSpaceDE w:val="0"/>
        <w:autoSpaceDN w:val="0"/>
        <w:adjustRightInd w:val="0"/>
        <w:rPr>
          <w:rFonts w:asciiTheme="majorHAnsi" w:hAnsiTheme="majorHAnsi" w:cs="Arial"/>
          <w:color w:val="000000"/>
          <w:sz w:val="22"/>
          <w:szCs w:val="22"/>
        </w:rPr>
      </w:pPr>
    </w:p>
    <w:p w14:paraId="3FF0C924" w14:textId="5B83C86F"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study compares the severity of Omicron and Delta and </w:t>
      </w:r>
      <w:r w:rsidR="00F271E8">
        <w:rPr>
          <w:rFonts w:asciiTheme="majorHAnsi" w:hAnsiTheme="majorHAnsi" w:cs="Arial"/>
          <w:color w:val="000000"/>
          <w:sz w:val="22"/>
          <w:szCs w:val="22"/>
        </w:rPr>
        <w:t>counter</w:t>
      </w:r>
      <w:r w:rsidR="009F1C0E">
        <w:rPr>
          <w:rFonts w:asciiTheme="majorHAnsi" w:hAnsiTheme="majorHAnsi" w:cs="Arial"/>
          <w:color w:val="000000"/>
          <w:sz w:val="22"/>
          <w:szCs w:val="22"/>
        </w:rPr>
        <w:t xml:space="preserve">s the </w:t>
      </w:r>
      <w:r w:rsidR="00F271E8">
        <w:rPr>
          <w:rFonts w:asciiTheme="majorHAnsi" w:hAnsiTheme="majorHAnsi" w:cs="Arial"/>
          <w:color w:val="000000"/>
          <w:sz w:val="22"/>
          <w:szCs w:val="22"/>
        </w:rPr>
        <w:t>State Party’s over reaction</w:t>
      </w:r>
      <w:r w:rsidRPr="00350F21">
        <w:rPr>
          <w:rFonts w:asciiTheme="majorHAnsi" w:hAnsiTheme="majorHAnsi" w:cs="Arial"/>
          <w:color w:val="000000"/>
          <w:sz w:val="22"/>
          <w:szCs w:val="22"/>
        </w:rPr>
        <w:t xml:space="preserve"> to the arrival of Omicron. </w:t>
      </w:r>
    </w:p>
    <w:p w14:paraId="12E1E959" w14:textId="382B5BEC"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Omicron should be seen as the perfect opportunity for people to develop a natural, enduring robust immune response to covid. </w:t>
      </w:r>
      <w:r w:rsidR="008829BB" w:rsidRPr="00350F21">
        <w:rPr>
          <w:rFonts w:asciiTheme="majorHAnsi" w:hAnsiTheme="majorHAnsi" w:cs="Helvetica Neue"/>
          <w:color w:val="353535"/>
          <w:sz w:val="22"/>
          <w:szCs w:val="22"/>
        </w:rPr>
        <w:t>53% les</w:t>
      </w:r>
      <w:r w:rsidR="008829BB">
        <w:rPr>
          <w:rFonts w:asciiTheme="majorHAnsi" w:hAnsiTheme="majorHAnsi" w:cs="Helvetica Neue"/>
          <w:color w:val="353535"/>
          <w:sz w:val="22"/>
          <w:szCs w:val="22"/>
        </w:rPr>
        <w:t>s risk of symptomatic hospitalis</w:t>
      </w:r>
      <w:r w:rsidR="008829BB" w:rsidRPr="00350F21">
        <w:rPr>
          <w:rFonts w:asciiTheme="majorHAnsi" w:hAnsiTheme="majorHAnsi" w:cs="Helvetica Neue"/>
          <w:color w:val="353535"/>
          <w:sz w:val="22"/>
          <w:szCs w:val="22"/>
        </w:rPr>
        <w:t xml:space="preserve">ation 74% less risk of ICU admission 91% less risk of death ZERO Omicron patients required mechanical ventilation The study analyzed 52,297 cases of Omicron and 16,982 cases of Delta within the Kaiser Permanente Southern California healthcare system from November 30, 2021, to January 1, 2022, using S gene target failure (SGTF) as assessed by the ThermoFisher TaqPath ComboKit assay as a proxy for Omicron or Delta infection. </w:t>
      </w:r>
    </w:p>
    <w:p w14:paraId="7FC1C37C"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0000FF"/>
          <w:sz w:val="22"/>
          <w:szCs w:val="22"/>
        </w:rPr>
        <w:t xml:space="preserve">https://www.medrxiv.org/content/10.1101/2022.01.11.22269045v1 </w:t>
      </w:r>
    </w:p>
    <w:p w14:paraId="2D939E03" w14:textId="77777777" w:rsidR="009F1C0E" w:rsidRDefault="009F1C0E" w:rsidP="00350F21">
      <w:pPr>
        <w:widowControl w:val="0"/>
        <w:autoSpaceDE w:val="0"/>
        <w:autoSpaceDN w:val="0"/>
        <w:adjustRightInd w:val="0"/>
        <w:rPr>
          <w:rFonts w:asciiTheme="majorHAnsi" w:hAnsiTheme="majorHAnsi" w:cs="Arial"/>
          <w:color w:val="000000"/>
          <w:sz w:val="22"/>
          <w:szCs w:val="22"/>
        </w:rPr>
      </w:pPr>
    </w:p>
    <w:p w14:paraId="4775692D" w14:textId="69AD32FF"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w:t>
      </w:r>
      <w:r w:rsidR="009F1C0E">
        <w:rPr>
          <w:rFonts w:asciiTheme="majorHAnsi" w:hAnsiTheme="majorHAnsi" w:cs="Arial"/>
          <w:color w:val="000000"/>
          <w:sz w:val="22"/>
          <w:szCs w:val="22"/>
        </w:rPr>
        <w:t xml:space="preserve">shows </w:t>
      </w:r>
      <w:r w:rsidRPr="00350F21">
        <w:rPr>
          <w:rFonts w:asciiTheme="majorHAnsi" w:hAnsiTheme="majorHAnsi" w:cs="Arial"/>
          <w:color w:val="000000"/>
          <w:sz w:val="22"/>
          <w:szCs w:val="22"/>
        </w:rPr>
        <w:t xml:space="preserve">that myocarditis is never mild and that by five years after initial diagnosis half of patients diagnosed with myocarditis are expected to die. </w:t>
      </w:r>
    </w:p>
    <w:p w14:paraId="7E50CA5F"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b/>
          <w:bCs/>
          <w:color w:val="000000"/>
          <w:sz w:val="22"/>
          <w:szCs w:val="22"/>
        </w:rPr>
        <w:t xml:space="preserve">Myocarditis has a 56% mortality rate within 4.3 years according to </w:t>
      </w:r>
    </w:p>
    <w:p w14:paraId="7C70955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b/>
          <w:bCs/>
          <w:color w:val="000000"/>
          <w:sz w:val="22"/>
          <w:szCs w:val="22"/>
        </w:rPr>
        <w:t xml:space="preserve">the American Heart Association </w:t>
      </w:r>
    </w:p>
    <w:p w14:paraId="549B510A" w14:textId="348A5753"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Dr. Anthony Hinton, a consultant surgeon with 30 years of experience working for the United Kingdom’s National Health Service (NHS), has warned that Wuhan coronavirus (Covid-19) “vaccine”-related myocarditis has a 20 percent fatality rate in children after two years, and a 50 percent fatality rate in five years. In a tweet, Hinto explained that viral myocarditis is “not mild,” adding that “[i]t’s dead heart muscle.” To even suggest that myocarditis is in any way mild is akin to saying that a person is “a little bit pregnant,” added Scottish television presenter and author Neil Oliver. The American Heart Association medical journal Circulation explains that myocarditis results in a 56% mortality rate in 4.3 years. Giant cell myocarditis had an 80% mortality rate in five years. </w:t>
      </w:r>
    </w:p>
    <w:p w14:paraId="6580D77B" w14:textId="24F0683D" w:rsidR="00270C96" w:rsidRPr="00350F21" w:rsidRDefault="008829BB"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i/>
          <w:iCs/>
          <w:color w:val="353535"/>
          <w:sz w:val="22"/>
          <w:szCs w:val="22"/>
        </w:rPr>
        <w:t xml:space="preserve">The Myocarditis Treatment Trial reported </w:t>
      </w:r>
      <w:r w:rsidRPr="00350F21">
        <w:rPr>
          <w:rFonts w:asciiTheme="majorHAnsi" w:hAnsiTheme="majorHAnsi" w:cs="Helvetica Neue"/>
          <w:b/>
          <w:bCs/>
          <w:i/>
          <w:iCs/>
          <w:color w:val="353535"/>
          <w:sz w:val="22"/>
          <w:szCs w:val="22"/>
        </w:rPr>
        <w:t>mortality rates for biopsy-verified myocarditis of 20% and 56% at 1 year and 4.3 years, respectively.</w:t>
      </w:r>
      <w:r>
        <w:rPr>
          <w:rFonts w:asciiTheme="majorHAnsi" w:hAnsiTheme="majorHAnsi" w:cs="Helvetica Neue"/>
          <w:b/>
          <w:bCs/>
          <w:i/>
          <w:iCs/>
          <w:color w:val="353535"/>
          <w:sz w:val="22"/>
          <w:szCs w:val="22"/>
        </w:rPr>
        <w:t xml:space="preserve"> </w:t>
      </w:r>
      <w:r w:rsidRPr="00350F21">
        <w:rPr>
          <w:rFonts w:asciiTheme="majorHAnsi" w:hAnsiTheme="majorHAnsi" w:cs="Helvetica Neue"/>
          <w:i/>
          <w:iCs/>
          <w:color w:val="353535"/>
          <w:sz w:val="22"/>
          <w:szCs w:val="22"/>
        </w:rPr>
        <w:t xml:space="preserve">These outcomes are similar to the Mayo Clinic’s observational data of 5-year survival rates that approximate 50%. </w:t>
      </w:r>
      <w:r w:rsidR="00270C96" w:rsidRPr="00350F21">
        <w:rPr>
          <w:rFonts w:asciiTheme="majorHAnsi" w:hAnsiTheme="majorHAnsi" w:cs="Helvetica Neue"/>
          <w:i/>
          <w:iCs/>
          <w:color w:val="353535"/>
          <w:sz w:val="22"/>
          <w:szCs w:val="22"/>
        </w:rPr>
        <w:t xml:space="preserve">Survival with giant cell myocarditis is substantially lower, with &lt;20% of patients surviving 5 years – </w:t>
      </w:r>
    </w:p>
    <w:p w14:paraId="1AD76446"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1F27F3"/>
          <w:sz w:val="22"/>
          <w:szCs w:val="22"/>
        </w:rPr>
        <w:t xml:space="preserve">https://www.ahajournals.org/doi/full/10.1161/circulationaha.105.584532 </w:t>
      </w:r>
    </w:p>
    <w:p w14:paraId="6BEC21AE" w14:textId="77777777" w:rsidR="00E81CC5" w:rsidRDefault="00E81CC5" w:rsidP="00350F21">
      <w:pPr>
        <w:widowControl w:val="0"/>
        <w:autoSpaceDE w:val="0"/>
        <w:autoSpaceDN w:val="0"/>
        <w:adjustRightInd w:val="0"/>
        <w:rPr>
          <w:rFonts w:asciiTheme="majorHAnsi" w:hAnsiTheme="majorHAnsi" w:cs="Helvetica Neue"/>
          <w:color w:val="353535"/>
          <w:sz w:val="22"/>
          <w:szCs w:val="22"/>
        </w:rPr>
      </w:pPr>
    </w:p>
    <w:p w14:paraId="1B25C1FE" w14:textId="1EFF2ECD"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This paper discusses how the vaccine can cause both clotting and bleeding disorders at the same time. </w:t>
      </w:r>
      <w:r w:rsidR="00723AE1">
        <w:rPr>
          <w:rFonts w:asciiTheme="majorHAnsi" w:hAnsiTheme="majorHAnsi" w:cs="Arial"/>
          <w:color w:val="000000"/>
          <w:sz w:val="22"/>
          <w:szCs w:val="22"/>
        </w:rPr>
        <w:t xml:space="preserve">The State Party </w:t>
      </w:r>
      <w:r w:rsidRPr="00350F21">
        <w:rPr>
          <w:rFonts w:asciiTheme="majorHAnsi" w:hAnsiTheme="majorHAnsi" w:cs="Arial"/>
          <w:color w:val="000000"/>
          <w:sz w:val="22"/>
          <w:szCs w:val="22"/>
        </w:rPr>
        <w:t xml:space="preserve">continues to say that Pfizer cannot cause blood clots but the rest of the world admits that it does. Even Pfizer's own data reports that the vaccine can cause blood clots. Two young dentists in NZ died of the vaccine induced clotting-bleeding disorder described below. </w:t>
      </w:r>
    </w:p>
    <w:p w14:paraId="128FFF40"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b/>
          <w:bCs/>
          <w:i/>
          <w:iCs/>
          <w:color w:val="353535"/>
          <w:sz w:val="22"/>
          <w:szCs w:val="22"/>
        </w:rPr>
        <w:t xml:space="preserve">Clinical Advances in Hematology &amp; Oncology </w:t>
      </w:r>
    </w:p>
    <w:p w14:paraId="393FE2C9"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b/>
          <w:bCs/>
          <w:color w:val="353535"/>
          <w:sz w:val="22"/>
          <w:szCs w:val="22"/>
        </w:rPr>
        <w:t xml:space="preserve">July 2021 - Volume 19, Issue 7 Thrombosis With Thrombocytopenia Syndrome After COVID-19 Vaccination </w:t>
      </w:r>
      <w:r w:rsidRPr="00350F21">
        <w:rPr>
          <w:rFonts w:asciiTheme="majorHAnsi" w:hAnsiTheme="majorHAnsi" w:cs="Helvetica Neue"/>
          <w:color w:val="0000FF"/>
          <w:sz w:val="22"/>
          <w:szCs w:val="22"/>
        </w:rPr>
        <w:t xml:space="preserve">thrombosis-with-thrombocytopenia-syndrome-after-covid-19-vaccination </w:t>
      </w:r>
    </w:p>
    <w:p w14:paraId="5CD50266" w14:textId="77777777" w:rsidR="00E81CC5" w:rsidRDefault="00E81CC5" w:rsidP="00350F21">
      <w:pPr>
        <w:widowControl w:val="0"/>
        <w:autoSpaceDE w:val="0"/>
        <w:autoSpaceDN w:val="0"/>
        <w:adjustRightInd w:val="0"/>
        <w:rPr>
          <w:rFonts w:asciiTheme="majorHAnsi" w:hAnsiTheme="majorHAnsi" w:cs="Cambria"/>
          <w:color w:val="000000"/>
          <w:sz w:val="22"/>
          <w:szCs w:val="22"/>
        </w:rPr>
      </w:pPr>
    </w:p>
    <w:p w14:paraId="2CEE72A1" w14:textId="662A278C"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proves that the vaccine is not effective against Omicron and </w:t>
      </w:r>
      <w:r w:rsidR="00723AE1">
        <w:rPr>
          <w:rFonts w:asciiTheme="majorHAnsi" w:hAnsiTheme="majorHAnsi" w:cs="Arial"/>
          <w:color w:val="000000"/>
          <w:sz w:val="22"/>
          <w:szCs w:val="22"/>
        </w:rPr>
        <w:t xml:space="preserve">counters the State Party </w:t>
      </w:r>
      <w:r w:rsidRPr="00350F21">
        <w:rPr>
          <w:rFonts w:asciiTheme="majorHAnsi" w:hAnsiTheme="majorHAnsi" w:cs="Arial"/>
          <w:color w:val="000000"/>
          <w:sz w:val="22"/>
          <w:szCs w:val="22"/>
        </w:rPr>
        <w:t>drive to push boosters of that exact vaccine</w:t>
      </w:r>
      <w:r w:rsidR="00077C96">
        <w:rPr>
          <w:rFonts w:asciiTheme="majorHAnsi" w:hAnsiTheme="majorHAnsi" w:cs="Arial"/>
          <w:color w:val="000000"/>
          <w:sz w:val="22"/>
          <w:szCs w:val="22"/>
        </w:rPr>
        <w:t xml:space="preserve">, despite being internationally recognised as </w:t>
      </w:r>
      <w:r w:rsidRPr="00350F21">
        <w:rPr>
          <w:rFonts w:asciiTheme="majorHAnsi" w:hAnsiTheme="majorHAnsi" w:cs="Arial"/>
          <w:color w:val="000000"/>
          <w:sz w:val="22"/>
          <w:szCs w:val="22"/>
        </w:rPr>
        <w:t xml:space="preserve">ineffective. </w:t>
      </w:r>
    </w:p>
    <w:p w14:paraId="7A3C0B62" w14:textId="77777777" w:rsidR="00077C96" w:rsidRDefault="00077C96" w:rsidP="00350F21">
      <w:pPr>
        <w:widowControl w:val="0"/>
        <w:autoSpaceDE w:val="0"/>
        <w:autoSpaceDN w:val="0"/>
        <w:adjustRightInd w:val="0"/>
        <w:rPr>
          <w:rFonts w:asciiTheme="majorHAnsi" w:hAnsiTheme="majorHAnsi" w:cs="Times"/>
          <w:color w:val="262626"/>
          <w:sz w:val="22"/>
          <w:szCs w:val="22"/>
        </w:rPr>
      </w:pPr>
    </w:p>
    <w:p w14:paraId="543979DC" w14:textId="4B088284"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Times"/>
          <w:color w:val="262626"/>
          <w:sz w:val="22"/>
          <w:szCs w:val="22"/>
        </w:rPr>
        <w:t xml:space="preserve">New research from the University of Oxford, </w:t>
      </w:r>
      <w:r w:rsidRPr="00350F21">
        <w:rPr>
          <w:rFonts w:asciiTheme="majorHAnsi" w:hAnsiTheme="majorHAnsi" w:cs="Times"/>
          <w:b/>
          <w:bCs/>
          <w:color w:val="BE0004"/>
          <w:sz w:val="22"/>
          <w:szCs w:val="22"/>
        </w:rPr>
        <w:t xml:space="preserve">Reduced neutralisation of SARS- COV-2 Omicron-B.1.1.529 variant by post-immunisation serum, </w:t>
      </w:r>
      <w:r w:rsidRPr="00350F21">
        <w:rPr>
          <w:rFonts w:asciiTheme="majorHAnsi" w:hAnsiTheme="majorHAnsi" w:cs="Times"/>
          <w:color w:val="262626"/>
          <w:sz w:val="22"/>
          <w:szCs w:val="22"/>
        </w:rPr>
        <w:t xml:space="preserve">showed that Pfizer and AstraZeneca vaccination antibodies are ineffective against the omicron variant. It is available as a preprint from </w:t>
      </w:r>
      <w:r w:rsidR="008829BB" w:rsidRPr="00350F21">
        <w:rPr>
          <w:rFonts w:asciiTheme="majorHAnsi" w:hAnsiTheme="majorHAnsi" w:cs="Times"/>
          <w:color w:val="262626"/>
          <w:sz w:val="22"/>
          <w:szCs w:val="22"/>
        </w:rPr>
        <w:t>medRxiv.</w:t>
      </w:r>
      <w:r w:rsidR="008829BB">
        <w:rPr>
          <w:rFonts w:asciiTheme="majorHAnsi" w:hAnsiTheme="majorHAnsi" w:cs="Times"/>
          <w:color w:val="262626"/>
          <w:sz w:val="22"/>
          <w:szCs w:val="22"/>
        </w:rPr>
        <w:t xml:space="preserve"> </w:t>
      </w:r>
      <w:r w:rsidR="008829BB" w:rsidRPr="00350F21">
        <w:rPr>
          <w:rFonts w:asciiTheme="majorHAnsi" w:hAnsiTheme="majorHAnsi" w:cs="Arial"/>
          <w:color w:val="000000"/>
          <w:sz w:val="22"/>
          <w:szCs w:val="22"/>
        </w:rPr>
        <w:t>There</w:t>
      </w:r>
      <w:r w:rsidRPr="00350F21">
        <w:rPr>
          <w:rFonts w:asciiTheme="majorHAnsi" w:hAnsiTheme="majorHAnsi" w:cs="Arial"/>
          <w:color w:val="000000"/>
          <w:sz w:val="22"/>
          <w:szCs w:val="22"/>
        </w:rPr>
        <w:t xml:space="preserve"> was a substantial fall in neutralisation titres in recipients of both AZD1222 (n=22) and BNT16b2 (n=21) primary courses, with evidence of some recipients failing to neutralise at all. </w:t>
      </w:r>
    </w:p>
    <w:p w14:paraId="3C04C8DC"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Times"/>
          <w:color w:val="262626"/>
          <w:sz w:val="22"/>
          <w:szCs w:val="22"/>
        </w:rPr>
        <w:t xml:space="preserve">This will likely lead to increased breakthrough infections in previously infected or double vaccinated individuals, which could drive a further wave of infection, although there is currently no evidence of increased potential to cause severe disease, hospitalization or death. </w:t>
      </w:r>
      <w:r w:rsidRPr="00350F21">
        <w:rPr>
          <w:rFonts w:asciiTheme="majorHAnsi" w:hAnsiTheme="majorHAnsi" w:cs="Arial"/>
          <w:color w:val="0000FF"/>
          <w:sz w:val="22"/>
          <w:szCs w:val="22"/>
        </w:rPr>
        <w:t xml:space="preserve">https://drjessesantiano.com/study-shows-absence-of-omicron- neutralization-with-the-pfizer-and-astrazeneca-shots/ </w:t>
      </w:r>
    </w:p>
    <w:p w14:paraId="1E9A74E5"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 </w:t>
      </w:r>
    </w:p>
    <w:p w14:paraId="268327EB"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FF"/>
          <w:sz w:val="22"/>
          <w:szCs w:val="22"/>
        </w:rPr>
        <w:t xml:space="preserve">https://www.medrxiv.org/content/10.1101/2021.12.10.21267534v1.articl e-info </w:t>
      </w:r>
    </w:p>
    <w:p w14:paraId="72C9FC5C" w14:textId="77777777" w:rsidR="00E81CC5" w:rsidRDefault="00E81CC5" w:rsidP="00350F21">
      <w:pPr>
        <w:widowControl w:val="0"/>
        <w:autoSpaceDE w:val="0"/>
        <w:autoSpaceDN w:val="0"/>
        <w:adjustRightInd w:val="0"/>
        <w:rPr>
          <w:rFonts w:asciiTheme="majorHAnsi" w:hAnsiTheme="majorHAnsi" w:cs="Arial"/>
          <w:color w:val="000000"/>
          <w:sz w:val="22"/>
          <w:szCs w:val="22"/>
        </w:rPr>
      </w:pPr>
    </w:p>
    <w:p w14:paraId="109F3B17"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This site has excellent medical and scientific data about the safety and efficacy of ivermectin for covid 19. </w:t>
      </w:r>
      <w:r w:rsidRPr="00350F21">
        <w:rPr>
          <w:rFonts w:asciiTheme="majorHAnsi" w:hAnsiTheme="majorHAnsi" w:cs="Arial"/>
          <w:b/>
          <w:bCs/>
          <w:color w:val="000000"/>
          <w:sz w:val="22"/>
          <w:szCs w:val="22"/>
        </w:rPr>
        <w:t xml:space="preserve">Ivermectin in COVID-19 - FLCCC | Front Line COVID-19 Critical Care Alliance </w:t>
      </w:r>
    </w:p>
    <w:p w14:paraId="47AA973B"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0000FF"/>
          <w:sz w:val="22"/>
          <w:szCs w:val="22"/>
        </w:rPr>
        <w:t xml:space="preserve">https://covid19criticalcare.com/ivermectin-in-covid-19/ </w:t>
      </w:r>
    </w:p>
    <w:p w14:paraId="7EA9C8F9" w14:textId="77777777" w:rsidR="00E231C8" w:rsidRDefault="00E231C8" w:rsidP="00350F21">
      <w:pPr>
        <w:widowControl w:val="0"/>
        <w:autoSpaceDE w:val="0"/>
        <w:autoSpaceDN w:val="0"/>
        <w:adjustRightInd w:val="0"/>
        <w:rPr>
          <w:rFonts w:asciiTheme="majorHAnsi" w:hAnsiTheme="majorHAnsi" w:cs="Arial"/>
          <w:color w:val="000000"/>
          <w:sz w:val="22"/>
          <w:szCs w:val="22"/>
        </w:rPr>
      </w:pPr>
    </w:p>
    <w:p w14:paraId="075CE59E" w14:textId="1F4C7A18"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shows how the miscarriage rate has </w:t>
      </w:r>
      <w:r w:rsidR="00E231C8">
        <w:rPr>
          <w:rFonts w:asciiTheme="majorHAnsi" w:hAnsiTheme="majorHAnsi" w:cs="Arial"/>
          <w:color w:val="000000"/>
          <w:sz w:val="22"/>
          <w:szCs w:val="22"/>
        </w:rPr>
        <w:t xml:space="preserve">significantly increased </w:t>
      </w:r>
      <w:r w:rsidRPr="00350F21">
        <w:rPr>
          <w:rFonts w:asciiTheme="majorHAnsi" w:hAnsiTheme="majorHAnsi" w:cs="Arial"/>
          <w:color w:val="000000"/>
          <w:sz w:val="22"/>
          <w:szCs w:val="22"/>
        </w:rPr>
        <w:t xml:space="preserve">since the introduction of the vaccine. The NZ government wanted to get this paper withdrawn due to a comment it contained - not because the data was incorrect. These findings are being repeated world wide. </w:t>
      </w:r>
    </w:p>
    <w:p w14:paraId="11E19254"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b/>
          <w:bCs/>
          <w:color w:val="353535"/>
          <w:sz w:val="22"/>
          <w:szCs w:val="22"/>
        </w:rPr>
        <w:t xml:space="preserve">MISCARRIAGE RATE 81-91 % FIRST TRIMESTER CONFIRMED. &lt;&lt;&lt;&lt;&lt;&lt;&lt;&lt;&lt;&lt;&lt;&lt;&lt;&lt;&lt; </w:t>
      </w:r>
    </w:p>
    <w:p w14:paraId="15B74F46"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0000FF"/>
          <w:sz w:val="22"/>
          <w:szCs w:val="22"/>
        </w:rPr>
        <w:t xml:space="preserve">https://www.thegatewaypundit.com/2021/11/breaking-researchers-peer- reviewed-study-call-immediate-withdrawal-mrna-covid-vaccines-use- pregnancy-breastfeeding-childbearing-age-children/ </w:t>
      </w:r>
    </w:p>
    <w:p w14:paraId="53F49A99" w14:textId="77777777" w:rsidR="00E231C8" w:rsidRDefault="00E231C8" w:rsidP="00350F21">
      <w:pPr>
        <w:widowControl w:val="0"/>
        <w:autoSpaceDE w:val="0"/>
        <w:autoSpaceDN w:val="0"/>
        <w:adjustRightInd w:val="0"/>
        <w:rPr>
          <w:rFonts w:asciiTheme="majorHAnsi" w:hAnsiTheme="majorHAnsi" w:cs="Cambria"/>
          <w:color w:val="000000"/>
          <w:sz w:val="22"/>
          <w:szCs w:val="22"/>
        </w:rPr>
      </w:pPr>
    </w:p>
    <w:p w14:paraId="4EF292C9"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shows that the NZ government has failed to allow the population sufficient access to real information in order to give their adequate informed consent. This means that no one in NZ has been legally able to give informed consent. This is against medical ethics and against the law. </w:t>
      </w:r>
    </w:p>
    <w:p w14:paraId="4AF612D1"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b/>
          <w:bCs/>
          <w:color w:val="353535"/>
          <w:sz w:val="22"/>
          <w:szCs w:val="22"/>
        </w:rPr>
        <w:t xml:space="preserve">Consent and ADE </w:t>
      </w:r>
    </w:p>
    <w:p w14:paraId="5D3CC80C"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With respect to the presence of the established risk of ADE, it has been advocated that patient information regarding this should form a separate, explicit component of informed consent. As I understand it , it is not mentioned in NZ consent patient information. As NZ has very limited community transmission of delta thus far, it is reasonable to conclude that a population with a proportion of the injected population is primed for the risk of ADE, original antigenic sin, immune anergy. </w:t>
      </w:r>
    </w:p>
    <w:p w14:paraId="7FD35251"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0000FF"/>
          <w:sz w:val="22"/>
          <w:szCs w:val="22"/>
        </w:rPr>
        <w:t xml:space="preserve">https://www.ncbi.nlm.nih.gov/pmc/articles/PMC7645850/ </w:t>
      </w:r>
    </w:p>
    <w:p w14:paraId="69DBBC0B" w14:textId="77777777" w:rsidR="00E231C8" w:rsidRDefault="00E231C8" w:rsidP="00350F21">
      <w:pPr>
        <w:widowControl w:val="0"/>
        <w:autoSpaceDE w:val="0"/>
        <w:autoSpaceDN w:val="0"/>
        <w:adjustRightInd w:val="0"/>
        <w:rPr>
          <w:rFonts w:asciiTheme="majorHAnsi" w:hAnsiTheme="majorHAnsi" w:cs="Arial"/>
          <w:color w:val="000000"/>
          <w:sz w:val="22"/>
          <w:szCs w:val="22"/>
        </w:rPr>
      </w:pPr>
    </w:p>
    <w:p w14:paraId="77D6B59E" w14:textId="3E3F214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This paper </w:t>
      </w:r>
      <w:r w:rsidR="00077C96">
        <w:rPr>
          <w:rFonts w:asciiTheme="majorHAnsi" w:hAnsiTheme="majorHAnsi" w:cs="Arial"/>
          <w:color w:val="000000"/>
          <w:sz w:val="22"/>
          <w:szCs w:val="22"/>
        </w:rPr>
        <w:t>shows</w:t>
      </w:r>
      <w:r w:rsidRPr="00350F21">
        <w:rPr>
          <w:rFonts w:asciiTheme="majorHAnsi" w:hAnsiTheme="majorHAnsi" w:cs="Arial"/>
          <w:color w:val="000000"/>
          <w:sz w:val="22"/>
          <w:szCs w:val="22"/>
        </w:rPr>
        <w:t xml:space="preserve"> the effect of ADE </w:t>
      </w:r>
      <w:r w:rsidR="00077C96">
        <w:rPr>
          <w:rFonts w:asciiTheme="majorHAnsi" w:hAnsiTheme="majorHAnsi" w:cs="Arial"/>
          <w:color w:val="000000"/>
          <w:sz w:val="22"/>
          <w:szCs w:val="22"/>
        </w:rPr>
        <w:t>–</w:t>
      </w:r>
      <w:r w:rsidRPr="00350F21">
        <w:rPr>
          <w:rFonts w:asciiTheme="majorHAnsi" w:hAnsiTheme="majorHAnsi" w:cs="Arial"/>
          <w:color w:val="000000"/>
          <w:sz w:val="22"/>
          <w:szCs w:val="22"/>
        </w:rPr>
        <w:t xml:space="preserve"> i</w:t>
      </w:r>
      <w:r w:rsidR="00077C96">
        <w:rPr>
          <w:rFonts w:asciiTheme="majorHAnsi" w:hAnsiTheme="majorHAnsi" w:cs="Arial"/>
          <w:color w:val="000000"/>
          <w:sz w:val="22"/>
          <w:szCs w:val="22"/>
        </w:rPr>
        <w:t>.</w:t>
      </w:r>
      <w:r w:rsidRPr="00350F21">
        <w:rPr>
          <w:rFonts w:asciiTheme="majorHAnsi" w:hAnsiTheme="majorHAnsi" w:cs="Arial"/>
          <w:color w:val="000000"/>
          <w:sz w:val="22"/>
          <w:szCs w:val="22"/>
        </w:rPr>
        <w:t>e</w:t>
      </w:r>
      <w:r w:rsidR="00077C96">
        <w:rPr>
          <w:rFonts w:asciiTheme="majorHAnsi" w:hAnsiTheme="majorHAnsi" w:cs="Arial"/>
          <w:color w:val="000000"/>
          <w:sz w:val="22"/>
          <w:szCs w:val="22"/>
        </w:rPr>
        <w:t>.</w:t>
      </w:r>
      <w:r w:rsidRPr="00350F21">
        <w:rPr>
          <w:rFonts w:asciiTheme="majorHAnsi" w:hAnsiTheme="majorHAnsi" w:cs="Arial"/>
          <w:color w:val="000000"/>
          <w:sz w:val="22"/>
          <w:szCs w:val="22"/>
        </w:rPr>
        <w:t xml:space="preserve"> that the vaccine induced antibodies bodies are more likely to cause severe infection than to prevent severe infection. </w:t>
      </w:r>
    </w:p>
    <w:p w14:paraId="03025A86"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Vaccine Passports and Vaccine Mandates are based upon a lie. Our politicians, the health bureaucrats, the media and the vaccine sellers are all LYING to the public. The latest UK data shows that all for all groups +29, those ‘fully vaccinated’ are MORE likely to have COVID. </w:t>
      </w:r>
      <w:r w:rsidRPr="00350F21">
        <w:rPr>
          <w:rFonts w:asciiTheme="majorHAnsi" w:hAnsiTheme="majorHAnsi" w:cs="Helvetica Neue"/>
          <w:color w:val="0000FF"/>
          <w:sz w:val="22"/>
          <w:szCs w:val="22"/>
        </w:rPr>
        <w:t xml:space="preserve">https://assets.publishing.service.gov.uk/government/uploads/system/uploads/attachment_ data/file/1032859/Vaccine_surveillance_report_-_week_45.pdf </w:t>
      </w:r>
    </w:p>
    <w:p w14:paraId="71B4ED76" w14:textId="77777777" w:rsidR="00EC0652" w:rsidRDefault="00EC0652" w:rsidP="00350F21">
      <w:pPr>
        <w:widowControl w:val="0"/>
        <w:autoSpaceDE w:val="0"/>
        <w:autoSpaceDN w:val="0"/>
        <w:adjustRightInd w:val="0"/>
        <w:rPr>
          <w:rFonts w:asciiTheme="majorHAnsi" w:hAnsiTheme="majorHAnsi" w:cs="Arial"/>
          <w:color w:val="000000"/>
          <w:sz w:val="22"/>
          <w:szCs w:val="22"/>
        </w:rPr>
      </w:pPr>
    </w:p>
    <w:p w14:paraId="366D860F" w14:textId="1C535B94"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The vaccinated are just as likely to spread the virus as the unvaccinated because the vaccine does not reduce the amount of virus carried in your upper respiratory tract. Therefore the vaccine does not prevent transmission. Of note it was never designed to prevent transmission in the first place, despite the lies told by our government. </w:t>
      </w:r>
      <w:r w:rsidRPr="00350F21">
        <w:rPr>
          <w:rFonts w:asciiTheme="majorHAnsi" w:hAnsiTheme="majorHAnsi" w:cs="Helvetica Neue"/>
          <w:color w:val="353535"/>
          <w:sz w:val="22"/>
          <w:szCs w:val="22"/>
        </w:rPr>
        <w:t xml:space="preserve">And the latest science shows that their is no significant difference in viral loads between vaccinated and unvaccinated. </w:t>
      </w:r>
      <w:r w:rsidRPr="00350F21">
        <w:rPr>
          <w:rFonts w:asciiTheme="majorHAnsi" w:hAnsiTheme="majorHAnsi" w:cs="Helvetica Neue"/>
          <w:color w:val="0000FF"/>
          <w:sz w:val="22"/>
          <w:szCs w:val="22"/>
        </w:rPr>
        <w:t xml:space="preserve">https://www.medrxiv.org/content/10.1101/2021.09.28.21264262v1 </w:t>
      </w:r>
    </w:p>
    <w:p w14:paraId="1951C9BC" w14:textId="77777777" w:rsidR="00EC0652" w:rsidRDefault="00EC0652" w:rsidP="00350F21">
      <w:pPr>
        <w:widowControl w:val="0"/>
        <w:autoSpaceDE w:val="0"/>
        <w:autoSpaceDN w:val="0"/>
        <w:adjustRightInd w:val="0"/>
        <w:rPr>
          <w:rFonts w:asciiTheme="majorHAnsi" w:hAnsiTheme="majorHAnsi" w:cs="Arial"/>
          <w:color w:val="000000"/>
          <w:sz w:val="22"/>
          <w:szCs w:val="22"/>
        </w:rPr>
      </w:pPr>
    </w:p>
    <w:p w14:paraId="22BCC933" w14:textId="06CBC211" w:rsidR="00270C96" w:rsidRPr="00350F21" w:rsidRDefault="005441E1" w:rsidP="00350F21">
      <w:pPr>
        <w:widowControl w:val="0"/>
        <w:autoSpaceDE w:val="0"/>
        <w:autoSpaceDN w:val="0"/>
        <w:adjustRightInd w:val="0"/>
        <w:rPr>
          <w:rFonts w:asciiTheme="majorHAnsi" w:hAnsiTheme="majorHAnsi" w:cs="Times"/>
          <w:color w:val="000000"/>
          <w:sz w:val="22"/>
          <w:szCs w:val="22"/>
        </w:rPr>
      </w:pPr>
      <w:r>
        <w:rPr>
          <w:rFonts w:asciiTheme="majorHAnsi" w:hAnsiTheme="majorHAnsi" w:cs="Arial"/>
          <w:color w:val="000000"/>
          <w:sz w:val="22"/>
          <w:szCs w:val="22"/>
        </w:rPr>
        <w:t>These papers suggest</w:t>
      </w:r>
      <w:r w:rsidR="00270C96" w:rsidRPr="00350F21">
        <w:rPr>
          <w:rFonts w:asciiTheme="majorHAnsi" w:hAnsiTheme="majorHAnsi" w:cs="Arial"/>
          <w:color w:val="000000"/>
          <w:sz w:val="22"/>
          <w:szCs w:val="22"/>
        </w:rPr>
        <w:t xml:space="preserve"> that the mRNA ids being converted into DNA and that it is altering our genome. This was the worry right from the outset but the government rubbished the idea. it is now being proven true. </w:t>
      </w:r>
    </w:p>
    <w:p w14:paraId="3F7F804B"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Adenoviral Vector DNA- and SARS-CoV-2 mRNA-Based Covid-19 Vaccines: Possible Integration into the Human Genome - Are Adenoviral Genes Expressed in Vector-based Vaccines? </w:t>
      </w:r>
    </w:p>
    <w:p w14:paraId="598D641F" w14:textId="7F993523"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SARS-CoV-2 RNA or segments of it, like the spike gene, can be reverse transcribed by LINE-1-encoded reverse transcriptases or other factors, and the thus synthesized DNA can become integrated at unknown frequencies and locations into the vaccinees’ genomes. Of course, the same is true for all SARS-CoV-2 infections. Hence, the risk of undesired integration events of SARS-CoV-2 RNA reverse transcripts upon SARS-CoV-2 infections appears similar to that upon vaccination with the mRNA-based Covid-19 </w:t>
      </w:r>
      <w:r w:rsidR="008829BB">
        <w:rPr>
          <w:rFonts w:asciiTheme="majorHAnsi" w:hAnsiTheme="majorHAnsi" w:cs="Helvetica Neue"/>
          <w:color w:val="353535"/>
          <w:sz w:val="22"/>
          <w:szCs w:val="22"/>
        </w:rPr>
        <w:t>vaccine</w:t>
      </w:r>
      <w:r w:rsidRPr="00350F21">
        <w:rPr>
          <w:rFonts w:asciiTheme="majorHAnsi" w:hAnsiTheme="majorHAnsi" w:cs="Helvetica Neue"/>
          <w:color w:val="353535"/>
          <w:sz w:val="22"/>
          <w:szCs w:val="22"/>
        </w:rPr>
        <w:t xml:space="preserve">. </w:t>
      </w:r>
      <w:r w:rsidRPr="00350F21">
        <w:rPr>
          <w:rFonts w:asciiTheme="majorHAnsi" w:hAnsiTheme="majorHAnsi" w:cs="Helvetica Neue"/>
          <w:color w:val="0000FF"/>
          <w:sz w:val="22"/>
          <w:szCs w:val="22"/>
        </w:rPr>
        <w:t xml:space="preserve">https://www.ncbi.nlm.nih.gov/labs/pmc/articles/PMC8168329/ </w:t>
      </w:r>
    </w:p>
    <w:p w14:paraId="2046E250"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Arial"/>
          <w:color w:val="000000"/>
          <w:sz w:val="22"/>
          <w:szCs w:val="22"/>
        </w:rPr>
        <w:t xml:space="preserve">+ </w:t>
      </w:r>
    </w:p>
    <w:p w14:paraId="5A64E3DD"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Synthetic Spike protein entering nucleus, inhibiting diversity of response to infection and the 'fixing' of our own DNA </w:t>
      </w:r>
      <w:r w:rsidRPr="00350F21">
        <w:rPr>
          <w:rFonts w:asciiTheme="majorHAnsi" w:hAnsiTheme="majorHAnsi" w:cs="Helvetica Neue"/>
          <w:b/>
          <w:bCs/>
          <w:color w:val="353535"/>
          <w:sz w:val="22"/>
          <w:szCs w:val="22"/>
        </w:rPr>
        <w:t xml:space="preserve">Spike protein inside nucleus enhancing DNA damage? - COVID-19 mRNA vaccines update. </w:t>
      </w:r>
      <w:r w:rsidRPr="00350F21">
        <w:rPr>
          <w:rFonts w:asciiTheme="majorHAnsi" w:hAnsiTheme="majorHAnsi" w:cs="Helvetica Neue"/>
          <w:color w:val="0000FF"/>
          <w:sz w:val="22"/>
          <w:szCs w:val="22"/>
        </w:rPr>
        <w:t xml:space="preserve">https://duckduckgo.com/?q=Spike+protein+inside+nucleus+enhancing+DNA+damage%3F +-+COVID- 19+mRNA+vaccines+update.+YouTube&amp;t=ffab&amp;iax=videos&amp;ia=videos&amp;iai=https%3A%2F %2Fwww.youtube.com%2Fwatch%3Fv%3D4Unt03UBhbU </w:t>
      </w:r>
    </w:p>
    <w:p w14:paraId="6B867617"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 </w:t>
      </w:r>
    </w:p>
    <w:p w14:paraId="206D4446"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0000FF"/>
          <w:sz w:val="22"/>
          <w:szCs w:val="22"/>
        </w:rPr>
        <w:t xml:space="preserve">http://accreditedinvestorjournal.com/2021/11/13/spike-protein-inside-nucleus-enhancing- dna-damage-covid-19-mrna-vaccines-update-18/ </w:t>
      </w:r>
      <w:r w:rsidRPr="00350F21">
        <w:rPr>
          <w:rFonts w:asciiTheme="majorHAnsi" w:hAnsiTheme="majorHAnsi" w:cs="Helvetica Neue"/>
          <w:color w:val="353535"/>
          <w:sz w:val="22"/>
          <w:szCs w:val="22"/>
        </w:rPr>
        <w:t xml:space="preserve">&gt;&gt;&gt;&gt;&gt;&gt;&gt;&gt;&gt;&gt;&gt;&gt;&gt;&gt;&gt;&gt;. </w:t>
      </w:r>
    </w:p>
    <w:p w14:paraId="4506C29A" w14:textId="77777777" w:rsidR="00EC0652" w:rsidRDefault="00EC0652" w:rsidP="00350F21">
      <w:pPr>
        <w:widowControl w:val="0"/>
        <w:autoSpaceDE w:val="0"/>
        <w:autoSpaceDN w:val="0"/>
        <w:adjustRightInd w:val="0"/>
        <w:rPr>
          <w:rFonts w:asciiTheme="majorHAnsi" w:hAnsiTheme="majorHAnsi" w:cs="Helvetica Neue"/>
          <w:color w:val="353535"/>
          <w:sz w:val="22"/>
          <w:szCs w:val="22"/>
        </w:rPr>
      </w:pPr>
    </w:p>
    <w:p w14:paraId="1AE0E4E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 xml:space="preserve">This paper shows that natural immunity is preferable to vaccine effects. </w:t>
      </w:r>
    </w:p>
    <w:p w14:paraId="40BA69F4" w14:textId="373C7ABB" w:rsidR="00270C96" w:rsidRPr="00350F21" w:rsidRDefault="00EC0652" w:rsidP="00350F21">
      <w:pPr>
        <w:widowControl w:val="0"/>
        <w:autoSpaceDE w:val="0"/>
        <w:autoSpaceDN w:val="0"/>
        <w:adjustRightInd w:val="0"/>
        <w:rPr>
          <w:rFonts w:asciiTheme="majorHAnsi" w:hAnsiTheme="majorHAnsi" w:cs="Times"/>
          <w:color w:val="000000"/>
          <w:sz w:val="22"/>
          <w:szCs w:val="22"/>
        </w:rPr>
      </w:pPr>
      <w:r>
        <w:rPr>
          <w:rFonts w:asciiTheme="majorHAnsi" w:hAnsiTheme="majorHAnsi" w:cs="Helvetica Neue"/>
          <w:b/>
          <w:bCs/>
          <w:color w:val="353535"/>
          <w:sz w:val="22"/>
          <w:szCs w:val="22"/>
        </w:rPr>
        <w:t>V</w:t>
      </w:r>
      <w:r w:rsidR="00270C96" w:rsidRPr="00350F21">
        <w:rPr>
          <w:rFonts w:asciiTheme="majorHAnsi" w:hAnsiTheme="majorHAnsi" w:cs="Helvetica Neue"/>
          <w:b/>
          <w:bCs/>
          <w:color w:val="353535"/>
          <w:sz w:val="22"/>
          <w:szCs w:val="22"/>
        </w:rPr>
        <w:t xml:space="preserve">accinated individuals were 27 times more likely to get a symptomatic COVID infection than those with natural immunity from COVID. </w:t>
      </w:r>
      <w:r w:rsidR="00270C96" w:rsidRPr="00350F21">
        <w:rPr>
          <w:rFonts w:asciiTheme="majorHAnsi" w:hAnsiTheme="majorHAnsi" w:cs="Helvetica Neue"/>
          <w:color w:val="0000FF"/>
          <w:sz w:val="22"/>
          <w:szCs w:val="22"/>
        </w:rPr>
        <w:t xml:space="preserve">https://fee.org/articles/harvard-epidemiologist-says-the-case-for-covid-vaccine-passports- was-just-demolished/ </w:t>
      </w:r>
    </w:p>
    <w:p w14:paraId="263D28EF" w14:textId="77777777" w:rsidR="00EC0652" w:rsidRDefault="00EC0652" w:rsidP="00350F21">
      <w:pPr>
        <w:widowControl w:val="0"/>
        <w:autoSpaceDE w:val="0"/>
        <w:autoSpaceDN w:val="0"/>
        <w:adjustRightInd w:val="0"/>
        <w:rPr>
          <w:rFonts w:asciiTheme="majorHAnsi" w:hAnsiTheme="majorHAnsi" w:cs="Times"/>
          <w:b/>
          <w:bCs/>
          <w:color w:val="141414"/>
          <w:sz w:val="22"/>
          <w:szCs w:val="22"/>
        </w:rPr>
      </w:pPr>
    </w:p>
    <w:p w14:paraId="4A7F8F08"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Times"/>
          <w:b/>
          <w:bCs/>
          <w:color w:val="141414"/>
          <w:sz w:val="22"/>
          <w:szCs w:val="22"/>
        </w:rPr>
        <w:t xml:space="preserve">We will kill 117 kids to save one child from dying from COVID in the 5 to 11 age range </w:t>
      </w:r>
    </w:p>
    <w:p w14:paraId="1A9EF422"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Times"/>
          <w:color w:val="000000"/>
          <w:sz w:val="22"/>
          <w:szCs w:val="22"/>
        </w:rPr>
        <w:t xml:space="preserve">That's according to a risk-benefit analysis done by risk-benefit expert Dr. Toby Rogers. His analysis has been viewed by over 22,000 readers. No mistakes were found. Nothing but praise. </w:t>
      </w:r>
      <w:r w:rsidRPr="00350F21">
        <w:rPr>
          <w:rFonts w:asciiTheme="majorHAnsi" w:hAnsiTheme="majorHAnsi" w:cs="Arial"/>
          <w:color w:val="0000FF"/>
          <w:sz w:val="22"/>
          <w:szCs w:val="22"/>
        </w:rPr>
        <w:t xml:space="preserve">https://stevekirsch.substack.com/p/we-will-kill-117-kids-to-save- one?utm_source=url </w:t>
      </w:r>
    </w:p>
    <w:p w14:paraId="135819DD" w14:textId="77777777" w:rsidR="00EC0652" w:rsidRDefault="00EC0652" w:rsidP="00350F21">
      <w:pPr>
        <w:widowControl w:val="0"/>
        <w:autoSpaceDE w:val="0"/>
        <w:autoSpaceDN w:val="0"/>
        <w:adjustRightInd w:val="0"/>
        <w:rPr>
          <w:rFonts w:asciiTheme="majorHAnsi" w:hAnsiTheme="majorHAnsi" w:cs="Arial"/>
          <w:color w:val="000000"/>
          <w:sz w:val="22"/>
          <w:szCs w:val="22"/>
        </w:rPr>
      </w:pPr>
    </w:p>
    <w:p w14:paraId="655A3FC9" w14:textId="77777777" w:rsidR="00270C96" w:rsidRPr="00350F21" w:rsidRDefault="00270C96" w:rsidP="00350F21">
      <w:pPr>
        <w:widowControl w:val="0"/>
        <w:autoSpaceDE w:val="0"/>
        <w:autoSpaceDN w:val="0"/>
        <w:adjustRightInd w:val="0"/>
        <w:rPr>
          <w:rFonts w:asciiTheme="majorHAnsi" w:hAnsiTheme="majorHAnsi" w:cs="Times"/>
          <w:color w:val="000000"/>
          <w:sz w:val="22"/>
          <w:szCs w:val="22"/>
        </w:rPr>
      </w:pPr>
      <w:r w:rsidRPr="00350F21">
        <w:rPr>
          <w:rFonts w:asciiTheme="majorHAnsi" w:hAnsiTheme="majorHAnsi" w:cs="Helvetica Neue"/>
          <w:color w:val="353535"/>
          <w:sz w:val="22"/>
          <w:szCs w:val="22"/>
        </w:rPr>
        <w:t>Over 1000 scientific studies and/or reports on the dangers associated with COVID injections related to blood clotting, myocarditis, pericarditis, thrombosis, thrombocytopenia, anaphylaxis, Bell’s palsy, Guillain- Barre, deaths, etc. </w:t>
      </w:r>
      <w:r w:rsidRPr="00350F21">
        <w:rPr>
          <w:rFonts w:asciiTheme="majorHAnsi" w:hAnsiTheme="majorHAnsi" w:cs="Helvetica Neue"/>
          <w:color w:val="0000FF"/>
          <w:sz w:val="22"/>
          <w:szCs w:val="22"/>
        </w:rPr>
        <w:t xml:space="preserve">How much more evidence do you need? Here is a list of over 1000 scientific studies, references and reports linking COVID vaccines to hundreds of adverse effects and deaths. (UPDATED) </w:t>
      </w:r>
    </w:p>
    <w:p w14:paraId="381C17DD" w14:textId="77777777" w:rsidR="005441E1" w:rsidRDefault="005441E1" w:rsidP="00350F21">
      <w:pPr>
        <w:widowControl w:val="0"/>
        <w:autoSpaceDE w:val="0"/>
        <w:autoSpaceDN w:val="0"/>
        <w:adjustRightInd w:val="0"/>
        <w:rPr>
          <w:rFonts w:asciiTheme="majorHAnsi" w:hAnsiTheme="majorHAnsi" w:cs="Cambria"/>
          <w:color w:val="000000"/>
          <w:sz w:val="22"/>
          <w:szCs w:val="22"/>
        </w:rPr>
      </w:pPr>
    </w:p>
    <w:p w14:paraId="05091F53" w14:textId="1723EFE6" w:rsidR="00270C96" w:rsidRDefault="00270C96" w:rsidP="00792234">
      <w:pPr>
        <w:widowControl w:val="0"/>
        <w:autoSpaceDE w:val="0"/>
        <w:autoSpaceDN w:val="0"/>
        <w:adjustRightInd w:val="0"/>
        <w:rPr>
          <w:rFonts w:asciiTheme="majorHAnsi" w:hAnsiTheme="majorHAnsi" w:cs="Helvetica Neue"/>
          <w:color w:val="0000FF"/>
          <w:sz w:val="22"/>
          <w:szCs w:val="22"/>
        </w:rPr>
      </w:pPr>
      <w:r w:rsidRPr="00350F21">
        <w:rPr>
          <w:rFonts w:asciiTheme="majorHAnsi" w:hAnsiTheme="majorHAnsi" w:cs="Helvetica Neue"/>
          <w:color w:val="0000FF"/>
          <w:sz w:val="22"/>
          <w:szCs w:val="22"/>
        </w:rPr>
        <w:t xml:space="preserve">https://elcolectivodeuno.wordpress.com/2021/12/29/how-much-more-evidence-do-you-need-here-is-a- list-of-860-scientific-studies-and-reports-linking-covid-vaccines-to-hundreds-of-adverse-effects-and- deaths/ </w:t>
      </w:r>
    </w:p>
    <w:p w14:paraId="4A29E5B0" w14:textId="5661B9F7" w:rsidR="00C04C84" w:rsidRPr="00C04C84" w:rsidRDefault="00E20993" w:rsidP="00C04C84">
      <w:pPr>
        <w:pStyle w:val="Heading2"/>
      </w:pPr>
      <w:r>
        <w:t>Annex 2</w:t>
      </w:r>
      <w:r w:rsidR="001E71DA">
        <w:t xml:space="preserve"> – two letters by medical doctors</w:t>
      </w:r>
      <w:r w:rsidR="00C04C84">
        <w:t xml:space="preserve"> regarding difficult access to information, treatment, </w:t>
      </w:r>
      <w:r w:rsidR="006052D6">
        <w:t>compensation</w:t>
      </w:r>
      <w:r w:rsidR="004B1B02">
        <w:t xml:space="preserve"> for vaccine injuries in NZ</w:t>
      </w:r>
      <w:r w:rsidR="00C04C84">
        <w:t xml:space="preserve"> </w:t>
      </w:r>
    </w:p>
    <w:p w14:paraId="2B94BB91" w14:textId="445D74F8" w:rsidR="00B34EB6" w:rsidRPr="00286894" w:rsidRDefault="00B34EB6" w:rsidP="00B34EB6">
      <w:pPr>
        <w:widowControl w:val="0"/>
        <w:autoSpaceDE w:val="0"/>
        <w:autoSpaceDN w:val="0"/>
        <w:adjustRightInd w:val="0"/>
        <w:rPr>
          <w:rFonts w:asciiTheme="majorHAnsi" w:hAnsiTheme="majorHAnsi" w:cs="Times"/>
          <w:b/>
          <w:color w:val="000000"/>
          <w:sz w:val="22"/>
          <w:szCs w:val="22"/>
        </w:rPr>
      </w:pPr>
      <w:r w:rsidRPr="00286894">
        <w:rPr>
          <w:rFonts w:asciiTheme="majorHAnsi" w:hAnsiTheme="majorHAnsi" w:cs="Times New Roman"/>
          <w:b/>
          <w:color w:val="00000A"/>
          <w:sz w:val="22"/>
          <w:szCs w:val="22"/>
        </w:rPr>
        <w:t xml:space="preserve">To the Disability Rights Commissioner, New Zealand Human Rights Commission 3 April 2022 </w:t>
      </w:r>
    </w:p>
    <w:p w14:paraId="52087F5D"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03EC62DA"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I write as a doctor working to service patients who might be having health issues related to the New Zealand Covid Response Act. I am a member of New Zealand Doctors Speaking Out with Science, NZDSOS, and work on our help line. </w:t>
      </w:r>
    </w:p>
    <w:p w14:paraId="2B0AFC70" w14:textId="77777777" w:rsidR="00B34EB6" w:rsidRDefault="00B34EB6" w:rsidP="00B34EB6">
      <w:pPr>
        <w:widowControl w:val="0"/>
        <w:autoSpaceDE w:val="0"/>
        <w:autoSpaceDN w:val="0"/>
        <w:adjustRightInd w:val="0"/>
        <w:rPr>
          <w:rFonts w:asciiTheme="majorHAnsi" w:hAnsiTheme="majorHAnsi" w:cs="Times"/>
          <w:b/>
          <w:bCs/>
          <w:color w:val="00000A"/>
          <w:sz w:val="22"/>
          <w:szCs w:val="22"/>
        </w:rPr>
      </w:pPr>
    </w:p>
    <w:p w14:paraId="1E98E903"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w:b/>
          <w:bCs/>
          <w:color w:val="00000A"/>
          <w:sz w:val="22"/>
          <w:szCs w:val="22"/>
        </w:rPr>
        <w:t xml:space="preserve">Why did we set up this service when patients already have access to subsidised general and specialist medical services in New Zealand? </w:t>
      </w:r>
    </w:p>
    <w:p w14:paraId="6B2FEB2F"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When the pandemic was initially declared, social distancing, lockdowns, masks and experimental genetic injections were determined to be the best way of handling it in order to “flatten the curve”. </w:t>
      </w:r>
    </w:p>
    <w:p w14:paraId="5F830C82"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285E54C6"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There are issues with all 4 these methods, yet patients and health professionals were advised to accept the government as the single source of truth and to ignore any controversy. </w:t>
      </w:r>
    </w:p>
    <w:p w14:paraId="45E6FC95"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The Medical and Dental Councils sent out letters to doctors and dentists advising that if we spoke against the “vaccine” we would find it difficult to defend ourselves to our Councils who might choose to take disciplinary action against us. </w:t>
      </w:r>
    </w:p>
    <w:p w14:paraId="4183BD6E"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4974B300"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This was shocking in its clear contrast to our usual best practice which involved informed consent. It was also shocking because information from other countries was already available at the time of the “rollout” in New Zealand indicating that the experimental genetic injections were associated with injury and death. </w:t>
      </w:r>
    </w:p>
    <w:p w14:paraId="7606F582"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1D03DCCC"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We read reports from countries like the UK, Israel and the US. We spoke with their doctors and we learned about the successful, early treatment of the disease commonly called “Covid” using repurposed medications and supplements. We also learned about the treatment of “vaccine injuries”. </w:t>
      </w:r>
    </w:p>
    <w:p w14:paraId="0405602F"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383A30C3"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It became obvious that we were health professionals in a minority amongst our peers, who seemed ignorant of significant scientific papers and emerging epidemiological data indicating the danger of the Pfizer “vaccine” in use in our country. </w:t>
      </w:r>
    </w:p>
    <w:p w14:paraId="5D47AA89"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2B6D7A97"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We formed NZDSOS and created a website </w:t>
      </w:r>
      <w:r w:rsidRPr="00B34EB6">
        <w:rPr>
          <w:rFonts w:asciiTheme="majorHAnsi" w:hAnsiTheme="majorHAnsi" w:cs="Times New Roman"/>
          <w:color w:val="0B4CB4"/>
          <w:sz w:val="22"/>
          <w:szCs w:val="22"/>
        </w:rPr>
        <w:t xml:space="preserve">www.nzdsos.com </w:t>
      </w:r>
      <w:r w:rsidRPr="00B34EB6">
        <w:rPr>
          <w:rFonts w:asciiTheme="majorHAnsi" w:hAnsiTheme="majorHAnsi" w:cs="Times New Roman"/>
          <w:color w:val="00000A"/>
          <w:sz w:val="22"/>
          <w:szCs w:val="22"/>
        </w:rPr>
        <w:t xml:space="preserve">which offers information not readily available from our subsidised health care system. </w:t>
      </w:r>
    </w:p>
    <w:p w14:paraId="21664434"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2204ACDA"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It came to our attention that patients who were concerned that they were feeling unwell following the Pfizer injections were being dismissed in a way that seemed inappropriate by Emergency Departments and General Medical Practices. This was reported not only by patients and their relatives but also by nurses and doctors working in the “system”. </w:t>
      </w:r>
    </w:p>
    <w:p w14:paraId="6B535116"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2867F14D"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Under these circumstances, we felt duty-bound to offer to help these patients and I hope I have answered the question, I initially posed, as to the reason NZDSOS set up a “help line”. </w:t>
      </w:r>
    </w:p>
    <w:p w14:paraId="36A0E31A" w14:textId="4CDED3E8"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w:noProof/>
          <w:color w:val="000000"/>
          <w:sz w:val="22"/>
          <w:szCs w:val="22"/>
          <w:lang w:val="en-GB" w:eastAsia="en-GB"/>
        </w:rPr>
        <w:drawing>
          <wp:inline distT="0" distB="0" distL="0" distR="0" wp14:anchorId="67CFD7BF" wp14:editId="414D4863">
            <wp:extent cx="617855" cy="825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7855" cy="8255"/>
                    </a:xfrm>
                    <a:prstGeom prst="rect">
                      <a:avLst/>
                    </a:prstGeom>
                    <a:noFill/>
                    <a:ln>
                      <a:noFill/>
                    </a:ln>
                  </pic:spPr>
                </pic:pic>
              </a:graphicData>
            </a:graphic>
          </wp:inline>
        </w:drawing>
      </w:r>
      <w:r w:rsidRPr="00B34EB6">
        <w:rPr>
          <w:rFonts w:asciiTheme="majorHAnsi" w:hAnsiTheme="majorHAnsi" w:cs="Times"/>
          <w:color w:val="000000"/>
          <w:sz w:val="22"/>
          <w:szCs w:val="22"/>
        </w:rPr>
        <w:t xml:space="preserve"> </w:t>
      </w:r>
    </w:p>
    <w:p w14:paraId="553524E6"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The situation for patients seeking help for potential “vaccine” injuries has improved somewhat as more health practitioners have realised that the “vaccines” are actually dangerous, but the same problems persist and I am speaking out today on behalf of those disabled by the Pfizer experimental injections. </w:t>
      </w:r>
    </w:p>
    <w:p w14:paraId="765A9CCB" w14:textId="77777777" w:rsidR="00B34EB6" w:rsidRDefault="00B34EB6" w:rsidP="00B34EB6">
      <w:pPr>
        <w:widowControl w:val="0"/>
        <w:autoSpaceDE w:val="0"/>
        <w:autoSpaceDN w:val="0"/>
        <w:adjustRightInd w:val="0"/>
        <w:rPr>
          <w:rFonts w:asciiTheme="majorHAnsi" w:hAnsiTheme="majorHAnsi" w:cs="Times"/>
          <w:b/>
          <w:bCs/>
          <w:color w:val="00000A"/>
          <w:sz w:val="22"/>
          <w:szCs w:val="22"/>
        </w:rPr>
      </w:pPr>
    </w:p>
    <w:p w14:paraId="72D57E31"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w:b/>
          <w:bCs/>
          <w:color w:val="00000A"/>
          <w:sz w:val="22"/>
          <w:szCs w:val="22"/>
        </w:rPr>
        <w:t xml:space="preserve">Who is our typical patient? </w:t>
      </w:r>
    </w:p>
    <w:p w14:paraId="03571A8F"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Without employing a statistician to answer this question, I can just have an educated guess. It would be simple enough to employ such a person to look at our records and provide more accurate information and if the Human Rights Commission would like to direct some funding towards this, I would willingly organise it. </w:t>
      </w:r>
    </w:p>
    <w:p w14:paraId="0D3E15DB" w14:textId="77777777" w:rsidR="00B34EB6" w:rsidRDefault="00B34EB6" w:rsidP="00B34EB6">
      <w:pPr>
        <w:widowControl w:val="0"/>
        <w:autoSpaceDE w:val="0"/>
        <w:autoSpaceDN w:val="0"/>
        <w:adjustRightInd w:val="0"/>
        <w:rPr>
          <w:rFonts w:asciiTheme="majorHAnsi" w:hAnsiTheme="majorHAnsi" w:cs="Times New Roman"/>
          <w:color w:val="00000A"/>
          <w:sz w:val="22"/>
          <w:szCs w:val="22"/>
        </w:rPr>
      </w:pPr>
    </w:p>
    <w:p w14:paraId="54E68225" w14:textId="19DFC113"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Let me briefly describe the most recent “new” patient I have seen who is actually fairly typical: a 26yr old female previously well and running marathons. </w:t>
      </w:r>
      <w:r w:rsidR="00D820DF">
        <w:rPr>
          <w:rFonts w:asciiTheme="majorHAnsi" w:hAnsiTheme="majorHAnsi" w:cs="Times New Roman"/>
          <w:color w:val="00000A"/>
          <w:sz w:val="22"/>
          <w:szCs w:val="22"/>
        </w:rPr>
        <w:t>First</w:t>
      </w:r>
      <w:r w:rsidRPr="00B34EB6">
        <w:rPr>
          <w:rFonts w:asciiTheme="majorHAnsi" w:hAnsiTheme="majorHAnsi" w:cs="Times New Roman"/>
          <w:color w:val="00000A"/>
          <w:position w:val="16"/>
          <w:sz w:val="22"/>
          <w:szCs w:val="22"/>
        </w:rPr>
        <w:t xml:space="preserve"> </w:t>
      </w:r>
      <w:r w:rsidRPr="00B34EB6">
        <w:rPr>
          <w:rFonts w:asciiTheme="majorHAnsi" w:hAnsiTheme="majorHAnsi" w:cs="Times New Roman"/>
          <w:color w:val="00000A"/>
          <w:sz w:val="22"/>
          <w:szCs w:val="22"/>
        </w:rPr>
        <w:t xml:space="preserve">Pfizer injection September 2021. She developed an elevated heart rate and a tightening in her throat 6 hours later and attended ED where anxiety was diagnosed and she was discharged. Her GP reassured her it was </w:t>
      </w:r>
      <w:r w:rsidR="00D820DF">
        <w:rPr>
          <w:rFonts w:asciiTheme="majorHAnsi" w:hAnsiTheme="majorHAnsi" w:cs="Times New Roman"/>
          <w:color w:val="00000A"/>
          <w:sz w:val="22"/>
          <w:szCs w:val="22"/>
        </w:rPr>
        <w:t>O</w:t>
      </w:r>
      <w:r w:rsidRPr="00B34EB6">
        <w:rPr>
          <w:rFonts w:asciiTheme="majorHAnsi" w:hAnsiTheme="majorHAnsi" w:cs="Times New Roman"/>
          <w:color w:val="00000A"/>
          <w:sz w:val="22"/>
          <w:szCs w:val="22"/>
        </w:rPr>
        <w:t xml:space="preserve">K to have the </w:t>
      </w:r>
      <w:r w:rsidR="00D820DF">
        <w:rPr>
          <w:rFonts w:asciiTheme="majorHAnsi" w:hAnsiTheme="majorHAnsi" w:cs="Times New Roman"/>
          <w:color w:val="00000A"/>
          <w:sz w:val="22"/>
          <w:szCs w:val="22"/>
        </w:rPr>
        <w:t>second</w:t>
      </w:r>
      <w:r w:rsidRPr="00B34EB6">
        <w:rPr>
          <w:rFonts w:asciiTheme="majorHAnsi" w:hAnsiTheme="majorHAnsi" w:cs="Times New Roman"/>
          <w:color w:val="00000A"/>
          <w:position w:val="16"/>
          <w:sz w:val="22"/>
          <w:szCs w:val="22"/>
        </w:rPr>
        <w:t xml:space="preserve"> </w:t>
      </w:r>
      <w:r w:rsidRPr="00B34EB6">
        <w:rPr>
          <w:rFonts w:asciiTheme="majorHAnsi" w:hAnsiTheme="majorHAnsi" w:cs="Times New Roman"/>
          <w:color w:val="00000A"/>
          <w:sz w:val="22"/>
          <w:szCs w:val="22"/>
        </w:rPr>
        <w:t>injection</w:t>
      </w:r>
      <w:r w:rsidR="000F4F17">
        <w:rPr>
          <w:rFonts w:asciiTheme="majorHAnsi" w:hAnsiTheme="majorHAnsi" w:cs="Times New Roman"/>
          <w:color w:val="00000A"/>
          <w:sz w:val="22"/>
          <w:szCs w:val="22"/>
        </w:rPr>
        <w:t>.</w:t>
      </w:r>
      <w:r w:rsidRPr="00B34EB6">
        <w:rPr>
          <w:rFonts w:asciiTheme="majorHAnsi" w:hAnsiTheme="majorHAnsi" w:cs="Times New Roman"/>
          <w:color w:val="00000A"/>
          <w:sz w:val="22"/>
          <w:szCs w:val="22"/>
        </w:rPr>
        <w:t xml:space="preserve"> </w:t>
      </w:r>
      <w:r w:rsidR="00D820DF">
        <w:rPr>
          <w:rFonts w:asciiTheme="majorHAnsi" w:hAnsiTheme="majorHAnsi" w:cs="Times New Roman"/>
          <w:color w:val="00000A"/>
          <w:sz w:val="22"/>
          <w:szCs w:val="22"/>
        </w:rPr>
        <w:t>Second</w:t>
      </w:r>
      <w:r w:rsidRPr="00B34EB6">
        <w:rPr>
          <w:rFonts w:asciiTheme="majorHAnsi" w:hAnsiTheme="majorHAnsi" w:cs="Times New Roman"/>
          <w:color w:val="00000A"/>
          <w:position w:val="16"/>
          <w:sz w:val="22"/>
          <w:szCs w:val="22"/>
        </w:rPr>
        <w:t xml:space="preserve"> </w:t>
      </w:r>
      <w:r w:rsidRPr="00B34EB6">
        <w:rPr>
          <w:rFonts w:asciiTheme="majorHAnsi" w:hAnsiTheme="majorHAnsi" w:cs="Times New Roman"/>
          <w:color w:val="00000A"/>
          <w:sz w:val="22"/>
          <w:szCs w:val="22"/>
        </w:rPr>
        <w:t xml:space="preserve">Pfizer injection in October. 24hrs later she complained of chest pain, nausea, rigors and headaches. She was in bed for a week with a feeling in her throat that felt like she was being strangled. She has been unwell ever since and has had multiple visits to </w:t>
      </w:r>
      <w:r w:rsidR="000F4F17">
        <w:rPr>
          <w:rFonts w:asciiTheme="majorHAnsi" w:hAnsiTheme="majorHAnsi" w:cs="Times New Roman"/>
          <w:color w:val="00000A"/>
          <w:sz w:val="22"/>
          <w:szCs w:val="22"/>
        </w:rPr>
        <w:t xml:space="preserve">the </w:t>
      </w:r>
      <w:r w:rsidRPr="00B34EB6">
        <w:rPr>
          <w:rFonts w:asciiTheme="majorHAnsi" w:hAnsiTheme="majorHAnsi" w:cs="Times New Roman"/>
          <w:color w:val="00000A"/>
          <w:sz w:val="22"/>
          <w:szCs w:val="22"/>
        </w:rPr>
        <w:t>E</w:t>
      </w:r>
      <w:r w:rsidR="000F4F17">
        <w:rPr>
          <w:rFonts w:asciiTheme="majorHAnsi" w:hAnsiTheme="majorHAnsi" w:cs="Times New Roman"/>
          <w:color w:val="00000A"/>
          <w:sz w:val="22"/>
          <w:szCs w:val="22"/>
        </w:rPr>
        <w:t xml:space="preserve">mergency </w:t>
      </w:r>
      <w:r w:rsidRPr="00B34EB6">
        <w:rPr>
          <w:rFonts w:asciiTheme="majorHAnsi" w:hAnsiTheme="majorHAnsi" w:cs="Times New Roman"/>
          <w:color w:val="00000A"/>
          <w:sz w:val="22"/>
          <w:szCs w:val="22"/>
        </w:rPr>
        <w:t>D</w:t>
      </w:r>
      <w:r w:rsidR="000F4F17">
        <w:rPr>
          <w:rFonts w:asciiTheme="majorHAnsi" w:hAnsiTheme="majorHAnsi" w:cs="Times New Roman"/>
          <w:color w:val="00000A"/>
          <w:sz w:val="22"/>
          <w:szCs w:val="22"/>
        </w:rPr>
        <w:t>epartment</w:t>
      </w:r>
      <w:r w:rsidRPr="00B34EB6">
        <w:rPr>
          <w:rFonts w:asciiTheme="majorHAnsi" w:hAnsiTheme="majorHAnsi" w:cs="Times New Roman"/>
          <w:color w:val="00000A"/>
          <w:sz w:val="22"/>
          <w:szCs w:val="22"/>
        </w:rPr>
        <w:t xml:space="preserve"> and her GP. She was told an ECG was suggestive of pericarditis but this was not diagnosed. She has been given medication for anxiety and has been told she has costochondritis and recurrent viral infections. For 6 months she has had daily chest pain which moves around the front and sides of her chest. She is unable to sleep on either side because that makes it worse. About once a month she has to stay in bed with bad nausea, light-headedness, vomiting and diarrhoea. The trigger for these episodes is mild exercise. </w:t>
      </w:r>
    </w:p>
    <w:p w14:paraId="2A1BA02E"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Her mother who also attended the consultation said that previously her daughter had been a healthy child and was rarely sick. </w:t>
      </w:r>
    </w:p>
    <w:p w14:paraId="37FEBCEF" w14:textId="77777777" w:rsidR="00431FEE" w:rsidRDefault="00431FEE" w:rsidP="00B34EB6">
      <w:pPr>
        <w:widowControl w:val="0"/>
        <w:autoSpaceDE w:val="0"/>
        <w:autoSpaceDN w:val="0"/>
        <w:adjustRightInd w:val="0"/>
        <w:rPr>
          <w:rFonts w:asciiTheme="majorHAnsi" w:hAnsiTheme="majorHAnsi" w:cs="Times New Roman"/>
          <w:color w:val="00000A"/>
          <w:sz w:val="22"/>
          <w:szCs w:val="22"/>
        </w:rPr>
      </w:pPr>
    </w:p>
    <w:p w14:paraId="00DCDD48"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In summary she is not well, having been fit, motivated and healthy prior to the first Pfizer injection. She remains without a satisfactory diagnosis after 6 months. She needs further investigation and rational treatment. </w:t>
      </w:r>
    </w:p>
    <w:p w14:paraId="42A2FE28" w14:textId="77777777" w:rsidR="00431FEE" w:rsidRDefault="00431FEE" w:rsidP="00B34EB6">
      <w:pPr>
        <w:widowControl w:val="0"/>
        <w:autoSpaceDE w:val="0"/>
        <w:autoSpaceDN w:val="0"/>
        <w:adjustRightInd w:val="0"/>
        <w:rPr>
          <w:rFonts w:asciiTheme="majorHAnsi" w:hAnsiTheme="majorHAnsi" w:cs="Times New Roman"/>
          <w:color w:val="00000A"/>
          <w:sz w:val="22"/>
          <w:szCs w:val="22"/>
        </w:rPr>
      </w:pPr>
    </w:p>
    <w:p w14:paraId="3421BB18"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I note that Sweden is compensating people for “vaccine injuries” without needing to prove the diagnosis – it just has to be that “vaccine injury” is more likely than anything else. This seems a reasonable approach. </w:t>
      </w:r>
    </w:p>
    <w:p w14:paraId="01FD1C80" w14:textId="77777777" w:rsidR="00431FEE" w:rsidRDefault="00431FEE" w:rsidP="00B34EB6">
      <w:pPr>
        <w:widowControl w:val="0"/>
        <w:autoSpaceDE w:val="0"/>
        <w:autoSpaceDN w:val="0"/>
        <w:adjustRightInd w:val="0"/>
        <w:rPr>
          <w:rFonts w:asciiTheme="majorHAnsi" w:hAnsiTheme="majorHAnsi" w:cs="Times New Roman"/>
          <w:color w:val="00000A"/>
          <w:sz w:val="22"/>
          <w:szCs w:val="22"/>
        </w:rPr>
      </w:pPr>
    </w:p>
    <w:p w14:paraId="0D135A72"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We have many people who are now disabled. This young woman is able to work from home in a sedentary way. She is no longer able to exercise or enjoy her previous social life. Many of our patients are not even able to do sedentary work. </w:t>
      </w:r>
    </w:p>
    <w:p w14:paraId="663B176A" w14:textId="77777777" w:rsidR="00431FEE" w:rsidRDefault="00431FEE" w:rsidP="00B34EB6">
      <w:pPr>
        <w:widowControl w:val="0"/>
        <w:autoSpaceDE w:val="0"/>
        <w:autoSpaceDN w:val="0"/>
        <w:adjustRightInd w:val="0"/>
        <w:rPr>
          <w:rFonts w:asciiTheme="majorHAnsi" w:hAnsiTheme="majorHAnsi" w:cs="Times"/>
          <w:b/>
          <w:bCs/>
          <w:color w:val="00000A"/>
          <w:sz w:val="22"/>
          <w:szCs w:val="22"/>
        </w:rPr>
      </w:pPr>
    </w:p>
    <w:p w14:paraId="3A817469"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w:b/>
          <w:bCs/>
          <w:color w:val="00000A"/>
          <w:sz w:val="22"/>
          <w:szCs w:val="22"/>
        </w:rPr>
        <w:t xml:space="preserve">Barriers to diagnosis </w:t>
      </w:r>
    </w:p>
    <w:p w14:paraId="135BA9B1" w14:textId="77777777" w:rsidR="00B34EB6" w:rsidRPr="00431FEE" w:rsidRDefault="00B34EB6" w:rsidP="00431FEE">
      <w:pPr>
        <w:pStyle w:val="ListParagraph"/>
        <w:widowControl w:val="0"/>
        <w:numPr>
          <w:ilvl w:val="0"/>
          <w:numId w:val="16"/>
        </w:numPr>
        <w:tabs>
          <w:tab w:val="left" w:pos="220"/>
          <w:tab w:val="left" w:pos="720"/>
        </w:tabs>
        <w:autoSpaceDE w:val="0"/>
        <w:autoSpaceDN w:val="0"/>
        <w:adjustRightInd w:val="0"/>
        <w:rPr>
          <w:rFonts w:asciiTheme="majorHAnsi" w:hAnsiTheme="majorHAnsi" w:cs="Symbol"/>
          <w:color w:val="00000A"/>
          <w:sz w:val="22"/>
          <w:szCs w:val="22"/>
        </w:rPr>
      </w:pPr>
      <w:r w:rsidRPr="00431FEE">
        <w:rPr>
          <w:rFonts w:asciiTheme="majorHAnsi" w:hAnsiTheme="majorHAnsi" w:cs="Times New Roman"/>
          <w:color w:val="00000A"/>
          <w:sz w:val="22"/>
          <w:szCs w:val="22"/>
        </w:rPr>
        <w:t xml:space="preserve">reluctance on the part of doctors to believe that the symptoms could be caused by the Pfizer injections </w:t>
      </w:r>
      <w:r w:rsidRPr="00431FEE">
        <w:rPr>
          <w:rFonts w:asciiTheme="majorHAnsi" w:hAnsiTheme="majorHAnsi" w:cs="Symbol"/>
          <w:color w:val="00000A"/>
          <w:sz w:val="22"/>
          <w:szCs w:val="22"/>
        </w:rPr>
        <w:t> </w:t>
      </w:r>
    </w:p>
    <w:p w14:paraId="3E89964F" w14:textId="77777777" w:rsidR="00B34EB6" w:rsidRPr="00431FEE" w:rsidRDefault="00B34EB6" w:rsidP="00431FEE">
      <w:pPr>
        <w:pStyle w:val="ListParagraph"/>
        <w:widowControl w:val="0"/>
        <w:numPr>
          <w:ilvl w:val="0"/>
          <w:numId w:val="16"/>
        </w:numPr>
        <w:tabs>
          <w:tab w:val="left" w:pos="220"/>
          <w:tab w:val="left" w:pos="720"/>
        </w:tabs>
        <w:autoSpaceDE w:val="0"/>
        <w:autoSpaceDN w:val="0"/>
        <w:adjustRightInd w:val="0"/>
        <w:rPr>
          <w:rFonts w:asciiTheme="majorHAnsi" w:hAnsiTheme="majorHAnsi" w:cs="Symbol"/>
          <w:color w:val="00000A"/>
          <w:sz w:val="22"/>
          <w:szCs w:val="22"/>
        </w:rPr>
      </w:pPr>
      <w:r w:rsidRPr="00431FEE">
        <w:rPr>
          <w:rFonts w:asciiTheme="majorHAnsi" w:hAnsiTheme="majorHAnsi" w:cs="Times New Roman"/>
          <w:color w:val="00000A"/>
          <w:sz w:val="22"/>
          <w:szCs w:val="22"/>
        </w:rPr>
        <w:t xml:space="preserve">doctors have been advised to look out for myocarditis and pericarditis but told that it is rare and not given adequate education about the presentation and diagnosis </w:t>
      </w:r>
      <w:r w:rsidRPr="00431FEE">
        <w:rPr>
          <w:rFonts w:asciiTheme="majorHAnsi" w:hAnsiTheme="majorHAnsi" w:cs="Symbol"/>
          <w:color w:val="00000A"/>
          <w:sz w:val="22"/>
          <w:szCs w:val="22"/>
        </w:rPr>
        <w:t> </w:t>
      </w:r>
    </w:p>
    <w:p w14:paraId="3F583894" w14:textId="77777777" w:rsidR="00B34EB6" w:rsidRPr="00431FEE" w:rsidRDefault="00B34EB6" w:rsidP="00431FEE">
      <w:pPr>
        <w:pStyle w:val="ListParagraph"/>
        <w:widowControl w:val="0"/>
        <w:numPr>
          <w:ilvl w:val="0"/>
          <w:numId w:val="16"/>
        </w:numPr>
        <w:tabs>
          <w:tab w:val="left" w:pos="220"/>
          <w:tab w:val="left" w:pos="720"/>
        </w:tabs>
        <w:autoSpaceDE w:val="0"/>
        <w:autoSpaceDN w:val="0"/>
        <w:adjustRightInd w:val="0"/>
        <w:rPr>
          <w:rFonts w:asciiTheme="majorHAnsi" w:hAnsiTheme="majorHAnsi" w:cs="Symbol"/>
          <w:color w:val="00000A"/>
          <w:sz w:val="22"/>
          <w:szCs w:val="22"/>
        </w:rPr>
      </w:pPr>
      <w:r w:rsidRPr="00431FEE">
        <w:rPr>
          <w:rFonts w:asciiTheme="majorHAnsi" w:hAnsiTheme="majorHAnsi" w:cs="Times New Roman"/>
          <w:color w:val="00000A"/>
          <w:sz w:val="22"/>
          <w:szCs w:val="22"/>
        </w:rPr>
        <w:t xml:space="preserve">a lack of understanding of the pathology relating to the injuries </w:t>
      </w:r>
      <w:r w:rsidRPr="00431FEE">
        <w:rPr>
          <w:rFonts w:asciiTheme="majorHAnsi" w:hAnsiTheme="majorHAnsi" w:cs="Symbol"/>
          <w:color w:val="00000A"/>
          <w:sz w:val="22"/>
          <w:szCs w:val="22"/>
        </w:rPr>
        <w:t> </w:t>
      </w:r>
    </w:p>
    <w:p w14:paraId="367F647A" w14:textId="77777777" w:rsidR="00B34EB6" w:rsidRPr="00431FEE" w:rsidRDefault="00B34EB6" w:rsidP="00431FEE">
      <w:pPr>
        <w:pStyle w:val="ListParagraph"/>
        <w:widowControl w:val="0"/>
        <w:numPr>
          <w:ilvl w:val="0"/>
          <w:numId w:val="16"/>
        </w:numPr>
        <w:tabs>
          <w:tab w:val="left" w:pos="220"/>
          <w:tab w:val="left" w:pos="720"/>
        </w:tabs>
        <w:autoSpaceDE w:val="0"/>
        <w:autoSpaceDN w:val="0"/>
        <w:adjustRightInd w:val="0"/>
        <w:rPr>
          <w:rFonts w:asciiTheme="majorHAnsi" w:hAnsiTheme="majorHAnsi" w:cs="Symbol"/>
          <w:color w:val="00000A"/>
          <w:sz w:val="22"/>
          <w:szCs w:val="22"/>
        </w:rPr>
      </w:pPr>
      <w:r w:rsidRPr="00431FEE">
        <w:rPr>
          <w:rFonts w:asciiTheme="majorHAnsi" w:hAnsiTheme="majorHAnsi" w:cs="Times New Roman"/>
          <w:color w:val="00000A"/>
          <w:sz w:val="22"/>
          <w:szCs w:val="22"/>
        </w:rPr>
        <w:t xml:space="preserve">delay in getting access to proper investigation due to the above and due to a lack of </w:t>
      </w:r>
      <w:r w:rsidRPr="00431FEE">
        <w:rPr>
          <w:rFonts w:asciiTheme="majorHAnsi" w:hAnsiTheme="majorHAnsi" w:cs="Symbol"/>
          <w:color w:val="00000A"/>
          <w:sz w:val="22"/>
          <w:szCs w:val="22"/>
        </w:rPr>
        <w:t> </w:t>
      </w:r>
      <w:r w:rsidRPr="00431FEE">
        <w:rPr>
          <w:rFonts w:asciiTheme="majorHAnsi" w:hAnsiTheme="majorHAnsi" w:cs="Times New Roman"/>
          <w:color w:val="00000A"/>
          <w:sz w:val="22"/>
          <w:szCs w:val="22"/>
        </w:rPr>
        <w:t xml:space="preserve">available specialist appointments </w:t>
      </w:r>
      <w:r w:rsidRPr="00431FEE">
        <w:rPr>
          <w:rFonts w:asciiTheme="majorHAnsi" w:hAnsiTheme="majorHAnsi" w:cs="Symbol"/>
          <w:color w:val="00000A"/>
          <w:sz w:val="22"/>
          <w:szCs w:val="22"/>
        </w:rPr>
        <w:t> </w:t>
      </w:r>
    </w:p>
    <w:p w14:paraId="5C5FE823" w14:textId="77777777" w:rsidR="00431FEE" w:rsidRDefault="00B34EB6" w:rsidP="00431FEE">
      <w:pPr>
        <w:pStyle w:val="ListParagraph"/>
        <w:widowControl w:val="0"/>
        <w:numPr>
          <w:ilvl w:val="0"/>
          <w:numId w:val="16"/>
        </w:numPr>
        <w:tabs>
          <w:tab w:val="left" w:pos="220"/>
          <w:tab w:val="left" w:pos="720"/>
        </w:tabs>
        <w:autoSpaceDE w:val="0"/>
        <w:autoSpaceDN w:val="0"/>
        <w:adjustRightInd w:val="0"/>
        <w:rPr>
          <w:rFonts w:asciiTheme="majorHAnsi" w:hAnsiTheme="majorHAnsi" w:cs="Symbol"/>
          <w:color w:val="00000A"/>
          <w:sz w:val="22"/>
          <w:szCs w:val="22"/>
        </w:rPr>
      </w:pPr>
      <w:r w:rsidRPr="00431FEE">
        <w:rPr>
          <w:rFonts w:asciiTheme="majorHAnsi" w:hAnsiTheme="majorHAnsi" w:cs="Times New Roman"/>
          <w:color w:val="00000A"/>
          <w:sz w:val="22"/>
          <w:szCs w:val="22"/>
        </w:rPr>
        <w:t xml:space="preserve">specialist appointments can be paid for and accessed earlier than via the public hospital </w:t>
      </w:r>
      <w:r w:rsidRPr="00431FEE">
        <w:rPr>
          <w:rFonts w:asciiTheme="majorHAnsi" w:hAnsiTheme="majorHAnsi" w:cs="Symbol"/>
          <w:color w:val="00000A"/>
          <w:sz w:val="22"/>
          <w:szCs w:val="22"/>
        </w:rPr>
        <w:t> </w:t>
      </w:r>
      <w:r w:rsidRPr="00431FEE">
        <w:rPr>
          <w:rFonts w:asciiTheme="majorHAnsi" w:hAnsiTheme="majorHAnsi" w:cs="Times New Roman"/>
          <w:color w:val="00000A"/>
          <w:sz w:val="22"/>
          <w:szCs w:val="22"/>
        </w:rPr>
        <w:t xml:space="preserve">but finances can be severely limited when people are unable to work </w:t>
      </w:r>
      <w:r w:rsidRPr="00431FEE">
        <w:rPr>
          <w:rFonts w:asciiTheme="majorHAnsi" w:hAnsiTheme="majorHAnsi" w:cs="Symbol"/>
          <w:color w:val="00000A"/>
          <w:sz w:val="22"/>
          <w:szCs w:val="22"/>
        </w:rPr>
        <w:t> </w:t>
      </w:r>
    </w:p>
    <w:p w14:paraId="0FDF61FB" w14:textId="77777777" w:rsidR="00431FEE" w:rsidRPr="00431FEE" w:rsidRDefault="00431FEE" w:rsidP="00431FEE">
      <w:pPr>
        <w:widowControl w:val="0"/>
        <w:tabs>
          <w:tab w:val="left" w:pos="220"/>
          <w:tab w:val="left" w:pos="720"/>
        </w:tabs>
        <w:autoSpaceDE w:val="0"/>
        <w:autoSpaceDN w:val="0"/>
        <w:adjustRightInd w:val="0"/>
        <w:rPr>
          <w:rFonts w:asciiTheme="majorHAnsi" w:hAnsiTheme="majorHAnsi" w:cs="Symbol"/>
          <w:color w:val="00000A"/>
          <w:sz w:val="22"/>
          <w:szCs w:val="22"/>
        </w:rPr>
      </w:pPr>
    </w:p>
    <w:p w14:paraId="503E6693" w14:textId="66596E0A" w:rsidR="00B34EB6" w:rsidRPr="00431FEE" w:rsidRDefault="00B34EB6" w:rsidP="00431FEE">
      <w:pPr>
        <w:widowControl w:val="0"/>
        <w:tabs>
          <w:tab w:val="left" w:pos="220"/>
          <w:tab w:val="left" w:pos="720"/>
        </w:tabs>
        <w:autoSpaceDE w:val="0"/>
        <w:autoSpaceDN w:val="0"/>
        <w:adjustRightInd w:val="0"/>
        <w:rPr>
          <w:rFonts w:asciiTheme="majorHAnsi" w:hAnsiTheme="majorHAnsi" w:cs="Symbol"/>
          <w:color w:val="00000A"/>
          <w:sz w:val="22"/>
          <w:szCs w:val="22"/>
        </w:rPr>
      </w:pPr>
      <w:r w:rsidRPr="00431FEE">
        <w:rPr>
          <w:rFonts w:asciiTheme="majorHAnsi" w:hAnsiTheme="majorHAnsi" w:cs="Times"/>
          <w:b/>
          <w:bCs/>
          <w:color w:val="00000A"/>
          <w:sz w:val="22"/>
          <w:szCs w:val="22"/>
        </w:rPr>
        <w:t xml:space="preserve">Barriers to treatment </w:t>
      </w:r>
      <w:r w:rsidRPr="00431FEE">
        <w:rPr>
          <w:rFonts w:asciiTheme="majorHAnsi" w:hAnsiTheme="majorHAnsi" w:cs="Symbol"/>
          <w:color w:val="00000A"/>
          <w:sz w:val="22"/>
          <w:szCs w:val="22"/>
        </w:rPr>
        <w:t> </w:t>
      </w:r>
    </w:p>
    <w:p w14:paraId="04F1EF78" w14:textId="77777777" w:rsidR="00B34EB6" w:rsidRPr="00C16E62" w:rsidRDefault="00B34EB6" w:rsidP="00C16E62">
      <w:pPr>
        <w:pStyle w:val="ListParagraph"/>
        <w:widowControl w:val="0"/>
        <w:numPr>
          <w:ilvl w:val="0"/>
          <w:numId w:val="17"/>
        </w:numPr>
        <w:tabs>
          <w:tab w:val="left" w:pos="220"/>
          <w:tab w:val="left" w:pos="720"/>
        </w:tabs>
        <w:autoSpaceDE w:val="0"/>
        <w:autoSpaceDN w:val="0"/>
        <w:adjustRightInd w:val="0"/>
        <w:rPr>
          <w:rFonts w:asciiTheme="majorHAnsi" w:hAnsiTheme="majorHAnsi" w:cs="Symbol"/>
          <w:color w:val="00000A"/>
          <w:sz w:val="22"/>
          <w:szCs w:val="22"/>
        </w:rPr>
      </w:pPr>
      <w:r w:rsidRPr="00C16E62">
        <w:rPr>
          <w:rFonts w:asciiTheme="majorHAnsi" w:hAnsiTheme="majorHAnsi" w:cs="Times New Roman"/>
          <w:color w:val="00000A"/>
          <w:sz w:val="22"/>
          <w:szCs w:val="22"/>
        </w:rPr>
        <w:t xml:space="preserve">similar to the barriers to diagnosis – again there is a lack of knowledge of the process of the injury. </w:t>
      </w:r>
      <w:r w:rsidRPr="00C16E62">
        <w:rPr>
          <w:rFonts w:asciiTheme="majorHAnsi" w:hAnsiTheme="majorHAnsi" w:cs="Symbol"/>
          <w:color w:val="00000A"/>
          <w:sz w:val="22"/>
          <w:szCs w:val="22"/>
        </w:rPr>
        <w:t> </w:t>
      </w:r>
    </w:p>
    <w:p w14:paraId="507C8ECE" w14:textId="77777777" w:rsidR="00B34EB6" w:rsidRPr="00C16E62" w:rsidRDefault="00B34EB6" w:rsidP="00C16E62">
      <w:pPr>
        <w:pStyle w:val="ListParagraph"/>
        <w:widowControl w:val="0"/>
        <w:numPr>
          <w:ilvl w:val="0"/>
          <w:numId w:val="17"/>
        </w:numPr>
        <w:tabs>
          <w:tab w:val="left" w:pos="220"/>
          <w:tab w:val="left" w:pos="720"/>
        </w:tabs>
        <w:autoSpaceDE w:val="0"/>
        <w:autoSpaceDN w:val="0"/>
        <w:adjustRightInd w:val="0"/>
        <w:rPr>
          <w:rFonts w:asciiTheme="majorHAnsi" w:hAnsiTheme="majorHAnsi" w:cs="Symbol"/>
          <w:color w:val="00000A"/>
          <w:sz w:val="22"/>
          <w:szCs w:val="22"/>
        </w:rPr>
      </w:pPr>
      <w:r w:rsidRPr="00C16E62">
        <w:rPr>
          <w:rFonts w:asciiTheme="majorHAnsi" w:hAnsiTheme="majorHAnsi" w:cs="Times New Roman"/>
          <w:color w:val="00000A"/>
          <w:sz w:val="22"/>
          <w:szCs w:val="22"/>
        </w:rPr>
        <w:t xml:space="preserve">lack of knowledge on the part of medical staff about how best to treat these people, this in spite of a large body of knowledge that exists in other countries and protocols that have been developed and shared. </w:t>
      </w:r>
      <w:r w:rsidRPr="00C16E62">
        <w:rPr>
          <w:rFonts w:asciiTheme="majorHAnsi" w:hAnsiTheme="majorHAnsi" w:cs="Symbol"/>
          <w:color w:val="00000A"/>
          <w:sz w:val="22"/>
          <w:szCs w:val="22"/>
        </w:rPr>
        <w:t> </w:t>
      </w:r>
    </w:p>
    <w:p w14:paraId="557F6839" w14:textId="77777777" w:rsidR="00B34EB6" w:rsidRPr="00C16E62" w:rsidRDefault="00B34EB6" w:rsidP="00C16E62">
      <w:pPr>
        <w:pStyle w:val="ListParagraph"/>
        <w:widowControl w:val="0"/>
        <w:numPr>
          <w:ilvl w:val="0"/>
          <w:numId w:val="17"/>
        </w:numPr>
        <w:tabs>
          <w:tab w:val="left" w:pos="220"/>
          <w:tab w:val="left" w:pos="720"/>
        </w:tabs>
        <w:autoSpaceDE w:val="0"/>
        <w:autoSpaceDN w:val="0"/>
        <w:adjustRightInd w:val="0"/>
        <w:rPr>
          <w:rFonts w:asciiTheme="majorHAnsi" w:hAnsiTheme="majorHAnsi" w:cs="Symbol"/>
          <w:color w:val="00000A"/>
          <w:sz w:val="22"/>
          <w:szCs w:val="22"/>
        </w:rPr>
      </w:pPr>
      <w:r w:rsidRPr="00C16E62">
        <w:rPr>
          <w:rFonts w:asciiTheme="majorHAnsi" w:hAnsiTheme="majorHAnsi" w:cs="Times New Roman"/>
          <w:color w:val="00000A"/>
          <w:sz w:val="22"/>
          <w:szCs w:val="22"/>
        </w:rPr>
        <w:t xml:space="preserve">reluctance to employ nutritional supplementation for treatment of these patients. This is a problem in medicine in general. We are poorly trained in this field. It remains a post graduate subject that many doctors have been reluctant to embrace, leaving naturopaths, health food shops and the patients themselves to do the research. </w:t>
      </w:r>
      <w:r w:rsidRPr="00C16E62">
        <w:rPr>
          <w:rFonts w:asciiTheme="majorHAnsi" w:hAnsiTheme="majorHAnsi" w:cs="Symbol"/>
          <w:color w:val="00000A"/>
          <w:sz w:val="22"/>
          <w:szCs w:val="22"/>
        </w:rPr>
        <w:t> </w:t>
      </w:r>
    </w:p>
    <w:p w14:paraId="6E0F6DB1" w14:textId="77777777" w:rsidR="00C16E62" w:rsidRDefault="00B34EB6" w:rsidP="00C16E62">
      <w:pPr>
        <w:pStyle w:val="ListParagraph"/>
        <w:widowControl w:val="0"/>
        <w:numPr>
          <w:ilvl w:val="0"/>
          <w:numId w:val="17"/>
        </w:numPr>
        <w:tabs>
          <w:tab w:val="left" w:pos="220"/>
          <w:tab w:val="left" w:pos="720"/>
        </w:tabs>
        <w:autoSpaceDE w:val="0"/>
        <w:autoSpaceDN w:val="0"/>
        <w:adjustRightInd w:val="0"/>
        <w:rPr>
          <w:rFonts w:asciiTheme="majorHAnsi" w:hAnsiTheme="majorHAnsi" w:cs="Symbol"/>
          <w:color w:val="00000A"/>
          <w:sz w:val="22"/>
          <w:szCs w:val="22"/>
        </w:rPr>
      </w:pPr>
      <w:r w:rsidRPr="00C16E62">
        <w:rPr>
          <w:rFonts w:asciiTheme="majorHAnsi" w:hAnsiTheme="majorHAnsi" w:cs="Times New Roman"/>
          <w:color w:val="00000A"/>
          <w:sz w:val="22"/>
          <w:szCs w:val="22"/>
        </w:rPr>
        <w:t xml:space="preserve">while prescription medicines are subsidized by our taxes, there is no subsidy for the complementary and alternative medicines even when they have been proven to be effective. </w:t>
      </w:r>
      <w:r w:rsidRPr="00C16E62">
        <w:rPr>
          <w:rFonts w:asciiTheme="majorHAnsi" w:hAnsiTheme="majorHAnsi" w:cs="Symbol"/>
          <w:color w:val="00000A"/>
          <w:sz w:val="22"/>
          <w:szCs w:val="22"/>
        </w:rPr>
        <w:t> </w:t>
      </w:r>
    </w:p>
    <w:p w14:paraId="77572536" w14:textId="77777777" w:rsidR="00C16E62" w:rsidRPr="00C16E62" w:rsidRDefault="00C16E62" w:rsidP="00C16E62">
      <w:pPr>
        <w:widowControl w:val="0"/>
        <w:tabs>
          <w:tab w:val="left" w:pos="220"/>
          <w:tab w:val="left" w:pos="720"/>
        </w:tabs>
        <w:autoSpaceDE w:val="0"/>
        <w:autoSpaceDN w:val="0"/>
        <w:adjustRightInd w:val="0"/>
        <w:rPr>
          <w:rFonts w:asciiTheme="majorHAnsi" w:hAnsiTheme="majorHAnsi" w:cs="Symbol"/>
          <w:color w:val="00000A"/>
          <w:sz w:val="22"/>
          <w:szCs w:val="22"/>
        </w:rPr>
      </w:pPr>
    </w:p>
    <w:p w14:paraId="13CE486C" w14:textId="60F0220D" w:rsidR="00B34EB6" w:rsidRPr="00C16E62" w:rsidRDefault="00B34EB6" w:rsidP="00C16E62">
      <w:pPr>
        <w:widowControl w:val="0"/>
        <w:tabs>
          <w:tab w:val="left" w:pos="220"/>
          <w:tab w:val="left" w:pos="720"/>
        </w:tabs>
        <w:autoSpaceDE w:val="0"/>
        <w:autoSpaceDN w:val="0"/>
        <w:adjustRightInd w:val="0"/>
        <w:rPr>
          <w:rFonts w:asciiTheme="majorHAnsi" w:hAnsiTheme="majorHAnsi" w:cs="Symbol"/>
          <w:color w:val="00000A"/>
          <w:sz w:val="22"/>
          <w:szCs w:val="22"/>
        </w:rPr>
      </w:pPr>
      <w:r w:rsidRPr="00C16E62">
        <w:rPr>
          <w:rFonts w:asciiTheme="majorHAnsi" w:hAnsiTheme="majorHAnsi" w:cs="Times New Roman"/>
          <w:color w:val="00000A"/>
          <w:sz w:val="22"/>
          <w:szCs w:val="22"/>
        </w:rPr>
        <w:t xml:space="preserve">To answer the question as to why Maori and Pacifika might be more heavily affected, I would guess that they have more comorbidities. This would be because of underlying inflammation: </w:t>
      </w:r>
    </w:p>
    <w:p w14:paraId="6BBD186B" w14:textId="77777777" w:rsidR="00B34EB6" w:rsidRPr="00B34EB6"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 xml:space="preserve">a more inflammatory diet with higher content of refined carbohydrates and unhealthy fats </w:t>
      </w:r>
      <w:r w:rsidRPr="00B34EB6">
        <w:rPr>
          <w:rFonts w:asciiTheme="majorHAnsi" w:hAnsiTheme="majorHAnsi" w:cs="Symbol"/>
          <w:color w:val="00000A"/>
          <w:sz w:val="22"/>
          <w:szCs w:val="22"/>
        </w:rPr>
        <w:t> </w:t>
      </w:r>
    </w:p>
    <w:p w14:paraId="505EC21F" w14:textId="77777777" w:rsidR="00B34EB6" w:rsidRPr="00B34EB6"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 xml:space="preserve">darker skin and lower vitamin D levels </w:t>
      </w:r>
      <w:r w:rsidRPr="00B34EB6">
        <w:rPr>
          <w:rFonts w:asciiTheme="majorHAnsi" w:hAnsiTheme="majorHAnsi" w:cs="Symbol"/>
          <w:color w:val="00000A"/>
          <w:sz w:val="22"/>
          <w:szCs w:val="22"/>
        </w:rPr>
        <w:t> </w:t>
      </w:r>
    </w:p>
    <w:p w14:paraId="5E4A05D6" w14:textId="77777777" w:rsidR="00B34EB6" w:rsidRPr="00B34EB6"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 xml:space="preserve">less exercise associated with obesity </w:t>
      </w:r>
      <w:r w:rsidRPr="00B34EB6">
        <w:rPr>
          <w:rFonts w:asciiTheme="majorHAnsi" w:hAnsiTheme="majorHAnsi" w:cs="Symbol"/>
          <w:color w:val="00000A"/>
          <w:sz w:val="22"/>
          <w:szCs w:val="22"/>
        </w:rPr>
        <w:t> </w:t>
      </w:r>
    </w:p>
    <w:p w14:paraId="58CED621" w14:textId="77777777" w:rsidR="00B34EB6" w:rsidRPr="00B34EB6"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 xml:space="preserve">stress associated with lower socio-economic status and other issues </w:t>
      </w:r>
      <w:r w:rsidRPr="00B34EB6">
        <w:rPr>
          <w:rFonts w:asciiTheme="majorHAnsi" w:hAnsiTheme="majorHAnsi" w:cs="Symbol"/>
          <w:color w:val="00000A"/>
          <w:sz w:val="22"/>
          <w:szCs w:val="22"/>
        </w:rPr>
        <w:t> </w:t>
      </w:r>
    </w:p>
    <w:p w14:paraId="11F9A5B4" w14:textId="77777777" w:rsidR="00B34EB6" w:rsidRPr="00B34EB6"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 xml:space="preserve">poverty causing overcrowding, cold, damp environments </w:t>
      </w:r>
      <w:r w:rsidRPr="00B34EB6">
        <w:rPr>
          <w:rFonts w:asciiTheme="majorHAnsi" w:hAnsiTheme="majorHAnsi" w:cs="Symbol"/>
          <w:color w:val="00000A"/>
          <w:sz w:val="22"/>
          <w:szCs w:val="22"/>
        </w:rPr>
        <w:t> </w:t>
      </w:r>
    </w:p>
    <w:p w14:paraId="3156AB94" w14:textId="77777777" w:rsidR="00B34EB6" w:rsidRPr="00B34EB6"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 xml:space="preserve">impact of the above on sleep and natural immune restoration and detoxification </w:t>
      </w:r>
      <w:r w:rsidRPr="00B34EB6">
        <w:rPr>
          <w:rFonts w:asciiTheme="majorHAnsi" w:hAnsiTheme="majorHAnsi" w:cs="Symbol"/>
          <w:color w:val="00000A"/>
          <w:sz w:val="22"/>
          <w:szCs w:val="22"/>
        </w:rPr>
        <w:t> </w:t>
      </w:r>
    </w:p>
    <w:p w14:paraId="650127A7" w14:textId="77777777" w:rsidR="00B34EB6" w:rsidRPr="00B34EB6"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 xml:space="preserve">a different genetic make up </w:t>
      </w:r>
      <w:r w:rsidRPr="00B34EB6">
        <w:rPr>
          <w:rFonts w:asciiTheme="majorHAnsi" w:hAnsiTheme="majorHAnsi" w:cs="Symbol"/>
          <w:color w:val="00000A"/>
          <w:sz w:val="22"/>
          <w:szCs w:val="22"/>
        </w:rPr>
        <w:t> </w:t>
      </w:r>
    </w:p>
    <w:p w14:paraId="2B19C44B" w14:textId="77777777" w:rsidR="00C16E62" w:rsidRPr="00C16E62" w:rsidRDefault="00B34EB6" w:rsidP="00C16E62">
      <w:pPr>
        <w:widowControl w:val="0"/>
        <w:numPr>
          <w:ilvl w:val="1"/>
          <w:numId w:val="18"/>
        </w:numPr>
        <w:tabs>
          <w:tab w:val="left" w:pos="940"/>
          <w:tab w:val="left" w:pos="1440"/>
        </w:tabs>
        <w:autoSpaceDE w:val="0"/>
        <w:autoSpaceDN w:val="0"/>
        <w:adjustRightInd w:val="0"/>
        <w:rPr>
          <w:rFonts w:asciiTheme="majorHAnsi" w:hAnsiTheme="majorHAnsi" w:cs="Symbol"/>
          <w:color w:val="00000A"/>
          <w:sz w:val="22"/>
          <w:szCs w:val="22"/>
        </w:rPr>
      </w:pPr>
      <w:r w:rsidRPr="00B34EB6">
        <w:rPr>
          <w:rFonts w:asciiTheme="majorHAnsi" w:hAnsiTheme="majorHAnsi" w:cs="Times New Roman"/>
          <w:color w:val="00000A"/>
          <w:sz w:val="22"/>
          <w:szCs w:val="22"/>
        </w:rPr>
        <w:t>less inclination to access health care that has to be paid for as opposed to th</w:t>
      </w:r>
      <w:r w:rsidR="00C16E62">
        <w:rPr>
          <w:rFonts w:asciiTheme="majorHAnsi" w:hAnsiTheme="majorHAnsi" w:cs="Times New Roman"/>
          <w:color w:val="00000A"/>
          <w:sz w:val="22"/>
          <w:szCs w:val="22"/>
        </w:rPr>
        <w:t>at which is</w:t>
      </w:r>
      <w:r w:rsidRPr="00B34EB6">
        <w:rPr>
          <w:rFonts w:asciiTheme="majorHAnsi" w:hAnsiTheme="majorHAnsi" w:cs="Symbol"/>
          <w:color w:val="00000A"/>
          <w:sz w:val="22"/>
          <w:szCs w:val="22"/>
        </w:rPr>
        <w:t> </w:t>
      </w:r>
      <w:r w:rsidRPr="00B34EB6">
        <w:rPr>
          <w:rFonts w:asciiTheme="majorHAnsi" w:hAnsiTheme="majorHAnsi" w:cs="Times New Roman"/>
          <w:color w:val="00000A"/>
          <w:sz w:val="22"/>
          <w:szCs w:val="22"/>
        </w:rPr>
        <w:t>funded</w:t>
      </w:r>
      <w:r w:rsidR="00C16E62">
        <w:rPr>
          <w:rFonts w:asciiTheme="majorHAnsi" w:hAnsiTheme="majorHAnsi" w:cs="Times New Roman"/>
          <w:color w:val="00000A"/>
          <w:sz w:val="22"/>
          <w:szCs w:val="22"/>
        </w:rPr>
        <w:t>.</w:t>
      </w:r>
    </w:p>
    <w:p w14:paraId="785B182B" w14:textId="06F0EA9B" w:rsidR="00B34EB6" w:rsidRPr="00C16E62" w:rsidRDefault="00B34EB6" w:rsidP="00C16E62">
      <w:pPr>
        <w:widowControl w:val="0"/>
        <w:tabs>
          <w:tab w:val="left" w:pos="940"/>
          <w:tab w:val="left" w:pos="1440"/>
        </w:tabs>
        <w:autoSpaceDE w:val="0"/>
        <w:autoSpaceDN w:val="0"/>
        <w:adjustRightInd w:val="0"/>
        <w:rPr>
          <w:rFonts w:asciiTheme="majorHAnsi" w:hAnsiTheme="majorHAnsi" w:cs="Symbol"/>
          <w:color w:val="00000A"/>
          <w:sz w:val="22"/>
          <w:szCs w:val="22"/>
        </w:rPr>
      </w:pPr>
      <w:r w:rsidRPr="00C16E62">
        <w:rPr>
          <w:rFonts w:asciiTheme="majorHAnsi" w:hAnsiTheme="majorHAnsi" w:cs="Symbol"/>
          <w:color w:val="00000A"/>
          <w:sz w:val="22"/>
          <w:szCs w:val="22"/>
        </w:rPr>
        <w:t> </w:t>
      </w:r>
    </w:p>
    <w:p w14:paraId="59BB160B"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Thank you for your kind consideration of this information. These patients either believed they were doing the right thing for themselves, their families and their country or they were mandated by their employers to take the Pfizer injections. They were not adequately informed of the risks and are surprised to find themselves disabled and often dismissed. They report having lost faith in their doctors and our health system. They are needy and it is our job to look after them. </w:t>
      </w:r>
    </w:p>
    <w:p w14:paraId="6364EB70" w14:textId="77777777" w:rsidR="00C16E62" w:rsidRDefault="00C16E62" w:rsidP="00B34EB6">
      <w:pPr>
        <w:widowControl w:val="0"/>
        <w:autoSpaceDE w:val="0"/>
        <w:autoSpaceDN w:val="0"/>
        <w:adjustRightInd w:val="0"/>
        <w:rPr>
          <w:rFonts w:asciiTheme="majorHAnsi" w:hAnsiTheme="majorHAnsi" w:cs="Times New Roman"/>
          <w:color w:val="00000A"/>
          <w:sz w:val="22"/>
          <w:szCs w:val="22"/>
        </w:rPr>
      </w:pPr>
    </w:p>
    <w:p w14:paraId="7949778A"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I am not signing this letter because a significant number of my colleagues have been unable to work because of speaking out and I know my patients need my ongoing care and attention. I do not trust that if I put my name to this letter it will not fall into the hands of someone who will use it against me. </w:t>
      </w:r>
    </w:p>
    <w:p w14:paraId="31A90B32" w14:textId="77777777" w:rsidR="00C16E62" w:rsidRDefault="00C16E62" w:rsidP="00B34EB6">
      <w:pPr>
        <w:widowControl w:val="0"/>
        <w:autoSpaceDE w:val="0"/>
        <w:autoSpaceDN w:val="0"/>
        <w:adjustRightInd w:val="0"/>
        <w:rPr>
          <w:rFonts w:asciiTheme="majorHAnsi" w:hAnsiTheme="majorHAnsi" w:cs="Times New Roman"/>
          <w:color w:val="00000A"/>
          <w:sz w:val="22"/>
          <w:szCs w:val="22"/>
        </w:rPr>
      </w:pPr>
    </w:p>
    <w:p w14:paraId="127BD748" w14:textId="77777777" w:rsidR="00B34EB6" w:rsidRPr="00B34EB6" w:rsidRDefault="00B34EB6" w:rsidP="00B34EB6">
      <w:pPr>
        <w:widowControl w:val="0"/>
        <w:autoSpaceDE w:val="0"/>
        <w:autoSpaceDN w:val="0"/>
        <w:adjustRightInd w:val="0"/>
        <w:rPr>
          <w:rFonts w:asciiTheme="majorHAnsi" w:hAnsiTheme="majorHAnsi" w:cs="Times"/>
          <w:color w:val="000000"/>
          <w:sz w:val="22"/>
          <w:szCs w:val="22"/>
        </w:rPr>
      </w:pPr>
      <w:r w:rsidRPr="00B34EB6">
        <w:rPr>
          <w:rFonts w:asciiTheme="majorHAnsi" w:hAnsiTheme="majorHAnsi" w:cs="Times New Roman"/>
          <w:color w:val="00000A"/>
          <w:sz w:val="22"/>
          <w:szCs w:val="22"/>
        </w:rPr>
        <w:t xml:space="preserve">Yours sincerely </w:t>
      </w:r>
    </w:p>
    <w:p w14:paraId="505C6EA5" w14:textId="77777777" w:rsidR="00E20993" w:rsidRDefault="00E20993" w:rsidP="00E20993"/>
    <w:p w14:paraId="7E280E98" w14:textId="77777777" w:rsidR="004B1B02" w:rsidRDefault="004B1B02" w:rsidP="00E20993"/>
    <w:p w14:paraId="3F7211A8" w14:textId="35705847" w:rsidR="005A1303" w:rsidRPr="005A1303" w:rsidRDefault="005A1303" w:rsidP="005A1303">
      <w:pPr>
        <w:widowControl w:val="0"/>
        <w:autoSpaceDE w:val="0"/>
        <w:autoSpaceDN w:val="0"/>
        <w:adjustRightInd w:val="0"/>
        <w:rPr>
          <w:rFonts w:asciiTheme="majorHAnsi" w:hAnsiTheme="majorHAnsi" w:cs="Times"/>
          <w:color w:val="000000"/>
          <w:sz w:val="22"/>
          <w:szCs w:val="22"/>
        </w:rPr>
      </w:pPr>
      <w:r>
        <w:rPr>
          <w:rFonts w:asciiTheme="majorHAnsi" w:hAnsiTheme="majorHAnsi" w:cs="Calibri"/>
          <w:b/>
          <w:bCs/>
          <w:color w:val="000000"/>
          <w:sz w:val="22"/>
          <w:szCs w:val="22"/>
        </w:rPr>
        <w:t xml:space="preserve">To The </w:t>
      </w:r>
      <w:r w:rsidRPr="005A1303">
        <w:rPr>
          <w:rFonts w:asciiTheme="majorHAnsi" w:hAnsiTheme="majorHAnsi" w:cs="Calibri"/>
          <w:b/>
          <w:bCs/>
          <w:color w:val="000000"/>
          <w:sz w:val="22"/>
          <w:szCs w:val="22"/>
        </w:rPr>
        <w:t xml:space="preserve">Disability Rights Commissioner at the NZ Human Rights Commission </w:t>
      </w:r>
    </w:p>
    <w:p w14:paraId="161C3034"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4 April 2022 </w:t>
      </w:r>
    </w:p>
    <w:p w14:paraId="5271EA05"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During this pandemic there has been a singular narrative followed with no opportunity for discussion or debate within the medical profession or within society. Anyone with questions or ideas contrary to the narrative has been silenced or excluded. </w:t>
      </w:r>
    </w:p>
    <w:p w14:paraId="31F76141" w14:textId="77777777" w:rsidR="005A1303" w:rsidRDefault="005A1303" w:rsidP="005A1303">
      <w:pPr>
        <w:widowControl w:val="0"/>
        <w:autoSpaceDE w:val="0"/>
        <w:autoSpaceDN w:val="0"/>
        <w:adjustRightInd w:val="0"/>
        <w:rPr>
          <w:rFonts w:asciiTheme="majorHAnsi" w:hAnsiTheme="majorHAnsi" w:cs="Calibri"/>
          <w:color w:val="000000"/>
          <w:sz w:val="22"/>
          <w:szCs w:val="22"/>
        </w:rPr>
      </w:pPr>
    </w:p>
    <w:p w14:paraId="772BA551"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Fear has been used as a weapon to coerce populations into complying. This is well documented in the book </w:t>
      </w:r>
      <w:r w:rsidRPr="005A1303">
        <w:rPr>
          <w:rFonts w:asciiTheme="majorHAnsi" w:hAnsiTheme="majorHAnsi" w:cs="Calibri"/>
          <w:i/>
          <w:iCs/>
          <w:color w:val="000000"/>
          <w:sz w:val="22"/>
          <w:szCs w:val="22"/>
        </w:rPr>
        <w:t xml:space="preserve">A State of Fear </w:t>
      </w:r>
      <w:r w:rsidRPr="005A1303">
        <w:rPr>
          <w:rFonts w:asciiTheme="majorHAnsi" w:hAnsiTheme="majorHAnsi" w:cs="Calibri"/>
          <w:color w:val="000000"/>
          <w:sz w:val="22"/>
          <w:szCs w:val="22"/>
        </w:rPr>
        <w:t xml:space="preserve">by UK author Laura Dodsworth. Fear has forced people endure draconian and inhumane measures, has divided family and friends, and has caused doctors to abandon their Hippocratic oaths. </w:t>
      </w:r>
    </w:p>
    <w:p w14:paraId="7A5ABCB2" w14:textId="77777777" w:rsidR="005A1303" w:rsidRDefault="005A1303" w:rsidP="005A1303">
      <w:pPr>
        <w:widowControl w:val="0"/>
        <w:autoSpaceDE w:val="0"/>
        <w:autoSpaceDN w:val="0"/>
        <w:adjustRightInd w:val="0"/>
        <w:rPr>
          <w:rFonts w:asciiTheme="majorHAnsi" w:hAnsiTheme="majorHAnsi" w:cs="Calibri"/>
          <w:color w:val="000000"/>
          <w:sz w:val="22"/>
          <w:szCs w:val="22"/>
        </w:rPr>
      </w:pPr>
    </w:p>
    <w:p w14:paraId="60721D05"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Medical ethics have been tossed aside and consequently it has been hard for doctors to provide informed consent and even more difficult for patients to have an informed consent discussion with a health professional. </w:t>
      </w:r>
    </w:p>
    <w:p w14:paraId="060600D0" w14:textId="77777777" w:rsidR="005A1303" w:rsidRDefault="005A1303" w:rsidP="005A1303">
      <w:pPr>
        <w:widowControl w:val="0"/>
        <w:autoSpaceDE w:val="0"/>
        <w:autoSpaceDN w:val="0"/>
        <w:adjustRightInd w:val="0"/>
        <w:rPr>
          <w:rFonts w:asciiTheme="majorHAnsi" w:hAnsiTheme="majorHAnsi" w:cs="Calibri"/>
          <w:color w:val="000000"/>
          <w:sz w:val="22"/>
          <w:szCs w:val="22"/>
        </w:rPr>
      </w:pPr>
    </w:p>
    <w:p w14:paraId="14D027C1"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The MCNZ Guideline on Informed Consent (1) is a thorough, professional 8-page document which outlines what must take place during an informed consent discussion. The person for whom treatment is proposed must be advised about the treatment, its risks, potential benefits, the uncertainties about it and the alternatives to it. They should also be advised of potential outcomes if they decline the treatment. </w:t>
      </w:r>
    </w:p>
    <w:p w14:paraId="2F59E0B0" w14:textId="77777777" w:rsidR="005A1303" w:rsidRDefault="005A1303" w:rsidP="005A1303">
      <w:pPr>
        <w:widowControl w:val="0"/>
        <w:autoSpaceDE w:val="0"/>
        <w:autoSpaceDN w:val="0"/>
        <w:adjustRightInd w:val="0"/>
        <w:rPr>
          <w:rFonts w:asciiTheme="majorHAnsi" w:hAnsiTheme="majorHAnsi" w:cs="Calibri"/>
          <w:color w:val="000000"/>
          <w:sz w:val="22"/>
          <w:szCs w:val="22"/>
        </w:rPr>
      </w:pPr>
    </w:p>
    <w:p w14:paraId="1091CFEA"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In addition, the person must be free to decline the treatment even if the health professional is of the opinion that it is the best option. Right 7.7 of the HDC code of rights (2) states: </w:t>
      </w:r>
      <w:r w:rsidRPr="005A1303">
        <w:rPr>
          <w:rFonts w:asciiTheme="majorHAnsi" w:hAnsiTheme="majorHAnsi" w:cs="Calibri"/>
          <w:i/>
          <w:iCs/>
          <w:color w:val="000000"/>
          <w:sz w:val="22"/>
          <w:szCs w:val="22"/>
        </w:rPr>
        <w:t xml:space="preserve">Every consumer has the right to refuse services and to withdraw consent to services. </w:t>
      </w:r>
    </w:p>
    <w:p w14:paraId="0EFB4B42"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44E1EB58"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Doctors received further Guidance from MCNZ in April 2021 that appeared to override the original informed consent document and were told to discuss only the benefits of vaccination. There was no mention of the other aspects of informed consent and there were threats that if a doctor was seen to be inviting ‘vaccine hesitancy’, there would be sanctions. </w:t>
      </w:r>
    </w:p>
    <w:p w14:paraId="5982EE21"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2A0E76AC"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From a human rights point of view this has been a serious deviation from usual practice. Usually, a doctor would have an open discussion and would help a patient weigh up the risks and benefits for their individual situation. For some, the process would result in a recommendation for treatment, for others the risks would outweigh the benefits. Some people will have a health philosophy that means pharmaceuticals are rarely, if ever, considered necessary. There is never any treatment which is acceptable to everyone and where the risks outweigh the benefits for everyone. </w:t>
      </w:r>
    </w:p>
    <w:p w14:paraId="0EF648F3"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07EB66F3" w14:textId="7A708322"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There has been a serious lack of discussion about alternatives to the way the pandemic has been managed. There was frequent mention of vulnerable individuals and communities but never any discussion about addressing these underlying vulnerabilities and no money or resources appear to have been put towards this. </w:t>
      </w:r>
      <w:r w:rsidR="008829BB" w:rsidRPr="005A1303">
        <w:rPr>
          <w:rFonts w:asciiTheme="majorHAnsi" w:hAnsiTheme="majorHAnsi" w:cs="Calibri"/>
          <w:color w:val="000000"/>
          <w:sz w:val="22"/>
          <w:szCs w:val="22"/>
        </w:rPr>
        <w:t>A significant portion of ill health is due to factors that could be modified by individuals and communities if given the right support e.g</w:t>
      </w:r>
      <w:r w:rsidR="008829BB">
        <w:rPr>
          <w:rFonts w:asciiTheme="majorHAnsi" w:hAnsiTheme="majorHAnsi" w:cs="Calibri"/>
          <w:color w:val="000000"/>
          <w:sz w:val="22"/>
          <w:szCs w:val="22"/>
        </w:rPr>
        <w:t>.</w:t>
      </w:r>
      <w:r w:rsidR="008829BB" w:rsidRPr="005A1303">
        <w:rPr>
          <w:rFonts w:asciiTheme="majorHAnsi" w:hAnsiTheme="majorHAnsi" w:cs="Calibri"/>
          <w:color w:val="000000"/>
          <w:sz w:val="22"/>
          <w:szCs w:val="22"/>
        </w:rPr>
        <w:t xml:space="preserve"> readily available, affordable access to nutritious food especially vegetables and fruit, the provision of safe places to exercise and a work-life balance that allows time for recreational activity. </w:t>
      </w:r>
    </w:p>
    <w:p w14:paraId="19594767"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6CD9302C"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Type 2 diabetes is a risk factor for poor outcome from Covid infection. Type 2 diabetes is both preventable and reversible. A three-six-month intensive supportive lifestyle program could have made a significant difference to the underlying health of vulnerable individuals. </w:t>
      </w:r>
    </w:p>
    <w:p w14:paraId="11150BF1"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75DECC08" w14:textId="6F77E800"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There were a number of things individuals could have done to improve the outcome of infection with Covid 19 but these were not discussed or broadcast. One of particular importance was to be aware of Vitamin D status. Low levels of vitamin D correlated with worse outcomes from Covid-19 (and other respiratory infections). The public could have been advised to get out in the sunshine to maximise their vitamin D levels and/or take supplemental vitamin D orally. </w:t>
      </w:r>
    </w:p>
    <w:p w14:paraId="660C44D4"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7F463A33"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Consideration of Vitamin D status and/or supplementation has been recommended by bpac (Best Practice journal for doctors) in New Zealand (3) but this message has not got through to many doctors or the public. </w:t>
      </w:r>
    </w:p>
    <w:p w14:paraId="7FB96A87"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4433BAED"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In addition to the measures to improve one’s own health that were omitted from public discussion, the other aspect that was omitted/censored was effective treatments. The public were advised fairly early on that a vaccine was in development and that the ONLY option was to sit tight, lockdown and wait for a vaccine to be developed. </w:t>
      </w:r>
    </w:p>
    <w:p w14:paraId="0738C45E"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0F96EE71"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In actual fact there were effective treatments that the public had the right to know about. Doctors were actively discouraged from mentioning or using them– hydroxychloroquine (4) and ivermectin in particular. Although they could technically be prescribed under Section 29 as off-label medicines, it has been difficult to procure sources of them and when found, the price is often prohibitive for the average person. </w:t>
      </w:r>
    </w:p>
    <w:p w14:paraId="27D1FF6D"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2C461E73"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There is a wealth of evidence about the effectiveness of Ivermectin and even if it didn’t work, it is very safe. It has been in use as an anti-parasitic for many years and won a Nobel prize and is on the WHO list of essential medicines. For more information about ivermectin see the NZDSOS website (5). Another website (6) is keeping an up-to-date list of the studies about ivermectin which clearly demonstrate it is beneficial. </w:t>
      </w:r>
    </w:p>
    <w:p w14:paraId="3E40B1B2"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190ADA80"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As well as prescription medicines, there are a number of nutrients and supplements that are proving to be useful to those infected with Covid-19. These include vitamin C, zinc, N-acetyl cysteine, selenium, quercetin and black cumin seeds. </w:t>
      </w:r>
    </w:p>
    <w:p w14:paraId="52EDBCE0"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506D273B"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With regards to harm from the vaccine, it seems this is increasingly becoming a significant cause of illness and death. The latest CARM report (7) has over 58,000 reports of adverse events with 2,842 of them being serious (such as strokes, heart attacks, blood clots, neurological disorders, Bell’s palsy, Guillain Barre syndrome, myocarditis etc.). There are also 156 deaths reported, many of which have not been assessed as to whether the vaccine was responsible. Medsafe admits only about 5% of adverse events get reported so the true numbers are likely significantly higher. </w:t>
      </w:r>
    </w:p>
    <w:p w14:paraId="0573B498" w14:textId="77777777" w:rsidR="000D7191" w:rsidRDefault="000D7191" w:rsidP="005A1303">
      <w:pPr>
        <w:widowControl w:val="0"/>
        <w:autoSpaceDE w:val="0"/>
        <w:autoSpaceDN w:val="0"/>
        <w:adjustRightInd w:val="0"/>
        <w:rPr>
          <w:rFonts w:asciiTheme="majorHAnsi" w:hAnsiTheme="majorHAnsi" w:cs="Calibri"/>
          <w:color w:val="000000"/>
          <w:sz w:val="22"/>
          <w:szCs w:val="22"/>
        </w:rPr>
      </w:pPr>
    </w:p>
    <w:p w14:paraId="0686EE42"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For a discussion about safety monitoring and adverse effects of the vaccine there is a comprehensive article on NZDSOS website (8). </w:t>
      </w:r>
    </w:p>
    <w:p w14:paraId="7B78D093" w14:textId="77777777" w:rsidR="00E33D5B" w:rsidRDefault="00E33D5B" w:rsidP="005A1303">
      <w:pPr>
        <w:widowControl w:val="0"/>
        <w:autoSpaceDE w:val="0"/>
        <w:autoSpaceDN w:val="0"/>
        <w:adjustRightInd w:val="0"/>
        <w:rPr>
          <w:rFonts w:asciiTheme="majorHAnsi" w:hAnsiTheme="majorHAnsi" w:cs="Calibri"/>
          <w:color w:val="000000"/>
          <w:sz w:val="22"/>
          <w:szCs w:val="22"/>
        </w:rPr>
      </w:pPr>
    </w:p>
    <w:p w14:paraId="016F1C11"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From a Human Rights perspective, it would seem that where this level of harm or death is possible, the public need to be informed and need to be able to make their own decision whether to accept the risk or not. </w:t>
      </w:r>
    </w:p>
    <w:p w14:paraId="64E691AF" w14:textId="77777777" w:rsidR="00E33D5B" w:rsidRDefault="00E33D5B" w:rsidP="005A1303">
      <w:pPr>
        <w:widowControl w:val="0"/>
        <w:autoSpaceDE w:val="0"/>
        <w:autoSpaceDN w:val="0"/>
        <w:adjustRightInd w:val="0"/>
        <w:rPr>
          <w:rFonts w:asciiTheme="majorHAnsi" w:hAnsiTheme="majorHAnsi" w:cs="Calibri"/>
          <w:color w:val="000000"/>
          <w:sz w:val="22"/>
          <w:szCs w:val="22"/>
        </w:rPr>
      </w:pPr>
    </w:p>
    <w:p w14:paraId="1E947399" w14:textId="77777777" w:rsidR="005A1303" w:rsidRPr="005A1303" w:rsidRDefault="005A1303" w:rsidP="005A1303">
      <w:pPr>
        <w:widowControl w:val="0"/>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 xml:space="preserve">The mechanisms for how the vaccine is causing these injuries are being studied. Current hypotheses include: </w:t>
      </w:r>
    </w:p>
    <w:p w14:paraId="402369A2" w14:textId="77777777" w:rsidR="005A1303" w:rsidRPr="00E33D5B" w:rsidRDefault="005A1303" w:rsidP="00E33D5B">
      <w:pPr>
        <w:pStyle w:val="ListParagraph"/>
        <w:widowControl w:val="0"/>
        <w:numPr>
          <w:ilvl w:val="0"/>
          <w:numId w:val="20"/>
        </w:numPr>
        <w:tabs>
          <w:tab w:val="left" w:pos="220"/>
          <w:tab w:val="left" w:pos="720"/>
        </w:tabs>
        <w:autoSpaceDE w:val="0"/>
        <w:autoSpaceDN w:val="0"/>
        <w:adjustRightInd w:val="0"/>
        <w:rPr>
          <w:rFonts w:asciiTheme="majorHAnsi" w:hAnsiTheme="majorHAnsi" w:cs="Symbol"/>
          <w:color w:val="000000"/>
          <w:sz w:val="22"/>
          <w:szCs w:val="22"/>
        </w:rPr>
      </w:pPr>
      <w:r w:rsidRPr="00E33D5B">
        <w:rPr>
          <w:rFonts w:asciiTheme="majorHAnsi" w:hAnsiTheme="majorHAnsi" w:cs="Calibri"/>
          <w:color w:val="000000"/>
          <w:sz w:val="22"/>
          <w:szCs w:val="22"/>
        </w:rPr>
        <w:t xml:space="preserve">the spike protein acting as a toxin causing the blood to thicken and clot in vessels of all sizes anywhere in the body </w:t>
      </w:r>
      <w:r w:rsidRPr="00E33D5B">
        <w:rPr>
          <w:rFonts w:asciiTheme="majorHAnsi" w:hAnsiTheme="majorHAnsi" w:cs="Symbol"/>
          <w:color w:val="000000"/>
          <w:sz w:val="22"/>
          <w:szCs w:val="22"/>
        </w:rPr>
        <w:t> </w:t>
      </w:r>
    </w:p>
    <w:p w14:paraId="299841E9" w14:textId="77777777" w:rsidR="005A1303" w:rsidRPr="00E33D5B" w:rsidRDefault="005A1303" w:rsidP="00E33D5B">
      <w:pPr>
        <w:pStyle w:val="ListParagraph"/>
        <w:widowControl w:val="0"/>
        <w:numPr>
          <w:ilvl w:val="0"/>
          <w:numId w:val="20"/>
        </w:numPr>
        <w:tabs>
          <w:tab w:val="left" w:pos="220"/>
          <w:tab w:val="left" w:pos="720"/>
        </w:tabs>
        <w:autoSpaceDE w:val="0"/>
        <w:autoSpaceDN w:val="0"/>
        <w:adjustRightInd w:val="0"/>
        <w:rPr>
          <w:rFonts w:asciiTheme="majorHAnsi" w:hAnsiTheme="majorHAnsi" w:cs="Symbol"/>
          <w:color w:val="000000"/>
          <w:sz w:val="22"/>
          <w:szCs w:val="22"/>
        </w:rPr>
      </w:pPr>
      <w:r w:rsidRPr="00E33D5B">
        <w:rPr>
          <w:rFonts w:asciiTheme="majorHAnsi" w:hAnsiTheme="majorHAnsi" w:cs="Calibri"/>
          <w:color w:val="000000"/>
          <w:sz w:val="22"/>
          <w:szCs w:val="22"/>
        </w:rPr>
        <w:t xml:space="preserve">clumping of red blood cells (rouleaux formation) leading to reduced ability to transport and release oxygen </w:t>
      </w:r>
      <w:r w:rsidRPr="00E33D5B">
        <w:rPr>
          <w:rFonts w:asciiTheme="majorHAnsi" w:hAnsiTheme="majorHAnsi" w:cs="Symbol"/>
          <w:color w:val="000000"/>
          <w:sz w:val="22"/>
          <w:szCs w:val="22"/>
        </w:rPr>
        <w:t> </w:t>
      </w:r>
    </w:p>
    <w:p w14:paraId="51253F8A" w14:textId="77777777" w:rsidR="005A1303" w:rsidRPr="00E33D5B" w:rsidRDefault="005A1303" w:rsidP="00E33D5B">
      <w:pPr>
        <w:pStyle w:val="ListParagraph"/>
        <w:widowControl w:val="0"/>
        <w:numPr>
          <w:ilvl w:val="0"/>
          <w:numId w:val="20"/>
        </w:numPr>
        <w:tabs>
          <w:tab w:val="left" w:pos="220"/>
          <w:tab w:val="left" w:pos="720"/>
        </w:tabs>
        <w:autoSpaceDE w:val="0"/>
        <w:autoSpaceDN w:val="0"/>
        <w:adjustRightInd w:val="0"/>
        <w:rPr>
          <w:rFonts w:asciiTheme="majorHAnsi" w:hAnsiTheme="majorHAnsi" w:cs="Symbol"/>
          <w:color w:val="000000"/>
          <w:sz w:val="22"/>
          <w:szCs w:val="22"/>
        </w:rPr>
      </w:pPr>
      <w:r w:rsidRPr="00E33D5B">
        <w:rPr>
          <w:rFonts w:asciiTheme="majorHAnsi" w:hAnsiTheme="majorHAnsi" w:cs="Calibri"/>
          <w:color w:val="000000"/>
          <w:sz w:val="22"/>
          <w:szCs w:val="22"/>
        </w:rPr>
        <w:t xml:space="preserve">the lipid nanoparticles being inflammatory in nature </w:t>
      </w:r>
      <w:r w:rsidRPr="00E33D5B">
        <w:rPr>
          <w:rFonts w:asciiTheme="majorHAnsi" w:hAnsiTheme="majorHAnsi" w:cs="Symbol"/>
          <w:color w:val="000000"/>
          <w:sz w:val="22"/>
          <w:szCs w:val="22"/>
        </w:rPr>
        <w:t> </w:t>
      </w:r>
    </w:p>
    <w:p w14:paraId="1D037E4E" w14:textId="77777777" w:rsidR="005A1303" w:rsidRPr="00E33D5B" w:rsidRDefault="005A1303" w:rsidP="00E33D5B">
      <w:pPr>
        <w:pStyle w:val="ListParagraph"/>
        <w:widowControl w:val="0"/>
        <w:numPr>
          <w:ilvl w:val="0"/>
          <w:numId w:val="20"/>
        </w:numPr>
        <w:tabs>
          <w:tab w:val="left" w:pos="220"/>
          <w:tab w:val="left" w:pos="720"/>
        </w:tabs>
        <w:autoSpaceDE w:val="0"/>
        <w:autoSpaceDN w:val="0"/>
        <w:adjustRightInd w:val="0"/>
        <w:rPr>
          <w:rFonts w:asciiTheme="majorHAnsi" w:hAnsiTheme="majorHAnsi" w:cs="Symbol"/>
          <w:color w:val="000000"/>
          <w:sz w:val="22"/>
          <w:szCs w:val="22"/>
        </w:rPr>
      </w:pPr>
      <w:r w:rsidRPr="00E33D5B">
        <w:rPr>
          <w:rFonts w:asciiTheme="majorHAnsi" w:hAnsiTheme="majorHAnsi" w:cs="Calibri"/>
          <w:color w:val="000000"/>
          <w:sz w:val="22"/>
          <w:szCs w:val="22"/>
        </w:rPr>
        <w:t xml:space="preserve">inflammation in blood vessels leading to weakness and rupture </w:t>
      </w:r>
      <w:r w:rsidRPr="00E33D5B">
        <w:rPr>
          <w:rFonts w:asciiTheme="majorHAnsi" w:hAnsiTheme="majorHAnsi" w:cs="Symbol"/>
          <w:color w:val="000000"/>
          <w:sz w:val="22"/>
          <w:szCs w:val="22"/>
        </w:rPr>
        <w:t> </w:t>
      </w:r>
    </w:p>
    <w:p w14:paraId="2A1142C4" w14:textId="77777777" w:rsidR="005A1303" w:rsidRPr="00E33D5B" w:rsidRDefault="005A1303" w:rsidP="00E33D5B">
      <w:pPr>
        <w:pStyle w:val="ListParagraph"/>
        <w:widowControl w:val="0"/>
        <w:numPr>
          <w:ilvl w:val="0"/>
          <w:numId w:val="20"/>
        </w:numPr>
        <w:tabs>
          <w:tab w:val="left" w:pos="220"/>
          <w:tab w:val="left" w:pos="720"/>
        </w:tabs>
        <w:autoSpaceDE w:val="0"/>
        <w:autoSpaceDN w:val="0"/>
        <w:adjustRightInd w:val="0"/>
        <w:rPr>
          <w:rFonts w:asciiTheme="majorHAnsi" w:hAnsiTheme="majorHAnsi" w:cs="Symbol"/>
          <w:color w:val="000000"/>
          <w:sz w:val="22"/>
          <w:szCs w:val="22"/>
        </w:rPr>
      </w:pPr>
      <w:r w:rsidRPr="00E33D5B">
        <w:rPr>
          <w:rFonts w:asciiTheme="majorHAnsi" w:hAnsiTheme="majorHAnsi" w:cs="Calibri"/>
          <w:color w:val="000000"/>
          <w:sz w:val="22"/>
          <w:szCs w:val="22"/>
        </w:rPr>
        <w:t xml:space="preserve">inflammation of the heart muscle leading to abnormal rhythms, some of which may be fatal </w:t>
      </w:r>
      <w:r w:rsidRPr="00E33D5B">
        <w:rPr>
          <w:rFonts w:asciiTheme="majorHAnsi" w:hAnsiTheme="majorHAnsi" w:cs="Symbol"/>
          <w:color w:val="000000"/>
          <w:sz w:val="22"/>
          <w:szCs w:val="22"/>
        </w:rPr>
        <w:t> </w:t>
      </w:r>
    </w:p>
    <w:p w14:paraId="733B172B" w14:textId="77777777" w:rsidR="005A1303" w:rsidRPr="00E33D5B" w:rsidRDefault="005A1303" w:rsidP="00E33D5B">
      <w:pPr>
        <w:pStyle w:val="ListParagraph"/>
        <w:widowControl w:val="0"/>
        <w:numPr>
          <w:ilvl w:val="0"/>
          <w:numId w:val="20"/>
        </w:numPr>
        <w:tabs>
          <w:tab w:val="left" w:pos="220"/>
          <w:tab w:val="left" w:pos="720"/>
        </w:tabs>
        <w:autoSpaceDE w:val="0"/>
        <w:autoSpaceDN w:val="0"/>
        <w:adjustRightInd w:val="0"/>
        <w:rPr>
          <w:rFonts w:asciiTheme="majorHAnsi" w:hAnsiTheme="majorHAnsi" w:cs="Symbol"/>
          <w:color w:val="000000"/>
          <w:sz w:val="22"/>
          <w:szCs w:val="22"/>
        </w:rPr>
      </w:pPr>
      <w:r w:rsidRPr="00E33D5B">
        <w:rPr>
          <w:rFonts w:asciiTheme="majorHAnsi" w:hAnsiTheme="majorHAnsi" w:cs="Calibri"/>
          <w:color w:val="000000"/>
          <w:sz w:val="22"/>
          <w:szCs w:val="22"/>
        </w:rPr>
        <w:t xml:space="preserve">suppression of immunity leading to reactivation of other infections such as shingles </w:t>
      </w:r>
      <w:r w:rsidRPr="00E33D5B">
        <w:rPr>
          <w:rFonts w:asciiTheme="majorHAnsi" w:hAnsiTheme="majorHAnsi" w:cs="Symbol"/>
          <w:color w:val="000000"/>
          <w:sz w:val="22"/>
          <w:szCs w:val="22"/>
        </w:rPr>
        <w:t> </w:t>
      </w:r>
    </w:p>
    <w:p w14:paraId="7C6FD132" w14:textId="669219EF" w:rsidR="00E33D5B" w:rsidRPr="00E33D5B" w:rsidRDefault="005A1303" w:rsidP="00E33D5B">
      <w:pPr>
        <w:pStyle w:val="ListParagraph"/>
        <w:widowControl w:val="0"/>
        <w:numPr>
          <w:ilvl w:val="0"/>
          <w:numId w:val="20"/>
        </w:numPr>
        <w:tabs>
          <w:tab w:val="left" w:pos="220"/>
          <w:tab w:val="left" w:pos="720"/>
        </w:tabs>
        <w:autoSpaceDE w:val="0"/>
        <w:autoSpaceDN w:val="0"/>
        <w:adjustRightInd w:val="0"/>
        <w:rPr>
          <w:rFonts w:asciiTheme="majorHAnsi" w:hAnsiTheme="majorHAnsi" w:cs="Symbol"/>
          <w:color w:val="000000"/>
          <w:sz w:val="22"/>
          <w:szCs w:val="22"/>
        </w:rPr>
      </w:pPr>
      <w:r w:rsidRPr="00E33D5B">
        <w:rPr>
          <w:rFonts w:asciiTheme="majorHAnsi" w:hAnsiTheme="majorHAnsi" w:cs="Calibri"/>
          <w:color w:val="000000"/>
          <w:sz w:val="22"/>
          <w:szCs w:val="22"/>
        </w:rPr>
        <w:t>suppression of tumour suppressor genes which may be contributing to cancers</w:t>
      </w:r>
      <w:r w:rsidR="00E33D5B">
        <w:rPr>
          <w:rFonts w:asciiTheme="majorHAnsi" w:hAnsiTheme="majorHAnsi" w:cs="Calibri"/>
          <w:color w:val="000000"/>
          <w:sz w:val="22"/>
          <w:szCs w:val="22"/>
        </w:rPr>
        <w:t>.</w:t>
      </w:r>
      <w:r w:rsidRPr="00E33D5B">
        <w:rPr>
          <w:rFonts w:asciiTheme="majorHAnsi" w:hAnsiTheme="majorHAnsi" w:cs="Calibri"/>
          <w:color w:val="000000"/>
          <w:sz w:val="22"/>
          <w:szCs w:val="22"/>
        </w:rPr>
        <w:t xml:space="preserve"> </w:t>
      </w:r>
      <w:r w:rsidRPr="00E33D5B">
        <w:rPr>
          <w:rFonts w:asciiTheme="majorHAnsi" w:hAnsiTheme="majorHAnsi" w:cs="Symbol"/>
          <w:color w:val="000000"/>
          <w:sz w:val="22"/>
          <w:szCs w:val="22"/>
        </w:rPr>
        <w:t> </w:t>
      </w:r>
    </w:p>
    <w:p w14:paraId="295389C3" w14:textId="77777777" w:rsidR="00E33D5B" w:rsidRDefault="00E33D5B" w:rsidP="00E33D5B">
      <w:pPr>
        <w:widowControl w:val="0"/>
        <w:tabs>
          <w:tab w:val="left" w:pos="220"/>
          <w:tab w:val="left" w:pos="720"/>
        </w:tabs>
        <w:autoSpaceDE w:val="0"/>
        <w:autoSpaceDN w:val="0"/>
        <w:adjustRightInd w:val="0"/>
        <w:rPr>
          <w:rFonts w:asciiTheme="majorHAnsi" w:hAnsiTheme="majorHAnsi" w:cs="Symbol"/>
          <w:color w:val="000000"/>
          <w:sz w:val="22"/>
          <w:szCs w:val="22"/>
        </w:rPr>
      </w:pPr>
    </w:p>
    <w:p w14:paraId="32C64B27" w14:textId="77777777" w:rsidR="00A96399" w:rsidRDefault="005A1303" w:rsidP="00E33D5B">
      <w:pPr>
        <w:widowControl w:val="0"/>
        <w:tabs>
          <w:tab w:val="left" w:pos="220"/>
          <w:tab w:val="left" w:pos="720"/>
        </w:tabs>
        <w:autoSpaceDE w:val="0"/>
        <w:autoSpaceDN w:val="0"/>
        <w:adjustRightInd w:val="0"/>
        <w:rPr>
          <w:rFonts w:asciiTheme="majorHAnsi" w:hAnsiTheme="majorHAnsi" w:cs="Symbol"/>
          <w:color w:val="000000"/>
          <w:sz w:val="22"/>
          <w:szCs w:val="22"/>
        </w:rPr>
      </w:pPr>
      <w:r w:rsidRPr="005A1303">
        <w:rPr>
          <w:rFonts w:asciiTheme="majorHAnsi" w:hAnsiTheme="majorHAnsi" w:cs="Calibri"/>
          <w:color w:val="000000"/>
          <w:sz w:val="22"/>
          <w:szCs w:val="22"/>
        </w:rPr>
        <w:t xml:space="preserve">Some populations and individuals may be more predisposed to adverse events especially if their underlying health and/or living conditions are compromised. As with vulnerability to Covid infection, it is possible that similar vulnerabilities apply to harm from the vaccine though this needs to be studied. Higher background inflammation in the body from suboptimal nutrition and low vitamin D levels (more prevalent in darker skinned people, those who work indoors and those who cover their skin from the sun) is possibly relevant. Other potentially modifiable factors which reduce background health include poor quality sleep, high stress levels, cold and damp living conditions, limited time or space for exercise, poverty and exposure to toxins including alcohol and cigarettes. This is a new area of medicine and data is lacking. It is also not clear whether there will be an appetite to investigate harm from the vaccine along with useful treatment interventions adequately. </w:t>
      </w:r>
      <w:r w:rsidRPr="005A1303">
        <w:rPr>
          <w:rFonts w:asciiTheme="majorHAnsi" w:hAnsiTheme="majorHAnsi" w:cs="Symbol"/>
          <w:color w:val="000000"/>
          <w:sz w:val="22"/>
          <w:szCs w:val="22"/>
        </w:rPr>
        <w:t> </w:t>
      </w:r>
    </w:p>
    <w:p w14:paraId="6CCCE87F" w14:textId="77777777" w:rsidR="00A96399" w:rsidRDefault="00A96399" w:rsidP="00E33D5B">
      <w:pPr>
        <w:widowControl w:val="0"/>
        <w:tabs>
          <w:tab w:val="left" w:pos="220"/>
          <w:tab w:val="left" w:pos="720"/>
        </w:tabs>
        <w:autoSpaceDE w:val="0"/>
        <w:autoSpaceDN w:val="0"/>
        <w:adjustRightInd w:val="0"/>
        <w:rPr>
          <w:rFonts w:asciiTheme="majorHAnsi" w:hAnsiTheme="majorHAnsi" w:cs="Symbol"/>
          <w:color w:val="000000"/>
          <w:sz w:val="22"/>
          <w:szCs w:val="22"/>
        </w:rPr>
      </w:pPr>
    </w:p>
    <w:p w14:paraId="6709DF11" w14:textId="77777777" w:rsidR="00007E41" w:rsidRDefault="005A1303" w:rsidP="00E33D5B">
      <w:pPr>
        <w:widowControl w:val="0"/>
        <w:tabs>
          <w:tab w:val="left" w:pos="220"/>
          <w:tab w:val="left" w:pos="720"/>
        </w:tabs>
        <w:autoSpaceDE w:val="0"/>
        <w:autoSpaceDN w:val="0"/>
        <w:adjustRightInd w:val="0"/>
        <w:rPr>
          <w:rFonts w:asciiTheme="majorHAnsi" w:hAnsiTheme="majorHAnsi" w:cs="Symbol"/>
          <w:color w:val="000000"/>
          <w:sz w:val="22"/>
          <w:szCs w:val="22"/>
        </w:rPr>
      </w:pPr>
      <w:r w:rsidRPr="005A1303">
        <w:rPr>
          <w:rFonts w:asciiTheme="majorHAnsi" w:hAnsiTheme="majorHAnsi" w:cs="Calibri"/>
          <w:color w:val="000000"/>
          <w:sz w:val="22"/>
          <w:szCs w:val="22"/>
        </w:rPr>
        <w:t xml:space="preserve">In summary, there appear to have been a number of breaches of human rights during the last two years both for doctors and for patients. For doctors, the ability to discuss, debate, ask questions and expect a truthful answer, uphold medical ethics, provide informed consent and prescribe medications have all been affected. On the other hand, patients have not been able to receive sufficient information to provide informed consent, have not been informed of alternatives to the measures imposed on them, have not been given information about prevention and treatment strategies, have been coerced into having a medical procedure many did not want or need and now have been ignored or fobbed off when experiencing harm from the medical procedure. </w:t>
      </w:r>
      <w:r w:rsidRPr="005A1303">
        <w:rPr>
          <w:rFonts w:asciiTheme="majorHAnsi" w:hAnsiTheme="majorHAnsi" w:cs="Symbol"/>
          <w:color w:val="000000"/>
          <w:sz w:val="22"/>
          <w:szCs w:val="22"/>
        </w:rPr>
        <w:t> </w:t>
      </w:r>
    </w:p>
    <w:p w14:paraId="4C6B7642" w14:textId="77777777" w:rsidR="00007E41" w:rsidRDefault="00007E41" w:rsidP="00E33D5B">
      <w:pPr>
        <w:widowControl w:val="0"/>
        <w:tabs>
          <w:tab w:val="left" w:pos="220"/>
          <w:tab w:val="left" w:pos="720"/>
        </w:tabs>
        <w:autoSpaceDE w:val="0"/>
        <w:autoSpaceDN w:val="0"/>
        <w:adjustRightInd w:val="0"/>
        <w:rPr>
          <w:rFonts w:asciiTheme="majorHAnsi" w:hAnsiTheme="majorHAnsi" w:cs="Symbol"/>
          <w:color w:val="000000"/>
          <w:sz w:val="22"/>
          <w:szCs w:val="22"/>
        </w:rPr>
      </w:pPr>
    </w:p>
    <w:p w14:paraId="3CF4AEC7" w14:textId="00BF7801" w:rsidR="005A1303" w:rsidRPr="005A1303" w:rsidRDefault="005A1303" w:rsidP="00E33D5B">
      <w:pPr>
        <w:widowControl w:val="0"/>
        <w:tabs>
          <w:tab w:val="left" w:pos="220"/>
          <w:tab w:val="left" w:pos="720"/>
        </w:tabs>
        <w:autoSpaceDE w:val="0"/>
        <w:autoSpaceDN w:val="0"/>
        <w:adjustRightInd w:val="0"/>
        <w:rPr>
          <w:rFonts w:asciiTheme="majorHAnsi" w:hAnsiTheme="majorHAnsi" w:cs="Symbol"/>
          <w:color w:val="000000"/>
          <w:sz w:val="22"/>
          <w:szCs w:val="22"/>
        </w:rPr>
      </w:pPr>
      <w:r w:rsidRPr="005A1303">
        <w:rPr>
          <w:rFonts w:asciiTheme="majorHAnsi" w:hAnsiTheme="majorHAnsi" w:cs="Calibri"/>
          <w:color w:val="000000"/>
          <w:sz w:val="22"/>
          <w:szCs w:val="22"/>
        </w:rPr>
        <w:t xml:space="preserve">Written by a GP who has been a doctor for nearly 30 years. </w:t>
      </w:r>
      <w:r w:rsidRPr="005A1303">
        <w:rPr>
          <w:rFonts w:asciiTheme="majorHAnsi" w:hAnsiTheme="majorHAnsi" w:cs="Symbol"/>
          <w:color w:val="000000"/>
          <w:sz w:val="22"/>
          <w:szCs w:val="22"/>
        </w:rPr>
        <w:t> </w:t>
      </w:r>
    </w:p>
    <w:p w14:paraId="11E1E056" w14:textId="246D938E"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1)  </w:t>
      </w:r>
      <w:r w:rsidRPr="005A1303">
        <w:rPr>
          <w:rFonts w:asciiTheme="majorHAnsi" w:hAnsiTheme="majorHAnsi" w:cs="Calibri"/>
          <w:color w:val="0000FF"/>
          <w:sz w:val="22"/>
          <w:szCs w:val="22"/>
        </w:rPr>
        <w:t>https://www.mcnz.org.nz/assets/standards/55f15c65af/Sta</w:t>
      </w:r>
      <w:r w:rsidR="00007E41">
        <w:rPr>
          <w:rFonts w:asciiTheme="majorHAnsi" w:hAnsiTheme="majorHAnsi" w:cs="Calibri"/>
          <w:color w:val="0000FF"/>
          <w:sz w:val="22"/>
          <w:szCs w:val="22"/>
        </w:rPr>
        <w:t xml:space="preserve">tement-on-informed- consent.pdf </w:t>
      </w:r>
      <w:r w:rsidRPr="005A1303">
        <w:rPr>
          <w:rFonts w:asciiTheme="majorHAnsi" w:hAnsiTheme="majorHAnsi" w:cs="Calibri"/>
          <w:color w:val="000000"/>
          <w:sz w:val="22"/>
          <w:szCs w:val="22"/>
        </w:rPr>
        <w:t>M</w:t>
      </w:r>
      <w:r w:rsidR="00007E41">
        <w:rPr>
          <w:rFonts w:asciiTheme="majorHAnsi" w:hAnsiTheme="majorHAnsi" w:cs="Calibri"/>
          <w:color w:val="000000"/>
          <w:sz w:val="22"/>
          <w:szCs w:val="22"/>
        </w:rPr>
        <w:t>edical Council of New Zealand (M</w:t>
      </w:r>
      <w:r w:rsidRPr="005A1303">
        <w:rPr>
          <w:rFonts w:asciiTheme="majorHAnsi" w:hAnsiTheme="majorHAnsi" w:cs="Calibri"/>
          <w:color w:val="000000"/>
          <w:sz w:val="22"/>
          <w:szCs w:val="22"/>
        </w:rPr>
        <w:t>CNZ</w:t>
      </w:r>
      <w:r w:rsidR="00007E41">
        <w:rPr>
          <w:rFonts w:asciiTheme="majorHAnsi" w:hAnsiTheme="majorHAnsi" w:cs="Calibri"/>
          <w:color w:val="000000"/>
          <w:sz w:val="22"/>
          <w:szCs w:val="22"/>
        </w:rPr>
        <w:t>)</w:t>
      </w:r>
      <w:r w:rsidRPr="005A1303">
        <w:rPr>
          <w:rFonts w:asciiTheme="majorHAnsi" w:hAnsiTheme="majorHAnsi" w:cs="Calibri"/>
          <w:color w:val="000000"/>
          <w:sz w:val="22"/>
          <w:szCs w:val="22"/>
        </w:rPr>
        <w:t xml:space="preserve"> Informed Consent </w:t>
      </w:r>
      <w:r w:rsidRPr="005A1303">
        <w:rPr>
          <w:rFonts w:asciiTheme="majorHAnsi" w:hAnsiTheme="majorHAnsi" w:cs="Times"/>
          <w:color w:val="000000"/>
          <w:sz w:val="22"/>
          <w:szCs w:val="22"/>
        </w:rPr>
        <w:t> </w:t>
      </w:r>
    </w:p>
    <w:p w14:paraId="21680721" w14:textId="22EDECD0"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2)  </w:t>
      </w:r>
      <w:r w:rsidRPr="005A1303">
        <w:rPr>
          <w:rFonts w:asciiTheme="majorHAnsi" w:hAnsiTheme="majorHAnsi" w:cs="Calibri"/>
          <w:color w:val="0000FF"/>
          <w:sz w:val="22"/>
          <w:szCs w:val="22"/>
        </w:rPr>
        <w:t xml:space="preserve">https://www.hdc.org.nz/your-rights/about-the-code/code-of-health-and-disability-services- consumers-rights/ </w:t>
      </w:r>
      <w:r w:rsidRPr="005A1303">
        <w:rPr>
          <w:rFonts w:asciiTheme="majorHAnsi" w:hAnsiTheme="majorHAnsi" w:cs="Calibri"/>
          <w:color w:val="000000"/>
          <w:sz w:val="22"/>
          <w:szCs w:val="22"/>
        </w:rPr>
        <w:t>H</w:t>
      </w:r>
      <w:r w:rsidR="00007E41">
        <w:rPr>
          <w:rFonts w:asciiTheme="majorHAnsi" w:hAnsiTheme="majorHAnsi" w:cs="Calibri"/>
          <w:color w:val="000000"/>
          <w:sz w:val="22"/>
          <w:szCs w:val="22"/>
        </w:rPr>
        <w:t>ealth and Disability Commissioner (H</w:t>
      </w:r>
      <w:r w:rsidRPr="005A1303">
        <w:rPr>
          <w:rFonts w:asciiTheme="majorHAnsi" w:hAnsiTheme="majorHAnsi" w:cs="Calibri"/>
          <w:color w:val="000000"/>
          <w:sz w:val="22"/>
          <w:szCs w:val="22"/>
        </w:rPr>
        <w:t>DC</w:t>
      </w:r>
      <w:r w:rsidR="00007E41">
        <w:rPr>
          <w:rFonts w:asciiTheme="majorHAnsi" w:hAnsiTheme="majorHAnsi" w:cs="Calibri"/>
          <w:color w:val="000000"/>
          <w:sz w:val="22"/>
          <w:szCs w:val="22"/>
        </w:rPr>
        <w:t>)</w:t>
      </w:r>
      <w:r w:rsidRPr="005A1303">
        <w:rPr>
          <w:rFonts w:asciiTheme="majorHAnsi" w:hAnsiTheme="majorHAnsi" w:cs="Calibri"/>
          <w:color w:val="000000"/>
          <w:sz w:val="22"/>
          <w:szCs w:val="22"/>
        </w:rPr>
        <w:t xml:space="preserve"> Code of Rights </w:t>
      </w:r>
      <w:r w:rsidRPr="005A1303">
        <w:rPr>
          <w:rFonts w:asciiTheme="majorHAnsi" w:hAnsiTheme="majorHAnsi" w:cs="Times"/>
          <w:color w:val="000000"/>
          <w:sz w:val="22"/>
          <w:szCs w:val="22"/>
        </w:rPr>
        <w:t> </w:t>
      </w:r>
    </w:p>
    <w:p w14:paraId="2EE64632" w14:textId="1CA299D8"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3)  </w:t>
      </w:r>
      <w:r w:rsidRPr="005A1303">
        <w:rPr>
          <w:rFonts w:asciiTheme="majorHAnsi" w:hAnsiTheme="majorHAnsi" w:cs="Calibri"/>
          <w:color w:val="0000FF"/>
          <w:sz w:val="22"/>
          <w:szCs w:val="22"/>
        </w:rPr>
        <w:t xml:space="preserve">https://bpac.org.nz/bulletin/bestpractice/nineteen.aspx#6 </w:t>
      </w:r>
      <w:r w:rsidRPr="005A1303">
        <w:rPr>
          <w:rFonts w:asciiTheme="majorHAnsi" w:hAnsiTheme="majorHAnsi" w:cs="Calibri"/>
          <w:color w:val="000000"/>
          <w:sz w:val="22"/>
          <w:szCs w:val="22"/>
        </w:rPr>
        <w:t>Vit</w:t>
      </w:r>
      <w:r w:rsidR="00007E41">
        <w:rPr>
          <w:rFonts w:asciiTheme="majorHAnsi" w:hAnsiTheme="majorHAnsi" w:cs="Calibri"/>
          <w:color w:val="000000"/>
          <w:sz w:val="22"/>
          <w:szCs w:val="22"/>
        </w:rPr>
        <w:t>amin</w:t>
      </w:r>
      <w:r w:rsidRPr="005A1303">
        <w:rPr>
          <w:rFonts w:asciiTheme="majorHAnsi" w:hAnsiTheme="majorHAnsi" w:cs="Calibri"/>
          <w:color w:val="000000"/>
          <w:sz w:val="22"/>
          <w:szCs w:val="22"/>
        </w:rPr>
        <w:t xml:space="preserve"> D advice </w:t>
      </w:r>
      <w:r w:rsidRPr="005A1303">
        <w:rPr>
          <w:rFonts w:asciiTheme="majorHAnsi" w:hAnsiTheme="majorHAnsi" w:cs="Times"/>
          <w:color w:val="000000"/>
          <w:sz w:val="22"/>
          <w:szCs w:val="22"/>
        </w:rPr>
        <w:t> </w:t>
      </w:r>
    </w:p>
    <w:p w14:paraId="531FB166" w14:textId="35E01CB2"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4)  </w:t>
      </w:r>
      <w:r w:rsidRPr="005A1303">
        <w:rPr>
          <w:rFonts w:asciiTheme="majorHAnsi" w:hAnsiTheme="majorHAnsi" w:cs="Calibri"/>
          <w:color w:val="0000FF"/>
          <w:sz w:val="22"/>
          <w:szCs w:val="22"/>
        </w:rPr>
        <w:t xml:space="preserve">https://bpac.org.nz/bulletin/covid-19/27-3-2020.aspx#4 </w:t>
      </w:r>
      <w:r w:rsidR="00007E41">
        <w:rPr>
          <w:rFonts w:asciiTheme="majorHAnsi" w:hAnsiTheme="majorHAnsi" w:cs="Calibri"/>
          <w:color w:val="000000"/>
          <w:sz w:val="22"/>
          <w:szCs w:val="22"/>
        </w:rPr>
        <w:t>Pharmac placing restrictions on</w:t>
      </w:r>
      <w:r w:rsidRPr="005A1303">
        <w:rPr>
          <w:rFonts w:asciiTheme="majorHAnsi" w:hAnsiTheme="majorHAnsi" w:cs="Times"/>
          <w:color w:val="000000"/>
          <w:sz w:val="22"/>
          <w:szCs w:val="22"/>
        </w:rPr>
        <w:t> </w:t>
      </w:r>
      <w:r w:rsidRPr="005A1303">
        <w:rPr>
          <w:rFonts w:asciiTheme="majorHAnsi" w:hAnsiTheme="majorHAnsi" w:cs="Calibri"/>
          <w:color w:val="000000"/>
          <w:sz w:val="22"/>
          <w:szCs w:val="22"/>
        </w:rPr>
        <w:t xml:space="preserve">hydroxychloroquine Mar 2020 </w:t>
      </w:r>
      <w:r w:rsidRPr="005A1303">
        <w:rPr>
          <w:rFonts w:asciiTheme="majorHAnsi" w:hAnsiTheme="majorHAnsi" w:cs="Times"/>
          <w:color w:val="000000"/>
          <w:sz w:val="22"/>
          <w:szCs w:val="22"/>
        </w:rPr>
        <w:t> </w:t>
      </w:r>
    </w:p>
    <w:p w14:paraId="01E5699B" w14:textId="77777777"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5)  </w:t>
      </w:r>
      <w:r w:rsidRPr="005A1303">
        <w:rPr>
          <w:rFonts w:asciiTheme="majorHAnsi" w:hAnsiTheme="majorHAnsi" w:cs="Calibri"/>
          <w:color w:val="0000FF"/>
          <w:sz w:val="22"/>
          <w:szCs w:val="22"/>
        </w:rPr>
        <w:t xml:space="preserve">https://nzdsos.com/2022/03/23/ivermectin-and-treatment-suppression-in-the-spotlight/ </w:t>
      </w:r>
      <w:r w:rsidRPr="005A1303">
        <w:rPr>
          <w:rFonts w:asciiTheme="majorHAnsi" w:hAnsiTheme="majorHAnsi" w:cs="Times"/>
          <w:color w:val="000000"/>
          <w:sz w:val="22"/>
          <w:szCs w:val="22"/>
        </w:rPr>
        <w:t> </w:t>
      </w:r>
    </w:p>
    <w:p w14:paraId="591100BA" w14:textId="77777777"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6)  </w:t>
      </w:r>
      <w:r w:rsidRPr="005A1303">
        <w:rPr>
          <w:rFonts w:asciiTheme="majorHAnsi" w:hAnsiTheme="majorHAnsi" w:cs="Calibri"/>
          <w:color w:val="0000FF"/>
          <w:sz w:val="22"/>
          <w:szCs w:val="22"/>
        </w:rPr>
        <w:t xml:space="preserve">https://ivmmeta.com/ </w:t>
      </w:r>
      <w:r w:rsidRPr="005A1303">
        <w:rPr>
          <w:rFonts w:asciiTheme="majorHAnsi" w:hAnsiTheme="majorHAnsi" w:cs="Calibri"/>
          <w:color w:val="000000"/>
          <w:sz w:val="22"/>
          <w:szCs w:val="22"/>
        </w:rPr>
        <w:t xml:space="preserve">up-to-date database of studies re ivermectin </w:t>
      </w:r>
      <w:r w:rsidRPr="005A1303">
        <w:rPr>
          <w:rFonts w:asciiTheme="majorHAnsi" w:hAnsiTheme="majorHAnsi" w:cs="Times"/>
          <w:color w:val="000000"/>
          <w:sz w:val="22"/>
          <w:szCs w:val="22"/>
        </w:rPr>
        <w:t> </w:t>
      </w:r>
    </w:p>
    <w:p w14:paraId="7C55B9DC" w14:textId="58060B79"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7)  </w:t>
      </w:r>
      <w:r w:rsidRPr="005A1303">
        <w:rPr>
          <w:rFonts w:asciiTheme="majorHAnsi" w:hAnsiTheme="majorHAnsi" w:cs="Calibri"/>
          <w:color w:val="0000FF"/>
          <w:sz w:val="22"/>
          <w:szCs w:val="22"/>
        </w:rPr>
        <w:t xml:space="preserve">https://www.medsafe.govt.nz/COVID-19/safety-report-41.asp </w:t>
      </w:r>
      <w:r w:rsidR="00007E41">
        <w:rPr>
          <w:rFonts w:asciiTheme="majorHAnsi" w:hAnsiTheme="majorHAnsi" w:cs="Calibri"/>
          <w:color w:val="000000"/>
          <w:sz w:val="22"/>
          <w:szCs w:val="22"/>
        </w:rPr>
        <w:t>Medsafe/CARM Safety Report</w:t>
      </w:r>
      <w:r w:rsidRPr="005A1303">
        <w:rPr>
          <w:rFonts w:asciiTheme="majorHAnsi" w:hAnsiTheme="majorHAnsi" w:cs="Times"/>
          <w:color w:val="000000"/>
          <w:sz w:val="22"/>
          <w:szCs w:val="22"/>
        </w:rPr>
        <w:t> </w:t>
      </w:r>
      <w:r w:rsidRPr="005A1303">
        <w:rPr>
          <w:rFonts w:asciiTheme="majorHAnsi" w:hAnsiTheme="majorHAnsi" w:cs="Calibri"/>
          <w:color w:val="000000"/>
          <w:sz w:val="22"/>
          <w:szCs w:val="22"/>
        </w:rPr>
        <w:t xml:space="preserve">41 </w:t>
      </w:r>
      <w:r w:rsidRPr="005A1303">
        <w:rPr>
          <w:rFonts w:asciiTheme="majorHAnsi" w:hAnsiTheme="majorHAnsi" w:cs="Times"/>
          <w:color w:val="000000"/>
          <w:sz w:val="22"/>
          <w:szCs w:val="22"/>
        </w:rPr>
        <w:t> </w:t>
      </w:r>
    </w:p>
    <w:p w14:paraId="7FC8190A" w14:textId="7C60AC44" w:rsidR="005A1303" w:rsidRPr="005A1303" w:rsidRDefault="005A1303" w:rsidP="00007E41">
      <w:pPr>
        <w:widowControl w:val="0"/>
        <w:tabs>
          <w:tab w:val="left" w:pos="220"/>
          <w:tab w:val="left" w:pos="720"/>
        </w:tabs>
        <w:autoSpaceDE w:val="0"/>
        <w:autoSpaceDN w:val="0"/>
        <w:adjustRightInd w:val="0"/>
        <w:rPr>
          <w:rFonts w:asciiTheme="majorHAnsi" w:hAnsiTheme="majorHAnsi" w:cs="Times"/>
          <w:color w:val="000000"/>
          <w:sz w:val="22"/>
          <w:szCs w:val="22"/>
        </w:rPr>
      </w:pPr>
      <w:r w:rsidRPr="005A1303">
        <w:rPr>
          <w:rFonts w:asciiTheme="majorHAnsi" w:hAnsiTheme="majorHAnsi" w:cs="Calibri"/>
          <w:color w:val="000000"/>
          <w:sz w:val="22"/>
          <w:szCs w:val="22"/>
        </w:rPr>
        <w:t>8)  </w:t>
      </w:r>
      <w:r w:rsidRPr="005A1303">
        <w:rPr>
          <w:rFonts w:asciiTheme="majorHAnsi" w:hAnsiTheme="majorHAnsi" w:cs="Calibri"/>
          <w:color w:val="0000FF"/>
          <w:sz w:val="22"/>
          <w:szCs w:val="22"/>
        </w:rPr>
        <w:t xml:space="preserve">https://nzdsos.com/2022/02/08/safety-monitoring-and-adverse-effects/ </w:t>
      </w:r>
      <w:r w:rsidR="00007E41">
        <w:rPr>
          <w:rFonts w:asciiTheme="majorHAnsi" w:hAnsiTheme="majorHAnsi" w:cs="Calibri"/>
          <w:color w:val="000000"/>
          <w:sz w:val="22"/>
          <w:szCs w:val="22"/>
        </w:rPr>
        <w:t>review of safety</w:t>
      </w:r>
      <w:r w:rsidRPr="005A1303">
        <w:rPr>
          <w:rFonts w:asciiTheme="majorHAnsi" w:hAnsiTheme="majorHAnsi" w:cs="Times"/>
          <w:color w:val="000000"/>
          <w:sz w:val="22"/>
          <w:szCs w:val="22"/>
        </w:rPr>
        <w:t> </w:t>
      </w:r>
      <w:r w:rsidRPr="005A1303">
        <w:rPr>
          <w:rFonts w:asciiTheme="majorHAnsi" w:hAnsiTheme="majorHAnsi" w:cs="Calibri"/>
          <w:color w:val="000000"/>
          <w:sz w:val="22"/>
          <w:szCs w:val="22"/>
        </w:rPr>
        <w:t xml:space="preserve">monitoring in NZ </w:t>
      </w:r>
      <w:r w:rsidRPr="005A1303">
        <w:rPr>
          <w:rFonts w:asciiTheme="majorHAnsi" w:hAnsiTheme="majorHAnsi" w:cs="Times"/>
          <w:color w:val="000000"/>
          <w:sz w:val="22"/>
          <w:szCs w:val="22"/>
        </w:rPr>
        <w:t> </w:t>
      </w:r>
    </w:p>
    <w:p w14:paraId="61C4E390" w14:textId="77777777" w:rsidR="004B1B02" w:rsidRPr="00E20993" w:rsidRDefault="004B1B02" w:rsidP="00E20993"/>
    <w:sectPr w:rsidR="004B1B02" w:rsidRPr="00E20993" w:rsidSect="002F5B5F">
      <w:footerReference w:type="even" r:id="rId25"/>
      <w:footerReference w:type="default" r:id="rId2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DF856" w14:textId="77777777" w:rsidR="00E4553F" w:rsidRDefault="00E4553F" w:rsidP="00C04DE0">
      <w:r>
        <w:separator/>
      </w:r>
    </w:p>
  </w:endnote>
  <w:endnote w:type="continuationSeparator" w:id="0">
    <w:p w14:paraId="2FC5178F" w14:textId="77777777" w:rsidR="00E4553F" w:rsidRDefault="00E4553F" w:rsidP="00C04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7E36" w14:textId="77777777" w:rsidR="00E4553F" w:rsidRDefault="00E4553F" w:rsidP="00F969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987EFC" w14:textId="77777777" w:rsidR="00E4553F" w:rsidRDefault="00E4553F" w:rsidP="008A28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81705" w14:textId="3E4C3A7E" w:rsidR="00E4553F" w:rsidRDefault="00E4553F" w:rsidP="00F969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0196">
      <w:rPr>
        <w:rStyle w:val="PageNumber"/>
        <w:noProof/>
      </w:rPr>
      <w:t>1</w:t>
    </w:r>
    <w:r>
      <w:rPr>
        <w:rStyle w:val="PageNumber"/>
      </w:rPr>
      <w:fldChar w:fldCharType="end"/>
    </w:r>
  </w:p>
  <w:p w14:paraId="0286A156" w14:textId="3AB28242" w:rsidR="00E4553F" w:rsidRPr="00F35D88" w:rsidRDefault="00E4553F" w:rsidP="008A28E5">
    <w:pPr>
      <w:pStyle w:val="Footer"/>
      <w:ind w:right="360"/>
      <w:rPr>
        <w:rFonts w:asciiTheme="majorHAnsi" w:hAnsiTheme="majorHAnsi"/>
        <w:sz w:val="18"/>
        <w:szCs w:val="18"/>
      </w:rPr>
    </w:pPr>
    <w:r>
      <w:rPr>
        <w:rFonts w:asciiTheme="majorHAnsi" w:hAnsiTheme="majorHAnsi"/>
        <w:sz w:val="18"/>
        <w:szCs w:val="18"/>
      </w:rPr>
      <w:t>Joint submission: NZDSOS, NZ Health Forum, NZLSOS, Silent No More, The Hood, Voices For Freedom, May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14C29" w14:textId="77777777" w:rsidR="00E4553F" w:rsidRDefault="00E4553F" w:rsidP="00C04DE0">
      <w:r>
        <w:separator/>
      </w:r>
    </w:p>
  </w:footnote>
  <w:footnote w:type="continuationSeparator" w:id="0">
    <w:p w14:paraId="5C1386D1" w14:textId="77777777" w:rsidR="00E4553F" w:rsidRDefault="00E4553F" w:rsidP="00C04DE0">
      <w:r>
        <w:continuationSeparator/>
      </w:r>
    </w:p>
  </w:footnote>
  <w:footnote w:id="1">
    <w:p w14:paraId="65563AE1" w14:textId="77777777" w:rsidR="00E4553F" w:rsidRPr="003E1765" w:rsidRDefault="00E4553F" w:rsidP="008618FF">
      <w:pPr>
        <w:widowControl w:val="0"/>
        <w:tabs>
          <w:tab w:val="left" w:pos="220"/>
          <w:tab w:val="left" w:pos="720"/>
        </w:tabs>
        <w:autoSpaceDE w:val="0"/>
        <w:autoSpaceDN w:val="0"/>
        <w:adjustRightInd w:val="0"/>
        <w:rPr>
          <w:rFonts w:asciiTheme="majorHAnsi" w:hAnsiTheme="majorHAnsi" w:cs="Times"/>
          <w:color w:val="000000"/>
          <w:sz w:val="16"/>
          <w:szCs w:val="16"/>
        </w:rPr>
      </w:pPr>
      <w:r w:rsidRPr="003E1765">
        <w:rPr>
          <w:rStyle w:val="FootnoteReference"/>
          <w:rFonts w:asciiTheme="majorHAnsi" w:hAnsiTheme="majorHAnsi"/>
          <w:sz w:val="16"/>
          <w:szCs w:val="16"/>
        </w:rPr>
        <w:footnoteRef/>
      </w:r>
      <w:r w:rsidRPr="003E1765">
        <w:rPr>
          <w:rFonts w:asciiTheme="majorHAnsi" w:hAnsiTheme="majorHAnsi"/>
          <w:sz w:val="16"/>
          <w:szCs w:val="16"/>
        </w:rPr>
        <w:t xml:space="preserve">  </w:t>
      </w:r>
      <w:r w:rsidRPr="003E1765">
        <w:rPr>
          <w:rFonts w:asciiTheme="majorHAnsi" w:hAnsiTheme="majorHAnsi" w:cs="Times"/>
          <w:color w:val="000000"/>
          <w:sz w:val="16"/>
          <w:szCs w:val="16"/>
        </w:rPr>
        <w:t>UN Guiding Principle on Business and Human Rights 31 – effectiveness criteria for non-judicial grievance mechanisms - legitimate, independent third party mechanism. Criteria (a)-(h) i.e. legitimate, accessible, predictable, equitable, transparent, rights-compatible, a source of continuous learning, based on engagement and dialogue.</w:t>
      </w:r>
    </w:p>
  </w:footnote>
  <w:footnote w:id="2">
    <w:p w14:paraId="381DB1F7" w14:textId="77777777" w:rsidR="00E4553F" w:rsidRPr="003E1765" w:rsidRDefault="00E4553F" w:rsidP="008618FF">
      <w:pPr>
        <w:ind w:right="-149"/>
        <w:rPr>
          <w:rFonts w:asciiTheme="majorHAnsi" w:hAnsiTheme="majorHAnsi" w:cs="Times New Roman"/>
          <w:bCs/>
          <w:sz w:val="16"/>
          <w:szCs w:val="16"/>
          <w:lang w:val="en-AU" w:eastAsia="en-US"/>
        </w:rPr>
      </w:pPr>
      <w:r w:rsidRPr="003E1765">
        <w:rPr>
          <w:rStyle w:val="FootnoteReference"/>
          <w:rFonts w:asciiTheme="majorHAnsi" w:hAnsiTheme="majorHAnsi"/>
          <w:sz w:val="16"/>
          <w:szCs w:val="16"/>
        </w:rPr>
        <w:footnoteRef/>
      </w:r>
      <w:r w:rsidRPr="003E1765">
        <w:rPr>
          <w:rFonts w:asciiTheme="majorHAnsi" w:hAnsiTheme="majorHAnsi"/>
          <w:sz w:val="16"/>
          <w:szCs w:val="16"/>
        </w:rPr>
        <w:t xml:space="preserve"> </w:t>
      </w:r>
      <w:r w:rsidRPr="003E1765">
        <w:rPr>
          <w:rFonts w:asciiTheme="majorHAnsi" w:hAnsiTheme="majorHAnsi" w:cs="Times"/>
          <w:color w:val="000000"/>
          <w:sz w:val="16"/>
          <w:szCs w:val="16"/>
        </w:rPr>
        <w:t xml:space="preserve">UN Guiding Principle on Business and Human Rights 25 - </w:t>
      </w:r>
      <w:r w:rsidRPr="003E1765">
        <w:rPr>
          <w:rFonts w:asciiTheme="majorHAnsi" w:hAnsiTheme="majorHAnsi" w:cs="Times New Roman"/>
          <w:bCs/>
          <w:sz w:val="16"/>
          <w:szCs w:val="16"/>
          <w:lang w:val="en-AU" w:eastAsia="en-US"/>
        </w:rPr>
        <w:t xml:space="preserve">Access to remedy - As part of their duty to protect against business-related human rights abuse, States must take appropriate steps to ensure, through judicial, administrative, legislative or other appropriate means, that when such abuses occur within their territory and/or jurisdiction those affected have access to effective remedy. </w:t>
      </w:r>
      <w:r w:rsidRPr="003E1765">
        <w:rPr>
          <w:rFonts w:asciiTheme="majorHAnsi" w:hAnsiTheme="majorHAnsi"/>
          <w:sz w:val="16"/>
          <w:szCs w:val="16"/>
        </w:rPr>
        <w:t>Remedy may include apologies, restitution, rehabilitation, financial or non- financial compensation and punitive sanctions (whether criminal or administrative, such as fines), as well as the prevention of harm through, for example, injunctions or guarantees of non-repetition. Procedures for the provision of remedy should be impartial, protected from corruption and free from political or other attempts to influence the outcome.</w:t>
      </w:r>
    </w:p>
  </w:footnote>
  <w:footnote w:id="3">
    <w:p w14:paraId="1CE7674F" w14:textId="77777777" w:rsidR="00E4553F" w:rsidRPr="003E1765" w:rsidRDefault="00E4553F" w:rsidP="00700649">
      <w:pPr>
        <w:pStyle w:val="Normal1"/>
        <w:widowControl w:val="0"/>
        <w:rPr>
          <w:rFonts w:asciiTheme="majorHAnsi" w:eastAsia="Calibri" w:hAnsiTheme="majorHAnsi" w:cs="Calibri"/>
          <w:color w:val="000000"/>
          <w:sz w:val="16"/>
          <w:szCs w:val="16"/>
        </w:rPr>
      </w:pPr>
      <w:r w:rsidRPr="003E1765">
        <w:rPr>
          <w:rStyle w:val="FootnoteReference"/>
          <w:rFonts w:asciiTheme="majorHAnsi" w:hAnsiTheme="majorHAnsi"/>
          <w:sz w:val="16"/>
          <w:szCs w:val="16"/>
        </w:rPr>
        <w:footnoteRef/>
      </w:r>
      <w:r w:rsidRPr="003E1765">
        <w:rPr>
          <w:rFonts w:asciiTheme="majorHAnsi" w:hAnsiTheme="majorHAnsi"/>
          <w:sz w:val="16"/>
          <w:szCs w:val="16"/>
        </w:rPr>
        <w:t xml:space="preserve"> </w:t>
      </w:r>
      <w:r w:rsidRPr="003E1765">
        <w:rPr>
          <w:rFonts w:asciiTheme="majorHAnsi" w:eastAsia="Calibri" w:hAnsiTheme="majorHAnsi" w:cs="Calibri"/>
          <w:color w:val="000000"/>
          <w:sz w:val="16"/>
          <w:szCs w:val="16"/>
        </w:rPr>
        <w:t>United Nations General Assembly (2021), Report of the Special Rapporteur on the promotion and protection of the right to freedom of opinion and expression, Irene Khan: Disinformation and freedom of opinion and expression, A/HRC/47/25, 13 April 2021, para 88.</w:t>
      </w:r>
    </w:p>
  </w:footnote>
  <w:footnote w:id="4">
    <w:p w14:paraId="42A2B01A" w14:textId="15BBDD81" w:rsidR="00E4553F" w:rsidRPr="003E1765" w:rsidRDefault="00E4553F" w:rsidP="001D371C">
      <w:pPr>
        <w:pStyle w:val="FootnoteText"/>
        <w:spacing w:line="240" w:lineRule="auto"/>
        <w:ind w:left="0" w:right="0" w:firstLine="0"/>
        <w:rPr>
          <w:rFonts w:asciiTheme="majorHAnsi" w:hAnsiTheme="majorHAnsi"/>
          <w:sz w:val="16"/>
          <w:szCs w:val="16"/>
          <w:lang w:val="en-US"/>
        </w:rPr>
      </w:pPr>
      <w:r w:rsidRPr="003E1765">
        <w:rPr>
          <w:rStyle w:val="FootnoteReference"/>
          <w:rFonts w:asciiTheme="majorHAnsi" w:hAnsiTheme="majorHAnsi"/>
          <w:sz w:val="16"/>
          <w:szCs w:val="16"/>
        </w:rPr>
        <w:footnoteRef/>
      </w:r>
      <w:r w:rsidRPr="003E1765">
        <w:rPr>
          <w:rFonts w:asciiTheme="majorHAnsi" w:hAnsiTheme="majorHAnsi"/>
          <w:sz w:val="16"/>
          <w:szCs w:val="16"/>
        </w:rPr>
        <w:t xml:space="preserve"> </w:t>
      </w:r>
      <w:hyperlink r:id="rId1" w:history="1">
        <w:r w:rsidRPr="003E1765">
          <w:rPr>
            <w:rStyle w:val="Hyperlink"/>
            <w:rFonts w:asciiTheme="majorHAnsi" w:hAnsiTheme="majorHAnsi"/>
            <w:sz w:val="16"/>
            <w:szCs w:val="16"/>
          </w:rPr>
          <w:t>https://nzdsos.com/2021/06/14/open-letter-on-vaccinating-children/</w:t>
        </w:r>
      </w:hyperlink>
      <w:r w:rsidRPr="003E1765">
        <w:rPr>
          <w:rFonts w:asciiTheme="majorHAnsi" w:hAnsiTheme="majorHAnsi"/>
          <w:sz w:val="16"/>
          <w:szCs w:val="16"/>
        </w:rPr>
        <w:t xml:space="preserve"> ; </w:t>
      </w:r>
      <w:hyperlink r:id="rId2" w:history="1">
        <w:r w:rsidRPr="003E1765">
          <w:rPr>
            <w:rStyle w:val="Hyperlink"/>
            <w:rFonts w:asciiTheme="majorHAnsi" w:hAnsiTheme="majorHAnsi"/>
            <w:sz w:val="16"/>
            <w:szCs w:val="16"/>
          </w:rPr>
          <w:t>https://nzdsos.com/2021/10/17/open-letter-on-the-citizens-database-of-deaths/</w:t>
        </w:r>
      </w:hyperlink>
      <w:r w:rsidRPr="003E1765">
        <w:rPr>
          <w:rFonts w:asciiTheme="majorHAnsi" w:hAnsiTheme="majorHAnsi"/>
          <w:sz w:val="16"/>
          <w:szCs w:val="16"/>
        </w:rPr>
        <w:t xml:space="preserve"> </w:t>
      </w:r>
    </w:p>
  </w:footnote>
  <w:footnote w:id="5">
    <w:p w14:paraId="314C60C5" w14:textId="4B25463D" w:rsidR="00E4553F" w:rsidRPr="000B0F9D" w:rsidRDefault="00E4553F" w:rsidP="001D371C">
      <w:pPr>
        <w:pStyle w:val="FootnoteText"/>
        <w:spacing w:line="240" w:lineRule="auto"/>
        <w:ind w:left="0" w:right="0" w:firstLine="0"/>
        <w:rPr>
          <w:rFonts w:asciiTheme="majorHAnsi" w:hAnsiTheme="majorHAnsi"/>
          <w:sz w:val="16"/>
          <w:szCs w:val="16"/>
          <w:lang w:val="en-US"/>
        </w:rPr>
      </w:pPr>
      <w:r w:rsidRPr="003E1765">
        <w:rPr>
          <w:rStyle w:val="FootnoteReference"/>
          <w:rFonts w:asciiTheme="majorHAnsi" w:hAnsiTheme="majorHAnsi"/>
          <w:sz w:val="16"/>
          <w:szCs w:val="16"/>
        </w:rPr>
        <w:footnoteRef/>
      </w:r>
      <w:r w:rsidRPr="003E1765">
        <w:rPr>
          <w:rFonts w:asciiTheme="majorHAnsi" w:hAnsiTheme="majorHAnsi"/>
          <w:sz w:val="16"/>
          <w:szCs w:val="16"/>
        </w:rPr>
        <w:t xml:space="preserve"> </w:t>
      </w:r>
      <w:hyperlink r:id="rId3" w:history="1">
        <w:r w:rsidRPr="003E1765">
          <w:rPr>
            <w:rStyle w:val="Hyperlink"/>
            <w:rFonts w:asciiTheme="majorHAnsi" w:hAnsiTheme="majorHAnsi"/>
            <w:sz w:val="16"/>
            <w:szCs w:val="16"/>
          </w:rPr>
          <w:t>https://nzdsos.com/2021/07/21/letter-to-nz-human-rights-commission/</w:t>
        </w:r>
      </w:hyperlink>
      <w:r w:rsidRPr="003E1765">
        <w:rPr>
          <w:rFonts w:asciiTheme="majorHAnsi" w:hAnsiTheme="majorHAnsi"/>
          <w:sz w:val="16"/>
          <w:szCs w:val="16"/>
        </w:rPr>
        <w:t xml:space="preserve"> ; </w:t>
      </w:r>
      <w:hyperlink r:id="rId4" w:history="1">
        <w:r w:rsidRPr="003E1765">
          <w:rPr>
            <w:rStyle w:val="Hyperlink"/>
            <w:rFonts w:asciiTheme="majorHAnsi" w:hAnsiTheme="majorHAnsi"/>
            <w:sz w:val="16"/>
            <w:szCs w:val="16"/>
          </w:rPr>
          <w:t>https://nzdsos.com/2021/08/24/reply-to-human-rights-commissioner/</w:t>
        </w:r>
      </w:hyperlink>
      <w:r w:rsidRPr="003E1765">
        <w:rPr>
          <w:rFonts w:asciiTheme="majorHAnsi" w:hAnsiTheme="majorHAnsi"/>
          <w:sz w:val="16"/>
          <w:szCs w:val="16"/>
        </w:rPr>
        <w:t xml:space="preserve"> ; </w:t>
      </w:r>
      <w:hyperlink r:id="rId5" w:history="1">
        <w:r w:rsidRPr="003E1765">
          <w:rPr>
            <w:rStyle w:val="Hyperlink"/>
            <w:rFonts w:asciiTheme="majorHAnsi" w:hAnsiTheme="majorHAnsi"/>
            <w:sz w:val="16"/>
            <w:szCs w:val="16"/>
          </w:rPr>
          <w:t>https://nzdsos.com/2021/12/10/3rd-letter-alerting-the-authorities-to-c-19-injection-death-with-updated-database/</w:t>
        </w:r>
      </w:hyperlink>
      <w:r w:rsidRPr="003E1765">
        <w:rPr>
          <w:rFonts w:asciiTheme="majorHAnsi" w:hAnsiTheme="majorHAnsi"/>
          <w:sz w:val="16"/>
          <w:szCs w:val="16"/>
        </w:rPr>
        <w:t xml:space="preserve"> </w:t>
      </w:r>
      <w:hyperlink r:id="rId6" w:history="1">
        <w:r w:rsidRPr="003E1765">
          <w:rPr>
            <w:rStyle w:val="Hyperlink"/>
            <w:rFonts w:asciiTheme="majorHAnsi" w:hAnsiTheme="majorHAnsi"/>
            <w:sz w:val="16"/>
            <w:szCs w:val="16"/>
          </w:rPr>
          <w:t>https://nzdsos.com/2021/10/17/open-letter-on-the-citizens-database-of-deaths/</w:t>
        </w:r>
      </w:hyperlink>
      <w:r w:rsidRPr="000B0F9D">
        <w:rPr>
          <w:rFonts w:asciiTheme="majorHAnsi" w:hAnsiTheme="majorHAnsi"/>
          <w:sz w:val="16"/>
          <w:szCs w:val="16"/>
        </w:rPr>
        <w:t xml:space="preserve"> </w:t>
      </w:r>
    </w:p>
  </w:footnote>
  <w:footnote w:id="6">
    <w:p w14:paraId="7CE82407" w14:textId="69119C76" w:rsidR="00E4553F" w:rsidRPr="002B3A63" w:rsidRDefault="00E4553F" w:rsidP="002B3A63">
      <w:pPr>
        <w:pStyle w:val="FootnoteText"/>
        <w:spacing w:line="240" w:lineRule="auto"/>
        <w:ind w:left="0" w:right="0" w:firstLine="0"/>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7" w:history="1">
        <w:r w:rsidRPr="002B3A63">
          <w:rPr>
            <w:rStyle w:val="Hyperlink"/>
            <w:rFonts w:asciiTheme="majorHAnsi" w:hAnsiTheme="majorHAnsi"/>
            <w:sz w:val="16"/>
            <w:szCs w:val="16"/>
          </w:rPr>
          <w:t>https://nzdsos.com/2021/06/14/open-letter-on-vaccinating-children/</w:t>
        </w:r>
      </w:hyperlink>
      <w:r w:rsidRPr="002B3A63">
        <w:rPr>
          <w:rFonts w:asciiTheme="majorHAnsi" w:hAnsiTheme="majorHAnsi"/>
          <w:sz w:val="16"/>
          <w:szCs w:val="16"/>
        </w:rPr>
        <w:t xml:space="preserve"> ; </w:t>
      </w:r>
      <w:hyperlink r:id="rId8" w:history="1">
        <w:r w:rsidRPr="002B3A63">
          <w:rPr>
            <w:rStyle w:val="Hyperlink"/>
            <w:rFonts w:asciiTheme="majorHAnsi" w:hAnsiTheme="majorHAnsi"/>
            <w:sz w:val="16"/>
            <w:szCs w:val="16"/>
          </w:rPr>
          <w:t>https://nzdsos.com/2021/07/09/letter-to-ombudsman/</w:t>
        </w:r>
      </w:hyperlink>
      <w:r w:rsidRPr="002B3A63">
        <w:rPr>
          <w:rFonts w:asciiTheme="majorHAnsi" w:hAnsiTheme="majorHAnsi"/>
          <w:sz w:val="16"/>
          <w:szCs w:val="16"/>
        </w:rPr>
        <w:t xml:space="preserve"> ; </w:t>
      </w:r>
      <w:hyperlink r:id="rId9" w:history="1">
        <w:r w:rsidRPr="002B3A63">
          <w:rPr>
            <w:rStyle w:val="Hyperlink"/>
            <w:rFonts w:asciiTheme="majorHAnsi" w:hAnsiTheme="majorHAnsi"/>
            <w:sz w:val="16"/>
            <w:szCs w:val="16"/>
          </w:rPr>
          <w:t>https://nzdsos.com/2021/09/01/reply-to-ombudsman/</w:t>
        </w:r>
      </w:hyperlink>
      <w:r w:rsidRPr="002B3A63">
        <w:rPr>
          <w:rFonts w:asciiTheme="majorHAnsi" w:hAnsiTheme="majorHAnsi"/>
          <w:sz w:val="16"/>
          <w:szCs w:val="16"/>
        </w:rPr>
        <w:t xml:space="preserve"> ; </w:t>
      </w:r>
      <w:hyperlink r:id="rId10" w:history="1">
        <w:r w:rsidRPr="002B3A63">
          <w:rPr>
            <w:rStyle w:val="Hyperlink"/>
            <w:rFonts w:asciiTheme="majorHAnsi" w:hAnsiTheme="majorHAnsi"/>
            <w:sz w:val="16"/>
            <w:szCs w:val="16"/>
          </w:rPr>
          <w:t>https://nzdsos.com/2021/12/10/3rd-letter-alerting-the-authorities-to-c-19-injection-death-with-updated-database/</w:t>
        </w:r>
      </w:hyperlink>
      <w:r w:rsidRPr="002B3A63">
        <w:rPr>
          <w:rFonts w:asciiTheme="majorHAnsi" w:hAnsiTheme="majorHAnsi"/>
          <w:sz w:val="16"/>
          <w:szCs w:val="16"/>
        </w:rPr>
        <w:t xml:space="preserve"> ; </w:t>
      </w:r>
      <w:hyperlink r:id="rId11" w:history="1">
        <w:r w:rsidRPr="002B3A63">
          <w:rPr>
            <w:rStyle w:val="Hyperlink"/>
            <w:rFonts w:asciiTheme="majorHAnsi" w:hAnsiTheme="majorHAnsi"/>
            <w:sz w:val="16"/>
            <w:szCs w:val="16"/>
          </w:rPr>
          <w:t>https://nzdsos.com/2021/10/17/open-letter-on-the-citizens-database-of-deaths/</w:t>
        </w:r>
      </w:hyperlink>
      <w:r w:rsidRPr="002B3A63">
        <w:rPr>
          <w:rFonts w:asciiTheme="majorHAnsi" w:hAnsiTheme="majorHAnsi"/>
          <w:sz w:val="16"/>
          <w:szCs w:val="16"/>
        </w:rPr>
        <w:t xml:space="preserve"> </w:t>
      </w:r>
    </w:p>
  </w:footnote>
  <w:footnote w:id="7">
    <w:p w14:paraId="066600AC" w14:textId="738C64FF" w:rsidR="00E4553F" w:rsidRPr="002B3A63" w:rsidRDefault="00E4553F" w:rsidP="002B3A63">
      <w:pPr>
        <w:pStyle w:val="FootnoteText"/>
        <w:spacing w:line="240" w:lineRule="auto"/>
        <w:ind w:left="0" w:right="0" w:firstLine="0"/>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12" w:history="1">
        <w:r w:rsidRPr="002B3A63">
          <w:rPr>
            <w:rStyle w:val="Hyperlink"/>
            <w:rFonts w:asciiTheme="majorHAnsi" w:hAnsiTheme="majorHAnsi"/>
            <w:sz w:val="16"/>
            <w:szCs w:val="16"/>
          </w:rPr>
          <w:t>https://nzdsos.com/2021/05/25/2nd-letter-from-nzdsos-to-mcnz/</w:t>
        </w:r>
      </w:hyperlink>
      <w:r w:rsidRPr="002B3A63">
        <w:rPr>
          <w:rFonts w:asciiTheme="majorHAnsi" w:hAnsiTheme="majorHAnsi"/>
          <w:sz w:val="16"/>
          <w:szCs w:val="16"/>
        </w:rPr>
        <w:t xml:space="preserve"> ; </w:t>
      </w:r>
      <w:hyperlink r:id="rId13" w:history="1">
        <w:r w:rsidRPr="002B3A63">
          <w:rPr>
            <w:rStyle w:val="Hyperlink"/>
            <w:rFonts w:asciiTheme="majorHAnsi" w:hAnsiTheme="majorHAnsi"/>
            <w:sz w:val="16"/>
            <w:szCs w:val="16"/>
          </w:rPr>
          <w:t>https://nzdsos.com/2021/12/10/3rd-letter-alerting-the-authorities-to-c-19-injection-death-with-updated-database/</w:t>
        </w:r>
      </w:hyperlink>
      <w:r w:rsidRPr="002B3A63">
        <w:rPr>
          <w:rFonts w:asciiTheme="majorHAnsi" w:hAnsiTheme="majorHAnsi"/>
          <w:sz w:val="16"/>
          <w:szCs w:val="16"/>
        </w:rPr>
        <w:t xml:space="preserve"> ; </w:t>
      </w:r>
      <w:hyperlink r:id="rId14" w:history="1">
        <w:r w:rsidRPr="002B3A63">
          <w:rPr>
            <w:rStyle w:val="Hyperlink"/>
            <w:rFonts w:asciiTheme="majorHAnsi" w:hAnsiTheme="majorHAnsi"/>
            <w:sz w:val="16"/>
            <w:szCs w:val="16"/>
          </w:rPr>
          <w:t>https://nzdsos.com/2021/10/17/open-letter-on-the-citizens-database-of-deaths/</w:t>
        </w:r>
      </w:hyperlink>
      <w:r w:rsidRPr="002B3A63">
        <w:rPr>
          <w:rFonts w:asciiTheme="majorHAnsi" w:hAnsiTheme="majorHAnsi"/>
          <w:sz w:val="16"/>
          <w:szCs w:val="16"/>
        </w:rPr>
        <w:t xml:space="preserve"> </w:t>
      </w:r>
    </w:p>
  </w:footnote>
  <w:footnote w:id="8">
    <w:p w14:paraId="09AB26F4" w14:textId="25AC5AB4" w:rsidR="00E4553F" w:rsidRPr="002B3A63" w:rsidRDefault="00E4553F" w:rsidP="002B3A63">
      <w:pPr>
        <w:pStyle w:val="FootnoteText"/>
        <w:spacing w:line="240" w:lineRule="auto"/>
        <w:ind w:left="0" w:right="0" w:firstLine="0"/>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15" w:history="1">
        <w:r w:rsidRPr="002B3A63">
          <w:rPr>
            <w:rStyle w:val="Hyperlink"/>
            <w:rFonts w:asciiTheme="majorHAnsi" w:hAnsiTheme="majorHAnsi"/>
            <w:sz w:val="16"/>
            <w:szCs w:val="16"/>
          </w:rPr>
          <w:t>https://nzdsos.com/2021/06/21/reply-from-medsafe-2/</w:t>
        </w:r>
      </w:hyperlink>
      <w:r w:rsidRPr="002B3A63">
        <w:rPr>
          <w:rFonts w:asciiTheme="majorHAnsi" w:hAnsiTheme="majorHAnsi"/>
          <w:sz w:val="16"/>
          <w:szCs w:val="16"/>
        </w:rPr>
        <w:t xml:space="preserve"> </w:t>
      </w:r>
    </w:p>
  </w:footnote>
  <w:footnote w:id="9">
    <w:p w14:paraId="3E4BD17D" w14:textId="69FB1ED1" w:rsidR="00E4553F" w:rsidRPr="002B3A63" w:rsidRDefault="00E4553F" w:rsidP="002B3A63">
      <w:pPr>
        <w:pStyle w:val="FootnoteText"/>
        <w:spacing w:line="240" w:lineRule="auto"/>
        <w:ind w:left="0" w:right="0" w:firstLine="0"/>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16" w:history="1">
        <w:r w:rsidRPr="002B3A63">
          <w:rPr>
            <w:rStyle w:val="Hyperlink"/>
            <w:rFonts w:asciiTheme="majorHAnsi" w:hAnsiTheme="majorHAnsi"/>
            <w:sz w:val="16"/>
            <w:szCs w:val="16"/>
          </w:rPr>
          <w:t>https://nzdsos.com/2021/03/04/letter-to-dr-murton-president-of-rnzcgp/</w:t>
        </w:r>
      </w:hyperlink>
      <w:r w:rsidRPr="002B3A63">
        <w:rPr>
          <w:rFonts w:asciiTheme="majorHAnsi" w:hAnsiTheme="majorHAnsi"/>
          <w:sz w:val="16"/>
          <w:szCs w:val="16"/>
        </w:rPr>
        <w:t xml:space="preserve">  </w:t>
      </w:r>
    </w:p>
  </w:footnote>
  <w:footnote w:id="10">
    <w:p w14:paraId="6B551350" w14:textId="77777777" w:rsidR="00E4553F" w:rsidRPr="002B3A63" w:rsidRDefault="00E4553F" w:rsidP="002B3A63">
      <w:pPr>
        <w:pStyle w:val="FootnoteText"/>
        <w:spacing w:line="240" w:lineRule="auto"/>
        <w:ind w:left="0" w:right="0" w:firstLine="0"/>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17" w:history="1">
        <w:r w:rsidRPr="002B3A63">
          <w:rPr>
            <w:rStyle w:val="Hyperlink"/>
            <w:rFonts w:asciiTheme="majorHAnsi" w:hAnsiTheme="majorHAnsi"/>
            <w:sz w:val="16"/>
            <w:szCs w:val="16"/>
          </w:rPr>
          <w:t>https://nzdsos.com/2021/06/14/open-letter-on-vaccinating-children/</w:t>
        </w:r>
      </w:hyperlink>
      <w:r w:rsidRPr="002B3A63">
        <w:rPr>
          <w:rFonts w:asciiTheme="majorHAnsi" w:hAnsiTheme="majorHAnsi"/>
          <w:sz w:val="16"/>
          <w:szCs w:val="16"/>
        </w:rPr>
        <w:t xml:space="preserve"> ; </w:t>
      </w:r>
    </w:p>
  </w:footnote>
  <w:footnote w:id="11">
    <w:p w14:paraId="19113D34" w14:textId="58EA26EE" w:rsidR="00E4553F" w:rsidRPr="002B3A63" w:rsidRDefault="00E4553F" w:rsidP="002B3A63">
      <w:pPr>
        <w:pStyle w:val="FootnoteText"/>
        <w:spacing w:line="240" w:lineRule="auto"/>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18" w:history="1">
        <w:r w:rsidRPr="002B3A63">
          <w:rPr>
            <w:rStyle w:val="Hyperlink"/>
            <w:rFonts w:asciiTheme="majorHAnsi" w:hAnsiTheme="majorHAnsi"/>
            <w:sz w:val="16"/>
            <w:szCs w:val="16"/>
          </w:rPr>
          <w:t>https://nzdsos.com/2021/06/14/open-letter-on-vaccinating-children/</w:t>
        </w:r>
      </w:hyperlink>
      <w:r w:rsidRPr="002B3A63">
        <w:rPr>
          <w:rFonts w:asciiTheme="majorHAnsi" w:hAnsiTheme="majorHAnsi"/>
          <w:sz w:val="16"/>
          <w:szCs w:val="16"/>
        </w:rPr>
        <w:t xml:space="preserve"> ; </w:t>
      </w:r>
    </w:p>
  </w:footnote>
  <w:footnote w:id="12">
    <w:p w14:paraId="591C9CE3" w14:textId="5FBC29EA" w:rsidR="00E4553F" w:rsidRPr="002B3A63" w:rsidRDefault="00E4553F" w:rsidP="002B3A63">
      <w:pPr>
        <w:pStyle w:val="FootnoteText"/>
        <w:spacing w:line="240" w:lineRule="auto"/>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19" w:history="1">
        <w:r w:rsidRPr="002B3A63">
          <w:rPr>
            <w:rStyle w:val="Hyperlink"/>
            <w:rFonts w:asciiTheme="majorHAnsi" w:hAnsiTheme="majorHAnsi"/>
            <w:sz w:val="16"/>
            <w:szCs w:val="16"/>
          </w:rPr>
          <w:t>https://nzdsos.com/2021/06/28/email-to-mps-call-to-action/</w:t>
        </w:r>
      </w:hyperlink>
      <w:r w:rsidRPr="002B3A63">
        <w:rPr>
          <w:rFonts w:asciiTheme="majorHAnsi" w:hAnsiTheme="majorHAnsi"/>
          <w:sz w:val="16"/>
          <w:szCs w:val="16"/>
        </w:rPr>
        <w:t xml:space="preserve"> </w:t>
      </w:r>
    </w:p>
  </w:footnote>
  <w:footnote w:id="13">
    <w:p w14:paraId="17B9E743" w14:textId="3E3F4602" w:rsidR="00E4553F" w:rsidRPr="002B3A63" w:rsidRDefault="00E4553F" w:rsidP="002B3A63">
      <w:pPr>
        <w:pStyle w:val="FootnoteText"/>
        <w:spacing w:line="240" w:lineRule="auto"/>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r w:rsidRPr="002B3A63">
        <w:rPr>
          <w:rFonts w:asciiTheme="majorHAnsi" w:hAnsiTheme="majorHAnsi"/>
          <w:sz w:val="16"/>
          <w:szCs w:val="16"/>
          <w:lang w:val="en-US"/>
        </w:rPr>
        <w:t xml:space="preserve"> </w:t>
      </w:r>
      <w:hyperlink r:id="rId20" w:history="1">
        <w:r w:rsidRPr="002B3A63">
          <w:rPr>
            <w:rStyle w:val="Hyperlink"/>
            <w:rFonts w:asciiTheme="majorHAnsi" w:hAnsiTheme="majorHAnsi"/>
            <w:sz w:val="16"/>
            <w:szCs w:val="16"/>
            <w:lang w:val="en-US"/>
          </w:rPr>
          <w:t>https://nzdsos.com/2021/10/08/email-to-auditor-general-john-ryan/</w:t>
        </w:r>
      </w:hyperlink>
      <w:r w:rsidRPr="002B3A63">
        <w:rPr>
          <w:rFonts w:asciiTheme="majorHAnsi" w:hAnsiTheme="majorHAnsi"/>
          <w:sz w:val="16"/>
          <w:szCs w:val="16"/>
          <w:lang w:val="en-US"/>
        </w:rPr>
        <w:t xml:space="preserve"> </w:t>
      </w:r>
    </w:p>
  </w:footnote>
  <w:footnote w:id="14">
    <w:p w14:paraId="0EF7C255" w14:textId="54AB38F0" w:rsidR="00E4553F" w:rsidRPr="002B3A63" w:rsidRDefault="00E4553F" w:rsidP="002B3A63">
      <w:pPr>
        <w:pStyle w:val="FootnoteText"/>
        <w:spacing w:line="240" w:lineRule="auto"/>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21" w:history="1">
        <w:r w:rsidRPr="002B3A63">
          <w:rPr>
            <w:rStyle w:val="Hyperlink"/>
            <w:rFonts w:asciiTheme="majorHAnsi" w:hAnsiTheme="majorHAnsi"/>
            <w:sz w:val="16"/>
            <w:szCs w:val="16"/>
          </w:rPr>
          <w:t>https://nzdsos.com/2021/07/23/open-letter-to-teachers/</w:t>
        </w:r>
      </w:hyperlink>
      <w:r w:rsidRPr="002B3A63">
        <w:rPr>
          <w:rFonts w:asciiTheme="majorHAnsi" w:hAnsiTheme="majorHAnsi"/>
          <w:sz w:val="16"/>
          <w:szCs w:val="16"/>
        </w:rPr>
        <w:t xml:space="preserve"> </w:t>
      </w:r>
    </w:p>
  </w:footnote>
  <w:footnote w:id="15">
    <w:p w14:paraId="764C5024" w14:textId="5B03FD2A" w:rsidR="00E4553F" w:rsidRPr="002B3A63" w:rsidRDefault="00E4553F" w:rsidP="002B3A63">
      <w:pPr>
        <w:pStyle w:val="FootnoteText"/>
        <w:spacing w:line="240" w:lineRule="auto"/>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hyperlink r:id="rId22" w:history="1">
        <w:r w:rsidRPr="002B3A63">
          <w:rPr>
            <w:rStyle w:val="Hyperlink"/>
            <w:rFonts w:asciiTheme="majorHAnsi" w:hAnsiTheme="majorHAnsi"/>
            <w:sz w:val="16"/>
            <w:szCs w:val="16"/>
          </w:rPr>
          <w:t>https://www2.ohchr.org/english/bodies/crc/docs/CRC.C.GC.16.pdf</w:t>
        </w:r>
      </w:hyperlink>
      <w:r w:rsidRPr="002B3A63">
        <w:rPr>
          <w:rFonts w:asciiTheme="majorHAnsi" w:hAnsiTheme="majorHAnsi"/>
          <w:sz w:val="16"/>
          <w:szCs w:val="16"/>
        </w:rPr>
        <w:t xml:space="preserve"> </w:t>
      </w:r>
    </w:p>
  </w:footnote>
  <w:footnote w:id="16">
    <w:p w14:paraId="248CF27E" w14:textId="236D630B" w:rsidR="00E4553F" w:rsidRPr="002B3A63" w:rsidRDefault="00E4553F" w:rsidP="002B3A63">
      <w:pPr>
        <w:pStyle w:val="FootnoteText"/>
        <w:spacing w:line="240" w:lineRule="auto"/>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w:t>
      </w:r>
      <w:r w:rsidRPr="002B3A63">
        <w:rPr>
          <w:rFonts w:asciiTheme="majorHAnsi" w:hAnsiTheme="majorHAnsi"/>
          <w:sz w:val="16"/>
          <w:szCs w:val="16"/>
          <w:lang w:val="en-US"/>
        </w:rPr>
        <w:t>Paragraph 28, General Comment</w:t>
      </w:r>
    </w:p>
  </w:footnote>
  <w:footnote w:id="17">
    <w:p w14:paraId="2FC4D4EE" w14:textId="571B9D93" w:rsidR="00E4553F" w:rsidRPr="002B3A63" w:rsidRDefault="00E4553F" w:rsidP="002B3A63">
      <w:pPr>
        <w:pStyle w:val="FootnoteText"/>
        <w:spacing w:line="240" w:lineRule="auto"/>
        <w:rPr>
          <w:rFonts w:asciiTheme="majorHAnsi" w:hAnsiTheme="majorHAnsi"/>
          <w:sz w:val="16"/>
          <w:szCs w:val="16"/>
          <w:lang w:val="en-US"/>
        </w:rPr>
      </w:pPr>
      <w:r w:rsidRPr="002B3A63">
        <w:rPr>
          <w:rStyle w:val="FootnoteReference"/>
          <w:rFonts w:asciiTheme="majorHAnsi" w:hAnsiTheme="majorHAnsi"/>
          <w:sz w:val="16"/>
          <w:szCs w:val="16"/>
        </w:rPr>
        <w:footnoteRef/>
      </w:r>
      <w:r w:rsidRPr="002B3A63">
        <w:rPr>
          <w:rFonts w:asciiTheme="majorHAnsi" w:hAnsiTheme="majorHAnsi"/>
          <w:sz w:val="16"/>
          <w:szCs w:val="16"/>
        </w:rPr>
        <w:t xml:space="preserve"> Para 30. </w:t>
      </w:r>
    </w:p>
  </w:footnote>
  <w:footnote w:id="18">
    <w:p w14:paraId="0868E17A" w14:textId="2BF89B98" w:rsidR="00E4553F" w:rsidRPr="002B3A63" w:rsidRDefault="00E4553F" w:rsidP="002B3A63">
      <w:pPr>
        <w:pStyle w:val="FootnoteText"/>
        <w:widowControl w:val="0"/>
        <w:tabs>
          <w:tab w:val="clear" w:pos="1021"/>
          <w:tab w:val="right" w:pos="1020"/>
        </w:tabs>
        <w:spacing w:line="240" w:lineRule="auto"/>
        <w:ind w:left="0" w:firstLine="0"/>
        <w:rPr>
          <w:rFonts w:asciiTheme="majorHAnsi" w:hAnsiTheme="majorHAnsi"/>
          <w:sz w:val="16"/>
          <w:szCs w:val="16"/>
          <w:lang w:val="en-GB"/>
        </w:rPr>
      </w:pPr>
      <w:r w:rsidRPr="002B3A63">
        <w:rPr>
          <w:rStyle w:val="FootnoteReference"/>
          <w:rFonts w:asciiTheme="majorHAnsi" w:hAnsiTheme="majorHAnsi"/>
          <w:sz w:val="16"/>
          <w:szCs w:val="16"/>
        </w:rPr>
        <w:footnoteRef/>
      </w:r>
      <w:r w:rsidRPr="002B3A63">
        <w:rPr>
          <w:rFonts w:asciiTheme="majorHAnsi" w:hAnsiTheme="majorHAnsi"/>
          <w:sz w:val="16"/>
          <w:szCs w:val="16"/>
        </w:rPr>
        <w:tab/>
        <w:t xml:space="preserve">General </w:t>
      </w:r>
      <w:r w:rsidRPr="002B3A63">
        <w:rPr>
          <w:rFonts w:asciiTheme="majorHAnsi" w:hAnsiTheme="majorHAnsi"/>
          <w:sz w:val="16"/>
          <w:szCs w:val="16"/>
          <w:lang w:val="en-US"/>
        </w:rPr>
        <w:t>c</w:t>
      </w:r>
      <w:r w:rsidRPr="002B3A63">
        <w:rPr>
          <w:rFonts w:asciiTheme="majorHAnsi" w:hAnsiTheme="majorHAnsi"/>
          <w:sz w:val="16"/>
          <w:szCs w:val="16"/>
        </w:rPr>
        <w:t>omment No.</w:t>
      </w:r>
      <w:r w:rsidRPr="002B3A63">
        <w:rPr>
          <w:rFonts w:asciiTheme="majorHAnsi" w:hAnsiTheme="majorHAnsi"/>
          <w:sz w:val="16"/>
          <w:szCs w:val="16"/>
          <w:lang w:val="en-US"/>
        </w:rPr>
        <w:t xml:space="preserve"> </w:t>
      </w:r>
      <w:r w:rsidRPr="002B3A63">
        <w:rPr>
          <w:rFonts w:asciiTheme="majorHAnsi" w:hAnsiTheme="majorHAnsi"/>
          <w:sz w:val="16"/>
          <w:szCs w:val="16"/>
        </w:rPr>
        <w:t>5 (2003)</w:t>
      </w:r>
      <w:r w:rsidRPr="002B3A63">
        <w:rPr>
          <w:rFonts w:asciiTheme="majorHAnsi" w:hAnsiTheme="majorHAnsi"/>
          <w:sz w:val="16"/>
          <w:szCs w:val="16"/>
          <w:lang w:val="en-GB"/>
        </w:rPr>
        <w:t>,</w:t>
      </w:r>
      <w:r w:rsidRPr="002B3A63">
        <w:rPr>
          <w:rFonts w:asciiTheme="majorHAnsi" w:hAnsiTheme="majorHAnsi"/>
          <w:sz w:val="16"/>
          <w:szCs w:val="16"/>
        </w:rPr>
        <w:t xml:space="preserve"> </w:t>
      </w:r>
      <w:r w:rsidRPr="002B3A63">
        <w:rPr>
          <w:rFonts w:asciiTheme="majorHAnsi" w:hAnsiTheme="majorHAnsi"/>
          <w:bCs/>
          <w:iCs/>
          <w:sz w:val="16"/>
          <w:szCs w:val="16"/>
          <w:lang w:val="en-US"/>
        </w:rPr>
        <w:t>p</w:t>
      </w:r>
      <w:r w:rsidRPr="002B3A63">
        <w:rPr>
          <w:rFonts w:asciiTheme="majorHAnsi" w:hAnsiTheme="majorHAnsi"/>
          <w:bCs/>
          <w:iCs/>
          <w:sz w:val="16"/>
          <w:szCs w:val="16"/>
        </w:rPr>
        <w:t>ara</w:t>
      </w:r>
      <w:r w:rsidRPr="002B3A63">
        <w:rPr>
          <w:rFonts w:asciiTheme="majorHAnsi" w:hAnsiTheme="majorHAnsi"/>
          <w:bCs/>
          <w:iCs/>
          <w:sz w:val="16"/>
          <w:szCs w:val="16"/>
          <w:lang w:val="en-US"/>
        </w:rPr>
        <w:t>.</w:t>
      </w:r>
      <w:r w:rsidRPr="002B3A63">
        <w:rPr>
          <w:rFonts w:asciiTheme="majorHAnsi" w:hAnsiTheme="majorHAnsi"/>
          <w:bCs/>
          <w:iCs/>
          <w:sz w:val="16"/>
          <w:szCs w:val="16"/>
        </w:rPr>
        <w:t xml:space="preserve"> </w:t>
      </w:r>
      <w:r w:rsidRPr="002B3A63">
        <w:rPr>
          <w:rFonts w:asciiTheme="majorHAnsi" w:hAnsiTheme="majorHAnsi"/>
          <w:sz w:val="16"/>
          <w:szCs w:val="16"/>
        </w:rPr>
        <w:t>24</w:t>
      </w:r>
      <w:r w:rsidRPr="002B3A63">
        <w:rPr>
          <w:rFonts w:asciiTheme="majorHAnsi" w:hAnsiTheme="majorHAnsi"/>
          <w:sz w:val="16"/>
          <w:szCs w:val="16"/>
          <w:lang w:val="en-GB"/>
        </w:rPr>
        <w:t>.</w:t>
      </w:r>
      <w:r w:rsidRPr="002B3A63">
        <w:rPr>
          <w:rFonts w:asciiTheme="majorHAnsi" w:hAnsiTheme="majorHAnsi"/>
          <w:sz w:val="16"/>
          <w:szCs w:val="16"/>
        </w:rPr>
        <w:t xml:space="preserve"> States should also take into account the Basic Principles and Guidelines on the Right to a Remedy and Reparation for Victims of Gross Violations of International Human Rights Law and Serious Violations of International Humanitarian Law </w:t>
      </w:r>
      <w:r w:rsidRPr="002B3A63">
        <w:rPr>
          <w:rFonts w:asciiTheme="majorHAnsi" w:hAnsiTheme="majorHAnsi"/>
          <w:sz w:val="16"/>
          <w:szCs w:val="16"/>
          <w:lang w:val="en-US"/>
        </w:rPr>
        <w:t>a</w:t>
      </w:r>
      <w:r w:rsidRPr="002B3A63">
        <w:rPr>
          <w:rFonts w:asciiTheme="majorHAnsi" w:hAnsiTheme="majorHAnsi"/>
          <w:sz w:val="16"/>
          <w:szCs w:val="16"/>
        </w:rPr>
        <w:t>dopted</w:t>
      </w:r>
      <w:r w:rsidRPr="002B3A63">
        <w:rPr>
          <w:rFonts w:asciiTheme="majorHAnsi" w:hAnsiTheme="majorHAnsi"/>
          <w:sz w:val="16"/>
          <w:szCs w:val="16"/>
          <w:lang w:val="en-US"/>
        </w:rPr>
        <w:t xml:space="preserve"> by</w:t>
      </w:r>
      <w:r w:rsidRPr="002B3A63">
        <w:rPr>
          <w:rFonts w:asciiTheme="majorHAnsi" w:hAnsiTheme="majorHAnsi"/>
          <w:sz w:val="16"/>
          <w:szCs w:val="16"/>
        </w:rPr>
        <w:t xml:space="preserve"> General Assembly resolution 60/147 of 2005. </w:t>
      </w:r>
    </w:p>
  </w:footnote>
  <w:footnote w:id="19">
    <w:p w14:paraId="3A9EC190" w14:textId="7B75CF16" w:rsidR="00E4553F" w:rsidRPr="002B3A63" w:rsidRDefault="00E4553F" w:rsidP="002B3A63">
      <w:pPr>
        <w:pStyle w:val="FootnoteText"/>
        <w:widowControl w:val="0"/>
        <w:tabs>
          <w:tab w:val="clear" w:pos="1021"/>
          <w:tab w:val="right" w:pos="1020"/>
        </w:tabs>
        <w:spacing w:line="240" w:lineRule="auto"/>
        <w:ind w:left="0" w:firstLine="0"/>
        <w:rPr>
          <w:rFonts w:asciiTheme="majorHAnsi" w:hAnsiTheme="majorHAnsi"/>
          <w:sz w:val="16"/>
          <w:szCs w:val="16"/>
          <w:lang w:val="en-GB"/>
        </w:rPr>
      </w:pPr>
      <w:r w:rsidRPr="002B3A63">
        <w:rPr>
          <w:rStyle w:val="FootnoteReference"/>
          <w:rFonts w:asciiTheme="majorHAnsi" w:hAnsiTheme="majorHAnsi"/>
          <w:sz w:val="16"/>
          <w:szCs w:val="16"/>
        </w:rPr>
        <w:footnoteRef/>
      </w:r>
      <w:r w:rsidRPr="002B3A63">
        <w:rPr>
          <w:rFonts w:asciiTheme="majorHAnsi" w:hAnsiTheme="majorHAnsi"/>
          <w:sz w:val="16"/>
          <w:szCs w:val="16"/>
        </w:rPr>
        <w:tab/>
        <w:t xml:space="preserve">For example, see </w:t>
      </w:r>
      <w:r w:rsidRPr="002B3A63">
        <w:rPr>
          <w:rFonts w:asciiTheme="majorHAnsi" w:hAnsiTheme="majorHAnsi"/>
          <w:sz w:val="16"/>
          <w:szCs w:val="16"/>
          <w:lang w:val="en-US"/>
        </w:rPr>
        <w:t>Convention on the Rights of the Child,</w:t>
      </w:r>
      <w:r w:rsidRPr="002B3A63">
        <w:rPr>
          <w:rFonts w:asciiTheme="majorHAnsi" w:hAnsiTheme="majorHAnsi"/>
          <w:sz w:val="16"/>
          <w:szCs w:val="16"/>
        </w:rPr>
        <w:t xml:space="preserve"> </w:t>
      </w:r>
      <w:r w:rsidRPr="002B3A63">
        <w:rPr>
          <w:rFonts w:asciiTheme="majorHAnsi" w:hAnsiTheme="majorHAnsi"/>
          <w:sz w:val="16"/>
          <w:szCs w:val="16"/>
          <w:lang w:val="en-US"/>
        </w:rPr>
        <w:t>a</w:t>
      </w:r>
      <w:r w:rsidRPr="002B3A63">
        <w:rPr>
          <w:rFonts w:asciiTheme="majorHAnsi" w:hAnsiTheme="majorHAnsi"/>
          <w:sz w:val="16"/>
          <w:szCs w:val="16"/>
        </w:rPr>
        <w:t>rt</w:t>
      </w:r>
      <w:r w:rsidRPr="002B3A63">
        <w:rPr>
          <w:rFonts w:asciiTheme="majorHAnsi" w:hAnsiTheme="majorHAnsi"/>
          <w:sz w:val="16"/>
          <w:szCs w:val="16"/>
          <w:lang w:val="en-US"/>
        </w:rPr>
        <w:t>s.</w:t>
      </w:r>
      <w:r w:rsidRPr="002B3A63">
        <w:rPr>
          <w:rFonts w:asciiTheme="majorHAnsi" w:hAnsiTheme="majorHAnsi"/>
          <w:sz w:val="16"/>
          <w:szCs w:val="16"/>
        </w:rPr>
        <w:t xml:space="preserve"> 32</w:t>
      </w:r>
      <w:r w:rsidRPr="002B3A63">
        <w:rPr>
          <w:rFonts w:asciiTheme="majorHAnsi" w:hAnsiTheme="majorHAnsi"/>
          <w:sz w:val="16"/>
          <w:szCs w:val="16"/>
          <w:lang w:val="en-US"/>
        </w:rPr>
        <w:t xml:space="preserve">, para. </w:t>
      </w:r>
      <w:r w:rsidRPr="002B3A63">
        <w:rPr>
          <w:rFonts w:asciiTheme="majorHAnsi" w:hAnsiTheme="majorHAnsi"/>
          <w:sz w:val="16"/>
          <w:szCs w:val="16"/>
        </w:rPr>
        <w:t>2</w:t>
      </w:r>
      <w:r w:rsidRPr="002B3A63">
        <w:rPr>
          <w:rFonts w:asciiTheme="majorHAnsi" w:hAnsiTheme="majorHAnsi"/>
          <w:sz w:val="16"/>
          <w:szCs w:val="16"/>
          <w:lang w:val="en-US"/>
        </w:rPr>
        <w:t>;</w:t>
      </w:r>
      <w:r w:rsidRPr="002B3A63">
        <w:rPr>
          <w:rFonts w:asciiTheme="majorHAnsi" w:hAnsiTheme="majorHAnsi"/>
          <w:sz w:val="16"/>
          <w:szCs w:val="16"/>
        </w:rPr>
        <w:t xml:space="preserve"> 19</w:t>
      </w:r>
      <w:r w:rsidRPr="002B3A63">
        <w:rPr>
          <w:rFonts w:asciiTheme="majorHAnsi" w:hAnsiTheme="majorHAnsi"/>
          <w:sz w:val="16"/>
          <w:szCs w:val="16"/>
          <w:lang w:val="en-US"/>
        </w:rPr>
        <w:t>;</w:t>
      </w:r>
      <w:r w:rsidRPr="002B3A63">
        <w:rPr>
          <w:rFonts w:asciiTheme="majorHAnsi" w:hAnsiTheme="majorHAnsi"/>
          <w:sz w:val="16"/>
          <w:szCs w:val="16"/>
        </w:rPr>
        <w:t xml:space="preserve"> and 39. </w:t>
      </w:r>
    </w:p>
  </w:footnote>
  <w:footnote w:id="20">
    <w:p w14:paraId="066F0D22" w14:textId="1F9200C2" w:rsidR="00E4553F" w:rsidRPr="00C96645" w:rsidRDefault="00E4553F" w:rsidP="00C96645">
      <w:pPr>
        <w:widowControl w:val="0"/>
        <w:autoSpaceDE w:val="0"/>
        <w:autoSpaceDN w:val="0"/>
        <w:adjustRightInd w:val="0"/>
        <w:rPr>
          <w:rFonts w:asciiTheme="majorHAnsi" w:hAnsiTheme="majorHAnsi" w:cs="Times New Roman"/>
          <w:color w:val="000000"/>
          <w:sz w:val="16"/>
          <w:szCs w:val="16"/>
        </w:rPr>
      </w:pPr>
      <w:r w:rsidRPr="00C96645">
        <w:rPr>
          <w:rStyle w:val="FootnoteReference"/>
          <w:rFonts w:asciiTheme="majorHAnsi" w:hAnsiTheme="majorHAnsi"/>
          <w:sz w:val="16"/>
          <w:szCs w:val="16"/>
        </w:rPr>
        <w:footnoteRef/>
      </w:r>
      <w:r w:rsidRPr="00C96645">
        <w:rPr>
          <w:rFonts w:asciiTheme="majorHAnsi" w:hAnsiTheme="majorHAnsi"/>
          <w:sz w:val="16"/>
          <w:szCs w:val="16"/>
        </w:rPr>
        <w:t xml:space="preserve"> </w:t>
      </w:r>
      <w:hyperlink r:id="rId23" w:history="1">
        <w:r w:rsidRPr="00C96645">
          <w:rPr>
            <w:rStyle w:val="Hyperlink"/>
            <w:rFonts w:asciiTheme="majorHAnsi" w:eastAsia="Times New Roman" w:hAnsiTheme="majorHAnsi" w:cs="Arial"/>
            <w:sz w:val="16"/>
            <w:szCs w:val="16"/>
            <w:shd w:val="clear" w:color="auto" w:fill="FFFFFF"/>
            <w:lang w:val="en-AU" w:eastAsia="en-US"/>
          </w:rPr>
          <w:t>https://www.health.govt.nz/covid-19-novel-coronavirus/covid-19-vaccines/covid-19-vaccine-children-aged-5-11</w:t>
        </w:r>
      </w:hyperlink>
      <w:r w:rsidRPr="00C96645">
        <w:rPr>
          <w:rFonts w:asciiTheme="majorHAnsi" w:eastAsia="Times New Roman" w:hAnsiTheme="majorHAnsi" w:cs="Arial"/>
          <w:color w:val="002639"/>
          <w:sz w:val="16"/>
          <w:szCs w:val="16"/>
          <w:shd w:val="clear" w:color="auto" w:fill="FFFFFF"/>
          <w:lang w:val="en-AU" w:eastAsia="en-US"/>
        </w:rPr>
        <w:t xml:space="preserve"> </w:t>
      </w:r>
    </w:p>
  </w:footnote>
  <w:footnote w:id="21">
    <w:p w14:paraId="4A08B29F" w14:textId="4CE45EBB" w:rsidR="00E4553F" w:rsidRPr="00C96645" w:rsidRDefault="00E4553F" w:rsidP="00C96645">
      <w:pPr>
        <w:widowControl w:val="0"/>
        <w:autoSpaceDE w:val="0"/>
        <w:autoSpaceDN w:val="0"/>
        <w:adjustRightInd w:val="0"/>
        <w:rPr>
          <w:rFonts w:asciiTheme="majorHAnsi" w:hAnsiTheme="majorHAnsi" w:cs="Times New Roman"/>
          <w:color w:val="000000"/>
          <w:sz w:val="16"/>
          <w:szCs w:val="16"/>
        </w:rPr>
      </w:pPr>
      <w:r w:rsidRPr="00C96645">
        <w:rPr>
          <w:rStyle w:val="FootnoteReference"/>
          <w:rFonts w:asciiTheme="majorHAnsi" w:hAnsiTheme="majorHAnsi"/>
          <w:sz w:val="16"/>
          <w:szCs w:val="16"/>
        </w:rPr>
        <w:footnoteRef/>
      </w:r>
      <w:r w:rsidRPr="00C96645">
        <w:rPr>
          <w:rFonts w:asciiTheme="majorHAnsi" w:hAnsiTheme="majorHAnsi"/>
          <w:sz w:val="16"/>
          <w:szCs w:val="16"/>
        </w:rPr>
        <w:t xml:space="preserve"> </w:t>
      </w:r>
      <w:hyperlink r:id="rId24" w:history="1">
        <w:r w:rsidRPr="00C96645">
          <w:rPr>
            <w:rStyle w:val="Hyperlink"/>
            <w:rFonts w:asciiTheme="majorHAnsi" w:eastAsia="Times New Roman" w:hAnsiTheme="majorHAnsi" w:cs="Arial"/>
            <w:color w:val="0000FF"/>
            <w:sz w:val="16"/>
            <w:szCs w:val="16"/>
            <w:shd w:val="clear" w:color="auto" w:fill="FFFFFF"/>
            <w:lang w:val="en-AU" w:eastAsia="en-US"/>
          </w:rPr>
          <w:t>https://www.health.govt.nz/covid-19-novel-coronavirus/covid-19-vaccines/covid-19-vaccine-children-aged-5-11</w:t>
        </w:r>
      </w:hyperlink>
      <w:r w:rsidRPr="00C96645">
        <w:rPr>
          <w:rStyle w:val="Hyperlink"/>
          <w:rFonts w:asciiTheme="majorHAnsi" w:eastAsia="Times New Roman" w:hAnsiTheme="majorHAnsi" w:cs="Arial"/>
          <w:color w:val="auto"/>
          <w:sz w:val="16"/>
          <w:szCs w:val="16"/>
          <w:shd w:val="clear" w:color="auto" w:fill="FFFFFF"/>
          <w:lang w:val="en-AU" w:eastAsia="en-US"/>
        </w:rPr>
        <w:t xml:space="preserve"> </w:t>
      </w:r>
    </w:p>
  </w:footnote>
  <w:footnote w:id="22">
    <w:p w14:paraId="2E91AECE" w14:textId="77777777" w:rsidR="00E4553F" w:rsidRPr="000B0F9D" w:rsidRDefault="00E4553F" w:rsidP="003E0CBD">
      <w:pPr>
        <w:widowControl w:val="0"/>
        <w:autoSpaceDE w:val="0"/>
        <w:autoSpaceDN w:val="0"/>
        <w:adjustRightInd w:val="0"/>
        <w:rPr>
          <w:rFonts w:asciiTheme="majorHAnsi" w:hAnsiTheme="majorHAnsi" w:cs="Times New Roman"/>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25" w:history="1">
        <w:r w:rsidRPr="000B0F9D">
          <w:rPr>
            <w:rStyle w:val="Hyperlink"/>
            <w:rFonts w:asciiTheme="majorHAnsi" w:hAnsiTheme="majorHAnsi"/>
            <w:sz w:val="16"/>
            <w:szCs w:val="16"/>
          </w:rPr>
          <w:t>https://www.medsafe.govt.nz/COVID-19/safety-report-42.asp</w:t>
        </w:r>
      </w:hyperlink>
      <w:r w:rsidRPr="000B0F9D">
        <w:rPr>
          <w:rFonts w:asciiTheme="majorHAnsi" w:hAnsiTheme="majorHAnsi"/>
          <w:color w:val="000000"/>
          <w:sz w:val="16"/>
          <w:szCs w:val="16"/>
        </w:rPr>
        <w:t xml:space="preserve">; </w:t>
      </w:r>
      <w:hyperlink r:id="rId26" w:history="1">
        <w:r w:rsidRPr="000B0F9D">
          <w:rPr>
            <w:rStyle w:val="Hyperlink"/>
            <w:rFonts w:asciiTheme="majorHAnsi" w:hAnsiTheme="majorHAnsi"/>
            <w:sz w:val="16"/>
            <w:szCs w:val="16"/>
          </w:rPr>
          <w:t>https://www.stuff.co.nz/national/health/coronavirus/300564406/covid19-third-death-considered-linked-to-vaccine-was-a-teenager</w:t>
        </w:r>
      </w:hyperlink>
      <w:r w:rsidRPr="000B0F9D">
        <w:rPr>
          <w:rFonts w:asciiTheme="majorHAnsi" w:hAnsiTheme="majorHAnsi"/>
          <w:color w:val="000000"/>
          <w:sz w:val="16"/>
          <w:szCs w:val="16"/>
        </w:rPr>
        <w:t xml:space="preserve">; </w:t>
      </w:r>
      <w:r w:rsidRPr="000B0F9D">
        <w:rPr>
          <w:rFonts w:asciiTheme="majorHAnsi" w:hAnsiTheme="majorHAnsi" w:cs="Times New Roman"/>
          <w:color w:val="000000"/>
          <w:sz w:val="16"/>
          <w:szCs w:val="16"/>
        </w:rPr>
        <w:t>The New Zealand government data shows:</w:t>
      </w:r>
    </w:p>
    <w:p w14:paraId="25EBEDC7" w14:textId="77777777" w:rsidR="00E4553F" w:rsidRPr="000B0F9D" w:rsidRDefault="00E4553F" w:rsidP="003E0CBD">
      <w:pPr>
        <w:pStyle w:val="ListParagraph"/>
        <w:widowControl w:val="0"/>
        <w:numPr>
          <w:ilvl w:val="0"/>
          <w:numId w:val="8"/>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hAnsiTheme="majorHAnsi" w:cs="Times New Roman"/>
          <w:color w:val="000000"/>
          <w:sz w:val="16"/>
          <w:szCs w:val="16"/>
        </w:rPr>
        <w:t>11 observed deaths aged 12-19 up to 21 days after Pfizer dose 1, 19 February 2021 to 31 January 2022</w:t>
      </w:r>
    </w:p>
    <w:p w14:paraId="670DB612" w14:textId="77777777" w:rsidR="00E4553F" w:rsidRPr="000B0F9D" w:rsidRDefault="00E4553F" w:rsidP="003E0CBD">
      <w:pPr>
        <w:pStyle w:val="ListParagraph"/>
        <w:widowControl w:val="0"/>
        <w:numPr>
          <w:ilvl w:val="0"/>
          <w:numId w:val="8"/>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hAnsiTheme="majorHAnsi" w:cs="Times New Roman"/>
          <w:color w:val="000000"/>
          <w:sz w:val="16"/>
          <w:szCs w:val="16"/>
        </w:rPr>
        <w:t>9 observed deaths aged 12-19 up to 21 days after Pfizer dose 2, 19 February 2021 to 31 January 2022</w:t>
      </w:r>
    </w:p>
    <w:p w14:paraId="140EB505" w14:textId="77777777" w:rsidR="00E4553F" w:rsidRPr="000B0F9D" w:rsidRDefault="00E4553F" w:rsidP="003E0CBD">
      <w:pPr>
        <w:pStyle w:val="ListParagraph"/>
        <w:widowControl w:val="0"/>
        <w:numPr>
          <w:ilvl w:val="0"/>
          <w:numId w:val="8"/>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hAnsiTheme="majorHAnsi" w:cs="Times New Roman"/>
          <w:color w:val="000000"/>
          <w:sz w:val="16"/>
          <w:szCs w:val="16"/>
        </w:rPr>
        <w:t>5,494 adverse events aged 5-19 up to 31 March 2022</w:t>
      </w:r>
    </w:p>
    <w:p w14:paraId="3E155E2D" w14:textId="6C928AEC" w:rsidR="00E4553F" w:rsidRPr="000B0F9D" w:rsidRDefault="00E4553F" w:rsidP="003E0CBD">
      <w:pPr>
        <w:pStyle w:val="ListParagraph"/>
        <w:widowControl w:val="0"/>
        <w:numPr>
          <w:ilvl w:val="0"/>
          <w:numId w:val="8"/>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hAnsiTheme="majorHAnsi" w:cs="Times New Roman"/>
          <w:color w:val="000000"/>
          <w:sz w:val="16"/>
          <w:szCs w:val="16"/>
        </w:rPr>
        <w:t>62 spontaneous abortions/miscarriages post vaccine.</w:t>
      </w:r>
      <w:r w:rsidRPr="000B0F9D">
        <w:rPr>
          <w:rFonts w:asciiTheme="majorHAnsi" w:hAnsiTheme="majorHAnsi"/>
          <w:sz w:val="16"/>
          <w:szCs w:val="16"/>
        </w:rPr>
        <w:t xml:space="preserve"> </w:t>
      </w:r>
    </w:p>
    <w:p w14:paraId="118EC72C" w14:textId="43CA3215" w:rsidR="00E4553F" w:rsidRPr="000B0F9D" w:rsidRDefault="00E4553F" w:rsidP="00411623">
      <w:pPr>
        <w:widowControl w:val="0"/>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eastAsia="Times New Roman" w:hAnsiTheme="majorHAnsi" w:cs="Segoe UI"/>
          <w:color w:val="000000"/>
          <w:sz w:val="16"/>
          <w:szCs w:val="16"/>
          <w:lang w:val="en-AU" w:eastAsia="en-US"/>
        </w:rPr>
        <w:t xml:space="preserve">The New Zealand Health Forum data shows </w:t>
      </w:r>
      <w:r w:rsidRPr="000B0F9D">
        <w:rPr>
          <w:rFonts w:asciiTheme="majorHAnsi" w:hAnsiTheme="majorHAnsi" w:cs="Times New Roman"/>
          <w:color w:val="000000"/>
          <w:sz w:val="16"/>
          <w:szCs w:val="16"/>
        </w:rPr>
        <w:t xml:space="preserve">15 deaths age 0-19 </w:t>
      </w:r>
      <w:hyperlink r:id="rId27" w:anchor="gid=1713619946" w:history="1">
        <w:r w:rsidRPr="000B0F9D">
          <w:rPr>
            <w:rStyle w:val="Hyperlink"/>
            <w:rFonts w:asciiTheme="majorHAnsi" w:hAnsiTheme="majorHAnsi" w:cs="Times New Roman"/>
            <w:sz w:val="16"/>
            <w:szCs w:val="16"/>
          </w:rPr>
          <w:t>https://docs.google.com/spreadsheets/d/1EXQRRGGzzcxqFL6txrXgGC_Xp7Gb0LbCE3LLyszFBAs/edit#gid=1713619946</w:t>
        </w:r>
      </w:hyperlink>
    </w:p>
  </w:footnote>
  <w:footnote w:id="23">
    <w:p w14:paraId="4D833E5F" w14:textId="77777777" w:rsidR="00E4553F" w:rsidRPr="000B0F9D" w:rsidRDefault="00E4553F" w:rsidP="000C6BCB">
      <w:pPr>
        <w:rPr>
          <w:rFonts w:asciiTheme="majorHAnsi" w:eastAsia="Times New Roman" w:hAnsiTheme="majorHAnsi" w:cs="Times New Roman"/>
          <w:color w:val="0000FF"/>
          <w:sz w:val="16"/>
          <w:szCs w:val="16"/>
        </w:rPr>
      </w:pPr>
      <w:r w:rsidRPr="000B0F9D">
        <w:rPr>
          <w:rStyle w:val="FootnoteReference"/>
          <w:rFonts w:asciiTheme="majorHAnsi" w:hAnsiTheme="majorHAnsi"/>
          <w:color w:val="0000FF"/>
          <w:sz w:val="16"/>
          <w:szCs w:val="16"/>
        </w:rPr>
        <w:footnoteRef/>
      </w:r>
      <w:r w:rsidRPr="000B0F9D">
        <w:rPr>
          <w:rFonts w:asciiTheme="majorHAnsi" w:hAnsiTheme="majorHAnsi"/>
          <w:color w:val="0000FF"/>
          <w:sz w:val="16"/>
          <w:szCs w:val="16"/>
        </w:rPr>
        <w:t xml:space="preserve"> </w:t>
      </w:r>
      <w:hyperlink r:id="rId28" w:tgtFrame="_blank" w:history="1">
        <w:r w:rsidRPr="000B0F9D">
          <w:rPr>
            <w:rStyle w:val="Hyperlink"/>
            <w:rFonts w:asciiTheme="majorHAnsi" w:eastAsia="Times New Roman" w:hAnsiTheme="majorHAnsi" w:cs="Times New Roman"/>
            <w:color w:val="0000FF"/>
            <w:sz w:val="16"/>
            <w:szCs w:val="16"/>
          </w:rPr>
          <w:t>https://vaers.hhs.gov/data/datasets.html</w:t>
        </w:r>
      </w:hyperlink>
    </w:p>
    <w:p w14:paraId="45D385D7" w14:textId="77777777" w:rsidR="00E4553F" w:rsidRPr="000B0F9D" w:rsidRDefault="00A50196" w:rsidP="003E0CBD">
      <w:pPr>
        <w:widowControl w:val="0"/>
        <w:autoSpaceDE w:val="0"/>
        <w:autoSpaceDN w:val="0"/>
        <w:adjustRightInd w:val="0"/>
        <w:rPr>
          <w:rFonts w:asciiTheme="majorHAnsi" w:eastAsia="Times New Roman" w:hAnsiTheme="majorHAnsi" w:cs="Segoe UI"/>
          <w:color w:val="000000"/>
          <w:sz w:val="16"/>
          <w:szCs w:val="16"/>
          <w:lang w:val="en-AU" w:eastAsia="en-US"/>
        </w:rPr>
      </w:pPr>
      <w:hyperlink r:id="rId29" w:history="1">
        <w:r w:rsidR="00E4553F" w:rsidRPr="000B0F9D">
          <w:rPr>
            <w:rStyle w:val="Hyperlink"/>
            <w:rFonts w:asciiTheme="majorHAnsi" w:hAnsiTheme="majorHAnsi"/>
            <w:sz w:val="16"/>
            <w:szCs w:val="16"/>
          </w:rPr>
          <w:t>https://vaersanalysis.info/2022/04/15/vaers-summary-for-covid-19-vaccines-through-4-8-2022/</w:t>
        </w:r>
      </w:hyperlink>
      <w:r w:rsidR="00E4553F" w:rsidRPr="000B0F9D">
        <w:rPr>
          <w:rFonts w:asciiTheme="majorHAnsi" w:hAnsiTheme="majorHAnsi"/>
          <w:sz w:val="16"/>
          <w:szCs w:val="16"/>
        </w:rPr>
        <w:t xml:space="preserve"> ; </w:t>
      </w:r>
      <w:r w:rsidR="00E4553F" w:rsidRPr="000B0F9D">
        <w:rPr>
          <w:rFonts w:asciiTheme="majorHAnsi" w:eastAsia="Times New Roman" w:hAnsiTheme="majorHAnsi" w:cs="Segoe UI"/>
          <w:color w:val="000000"/>
          <w:sz w:val="16"/>
          <w:szCs w:val="16"/>
          <w:lang w:val="en-AU" w:eastAsia="en-US"/>
        </w:rPr>
        <w:t>The US government data shows:</w:t>
      </w:r>
    </w:p>
    <w:p w14:paraId="5EC27035" w14:textId="77777777" w:rsidR="00E4553F" w:rsidRPr="000B0F9D" w:rsidRDefault="00E4553F" w:rsidP="003E0CBD">
      <w:pPr>
        <w:pStyle w:val="ListParagraph"/>
        <w:widowControl w:val="0"/>
        <w:numPr>
          <w:ilvl w:val="0"/>
          <w:numId w:val="9"/>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eastAsia="Times New Roman" w:hAnsiTheme="majorHAnsi" w:cs="Segoe UI"/>
          <w:color w:val="000000"/>
          <w:sz w:val="16"/>
          <w:szCs w:val="16"/>
          <w:lang w:val="en-AU" w:eastAsia="en-US"/>
        </w:rPr>
        <w:t>4 deaths aged 0-4</w:t>
      </w:r>
    </w:p>
    <w:p w14:paraId="645778B1" w14:textId="77777777" w:rsidR="00E4553F" w:rsidRPr="000B0F9D" w:rsidRDefault="00E4553F" w:rsidP="003E0CBD">
      <w:pPr>
        <w:pStyle w:val="ListParagraph"/>
        <w:widowControl w:val="0"/>
        <w:numPr>
          <w:ilvl w:val="0"/>
          <w:numId w:val="9"/>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eastAsia="Times New Roman" w:hAnsiTheme="majorHAnsi" w:cs="Segoe UI"/>
          <w:color w:val="000000"/>
          <w:sz w:val="16"/>
          <w:szCs w:val="16"/>
          <w:lang w:val="en-AU" w:eastAsia="en-US"/>
        </w:rPr>
        <w:t>7 deaths aged 5-11</w:t>
      </w:r>
    </w:p>
    <w:p w14:paraId="0ABE1D88" w14:textId="77777777" w:rsidR="00E4553F" w:rsidRPr="000B0F9D" w:rsidRDefault="00E4553F" w:rsidP="003E0CBD">
      <w:pPr>
        <w:pStyle w:val="ListParagraph"/>
        <w:widowControl w:val="0"/>
        <w:numPr>
          <w:ilvl w:val="0"/>
          <w:numId w:val="9"/>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eastAsia="Times New Roman" w:hAnsiTheme="majorHAnsi" w:cs="Segoe UI"/>
          <w:color w:val="000000"/>
          <w:sz w:val="16"/>
          <w:szCs w:val="16"/>
          <w:lang w:val="en-AU" w:eastAsia="en-US"/>
        </w:rPr>
        <w:t>57 deaths aged 12-17</w:t>
      </w:r>
    </w:p>
    <w:p w14:paraId="3A7FAE38" w14:textId="77777777" w:rsidR="00E4553F" w:rsidRPr="000B0F9D" w:rsidRDefault="00E4553F" w:rsidP="003E0CBD">
      <w:pPr>
        <w:pStyle w:val="ListParagraph"/>
        <w:widowControl w:val="0"/>
        <w:numPr>
          <w:ilvl w:val="0"/>
          <w:numId w:val="9"/>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eastAsia="Times New Roman" w:hAnsiTheme="majorHAnsi" w:cs="Segoe UI"/>
          <w:color w:val="000000"/>
          <w:sz w:val="16"/>
          <w:szCs w:val="16"/>
          <w:lang w:val="en-AU" w:eastAsia="en-US"/>
        </w:rPr>
        <w:t>934 adverse events aged 0-4</w:t>
      </w:r>
    </w:p>
    <w:p w14:paraId="4F4B5C94" w14:textId="77777777" w:rsidR="00E4553F" w:rsidRPr="000B0F9D" w:rsidRDefault="00E4553F" w:rsidP="003E0CBD">
      <w:pPr>
        <w:pStyle w:val="ListParagraph"/>
        <w:widowControl w:val="0"/>
        <w:numPr>
          <w:ilvl w:val="0"/>
          <w:numId w:val="9"/>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eastAsia="Times New Roman" w:hAnsiTheme="majorHAnsi" w:cs="Segoe UI"/>
          <w:color w:val="000000"/>
          <w:sz w:val="16"/>
          <w:szCs w:val="16"/>
          <w:lang w:val="en-AU" w:eastAsia="en-US"/>
        </w:rPr>
        <w:t>11,411 adverse events aged 5-11</w:t>
      </w:r>
    </w:p>
    <w:p w14:paraId="192B897D" w14:textId="77777777" w:rsidR="00E4553F" w:rsidRPr="000B0F9D" w:rsidRDefault="00E4553F" w:rsidP="003E0CBD">
      <w:pPr>
        <w:pStyle w:val="ListParagraph"/>
        <w:widowControl w:val="0"/>
        <w:numPr>
          <w:ilvl w:val="0"/>
          <w:numId w:val="9"/>
        </w:numPr>
        <w:autoSpaceDE w:val="0"/>
        <w:autoSpaceDN w:val="0"/>
        <w:adjustRightInd w:val="0"/>
        <w:rPr>
          <w:rFonts w:asciiTheme="majorHAnsi" w:eastAsia="Times New Roman" w:hAnsiTheme="majorHAnsi" w:cs="Segoe UI"/>
          <w:color w:val="000000"/>
          <w:sz w:val="16"/>
          <w:szCs w:val="16"/>
          <w:lang w:val="en-AU" w:eastAsia="en-US"/>
        </w:rPr>
      </w:pPr>
      <w:r w:rsidRPr="000B0F9D">
        <w:rPr>
          <w:rFonts w:asciiTheme="majorHAnsi" w:eastAsia="Times New Roman" w:hAnsiTheme="majorHAnsi" w:cs="Segoe UI"/>
          <w:color w:val="000000"/>
          <w:sz w:val="16"/>
          <w:szCs w:val="16"/>
          <w:lang w:val="en-AU" w:eastAsia="en-US"/>
        </w:rPr>
        <w:t>43,541 adverse events aged 12-17</w:t>
      </w:r>
    </w:p>
    <w:p w14:paraId="4620C1E3" w14:textId="00A6B4FE" w:rsidR="00E4553F" w:rsidRPr="000B0F9D" w:rsidRDefault="00A50196" w:rsidP="00411623">
      <w:pPr>
        <w:widowControl w:val="0"/>
        <w:autoSpaceDE w:val="0"/>
        <w:autoSpaceDN w:val="0"/>
        <w:adjustRightInd w:val="0"/>
        <w:rPr>
          <w:rFonts w:asciiTheme="majorHAnsi" w:eastAsia="Times New Roman" w:hAnsiTheme="majorHAnsi" w:cs="Segoe UI"/>
          <w:color w:val="000000"/>
          <w:sz w:val="16"/>
          <w:szCs w:val="16"/>
          <w:lang w:val="en-AU" w:eastAsia="en-US"/>
        </w:rPr>
      </w:pPr>
      <w:hyperlink r:id="rId30" w:history="1">
        <w:r w:rsidR="00E4553F" w:rsidRPr="000B0F9D">
          <w:rPr>
            <w:rStyle w:val="Hyperlink"/>
            <w:rFonts w:asciiTheme="majorHAnsi" w:eastAsia="Times New Roman" w:hAnsiTheme="majorHAnsi" w:cs="Segoe UI"/>
            <w:sz w:val="16"/>
            <w:szCs w:val="16"/>
            <w:lang w:val="en-AU" w:eastAsia="en-US"/>
          </w:rPr>
          <w:t>https://vaersanalysis.info/2022/04/15/vaers-summary-for-covid-19-vaccines-through-4-8-2022/</w:t>
        </w:r>
      </w:hyperlink>
      <w:r w:rsidR="00E4553F" w:rsidRPr="000B0F9D">
        <w:rPr>
          <w:rFonts w:asciiTheme="majorHAnsi" w:eastAsia="Times New Roman" w:hAnsiTheme="majorHAnsi" w:cs="Segoe UI"/>
          <w:color w:val="000000"/>
          <w:sz w:val="16"/>
          <w:szCs w:val="16"/>
          <w:lang w:val="en-AU" w:eastAsia="en-US"/>
        </w:rPr>
        <w:t xml:space="preserve"> </w:t>
      </w:r>
    </w:p>
  </w:footnote>
  <w:footnote w:id="24">
    <w:p w14:paraId="5856CFFF" w14:textId="77777777" w:rsidR="00E4553F" w:rsidRPr="000B0F9D" w:rsidRDefault="00E4553F" w:rsidP="004B6C9C">
      <w:pPr>
        <w:rPr>
          <w:rFonts w:asciiTheme="majorHAnsi" w:eastAsia="Times New Roman" w:hAnsiTheme="majorHAnsi" w:cs="Times New Roman"/>
          <w:color w:val="0000FF"/>
          <w:sz w:val="16"/>
          <w:szCs w:val="16"/>
        </w:rPr>
      </w:pPr>
      <w:r w:rsidRPr="000B0F9D">
        <w:rPr>
          <w:rStyle w:val="FootnoteReference"/>
          <w:rFonts w:asciiTheme="majorHAnsi" w:hAnsiTheme="majorHAnsi"/>
          <w:color w:val="0000FF"/>
          <w:sz w:val="16"/>
          <w:szCs w:val="16"/>
        </w:rPr>
        <w:footnoteRef/>
      </w:r>
      <w:r w:rsidRPr="000B0F9D">
        <w:rPr>
          <w:rFonts w:asciiTheme="majorHAnsi" w:hAnsiTheme="majorHAnsi"/>
          <w:color w:val="0000FF"/>
          <w:sz w:val="16"/>
          <w:szCs w:val="16"/>
        </w:rPr>
        <w:t xml:space="preserve"> </w:t>
      </w:r>
      <w:hyperlink r:id="rId31" w:tgtFrame="_blank" w:history="1">
        <w:r w:rsidRPr="000B0F9D">
          <w:rPr>
            <w:rStyle w:val="Hyperlink"/>
            <w:rFonts w:asciiTheme="majorHAnsi" w:eastAsia="Times New Roman" w:hAnsiTheme="majorHAnsi" w:cs="Times New Roman"/>
            <w:color w:val="0000FF"/>
            <w:sz w:val="16"/>
            <w:szCs w:val="16"/>
          </w:rPr>
          <w:t>https://vaers.hhs.gov/data/datasets.html</w:t>
        </w:r>
      </w:hyperlink>
    </w:p>
    <w:p w14:paraId="01CD4E3D" w14:textId="394F1936" w:rsidR="00E4553F" w:rsidRPr="000B0F9D" w:rsidRDefault="00A50196" w:rsidP="004B6C9C">
      <w:pPr>
        <w:widowControl w:val="0"/>
        <w:autoSpaceDE w:val="0"/>
        <w:autoSpaceDN w:val="0"/>
        <w:adjustRightInd w:val="0"/>
        <w:rPr>
          <w:rFonts w:asciiTheme="majorHAnsi" w:eastAsia="Times New Roman" w:hAnsiTheme="majorHAnsi" w:cs="Segoe UI"/>
          <w:color w:val="000000"/>
          <w:sz w:val="16"/>
          <w:szCs w:val="16"/>
          <w:lang w:val="en-AU" w:eastAsia="en-US"/>
        </w:rPr>
      </w:pPr>
      <w:hyperlink r:id="rId32" w:history="1">
        <w:r w:rsidR="00E4553F" w:rsidRPr="000B0F9D">
          <w:rPr>
            <w:rStyle w:val="Hyperlink"/>
            <w:rFonts w:asciiTheme="majorHAnsi" w:hAnsiTheme="majorHAnsi"/>
            <w:sz w:val="16"/>
            <w:szCs w:val="16"/>
          </w:rPr>
          <w:t>https://vaersanalysis.info/2022/04/15/vaers-summary-for-covid-19-vaccines-through-4-8-2022/</w:t>
        </w:r>
      </w:hyperlink>
      <w:r w:rsidR="00E4553F" w:rsidRPr="000B0F9D">
        <w:rPr>
          <w:rFonts w:asciiTheme="majorHAnsi" w:hAnsiTheme="majorHAnsi"/>
          <w:sz w:val="16"/>
          <w:szCs w:val="16"/>
        </w:rPr>
        <w:t xml:space="preserve"> ; </w:t>
      </w:r>
    </w:p>
  </w:footnote>
  <w:footnote w:id="25">
    <w:p w14:paraId="68D33776" w14:textId="77777777" w:rsidR="00E4553F" w:rsidRPr="000B0F9D" w:rsidRDefault="00E4553F" w:rsidP="00FA42E3">
      <w:pPr>
        <w:pStyle w:val="FootnoteText"/>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33" w:history="1">
        <w:r w:rsidRPr="000B0F9D">
          <w:rPr>
            <w:rStyle w:val="Hyperlink"/>
            <w:rFonts w:asciiTheme="majorHAnsi" w:hAnsiTheme="majorHAnsi"/>
            <w:sz w:val="16"/>
            <w:szCs w:val="16"/>
          </w:rPr>
          <w:t>https://nzdsos.com/2021/06/14/open-letter-on-vaccinating-children/</w:t>
        </w:r>
      </w:hyperlink>
      <w:r w:rsidRPr="000B0F9D">
        <w:rPr>
          <w:rFonts w:asciiTheme="majorHAnsi" w:hAnsiTheme="majorHAnsi"/>
          <w:sz w:val="16"/>
          <w:szCs w:val="16"/>
        </w:rPr>
        <w:t xml:space="preserve"> </w:t>
      </w:r>
    </w:p>
  </w:footnote>
  <w:footnote w:id="26">
    <w:p w14:paraId="76CCAED5" w14:textId="46670A4D" w:rsidR="00E4553F" w:rsidRPr="000B0F9D" w:rsidRDefault="00E4553F" w:rsidP="003E281A">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hAnsiTheme="majorHAnsi" w:cstheme="minorHAnsi"/>
          <w:sz w:val="16"/>
          <w:szCs w:val="16"/>
        </w:rPr>
        <w:t xml:space="preserve">The USA’s Centers for Disease Control and Prevention puts this survival rate (birth-17 yrs old) </w:t>
      </w:r>
      <w:r w:rsidRPr="000B0F9D">
        <w:rPr>
          <w:rFonts w:asciiTheme="majorHAnsi" w:hAnsiTheme="majorHAnsi" w:cstheme="minorHAnsi"/>
          <w:bCs/>
          <w:sz w:val="16"/>
          <w:szCs w:val="16"/>
        </w:rPr>
        <w:t xml:space="preserve">at 99.998%. </w:t>
      </w:r>
      <w:hyperlink r:id="rId34" w:history="1">
        <w:r w:rsidRPr="000B0F9D">
          <w:rPr>
            <w:rStyle w:val="Hyperlink"/>
            <w:rFonts w:asciiTheme="majorHAnsi" w:hAnsiTheme="majorHAnsi"/>
            <w:sz w:val="16"/>
            <w:szCs w:val="16"/>
          </w:rPr>
          <w:t>https://www.cdc.gov/coronavirus/2019-ncov/hcp/planning-scenarios.html</w:t>
        </w:r>
      </w:hyperlink>
      <w:r w:rsidRPr="000B0F9D">
        <w:rPr>
          <w:rFonts w:asciiTheme="majorHAnsi" w:hAnsiTheme="majorHAnsi"/>
          <w:sz w:val="16"/>
          <w:szCs w:val="16"/>
        </w:rPr>
        <w:t xml:space="preserve"> ; </w:t>
      </w:r>
      <w:hyperlink r:id="rId35" w:history="1">
        <w:r w:rsidRPr="000B0F9D">
          <w:rPr>
            <w:rStyle w:val="Hyperlink"/>
            <w:rFonts w:asciiTheme="majorHAnsi" w:hAnsiTheme="majorHAnsi"/>
            <w:sz w:val="16"/>
            <w:szCs w:val="16"/>
          </w:rPr>
          <w:t>https://pubmed.ncbi.nlm.nih.gov/33289900/</w:t>
        </w:r>
      </w:hyperlink>
      <w:r w:rsidRPr="000B0F9D">
        <w:rPr>
          <w:rFonts w:asciiTheme="majorHAnsi" w:hAnsiTheme="majorHAnsi"/>
          <w:sz w:val="16"/>
          <w:szCs w:val="16"/>
        </w:rPr>
        <w:t xml:space="preserve">; </w:t>
      </w:r>
      <w:hyperlink r:id="rId36" w:history="1">
        <w:r w:rsidRPr="000B0F9D">
          <w:rPr>
            <w:rStyle w:val="Hyperlink"/>
            <w:rFonts w:asciiTheme="majorHAnsi" w:hAnsiTheme="majorHAnsi"/>
            <w:sz w:val="16"/>
            <w:szCs w:val="16"/>
          </w:rPr>
          <w:t>https://www.gov.uk/government/publications/covid-19-the-green-book-chapter-14a</w:t>
        </w:r>
      </w:hyperlink>
      <w:r w:rsidRPr="000B0F9D">
        <w:rPr>
          <w:rFonts w:asciiTheme="majorHAnsi" w:hAnsiTheme="majorHAnsi"/>
          <w:sz w:val="16"/>
          <w:szCs w:val="16"/>
        </w:rPr>
        <w:t xml:space="preserve"> ; </w:t>
      </w:r>
      <w:hyperlink r:id="rId37" w:anchor="epidemiology" w:history="1">
        <w:r w:rsidRPr="000B0F9D">
          <w:rPr>
            <w:rStyle w:val="Hyperlink"/>
            <w:rFonts w:asciiTheme="majorHAnsi" w:hAnsiTheme="majorHAnsi"/>
            <w:sz w:val="16"/>
            <w:szCs w:val="16"/>
          </w:rPr>
          <w:t>https://www.rcpch.ac.uk/resources/covid-19-research-evidence-summaries#epidemiology</w:t>
        </w:r>
      </w:hyperlink>
    </w:p>
  </w:footnote>
  <w:footnote w:id="27">
    <w:p w14:paraId="391433AD" w14:textId="0B6001F2" w:rsidR="00E4553F" w:rsidRPr="000B0F9D" w:rsidRDefault="00E4553F" w:rsidP="00E56937">
      <w:pPr>
        <w:pStyle w:val="FootnoteText"/>
        <w:ind w:left="0" w:firstLine="0"/>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hAnsiTheme="majorHAnsi" w:cs="Times"/>
          <w:color w:val="000000"/>
          <w:sz w:val="16"/>
          <w:szCs w:val="16"/>
        </w:rPr>
        <w:t>Committee on the Rights of the Children, General comment No. 14 (2013) on the right of the child to have his or her best interests taken as a primary consideration ( art . 3 , para .1), 29 May 2013, CRC/C/GC/14</w:t>
      </w:r>
    </w:p>
  </w:footnote>
  <w:footnote w:id="28">
    <w:p w14:paraId="3ED585EC" w14:textId="3C79668C" w:rsidR="00E4553F" w:rsidRPr="00970619" w:rsidRDefault="00E4553F">
      <w:pPr>
        <w:pStyle w:val="FootnoteText"/>
        <w:rPr>
          <w:rFonts w:asciiTheme="majorHAnsi" w:hAnsiTheme="majorHAnsi"/>
          <w:sz w:val="16"/>
          <w:szCs w:val="16"/>
          <w:lang w:val="en-US"/>
        </w:rPr>
      </w:pPr>
      <w:r w:rsidRPr="00970619">
        <w:rPr>
          <w:rStyle w:val="FootnoteReference"/>
          <w:rFonts w:asciiTheme="majorHAnsi" w:hAnsiTheme="majorHAnsi"/>
          <w:sz w:val="16"/>
          <w:szCs w:val="16"/>
        </w:rPr>
        <w:footnoteRef/>
      </w:r>
      <w:r w:rsidRPr="00970619">
        <w:rPr>
          <w:rFonts w:asciiTheme="majorHAnsi" w:hAnsiTheme="majorHAnsi"/>
          <w:sz w:val="16"/>
          <w:szCs w:val="16"/>
        </w:rPr>
        <w:t xml:space="preserve"> </w:t>
      </w:r>
      <w:r w:rsidRPr="00970619">
        <w:rPr>
          <w:rFonts w:asciiTheme="majorHAnsi" w:hAnsiTheme="majorHAnsi"/>
          <w:sz w:val="16"/>
          <w:szCs w:val="16"/>
          <w:lang w:val="en-US"/>
        </w:rPr>
        <w:t>Confidential reports to New Zealand Doctors Speaking Out with Science.</w:t>
      </w:r>
    </w:p>
  </w:footnote>
  <w:footnote w:id="29">
    <w:p w14:paraId="1AE50C57" w14:textId="240343F7" w:rsidR="00E4553F" w:rsidRPr="000B0F9D" w:rsidRDefault="00E4553F">
      <w:pPr>
        <w:pStyle w:val="FootnoteText"/>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38" w:history="1">
        <w:r w:rsidRPr="000B0F9D">
          <w:rPr>
            <w:rStyle w:val="Hyperlink"/>
            <w:rFonts w:asciiTheme="majorHAnsi" w:hAnsiTheme="majorHAnsi"/>
            <w:sz w:val="16"/>
            <w:szCs w:val="16"/>
          </w:rPr>
          <w:t>https://www.medsafe.govt.nz/COVID-19/safety-report-42.asp</w:t>
        </w:r>
      </w:hyperlink>
      <w:r w:rsidRPr="000B0F9D">
        <w:rPr>
          <w:rFonts w:asciiTheme="majorHAnsi" w:hAnsiTheme="majorHAnsi"/>
          <w:color w:val="000000"/>
          <w:sz w:val="16"/>
          <w:szCs w:val="16"/>
        </w:rPr>
        <w:t>;</w:t>
      </w:r>
    </w:p>
  </w:footnote>
  <w:footnote w:id="30">
    <w:p w14:paraId="585CFEC2" w14:textId="77777777" w:rsidR="00E4553F" w:rsidRPr="000B0F9D" w:rsidRDefault="00E4553F" w:rsidP="00520DDE">
      <w:pPr>
        <w:pStyle w:val="FootnoteText"/>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39" w:history="1">
        <w:r w:rsidRPr="000B0F9D">
          <w:rPr>
            <w:rStyle w:val="Hyperlink"/>
            <w:rFonts w:asciiTheme="majorHAnsi" w:hAnsiTheme="majorHAnsi"/>
            <w:sz w:val="16"/>
            <w:szCs w:val="16"/>
          </w:rPr>
          <w:t>https://www.medsafe.govt.nz/COVID-19/safety-report-42.asp</w:t>
        </w:r>
      </w:hyperlink>
      <w:r w:rsidRPr="000B0F9D">
        <w:rPr>
          <w:rFonts w:asciiTheme="majorHAnsi" w:hAnsiTheme="majorHAnsi"/>
          <w:color w:val="000000"/>
          <w:sz w:val="16"/>
          <w:szCs w:val="16"/>
        </w:rPr>
        <w:t>;</w:t>
      </w:r>
    </w:p>
  </w:footnote>
  <w:footnote w:id="31">
    <w:p w14:paraId="7A70F11C" w14:textId="586BF8B2" w:rsidR="00E4553F" w:rsidRPr="00362527" w:rsidRDefault="00E4553F">
      <w:pPr>
        <w:pStyle w:val="FootnoteText"/>
        <w:rPr>
          <w:rFonts w:asciiTheme="majorHAnsi" w:hAnsiTheme="majorHAnsi"/>
          <w:sz w:val="16"/>
          <w:szCs w:val="16"/>
          <w:lang w:val="en-US"/>
        </w:rPr>
      </w:pPr>
      <w:r w:rsidRPr="00362527">
        <w:rPr>
          <w:rStyle w:val="FootnoteReference"/>
          <w:rFonts w:asciiTheme="majorHAnsi" w:hAnsiTheme="majorHAnsi"/>
          <w:sz w:val="16"/>
          <w:szCs w:val="16"/>
        </w:rPr>
        <w:footnoteRef/>
      </w:r>
      <w:r w:rsidRPr="00362527">
        <w:rPr>
          <w:rFonts w:asciiTheme="majorHAnsi" w:hAnsiTheme="majorHAnsi"/>
          <w:sz w:val="16"/>
          <w:szCs w:val="16"/>
        </w:rPr>
        <w:t xml:space="preserve"> </w:t>
      </w:r>
      <w:hyperlink r:id="rId40" w:history="1">
        <w:r w:rsidRPr="00362527">
          <w:rPr>
            <w:rStyle w:val="Hyperlink"/>
            <w:rFonts w:asciiTheme="majorHAnsi" w:hAnsiTheme="majorHAnsi"/>
            <w:sz w:val="16"/>
            <w:szCs w:val="16"/>
          </w:rPr>
          <w:t>https://nzdsos.com/2022/01/30/citizens-database/</w:t>
        </w:r>
      </w:hyperlink>
      <w:r w:rsidRPr="00362527">
        <w:rPr>
          <w:rFonts w:asciiTheme="majorHAnsi" w:hAnsiTheme="majorHAnsi"/>
          <w:sz w:val="16"/>
          <w:szCs w:val="16"/>
        </w:rPr>
        <w:t xml:space="preserve"> </w:t>
      </w:r>
    </w:p>
  </w:footnote>
  <w:footnote w:id="32">
    <w:p w14:paraId="23A1A64B" w14:textId="4C7F1E4E" w:rsidR="00E4553F" w:rsidRPr="000B0F9D" w:rsidRDefault="00E4553F" w:rsidP="00D043ED">
      <w:pPr>
        <w:pStyle w:val="FootnoteText"/>
        <w:tabs>
          <w:tab w:val="clear" w:pos="1021"/>
        </w:tabs>
        <w:spacing w:line="240" w:lineRule="auto"/>
        <w:ind w:left="0" w:firstLine="0"/>
        <w:rPr>
          <w:rFonts w:asciiTheme="majorHAnsi" w:hAnsiTheme="majorHAnsi"/>
          <w:sz w:val="16"/>
          <w:szCs w:val="16"/>
          <w:lang w:val="en-US"/>
        </w:rPr>
      </w:pPr>
      <w:r w:rsidRPr="000B0F9D">
        <w:rPr>
          <w:rStyle w:val="FootnoteReference"/>
          <w:rFonts w:asciiTheme="majorHAnsi" w:hAnsiTheme="majorHAnsi"/>
          <w:sz w:val="16"/>
          <w:szCs w:val="16"/>
        </w:rPr>
        <w:footnoteRef/>
      </w:r>
      <w:hyperlink r:id="rId41" w:anchor="gid=1713619946" w:history="1">
        <w:r w:rsidRPr="000B0F9D">
          <w:rPr>
            <w:rStyle w:val="Hyperlink"/>
            <w:rFonts w:asciiTheme="majorHAnsi" w:hAnsiTheme="majorHAnsi"/>
            <w:sz w:val="16"/>
            <w:szCs w:val="16"/>
          </w:rPr>
          <w:t>https://docs.google.com/spreadsheets/d/1EXQRRGGzzcxqFL6txrXgGC_Xp7Gb0LbCE3LLyszFBAs/edit#gid=1713619946</w:t>
        </w:r>
      </w:hyperlink>
    </w:p>
  </w:footnote>
  <w:footnote w:id="33">
    <w:p w14:paraId="549F74CE" w14:textId="1EA1B46C" w:rsidR="00E4553F" w:rsidRPr="0019127B" w:rsidRDefault="00E4553F" w:rsidP="000A6700">
      <w:pPr>
        <w:pStyle w:val="FootnoteText"/>
        <w:spacing w:line="240" w:lineRule="auto"/>
        <w:ind w:left="0" w:right="-7" w:firstLine="0"/>
        <w:rPr>
          <w:rFonts w:asciiTheme="majorHAnsi" w:hAnsiTheme="majorHAnsi"/>
          <w:sz w:val="16"/>
          <w:szCs w:val="16"/>
          <w:lang w:val="en-US"/>
        </w:rPr>
      </w:pPr>
      <w:r w:rsidRPr="0019127B">
        <w:rPr>
          <w:rStyle w:val="FootnoteReference"/>
          <w:rFonts w:asciiTheme="majorHAnsi" w:hAnsiTheme="majorHAnsi"/>
          <w:sz w:val="16"/>
          <w:szCs w:val="16"/>
        </w:rPr>
        <w:footnoteRef/>
      </w:r>
      <w:r w:rsidRPr="0019127B">
        <w:rPr>
          <w:rFonts w:asciiTheme="majorHAnsi" w:hAnsiTheme="majorHAnsi"/>
          <w:sz w:val="16"/>
          <w:szCs w:val="16"/>
        </w:rPr>
        <w:t xml:space="preserve"> </w:t>
      </w:r>
      <w:r>
        <w:rPr>
          <w:rFonts w:asciiTheme="majorHAnsi" w:hAnsiTheme="majorHAnsi"/>
          <w:sz w:val="16"/>
          <w:szCs w:val="16"/>
        </w:rPr>
        <w:t xml:space="preserve">United Nations Office of the High Commissioner for Human Rights (2011), Guiding Principles of Business and Human Rights – Implementing the United Nations “Protect, Respect and Remedy” Framework, United nations, New York and Geneva, 2011. </w:t>
      </w:r>
      <w:hyperlink r:id="rId42" w:history="1">
        <w:r w:rsidRPr="0019127B">
          <w:rPr>
            <w:rStyle w:val="Hyperlink"/>
            <w:rFonts w:asciiTheme="majorHAnsi" w:hAnsiTheme="majorHAnsi"/>
            <w:sz w:val="16"/>
            <w:szCs w:val="16"/>
          </w:rPr>
          <w:t>https://www.ohchr.org/sites/default/files/Documents/Publications/GuidingPrinciplesBusinessHR_EN.pdf</w:t>
        </w:r>
      </w:hyperlink>
      <w:r w:rsidRPr="0019127B">
        <w:rPr>
          <w:rFonts w:asciiTheme="majorHAnsi" w:hAnsiTheme="majorHAnsi"/>
          <w:sz w:val="16"/>
          <w:szCs w:val="16"/>
        </w:rPr>
        <w:t xml:space="preserve"> </w:t>
      </w:r>
    </w:p>
  </w:footnote>
  <w:footnote w:id="34">
    <w:p w14:paraId="110CC88A" w14:textId="770FC8B4" w:rsidR="00E4553F" w:rsidRPr="000B0F9D" w:rsidRDefault="00E4553F" w:rsidP="00395A03">
      <w:pPr>
        <w:rPr>
          <w:rFonts w:asciiTheme="majorHAnsi" w:eastAsia="Times New Roman" w:hAnsiTheme="majorHAnsi" w:cs="Times New Roman"/>
          <w:color w:val="000000"/>
          <w:sz w:val="16"/>
          <w:szCs w:val="16"/>
          <w:lang w:val="en-AU" w:eastAsia="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An Official Information Act request was made  on April 26, 2022 requesting the New Zealand Government to officially disclose </w:t>
      </w:r>
      <w:r w:rsidRPr="000B0F9D">
        <w:rPr>
          <w:rFonts w:asciiTheme="majorHAnsi" w:eastAsia="Times New Roman" w:hAnsiTheme="majorHAnsi" w:cs="Times New Roman"/>
          <w:color w:val="000000"/>
          <w:sz w:val="16"/>
          <w:szCs w:val="16"/>
          <w:lang w:val="en-AU" w:eastAsia="en-US"/>
        </w:rPr>
        <w:t>any government or cabinet protocols, policies, guidelines which propose or require  confidentiality for any communications or compensation relating to any Pfizer or other vaccine Injuries; as well as a list showing all payments or other funding budgeted and/ or spent by the government for any form of compensation to adversely affected individuals or families for any Pfizer vaccine death or injury, and any terms and conditions of any such compensation being paid.  The Government has 20 working days within which to respond to such request. We will forward the official information release in due course.</w:t>
      </w:r>
    </w:p>
  </w:footnote>
  <w:footnote w:id="35">
    <w:p w14:paraId="6CF175A1" w14:textId="77777777" w:rsidR="00E4553F" w:rsidRPr="000B0F9D" w:rsidRDefault="00E4553F" w:rsidP="00FC12D1">
      <w:pPr>
        <w:widowControl w:val="0"/>
        <w:tabs>
          <w:tab w:val="left" w:pos="220"/>
          <w:tab w:val="left" w:pos="720"/>
        </w:tabs>
        <w:autoSpaceDE w:val="0"/>
        <w:autoSpaceDN w:val="0"/>
        <w:adjustRightInd w:val="0"/>
        <w:rPr>
          <w:rFonts w:asciiTheme="majorHAnsi" w:hAnsiTheme="majorHAnsi" w:cs="Times"/>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hAnsiTheme="majorHAnsi" w:cs="Times"/>
          <w:color w:val="000000"/>
          <w:sz w:val="16"/>
          <w:szCs w:val="16"/>
        </w:rPr>
        <w:t>UN Guiding Principle on Business and Human Rights 31 – effectiveness criteria for non-judicial grievance mechanisms - legitimate, independent third party mechanism. Criteria (a)-(h) i.e. legitimate, accessible, predictable, equitable, transparent, rights-compatible, a source of continuous learning, based on engagement and dialogue.</w:t>
      </w:r>
    </w:p>
  </w:footnote>
  <w:footnote w:id="36">
    <w:p w14:paraId="063AA331" w14:textId="77777777" w:rsidR="00E4553F" w:rsidRPr="000B0F9D" w:rsidRDefault="00E4553F" w:rsidP="00FC12D1">
      <w:pPr>
        <w:ind w:right="-149"/>
        <w:rPr>
          <w:rFonts w:asciiTheme="majorHAnsi" w:hAnsiTheme="majorHAnsi" w:cs="Times New Roman"/>
          <w:bCs/>
          <w:sz w:val="16"/>
          <w:szCs w:val="16"/>
          <w:lang w:val="en-AU" w:eastAsia="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hAnsiTheme="majorHAnsi" w:cs="Times"/>
          <w:color w:val="000000"/>
          <w:sz w:val="16"/>
          <w:szCs w:val="16"/>
        </w:rPr>
        <w:t xml:space="preserve">UN Guiding Principle on Business and Human Rights 25 - </w:t>
      </w:r>
      <w:r w:rsidRPr="000B0F9D">
        <w:rPr>
          <w:rFonts w:asciiTheme="majorHAnsi" w:hAnsiTheme="majorHAnsi" w:cs="Times New Roman"/>
          <w:bCs/>
          <w:sz w:val="16"/>
          <w:szCs w:val="16"/>
          <w:lang w:val="en-AU" w:eastAsia="en-US"/>
        </w:rPr>
        <w:t xml:space="preserve">Access to remedy - As part of their duty to protect against business-related human rights abuse, States must take appropriate steps to ensure, through judicial, administrative, legislative or other appropriate means, that when such abuses occur within their territory and/or jurisdiction those affected have access to effective remedy. </w:t>
      </w:r>
      <w:r w:rsidRPr="000B0F9D">
        <w:rPr>
          <w:rFonts w:asciiTheme="majorHAnsi" w:hAnsiTheme="majorHAnsi"/>
          <w:sz w:val="16"/>
          <w:szCs w:val="16"/>
        </w:rPr>
        <w:t>Remedy may include apologies, restitution, rehabilitation, financial or non- financial compensation and punitive sanctions (whether criminal or administrative, such as fines), as well as the prevention of harm through, for example, injunctions or guarantees of non-repetition. Procedures for the provision of remedy should be impartial, protected from corruption and free from political or other attempts to influence the outcome.</w:t>
      </w:r>
    </w:p>
  </w:footnote>
  <w:footnote w:id="37">
    <w:p w14:paraId="31FC3839" w14:textId="1F272B4C" w:rsidR="00E4553F" w:rsidRPr="003838A6" w:rsidRDefault="00E4553F" w:rsidP="003273AE">
      <w:pPr>
        <w:pStyle w:val="FootnoteText"/>
        <w:ind w:left="0" w:right="-7" w:firstLine="0"/>
        <w:rPr>
          <w:rFonts w:asciiTheme="majorHAnsi" w:hAnsiTheme="majorHAnsi"/>
          <w:sz w:val="16"/>
          <w:szCs w:val="16"/>
          <w:lang w:val="en-US"/>
        </w:rPr>
      </w:pPr>
      <w:r w:rsidRPr="003838A6">
        <w:rPr>
          <w:rStyle w:val="FootnoteReference"/>
          <w:rFonts w:asciiTheme="majorHAnsi" w:hAnsiTheme="majorHAnsi"/>
          <w:sz w:val="16"/>
          <w:szCs w:val="16"/>
        </w:rPr>
        <w:footnoteRef/>
      </w:r>
      <w:r w:rsidRPr="003838A6">
        <w:rPr>
          <w:rFonts w:asciiTheme="majorHAnsi" w:hAnsiTheme="majorHAnsi"/>
          <w:sz w:val="16"/>
          <w:szCs w:val="16"/>
        </w:rPr>
        <w:t xml:space="preserve"> </w:t>
      </w:r>
      <w:r w:rsidRPr="003838A6">
        <w:rPr>
          <w:rFonts w:asciiTheme="majorHAnsi" w:hAnsiTheme="majorHAnsi"/>
          <w:sz w:val="16"/>
          <w:szCs w:val="16"/>
          <w:lang w:val="en-US"/>
        </w:rPr>
        <w:t xml:space="preserve"> </w:t>
      </w:r>
      <w:r>
        <w:rPr>
          <w:rFonts w:asciiTheme="majorHAnsi" w:hAnsiTheme="majorHAnsi"/>
          <w:sz w:val="16"/>
          <w:szCs w:val="16"/>
          <w:lang w:val="en-US"/>
        </w:rPr>
        <w:t xml:space="preserve">Committee on the Rights of the Child, </w:t>
      </w:r>
      <w:r w:rsidRPr="003838A6">
        <w:rPr>
          <w:rFonts w:asciiTheme="majorHAnsi" w:hAnsiTheme="majorHAnsi"/>
          <w:color w:val="000000"/>
          <w:sz w:val="16"/>
          <w:szCs w:val="16"/>
        </w:rPr>
        <w:t>General comment No. 16 (2013) on State obligations regarding the impact of the business sector on children’s rights.</w:t>
      </w:r>
    </w:p>
  </w:footnote>
  <w:footnote w:id="38">
    <w:p w14:paraId="3C3D2226" w14:textId="5B2D4FF8" w:rsidR="00E4553F" w:rsidRPr="001E71C0" w:rsidRDefault="00E4553F">
      <w:pPr>
        <w:pStyle w:val="FootnoteText"/>
        <w:rPr>
          <w:rFonts w:asciiTheme="majorHAnsi" w:hAnsiTheme="majorHAnsi"/>
          <w:sz w:val="16"/>
          <w:szCs w:val="16"/>
          <w:lang w:val="en-US"/>
        </w:rPr>
      </w:pPr>
      <w:r w:rsidRPr="001E71C0">
        <w:rPr>
          <w:rStyle w:val="FootnoteReference"/>
          <w:rFonts w:asciiTheme="majorHAnsi" w:hAnsiTheme="majorHAnsi"/>
          <w:sz w:val="16"/>
          <w:szCs w:val="16"/>
        </w:rPr>
        <w:footnoteRef/>
      </w:r>
      <w:r w:rsidRPr="001E71C0">
        <w:rPr>
          <w:rFonts w:asciiTheme="majorHAnsi" w:hAnsiTheme="majorHAnsi"/>
          <w:sz w:val="16"/>
          <w:szCs w:val="16"/>
        </w:rPr>
        <w:t xml:space="preserve"> </w:t>
      </w:r>
      <w:r w:rsidRPr="001E71C0">
        <w:rPr>
          <w:rFonts w:asciiTheme="majorHAnsi" w:hAnsiTheme="majorHAnsi"/>
          <w:sz w:val="16"/>
          <w:szCs w:val="16"/>
          <w:lang w:val="en-US"/>
        </w:rPr>
        <w:t xml:space="preserve">See for example </w:t>
      </w:r>
      <w:hyperlink r:id="rId43" w:history="1">
        <w:r w:rsidRPr="001E71C0">
          <w:rPr>
            <w:rStyle w:val="Hyperlink"/>
            <w:rFonts w:asciiTheme="majorHAnsi" w:hAnsiTheme="majorHAnsi"/>
            <w:sz w:val="16"/>
            <w:szCs w:val="16"/>
            <w:lang w:val="en-US"/>
          </w:rPr>
          <w:t>www.stuff.co.nz</w:t>
        </w:r>
      </w:hyperlink>
      <w:r w:rsidRPr="001E71C0">
        <w:rPr>
          <w:rFonts w:asciiTheme="majorHAnsi" w:hAnsiTheme="majorHAnsi"/>
          <w:sz w:val="16"/>
          <w:szCs w:val="16"/>
          <w:lang w:val="en-US"/>
        </w:rPr>
        <w:t xml:space="preserve">, </w:t>
      </w:r>
      <w:hyperlink r:id="rId44" w:history="1">
        <w:r w:rsidRPr="001E71C0">
          <w:rPr>
            <w:rStyle w:val="Hyperlink"/>
            <w:rFonts w:asciiTheme="majorHAnsi" w:hAnsiTheme="majorHAnsi"/>
            <w:sz w:val="16"/>
            <w:szCs w:val="16"/>
            <w:lang w:val="en-US"/>
          </w:rPr>
          <w:t>www.rnz.co.nz</w:t>
        </w:r>
      </w:hyperlink>
      <w:r w:rsidRPr="001E71C0">
        <w:rPr>
          <w:rFonts w:asciiTheme="majorHAnsi" w:hAnsiTheme="majorHAnsi"/>
          <w:sz w:val="16"/>
          <w:szCs w:val="16"/>
          <w:lang w:val="en-US"/>
        </w:rPr>
        <w:t xml:space="preserve">, </w:t>
      </w:r>
      <w:hyperlink r:id="rId45" w:history="1">
        <w:r w:rsidRPr="001E71C0">
          <w:rPr>
            <w:rStyle w:val="Hyperlink"/>
            <w:rFonts w:asciiTheme="majorHAnsi" w:hAnsiTheme="majorHAnsi"/>
            <w:sz w:val="16"/>
            <w:szCs w:val="16"/>
            <w:lang w:val="en-US"/>
          </w:rPr>
          <w:t>www.nzherald.co.nz</w:t>
        </w:r>
      </w:hyperlink>
    </w:p>
  </w:footnote>
  <w:footnote w:id="39">
    <w:p w14:paraId="3A79C399" w14:textId="77777777" w:rsidR="00E4553F" w:rsidRPr="003273AE" w:rsidRDefault="00E4553F" w:rsidP="003273AE">
      <w:pPr>
        <w:widowControl w:val="0"/>
        <w:autoSpaceDE w:val="0"/>
        <w:autoSpaceDN w:val="0"/>
        <w:adjustRightInd w:val="0"/>
        <w:ind w:right="-7"/>
        <w:jc w:val="both"/>
        <w:rPr>
          <w:rFonts w:asciiTheme="majorHAnsi" w:hAnsiTheme="majorHAnsi" w:cs="Times New Roman"/>
          <w:color w:val="000000"/>
          <w:sz w:val="16"/>
          <w:szCs w:val="16"/>
        </w:rPr>
      </w:pPr>
      <w:r w:rsidRPr="003273AE">
        <w:rPr>
          <w:rStyle w:val="FootnoteReference"/>
          <w:rFonts w:asciiTheme="majorHAnsi" w:hAnsiTheme="majorHAnsi"/>
          <w:sz w:val="16"/>
          <w:szCs w:val="16"/>
        </w:rPr>
        <w:footnoteRef/>
      </w:r>
      <w:r w:rsidRPr="003273AE">
        <w:rPr>
          <w:rFonts w:asciiTheme="majorHAnsi" w:hAnsiTheme="majorHAnsi"/>
          <w:sz w:val="16"/>
          <w:szCs w:val="16"/>
        </w:rPr>
        <w:t xml:space="preserve"> </w:t>
      </w:r>
      <w:hyperlink r:id="rId46" w:history="1">
        <w:r w:rsidRPr="003273AE">
          <w:rPr>
            <w:rStyle w:val="Hyperlink"/>
            <w:rFonts w:asciiTheme="majorHAnsi" w:hAnsiTheme="majorHAnsi" w:cs="Times New Roman"/>
            <w:sz w:val="16"/>
            <w:szCs w:val="16"/>
          </w:rPr>
          <w:t>https://nzdsos.com/2022/03/10/complaint-to-the-bsa/</w:t>
        </w:r>
      </w:hyperlink>
    </w:p>
  </w:footnote>
  <w:footnote w:id="40">
    <w:p w14:paraId="53E2E445" w14:textId="77777777" w:rsidR="00E4553F" w:rsidRPr="003838A6" w:rsidRDefault="00E4553F" w:rsidP="00362C7E">
      <w:pPr>
        <w:pStyle w:val="FootnoteText"/>
        <w:ind w:left="0" w:right="-7" w:firstLine="0"/>
        <w:rPr>
          <w:rFonts w:asciiTheme="majorHAnsi" w:hAnsiTheme="majorHAnsi"/>
          <w:sz w:val="16"/>
          <w:szCs w:val="16"/>
          <w:lang w:val="en-US"/>
        </w:rPr>
      </w:pPr>
      <w:r w:rsidRPr="003838A6">
        <w:rPr>
          <w:rStyle w:val="FootnoteReference"/>
          <w:rFonts w:asciiTheme="majorHAnsi" w:hAnsiTheme="majorHAnsi"/>
          <w:sz w:val="16"/>
          <w:szCs w:val="16"/>
        </w:rPr>
        <w:footnoteRef/>
      </w:r>
      <w:r w:rsidRPr="003838A6">
        <w:rPr>
          <w:rFonts w:asciiTheme="majorHAnsi" w:hAnsiTheme="majorHAnsi"/>
          <w:sz w:val="16"/>
          <w:szCs w:val="16"/>
        </w:rPr>
        <w:t xml:space="preserve"> </w:t>
      </w:r>
      <w:r w:rsidRPr="003838A6">
        <w:rPr>
          <w:rFonts w:asciiTheme="majorHAnsi" w:hAnsiTheme="majorHAnsi"/>
          <w:sz w:val="16"/>
          <w:szCs w:val="16"/>
          <w:lang w:val="en-US"/>
        </w:rPr>
        <w:t xml:space="preserve"> </w:t>
      </w:r>
      <w:r>
        <w:rPr>
          <w:rFonts w:asciiTheme="majorHAnsi" w:hAnsiTheme="majorHAnsi"/>
          <w:sz w:val="16"/>
          <w:szCs w:val="16"/>
          <w:lang w:val="en-US"/>
        </w:rPr>
        <w:t xml:space="preserve">Committee on the Rights of the Child, </w:t>
      </w:r>
      <w:r w:rsidRPr="003838A6">
        <w:rPr>
          <w:rFonts w:asciiTheme="majorHAnsi" w:hAnsiTheme="majorHAnsi"/>
          <w:color w:val="000000"/>
          <w:sz w:val="16"/>
          <w:szCs w:val="16"/>
        </w:rPr>
        <w:t>General comment No. 16 (2013) on State obligations regarding the impact of the business sector on children’s rights.</w:t>
      </w:r>
    </w:p>
  </w:footnote>
  <w:footnote w:id="41">
    <w:p w14:paraId="4CDF3FF3" w14:textId="50CCFDB8" w:rsidR="00E4553F" w:rsidRPr="003273AE" w:rsidRDefault="00E4553F" w:rsidP="003273AE">
      <w:pPr>
        <w:pStyle w:val="FootnoteText"/>
        <w:ind w:left="0" w:right="-7" w:firstLine="0"/>
        <w:jc w:val="both"/>
        <w:rPr>
          <w:rFonts w:asciiTheme="majorHAnsi" w:hAnsiTheme="majorHAnsi"/>
          <w:sz w:val="16"/>
          <w:szCs w:val="16"/>
          <w:lang w:val="en-US"/>
        </w:rPr>
      </w:pPr>
      <w:r w:rsidRPr="003273AE">
        <w:rPr>
          <w:rStyle w:val="FootnoteReference"/>
          <w:rFonts w:asciiTheme="majorHAnsi" w:hAnsiTheme="majorHAnsi"/>
          <w:sz w:val="16"/>
          <w:szCs w:val="16"/>
        </w:rPr>
        <w:footnoteRef/>
      </w:r>
      <w:hyperlink r:id="rId47" w:history="1">
        <w:r w:rsidRPr="003273AE">
          <w:rPr>
            <w:rStyle w:val="Hyperlink"/>
            <w:rFonts w:asciiTheme="majorHAnsi" w:eastAsia="Calibri" w:hAnsiTheme="majorHAnsi" w:cs="Calibri"/>
            <w:sz w:val="16"/>
            <w:szCs w:val="16"/>
          </w:rPr>
          <w:t>https://forms.justice.govt.nz/search/Documents/pdf/jdo/b1/alfresco/service/api/node/content/workspace/SpacesStore/e8d47bc3-10dd-4ef9-ad96-5162f8f12f37/e8d47bc3-10dd-4ef9-ad96-5162f8f12f37.pdf</w:t>
        </w:r>
      </w:hyperlink>
    </w:p>
  </w:footnote>
  <w:footnote w:id="42">
    <w:p w14:paraId="6FC006C8" w14:textId="62A94703" w:rsidR="00E4553F" w:rsidRPr="00B708E4" w:rsidRDefault="00E4553F" w:rsidP="002D02B1">
      <w:pPr>
        <w:pStyle w:val="FootnoteText"/>
        <w:ind w:left="0" w:firstLine="0"/>
        <w:rPr>
          <w:rFonts w:asciiTheme="majorHAnsi" w:hAnsiTheme="majorHAnsi"/>
          <w:sz w:val="16"/>
          <w:szCs w:val="16"/>
          <w:lang w:val="en-US"/>
        </w:rPr>
      </w:pPr>
      <w:r w:rsidRPr="00B708E4">
        <w:rPr>
          <w:rStyle w:val="FootnoteReference"/>
          <w:rFonts w:asciiTheme="majorHAnsi" w:hAnsiTheme="majorHAnsi"/>
          <w:sz w:val="16"/>
          <w:szCs w:val="16"/>
        </w:rPr>
        <w:footnoteRef/>
      </w:r>
      <w:r w:rsidRPr="00B708E4">
        <w:rPr>
          <w:rFonts w:asciiTheme="majorHAnsi" w:eastAsia="Calibri" w:hAnsiTheme="majorHAnsi" w:cs="Calibri"/>
          <w:sz w:val="16"/>
          <w:szCs w:val="16"/>
        </w:rPr>
        <w:t xml:space="preserve">Please see </w:t>
      </w:r>
      <w:hyperlink r:id="rId48">
        <w:r w:rsidRPr="00B708E4">
          <w:rPr>
            <w:rFonts w:asciiTheme="majorHAnsi" w:eastAsia="Calibri" w:hAnsiTheme="majorHAnsi" w:cs="Calibri"/>
            <w:color w:val="0000FF"/>
            <w:sz w:val="16"/>
            <w:szCs w:val="16"/>
            <w:u w:val="single"/>
          </w:rPr>
          <w:t>https://phmpt.org/wp-content/uploads/2021/11/5.3.6-postmarketing-experience.pdf</w:t>
        </w:r>
      </w:hyperlink>
      <w:r w:rsidRPr="00B708E4">
        <w:rPr>
          <w:rFonts w:asciiTheme="majorHAnsi" w:hAnsiTheme="majorHAnsi"/>
          <w:sz w:val="16"/>
          <w:szCs w:val="16"/>
        </w:rPr>
        <w:t xml:space="preserve">  </w:t>
      </w:r>
    </w:p>
  </w:footnote>
  <w:footnote w:id="43">
    <w:p w14:paraId="79BFFAE6"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sz w:val="16"/>
          <w:szCs w:val="16"/>
        </w:rPr>
        <w:t xml:space="preserve">UN Special Rapporteur on the right of everyone to the highest attainable standard of physical and mental health, Report to the Secretary-General (July 2020), </w:t>
      </w:r>
      <w:r w:rsidRPr="000B0F9D">
        <w:rPr>
          <w:rFonts w:asciiTheme="majorHAnsi" w:hAnsiTheme="majorHAnsi"/>
          <w:sz w:val="16"/>
          <w:szCs w:val="16"/>
        </w:rPr>
        <w:t>A/75/163</w:t>
      </w:r>
      <w:r w:rsidRPr="000B0F9D">
        <w:rPr>
          <w:rFonts w:asciiTheme="majorHAnsi" w:eastAsia="Calibri" w:hAnsiTheme="majorHAnsi" w:cs="Calibri"/>
          <w:sz w:val="16"/>
          <w:szCs w:val="16"/>
        </w:rPr>
        <w:t>, para 37, citing A/72/137</w:t>
      </w:r>
      <w:r w:rsidRPr="000B0F9D">
        <w:rPr>
          <w:rFonts w:asciiTheme="majorHAnsi" w:hAnsiTheme="majorHAnsi"/>
          <w:sz w:val="16"/>
          <w:szCs w:val="16"/>
        </w:rPr>
        <w:t>.</w:t>
      </w:r>
    </w:p>
  </w:footnote>
  <w:footnote w:id="44">
    <w:p w14:paraId="550943C3"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sz w:val="16"/>
          <w:szCs w:val="16"/>
        </w:rPr>
        <w:t xml:space="preserve">UN Special Rapporteur on the right of everyone to the highest attainable standard of physical and mental health, Report to the Secretary-General (July 2020), </w:t>
      </w:r>
      <w:r w:rsidRPr="000B0F9D">
        <w:rPr>
          <w:rFonts w:asciiTheme="majorHAnsi" w:hAnsiTheme="majorHAnsi"/>
          <w:sz w:val="16"/>
          <w:szCs w:val="16"/>
        </w:rPr>
        <w:t>A/75/163</w:t>
      </w:r>
      <w:r w:rsidRPr="000B0F9D">
        <w:rPr>
          <w:rFonts w:asciiTheme="majorHAnsi" w:eastAsia="Calibri" w:hAnsiTheme="majorHAnsi" w:cs="Calibri"/>
          <w:sz w:val="16"/>
          <w:szCs w:val="16"/>
        </w:rPr>
        <w:t>, para 38</w:t>
      </w:r>
      <w:r w:rsidRPr="000B0F9D">
        <w:rPr>
          <w:rFonts w:asciiTheme="majorHAnsi" w:hAnsiTheme="majorHAnsi"/>
          <w:sz w:val="16"/>
          <w:szCs w:val="16"/>
        </w:rPr>
        <w:t>.</w:t>
      </w:r>
    </w:p>
  </w:footnote>
  <w:footnote w:id="45">
    <w:p w14:paraId="5F797391"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sz w:val="16"/>
          <w:szCs w:val="16"/>
        </w:rPr>
        <w:t xml:space="preserve">UN Special Rapporteur on the right of everyone to the highest attainable standard of physical and mental health, Report to the Secretary-General (July 2020), </w:t>
      </w:r>
      <w:r w:rsidRPr="000B0F9D">
        <w:rPr>
          <w:rFonts w:asciiTheme="majorHAnsi" w:hAnsiTheme="majorHAnsi"/>
          <w:sz w:val="16"/>
          <w:szCs w:val="16"/>
        </w:rPr>
        <w:t>A/75/163</w:t>
      </w:r>
      <w:r w:rsidRPr="000B0F9D">
        <w:rPr>
          <w:rFonts w:asciiTheme="majorHAnsi" w:eastAsia="Calibri" w:hAnsiTheme="majorHAnsi" w:cs="Calibri"/>
          <w:sz w:val="16"/>
          <w:szCs w:val="16"/>
        </w:rPr>
        <w:t>, para 40</w:t>
      </w:r>
      <w:r w:rsidRPr="000B0F9D">
        <w:rPr>
          <w:rFonts w:asciiTheme="majorHAnsi" w:hAnsiTheme="majorHAnsi"/>
          <w:sz w:val="16"/>
          <w:szCs w:val="16"/>
        </w:rPr>
        <w:t>.</w:t>
      </w:r>
    </w:p>
  </w:footnote>
  <w:footnote w:id="46">
    <w:p w14:paraId="515378D0"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sz w:val="16"/>
          <w:szCs w:val="16"/>
        </w:rPr>
        <w:t xml:space="preserve">UN Special Rapporteur on the right of everyone to the highest attainable standard of physical and mental health, Report to the Secretary-General (July 2020), </w:t>
      </w:r>
      <w:r w:rsidRPr="000B0F9D">
        <w:rPr>
          <w:rFonts w:asciiTheme="majorHAnsi" w:hAnsiTheme="majorHAnsi"/>
          <w:sz w:val="16"/>
          <w:szCs w:val="16"/>
        </w:rPr>
        <w:t>A/75/163</w:t>
      </w:r>
      <w:r w:rsidRPr="000B0F9D">
        <w:rPr>
          <w:rFonts w:asciiTheme="majorHAnsi" w:eastAsia="Calibri" w:hAnsiTheme="majorHAnsi" w:cs="Calibri"/>
          <w:sz w:val="16"/>
          <w:szCs w:val="16"/>
        </w:rPr>
        <w:t>, para 41, citing E/C.12/2020/1, para 10</w:t>
      </w:r>
      <w:r w:rsidRPr="000B0F9D">
        <w:rPr>
          <w:rFonts w:asciiTheme="majorHAnsi" w:hAnsiTheme="majorHAnsi"/>
          <w:sz w:val="16"/>
          <w:szCs w:val="16"/>
        </w:rPr>
        <w:t>.</w:t>
      </w:r>
    </w:p>
  </w:footnote>
  <w:footnote w:id="47">
    <w:p w14:paraId="0A4E9610" w14:textId="77777777" w:rsidR="00E4553F" w:rsidRPr="000B0F9D" w:rsidRDefault="00E4553F" w:rsidP="00F06ACB">
      <w:pPr>
        <w:pStyle w:val="Normal1"/>
        <w:widowControl w:val="0"/>
        <w:rPr>
          <w:rFonts w:asciiTheme="majorHAnsi" w:eastAsia="Calibri" w:hAnsiTheme="majorHAnsi" w:cs="Calibri"/>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color w:val="000000"/>
          <w:sz w:val="16"/>
          <w:szCs w:val="16"/>
        </w:rPr>
        <w:t>United Nations General Assembly (2021), Report of the Special Rapporteur on the promotion and protection of the right to freedom of opinion and expression, Irene Khan: Disinformation and freedom of opinion and expression, A/HRC/47/25, 13 April 2021.</w:t>
      </w:r>
    </w:p>
  </w:footnote>
  <w:footnote w:id="48">
    <w:p w14:paraId="03DF96C5"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A/HRC/44/49, paras. 45–47.</w:t>
      </w:r>
    </w:p>
  </w:footnote>
  <w:footnote w:id="49">
    <w:p w14:paraId="33A7A476"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hAnsiTheme="majorHAnsi"/>
          <w:color w:val="0000FF"/>
          <w:sz w:val="16"/>
          <w:szCs w:val="16"/>
        </w:rPr>
        <w:t xml:space="preserve">European Commission, Code of Practice on Disinformation </w:t>
      </w:r>
      <w:r w:rsidRPr="000B0F9D">
        <w:rPr>
          <w:rFonts w:asciiTheme="majorHAnsi" w:hAnsiTheme="majorHAnsi"/>
          <w:sz w:val="16"/>
          <w:szCs w:val="16"/>
        </w:rPr>
        <w:t>(2018).</w:t>
      </w:r>
    </w:p>
  </w:footnote>
  <w:footnote w:id="50">
    <w:p w14:paraId="415D12BE" w14:textId="77777777" w:rsidR="00E4553F" w:rsidRPr="000B0F9D" w:rsidRDefault="00E4553F" w:rsidP="00F06ACB">
      <w:pPr>
        <w:pStyle w:val="Normal1"/>
        <w:widowControl w:val="0"/>
        <w:rPr>
          <w:rFonts w:asciiTheme="majorHAnsi" w:eastAsia="Calibri" w:hAnsiTheme="majorHAnsi" w:cs="Calibri"/>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color w:val="000000"/>
          <w:sz w:val="16"/>
          <w:szCs w:val="16"/>
        </w:rPr>
        <w:t>United Nations General Assembly (2021), Report of the Special Rapporteur on the promotion and protection of the right to freedom of opinion and expression, Irene Khan: Disinformation and freedom of opinion and expression, A/HRC/47/25, 13 April 2021.</w:t>
      </w:r>
    </w:p>
  </w:footnote>
  <w:footnote w:id="51">
    <w:p w14:paraId="2AA4CEA1" w14:textId="77777777" w:rsidR="00E4553F" w:rsidRPr="000B0F9D" w:rsidRDefault="00E4553F" w:rsidP="00F06ACB">
      <w:pPr>
        <w:pStyle w:val="Normal1"/>
        <w:widowControl w:val="0"/>
        <w:rPr>
          <w:rFonts w:asciiTheme="majorHAnsi" w:eastAsia="Calibri" w:hAnsiTheme="majorHAnsi" w:cs="Calibri"/>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color w:val="000000"/>
          <w:sz w:val="16"/>
          <w:szCs w:val="16"/>
        </w:rPr>
        <w:t>United Nations General Assembly (2021), Report of the Special Rapporteur on the promotion and protection of the right to freedom of opinion and expression, Irene Khan: Disinformation and freedom of opinion and expression, A/HRC/47/25, 13 April 2021.</w:t>
      </w:r>
    </w:p>
  </w:footnote>
  <w:footnote w:id="52">
    <w:p w14:paraId="0F97B488"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color w:val="000000"/>
          <w:sz w:val="16"/>
          <w:szCs w:val="16"/>
        </w:rPr>
        <w:t xml:space="preserve">United Nations General Assembly (2021), Report of the Special Rapporteur on the promotion and protection of the right to freedom of opinion and expression, Irene Khan: Disinformation and freedom of opinion and expression, A/HRC/47/25, 13 April 2021, Para 47. </w:t>
      </w:r>
      <w:r w:rsidRPr="000B0F9D">
        <w:rPr>
          <w:rFonts w:asciiTheme="majorHAnsi" w:hAnsiTheme="majorHAnsi"/>
          <w:sz w:val="16"/>
          <w:szCs w:val="16"/>
        </w:rPr>
        <w:t xml:space="preserve">Mark Milanovic and Michael N. Schmitt, “Cyber attacks and cyber (mis)information operations during a pandemic”, </w:t>
      </w:r>
      <w:r w:rsidRPr="000B0F9D">
        <w:rPr>
          <w:rFonts w:asciiTheme="majorHAnsi" w:hAnsiTheme="majorHAnsi"/>
          <w:i/>
          <w:iCs/>
          <w:sz w:val="16"/>
          <w:szCs w:val="16"/>
        </w:rPr>
        <w:t>Journal of National Security Law and Policy</w:t>
      </w:r>
      <w:r w:rsidRPr="000B0F9D">
        <w:rPr>
          <w:rFonts w:asciiTheme="majorHAnsi" w:hAnsiTheme="majorHAnsi"/>
          <w:sz w:val="16"/>
          <w:szCs w:val="16"/>
        </w:rPr>
        <w:t>, vol. 11 (2020).</w:t>
      </w:r>
    </w:p>
  </w:footnote>
  <w:footnote w:id="53">
    <w:p w14:paraId="49F5882B" w14:textId="77777777" w:rsidR="00E4553F" w:rsidRPr="000B0F9D" w:rsidRDefault="00E4553F" w:rsidP="00F06ACB">
      <w:pPr>
        <w:pStyle w:val="NormalWeb"/>
        <w:spacing w:before="0" w:beforeAutospacing="0" w:after="0" w:afterAutospacing="0"/>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color w:val="000000"/>
          <w:sz w:val="16"/>
          <w:szCs w:val="16"/>
        </w:rPr>
        <w:t xml:space="preserve">United Nations General Assembly (2021), Report of the Special Rapporteur on the promotion and protection of the right to freedom of opinion and expression, Irene Khan: Disinformation and freedom of opinion and expression, A/HRC/47/25, 13 April 2021, citing </w:t>
      </w:r>
      <w:r w:rsidRPr="000B0F9D">
        <w:rPr>
          <w:rFonts w:asciiTheme="majorHAnsi" w:hAnsiTheme="majorHAnsi"/>
          <w:sz w:val="16"/>
          <w:szCs w:val="16"/>
        </w:rPr>
        <w:t>A/HRC/44/49, para. 45.</w:t>
      </w:r>
    </w:p>
  </w:footnote>
  <w:footnote w:id="54">
    <w:p w14:paraId="6B75AD63" w14:textId="77777777" w:rsidR="00E4553F" w:rsidRPr="000B0F9D" w:rsidRDefault="00E4553F" w:rsidP="00F06ACB">
      <w:pPr>
        <w:pStyle w:val="FootnoteText"/>
        <w:rPr>
          <w:rFonts w:asciiTheme="majorHAnsi" w:hAnsiTheme="majorHAnsi"/>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49" w:history="1">
        <w:r w:rsidRPr="000B0F9D">
          <w:rPr>
            <w:rStyle w:val="Hyperlink"/>
            <w:rFonts w:asciiTheme="majorHAnsi" w:hAnsiTheme="majorHAnsi"/>
            <w:sz w:val="16"/>
            <w:szCs w:val="16"/>
          </w:rPr>
          <w:t>https://caldronpool.com/jacinda-ardern-we-will-continue-to-be-your-single-source-of-truth/</w:t>
        </w:r>
      </w:hyperlink>
      <w:r w:rsidRPr="000B0F9D">
        <w:rPr>
          <w:rFonts w:asciiTheme="majorHAnsi" w:hAnsiTheme="majorHAnsi"/>
          <w:sz w:val="16"/>
          <w:szCs w:val="16"/>
        </w:rPr>
        <w:t xml:space="preserve"> </w:t>
      </w:r>
    </w:p>
  </w:footnote>
  <w:footnote w:id="55">
    <w:p w14:paraId="594773E5" w14:textId="77777777" w:rsidR="00E4553F" w:rsidRPr="000B0F9D" w:rsidRDefault="00E4553F" w:rsidP="005C48B3">
      <w:pPr>
        <w:pStyle w:val="Normal1"/>
        <w:widowControl w:val="0"/>
        <w:rPr>
          <w:rFonts w:asciiTheme="majorHAnsi" w:eastAsia="Calibri" w:hAnsiTheme="majorHAnsi" w:cs="Calibri"/>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eastAsia="Calibri" w:hAnsiTheme="majorHAnsi" w:cs="Calibri"/>
          <w:color w:val="000000"/>
          <w:sz w:val="16"/>
          <w:szCs w:val="16"/>
        </w:rPr>
        <w:t>United Nations General Assembly (2021), Report of the Special Rapporteur on the promotion and protection of the right to freedom of opinion and expression, Irene Khan: Disinformation and freedom of opinion and expression, A/HRC/47/25, 13 April 2021, para 88.</w:t>
      </w:r>
    </w:p>
  </w:footnote>
  <w:footnote w:id="56">
    <w:p w14:paraId="4F37E009" w14:textId="6D874FE5" w:rsidR="00E4553F" w:rsidRPr="00F37E9C" w:rsidRDefault="00E4553F" w:rsidP="00F37E9C">
      <w:pPr>
        <w:pStyle w:val="FootnoteText"/>
        <w:tabs>
          <w:tab w:val="left" w:pos="8640"/>
        </w:tabs>
        <w:ind w:left="0" w:firstLine="0"/>
        <w:rPr>
          <w:rFonts w:asciiTheme="majorHAnsi" w:hAnsiTheme="majorHAnsi"/>
          <w:sz w:val="16"/>
          <w:szCs w:val="16"/>
          <w:lang w:val="en-US"/>
        </w:rPr>
      </w:pPr>
      <w:r w:rsidRPr="00F37E9C">
        <w:rPr>
          <w:rStyle w:val="FootnoteReference"/>
          <w:rFonts w:asciiTheme="majorHAnsi" w:hAnsiTheme="majorHAnsi"/>
          <w:sz w:val="16"/>
          <w:szCs w:val="16"/>
        </w:rPr>
        <w:footnoteRef/>
      </w:r>
      <w:r w:rsidRPr="00F37E9C">
        <w:rPr>
          <w:rFonts w:asciiTheme="majorHAnsi" w:hAnsiTheme="majorHAnsi"/>
          <w:sz w:val="16"/>
          <w:szCs w:val="16"/>
        </w:rPr>
        <w:t xml:space="preserve"> </w:t>
      </w:r>
      <w:r w:rsidRPr="00F37E9C">
        <w:rPr>
          <w:rFonts w:asciiTheme="majorHAnsi" w:hAnsiTheme="majorHAnsi"/>
          <w:color w:val="000000"/>
          <w:sz w:val="16"/>
          <w:szCs w:val="16"/>
        </w:rPr>
        <w:t>General Comment No. 18 (2014) of the Committee on the Rights of the Child on harmful practices</w:t>
      </w:r>
      <w:r w:rsidRPr="00F37E9C">
        <w:rPr>
          <w:rFonts w:asciiTheme="majorHAnsi" w:hAnsiTheme="majorHAnsi"/>
          <w:sz w:val="16"/>
          <w:szCs w:val="16"/>
        </w:rPr>
        <w:t>, para 9.</w:t>
      </w:r>
    </w:p>
  </w:footnote>
  <w:footnote w:id="57">
    <w:p w14:paraId="70357CB9" w14:textId="2A35596C" w:rsidR="00E4553F" w:rsidRPr="009A5B22" w:rsidRDefault="00E4553F">
      <w:pPr>
        <w:pStyle w:val="FootnoteText"/>
        <w:rPr>
          <w:rFonts w:asciiTheme="majorHAnsi" w:hAnsiTheme="majorHAnsi"/>
          <w:sz w:val="16"/>
          <w:szCs w:val="16"/>
          <w:lang w:val="en-US"/>
        </w:rPr>
      </w:pPr>
      <w:r w:rsidRPr="009A5B22">
        <w:rPr>
          <w:rStyle w:val="FootnoteReference"/>
          <w:rFonts w:asciiTheme="majorHAnsi" w:hAnsiTheme="majorHAnsi"/>
          <w:sz w:val="16"/>
          <w:szCs w:val="16"/>
        </w:rPr>
        <w:footnoteRef/>
      </w:r>
      <w:r w:rsidRPr="009A5B22">
        <w:rPr>
          <w:rFonts w:asciiTheme="majorHAnsi" w:hAnsiTheme="majorHAnsi"/>
          <w:sz w:val="16"/>
          <w:szCs w:val="16"/>
        </w:rPr>
        <w:t xml:space="preserve"> </w:t>
      </w:r>
      <w:r w:rsidRPr="009A5B22">
        <w:rPr>
          <w:rFonts w:asciiTheme="majorHAnsi" w:hAnsiTheme="majorHAnsi"/>
          <w:color w:val="000000"/>
          <w:sz w:val="16"/>
          <w:szCs w:val="16"/>
        </w:rPr>
        <w:t>General Comment No. 18 (2014) of the Committee on the Rights of the Child on harmful practices</w:t>
      </w:r>
      <w:r w:rsidRPr="009A5B22">
        <w:rPr>
          <w:rFonts w:asciiTheme="majorHAnsi" w:hAnsiTheme="majorHAnsi"/>
          <w:sz w:val="16"/>
          <w:szCs w:val="16"/>
        </w:rPr>
        <w:t xml:space="preserve">, para </w:t>
      </w:r>
      <w:r w:rsidRPr="009A5B22">
        <w:rPr>
          <w:rFonts w:asciiTheme="majorHAnsi" w:hAnsiTheme="majorHAnsi"/>
          <w:sz w:val="16"/>
          <w:szCs w:val="16"/>
          <w:lang w:val="en-AU"/>
        </w:rPr>
        <w:t>16.</w:t>
      </w:r>
    </w:p>
  </w:footnote>
  <w:footnote w:id="58">
    <w:p w14:paraId="52EF4ED2" w14:textId="637FFDBD" w:rsidR="00E4553F" w:rsidRPr="000B0F9D" w:rsidRDefault="00E4553F" w:rsidP="00B54776">
      <w:pPr>
        <w:widowControl w:val="0"/>
        <w:autoSpaceDE w:val="0"/>
        <w:autoSpaceDN w:val="0"/>
        <w:adjustRightInd w:val="0"/>
        <w:rPr>
          <w:rFonts w:asciiTheme="majorHAnsi" w:hAnsiTheme="majorHAnsi" w:cs="Times"/>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50" w:history="1">
        <w:r w:rsidRPr="00A85306">
          <w:rPr>
            <w:rStyle w:val="Hyperlink"/>
            <w:rFonts w:asciiTheme="majorHAnsi" w:hAnsiTheme="majorHAnsi"/>
            <w:sz w:val="16"/>
            <w:szCs w:val="16"/>
          </w:rPr>
          <w:t>https://www.districtcourts.govt.nz/all-judgments/pearce-v-bird-2022-nzfc-1042/</w:t>
        </w:r>
      </w:hyperlink>
      <w:r>
        <w:rPr>
          <w:rFonts w:asciiTheme="majorHAnsi" w:hAnsiTheme="majorHAnsi"/>
          <w:sz w:val="16"/>
          <w:szCs w:val="16"/>
        </w:rPr>
        <w:t xml:space="preserve">; </w:t>
      </w:r>
      <w:hyperlink r:id="rId51" w:history="1">
        <w:r w:rsidRPr="000B0F9D">
          <w:rPr>
            <w:rStyle w:val="Hyperlink"/>
            <w:rFonts w:asciiTheme="majorHAnsi" w:hAnsiTheme="majorHAnsi" w:cs="Times"/>
            <w:sz w:val="16"/>
            <w:szCs w:val="16"/>
          </w:rPr>
          <w:t>https://www.nzherald.co.nz/nz/covid-19-father-banned-from-contact-with-kids-after-judge-orders-they-get-vaccinated/GIMRE2LTGVPGOIQADZH5NITVTA/</w:t>
        </w:r>
      </w:hyperlink>
      <w:r w:rsidRPr="000B0F9D">
        <w:rPr>
          <w:rFonts w:asciiTheme="majorHAnsi" w:hAnsiTheme="majorHAnsi" w:cs="Times"/>
          <w:color w:val="000000"/>
          <w:sz w:val="16"/>
          <w:szCs w:val="16"/>
        </w:rPr>
        <w:t xml:space="preserve"> </w:t>
      </w:r>
    </w:p>
  </w:footnote>
  <w:footnote w:id="59">
    <w:p w14:paraId="0517DF69" w14:textId="3645B9D9" w:rsidR="00E4553F" w:rsidRPr="00595DC9" w:rsidRDefault="00E4553F" w:rsidP="00595DC9">
      <w:pPr>
        <w:widowControl w:val="0"/>
        <w:autoSpaceDE w:val="0"/>
        <w:autoSpaceDN w:val="0"/>
        <w:adjustRightInd w:val="0"/>
        <w:rPr>
          <w:rFonts w:asciiTheme="majorHAnsi" w:hAnsiTheme="majorHAnsi" w:cs="Times New Roman"/>
          <w:color w:val="000000"/>
          <w:sz w:val="16"/>
          <w:szCs w:val="16"/>
        </w:rPr>
      </w:pPr>
      <w:r w:rsidRPr="00595DC9">
        <w:rPr>
          <w:rStyle w:val="FootnoteReference"/>
          <w:rFonts w:asciiTheme="majorHAnsi" w:hAnsiTheme="majorHAnsi"/>
          <w:sz w:val="16"/>
          <w:szCs w:val="16"/>
        </w:rPr>
        <w:footnoteRef/>
      </w:r>
      <w:r w:rsidRPr="00595DC9">
        <w:rPr>
          <w:rFonts w:asciiTheme="majorHAnsi" w:hAnsiTheme="majorHAnsi"/>
          <w:sz w:val="16"/>
          <w:szCs w:val="16"/>
        </w:rPr>
        <w:t xml:space="preserve"> </w:t>
      </w:r>
      <w:hyperlink r:id="rId52" w:history="1">
        <w:r w:rsidRPr="00595DC9">
          <w:rPr>
            <w:rStyle w:val="Hyperlink"/>
            <w:rFonts w:asciiTheme="majorHAnsi" w:hAnsiTheme="majorHAnsi" w:cs="Times New Roman"/>
            <w:sz w:val="16"/>
            <w:szCs w:val="16"/>
          </w:rPr>
          <w:t>https://www.rnz.co.nz/news/national/438634/family-court-dismisses-father-s-battle-against-vaccinations-for-4yo-child</w:t>
        </w:r>
      </w:hyperlink>
    </w:p>
  </w:footnote>
  <w:footnote w:id="60">
    <w:p w14:paraId="32F57CF5" w14:textId="68B77584" w:rsidR="00E4553F" w:rsidRPr="000B0F9D" w:rsidRDefault="00E4553F" w:rsidP="00D94F03">
      <w:pPr>
        <w:pStyle w:val="FootnoteText"/>
        <w:spacing w:line="240" w:lineRule="auto"/>
        <w:ind w:left="0" w:right="0" w:firstLine="0"/>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hAnsiTheme="majorHAnsi"/>
          <w:color w:val="000000"/>
          <w:sz w:val="16"/>
          <w:szCs w:val="16"/>
        </w:rPr>
        <w:t>Committee on the Rights of the Child, General Comment No. 14 (2013) on the right of the child to have his or her best interests taken as a primary consideration.</w:t>
      </w:r>
    </w:p>
  </w:footnote>
  <w:footnote w:id="61">
    <w:p w14:paraId="7D71F1D0" w14:textId="2A50343E" w:rsidR="00E4553F" w:rsidRPr="001A0AA2" w:rsidRDefault="00E4553F">
      <w:pPr>
        <w:pStyle w:val="FootnoteText"/>
        <w:rPr>
          <w:rFonts w:asciiTheme="majorHAnsi" w:hAnsiTheme="majorHAnsi"/>
          <w:sz w:val="16"/>
          <w:szCs w:val="16"/>
          <w:lang w:val="en-US"/>
        </w:rPr>
      </w:pPr>
      <w:r w:rsidRPr="001A0AA2">
        <w:rPr>
          <w:rStyle w:val="FootnoteReference"/>
          <w:rFonts w:asciiTheme="majorHAnsi" w:hAnsiTheme="majorHAnsi"/>
          <w:sz w:val="16"/>
          <w:szCs w:val="16"/>
        </w:rPr>
        <w:footnoteRef/>
      </w:r>
      <w:r w:rsidRPr="001A0AA2">
        <w:rPr>
          <w:rFonts w:asciiTheme="majorHAnsi" w:hAnsiTheme="majorHAnsi"/>
          <w:sz w:val="16"/>
          <w:szCs w:val="16"/>
        </w:rPr>
        <w:t xml:space="preserve"> </w:t>
      </w:r>
      <w:hyperlink r:id="rId53">
        <w:r w:rsidRPr="001A0AA2">
          <w:rPr>
            <w:rFonts w:asciiTheme="majorHAnsi" w:eastAsia="Calibri" w:hAnsiTheme="majorHAnsi" w:cs="Calibri"/>
            <w:color w:val="0000FF"/>
            <w:sz w:val="16"/>
            <w:szCs w:val="16"/>
            <w:u w:val="single"/>
          </w:rPr>
          <w:t>https://arxiv.org/pdf/2201.08176v1.pdf</w:t>
        </w:r>
      </w:hyperlink>
    </w:p>
  </w:footnote>
  <w:footnote w:id="62">
    <w:p w14:paraId="085AB5C6" w14:textId="04A4B5B6" w:rsidR="00E4553F" w:rsidRPr="000B0F9D" w:rsidRDefault="00E4553F">
      <w:pPr>
        <w:pStyle w:val="FootnoteText"/>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54" w:history="1">
        <w:r w:rsidRPr="000B0F9D">
          <w:rPr>
            <w:rStyle w:val="Hyperlink"/>
            <w:rFonts w:asciiTheme="majorHAnsi" w:hAnsiTheme="majorHAnsi"/>
            <w:sz w:val="16"/>
            <w:szCs w:val="16"/>
          </w:rPr>
          <w:t>https://covid19.govt.nz/covid-19-vaccines/vaccine-passes-and-certificates/</w:t>
        </w:r>
      </w:hyperlink>
      <w:r w:rsidRPr="000B0F9D">
        <w:rPr>
          <w:rFonts w:asciiTheme="majorHAnsi" w:hAnsiTheme="majorHAnsi"/>
          <w:sz w:val="16"/>
          <w:szCs w:val="16"/>
        </w:rPr>
        <w:t xml:space="preserve"> </w:t>
      </w:r>
    </w:p>
  </w:footnote>
  <w:footnote w:id="63">
    <w:p w14:paraId="6685C8FC" w14:textId="58034E47" w:rsidR="00E4553F" w:rsidRPr="000B0F9D" w:rsidRDefault="00E4553F" w:rsidP="007D4D80">
      <w:pPr>
        <w:widowControl w:val="0"/>
        <w:autoSpaceDE w:val="0"/>
        <w:autoSpaceDN w:val="0"/>
        <w:adjustRightInd w:val="0"/>
        <w:rPr>
          <w:rFonts w:asciiTheme="majorHAnsi" w:hAnsiTheme="majorHAnsi" w:cs="Times New Roman"/>
          <w:color w:val="000000"/>
          <w:sz w:val="16"/>
          <w:szCs w:val="16"/>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55" w:history="1">
        <w:r w:rsidRPr="000B0F9D">
          <w:rPr>
            <w:rStyle w:val="Hyperlink"/>
            <w:rFonts w:asciiTheme="majorHAnsi" w:hAnsiTheme="majorHAnsi" w:cs="Times New Roman"/>
            <w:sz w:val="16"/>
            <w:szCs w:val="16"/>
          </w:rPr>
          <w:t>https://ourauckland.aucklandcouncil.govt.nz/news/2022/01/auckland-council-extends-vaccine-pass-requirement/</w:t>
        </w:r>
      </w:hyperlink>
    </w:p>
  </w:footnote>
  <w:footnote w:id="64">
    <w:p w14:paraId="5FF20C53" w14:textId="77777777" w:rsidR="00E4553F" w:rsidRPr="000B0F9D" w:rsidRDefault="00E4553F" w:rsidP="00306C50">
      <w:pPr>
        <w:pStyle w:val="FootnoteText"/>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hyperlink r:id="rId56" w:history="1">
        <w:r w:rsidRPr="000B0F9D">
          <w:rPr>
            <w:rStyle w:val="Hyperlink"/>
            <w:rFonts w:asciiTheme="majorHAnsi" w:hAnsiTheme="majorHAnsi"/>
            <w:sz w:val="16"/>
            <w:szCs w:val="16"/>
          </w:rPr>
          <w:t>https://covid19.govt.nz/covid-19-vaccines/vaccine-passes-and-certificates/</w:t>
        </w:r>
      </w:hyperlink>
      <w:r w:rsidRPr="000B0F9D">
        <w:rPr>
          <w:rFonts w:asciiTheme="majorHAnsi" w:hAnsiTheme="majorHAnsi"/>
          <w:sz w:val="16"/>
          <w:szCs w:val="16"/>
        </w:rPr>
        <w:t xml:space="preserve"> </w:t>
      </w:r>
    </w:p>
  </w:footnote>
  <w:footnote w:id="65">
    <w:p w14:paraId="5F1A06DF" w14:textId="5364C423" w:rsidR="00E4553F" w:rsidRPr="0002250F" w:rsidRDefault="00E4553F" w:rsidP="008F6254">
      <w:pPr>
        <w:pStyle w:val="FootnoteText"/>
        <w:ind w:left="0" w:firstLine="0"/>
        <w:rPr>
          <w:rFonts w:asciiTheme="majorHAnsi" w:hAnsiTheme="majorHAnsi"/>
          <w:sz w:val="16"/>
          <w:szCs w:val="16"/>
          <w:lang w:val="en-US"/>
        </w:rPr>
      </w:pPr>
      <w:r w:rsidRPr="000B0F9D">
        <w:rPr>
          <w:rStyle w:val="FootnoteReference"/>
          <w:rFonts w:asciiTheme="majorHAnsi" w:hAnsiTheme="majorHAnsi"/>
          <w:sz w:val="16"/>
          <w:szCs w:val="16"/>
        </w:rPr>
        <w:footnoteRef/>
      </w:r>
      <w:r w:rsidRPr="000B0F9D">
        <w:rPr>
          <w:rFonts w:asciiTheme="majorHAnsi" w:hAnsiTheme="majorHAnsi"/>
          <w:sz w:val="16"/>
          <w:szCs w:val="16"/>
        </w:rPr>
        <w:t xml:space="preserve"> </w:t>
      </w:r>
      <w:r w:rsidRPr="000B0F9D">
        <w:rPr>
          <w:rFonts w:asciiTheme="majorHAnsi" w:hAnsiTheme="majorHAnsi"/>
          <w:color w:val="000000"/>
          <w:sz w:val="16"/>
          <w:szCs w:val="16"/>
        </w:rPr>
        <w:t>Committee on the Rights of the Child, General Comment No. 17 (2013) on the right of the child to rest, leisure,</w:t>
      </w:r>
      <w:r w:rsidRPr="0002250F">
        <w:rPr>
          <w:rFonts w:asciiTheme="majorHAnsi" w:hAnsiTheme="majorHAnsi"/>
          <w:color w:val="000000"/>
          <w:sz w:val="16"/>
          <w:szCs w:val="16"/>
        </w:rPr>
        <w:t xml:space="preserve"> play, recreational activities, cultural life and the arts (art. 31)</w:t>
      </w:r>
      <w:r>
        <w:rPr>
          <w:rFonts w:asciiTheme="majorHAnsi" w:hAnsiTheme="majorHAnsi"/>
          <w:color w:val="000000"/>
          <w:sz w:val="16"/>
          <w:szCs w:val="16"/>
        </w:rPr>
        <w:t>,</w:t>
      </w:r>
      <w:r w:rsidRPr="0002250F">
        <w:rPr>
          <w:rFonts w:asciiTheme="majorHAnsi" w:hAnsiTheme="majorHAnsi"/>
          <w:color w:val="000000"/>
          <w:sz w:val="16"/>
          <w:szCs w:val="16"/>
        </w:rPr>
        <w:t xml:space="preserve"> </w:t>
      </w:r>
      <w:r w:rsidRPr="0002250F">
        <w:rPr>
          <w:rFonts w:asciiTheme="majorHAnsi" w:hAnsiTheme="majorHAnsi" w:cs="Times"/>
          <w:color w:val="000000"/>
          <w:position w:val="-3"/>
          <w:sz w:val="16"/>
          <w:szCs w:val="16"/>
        </w:rPr>
        <w:t>CRC/C/GC/17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23"/>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4"/>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FE49B1"/>
    <w:multiLevelType w:val="hybridMultilevel"/>
    <w:tmpl w:val="B09E0E0A"/>
    <w:lvl w:ilvl="0" w:tplc="04090001">
      <w:start w:val="1"/>
      <w:numFmt w:val="bullet"/>
      <w:lvlText w:val=""/>
      <w:lvlJc w:val="left"/>
      <w:pPr>
        <w:ind w:left="360" w:hanging="360"/>
      </w:pPr>
      <w:rPr>
        <w:rFonts w:ascii="Symbol" w:hAnsi="Symbol" w:hint="default"/>
      </w:r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D80984"/>
    <w:multiLevelType w:val="hybridMultilevel"/>
    <w:tmpl w:val="687A9B1C"/>
    <w:lvl w:ilvl="0" w:tplc="00000065">
      <w:start w:val="4"/>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B109AC"/>
    <w:multiLevelType w:val="hybridMultilevel"/>
    <w:tmpl w:val="5C7A2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20E616E"/>
    <w:multiLevelType w:val="hybridMultilevel"/>
    <w:tmpl w:val="DD24654A"/>
    <w:lvl w:ilvl="0" w:tplc="60C02612">
      <w:start w:val="1"/>
      <w:numFmt w:val="decimal"/>
      <w:lvlText w:val="%1."/>
      <w:lvlJc w:val="left"/>
      <w:pPr>
        <w:ind w:left="930" w:hanging="570"/>
      </w:pPr>
      <w:rPr>
        <w:rFonts w:eastAsia="Calibri"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BF2676"/>
    <w:multiLevelType w:val="hybridMultilevel"/>
    <w:tmpl w:val="6AF4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82517A"/>
    <w:multiLevelType w:val="multilevel"/>
    <w:tmpl w:val="00A2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9D312D"/>
    <w:multiLevelType w:val="multilevel"/>
    <w:tmpl w:val="80440F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8236EF7"/>
    <w:multiLevelType w:val="multilevel"/>
    <w:tmpl w:val="88A4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B8455E"/>
    <w:multiLevelType w:val="hybridMultilevel"/>
    <w:tmpl w:val="DD24654A"/>
    <w:lvl w:ilvl="0" w:tplc="60C02612">
      <w:start w:val="1"/>
      <w:numFmt w:val="decimal"/>
      <w:lvlText w:val="%1."/>
      <w:lvlJc w:val="left"/>
      <w:pPr>
        <w:ind w:left="930" w:hanging="570"/>
      </w:pPr>
      <w:rPr>
        <w:rFonts w:eastAsia="Calibri"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177312"/>
    <w:multiLevelType w:val="hybridMultilevel"/>
    <w:tmpl w:val="84CE4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1207EC"/>
    <w:multiLevelType w:val="hybridMultilevel"/>
    <w:tmpl w:val="490005C2"/>
    <w:lvl w:ilvl="0" w:tplc="00000065">
      <w:start w:val="4"/>
      <w:numFmt w:val="bullet"/>
      <w:lvlText w:val="."/>
      <w:lvlJc w:val="left"/>
      <w:pPr>
        <w:ind w:left="720" w:hanging="360"/>
      </w:pPr>
    </w:lvl>
    <w:lvl w:ilvl="1" w:tplc="00000065">
      <w:start w:val="4"/>
      <w:numFmt w:val="bullet"/>
      <w:lvlText w:val="."/>
      <w:lvlJc w:val="left"/>
      <w:pPr>
        <w:ind w:left="72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FA42FCF"/>
    <w:multiLevelType w:val="hybridMultilevel"/>
    <w:tmpl w:val="B61CDB16"/>
    <w:lvl w:ilvl="0" w:tplc="00000065">
      <w:start w:val="4"/>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0F24ED"/>
    <w:multiLevelType w:val="hybridMultilevel"/>
    <w:tmpl w:val="82E28D08"/>
    <w:lvl w:ilvl="0" w:tplc="00000065">
      <w:start w:val="4"/>
      <w:numFmt w:val="bullet"/>
      <w:lvlText w:val="."/>
      <w:lvlJc w:val="left"/>
      <w:pPr>
        <w:ind w:left="580" w:hanging="360"/>
      </w:p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6" w15:restartNumberingAfterBreak="0">
    <w:nsid w:val="73776328"/>
    <w:multiLevelType w:val="hybridMultilevel"/>
    <w:tmpl w:val="DD24654A"/>
    <w:lvl w:ilvl="0" w:tplc="60C02612">
      <w:start w:val="1"/>
      <w:numFmt w:val="decimal"/>
      <w:lvlText w:val="%1."/>
      <w:lvlJc w:val="left"/>
      <w:pPr>
        <w:ind w:left="930" w:hanging="570"/>
      </w:pPr>
      <w:rPr>
        <w:rFonts w:eastAsia="Calibri"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18627D"/>
    <w:multiLevelType w:val="hybridMultilevel"/>
    <w:tmpl w:val="DD24654A"/>
    <w:lvl w:ilvl="0" w:tplc="60C02612">
      <w:start w:val="1"/>
      <w:numFmt w:val="decimal"/>
      <w:lvlText w:val="%1."/>
      <w:lvlJc w:val="left"/>
      <w:pPr>
        <w:ind w:left="930" w:hanging="570"/>
      </w:pPr>
      <w:rPr>
        <w:rFonts w:eastAsia="Calibri"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FE7CF7"/>
    <w:multiLevelType w:val="hybridMultilevel"/>
    <w:tmpl w:val="DEDAF96E"/>
    <w:lvl w:ilvl="0" w:tplc="00000065">
      <w:start w:val="4"/>
      <w:numFmt w:val="bullet"/>
      <w:lvlText w:val="."/>
      <w:lvlJc w:val="left"/>
      <w:pPr>
        <w:ind w:left="580" w:hanging="360"/>
      </w:p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9" w15:restartNumberingAfterBreak="0">
    <w:nsid w:val="7E1E28CA"/>
    <w:multiLevelType w:val="hybridMultilevel"/>
    <w:tmpl w:val="F5486D5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num w:numId="1">
    <w:abstractNumId w:val="0"/>
  </w:num>
  <w:num w:numId="2">
    <w:abstractNumId w:val="1"/>
  </w:num>
  <w:num w:numId="3">
    <w:abstractNumId w:val="16"/>
  </w:num>
  <w:num w:numId="4">
    <w:abstractNumId w:val="11"/>
  </w:num>
  <w:num w:numId="5">
    <w:abstractNumId w:val="6"/>
  </w:num>
  <w:num w:numId="6">
    <w:abstractNumId w:val="17"/>
  </w:num>
  <w:num w:numId="7">
    <w:abstractNumId w:val="8"/>
  </w:num>
  <w:num w:numId="8">
    <w:abstractNumId w:val="19"/>
  </w:num>
  <w:num w:numId="9">
    <w:abstractNumId w:val="7"/>
  </w:num>
  <w:num w:numId="10">
    <w:abstractNumId w:val="2"/>
  </w:num>
  <w:num w:numId="11">
    <w:abstractNumId w:val="10"/>
  </w:num>
  <w:num w:numId="12">
    <w:abstractNumId w:val="5"/>
  </w:num>
  <w:num w:numId="13">
    <w:abstractNumId w:val="12"/>
  </w:num>
  <w:num w:numId="14">
    <w:abstractNumId w:val="9"/>
  </w:num>
  <w:num w:numId="15">
    <w:abstractNumId w:val="3"/>
  </w:num>
  <w:num w:numId="16">
    <w:abstractNumId w:val="15"/>
  </w:num>
  <w:num w:numId="17">
    <w:abstractNumId w:val="14"/>
  </w:num>
  <w:num w:numId="18">
    <w:abstractNumId w:val="13"/>
  </w:num>
  <w:num w:numId="19">
    <w:abstractNumId w:val="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BE5"/>
    <w:rsid w:val="00001B4F"/>
    <w:rsid w:val="000022E1"/>
    <w:rsid w:val="00007E41"/>
    <w:rsid w:val="00013E92"/>
    <w:rsid w:val="00015DE6"/>
    <w:rsid w:val="000174F8"/>
    <w:rsid w:val="000175BA"/>
    <w:rsid w:val="00021623"/>
    <w:rsid w:val="0002250F"/>
    <w:rsid w:val="00022647"/>
    <w:rsid w:val="00024D8C"/>
    <w:rsid w:val="000260B1"/>
    <w:rsid w:val="000325A6"/>
    <w:rsid w:val="00032BFF"/>
    <w:rsid w:val="0003305C"/>
    <w:rsid w:val="00034103"/>
    <w:rsid w:val="00040008"/>
    <w:rsid w:val="000418A5"/>
    <w:rsid w:val="00041D6D"/>
    <w:rsid w:val="0004717F"/>
    <w:rsid w:val="0005257E"/>
    <w:rsid w:val="00056CAD"/>
    <w:rsid w:val="00057DA0"/>
    <w:rsid w:val="000624EF"/>
    <w:rsid w:val="00065132"/>
    <w:rsid w:val="000666D9"/>
    <w:rsid w:val="00077C96"/>
    <w:rsid w:val="00086E3D"/>
    <w:rsid w:val="00097A3D"/>
    <w:rsid w:val="000A0DB7"/>
    <w:rsid w:val="000A10F0"/>
    <w:rsid w:val="000A1DF4"/>
    <w:rsid w:val="000A6700"/>
    <w:rsid w:val="000B0F9D"/>
    <w:rsid w:val="000B28A3"/>
    <w:rsid w:val="000C0CC6"/>
    <w:rsid w:val="000C0F86"/>
    <w:rsid w:val="000C16D7"/>
    <w:rsid w:val="000C3F45"/>
    <w:rsid w:val="000C6BCB"/>
    <w:rsid w:val="000D469B"/>
    <w:rsid w:val="000D6BD3"/>
    <w:rsid w:val="000D7191"/>
    <w:rsid w:val="000E08DB"/>
    <w:rsid w:val="000E47F4"/>
    <w:rsid w:val="000E5C01"/>
    <w:rsid w:val="000F4F17"/>
    <w:rsid w:val="000F540D"/>
    <w:rsid w:val="000F6004"/>
    <w:rsid w:val="00105858"/>
    <w:rsid w:val="00107745"/>
    <w:rsid w:val="0012273D"/>
    <w:rsid w:val="00122BCE"/>
    <w:rsid w:val="00131C0F"/>
    <w:rsid w:val="001324AE"/>
    <w:rsid w:val="00137996"/>
    <w:rsid w:val="001505C9"/>
    <w:rsid w:val="0015126C"/>
    <w:rsid w:val="0015204B"/>
    <w:rsid w:val="001570FE"/>
    <w:rsid w:val="0016022D"/>
    <w:rsid w:val="00160EB0"/>
    <w:rsid w:val="00163DBB"/>
    <w:rsid w:val="00163E70"/>
    <w:rsid w:val="0016612E"/>
    <w:rsid w:val="001667A7"/>
    <w:rsid w:val="00171C53"/>
    <w:rsid w:val="001810B3"/>
    <w:rsid w:val="0019127B"/>
    <w:rsid w:val="00193590"/>
    <w:rsid w:val="0019660F"/>
    <w:rsid w:val="001A0AA2"/>
    <w:rsid w:val="001A2751"/>
    <w:rsid w:val="001A6139"/>
    <w:rsid w:val="001A6C29"/>
    <w:rsid w:val="001B01D2"/>
    <w:rsid w:val="001B0DAE"/>
    <w:rsid w:val="001B2D5F"/>
    <w:rsid w:val="001B696B"/>
    <w:rsid w:val="001B6BFD"/>
    <w:rsid w:val="001C01B8"/>
    <w:rsid w:val="001C17B8"/>
    <w:rsid w:val="001D371C"/>
    <w:rsid w:val="001D6D98"/>
    <w:rsid w:val="001E3076"/>
    <w:rsid w:val="001E687A"/>
    <w:rsid w:val="001E71C0"/>
    <w:rsid w:val="001E71DA"/>
    <w:rsid w:val="001F0131"/>
    <w:rsid w:val="001F037E"/>
    <w:rsid w:val="001F697A"/>
    <w:rsid w:val="001F7C52"/>
    <w:rsid w:val="00200D10"/>
    <w:rsid w:val="002022EE"/>
    <w:rsid w:val="00213191"/>
    <w:rsid w:val="00214FB3"/>
    <w:rsid w:val="00215C80"/>
    <w:rsid w:val="002164BB"/>
    <w:rsid w:val="0022283A"/>
    <w:rsid w:val="00226B47"/>
    <w:rsid w:val="00226CA2"/>
    <w:rsid w:val="00227C9F"/>
    <w:rsid w:val="00227E11"/>
    <w:rsid w:val="0023123B"/>
    <w:rsid w:val="0023194B"/>
    <w:rsid w:val="002513BD"/>
    <w:rsid w:val="002571F2"/>
    <w:rsid w:val="00270C96"/>
    <w:rsid w:val="00274097"/>
    <w:rsid w:val="002740F1"/>
    <w:rsid w:val="0028649C"/>
    <w:rsid w:val="00286894"/>
    <w:rsid w:val="0029138E"/>
    <w:rsid w:val="002A0C58"/>
    <w:rsid w:val="002A2E30"/>
    <w:rsid w:val="002A35AA"/>
    <w:rsid w:val="002A68FF"/>
    <w:rsid w:val="002A6EEA"/>
    <w:rsid w:val="002B1B6A"/>
    <w:rsid w:val="002B3A63"/>
    <w:rsid w:val="002B62CE"/>
    <w:rsid w:val="002B6F2C"/>
    <w:rsid w:val="002B7467"/>
    <w:rsid w:val="002C2D6E"/>
    <w:rsid w:val="002D02B1"/>
    <w:rsid w:val="002D0D4C"/>
    <w:rsid w:val="002D2954"/>
    <w:rsid w:val="002D4DF2"/>
    <w:rsid w:val="002E37EC"/>
    <w:rsid w:val="002E56AD"/>
    <w:rsid w:val="002E5F1A"/>
    <w:rsid w:val="002E63AF"/>
    <w:rsid w:val="002E6A5E"/>
    <w:rsid w:val="002F055C"/>
    <w:rsid w:val="002F5B5F"/>
    <w:rsid w:val="00306C50"/>
    <w:rsid w:val="00307A78"/>
    <w:rsid w:val="00310B70"/>
    <w:rsid w:val="00312F8D"/>
    <w:rsid w:val="00313E4F"/>
    <w:rsid w:val="00313EB2"/>
    <w:rsid w:val="00323D84"/>
    <w:rsid w:val="003273AE"/>
    <w:rsid w:val="00332FC3"/>
    <w:rsid w:val="003346AE"/>
    <w:rsid w:val="00335DDB"/>
    <w:rsid w:val="003474BF"/>
    <w:rsid w:val="00350F21"/>
    <w:rsid w:val="00352AD1"/>
    <w:rsid w:val="00362527"/>
    <w:rsid w:val="00362C7E"/>
    <w:rsid w:val="003633C8"/>
    <w:rsid w:val="00364FE3"/>
    <w:rsid w:val="003668E5"/>
    <w:rsid w:val="00366CA8"/>
    <w:rsid w:val="003838A6"/>
    <w:rsid w:val="00383DF2"/>
    <w:rsid w:val="00384F70"/>
    <w:rsid w:val="00391D71"/>
    <w:rsid w:val="00391E15"/>
    <w:rsid w:val="00395A03"/>
    <w:rsid w:val="003975A9"/>
    <w:rsid w:val="003A0134"/>
    <w:rsid w:val="003A4D5E"/>
    <w:rsid w:val="003A74AC"/>
    <w:rsid w:val="003B7FFB"/>
    <w:rsid w:val="003C0E00"/>
    <w:rsid w:val="003C19A2"/>
    <w:rsid w:val="003D4402"/>
    <w:rsid w:val="003D4657"/>
    <w:rsid w:val="003E0C3B"/>
    <w:rsid w:val="003E0CBD"/>
    <w:rsid w:val="003E1765"/>
    <w:rsid w:val="003E281A"/>
    <w:rsid w:val="003E2A81"/>
    <w:rsid w:val="003E48B0"/>
    <w:rsid w:val="003E5EE2"/>
    <w:rsid w:val="003F3820"/>
    <w:rsid w:val="003F6C96"/>
    <w:rsid w:val="00402989"/>
    <w:rsid w:val="00405385"/>
    <w:rsid w:val="00411481"/>
    <w:rsid w:val="00411623"/>
    <w:rsid w:val="00415034"/>
    <w:rsid w:val="00416E6C"/>
    <w:rsid w:val="00417985"/>
    <w:rsid w:val="00427359"/>
    <w:rsid w:val="00431FEE"/>
    <w:rsid w:val="00441D21"/>
    <w:rsid w:val="00442B4D"/>
    <w:rsid w:val="00446997"/>
    <w:rsid w:val="004522CA"/>
    <w:rsid w:val="00456A2F"/>
    <w:rsid w:val="004675AA"/>
    <w:rsid w:val="00472118"/>
    <w:rsid w:val="00484B48"/>
    <w:rsid w:val="004876B9"/>
    <w:rsid w:val="004A76F7"/>
    <w:rsid w:val="004A7AE3"/>
    <w:rsid w:val="004B1B02"/>
    <w:rsid w:val="004B354D"/>
    <w:rsid w:val="004B674A"/>
    <w:rsid w:val="004B6AF5"/>
    <w:rsid w:val="004B6C9C"/>
    <w:rsid w:val="004B719F"/>
    <w:rsid w:val="004C1EDB"/>
    <w:rsid w:val="004C3B14"/>
    <w:rsid w:val="004D0DC5"/>
    <w:rsid w:val="004D1233"/>
    <w:rsid w:val="004D495D"/>
    <w:rsid w:val="004E2741"/>
    <w:rsid w:val="004E708C"/>
    <w:rsid w:val="004F5CFE"/>
    <w:rsid w:val="005025B2"/>
    <w:rsid w:val="005026AA"/>
    <w:rsid w:val="005034C0"/>
    <w:rsid w:val="00504D56"/>
    <w:rsid w:val="00505BDA"/>
    <w:rsid w:val="00511BD6"/>
    <w:rsid w:val="0051682C"/>
    <w:rsid w:val="005171CF"/>
    <w:rsid w:val="00520DDE"/>
    <w:rsid w:val="005237ED"/>
    <w:rsid w:val="00530045"/>
    <w:rsid w:val="00532DB8"/>
    <w:rsid w:val="005355C8"/>
    <w:rsid w:val="00535AF8"/>
    <w:rsid w:val="00535BDC"/>
    <w:rsid w:val="00536372"/>
    <w:rsid w:val="005441E1"/>
    <w:rsid w:val="00545FBB"/>
    <w:rsid w:val="005519E6"/>
    <w:rsid w:val="00554639"/>
    <w:rsid w:val="00557CEB"/>
    <w:rsid w:val="005659FA"/>
    <w:rsid w:val="00576F02"/>
    <w:rsid w:val="0058111D"/>
    <w:rsid w:val="005818CA"/>
    <w:rsid w:val="00583A36"/>
    <w:rsid w:val="00586224"/>
    <w:rsid w:val="00595DC9"/>
    <w:rsid w:val="005A0784"/>
    <w:rsid w:val="005A1303"/>
    <w:rsid w:val="005A1C54"/>
    <w:rsid w:val="005A6684"/>
    <w:rsid w:val="005B2C86"/>
    <w:rsid w:val="005B3D48"/>
    <w:rsid w:val="005B5B40"/>
    <w:rsid w:val="005B623F"/>
    <w:rsid w:val="005B7C1C"/>
    <w:rsid w:val="005C2F93"/>
    <w:rsid w:val="005C4675"/>
    <w:rsid w:val="005C48B3"/>
    <w:rsid w:val="005C7F1C"/>
    <w:rsid w:val="005E152A"/>
    <w:rsid w:val="005E5B6E"/>
    <w:rsid w:val="005F20D6"/>
    <w:rsid w:val="005F3E45"/>
    <w:rsid w:val="005F579B"/>
    <w:rsid w:val="00604235"/>
    <w:rsid w:val="006052D6"/>
    <w:rsid w:val="00610777"/>
    <w:rsid w:val="00613716"/>
    <w:rsid w:val="0062583F"/>
    <w:rsid w:val="006405B3"/>
    <w:rsid w:val="00646F37"/>
    <w:rsid w:val="00650D36"/>
    <w:rsid w:val="006523F9"/>
    <w:rsid w:val="006528F8"/>
    <w:rsid w:val="00653624"/>
    <w:rsid w:val="00666E1F"/>
    <w:rsid w:val="00672129"/>
    <w:rsid w:val="00672A1A"/>
    <w:rsid w:val="0067583E"/>
    <w:rsid w:val="006824B3"/>
    <w:rsid w:val="00686295"/>
    <w:rsid w:val="00694EA9"/>
    <w:rsid w:val="0069774B"/>
    <w:rsid w:val="006A3D16"/>
    <w:rsid w:val="006A5541"/>
    <w:rsid w:val="006A5A48"/>
    <w:rsid w:val="006B4D3F"/>
    <w:rsid w:val="006D04B0"/>
    <w:rsid w:val="006D4802"/>
    <w:rsid w:val="006D58AE"/>
    <w:rsid w:val="006E0847"/>
    <w:rsid w:val="006E2C4C"/>
    <w:rsid w:val="006E3536"/>
    <w:rsid w:val="006E5EFC"/>
    <w:rsid w:val="006F3328"/>
    <w:rsid w:val="006F4070"/>
    <w:rsid w:val="006F5518"/>
    <w:rsid w:val="00700649"/>
    <w:rsid w:val="00723AE1"/>
    <w:rsid w:val="00732019"/>
    <w:rsid w:val="007323F7"/>
    <w:rsid w:val="00732D37"/>
    <w:rsid w:val="0074522A"/>
    <w:rsid w:val="0074554B"/>
    <w:rsid w:val="00756BF4"/>
    <w:rsid w:val="007573D0"/>
    <w:rsid w:val="00761803"/>
    <w:rsid w:val="00764E76"/>
    <w:rsid w:val="00765554"/>
    <w:rsid w:val="00767F6A"/>
    <w:rsid w:val="00770042"/>
    <w:rsid w:val="00771E4A"/>
    <w:rsid w:val="00773463"/>
    <w:rsid w:val="00780E9F"/>
    <w:rsid w:val="007813F2"/>
    <w:rsid w:val="0078617F"/>
    <w:rsid w:val="00792234"/>
    <w:rsid w:val="00792F08"/>
    <w:rsid w:val="00797BB2"/>
    <w:rsid w:val="007A4959"/>
    <w:rsid w:val="007A4B0F"/>
    <w:rsid w:val="007A4F90"/>
    <w:rsid w:val="007B7F3C"/>
    <w:rsid w:val="007C4171"/>
    <w:rsid w:val="007D4D80"/>
    <w:rsid w:val="007F57BA"/>
    <w:rsid w:val="00800A4F"/>
    <w:rsid w:val="00801C2D"/>
    <w:rsid w:val="00805645"/>
    <w:rsid w:val="00810AB5"/>
    <w:rsid w:val="00810FEB"/>
    <w:rsid w:val="0081338E"/>
    <w:rsid w:val="00815285"/>
    <w:rsid w:val="00821D75"/>
    <w:rsid w:val="00821E72"/>
    <w:rsid w:val="008228B1"/>
    <w:rsid w:val="00822C86"/>
    <w:rsid w:val="008301A7"/>
    <w:rsid w:val="008315B6"/>
    <w:rsid w:val="008331C1"/>
    <w:rsid w:val="00833E1E"/>
    <w:rsid w:val="00841573"/>
    <w:rsid w:val="00842342"/>
    <w:rsid w:val="00843AE5"/>
    <w:rsid w:val="008443E7"/>
    <w:rsid w:val="00846878"/>
    <w:rsid w:val="008473DC"/>
    <w:rsid w:val="00857AD3"/>
    <w:rsid w:val="008618FF"/>
    <w:rsid w:val="0086455B"/>
    <w:rsid w:val="00867BAB"/>
    <w:rsid w:val="00874AC4"/>
    <w:rsid w:val="008760F8"/>
    <w:rsid w:val="008810DE"/>
    <w:rsid w:val="008829BB"/>
    <w:rsid w:val="008851B5"/>
    <w:rsid w:val="008A28E5"/>
    <w:rsid w:val="008A638D"/>
    <w:rsid w:val="008B1E51"/>
    <w:rsid w:val="008B3E8F"/>
    <w:rsid w:val="008B78E5"/>
    <w:rsid w:val="008C06A9"/>
    <w:rsid w:val="008C2485"/>
    <w:rsid w:val="008C2BA7"/>
    <w:rsid w:val="008E2DBB"/>
    <w:rsid w:val="008E4A7A"/>
    <w:rsid w:val="008F5D20"/>
    <w:rsid w:val="008F6254"/>
    <w:rsid w:val="008F7A52"/>
    <w:rsid w:val="00901200"/>
    <w:rsid w:val="00903EB3"/>
    <w:rsid w:val="009067E7"/>
    <w:rsid w:val="0091421C"/>
    <w:rsid w:val="00920A2E"/>
    <w:rsid w:val="00922F05"/>
    <w:rsid w:val="009236C2"/>
    <w:rsid w:val="00925C62"/>
    <w:rsid w:val="00926CAE"/>
    <w:rsid w:val="0093080D"/>
    <w:rsid w:val="00931FD5"/>
    <w:rsid w:val="009338CE"/>
    <w:rsid w:val="00933DFE"/>
    <w:rsid w:val="00941ED2"/>
    <w:rsid w:val="009462B0"/>
    <w:rsid w:val="009477F8"/>
    <w:rsid w:val="009478AA"/>
    <w:rsid w:val="009506D6"/>
    <w:rsid w:val="0095303B"/>
    <w:rsid w:val="00970619"/>
    <w:rsid w:val="00977AE6"/>
    <w:rsid w:val="00982B73"/>
    <w:rsid w:val="009861F4"/>
    <w:rsid w:val="00990749"/>
    <w:rsid w:val="00992975"/>
    <w:rsid w:val="009A4D88"/>
    <w:rsid w:val="009A5B22"/>
    <w:rsid w:val="009A7E12"/>
    <w:rsid w:val="009B7A48"/>
    <w:rsid w:val="009C1340"/>
    <w:rsid w:val="009C1FC2"/>
    <w:rsid w:val="009C4767"/>
    <w:rsid w:val="009C5850"/>
    <w:rsid w:val="009C69E2"/>
    <w:rsid w:val="009F1C0E"/>
    <w:rsid w:val="009F348F"/>
    <w:rsid w:val="00A00FEE"/>
    <w:rsid w:val="00A072A7"/>
    <w:rsid w:val="00A07539"/>
    <w:rsid w:val="00A13E9F"/>
    <w:rsid w:val="00A1647B"/>
    <w:rsid w:val="00A16AA4"/>
    <w:rsid w:val="00A17177"/>
    <w:rsid w:val="00A2017B"/>
    <w:rsid w:val="00A205C3"/>
    <w:rsid w:val="00A267B0"/>
    <w:rsid w:val="00A3137D"/>
    <w:rsid w:val="00A3593F"/>
    <w:rsid w:val="00A36D36"/>
    <w:rsid w:val="00A40BE5"/>
    <w:rsid w:val="00A50196"/>
    <w:rsid w:val="00A53683"/>
    <w:rsid w:val="00A55440"/>
    <w:rsid w:val="00A610F3"/>
    <w:rsid w:val="00A70739"/>
    <w:rsid w:val="00A7647E"/>
    <w:rsid w:val="00A765B2"/>
    <w:rsid w:val="00A776B3"/>
    <w:rsid w:val="00A82A95"/>
    <w:rsid w:val="00A85DE2"/>
    <w:rsid w:val="00A86766"/>
    <w:rsid w:val="00A9086A"/>
    <w:rsid w:val="00A9171E"/>
    <w:rsid w:val="00A96399"/>
    <w:rsid w:val="00AA320A"/>
    <w:rsid w:val="00AA6E9A"/>
    <w:rsid w:val="00AB78A0"/>
    <w:rsid w:val="00AC01F6"/>
    <w:rsid w:val="00AC11CA"/>
    <w:rsid w:val="00AC4520"/>
    <w:rsid w:val="00AD0457"/>
    <w:rsid w:val="00AD6457"/>
    <w:rsid w:val="00AD666E"/>
    <w:rsid w:val="00AE06F5"/>
    <w:rsid w:val="00AE4FAC"/>
    <w:rsid w:val="00AF7750"/>
    <w:rsid w:val="00B10352"/>
    <w:rsid w:val="00B1318E"/>
    <w:rsid w:val="00B14217"/>
    <w:rsid w:val="00B30E59"/>
    <w:rsid w:val="00B33668"/>
    <w:rsid w:val="00B34EB6"/>
    <w:rsid w:val="00B351EA"/>
    <w:rsid w:val="00B35250"/>
    <w:rsid w:val="00B4099B"/>
    <w:rsid w:val="00B42446"/>
    <w:rsid w:val="00B46061"/>
    <w:rsid w:val="00B47CFB"/>
    <w:rsid w:val="00B53B73"/>
    <w:rsid w:val="00B54776"/>
    <w:rsid w:val="00B61B75"/>
    <w:rsid w:val="00B62AE1"/>
    <w:rsid w:val="00B64508"/>
    <w:rsid w:val="00B64F8F"/>
    <w:rsid w:val="00B65AAA"/>
    <w:rsid w:val="00B67E6C"/>
    <w:rsid w:val="00B708E4"/>
    <w:rsid w:val="00B727FF"/>
    <w:rsid w:val="00B73CC0"/>
    <w:rsid w:val="00B74600"/>
    <w:rsid w:val="00B7493B"/>
    <w:rsid w:val="00B75BA0"/>
    <w:rsid w:val="00B765FE"/>
    <w:rsid w:val="00B83690"/>
    <w:rsid w:val="00B9617C"/>
    <w:rsid w:val="00B97964"/>
    <w:rsid w:val="00BA0A80"/>
    <w:rsid w:val="00BB106A"/>
    <w:rsid w:val="00BC5111"/>
    <w:rsid w:val="00BC5234"/>
    <w:rsid w:val="00BC733D"/>
    <w:rsid w:val="00BC77D1"/>
    <w:rsid w:val="00BE1390"/>
    <w:rsid w:val="00BE1D13"/>
    <w:rsid w:val="00BE3603"/>
    <w:rsid w:val="00BF4078"/>
    <w:rsid w:val="00BF56DB"/>
    <w:rsid w:val="00BF5B28"/>
    <w:rsid w:val="00BF7428"/>
    <w:rsid w:val="00C012BB"/>
    <w:rsid w:val="00C04C84"/>
    <w:rsid w:val="00C04DE0"/>
    <w:rsid w:val="00C11AD3"/>
    <w:rsid w:val="00C16E62"/>
    <w:rsid w:val="00C20088"/>
    <w:rsid w:val="00C2208F"/>
    <w:rsid w:val="00C23E1D"/>
    <w:rsid w:val="00C27E0E"/>
    <w:rsid w:val="00C27EBE"/>
    <w:rsid w:val="00C3158B"/>
    <w:rsid w:val="00C40718"/>
    <w:rsid w:val="00C44D37"/>
    <w:rsid w:val="00C50757"/>
    <w:rsid w:val="00C622A5"/>
    <w:rsid w:val="00C676CD"/>
    <w:rsid w:val="00C67FB2"/>
    <w:rsid w:val="00C701CD"/>
    <w:rsid w:val="00C76690"/>
    <w:rsid w:val="00C840E7"/>
    <w:rsid w:val="00C84721"/>
    <w:rsid w:val="00C84CEC"/>
    <w:rsid w:val="00C85485"/>
    <w:rsid w:val="00C9581E"/>
    <w:rsid w:val="00C96645"/>
    <w:rsid w:val="00CB0FDF"/>
    <w:rsid w:val="00CB2648"/>
    <w:rsid w:val="00CB7EE7"/>
    <w:rsid w:val="00CC1D5E"/>
    <w:rsid w:val="00CC6341"/>
    <w:rsid w:val="00CD112C"/>
    <w:rsid w:val="00CD2805"/>
    <w:rsid w:val="00CD7959"/>
    <w:rsid w:val="00CE4767"/>
    <w:rsid w:val="00CE531F"/>
    <w:rsid w:val="00CE6EBE"/>
    <w:rsid w:val="00CF3A3A"/>
    <w:rsid w:val="00CF5765"/>
    <w:rsid w:val="00D038A3"/>
    <w:rsid w:val="00D03B2E"/>
    <w:rsid w:val="00D043ED"/>
    <w:rsid w:val="00D058CD"/>
    <w:rsid w:val="00D06E9E"/>
    <w:rsid w:val="00D17222"/>
    <w:rsid w:val="00D202FE"/>
    <w:rsid w:val="00D20529"/>
    <w:rsid w:val="00D20F8E"/>
    <w:rsid w:val="00D21E11"/>
    <w:rsid w:val="00D22889"/>
    <w:rsid w:val="00D26517"/>
    <w:rsid w:val="00D36A70"/>
    <w:rsid w:val="00D41479"/>
    <w:rsid w:val="00D42663"/>
    <w:rsid w:val="00D43335"/>
    <w:rsid w:val="00D46435"/>
    <w:rsid w:val="00D504B4"/>
    <w:rsid w:val="00D509EA"/>
    <w:rsid w:val="00D5770A"/>
    <w:rsid w:val="00D602DC"/>
    <w:rsid w:val="00D65F21"/>
    <w:rsid w:val="00D72A79"/>
    <w:rsid w:val="00D74DE3"/>
    <w:rsid w:val="00D820DF"/>
    <w:rsid w:val="00D82E42"/>
    <w:rsid w:val="00D906E5"/>
    <w:rsid w:val="00D94F03"/>
    <w:rsid w:val="00D95C0B"/>
    <w:rsid w:val="00DA4990"/>
    <w:rsid w:val="00DA5365"/>
    <w:rsid w:val="00DA5B66"/>
    <w:rsid w:val="00DB0092"/>
    <w:rsid w:val="00DB0A72"/>
    <w:rsid w:val="00DB1138"/>
    <w:rsid w:val="00DB1A7C"/>
    <w:rsid w:val="00DB79D5"/>
    <w:rsid w:val="00DC4389"/>
    <w:rsid w:val="00DC7BC7"/>
    <w:rsid w:val="00DD20E1"/>
    <w:rsid w:val="00DD421F"/>
    <w:rsid w:val="00DE43F0"/>
    <w:rsid w:val="00DF3230"/>
    <w:rsid w:val="00DF5BDA"/>
    <w:rsid w:val="00E01326"/>
    <w:rsid w:val="00E11FC2"/>
    <w:rsid w:val="00E15147"/>
    <w:rsid w:val="00E17AD3"/>
    <w:rsid w:val="00E17B9D"/>
    <w:rsid w:val="00E20993"/>
    <w:rsid w:val="00E20AFA"/>
    <w:rsid w:val="00E231C8"/>
    <w:rsid w:val="00E25963"/>
    <w:rsid w:val="00E2624E"/>
    <w:rsid w:val="00E33D5B"/>
    <w:rsid w:val="00E36A3D"/>
    <w:rsid w:val="00E42780"/>
    <w:rsid w:val="00E43CFE"/>
    <w:rsid w:val="00E4553F"/>
    <w:rsid w:val="00E507AC"/>
    <w:rsid w:val="00E53B83"/>
    <w:rsid w:val="00E566E3"/>
    <w:rsid w:val="00E56937"/>
    <w:rsid w:val="00E60009"/>
    <w:rsid w:val="00E724D4"/>
    <w:rsid w:val="00E81CC5"/>
    <w:rsid w:val="00E83F95"/>
    <w:rsid w:val="00E877CA"/>
    <w:rsid w:val="00E87B35"/>
    <w:rsid w:val="00EA33C6"/>
    <w:rsid w:val="00EA67D5"/>
    <w:rsid w:val="00EB24FC"/>
    <w:rsid w:val="00EB2F11"/>
    <w:rsid w:val="00EB3D4B"/>
    <w:rsid w:val="00EB4E74"/>
    <w:rsid w:val="00EB569B"/>
    <w:rsid w:val="00EB7230"/>
    <w:rsid w:val="00EC0652"/>
    <w:rsid w:val="00EC3607"/>
    <w:rsid w:val="00EC3DA4"/>
    <w:rsid w:val="00EC6E10"/>
    <w:rsid w:val="00ED5044"/>
    <w:rsid w:val="00ED7000"/>
    <w:rsid w:val="00ED7029"/>
    <w:rsid w:val="00EE12E5"/>
    <w:rsid w:val="00EE3545"/>
    <w:rsid w:val="00EF14B2"/>
    <w:rsid w:val="00EF20C6"/>
    <w:rsid w:val="00EF26FD"/>
    <w:rsid w:val="00EF42A8"/>
    <w:rsid w:val="00EF4754"/>
    <w:rsid w:val="00F0111E"/>
    <w:rsid w:val="00F048DE"/>
    <w:rsid w:val="00F04A02"/>
    <w:rsid w:val="00F054C4"/>
    <w:rsid w:val="00F0561A"/>
    <w:rsid w:val="00F0681D"/>
    <w:rsid w:val="00F06ACB"/>
    <w:rsid w:val="00F06F33"/>
    <w:rsid w:val="00F10214"/>
    <w:rsid w:val="00F12B1B"/>
    <w:rsid w:val="00F137F3"/>
    <w:rsid w:val="00F13BC2"/>
    <w:rsid w:val="00F147A4"/>
    <w:rsid w:val="00F15E9D"/>
    <w:rsid w:val="00F16622"/>
    <w:rsid w:val="00F23DB4"/>
    <w:rsid w:val="00F25585"/>
    <w:rsid w:val="00F271E8"/>
    <w:rsid w:val="00F27C08"/>
    <w:rsid w:val="00F27D8A"/>
    <w:rsid w:val="00F3496C"/>
    <w:rsid w:val="00F35D88"/>
    <w:rsid w:val="00F37E9C"/>
    <w:rsid w:val="00F444A5"/>
    <w:rsid w:val="00F47298"/>
    <w:rsid w:val="00F6644A"/>
    <w:rsid w:val="00F70E68"/>
    <w:rsid w:val="00F7543E"/>
    <w:rsid w:val="00F7739B"/>
    <w:rsid w:val="00F812DB"/>
    <w:rsid w:val="00F8702D"/>
    <w:rsid w:val="00F92A2B"/>
    <w:rsid w:val="00F95B5E"/>
    <w:rsid w:val="00F969CA"/>
    <w:rsid w:val="00F9796C"/>
    <w:rsid w:val="00FA0BE6"/>
    <w:rsid w:val="00FA1CBD"/>
    <w:rsid w:val="00FA42E3"/>
    <w:rsid w:val="00FA46A6"/>
    <w:rsid w:val="00FA4E3F"/>
    <w:rsid w:val="00FA5843"/>
    <w:rsid w:val="00FA5C15"/>
    <w:rsid w:val="00FA7F37"/>
    <w:rsid w:val="00FB5B7F"/>
    <w:rsid w:val="00FC12D1"/>
    <w:rsid w:val="00FC1DBF"/>
    <w:rsid w:val="00FC509A"/>
    <w:rsid w:val="00FC5F53"/>
    <w:rsid w:val="00FD185D"/>
    <w:rsid w:val="00FE3FB8"/>
    <w:rsid w:val="00FE4DE6"/>
    <w:rsid w:val="00FF61D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3F43C3EE"/>
  <w15:docId w15:val="{2571C198-D751-43E6-BEB6-60B834D6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A40BE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F551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unhideWhenUsed/>
    <w:qFormat/>
    <w:rsid w:val="00F9796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BE5"/>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6F551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91E15"/>
    <w:pPr>
      <w:ind w:left="720"/>
      <w:contextualSpacing/>
    </w:pPr>
  </w:style>
  <w:style w:type="paragraph" w:customStyle="1" w:styleId="SingleTxtG">
    <w:name w:val="_ Single Txt_G"/>
    <w:basedOn w:val="Normal"/>
    <w:link w:val="SingleTxtGCar"/>
    <w:rsid w:val="002B6F2C"/>
    <w:pPr>
      <w:suppressAutoHyphens/>
      <w:spacing w:after="120" w:line="240" w:lineRule="atLeast"/>
      <w:ind w:left="1134" w:right="1134"/>
      <w:jc w:val="both"/>
    </w:pPr>
    <w:rPr>
      <w:rFonts w:ascii="Times New Roman" w:eastAsia="Times New Roman" w:hAnsi="Times New Roman" w:cs="Times New Roman"/>
      <w:sz w:val="20"/>
      <w:szCs w:val="20"/>
      <w:lang w:val="x-none" w:eastAsia="en-US"/>
    </w:rPr>
  </w:style>
  <w:style w:type="character" w:customStyle="1" w:styleId="SingleTxtGCar">
    <w:name w:val="_ Single Txt_G Car"/>
    <w:link w:val="SingleTxtG"/>
    <w:rsid w:val="002B6F2C"/>
    <w:rPr>
      <w:rFonts w:ascii="Times New Roman" w:eastAsia="Times New Roman" w:hAnsi="Times New Roman" w:cs="Times New Roman"/>
      <w:lang w:val="x-none" w:eastAsia="en-US"/>
    </w:rPr>
  </w:style>
  <w:style w:type="paragraph" w:customStyle="1" w:styleId="H23G">
    <w:name w:val="_ H_2/3_G"/>
    <w:basedOn w:val="Normal"/>
    <w:next w:val="Normal"/>
    <w:rsid w:val="002B6F2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eastAsia="en-US"/>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
    <w:link w:val="4GCharCharChar"/>
    <w:uiPriority w:val="99"/>
    <w:rsid w:val="00C04DE0"/>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C04DE0"/>
    <w:pPr>
      <w:tabs>
        <w:tab w:val="right" w:pos="1021"/>
      </w:tabs>
      <w:suppressAutoHyphens/>
      <w:spacing w:line="220" w:lineRule="exact"/>
      <w:ind w:left="1134" w:right="1134" w:hanging="1134"/>
    </w:pPr>
    <w:rPr>
      <w:rFonts w:ascii="Times New Roman" w:eastAsia="Times New Roman" w:hAnsi="Times New Roman" w:cs="Times New Roman"/>
      <w:sz w:val="18"/>
      <w:szCs w:val="20"/>
      <w:lang w:val="x-none" w:eastAsia="en-US"/>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C04DE0"/>
    <w:rPr>
      <w:rFonts w:ascii="Times New Roman" w:eastAsia="Times New Roman" w:hAnsi="Times New Roman" w:cs="Times New Roman"/>
      <w:sz w:val="18"/>
      <w:lang w:val="x-none"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C04DE0"/>
    <w:pPr>
      <w:spacing w:after="160" w:line="240" w:lineRule="exact"/>
      <w:jc w:val="both"/>
    </w:pPr>
    <w:rPr>
      <w:rFonts w:ascii="Times New Roman" w:hAnsi="Times New Roman"/>
      <w:sz w:val="18"/>
      <w:szCs w:val="20"/>
      <w:vertAlign w:val="superscript"/>
    </w:rPr>
  </w:style>
  <w:style w:type="paragraph" w:customStyle="1" w:styleId="H1G">
    <w:name w:val="_ H_1_G"/>
    <w:basedOn w:val="Normal"/>
    <w:next w:val="Normal"/>
    <w:rsid w:val="00C04DE0"/>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eastAsia="en-US"/>
    </w:rPr>
  </w:style>
  <w:style w:type="character" w:styleId="Hyperlink">
    <w:name w:val="Hyperlink"/>
    <w:basedOn w:val="DefaultParagraphFont"/>
    <w:uiPriority w:val="99"/>
    <w:unhideWhenUsed/>
    <w:rsid w:val="00DA5B66"/>
    <w:rPr>
      <w:color w:val="0000FF" w:themeColor="hyperlink"/>
      <w:u w:val="single"/>
    </w:rPr>
  </w:style>
  <w:style w:type="paragraph" w:styleId="NormalWeb">
    <w:name w:val="Normal (Web)"/>
    <w:basedOn w:val="Normal"/>
    <w:uiPriority w:val="99"/>
    <w:unhideWhenUsed/>
    <w:qFormat/>
    <w:rsid w:val="002B62CE"/>
    <w:pPr>
      <w:spacing w:before="100" w:beforeAutospacing="1" w:after="100" w:afterAutospacing="1"/>
    </w:pPr>
    <w:rPr>
      <w:rFonts w:ascii="Times" w:hAnsi="Times" w:cs="Times New Roman"/>
      <w:sz w:val="20"/>
      <w:szCs w:val="20"/>
      <w:lang w:val="en-AU" w:eastAsia="en-US"/>
    </w:rPr>
  </w:style>
  <w:style w:type="character" w:styleId="Strong">
    <w:name w:val="Strong"/>
    <w:basedOn w:val="DefaultParagraphFont"/>
    <w:uiPriority w:val="22"/>
    <w:qFormat/>
    <w:rsid w:val="002B62CE"/>
    <w:rPr>
      <w:b/>
      <w:bCs/>
    </w:rPr>
  </w:style>
  <w:style w:type="character" w:customStyle="1" w:styleId="has-inline-color">
    <w:name w:val="has-inline-color"/>
    <w:basedOn w:val="DefaultParagraphFont"/>
    <w:rsid w:val="000A1DF4"/>
  </w:style>
  <w:style w:type="character" w:customStyle="1" w:styleId="apple-converted-space">
    <w:name w:val="apple-converted-space"/>
    <w:basedOn w:val="DefaultParagraphFont"/>
    <w:rsid w:val="000A1DF4"/>
  </w:style>
  <w:style w:type="character" w:styleId="Emphasis">
    <w:name w:val="Emphasis"/>
    <w:basedOn w:val="DefaultParagraphFont"/>
    <w:uiPriority w:val="20"/>
    <w:qFormat/>
    <w:rsid w:val="0091421C"/>
    <w:rPr>
      <w:i/>
      <w:iCs/>
    </w:rPr>
  </w:style>
  <w:style w:type="paragraph" w:customStyle="1" w:styleId="Normal1">
    <w:name w:val="Normal1"/>
    <w:rsid w:val="00F06ACB"/>
    <w:rPr>
      <w:rFonts w:ascii="Cambria" w:eastAsia="Cambria" w:hAnsi="Cambria" w:cs="Cambria"/>
      <w:sz w:val="24"/>
      <w:szCs w:val="24"/>
      <w:lang w:eastAsia="en-US"/>
    </w:rPr>
  </w:style>
  <w:style w:type="character" w:customStyle="1" w:styleId="apple-tab-span">
    <w:name w:val="apple-tab-span"/>
    <w:basedOn w:val="DefaultParagraphFont"/>
    <w:rsid w:val="00137996"/>
  </w:style>
  <w:style w:type="paragraph" w:styleId="Footer">
    <w:name w:val="footer"/>
    <w:basedOn w:val="Normal"/>
    <w:link w:val="FooterChar"/>
    <w:uiPriority w:val="99"/>
    <w:unhideWhenUsed/>
    <w:rsid w:val="008A28E5"/>
    <w:pPr>
      <w:tabs>
        <w:tab w:val="center" w:pos="4320"/>
        <w:tab w:val="right" w:pos="8640"/>
      </w:tabs>
    </w:pPr>
  </w:style>
  <w:style w:type="character" w:customStyle="1" w:styleId="FooterChar">
    <w:name w:val="Footer Char"/>
    <w:basedOn w:val="DefaultParagraphFont"/>
    <w:link w:val="Footer"/>
    <w:uiPriority w:val="99"/>
    <w:rsid w:val="008A28E5"/>
    <w:rPr>
      <w:sz w:val="24"/>
      <w:szCs w:val="24"/>
    </w:rPr>
  </w:style>
  <w:style w:type="character" w:styleId="PageNumber">
    <w:name w:val="page number"/>
    <w:basedOn w:val="DefaultParagraphFont"/>
    <w:uiPriority w:val="99"/>
    <w:semiHidden/>
    <w:unhideWhenUsed/>
    <w:rsid w:val="008A28E5"/>
  </w:style>
  <w:style w:type="paragraph" w:styleId="Subtitle">
    <w:name w:val="Subtitle"/>
    <w:basedOn w:val="Normal"/>
    <w:next w:val="Normal"/>
    <w:link w:val="SubtitleChar"/>
    <w:uiPriority w:val="11"/>
    <w:qFormat/>
    <w:rsid w:val="00874AC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74AC4"/>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A313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137D"/>
    <w:rPr>
      <w:rFonts w:ascii="Lucida Grande" w:hAnsi="Lucida Grande" w:cs="Lucida Grande"/>
      <w:sz w:val="18"/>
      <w:szCs w:val="18"/>
    </w:rPr>
  </w:style>
  <w:style w:type="character" w:customStyle="1" w:styleId="Heading4Char">
    <w:name w:val="Heading 4 Char"/>
    <w:basedOn w:val="DefaultParagraphFont"/>
    <w:link w:val="Heading4"/>
    <w:uiPriority w:val="9"/>
    <w:rsid w:val="00F9796C"/>
    <w:rPr>
      <w:rFonts w:asciiTheme="majorHAnsi" w:eastAsiaTheme="majorEastAsia" w:hAnsiTheme="majorHAnsi" w:cstheme="majorBidi"/>
      <w:b/>
      <w:bCs/>
      <w:i/>
      <w:iCs/>
      <w:color w:val="4F81BD" w:themeColor="accent1"/>
      <w:sz w:val="24"/>
      <w:szCs w:val="24"/>
    </w:rPr>
  </w:style>
  <w:style w:type="paragraph" w:styleId="Header">
    <w:name w:val="header"/>
    <w:basedOn w:val="Normal"/>
    <w:link w:val="HeaderChar"/>
    <w:uiPriority w:val="99"/>
    <w:unhideWhenUsed/>
    <w:rsid w:val="00F35D88"/>
    <w:pPr>
      <w:tabs>
        <w:tab w:val="center" w:pos="4320"/>
        <w:tab w:val="right" w:pos="8640"/>
      </w:tabs>
    </w:pPr>
  </w:style>
  <w:style w:type="character" w:customStyle="1" w:styleId="HeaderChar">
    <w:name w:val="Header Char"/>
    <w:basedOn w:val="DefaultParagraphFont"/>
    <w:link w:val="Header"/>
    <w:uiPriority w:val="99"/>
    <w:rsid w:val="00F35D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2215">
      <w:bodyDiv w:val="1"/>
      <w:marLeft w:val="0"/>
      <w:marRight w:val="0"/>
      <w:marTop w:val="0"/>
      <w:marBottom w:val="0"/>
      <w:divBdr>
        <w:top w:val="none" w:sz="0" w:space="0" w:color="auto"/>
        <w:left w:val="none" w:sz="0" w:space="0" w:color="auto"/>
        <w:bottom w:val="none" w:sz="0" w:space="0" w:color="auto"/>
        <w:right w:val="none" w:sz="0" w:space="0" w:color="auto"/>
      </w:divBdr>
    </w:div>
    <w:div w:id="53050626">
      <w:bodyDiv w:val="1"/>
      <w:marLeft w:val="0"/>
      <w:marRight w:val="0"/>
      <w:marTop w:val="0"/>
      <w:marBottom w:val="0"/>
      <w:divBdr>
        <w:top w:val="none" w:sz="0" w:space="0" w:color="auto"/>
        <w:left w:val="none" w:sz="0" w:space="0" w:color="auto"/>
        <w:bottom w:val="none" w:sz="0" w:space="0" w:color="auto"/>
        <w:right w:val="none" w:sz="0" w:space="0" w:color="auto"/>
      </w:divBdr>
    </w:div>
    <w:div w:id="65034816">
      <w:bodyDiv w:val="1"/>
      <w:marLeft w:val="0"/>
      <w:marRight w:val="0"/>
      <w:marTop w:val="0"/>
      <w:marBottom w:val="0"/>
      <w:divBdr>
        <w:top w:val="none" w:sz="0" w:space="0" w:color="auto"/>
        <w:left w:val="none" w:sz="0" w:space="0" w:color="auto"/>
        <w:bottom w:val="none" w:sz="0" w:space="0" w:color="auto"/>
        <w:right w:val="none" w:sz="0" w:space="0" w:color="auto"/>
      </w:divBdr>
    </w:div>
    <w:div w:id="97600841">
      <w:bodyDiv w:val="1"/>
      <w:marLeft w:val="0"/>
      <w:marRight w:val="0"/>
      <w:marTop w:val="0"/>
      <w:marBottom w:val="0"/>
      <w:divBdr>
        <w:top w:val="none" w:sz="0" w:space="0" w:color="auto"/>
        <w:left w:val="none" w:sz="0" w:space="0" w:color="auto"/>
        <w:bottom w:val="none" w:sz="0" w:space="0" w:color="auto"/>
        <w:right w:val="none" w:sz="0" w:space="0" w:color="auto"/>
      </w:divBdr>
      <w:divsChild>
        <w:div w:id="966348692">
          <w:marLeft w:val="0"/>
          <w:marRight w:val="0"/>
          <w:marTop w:val="0"/>
          <w:marBottom w:val="0"/>
          <w:divBdr>
            <w:top w:val="none" w:sz="0" w:space="0" w:color="auto"/>
            <w:left w:val="none" w:sz="0" w:space="0" w:color="auto"/>
            <w:bottom w:val="none" w:sz="0" w:space="0" w:color="auto"/>
            <w:right w:val="none" w:sz="0" w:space="0" w:color="auto"/>
          </w:divBdr>
          <w:divsChild>
            <w:div w:id="1546214468">
              <w:marLeft w:val="0"/>
              <w:marRight w:val="0"/>
              <w:marTop w:val="0"/>
              <w:marBottom w:val="0"/>
              <w:divBdr>
                <w:top w:val="none" w:sz="0" w:space="0" w:color="auto"/>
                <w:left w:val="none" w:sz="0" w:space="0" w:color="auto"/>
                <w:bottom w:val="none" w:sz="0" w:space="0" w:color="auto"/>
                <w:right w:val="none" w:sz="0" w:space="0" w:color="auto"/>
              </w:divBdr>
              <w:divsChild>
                <w:div w:id="1258170166">
                  <w:marLeft w:val="0"/>
                  <w:marRight w:val="0"/>
                  <w:marTop w:val="0"/>
                  <w:marBottom w:val="0"/>
                  <w:divBdr>
                    <w:top w:val="none" w:sz="0" w:space="0" w:color="auto"/>
                    <w:left w:val="none" w:sz="0" w:space="0" w:color="auto"/>
                    <w:bottom w:val="none" w:sz="0" w:space="0" w:color="auto"/>
                    <w:right w:val="none" w:sz="0" w:space="0" w:color="auto"/>
                  </w:divBdr>
                  <w:divsChild>
                    <w:div w:id="6881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79997">
      <w:bodyDiv w:val="1"/>
      <w:marLeft w:val="0"/>
      <w:marRight w:val="0"/>
      <w:marTop w:val="0"/>
      <w:marBottom w:val="0"/>
      <w:divBdr>
        <w:top w:val="none" w:sz="0" w:space="0" w:color="auto"/>
        <w:left w:val="none" w:sz="0" w:space="0" w:color="auto"/>
        <w:bottom w:val="none" w:sz="0" w:space="0" w:color="auto"/>
        <w:right w:val="none" w:sz="0" w:space="0" w:color="auto"/>
      </w:divBdr>
    </w:div>
    <w:div w:id="206338294">
      <w:bodyDiv w:val="1"/>
      <w:marLeft w:val="0"/>
      <w:marRight w:val="0"/>
      <w:marTop w:val="0"/>
      <w:marBottom w:val="0"/>
      <w:divBdr>
        <w:top w:val="none" w:sz="0" w:space="0" w:color="auto"/>
        <w:left w:val="none" w:sz="0" w:space="0" w:color="auto"/>
        <w:bottom w:val="none" w:sz="0" w:space="0" w:color="auto"/>
        <w:right w:val="none" w:sz="0" w:space="0" w:color="auto"/>
      </w:divBdr>
    </w:div>
    <w:div w:id="324480797">
      <w:bodyDiv w:val="1"/>
      <w:marLeft w:val="0"/>
      <w:marRight w:val="0"/>
      <w:marTop w:val="0"/>
      <w:marBottom w:val="0"/>
      <w:divBdr>
        <w:top w:val="none" w:sz="0" w:space="0" w:color="auto"/>
        <w:left w:val="none" w:sz="0" w:space="0" w:color="auto"/>
        <w:bottom w:val="none" w:sz="0" w:space="0" w:color="auto"/>
        <w:right w:val="none" w:sz="0" w:space="0" w:color="auto"/>
      </w:divBdr>
    </w:div>
    <w:div w:id="386296047">
      <w:bodyDiv w:val="1"/>
      <w:marLeft w:val="0"/>
      <w:marRight w:val="0"/>
      <w:marTop w:val="0"/>
      <w:marBottom w:val="0"/>
      <w:divBdr>
        <w:top w:val="none" w:sz="0" w:space="0" w:color="auto"/>
        <w:left w:val="none" w:sz="0" w:space="0" w:color="auto"/>
        <w:bottom w:val="none" w:sz="0" w:space="0" w:color="auto"/>
        <w:right w:val="none" w:sz="0" w:space="0" w:color="auto"/>
      </w:divBdr>
      <w:divsChild>
        <w:div w:id="1516073095">
          <w:marLeft w:val="0"/>
          <w:marRight w:val="0"/>
          <w:marTop w:val="0"/>
          <w:marBottom w:val="0"/>
          <w:divBdr>
            <w:top w:val="none" w:sz="0" w:space="0" w:color="auto"/>
            <w:left w:val="none" w:sz="0" w:space="0" w:color="auto"/>
            <w:bottom w:val="none" w:sz="0" w:space="0" w:color="auto"/>
            <w:right w:val="none" w:sz="0" w:space="0" w:color="auto"/>
          </w:divBdr>
        </w:div>
        <w:div w:id="109403555">
          <w:marLeft w:val="0"/>
          <w:marRight w:val="0"/>
          <w:marTop w:val="0"/>
          <w:marBottom w:val="0"/>
          <w:divBdr>
            <w:top w:val="none" w:sz="0" w:space="0" w:color="auto"/>
            <w:left w:val="none" w:sz="0" w:space="0" w:color="auto"/>
            <w:bottom w:val="none" w:sz="0" w:space="0" w:color="auto"/>
            <w:right w:val="none" w:sz="0" w:space="0" w:color="auto"/>
          </w:divBdr>
        </w:div>
        <w:div w:id="1288199990">
          <w:marLeft w:val="0"/>
          <w:marRight w:val="0"/>
          <w:marTop w:val="0"/>
          <w:marBottom w:val="0"/>
          <w:divBdr>
            <w:top w:val="none" w:sz="0" w:space="0" w:color="auto"/>
            <w:left w:val="none" w:sz="0" w:space="0" w:color="auto"/>
            <w:bottom w:val="none" w:sz="0" w:space="0" w:color="auto"/>
            <w:right w:val="none" w:sz="0" w:space="0" w:color="auto"/>
          </w:divBdr>
        </w:div>
        <w:div w:id="1249994954">
          <w:marLeft w:val="0"/>
          <w:marRight w:val="0"/>
          <w:marTop w:val="0"/>
          <w:marBottom w:val="0"/>
          <w:divBdr>
            <w:top w:val="none" w:sz="0" w:space="0" w:color="auto"/>
            <w:left w:val="none" w:sz="0" w:space="0" w:color="auto"/>
            <w:bottom w:val="none" w:sz="0" w:space="0" w:color="auto"/>
            <w:right w:val="none" w:sz="0" w:space="0" w:color="auto"/>
          </w:divBdr>
        </w:div>
        <w:div w:id="999888683">
          <w:marLeft w:val="0"/>
          <w:marRight w:val="0"/>
          <w:marTop w:val="0"/>
          <w:marBottom w:val="0"/>
          <w:divBdr>
            <w:top w:val="none" w:sz="0" w:space="0" w:color="auto"/>
            <w:left w:val="none" w:sz="0" w:space="0" w:color="auto"/>
            <w:bottom w:val="none" w:sz="0" w:space="0" w:color="auto"/>
            <w:right w:val="none" w:sz="0" w:space="0" w:color="auto"/>
          </w:divBdr>
        </w:div>
        <w:div w:id="1472870776">
          <w:marLeft w:val="0"/>
          <w:marRight w:val="0"/>
          <w:marTop w:val="0"/>
          <w:marBottom w:val="0"/>
          <w:divBdr>
            <w:top w:val="none" w:sz="0" w:space="0" w:color="auto"/>
            <w:left w:val="none" w:sz="0" w:space="0" w:color="auto"/>
            <w:bottom w:val="none" w:sz="0" w:space="0" w:color="auto"/>
            <w:right w:val="none" w:sz="0" w:space="0" w:color="auto"/>
          </w:divBdr>
        </w:div>
        <w:div w:id="1007708895">
          <w:marLeft w:val="0"/>
          <w:marRight w:val="0"/>
          <w:marTop w:val="0"/>
          <w:marBottom w:val="0"/>
          <w:divBdr>
            <w:top w:val="none" w:sz="0" w:space="0" w:color="auto"/>
            <w:left w:val="none" w:sz="0" w:space="0" w:color="auto"/>
            <w:bottom w:val="none" w:sz="0" w:space="0" w:color="auto"/>
            <w:right w:val="none" w:sz="0" w:space="0" w:color="auto"/>
          </w:divBdr>
        </w:div>
        <w:div w:id="60060106">
          <w:marLeft w:val="0"/>
          <w:marRight w:val="0"/>
          <w:marTop w:val="0"/>
          <w:marBottom w:val="0"/>
          <w:divBdr>
            <w:top w:val="none" w:sz="0" w:space="0" w:color="auto"/>
            <w:left w:val="none" w:sz="0" w:space="0" w:color="auto"/>
            <w:bottom w:val="none" w:sz="0" w:space="0" w:color="auto"/>
            <w:right w:val="none" w:sz="0" w:space="0" w:color="auto"/>
          </w:divBdr>
        </w:div>
        <w:div w:id="88701126">
          <w:marLeft w:val="0"/>
          <w:marRight w:val="0"/>
          <w:marTop w:val="0"/>
          <w:marBottom w:val="0"/>
          <w:divBdr>
            <w:top w:val="none" w:sz="0" w:space="0" w:color="auto"/>
            <w:left w:val="none" w:sz="0" w:space="0" w:color="auto"/>
            <w:bottom w:val="none" w:sz="0" w:space="0" w:color="auto"/>
            <w:right w:val="none" w:sz="0" w:space="0" w:color="auto"/>
          </w:divBdr>
        </w:div>
        <w:div w:id="1942369280">
          <w:marLeft w:val="0"/>
          <w:marRight w:val="0"/>
          <w:marTop w:val="0"/>
          <w:marBottom w:val="0"/>
          <w:divBdr>
            <w:top w:val="none" w:sz="0" w:space="0" w:color="auto"/>
            <w:left w:val="none" w:sz="0" w:space="0" w:color="auto"/>
            <w:bottom w:val="none" w:sz="0" w:space="0" w:color="auto"/>
            <w:right w:val="none" w:sz="0" w:space="0" w:color="auto"/>
          </w:divBdr>
        </w:div>
        <w:div w:id="19362554">
          <w:marLeft w:val="0"/>
          <w:marRight w:val="0"/>
          <w:marTop w:val="0"/>
          <w:marBottom w:val="0"/>
          <w:divBdr>
            <w:top w:val="none" w:sz="0" w:space="0" w:color="auto"/>
            <w:left w:val="none" w:sz="0" w:space="0" w:color="auto"/>
            <w:bottom w:val="none" w:sz="0" w:space="0" w:color="auto"/>
            <w:right w:val="none" w:sz="0" w:space="0" w:color="auto"/>
          </w:divBdr>
        </w:div>
        <w:div w:id="229076763">
          <w:marLeft w:val="0"/>
          <w:marRight w:val="0"/>
          <w:marTop w:val="0"/>
          <w:marBottom w:val="0"/>
          <w:divBdr>
            <w:top w:val="none" w:sz="0" w:space="0" w:color="auto"/>
            <w:left w:val="none" w:sz="0" w:space="0" w:color="auto"/>
            <w:bottom w:val="none" w:sz="0" w:space="0" w:color="auto"/>
            <w:right w:val="none" w:sz="0" w:space="0" w:color="auto"/>
          </w:divBdr>
        </w:div>
      </w:divsChild>
    </w:div>
    <w:div w:id="391778945">
      <w:bodyDiv w:val="1"/>
      <w:marLeft w:val="0"/>
      <w:marRight w:val="0"/>
      <w:marTop w:val="0"/>
      <w:marBottom w:val="0"/>
      <w:divBdr>
        <w:top w:val="none" w:sz="0" w:space="0" w:color="auto"/>
        <w:left w:val="none" w:sz="0" w:space="0" w:color="auto"/>
        <w:bottom w:val="none" w:sz="0" w:space="0" w:color="auto"/>
        <w:right w:val="none" w:sz="0" w:space="0" w:color="auto"/>
      </w:divBdr>
      <w:divsChild>
        <w:div w:id="1914008107">
          <w:marLeft w:val="0"/>
          <w:marRight w:val="0"/>
          <w:marTop w:val="0"/>
          <w:marBottom w:val="0"/>
          <w:divBdr>
            <w:top w:val="none" w:sz="0" w:space="0" w:color="auto"/>
            <w:left w:val="none" w:sz="0" w:space="0" w:color="auto"/>
            <w:bottom w:val="none" w:sz="0" w:space="0" w:color="auto"/>
            <w:right w:val="none" w:sz="0" w:space="0" w:color="auto"/>
          </w:divBdr>
          <w:divsChild>
            <w:div w:id="2127235432">
              <w:marLeft w:val="0"/>
              <w:marRight w:val="0"/>
              <w:marTop w:val="0"/>
              <w:marBottom w:val="0"/>
              <w:divBdr>
                <w:top w:val="none" w:sz="0" w:space="0" w:color="auto"/>
                <w:left w:val="none" w:sz="0" w:space="0" w:color="auto"/>
                <w:bottom w:val="none" w:sz="0" w:space="0" w:color="auto"/>
                <w:right w:val="none" w:sz="0" w:space="0" w:color="auto"/>
              </w:divBdr>
              <w:divsChild>
                <w:div w:id="1611014370">
                  <w:marLeft w:val="0"/>
                  <w:marRight w:val="0"/>
                  <w:marTop w:val="0"/>
                  <w:marBottom w:val="0"/>
                  <w:divBdr>
                    <w:top w:val="none" w:sz="0" w:space="0" w:color="auto"/>
                    <w:left w:val="none" w:sz="0" w:space="0" w:color="auto"/>
                    <w:bottom w:val="none" w:sz="0" w:space="0" w:color="auto"/>
                    <w:right w:val="none" w:sz="0" w:space="0" w:color="auto"/>
                  </w:divBdr>
                  <w:divsChild>
                    <w:div w:id="10748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707908">
      <w:bodyDiv w:val="1"/>
      <w:marLeft w:val="0"/>
      <w:marRight w:val="0"/>
      <w:marTop w:val="0"/>
      <w:marBottom w:val="0"/>
      <w:divBdr>
        <w:top w:val="none" w:sz="0" w:space="0" w:color="auto"/>
        <w:left w:val="none" w:sz="0" w:space="0" w:color="auto"/>
        <w:bottom w:val="none" w:sz="0" w:space="0" w:color="auto"/>
        <w:right w:val="none" w:sz="0" w:space="0" w:color="auto"/>
      </w:divBdr>
      <w:divsChild>
        <w:div w:id="1875189142">
          <w:marLeft w:val="0"/>
          <w:marRight w:val="0"/>
          <w:marTop w:val="0"/>
          <w:marBottom w:val="0"/>
          <w:divBdr>
            <w:top w:val="none" w:sz="0" w:space="0" w:color="auto"/>
            <w:left w:val="none" w:sz="0" w:space="0" w:color="auto"/>
            <w:bottom w:val="none" w:sz="0" w:space="0" w:color="auto"/>
            <w:right w:val="none" w:sz="0" w:space="0" w:color="auto"/>
          </w:divBdr>
          <w:divsChild>
            <w:div w:id="735709167">
              <w:marLeft w:val="0"/>
              <w:marRight w:val="0"/>
              <w:marTop w:val="0"/>
              <w:marBottom w:val="0"/>
              <w:divBdr>
                <w:top w:val="none" w:sz="0" w:space="0" w:color="auto"/>
                <w:left w:val="none" w:sz="0" w:space="0" w:color="auto"/>
                <w:bottom w:val="none" w:sz="0" w:space="0" w:color="auto"/>
                <w:right w:val="none" w:sz="0" w:space="0" w:color="auto"/>
              </w:divBdr>
              <w:divsChild>
                <w:div w:id="943343799">
                  <w:marLeft w:val="0"/>
                  <w:marRight w:val="0"/>
                  <w:marTop w:val="0"/>
                  <w:marBottom w:val="0"/>
                  <w:divBdr>
                    <w:top w:val="none" w:sz="0" w:space="0" w:color="auto"/>
                    <w:left w:val="none" w:sz="0" w:space="0" w:color="auto"/>
                    <w:bottom w:val="none" w:sz="0" w:space="0" w:color="auto"/>
                    <w:right w:val="none" w:sz="0" w:space="0" w:color="auto"/>
                  </w:divBdr>
                  <w:divsChild>
                    <w:div w:id="133714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493084">
      <w:bodyDiv w:val="1"/>
      <w:marLeft w:val="0"/>
      <w:marRight w:val="0"/>
      <w:marTop w:val="0"/>
      <w:marBottom w:val="0"/>
      <w:divBdr>
        <w:top w:val="none" w:sz="0" w:space="0" w:color="auto"/>
        <w:left w:val="none" w:sz="0" w:space="0" w:color="auto"/>
        <w:bottom w:val="none" w:sz="0" w:space="0" w:color="auto"/>
        <w:right w:val="none" w:sz="0" w:space="0" w:color="auto"/>
      </w:divBdr>
    </w:div>
    <w:div w:id="646086134">
      <w:bodyDiv w:val="1"/>
      <w:marLeft w:val="0"/>
      <w:marRight w:val="0"/>
      <w:marTop w:val="0"/>
      <w:marBottom w:val="0"/>
      <w:divBdr>
        <w:top w:val="none" w:sz="0" w:space="0" w:color="auto"/>
        <w:left w:val="none" w:sz="0" w:space="0" w:color="auto"/>
        <w:bottom w:val="none" w:sz="0" w:space="0" w:color="auto"/>
        <w:right w:val="none" w:sz="0" w:space="0" w:color="auto"/>
      </w:divBdr>
      <w:divsChild>
        <w:div w:id="1477725057">
          <w:marLeft w:val="0"/>
          <w:marRight w:val="0"/>
          <w:marTop w:val="0"/>
          <w:marBottom w:val="0"/>
          <w:divBdr>
            <w:top w:val="none" w:sz="0" w:space="0" w:color="auto"/>
            <w:left w:val="none" w:sz="0" w:space="0" w:color="auto"/>
            <w:bottom w:val="none" w:sz="0" w:space="0" w:color="auto"/>
            <w:right w:val="none" w:sz="0" w:space="0" w:color="auto"/>
          </w:divBdr>
          <w:divsChild>
            <w:div w:id="385640517">
              <w:marLeft w:val="0"/>
              <w:marRight w:val="0"/>
              <w:marTop w:val="0"/>
              <w:marBottom w:val="0"/>
              <w:divBdr>
                <w:top w:val="none" w:sz="0" w:space="0" w:color="auto"/>
                <w:left w:val="none" w:sz="0" w:space="0" w:color="auto"/>
                <w:bottom w:val="none" w:sz="0" w:space="0" w:color="auto"/>
                <w:right w:val="none" w:sz="0" w:space="0" w:color="auto"/>
              </w:divBdr>
              <w:divsChild>
                <w:div w:id="643850491">
                  <w:marLeft w:val="0"/>
                  <w:marRight w:val="0"/>
                  <w:marTop w:val="0"/>
                  <w:marBottom w:val="0"/>
                  <w:divBdr>
                    <w:top w:val="none" w:sz="0" w:space="0" w:color="auto"/>
                    <w:left w:val="none" w:sz="0" w:space="0" w:color="auto"/>
                    <w:bottom w:val="none" w:sz="0" w:space="0" w:color="auto"/>
                    <w:right w:val="none" w:sz="0" w:space="0" w:color="auto"/>
                  </w:divBdr>
                  <w:divsChild>
                    <w:div w:id="135353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196561">
      <w:bodyDiv w:val="1"/>
      <w:marLeft w:val="0"/>
      <w:marRight w:val="0"/>
      <w:marTop w:val="0"/>
      <w:marBottom w:val="0"/>
      <w:divBdr>
        <w:top w:val="none" w:sz="0" w:space="0" w:color="auto"/>
        <w:left w:val="none" w:sz="0" w:space="0" w:color="auto"/>
        <w:bottom w:val="none" w:sz="0" w:space="0" w:color="auto"/>
        <w:right w:val="none" w:sz="0" w:space="0" w:color="auto"/>
      </w:divBdr>
    </w:div>
    <w:div w:id="783962422">
      <w:bodyDiv w:val="1"/>
      <w:marLeft w:val="0"/>
      <w:marRight w:val="0"/>
      <w:marTop w:val="0"/>
      <w:marBottom w:val="0"/>
      <w:divBdr>
        <w:top w:val="none" w:sz="0" w:space="0" w:color="auto"/>
        <w:left w:val="none" w:sz="0" w:space="0" w:color="auto"/>
        <w:bottom w:val="none" w:sz="0" w:space="0" w:color="auto"/>
        <w:right w:val="none" w:sz="0" w:space="0" w:color="auto"/>
      </w:divBdr>
    </w:div>
    <w:div w:id="802163960">
      <w:bodyDiv w:val="1"/>
      <w:marLeft w:val="0"/>
      <w:marRight w:val="0"/>
      <w:marTop w:val="0"/>
      <w:marBottom w:val="0"/>
      <w:divBdr>
        <w:top w:val="none" w:sz="0" w:space="0" w:color="auto"/>
        <w:left w:val="none" w:sz="0" w:space="0" w:color="auto"/>
        <w:bottom w:val="none" w:sz="0" w:space="0" w:color="auto"/>
        <w:right w:val="none" w:sz="0" w:space="0" w:color="auto"/>
      </w:divBdr>
      <w:divsChild>
        <w:div w:id="1797261693">
          <w:marLeft w:val="0"/>
          <w:marRight w:val="0"/>
          <w:marTop w:val="0"/>
          <w:marBottom w:val="0"/>
          <w:divBdr>
            <w:top w:val="none" w:sz="0" w:space="0" w:color="auto"/>
            <w:left w:val="none" w:sz="0" w:space="0" w:color="auto"/>
            <w:bottom w:val="none" w:sz="0" w:space="0" w:color="auto"/>
            <w:right w:val="none" w:sz="0" w:space="0" w:color="auto"/>
          </w:divBdr>
        </w:div>
        <w:div w:id="98375189">
          <w:marLeft w:val="0"/>
          <w:marRight w:val="0"/>
          <w:marTop w:val="0"/>
          <w:marBottom w:val="0"/>
          <w:divBdr>
            <w:top w:val="none" w:sz="0" w:space="0" w:color="auto"/>
            <w:left w:val="none" w:sz="0" w:space="0" w:color="auto"/>
            <w:bottom w:val="none" w:sz="0" w:space="0" w:color="auto"/>
            <w:right w:val="none" w:sz="0" w:space="0" w:color="auto"/>
          </w:divBdr>
        </w:div>
      </w:divsChild>
    </w:div>
    <w:div w:id="880945386">
      <w:bodyDiv w:val="1"/>
      <w:marLeft w:val="0"/>
      <w:marRight w:val="0"/>
      <w:marTop w:val="0"/>
      <w:marBottom w:val="0"/>
      <w:divBdr>
        <w:top w:val="none" w:sz="0" w:space="0" w:color="auto"/>
        <w:left w:val="none" w:sz="0" w:space="0" w:color="auto"/>
        <w:bottom w:val="none" w:sz="0" w:space="0" w:color="auto"/>
        <w:right w:val="none" w:sz="0" w:space="0" w:color="auto"/>
      </w:divBdr>
    </w:div>
    <w:div w:id="951280200">
      <w:bodyDiv w:val="1"/>
      <w:marLeft w:val="0"/>
      <w:marRight w:val="0"/>
      <w:marTop w:val="0"/>
      <w:marBottom w:val="0"/>
      <w:divBdr>
        <w:top w:val="none" w:sz="0" w:space="0" w:color="auto"/>
        <w:left w:val="none" w:sz="0" w:space="0" w:color="auto"/>
        <w:bottom w:val="none" w:sz="0" w:space="0" w:color="auto"/>
        <w:right w:val="none" w:sz="0" w:space="0" w:color="auto"/>
      </w:divBdr>
    </w:div>
    <w:div w:id="1015961204">
      <w:bodyDiv w:val="1"/>
      <w:marLeft w:val="0"/>
      <w:marRight w:val="0"/>
      <w:marTop w:val="0"/>
      <w:marBottom w:val="0"/>
      <w:divBdr>
        <w:top w:val="none" w:sz="0" w:space="0" w:color="auto"/>
        <w:left w:val="none" w:sz="0" w:space="0" w:color="auto"/>
        <w:bottom w:val="none" w:sz="0" w:space="0" w:color="auto"/>
        <w:right w:val="none" w:sz="0" w:space="0" w:color="auto"/>
      </w:divBdr>
    </w:div>
    <w:div w:id="1126898550">
      <w:bodyDiv w:val="1"/>
      <w:marLeft w:val="0"/>
      <w:marRight w:val="0"/>
      <w:marTop w:val="0"/>
      <w:marBottom w:val="0"/>
      <w:divBdr>
        <w:top w:val="none" w:sz="0" w:space="0" w:color="auto"/>
        <w:left w:val="none" w:sz="0" w:space="0" w:color="auto"/>
        <w:bottom w:val="none" w:sz="0" w:space="0" w:color="auto"/>
        <w:right w:val="none" w:sz="0" w:space="0" w:color="auto"/>
      </w:divBdr>
    </w:div>
    <w:div w:id="1172841557">
      <w:bodyDiv w:val="1"/>
      <w:marLeft w:val="0"/>
      <w:marRight w:val="0"/>
      <w:marTop w:val="0"/>
      <w:marBottom w:val="0"/>
      <w:divBdr>
        <w:top w:val="none" w:sz="0" w:space="0" w:color="auto"/>
        <w:left w:val="none" w:sz="0" w:space="0" w:color="auto"/>
        <w:bottom w:val="none" w:sz="0" w:space="0" w:color="auto"/>
        <w:right w:val="none" w:sz="0" w:space="0" w:color="auto"/>
      </w:divBdr>
    </w:div>
    <w:div w:id="1224677059">
      <w:bodyDiv w:val="1"/>
      <w:marLeft w:val="0"/>
      <w:marRight w:val="0"/>
      <w:marTop w:val="0"/>
      <w:marBottom w:val="0"/>
      <w:divBdr>
        <w:top w:val="none" w:sz="0" w:space="0" w:color="auto"/>
        <w:left w:val="none" w:sz="0" w:space="0" w:color="auto"/>
        <w:bottom w:val="none" w:sz="0" w:space="0" w:color="auto"/>
        <w:right w:val="none" w:sz="0" w:space="0" w:color="auto"/>
      </w:divBdr>
    </w:div>
    <w:div w:id="1225683032">
      <w:bodyDiv w:val="1"/>
      <w:marLeft w:val="0"/>
      <w:marRight w:val="0"/>
      <w:marTop w:val="0"/>
      <w:marBottom w:val="0"/>
      <w:divBdr>
        <w:top w:val="none" w:sz="0" w:space="0" w:color="auto"/>
        <w:left w:val="none" w:sz="0" w:space="0" w:color="auto"/>
        <w:bottom w:val="none" w:sz="0" w:space="0" w:color="auto"/>
        <w:right w:val="none" w:sz="0" w:space="0" w:color="auto"/>
      </w:divBdr>
    </w:div>
    <w:div w:id="1231429139">
      <w:bodyDiv w:val="1"/>
      <w:marLeft w:val="0"/>
      <w:marRight w:val="0"/>
      <w:marTop w:val="0"/>
      <w:marBottom w:val="0"/>
      <w:divBdr>
        <w:top w:val="none" w:sz="0" w:space="0" w:color="auto"/>
        <w:left w:val="none" w:sz="0" w:space="0" w:color="auto"/>
        <w:bottom w:val="none" w:sz="0" w:space="0" w:color="auto"/>
        <w:right w:val="none" w:sz="0" w:space="0" w:color="auto"/>
      </w:divBdr>
      <w:divsChild>
        <w:div w:id="1755979206">
          <w:marLeft w:val="0"/>
          <w:marRight w:val="0"/>
          <w:marTop w:val="0"/>
          <w:marBottom w:val="0"/>
          <w:divBdr>
            <w:top w:val="none" w:sz="0" w:space="0" w:color="auto"/>
            <w:left w:val="none" w:sz="0" w:space="0" w:color="auto"/>
            <w:bottom w:val="none" w:sz="0" w:space="0" w:color="auto"/>
            <w:right w:val="none" w:sz="0" w:space="0" w:color="auto"/>
          </w:divBdr>
          <w:divsChild>
            <w:div w:id="865173152">
              <w:marLeft w:val="0"/>
              <w:marRight w:val="0"/>
              <w:marTop w:val="0"/>
              <w:marBottom w:val="0"/>
              <w:divBdr>
                <w:top w:val="none" w:sz="0" w:space="0" w:color="auto"/>
                <w:left w:val="none" w:sz="0" w:space="0" w:color="auto"/>
                <w:bottom w:val="none" w:sz="0" w:space="0" w:color="auto"/>
                <w:right w:val="none" w:sz="0" w:space="0" w:color="auto"/>
              </w:divBdr>
              <w:divsChild>
                <w:div w:id="30363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85042">
      <w:bodyDiv w:val="1"/>
      <w:marLeft w:val="0"/>
      <w:marRight w:val="0"/>
      <w:marTop w:val="0"/>
      <w:marBottom w:val="0"/>
      <w:divBdr>
        <w:top w:val="none" w:sz="0" w:space="0" w:color="auto"/>
        <w:left w:val="none" w:sz="0" w:space="0" w:color="auto"/>
        <w:bottom w:val="none" w:sz="0" w:space="0" w:color="auto"/>
        <w:right w:val="none" w:sz="0" w:space="0" w:color="auto"/>
      </w:divBdr>
    </w:div>
    <w:div w:id="1279750953">
      <w:bodyDiv w:val="1"/>
      <w:marLeft w:val="0"/>
      <w:marRight w:val="0"/>
      <w:marTop w:val="0"/>
      <w:marBottom w:val="0"/>
      <w:divBdr>
        <w:top w:val="none" w:sz="0" w:space="0" w:color="auto"/>
        <w:left w:val="none" w:sz="0" w:space="0" w:color="auto"/>
        <w:bottom w:val="none" w:sz="0" w:space="0" w:color="auto"/>
        <w:right w:val="none" w:sz="0" w:space="0" w:color="auto"/>
      </w:divBdr>
    </w:div>
    <w:div w:id="1404914124">
      <w:bodyDiv w:val="1"/>
      <w:marLeft w:val="0"/>
      <w:marRight w:val="0"/>
      <w:marTop w:val="0"/>
      <w:marBottom w:val="0"/>
      <w:divBdr>
        <w:top w:val="none" w:sz="0" w:space="0" w:color="auto"/>
        <w:left w:val="none" w:sz="0" w:space="0" w:color="auto"/>
        <w:bottom w:val="none" w:sz="0" w:space="0" w:color="auto"/>
        <w:right w:val="none" w:sz="0" w:space="0" w:color="auto"/>
      </w:divBdr>
      <w:divsChild>
        <w:div w:id="705913401">
          <w:marLeft w:val="0"/>
          <w:marRight w:val="0"/>
          <w:marTop w:val="0"/>
          <w:marBottom w:val="0"/>
          <w:divBdr>
            <w:top w:val="none" w:sz="0" w:space="0" w:color="auto"/>
            <w:left w:val="none" w:sz="0" w:space="0" w:color="auto"/>
            <w:bottom w:val="none" w:sz="0" w:space="0" w:color="auto"/>
            <w:right w:val="none" w:sz="0" w:space="0" w:color="auto"/>
          </w:divBdr>
          <w:divsChild>
            <w:div w:id="485896330">
              <w:marLeft w:val="0"/>
              <w:marRight w:val="0"/>
              <w:marTop w:val="0"/>
              <w:marBottom w:val="0"/>
              <w:divBdr>
                <w:top w:val="none" w:sz="0" w:space="0" w:color="auto"/>
                <w:left w:val="none" w:sz="0" w:space="0" w:color="auto"/>
                <w:bottom w:val="none" w:sz="0" w:space="0" w:color="auto"/>
                <w:right w:val="none" w:sz="0" w:space="0" w:color="auto"/>
              </w:divBdr>
              <w:divsChild>
                <w:div w:id="43575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16572">
      <w:bodyDiv w:val="1"/>
      <w:marLeft w:val="0"/>
      <w:marRight w:val="0"/>
      <w:marTop w:val="0"/>
      <w:marBottom w:val="0"/>
      <w:divBdr>
        <w:top w:val="none" w:sz="0" w:space="0" w:color="auto"/>
        <w:left w:val="none" w:sz="0" w:space="0" w:color="auto"/>
        <w:bottom w:val="none" w:sz="0" w:space="0" w:color="auto"/>
        <w:right w:val="none" w:sz="0" w:space="0" w:color="auto"/>
      </w:divBdr>
    </w:div>
    <w:div w:id="1570649208">
      <w:bodyDiv w:val="1"/>
      <w:marLeft w:val="0"/>
      <w:marRight w:val="0"/>
      <w:marTop w:val="0"/>
      <w:marBottom w:val="0"/>
      <w:divBdr>
        <w:top w:val="none" w:sz="0" w:space="0" w:color="auto"/>
        <w:left w:val="none" w:sz="0" w:space="0" w:color="auto"/>
        <w:bottom w:val="none" w:sz="0" w:space="0" w:color="auto"/>
        <w:right w:val="none" w:sz="0" w:space="0" w:color="auto"/>
      </w:divBdr>
    </w:div>
    <w:div w:id="1603804553">
      <w:bodyDiv w:val="1"/>
      <w:marLeft w:val="0"/>
      <w:marRight w:val="0"/>
      <w:marTop w:val="0"/>
      <w:marBottom w:val="0"/>
      <w:divBdr>
        <w:top w:val="none" w:sz="0" w:space="0" w:color="auto"/>
        <w:left w:val="none" w:sz="0" w:space="0" w:color="auto"/>
        <w:bottom w:val="none" w:sz="0" w:space="0" w:color="auto"/>
        <w:right w:val="none" w:sz="0" w:space="0" w:color="auto"/>
      </w:divBdr>
      <w:divsChild>
        <w:div w:id="67504017">
          <w:marLeft w:val="0"/>
          <w:marRight w:val="0"/>
          <w:marTop w:val="0"/>
          <w:marBottom w:val="0"/>
          <w:divBdr>
            <w:top w:val="none" w:sz="0" w:space="0" w:color="auto"/>
            <w:left w:val="none" w:sz="0" w:space="0" w:color="auto"/>
            <w:bottom w:val="none" w:sz="0" w:space="0" w:color="auto"/>
            <w:right w:val="none" w:sz="0" w:space="0" w:color="auto"/>
          </w:divBdr>
          <w:divsChild>
            <w:div w:id="1008601926">
              <w:marLeft w:val="0"/>
              <w:marRight w:val="0"/>
              <w:marTop w:val="0"/>
              <w:marBottom w:val="0"/>
              <w:divBdr>
                <w:top w:val="none" w:sz="0" w:space="0" w:color="auto"/>
                <w:left w:val="none" w:sz="0" w:space="0" w:color="auto"/>
                <w:bottom w:val="none" w:sz="0" w:space="0" w:color="auto"/>
                <w:right w:val="none" w:sz="0" w:space="0" w:color="auto"/>
              </w:divBdr>
              <w:divsChild>
                <w:div w:id="1129862181">
                  <w:marLeft w:val="0"/>
                  <w:marRight w:val="0"/>
                  <w:marTop w:val="0"/>
                  <w:marBottom w:val="0"/>
                  <w:divBdr>
                    <w:top w:val="none" w:sz="0" w:space="0" w:color="auto"/>
                    <w:left w:val="none" w:sz="0" w:space="0" w:color="auto"/>
                    <w:bottom w:val="none" w:sz="0" w:space="0" w:color="auto"/>
                    <w:right w:val="none" w:sz="0" w:space="0" w:color="auto"/>
                  </w:divBdr>
                  <w:divsChild>
                    <w:div w:id="192171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697248">
      <w:bodyDiv w:val="1"/>
      <w:marLeft w:val="0"/>
      <w:marRight w:val="0"/>
      <w:marTop w:val="0"/>
      <w:marBottom w:val="0"/>
      <w:divBdr>
        <w:top w:val="none" w:sz="0" w:space="0" w:color="auto"/>
        <w:left w:val="none" w:sz="0" w:space="0" w:color="auto"/>
        <w:bottom w:val="none" w:sz="0" w:space="0" w:color="auto"/>
        <w:right w:val="none" w:sz="0" w:space="0" w:color="auto"/>
      </w:divBdr>
      <w:divsChild>
        <w:div w:id="1482114669">
          <w:marLeft w:val="0"/>
          <w:marRight w:val="0"/>
          <w:marTop w:val="0"/>
          <w:marBottom w:val="0"/>
          <w:divBdr>
            <w:top w:val="none" w:sz="0" w:space="0" w:color="auto"/>
            <w:left w:val="none" w:sz="0" w:space="0" w:color="auto"/>
            <w:bottom w:val="none" w:sz="0" w:space="0" w:color="auto"/>
            <w:right w:val="none" w:sz="0" w:space="0" w:color="auto"/>
          </w:divBdr>
          <w:divsChild>
            <w:div w:id="2070878065">
              <w:marLeft w:val="0"/>
              <w:marRight w:val="0"/>
              <w:marTop w:val="0"/>
              <w:marBottom w:val="0"/>
              <w:divBdr>
                <w:top w:val="none" w:sz="0" w:space="0" w:color="auto"/>
                <w:left w:val="none" w:sz="0" w:space="0" w:color="auto"/>
                <w:bottom w:val="none" w:sz="0" w:space="0" w:color="auto"/>
                <w:right w:val="none" w:sz="0" w:space="0" w:color="auto"/>
              </w:divBdr>
              <w:divsChild>
                <w:div w:id="920261036">
                  <w:marLeft w:val="0"/>
                  <w:marRight w:val="0"/>
                  <w:marTop w:val="0"/>
                  <w:marBottom w:val="0"/>
                  <w:divBdr>
                    <w:top w:val="none" w:sz="0" w:space="0" w:color="auto"/>
                    <w:left w:val="none" w:sz="0" w:space="0" w:color="auto"/>
                    <w:bottom w:val="none" w:sz="0" w:space="0" w:color="auto"/>
                    <w:right w:val="none" w:sz="0" w:space="0" w:color="auto"/>
                  </w:divBdr>
                  <w:divsChild>
                    <w:div w:id="171765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52742">
      <w:bodyDiv w:val="1"/>
      <w:marLeft w:val="0"/>
      <w:marRight w:val="0"/>
      <w:marTop w:val="0"/>
      <w:marBottom w:val="0"/>
      <w:divBdr>
        <w:top w:val="none" w:sz="0" w:space="0" w:color="auto"/>
        <w:left w:val="none" w:sz="0" w:space="0" w:color="auto"/>
        <w:bottom w:val="none" w:sz="0" w:space="0" w:color="auto"/>
        <w:right w:val="none" w:sz="0" w:space="0" w:color="auto"/>
      </w:divBdr>
    </w:div>
    <w:div w:id="1712925374">
      <w:bodyDiv w:val="1"/>
      <w:marLeft w:val="0"/>
      <w:marRight w:val="0"/>
      <w:marTop w:val="0"/>
      <w:marBottom w:val="0"/>
      <w:divBdr>
        <w:top w:val="none" w:sz="0" w:space="0" w:color="auto"/>
        <w:left w:val="none" w:sz="0" w:space="0" w:color="auto"/>
        <w:bottom w:val="none" w:sz="0" w:space="0" w:color="auto"/>
        <w:right w:val="none" w:sz="0" w:space="0" w:color="auto"/>
      </w:divBdr>
      <w:divsChild>
        <w:div w:id="1510027443">
          <w:marLeft w:val="0"/>
          <w:marRight w:val="0"/>
          <w:marTop w:val="0"/>
          <w:marBottom w:val="0"/>
          <w:divBdr>
            <w:top w:val="none" w:sz="0" w:space="0" w:color="auto"/>
            <w:left w:val="none" w:sz="0" w:space="0" w:color="auto"/>
            <w:bottom w:val="none" w:sz="0" w:space="0" w:color="auto"/>
            <w:right w:val="none" w:sz="0" w:space="0" w:color="auto"/>
          </w:divBdr>
          <w:divsChild>
            <w:div w:id="2056348191">
              <w:marLeft w:val="0"/>
              <w:marRight w:val="0"/>
              <w:marTop w:val="0"/>
              <w:marBottom w:val="0"/>
              <w:divBdr>
                <w:top w:val="none" w:sz="0" w:space="0" w:color="auto"/>
                <w:left w:val="none" w:sz="0" w:space="0" w:color="auto"/>
                <w:bottom w:val="none" w:sz="0" w:space="0" w:color="auto"/>
                <w:right w:val="none" w:sz="0" w:space="0" w:color="auto"/>
              </w:divBdr>
              <w:divsChild>
                <w:div w:id="9036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502068">
      <w:bodyDiv w:val="1"/>
      <w:marLeft w:val="0"/>
      <w:marRight w:val="0"/>
      <w:marTop w:val="0"/>
      <w:marBottom w:val="0"/>
      <w:divBdr>
        <w:top w:val="none" w:sz="0" w:space="0" w:color="auto"/>
        <w:left w:val="none" w:sz="0" w:space="0" w:color="auto"/>
        <w:bottom w:val="none" w:sz="0" w:space="0" w:color="auto"/>
        <w:right w:val="none" w:sz="0" w:space="0" w:color="auto"/>
      </w:divBdr>
    </w:div>
    <w:div w:id="1840004450">
      <w:bodyDiv w:val="1"/>
      <w:marLeft w:val="0"/>
      <w:marRight w:val="0"/>
      <w:marTop w:val="0"/>
      <w:marBottom w:val="0"/>
      <w:divBdr>
        <w:top w:val="none" w:sz="0" w:space="0" w:color="auto"/>
        <w:left w:val="none" w:sz="0" w:space="0" w:color="auto"/>
        <w:bottom w:val="none" w:sz="0" w:space="0" w:color="auto"/>
        <w:right w:val="none" w:sz="0" w:space="0" w:color="auto"/>
      </w:divBdr>
    </w:div>
    <w:div w:id="1893613218">
      <w:bodyDiv w:val="1"/>
      <w:marLeft w:val="0"/>
      <w:marRight w:val="0"/>
      <w:marTop w:val="0"/>
      <w:marBottom w:val="0"/>
      <w:divBdr>
        <w:top w:val="none" w:sz="0" w:space="0" w:color="auto"/>
        <w:left w:val="none" w:sz="0" w:space="0" w:color="auto"/>
        <w:bottom w:val="none" w:sz="0" w:space="0" w:color="auto"/>
        <w:right w:val="none" w:sz="0" w:space="0" w:color="auto"/>
      </w:divBdr>
    </w:div>
    <w:div w:id="1968923309">
      <w:bodyDiv w:val="1"/>
      <w:marLeft w:val="0"/>
      <w:marRight w:val="0"/>
      <w:marTop w:val="0"/>
      <w:marBottom w:val="0"/>
      <w:divBdr>
        <w:top w:val="none" w:sz="0" w:space="0" w:color="auto"/>
        <w:left w:val="none" w:sz="0" w:space="0" w:color="auto"/>
        <w:bottom w:val="none" w:sz="0" w:space="0" w:color="auto"/>
        <w:right w:val="none" w:sz="0" w:space="0" w:color="auto"/>
      </w:divBdr>
      <w:divsChild>
        <w:div w:id="1491676633">
          <w:marLeft w:val="0"/>
          <w:marRight w:val="0"/>
          <w:marTop w:val="0"/>
          <w:marBottom w:val="0"/>
          <w:divBdr>
            <w:top w:val="none" w:sz="0" w:space="0" w:color="auto"/>
            <w:left w:val="none" w:sz="0" w:space="0" w:color="auto"/>
            <w:bottom w:val="none" w:sz="0" w:space="0" w:color="auto"/>
            <w:right w:val="none" w:sz="0" w:space="0" w:color="auto"/>
          </w:divBdr>
          <w:divsChild>
            <w:div w:id="730886404">
              <w:marLeft w:val="0"/>
              <w:marRight w:val="0"/>
              <w:marTop w:val="0"/>
              <w:marBottom w:val="0"/>
              <w:divBdr>
                <w:top w:val="none" w:sz="0" w:space="0" w:color="auto"/>
                <w:left w:val="none" w:sz="0" w:space="0" w:color="auto"/>
                <w:bottom w:val="none" w:sz="0" w:space="0" w:color="auto"/>
                <w:right w:val="none" w:sz="0" w:space="0" w:color="auto"/>
              </w:divBdr>
              <w:divsChild>
                <w:div w:id="91705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46633">
      <w:bodyDiv w:val="1"/>
      <w:marLeft w:val="0"/>
      <w:marRight w:val="0"/>
      <w:marTop w:val="0"/>
      <w:marBottom w:val="0"/>
      <w:divBdr>
        <w:top w:val="none" w:sz="0" w:space="0" w:color="auto"/>
        <w:left w:val="none" w:sz="0" w:space="0" w:color="auto"/>
        <w:bottom w:val="none" w:sz="0" w:space="0" w:color="auto"/>
        <w:right w:val="none" w:sz="0" w:space="0" w:color="auto"/>
      </w:divBdr>
      <w:divsChild>
        <w:div w:id="622661919">
          <w:marLeft w:val="0"/>
          <w:marRight w:val="0"/>
          <w:marTop w:val="0"/>
          <w:marBottom w:val="0"/>
          <w:divBdr>
            <w:top w:val="none" w:sz="0" w:space="0" w:color="auto"/>
            <w:left w:val="none" w:sz="0" w:space="0" w:color="auto"/>
            <w:bottom w:val="none" w:sz="0" w:space="0" w:color="auto"/>
            <w:right w:val="none" w:sz="0" w:space="0" w:color="auto"/>
          </w:divBdr>
        </w:div>
        <w:div w:id="1048064233">
          <w:marLeft w:val="0"/>
          <w:marRight w:val="0"/>
          <w:marTop w:val="0"/>
          <w:marBottom w:val="0"/>
          <w:divBdr>
            <w:top w:val="none" w:sz="0" w:space="0" w:color="auto"/>
            <w:left w:val="none" w:sz="0" w:space="0" w:color="auto"/>
            <w:bottom w:val="none" w:sz="0" w:space="0" w:color="auto"/>
            <w:right w:val="none" w:sz="0" w:space="0" w:color="auto"/>
          </w:divBdr>
          <w:divsChild>
            <w:div w:id="673455608">
              <w:marLeft w:val="0"/>
              <w:marRight w:val="0"/>
              <w:marTop w:val="0"/>
              <w:marBottom w:val="0"/>
              <w:divBdr>
                <w:top w:val="none" w:sz="0" w:space="0" w:color="auto"/>
                <w:left w:val="none" w:sz="0" w:space="0" w:color="auto"/>
                <w:bottom w:val="none" w:sz="0" w:space="0" w:color="auto"/>
                <w:right w:val="none" w:sz="0" w:space="0" w:color="auto"/>
              </w:divBdr>
              <w:divsChild>
                <w:div w:id="856164086">
                  <w:marLeft w:val="0"/>
                  <w:marRight w:val="0"/>
                  <w:marTop w:val="0"/>
                  <w:marBottom w:val="0"/>
                  <w:divBdr>
                    <w:top w:val="none" w:sz="0" w:space="0" w:color="auto"/>
                    <w:left w:val="none" w:sz="0" w:space="0" w:color="auto"/>
                    <w:bottom w:val="none" w:sz="0" w:space="0" w:color="auto"/>
                    <w:right w:val="none" w:sz="0" w:space="0" w:color="auto"/>
                  </w:divBdr>
                  <w:divsChild>
                    <w:div w:id="12970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420838">
      <w:bodyDiv w:val="1"/>
      <w:marLeft w:val="0"/>
      <w:marRight w:val="0"/>
      <w:marTop w:val="0"/>
      <w:marBottom w:val="0"/>
      <w:divBdr>
        <w:top w:val="none" w:sz="0" w:space="0" w:color="auto"/>
        <w:left w:val="none" w:sz="0" w:space="0" w:color="auto"/>
        <w:bottom w:val="none" w:sz="0" w:space="0" w:color="auto"/>
        <w:right w:val="none" w:sz="0" w:space="0" w:color="auto"/>
      </w:divBdr>
    </w:div>
    <w:div w:id="21277681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tchardreport.com/is-the-nz-government-confused-or-deliberately-misleading-us/" TargetMode="External"/><Relationship Id="rId13" Type="http://schemas.openxmlformats.org/officeDocument/2006/relationships/hyperlink" Target="https://www.womens-health.org.nz/the-cartwright-inquiry/" TargetMode="External"/><Relationship Id="rId18" Type="http://schemas.openxmlformats.org/officeDocument/2006/relationships/hyperlink" Target="https://www.medsafe.govt.nz/consumers/miet/importmedicines.asp"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silentnomorenz.com/" TargetMode="External"/><Relationship Id="rId7" Type="http://schemas.openxmlformats.org/officeDocument/2006/relationships/hyperlink" Target="https://phmpt.org/wp-content/uploads/2021/11/5.3.6-postmarketing-experience.pdf?fbclid=IwAR0yiIBk--hMDKl524a61TIffvrhWyxfYFsdgpXNXPg01z5lcURRzOGZPIs" TargetMode="External"/><Relationship Id="rId12" Type="http://schemas.openxmlformats.org/officeDocument/2006/relationships/hyperlink" Target="http://www.hatchardreport.com" TargetMode="External"/><Relationship Id="rId17" Type="http://schemas.openxmlformats.org/officeDocument/2006/relationships/hyperlink" Target="https://www.stuff.co.nz/national/health/coronavirus/128210064/contaminated-ivermectin-in-controversial-murupara-doctors-seized-import-court-hear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rnz.co.nz/news/national/464442/doctors-suspended-over-anti-vax-claims-win-court-appeals" TargetMode="External"/><Relationship Id="rId20" Type="http://schemas.openxmlformats.org/officeDocument/2006/relationships/hyperlink" Target="https://www.facebook.com/groups/thehealthforumnz"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ilytelegraph.co.nz/news/casualties-litter-the-roadside-on-new-zealands-route-to-covid-19/" TargetMode="Externa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covid19criticalcare.com/covid-19-protocols/" TargetMode="External"/><Relationship Id="rId23" Type="http://schemas.openxmlformats.org/officeDocument/2006/relationships/hyperlink" Target="http://voicesforfreedom.co.nz" TargetMode="External"/><Relationship Id="rId28" Type="http://schemas.openxmlformats.org/officeDocument/2006/relationships/theme" Target="theme/theme1.xml"/><Relationship Id="rId10" Type="http://schemas.openxmlformats.org/officeDocument/2006/relationships/hyperlink" Target="https://hatchardreport.com/the-problems-with-our-pandemic-response-run-deep/" TargetMode="External"/><Relationship Id="rId19" Type="http://schemas.openxmlformats.org/officeDocument/2006/relationships/hyperlink" Target="http://www.nzdsos.com" TargetMode="External"/><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hatchardreport.com/pfizer-vaccine-unknown-adverse-effects/" TargetMode="External"/><Relationship Id="rId14" Type="http://schemas.openxmlformats.org/officeDocument/2006/relationships/hyperlink" Target="https://www.hdc.org.nz/your-rights/about-the-code/code-of-health-and-disability-services-consumers-rights/" TargetMode="External"/><Relationship Id="rId22" Type="http://schemas.openxmlformats.org/officeDocument/2006/relationships/hyperlink" Target="https://thehoodnz.com"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nzdsos.com/2021/12/10/3rd-letter-alerting-the-authorities-to-c-19-injection-death-with-updated-database/" TargetMode="External"/><Relationship Id="rId18" Type="http://schemas.openxmlformats.org/officeDocument/2006/relationships/hyperlink" Target="https://nzdsos.com/2021/06/14/open-letter-on-vaccinating-children/" TargetMode="External"/><Relationship Id="rId26" Type="http://schemas.openxmlformats.org/officeDocument/2006/relationships/hyperlink" Target="https://www.stuff.co.nz/national/health/coronavirus/300564406/covid19-third-death-considered-linked-to-vaccine-was-a-teenager" TargetMode="External"/><Relationship Id="rId39" Type="http://schemas.openxmlformats.org/officeDocument/2006/relationships/hyperlink" Target="https://www.medsafe.govt.nz/COVID-19/safety-report-42.asp" TargetMode="External"/><Relationship Id="rId21" Type="http://schemas.openxmlformats.org/officeDocument/2006/relationships/hyperlink" Target="https://nzdsos.com/2021/07/23/open-letter-to-teachers/" TargetMode="External"/><Relationship Id="rId34" Type="http://schemas.openxmlformats.org/officeDocument/2006/relationships/hyperlink" Target="https://www.cdc.gov/coronavirus/2019-ncov/hcp/planning-scenarios.html" TargetMode="External"/><Relationship Id="rId42" Type="http://schemas.openxmlformats.org/officeDocument/2006/relationships/hyperlink" Target="https://www.ohchr.org/sites/default/files/Documents/Publications/GuidingPrinciplesBusinessHR_EN.pdf" TargetMode="External"/><Relationship Id="rId47" Type="http://schemas.openxmlformats.org/officeDocument/2006/relationships/hyperlink" Target="https://forms.justice.govt.nz/search/Documents/pdf/jdo/b1/alfresco/service/api/node/content/workspace/SpacesStore/e8d47bc3-10dd-4ef9-ad96-5162f8f12f37/e8d47bc3-10dd-4ef9-ad96-5162f8f12f37.pdf" TargetMode="External"/><Relationship Id="rId50" Type="http://schemas.openxmlformats.org/officeDocument/2006/relationships/hyperlink" Target="https://www.districtcourts.govt.nz/all-judgments/pearce-v-bird-2022-nzfc-1042/" TargetMode="External"/><Relationship Id="rId55" Type="http://schemas.openxmlformats.org/officeDocument/2006/relationships/hyperlink" Target="https://ourauckland.aucklandcouncil.govt.nz/news/2022/01/auckland-council-extends-vaccine-pass-requirement/" TargetMode="External"/><Relationship Id="rId7" Type="http://schemas.openxmlformats.org/officeDocument/2006/relationships/hyperlink" Target="https://nzdsos.com/2021/06/14/open-letter-on-vaccinating-children/" TargetMode="External"/><Relationship Id="rId12" Type="http://schemas.openxmlformats.org/officeDocument/2006/relationships/hyperlink" Target="https://nzdsos.com/2021/05/25/2nd-letter-from-nzdsos-to-mcnz/" TargetMode="External"/><Relationship Id="rId17" Type="http://schemas.openxmlformats.org/officeDocument/2006/relationships/hyperlink" Target="https://nzdsos.com/2021/06/14/open-letter-on-vaccinating-children/" TargetMode="External"/><Relationship Id="rId25" Type="http://schemas.openxmlformats.org/officeDocument/2006/relationships/hyperlink" Target="https://www.medsafe.govt.nz/COVID-19/safety-report-42.asp" TargetMode="External"/><Relationship Id="rId33" Type="http://schemas.openxmlformats.org/officeDocument/2006/relationships/hyperlink" Target="https://nzdsos.com/2021/06/14/open-letter-on-vaccinating-children/" TargetMode="External"/><Relationship Id="rId38" Type="http://schemas.openxmlformats.org/officeDocument/2006/relationships/hyperlink" Target="https://www.medsafe.govt.nz/COVID-19/safety-report-42.asp" TargetMode="External"/><Relationship Id="rId46" Type="http://schemas.openxmlformats.org/officeDocument/2006/relationships/hyperlink" Target="https://nzdsos.com/2022/03/10/complaint-to-the-bsa/" TargetMode="External"/><Relationship Id="rId2" Type="http://schemas.openxmlformats.org/officeDocument/2006/relationships/hyperlink" Target="https://nzdsos.com/2021/10/17/open-letter-on-the-citizens-database-of-deaths/" TargetMode="External"/><Relationship Id="rId16" Type="http://schemas.openxmlformats.org/officeDocument/2006/relationships/hyperlink" Target="https://nzdsos.com/2021/03/04/letter-to-dr-murton-president-of-rnzcgp/" TargetMode="External"/><Relationship Id="rId20" Type="http://schemas.openxmlformats.org/officeDocument/2006/relationships/hyperlink" Target="https://nzdsos.com/2021/10/08/email-to-auditor-general-john-ryan/" TargetMode="External"/><Relationship Id="rId29" Type="http://schemas.openxmlformats.org/officeDocument/2006/relationships/hyperlink" Target="https://vaersanalysis.info/2022/04/15/vaers-summary-for-covid-19-vaccines-through-4-8-2022/" TargetMode="External"/><Relationship Id="rId41" Type="http://schemas.openxmlformats.org/officeDocument/2006/relationships/hyperlink" Target="https://docs.google.com/spreadsheets/d/1EXQRRGGzzcxqFL6txrXgGC_Xp7Gb0LbCE3LLyszFBAs/edit" TargetMode="External"/><Relationship Id="rId54" Type="http://schemas.openxmlformats.org/officeDocument/2006/relationships/hyperlink" Target="https://covid19.govt.nz/covid-19-vaccines/vaccine-passes-and-certificates/" TargetMode="External"/><Relationship Id="rId1" Type="http://schemas.openxmlformats.org/officeDocument/2006/relationships/hyperlink" Target="https://nzdsos.com/2021/06/14/open-letter-on-vaccinating-children/" TargetMode="External"/><Relationship Id="rId6" Type="http://schemas.openxmlformats.org/officeDocument/2006/relationships/hyperlink" Target="https://nzdsos.com/2021/10/17/open-letter-on-the-citizens-database-of-deaths/" TargetMode="External"/><Relationship Id="rId11" Type="http://schemas.openxmlformats.org/officeDocument/2006/relationships/hyperlink" Target="https://nzdsos.com/2021/10/17/open-letter-on-the-citizens-database-of-deaths/" TargetMode="External"/><Relationship Id="rId24" Type="http://schemas.openxmlformats.org/officeDocument/2006/relationships/hyperlink" Target="https://www.health.govt.nz/covid-19-novel-coronavirus/covid-19-vaccines/covid-19-vaccine-children-aged-5-11" TargetMode="External"/><Relationship Id="rId32" Type="http://schemas.openxmlformats.org/officeDocument/2006/relationships/hyperlink" Target="https://vaersanalysis.info/2022/04/15/vaers-summary-for-covid-19-vaccines-through-4-8-2022/" TargetMode="External"/><Relationship Id="rId37" Type="http://schemas.openxmlformats.org/officeDocument/2006/relationships/hyperlink" Target="https://www.rcpch.ac.uk/resources/covid-19-research-evidence-summaries" TargetMode="External"/><Relationship Id="rId40" Type="http://schemas.openxmlformats.org/officeDocument/2006/relationships/hyperlink" Target="https://nzdsos.com/2022/01/30/citizens-database/" TargetMode="External"/><Relationship Id="rId45" Type="http://schemas.openxmlformats.org/officeDocument/2006/relationships/hyperlink" Target="http://www.nzherald.co.nz" TargetMode="External"/><Relationship Id="rId53" Type="http://schemas.openxmlformats.org/officeDocument/2006/relationships/hyperlink" Target="https://arxiv.org/pdf/2201.08176v1.pdf" TargetMode="External"/><Relationship Id="rId5" Type="http://schemas.openxmlformats.org/officeDocument/2006/relationships/hyperlink" Target="https://nzdsos.com/2021/12/10/3rd-letter-alerting-the-authorities-to-c-19-injection-death-with-updated-database/" TargetMode="External"/><Relationship Id="rId15" Type="http://schemas.openxmlformats.org/officeDocument/2006/relationships/hyperlink" Target="https://nzdsos.com/2021/06/21/reply-from-medsafe-2/" TargetMode="External"/><Relationship Id="rId23" Type="http://schemas.openxmlformats.org/officeDocument/2006/relationships/hyperlink" Target="https://www.health.govt.nz/covid-19-novel-coronavirus/covid-19-vaccines/covid-19-vaccine-children-aged-5-11" TargetMode="External"/><Relationship Id="rId28" Type="http://schemas.openxmlformats.org/officeDocument/2006/relationships/hyperlink" Target="https://vaers.hhs.gov/data/datasets.html" TargetMode="External"/><Relationship Id="rId36" Type="http://schemas.openxmlformats.org/officeDocument/2006/relationships/hyperlink" Target="https://www.gov.uk/government/publications/covid-19-the-green-book-chapter-14a" TargetMode="External"/><Relationship Id="rId49" Type="http://schemas.openxmlformats.org/officeDocument/2006/relationships/hyperlink" Target="https://caldronpool.com/jacinda-ardern-we-will-continue-to-be-your-single-source-of-truth/" TargetMode="External"/><Relationship Id="rId10" Type="http://schemas.openxmlformats.org/officeDocument/2006/relationships/hyperlink" Target="https://nzdsos.com/2021/12/10/3rd-letter-alerting-the-authorities-to-c-19-injection-death-with-updated-database/" TargetMode="External"/><Relationship Id="rId19" Type="http://schemas.openxmlformats.org/officeDocument/2006/relationships/hyperlink" Target="https://nzdsos.com/2021/06/28/email-to-mps-call-to-action/" TargetMode="External"/><Relationship Id="rId31" Type="http://schemas.openxmlformats.org/officeDocument/2006/relationships/hyperlink" Target="https://vaers.hhs.gov/data/datasets.html" TargetMode="External"/><Relationship Id="rId44" Type="http://schemas.openxmlformats.org/officeDocument/2006/relationships/hyperlink" Target="http://www.rnz.co.nz" TargetMode="External"/><Relationship Id="rId52" Type="http://schemas.openxmlformats.org/officeDocument/2006/relationships/hyperlink" Target="https://www.rnz.co.nz/news/national/438634/family-court-dismisses-father-s-battle-against-vaccinations-for-4yo-child" TargetMode="External"/><Relationship Id="rId4" Type="http://schemas.openxmlformats.org/officeDocument/2006/relationships/hyperlink" Target="https://nzdsos.com/2021/08/24/reply-to-human-rights-commissioner/" TargetMode="External"/><Relationship Id="rId9" Type="http://schemas.openxmlformats.org/officeDocument/2006/relationships/hyperlink" Target="https://nzdsos.com/2021/09/01/reply-to-ombudsman/" TargetMode="External"/><Relationship Id="rId14" Type="http://schemas.openxmlformats.org/officeDocument/2006/relationships/hyperlink" Target="https://nzdsos.com/2021/10/17/open-letter-on-the-citizens-database-of-deaths/" TargetMode="External"/><Relationship Id="rId22" Type="http://schemas.openxmlformats.org/officeDocument/2006/relationships/hyperlink" Target="https://www2.ohchr.org/english/bodies/crc/docs/CRC.C.GC.16.pdf" TargetMode="External"/><Relationship Id="rId27" Type="http://schemas.openxmlformats.org/officeDocument/2006/relationships/hyperlink" Target="https://docs.google.com/spreadsheets/d/1EXQRRGGzzcxqFL6txrXgGC_Xp7Gb0LbCE3LLyszFBAs/edit" TargetMode="External"/><Relationship Id="rId30" Type="http://schemas.openxmlformats.org/officeDocument/2006/relationships/hyperlink" Target="https://vaersanalysis.info/2022/04/15/vaers-summary-for-covid-19-vaccines-through-4-8-2022/" TargetMode="External"/><Relationship Id="rId35" Type="http://schemas.openxmlformats.org/officeDocument/2006/relationships/hyperlink" Target="https://pubmed.ncbi.nlm.nih.gov/33289900/" TargetMode="External"/><Relationship Id="rId43" Type="http://schemas.openxmlformats.org/officeDocument/2006/relationships/hyperlink" Target="http://www.stuff.co.nz" TargetMode="External"/><Relationship Id="rId48" Type="http://schemas.openxmlformats.org/officeDocument/2006/relationships/hyperlink" Target="https://phmpt.org/wp-content/uploads/2021/11/5.3.6-postmarketing-experience.pdf" TargetMode="External"/><Relationship Id="rId56" Type="http://schemas.openxmlformats.org/officeDocument/2006/relationships/hyperlink" Target="https://covid19.govt.nz/covid-19-vaccines/vaccine-passes-and-certificates/" TargetMode="External"/><Relationship Id="rId8" Type="http://schemas.openxmlformats.org/officeDocument/2006/relationships/hyperlink" Target="https://nzdsos.com/2021/07/09/letter-to-ombudsman/" TargetMode="External"/><Relationship Id="rId51" Type="http://schemas.openxmlformats.org/officeDocument/2006/relationships/hyperlink" Target="https://www.nzherald.co.nz/nz/covid-19-father-banned-from-contact-with-kids-after-judge-orders-they-get-vaccinated/GIMRE2LTGVPGOIQADZH5NITVTA/" TargetMode="External"/><Relationship Id="rId3" Type="http://schemas.openxmlformats.org/officeDocument/2006/relationships/hyperlink" Target="https://nzdsos.com/2021/07/21/letter-to-nz-human-rights-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8B67A7-3ABA-4E3E-A716-EEBF7E0CED05}"/>
</file>

<file path=customXml/itemProps2.xml><?xml version="1.0" encoding="utf-8"?>
<ds:datastoreItem xmlns:ds="http://schemas.openxmlformats.org/officeDocument/2006/customXml" ds:itemID="{B35A613C-CAC7-4257-84CB-166D51221B2C}"/>
</file>

<file path=customXml/itemProps3.xml><?xml version="1.0" encoding="utf-8"?>
<ds:datastoreItem xmlns:ds="http://schemas.openxmlformats.org/officeDocument/2006/customXml" ds:itemID="{E76CD059-4D7B-466B-BF7E-5125F1882D1B}"/>
</file>

<file path=docProps/app.xml><?xml version="1.0" encoding="utf-8"?>
<Properties xmlns="http://schemas.openxmlformats.org/officeDocument/2006/extended-properties" xmlns:vt="http://schemas.openxmlformats.org/officeDocument/2006/docPropsVTypes">
  <Template>Normal.dotm</Template>
  <TotalTime>1</TotalTime>
  <Pages>3</Pages>
  <Words>14283</Words>
  <Characters>81416</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Matterhorn Ltd</Company>
  <LinksUpToDate>false</LinksUpToDate>
  <CharactersWithSpaces>95508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McCabe</dc:creator>
  <cp:keywords/>
  <dc:description/>
  <cp:lastModifiedBy>BOIT James</cp:lastModifiedBy>
  <cp:revision>2</cp:revision>
  <dcterms:created xsi:type="dcterms:W3CDTF">2022-08-05T09:55:00Z</dcterms:created>
  <dcterms:modified xsi:type="dcterms:W3CDTF">2022-08-05T09:55:00Z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