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FA74AC" w14:textId="77777777" w:rsidR="00B87878" w:rsidRDefault="00000000">
      <w:pPr>
        <w:spacing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Quito, Ecuador</w:t>
      </w:r>
    </w:p>
    <w:p w14:paraId="045AE06D" w14:textId="77777777" w:rsidR="00B87878" w:rsidRDefault="00B87878">
      <w:pPr>
        <w:spacing w:line="360" w:lineRule="auto"/>
        <w:rPr>
          <w:rFonts w:ascii="Times New Roman" w:eastAsia="Times New Roman" w:hAnsi="Times New Roman" w:cs="Times New Roman"/>
          <w:b/>
          <w:sz w:val="24"/>
          <w:szCs w:val="24"/>
        </w:rPr>
      </w:pPr>
    </w:p>
    <w:p w14:paraId="2D606554" w14:textId="77777777" w:rsidR="00B87878" w:rsidRDefault="00B87878">
      <w:pPr>
        <w:spacing w:line="360" w:lineRule="auto"/>
        <w:rPr>
          <w:rFonts w:ascii="Times New Roman" w:eastAsia="Times New Roman" w:hAnsi="Times New Roman" w:cs="Times New Roman"/>
          <w:b/>
          <w:sz w:val="24"/>
          <w:szCs w:val="24"/>
        </w:rPr>
      </w:pPr>
    </w:p>
    <w:p w14:paraId="661C160A"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Observatorio de Derechos y Justicia (ODJ) y Planned Parenthood Global, Inc. (PPG)</w:t>
      </w:r>
    </w:p>
    <w:p w14:paraId="5E866542"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64E776D5" w14:textId="77777777" w:rsidR="00B87878" w:rsidRDefault="00B87878">
      <w:pPr>
        <w:spacing w:line="360" w:lineRule="auto"/>
        <w:jc w:val="center"/>
        <w:rPr>
          <w:rFonts w:ascii="Times New Roman" w:eastAsia="Times New Roman" w:hAnsi="Times New Roman" w:cs="Times New Roman"/>
          <w:b/>
          <w:sz w:val="24"/>
          <w:szCs w:val="24"/>
        </w:rPr>
      </w:pPr>
    </w:p>
    <w:p w14:paraId="1EC6ABC3" w14:textId="77777777" w:rsidR="00B87878" w:rsidRDefault="00B87878">
      <w:pPr>
        <w:spacing w:line="360" w:lineRule="auto"/>
        <w:jc w:val="center"/>
        <w:rPr>
          <w:rFonts w:ascii="Times New Roman" w:eastAsia="Times New Roman" w:hAnsi="Times New Roman" w:cs="Times New Roman"/>
          <w:b/>
          <w:sz w:val="24"/>
          <w:szCs w:val="24"/>
        </w:rPr>
      </w:pPr>
    </w:p>
    <w:p w14:paraId="46B81E46"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F18902B" wp14:editId="0C5F7DAE">
            <wp:extent cx="3176588" cy="40216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176588" cy="402164"/>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466532F2" wp14:editId="33604EFC">
            <wp:extent cx="1519707" cy="52513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19707" cy="525134"/>
                    </a:xfrm>
                    <a:prstGeom prst="rect">
                      <a:avLst/>
                    </a:prstGeom>
                    <a:ln/>
                  </pic:spPr>
                </pic:pic>
              </a:graphicData>
            </a:graphic>
          </wp:inline>
        </w:drawing>
      </w:r>
    </w:p>
    <w:p w14:paraId="206E3361" w14:textId="77777777" w:rsidR="00B87878" w:rsidRDefault="00B87878">
      <w:pPr>
        <w:spacing w:line="360" w:lineRule="auto"/>
        <w:jc w:val="center"/>
        <w:rPr>
          <w:rFonts w:ascii="Times New Roman" w:eastAsia="Times New Roman" w:hAnsi="Times New Roman" w:cs="Times New Roman"/>
          <w:b/>
          <w:sz w:val="24"/>
          <w:szCs w:val="24"/>
        </w:rPr>
      </w:pPr>
    </w:p>
    <w:p w14:paraId="3EB5E2CF" w14:textId="77777777" w:rsidR="00B87878" w:rsidRDefault="00B87878">
      <w:pPr>
        <w:spacing w:line="360" w:lineRule="auto"/>
        <w:jc w:val="center"/>
        <w:rPr>
          <w:rFonts w:ascii="Times New Roman" w:eastAsia="Times New Roman" w:hAnsi="Times New Roman" w:cs="Times New Roman"/>
          <w:b/>
          <w:sz w:val="24"/>
          <w:szCs w:val="24"/>
        </w:rPr>
      </w:pPr>
    </w:p>
    <w:p w14:paraId="62CAFF7B" w14:textId="77777777" w:rsidR="00B87878" w:rsidRDefault="00B87878">
      <w:pPr>
        <w:spacing w:line="360" w:lineRule="auto"/>
        <w:rPr>
          <w:rFonts w:ascii="Times New Roman" w:eastAsia="Times New Roman" w:hAnsi="Times New Roman" w:cs="Times New Roman"/>
          <w:b/>
          <w:sz w:val="24"/>
          <w:szCs w:val="24"/>
        </w:rPr>
      </w:pPr>
    </w:p>
    <w:p w14:paraId="20B7FB2F" w14:textId="77777777" w:rsidR="00B87878" w:rsidRDefault="00B87878">
      <w:pPr>
        <w:spacing w:line="360" w:lineRule="auto"/>
        <w:rPr>
          <w:rFonts w:ascii="Times New Roman" w:eastAsia="Times New Roman" w:hAnsi="Times New Roman" w:cs="Times New Roman"/>
          <w:b/>
          <w:sz w:val="24"/>
          <w:szCs w:val="24"/>
        </w:rPr>
      </w:pPr>
    </w:p>
    <w:p w14:paraId="4D2C0A52" w14:textId="77777777" w:rsidR="00B87878" w:rsidRDefault="00B87878">
      <w:pPr>
        <w:spacing w:line="360" w:lineRule="auto"/>
        <w:jc w:val="center"/>
        <w:rPr>
          <w:rFonts w:ascii="Times New Roman" w:eastAsia="Times New Roman" w:hAnsi="Times New Roman" w:cs="Times New Roman"/>
          <w:b/>
          <w:sz w:val="24"/>
          <w:szCs w:val="24"/>
        </w:rPr>
      </w:pPr>
    </w:p>
    <w:p w14:paraId="2D94DA3C"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respuesta al llamado a presentar </w:t>
      </w:r>
      <w:r>
        <w:rPr>
          <w:rFonts w:ascii="Times New Roman" w:eastAsia="Times New Roman" w:hAnsi="Times New Roman" w:cs="Times New Roman"/>
          <w:b/>
          <w:sz w:val="24"/>
          <w:szCs w:val="24"/>
        </w:rPr>
        <w:t>información escrita para el examen del informe del Estado de Ecuador por el Comité de Derechos Humanos,</w:t>
      </w:r>
      <w:r>
        <w:rPr>
          <w:rFonts w:ascii="Times New Roman" w:eastAsia="Times New Roman" w:hAnsi="Times New Roman" w:cs="Times New Roman"/>
          <w:sz w:val="24"/>
          <w:szCs w:val="24"/>
        </w:rPr>
        <w:t xml:space="preserve"> de cara al periodo 142 de sesiones (14 Oct 2024 - 07 Nov 2024). </w:t>
      </w:r>
    </w:p>
    <w:p w14:paraId="4284FF98" w14:textId="77777777" w:rsidR="00B87878" w:rsidRDefault="00B87878">
      <w:pPr>
        <w:spacing w:line="360" w:lineRule="auto"/>
        <w:jc w:val="center"/>
        <w:rPr>
          <w:rFonts w:ascii="Times New Roman" w:eastAsia="Times New Roman" w:hAnsi="Times New Roman" w:cs="Times New Roman"/>
          <w:sz w:val="24"/>
          <w:szCs w:val="24"/>
        </w:rPr>
      </w:pPr>
    </w:p>
    <w:p w14:paraId="034E5538" w14:textId="77777777" w:rsidR="00B87878" w:rsidRDefault="00B87878">
      <w:pPr>
        <w:spacing w:line="360" w:lineRule="auto"/>
        <w:jc w:val="center"/>
        <w:rPr>
          <w:rFonts w:ascii="Times New Roman" w:eastAsia="Times New Roman" w:hAnsi="Times New Roman" w:cs="Times New Roman"/>
          <w:sz w:val="24"/>
          <w:szCs w:val="24"/>
        </w:rPr>
      </w:pPr>
    </w:p>
    <w:p w14:paraId="6F280781" w14:textId="77777777" w:rsidR="00B87878" w:rsidRDefault="00B87878">
      <w:pPr>
        <w:spacing w:line="360" w:lineRule="auto"/>
        <w:jc w:val="center"/>
        <w:rPr>
          <w:rFonts w:ascii="Times New Roman" w:eastAsia="Times New Roman" w:hAnsi="Times New Roman" w:cs="Times New Roman"/>
          <w:sz w:val="24"/>
          <w:szCs w:val="24"/>
        </w:rPr>
      </w:pPr>
    </w:p>
    <w:p w14:paraId="6DB4C89D" w14:textId="77777777" w:rsidR="00B87878" w:rsidRDefault="00B87878">
      <w:pPr>
        <w:spacing w:line="360" w:lineRule="auto"/>
        <w:jc w:val="center"/>
        <w:rPr>
          <w:rFonts w:ascii="Times New Roman" w:eastAsia="Times New Roman" w:hAnsi="Times New Roman" w:cs="Times New Roman"/>
          <w:sz w:val="24"/>
          <w:szCs w:val="24"/>
        </w:rPr>
      </w:pPr>
    </w:p>
    <w:p w14:paraId="4B811D67" w14:textId="77777777" w:rsidR="00B87878" w:rsidRDefault="00B87878">
      <w:pPr>
        <w:spacing w:line="360" w:lineRule="auto"/>
        <w:jc w:val="center"/>
        <w:rPr>
          <w:rFonts w:ascii="Times New Roman" w:eastAsia="Times New Roman" w:hAnsi="Times New Roman" w:cs="Times New Roman"/>
          <w:sz w:val="24"/>
          <w:szCs w:val="24"/>
        </w:rPr>
      </w:pPr>
    </w:p>
    <w:p w14:paraId="3351E7B0" w14:textId="77777777" w:rsidR="00B87878" w:rsidRDefault="00B87878">
      <w:pPr>
        <w:spacing w:line="360" w:lineRule="auto"/>
        <w:jc w:val="center"/>
        <w:rPr>
          <w:rFonts w:ascii="Times New Roman" w:eastAsia="Times New Roman" w:hAnsi="Times New Roman" w:cs="Times New Roman"/>
          <w:sz w:val="24"/>
          <w:szCs w:val="24"/>
        </w:rPr>
      </w:pPr>
    </w:p>
    <w:p w14:paraId="68321AA9" w14:textId="77777777" w:rsidR="00B87878" w:rsidRDefault="00B87878">
      <w:pPr>
        <w:spacing w:line="360" w:lineRule="auto"/>
        <w:jc w:val="center"/>
        <w:rPr>
          <w:rFonts w:ascii="Times New Roman" w:eastAsia="Times New Roman" w:hAnsi="Times New Roman" w:cs="Times New Roman"/>
          <w:sz w:val="24"/>
          <w:szCs w:val="24"/>
        </w:rPr>
      </w:pPr>
    </w:p>
    <w:p w14:paraId="6535A96C" w14:textId="77777777" w:rsidR="00B87878" w:rsidRDefault="00B87878">
      <w:pPr>
        <w:spacing w:line="360" w:lineRule="auto"/>
        <w:jc w:val="center"/>
        <w:rPr>
          <w:rFonts w:ascii="Times New Roman" w:eastAsia="Times New Roman" w:hAnsi="Times New Roman" w:cs="Times New Roman"/>
          <w:sz w:val="24"/>
          <w:szCs w:val="24"/>
        </w:rPr>
      </w:pPr>
    </w:p>
    <w:p w14:paraId="56B180E1" w14:textId="77777777" w:rsidR="00B87878" w:rsidRDefault="00B87878">
      <w:pPr>
        <w:spacing w:line="360" w:lineRule="auto"/>
        <w:jc w:val="center"/>
        <w:rPr>
          <w:rFonts w:ascii="Times New Roman" w:eastAsia="Times New Roman" w:hAnsi="Times New Roman" w:cs="Times New Roman"/>
          <w:sz w:val="24"/>
          <w:szCs w:val="24"/>
        </w:rPr>
      </w:pPr>
    </w:p>
    <w:p w14:paraId="72AA201C" w14:textId="77777777" w:rsidR="00B87878" w:rsidRDefault="00B87878">
      <w:pPr>
        <w:spacing w:line="360" w:lineRule="auto"/>
        <w:jc w:val="center"/>
        <w:rPr>
          <w:rFonts w:ascii="Times New Roman" w:eastAsia="Times New Roman" w:hAnsi="Times New Roman" w:cs="Times New Roman"/>
          <w:sz w:val="24"/>
          <w:szCs w:val="24"/>
        </w:rPr>
      </w:pPr>
    </w:p>
    <w:p w14:paraId="039ED35A" w14:textId="77777777" w:rsidR="00B87878" w:rsidRDefault="00B87878">
      <w:pPr>
        <w:spacing w:line="360" w:lineRule="auto"/>
        <w:jc w:val="center"/>
        <w:rPr>
          <w:rFonts w:ascii="Times New Roman" w:eastAsia="Times New Roman" w:hAnsi="Times New Roman" w:cs="Times New Roman"/>
          <w:sz w:val="24"/>
          <w:szCs w:val="24"/>
        </w:rPr>
      </w:pPr>
    </w:p>
    <w:p w14:paraId="7F1EDCDD" w14:textId="77777777" w:rsidR="00B87878" w:rsidRDefault="00B87878">
      <w:pPr>
        <w:spacing w:line="360" w:lineRule="auto"/>
        <w:rPr>
          <w:rFonts w:ascii="Times New Roman" w:eastAsia="Times New Roman" w:hAnsi="Times New Roman" w:cs="Times New Roman"/>
          <w:sz w:val="24"/>
          <w:szCs w:val="24"/>
        </w:rPr>
      </w:pPr>
    </w:p>
    <w:p w14:paraId="5E0BFAD3"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16 de septiembre de 2024</w:t>
      </w:r>
    </w:p>
    <w:p w14:paraId="0CA26A44" w14:textId="77777777" w:rsidR="00B87878" w:rsidRDefault="00B87878">
      <w:pPr>
        <w:spacing w:line="360" w:lineRule="auto"/>
        <w:jc w:val="both"/>
        <w:rPr>
          <w:rFonts w:ascii="Times New Roman" w:eastAsia="Times New Roman" w:hAnsi="Times New Roman" w:cs="Times New Roman"/>
          <w:sz w:val="24"/>
          <w:szCs w:val="24"/>
        </w:rPr>
      </w:pPr>
    </w:p>
    <w:p w14:paraId="4DD35E9C" w14:textId="77777777" w:rsidR="00B87878" w:rsidRDefault="00B87878">
      <w:pPr>
        <w:spacing w:line="360" w:lineRule="auto"/>
        <w:jc w:val="both"/>
        <w:rPr>
          <w:rFonts w:ascii="Times New Roman" w:eastAsia="Times New Roman" w:hAnsi="Times New Roman" w:cs="Times New Roman"/>
          <w:sz w:val="24"/>
          <w:szCs w:val="24"/>
        </w:rPr>
      </w:pPr>
    </w:p>
    <w:p w14:paraId="40E17172" w14:textId="77777777" w:rsidR="00B87878" w:rsidRDefault="00B87878">
      <w:pPr>
        <w:spacing w:after="200" w:line="360" w:lineRule="auto"/>
        <w:jc w:val="both"/>
        <w:rPr>
          <w:rFonts w:ascii="Times New Roman" w:eastAsia="Times New Roman" w:hAnsi="Times New Roman" w:cs="Times New Roman"/>
          <w:sz w:val="24"/>
          <w:szCs w:val="24"/>
        </w:rPr>
      </w:pPr>
    </w:p>
    <w:p w14:paraId="23C9F609"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El Observatorio de Derechos y Justicia (ODJ), organización de sociedad civil ecuatoriana creada en 2014, que trabaja en la promoción y protección de derechos humanos con enfoque de género y garantía de acceso a justicia y Planned Parenthood Global, INC (PPG), organización que trabaja a nivel mundial para superar las barreras en el acceso a servicios de salud sexual y reproductiva y para que las personas pueden decidir sobre sus cuerpos y futuros.</w:t>
      </w:r>
    </w:p>
    <w:p w14:paraId="15F08606" w14:textId="77777777" w:rsidR="00B87878" w:rsidRDefault="00000000">
      <w:pPr>
        <w:pStyle w:val="Ttulo"/>
        <w:numPr>
          <w:ilvl w:val="0"/>
          <w:numId w:val="5"/>
        </w:numPr>
        <w:spacing w:after="200" w:line="360" w:lineRule="auto"/>
        <w:jc w:val="both"/>
        <w:rPr>
          <w:rFonts w:ascii="Times New Roman" w:eastAsia="Times New Roman" w:hAnsi="Times New Roman" w:cs="Times New Roman"/>
          <w:b/>
          <w:sz w:val="24"/>
          <w:szCs w:val="24"/>
        </w:rPr>
      </w:pPr>
      <w:bookmarkStart w:id="0" w:name="_qf101hartqia" w:colFirst="0" w:colLast="0"/>
      <w:bookmarkEnd w:id="0"/>
      <w:r>
        <w:rPr>
          <w:rFonts w:ascii="Times New Roman" w:eastAsia="Times New Roman" w:hAnsi="Times New Roman" w:cs="Times New Roman"/>
          <w:b/>
          <w:sz w:val="24"/>
          <w:szCs w:val="24"/>
        </w:rPr>
        <w:t>SUMMARY:</w:t>
      </w:r>
    </w:p>
    <w:p w14:paraId="475243FC" w14:textId="77777777" w:rsidR="00B87878" w:rsidRPr="00F10B9D" w:rsidRDefault="00000000">
      <w:pPr>
        <w:spacing w:after="200" w:line="360" w:lineRule="auto"/>
        <w:ind w:left="425"/>
        <w:jc w:val="both"/>
        <w:rPr>
          <w:rFonts w:ascii="Times New Roman" w:eastAsia="Times New Roman" w:hAnsi="Times New Roman" w:cs="Times New Roman"/>
          <w:sz w:val="24"/>
          <w:szCs w:val="24"/>
          <w:lang w:val="en-GB"/>
        </w:rPr>
      </w:pPr>
      <w:r w:rsidRPr="00F10B9D">
        <w:rPr>
          <w:rFonts w:ascii="Times New Roman" w:eastAsia="Times New Roman" w:hAnsi="Times New Roman" w:cs="Times New Roman"/>
          <w:sz w:val="24"/>
          <w:szCs w:val="24"/>
          <w:lang w:val="en-GB"/>
        </w:rPr>
        <w:t xml:space="preserve">In response to the information provided by Ecuador, we approach this Committee to report on the situation regarding voluntary termination of pregnancy in cases of rape </w:t>
      </w:r>
      <w:proofErr w:type="gramStart"/>
      <w:r w:rsidRPr="00F10B9D">
        <w:rPr>
          <w:rFonts w:ascii="Times New Roman" w:eastAsia="Times New Roman" w:hAnsi="Times New Roman" w:cs="Times New Roman"/>
          <w:sz w:val="24"/>
          <w:szCs w:val="24"/>
          <w:lang w:val="en-GB"/>
        </w:rPr>
        <w:t>after  the</w:t>
      </w:r>
      <w:proofErr w:type="gramEnd"/>
      <w:r w:rsidRPr="00F10B9D">
        <w:rPr>
          <w:rFonts w:ascii="Times New Roman" w:eastAsia="Times New Roman" w:hAnsi="Times New Roman" w:cs="Times New Roman"/>
          <w:sz w:val="24"/>
          <w:szCs w:val="24"/>
          <w:lang w:val="en-GB"/>
        </w:rPr>
        <w:t xml:space="preserve"> Constitutional Court’s (CCE or Court) ruling of 2021, and the implementation of the Organic Law that Regulates the Voluntary Termination of Pregnancy in Cases of Rape (LORIVE). </w:t>
      </w:r>
    </w:p>
    <w:p w14:paraId="3A06F00A" w14:textId="77777777" w:rsidR="00B87878" w:rsidRPr="00F10B9D" w:rsidRDefault="00000000">
      <w:pPr>
        <w:spacing w:after="200" w:line="360" w:lineRule="auto"/>
        <w:ind w:left="425"/>
        <w:jc w:val="both"/>
        <w:rPr>
          <w:rFonts w:ascii="Times New Roman" w:eastAsia="Times New Roman" w:hAnsi="Times New Roman" w:cs="Times New Roman"/>
          <w:sz w:val="24"/>
          <w:szCs w:val="24"/>
          <w:lang w:val="en-GB"/>
        </w:rPr>
      </w:pPr>
      <w:r w:rsidRPr="00F10B9D">
        <w:rPr>
          <w:rFonts w:ascii="Times New Roman" w:eastAsia="Times New Roman" w:hAnsi="Times New Roman" w:cs="Times New Roman"/>
          <w:sz w:val="24"/>
          <w:szCs w:val="24"/>
          <w:lang w:val="en-GB"/>
        </w:rPr>
        <w:t>On the other hand, we present the current legal context and stigma related to abortion in the country, followed by a legal analysis of the LORIVE, its legislative process, the presidential objection by then-President Guillermo Lasso that marks the law with fundamental issues of unconstitutionality associated with the veto.</w:t>
      </w:r>
    </w:p>
    <w:p w14:paraId="37339323" w14:textId="77777777" w:rsidR="00B87878" w:rsidRPr="00F10B9D" w:rsidRDefault="00000000">
      <w:pPr>
        <w:spacing w:after="200" w:line="360" w:lineRule="auto"/>
        <w:ind w:left="425"/>
        <w:jc w:val="both"/>
        <w:rPr>
          <w:rFonts w:ascii="Times New Roman" w:eastAsia="Times New Roman" w:hAnsi="Times New Roman" w:cs="Times New Roman"/>
          <w:sz w:val="24"/>
          <w:szCs w:val="24"/>
          <w:lang w:val="en-GB"/>
        </w:rPr>
      </w:pPr>
      <w:r w:rsidRPr="00F10B9D">
        <w:rPr>
          <w:rFonts w:ascii="Times New Roman" w:eastAsia="Times New Roman" w:hAnsi="Times New Roman" w:cs="Times New Roman"/>
          <w:sz w:val="24"/>
          <w:szCs w:val="24"/>
          <w:lang w:val="en-GB"/>
        </w:rPr>
        <w:t xml:space="preserve">This marks a primary issue on the legal framework of the LORIVE, including its objectives, scope, and principles. </w:t>
      </w:r>
    </w:p>
    <w:p w14:paraId="50A087F2" w14:textId="77777777" w:rsidR="00B87878" w:rsidRPr="00F10B9D" w:rsidRDefault="00000000">
      <w:pPr>
        <w:spacing w:after="200" w:line="360" w:lineRule="auto"/>
        <w:ind w:left="425"/>
        <w:jc w:val="both"/>
        <w:rPr>
          <w:rFonts w:ascii="Times New Roman" w:eastAsia="Times New Roman" w:hAnsi="Times New Roman" w:cs="Times New Roman"/>
          <w:sz w:val="24"/>
          <w:szCs w:val="24"/>
          <w:lang w:val="en-GB"/>
        </w:rPr>
      </w:pPr>
      <w:r w:rsidRPr="00F10B9D">
        <w:rPr>
          <w:rFonts w:ascii="Times New Roman" w:eastAsia="Times New Roman" w:hAnsi="Times New Roman" w:cs="Times New Roman"/>
          <w:sz w:val="24"/>
          <w:szCs w:val="24"/>
          <w:lang w:val="en-GB"/>
        </w:rPr>
        <w:t xml:space="preserve">The </w:t>
      </w:r>
      <w:proofErr w:type="gramStart"/>
      <w:r w:rsidRPr="00F10B9D">
        <w:rPr>
          <w:rFonts w:ascii="Times New Roman" w:eastAsia="Times New Roman" w:hAnsi="Times New Roman" w:cs="Times New Roman"/>
          <w:sz w:val="24"/>
          <w:szCs w:val="24"/>
          <w:lang w:val="en-GB"/>
        </w:rPr>
        <w:t>report  highlights</w:t>
      </w:r>
      <w:proofErr w:type="gramEnd"/>
      <w:r w:rsidRPr="00F10B9D">
        <w:rPr>
          <w:rFonts w:ascii="Times New Roman" w:eastAsia="Times New Roman" w:hAnsi="Times New Roman" w:cs="Times New Roman"/>
          <w:sz w:val="24"/>
          <w:szCs w:val="24"/>
          <w:lang w:val="en-GB"/>
        </w:rPr>
        <w:t xml:space="preserve"> how the LORIVE’s provisions are revictimizing and contradictory to the language and essence of the CCE’s ruling, leading the feminist movement to return to the Court and claim now the unconstitutionality of the law. </w:t>
      </w:r>
    </w:p>
    <w:p w14:paraId="398C2DC6" w14:textId="77777777" w:rsidR="00B87878" w:rsidRPr="00F10B9D" w:rsidRDefault="00000000">
      <w:pPr>
        <w:spacing w:after="200" w:line="360" w:lineRule="auto"/>
        <w:ind w:left="425"/>
        <w:jc w:val="both"/>
        <w:rPr>
          <w:rFonts w:ascii="Times New Roman" w:eastAsia="Times New Roman" w:hAnsi="Times New Roman" w:cs="Times New Roman"/>
          <w:sz w:val="24"/>
          <w:szCs w:val="24"/>
          <w:lang w:val="en-GB"/>
        </w:rPr>
      </w:pPr>
      <w:r w:rsidRPr="00F10B9D">
        <w:rPr>
          <w:rFonts w:ascii="Times New Roman" w:eastAsia="Times New Roman" w:hAnsi="Times New Roman" w:cs="Times New Roman"/>
          <w:sz w:val="24"/>
          <w:szCs w:val="24"/>
          <w:lang w:val="en-GB"/>
        </w:rPr>
        <w:t>In its second part, the report provides data from three public institutions: the Constitutional Court, on the challenges to the LORIVE through Public Actions of Unconstitutionality; the Attorney General’s Office, on reports and cases of sexual violence and abortions conducted before and after the constitutional ruling; and the Ministry of Public Health, on the number of abortions performed, similarly before and after the constitutional ruling.</w:t>
      </w:r>
    </w:p>
    <w:p w14:paraId="51C4DD1F" w14:textId="77777777" w:rsidR="00B87878" w:rsidRPr="00F10B9D" w:rsidRDefault="00000000">
      <w:pPr>
        <w:spacing w:after="200" w:line="360" w:lineRule="auto"/>
        <w:ind w:left="425"/>
        <w:jc w:val="both"/>
        <w:rPr>
          <w:rFonts w:ascii="Times New Roman" w:eastAsia="Times New Roman" w:hAnsi="Times New Roman" w:cs="Times New Roman"/>
          <w:sz w:val="24"/>
          <w:szCs w:val="24"/>
          <w:lang w:val="en-GB"/>
        </w:rPr>
      </w:pPr>
      <w:r w:rsidRPr="00F10B9D">
        <w:rPr>
          <w:rFonts w:ascii="Times New Roman" w:eastAsia="Times New Roman" w:hAnsi="Times New Roman" w:cs="Times New Roman"/>
          <w:sz w:val="24"/>
          <w:szCs w:val="24"/>
          <w:lang w:val="en-GB"/>
        </w:rPr>
        <w:t xml:space="preserve">Through this document, we request the CCPR, based on the powers granted by Article 40 of the International Covenant on Civil and Political Rights (PIDCP or </w:t>
      </w:r>
      <w:proofErr w:type="spellStart"/>
      <w:r w:rsidRPr="00F10B9D">
        <w:rPr>
          <w:rFonts w:ascii="Times New Roman" w:eastAsia="Times New Roman" w:hAnsi="Times New Roman" w:cs="Times New Roman"/>
          <w:sz w:val="24"/>
          <w:szCs w:val="24"/>
          <w:lang w:val="en-GB"/>
        </w:rPr>
        <w:t>Pacto</w:t>
      </w:r>
      <w:proofErr w:type="spellEnd"/>
      <w:r w:rsidRPr="00F10B9D">
        <w:rPr>
          <w:rFonts w:ascii="Times New Roman" w:eastAsia="Times New Roman" w:hAnsi="Times New Roman" w:cs="Times New Roman"/>
          <w:sz w:val="24"/>
          <w:szCs w:val="24"/>
          <w:lang w:val="en-GB"/>
        </w:rPr>
        <w:t xml:space="preserve">) in accordance with Article 63 of the Rules of Procedure, to take into account the information presented in order to issue its recommendations and request the Republic of Ecuador for information </w:t>
      </w:r>
      <w:r w:rsidRPr="00F10B9D">
        <w:rPr>
          <w:rFonts w:ascii="Times New Roman" w:eastAsia="Times New Roman" w:hAnsi="Times New Roman" w:cs="Times New Roman"/>
          <w:sz w:val="24"/>
          <w:szCs w:val="24"/>
          <w:lang w:val="en-GB"/>
        </w:rPr>
        <w:lastRenderedPageBreak/>
        <w:t>in this regard, in view of the 140th session of this Committee, to be held from October 29 and 30th, 2024.</w:t>
      </w:r>
    </w:p>
    <w:p w14:paraId="0863C016" w14:textId="77777777" w:rsidR="00B87878" w:rsidRDefault="00000000">
      <w:pPr>
        <w:pStyle w:val="Ttulo"/>
        <w:numPr>
          <w:ilvl w:val="0"/>
          <w:numId w:val="5"/>
        </w:numPr>
        <w:spacing w:after="200" w:line="360" w:lineRule="auto"/>
        <w:jc w:val="both"/>
        <w:rPr>
          <w:rFonts w:ascii="Times New Roman" w:eastAsia="Times New Roman" w:hAnsi="Times New Roman" w:cs="Times New Roman"/>
          <w:b/>
          <w:sz w:val="24"/>
          <w:szCs w:val="24"/>
        </w:rPr>
      </w:pPr>
      <w:bookmarkStart w:id="1" w:name="_4yzppx4phtq" w:colFirst="0" w:colLast="0"/>
      <w:bookmarkEnd w:id="1"/>
      <w:r>
        <w:rPr>
          <w:rFonts w:ascii="Times New Roman" w:eastAsia="Times New Roman" w:hAnsi="Times New Roman" w:cs="Times New Roman"/>
          <w:b/>
          <w:sz w:val="24"/>
          <w:szCs w:val="24"/>
        </w:rPr>
        <w:t>ANTECEDENTES:</w:t>
      </w:r>
    </w:p>
    <w:p w14:paraId="75CCCCF4" w14:textId="77777777" w:rsidR="00B87878" w:rsidRDefault="00000000">
      <w:pPr>
        <w:spacing w:after="200" w:line="360" w:lineRule="auto"/>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presente informe hace una radiografía jurídica que busca poner en conocimiento de este Comité de Derechos Humanos (en adelante CCPR o Comité) el incumplimiento parcial del Estado ecuatoriano a las recomendaciones hechas sobre sexto informe periódico del Ecuador (CCPR/C/ECU/6) en sus sesiones 3277ª y 3278ª (CCPR/C/SR.3277 y 3278), celebradas los días 27 y 28 de junio de 2016.</w:t>
      </w:r>
    </w:p>
    <w:p w14:paraId="4CDF98FD" w14:textId="77777777" w:rsidR="00B87878" w:rsidRDefault="00000000">
      <w:pPr>
        <w:spacing w:after="200" w:line="360" w:lineRule="auto"/>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sus recomendaciones, este Comité observó con preocupación las barreras legales que presenta el Código Orgánico Integral Penal ecuatoriano para acceder a la interrupción voluntaria del embarazo, aún se cumpla con las causales de excepción, al ser estas en extremo restrictivas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Así, recomienda al Estado “introducir excepciones adicionales a la interrupción voluntaria del embarazo, incluyendo cuando el embarazo sea consecuencia de un incesto o una violación, aun cuando la mujer no padezca discapacidad mental, y en caso de discapacidad fatal del feto, y asegurar que las barreras legales no lleven a las mujeres a recurrir a abortos inseguros que puedan poner en peligro su vida y su salud”</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w:t>
      </w:r>
    </w:p>
    <w:p w14:paraId="38FCEE90" w14:textId="77777777" w:rsidR="00B87878" w:rsidRDefault="00000000">
      <w:pPr>
        <w:spacing w:after="200" w:line="360" w:lineRule="auto"/>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seguimiento a dichas observaciones finales, el Comité emitió una lista de cuestiones previas a la presentación del informe periódico del Ecuador (CCPR/C/ECU/QPR/7), requiriendo la presentación de información sobre el estado de la sentencia constitucional 34-19-IN/21 y datos estadísticos sobre las prácticas de aborto en el periodo de examen</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w:t>
      </w:r>
    </w:p>
    <w:p w14:paraId="5A58DD2F" w14:textId="77777777" w:rsidR="00B87878" w:rsidRDefault="00000000">
      <w:pPr>
        <w:spacing w:after="200" w:line="360" w:lineRule="auto"/>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respuesta, el Ecuador informó a este Comité sobre el estado de la sentencia constitucional y su marco legal </w:t>
      </w:r>
      <w:proofErr w:type="gramStart"/>
      <w:r>
        <w:rPr>
          <w:rFonts w:ascii="Times New Roman" w:eastAsia="Times New Roman" w:hAnsi="Times New Roman" w:cs="Times New Roman"/>
          <w:sz w:val="24"/>
          <w:szCs w:val="24"/>
        </w:rPr>
        <w:t>fallido</w:t>
      </w:r>
      <w:proofErr w:type="gramEnd"/>
      <w:r>
        <w:rPr>
          <w:rFonts w:ascii="Times New Roman" w:eastAsia="Times New Roman" w:hAnsi="Times New Roman" w:cs="Times New Roman"/>
          <w:sz w:val="24"/>
          <w:szCs w:val="24"/>
        </w:rPr>
        <w:t xml:space="preserve"> así como contó con estadísticas sobre los casos de aborto legal </w:t>
      </w:r>
      <w:proofErr w:type="spellStart"/>
      <w:r>
        <w:rPr>
          <w:rFonts w:ascii="Times New Roman" w:eastAsia="Times New Roman" w:hAnsi="Times New Roman" w:cs="Times New Roman"/>
          <w:sz w:val="24"/>
          <w:szCs w:val="24"/>
        </w:rPr>
        <w:t>prácticados</w:t>
      </w:r>
      <w:proofErr w:type="spellEnd"/>
      <w:r>
        <w:rPr>
          <w:rFonts w:ascii="Times New Roman" w:eastAsia="Times New Roman" w:hAnsi="Times New Roman" w:cs="Times New Roman"/>
          <w:sz w:val="24"/>
          <w:szCs w:val="24"/>
        </w:rPr>
        <w:t xml:space="preserve"> en los periodos 2019 a 2021</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1E2A29DF" w14:textId="77777777" w:rsidR="00B87878" w:rsidRDefault="00000000">
      <w:pPr>
        <w:pStyle w:val="Ttulo"/>
        <w:numPr>
          <w:ilvl w:val="0"/>
          <w:numId w:val="5"/>
        </w:numPr>
        <w:spacing w:after="200" w:line="360" w:lineRule="auto"/>
        <w:rPr>
          <w:rFonts w:ascii="Times New Roman" w:eastAsia="Times New Roman" w:hAnsi="Times New Roman" w:cs="Times New Roman"/>
          <w:b/>
          <w:sz w:val="24"/>
          <w:szCs w:val="24"/>
        </w:rPr>
      </w:pPr>
      <w:bookmarkStart w:id="2" w:name="_t1cbj565tuw" w:colFirst="0" w:colLast="0"/>
      <w:bookmarkEnd w:id="2"/>
      <w:r>
        <w:rPr>
          <w:rFonts w:ascii="Times New Roman" w:eastAsia="Times New Roman" w:hAnsi="Times New Roman" w:cs="Times New Roman"/>
          <w:b/>
          <w:sz w:val="24"/>
          <w:szCs w:val="24"/>
        </w:rPr>
        <w:lastRenderedPageBreak/>
        <w:t>CONTEXTO LEGAL Y ESTIGMA SOBRE EL ABORTO EN EL ECUADOR:</w:t>
      </w:r>
    </w:p>
    <w:p w14:paraId="529502AA" w14:textId="77777777" w:rsidR="00B87878" w:rsidRDefault="00000000">
      <w:pPr>
        <w:spacing w:before="240" w:after="24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Ecuador, las restricciones al aborto obligan a muchas niñas, mujeres y personas con capacidad de gestar a continuar con embarazos no deseados o a optar </w:t>
      </w:r>
      <w:proofErr w:type="gramStart"/>
      <w:r>
        <w:rPr>
          <w:rFonts w:ascii="Times New Roman" w:eastAsia="Times New Roman" w:hAnsi="Times New Roman" w:cs="Times New Roman"/>
          <w:sz w:val="24"/>
          <w:szCs w:val="24"/>
        </w:rPr>
        <w:t>por  abortos</w:t>
      </w:r>
      <w:proofErr w:type="gramEnd"/>
      <w:r>
        <w:rPr>
          <w:rFonts w:ascii="Times New Roman" w:eastAsia="Times New Roman" w:hAnsi="Times New Roman" w:cs="Times New Roman"/>
          <w:sz w:val="24"/>
          <w:szCs w:val="24"/>
        </w:rPr>
        <w:t xml:space="preserve"> inseguros que han causado muertes y daños irreparables. Esto se pone en evidencia cuando entre 2017 y 2021, el 15.6% de las muertes maternas se debieron a abortos peligrosos, según el Ministerio de Salud Pública.</w:t>
      </w:r>
      <w:r>
        <w:rPr>
          <w:rFonts w:ascii="Times New Roman" w:eastAsia="Times New Roman" w:hAnsi="Times New Roman" w:cs="Times New Roman"/>
          <w:sz w:val="24"/>
          <w:szCs w:val="24"/>
          <w:vertAlign w:val="superscript"/>
        </w:rPr>
        <w:footnoteReference w:id="5"/>
      </w:r>
    </w:p>
    <w:p w14:paraId="39940581" w14:textId="77777777" w:rsidR="00B87878" w:rsidRDefault="00000000">
      <w:pPr>
        <w:spacing w:before="240" w:after="24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delito de aborto en Ecuador existe en el ordenamiento jurídico ecuatoriano desde el Código Penal de 1872, un código que no reconocía la igualdad de derechos ni los compromisos internacionales en derechos humanos, manteniendo penas de privación de libertad para las mujeres que abortan y quienes las asisten.</w:t>
      </w:r>
    </w:p>
    <w:p w14:paraId="7EA40638" w14:textId="77777777" w:rsidR="00B87878" w:rsidRDefault="00000000">
      <w:pPr>
        <w:spacing w:before="240" w:after="24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tradición se mantiene en el actual COIP</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el cual, si bien ya cuenta con causas se exclusión de la punibilidad del aborto; como son el caso </w:t>
      </w:r>
      <w:proofErr w:type="gramStart"/>
      <w:r>
        <w:rPr>
          <w:rFonts w:ascii="Times New Roman" w:eastAsia="Times New Roman" w:hAnsi="Times New Roman" w:cs="Times New Roman"/>
          <w:sz w:val="24"/>
          <w:szCs w:val="24"/>
        </w:rPr>
        <w:t>de</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i/>
          <w:sz w:val="24"/>
          <w:szCs w:val="24"/>
        </w:rPr>
        <w:t>proteger</w:t>
      </w:r>
      <w:proofErr w:type="gramEnd"/>
      <w:r>
        <w:rPr>
          <w:rFonts w:ascii="Times New Roman" w:eastAsia="Times New Roman" w:hAnsi="Times New Roman" w:cs="Times New Roman"/>
          <w:i/>
          <w:sz w:val="24"/>
          <w:szCs w:val="24"/>
        </w:rPr>
        <w:t xml:space="preserve"> la vida o salud de la mujer embarazada y en casos de violación de una mujer que padezca una discapacidad mental. </w:t>
      </w:r>
      <w:r>
        <w:rPr>
          <w:rFonts w:ascii="Times New Roman" w:eastAsia="Times New Roman" w:hAnsi="Times New Roman" w:cs="Times New Roman"/>
          <w:sz w:val="24"/>
          <w:szCs w:val="24"/>
        </w:rPr>
        <w:t xml:space="preserve">Estas limitaciones restringían también el acceso al aborto para </w:t>
      </w:r>
      <w:proofErr w:type="gramStart"/>
      <w:r>
        <w:rPr>
          <w:rFonts w:ascii="Times New Roman" w:eastAsia="Times New Roman" w:hAnsi="Times New Roman" w:cs="Times New Roman"/>
          <w:sz w:val="24"/>
          <w:szCs w:val="24"/>
        </w:rPr>
        <w:t>toda mujeres</w:t>
      </w:r>
      <w:proofErr w:type="gramEnd"/>
      <w:r>
        <w:rPr>
          <w:rFonts w:ascii="Times New Roman" w:eastAsia="Times New Roman" w:hAnsi="Times New Roman" w:cs="Times New Roman"/>
          <w:sz w:val="24"/>
          <w:szCs w:val="24"/>
        </w:rPr>
        <w:t xml:space="preserve"> víctimas de violación.</w:t>
      </w:r>
    </w:p>
    <w:p w14:paraId="758F82CF" w14:textId="77777777" w:rsidR="00B87878" w:rsidRDefault="00000000">
      <w:pPr>
        <w:spacing w:before="240" w:after="24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así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en 2021, la sentencia 34-19-IN/21 de la CCE permitió que el aborto en cualquier caso de violación sea excluido de su punibilidad, independientemente que la víctima tuviera una “discapacidad mental” o no,</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avanzando hacia la flexibilización de las restricciones al aborto en el país.</w:t>
      </w:r>
    </w:p>
    <w:p w14:paraId="1D9A31C4" w14:textId="77777777" w:rsidR="00B87878" w:rsidRDefault="00000000">
      <w:pPr>
        <w:spacing w:before="240" w:after="24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la legalidad del aborto en casos de violación, existen desafíos significativos que limitan su acceso. Estos incluyen:</w:t>
      </w:r>
    </w:p>
    <w:p w14:paraId="3F73FBB4" w14:textId="77777777" w:rsidR="00B87878" w:rsidRDefault="00000000">
      <w:pPr>
        <w:numPr>
          <w:ilvl w:val="0"/>
          <w:numId w:val="8"/>
        </w:numPr>
        <w:spacing w:line="360" w:lineRule="auto"/>
        <w:ind w:left="141"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Obstáculos legales y falta de políticas públicas efectivas.</w:t>
      </w:r>
    </w:p>
    <w:p w14:paraId="5F8BF783" w14:textId="77777777" w:rsidR="00B87878" w:rsidRDefault="00000000">
      <w:pPr>
        <w:numPr>
          <w:ilvl w:val="0"/>
          <w:numId w:val="10"/>
        </w:numPr>
        <w:spacing w:line="360" w:lineRule="auto"/>
        <w:ind w:left="141"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necesidad de presentar una denuncia de violación para acceder al aborto</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17A3559A" w14:textId="77777777" w:rsidR="00B87878" w:rsidRDefault="00000000">
      <w:pPr>
        <w:numPr>
          <w:ilvl w:val="0"/>
          <w:numId w:val="10"/>
        </w:numPr>
        <w:spacing w:line="360" w:lineRule="auto"/>
        <w:ind w:left="141"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falta de colaboración interinstitucional entre las organizaciones estatales pertinentes, como lo es el Ministerio de Salud, </w:t>
      </w:r>
      <w:proofErr w:type="gramStart"/>
      <w:r>
        <w:rPr>
          <w:rFonts w:ascii="Times New Roman" w:eastAsia="Times New Roman" w:hAnsi="Times New Roman" w:cs="Times New Roman"/>
          <w:sz w:val="24"/>
          <w:szCs w:val="24"/>
        </w:rPr>
        <w:t>Fiscalía General</w:t>
      </w:r>
      <w:proofErr w:type="gramEnd"/>
      <w:r>
        <w:rPr>
          <w:rFonts w:ascii="Times New Roman" w:eastAsia="Times New Roman" w:hAnsi="Times New Roman" w:cs="Times New Roman"/>
          <w:sz w:val="24"/>
          <w:szCs w:val="24"/>
        </w:rPr>
        <w:t xml:space="preserve"> del Estado y Juntas Cantonales de Protección de Derechos.</w:t>
      </w:r>
    </w:p>
    <w:p w14:paraId="7017B5D5" w14:textId="77777777" w:rsidR="00B87878" w:rsidRDefault="00000000">
      <w:pPr>
        <w:numPr>
          <w:ilvl w:val="0"/>
          <w:numId w:val="10"/>
        </w:numPr>
        <w:spacing w:line="360" w:lineRule="auto"/>
        <w:ind w:left="141"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Carencia de información pública por parte del gobierno.</w:t>
      </w:r>
    </w:p>
    <w:p w14:paraId="58A791C1" w14:textId="77777777" w:rsidR="00B87878" w:rsidRDefault="00000000">
      <w:pPr>
        <w:numPr>
          <w:ilvl w:val="0"/>
          <w:numId w:val="10"/>
        </w:numPr>
        <w:spacing w:after="200" w:line="360" w:lineRule="auto"/>
        <w:ind w:left="141"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Objeción de conciencia médica, restringiendo la disponibilidad de servicios.</w:t>
      </w:r>
    </w:p>
    <w:p w14:paraId="2F8F902D"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Estos factores dificultan la toma de decisiones informadas y el ejercicio efectivo del derecho a la salud, a los derechos reproductivos y los servicios de interrupción del embarazo. </w:t>
      </w:r>
    </w:p>
    <w:p w14:paraId="319AD9E0" w14:textId="77777777" w:rsidR="00B87878" w:rsidRDefault="00000000">
      <w:pPr>
        <w:spacing w:after="200" w:line="360" w:lineRule="auto"/>
        <w:ind w:left="14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Además</w:t>
      </w:r>
      <w:proofErr w:type="gramEnd"/>
      <w:r>
        <w:rPr>
          <w:rFonts w:ascii="Times New Roman" w:eastAsia="Times New Roman" w:hAnsi="Times New Roman" w:cs="Times New Roman"/>
          <w:sz w:val="24"/>
          <w:szCs w:val="24"/>
        </w:rPr>
        <w:t xml:space="preserve"> que, hace que el estado ecuatoriano enfrente obstáculos legales contrarios a la esencia del PIDCP, y es que la penalización del aborto y la falta de acceso a servicios de interrupción del embarazo son consideradas discriminación por razón de sexo, violando los art. 2 y 7 del Pacto</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1CA543D0"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este propio Comité ha instado a los gobiernos a permitir excepciones legales a la prohibición del aborto en casos de violación, incesto o malformación fetal incompatible con la vida, y ha señalado que las medidas para regular el aborto no deben vulnerar los derechos de las mujeres, incluyendo su derecho a la vida y la prohibición de tratos crueles. Cualquier restricción debe evitar poner en peligro la vida de las mujeres o someterlas a sufrimientos físicos o psicológicos graves. Además, los Estados deben garantizar un acceso seguro al aborto, evitar penalizaciones que incrementen los abortos peligrosos, y asegurar educación reproductiva, anticonceptivos y atención médica adecuada.</w:t>
      </w:r>
      <w:r>
        <w:rPr>
          <w:rFonts w:ascii="Times New Roman" w:eastAsia="Times New Roman" w:hAnsi="Times New Roman" w:cs="Times New Roman"/>
          <w:sz w:val="24"/>
          <w:szCs w:val="24"/>
          <w:vertAlign w:val="superscript"/>
        </w:rPr>
        <w:footnoteReference w:id="10"/>
      </w:r>
    </w:p>
    <w:p w14:paraId="0B274973"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misma línea, se debe recalcar que los Estados Partes “deben proporcionar un </w:t>
      </w:r>
      <w:r>
        <w:rPr>
          <w:rFonts w:ascii="Times New Roman" w:eastAsia="Times New Roman" w:hAnsi="Times New Roman" w:cs="Times New Roman"/>
          <w:b/>
          <w:sz w:val="24"/>
          <w:szCs w:val="24"/>
          <w:u w:val="single"/>
        </w:rPr>
        <w:t xml:space="preserve">acceso seguro, legal y efectivo al aborto, incluido cuando el embarazo sea resultado de una violación </w:t>
      </w:r>
      <w:r>
        <w:rPr>
          <w:rFonts w:ascii="Times New Roman" w:eastAsia="Times New Roman" w:hAnsi="Times New Roman" w:cs="Times New Roman"/>
          <w:sz w:val="24"/>
          <w:szCs w:val="24"/>
        </w:rPr>
        <w:t>o un incesto, y tampoco deben introducir nuevas barreras y deben eliminar las existentes que niegan el acceso efectivo de las mujeres y las niñas al aborto seguro y legal”</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w:t>
      </w:r>
    </w:p>
    <w:p w14:paraId="7D396DCE"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Ecuador, el derecho a la vida no es absoluto, y puede ser restringido bajo ciertas condiciones, y la legislación sobre el aborto refleja esta complejidad. Aunque el aborto está </w:t>
      </w:r>
      <w:r>
        <w:rPr>
          <w:rFonts w:ascii="Times New Roman" w:eastAsia="Times New Roman" w:hAnsi="Times New Roman" w:cs="Times New Roman"/>
          <w:sz w:val="24"/>
          <w:szCs w:val="24"/>
        </w:rPr>
        <w:lastRenderedPageBreak/>
        <w:t xml:space="preserve">penalizado, hay excepciones que deben aplicarse de manera no arbitraria, equilibrando la protección de la vida con los derechos de las mujeres. </w:t>
      </w:r>
    </w:p>
    <w:p w14:paraId="1F367E69" w14:textId="77777777" w:rsidR="00B87878" w:rsidRDefault="00000000">
      <w:pPr>
        <w:spacing w:after="200" w:line="360" w:lineRule="auto"/>
        <w:ind w:left="141"/>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Por lo tanto, la normativa ecuatoriana debe asegurar que las medidas excepcionales sobre aborto, al igual que otras restricciones a la vida, no sean arbitrarias y se alineen con los principios de protección de derechos humanos, tal como lo exige el artículo 6, párrafo 1, en su aplicación general.</w:t>
      </w:r>
      <w:r>
        <w:rPr>
          <w:rFonts w:ascii="Times New Roman" w:eastAsia="Times New Roman" w:hAnsi="Times New Roman" w:cs="Times New Roman"/>
          <w:sz w:val="24"/>
          <w:szCs w:val="24"/>
          <w:vertAlign w:val="superscript"/>
        </w:rPr>
        <w:footnoteReference w:id="12"/>
      </w:r>
    </w:p>
    <w:p w14:paraId="089C3E51"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mismo sentido, inclusive órganos del Sistema Interamericano de Derechos Humanos, como la Comisión Interamericana de Derechos Humanos (en adelante, CIDH) ha advertido que la “criminalización absoluta del aborto, al imponer una carga desproporcionada en el ejercicio de los derechos de las mujeres, resulta contrario a las obligaciones internacionales que tiene el Estado de respetar, proteger y garantizar los derechos de las mujeres a la vida, a la salud y a la integridad”</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6D0F576E"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respecto, la Corte Interamericana de Derechos Humanos (en adelante, Corte IDH), en su jurisprudencia del caso Artavia Murillo vs. Costa Rica ha sido enfática en afirmar que “la falta de salvaguardas legales para tomar en consideración la salud reproductiva puede resultar en un menoscabo grave del derecho a la autonomía y la libertad reproductiva”</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w:t>
      </w:r>
    </w:p>
    <w:p w14:paraId="009A0509"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ecuatoriano incumple sus obligaciones internacionales al no respetar los derechos sexuales y reproductivos de las mujeres, especialmente en el acceso a la interrupción voluntaria del embarazo en casos de violación, además que hasta ahora no le ha dado ningún tratamiento legal a la despenalización del aborto en casos de incesto y malformación fetal a pesar de las recomendaciones de este propio Comité en su examen previo, lo que merece reproche a nivel internacional.</w:t>
      </w:r>
    </w:p>
    <w:p w14:paraId="2FBFD74E"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respecto, es importante destacar que la CCE en su sentencia, sí reconoció a la violación incestuosa como parte del delito de violación y que atenta en contra de la autonomía sexual y reproductiva de niñas, mujeres y personas con capacidad de gestar en el Ecuador. Así, se entenderá incluido dentro del espectro de la sentencia y las víctimas de violación en esos </w:t>
      </w:r>
      <w:r>
        <w:rPr>
          <w:rFonts w:ascii="Times New Roman" w:eastAsia="Times New Roman" w:hAnsi="Times New Roman" w:cs="Times New Roman"/>
          <w:sz w:val="24"/>
          <w:szCs w:val="24"/>
        </w:rPr>
        <w:lastRenderedPageBreak/>
        <w:t xml:space="preserve">casos también podrían </w:t>
      </w:r>
      <w:proofErr w:type="spellStart"/>
      <w:r>
        <w:rPr>
          <w:rFonts w:ascii="Times New Roman" w:eastAsia="Times New Roman" w:hAnsi="Times New Roman" w:cs="Times New Roman"/>
          <w:sz w:val="24"/>
          <w:szCs w:val="24"/>
        </w:rPr>
        <w:t>accededer</w:t>
      </w:r>
      <w:proofErr w:type="spellEnd"/>
      <w:r>
        <w:rPr>
          <w:rFonts w:ascii="Times New Roman" w:eastAsia="Times New Roman" w:hAnsi="Times New Roman" w:cs="Times New Roman"/>
          <w:sz w:val="24"/>
          <w:szCs w:val="24"/>
        </w:rPr>
        <w:t xml:space="preserve"> a la interrupción voluntaria del embarazo. Sin embargo, el aborto en casos de incesto en general está prohibido. </w:t>
      </w:r>
    </w:p>
    <w:p w14:paraId="6DB3852E" w14:textId="77777777" w:rsidR="00B87878" w:rsidRDefault="00000000">
      <w:pPr>
        <w:spacing w:after="200" w:line="36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es importante que, previo al examen a realizarse, este Comité tome en cuenta las recomendaciones emitidas por el Comité contra la Tortura (CAT) al Ecuador sobre el octavo informe periódico del Estado celebrada el 22 de julio de 2024 (CAT/C/ECU/CO/8). Aquí, recomienda al Estado revisar su legislación nacional a fin de avanzar hacia una despenalización del aborto, además que deberá considerar una </w:t>
      </w:r>
      <w:proofErr w:type="spellStart"/>
      <w:r>
        <w:rPr>
          <w:rFonts w:ascii="Times New Roman" w:eastAsia="Times New Roman" w:hAnsi="Times New Roman" w:cs="Times New Roman"/>
          <w:sz w:val="24"/>
          <w:szCs w:val="24"/>
        </w:rPr>
        <w:t>modifcación</w:t>
      </w:r>
      <w:proofErr w:type="spellEnd"/>
      <w:r>
        <w:rPr>
          <w:rFonts w:ascii="Times New Roman" w:eastAsia="Times New Roman" w:hAnsi="Times New Roman" w:cs="Times New Roman"/>
          <w:sz w:val="24"/>
          <w:szCs w:val="24"/>
        </w:rPr>
        <w:t xml:space="preserve"> a la LORIVE a fin de incluir expresamente otras excepciones legales a la prohibición del aborto como son los casos de malformación fetal e incesto. </w:t>
      </w:r>
    </w:p>
    <w:p w14:paraId="1B0923BF"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pronunciamiento sirve de insumo necesario para obligar al Estado ecuatoriano a rendir cuentas frente a sus acciones u omisiones de adoptar medidas que garanticen un pleno acceso a los derechos sexuales y reproductivos de mujeres, niñas, adolescentes y personas con capacidad de gestar. </w:t>
      </w:r>
    </w:p>
    <w:p w14:paraId="48AD1327" w14:textId="77777777" w:rsidR="00B87878" w:rsidRDefault="00000000">
      <w:pPr>
        <w:pStyle w:val="Ttulo1"/>
        <w:numPr>
          <w:ilvl w:val="1"/>
          <w:numId w:val="5"/>
        </w:numPr>
        <w:spacing w:before="240" w:after="200" w:line="259" w:lineRule="auto"/>
        <w:rPr>
          <w:i/>
        </w:rPr>
      </w:pPr>
      <w:bookmarkStart w:id="3" w:name="_uxq6z3t61bnp" w:colFirst="0" w:colLast="0"/>
      <w:bookmarkEnd w:id="3"/>
      <w:r>
        <w:rPr>
          <w:rFonts w:ascii="Times New Roman" w:eastAsia="Times New Roman" w:hAnsi="Times New Roman" w:cs="Times New Roman"/>
          <w:i/>
          <w:sz w:val="24"/>
          <w:szCs w:val="24"/>
        </w:rPr>
        <w:t>Sentencia Constitucional 34-19-IN/21 y acumulados.</w:t>
      </w:r>
      <w:r>
        <w:rPr>
          <w:rFonts w:ascii="Times New Roman" w:eastAsia="Times New Roman" w:hAnsi="Times New Roman" w:cs="Times New Roman"/>
          <w:i/>
          <w:sz w:val="24"/>
          <w:szCs w:val="24"/>
          <w:vertAlign w:val="superscript"/>
        </w:rPr>
        <w:footnoteReference w:id="15"/>
      </w:r>
    </w:p>
    <w:p w14:paraId="32C4A4EC"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28 de abril de 2021, la Corte declara la inconstitucionalidad en el fondo del artículo 150 numeral 2 del COIP en la frase </w:t>
      </w:r>
      <w:r>
        <w:rPr>
          <w:rFonts w:ascii="Times New Roman" w:eastAsia="Times New Roman" w:hAnsi="Times New Roman" w:cs="Times New Roman"/>
          <w:b/>
          <w:i/>
          <w:sz w:val="24"/>
          <w:szCs w:val="24"/>
          <w:u w:val="single"/>
        </w:rPr>
        <w:t>“en una mujer que padezca de discapacidad mental”</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Desde entonces, el Ecuador dio un paso histórico para los derechos de las mujeres y personas con la capacidad de gestar. </w:t>
      </w:r>
    </w:p>
    <w:p w14:paraId="3CF7BED6"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al análisis que llevó a la CCE a declarar la inconstitucionalidad, ésta identificó los bienes jurídicos que se pretenden proteger poniendo en discusión dos derechos; la vida y la integridad personal en sus distintas dimensiones; física, psíquica, moral y sexual</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w:t>
      </w:r>
    </w:p>
    <w:p w14:paraId="0760EE10"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así que, en su sentencia la Corte sigue los siguientes criterios: </w:t>
      </w:r>
    </w:p>
    <w:p w14:paraId="2C9998E1" w14:textId="77777777" w:rsidR="00B87878" w:rsidRDefault="00000000">
      <w:pPr>
        <w:numPr>
          <w:ilvl w:val="0"/>
          <w:numId w:val="1"/>
        </w:numPr>
        <w:spacing w:before="28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 protección a la vida del </w:t>
      </w:r>
      <w:r>
        <w:rPr>
          <w:rFonts w:ascii="Times New Roman" w:eastAsia="Times New Roman" w:hAnsi="Times New Roman" w:cs="Times New Roman"/>
          <w:b/>
          <w:i/>
          <w:sz w:val="24"/>
          <w:szCs w:val="24"/>
        </w:rPr>
        <w:t xml:space="preserve">nasciturus </w:t>
      </w:r>
      <w:r>
        <w:rPr>
          <w:rFonts w:ascii="Times New Roman" w:eastAsia="Times New Roman" w:hAnsi="Times New Roman" w:cs="Times New Roman"/>
          <w:b/>
          <w:sz w:val="24"/>
          <w:szCs w:val="24"/>
        </w:rPr>
        <w:t>no es absoluta.</w:t>
      </w:r>
    </w:p>
    <w:p w14:paraId="1B8ACB01"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Corte aclara que, aunque la Constitución protege la vida del </w:t>
      </w:r>
      <w:r>
        <w:rPr>
          <w:rFonts w:ascii="Times New Roman" w:eastAsia="Times New Roman" w:hAnsi="Times New Roman" w:cs="Times New Roman"/>
          <w:i/>
          <w:sz w:val="24"/>
          <w:szCs w:val="24"/>
        </w:rPr>
        <w:t xml:space="preserve">nasciturus </w:t>
      </w:r>
      <w:r>
        <w:rPr>
          <w:rFonts w:ascii="Times New Roman" w:eastAsia="Times New Roman" w:hAnsi="Times New Roman" w:cs="Times New Roman"/>
          <w:sz w:val="24"/>
          <w:szCs w:val="24"/>
        </w:rPr>
        <w:t>desde la concepción, todos los derechos deben ser entendidos como interdependientes y de igual jerarquía, según el Art. 11. Por lo tanto, la protección del derecho a la vida no puede considerarse de forma aislada, sino en su contexto integral con otros derechos.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w:t>
      </w:r>
    </w:p>
    <w:p w14:paraId="369AA1FB"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la Corte destaca que, en el caso Artavia Murillo y otros vs. Costa Rica</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la Corte IDH interpretó el Art. 4.1 de la Convención Americana sobre Derechos Humanos, subrayando que proteger la vida del nasciturus no debe implicar la negación de otros derechos. Así, la protección del nasciturus debe considerarse de manera sistemática y no aislada de otros derechos.</w:t>
      </w:r>
    </w:p>
    <w:p w14:paraId="6544F1FF"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la Corte, citando al Comité para la Eliminación de la Discriminación contra la Mujer (CEDAW), al Relator Especial sobre la Tortura y a la jurisprudencia interamericana, señala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en ciertas circunstancias, la violación sexual, el embarazo forzado, la penalización del aborto en casos de violación, y la falta de asistencia a mujeres vulnerables pueden constituir tortura o trato cruel e inhumano.</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vertAlign w:val="superscript"/>
        </w:rPr>
        <w:t xml:space="preserve"> </w:t>
      </w:r>
    </w:p>
    <w:p w14:paraId="2104BF58" w14:textId="77777777" w:rsidR="00B87878" w:rsidRDefault="00000000">
      <w:pPr>
        <w:spacing w:before="280" w:after="280" w:line="36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Además, es importante resaltar la línea de precedentes establecidos por este Comité, donde ha venido reconociendo progresivamente el derecho a abortar, como lo es el caso de K.L. v Perú, destacando la necesidad urgente de garantizar el acceso al aborto terapéutico mediante marcos legales claros que protejan los derechos y la salud de las mujeres.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vertAlign w:val="superscript"/>
        </w:rPr>
        <w:t xml:space="preserve">       </w:t>
      </w:r>
    </w:p>
    <w:p w14:paraId="4E2D6889"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igual que en el caso Camila. v. Perú</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donde se determinó la negativa del Estado a proporcionar un aborto </w:t>
      </w:r>
      <w:proofErr w:type="spellStart"/>
      <w:r>
        <w:rPr>
          <w:rFonts w:ascii="Times New Roman" w:eastAsia="Times New Roman" w:hAnsi="Times New Roman" w:cs="Times New Roman"/>
          <w:sz w:val="24"/>
          <w:szCs w:val="24"/>
        </w:rPr>
        <w:t>terapeútico</w:t>
      </w:r>
      <w:proofErr w:type="spellEnd"/>
      <w:r>
        <w:rPr>
          <w:rFonts w:ascii="Times New Roman" w:eastAsia="Times New Roman" w:hAnsi="Times New Roman" w:cs="Times New Roman"/>
          <w:sz w:val="24"/>
          <w:szCs w:val="24"/>
        </w:rPr>
        <w:t xml:space="preserve"> a la demandante, tras ser víctima de violencia sexual, en violación del Pacto Internacional de Derechos Civiles y Políticos, especialmente con la prohibición de tratos crueles e inhumanos.</w:t>
      </w:r>
    </w:p>
    <w:p w14:paraId="3F103A3E" w14:textId="77777777" w:rsidR="00B87878" w:rsidRDefault="00000000">
      <w:pPr>
        <w:spacing w:before="28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Falta de proporcionalidad en la penalización de aborto en casos de violación.</w:t>
      </w:r>
    </w:p>
    <w:p w14:paraId="6C973AA2"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Corte concluye que la norma es inapropiada; ya que, si bien la Constitución ecuatoriana busca proteger el derecho a la vida desde la concepción al criminalizar el aborto, esto no quiere decir que puede limitar otros derechos transversales, como en los casos de violación. </w:t>
      </w:r>
      <w:proofErr w:type="gramStart"/>
      <w:r>
        <w:rPr>
          <w:rFonts w:ascii="Times New Roman" w:eastAsia="Times New Roman" w:hAnsi="Times New Roman" w:cs="Times New Roman"/>
          <w:sz w:val="24"/>
          <w:szCs w:val="24"/>
        </w:rPr>
        <w:t>Además</w:t>
      </w:r>
      <w:proofErr w:type="gramEnd"/>
      <w:r>
        <w:rPr>
          <w:rFonts w:ascii="Times New Roman" w:eastAsia="Times New Roman" w:hAnsi="Times New Roman" w:cs="Times New Roman"/>
          <w:sz w:val="24"/>
          <w:szCs w:val="24"/>
        </w:rPr>
        <w:t xml:space="preserve"> que,</w:t>
      </w:r>
      <w:r>
        <w:rPr>
          <w:rFonts w:ascii="Times New Roman" w:eastAsia="Times New Roman" w:hAnsi="Times New Roman" w:cs="Times New Roman"/>
          <w:i/>
          <w:sz w:val="24"/>
          <w:szCs w:val="24"/>
          <w:u w:val="single"/>
        </w:rPr>
        <w:t xml:space="preserve"> penalizar a las mujeres no disminuye los abortos, sino que las lleva a realizarlos en condiciones peligrosas, poniendo en riesgo su salud y vida, vulnerando así otros derechos esenciales, </w:t>
      </w:r>
      <w:r>
        <w:rPr>
          <w:rFonts w:ascii="Times New Roman" w:eastAsia="Times New Roman" w:hAnsi="Times New Roman" w:cs="Times New Roman"/>
          <w:sz w:val="24"/>
          <w:szCs w:val="24"/>
        </w:rPr>
        <w:t>lo que vuelve a la norma desproporcional.</w:t>
      </w:r>
    </w:p>
    <w:p w14:paraId="00B13817" w14:textId="77777777" w:rsidR="00B87878" w:rsidRDefault="00000000">
      <w:pPr>
        <w:numPr>
          <w:ilvl w:val="0"/>
          <w:numId w:val="2"/>
        </w:numPr>
        <w:spacing w:before="28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condición establecida es contraria al derecho a la igualdad y no discriminación.</w:t>
      </w:r>
    </w:p>
    <w:p w14:paraId="29C178BD"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último punto, la CCE declara que el artículo 150.2 del COIP es inconstitucional por violar el principio de igualdad al permitir el aborto solo en mujeres con discapacidad mental víctimas de violación, excluyendo a otras víctimas cuando se lesionan los mismos bienes jurídicos protegidos. Esto hace que la distinción sea arbitraria y discriminatoria, ya que en ambos casos no hubo consentimiento y se violaron los mismos derechos. Además, la Corte ordena crear un proyecto de ley para abordar esta cuestión.</w:t>
      </w:r>
    </w:p>
    <w:p w14:paraId="7E41AED8" w14:textId="77777777" w:rsidR="00B87878" w:rsidRDefault="00000000">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 los parámetros mínimos establecidos en su decisión, se encuentra lo siguiente como lo más relevante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w:t>
      </w:r>
    </w:p>
    <w:p w14:paraId="38DD850D" w14:textId="77777777" w:rsidR="00B87878" w:rsidRDefault="00000000">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se impedirá la interrupción voluntaria del embarazo cuando no exista sentencia ejecutoriada por el delito de violación, esto debido a que el proceso penal atraviesa por una serie de etapas e instancias que podrían superar el tiempo de gestación de la víctima. </w:t>
      </w:r>
    </w:p>
    <w:p w14:paraId="2546073C" w14:textId="77777777" w:rsidR="00B87878" w:rsidRDefault="00000000">
      <w:pPr>
        <w:numPr>
          <w:ilvl w:val="1"/>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propone regular en la ley especializada opciones adicionales para acceder al aborto, más allá de la denuncia penal, declaración jurada o examen médico.</w:t>
      </w:r>
    </w:p>
    <w:p w14:paraId="0A905587" w14:textId="77777777" w:rsidR="00B87878" w:rsidRDefault="00000000">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caso de niñas menores de edad que no cuenten con la autorización de su representante legal, es obligación de las instituciones competentes prever mecanismos adecuados y </w:t>
      </w:r>
      <w:r>
        <w:rPr>
          <w:rFonts w:ascii="Times New Roman" w:eastAsia="Times New Roman" w:hAnsi="Times New Roman" w:cs="Times New Roman"/>
          <w:b/>
          <w:sz w:val="24"/>
          <w:szCs w:val="24"/>
          <w:u w:val="single"/>
        </w:rPr>
        <w:t>confidenciales</w:t>
      </w:r>
      <w:r>
        <w:rPr>
          <w:rFonts w:ascii="Times New Roman" w:eastAsia="Times New Roman" w:hAnsi="Times New Roman" w:cs="Times New Roman"/>
          <w:sz w:val="24"/>
          <w:szCs w:val="24"/>
        </w:rPr>
        <w:t xml:space="preserve"> sin trabas para acceder a la interrupción voluntaria del embarazo y a todo tipo de asistencia psicológica ante un embarazo no deseado.</w:t>
      </w:r>
    </w:p>
    <w:p w14:paraId="5E2DCF84" w14:textId="77777777" w:rsidR="00B87878" w:rsidRDefault="00000000">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Cumplir con el mandato del caso Artavia Murillo vs Costa Rica, donde la vida desde la concepción es gradual y progresiva, en consecuencia, el legislador deberá establecer los plazos para interrumpir el embarazo, de conformidad con los instrumentos internacionales de derechos humanos.</w:t>
      </w:r>
    </w:p>
    <w:p w14:paraId="1E7EF2FE" w14:textId="77777777" w:rsidR="00B87878" w:rsidRDefault="00000000">
      <w:pPr>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Cumplir con los estándares internacionales y recomendaciones de los organismos internacionales como el CAT, la CEDAW, el Comité de Derechos Económicos, Sociales y Culturales (Comité DESC), entre otros, que garanticen los derechos reconocidos en la Constitución y el bloque de constitucionalidad.</w:t>
      </w:r>
    </w:p>
    <w:p w14:paraId="073CAD4E" w14:textId="77777777" w:rsidR="00B87878" w:rsidRDefault="00000000">
      <w:pPr>
        <w:pStyle w:val="Ttulo1"/>
        <w:numPr>
          <w:ilvl w:val="1"/>
          <w:numId w:val="5"/>
        </w:numPr>
        <w:spacing w:before="240" w:after="0" w:line="259" w:lineRule="auto"/>
        <w:rPr>
          <w:b/>
        </w:rPr>
      </w:pPr>
      <w:bookmarkStart w:id="4" w:name="_tycap68hds81" w:colFirst="0" w:colLast="0"/>
      <w:bookmarkEnd w:id="4"/>
      <w:r>
        <w:rPr>
          <w:rFonts w:ascii="Times New Roman" w:eastAsia="Times New Roman" w:hAnsi="Times New Roman" w:cs="Times New Roman"/>
          <w:b/>
          <w:sz w:val="32"/>
          <w:szCs w:val="32"/>
        </w:rPr>
        <w:t>La Ley Orgánica que Regula la Interrupción Voluntaria del Embarazo (LORIVE):</w:t>
      </w:r>
    </w:p>
    <w:p w14:paraId="3DD13133" w14:textId="77777777" w:rsidR="00B87878" w:rsidRDefault="00000000">
      <w:pPr>
        <w:spacing w:before="280" w:after="280" w:line="36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La Corte Constitucional ordenó a la Asamblea Nacional aprobar una ley sobre la interrupción voluntaria del embarazo en casos de violación, basándose en un proyecto de la Defensoría del Pueblo. La normativa debe establecer límites de gestación y directrices para los profesionales de salud para cumplir con este mandato</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Sin embargo, así la Corte Constitucional no haya remitido a la Asamblea Nacional para regular la cuestión, la sentencia es vinculante y debe cumplir con todas las disposiciones de ésta.</w:t>
      </w:r>
    </w:p>
    <w:p w14:paraId="1D593D48" w14:textId="77777777" w:rsidR="00B87878" w:rsidRDefault="00000000">
      <w:pPr>
        <w:pStyle w:val="Ttulo2"/>
        <w:numPr>
          <w:ilvl w:val="1"/>
          <w:numId w:val="5"/>
        </w:numPr>
        <w:spacing w:before="0" w:after="160" w:line="360" w:lineRule="auto"/>
        <w:rPr>
          <w:i/>
        </w:rPr>
      </w:pPr>
      <w:bookmarkStart w:id="5" w:name="_h4b4d5wxm5cm" w:colFirst="0" w:colLast="0"/>
      <w:bookmarkEnd w:id="5"/>
      <w:r>
        <w:rPr>
          <w:rFonts w:ascii="Times New Roman" w:eastAsia="Times New Roman" w:hAnsi="Times New Roman" w:cs="Times New Roman"/>
          <w:b/>
          <w:i/>
          <w:sz w:val="24"/>
          <w:szCs w:val="24"/>
        </w:rPr>
        <w:t xml:space="preserve">Proceso legislativo de la LORIVE: </w:t>
      </w:r>
    </w:p>
    <w:p w14:paraId="0390BF23"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27 de junio de 2021, la Defensoría del Pueblo presentó un proyecto de ley para garantizar el aborto en casos de violación en Ecuador</w:t>
      </w:r>
      <w:r>
        <w:rPr>
          <w:rFonts w:ascii="Times New Roman" w:eastAsia="Times New Roman" w:hAnsi="Times New Roman" w:cs="Times New Roman"/>
          <w:color w:val="5A5A5A"/>
          <w:sz w:val="24"/>
          <w:szCs w:val="24"/>
          <w:vertAlign w:val="superscript"/>
        </w:rPr>
        <w:footnoteReference w:id="25"/>
      </w:r>
      <w:r>
        <w:rPr>
          <w:rFonts w:ascii="Times New Roman" w:eastAsia="Times New Roman" w:hAnsi="Times New Roman" w:cs="Times New Roman"/>
          <w:sz w:val="24"/>
          <w:szCs w:val="24"/>
        </w:rPr>
        <w:t xml:space="preserve">. Dicho proyecto de ley se remitió a la Asamblea Nacional, quien debatió y aprobó la "Ley Orgánica para Garantizar el Derecho a la Interrupción Voluntaria del Embarazo en caso de Violación" el 17 de febrero de 2022, estableciendo un límite de 18 semanas de gestación. Sin embargo, el 15 de marzo de 2022, el entonces presidente Guillermo Lasso, vetó parcialmente la ley, argumentando que el proyecto de ley </w:t>
      </w:r>
      <w:proofErr w:type="gramStart"/>
      <w:r>
        <w:rPr>
          <w:rFonts w:ascii="Times New Roman" w:eastAsia="Times New Roman" w:hAnsi="Times New Roman" w:cs="Times New Roman"/>
          <w:sz w:val="24"/>
          <w:szCs w:val="24"/>
        </w:rPr>
        <w:t>excede  mandato</w:t>
      </w:r>
      <w:proofErr w:type="gramEnd"/>
      <w:r>
        <w:rPr>
          <w:rFonts w:ascii="Times New Roman" w:eastAsia="Times New Roman" w:hAnsi="Times New Roman" w:cs="Times New Roman"/>
          <w:sz w:val="24"/>
          <w:szCs w:val="24"/>
        </w:rPr>
        <w:t xml:space="preserve"> constitucional y defendiendo la vida desde la concepción.</w:t>
      </w:r>
    </w:p>
    <w:p w14:paraId="63015C3B" w14:textId="77777777" w:rsidR="00B87878" w:rsidRDefault="00000000">
      <w:pPr>
        <w:pStyle w:val="Ttulo2"/>
        <w:numPr>
          <w:ilvl w:val="1"/>
          <w:numId w:val="5"/>
        </w:numPr>
        <w:spacing w:before="0" w:after="160" w:line="360" w:lineRule="auto"/>
        <w:rPr>
          <w:i/>
        </w:rPr>
      </w:pPr>
      <w:bookmarkStart w:id="6" w:name="_if7w2a7fcf7" w:colFirst="0" w:colLast="0"/>
      <w:bookmarkEnd w:id="6"/>
      <w:r>
        <w:rPr>
          <w:rFonts w:ascii="Times New Roman" w:eastAsia="Times New Roman" w:hAnsi="Times New Roman" w:cs="Times New Roman"/>
          <w:b/>
          <w:i/>
          <w:sz w:val="24"/>
          <w:szCs w:val="24"/>
        </w:rPr>
        <w:t>Objeciones de la Presidencia de la República:</w:t>
      </w:r>
    </w:p>
    <w:p w14:paraId="463C3E51"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veto abordó 61 de los 64 artículos de la ley, lo cual fue considerado inadmisible por organizaciones que ven en este accionar un incumplimiento de los preceptos constitucionales de la sentencia e instrumentos internacionales de derechos humanos, afectando la democracia y los derechos de las personas gestantes.</w:t>
      </w:r>
    </w:p>
    <w:p w14:paraId="102F7F12" w14:textId="77777777" w:rsidR="00B87878" w:rsidRDefault="00000000">
      <w:pPr>
        <w:pStyle w:val="Ttulo2"/>
        <w:numPr>
          <w:ilvl w:val="1"/>
          <w:numId w:val="5"/>
        </w:numPr>
        <w:spacing w:before="0" w:after="0" w:line="360" w:lineRule="auto"/>
        <w:rPr>
          <w:i/>
        </w:rPr>
      </w:pPr>
      <w:bookmarkStart w:id="7" w:name="_4h7gzix2yndw" w:colFirst="0" w:colLast="0"/>
      <w:bookmarkEnd w:id="7"/>
      <w:r>
        <w:rPr>
          <w:rFonts w:ascii="Times New Roman" w:eastAsia="Times New Roman" w:hAnsi="Times New Roman" w:cs="Times New Roman"/>
          <w:b/>
          <w:i/>
          <w:sz w:val="24"/>
          <w:szCs w:val="24"/>
        </w:rPr>
        <w:lastRenderedPageBreak/>
        <w:t xml:space="preserve">Nudos críticos de </w:t>
      </w:r>
      <w:proofErr w:type="spellStart"/>
      <w:r>
        <w:rPr>
          <w:rFonts w:ascii="Times New Roman" w:eastAsia="Times New Roman" w:hAnsi="Times New Roman" w:cs="Times New Roman"/>
          <w:b/>
          <w:i/>
          <w:sz w:val="24"/>
          <w:szCs w:val="24"/>
        </w:rPr>
        <w:t>inconvencionalidad</w:t>
      </w:r>
      <w:proofErr w:type="spellEnd"/>
      <w:r>
        <w:rPr>
          <w:rFonts w:ascii="Times New Roman" w:eastAsia="Times New Roman" w:hAnsi="Times New Roman" w:cs="Times New Roman"/>
          <w:b/>
          <w:i/>
          <w:sz w:val="24"/>
          <w:szCs w:val="24"/>
        </w:rPr>
        <w:t xml:space="preserve"> en el Veto Presidencial:</w:t>
      </w:r>
    </w:p>
    <w:p w14:paraId="092AA09F" w14:textId="77777777" w:rsidR="00B87878" w:rsidRDefault="00000000">
      <w:pPr>
        <w:numPr>
          <w:ilvl w:val="0"/>
          <w:numId w:val="1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Sobre la regulación del aborto vs. la garantía de abortar. </w:t>
      </w:r>
    </w:p>
    <w:p w14:paraId="4360A763"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1:</w:t>
      </w:r>
      <w:r>
        <w:rPr>
          <w:rFonts w:ascii="Times New Roman" w:eastAsia="Times New Roman" w:hAnsi="Times New Roman" w:cs="Times New Roman"/>
          <w:sz w:val="24"/>
          <w:szCs w:val="24"/>
        </w:rPr>
        <w:t xml:space="preserve"> El presidente objetó el título y el primer artículo de la ley, argumentando que el aborto debería ser considerado una excepción, no un derecho. Propuso cambiar "garantizar" por "regular" el aborto en casos de violación,</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y ajustar tanto el título como el objeto de la ley para reflejar esta modificación.</w:t>
      </w:r>
    </w:p>
    <w:p w14:paraId="6E026092" w14:textId="77777777" w:rsidR="00B87878" w:rsidRDefault="00000000">
      <w:pPr>
        <w:numPr>
          <w:ilvl w:val="0"/>
          <w:numId w:val="1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Sobre la Objeción de Conciencia médica: </w:t>
      </w:r>
    </w:p>
    <w:p w14:paraId="6C3FB88C"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Artículos 9, numeral 5, 9, y 61:</w:t>
      </w:r>
      <w:r>
        <w:rPr>
          <w:rFonts w:ascii="Times New Roman" w:eastAsia="Times New Roman" w:hAnsi="Times New Roman" w:cs="Times New Roman"/>
          <w:sz w:val="24"/>
          <w:szCs w:val="24"/>
        </w:rPr>
        <w:t xml:space="preserve"> El presidente objeta ambos artículos bajo el criterio de que estos vulneran derechos constitucionales, de este modo, y propuso la incorporación a la normativa de la objeción de conciencia personal e institucional, siendo esta última prohibida para el personal médico de instituciones de salud pública</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y que la multa sea reducida a 10 salarios básicos unificados. </w:t>
      </w:r>
    </w:p>
    <w:p w14:paraId="6397C845"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respecto, es importante mencionar que varios estándares internacionales de derechos humanos, han reconocido que la objeción de conciencia no es un derecho absoluto, además que no procede la objeción de conciencia institucional por la naturaleza jurídica de las instituciones. Y es que las instituciones, como casas de salud y hospitales, no gozan de personalidad jurídica y por tanto no son sujetos de derechos.</w:t>
      </w:r>
    </w:p>
    <w:p w14:paraId="50EAF12E" w14:textId="77777777" w:rsidR="00B87878" w:rsidRDefault="00000000">
      <w:pPr>
        <w:spacing w:after="2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Además</w:t>
      </w:r>
      <w:proofErr w:type="gramEnd"/>
      <w:r>
        <w:rPr>
          <w:rFonts w:ascii="Times New Roman" w:eastAsia="Times New Roman" w:hAnsi="Times New Roman" w:cs="Times New Roman"/>
          <w:sz w:val="24"/>
          <w:szCs w:val="24"/>
        </w:rPr>
        <w:t xml:space="preserve"> que, en caso de existir un médico objetor, se establece la obligación de derivación del médico objetor a un médico que sí pudiera practicar el aborto</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14:paraId="6033640D"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el Comité DESC ha determinado que “(…) la no disponibilidad de bienes y servicios debido a políticas o prácticas basadas en la ideología, </w:t>
      </w:r>
      <w:r>
        <w:rPr>
          <w:rFonts w:ascii="Times New Roman" w:eastAsia="Times New Roman" w:hAnsi="Times New Roman" w:cs="Times New Roman"/>
          <w:b/>
          <w:sz w:val="24"/>
          <w:szCs w:val="24"/>
          <w:u w:val="single"/>
        </w:rPr>
        <w:t>como la objeción a prestar servicios por motivos de conciencia, no debe ser un obstáculo para el acceso a los servicios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9"/>
      </w:r>
    </w:p>
    <w:p w14:paraId="2E92279B" w14:textId="77777777" w:rsidR="00B87878" w:rsidRDefault="00000000">
      <w:pPr>
        <w:numPr>
          <w:ilvl w:val="0"/>
          <w:numId w:val="1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Sobre el plazo para acceder a la interrupción del embarazo. </w:t>
      </w:r>
    </w:p>
    <w:p w14:paraId="380639D4"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19</w:t>
      </w:r>
      <w:r>
        <w:rPr>
          <w:rFonts w:ascii="Times New Roman" w:eastAsia="Times New Roman" w:hAnsi="Times New Roman" w:cs="Times New Roman"/>
          <w:sz w:val="24"/>
          <w:szCs w:val="24"/>
        </w:rPr>
        <w:t xml:space="preserve">: El proyecto de ley original permitía la interrupción del embarazo hasta las 12 semanas, y hasta las 18 semanas para niñas, adolescentes, mujeres de zonas rurales y pueblos </w:t>
      </w:r>
      <w:r>
        <w:rPr>
          <w:rFonts w:ascii="Times New Roman" w:eastAsia="Times New Roman" w:hAnsi="Times New Roman" w:cs="Times New Roman"/>
          <w:sz w:val="24"/>
          <w:szCs w:val="24"/>
        </w:rPr>
        <w:lastRenderedPageBreak/>
        <w:t>indígenas. El presidente objetó esta disposición, alegando falta de fundamentos técnicos para el límite extendido de 18 semanas. Propuso unificar el plazo de interrupción a 12 semanas, salvo para mujeres con discapacidad</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w:t>
      </w:r>
    </w:p>
    <w:p w14:paraId="61E54FA8" w14:textId="77777777" w:rsidR="00B87878" w:rsidRDefault="00000000">
      <w:pPr>
        <w:numPr>
          <w:ilvl w:val="0"/>
          <w:numId w:val="13"/>
        </w:numPr>
        <w:spacing w:after="2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Sobre  los</w:t>
      </w:r>
      <w:proofErr w:type="gramEnd"/>
      <w:r>
        <w:rPr>
          <w:rFonts w:ascii="Times New Roman" w:eastAsia="Times New Roman" w:hAnsi="Times New Roman" w:cs="Times New Roman"/>
          <w:b/>
          <w:sz w:val="24"/>
          <w:szCs w:val="24"/>
        </w:rPr>
        <w:t xml:space="preserve"> requisitos para acceder a la interrupción del embarazo.</w:t>
      </w:r>
    </w:p>
    <w:p w14:paraId="352DD179"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Artículos 20</w:t>
      </w:r>
      <w:r>
        <w:rPr>
          <w:rFonts w:ascii="Times New Roman" w:eastAsia="Times New Roman" w:hAnsi="Times New Roman" w:cs="Times New Roman"/>
          <w:sz w:val="24"/>
          <w:szCs w:val="24"/>
        </w:rPr>
        <w:t>: El proyecto de ley requería llenar un formulario en establecimientos de salud para acceder a la interrupción del embarazo, sin necesidad de denuncia, examen o declaración previa. El presidente objetó esta disposición, exigiendo requisitos adicionales como la denuncia penal, examen médico y consentimiento informado, alegando que estos requisitos estaban establecidos en sentencias previas. Esta objeción, sin embargo, compromete la privacidad y confidencialidad de mujeres y personas gestantes, y va en contra de recomendaciones internacionales que consideran tales requisitos como obstáculos indebidos que violan derechos fundamentales.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14:paraId="39C9E8F2"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22: </w:t>
      </w:r>
      <w:r>
        <w:rPr>
          <w:rFonts w:ascii="Times New Roman" w:eastAsia="Times New Roman" w:hAnsi="Times New Roman" w:cs="Times New Roman"/>
          <w:sz w:val="24"/>
          <w:szCs w:val="24"/>
        </w:rPr>
        <w:t xml:space="preserve">El veto presidencial al consentimiento informado para el aborto impone requisitos </w:t>
      </w:r>
      <w:proofErr w:type="spellStart"/>
      <w:r>
        <w:rPr>
          <w:rFonts w:ascii="Times New Roman" w:eastAsia="Times New Roman" w:hAnsi="Times New Roman" w:cs="Times New Roman"/>
          <w:sz w:val="24"/>
          <w:szCs w:val="24"/>
        </w:rPr>
        <w:t>revictimizantes</w:t>
      </w:r>
      <w:proofErr w:type="spellEnd"/>
      <w:r>
        <w:rPr>
          <w:rFonts w:ascii="Times New Roman" w:eastAsia="Times New Roman" w:hAnsi="Times New Roman" w:cs="Times New Roman"/>
          <w:sz w:val="24"/>
          <w:szCs w:val="24"/>
        </w:rPr>
        <w:t>, como ecografías y confirmaciones adicionales, que afectan negativamente a la salud mental de las víctimas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De la misma manera, establece la obligación al personal médico de informar a la persona sobre las consecuencias del aborto, la protección de la vida del </w:t>
      </w:r>
      <w:r>
        <w:rPr>
          <w:rFonts w:ascii="Times New Roman" w:eastAsia="Times New Roman" w:hAnsi="Times New Roman" w:cs="Times New Roman"/>
          <w:i/>
          <w:sz w:val="24"/>
          <w:szCs w:val="24"/>
        </w:rPr>
        <w:t>nasciturus</w:t>
      </w:r>
      <w:r>
        <w:rPr>
          <w:rFonts w:ascii="Times New Roman" w:eastAsia="Times New Roman" w:hAnsi="Times New Roman" w:cs="Times New Roman"/>
          <w:sz w:val="24"/>
          <w:szCs w:val="24"/>
        </w:rPr>
        <w:t xml:space="preserve">, la asistencia antes, durante y después del embarazo, y/o la adopción. Además, luego de haberse realizado todas estas diligencias, se le volverá a preguntar a la paciente si quiere seguir con el aborto, debiendo consignar esta aprobación en un formulario de consentimiento informado. </w:t>
      </w:r>
    </w:p>
    <w:p w14:paraId="11FA6B87"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la objeción, la LORIVE fue aprobada el 29 de abril de 2022 con el texto conservador y restrictivo de derechos de niñas, mujeres y personas con posibilidad de gestar, esto debido a una falta de consenso en el legislativo de revisión del veto</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pero se critica que no respeta adecuadamente los derechos humanos, contrario al derecho convencional y no cumple con la decisión de la Corte Constitucional. </w:t>
      </w:r>
    </w:p>
    <w:p w14:paraId="4EFBC4D4" w14:textId="77777777" w:rsidR="00B87878" w:rsidRDefault="00000000">
      <w:pPr>
        <w:spacing w:after="200" w:line="360" w:lineRule="auto"/>
        <w:ind w:left="720" w:right="3360" w:firstLine="72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III.2.4 </w:t>
      </w:r>
      <w:r>
        <w:rPr>
          <w:rFonts w:ascii="Times New Roman" w:eastAsia="Times New Roman" w:hAnsi="Times New Roman" w:cs="Times New Roman"/>
          <w:b/>
          <w:i/>
          <w:sz w:val="24"/>
          <w:szCs w:val="24"/>
        </w:rPr>
        <w:t>Marco jurídico de la LORIVE.</w:t>
      </w:r>
    </w:p>
    <w:p w14:paraId="2BBAC7FE" w14:textId="77777777" w:rsidR="00B87878" w:rsidRDefault="00000000">
      <w:pPr>
        <w:numPr>
          <w:ilvl w:val="0"/>
          <w:numId w:val="7"/>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Objeto y </w:t>
      </w:r>
      <w:r>
        <w:rPr>
          <w:rFonts w:ascii="Times New Roman" w:eastAsia="Times New Roman" w:hAnsi="Times New Roman" w:cs="Times New Roman"/>
          <w:b/>
          <w:sz w:val="24"/>
          <w:szCs w:val="24"/>
        </w:rPr>
        <w:t>p</w:t>
      </w:r>
      <w:r>
        <w:rPr>
          <w:rFonts w:ascii="Times New Roman" w:eastAsia="Times New Roman" w:hAnsi="Times New Roman" w:cs="Times New Roman"/>
          <w:b/>
          <w:color w:val="000000"/>
          <w:sz w:val="24"/>
          <w:szCs w:val="24"/>
        </w:rPr>
        <w:t xml:space="preserve">rincipios: </w:t>
      </w:r>
      <w:r>
        <w:rPr>
          <w:rFonts w:ascii="Times New Roman" w:eastAsia="Times New Roman" w:hAnsi="Times New Roman" w:cs="Times New Roman"/>
          <w:color w:val="000000"/>
          <w:sz w:val="24"/>
          <w:szCs w:val="24"/>
        </w:rPr>
        <w:t>Regula la interrupción voluntaria del embarazo en casos de violación, promoviendo derechos sexuales y reproductivos con enfoque en dignidad, igualdad y confidencialidad, aplicable a todas las mujeres y niñas gestantes en Ecuador.</w:t>
      </w:r>
    </w:p>
    <w:p w14:paraId="37971FFC" w14:textId="77777777" w:rsidR="00B87878" w:rsidRDefault="00000000">
      <w:pPr>
        <w:numPr>
          <w:ilvl w:val="0"/>
          <w:numId w:val="7"/>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Atención </w:t>
      </w:r>
      <w:r>
        <w:rPr>
          <w:rFonts w:ascii="Times New Roman" w:eastAsia="Times New Roman" w:hAnsi="Times New Roman" w:cs="Times New Roman"/>
          <w:b/>
          <w:sz w:val="24"/>
          <w:szCs w:val="24"/>
        </w:rPr>
        <w:t>m</w:t>
      </w:r>
      <w:r>
        <w:rPr>
          <w:rFonts w:ascii="Times New Roman" w:eastAsia="Times New Roman" w:hAnsi="Times New Roman" w:cs="Times New Roman"/>
          <w:b/>
          <w:color w:val="000000"/>
          <w:sz w:val="24"/>
          <w:szCs w:val="24"/>
        </w:rPr>
        <w:t xml:space="preserve">édica: </w:t>
      </w:r>
      <w:r>
        <w:rPr>
          <w:rFonts w:ascii="Times New Roman" w:eastAsia="Times New Roman" w:hAnsi="Times New Roman" w:cs="Times New Roman"/>
          <w:color w:val="000000"/>
          <w:sz w:val="24"/>
          <w:szCs w:val="24"/>
        </w:rPr>
        <w:t>Las víctimas de violación tienen derecho a atención médica urgente y confidencial, con acceso prioritario al aborto, especialmente en áreas remotas.</w:t>
      </w:r>
    </w:p>
    <w:p w14:paraId="3BB2CFAD" w14:textId="77777777" w:rsidR="00B87878" w:rsidRDefault="00000000">
      <w:pPr>
        <w:numPr>
          <w:ilvl w:val="0"/>
          <w:numId w:val="7"/>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Plazo y </w:t>
      </w:r>
      <w:r>
        <w:rPr>
          <w:rFonts w:ascii="Times New Roman" w:eastAsia="Times New Roman" w:hAnsi="Times New Roman" w:cs="Times New Roman"/>
          <w:b/>
          <w:sz w:val="24"/>
          <w:szCs w:val="24"/>
        </w:rPr>
        <w:t>s</w:t>
      </w:r>
      <w:r>
        <w:rPr>
          <w:rFonts w:ascii="Times New Roman" w:eastAsia="Times New Roman" w:hAnsi="Times New Roman" w:cs="Times New Roman"/>
          <w:b/>
          <w:color w:val="000000"/>
          <w:sz w:val="24"/>
          <w:szCs w:val="24"/>
        </w:rPr>
        <w:t xml:space="preserve">olicitud: </w:t>
      </w:r>
      <w:r>
        <w:rPr>
          <w:rFonts w:ascii="Times New Roman" w:eastAsia="Times New Roman" w:hAnsi="Times New Roman" w:cs="Times New Roman"/>
          <w:color w:val="000000"/>
          <w:sz w:val="24"/>
          <w:szCs w:val="24"/>
        </w:rPr>
        <w:t>La interrupción está permitida hasta las 12 semanas de gestación, con solicitudes gestionadas dentro de los 4 días siguientes.</w:t>
      </w:r>
    </w:p>
    <w:p w14:paraId="55D6047A" w14:textId="77777777" w:rsidR="00B87878" w:rsidRDefault="00000000">
      <w:pPr>
        <w:numPr>
          <w:ilvl w:val="0"/>
          <w:numId w:val="7"/>
        </w:num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Requisitos </w:t>
      </w:r>
      <w:r>
        <w:rPr>
          <w:rFonts w:ascii="Times New Roman" w:eastAsia="Times New Roman" w:hAnsi="Times New Roman" w:cs="Times New Roman"/>
          <w:b/>
          <w:sz w:val="24"/>
          <w:szCs w:val="24"/>
        </w:rPr>
        <w:t>s</w:t>
      </w:r>
      <w:r>
        <w:rPr>
          <w:rFonts w:ascii="Times New Roman" w:eastAsia="Times New Roman" w:hAnsi="Times New Roman" w:cs="Times New Roman"/>
          <w:b/>
          <w:color w:val="000000"/>
          <w:sz w:val="24"/>
          <w:szCs w:val="24"/>
        </w:rPr>
        <w:t xml:space="preserve">uspendidos: </w:t>
      </w:r>
      <w:r>
        <w:rPr>
          <w:rFonts w:ascii="Times New Roman" w:eastAsia="Times New Roman" w:hAnsi="Times New Roman" w:cs="Times New Roman"/>
          <w:sz w:val="24"/>
          <w:szCs w:val="24"/>
        </w:rPr>
        <w:t xml:space="preserve">La norma contenía una serie de requisitos que debían ser tomados en cuenta previo a la interrupción voluntaria del embarazo, no </w:t>
      </w:r>
      <w:proofErr w:type="gramStart"/>
      <w:r>
        <w:rPr>
          <w:rFonts w:ascii="Times New Roman" w:eastAsia="Times New Roman" w:hAnsi="Times New Roman" w:cs="Times New Roman"/>
          <w:sz w:val="24"/>
          <w:szCs w:val="24"/>
        </w:rPr>
        <w:t>obstante</w:t>
      </w:r>
      <w:proofErr w:type="gramEnd"/>
      <w:r>
        <w:rPr>
          <w:rFonts w:ascii="Times New Roman" w:eastAsia="Times New Roman" w:hAnsi="Times New Roman" w:cs="Times New Roman"/>
          <w:sz w:val="24"/>
          <w:szCs w:val="24"/>
        </w:rPr>
        <w:t xml:space="preserve"> entre ellos, se encuentran actualmente suspendidos por resolución de la Corte Constitucional los siguientes:</w:t>
      </w:r>
    </w:p>
    <w:p w14:paraId="0E7693FD" w14:textId="77777777" w:rsidR="00B87878" w:rsidRDefault="00000000">
      <w:pPr>
        <w:numPr>
          <w:ilvl w:val="0"/>
          <w:numId w:val="12"/>
        </w:numP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Obligatoriamente la víctima, o quien haya presenciado los hechos, debe presentar la denuncia de violación. Se exceptúa el caso de mujeres que padezcan una discapacidad mental.</w:t>
      </w:r>
    </w:p>
    <w:p w14:paraId="76181850" w14:textId="77777777" w:rsidR="00B87878" w:rsidRDefault="00000000">
      <w:pPr>
        <w:numPr>
          <w:ilvl w:val="0"/>
          <w:numId w:val="12"/>
        </w:numP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víctima de violación debe suscribir una declaración juramentada sobre los hechos, o a su vez si se trata de un menor de edad, lo podrá hacer su representante legal o cuidador, siempre y cuando, no fuese el agresor. </w:t>
      </w:r>
    </w:p>
    <w:p w14:paraId="1569B93D" w14:textId="77777777" w:rsidR="00B87878" w:rsidRDefault="00000000">
      <w:pPr>
        <w:numPr>
          <w:ilvl w:val="0"/>
          <w:numId w:val="12"/>
        </w:numP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autorización del representante legal de la víctima para acceder a la interrupción voluntaria del embarazo.</w:t>
      </w:r>
    </w:p>
    <w:p w14:paraId="13F41C86" w14:textId="77777777" w:rsidR="00B87878" w:rsidRDefault="00000000">
      <w:pPr>
        <w:numPr>
          <w:ilvl w:val="0"/>
          <w:numId w:val="12"/>
        </w:numP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realización de ecografías que permitan a la víctima escuchar los latidos del corazón del feto. </w:t>
      </w:r>
    </w:p>
    <w:p w14:paraId="16F6FF79" w14:textId="77777777" w:rsidR="00B87878" w:rsidRDefault="00000000">
      <w:pPr>
        <w:numPr>
          <w:ilvl w:val="0"/>
          <w:numId w:val="12"/>
        </w:numP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Practicarse exámenes médicos a la víctima, con el fin de demostrar indicios de violación</w:t>
      </w:r>
    </w:p>
    <w:p w14:paraId="1CB380AD" w14:textId="77777777" w:rsidR="00B87878" w:rsidRDefault="00000000">
      <w:pPr>
        <w:numPr>
          <w:ilvl w:val="0"/>
          <w:numId w:val="12"/>
        </w:numP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suscripción del consentimiento de la víctima. </w:t>
      </w:r>
    </w:p>
    <w:p w14:paraId="2D5C3DC6" w14:textId="77777777" w:rsidR="00B87878" w:rsidRDefault="00000000">
      <w:pPr>
        <w:numPr>
          <w:ilvl w:val="0"/>
          <w:numId w:val="12"/>
        </w:numPr>
        <w:spacing w:after="200" w:line="360" w:lineRule="auto"/>
        <w:ind w:left="14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objeción de conciencia del personal médico, la LORIVE permite la objeción de conciencia, pero exige que haya personal no objetor disponible. </w:t>
      </w:r>
      <w:proofErr w:type="gramStart"/>
      <w:r>
        <w:rPr>
          <w:rFonts w:ascii="Times New Roman" w:eastAsia="Times New Roman" w:hAnsi="Times New Roman" w:cs="Times New Roman"/>
          <w:sz w:val="24"/>
          <w:szCs w:val="24"/>
        </w:rPr>
        <w:t>Las medidas cautelares de suspensión del articulado también exige</w:t>
      </w:r>
      <w:proofErr w:type="gramEnd"/>
      <w:r>
        <w:rPr>
          <w:rFonts w:ascii="Times New Roman" w:eastAsia="Times New Roman" w:hAnsi="Times New Roman" w:cs="Times New Roman"/>
          <w:sz w:val="24"/>
          <w:szCs w:val="24"/>
        </w:rPr>
        <w:t xml:space="preserve"> que los médicos objetores realicen el aborto y suspenden la prohibición para médicos no objetores.</w:t>
      </w:r>
    </w:p>
    <w:p w14:paraId="46BA8F00"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Dichos requisitos fueron suspendidos con medida cautelar por efecto de una acción pública de inconstitucionalidad 41-22-IN a la LORIVE, presentada ante la CCE, por varias organizaciones </w:t>
      </w:r>
      <w:r>
        <w:rPr>
          <w:rFonts w:ascii="Times New Roman" w:eastAsia="Times New Roman" w:hAnsi="Times New Roman" w:cs="Times New Roman"/>
          <w:sz w:val="24"/>
          <w:szCs w:val="24"/>
        </w:rPr>
        <w:lastRenderedPageBreak/>
        <w:t>feministas y defensoras de los derechos sexuales y reproductivos en el Ecuador. Asimismo, dicho proceso fue acumulado a otras acciones de inconstitucionalidad presentadas, las cuales serán detalladas a continuación.</w:t>
      </w:r>
    </w:p>
    <w:p w14:paraId="7E0CC412" w14:textId="77777777" w:rsidR="00B87878" w:rsidRDefault="00B87878">
      <w:pPr>
        <w:spacing w:after="200" w:line="360" w:lineRule="auto"/>
        <w:jc w:val="both"/>
        <w:rPr>
          <w:rFonts w:ascii="Times New Roman" w:eastAsia="Times New Roman" w:hAnsi="Times New Roman" w:cs="Times New Roman"/>
          <w:sz w:val="24"/>
          <w:szCs w:val="24"/>
        </w:rPr>
      </w:pPr>
    </w:p>
    <w:p w14:paraId="4ACAD4E8" w14:textId="77777777" w:rsidR="00B87878" w:rsidRDefault="00B87878">
      <w:pPr>
        <w:numPr>
          <w:ilvl w:val="0"/>
          <w:numId w:val="7"/>
        </w:numPr>
        <w:spacing w:after="200" w:line="360" w:lineRule="auto"/>
        <w:jc w:val="both"/>
        <w:rPr>
          <w:rFonts w:ascii="Times New Roman" w:eastAsia="Times New Roman" w:hAnsi="Times New Roman" w:cs="Times New Roman"/>
          <w:color w:val="000000"/>
          <w:sz w:val="24"/>
          <w:szCs w:val="24"/>
        </w:rPr>
      </w:pPr>
    </w:p>
    <w:p w14:paraId="6256B78C" w14:textId="77777777" w:rsidR="00B87878" w:rsidRDefault="00000000">
      <w:pPr>
        <w:pStyle w:val="Ttulo"/>
        <w:numPr>
          <w:ilvl w:val="0"/>
          <w:numId w:val="5"/>
        </w:numPr>
        <w:spacing w:after="160" w:line="360" w:lineRule="auto"/>
        <w:jc w:val="both"/>
        <w:rPr>
          <w:rFonts w:ascii="Times New Roman" w:eastAsia="Times New Roman" w:hAnsi="Times New Roman" w:cs="Times New Roman"/>
          <w:b/>
          <w:sz w:val="24"/>
          <w:szCs w:val="24"/>
        </w:rPr>
      </w:pPr>
      <w:bookmarkStart w:id="8" w:name="_my3at6wy6c49" w:colFirst="0" w:colLast="0"/>
      <w:bookmarkEnd w:id="8"/>
      <w:r>
        <w:rPr>
          <w:rFonts w:ascii="Times New Roman" w:eastAsia="Times New Roman" w:hAnsi="Times New Roman" w:cs="Times New Roman"/>
          <w:b/>
          <w:sz w:val="24"/>
          <w:szCs w:val="24"/>
        </w:rPr>
        <w:t xml:space="preserve">DATOS OBTENIDOS A PARTIR DE INFORMACIÓN PÚBLICA PROPORCIONADA POR INSTITUCIONES: </w:t>
      </w:r>
    </w:p>
    <w:p w14:paraId="33CC6BF3"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ODJ solicitó información a la Corte Constitucional, Fiscalía y Ministerio de Salud Pública para evaluar la implementación de la ley de interrupción voluntaria del embarazo y comparar el avance con el período previo a la sentencia constitucional.</w:t>
      </w:r>
    </w:p>
    <w:p w14:paraId="445606F2" w14:textId="77777777" w:rsidR="00B87878" w:rsidRDefault="00000000">
      <w:pPr>
        <w:pStyle w:val="Ttulo1"/>
        <w:numPr>
          <w:ilvl w:val="1"/>
          <w:numId w:val="5"/>
        </w:numPr>
        <w:spacing w:before="240" w:after="200" w:line="259" w:lineRule="auto"/>
        <w:rPr>
          <w:b/>
        </w:rPr>
      </w:pPr>
      <w:bookmarkStart w:id="9" w:name="_acuiv0prwnvu" w:colFirst="0" w:colLast="0"/>
      <w:bookmarkEnd w:id="9"/>
      <w:r>
        <w:rPr>
          <w:rFonts w:ascii="Times New Roman" w:eastAsia="Times New Roman" w:hAnsi="Times New Roman" w:cs="Times New Roman"/>
          <w:b/>
          <w:sz w:val="28"/>
          <w:szCs w:val="28"/>
        </w:rPr>
        <w:t>Corte Constitucional del Ecuador: Sobre las impugnaciones a la LORIVE mediante Acción de Inconstitucionalidad:</w:t>
      </w:r>
    </w:p>
    <w:p w14:paraId="33553833"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Diversas organizaciones feministas y de derechos reproductivos han presentado 15 acciones de inconstitucionalidad contra la LORIVE</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Entre estas, se incluye una acción por incumplimiento de sentencia, que fue negada y archivada</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Las acciones, interpuestas entre 2022 y 2023, buscan impugnar tanto el contenido como la forma de la ley, publicada el 29 de abril de 2022 en el suplemento 53 del Registro Oficial. A continuación, se muestra el desglose de cada acción:</w:t>
      </w:r>
    </w:p>
    <w:tbl>
      <w:tblPr>
        <w:tblStyle w:val="a"/>
        <w:tblW w:w="11130" w:type="dxa"/>
        <w:tblInd w:w="-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
        <w:gridCol w:w="1395"/>
        <w:gridCol w:w="3285"/>
        <w:gridCol w:w="4605"/>
        <w:gridCol w:w="1335"/>
      </w:tblGrid>
      <w:tr w:rsidR="00B87878" w14:paraId="1617BFAC" w14:textId="77777777">
        <w:trPr>
          <w:trHeight w:val="313"/>
        </w:trPr>
        <w:tc>
          <w:tcPr>
            <w:tcW w:w="510" w:type="dxa"/>
          </w:tcPr>
          <w:p w14:paraId="6759BE8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395" w:type="dxa"/>
          </w:tcPr>
          <w:p w14:paraId="78EF8EF1"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Nro. Caso</w:t>
            </w:r>
          </w:p>
        </w:tc>
        <w:tc>
          <w:tcPr>
            <w:tcW w:w="3285" w:type="dxa"/>
          </w:tcPr>
          <w:p w14:paraId="194BB973"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Tipo de acción</w:t>
            </w:r>
          </w:p>
        </w:tc>
        <w:tc>
          <w:tcPr>
            <w:tcW w:w="4605" w:type="dxa"/>
          </w:tcPr>
          <w:p w14:paraId="09163B0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Accionante</w:t>
            </w:r>
          </w:p>
        </w:tc>
        <w:tc>
          <w:tcPr>
            <w:tcW w:w="1335" w:type="dxa"/>
          </w:tcPr>
          <w:p w14:paraId="34E37BF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Estado</w:t>
            </w:r>
          </w:p>
        </w:tc>
      </w:tr>
      <w:tr w:rsidR="00B87878" w14:paraId="3B784BD8" w14:textId="77777777">
        <w:trPr>
          <w:trHeight w:val="611"/>
        </w:trPr>
        <w:tc>
          <w:tcPr>
            <w:tcW w:w="510" w:type="dxa"/>
          </w:tcPr>
          <w:p w14:paraId="2820F683"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395" w:type="dxa"/>
          </w:tcPr>
          <w:p w14:paraId="139DCEF1"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41-22-IN</w:t>
            </w:r>
          </w:p>
        </w:tc>
        <w:tc>
          <w:tcPr>
            <w:tcW w:w="3285" w:type="dxa"/>
          </w:tcPr>
          <w:p w14:paraId="2818B4BD"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56DA918C"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1A0E8E5D"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090315F8" w14:textId="77777777">
        <w:trPr>
          <w:trHeight w:val="611"/>
        </w:trPr>
        <w:tc>
          <w:tcPr>
            <w:tcW w:w="510" w:type="dxa"/>
          </w:tcPr>
          <w:p w14:paraId="110270F1"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395" w:type="dxa"/>
          </w:tcPr>
          <w:p w14:paraId="25B38E5E"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44-22-IN</w:t>
            </w:r>
          </w:p>
        </w:tc>
        <w:tc>
          <w:tcPr>
            <w:tcW w:w="3285" w:type="dxa"/>
          </w:tcPr>
          <w:p w14:paraId="74696431"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Acción de inconstitucionalidad </w:t>
            </w:r>
          </w:p>
        </w:tc>
        <w:tc>
          <w:tcPr>
            <w:tcW w:w="4605" w:type="dxa"/>
          </w:tcPr>
          <w:p w14:paraId="0A35A6E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4750FCE7"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60A86BB9" w14:textId="77777777">
        <w:trPr>
          <w:trHeight w:val="627"/>
        </w:trPr>
        <w:tc>
          <w:tcPr>
            <w:tcW w:w="510" w:type="dxa"/>
          </w:tcPr>
          <w:p w14:paraId="566E7BB9"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1395" w:type="dxa"/>
          </w:tcPr>
          <w:p w14:paraId="678D3DA0"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46-22-IN</w:t>
            </w:r>
          </w:p>
        </w:tc>
        <w:tc>
          <w:tcPr>
            <w:tcW w:w="3285" w:type="dxa"/>
          </w:tcPr>
          <w:p w14:paraId="3081FFAA"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0639DCC0"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74D669DE"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2D8F4266" w14:textId="77777777">
        <w:trPr>
          <w:trHeight w:val="611"/>
        </w:trPr>
        <w:tc>
          <w:tcPr>
            <w:tcW w:w="510" w:type="dxa"/>
          </w:tcPr>
          <w:p w14:paraId="38397EA3"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1395" w:type="dxa"/>
          </w:tcPr>
          <w:p w14:paraId="10BBF24F"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47-22-IN</w:t>
            </w:r>
          </w:p>
        </w:tc>
        <w:tc>
          <w:tcPr>
            <w:tcW w:w="3285" w:type="dxa"/>
          </w:tcPr>
          <w:p w14:paraId="154B71EE"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0A5E77E7"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652A947C"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51DDD063" w14:textId="77777777">
        <w:trPr>
          <w:trHeight w:val="627"/>
        </w:trPr>
        <w:tc>
          <w:tcPr>
            <w:tcW w:w="510" w:type="dxa"/>
          </w:tcPr>
          <w:p w14:paraId="6BF3055D"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1395" w:type="dxa"/>
          </w:tcPr>
          <w:p w14:paraId="6521B778"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66-22-IN</w:t>
            </w:r>
          </w:p>
        </w:tc>
        <w:tc>
          <w:tcPr>
            <w:tcW w:w="3285" w:type="dxa"/>
          </w:tcPr>
          <w:p w14:paraId="59886C01"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61A45467"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7846DEC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606A71D3" w14:textId="77777777">
        <w:trPr>
          <w:trHeight w:val="611"/>
        </w:trPr>
        <w:tc>
          <w:tcPr>
            <w:tcW w:w="510" w:type="dxa"/>
          </w:tcPr>
          <w:p w14:paraId="45903A1C"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6</w:t>
            </w:r>
          </w:p>
        </w:tc>
        <w:tc>
          <w:tcPr>
            <w:tcW w:w="1395" w:type="dxa"/>
          </w:tcPr>
          <w:p w14:paraId="49121D56"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74-22-IN</w:t>
            </w:r>
          </w:p>
        </w:tc>
        <w:tc>
          <w:tcPr>
            <w:tcW w:w="3285" w:type="dxa"/>
          </w:tcPr>
          <w:p w14:paraId="56FC4BED"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27F99B37"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2DC457D6"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1D885204" w14:textId="77777777">
        <w:trPr>
          <w:trHeight w:val="627"/>
        </w:trPr>
        <w:tc>
          <w:tcPr>
            <w:tcW w:w="510" w:type="dxa"/>
          </w:tcPr>
          <w:p w14:paraId="6E9D979F"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1395" w:type="dxa"/>
          </w:tcPr>
          <w:p w14:paraId="2ECEA526"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76-22-IN</w:t>
            </w:r>
          </w:p>
        </w:tc>
        <w:tc>
          <w:tcPr>
            <w:tcW w:w="3285" w:type="dxa"/>
          </w:tcPr>
          <w:p w14:paraId="48A27C58"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1C891822"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526F93DC"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1225613C" w14:textId="77777777">
        <w:trPr>
          <w:trHeight w:val="611"/>
        </w:trPr>
        <w:tc>
          <w:tcPr>
            <w:tcW w:w="510" w:type="dxa"/>
          </w:tcPr>
          <w:p w14:paraId="11BF16EF"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1395" w:type="dxa"/>
          </w:tcPr>
          <w:p w14:paraId="6ADF7A21"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84-22-IN</w:t>
            </w:r>
          </w:p>
        </w:tc>
        <w:tc>
          <w:tcPr>
            <w:tcW w:w="3285" w:type="dxa"/>
          </w:tcPr>
          <w:p w14:paraId="1A5D43BE"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06FC9E54"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2452A8E0"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2B36D3B3" w14:textId="77777777">
        <w:trPr>
          <w:trHeight w:val="611"/>
        </w:trPr>
        <w:tc>
          <w:tcPr>
            <w:tcW w:w="510" w:type="dxa"/>
          </w:tcPr>
          <w:p w14:paraId="3F0FF5B1"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p>
        </w:tc>
        <w:tc>
          <w:tcPr>
            <w:tcW w:w="1395" w:type="dxa"/>
          </w:tcPr>
          <w:p w14:paraId="6251584C"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93-22-IN</w:t>
            </w:r>
          </w:p>
        </w:tc>
        <w:tc>
          <w:tcPr>
            <w:tcW w:w="3285" w:type="dxa"/>
          </w:tcPr>
          <w:p w14:paraId="65B54302"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75D8970A"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11274961"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40641864" w14:textId="77777777">
        <w:trPr>
          <w:trHeight w:val="611"/>
        </w:trPr>
        <w:tc>
          <w:tcPr>
            <w:tcW w:w="510" w:type="dxa"/>
          </w:tcPr>
          <w:p w14:paraId="71643C1D"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p>
        </w:tc>
        <w:tc>
          <w:tcPr>
            <w:tcW w:w="1395" w:type="dxa"/>
          </w:tcPr>
          <w:p w14:paraId="2D630651"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30-23-IN</w:t>
            </w:r>
          </w:p>
        </w:tc>
        <w:tc>
          <w:tcPr>
            <w:tcW w:w="3285" w:type="dxa"/>
          </w:tcPr>
          <w:p w14:paraId="4AF62CEA"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6125DE87"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04D6D2DD"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6817D160" w14:textId="77777777">
        <w:trPr>
          <w:trHeight w:val="627"/>
        </w:trPr>
        <w:tc>
          <w:tcPr>
            <w:tcW w:w="510" w:type="dxa"/>
          </w:tcPr>
          <w:p w14:paraId="5B087F54"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p>
        </w:tc>
        <w:tc>
          <w:tcPr>
            <w:tcW w:w="1395" w:type="dxa"/>
          </w:tcPr>
          <w:p w14:paraId="7009B2E6"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31-23-IN</w:t>
            </w:r>
          </w:p>
        </w:tc>
        <w:tc>
          <w:tcPr>
            <w:tcW w:w="3285" w:type="dxa"/>
          </w:tcPr>
          <w:p w14:paraId="3F21054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70D4925D"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25FFF99D"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Admitida</w:t>
            </w:r>
          </w:p>
        </w:tc>
      </w:tr>
      <w:tr w:rsidR="00B87878" w14:paraId="7BBC320D" w14:textId="77777777">
        <w:trPr>
          <w:trHeight w:val="611"/>
        </w:trPr>
        <w:tc>
          <w:tcPr>
            <w:tcW w:w="510" w:type="dxa"/>
          </w:tcPr>
          <w:p w14:paraId="74C84BCE"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p>
        </w:tc>
        <w:tc>
          <w:tcPr>
            <w:tcW w:w="1395" w:type="dxa"/>
          </w:tcPr>
          <w:p w14:paraId="4311084F"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32-23-IN</w:t>
            </w:r>
          </w:p>
        </w:tc>
        <w:tc>
          <w:tcPr>
            <w:tcW w:w="3285" w:type="dxa"/>
          </w:tcPr>
          <w:p w14:paraId="7F789CE1"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5127704E"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710C30E2"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Inadmitida</w:t>
            </w:r>
          </w:p>
        </w:tc>
      </w:tr>
      <w:tr w:rsidR="00B87878" w14:paraId="7086C104" w14:textId="77777777">
        <w:trPr>
          <w:trHeight w:val="611"/>
        </w:trPr>
        <w:tc>
          <w:tcPr>
            <w:tcW w:w="510" w:type="dxa"/>
          </w:tcPr>
          <w:p w14:paraId="7DD928E9"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p>
        </w:tc>
        <w:tc>
          <w:tcPr>
            <w:tcW w:w="1395" w:type="dxa"/>
          </w:tcPr>
          <w:p w14:paraId="0F036D28"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39-22-IN</w:t>
            </w:r>
          </w:p>
        </w:tc>
        <w:tc>
          <w:tcPr>
            <w:tcW w:w="3285" w:type="dxa"/>
          </w:tcPr>
          <w:p w14:paraId="117F4A6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5B565E6F"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anti derechos </w:t>
            </w:r>
          </w:p>
        </w:tc>
        <w:tc>
          <w:tcPr>
            <w:tcW w:w="1335" w:type="dxa"/>
          </w:tcPr>
          <w:p w14:paraId="1B719C52" w14:textId="77777777" w:rsidR="00B87878"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Inadmitida</w:t>
            </w:r>
          </w:p>
        </w:tc>
      </w:tr>
      <w:tr w:rsidR="00B87878" w14:paraId="2573E87F" w14:textId="77777777">
        <w:trPr>
          <w:trHeight w:val="611"/>
        </w:trPr>
        <w:tc>
          <w:tcPr>
            <w:tcW w:w="510" w:type="dxa"/>
          </w:tcPr>
          <w:p w14:paraId="7CA79E60"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p>
        </w:tc>
        <w:tc>
          <w:tcPr>
            <w:tcW w:w="1395" w:type="dxa"/>
          </w:tcPr>
          <w:p w14:paraId="4573C6AE"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107-23-IN</w:t>
            </w:r>
          </w:p>
        </w:tc>
        <w:tc>
          <w:tcPr>
            <w:tcW w:w="3285" w:type="dxa"/>
          </w:tcPr>
          <w:p w14:paraId="0599DA28"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Acción de inconstitucionalidad</w:t>
            </w:r>
          </w:p>
        </w:tc>
        <w:tc>
          <w:tcPr>
            <w:tcW w:w="4605" w:type="dxa"/>
          </w:tcPr>
          <w:p w14:paraId="7A52D4F1"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56C02C64" w14:textId="77777777" w:rsidR="00B87878"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Acción Inadmitida</w:t>
            </w:r>
          </w:p>
        </w:tc>
      </w:tr>
      <w:tr w:rsidR="00B87878" w14:paraId="29642C7A" w14:textId="77777777">
        <w:trPr>
          <w:trHeight w:val="611"/>
        </w:trPr>
        <w:tc>
          <w:tcPr>
            <w:tcW w:w="510" w:type="dxa"/>
          </w:tcPr>
          <w:p w14:paraId="6AAB26C0"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c>
          <w:tcPr>
            <w:tcW w:w="1395" w:type="dxa"/>
          </w:tcPr>
          <w:p w14:paraId="42FA930E"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64-24-IN</w:t>
            </w:r>
          </w:p>
        </w:tc>
        <w:tc>
          <w:tcPr>
            <w:tcW w:w="3285" w:type="dxa"/>
          </w:tcPr>
          <w:p w14:paraId="21E84ADE"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Acción de inconstitucionalidad </w:t>
            </w:r>
          </w:p>
        </w:tc>
        <w:tc>
          <w:tcPr>
            <w:tcW w:w="4605" w:type="dxa"/>
          </w:tcPr>
          <w:p w14:paraId="678CE4C3"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Grupo </w:t>
            </w:r>
            <w:proofErr w:type="spellStart"/>
            <w:r>
              <w:rPr>
                <w:rFonts w:ascii="Times New Roman" w:eastAsia="Times New Roman" w:hAnsi="Times New Roman" w:cs="Times New Roman"/>
                <w:sz w:val="24"/>
                <w:szCs w:val="24"/>
              </w:rPr>
              <w:t>pro-decisión</w:t>
            </w:r>
            <w:proofErr w:type="spellEnd"/>
          </w:p>
        </w:tc>
        <w:tc>
          <w:tcPr>
            <w:tcW w:w="1335" w:type="dxa"/>
          </w:tcPr>
          <w:p w14:paraId="2330FCEF" w14:textId="77777777" w:rsidR="00B87878"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Acción pendiente de admisión</w:t>
            </w:r>
          </w:p>
        </w:tc>
      </w:tr>
      <w:tr w:rsidR="00B87878" w14:paraId="4F37700F" w14:textId="77777777">
        <w:trPr>
          <w:trHeight w:val="611"/>
        </w:trPr>
        <w:tc>
          <w:tcPr>
            <w:tcW w:w="510" w:type="dxa"/>
          </w:tcPr>
          <w:p w14:paraId="030AFB06"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16</w:t>
            </w:r>
          </w:p>
        </w:tc>
        <w:tc>
          <w:tcPr>
            <w:tcW w:w="1395" w:type="dxa"/>
          </w:tcPr>
          <w:p w14:paraId="574CB938"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155-22/IS</w:t>
            </w:r>
          </w:p>
        </w:tc>
        <w:tc>
          <w:tcPr>
            <w:tcW w:w="3285" w:type="dxa"/>
          </w:tcPr>
          <w:p w14:paraId="356A815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Incumplimiento de Sentencias y Dictámenes</w:t>
            </w:r>
          </w:p>
        </w:tc>
        <w:tc>
          <w:tcPr>
            <w:tcW w:w="4605" w:type="dxa"/>
          </w:tcPr>
          <w:p w14:paraId="51F1024E"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Fundación Desafío, Trenzando Feminismos, </w:t>
            </w:r>
            <w:proofErr w:type="spellStart"/>
            <w:r>
              <w:rPr>
                <w:rFonts w:ascii="Times New Roman" w:eastAsia="Times New Roman" w:hAnsi="Times New Roman" w:cs="Times New Roman"/>
                <w:sz w:val="24"/>
                <w:szCs w:val="24"/>
              </w:rPr>
              <w:t>Akila</w:t>
            </w:r>
            <w:proofErr w:type="spellEnd"/>
            <w:r>
              <w:rPr>
                <w:rFonts w:ascii="Times New Roman" w:eastAsia="Times New Roman" w:hAnsi="Times New Roman" w:cs="Times New Roman"/>
                <w:sz w:val="24"/>
                <w:szCs w:val="24"/>
              </w:rPr>
              <w:t xml:space="preserve"> Dignidad, El Empute, Angelica </w:t>
            </w:r>
          </w:p>
          <w:p w14:paraId="25F2556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Porras Velasco, Richard Gonzáles Dávila</w:t>
            </w:r>
          </w:p>
        </w:tc>
        <w:tc>
          <w:tcPr>
            <w:tcW w:w="1335" w:type="dxa"/>
          </w:tcPr>
          <w:p w14:paraId="5CC36646" w14:textId="77777777" w:rsidR="00B87878"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Desestimada</w:t>
            </w:r>
          </w:p>
        </w:tc>
      </w:tr>
    </w:tbl>
    <w:p w14:paraId="1CD2C71E" w14:textId="77777777" w:rsidR="00B87878" w:rsidRDefault="00000000">
      <w:pPr>
        <w:spacing w:before="200" w:after="160" w:line="360" w:lineRule="auto"/>
        <w:jc w:val="both"/>
        <w:rPr>
          <w:rFonts w:ascii="Calibri" w:eastAsia="Calibri" w:hAnsi="Calibri" w:cs="Calibri"/>
        </w:rPr>
      </w:pPr>
      <w:r>
        <w:rPr>
          <w:rFonts w:ascii="Times New Roman" w:eastAsia="Times New Roman" w:hAnsi="Times New Roman" w:cs="Times New Roman"/>
          <w:sz w:val="24"/>
          <w:szCs w:val="24"/>
        </w:rPr>
        <w:t xml:space="preserve">Hasta </w:t>
      </w:r>
      <w:proofErr w:type="gramStart"/>
      <w:r>
        <w:rPr>
          <w:rFonts w:ascii="Times New Roman" w:eastAsia="Times New Roman" w:hAnsi="Times New Roman" w:cs="Times New Roman"/>
          <w:sz w:val="24"/>
          <w:szCs w:val="24"/>
        </w:rPr>
        <w:t>Septiembre</w:t>
      </w:r>
      <w:proofErr w:type="gramEnd"/>
      <w:r>
        <w:rPr>
          <w:rFonts w:ascii="Times New Roman" w:eastAsia="Times New Roman" w:hAnsi="Times New Roman" w:cs="Times New Roman"/>
          <w:sz w:val="24"/>
          <w:szCs w:val="24"/>
        </w:rPr>
        <w:t xml:space="preserve"> de 2024, de las 16 acciones de inconstitucionalidad contra la LORIVE, 11 están admitidas y pendientes de sentencia, 3 inadmitidas, y una pendiente de admisión. Además, una acción de Incumplimiento de Sentencias ha sido desestimada. Grupos opositores han intentado retrasar el proceso con tácticas como demandas de recusación a jueces constitucionales para limitar el acceso a la justicia y de igual manera han buscado elevar actores de oposición a los derechos sexuales y reproductivos y al </w:t>
      </w:r>
      <w:proofErr w:type="spellStart"/>
      <w:r>
        <w:rPr>
          <w:rFonts w:ascii="Times New Roman" w:eastAsia="Times New Roman" w:hAnsi="Times New Roman" w:cs="Times New Roman"/>
          <w:sz w:val="24"/>
          <w:szCs w:val="24"/>
        </w:rPr>
        <w:t>oborto</w:t>
      </w:r>
      <w:proofErr w:type="spellEnd"/>
      <w:r>
        <w:rPr>
          <w:rFonts w:ascii="Times New Roman" w:eastAsia="Times New Roman" w:hAnsi="Times New Roman" w:cs="Times New Roman"/>
          <w:sz w:val="24"/>
          <w:szCs w:val="24"/>
        </w:rPr>
        <w:t xml:space="preserve"> por medio del envío de Amicus Curiae.</w:t>
      </w:r>
    </w:p>
    <w:p w14:paraId="5D2D914E" w14:textId="77777777" w:rsidR="00B87878" w:rsidRDefault="00000000">
      <w:pPr>
        <w:pStyle w:val="Ttulo2"/>
        <w:numPr>
          <w:ilvl w:val="2"/>
          <w:numId w:val="5"/>
        </w:numPr>
        <w:spacing w:before="0" w:after="160" w:line="360" w:lineRule="auto"/>
        <w:jc w:val="both"/>
        <w:rPr>
          <w:rFonts w:ascii="Times New Roman" w:eastAsia="Times New Roman" w:hAnsi="Times New Roman" w:cs="Times New Roman"/>
          <w:i/>
          <w:sz w:val="24"/>
          <w:szCs w:val="24"/>
        </w:rPr>
      </w:pPr>
      <w:bookmarkStart w:id="10" w:name="_py5ezeybl9pp" w:colFirst="0" w:colLast="0"/>
      <w:bookmarkEnd w:id="10"/>
      <w:r>
        <w:rPr>
          <w:rFonts w:ascii="Times New Roman" w:eastAsia="Times New Roman" w:hAnsi="Times New Roman" w:cs="Times New Roman"/>
          <w:b/>
          <w:i/>
          <w:sz w:val="24"/>
          <w:szCs w:val="24"/>
        </w:rPr>
        <w:t xml:space="preserve">Normas suspendidas temporalmente por la CCE. </w:t>
      </w:r>
    </w:p>
    <w:p w14:paraId="382C3B26"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acciones que impugnan la LORIVE han llevado a la suspensión temporal de varias normas relacionadas con la interrupción voluntaria del embarazo en casos de violación. En particular, la causa 41-22-IN ha resultado en la suspensión de ciertas disposiciones de la ley:</w:t>
      </w:r>
    </w:p>
    <w:tbl>
      <w:tblPr>
        <w:tblStyle w:val="a0"/>
        <w:tblW w:w="11010" w:type="dxa"/>
        <w:tblInd w:w="-9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7"/>
        <w:gridCol w:w="3118"/>
        <w:gridCol w:w="2310"/>
        <w:gridCol w:w="2985"/>
      </w:tblGrid>
      <w:tr w:rsidR="00B87878" w14:paraId="4194CF94" w14:textId="77777777">
        <w:trPr>
          <w:trHeight w:val="3101"/>
        </w:trPr>
        <w:tc>
          <w:tcPr>
            <w:tcW w:w="2596" w:type="dxa"/>
            <w:shd w:val="clear" w:color="auto" w:fill="auto"/>
            <w:tcMar>
              <w:top w:w="100" w:type="dxa"/>
              <w:left w:w="100" w:type="dxa"/>
              <w:bottom w:w="100" w:type="dxa"/>
              <w:right w:w="100" w:type="dxa"/>
            </w:tcMar>
          </w:tcPr>
          <w:p w14:paraId="13E5E42B"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Artículo 5 literal a)</w:t>
            </w:r>
            <w:r>
              <w:rPr>
                <w:rFonts w:ascii="Times New Roman" w:eastAsia="Times New Roman" w:hAnsi="Times New Roman" w:cs="Times New Roman"/>
                <w:sz w:val="24"/>
                <w:szCs w:val="24"/>
              </w:rPr>
              <w:t xml:space="preserve"> en la frase</w:t>
            </w:r>
            <w:r>
              <w:rPr>
                <w:rFonts w:ascii="Times New Roman" w:eastAsia="Times New Roman" w:hAnsi="Times New Roman" w:cs="Times New Roman"/>
                <w:i/>
                <w:sz w:val="24"/>
                <w:szCs w:val="24"/>
              </w:rPr>
              <w:t xml:space="preserve"> “o de aborto consentido”</w:t>
            </w:r>
          </w:p>
        </w:tc>
        <w:tc>
          <w:tcPr>
            <w:tcW w:w="3118" w:type="dxa"/>
            <w:shd w:val="clear" w:color="auto" w:fill="auto"/>
            <w:tcMar>
              <w:top w:w="100" w:type="dxa"/>
              <w:left w:w="100" w:type="dxa"/>
              <w:bottom w:w="100" w:type="dxa"/>
              <w:right w:w="100" w:type="dxa"/>
            </w:tcMar>
          </w:tcPr>
          <w:p w14:paraId="756F0468" w14:textId="77777777" w:rsidR="00B87878" w:rsidRDefault="00000000">
            <w:pPr>
              <w:spacing w:after="16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Artículo 5, literal g</w:t>
            </w:r>
            <w:r>
              <w:rPr>
                <w:rFonts w:ascii="Times New Roman" w:eastAsia="Times New Roman" w:hAnsi="Times New Roman" w:cs="Times New Roman"/>
                <w:sz w:val="24"/>
                <w:szCs w:val="24"/>
              </w:rPr>
              <w:t xml:space="preserve">, sobre el </w:t>
            </w:r>
            <w:r>
              <w:rPr>
                <w:rFonts w:ascii="Times New Roman" w:eastAsia="Times New Roman" w:hAnsi="Times New Roman" w:cs="Times New Roman"/>
                <w:i/>
                <w:sz w:val="24"/>
                <w:szCs w:val="24"/>
              </w:rPr>
              <w:t>Principio de autonomía que asegura que las personas tomen decisiones libres e informadas sobre su cuerpo, respetando sus valores y creencias.</w:t>
            </w:r>
          </w:p>
        </w:tc>
        <w:tc>
          <w:tcPr>
            <w:tcW w:w="2310" w:type="dxa"/>
            <w:shd w:val="clear" w:color="auto" w:fill="auto"/>
            <w:tcMar>
              <w:top w:w="100" w:type="dxa"/>
              <w:left w:w="100" w:type="dxa"/>
              <w:bottom w:w="100" w:type="dxa"/>
              <w:right w:w="100" w:type="dxa"/>
            </w:tcMar>
          </w:tcPr>
          <w:p w14:paraId="3F09123A"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21,</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en los numeral 1, 2, 3 y 4</w:t>
            </w:r>
            <w:r>
              <w:rPr>
                <w:rFonts w:ascii="Times New Roman" w:eastAsia="Times New Roman" w:hAnsi="Times New Roman" w:cs="Times New Roman"/>
                <w:sz w:val="24"/>
                <w:szCs w:val="24"/>
              </w:rPr>
              <w:t xml:space="preserve"> completos;</w:t>
            </w:r>
          </w:p>
        </w:tc>
        <w:tc>
          <w:tcPr>
            <w:tcW w:w="2985" w:type="dxa"/>
            <w:shd w:val="clear" w:color="auto" w:fill="auto"/>
            <w:tcMar>
              <w:top w:w="100" w:type="dxa"/>
              <w:left w:w="100" w:type="dxa"/>
              <w:bottom w:w="100" w:type="dxa"/>
              <w:right w:w="100" w:type="dxa"/>
            </w:tcMar>
          </w:tcPr>
          <w:p w14:paraId="5A0D0C11" w14:textId="77777777" w:rsidR="00B8787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21,</w:t>
            </w:r>
            <w:r>
              <w:rPr>
                <w:rFonts w:ascii="Times New Roman" w:eastAsia="Times New Roman" w:hAnsi="Times New Roman" w:cs="Times New Roman"/>
                <w:sz w:val="24"/>
                <w:szCs w:val="24"/>
              </w:rPr>
              <w:t xml:space="preserve"> frase inicial: </w:t>
            </w:r>
            <w:r>
              <w:rPr>
                <w:rFonts w:ascii="Times New Roman" w:eastAsia="Times New Roman" w:hAnsi="Times New Roman" w:cs="Times New Roman"/>
                <w:i/>
                <w:sz w:val="24"/>
                <w:szCs w:val="24"/>
              </w:rPr>
              <w:t xml:space="preserve">“El consentimiento se entenderá informado siempre que se cumpla con lo establecido a continuación” </w:t>
            </w:r>
            <w:r>
              <w:rPr>
                <w:rFonts w:ascii="Times New Roman" w:eastAsia="Times New Roman" w:hAnsi="Times New Roman" w:cs="Times New Roman"/>
                <w:sz w:val="24"/>
                <w:szCs w:val="24"/>
              </w:rPr>
              <w:t xml:space="preserve">y </w:t>
            </w:r>
            <w:r>
              <w:rPr>
                <w:rFonts w:ascii="Times New Roman" w:eastAsia="Times New Roman" w:hAnsi="Times New Roman" w:cs="Times New Roman"/>
                <w:i/>
                <w:sz w:val="24"/>
                <w:szCs w:val="24"/>
              </w:rPr>
              <w:t>“realizar una ecografía para”.</w:t>
            </w:r>
          </w:p>
        </w:tc>
      </w:tr>
      <w:tr w:rsidR="00B87878" w14:paraId="43E8DA61" w14:textId="77777777">
        <w:trPr>
          <w:trHeight w:val="440"/>
        </w:trPr>
        <w:tc>
          <w:tcPr>
            <w:tcW w:w="5714" w:type="dxa"/>
            <w:gridSpan w:val="2"/>
            <w:shd w:val="clear" w:color="auto" w:fill="auto"/>
            <w:tcMar>
              <w:top w:w="100" w:type="dxa"/>
              <w:left w:w="100" w:type="dxa"/>
              <w:bottom w:w="100" w:type="dxa"/>
              <w:right w:w="100" w:type="dxa"/>
            </w:tcMar>
          </w:tcPr>
          <w:p w14:paraId="04EC2DB9"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12, numeral </w:t>
            </w:r>
            <w:proofErr w:type="gramStart"/>
            <w:r>
              <w:rPr>
                <w:rFonts w:ascii="Times New Roman" w:eastAsia="Times New Roman" w:hAnsi="Times New Roman" w:cs="Times New Roman"/>
                <w:b/>
                <w:sz w:val="24"/>
                <w:szCs w:val="24"/>
              </w:rPr>
              <w:t xml:space="preserve">6,  </w:t>
            </w:r>
            <w:r>
              <w:rPr>
                <w:rFonts w:ascii="Times New Roman" w:eastAsia="Times New Roman" w:hAnsi="Times New Roman" w:cs="Times New Roman"/>
                <w:sz w:val="24"/>
                <w:szCs w:val="24"/>
              </w:rPr>
              <w:t>El</w:t>
            </w:r>
            <w:proofErr w:type="gramEnd"/>
            <w:r>
              <w:rPr>
                <w:rFonts w:ascii="Times New Roman" w:eastAsia="Times New Roman" w:hAnsi="Times New Roman" w:cs="Times New Roman"/>
                <w:sz w:val="24"/>
                <w:szCs w:val="24"/>
              </w:rPr>
              <w:t xml:space="preserve"> Estado adaptará los procesos de interrupción del embarazo por violación a las necesidades de niñas y adolescentes, asegurando que puedan expresar su opinión.</w:t>
            </w:r>
          </w:p>
        </w:tc>
        <w:tc>
          <w:tcPr>
            <w:tcW w:w="5295" w:type="dxa"/>
            <w:gridSpan w:val="2"/>
            <w:shd w:val="clear" w:color="auto" w:fill="auto"/>
            <w:tcMar>
              <w:top w:w="100" w:type="dxa"/>
              <w:left w:w="100" w:type="dxa"/>
              <w:bottom w:w="100" w:type="dxa"/>
              <w:right w:w="100" w:type="dxa"/>
            </w:tcMar>
          </w:tcPr>
          <w:p w14:paraId="73A2B439"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22, numeral 6, </w:t>
            </w:r>
            <w:r>
              <w:rPr>
                <w:rFonts w:ascii="Times New Roman" w:eastAsia="Times New Roman" w:hAnsi="Times New Roman" w:cs="Times New Roman"/>
                <w:sz w:val="24"/>
                <w:szCs w:val="24"/>
              </w:rPr>
              <w:t>El Estado proveerá intérpretes para asegurar que quienes necesiten interrumpir un embarazo por violación puedan entender la información y dar su consentimiento informado.</w:t>
            </w:r>
          </w:p>
        </w:tc>
      </w:tr>
    </w:tbl>
    <w:p w14:paraId="570E95D3" w14:textId="77777777" w:rsidR="00B87878" w:rsidRDefault="00000000">
      <w:pPr>
        <w:spacing w:before="20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causa 76-22-IN recibió medidas cautelares que suspendieron provisionalmente el artículo 19, que establece los requisitos para la interrupción voluntaria del embarazo. En la causa 93-22-IN, se suspendió la aplicación de ciertas normas relacionadas con el aborto: </w:t>
      </w:r>
    </w:p>
    <w:tbl>
      <w:tblPr>
        <w:tblStyle w:val="a1"/>
        <w:tblW w:w="11028" w:type="dxa"/>
        <w:tblInd w:w="-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0"/>
        <w:gridCol w:w="2805"/>
        <w:gridCol w:w="2640"/>
        <w:gridCol w:w="2793"/>
      </w:tblGrid>
      <w:tr w:rsidR="00B87878" w14:paraId="1624C366" w14:textId="77777777">
        <w:trPr>
          <w:trHeight w:val="8415"/>
        </w:trPr>
        <w:tc>
          <w:tcPr>
            <w:tcW w:w="2790" w:type="dxa"/>
            <w:shd w:val="clear" w:color="auto" w:fill="auto"/>
            <w:tcMar>
              <w:top w:w="100" w:type="dxa"/>
              <w:left w:w="100" w:type="dxa"/>
              <w:bottom w:w="100" w:type="dxa"/>
              <w:right w:w="100" w:type="dxa"/>
            </w:tcMar>
          </w:tcPr>
          <w:p w14:paraId="6596B0A4"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Artículo 24, numeral 10</w:t>
            </w:r>
            <w:r>
              <w:rPr>
                <w:rFonts w:ascii="Times New Roman" w:eastAsia="Times New Roman" w:hAnsi="Times New Roman" w:cs="Times New Roman"/>
                <w:sz w:val="24"/>
                <w:szCs w:val="24"/>
              </w:rPr>
              <w:t>, Un profesional de salud objetor debe derivar sin demoras a la víctima a un centro adecuado para el aborto, indicando la fecha de la solicitud para evitar retrasos.</w:t>
            </w:r>
          </w:p>
          <w:p w14:paraId="6103807B"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24, numeral 11, </w:t>
            </w:r>
            <w:r>
              <w:rPr>
                <w:rFonts w:ascii="Times New Roman" w:eastAsia="Times New Roman" w:hAnsi="Times New Roman" w:cs="Times New Roman"/>
                <w:sz w:val="24"/>
                <w:szCs w:val="24"/>
              </w:rPr>
              <w:t>El procedimiento de aborto en casos de violación no excluye el deber del profesional de salud de denunciar y colaborar con la investigación del delito.</w:t>
            </w:r>
          </w:p>
          <w:p w14:paraId="5E64E704" w14:textId="77777777" w:rsidR="00B87878" w:rsidRDefault="00B8787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2805" w:type="dxa"/>
            <w:shd w:val="clear" w:color="auto" w:fill="auto"/>
            <w:tcMar>
              <w:top w:w="100" w:type="dxa"/>
              <w:left w:w="100" w:type="dxa"/>
              <w:bottom w:w="100" w:type="dxa"/>
              <w:right w:w="100" w:type="dxa"/>
            </w:tcMar>
          </w:tcPr>
          <w:p w14:paraId="5FFF79B7" w14:textId="77777777" w:rsidR="00B87878" w:rsidRDefault="00000000">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Artículo 25 numeral 5, </w:t>
            </w:r>
            <w:r>
              <w:rPr>
                <w:rFonts w:ascii="Times New Roman" w:eastAsia="Times New Roman" w:hAnsi="Times New Roman" w:cs="Times New Roman"/>
                <w:sz w:val="24"/>
                <w:szCs w:val="24"/>
              </w:rPr>
              <w:t xml:space="preserve">respecto de la frase donde la objeción de conciencia no procederá </w:t>
            </w:r>
            <w:r>
              <w:rPr>
                <w:rFonts w:ascii="Times New Roman" w:eastAsia="Times New Roman" w:hAnsi="Times New Roman" w:cs="Times New Roman"/>
                <w:i/>
                <w:sz w:val="24"/>
                <w:szCs w:val="24"/>
              </w:rPr>
              <w:t>“cuando se trate de hospitales estatales”.</w:t>
            </w:r>
          </w:p>
          <w:p w14:paraId="66ED4595"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26, numeral 3, </w:t>
            </w:r>
            <w:r>
              <w:rPr>
                <w:rFonts w:ascii="Times New Roman" w:eastAsia="Times New Roman" w:hAnsi="Times New Roman" w:cs="Times New Roman"/>
                <w:sz w:val="24"/>
                <w:szCs w:val="24"/>
              </w:rPr>
              <w:t xml:space="preserve">frase </w:t>
            </w:r>
            <w:r>
              <w:rPr>
                <w:rFonts w:ascii="Times New Roman" w:eastAsia="Times New Roman" w:hAnsi="Times New Roman" w:cs="Times New Roman"/>
                <w:i/>
                <w:sz w:val="24"/>
                <w:szCs w:val="24"/>
              </w:rPr>
              <w:t>“colectiva o institucional, en este último caso con la excepción de los hospitales públicos”.</w:t>
            </w:r>
            <w:r>
              <w:rPr>
                <w:rFonts w:ascii="Times New Roman" w:eastAsia="Times New Roman" w:hAnsi="Times New Roman" w:cs="Times New Roman"/>
                <w:sz w:val="24"/>
                <w:szCs w:val="24"/>
              </w:rPr>
              <w:t xml:space="preserve"> </w:t>
            </w:r>
          </w:p>
          <w:p w14:paraId="379358BE"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26 numeral 6,</w:t>
            </w:r>
            <w:r>
              <w:rPr>
                <w:rFonts w:ascii="Times New Roman" w:eastAsia="Times New Roman" w:hAnsi="Times New Roman" w:cs="Times New Roman"/>
                <w:sz w:val="24"/>
                <w:szCs w:val="24"/>
              </w:rPr>
              <w:t xml:space="preserve"> frase: </w:t>
            </w:r>
            <w:r>
              <w:rPr>
                <w:rFonts w:ascii="Times New Roman" w:eastAsia="Times New Roman" w:hAnsi="Times New Roman" w:cs="Times New Roman"/>
                <w:i/>
                <w:sz w:val="24"/>
                <w:szCs w:val="24"/>
              </w:rPr>
              <w:t>“salvo aquella que sea necesaria para la investigación de delitos penales, conforme la legislación de la materia”.</w:t>
            </w:r>
          </w:p>
        </w:tc>
        <w:tc>
          <w:tcPr>
            <w:tcW w:w="2640" w:type="dxa"/>
            <w:shd w:val="clear" w:color="auto" w:fill="auto"/>
            <w:tcMar>
              <w:top w:w="100" w:type="dxa"/>
              <w:left w:w="100" w:type="dxa"/>
              <w:bottom w:w="100" w:type="dxa"/>
              <w:right w:w="100" w:type="dxa"/>
            </w:tcMar>
          </w:tcPr>
          <w:p w14:paraId="2AC05547" w14:textId="77777777" w:rsidR="00B87878" w:rsidRDefault="00000000">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Artículo 27 numeral 13 en la frase:</w:t>
            </w:r>
            <w:r>
              <w:rPr>
                <w:rFonts w:ascii="Times New Roman" w:eastAsia="Times New Roman" w:hAnsi="Times New Roman" w:cs="Times New Roman"/>
                <w:i/>
                <w:sz w:val="24"/>
                <w:szCs w:val="24"/>
              </w:rPr>
              <w:t xml:space="preserve"> “sin perjuicio del deber del Estado de verificar la causa de exención de sanción penal por el delito del aborto.</w:t>
            </w:r>
          </w:p>
          <w:p w14:paraId="2F945FFB" w14:textId="77777777" w:rsidR="00B87878" w:rsidRDefault="00000000">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Artículo 29,</w:t>
            </w:r>
            <w:r>
              <w:rPr>
                <w:rFonts w:ascii="Times New Roman" w:eastAsia="Times New Roman" w:hAnsi="Times New Roman" w:cs="Times New Roman"/>
                <w:sz w:val="24"/>
                <w:szCs w:val="24"/>
              </w:rPr>
              <w:t xml:space="preserve"> frase </w:t>
            </w:r>
            <w:r>
              <w:rPr>
                <w:rFonts w:ascii="Times New Roman" w:eastAsia="Times New Roman" w:hAnsi="Times New Roman" w:cs="Times New Roman"/>
                <w:i/>
                <w:sz w:val="24"/>
                <w:szCs w:val="24"/>
              </w:rPr>
              <w:t>“, siempre que estos hayan decidido ofrecer este servicio”.</w:t>
            </w:r>
          </w:p>
          <w:p w14:paraId="6A32FC31"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30, numeral 4 </w:t>
            </w:r>
            <w:r>
              <w:rPr>
                <w:rFonts w:ascii="Times New Roman" w:eastAsia="Times New Roman" w:hAnsi="Times New Roman" w:cs="Times New Roman"/>
                <w:sz w:val="24"/>
                <w:szCs w:val="24"/>
              </w:rPr>
              <w:t xml:space="preserve">frase </w:t>
            </w:r>
            <w:r>
              <w:rPr>
                <w:rFonts w:ascii="Times New Roman" w:eastAsia="Times New Roman" w:hAnsi="Times New Roman" w:cs="Times New Roman"/>
                <w:i/>
                <w:sz w:val="24"/>
                <w:szCs w:val="24"/>
              </w:rPr>
              <w:t>“, en la medida en que estos hayan decidido ofrecer este servicio y no hayan ejercido el derecho de objeción de conciencia colectivo o institucional”</w:t>
            </w:r>
          </w:p>
        </w:tc>
        <w:tc>
          <w:tcPr>
            <w:tcW w:w="2793" w:type="dxa"/>
            <w:shd w:val="clear" w:color="auto" w:fill="auto"/>
            <w:tcMar>
              <w:top w:w="100" w:type="dxa"/>
              <w:left w:w="100" w:type="dxa"/>
              <w:bottom w:w="100" w:type="dxa"/>
              <w:right w:w="100" w:type="dxa"/>
            </w:tcMar>
          </w:tcPr>
          <w:p w14:paraId="4101E61A"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30, numeral 18. </w:t>
            </w:r>
          </w:p>
          <w:p w14:paraId="00E5486B"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31, numeral 2.</w:t>
            </w:r>
          </w:p>
          <w:p w14:paraId="7717E398" w14:textId="77777777" w:rsidR="00B87878" w:rsidRDefault="00000000">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Artículo 32 </w:t>
            </w:r>
            <w:r>
              <w:rPr>
                <w:rFonts w:ascii="Times New Roman" w:eastAsia="Times New Roman" w:hAnsi="Times New Roman" w:cs="Times New Roman"/>
                <w:sz w:val="24"/>
                <w:szCs w:val="24"/>
              </w:rPr>
              <w:t xml:space="preserve">en </w:t>
            </w:r>
            <w:proofErr w:type="gramStart"/>
            <w:r>
              <w:rPr>
                <w:rFonts w:ascii="Times New Roman" w:eastAsia="Times New Roman" w:hAnsi="Times New Roman" w:cs="Times New Roman"/>
                <w:sz w:val="24"/>
                <w:szCs w:val="24"/>
              </w:rPr>
              <w:t>las frase</w:t>
            </w:r>
            <w:proofErr w:type="gramEnd"/>
            <w:r>
              <w:rPr>
                <w:rFonts w:ascii="Times New Roman" w:eastAsia="Times New Roman" w:hAnsi="Times New Roman" w:cs="Times New Roman"/>
                <w:sz w:val="24"/>
                <w:szCs w:val="24"/>
              </w:rPr>
              <w:t xml:space="preserve"> del párrafo inicial: </w:t>
            </w:r>
            <w:r>
              <w:rPr>
                <w:rFonts w:ascii="Times New Roman" w:eastAsia="Times New Roman" w:hAnsi="Times New Roman" w:cs="Times New Roman"/>
                <w:i/>
                <w:sz w:val="24"/>
                <w:szCs w:val="24"/>
              </w:rPr>
              <w:t xml:space="preserve">“Así también deberá patrocinar a los profesionales de la salud en donde denuncien la comisión de un delito de infanticidio”; </w:t>
            </w:r>
          </w:p>
          <w:p w14:paraId="6A833D4C" w14:textId="77777777" w:rsidR="00B87878" w:rsidRDefault="00000000">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Artículo 32, numeral 3 </w:t>
            </w:r>
            <w:r>
              <w:rPr>
                <w:rFonts w:ascii="Times New Roman" w:eastAsia="Times New Roman" w:hAnsi="Times New Roman" w:cs="Times New Roman"/>
                <w:sz w:val="24"/>
                <w:szCs w:val="24"/>
              </w:rPr>
              <w:t xml:space="preserve">frase </w:t>
            </w:r>
            <w:r>
              <w:rPr>
                <w:rFonts w:ascii="Times New Roman" w:eastAsia="Times New Roman" w:hAnsi="Times New Roman" w:cs="Times New Roman"/>
                <w:i/>
                <w:sz w:val="24"/>
                <w:szCs w:val="24"/>
              </w:rPr>
              <w:t>“los denunciantes comisión del delito de infanticidio, profesionales de la salud que requieran asistencia con la tutela de su derecho a la objeción de conciencia”;</w:t>
            </w:r>
          </w:p>
          <w:p w14:paraId="47D37463" w14:textId="77777777" w:rsidR="00B87878" w:rsidRDefault="00B87878">
            <w:pPr>
              <w:spacing w:after="200" w:line="360" w:lineRule="auto"/>
              <w:jc w:val="both"/>
              <w:rPr>
                <w:rFonts w:ascii="Times New Roman" w:eastAsia="Times New Roman" w:hAnsi="Times New Roman" w:cs="Times New Roman"/>
                <w:i/>
                <w:sz w:val="24"/>
                <w:szCs w:val="24"/>
              </w:rPr>
            </w:pPr>
          </w:p>
        </w:tc>
      </w:tr>
      <w:tr w:rsidR="00B87878" w14:paraId="08F989A6" w14:textId="77777777">
        <w:trPr>
          <w:trHeight w:val="2580"/>
        </w:trPr>
        <w:tc>
          <w:tcPr>
            <w:tcW w:w="2790" w:type="dxa"/>
            <w:shd w:val="clear" w:color="auto" w:fill="auto"/>
            <w:tcMar>
              <w:top w:w="100" w:type="dxa"/>
              <w:left w:w="100" w:type="dxa"/>
              <w:bottom w:w="100" w:type="dxa"/>
              <w:right w:w="100" w:type="dxa"/>
            </w:tcMar>
          </w:tcPr>
          <w:p w14:paraId="1B68D3D5"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32, numeral </w:t>
            </w:r>
            <w:proofErr w:type="gramStart"/>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xml:space="preserve">  frase</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“atención a los denunciantes del delito de infanticidio”; </w:t>
            </w:r>
          </w:p>
          <w:p w14:paraId="1F935990" w14:textId="77777777" w:rsidR="00B87878" w:rsidRDefault="00000000">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Artículo 32, numeral 6 </w:t>
            </w:r>
            <w:r>
              <w:rPr>
                <w:rFonts w:ascii="Times New Roman" w:eastAsia="Times New Roman" w:hAnsi="Times New Roman" w:cs="Times New Roman"/>
                <w:sz w:val="24"/>
                <w:szCs w:val="24"/>
              </w:rPr>
              <w:t xml:space="preserve">frase </w:t>
            </w:r>
            <w:r>
              <w:rPr>
                <w:rFonts w:ascii="Times New Roman" w:eastAsia="Times New Roman" w:hAnsi="Times New Roman" w:cs="Times New Roman"/>
                <w:i/>
                <w:sz w:val="24"/>
                <w:szCs w:val="24"/>
              </w:rPr>
              <w:t>“profesionales de la salud que deseen presentar una denuncia ante la Fiscalía”</w:t>
            </w:r>
          </w:p>
          <w:p w14:paraId="72DFB237" w14:textId="77777777" w:rsidR="00B87878" w:rsidRDefault="00000000">
            <w:pPr>
              <w:spacing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Artículo 33 numeral 4</w:t>
            </w:r>
            <w:r>
              <w:rPr>
                <w:rFonts w:ascii="Times New Roman" w:eastAsia="Times New Roman" w:hAnsi="Times New Roman" w:cs="Times New Roman"/>
                <w:sz w:val="24"/>
                <w:szCs w:val="24"/>
              </w:rPr>
              <w:t xml:space="preserve"> en frase: </w:t>
            </w:r>
            <w:r>
              <w:rPr>
                <w:rFonts w:ascii="Times New Roman" w:eastAsia="Times New Roman" w:hAnsi="Times New Roman" w:cs="Times New Roman"/>
                <w:i/>
                <w:sz w:val="24"/>
                <w:szCs w:val="24"/>
              </w:rPr>
              <w:t xml:space="preserve">“y de infanticidio, en </w:t>
            </w:r>
            <w:r>
              <w:rPr>
                <w:rFonts w:ascii="Times New Roman" w:eastAsia="Times New Roman" w:hAnsi="Times New Roman" w:cs="Times New Roman"/>
                <w:i/>
                <w:sz w:val="24"/>
                <w:szCs w:val="24"/>
              </w:rPr>
              <w:lastRenderedPageBreak/>
              <w:t>el caso de los niños nacidos vivos después de las prácticas de los abortos que no reciban las atenciones médicas”.</w:t>
            </w:r>
          </w:p>
        </w:tc>
        <w:tc>
          <w:tcPr>
            <w:tcW w:w="2805" w:type="dxa"/>
            <w:shd w:val="clear" w:color="auto" w:fill="auto"/>
            <w:tcMar>
              <w:top w:w="100" w:type="dxa"/>
              <w:left w:w="100" w:type="dxa"/>
              <w:bottom w:w="100" w:type="dxa"/>
              <w:right w:w="100" w:type="dxa"/>
            </w:tcMar>
          </w:tcPr>
          <w:p w14:paraId="0AC4DE12"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Artículo 35, numeral 3, literal c.</w:t>
            </w:r>
          </w:p>
          <w:p w14:paraId="3D881635"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37, numeral 1</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frase:</w:t>
            </w:r>
            <w:r>
              <w:rPr>
                <w:rFonts w:ascii="Times New Roman" w:eastAsia="Times New Roman" w:hAnsi="Times New Roman" w:cs="Times New Roman"/>
                <w:i/>
                <w:sz w:val="24"/>
                <w:szCs w:val="24"/>
              </w:rPr>
              <w:t xml:space="preserve"> responsabilidades de la Autoridad Nacional de Educación. Incorporar para abordar casos de violencia contra las mujeres, niñas y adolescentes, acciones y estrategias necesarias el </w:t>
            </w:r>
            <w:r>
              <w:rPr>
                <w:rFonts w:ascii="Times New Roman" w:eastAsia="Times New Roman" w:hAnsi="Times New Roman" w:cs="Times New Roman"/>
                <w:i/>
                <w:sz w:val="24"/>
                <w:szCs w:val="24"/>
              </w:rPr>
              <w:lastRenderedPageBreak/>
              <w:t>personal docente pueda participar en identificación de casos de violencia sexual</w:t>
            </w:r>
            <w:r>
              <w:rPr>
                <w:rFonts w:ascii="Times New Roman" w:eastAsia="Times New Roman" w:hAnsi="Times New Roman" w:cs="Times New Roman"/>
                <w:sz w:val="24"/>
                <w:szCs w:val="24"/>
              </w:rPr>
              <w:t>.</w:t>
            </w:r>
          </w:p>
        </w:tc>
        <w:tc>
          <w:tcPr>
            <w:tcW w:w="2640" w:type="dxa"/>
            <w:shd w:val="clear" w:color="auto" w:fill="auto"/>
            <w:tcMar>
              <w:top w:w="100" w:type="dxa"/>
              <w:left w:w="100" w:type="dxa"/>
              <w:bottom w:w="100" w:type="dxa"/>
              <w:right w:w="100" w:type="dxa"/>
            </w:tcMar>
          </w:tcPr>
          <w:p w14:paraId="28C8B58A"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Artículo 37, numeral 2</w:t>
            </w:r>
            <w:r>
              <w:rPr>
                <w:rFonts w:ascii="Times New Roman" w:eastAsia="Times New Roman" w:hAnsi="Times New Roman" w:cs="Times New Roman"/>
                <w:sz w:val="24"/>
                <w:szCs w:val="24"/>
              </w:rPr>
              <w:t xml:space="preserve"> en la frase: “</w:t>
            </w:r>
            <w:r>
              <w:rPr>
                <w:rFonts w:ascii="Times New Roman" w:eastAsia="Times New Roman" w:hAnsi="Times New Roman" w:cs="Times New Roman"/>
                <w:i/>
                <w:sz w:val="24"/>
                <w:szCs w:val="24"/>
              </w:rPr>
              <w:t>cuando se trate de hospitales estatales</w:t>
            </w:r>
            <w:r>
              <w:rPr>
                <w:rFonts w:ascii="Times New Roman" w:eastAsia="Times New Roman" w:hAnsi="Times New Roman" w:cs="Times New Roman"/>
                <w:sz w:val="24"/>
                <w:szCs w:val="24"/>
              </w:rPr>
              <w:t>”;</w:t>
            </w:r>
          </w:p>
          <w:p w14:paraId="36E93125"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tres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artículo 26, numeral 3</w:t>
            </w:r>
            <w:r>
              <w:rPr>
                <w:rFonts w:ascii="Times New Roman" w:eastAsia="Times New Roman" w:hAnsi="Times New Roman" w:cs="Times New Roman"/>
                <w:sz w:val="24"/>
                <w:szCs w:val="24"/>
              </w:rPr>
              <w:t>, frase: “</w:t>
            </w:r>
            <w:r>
              <w:rPr>
                <w:rFonts w:ascii="Times New Roman" w:eastAsia="Times New Roman" w:hAnsi="Times New Roman" w:cs="Times New Roman"/>
                <w:i/>
                <w:sz w:val="24"/>
                <w:szCs w:val="24"/>
              </w:rPr>
              <w:t xml:space="preserve">colectiva o institucional, en este último caso con la </w:t>
            </w:r>
            <w:r>
              <w:rPr>
                <w:rFonts w:ascii="Times New Roman" w:eastAsia="Times New Roman" w:hAnsi="Times New Roman" w:cs="Times New Roman"/>
                <w:i/>
                <w:sz w:val="24"/>
                <w:szCs w:val="24"/>
              </w:rPr>
              <w:lastRenderedPageBreak/>
              <w:t>excepción de los hospitales públicos</w:t>
            </w:r>
            <w:r>
              <w:rPr>
                <w:rFonts w:ascii="Times New Roman" w:eastAsia="Times New Roman" w:hAnsi="Times New Roman" w:cs="Times New Roman"/>
                <w:sz w:val="24"/>
                <w:szCs w:val="24"/>
              </w:rPr>
              <w:t xml:space="preserve">”; </w:t>
            </w:r>
          </w:p>
          <w:p w14:paraId="2B0F3342"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Artículo 37, numeral 4</w:t>
            </w:r>
            <w:r>
              <w:rPr>
                <w:rFonts w:ascii="Times New Roman" w:eastAsia="Times New Roman" w:hAnsi="Times New Roman" w:cs="Times New Roman"/>
                <w:sz w:val="24"/>
                <w:szCs w:val="24"/>
              </w:rPr>
              <w:t>;</w:t>
            </w:r>
          </w:p>
        </w:tc>
        <w:tc>
          <w:tcPr>
            <w:tcW w:w="2793" w:type="dxa"/>
            <w:shd w:val="clear" w:color="auto" w:fill="auto"/>
            <w:tcMar>
              <w:top w:w="100" w:type="dxa"/>
              <w:left w:w="100" w:type="dxa"/>
              <w:bottom w:w="100" w:type="dxa"/>
              <w:right w:w="100" w:type="dxa"/>
            </w:tcMar>
          </w:tcPr>
          <w:p w14:paraId="012E2427"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Artículo 37, numeral 5</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artículo 30 numeral 4</w:t>
            </w:r>
            <w:r>
              <w:rPr>
                <w:rFonts w:ascii="Times New Roman" w:eastAsia="Times New Roman" w:hAnsi="Times New Roman" w:cs="Times New Roman"/>
                <w:sz w:val="24"/>
                <w:szCs w:val="24"/>
              </w:rPr>
              <w:t>, frase: “</w:t>
            </w:r>
            <w:r>
              <w:rPr>
                <w:rFonts w:ascii="Times New Roman" w:eastAsia="Times New Roman" w:hAnsi="Times New Roman" w:cs="Times New Roman"/>
                <w:i/>
                <w:sz w:val="24"/>
                <w:szCs w:val="24"/>
              </w:rPr>
              <w:t>en la medida en que estos hayan decidido ofrecer este servicio y no hayan ejercido el derecho de objeción de conciencia colectivo o institucional</w:t>
            </w:r>
            <w:r>
              <w:rPr>
                <w:rFonts w:ascii="Times New Roman" w:eastAsia="Times New Roman" w:hAnsi="Times New Roman" w:cs="Times New Roman"/>
                <w:sz w:val="24"/>
                <w:szCs w:val="24"/>
              </w:rPr>
              <w:t xml:space="preserve">”; </w:t>
            </w:r>
          </w:p>
          <w:p w14:paraId="622D8FFB"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37, numeral 6</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artículo 44</w:t>
            </w:r>
            <w:r>
              <w:rPr>
                <w:rFonts w:ascii="Times New Roman" w:eastAsia="Times New Roman" w:hAnsi="Times New Roman" w:cs="Times New Roman"/>
                <w:sz w:val="24"/>
                <w:szCs w:val="24"/>
              </w:rPr>
              <w:t>, palabra “</w:t>
            </w:r>
            <w:r>
              <w:rPr>
                <w:rFonts w:ascii="Times New Roman" w:eastAsia="Times New Roman" w:hAnsi="Times New Roman" w:cs="Times New Roman"/>
                <w:i/>
                <w:sz w:val="24"/>
                <w:szCs w:val="24"/>
              </w:rPr>
              <w:t>indirecta</w:t>
            </w:r>
            <w:r>
              <w:rPr>
                <w:rFonts w:ascii="Times New Roman" w:eastAsia="Times New Roman" w:hAnsi="Times New Roman" w:cs="Times New Roman"/>
                <w:sz w:val="24"/>
                <w:szCs w:val="24"/>
              </w:rPr>
              <w:t>” y frase: “</w:t>
            </w:r>
            <w:r>
              <w:rPr>
                <w:rFonts w:ascii="Times New Roman" w:eastAsia="Times New Roman" w:hAnsi="Times New Roman" w:cs="Times New Roman"/>
                <w:i/>
                <w:sz w:val="24"/>
                <w:szCs w:val="24"/>
              </w:rPr>
              <w:t xml:space="preserve">No </w:t>
            </w:r>
            <w:r>
              <w:rPr>
                <w:rFonts w:ascii="Times New Roman" w:eastAsia="Times New Roman" w:hAnsi="Times New Roman" w:cs="Times New Roman"/>
                <w:i/>
                <w:sz w:val="24"/>
                <w:szCs w:val="24"/>
              </w:rPr>
              <w:lastRenderedPageBreak/>
              <w:t>cabe que las entidades del Estado, o públicos o privados, establezcan límites aleatorios la objeción de conciencia,”</w:t>
            </w:r>
          </w:p>
        </w:tc>
      </w:tr>
      <w:tr w:rsidR="00B87878" w14:paraId="3AE68689" w14:textId="77777777">
        <w:tc>
          <w:tcPr>
            <w:tcW w:w="2790" w:type="dxa"/>
            <w:shd w:val="clear" w:color="auto" w:fill="auto"/>
            <w:tcMar>
              <w:top w:w="100" w:type="dxa"/>
              <w:left w:w="100" w:type="dxa"/>
              <w:bottom w:w="100" w:type="dxa"/>
              <w:right w:w="100" w:type="dxa"/>
            </w:tcMar>
          </w:tcPr>
          <w:p w14:paraId="68224EBD"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Artículo 44 literal c) </w:t>
            </w:r>
            <w:r>
              <w:rPr>
                <w:rFonts w:ascii="Times New Roman" w:eastAsia="Times New Roman" w:hAnsi="Times New Roman" w:cs="Times New Roman"/>
                <w:sz w:val="24"/>
                <w:szCs w:val="24"/>
              </w:rPr>
              <w:t xml:space="preserve">frase: </w:t>
            </w:r>
            <w:r>
              <w:rPr>
                <w:rFonts w:ascii="Times New Roman" w:eastAsia="Times New Roman" w:hAnsi="Times New Roman" w:cs="Times New Roman"/>
                <w:i/>
                <w:sz w:val="24"/>
                <w:szCs w:val="24"/>
              </w:rPr>
              <w:t xml:space="preserve">“excepto en lo requerido para la notificación del presunto delito e investigación fiscal”; </w:t>
            </w:r>
          </w:p>
        </w:tc>
        <w:tc>
          <w:tcPr>
            <w:tcW w:w="2805" w:type="dxa"/>
            <w:shd w:val="clear" w:color="auto" w:fill="auto"/>
            <w:tcMar>
              <w:top w:w="100" w:type="dxa"/>
              <w:left w:w="100" w:type="dxa"/>
              <w:bottom w:w="100" w:type="dxa"/>
              <w:right w:w="100" w:type="dxa"/>
            </w:tcMar>
          </w:tcPr>
          <w:p w14:paraId="073393A9"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Artículo 45 </w:t>
            </w:r>
            <w:r>
              <w:rPr>
                <w:rFonts w:ascii="Times New Roman" w:eastAsia="Times New Roman" w:hAnsi="Times New Roman" w:cs="Times New Roman"/>
                <w:sz w:val="24"/>
                <w:szCs w:val="24"/>
              </w:rPr>
              <w:t>frase:</w:t>
            </w:r>
            <w:r>
              <w:rPr>
                <w:rFonts w:ascii="Times New Roman" w:eastAsia="Times New Roman" w:hAnsi="Times New Roman" w:cs="Times New Roman"/>
                <w:i/>
                <w:sz w:val="24"/>
                <w:szCs w:val="24"/>
              </w:rPr>
              <w:t xml:space="preserve"> “excepto en lo que respecta a la notificación del delito y el desarrollo de la investigación fiscal”;</w:t>
            </w:r>
          </w:p>
        </w:tc>
        <w:tc>
          <w:tcPr>
            <w:tcW w:w="2640" w:type="dxa"/>
            <w:shd w:val="clear" w:color="auto" w:fill="auto"/>
            <w:tcMar>
              <w:top w:w="100" w:type="dxa"/>
              <w:left w:w="100" w:type="dxa"/>
              <w:bottom w:w="100" w:type="dxa"/>
              <w:right w:w="100" w:type="dxa"/>
            </w:tcMar>
          </w:tcPr>
          <w:p w14:paraId="60B47C8E"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Artículo 58 literal g)</w:t>
            </w:r>
            <w:r>
              <w:rPr>
                <w:rFonts w:ascii="Times New Roman" w:eastAsia="Times New Roman" w:hAnsi="Times New Roman" w:cs="Times New Roman"/>
                <w:sz w:val="24"/>
                <w:szCs w:val="24"/>
              </w:rPr>
              <w:t xml:space="preserve"> frase:</w:t>
            </w:r>
            <w:r>
              <w:rPr>
                <w:rFonts w:ascii="Times New Roman" w:eastAsia="Times New Roman" w:hAnsi="Times New Roman" w:cs="Times New Roman"/>
                <w:i/>
                <w:sz w:val="24"/>
                <w:szCs w:val="24"/>
              </w:rPr>
              <w:t xml:space="preserve"> “excepto la información que debe entregar a la Fiscalía para iniciar la investigación de delitos”</w:t>
            </w:r>
          </w:p>
        </w:tc>
        <w:tc>
          <w:tcPr>
            <w:tcW w:w="2793" w:type="dxa"/>
            <w:shd w:val="clear" w:color="auto" w:fill="auto"/>
            <w:tcMar>
              <w:top w:w="100" w:type="dxa"/>
              <w:left w:w="100" w:type="dxa"/>
              <w:bottom w:w="100" w:type="dxa"/>
              <w:right w:w="100" w:type="dxa"/>
            </w:tcMar>
          </w:tcPr>
          <w:p w14:paraId="071B3C57" w14:textId="77777777" w:rsidR="00B87878" w:rsidRDefault="00000000">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Artículo 59 literales c) (completo) y </w:t>
            </w:r>
            <w:proofErr w:type="gramStart"/>
            <w:r>
              <w:rPr>
                <w:rFonts w:ascii="Times New Roman" w:eastAsia="Times New Roman" w:hAnsi="Times New Roman" w:cs="Times New Roman"/>
                <w:b/>
                <w:sz w:val="24"/>
                <w:szCs w:val="24"/>
              </w:rPr>
              <w:t xml:space="preserve">e) </w:t>
            </w:r>
            <w:r>
              <w:rPr>
                <w:rFonts w:ascii="Times New Roman" w:eastAsia="Times New Roman" w:hAnsi="Times New Roman" w:cs="Times New Roman"/>
                <w:sz w:val="24"/>
                <w:szCs w:val="24"/>
              </w:rPr>
              <w:t xml:space="preserve"> frase</w:t>
            </w:r>
            <w:proofErr w:type="gramEnd"/>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“salvo aquella información que se debe notificar a la autoridad competente para la investigación de delitos”</w:t>
            </w:r>
          </w:p>
        </w:tc>
      </w:tr>
    </w:tbl>
    <w:p w14:paraId="38C400B3" w14:textId="77777777" w:rsidR="00B87878" w:rsidRDefault="00B87878">
      <w:pPr>
        <w:spacing w:after="160" w:line="360" w:lineRule="auto"/>
        <w:jc w:val="both"/>
        <w:rPr>
          <w:rFonts w:ascii="Times New Roman" w:eastAsia="Times New Roman" w:hAnsi="Times New Roman" w:cs="Times New Roman"/>
          <w:sz w:val="24"/>
          <w:szCs w:val="24"/>
        </w:rPr>
      </w:pPr>
    </w:p>
    <w:p w14:paraId="525B9F14"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Varias normas de la LORIVE están suspendidas temporalmente hasta la sentencia final. Los efectos más destacados son:</w:t>
      </w:r>
    </w:p>
    <w:p w14:paraId="1FF2AA1E" w14:textId="77777777" w:rsidR="00B87878"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se requiere denuncia, examen médico, ni declaración jurada para el aborto (Caso N.º 76-22-IN).</w:t>
      </w:r>
    </w:p>
    <w:p w14:paraId="3B75114C" w14:textId="77777777" w:rsidR="00B87878"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se necesita autorización de representantes legales para el aborto en niñas y adolescentes (Caso N.º 41-22-IN).</w:t>
      </w:r>
    </w:p>
    <w:p w14:paraId="152566A1" w14:textId="77777777" w:rsidR="00B87878"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objeción de conciencia no puede impedir el acceso al aborto para víctimas de violencia (Caso N.º 93-22-IN).</w:t>
      </w:r>
    </w:p>
    <w:p w14:paraId="56DEF60B" w14:textId="77777777" w:rsidR="00B87878"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ecografía no es un requisito obligatorio para el aborto (Caso N.º 31-23-IN).</w:t>
      </w:r>
    </w:p>
    <w:p w14:paraId="4291EFBE" w14:textId="77777777" w:rsidR="00B87878"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Confidencialidad en salud: El personal de salud debe mantener la confidencialidad y no denunciar a las mujeres en aborto.</w:t>
      </w:r>
    </w:p>
    <w:p w14:paraId="73A72D81" w14:textId="77777777" w:rsidR="00B87878" w:rsidRDefault="00000000">
      <w:pPr>
        <w:numPr>
          <w:ilvl w:val="0"/>
          <w:numId w:val="9"/>
        </w:num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Debe ser gratuito y proporcionado tras recibir información científica completa (Caso N.º 41-22-IN).</w:t>
      </w:r>
    </w:p>
    <w:p w14:paraId="6F8993C3" w14:textId="77777777" w:rsidR="00B87878" w:rsidRDefault="00000000">
      <w:pPr>
        <w:pStyle w:val="Ttulo1"/>
        <w:numPr>
          <w:ilvl w:val="1"/>
          <w:numId w:val="5"/>
        </w:numPr>
        <w:spacing w:before="240" w:after="200" w:line="259" w:lineRule="auto"/>
        <w:rPr>
          <w:b/>
        </w:rPr>
      </w:pPr>
      <w:bookmarkStart w:id="11" w:name="_heuyqxmo51l8" w:colFirst="0" w:colLast="0"/>
      <w:bookmarkEnd w:id="11"/>
      <w:r>
        <w:rPr>
          <w:rFonts w:ascii="Times New Roman" w:eastAsia="Times New Roman" w:hAnsi="Times New Roman" w:cs="Times New Roman"/>
          <w:b/>
          <w:sz w:val="28"/>
          <w:szCs w:val="28"/>
        </w:rPr>
        <w:t>Fiscalía General del Estado: sobre las denuncias y casos referentes a violaciones sexuales y abortos practicados.</w:t>
      </w:r>
    </w:p>
    <w:p w14:paraId="0BF6A13F"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w:t>
      </w:r>
      <w:proofErr w:type="gramStart"/>
      <w:r>
        <w:rPr>
          <w:rFonts w:ascii="Times New Roman" w:eastAsia="Times New Roman" w:hAnsi="Times New Roman" w:cs="Times New Roman"/>
          <w:sz w:val="24"/>
          <w:szCs w:val="24"/>
        </w:rPr>
        <w:t>Fiscalía General</w:t>
      </w:r>
      <w:proofErr w:type="gramEnd"/>
      <w:r>
        <w:rPr>
          <w:rFonts w:ascii="Times New Roman" w:eastAsia="Times New Roman" w:hAnsi="Times New Roman" w:cs="Times New Roman"/>
          <w:sz w:val="24"/>
          <w:szCs w:val="24"/>
        </w:rPr>
        <w:t xml:space="preserve"> del Estado de Ecuador (FGE) proporcionó la siguiente información: </w:t>
      </w:r>
    </w:p>
    <w:p w14:paraId="0F9495AD" w14:textId="77777777" w:rsidR="00B87878" w:rsidRDefault="00000000">
      <w:pPr>
        <w:pStyle w:val="Ttulo2"/>
        <w:numPr>
          <w:ilvl w:val="2"/>
          <w:numId w:val="5"/>
        </w:numPr>
        <w:spacing w:before="0" w:after="160" w:line="360" w:lineRule="auto"/>
        <w:jc w:val="both"/>
        <w:rPr>
          <w:rFonts w:ascii="Times New Roman" w:eastAsia="Times New Roman" w:hAnsi="Times New Roman" w:cs="Times New Roman"/>
          <w:i/>
          <w:sz w:val="24"/>
          <w:szCs w:val="24"/>
        </w:rPr>
      </w:pPr>
      <w:bookmarkStart w:id="12" w:name="_ve9wsj1brv62" w:colFirst="0" w:colLast="0"/>
      <w:bookmarkEnd w:id="12"/>
      <w:r>
        <w:rPr>
          <w:rFonts w:ascii="Times New Roman" w:eastAsia="Times New Roman" w:hAnsi="Times New Roman" w:cs="Times New Roman"/>
          <w:b/>
          <w:i/>
          <w:sz w:val="24"/>
          <w:szCs w:val="24"/>
        </w:rPr>
        <w:lastRenderedPageBreak/>
        <w:t>Antes de Sentencia Constitucional 34-19-IN/21:</w:t>
      </w:r>
    </w:p>
    <w:tbl>
      <w:tblPr>
        <w:tblStyle w:val="a2"/>
        <w:tblW w:w="11430" w:type="dxa"/>
        <w:tblInd w:w="-1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
        <w:gridCol w:w="2295"/>
        <w:gridCol w:w="2239"/>
        <w:gridCol w:w="3520"/>
        <w:gridCol w:w="2475"/>
      </w:tblGrid>
      <w:tr w:rsidR="00B87878" w14:paraId="651E423B" w14:textId="77777777">
        <w:tc>
          <w:tcPr>
            <w:tcW w:w="900" w:type="dxa"/>
          </w:tcPr>
          <w:p w14:paraId="523ED2A2"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Años</w:t>
            </w:r>
          </w:p>
        </w:tc>
        <w:tc>
          <w:tcPr>
            <w:tcW w:w="2295" w:type="dxa"/>
          </w:tcPr>
          <w:p w14:paraId="4F2360F3"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violación sexual</w:t>
            </w:r>
          </w:p>
        </w:tc>
        <w:tc>
          <w:tcPr>
            <w:tcW w:w="2239" w:type="dxa"/>
          </w:tcPr>
          <w:p w14:paraId="1B4B2ACA"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abortos consentidos</w:t>
            </w:r>
          </w:p>
        </w:tc>
        <w:tc>
          <w:tcPr>
            <w:tcW w:w="3520" w:type="dxa"/>
          </w:tcPr>
          <w:p w14:paraId="2DB53910"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Sentencias condenatorias por delito de aborto consentido</w:t>
            </w:r>
          </w:p>
        </w:tc>
        <w:tc>
          <w:tcPr>
            <w:tcW w:w="2475" w:type="dxa"/>
          </w:tcPr>
          <w:p w14:paraId="1C5ADEB3"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Abortos denunciados, con muerte </w:t>
            </w:r>
          </w:p>
        </w:tc>
      </w:tr>
      <w:tr w:rsidR="00B87878" w14:paraId="6874DDA2" w14:textId="77777777">
        <w:tc>
          <w:tcPr>
            <w:tcW w:w="900" w:type="dxa"/>
          </w:tcPr>
          <w:p w14:paraId="54DFBD08"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2019</w:t>
            </w:r>
          </w:p>
        </w:tc>
        <w:tc>
          <w:tcPr>
            <w:tcW w:w="2295" w:type="dxa"/>
          </w:tcPr>
          <w:p w14:paraId="2663AF74"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5693</w:t>
            </w:r>
          </w:p>
        </w:tc>
        <w:tc>
          <w:tcPr>
            <w:tcW w:w="2239" w:type="dxa"/>
          </w:tcPr>
          <w:p w14:paraId="594EBCEC"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3520" w:type="dxa"/>
          </w:tcPr>
          <w:p w14:paraId="3CB28406"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475" w:type="dxa"/>
          </w:tcPr>
          <w:p w14:paraId="277FAF4D"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87878" w14:paraId="569BEEA9" w14:textId="77777777">
        <w:tc>
          <w:tcPr>
            <w:tcW w:w="900" w:type="dxa"/>
          </w:tcPr>
          <w:p w14:paraId="666786B0"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2295" w:type="dxa"/>
          </w:tcPr>
          <w:p w14:paraId="2CA6EAED"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4885</w:t>
            </w:r>
          </w:p>
        </w:tc>
        <w:tc>
          <w:tcPr>
            <w:tcW w:w="2239" w:type="dxa"/>
          </w:tcPr>
          <w:p w14:paraId="1A8F4989"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3520" w:type="dxa"/>
          </w:tcPr>
          <w:p w14:paraId="0604D288"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2475" w:type="dxa"/>
          </w:tcPr>
          <w:p w14:paraId="020D6302"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87878" w14:paraId="5B9120FF" w14:textId="77777777">
        <w:tc>
          <w:tcPr>
            <w:tcW w:w="900" w:type="dxa"/>
          </w:tcPr>
          <w:p w14:paraId="371FA64F"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2295" w:type="dxa"/>
          </w:tcPr>
          <w:p w14:paraId="543BF82B"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5766</w:t>
            </w:r>
          </w:p>
        </w:tc>
        <w:tc>
          <w:tcPr>
            <w:tcW w:w="2239" w:type="dxa"/>
          </w:tcPr>
          <w:p w14:paraId="1BAC70CD"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3520" w:type="dxa"/>
          </w:tcPr>
          <w:p w14:paraId="41702085"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475" w:type="dxa"/>
          </w:tcPr>
          <w:p w14:paraId="059C6310"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69ABBBB6" w14:textId="77777777" w:rsidR="00B87878" w:rsidRDefault="00000000">
      <w:pPr>
        <w:pStyle w:val="Ttulo2"/>
        <w:numPr>
          <w:ilvl w:val="2"/>
          <w:numId w:val="5"/>
        </w:numPr>
        <w:spacing w:before="0" w:after="160" w:line="360" w:lineRule="auto"/>
        <w:jc w:val="both"/>
        <w:rPr>
          <w:rFonts w:ascii="Times New Roman" w:eastAsia="Times New Roman" w:hAnsi="Times New Roman" w:cs="Times New Roman"/>
          <w:i/>
          <w:sz w:val="24"/>
          <w:szCs w:val="24"/>
        </w:rPr>
      </w:pPr>
      <w:bookmarkStart w:id="13" w:name="_e4ajd2vnn7cw" w:colFirst="0" w:colLast="0"/>
      <w:bookmarkEnd w:id="13"/>
      <w:r>
        <w:rPr>
          <w:rFonts w:ascii="Times New Roman" w:eastAsia="Times New Roman" w:hAnsi="Times New Roman" w:cs="Times New Roman"/>
          <w:b/>
          <w:i/>
          <w:sz w:val="24"/>
          <w:szCs w:val="24"/>
        </w:rPr>
        <w:t>Después de Sentencia Constitucional 34-19-IN/21:</w:t>
      </w:r>
    </w:p>
    <w:tbl>
      <w:tblPr>
        <w:tblStyle w:val="a3"/>
        <w:tblW w:w="11340" w:type="dxa"/>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0"/>
        <w:gridCol w:w="2020"/>
        <w:gridCol w:w="2295"/>
        <w:gridCol w:w="3435"/>
        <w:gridCol w:w="2490"/>
      </w:tblGrid>
      <w:tr w:rsidR="00B87878" w14:paraId="05D14B89" w14:textId="77777777">
        <w:tc>
          <w:tcPr>
            <w:tcW w:w="1100" w:type="dxa"/>
          </w:tcPr>
          <w:p w14:paraId="7C4D3697"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Años</w:t>
            </w:r>
          </w:p>
        </w:tc>
        <w:tc>
          <w:tcPr>
            <w:tcW w:w="2020" w:type="dxa"/>
          </w:tcPr>
          <w:p w14:paraId="39343A43"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violación sexual</w:t>
            </w:r>
          </w:p>
        </w:tc>
        <w:tc>
          <w:tcPr>
            <w:tcW w:w="2295" w:type="dxa"/>
          </w:tcPr>
          <w:p w14:paraId="23ABFC7A"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Denuncias de abortos consentidos</w:t>
            </w:r>
          </w:p>
        </w:tc>
        <w:tc>
          <w:tcPr>
            <w:tcW w:w="3435" w:type="dxa"/>
          </w:tcPr>
          <w:p w14:paraId="18018986"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Sentencias condenatorias por delito de aborto consentido</w:t>
            </w:r>
          </w:p>
        </w:tc>
        <w:tc>
          <w:tcPr>
            <w:tcW w:w="2490" w:type="dxa"/>
          </w:tcPr>
          <w:p w14:paraId="0E058BCF"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Abortos denunciados, con muerte </w:t>
            </w:r>
          </w:p>
        </w:tc>
      </w:tr>
      <w:tr w:rsidR="00B87878" w14:paraId="5A205AF6" w14:textId="77777777">
        <w:tc>
          <w:tcPr>
            <w:tcW w:w="1100" w:type="dxa"/>
          </w:tcPr>
          <w:p w14:paraId="494B773F"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2020" w:type="dxa"/>
          </w:tcPr>
          <w:p w14:paraId="6F2A99BB"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6114</w:t>
            </w:r>
          </w:p>
        </w:tc>
        <w:tc>
          <w:tcPr>
            <w:tcW w:w="2295" w:type="dxa"/>
          </w:tcPr>
          <w:p w14:paraId="50587FB6"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3435" w:type="dxa"/>
          </w:tcPr>
          <w:p w14:paraId="6E284ECB"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490" w:type="dxa"/>
          </w:tcPr>
          <w:p w14:paraId="1B63AE3F"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B87878" w14:paraId="295E6C91" w14:textId="77777777">
        <w:trPr>
          <w:trHeight w:val="724"/>
        </w:trPr>
        <w:tc>
          <w:tcPr>
            <w:tcW w:w="1100" w:type="dxa"/>
          </w:tcPr>
          <w:p w14:paraId="264E726D" w14:textId="77777777" w:rsidR="00B87878" w:rsidRDefault="00000000">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2023 </w:t>
            </w:r>
            <w:r>
              <w:rPr>
                <w:rFonts w:ascii="Times New Roman" w:eastAsia="Times New Roman" w:hAnsi="Times New Roman" w:cs="Times New Roman"/>
                <w:sz w:val="20"/>
                <w:szCs w:val="20"/>
              </w:rPr>
              <w:t>hasta junio</w:t>
            </w:r>
          </w:p>
        </w:tc>
        <w:tc>
          <w:tcPr>
            <w:tcW w:w="2020" w:type="dxa"/>
          </w:tcPr>
          <w:p w14:paraId="2A887805"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2910</w:t>
            </w:r>
          </w:p>
        </w:tc>
        <w:tc>
          <w:tcPr>
            <w:tcW w:w="2295" w:type="dxa"/>
          </w:tcPr>
          <w:p w14:paraId="5071290A"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3435" w:type="dxa"/>
          </w:tcPr>
          <w:p w14:paraId="20403A94"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2490" w:type="dxa"/>
          </w:tcPr>
          <w:p w14:paraId="5B14005A"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bl>
    <w:p w14:paraId="2677B16C" w14:textId="77777777" w:rsidR="00B87878" w:rsidRDefault="00000000">
      <w:pPr>
        <w:spacing w:before="200"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Ministerio de Salud Pública reporta muertes maternas:</w:t>
      </w:r>
    </w:p>
    <w:tbl>
      <w:tblPr>
        <w:tblStyle w:val="a4"/>
        <w:tblW w:w="11175" w:type="dxa"/>
        <w:tblInd w:w="-10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5"/>
        <w:gridCol w:w="3330"/>
        <w:gridCol w:w="5370"/>
      </w:tblGrid>
      <w:tr w:rsidR="00B87878" w14:paraId="30CD8455" w14:textId="77777777">
        <w:tc>
          <w:tcPr>
            <w:tcW w:w="2475" w:type="dxa"/>
          </w:tcPr>
          <w:p w14:paraId="58DE3F4B" w14:textId="77777777" w:rsidR="00B87878"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AÑO</w:t>
            </w:r>
          </w:p>
        </w:tc>
        <w:tc>
          <w:tcPr>
            <w:tcW w:w="3330" w:type="dxa"/>
          </w:tcPr>
          <w:p w14:paraId="612F0FE3"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MUERTES MATERNAS</w:t>
            </w:r>
          </w:p>
        </w:tc>
        <w:tc>
          <w:tcPr>
            <w:tcW w:w="5370" w:type="dxa"/>
          </w:tcPr>
          <w:p w14:paraId="65816A07"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MUERTES MATERNAS POR ABORTO</w:t>
            </w:r>
          </w:p>
        </w:tc>
      </w:tr>
      <w:tr w:rsidR="00B87878" w14:paraId="329FC158" w14:textId="77777777">
        <w:tc>
          <w:tcPr>
            <w:tcW w:w="2475" w:type="dxa"/>
          </w:tcPr>
          <w:p w14:paraId="575A7909"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3330" w:type="dxa"/>
          </w:tcPr>
          <w:p w14:paraId="44E22509"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w:t>
            </w:r>
          </w:p>
        </w:tc>
        <w:tc>
          <w:tcPr>
            <w:tcW w:w="5370" w:type="dxa"/>
          </w:tcPr>
          <w:p w14:paraId="32B3B126"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87878" w14:paraId="16B8ECBA" w14:textId="77777777">
        <w:tc>
          <w:tcPr>
            <w:tcW w:w="2475" w:type="dxa"/>
          </w:tcPr>
          <w:p w14:paraId="35C90BD6"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p>
        </w:tc>
        <w:tc>
          <w:tcPr>
            <w:tcW w:w="3330" w:type="dxa"/>
          </w:tcPr>
          <w:p w14:paraId="7CD7D36D"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119</w:t>
            </w:r>
          </w:p>
        </w:tc>
        <w:tc>
          <w:tcPr>
            <w:tcW w:w="5370" w:type="dxa"/>
          </w:tcPr>
          <w:p w14:paraId="7ED6EFC2"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87878" w14:paraId="60CC38B7" w14:textId="77777777">
        <w:tc>
          <w:tcPr>
            <w:tcW w:w="2475" w:type="dxa"/>
          </w:tcPr>
          <w:p w14:paraId="4F5E49CD"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tc>
        <w:tc>
          <w:tcPr>
            <w:tcW w:w="3330" w:type="dxa"/>
          </w:tcPr>
          <w:p w14:paraId="6F421A15"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c>
          <w:tcPr>
            <w:tcW w:w="5370" w:type="dxa"/>
          </w:tcPr>
          <w:p w14:paraId="55EF84F3" w14:textId="77777777" w:rsidR="00B8787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bl>
    <w:p w14:paraId="15A8A78A" w14:textId="77777777" w:rsidR="00B87878" w:rsidRDefault="00B87878">
      <w:pPr>
        <w:spacing w:after="160" w:line="360" w:lineRule="auto"/>
        <w:jc w:val="both"/>
        <w:rPr>
          <w:rFonts w:ascii="Times New Roman" w:eastAsia="Times New Roman" w:hAnsi="Times New Roman" w:cs="Times New Roman"/>
          <w:sz w:val="24"/>
          <w:szCs w:val="24"/>
        </w:rPr>
      </w:pPr>
    </w:p>
    <w:p w14:paraId="0230118F" w14:textId="77777777" w:rsidR="00B87878" w:rsidRDefault="00000000">
      <w:pPr>
        <w:pStyle w:val="Ttulo2"/>
        <w:numPr>
          <w:ilvl w:val="1"/>
          <w:numId w:val="5"/>
        </w:numPr>
        <w:spacing w:before="0" w:after="160" w:line="360" w:lineRule="auto"/>
        <w:jc w:val="both"/>
        <w:rPr>
          <w:i/>
        </w:rPr>
      </w:pPr>
      <w:bookmarkStart w:id="14" w:name="_lz0s0owjr8dm" w:colFirst="0" w:colLast="0"/>
      <w:bookmarkEnd w:id="14"/>
      <w:r>
        <w:rPr>
          <w:rFonts w:ascii="Times New Roman" w:eastAsia="Times New Roman" w:hAnsi="Times New Roman" w:cs="Times New Roman"/>
          <w:b/>
          <w:i/>
          <w:sz w:val="24"/>
          <w:szCs w:val="24"/>
        </w:rPr>
        <w:t xml:space="preserve">Conclusiones de los datos obtenidos: </w:t>
      </w:r>
    </w:p>
    <w:p w14:paraId="091E45D0"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evidente el gran número de violaciones sexuales anuales, que contrasta con el pequeño número de denuncias por abortos consentidos causados por sí misma o por dejar que otro lo cause. De los cuales, en 5 años hubo 5 sentencias condenatorias por tal delito.</w:t>
      </w:r>
    </w:p>
    <w:p w14:paraId="6968EC24"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mayoría de los casos, las violaciones sexuales no son denunciadas, debido a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según el MSP, solo el 10,8% de las mujeres adultas, adolescentes y niñas abusadas logran efectuar la denuncia y el 40% de niñas no informan de lo sucedido a nadie, esto debido a que al 28 % de las que avisaron no les creyeron y al 16,3% les pidieron que no digan nada de lo sucedido. </w:t>
      </w:r>
    </w:p>
    <w:p w14:paraId="79381F05"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otra parte, se puede apreciar que, de aquellos abortos denunciados, 10 han terminado en muerte en 2022 y 4 en 2023.</w:t>
      </w:r>
    </w:p>
    <w:p w14:paraId="790B00B1"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Así mismo, se evidencia que mediante los datos obtenidos por las gacetas de muertes del MSP, las muertes maternas en general y las causadas por aborto han decrecido en los últimos dos </w:t>
      </w:r>
      <w:r>
        <w:rPr>
          <w:rFonts w:ascii="Times New Roman" w:eastAsia="Times New Roman" w:hAnsi="Times New Roman" w:cs="Times New Roman"/>
          <w:sz w:val="24"/>
          <w:szCs w:val="24"/>
        </w:rPr>
        <w:lastRenderedPageBreak/>
        <w:t xml:space="preserve">años. Siendo así que del año 2021 al año 2023, el número de muertes por aborto ha bajado en un 70%, lo cual permite inferir que luego de la aprobación de la ley, estas situaciones de inseguridad han disminuido. </w:t>
      </w:r>
    </w:p>
    <w:p w14:paraId="36268C80"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Durante el período comprendido entre 2021 y 2023, se obtuvieron datos del MSP sobre abortos practicados legalmente. De estos, se llegó a la conclusión de que se registraron 19 casos fatales. Es importante destacar que estos abortos se llevaron a cabo de acuerdo con todos los requisitos y regulaciones médicas establecidas. No obstante, esta cifra no incluye los casos de muertes por abortos inseguros, debido a que no existe un monitoreo oficial al realizarse la mayoría de estos sin acompañamiento médico.</w:t>
      </w:r>
    </w:p>
    <w:p w14:paraId="7FE8CA43" w14:textId="77777777" w:rsidR="00B87878" w:rsidRDefault="00000000">
      <w:pPr>
        <w:pStyle w:val="Ttulo1"/>
        <w:numPr>
          <w:ilvl w:val="1"/>
          <w:numId w:val="5"/>
        </w:numPr>
        <w:spacing w:before="240" w:after="200" w:line="259" w:lineRule="auto"/>
        <w:rPr>
          <w:b/>
        </w:rPr>
      </w:pPr>
      <w:bookmarkStart w:id="15" w:name="_w7dqzzmdf2xx" w:colFirst="0" w:colLast="0"/>
      <w:bookmarkEnd w:id="15"/>
      <w:r>
        <w:rPr>
          <w:rFonts w:ascii="Times New Roman" w:eastAsia="Times New Roman" w:hAnsi="Times New Roman" w:cs="Times New Roman"/>
          <w:b/>
          <w:sz w:val="28"/>
          <w:szCs w:val="28"/>
        </w:rPr>
        <w:t>Ministerio de Salud Pública: sobre el número de abortos practicados.</w:t>
      </w:r>
    </w:p>
    <w:p w14:paraId="20A45C49" w14:textId="77777777" w:rsidR="00B8787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sentencia 34-19-IN/21, hasta julio de 2023, el Ministerio de Salud Pública (MSP) ha registrado 83 interrupciones voluntarias del embarazo en casos de violación, con la mayoría a las 8 semanas de gestación. No se tienen datos sobre rechazos a estas solicitudes. El Instituto Nacional de Estadísticas y Censos (INEC) reporta 113,364 casos de morbilidad por parto y cesárea en 2022</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y 2,671 casos por abortos no especificados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La falta de datos actualizados y la información limitada del MSP generan inquietudes. A pesar de esto, el MSP ha implementado políticas relevantes para abordar el aborto inseguro y el embarazo en adolescentes, destacando la necesidad de una atención segura y un enfoque en la violencia sexual como causa de embarazos en niñas y adolescentes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Una de estas políticas es que, a partir de 2023, incluyó en el cuadro básico de medicamentos la Mifepristona, que junto con el Misoprostol es el estándar médico para la atención de aborto medicado. Sin embargo, todavía está pendiente que la Mifepristona esté disponible en el Sistema Nacional de Salud. </w:t>
      </w:r>
    </w:p>
    <w:p w14:paraId="5C751E61" w14:textId="77777777" w:rsidR="00B87878" w:rsidRDefault="00000000">
      <w:pPr>
        <w:pStyle w:val="Ttulo2"/>
        <w:numPr>
          <w:ilvl w:val="1"/>
          <w:numId w:val="5"/>
        </w:numPr>
        <w:spacing w:before="0" w:after="160" w:line="360" w:lineRule="auto"/>
        <w:jc w:val="both"/>
        <w:rPr>
          <w:i/>
        </w:rPr>
      </w:pPr>
      <w:bookmarkStart w:id="16" w:name="_f0l214gyatt0" w:colFirst="0" w:colLast="0"/>
      <w:bookmarkEnd w:id="16"/>
      <w:r>
        <w:rPr>
          <w:rFonts w:ascii="Times New Roman" w:eastAsia="Times New Roman" w:hAnsi="Times New Roman" w:cs="Times New Roman"/>
          <w:b/>
          <w:i/>
          <w:sz w:val="24"/>
          <w:szCs w:val="24"/>
        </w:rPr>
        <w:t xml:space="preserve">Sobre los objetores de conciencia: </w:t>
      </w:r>
    </w:p>
    <w:p w14:paraId="141B627B"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la emisión de la LORIVE, hay 786 objetores de conciencia en salud en Ecuador, representando el 30% de los médicos. Esta objeción limita el acceso a abortos seguros, </w:t>
      </w:r>
      <w:r>
        <w:rPr>
          <w:rFonts w:ascii="Times New Roman" w:eastAsia="Times New Roman" w:hAnsi="Times New Roman" w:cs="Times New Roman"/>
          <w:sz w:val="24"/>
          <w:szCs w:val="24"/>
        </w:rPr>
        <w:lastRenderedPageBreak/>
        <w:t>especialmente en las 632 instituciones de salud del país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de las cuales 116 están en zonas rurales.</w:t>
      </w:r>
      <w:r>
        <w:rPr>
          <w:rFonts w:ascii="Times New Roman" w:eastAsia="Times New Roman" w:hAnsi="Times New Roman" w:cs="Times New Roman"/>
          <w:sz w:val="24"/>
          <w:szCs w:val="24"/>
          <w:vertAlign w:val="superscript"/>
        </w:rPr>
        <w:footnoteReference w:id="40"/>
      </w:r>
    </w:p>
    <w:p w14:paraId="799DCA18" w14:textId="77777777" w:rsidR="00B87878" w:rsidRDefault="00000000">
      <w:pPr>
        <w:pStyle w:val="Ttulo2"/>
        <w:numPr>
          <w:ilvl w:val="1"/>
          <w:numId w:val="5"/>
        </w:numPr>
        <w:spacing w:before="0" w:after="160" w:line="360" w:lineRule="auto"/>
        <w:jc w:val="both"/>
        <w:rPr>
          <w:i/>
        </w:rPr>
      </w:pPr>
      <w:bookmarkStart w:id="17" w:name="_h9nh6ykc6st0" w:colFirst="0" w:colLast="0"/>
      <w:bookmarkEnd w:id="17"/>
      <w:r>
        <w:rPr>
          <w:rFonts w:ascii="Times New Roman" w:eastAsia="Times New Roman" w:hAnsi="Times New Roman" w:cs="Times New Roman"/>
          <w:b/>
          <w:i/>
          <w:sz w:val="24"/>
          <w:szCs w:val="24"/>
        </w:rPr>
        <w:t>¿Cómo ha implementado el Ministerio de Salud Pública la Ley de Interrupción Voluntaria del embarazo en casos de violación?</w:t>
      </w:r>
    </w:p>
    <w:p w14:paraId="355EEA83"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ha desarrollado como parte del marco normativo: </w:t>
      </w:r>
    </w:p>
    <w:p w14:paraId="15577DBB" w14:textId="77777777" w:rsidR="00B87878"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w:t>
      </w:r>
      <w:r>
        <w:rPr>
          <w:rFonts w:ascii="Times New Roman" w:eastAsia="Times New Roman" w:hAnsi="Times New Roman" w:cs="Times New Roman"/>
          <w:b/>
          <w:sz w:val="24"/>
          <w:szCs w:val="24"/>
          <w:u w:val="single"/>
        </w:rPr>
        <w:t>“Lineamientos para la Atención Integral y Acceso Efectivo a Interrupción Voluntaria del Embarazo por violación</w:t>
      </w:r>
      <w:r>
        <w:rPr>
          <w:rFonts w:ascii="Times New Roman" w:eastAsia="Times New Roman" w:hAnsi="Times New Roman" w:cs="Times New Roman"/>
          <w:sz w:val="24"/>
          <w:szCs w:val="24"/>
        </w:rPr>
        <w:t>”, que fueron difundidos a nivel nacional en establecimientos de salud del Ministerio de Salud Pública, así como con a instituciones del Sistema Nacional de Salud.</w:t>
      </w:r>
    </w:p>
    <w:p w14:paraId="587F361D" w14:textId="77777777" w:rsidR="00B87878" w:rsidRDefault="00000000">
      <w:pPr>
        <w:numPr>
          <w:ilvl w:val="0"/>
          <w:numId w:val="6"/>
        </w:num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Capacitaciones presenciales dirigidas a profesionales de la salud del Ministerio de Salud Pública y se detallan a continuación:</w:t>
      </w:r>
    </w:p>
    <w:p w14:paraId="234BE5CE"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Plan Nacional de Salud Sexual y Salud Reproductiva 2017-2021 establece:</w:t>
      </w:r>
    </w:p>
    <w:p w14:paraId="31BBDF90" w14:textId="77777777" w:rsidR="00B87878"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la salud materno-neonatal mediante promoción, prevención y tratamiento en el Sistema Nacional de Salud.</w:t>
      </w:r>
    </w:p>
    <w:p w14:paraId="0F7C54FB" w14:textId="77777777" w:rsidR="00B87878"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Asegurar atención integral y de calidad para mujeres en aborto terapéutico por violación y discapacidad mental.</w:t>
      </w:r>
    </w:p>
    <w:p w14:paraId="2FD4E778" w14:textId="77777777" w:rsidR="00B87878"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Capacitación presencial a 474 profesionales de salud del MSP, quienes deben replicar la formación en sus establecimientos.</w:t>
      </w:r>
    </w:p>
    <w:p w14:paraId="15C0A89C" w14:textId="77777777" w:rsidR="00B87878" w:rsidRDefault="00000000">
      <w:pPr>
        <w:numPr>
          <w:ilvl w:val="0"/>
          <w:numId w:val="4"/>
        </w:num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Capacitación virtual a 3,769 profesionales para actualizar conocimientos en Salud Sexual y Reproductiva.</w:t>
      </w:r>
    </w:p>
    <w:p w14:paraId="1B111D20"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conclusión, aunque el MSP ha capacitado a personal de salud sobre acceso a servicios de salud sexual y reproductiva, falta evidencia concreta sobre el impacto de estas capacitaciones en la eliminación de estigmas y en la garantía de acceso a abortos seguros. </w:t>
      </w:r>
    </w:p>
    <w:p w14:paraId="7A970DCB"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información limitada dificulta evaluar si el MSP cumple con la sentencia constitucional y asegura el acceso efectivo a salud para todos, especialmente para niñas y adolescentes víctimas de violencia sexual.</w:t>
      </w:r>
    </w:p>
    <w:p w14:paraId="0FF9154B" w14:textId="77777777" w:rsidR="00B87878" w:rsidRDefault="00000000">
      <w:pPr>
        <w:numPr>
          <w:ilvl w:val="0"/>
          <w:numId w:val="5"/>
        </w:num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CONCLUSIONES:</w:t>
      </w:r>
    </w:p>
    <w:p w14:paraId="61B28B20" w14:textId="77777777" w:rsidR="00B87878" w:rsidRDefault="00000000">
      <w:pPr>
        <w:spacing w:after="160" w:line="360" w:lineRule="auto"/>
        <w:jc w:val="both"/>
        <w:rPr>
          <w:rFonts w:ascii="Calibri" w:eastAsia="Calibri" w:hAnsi="Calibri" w:cs="Calibri"/>
        </w:rPr>
      </w:pPr>
      <w:r>
        <w:rPr>
          <w:rFonts w:ascii="Times New Roman" w:eastAsia="Times New Roman" w:hAnsi="Times New Roman" w:cs="Times New Roman"/>
          <w:sz w:val="24"/>
          <w:szCs w:val="24"/>
        </w:rPr>
        <w:lastRenderedPageBreak/>
        <w:t>De la información pública obtenida, se esgrimen las siguientes conclusiones:</w:t>
      </w:r>
    </w:p>
    <w:p w14:paraId="19904343" w14:textId="77777777" w:rsidR="00B87878" w:rsidRDefault="00000000">
      <w:pPr>
        <w:pStyle w:val="Ttulo1"/>
        <w:numPr>
          <w:ilvl w:val="1"/>
          <w:numId w:val="5"/>
        </w:numPr>
        <w:spacing w:before="240" w:after="200" w:line="259" w:lineRule="auto"/>
        <w:rPr>
          <w:b/>
        </w:rPr>
      </w:pPr>
      <w:bookmarkStart w:id="18" w:name="_ge7smepwjqwi" w:colFirst="0" w:colLast="0"/>
      <w:bookmarkEnd w:id="18"/>
      <w:r>
        <w:rPr>
          <w:rFonts w:ascii="Times New Roman" w:eastAsia="Times New Roman" w:hAnsi="Times New Roman" w:cs="Times New Roman"/>
          <w:b/>
          <w:sz w:val="28"/>
          <w:szCs w:val="28"/>
        </w:rPr>
        <w:t>Sobre la información de la Corte Constitucional del Ecuador</w:t>
      </w:r>
    </w:p>
    <w:p w14:paraId="4E7125C0"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han presentado 16 acciones de inconstitucionalidad en contra de la LORIVE con medida cautelar donde se pidió a la CCE suspender temporalmente varias disposiciones de la LORIVE. Las disposiciones suspendidas que más se destacan son la autorización parental y los requisitos para el aborto, creando incertidumbre sobre los requisitos legales futuros y su difusión en los servicios y profesionales de salud hasta el pronunciamiento definitivo.</w:t>
      </w:r>
    </w:p>
    <w:p w14:paraId="65C20A5E" w14:textId="77777777" w:rsidR="00B87878" w:rsidRDefault="00000000">
      <w:pPr>
        <w:pStyle w:val="Ttulo1"/>
        <w:numPr>
          <w:ilvl w:val="1"/>
          <w:numId w:val="5"/>
        </w:numPr>
        <w:spacing w:before="240" w:after="0" w:line="360" w:lineRule="auto"/>
        <w:jc w:val="both"/>
        <w:rPr>
          <w:sz w:val="24"/>
          <w:szCs w:val="24"/>
        </w:rPr>
      </w:pPr>
      <w:bookmarkStart w:id="19" w:name="_7dk8o4wvmd6v" w:colFirst="0" w:colLast="0"/>
      <w:bookmarkEnd w:id="19"/>
      <w:r>
        <w:rPr>
          <w:rFonts w:ascii="Times New Roman" w:eastAsia="Times New Roman" w:hAnsi="Times New Roman" w:cs="Times New Roman"/>
          <w:b/>
          <w:sz w:val="28"/>
          <w:szCs w:val="28"/>
        </w:rPr>
        <w:t xml:space="preserve">Sobre la información de la </w:t>
      </w:r>
      <w:proofErr w:type="gramStart"/>
      <w:r>
        <w:rPr>
          <w:rFonts w:ascii="Times New Roman" w:eastAsia="Times New Roman" w:hAnsi="Times New Roman" w:cs="Times New Roman"/>
          <w:b/>
          <w:sz w:val="28"/>
          <w:szCs w:val="28"/>
        </w:rPr>
        <w:t>Fiscalía General</w:t>
      </w:r>
      <w:proofErr w:type="gramEnd"/>
      <w:r>
        <w:rPr>
          <w:rFonts w:ascii="Times New Roman" w:eastAsia="Times New Roman" w:hAnsi="Times New Roman" w:cs="Times New Roman"/>
          <w:b/>
          <w:sz w:val="28"/>
          <w:szCs w:val="28"/>
        </w:rPr>
        <w:t xml:space="preserve"> del Estado:</w:t>
      </w:r>
    </w:p>
    <w:p w14:paraId="6014AD42"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sentencia constitucional de 2021, ha aumentado el número de denuncias de violación sexual, mientras que las denuncias por aborto se mantienen estables respecto a los años anteriores.</w:t>
      </w:r>
    </w:p>
    <w:p w14:paraId="1447B983" w14:textId="77777777" w:rsidR="00B87878" w:rsidRDefault="00000000">
      <w:pPr>
        <w:pStyle w:val="Ttulo1"/>
        <w:numPr>
          <w:ilvl w:val="1"/>
          <w:numId w:val="5"/>
        </w:numPr>
        <w:spacing w:before="240" w:after="200" w:line="360" w:lineRule="auto"/>
        <w:jc w:val="both"/>
      </w:pPr>
      <w:bookmarkStart w:id="20" w:name="_o7cnb99sd47v" w:colFirst="0" w:colLast="0"/>
      <w:bookmarkEnd w:id="20"/>
      <w:r>
        <w:rPr>
          <w:rFonts w:ascii="Times New Roman" w:eastAsia="Times New Roman" w:hAnsi="Times New Roman" w:cs="Times New Roman"/>
          <w:b/>
          <w:sz w:val="28"/>
          <w:szCs w:val="28"/>
        </w:rPr>
        <w:t>Sobre la información del Ministerio de Salud Pública:</w:t>
      </w:r>
    </w:p>
    <w:p w14:paraId="1EA485B9" w14:textId="77777777" w:rsidR="00B8787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14,790 denuncias de abuso sexual desde 2021, el MSP solo ha realizado 83 abortos en casos de violación, con 786 objetores de conciencia limitando el acceso. La falta de información detallada impide una evaluación adecuada, subrayando la necesidad de superar barreras profesionales y mejorar la recopilación de datos para una gestión más efectiva.</w:t>
      </w:r>
    </w:p>
    <w:p w14:paraId="28AAC75A" w14:textId="77777777" w:rsidR="00B87878" w:rsidRDefault="00B87878">
      <w:pPr>
        <w:spacing w:line="360" w:lineRule="auto"/>
        <w:jc w:val="both"/>
        <w:rPr>
          <w:rFonts w:ascii="Times New Roman" w:eastAsia="Times New Roman" w:hAnsi="Times New Roman" w:cs="Times New Roman"/>
          <w:sz w:val="24"/>
          <w:szCs w:val="24"/>
        </w:rPr>
      </w:pPr>
    </w:p>
    <w:p w14:paraId="3AAE8390" w14:textId="77777777" w:rsidR="00B87878" w:rsidRDefault="00000000">
      <w:pPr>
        <w:pStyle w:val="Ttulo"/>
        <w:numPr>
          <w:ilvl w:val="0"/>
          <w:numId w:val="5"/>
        </w:numPr>
        <w:spacing w:after="160" w:line="360" w:lineRule="auto"/>
        <w:rPr>
          <w:rFonts w:ascii="Times New Roman" w:eastAsia="Times New Roman" w:hAnsi="Times New Roman" w:cs="Times New Roman"/>
          <w:b/>
          <w:sz w:val="24"/>
          <w:szCs w:val="24"/>
        </w:rPr>
      </w:pPr>
      <w:bookmarkStart w:id="21" w:name="_6necf9x5tgzf" w:colFirst="0" w:colLast="0"/>
      <w:bookmarkEnd w:id="21"/>
      <w:r>
        <w:rPr>
          <w:rFonts w:ascii="Times New Roman" w:eastAsia="Times New Roman" w:hAnsi="Times New Roman" w:cs="Times New Roman"/>
          <w:b/>
          <w:sz w:val="24"/>
          <w:szCs w:val="24"/>
        </w:rPr>
        <w:t>SOLICITUDES A LA REPÚBLICA DEL ECUADOR</w:t>
      </w:r>
    </w:p>
    <w:p w14:paraId="53FA0A2C"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la luz de la información presentada, solicitamos respetuosamente que en virtud de sus facultades otorgadas a que adopte las siguientes medidas en atención al próximo examen al Estado ecuatoriano en el 140 periodo de sesiones de este Comité: </w:t>
      </w:r>
    </w:p>
    <w:p w14:paraId="3A65122D" w14:textId="77777777" w:rsidR="00B87878" w:rsidRDefault="00000000">
      <w:pPr>
        <w:spacing w:after="16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PRIMERO.-</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Ampliar información sobre la implementación de la causal de violación en diferentes instancias estatales del gobierno central, gobiernos seccionales, locales por medio de sus funcionarias, funcionarios y autoridades. </w:t>
      </w:r>
    </w:p>
    <w:p w14:paraId="52771A2B" w14:textId="77777777" w:rsidR="00B87878" w:rsidRDefault="00000000">
      <w:pPr>
        <w:spacing w:after="16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SEGUNDO.-</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Recomendar al estado ecuatoriano avanzar hacia una despenalización total del aborto ya que el informe ha demostrado que el sistema de causales tiene muchas barreras institucionales especialmente en cuanto a la prestación del servicio en la esfera pública y privada.</w:t>
      </w:r>
    </w:p>
    <w:p w14:paraId="3E33CAF3" w14:textId="77777777" w:rsidR="00B87878" w:rsidRDefault="00000000">
      <w:pPr>
        <w:spacing w:after="16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lastRenderedPageBreak/>
        <w:t>TERCERO.-</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Ampliar la información sobre acceso a servicios de aborto en casos de violación en espacios donde se reciben denuncias como el sistema de salud, sistema educativo, juntas de protección de derechos, etc. Especialmente en el sistema de salud, es importante que se mantenga un sistema de información actualizado y ampliado sobre el acceso a servicios de aborto en casos de violación. </w:t>
      </w:r>
    </w:p>
    <w:p w14:paraId="63FD9242" w14:textId="77777777" w:rsidR="00B87878" w:rsidRDefault="00000000">
      <w:pPr>
        <w:spacing w:after="160" w:line="360" w:lineRule="auto"/>
        <w:jc w:val="both"/>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CUARTO.-</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Conminar al Ecuador a reforzar la capacitación de profesionales de la salud sobre el contenido de la LORIVE y las medidas cautelares actualmente vigentes ante la CCE, varios aspectos de la ley son altamente </w:t>
      </w:r>
      <w:proofErr w:type="spellStart"/>
      <w:r>
        <w:rPr>
          <w:rFonts w:ascii="Times New Roman" w:eastAsia="Times New Roman" w:hAnsi="Times New Roman" w:cs="Times New Roman"/>
          <w:sz w:val="24"/>
          <w:szCs w:val="24"/>
        </w:rPr>
        <w:t>revictimizantes</w:t>
      </w:r>
      <w:proofErr w:type="spellEnd"/>
      <w:r>
        <w:rPr>
          <w:rFonts w:ascii="Times New Roman" w:eastAsia="Times New Roman" w:hAnsi="Times New Roman" w:cs="Times New Roman"/>
          <w:sz w:val="24"/>
          <w:szCs w:val="24"/>
        </w:rPr>
        <w:t xml:space="preserve"> y en la práctica podría ser fácilmente equiparable a un trato cruel, inhumano y degradante, contrario a la CCT. </w:t>
      </w:r>
    </w:p>
    <w:p w14:paraId="11E0E0D8" w14:textId="77777777" w:rsidR="00B87878" w:rsidRDefault="00000000">
      <w:pPr>
        <w:spacing w:after="160" w:line="360" w:lineRule="auto"/>
        <w:jc w:val="both"/>
        <w:rPr>
          <w:rFonts w:ascii="Calibri" w:eastAsia="Calibri" w:hAnsi="Calibri" w:cs="Calibri"/>
        </w:rPr>
      </w:pPr>
      <w:proofErr w:type="gramStart"/>
      <w:r>
        <w:rPr>
          <w:rFonts w:ascii="Times New Roman" w:eastAsia="Times New Roman" w:hAnsi="Times New Roman" w:cs="Times New Roman"/>
          <w:b/>
          <w:sz w:val="24"/>
          <w:szCs w:val="24"/>
        </w:rPr>
        <w:t>QUINTO.-</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Requerir al Ecuador  que se pronuncie de manera inmediata en cuanto al Estado de la LORIVE y los efectos que ésta debe surtir a partir de la sentencia constitucional.</w:t>
      </w:r>
    </w:p>
    <w:p w14:paraId="7B1E8366" w14:textId="77777777" w:rsidR="00B87878" w:rsidRDefault="00000000">
      <w:pPr>
        <w:spacing w:after="16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SEXTO.-</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Por su intermedio, invite a las suscritas organizaciones; ODJ, a una Reunión Informativa con el Comité previo al diálogo con el Estado parte a exponer un breve resumen los principales hallazgos del informe y las preguntas necesarias a formularse al Estado ecuatoriano.</w:t>
      </w:r>
    </w:p>
    <w:p w14:paraId="5CA3E474" w14:textId="77777777" w:rsidR="00B87878" w:rsidRDefault="00000000">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VII. PREGUNTAS AL ESTADO PARTE: </w:t>
      </w:r>
    </w:p>
    <w:p w14:paraId="16800E7C" w14:textId="77777777" w:rsidR="00B87878"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han desarrollado campañas por parte del MSP de socialización y sensibilización sobre la posibilidad de interrumpir voluntariamente el embarazo en casos de violación? </w:t>
      </w:r>
    </w:p>
    <w:p w14:paraId="49B86471" w14:textId="77777777" w:rsidR="00B87878"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¿Qué medidas se han adoptado para garantizar la no criminalización de médicos que acompañen en aborto? </w:t>
      </w:r>
    </w:p>
    <w:p w14:paraId="41F22223" w14:textId="77777777" w:rsidR="00B87878"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¿Qué es el sistema de información mantiene el estado ecuatoriano para actualizar la implementación de la sentencia de la Corte Constitucional respecto al acceso a la interrupción voluntaria del embarazo en casos de violación?</w:t>
      </w:r>
    </w:p>
    <w:p w14:paraId="01145F74" w14:textId="77777777" w:rsidR="00B87878" w:rsidRDefault="00000000">
      <w:pPr>
        <w:numPr>
          <w:ilvl w:val="0"/>
          <w:numId w:val="11"/>
        </w:num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han propuesto recientes reformas legales donde se contemple incluir al incesto y malformación fetal como causa de exclusión al aborto? </w:t>
      </w:r>
    </w:p>
    <w:p w14:paraId="059E843D" w14:textId="77777777" w:rsidR="00B87878"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Atentamente, </w:t>
      </w:r>
    </w:p>
    <w:p w14:paraId="2D43DA40" w14:textId="77777777" w:rsidR="00B87878" w:rsidRDefault="00000000">
      <w:pPr>
        <w:spacing w:after="160" w:line="360" w:lineRule="auto"/>
        <w:jc w:val="both"/>
      </w:pPr>
      <w:r>
        <w:rPr>
          <w:rFonts w:ascii="Times New Roman" w:eastAsia="Times New Roman" w:hAnsi="Times New Roman" w:cs="Times New Roman"/>
          <w:sz w:val="24"/>
          <w:szCs w:val="24"/>
        </w:rPr>
        <w:t xml:space="preserve">Observatorio de Derechos y Justicia (ODJ), Planned Parenthood Global, Inc. </w:t>
      </w:r>
    </w:p>
    <w:sectPr w:rsidR="00B87878">
      <w:headerReference w:type="default" r:id="rId9"/>
      <w:pgSz w:w="11909" w:h="16834"/>
      <w:pgMar w:top="1440" w:right="1440" w:bottom="137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ADB41" w14:textId="77777777" w:rsidR="0089362D" w:rsidRDefault="0089362D">
      <w:pPr>
        <w:spacing w:line="240" w:lineRule="auto"/>
      </w:pPr>
      <w:r>
        <w:separator/>
      </w:r>
    </w:p>
  </w:endnote>
  <w:endnote w:type="continuationSeparator" w:id="0">
    <w:p w14:paraId="74BEF047" w14:textId="77777777" w:rsidR="0089362D" w:rsidRDefault="008936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0442010-BD4D-4336-AABB-423A26D73218}"/>
  </w:font>
  <w:font w:name="Book Antiqua">
    <w:panose1 w:val="02040602050305030304"/>
    <w:charset w:val="00"/>
    <w:family w:val="roman"/>
    <w:pitch w:val="variable"/>
    <w:sig w:usb0="00000287" w:usb1="00000000" w:usb2="00000000" w:usb3="00000000" w:csb0="0000009F" w:csb1="00000000"/>
    <w:embedRegular r:id="rId2" w:fontKey="{6E1C747B-3678-4134-BE7D-B6644A2CF41F}"/>
  </w:font>
  <w:font w:name="Cambria">
    <w:panose1 w:val="02040503050406030204"/>
    <w:charset w:val="00"/>
    <w:family w:val="roman"/>
    <w:pitch w:val="variable"/>
    <w:sig w:usb0="E00006FF" w:usb1="420024FF" w:usb2="02000000" w:usb3="00000000" w:csb0="0000019F" w:csb1="00000000"/>
    <w:embedRegular r:id="rId3" w:fontKey="{FDF3C547-3A2D-4DD6-A6BC-7D578C646A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38341" w14:textId="77777777" w:rsidR="0089362D" w:rsidRDefault="0089362D">
      <w:pPr>
        <w:spacing w:line="240" w:lineRule="auto"/>
      </w:pPr>
      <w:r>
        <w:separator/>
      </w:r>
    </w:p>
  </w:footnote>
  <w:footnote w:type="continuationSeparator" w:id="0">
    <w:p w14:paraId="4C7DC254" w14:textId="77777777" w:rsidR="0089362D" w:rsidRDefault="0089362D">
      <w:pPr>
        <w:spacing w:line="240" w:lineRule="auto"/>
      </w:pPr>
      <w:r>
        <w:continuationSeparator/>
      </w:r>
    </w:p>
  </w:footnote>
  <w:footnote w:id="1">
    <w:p w14:paraId="28618CBD"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CCPR, Observaciones finales sobre el sexto informe periódico del Ecuador, 11 de agosto de 2016, CCPR/C/ECU/CO/6, párr. 15.</w:t>
      </w:r>
    </w:p>
  </w:footnote>
  <w:footnote w:id="2">
    <w:p w14:paraId="41610102"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CCPR, Observaciones finales sobre el sexto informe periódico del Ecuador, 11 de agosto de 2016, CCPR/C/ECU/CO/6, párr. 16.</w:t>
      </w:r>
    </w:p>
  </w:footnote>
  <w:footnote w:id="3">
    <w:p w14:paraId="4170751B"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CCPR</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Lista de Cuestiones Previas (LORPI) a la presentación del séptimo informe periódico del Ecuador. 27 de agosto de 2021. Párr. 12-13.</w:t>
      </w:r>
    </w:p>
  </w:footnote>
  <w:footnote w:id="4">
    <w:p w14:paraId="12495C50"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CCPR, Séptimo informe periódico que el Ecuador debía presentar en 2022 en virtud del artículo 40 del</w:t>
      </w:r>
    </w:p>
    <w:p w14:paraId="236711D3" w14:textId="77777777" w:rsidR="00B87878" w:rsidRDefault="00000000">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Pacto con arreglo al procedimiento facultativo de presentación de informe (09 de enero de 2023), CCPR/C/ECU/7, párr. 49-52.</w:t>
      </w:r>
    </w:p>
  </w:footnote>
  <w:footnote w:id="5">
    <w:p w14:paraId="44239E4C" w14:textId="77777777" w:rsidR="00B87878" w:rsidRDefault="00000000">
      <w:pPr>
        <w:spacing w:line="240" w:lineRule="auto"/>
        <w:ind w:hanging="30"/>
        <w:rPr>
          <w:rFonts w:ascii="Calibri" w:eastAsia="Calibri" w:hAnsi="Calibri" w:cs="Calibr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Plan Nacional de Salud Sexual y Salud Reproductiva</w:t>
      </w:r>
      <w:r>
        <w:rPr>
          <w:rFonts w:ascii="Times New Roman" w:eastAsia="Times New Roman" w:hAnsi="Times New Roman" w:cs="Times New Roman"/>
          <w:sz w:val="20"/>
          <w:szCs w:val="20"/>
        </w:rPr>
        <w:t xml:space="preserve">. (2017). </w:t>
      </w:r>
      <w:hyperlink r:id="rId1">
        <w:r>
          <w:rPr>
            <w:rFonts w:ascii="Times New Roman" w:eastAsia="Times New Roman" w:hAnsi="Times New Roman" w:cs="Times New Roman"/>
            <w:color w:val="1155CC"/>
            <w:sz w:val="20"/>
            <w:szCs w:val="20"/>
            <w:u w:val="single"/>
          </w:rPr>
          <w:t>https://ecuador.unfpa.org/sites/default/files/pub-pdf/PLAN%20NACIONAL%20DE%20SS%20Y%20SR%202017-2021.pdf</w:t>
        </w:r>
      </w:hyperlink>
    </w:p>
  </w:footnote>
  <w:footnote w:id="6">
    <w:p w14:paraId="257CB0DD" w14:textId="77777777" w:rsidR="00B87878"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Código Orgánico Integral Penal [COIP]. Art. 149.  Reforma de 2023. 10 de febrero de 2014 (Ecuador). </w:t>
      </w:r>
      <w:hyperlink r:id="rId2">
        <w:r>
          <w:rPr>
            <w:rFonts w:ascii="Times New Roman" w:eastAsia="Times New Roman" w:hAnsi="Times New Roman" w:cs="Times New Roman"/>
            <w:color w:val="1155CC"/>
            <w:sz w:val="18"/>
            <w:szCs w:val="18"/>
            <w:u w:val="single"/>
          </w:rPr>
          <w:t>https://www.igualdadgenero.gob.ec/wp-content/uploads/2023/03/CODIGO-ORGANICO-INTEGRAL-PENAL-COIP.pdf</w:t>
        </w:r>
      </w:hyperlink>
    </w:p>
  </w:footnote>
  <w:footnote w:id="7">
    <w:p w14:paraId="3B99CD4D" w14:textId="77777777" w:rsidR="00B87878"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Código Orgánico Integral Penal [COIP]. Art. 150.  Reforma de 2018. 10 de febrero de 2014(Ecuador). </w:t>
      </w:r>
      <w:hyperlink r:id="rId3">
        <w:r>
          <w:rPr>
            <w:rFonts w:ascii="Times New Roman" w:eastAsia="Times New Roman" w:hAnsi="Times New Roman" w:cs="Times New Roman"/>
            <w:color w:val="1155CC"/>
            <w:sz w:val="18"/>
            <w:szCs w:val="18"/>
            <w:u w:val="single"/>
          </w:rPr>
          <w:t>https://www.defensa.gob.ec/wp-content/uploads/downloads/2018/03/COIP_feb2018.pdf</w:t>
        </w:r>
      </w:hyperlink>
    </w:p>
  </w:footnote>
  <w:footnote w:id="8">
    <w:p w14:paraId="1665D399"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Requisito actualmente suspendido por la CCE.</w:t>
      </w:r>
    </w:p>
  </w:footnote>
  <w:footnote w:id="9">
    <w:p w14:paraId="5B735924" w14:textId="77777777" w:rsidR="00B87878" w:rsidRDefault="00000000">
      <w:pPr>
        <w:spacing w:line="240" w:lineRule="auto"/>
        <w:rPr>
          <w:rFonts w:ascii="Calibri" w:eastAsia="Calibri" w:hAnsi="Calibri" w:cs="Calibri"/>
          <w:sz w:val="20"/>
          <w:szCs w:val="20"/>
        </w:rPr>
      </w:pPr>
      <w:r>
        <w:rPr>
          <w:vertAlign w:val="superscript"/>
        </w:rPr>
        <w:footnoteRef/>
      </w:r>
      <w:r>
        <w:rPr>
          <w:rFonts w:ascii="Times New Roman" w:eastAsia="Times New Roman" w:hAnsi="Times New Roman" w:cs="Times New Roman"/>
          <w:sz w:val="20"/>
          <w:szCs w:val="20"/>
        </w:rPr>
        <w:t xml:space="preserve"> Pacto Internacional de Derechos Civiles y Políticos (PIDCP). Artículo 2. </w:t>
      </w:r>
      <w:hyperlink r:id="rId4">
        <w:r>
          <w:rPr>
            <w:rFonts w:ascii="Times New Roman" w:eastAsia="Times New Roman" w:hAnsi="Times New Roman" w:cs="Times New Roman"/>
            <w:color w:val="1155CC"/>
            <w:sz w:val="20"/>
            <w:szCs w:val="20"/>
            <w:u w:val="single"/>
          </w:rPr>
          <w:t>https://www.ohchr.org/es/instruments-mechanisms/instruments/international-covenant-civil-and-political-rights</w:t>
        </w:r>
      </w:hyperlink>
      <w:r>
        <w:rPr>
          <w:rFonts w:ascii="Times New Roman" w:eastAsia="Times New Roman" w:hAnsi="Times New Roman" w:cs="Times New Roman"/>
          <w:sz w:val="20"/>
          <w:szCs w:val="20"/>
        </w:rPr>
        <w:t>.</w:t>
      </w:r>
    </w:p>
  </w:footnote>
  <w:footnote w:id="10">
    <w:p w14:paraId="732F9BA2"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Comité de Derechos Humanos. Observación General Nº 36: artículo 6 del PIDCP, sobre el derecho a la vida CCPR/C/GC/R.36/Rev.7. </w:t>
      </w:r>
      <w:hyperlink r:id="rId5">
        <w:r>
          <w:rPr>
            <w:rFonts w:ascii="Times New Roman" w:eastAsia="Times New Roman" w:hAnsi="Times New Roman" w:cs="Times New Roman"/>
            <w:color w:val="1155CC"/>
            <w:sz w:val="20"/>
            <w:szCs w:val="20"/>
            <w:u w:val="single"/>
          </w:rPr>
          <w:t>https://www.ohchr.org/sites/default/files/Documents/HRBodies/CCPR/GCArticle6/GCArticle6_SP.pdf</w:t>
        </w:r>
      </w:hyperlink>
    </w:p>
  </w:footnote>
  <w:footnote w:id="11">
    <w:p w14:paraId="047282BA"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Comité de Derechos Humanos. Observación General Nº 36: artículo 6 del PIDCP, sobre el derecho a la vida CCPR/C/GC/R.36/Rev.7. </w:t>
      </w:r>
      <w:hyperlink r:id="rId6">
        <w:r>
          <w:rPr>
            <w:rFonts w:ascii="Times New Roman" w:eastAsia="Times New Roman" w:hAnsi="Times New Roman" w:cs="Times New Roman"/>
            <w:color w:val="1155CC"/>
            <w:sz w:val="20"/>
            <w:szCs w:val="20"/>
            <w:u w:val="single"/>
          </w:rPr>
          <w:t>https://www.ohchr.org/sites/default/files/Documents/HRBodies/CCPR/GCArticle6/GCArticle6_SP.pdf</w:t>
        </w:r>
      </w:hyperlink>
    </w:p>
  </w:footnote>
  <w:footnote w:id="12">
    <w:p w14:paraId="380DCA33" w14:textId="77777777" w:rsidR="00B87878"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Comité de Derechos Humanos. Observación General Nº 36: artículo 6 del PIDCP, sobre el derecho a la vida CCPR/C/GC/R.36/Rev.7. </w:t>
      </w:r>
      <w:hyperlink r:id="rId7">
        <w:r>
          <w:rPr>
            <w:rFonts w:ascii="Times New Roman" w:eastAsia="Times New Roman" w:hAnsi="Times New Roman" w:cs="Times New Roman"/>
            <w:color w:val="1155CC"/>
            <w:sz w:val="18"/>
            <w:szCs w:val="18"/>
            <w:u w:val="single"/>
          </w:rPr>
          <w:t>https://www.ohchr.org/sites/default/files/Documents/HRBodies/CCPR/GCArticle6/GCArticle6_SP.pdf</w:t>
        </w:r>
      </w:hyperlink>
    </w:p>
  </w:footnote>
  <w:footnote w:id="13">
    <w:p w14:paraId="0412DBF3" w14:textId="77777777" w:rsidR="00B87878"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CIDH. Situación de derechos humanos en Honduras. OEA/Ser.L/V/II. Doc.146/19. 2019; CIDH. Informe Anual 2018. Nicaragua. Capítulo IV.B.</w:t>
      </w:r>
    </w:p>
  </w:footnote>
  <w:footnote w:id="14">
    <w:p w14:paraId="628CAF73" w14:textId="77777777" w:rsidR="00B87878"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Corte Interamericana de Derechos Humanos, Caso Artavia Murillo y otros (“Fecundación in vitro”). Sentencia de 28 de noviembre de 2012 (Excepciones Preliminares, Fondo, Reparaciones y Costas). Párr. 147, </w:t>
      </w:r>
      <w:hyperlink r:id="rId8">
        <w:r>
          <w:rPr>
            <w:rFonts w:ascii="Times New Roman" w:eastAsia="Times New Roman" w:hAnsi="Times New Roman" w:cs="Times New Roman"/>
            <w:color w:val="1155CC"/>
            <w:sz w:val="18"/>
            <w:szCs w:val="18"/>
            <w:u w:val="single"/>
          </w:rPr>
          <w:t>https://www.corteidh.or.cr/docs/casos/articulos/seriec_257_esp.pdf</w:t>
        </w:r>
      </w:hyperlink>
    </w:p>
  </w:footnote>
  <w:footnote w:id="15">
    <w:p w14:paraId="4A33B521" w14:textId="77777777" w:rsidR="00B87878" w:rsidRDefault="00000000">
      <w:pPr>
        <w:spacing w:after="160"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La causa 34-19-IN analizó alrededor de 119 amicus curiae, de los cuales 72 son presentados por sus propios derechos, y 47 en representación de organizaciones nacionales e internacionales, fundaciones, institutos y colectivos. De los 47 amicus curiae (14) están en contra del aborto, y (33) exponen la favorabilidad hacia la despenalización del aborto por causal de violencia sexual y la inconstitucionalidad de los artículos impugnados en la causa.</w:t>
      </w:r>
    </w:p>
  </w:footnote>
  <w:footnote w:id="16">
    <w:p w14:paraId="3CB89179" w14:textId="77777777" w:rsidR="00B87878"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Corte Constitucional del Ecuador. Caso 34-19-IN del 28 de abril de 2021.</w:t>
      </w:r>
    </w:p>
  </w:footnote>
  <w:footnote w:id="17">
    <w:p w14:paraId="0FB1AAAC"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Ibidem., párr. 129.</w:t>
      </w:r>
    </w:p>
  </w:footnote>
  <w:footnote w:id="18">
    <w:p w14:paraId="2DED488D"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Ibidem., párr. 122. </w:t>
      </w:r>
    </w:p>
  </w:footnote>
  <w:footnote w:id="19">
    <w:p w14:paraId="03050851" w14:textId="77777777" w:rsidR="00B8787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 Corte IDH. Caso Artavia Murillo y otros (“Fecundación in vitro) vs. Costa Rica. Fondo. Reparaciones y Costas. https://www.corteidh.or.cr/docs/casos/articulos/seriec_257_esp.pdf</w:t>
      </w:r>
    </w:p>
  </w:footnote>
  <w:footnote w:id="20">
    <w:p w14:paraId="731CBCA7" w14:textId="77777777" w:rsidR="00B87878"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18"/>
          <w:szCs w:val="18"/>
        </w:rPr>
        <w:t xml:space="preserve">Corte Constitucional del Ecuador. Caso 34-19-IN del 28 de abril de 2021, párr. 130-131. </w:t>
      </w:r>
    </w:p>
  </w:footnote>
  <w:footnote w:id="21">
    <w:p w14:paraId="307E3979"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Revisar:</w:t>
      </w:r>
      <w:r>
        <w:rPr>
          <w:rFonts w:ascii="Times New Roman" w:eastAsia="Times New Roman" w:hAnsi="Times New Roman" w:cs="Times New Roman"/>
          <w:sz w:val="20"/>
          <w:szCs w:val="20"/>
        </w:rPr>
        <w:t xml:space="preserve"> Comité de Derechos Humanos, casos K.L. v. Perú, L.M.R. v. Argentina, Whelan v. Irlanda, Mellet v. Irlanda; Comité para la eliminación de la Discriminación contra la Mujer, caso L.C. v. Perú; Comisión Interamericana de Derechos Humanos (CIDH), caso Paulina del Carmen Ramírez Jacinto v. Nicaragua, B. v. El Salvador; Tribunal Europeo de Derechos Humanos, casos Tysiqc v. Polonia, R.R v. Polonia, A, B y C v. Irlanda, P y S v. Polonia,</w:t>
      </w:r>
    </w:p>
  </w:footnote>
  <w:footnote w:id="22">
    <w:p w14:paraId="756FA99A"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Caso Camila. v. Perú. </w:t>
      </w:r>
    </w:p>
  </w:footnote>
  <w:footnote w:id="23">
    <w:p w14:paraId="57CA6032" w14:textId="77777777" w:rsidR="00B87878"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Ibidem., párr. 94. </w:t>
      </w:r>
    </w:p>
  </w:footnote>
  <w:footnote w:id="24">
    <w:p w14:paraId="09D943B2" w14:textId="77777777" w:rsidR="00B87878"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CIDH, Informe No. 21/07, Petición 161/02, Solución Amistosa, Paulina del Carmen Ramirez Jacinto (México), 09 de marzo de 2007, párr. 19.</w:t>
      </w:r>
    </w:p>
  </w:footnote>
  <w:footnote w:id="25">
    <w:p w14:paraId="6F06BBDC" w14:textId="77777777" w:rsidR="00B87878"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Defensoría del Pueblo del Ecuador.  </w:t>
      </w:r>
      <w:r>
        <w:rPr>
          <w:rFonts w:ascii="Times New Roman" w:eastAsia="Times New Roman" w:hAnsi="Times New Roman" w:cs="Times New Roman"/>
          <w:i/>
          <w:sz w:val="18"/>
          <w:szCs w:val="18"/>
        </w:rPr>
        <w:t xml:space="preserve">La Defensoría del Pueblo entrega a la Asamblea Nacional el proyecto de ley para garantizar el derecho a la interrupción del embarazo por violación en Ecuador. </w:t>
      </w:r>
      <w:r>
        <w:rPr>
          <w:rFonts w:ascii="Times New Roman" w:eastAsia="Times New Roman" w:hAnsi="Times New Roman" w:cs="Times New Roman"/>
          <w:sz w:val="18"/>
          <w:szCs w:val="18"/>
        </w:rPr>
        <w:t xml:space="preserve">27 de junio de 2021. Recuperado de: </w:t>
      </w:r>
      <w:hyperlink r:id="rId9">
        <w:r>
          <w:rPr>
            <w:rFonts w:ascii="Times New Roman" w:eastAsia="Times New Roman" w:hAnsi="Times New Roman" w:cs="Times New Roman"/>
            <w:color w:val="1155CC"/>
            <w:sz w:val="18"/>
            <w:szCs w:val="18"/>
            <w:u w:val="single"/>
          </w:rPr>
          <w:t>https://www.dpe.gob.ec/la-defensoria-del-pueblo-entrega-a-la-asamblea-nacional-el-proyecto-de-ley-para-garantizar-el-derecho-a-la-interrupcion-del-embarazo-por-violacion-en-ecuador/</w:t>
        </w:r>
      </w:hyperlink>
    </w:p>
  </w:footnote>
  <w:footnote w:id="26">
    <w:p w14:paraId="7061C99A" w14:textId="77777777" w:rsidR="00B87878"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Ibidem. p. 09.</w:t>
      </w:r>
    </w:p>
  </w:footnote>
  <w:footnote w:id="27">
    <w:p w14:paraId="727FFB53"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Ibidem., p. 38-40.</w:t>
      </w:r>
    </w:p>
  </w:footnote>
  <w:footnote w:id="28">
    <w:p w14:paraId="32D98C06"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Corte Constitucional, febrero 28, 2008, Sentencia T 209/08, Gaceta de la Corte Constitucional [G.C.C.] (Colom.), citado en CIDH, </w:t>
      </w:r>
      <w:r>
        <w:rPr>
          <w:rFonts w:ascii="Times New Roman" w:eastAsia="Times New Roman" w:hAnsi="Times New Roman" w:cs="Times New Roman"/>
          <w:i/>
          <w:sz w:val="20"/>
          <w:szCs w:val="20"/>
        </w:rPr>
        <w:t>Acceso a la información en materia reproductiva</w:t>
      </w:r>
      <w:r>
        <w:rPr>
          <w:rFonts w:ascii="Times New Roman" w:eastAsia="Times New Roman" w:hAnsi="Times New Roman" w:cs="Times New Roman"/>
          <w:sz w:val="20"/>
          <w:szCs w:val="20"/>
        </w:rPr>
        <w:t xml:space="preserve">, supra nota 28, párr. 93, 97. </w:t>
      </w:r>
    </w:p>
  </w:footnote>
  <w:footnote w:id="29">
    <w:p w14:paraId="5EDD992B"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Comité DESC. Observación General No. 22 (2016), relativa al derecho a la salud sexual y reproductiva (artículo 12 del Pacto Internacional de Derechos Económicos, Sociales y Culturales), E/C.12/GC/22, 2 de mayo de 2016, párr. 14.</w:t>
      </w:r>
    </w:p>
  </w:footnote>
  <w:footnote w:id="30">
    <w:p w14:paraId="764A0266" w14:textId="77777777" w:rsidR="00B87878" w:rsidRDefault="00000000">
      <w:pPr>
        <w:spacing w:line="240" w:lineRule="auto"/>
        <w:rPr>
          <w:rFonts w:ascii="Calibri" w:eastAsia="Calibri" w:hAnsi="Calibri" w:cs="Calibr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Ibídem</w:t>
      </w:r>
      <w:r>
        <w:rPr>
          <w:rFonts w:ascii="Times New Roman" w:eastAsia="Times New Roman" w:hAnsi="Times New Roman" w:cs="Times New Roman"/>
          <w:sz w:val="20"/>
          <w:szCs w:val="20"/>
        </w:rPr>
        <w:t>., p. 30-31.</w:t>
      </w:r>
    </w:p>
  </w:footnote>
  <w:footnote w:id="31">
    <w:p w14:paraId="104B05F5"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CIDH, Violencia y discriminación contra mujeres, niñas y adolescentes: Buenas prácticas y desafíos en América Latina y en el Caribe, OEA/Ser.L/V/II. Doc. 233 14 noviembre 2019, párr. 261-263.</w:t>
      </w:r>
    </w:p>
  </w:footnote>
  <w:footnote w:id="32">
    <w:p w14:paraId="29304812" w14:textId="77777777" w:rsidR="00B8787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ibidem.</w:t>
      </w:r>
    </w:p>
  </w:footnote>
  <w:footnote w:id="33">
    <w:p w14:paraId="3C4999A1" w14:textId="77777777" w:rsidR="00B87878"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El Universo. </w:t>
      </w:r>
      <w:r>
        <w:rPr>
          <w:rFonts w:ascii="Times New Roman" w:eastAsia="Times New Roman" w:hAnsi="Times New Roman" w:cs="Times New Roman"/>
          <w:i/>
          <w:sz w:val="18"/>
          <w:szCs w:val="18"/>
        </w:rPr>
        <w:t xml:space="preserve">Ley que regula el aborto en casos de violación se publicó en el Registro Oficial. </w:t>
      </w:r>
      <w:r>
        <w:rPr>
          <w:rFonts w:ascii="Times New Roman" w:eastAsia="Times New Roman" w:hAnsi="Times New Roman" w:cs="Times New Roman"/>
          <w:sz w:val="18"/>
          <w:szCs w:val="18"/>
        </w:rPr>
        <w:t xml:space="preserve">29 de abril de 2022. Recuperado de: </w:t>
      </w:r>
      <w:hyperlink r:id="rId10">
        <w:r>
          <w:rPr>
            <w:rFonts w:ascii="Times New Roman" w:eastAsia="Times New Roman" w:hAnsi="Times New Roman" w:cs="Times New Roman"/>
            <w:color w:val="1155CC"/>
            <w:sz w:val="18"/>
            <w:szCs w:val="18"/>
            <w:u w:val="single"/>
          </w:rPr>
          <w:t>https://www.eluniverso.com/noticias/politica/ley-que-regula-el-aborto-en-casos-de-violacion-se-publico-en-el-registro-oficial-nota/</w:t>
        </w:r>
      </w:hyperlink>
    </w:p>
  </w:footnote>
  <w:footnote w:id="34">
    <w:p w14:paraId="6E978D14" w14:textId="77777777" w:rsidR="00B87878"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Observatorio de Derechos y Justicia. Causas activas dentro de la Corte Constitucional del Ecuador respecto a Ley Orgánica de Regulación de la Interrupción Voluntaria del Embarazo en casos de violación. Género. Información extraída de: </w:t>
      </w:r>
      <w:hyperlink r:id="rId11">
        <w:r>
          <w:rPr>
            <w:rFonts w:ascii="Times New Roman" w:eastAsia="Times New Roman" w:hAnsi="Times New Roman" w:cs="Times New Roman"/>
            <w:color w:val="1155CC"/>
            <w:sz w:val="20"/>
            <w:szCs w:val="20"/>
            <w:u w:val="single"/>
          </w:rPr>
          <w:t>https://odjec.org/genero/</w:t>
        </w:r>
      </w:hyperlink>
    </w:p>
  </w:footnote>
  <w:footnote w:id="35">
    <w:p w14:paraId="470C1F11" w14:textId="77777777" w:rsidR="00B87878" w:rsidRDefault="00000000">
      <w:pPr>
        <w:tabs>
          <w:tab w:val="center" w:pos="4252"/>
          <w:tab w:val="right" w:pos="8504"/>
        </w:tabs>
        <w:spacing w:line="240" w:lineRule="auto"/>
        <w:rPr>
          <w:rFonts w:ascii="Book Antiqua" w:eastAsia="Book Antiqua" w:hAnsi="Book Antiqua" w:cs="Book Antiqua"/>
          <w:sz w:val="20"/>
          <w:szCs w:val="20"/>
        </w:rPr>
      </w:pPr>
      <w:r>
        <w:rPr>
          <w:vertAlign w:val="superscript"/>
        </w:rPr>
        <w:footnoteRef/>
      </w:r>
      <w:r>
        <w:rPr>
          <w:rFonts w:ascii="Times New Roman" w:eastAsia="Times New Roman" w:hAnsi="Times New Roman" w:cs="Times New Roman"/>
          <w:sz w:val="20"/>
          <w:szCs w:val="20"/>
        </w:rPr>
        <w:t xml:space="preserve"> Sobre la causa </w:t>
      </w:r>
      <w:r>
        <w:rPr>
          <w:rFonts w:ascii="Times New Roman" w:eastAsia="Times New Roman" w:hAnsi="Times New Roman" w:cs="Times New Roman"/>
          <w:b/>
          <w:sz w:val="20"/>
          <w:szCs w:val="20"/>
        </w:rPr>
        <w:t>38-19-AN</w:t>
      </w:r>
      <w:r>
        <w:rPr>
          <w:rFonts w:ascii="Times New Roman" w:eastAsia="Times New Roman" w:hAnsi="Times New Roman" w:cs="Times New Roman"/>
          <w:sz w:val="20"/>
          <w:szCs w:val="20"/>
        </w:rPr>
        <w:t>, se trata de una acción de incumplimiento, donde se demanda que la Asamblea Nacional al momento del desarrollo y aprobación de la LORIVE no observó los instrumentos internacionales de derechos humanos relativos a derechos sexuales y reproductivos.</w:t>
      </w:r>
    </w:p>
  </w:footnote>
  <w:footnote w:id="36">
    <w:p w14:paraId="3710B11C" w14:textId="77777777" w:rsidR="00B87878" w:rsidRDefault="00000000">
      <w:pPr>
        <w:spacing w:line="240" w:lineRule="auto"/>
        <w:jc w:val="both"/>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sz w:val="18"/>
          <w:szCs w:val="18"/>
        </w:rPr>
        <w:t xml:space="preserve"> Instituto de Estadísticas y Censos. Visualización de camas y egresos hospitalarios. Extraído de: </w:t>
      </w:r>
      <w:hyperlink r:id="rId12">
        <w:r>
          <w:rPr>
            <w:rFonts w:ascii="Times New Roman" w:eastAsia="Times New Roman" w:hAnsi="Times New Roman" w:cs="Times New Roman"/>
            <w:color w:val="1155CC"/>
            <w:sz w:val="18"/>
            <w:szCs w:val="18"/>
            <w:u w:val="single"/>
          </w:rPr>
          <w:t>https://app.powerbi.com/view?r=eyJrIjoiMmE3NDMwOGMtZGJlOC00MDJhLWEwYWMtZDg1MmMwZmViNDBmIiwidCI6ImYxNThhMmU4LWNhZWMtNDQwNi1iMGFiLWY1ZTI1OWJkYTExMiJ9</w:t>
        </w:r>
      </w:hyperlink>
      <w:r>
        <w:rPr>
          <w:rFonts w:ascii="Times New Roman" w:eastAsia="Times New Roman" w:hAnsi="Times New Roman" w:cs="Times New Roman"/>
          <w:sz w:val="18"/>
          <w:szCs w:val="18"/>
        </w:rPr>
        <w:t>ç</w:t>
      </w:r>
    </w:p>
  </w:footnote>
  <w:footnote w:id="37">
    <w:p w14:paraId="16674229" w14:textId="77777777" w:rsidR="00B87878" w:rsidRDefault="00000000">
      <w:pPr>
        <w:spacing w:line="240" w:lineRule="auto"/>
        <w:jc w:val="both"/>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Ibidem</w:t>
      </w:r>
    </w:p>
  </w:footnote>
  <w:footnote w:id="38">
    <w:p w14:paraId="1261E136" w14:textId="77777777" w:rsidR="00B8787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Ibidem</w:t>
      </w:r>
      <w:r>
        <w:rPr>
          <w:rFonts w:ascii="Times New Roman" w:eastAsia="Times New Roman" w:hAnsi="Times New Roman" w:cs="Times New Roman"/>
          <w:sz w:val="20"/>
          <w:szCs w:val="20"/>
        </w:rPr>
        <w:t>. p. 16.</w:t>
      </w:r>
    </w:p>
  </w:footnote>
  <w:footnote w:id="39">
    <w:p w14:paraId="50097E94" w14:textId="77777777" w:rsidR="00B87878" w:rsidRDefault="00000000">
      <w:pPr>
        <w:spacing w:line="240" w:lineRule="auto"/>
        <w:jc w:val="both"/>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sz w:val="18"/>
          <w:szCs w:val="18"/>
        </w:rPr>
        <w:t xml:space="preserve"> Instituto de Estadísticas y Censos. Visualización de camas y egresos hospitalarios. Extraído de: </w:t>
      </w:r>
      <w:hyperlink r:id="rId13">
        <w:r>
          <w:rPr>
            <w:rFonts w:ascii="Times New Roman" w:eastAsia="Times New Roman" w:hAnsi="Times New Roman" w:cs="Times New Roman"/>
            <w:color w:val="1155CC"/>
            <w:sz w:val="18"/>
            <w:szCs w:val="18"/>
            <w:u w:val="single"/>
          </w:rPr>
          <w:t>https://app.powerbi.com/view?r=eyJrIjoiMmE3NDMwOGMtZGJlOC00MDJhLWEwYWMtZDg1MmMwZmViNDBmIiwidCI6ImYxNThhMmU4LWNhZWMtNDQwNi1iMGFiLWY1ZTI1OWJkYTExMiJ9</w:t>
        </w:r>
      </w:hyperlink>
      <w:r>
        <w:rPr>
          <w:rFonts w:ascii="Times New Roman" w:eastAsia="Times New Roman" w:hAnsi="Times New Roman" w:cs="Times New Roman"/>
          <w:sz w:val="18"/>
          <w:szCs w:val="18"/>
        </w:rPr>
        <w:t>ç</w:t>
      </w:r>
    </w:p>
  </w:footnote>
  <w:footnote w:id="40">
    <w:p w14:paraId="1749C2D1" w14:textId="77777777" w:rsidR="00B87878" w:rsidRDefault="00000000">
      <w:pPr>
        <w:spacing w:line="240" w:lineRule="auto"/>
        <w:ind w:left="600"/>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Instituto Nacional de Estadística y Censos. Registro Estadístico de Recursos y Actividades de salud.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212DA" w14:textId="77777777" w:rsidR="00B87878"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F10B9D">
      <w:rPr>
        <w:rFonts w:ascii="Times New Roman" w:eastAsia="Times New Roman" w:hAnsi="Times New Roman" w:cs="Times New Roman"/>
        <w:noProof/>
      </w:rPr>
      <w:t>1</w:t>
    </w:r>
    <w:r>
      <w:rPr>
        <w:rFonts w:ascii="Times New Roman" w:eastAsia="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D6EC2"/>
    <w:multiLevelType w:val="multilevel"/>
    <w:tmpl w:val="B5B45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A2054A"/>
    <w:multiLevelType w:val="multilevel"/>
    <w:tmpl w:val="3B048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59927C4"/>
    <w:multiLevelType w:val="multilevel"/>
    <w:tmpl w:val="9B9428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CC54C5"/>
    <w:multiLevelType w:val="multilevel"/>
    <w:tmpl w:val="B412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0D2500"/>
    <w:multiLevelType w:val="multilevel"/>
    <w:tmpl w:val="36104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E76518"/>
    <w:multiLevelType w:val="multilevel"/>
    <w:tmpl w:val="5270F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0527EE"/>
    <w:multiLevelType w:val="multilevel"/>
    <w:tmpl w:val="3530C9F2"/>
    <w:lvl w:ilvl="0">
      <w:start w:val="1"/>
      <w:numFmt w:val="decimal"/>
      <w:lvlText w:val="%1."/>
      <w:lvlJc w:val="left"/>
      <w:pPr>
        <w:ind w:left="1428" w:hanging="360"/>
      </w:pPr>
      <w:rPr>
        <w:u w:val="none"/>
      </w:rPr>
    </w:lvl>
    <w:lvl w:ilvl="1">
      <w:start w:val="1"/>
      <w:numFmt w:val="lowerLetter"/>
      <w:lvlText w:val="%2."/>
      <w:lvlJc w:val="left"/>
      <w:pPr>
        <w:ind w:left="2148" w:hanging="360"/>
      </w:pPr>
      <w:rPr>
        <w:u w:val="none"/>
      </w:rPr>
    </w:lvl>
    <w:lvl w:ilvl="2">
      <w:start w:val="1"/>
      <w:numFmt w:val="lowerRoman"/>
      <w:lvlText w:val="%3."/>
      <w:lvlJc w:val="right"/>
      <w:pPr>
        <w:ind w:left="2868" w:hanging="360"/>
      </w:pPr>
      <w:rPr>
        <w:u w:val="none"/>
      </w:rPr>
    </w:lvl>
    <w:lvl w:ilvl="3">
      <w:start w:val="1"/>
      <w:numFmt w:val="decimal"/>
      <w:lvlText w:val="%4."/>
      <w:lvlJc w:val="left"/>
      <w:pPr>
        <w:ind w:left="3588" w:hanging="360"/>
      </w:pPr>
      <w:rPr>
        <w:u w:val="none"/>
      </w:rPr>
    </w:lvl>
    <w:lvl w:ilvl="4">
      <w:start w:val="1"/>
      <w:numFmt w:val="lowerLetter"/>
      <w:lvlText w:val="%5."/>
      <w:lvlJc w:val="left"/>
      <w:pPr>
        <w:ind w:left="4308" w:hanging="360"/>
      </w:pPr>
      <w:rPr>
        <w:u w:val="none"/>
      </w:rPr>
    </w:lvl>
    <w:lvl w:ilvl="5">
      <w:start w:val="1"/>
      <w:numFmt w:val="lowerRoman"/>
      <w:lvlText w:val="%6."/>
      <w:lvlJc w:val="right"/>
      <w:pPr>
        <w:ind w:left="5028" w:hanging="360"/>
      </w:pPr>
      <w:rPr>
        <w:u w:val="none"/>
      </w:rPr>
    </w:lvl>
    <w:lvl w:ilvl="6">
      <w:start w:val="1"/>
      <w:numFmt w:val="decimal"/>
      <w:lvlText w:val="%7."/>
      <w:lvlJc w:val="left"/>
      <w:pPr>
        <w:ind w:left="5748" w:hanging="360"/>
      </w:pPr>
      <w:rPr>
        <w:u w:val="none"/>
      </w:rPr>
    </w:lvl>
    <w:lvl w:ilvl="7">
      <w:start w:val="1"/>
      <w:numFmt w:val="lowerLetter"/>
      <w:lvlText w:val="%8."/>
      <w:lvlJc w:val="left"/>
      <w:pPr>
        <w:ind w:left="6468" w:hanging="360"/>
      </w:pPr>
      <w:rPr>
        <w:u w:val="none"/>
      </w:rPr>
    </w:lvl>
    <w:lvl w:ilvl="8">
      <w:start w:val="1"/>
      <w:numFmt w:val="lowerRoman"/>
      <w:lvlText w:val="%9."/>
      <w:lvlJc w:val="right"/>
      <w:pPr>
        <w:ind w:left="7188" w:hanging="360"/>
      </w:pPr>
      <w:rPr>
        <w:u w:val="none"/>
      </w:rPr>
    </w:lvl>
  </w:abstractNum>
  <w:abstractNum w:abstractNumId="7" w15:restartNumberingAfterBreak="0">
    <w:nsid w:val="3701533A"/>
    <w:multiLevelType w:val="multilevel"/>
    <w:tmpl w:val="33583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DB3B13"/>
    <w:multiLevelType w:val="multilevel"/>
    <w:tmpl w:val="005E7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FF07A11"/>
    <w:multiLevelType w:val="multilevel"/>
    <w:tmpl w:val="46F8E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3B2A74"/>
    <w:multiLevelType w:val="multilevel"/>
    <w:tmpl w:val="A96889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BE57AF6"/>
    <w:multiLevelType w:val="multilevel"/>
    <w:tmpl w:val="275C5558"/>
    <w:lvl w:ilvl="0">
      <w:start w:val="1"/>
      <w:numFmt w:val="upperRoman"/>
      <w:lvlText w:val="%1."/>
      <w:lvlJc w:val="right"/>
      <w:pPr>
        <w:ind w:left="720" w:hanging="360"/>
      </w:pPr>
      <w:rPr>
        <w:u w:val="none"/>
      </w:rPr>
    </w:lvl>
    <w:lvl w:ilvl="1">
      <w:start w:val="1"/>
      <w:numFmt w:val="decimal"/>
      <w:lvlText w:val="%1.%2."/>
      <w:lvlJc w:val="right"/>
      <w:pPr>
        <w:ind w:left="1440" w:hanging="360"/>
      </w:pPr>
      <w:rPr>
        <w:rFonts w:ascii="Times New Roman" w:eastAsia="Times New Roman" w:hAnsi="Times New Roman" w:cs="Times New Roman"/>
        <w:b/>
        <w:color w:val="000000"/>
        <w:sz w:val="28"/>
        <w:szCs w:val="28"/>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15:restartNumberingAfterBreak="0">
    <w:nsid w:val="77390B75"/>
    <w:multiLevelType w:val="multilevel"/>
    <w:tmpl w:val="9600E8EC"/>
    <w:lvl w:ilvl="0">
      <w:start w:val="895"/>
      <w:numFmt w:val="bullet"/>
      <w:lvlText w:val="●"/>
      <w:lvlJc w:val="left"/>
      <w:pPr>
        <w:ind w:left="1286"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699669594">
    <w:abstractNumId w:val="3"/>
  </w:num>
  <w:num w:numId="2" w16cid:durableId="1975789669">
    <w:abstractNumId w:val="8"/>
  </w:num>
  <w:num w:numId="3" w16cid:durableId="1262227358">
    <w:abstractNumId w:val="5"/>
  </w:num>
  <w:num w:numId="4" w16cid:durableId="1183280792">
    <w:abstractNumId w:val="10"/>
  </w:num>
  <w:num w:numId="5" w16cid:durableId="1934514874">
    <w:abstractNumId w:val="11"/>
  </w:num>
  <w:num w:numId="6" w16cid:durableId="1613201263">
    <w:abstractNumId w:val="4"/>
  </w:num>
  <w:num w:numId="7" w16cid:durableId="1308706459">
    <w:abstractNumId w:val="2"/>
  </w:num>
  <w:num w:numId="8" w16cid:durableId="2009596360">
    <w:abstractNumId w:val="9"/>
  </w:num>
  <w:num w:numId="9" w16cid:durableId="1700664865">
    <w:abstractNumId w:val="0"/>
  </w:num>
  <w:num w:numId="10" w16cid:durableId="903376055">
    <w:abstractNumId w:val="7"/>
  </w:num>
  <w:num w:numId="11" w16cid:durableId="1495678519">
    <w:abstractNumId w:val="1"/>
  </w:num>
  <w:num w:numId="12" w16cid:durableId="370033150">
    <w:abstractNumId w:val="6"/>
  </w:num>
  <w:num w:numId="13" w16cid:durableId="5824897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878"/>
    <w:rsid w:val="0001363A"/>
    <w:rsid w:val="0089362D"/>
    <w:rsid w:val="00B87878"/>
    <w:rsid w:val="00F10B9D"/>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33A6E"/>
  <w15:docId w15:val="{A572DFB5-B383-4E85-A57B-AC96CEB1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 w:eastAsia="es-EC"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www.corteidh.or.cr/docs/casos/articulos/seriec_257_esp.pdf" TargetMode="External"/><Relationship Id="rId13" Type="http://schemas.openxmlformats.org/officeDocument/2006/relationships/hyperlink" Target="https://app.powerbi.com/view?r=eyJrIjoiMmE3NDMwOGMtZGJlOC00MDJhLWEwYWMtZDg1MmMwZmViNDBmIiwidCI6ImYxNThhMmU4LWNhZWMtNDQwNi1iMGFiLWY1ZTI1OWJkYTExMiJ9" TargetMode="External"/><Relationship Id="rId3" Type="http://schemas.openxmlformats.org/officeDocument/2006/relationships/hyperlink" Target="https://www.defensa.gob.ec/wp-content/uploads/downloads/2018/03/COIP_feb2018.pdf" TargetMode="External"/><Relationship Id="rId7" Type="http://schemas.openxmlformats.org/officeDocument/2006/relationships/hyperlink" Target="https://www.ohchr.org/sites/default/files/Documents/HRBodies/CCPR/GCArticle6/GCArticle6_SP.pdf" TargetMode="External"/><Relationship Id="rId12" Type="http://schemas.openxmlformats.org/officeDocument/2006/relationships/hyperlink" Target="https://app.powerbi.com/view?r=eyJrIjoiMmE3NDMwOGMtZGJlOC00MDJhLWEwYWMtZDg1MmMwZmViNDBmIiwidCI6ImYxNThhMmU4LWNhZWMtNDQwNi1iMGFiLWY1ZTI1OWJkYTExMiJ9" TargetMode="External"/><Relationship Id="rId2" Type="http://schemas.openxmlformats.org/officeDocument/2006/relationships/hyperlink" Target="https://www.igualdadgenero.gob.ec/wp-content/uploads/2023/03/CODIGO-ORGANICO-INTEGRAL-PENAL-COIP.pdf" TargetMode="External"/><Relationship Id="rId1" Type="http://schemas.openxmlformats.org/officeDocument/2006/relationships/hyperlink" Target="https://ecuador.unfpa.org/sites/default/files/pub-pdf/PLAN%20NACIONAL%20DE%20SS%20Y%20SR%202017-2021.pdf" TargetMode="External"/><Relationship Id="rId6" Type="http://schemas.openxmlformats.org/officeDocument/2006/relationships/hyperlink" Target="https://www.ohchr.org/sites/default/files/Documents/HRBodies/CCPR/GCArticle6/GCArticle6_SP.pdf" TargetMode="External"/><Relationship Id="rId11" Type="http://schemas.openxmlformats.org/officeDocument/2006/relationships/hyperlink" Target="https://odjec.org/genero/" TargetMode="External"/><Relationship Id="rId5" Type="http://schemas.openxmlformats.org/officeDocument/2006/relationships/hyperlink" Target="https://www.ohchr.org/sites/default/files/Documents/HRBodies/CCPR/GCArticle6/GCArticle6_SP.pdf" TargetMode="External"/><Relationship Id="rId10" Type="http://schemas.openxmlformats.org/officeDocument/2006/relationships/hyperlink" Target="https://www.eluniverso.com/noticias/politica/ley-que-regula-el-aborto-en-casos-de-violacion-se-publico-en-el-registro-oficial-nota/" TargetMode="External"/><Relationship Id="rId4" Type="http://schemas.openxmlformats.org/officeDocument/2006/relationships/hyperlink" Target="https://www.ohchr.org/es/instruments-mechanisms/instruments/international-covenant-civil-and-political-rights" TargetMode="External"/><Relationship Id="rId9" Type="http://schemas.openxmlformats.org/officeDocument/2006/relationships/hyperlink" Target="https://www.dpe.gob.ec/la-defensoria-del-pueblo-entrega-a-la-asamblea-nacional-el-proyecto-de-ley-para-garantizar-el-derecho-a-la-interrupcion-del-embarazo-por-violacion-en-ecuad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A8E6BD-8C62-4EF8-9042-971021094267}"/>
</file>

<file path=customXml/itemProps2.xml><?xml version="1.0" encoding="utf-8"?>
<ds:datastoreItem xmlns:ds="http://schemas.openxmlformats.org/officeDocument/2006/customXml" ds:itemID="{E0342C59-1B6C-49D2-B32A-E680176DC79B}"/>
</file>

<file path=docProps/app.xml><?xml version="1.0" encoding="utf-8"?>
<Properties xmlns="http://schemas.openxmlformats.org/officeDocument/2006/extended-properties" xmlns:vt="http://schemas.openxmlformats.org/officeDocument/2006/docPropsVTypes">
  <Template>Normal.dotm</Template>
  <TotalTime>5</TotalTime>
  <Pages>1</Pages>
  <Words>6612</Words>
  <Characters>35777</Characters>
  <Application>Microsoft Office Word</Application>
  <DocSecurity>0</DocSecurity>
  <Lines>851</Lines>
  <Paragraphs>378</Paragraphs>
  <ScaleCrop>false</ScaleCrop>
  <Company/>
  <LinksUpToDate>false</LinksUpToDate>
  <CharactersWithSpaces>42011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2024-09-16T22:14:00Z</dcterms:created>
  <dcterms:modified xsi:type="dcterms:W3CDTF">2024-09-16T22:19:00Z</dcterms:modified>
</cp:coreProperties>
</file>