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DA774" w14:textId="77777777" w:rsidR="00215FA8" w:rsidRDefault="00215FA8" w:rsidP="00A062E6">
      <w:pPr>
        <w:pStyle w:val="Title"/>
        <w:jc w:val="center"/>
        <w:rPr>
          <w:rFonts w:ascii="Arial Rounded MT Bold" w:hAnsi="Arial Rounded MT Bold" w:cs="Aharoni"/>
          <w:b/>
          <w:bCs/>
          <w:sz w:val="36"/>
          <w:szCs w:val="36"/>
          <w:lang w:val="fr-CA"/>
        </w:rPr>
      </w:pPr>
    </w:p>
    <w:p w14:paraId="7A2353DF" w14:textId="77777777" w:rsidR="00215FA8" w:rsidRDefault="00215FA8" w:rsidP="00A062E6">
      <w:pPr>
        <w:pStyle w:val="Title"/>
        <w:jc w:val="center"/>
        <w:rPr>
          <w:rFonts w:ascii="Arial Rounded MT Bold" w:hAnsi="Arial Rounded MT Bold" w:cs="Aharoni"/>
          <w:b/>
          <w:bCs/>
          <w:sz w:val="36"/>
          <w:szCs w:val="36"/>
          <w:lang w:val="fr-CA"/>
        </w:rPr>
      </w:pPr>
    </w:p>
    <w:p w14:paraId="4678127C" w14:textId="77777777" w:rsidR="00215FA8" w:rsidRDefault="00215FA8" w:rsidP="00A062E6">
      <w:pPr>
        <w:pStyle w:val="Title"/>
        <w:jc w:val="center"/>
        <w:rPr>
          <w:rFonts w:ascii="Arial Rounded MT Bold" w:hAnsi="Arial Rounded MT Bold" w:cs="Aharoni"/>
          <w:b/>
          <w:bCs/>
          <w:sz w:val="36"/>
          <w:szCs w:val="36"/>
          <w:lang w:val="fr-CA"/>
        </w:rPr>
      </w:pPr>
    </w:p>
    <w:p w14:paraId="086103EC" w14:textId="77777777" w:rsidR="00215FA8" w:rsidRDefault="00215FA8" w:rsidP="00A062E6">
      <w:pPr>
        <w:pStyle w:val="Title"/>
        <w:jc w:val="center"/>
        <w:rPr>
          <w:rFonts w:ascii="Arial Rounded MT Bold" w:hAnsi="Arial Rounded MT Bold" w:cs="Aharoni"/>
          <w:b/>
          <w:bCs/>
          <w:sz w:val="36"/>
          <w:szCs w:val="36"/>
          <w:lang w:val="fr-CA"/>
        </w:rPr>
      </w:pPr>
    </w:p>
    <w:p w14:paraId="1156300E" w14:textId="77777777" w:rsidR="00215FA8" w:rsidRDefault="00215FA8" w:rsidP="00A062E6">
      <w:pPr>
        <w:pStyle w:val="Title"/>
        <w:jc w:val="center"/>
        <w:rPr>
          <w:rFonts w:ascii="Arial Rounded MT Bold" w:hAnsi="Arial Rounded MT Bold" w:cs="Aharoni"/>
          <w:b/>
          <w:bCs/>
          <w:sz w:val="36"/>
          <w:szCs w:val="36"/>
          <w:lang w:val="fr-CA"/>
        </w:rPr>
      </w:pPr>
    </w:p>
    <w:p w14:paraId="09290ADD" w14:textId="22FA506E" w:rsidR="00215FA8" w:rsidRDefault="00000000" w:rsidP="00A062E6">
      <w:pPr>
        <w:pStyle w:val="Title"/>
        <w:jc w:val="center"/>
        <w:rPr>
          <w:rFonts w:ascii="Arial Rounded MT Bold" w:hAnsi="Arial Rounded MT Bold" w:cs="Aharoni"/>
          <w:b/>
          <w:bCs/>
          <w:sz w:val="36"/>
          <w:szCs w:val="36"/>
          <w:lang w:val="fr-CA"/>
        </w:rPr>
      </w:pPr>
      <w:r w:rsidRPr="00D650F8">
        <w:rPr>
          <w:rFonts w:ascii="Arial Rounded MT Bold" w:hAnsi="Arial Rounded MT Bold" w:cs="Aharoni"/>
          <w:b/>
          <w:bCs/>
          <w:sz w:val="36"/>
          <w:szCs w:val="36"/>
          <w:lang w:val="fr-CA"/>
        </w:rPr>
        <w:t xml:space="preserve">Contribution </w:t>
      </w:r>
      <w:r w:rsidR="00963FBA" w:rsidRPr="00D650F8">
        <w:rPr>
          <w:rFonts w:ascii="Arial Rounded MT Bold" w:hAnsi="Arial Rounded MT Bold" w:cs="Aharoni"/>
          <w:b/>
          <w:bCs/>
          <w:sz w:val="36"/>
          <w:szCs w:val="36"/>
          <w:lang w:val="fr-CA"/>
        </w:rPr>
        <w:t xml:space="preserve">Écrite Des Organisations De Personnes Handicapées De </w:t>
      </w:r>
      <w:r w:rsidRPr="00D650F8">
        <w:rPr>
          <w:rFonts w:ascii="Arial Rounded MT Bold" w:hAnsi="Arial Rounded MT Bold" w:cs="Aharoni"/>
          <w:b/>
          <w:bCs/>
          <w:sz w:val="36"/>
          <w:szCs w:val="36"/>
          <w:lang w:val="fr-CA"/>
        </w:rPr>
        <w:t>Tunisie</w:t>
      </w:r>
      <w:r w:rsidR="009A1451" w:rsidRPr="00D650F8">
        <w:rPr>
          <w:rFonts w:ascii="Arial Rounded MT Bold" w:hAnsi="Arial Rounded MT Bold" w:cs="Aharoni"/>
          <w:b/>
          <w:bCs/>
          <w:sz w:val="36"/>
          <w:szCs w:val="36"/>
          <w:lang w:val="fr-CA"/>
        </w:rPr>
        <w:t xml:space="preserve"> </w:t>
      </w:r>
      <w:r w:rsidR="00963FBA" w:rsidRPr="00D650F8">
        <w:rPr>
          <w:rFonts w:ascii="Arial Rounded MT Bold" w:hAnsi="Arial Rounded MT Bold" w:cs="Aharoni"/>
          <w:b/>
          <w:bCs/>
          <w:sz w:val="36"/>
          <w:szCs w:val="36"/>
          <w:lang w:val="fr-CA"/>
        </w:rPr>
        <w:t xml:space="preserve">Pour La 26éme Session Du </w:t>
      </w:r>
      <w:r w:rsidRPr="00D650F8">
        <w:rPr>
          <w:rFonts w:ascii="Arial Rounded MT Bold" w:hAnsi="Arial Rounded MT Bold" w:cs="Aharoni"/>
          <w:b/>
          <w:bCs/>
          <w:sz w:val="36"/>
          <w:szCs w:val="36"/>
          <w:lang w:val="fr-CA"/>
        </w:rPr>
        <w:t xml:space="preserve">Comité </w:t>
      </w:r>
      <w:r w:rsidR="00963FBA" w:rsidRPr="00D650F8">
        <w:rPr>
          <w:rFonts w:ascii="Arial Rounded MT Bold" w:hAnsi="Arial Rounded MT Bold" w:cs="Aharoni"/>
          <w:b/>
          <w:bCs/>
          <w:sz w:val="36"/>
          <w:szCs w:val="36"/>
          <w:lang w:val="fr-CA"/>
        </w:rPr>
        <w:t xml:space="preserve">Relative Aux </w:t>
      </w:r>
      <w:r w:rsidRPr="00D650F8">
        <w:rPr>
          <w:rFonts w:ascii="Arial Rounded MT Bold" w:hAnsi="Arial Rounded MT Bold" w:cs="Aharoni"/>
          <w:b/>
          <w:bCs/>
          <w:sz w:val="36"/>
          <w:szCs w:val="36"/>
          <w:lang w:val="fr-CA"/>
        </w:rPr>
        <w:t xml:space="preserve">Droits </w:t>
      </w:r>
      <w:r w:rsidR="00963FBA" w:rsidRPr="00D650F8">
        <w:rPr>
          <w:rFonts w:ascii="Arial Rounded MT Bold" w:hAnsi="Arial Rounded MT Bold" w:cs="Aharoni"/>
          <w:b/>
          <w:bCs/>
          <w:sz w:val="36"/>
          <w:szCs w:val="36"/>
          <w:lang w:val="fr-CA"/>
        </w:rPr>
        <w:t xml:space="preserve">Des </w:t>
      </w:r>
      <w:r w:rsidRPr="00D650F8">
        <w:rPr>
          <w:rFonts w:ascii="Arial Rounded MT Bold" w:hAnsi="Arial Rounded MT Bold" w:cs="Aharoni"/>
          <w:b/>
          <w:bCs/>
          <w:sz w:val="36"/>
          <w:szCs w:val="36"/>
          <w:lang w:val="fr-CA"/>
        </w:rPr>
        <w:t>Personnes Handicapées</w:t>
      </w:r>
    </w:p>
    <w:p w14:paraId="77EC4D38" w14:textId="3F5B6590" w:rsidR="00215FA8" w:rsidRDefault="00215FA8" w:rsidP="00215FA8">
      <w:pPr>
        <w:rPr>
          <w:lang w:val="fr-CA"/>
        </w:rPr>
      </w:pPr>
    </w:p>
    <w:p w14:paraId="305427D8" w14:textId="27895DD7" w:rsidR="00215FA8" w:rsidRDefault="00215FA8" w:rsidP="00215FA8">
      <w:pPr>
        <w:jc w:val="center"/>
        <w:rPr>
          <w:lang w:val="fr-CA"/>
        </w:rPr>
      </w:pPr>
    </w:p>
    <w:p w14:paraId="5BE1C8CF" w14:textId="3E94EC00" w:rsidR="00215FA8" w:rsidRPr="00215FA8" w:rsidRDefault="00215FA8" w:rsidP="00215FA8">
      <w:pPr>
        <w:jc w:val="center"/>
        <w:rPr>
          <w:rFonts w:ascii="Arial Rounded MT Bold" w:hAnsi="Arial Rounded MT Bold" w:cs="Aharoni"/>
          <w:b/>
          <w:bCs/>
          <w:sz w:val="32"/>
          <w:szCs w:val="32"/>
          <w:lang w:val="fr-CA"/>
        </w:rPr>
      </w:pPr>
      <w:r w:rsidRPr="00215FA8">
        <w:rPr>
          <w:rFonts w:ascii="Arial Rounded MT Bold" w:hAnsi="Arial Rounded MT Bold" w:cs="Aharoni"/>
          <w:b/>
          <w:bCs/>
          <w:sz w:val="32"/>
          <w:szCs w:val="32"/>
          <w:lang w:val="fr-CA"/>
        </w:rPr>
        <w:t>March 2023</w:t>
      </w:r>
    </w:p>
    <w:p w14:paraId="3216B8C4" w14:textId="2CBB129E" w:rsidR="00215FA8" w:rsidRDefault="00215FA8" w:rsidP="00215FA8">
      <w:pPr>
        <w:rPr>
          <w:lang w:val="fr-CA"/>
        </w:rPr>
      </w:pPr>
    </w:p>
    <w:p w14:paraId="1FC601F4" w14:textId="0A45BD38" w:rsidR="00215FA8" w:rsidRDefault="00215FA8" w:rsidP="00215FA8">
      <w:pPr>
        <w:rPr>
          <w:lang w:val="fr-CA"/>
        </w:rPr>
      </w:pPr>
    </w:p>
    <w:p w14:paraId="3078BD13" w14:textId="77777777" w:rsidR="00215FA8" w:rsidRPr="00215FA8" w:rsidRDefault="00215FA8" w:rsidP="00215FA8">
      <w:pPr>
        <w:rPr>
          <w:lang w:val="fr-CA"/>
        </w:rPr>
      </w:pPr>
    </w:p>
    <w:p w14:paraId="6AD54455" w14:textId="77777777" w:rsidR="00215FA8" w:rsidRDefault="00215FA8">
      <w:pPr>
        <w:spacing w:line="276" w:lineRule="auto"/>
        <w:ind w:firstLine="0"/>
        <w:jc w:val="left"/>
        <w:rPr>
          <w:rFonts w:ascii="Arial Rounded MT Bold" w:hAnsi="Arial Rounded MT Bold" w:cs="Aharoni"/>
          <w:b/>
          <w:bCs/>
          <w:sz w:val="36"/>
          <w:szCs w:val="36"/>
          <w:lang w:val="fr-CA"/>
        </w:rPr>
      </w:pPr>
      <w:r>
        <w:rPr>
          <w:rFonts w:ascii="Arial Rounded MT Bold" w:hAnsi="Arial Rounded MT Bold" w:cs="Aharoni"/>
          <w:b/>
          <w:bCs/>
          <w:sz w:val="36"/>
          <w:szCs w:val="36"/>
          <w:lang w:val="fr-CA"/>
        </w:rPr>
        <w:br w:type="page"/>
      </w:r>
    </w:p>
    <w:p w14:paraId="45662AC1" w14:textId="77777777" w:rsidR="009A1451" w:rsidRPr="00D650F8" w:rsidRDefault="009A1451" w:rsidP="00A062E6">
      <w:pPr>
        <w:pStyle w:val="Title"/>
        <w:jc w:val="center"/>
        <w:rPr>
          <w:rFonts w:ascii="Arial Rounded MT Bold" w:hAnsi="Arial Rounded MT Bold" w:cs="Aharoni"/>
          <w:b/>
          <w:bCs/>
          <w:sz w:val="36"/>
          <w:szCs w:val="36"/>
          <w:lang w:val="fr-CA"/>
        </w:rPr>
      </w:pPr>
    </w:p>
    <w:p w14:paraId="0617C67C" w14:textId="69E471EA" w:rsidR="00963FBA" w:rsidRPr="00963FBA" w:rsidRDefault="00963FBA" w:rsidP="00A062E6">
      <w:pPr>
        <w:spacing w:after="200"/>
        <w:ind w:firstLine="0"/>
        <w:rPr>
          <w:rStyle w:val="BookTitle"/>
        </w:rPr>
      </w:pPr>
      <w:r w:rsidRPr="00963FBA">
        <w:rPr>
          <w:rStyle w:val="BookTitle"/>
        </w:rPr>
        <w:t>Table des matières</w:t>
      </w:r>
    </w:p>
    <w:p w14:paraId="201536EC" w14:textId="0937A1BE" w:rsidR="00CD5CA6" w:rsidRDefault="00752B70" w:rsidP="00A062E6">
      <w:pPr>
        <w:pStyle w:val="tabledesmatires"/>
        <w:rPr>
          <w:rFonts w:asciiTheme="minorHAnsi" w:eastAsiaTheme="minorEastAsia" w:hAnsiTheme="minorHAnsi" w:cstheme="minorBidi"/>
          <w:sz w:val="22"/>
        </w:rPr>
      </w:pPr>
      <w:r>
        <w:rPr>
          <w:b/>
          <w:sz w:val="28"/>
          <w:szCs w:val="28"/>
        </w:rPr>
        <w:fldChar w:fldCharType="begin"/>
      </w:r>
      <w:r>
        <w:rPr>
          <w:b/>
          <w:sz w:val="28"/>
          <w:szCs w:val="28"/>
        </w:rPr>
        <w:instrText xml:space="preserve"> TOC \o "1-3" \f \h \z \u </w:instrText>
      </w:r>
      <w:r>
        <w:rPr>
          <w:b/>
          <w:sz w:val="28"/>
          <w:szCs w:val="28"/>
        </w:rPr>
        <w:fldChar w:fldCharType="separate"/>
      </w:r>
      <w:hyperlink w:anchor="_Toc127851654" w:history="1">
        <w:r w:rsidR="00CD5CA6" w:rsidRPr="00E96E3E">
          <w:rPr>
            <w:rStyle w:val="Hyperlink"/>
          </w:rPr>
          <w:t>I.</w:t>
        </w:r>
        <w:r w:rsidR="00CD5CA6">
          <w:rPr>
            <w:rFonts w:asciiTheme="minorHAnsi" w:eastAsiaTheme="minorEastAsia" w:hAnsiTheme="minorHAnsi" w:cstheme="minorBidi"/>
            <w:sz w:val="22"/>
          </w:rPr>
          <w:tab/>
        </w:r>
        <w:r w:rsidR="00CD5CA6" w:rsidRPr="00E96E3E">
          <w:rPr>
            <w:rStyle w:val="Hyperlink"/>
          </w:rPr>
          <w:t>Introduction</w:t>
        </w:r>
        <w:r w:rsidR="00CD5CA6">
          <w:rPr>
            <w:webHidden/>
          </w:rPr>
          <w:tab/>
        </w:r>
        <w:r w:rsidR="00CD5CA6">
          <w:rPr>
            <w:webHidden/>
          </w:rPr>
          <w:fldChar w:fldCharType="begin"/>
        </w:r>
        <w:r w:rsidR="00CD5CA6">
          <w:rPr>
            <w:webHidden/>
          </w:rPr>
          <w:instrText xml:space="preserve"> PAGEREF _Toc127851654 \h </w:instrText>
        </w:r>
        <w:r w:rsidR="00CD5CA6">
          <w:rPr>
            <w:webHidden/>
          </w:rPr>
        </w:r>
        <w:r w:rsidR="00CD5CA6">
          <w:rPr>
            <w:webHidden/>
          </w:rPr>
          <w:fldChar w:fldCharType="separate"/>
        </w:r>
        <w:r w:rsidR="00CD5CA6">
          <w:rPr>
            <w:webHidden/>
          </w:rPr>
          <w:t>3</w:t>
        </w:r>
        <w:r w:rsidR="00CD5CA6">
          <w:rPr>
            <w:webHidden/>
          </w:rPr>
          <w:fldChar w:fldCharType="end"/>
        </w:r>
      </w:hyperlink>
    </w:p>
    <w:p w14:paraId="68E8CAEE" w14:textId="63788E87" w:rsidR="00CD5CA6" w:rsidRDefault="00000000" w:rsidP="00A062E6">
      <w:pPr>
        <w:pStyle w:val="tabledesmatires"/>
        <w:rPr>
          <w:rFonts w:asciiTheme="minorHAnsi" w:eastAsiaTheme="minorEastAsia" w:hAnsiTheme="minorHAnsi" w:cstheme="minorBidi"/>
          <w:sz w:val="22"/>
        </w:rPr>
      </w:pPr>
      <w:hyperlink w:anchor="_Toc127851655" w:history="1">
        <w:r w:rsidR="00CD5CA6" w:rsidRPr="00E96E3E">
          <w:rPr>
            <w:rStyle w:val="Hyperlink"/>
          </w:rPr>
          <w:t>II.</w:t>
        </w:r>
        <w:r w:rsidR="00CD5CA6">
          <w:rPr>
            <w:rFonts w:asciiTheme="minorHAnsi" w:eastAsiaTheme="minorEastAsia" w:hAnsiTheme="minorHAnsi" w:cstheme="minorBidi"/>
            <w:sz w:val="22"/>
          </w:rPr>
          <w:tab/>
        </w:r>
        <w:r w:rsidR="00CD5CA6" w:rsidRPr="00E96E3E">
          <w:rPr>
            <w:rStyle w:val="Hyperlink"/>
          </w:rPr>
          <w:t>Inexplicable vide dans le rapport d'</w:t>
        </w:r>
        <w:r w:rsidR="00AF2411">
          <w:rPr>
            <w:rStyle w:val="Hyperlink"/>
          </w:rPr>
          <w:t>État</w:t>
        </w:r>
        <w:r w:rsidR="00CD5CA6" w:rsidRPr="00E96E3E">
          <w:rPr>
            <w:rStyle w:val="Hyperlink"/>
          </w:rPr>
          <w:t xml:space="preserve"> sur le site du comité</w:t>
        </w:r>
        <w:r w:rsidR="00CD5CA6">
          <w:rPr>
            <w:webHidden/>
          </w:rPr>
          <w:tab/>
        </w:r>
        <w:r w:rsidR="00CD5CA6">
          <w:rPr>
            <w:webHidden/>
          </w:rPr>
          <w:fldChar w:fldCharType="begin"/>
        </w:r>
        <w:r w:rsidR="00CD5CA6">
          <w:rPr>
            <w:webHidden/>
          </w:rPr>
          <w:instrText xml:space="preserve"> PAGEREF _Toc127851655 \h </w:instrText>
        </w:r>
        <w:r w:rsidR="00CD5CA6">
          <w:rPr>
            <w:webHidden/>
          </w:rPr>
        </w:r>
        <w:r w:rsidR="00CD5CA6">
          <w:rPr>
            <w:webHidden/>
          </w:rPr>
          <w:fldChar w:fldCharType="separate"/>
        </w:r>
        <w:r w:rsidR="00CD5CA6">
          <w:rPr>
            <w:webHidden/>
          </w:rPr>
          <w:t>3</w:t>
        </w:r>
        <w:r w:rsidR="00CD5CA6">
          <w:rPr>
            <w:webHidden/>
          </w:rPr>
          <w:fldChar w:fldCharType="end"/>
        </w:r>
      </w:hyperlink>
    </w:p>
    <w:p w14:paraId="45BE0C70" w14:textId="39E94A90" w:rsidR="00CD5CA6" w:rsidRDefault="00000000" w:rsidP="00A062E6">
      <w:pPr>
        <w:pStyle w:val="tabledesmatires"/>
        <w:rPr>
          <w:rFonts w:asciiTheme="minorHAnsi" w:eastAsiaTheme="minorEastAsia" w:hAnsiTheme="minorHAnsi" w:cstheme="minorBidi"/>
          <w:sz w:val="22"/>
        </w:rPr>
      </w:pPr>
      <w:hyperlink w:anchor="_Toc127851656" w:history="1">
        <w:r w:rsidR="00CD5CA6" w:rsidRPr="00E96E3E">
          <w:rPr>
            <w:rStyle w:val="Hyperlink"/>
          </w:rPr>
          <w:t>III.</w:t>
        </w:r>
        <w:r w:rsidR="00CD5CA6">
          <w:rPr>
            <w:rFonts w:asciiTheme="minorHAnsi" w:eastAsiaTheme="minorEastAsia" w:hAnsiTheme="minorHAnsi" w:cstheme="minorBidi"/>
            <w:sz w:val="22"/>
          </w:rPr>
          <w:tab/>
        </w:r>
        <w:r w:rsidR="00CD5CA6" w:rsidRPr="00E96E3E">
          <w:rPr>
            <w:rStyle w:val="Hyperlink"/>
          </w:rPr>
          <w:t>Revue et analyse de la situation en Tunisie par article de la CDPH</w:t>
        </w:r>
        <w:r w:rsidR="00CD5CA6">
          <w:rPr>
            <w:webHidden/>
          </w:rPr>
          <w:tab/>
        </w:r>
        <w:r w:rsidR="00CD5CA6">
          <w:rPr>
            <w:webHidden/>
          </w:rPr>
          <w:fldChar w:fldCharType="begin"/>
        </w:r>
        <w:r w:rsidR="00CD5CA6">
          <w:rPr>
            <w:webHidden/>
          </w:rPr>
          <w:instrText xml:space="preserve"> PAGEREF _Toc127851656 \h </w:instrText>
        </w:r>
        <w:r w:rsidR="00CD5CA6">
          <w:rPr>
            <w:webHidden/>
          </w:rPr>
        </w:r>
        <w:r w:rsidR="00CD5CA6">
          <w:rPr>
            <w:webHidden/>
          </w:rPr>
          <w:fldChar w:fldCharType="separate"/>
        </w:r>
        <w:r w:rsidR="00CD5CA6">
          <w:rPr>
            <w:webHidden/>
          </w:rPr>
          <w:t>4</w:t>
        </w:r>
        <w:r w:rsidR="00CD5CA6">
          <w:rPr>
            <w:webHidden/>
          </w:rPr>
          <w:fldChar w:fldCharType="end"/>
        </w:r>
      </w:hyperlink>
    </w:p>
    <w:p w14:paraId="26F007D2" w14:textId="6CE46974" w:rsidR="00CD5CA6" w:rsidRDefault="00000000" w:rsidP="00A062E6">
      <w:pPr>
        <w:pStyle w:val="tabledesmatires"/>
        <w:rPr>
          <w:rFonts w:asciiTheme="minorHAnsi" w:eastAsiaTheme="minorEastAsia" w:hAnsiTheme="minorHAnsi" w:cstheme="minorBidi"/>
          <w:sz w:val="22"/>
        </w:rPr>
      </w:pPr>
      <w:hyperlink w:anchor="_Toc127851657" w:history="1">
        <w:r w:rsidR="00CD5CA6" w:rsidRPr="00E96E3E">
          <w:rPr>
            <w:rStyle w:val="Hyperlink"/>
          </w:rPr>
          <w:t>Articles 1 à 4 - Objet, Définitions, Principes généraux et Obligations générales</w:t>
        </w:r>
        <w:r w:rsidR="00CD5CA6">
          <w:rPr>
            <w:webHidden/>
          </w:rPr>
          <w:tab/>
        </w:r>
        <w:r w:rsidR="00CD5CA6">
          <w:rPr>
            <w:webHidden/>
          </w:rPr>
          <w:fldChar w:fldCharType="begin"/>
        </w:r>
        <w:r w:rsidR="00CD5CA6">
          <w:rPr>
            <w:webHidden/>
          </w:rPr>
          <w:instrText xml:space="preserve"> PAGEREF _Toc127851657 \h </w:instrText>
        </w:r>
        <w:r w:rsidR="00CD5CA6">
          <w:rPr>
            <w:webHidden/>
          </w:rPr>
        </w:r>
        <w:r w:rsidR="00CD5CA6">
          <w:rPr>
            <w:webHidden/>
          </w:rPr>
          <w:fldChar w:fldCharType="separate"/>
        </w:r>
        <w:r w:rsidR="00CD5CA6">
          <w:rPr>
            <w:webHidden/>
          </w:rPr>
          <w:t>4</w:t>
        </w:r>
        <w:r w:rsidR="00CD5CA6">
          <w:rPr>
            <w:webHidden/>
          </w:rPr>
          <w:fldChar w:fldCharType="end"/>
        </w:r>
      </w:hyperlink>
    </w:p>
    <w:p w14:paraId="6168C2AD" w14:textId="3AF13485" w:rsidR="00CD5CA6" w:rsidRDefault="00000000" w:rsidP="00A062E6">
      <w:pPr>
        <w:pStyle w:val="tabledesmatires"/>
        <w:rPr>
          <w:rFonts w:asciiTheme="minorHAnsi" w:eastAsiaTheme="minorEastAsia" w:hAnsiTheme="minorHAnsi" w:cstheme="minorBidi"/>
          <w:sz w:val="22"/>
        </w:rPr>
      </w:pPr>
      <w:hyperlink w:anchor="_Toc127851658"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_Toc127851658 \h </w:instrText>
        </w:r>
        <w:r w:rsidR="00CD5CA6">
          <w:rPr>
            <w:webHidden/>
          </w:rPr>
        </w:r>
        <w:r w:rsidR="00CD5CA6">
          <w:rPr>
            <w:webHidden/>
          </w:rPr>
          <w:fldChar w:fldCharType="separate"/>
        </w:r>
        <w:r w:rsidR="00CD5CA6">
          <w:rPr>
            <w:webHidden/>
          </w:rPr>
          <w:t>4</w:t>
        </w:r>
        <w:r w:rsidR="00CD5CA6">
          <w:rPr>
            <w:webHidden/>
          </w:rPr>
          <w:fldChar w:fldCharType="end"/>
        </w:r>
      </w:hyperlink>
    </w:p>
    <w:p w14:paraId="0B015A51" w14:textId="386A8177" w:rsidR="00CD5CA6" w:rsidRDefault="00000000" w:rsidP="00A062E6">
      <w:pPr>
        <w:pStyle w:val="tabledesmatires"/>
        <w:rPr>
          <w:rFonts w:asciiTheme="minorHAnsi" w:eastAsiaTheme="minorEastAsia" w:hAnsiTheme="minorHAnsi" w:cstheme="minorBidi"/>
          <w:sz w:val="22"/>
        </w:rPr>
      </w:pPr>
      <w:hyperlink w:anchor="_Toc127851659"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_Toc127851659 \h </w:instrText>
        </w:r>
        <w:r w:rsidR="00CD5CA6">
          <w:rPr>
            <w:webHidden/>
          </w:rPr>
        </w:r>
        <w:r w:rsidR="00CD5CA6">
          <w:rPr>
            <w:webHidden/>
          </w:rPr>
          <w:fldChar w:fldCharType="separate"/>
        </w:r>
        <w:r w:rsidR="00CD5CA6">
          <w:rPr>
            <w:webHidden/>
          </w:rPr>
          <w:t>6</w:t>
        </w:r>
        <w:r w:rsidR="00CD5CA6">
          <w:rPr>
            <w:webHidden/>
          </w:rPr>
          <w:fldChar w:fldCharType="end"/>
        </w:r>
      </w:hyperlink>
    </w:p>
    <w:p w14:paraId="4DF28561" w14:textId="2D692BC9" w:rsidR="00CD5CA6" w:rsidRDefault="00000000" w:rsidP="00A062E6">
      <w:pPr>
        <w:pStyle w:val="tabledesmatires"/>
        <w:rPr>
          <w:rFonts w:asciiTheme="minorHAnsi" w:eastAsiaTheme="minorEastAsia" w:hAnsiTheme="minorHAnsi" w:cstheme="minorBidi"/>
          <w:sz w:val="22"/>
        </w:rPr>
      </w:pPr>
      <w:hyperlink w:anchor="_Toc127851660" w:history="1">
        <w:r w:rsidR="00CD5CA6" w:rsidRPr="00E96E3E">
          <w:rPr>
            <w:rStyle w:val="Hyperlink"/>
          </w:rPr>
          <w:t>Article 5 - Égalité et non-discrimination</w:t>
        </w:r>
        <w:r w:rsidR="00CD5CA6">
          <w:rPr>
            <w:webHidden/>
          </w:rPr>
          <w:tab/>
        </w:r>
        <w:r w:rsidR="00CD5CA6">
          <w:rPr>
            <w:webHidden/>
          </w:rPr>
          <w:fldChar w:fldCharType="begin"/>
        </w:r>
        <w:r w:rsidR="00CD5CA6">
          <w:rPr>
            <w:webHidden/>
          </w:rPr>
          <w:instrText xml:space="preserve"> PAGEREF _Toc127851660 \h </w:instrText>
        </w:r>
        <w:r w:rsidR="00CD5CA6">
          <w:rPr>
            <w:webHidden/>
          </w:rPr>
        </w:r>
        <w:r w:rsidR="00CD5CA6">
          <w:rPr>
            <w:webHidden/>
          </w:rPr>
          <w:fldChar w:fldCharType="separate"/>
        </w:r>
        <w:r w:rsidR="00CD5CA6">
          <w:rPr>
            <w:webHidden/>
          </w:rPr>
          <w:t>6</w:t>
        </w:r>
        <w:r w:rsidR="00CD5CA6">
          <w:rPr>
            <w:webHidden/>
          </w:rPr>
          <w:fldChar w:fldCharType="end"/>
        </w:r>
      </w:hyperlink>
    </w:p>
    <w:p w14:paraId="6BF3BDAA" w14:textId="1903A579" w:rsidR="00CD5CA6" w:rsidRDefault="00000000" w:rsidP="00A062E6">
      <w:pPr>
        <w:pStyle w:val="tabledesmatires"/>
        <w:rPr>
          <w:rFonts w:asciiTheme="minorHAnsi" w:eastAsiaTheme="minorEastAsia" w:hAnsiTheme="minorHAnsi" w:cstheme="minorBidi"/>
          <w:sz w:val="22"/>
        </w:rPr>
      </w:pPr>
      <w:hyperlink w:anchor="_Toc127851661"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_Toc127851661 \h </w:instrText>
        </w:r>
        <w:r w:rsidR="00CD5CA6">
          <w:rPr>
            <w:webHidden/>
          </w:rPr>
        </w:r>
        <w:r w:rsidR="00CD5CA6">
          <w:rPr>
            <w:webHidden/>
          </w:rPr>
          <w:fldChar w:fldCharType="separate"/>
        </w:r>
        <w:r w:rsidR="00CD5CA6">
          <w:rPr>
            <w:webHidden/>
          </w:rPr>
          <w:t>6</w:t>
        </w:r>
        <w:r w:rsidR="00CD5CA6">
          <w:rPr>
            <w:webHidden/>
          </w:rPr>
          <w:fldChar w:fldCharType="end"/>
        </w:r>
      </w:hyperlink>
    </w:p>
    <w:p w14:paraId="00C02463" w14:textId="18696448" w:rsidR="00CD5CA6" w:rsidRDefault="00000000" w:rsidP="00A062E6">
      <w:pPr>
        <w:pStyle w:val="tabledesmatires"/>
        <w:rPr>
          <w:rFonts w:asciiTheme="minorHAnsi" w:eastAsiaTheme="minorEastAsia" w:hAnsiTheme="minorHAnsi" w:cstheme="minorBidi"/>
          <w:sz w:val="22"/>
        </w:rPr>
      </w:pPr>
      <w:hyperlink w:anchor="_Toc127851662"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_Toc127851662 \h </w:instrText>
        </w:r>
        <w:r w:rsidR="00CD5CA6">
          <w:rPr>
            <w:webHidden/>
          </w:rPr>
        </w:r>
        <w:r w:rsidR="00CD5CA6">
          <w:rPr>
            <w:webHidden/>
          </w:rPr>
          <w:fldChar w:fldCharType="separate"/>
        </w:r>
        <w:r w:rsidR="00CD5CA6">
          <w:rPr>
            <w:webHidden/>
          </w:rPr>
          <w:t>7</w:t>
        </w:r>
        <w:r w:rsidR="00CD5CA6">
          <w:rPr>
            <w:webHidden/>
          </w:rPr>
          <w:fldChar w:fldCharType="end"/>
        </w:r>
      </w:hyperlink>
    </w:p>
    <w:p w14:paraId="6640A6BB" w14:textId="0CBD802D" w:rsidR="00CD5CA6" w:rsidRDefault="00000000" w:rsidP="00A062E6">
      <w:pPr>
        <w:pStyle w:val="tabledesmatires"/>
        <w:rPr>
          <w:rFonts w:asciiTheme="minorHAnsi" w:eastAsiaTheme="minorEastAsia" w:hAnsiTheme="minorHAnsi" w:cstheme="minorBidi"/>
          <w:sz w:val="22"/>
        </w:rPr>
      </w:pPr>
      <w:hyperlink w:anchor="_Toc127851663" w:history="1">
        <w:r w:rsidR="00CD5CA6" w:rsidRPr="00E96E3E">
          <w:rPr>
            <w:rStyle w:val="Hyperlink"/>
          </w:rPr>
          <w:t>Article 6 - Femmes handicapées</w:t>
        </w:r>
        <w:r w:rsidR="00CD5CA6">
          <w:rPr>
            <w:webHidden/>
          </w:rPr>
          <w:tab/>
        </w:r>
        <w:r w:rsidR="00CD5CA6">
          <w:rPr>
            <w:webHidden/>
          </w:rPr>
          <w:fldChar w:fldCharType="begin"/>
        </w:r>
        <w:r w:rsidR="00CD5CA6">
          <w:rPr>
            <w:webHidden/>
          </w:rPr>
          <w:instrText xml:space="preserve"> PAGEREF _Toc127851663 \h </w:instrText>
        </w:r>
        <w:r w:rsidR="00CD5CA6">
          <w:rPr>
            <w:webHidden/>
          </w:rPr>
        </w:r>
        <w:r w:rsidR="00CD5CA6">
          <w:rPr>
            <w:webHidden/>
          </w:rPr>
          <w:fldChar w:fldCharType="separate"/>
        </w:r>
        <w:r w:rsidR="00CD5CA6">
          <w:rPr>
            <w:webHidden/>
          </w:rPr>
          <w:t>8</w:t>
        </w:r>
        <w:r w:rsidR="00CD5CA6">
          <w:rPr>
            <w:webHidden/>
          </w:rPr>
          <w:fldChar w:fldCharType="end"/>
        </w:r>
      </w:hyperlink>
    </w:p>
    <w:p w14:paraId="594939B0" w14:textId="42494AF7" w:rsidR="00CD5CA6" w:rsidRDefault="00000000" w:rsidP="00A062E6">
      <w:pPr>
        <w:pStyle w:val="tabledesmatires"/>
        <w:rPr>
          <w:rFonts w:asciiTheme="minorHAnsi" w:eastAsiaTheme="minorEastAsia" w:hAnsiTheme="minorHAnsi" w:cstheme="minorBidi"/>
          <w:sz w:val="22"/>
        </w:rPr>
      </w:pPr>
      <w:hyperlink w:anchor="_Toc127851664" w:history="1">
        <w:r w:rsidR="00CD5CA6" w:rsidRPr="00E96E3E">
          <w:rPr>
            <w:rStyle w:val="Hyperlink"/>
            <w:highlight w:val="white"/>
          </w:rPr>
          <w:t>Recommandations</w:t>
        </w:r>
        <w:r w:rsidR="00CD5CA6">
          <w:rPr>
            <w:webHidden/>
          </w:rPr>
          <w:tab/>
        </w:r>
        <w:r w:rsidR="00CD5CA6">
          <w:rPr>
            <w:webHidden/>
          </w:rPr>
          <w:fldChar w:fldCharType="begin"/>
        </w:r>
        <w:r w:rsidR="00CD5CA6">
          <w:rPr>
            <w:webHidden/>
          </w:rPr>
          <w:instrText xml:space="preserve"> PAGEREF _Toc127851664 \h </w:instrText>
        </w:r>
        <w:r w:rsidR="00CD5CA6">
          <w:rPr>
            <w:webHidden/>
          </w:rPr>
        </w:r>
        <w:r w:rsidR="00CD5CA6">
          <w:rPr>
            <w:webHidden/>
          </w:rPr>
          <w:fldChar w:fldCharType="separate"/>
        </w:r>
        <w:r w:rsidR="00CD5CA6">
          <w:rPr>
            <w:webHidden/>
          </w:rPr>
          <w:t>8</w:t>
        </w:r>
        <w:r w:rsidR="00CD5CA6">
          <w:rPr>
            <w:webHidden/>
          </w:rPr>
          <w:fldChar w:fldCharType="end"/>
        </w:r>
      </w:hyperlink>
    </w:p>
    <w:p w14:paraId="6936ED80" w14:textId="493E1D93" w:rsidR="00CD5CA6" w:rsidRDefault="00000000" w:rsidP="00A062E6">
      <w:pPr>
        <w:pStyle w:val="tabledesmatires"/>
        <w:rPr>
          <w:rFonts w:asciiTheme="minorHAnsi" w:eastAsiaTheme="minorEastAsia" w:hAnsiTheme="minorHAnsi" w:cstheme="minorBidi"/>
          <w:sz w:val="22"/>
        </w:rPr>
      </w:pPr>
      <w:hyperlink w:anchor="_Toc127851665" w:history="1">
        <w:r w:rsidR="00CD5CA6" w:rsidRPr="00E96E3E">
          <w:rPr>
            <w:rStyle w:val="Hyperlink"/>
          </w:rPr>
          <w:t>Article 7 - Enfants handicapés</w:t>
        </w:r>
        <w:r w:rsidR="00CD5CA6">
          <w:rPr>
            <w:webHidden/>
          </w:rPr>
          <w:tab/>
        </w:r>
        <w:r w:rsidR="00CD5CA6">
          <w:rPr>
            <w:webHidden/>
          </w:rPr>
          <w:fldChar w:fldCharType="begin"/>
        </w:r>
        <w:r w:rsidR="00CD5CA6">
          <w:rPr>
            <w:webHidden/>
          </w:rPr>
          <w:instrText xml:space="preserve"> PAGEREF _Toc127851665 \h </w:instrText>
        </w:r>
        <w:r w:rsidR="00CD5CA6">
          <w:rPr>
            <w:webHidden/>
          </w:rPr>
        </w:r>
        <w:r w:rsidR="00CD5CA6">
          <w:rPr>
            <w:webHidden/>
          </w:rPr>
          <w:fldChar w:fldCharType="separate"/>
        </w:r>
        <w:r w:rsidR="00CD5CA6">
          <w:rPr>
            <w:webHidden/>
          </w:rPr>
          <w:t>9</w:t>
        </w:r>
        <w:r w:rsidR="00CD5CA6">
          <w:rPr>
            <w:webHidden/>
          </w:rPr>
          <w:fldChar w:fldCharType="end"/>
        </w:r>
      </w:hyperlink>
    </w:p>
    <w:p w14:paraId="7B423C29" w14:textId="13B3A9E4" w:rsidR="00CD5CA6" w:rsidRDefault="00000000" w:rsidP="00A062E6">
      <w:pPr>
        <w:pStyle w:val="tabledesmatires"/>
        <w:rPr>
          <w:rFonts w:asciiTheme="minorHAnsi" w:eastAsiaTheme="minorEastAsia" w:hAnsiTheme="minorHAnsi" w:cstheme="minorBidi"/>
          <w:sz w:val="22"/>
        </w:rPr>
      </w:pPr>
      <w:hyperlink w:anchor="_Toc127851666"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_Toc127851666 \h </w:instrText>
        </w:r>
        <w:r w:rsidR="00CD5CA6">
          <w:rPr>
            <w:webHidden/>
          </w:rPr>
        </w:r>
        <w:r w:rsidR="00CD5CA6">
          <w:rPr>
            <w:webHidden/>
          </w:rPr>
          <w:fldChar w:fldCharType="separate"/>
        </w:r>
        <w:r w:rsidR="00CD5CA6">
          <w:rPr>
            <w:webHidden/>
          </w:rPr>
          <w:t>9</w:t>
        </w:r>
        <w:r w:rsidR="00CD5CA6">
          <w:rPr>
            <w:webHidden/>
          </w:rPr>
          <w:fldChar w:fldCharType="end"/>
        </w:r>
      </w:hyperlink>
    </w:p>
    <w:p w14:paraId="370AE9FB" w14:textId="686B834E" w:rsidR="00CD5CA6" w:rsidRDefault="00000000" w:rsidP="00A062E6">
      <w:pPr>
        <w:pStyle w:val="tabledesmatires"/>
        <w:rPr>
          <w:rFonts w:asciiTheme="minorHAnsi" w:eastAsiaTheme="minorEastAsia" w:hAnsiTheme="minorHAnsi" w:cstheme="minorBidi"/>
          <w:sz w:val="22"/>
        </w:rPr>
      </w:pPr>
      <w:hyperlink w:anchor="_Toc127851667"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_Toc127851667 \h </w:instrText>
        </w:r>
        <w:r w:rsidR="00CD5CA6">
          <w:rPr>
            <w:webHidden/>
          </w:rPr>
        </w:r>
        <w:r w:rsidR="00CD5CA6">
          <w:rPr>
            <w:webHidden/>
          </w:rPr>
          <w:fldChar w:fldCharType="separate"/>
        </w:r>
        <w:r w:rsidR="00CD5CA6">
          <w:rPr>
            <w:webHidden/>
          </w:rPr>
          <w:t>9</w:t>
        </w:r>
        <w:r w:rsidR="00CD5CA6">
          <w:rPr>
            <w:webHidden/>
          </w:rPr>
          <w:fldChar w:fldCharType="end"/>
        </w:r>
      </w:hyperlink>
    </w:p>
    <w:p w14:paraId="38BF0A0A" w14:textId="7AE80D9C" w:rsidR="00CD5CA6" w:rsidRDefault="00000000" w:rsidP="00A062E6">
      <w:pPr>
        <w:pStyle w:val="tabledesmatires"/>
        <w:rPr>
          <w:rFonts w:asciiTheme="minorHAnsi" w:eastAsiaTheme="minorEastAsia" w:hAnsiTheme="minorHAnsi" w:cstheme="minorBidi"/>
          <w:sz w:val="22"/>
        </w:rPr>
      </w:pPr>
      <w:hyperlink w:anchor="_Toc127851668" w:history="1">
        <w:r w:rsidR="00CD5CA6" w:rsidRPr="00E96E3E">
          <w:rPr>
            <w:rStyle w:val="Hyperlink"/>
          </w:rPr>
          <w:t>Article 9 – Accessibilité</w:t>
        </w:r>
        <w:r w:rsidR="00CD5CA6">
          <w:rPr>
            <w:webHidden/>
          </w:rPr>
          <w:tab/>
        </w:r>
        <w:r w:rsidR="00CD5CA6">
          <w:rPr>
            <w:webHidden/>
          </w:rPr>
          <w:fldChar w:fldCharType="begin"/>
        </w:r>
        <w:r w:rsidR="00CD5CA6">
          <w:rPr>
            <w:webHidden/>
          </w:rPr>
          <w:instrText xml:space="preserve"> PAGEREF _Toc127851668 \h </w:instrText>
        </w:r>
        <w:r w:rsidR="00CD5CA6">
          <w:rPr>
            <w:webHidden/>
          </w:rPr>
        </w:r>
        <w:r w:rsidR="00CD5CA6">
          <w:rPr>
            <w:webHidden/>
          </w:rPr>
          <w:fldChar w:fldCharType="separate"/>
        </w:r>
        <w:r w:rsidR="00CD5CA6">
          <w:rPr>
            <w:webHidden/>
          </w:rPr>
          <w:t>9</w:t>
        </w:r>
        <w:r w:rsidR="00CD5CA6">
          <w:rPr>
            <w:webHidden/>
          </w:rPr>
          <w:fldChar w:fldCharType="end"/>
        </w:r>
      </w:hyperlink>
    </w:p>
    <w:p w14:paraId="13F102E5" w14:textId="2FC2B8E7" w:rsidR="00CD5CA6" w:rsidRDefault="00000000" w:rsidP="00A062E6">
      <w:pPr>
        <w:pStyle w:val="tabledesmatires"/>
        <w:rPr>
          <w:rFonts w:asciiTheme="minorHAnsi" w:eastAsiaTheme="minorEastAsia" w:hAnsiTheme="minorHAnsi" w:cstheme="minorBidi"/>
          <w:sz w:val="22"/>
        </w:rPr>
      </w:pPr>
      <w:hyperlink w:anchor="_Toc127851669"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_Toc127851669 \h </w:instrText>
        </w:r>
        <w:r w:rsidR="00CD5CA6">
          <w:rPr>
            <w:webHidden/>
          </w:rPr>
        </w:r>
        <w:r w:rsidR="00CD5CA6">
          <w:rPr>
            <w:webHidden/>
          </w:rPr>
          <w:fldChar w:fldCharType="separate"/>
        </w:r>
        <w:r w:rsidR="00CD5CA6">
          <w:rPr>
            <w:webHidden/>
          </w:rPr>
          <w:t>9</w:t>
        </w:r>
        <w:r w:rsidR="00CD5CA6">
          <w:rPr>
            <w:webHidden/>
          </w:rPr>
          <w:fldChar w:fldCharType="end"/>
        </w:r>
      </w:hyperlink>
    </w:p>
    <w:p w14:paraId="2008B5D4" w14:textId="3374CA49" w:rsidR="00CD5CA6" w:rsidRDefault="00000000" w:rsidP="00A062E6">
      <w:pPr>
        <w:pStyle w:val="tabledesmatires"/>
        <w:rPr>
          <w:rFonts w:asciiTheme="minorHAnsi" w:eastAsiaTheme="minorEastAsia" w:hAnsiTheme="minorHAnsi" w:cstheme="minorBidi"/>
          <w:sz w:val="22"/>
        </w:rPr>
      </w:pPr>
      <w:hyperlink w:anchor="_Toc127851670"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_Toc127851670 \h </w:instrText>
        </w:r>
        <w:r w:rsidR="00CD5CA6">
          <w:rPr>
            <w:webHidden/>
          </w:rPr>
        </w:r>
        <w:r w:rsidR="00CD5CA6">
          <w:rPr>
            <w:webHidden/>
          </w:rPr>
          <w:fldChar w:fldCharType="separate"/>
        </w:r>
        <w:r w:rsidR="00CD5CA6">
          <w:rPr>
            <w:webHidden/>
          </w:rPr>
          <w:t>10</w:t>
        </w:r>
        <w:r w:rsidR="00CD5CA6">
          <w:rPr>
            <w:webHidden/>
          </w:rPr>
          <w:fldChar w:fldCharType="end"/>
        </w:r>
      </w:hyperlink>
    </w:p>
    <w:p w14:paraId="0934470F" w14:textId="1610EC88" w:rsidR="00CD5CA6" w:rsidRDefault="00000000" w:rsidP="00A062E6">
      <w:pPr>
        <w:pStyle w:val="tabledesmatires"/>
        <w:rPr>
          <w:rFonts w:asciiTheme="minorHAnsi" w:eastAsiaTheme="minorEastAsia" w:hAnsiTheme="minorHAnsi" w:cstheme="minorBidi"/>
          <w:sz w:val="22"/>
        </w:rPr>
      </w:pPr>
      <w:hyperlink w:anchor="_Toc127851671" w:history="1">
        <w:r w:rsidR="00CD5CA6" w:rsidRPr="00E96E3E">
          <w:rPr>
            <w:rStyle w:val="Hyperlink"/>
          </w:rPr>
          <w:t>Article 11 - Situations de risque et situations d'urgence humanitaire</w:t>
        </w:r>
        <w:r w:rsidR="00CD5CA6">
          <w:rPr>
            <w:webHidden/>
          </w:rPr>
          <w:tab/>
        </w:r>
        <w:r w:rsidR="00CD5CA6">
          <w:rPr>
            <w:webHidden/>
          </w:rPr>
          <w:fldChar w:fldCharType="begin"/>
        </w:r>
        <w:r w:rsidR="00CD5CA6">
          <w:rPr>
            <w:webHidden/>
          </w:rPr>
          <w:instrText xml:space="preserve"> PAGEREF _Toc127851671 \h </w:instrText>
        </w:r>
        <w:r w:rsidR="00CD5CA6">
          <w:rPr>
            <w:webHidden/>
          </w:rPr>
        </w:r>
        <w:r w:rsidR="00CD5CA6">
          <w:rPr>
            <w:webHidden/>
          </w:rPr>
          <w:fldChar w:fldCharType="separate"/>
        </w:r>
        <w:r w:rsidR="00CD5CA6">
          <w:rPr>
            <w:webHidden/>
          </w:rPr>
          <w:t>11</w:t>
        </w:r>
        <w:r w:rsidR="00CD5CA6">
          <w:rPr>
            <w:webHidden/>
          </w:rPr>
          <w:fldChar w:fldCharType="end"/>
        </w:r>
      </w:hyperlink>
    </w:p>
    <w:p w14:paraId="3596B10A" w14:textId="00DC3066" w:rsidR="00CD5CA6" w:rsidRDefault="00000000" w:rsidP="00A062E6">
      <w:pPr>
        <w:pStyle w:val="tabledesmatires"/>
        <w:rPr>
          <w:rFonts w:asciiTheme="minorHAnsi" w:eastAsiaTheme="minorEastAsia" w:hAnsiTheme="minorHAnsi" w:cstheme="minorBidi"/>
          <w:sz w:val="22"/>
        </w:rPr>
      </w:pPr>
      <w:hyperlink w:anchor="_Toc127851672" w:history="1">
        <w:r w:rsidR="00CD5CA6" w:rsidRPr="00E96E3E">
          <w:rPr>
            <w:rStyle w:val="Hyperlink"/>
          </w:rPr>
          <w:t>Article 12 - Reconnaissance de la personnalité juridique dans des conditions d’égalité</w:t>
        </w:r>
        <w:r w:rsidR="00CD5CA6">
          <w:rPr>
            <w:webHidden/>
          </w:rPr>
          <w:tab/>
        </w:r>
        <w:r w:rsidR="00CD5CA6">
          <w:rPr>
            <w:webHidden/>
          </w:rPr>
          <w:fldChar w:fldCharType="begin"/>
        </w:r>
        <w:r w:rsidR="00CD5CA6">
          <w:rPr>
            <w:webHidden/>
          </w:rPr>
          <w:instrText xml:space="preserve"> PAGEREF _Toc127851672 \h </w:instrText>
        </w:r>
        <w:r w:rsidR="00CD5CA6">
          <w:rPr>
            <w:webHidden/>
          </w:rPr>
        </w:r>
        <w:r w:rsidR="00CD5CA6">
          <w:rPr>
            <w:webHidden/>
          </w:rPr>
          <w:fldChar w:fldCharType="separate"/>
        </w:r>
        <w:r w:rsidR="00CD5CA6">
          <w:rPr>
            <w:webHidden/>
          </w:rPr>
          <w:t>11</w:t>
        </w:r>
        <w:r w:rsidR="00CD5CA6">
          <w:rPr>
            <w:webHidden/>
          </w:rPr>
          <w:fldChar w:fldCharType="end"/>
        </w:r>
      </w:hyperlink>
    </w:p>
    <w:p w14:paraId="71129503" w14:textId="71F9AA69" w:rsidR="00CD5CA6" w:rsidRDefault="00000000" w:rsidP="00A062E6">
      <w:pPr>
        <w:pStyle w:val="tabledesmatires"/>
        <w:rPr>
          <w:rFonts w:asciiTheme="minorHAnsi" w:eastAsiaTheme="minorEastAsia" w:hAnsiTheme="minorHAnsi" w:cstheme="minorBidi"/>
          <w:sz w:val="22"/>
        </w:rPr>
      </w:pPr>
      <w:hyperlink w:anchor="_Toc127851673"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_Toc127851673 \h </w:instrText>
        </w:r>
        <w:r w:rsidR="00CD5CA6">
          <w:rPr>
            <w:webHidden/>
          </w:rPr>
        </w:r>
        <w:r w:rsidR="00CD5CA6">
          <w:rPr>
            <w:webHidden/>
          </w:rPr>
          <w:fldChar w:fldCharType="separate"/>
        </w:r>
        <w:r w:rsidR="00CD5CA6">
          <w:rPr>
            <w:webHidden/>
          </w:rPr>
          <w:t>11</w:t>
        </w:r>
        <w:r w:rsidR="00CD5CA6">
          <w:rPr>
            <w:webHidden/>
          </w:rPr>
          <w:fldChar w:fldCharType="end"/>
        </w:r>
      </w:hyperlink>
    </w:p>
    <w:p w14:paraId="70EB7FC2" w14:textId="02A95675" w:rsidR="00CD5CA6" w:rsidRDefault="00000000" w:rsidP="00A062E6">
      <w:pPr>
        <w:pStyle w:val="tabledesmatires"/>
        <w:rPr>
          <w:rFonts w:asciiTheme="minorHAnsi" w:eastAsiaTheme="minorEastAsia" w:hAnsiTheme="minorHAnsi" w:cstheme="minorBidi"/>
          <w:sz w:val="22"/>
        </w:rPr>
      </w:pPr>
      <w:hyperlink w:anchor="_Toc127851674"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_Toc127851674 \h </w:instrText>
        </w:r>
        <w:r w:rsidR="00CD5CA6">
          <w:rPr>
            <w:webHidden/>
          </w:rPr>
        </w:r>
        <w:r w:rsidR="00CD5CA6">
          <w:rPr>
            <w:webHidden/>
          </w:rPr>
          <w:fldChar w:fldCharType="separate"/>
        </w:r>
        <w:r w:rsidR="00CD5CA6">
          <w:rPr>
            <w:webHidden/>
          </w:rPr>
          <w:t>13</w:t>
        </w:r>
        <w:r w:rsidR="00CD5CA6">
          <w:rPr>
            <w:webHidden/>
          </w:rPr>
          <w:fldChar w:fldCharType="end"/>
        </w:r>
      </w:hyperlink>
    </w:p>
    <w:p w14:paraId="1591366E" w14:textId="6E11FC6C" w:rsidR="00CD5CA6" w:rsidRDefault="00000000" w:rsidP="00A062E6">
      <w:pPr>
        <w:pStyle w:val="tabledesmatires"/>
        <w:rPr>
          <w:rFonts w:asciiTheme="minorHAnsi" w:eastAsiaTheme="minorEastAsia" w:hAnsiTheme="minorHAnsi" w:cstheme="minorBidi"/>
          <w:sz w:val="22"/>
        </w:rPr>
      </w:pPr>
      <w:hyperlink w:anchor="_Toc127851675" w:history="1">
        <w:r w:rsidR="00CD5CA6" w:rsidRPr="00E96E3E">
          <w:rPr>
            <w:rStyle w:val="Hyperlink"/>
          </w:rPr>
          <w:t>Article 19 - Vivre de manière indépendante et être inclus dans la communauté</w:t>
        </w:r>
        <w:r w:rsidR="00CD5CA6">
          <w:rPr>
            <w:webHidden/>
          </w:rPr>
          <w:tab/>
        </w:r>
        <w:r w:rsidR="00CD5CA6">
          <w:rPr>
            <w:webHidden/>
          </w:rPr>
          <w:fldChar w:fldCharType="begin"/>
        </w:r>
        <w:r w:rsidR="00CD5CA6">
          <w:rPr>
            <w:webHidden/>
          </w:rPr>
          <w:instrText xml:space="preserve"> PAGEREF _Toc127851675 \h </w:instrText>
        </w:r>
        <w:r w:rsidR="00CD5CA6">
          <w:rPr>
            <w:webHidden/>
          </w:rPr>
        </w:r>
        <w:r w:rsidR="00CD5CA6">
          <w:rPr>
            <w:webHidden/>
          </w:rPr>
          <w:fldChar w:fldCharType="separate"/>
        </w:r>
        <w:r w:rsidR="00CD5CA6">
          <w:rPr>
            <w:webHidden/>
          </w:rPr>
          <w:t>13</w:t>
        </w:r>
        <w:r w:rsidR="00CD5CA6">
          <w:rPr>
            <w:webHidden/>
          </w:rPr>
          <w:fldChar w:fldCharType="end"/>
        </w:r>
      </w:hyperlink>
    </w:p>
    <w:p w14:paraId="7EE1E4A9" w14:textId="3618A733" w:rsidR="00CD5CA6" w:rsidRDefault="00000000" w:rsidP="00A062E6">
      <w:pPr>
        <w:pStyle w:val="tabledesmatires"/>
        <w:rPr>
          <w:rFonts w:asciiTheme="minorHAnsi" w:eastAsiaTheme="minorEastAsia" w:hAnsiTheme="minorHAnsi" w:cstheme="minorBidi"/>
          <w:sz w:val="22"/>
        </w:rPr>
      </w:pPr>
      <w:hyperlink w:anchor="_Toc127851676"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_Toc127851676 \h </w:instrText>
        </w:r>
        <w:r w:rsidR="00CD5CA6">
          <w:rPr>
            <w:webHidden/>
          </w:rPr>
        </w:r>
        <w:r w:rsidR="00CD5CA6">
          <w:rPr>
            <w:webHidden/>
          </w:rPr>
          <w:fldChar w:fldCharType="separate"/>
        </w:r>
        <w:r w:rsidR="00CD5CA6">
          <w:rPr>
            <w:webHidden/>
          </w:rPr>
          <w:t>13</w:t>
        </w:r>
        <w:r w:rsidR="00CD5CA6">
          <w:rPr>
            <w:webHidden/>
          </w:rPr>
          <w:fldChar w:fldCharType="end"/>
        </w:r>
      </w:hyperlink>
    </w:p>
    <w:p w14:paraId="3B0E2B45" w14:textId="547D8E72" w:rsidR="00CD5CA6" w:rsidRDefault="00000000" w:rsidP="00A062E6">
      <w:pPr>
        <w:pStyle w:val="tabledesmatires"/>
        <w:rPr>
          <w:rFonts w:asciiTheme="minorHAnsi" w:eastAsiaTheme="minorEastAsia" w:hAnsiTheme="minorHAnsi" w:cstheme="minorBidi"/>
          <w:sz w:val="22"/>
        </w:rPr>
      </w:pPr>
      <w:hyperlink w:anchor="_Toc127851677"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_Toc127851677 \h </w:instrText>
        </w:r>
        <w:r w:rsidR="00CD5CA6">
          <w:rPr>
            <w:webHidden/>
          </w:rPr>
        </w:r>
        <w:r w:rsidR="00CD5CA6">
          <w:rPr>
            <w:webHidden/>
          </w:rPr>
          <w:fldChar w:fldCharType="separate"/>
        </w:r>
        <w:r w:rsidR="00CD5CA6">
          <w:rPr>
            <w:webHidden/>
          </w:rPr>
          <w:t>14</w:t>
        </w:r>
        <w:r w:rsidR="00CD5CA6">
          <w:rPr>
            <w:webHidden/>
          </w:rPr>
          <w:fldChar w:fldCharType="end"/>
        </w:r>
      </w:hyperlink>
    </w:p>
    <w:p w14:paraId="299EC3EB" w14:textId="5AFF2FBA" w:rsidR="00CD5CA6" w:rsidRDefault="00000000" w:rsidP="00A062E6">
      <w:pPr>
        <w:pStyle w:val="tabledesmatires"/>
        <w:rPr>
          <w:rFonts w:asciiTheme="minorHAnsi" w:eastAsiaTheme="minorEastAsia" w:hAnsiTheme="minorHAnsi" w:cstheme="minorBidi"/>
          <w:sz w:val="22"/>
        </w:rPr>
      </w:pPr>
      <w:hyperlink w:anchor="_Toc127851678" w:history="1">
        <w:r w:rsidR="00CD5CA6" w:rsidRPr="00E96E3E">
          <w:rPr>
            <w:rStyle w:val="Hyperlink"/>
          </w:rPr>
          <w:t>Article 24 – Éducation</w:t>
        </w:r>
        <w:r w:rsidR="00CD5CA6">
          <w:rPr>
            <w:webHidden/>
          </w:rPr>
          <w:tab/>
        </w:r>
        <w:r w:rsidR="00CD5CA6">
          <w:rPr>
            <w:webHidden/>
          </w:rPr>
          <w:fldChar w:fldCharType="begin"/>
        </w:r>
        <w:r w:rsidR="00CD5CA6">
          <w:rPr>
            <w:webHidden/>
          </w:rPr>
          <w:instrText xml:space="preserve"> PAGEREF _Toc127851678 \h </w:instrText>
        </w:r>
        <w:r w:rsidR="00CD5CA6">
          <w:rPr>
            <w:webHidden/>
          </w:rPr>
        </w:r>
        <w:r w:rsidR="00CD5CA6">
          <w:rPr>
            <w:webHidden/>
          </w:rPr>
          <w:fldChar w:fldCharType="separate"/>
        </w:r>
        <w:r w:rsidR="00CD5CA6">
          <w:rPr>
            <w:webHidden/>
          </w:rPr>
          <w:t>15</w:t>
        </w:r>
        <w:r w:rsidR="00CD5CA6">
          <w:rPr>
            <w:webHidden/>
          </w:rPr>
          <w:fldChar w:fldCharType="end"/>
        </w:r>
      </w:hyperlink>
    </w:p>
    <w:p w14:paraId="4ACEDDA5" w14:textId="0DBA77C9" w:rsidR="00CD5CA6" w:rsidRDefault="00000000" w:rsidP="00A062E6">
      <w:pPr>
        <w:pStyle w:val="tabledesmatires"/>
        <w:rPr>
          <w:rFonts w:asciiTheme="minorHAnsi" w:eastAsiaTheme="minorEastAsia" w:hAnsiTheme="minorHAnsi" w:cstheme="minorBidi"/>
          <w:sz w:val="22"/>
        </w:rPr>
      </w:pPr>
      <w:hyperlink w:anchor="_Toc127851679"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_Toc127851679 \h </w:instrText>
        </w:r>
        <w:r w:rsidR="00CD5CA6">
          <w:rPr>
            <w:webHidden/>
          </w:rPr>
        </w:r>
        <w:r w:rsidR="00CD5CA6">
          <w:rPr>
            <w:webHidden/>
          </w:rPr>
          <w:fldChar w:fldCharType="separate"/>
        </w:r>
        <w:r w:rsidR="00CD5CA6">
          <w:rPr>
            <w:webHidden/>
          </w:rPr>
          <w:t>15</w:t>
        </w:r>
        <w:r w:rsidR="00CD5CA6">
          <w:rPr>
            <w:webHidden/>
          </w:rPr>
          <w:fldChar w:fldCharType="end"/>
        </w:r>
      </w:hyperlink>
    </w:p>
    <w:p w14:paraId="7D19E385" w14:textId="1CA2CC9A" w:rsidR="00CD5CA6" w:rsidRDefault="00000000" w:rsidP="00A062E6">
      <w:pPr>
        <w:pStyle w:val="tabledesmatires"/>
        <w:rPr>
          <w:rFonts w:asciiTheme="minorHAnsi" w:eastAsiaTheme="minorEastAsia" w:hAnsiTheme="minorHAnsi" w:cstheme="minorBidi"/>
          <w:sz w:val="22"/>
        </w:rPr>
      </w:pPr>
      <w:hyperlink w:anchor="_Toc127851680"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_Toc127851680 \h </w:instrText>
        </w:r>
        <w:r w:rsidR="00CD5CA6">
          <w:rPr>
            <w:webHidden/>
          </w:rPr>
        </w:r>
        <w:r w:rsidR="00CD5CA6">
          <w:rPr>
            <w:webHidden/>
          </w:rPr>
          <w:fldChar w:fldCharType="separate"/>
        </w:r>
        <w:r w:rsidR="00CD5CA6">
          <w:rPr>
            <w:webHidden/>
          </w:rPr>
          <w:t>16</w:t>
        </w:r>
        <w:r w:rsidR="00CD5CA6">
          <w:rPr>
            <w:webHidden/>
          </w:rPr>
          <w:fldChar w:fldCharType="end"/>
        </w:r>
      </w:hyperlink>
    </w:p>
    <w:p w14:paraId="653A6AB0" w14:textId="59109FA0" w:rsidR="00CD5CA6" w:rsidRDefault="00000000" w:rsidP="00A062E6">
      <w:pPr>
        <w:pStyle w:val="tabledesmatires"/>
        <w:rPr>
          <w:rFonts w:asciiTheme="minorHAnsi" w:eastAsiaTheme="minorEastAsia" w:hAnsiTheme="minorHAnsi" w:cstheme="minorBidi"/>
          <w:sz w:val="22"/>
        </w:rPr>
      </w:pPr>
      <w:hyperlink w:anchor="_Toc127851681" w:history="1">
        <w:r w:rsidR="00CD5CA6" w:rsidRPr="00E96E3E">
          <w:rPr>
            <w:rStyle w:val="Hyperlink"/>
          </w:rPr>
          <w:t>Article 25 : Santé</w:t>
        </w:r>
        <w:r w:rsidR="00CD5CA6">
          <w:rPr>
            <w:webHidden/>
          </w:rPr>
          <w:tab/>
        </w:r>
        <w:r w:rsidR="00CD5CA6">
          <w:rPr>
            <w:webHidden/>
          </w:rPr>
          <w:fldChar w:fldCharType="begin"/>
        </w:r>
        <w:r w:rsidR="00CD5CA6">
          <w:rPr>
            <w:webHidden/>
          </w:rPr>
          <w:instrText xml:space="preserve"> PAGEREF _Toc127851681 \h </w:instrText>
        </w:r>
        <w:r w:rsidR="00CD5CA6">
          <w:rPr>
            <w:webHidden/>
          </w:rPr>
        </w:r>
        <w:r w:rsidR="00CD5CA6">
          <w:rPr>
            <w:webHidden/>
          </w:rPr>
          <w:fldChar w:fldCharType="separate"/>
        </w:r>
        <w:r w:rsidR="00CD5CA6">
          <w:rPr>
            <w:webHidden/>
          </w:rPr>
          <w:t>17</w:t>
        </w:r>
        <w:r w:rsidR="00CD5CA6">
          <w:rPr>
            <w:webHidden/>
          </w:rPr>
          <w:fldChar w:fldCharType="end"/>
        </w:r>
      </w:hyperlink>
    </w:p>
    <w:p w14:paraId="0D1BC811" w14:textId="5955358A" w:rsidR="00CD5CA6" w:rsidRDefault="00000000" w:rsidP="00A062E6">
      <w:pPr>
        <w:pStyle w:val="tabledesmatires"/>
        <w:rPr>
          <w:rFonts w:asciiTheme="minorHAnsi" w:eastAsiaTheme="minorEastAsia" w:hAnsiTheme="minorHAnsi" w:cstheme="minorBidi"/>
          <w:sz w:val="22"/>
        </w:rPr>
      </w:pPr>
      <w:hyperlink w:anchor="_Toc127851682"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_Toc127851682 \h </w:instrText>
        </w:r>
        <w:r w:rsidR="00CD5CA6">
          <w:rPr>
            <w:webHidden/>
          </w:rPr>
        </w:r>
        <w:r w:rsidR="00CD5CA6">
          <w:rPr>
            <w:webHidden/>
          </w:rPr>
          <w:fldChar w:fldCharType="separate"/>
        </w:r>
        <w:r w:rsidR="00CD5CA6">
          <w:rPr>
            <w:webHidden/>
          </w:rPr>
          <w:t>17</w:t>
        </w:r>
        <w:r w:rsidR="00CD5CA6">
          <w:rPr>
            <w:webHidden/>
          </w:rPr>
          <w:fldChar w:fldCharType="end"/>
        </w:r>
      </w:hyperlink>
    </w:p>
    <w:p w14:paraId="7DD6FDC0" w14:textId="1D9E94EE" w:rsidR="00CD5CA6" w:rsidRDefault="00000000" w:rsidP="00A062E6">
      <w:pPr>
        <w:pStyle w:val="tabledesmatires"/>
        <w:rPr>
          <w:rFonts w:asciiTheme="minorHAnsi" w:eastAsiaTheme="minorEastAsia" w:hAnsiTheme="minorHAnsi" w:cstheme="minorBidi"/>
          <w:sz w:val="22"/>
        </w:rPr>
      </w:pPr>
      <w:hyperlink w:anchor="_Toc127851683"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_Toc127851683 \h </w:instrText>
        </w:r>
        <w:r w:rsidR="00CD5CA6">
          <w:rPr>
            <w:webHidden/>
          </w:rPr>
        </w:r>
        <w:r w:rsidR="00CD5CA6">
          <w:rPr>
            <w:webHidden/>
          </w:rPr>
          <w:fldChar w:fldCharType="separate"/>
        </w:r>
        <w:r w:rsidR="00CD5CA6">
          <w:rPr>
            <w:webHidden/>
          </w:rPr>
          <w:t>18</w:t>
        </w:r>
        <w:r w:rsidR="00CD5CA6">
          <w:rPr>
            <w:webHidden/>
          </w:rPr>
          <w:fldChar w:fldCharType="end"/>
        </w:r>
      </w:hyperlink>
    </w:p>
    <w:p w14:paraId="3BD1BD30" w14:textId="6C734B00" w:rsidR="00CD5CA6" w:rsidRDefault="00000000" w:rsidP="00A062E6">
      <w:pPr>
        <w:pStyle w:val="tabledesmatires"/>
        <w:rPr>
          <w:rFonts w:asciiTheme="minorHAnsi" w:eastAsiaTheme="minorEastAsia" w:hAnsiTheme="minorHAnsi" w:cstheme="minorBidi"/>
          <w:sz w:val="22"/>
        </w:rPr>
      </w:pPr>
      <w:hyperlink w:anchor="_Toc127851684" w:history="1">
        <w:r w:rsidR="00CD5CA6" w:rsidRPr="00E96E3E">
          <w:rPr>
            <w:rStyle w:val="Hyperlink"/>
          </w:rPr>
          <w:t>Article 27 - Travail et emploi</w:t>
        </w:r>
        <w:r w:rsidR="00CD5CA6">
          <w:rPr>
            <w:webHidden/>
          </w:rPr>
          <w:tab/>
        </w:r>
        <w:r w:rsidR="00CD5CA6">
          <w:rPr>
            <w:webHidden/>
          </w:rPr>
          <w:fldChar w:fldCharType="begin"/>
        </w:r>
        <w:r w:rsidR="00CD5CA6">
          <w:rPr>
            <w:webHidden/>
          </w:rPr>
          <w:instrText xml:space="preserve"> PAGEREF _Toc127851684 \h </w:instrText>
        </w:r>
        <w:r w:rsidR="00CD5CA6">
          <w:rPr>
            <w:webHidden/>
          </w:rPr>
        </w:r>
        <w:r w:rsidR="00CD5CA6">
          <w:rPr>
            <w:webHidden/>
          </w:rPr>
          <w:fldChar w:fldCharType="separate"/>
        </w:r>
        <w:r w:rsidR="00CD5CA6">
          <w:rPr>
            <w:webHidden/>
          </w:rPr>
          <w:t>18</w:t>
        </w:r>
        <w:r w:rsidR="00CD5CA6">
          <w:rPr>
            <w:webHidden/>
          </w:rPr>
          <w:fldChar w:fldCharType="end"/>
        </w:r>
      </w:hyperlink>
    </w:p>
    <w:p w14:paraId="7853BFD0" w14:textId="7E3180DA" w:rsidR="00CD5CA6" w:rsidRDefault="00000000" w:rsidP="00A062E6">
      <w:pPr>
        <w:pStyle w:val="tabledesmatires"/>
        <w:rPr>
          <w:rFonts w:asciiTheme="minorHAnsi" w:eastAsiaTheme="minorEastAsia" w:hAnsiTheme="minorHAnsi" w:cstheme="minorBidi"/>
          <w:sz w:val="22"/>
        </w:rPr>
      </w:pPr>
      <w:hyperlink w:anchor="_Toc127851685"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_Toc127851685 \h </w:instrText>
        </w:r>
        <w:r w:rsidR="00CD5CA6">
          <w:rPr>
            <w:webHidden/>
          </w:rPr>
        </w:r>
        <w:r w:rsidR="00CD5CA6">
          <w:rPr>
            <w:webHidden/>
          </w:rPr>
          <w:fldChar w:fldCharType="separate"/>
        </w:r>
        <w:r w:rsidR="00CD5CA6">
          <w:rPr>
            <w:webHidden/>
          </w:rPr>
          <w:t>18</w:t>
        </w:r>
        <w:r w:rsidR="00CD5CA6">
          <w:rPr>
            <w:webHidden/>
          </w:rPr>
          <w:fldChar w:fldCharType="end"/>
        </w:r>
      </w:hyperlink>
    </w:p>
    <w:p w14:paraId="3FF2858D" w14:textId="2B4E4235" w:rsidR="00CD5CA6" w:rsidRDefault="00000000" w:rsidP="00A062E6">
      <w:pPr>
        <w:pStyle w:val="tabledesmatires"/>
        <w:rPr>
          <w:rFonts w:asciiTheme="minorHAnsi" w:eastAsiaTheme="minorEastAsia" w:hAnsiTheme="minorHAnsi" w:cstheme="minorBidi"/>
          <w:sz w:val="22"/>
        </w:rPr>
      </w:pPr>
      <w:hyperlink w:anchor="_Toc127851686"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_Toc127851686 \h </w:instrText>
        </w:r>
        <w:r w:rsidR="00CD5CA6">
          <w:rPr>
            <w:webHidden/>
          </w:rPr>
        </w:r>
        <w:r w:rsidR="00CD5CA6">
          <w:rPr>
            <w:webHidden/>
          </w:rPr>
          <w:fldChar w:fldCharType="separate"/>
        </w:r>
        <w:r w:rsidR="00CD5CA6">
          <w:rPr>
            <w:webHidden/>
          </w:rPr>
          <w:t>19</w:t>
        </w:r>
        <w:r w:rsidR="00CD5CA6">
          <w:rPr>
            <w:webHidden/>
          </w:rPr>
          <w:fldChar w:fldCharType="end"/>
        </w:r>
      </w:hyperlink>
    </w:p>
    <w:p w14:paraId="55FA36C8" w14:textId="37526D8C" w:rsidR="00CD5CA6" w:rsidRDefault="00000000" w:rsidP="00A062E6">
      <w:pPr>
        <w:pStyle w:val="tabledesmatires"/>
        <w:rPr>
          <w:rFonts w:asciiTheme="minorHAnsi" w:eastAsiaTheme="minorEastAsia" w:hAnsiTheme="minorHAnsi" w:cstheme="minorBidi"/>
          <w:sz w:val="22"/>
        </w:rPr>
      </w:pPr>
      <w:hyperlink w:anchor="_Toc127851687" w:history="1">
        <w:r w:rsidR="00CD5CA6" w:rsidRPr="00E96E3E">
          <w:rPr>
            <w:rStyle w:val="Hyperlink"/>
          </w:rPr>
          <w:t>Article 28 - Niveau de vie adéquat et protection sociale</w:t>
        </w:r>
        <w:r w:rsidR="00CD5CA6">
          <w:rPr>
            <w:webHidden/>
          </w:rPr>
          <w:tab/>
        </w:r>
        <w:r w:rsidR="00CD5CA6">
          <w:rPr>
            <w:webHidden/>
          </w:rPr>
          <w:fldChar w:fldCharType="begin"/>
        </w:r>
        <w:r w:rsidR="00CD5CA6">
          <w:rPr>
            <w:webHidden/>
          </w:rPr>
          <w:instrText xml:space="preserve"> PAGEREF _Toc127851687 \h </w:instrText>
        </w:r>
        <w:r w:rsidR="00CD5CA6">
          <w:rPr>
            <w:webHidden/>
          </w:rPr>
        </w:r>
        <w:r w:rsidR="00CD5CA6">
          <w:rPr>
            <w:webHidden/>
          </w:rPr>
          <w:fldChar w:fldCharType="separate"/>
        </w:r>
        <w:r w:rsidR="00CD5CA6">
          <w:rPr>
            <w:webHidden/>
          </w:rPr>
          <w:t>19</w:t>
        </w:r>
        <w:r w:rsidR="00CD5CA6">
          <w:rPr>
            <w:webHidden/>
          </w:rPr>
          <w:fldChar w:fldCharType="end"/>
        </w:r>
      </w:hyperlink>
    </w:p>
    <w:p w14:paraId="7B147836" w14:textId="7D8EE4A7" w:rsidR="00CD5CA6" w:rsidRDefault="00000000" w:rsidP="00A062E6">
      <w:pPr>
        <w:pStyle w:val="tabledesmatires"/>
        <w:rPr>
          <w:rFonts w:asciiTheme="minorHAnsi" w:eastAsiaTheme="minorEastAsia" w:hAnsiTheme="minorHAnsi" w:cstheme="minorBidi"/>
          <w:sz w:val="22"/>
        </w:rPr>
      </w:pPr>
      <w:hyperlink w:anchor="_Toc127851688"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_Toc127851688 \h </w:instrText>
        </w:r>
        <w:r w:rsidR="00CD5CA6">
          <w:rPr>
            <w:webHidden/>
          </w:rPr>
        </w:r>
        <w:r w:rsidR="00CD5CA6">
          <w:rPr>
            <w:webHidden/>
          </w:rPr>
          <w:fldChar w:fldCharType="separate"/>
        </w:r>
        <w:r w:rsidR="00CD5CA6">
          <w:rPr>
            <w:webHidden/>
          </w:rPr>
          <w:t>19</w:t>
        </w:r>
        <w:r w:rsidR="00CD5CA6">
          <w:rPr>
            <w:webHidden/>
          </w:rPr>
          <w:fldChar w:fldCharType="end"/>
        </w:r>
      </w:hyperlink>
    </w:p>
    <w:p w14:paraId="5B549C7D" w14:textId="75BD3FAF" w:rsidR="00CD5CA6" w:rsidRDefault="00000000" w:rsidP="00A062E6">
      <w:pPr>
        <w:pStyle w:val="tabledesmatires"/>
        <w:rPr>
          <w:rFonts w:asciiTheme="minorHAnsi" w:eastAsiaTheme="minorEastAsia" w:hAnsiTheme="minorHAnsi" w:cstheme="minorBidi"/>
          <w:sz w:val="22"/>
        </w:rPr>
      </w:pPr>
      <w:hyperlink w:anchor="_Toc127851689" w:history="1">
        <w:r w:rsidR="00CD5CA6" w:rsidRPr="00E96E3E">
          <w:rPr>
            <w:rStyle w:val="Hyperlink"/>
          </w:rPr>
          <w:t>Article 29 - Participation à la vie politique et publique</w:t>
        </w:r>
        <w:r w:rsidR="00CD5CA6">
          <w:rPr>
            <w:webHidden/>
          </w:rPr>
          <w:tab/>
        </w:r>
        <w:r w:rsidR="00CD5CA6">
          <w:rPr>
            <w:webHidden/>
          </w:rPr>
          <w:fldChar w:fldCharType="begin"/>
        </w:r>
        <w:r w:rsidR="00CD5CA6">
          <w:rPr>
            <w:webHidden/>
          </w:rPr>
          <w:instrText xml:space="preserve"> PAGEREF _Toc127851689 \h </w:instrText>
        </w:r>
        <w:r w:rsidR="00CD5CA6">
          <w:rPr>
            <w:webHidden/>
          </w:rPr>
        </w:r>
        <w:r w:rsidR="00CD5CA6">
          <w:rPr>
            <w:webHidden/>
          </w:rPr>
          <w:fldChar w:fldCharType="separate"/>
        </w:r>
        <w:r w:rsidR="00CD5CA6">
          <w:rPr>
            <w:webHidden/>
          </w:rPr>
          <w:t>20</w:t>
        </w:r>
        <w:r w:rsidR="00CD5CA6">
          <w:rPr>
            <w:webHidden/>
          </w:rPr>
          <w:fldChar w:fldCharType="end"/>
        </w:r>
      </w:hyperlink>
    </w:p>
    <w:p w14:paraId="58043E67" w14:textId="1968ABEA" w:rsidR="00CD5CA6" w:rsidRDefault="00000000" w:rsidP="00A062E6">
      <w:pPr>
        <w:pStyle w:val="tabledesmatires"/>
        <w:rPr>
          <w:rFonts w:asciiTheme="minorHAnsi" w:eastAsiaTheme="minorEastAsia" w:hAnsiTheme="minorHAnsi" w:cstheme="minorBidi"/>
          <w:sz w:val="22"/>
        </w:rPr>
      </w:pPr>
      <w:hyperlink w:anchor="_Toc127851690"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_Toc127851690 \h </w:instrText>
        </w:r>
        <w:r w:rsidR="00CD5CA6">
          <w:rPr>
            <w:webHidden/>
          </w:rPr>
        </w:r>
        <w:r w:rsidR="00CD5CA6">
          <w:rPr>
            <w:webHidden/>
          </w:rPr>
          <w:fldChar w:fldCharType="separate"/>
        </w:r>
        <w:r w:rsidR="00CD5CA6">
          <w:rPr>
            <w:webHidden/>
          </w:rPr>
          <w:t>20</w:t>
        </w:r>
        <w:r w:rsidR="00CD5CA6">
          <w:rPr>
            <w:webHidden/>
          </w:rPr>
          <w:fldChar w:fldCharType="end"/>
        </w:r>
      </w:hyperlink>
    </w:p>
    <w:p w14:paraId="35DACAD6" w14:textId="3F919DDF" w:rsidR="00CD5CA6" w:rsidRDefault="00000000" w:rsidP="00A062E6">
      <w:pPr>
        <w:pStyle w:val="tabledesmatires"/>
        <w:rPr>
          <w:rFonts w:asciiTheme="minorHAnsi" w:eastAsiaTheme="minorEastAsia" w:hAnsiTheme="minorHAnsi" w:cstheme="minorBidi"/>
          <w:sz w:val="22"/>
        </w:rPr>
      </w:pPr>
      <w:hyperlink w:anchor="_Toc127851691" w:history="1">
        <w:r w:rsidR="00CD5CA6" w:rsidRPr="00E96E3E">
          <w:rPr>
            <w:rStyle w:val="Hyperlink"/>
          </w:rPr>
          <w:t>Recommandation</w:t>
        </w:r>
        <w:r w:rsidR="00CD5CA6">
          <w:rPr>
            <w:webHidden/>
          </w:rPr>
          <w:tab/>
        </w:r>
        <w:r w:rsidR="00CD5CA6">
          <w:rPr>
            <w:webHidden/>
          </w:rPr>
          <w:fldChar w:fldCharType="begin"/>
        </w:r>
        <w:r w:rsidR="00CD5CA6">
          <w:rPr>
            <w:webHidden/>
          </w:rPr>
          <w:instrText xml:space="preserve"> PAGEREF _Toc127851691 \h </w:instrText>
        </w:r>
        <w:r w:rsidR="00CD5CA6">
          <w:rPr>
            <w:webHidden/>
          </w:rPr>
        </w:r>
        <w:r w:rsidR="00CD5CA6">
          <w:rPr>
            <w:webHidden/>
          </w:rPr>
          <w:fldChar w:fldCharType="separate"/>
        </w:r>
        <w:r w:rsidR="00CD5CA6">
          <w:rPr>
            <w:webHidden/>
          </w:rPr>
          <w:t>21</w:t>
        </w:r>
        <w:r w:rsidR="00CD5CA6">
          <w:rPr>
            <w:webHidden/>
          </w:rPr>
          <w:fldChar w:fldCharType="end"/>
        </w:r>
      </w:hyperlink>
    </w:p>
    <w:p w14:paraId="25A45048" w14:textId="521EB51F" w:rsidR="00CD5CA6" w:rsidRDefault="00000000" w:rsidP="00A062E6">
      <w:pPr>
        <w:pStyle w:val="tabledesmatires"/>
        <w:rPr>
          <w:rFonts w:asciiTheme="minorHAnsi" w:eastAsiaTheme="minorEastAsia" w:hAnsiTheme="minorHAnsi" w:cstheme="minorBidi"/>
          <w:sz w:val="22"/>
        </w:rPr>
      </w:pPr>
      <w:hyperlink w:anchor="_Toc127851692" w:history="1">
        <w:r w:rsidR="00CD5CA6" w:rsidRPr="00E96E3E">
          <w:rPr>
            <w:rStyle w:val="Hyperlink"/>
          </w:rPr>
          <w:t>Article 31 - Statistiques et collecte de données</w:t>
        </w:r>
        <w:r w:rsidR="00CD5CA6">
          <w:rPr>
            <w:webHidden/>
          </w:rPr>
          <w:tab/>
        </w:r>
        <w:r w:rsidR="00CD5CA6">
          <w:rPr>
            <w:webHidden/>
          </w:rPr>
          <w:fldChar w:fldCharType="begin"/>
        </w:r>
        <w:r w:rsidR="00CD5CA6">
          <w:rPr>
            <w:webHidden/>
          </w:rPr>
          <w:instrText xml:space="preserve"> PAGEREF _Toc127851692 \h </w:instrText>
        </w:r>
        <w:r w:rsidR="00CD5CA6">
          <w:rPr>
            <w:webHidden/>
          </w:rPr>
        </w:r>
        <w:r w:rsidR="00CD5CA6">
          <w:rPr>
            <w:webHidden/>
          </w:rPr>
          <w:fldChar w:fldCharType="separate"/>
        </w:r>
        <w:r w:rsidR="00CD5CA6">
          <w:rPr>
            <w:webHidden/>
          </w:rPr>
          <w:t>21</w:t>
        </w:r>
        <w:r w:rsidR="00CD5CA6">
          <w:rPr>
            <w:webHidden/>
          </w:rPr>
          <w:fldChar w:fldCharType="end"/>
        </w:r>
      </w:hyperlink>
    </w:p>
    <w:p w14:paraId="2BA89A26" w14:textId="11409CA1" w:rsidR="00CD5CA6" w:rsidRDefault="00000000" w:rsidP="00A062E6">
      <w:pPr>
        <w:pStyle w:val="tabledesmatires"/>
        <w:rPr>
          <w:rFonts w:asciiTheme="minorHAnsi" w:eastAsiaTheme="minorEastAsia" w:hAnsiTheme="minorHAnsi" w:cstheme="minorBidi"/>
          <w:sz w:val="22"/>
        </w:rPr>
      </w:pPr>
      <w:hyperlink w:anchor="_Toc127851693" w:history="1">
        <w:r w:rsidR="00CD5CA6" w:rsidRPr="00E96E3E">
          <w:rPr>
            <w:rStyle w:val="Hyperlink"/>
          </w:rPr>
          <w:t>Article 32 - Coopération internationale</w:t>
        </w:r>
        <w:r w:rsidR="00CD5CA6">
          <w:rPr>
            <w:webHidden/>
          </w:rPr>
          <w:tab/>
        </w:r>
        <w:r w:rsidR="00CD5CA6">
          <w:rPr>
            <w:webHidden/>
          </w:rPr>
          <w:fldChar w:fldCharType="begin"/>
        </w:r>
        <w:r w:rsidR="00CD5CA6">
          <w:rPr>
            <w:webHidden/>
          </w:rPr>
          <w:instrText xml:space="preserve"> PAGEREF _Toc127851693 \h </w:instrText>
        </w:r>
        <w:r w:rsidR="00CD5CA6">
          <w:rPr>
            <w:webHidden/>
          </w:rPr>
        </w:r>
        <w:r w:rsidR="00CD5CA6">
          <w:rPr>
            <w:webHidden/>
          </w:rPr>
          <w:fldChar w:fldCharType="separate"/>
        </w:r>
        <w:r w:rsidR="00CD5CA6">
          <w:rPr>
            <w:webHidden/>
          </w:rPr>
          <w:t>22</w:t>
        </w:r>
        <w:r w:rsidR="00CD5CA6">
          <w:rPr>
            <w:webHidden/>
          </w:rPr>
          <w:fldChar w:fldCharType="end"/>
        </w:r>
      </w:hyperlink>
    </w:p>
    <w:p w14:paraId="7E2E5BEC" w14:textId="43E58290" w:rsidR="00CD5CA6" w:rsidRDefault="00000000" w:rsidP="00A062E6">
      <w:pPr>
        <w:pStyle w:val="tabledesmatires"/>
        <w:rPr>
          <w:rFonts w:asciiTheme="minorHAnsi" w:eastAsiaTheme="minorEastAsia" w:hAnsiTheme="minorHAnsi" w:cstheme="minorBidi"/>
          <w:sz w:val="22"/>
        </w:rPr>
      </w:pPr>
      <w:hyperlink w:anchor="_Toc127851694"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_Toc127851694 \h </w:instrText>
        </w:r>
        <w:r w:rsidR="00CD5CA6">
          <w:rPr>
            <w:webHidden/>
          </w:rPr>
        </w:r>
        <w:r w:rsidR="00CD5CA6">
          <w:rPr>
            <w:webHidden/>
          </w:rPr>
          <w:fldChar w:fldCharType="separate"/>
        </w:r>
        <w:r w:rsidR="00CD5CA6">
          <w:rPr>
            <w:webHidden/>
          </w:rPr>
          <w:t>22</w:t>
        </w:r>
        <w:r w:rsidR="00CD5CA6">
          <w:rPr>
            <w:webHidden/>
          </w:rPr>
          <w:fldChar w:fldCharType="end"/>
        </w:r>
      </w:hyperlink>
    </w:p>
    <w:p w14:paraId="53896ECF" w14:textId="4FD0D1A5" w:rsidR="00CD5CA6" w:rsidRDefault="00000000" w:rsidP="00A062E6">
      <w:pPr>
        <w:pStyle w:val="tabledesmatires"/>
        <w:rPr>
          <w:rFonts w:asciiTheme="minorHAnsi" w:eastAsiaTheme="minorEastAsia" w:hAnsiTheme="minorHAnsi" w:cstheme="minorBidi"/>
          <w:sz w:val="22"/>
        </w:rPr>
      </w:pPr>
      <w:hyperlink w:anchor="_Toc127851695" w:history="1">
        <w:r w:rsidR="00CD5CA6" w:rsidRPr="00E96E3E">
          <w:rPr>
            <w:rStyle w:val="Hyperlink"/>
          </w:rPr>
          <w:t>Recommandations</w:t>
        </w:r>
        <w:r w:rsidR="00CD5CA6">
          <w:rPr>
            <w:webHidden/>
          </w:rPr>
          <w:tab/>
        </w:r>
        <w:r w:rsidR="00CD5CA6">
          <w:rPr>
            <w:webHidden/>
          </w:rPr>
          <w:fldChar w:fldCharType="begin"/>
        </w:r>
        <w:r w:rsidR="00CD5CA6">
          <w:rPr>
            <w:webHidden/>
          </w:rPr>
          <w:instrText xml:space="preserve"> PAGEREF _Toc127851695 \h </w:instrText>
        </w:r>
        <w:r w:rsidR="00CD5CA6">
          <w:rPr>
            <w:webHidden/>
          </w:rPr>
        </w:r>
        <w:r w:rsidR="00CD5CA6">
          <w:rPr>
            <w:webHidden/>
          </w:rPr>
          <w:fldChar w:fldCharType="separate"/>
        </w:r>
        <w:r w:rsidR="00CD5CA6">
          <w:rPr>
            <w:webHidden/>
          </w:rPr>
          <w:t>22</w:t>
        </w:r>
        <w:r w:rsidR="00CD5CA6">
          <w:rPr>
            <w:webHidden/>
          </w:rPr>
          <w:fldChar w:fldCharType="end"/>
        </w:r>
      </w:hyperlink>
    </w:p>
    <w:p w14:paraId="5A6CE1A0" w14:textId="4B28E48E" w:rsidR="00CD5CA6" w:rsidRDefault="00000000" w:rsidP="00A062E6">
      <w:pPr>
        <w:pStyle w:val="tabledesmatires"/>
        <w:rPr>
          <w:rFonts w:asciiTheme="minorHAnsi" w:eastAsiaTheme="minorEastAsia" w:hAnsiTheme="minorHAnsi" w:cstheme="minorBidi"/>
          <w:sz w:val="22"/>
        </w:rPr>
      </w:pPr>
      <w:hyperlink w:anchor="_Toc127851696" w:history="1">
        <w:r w:rsidR="00CD5CA6" w:rsidRPr="00E96E3E">
          <w:rPr>
            <w:rStyle w:val="Hyperlink"/>
          </w:rPr>
          <w:t>Article 33 - Mise en œuvre et suivi au niveau national</w:t>
        </w:r>
        <w:r w:rsidR="00CD5CA6">
          <w:rPr>
            <w:webHidden/>
          </w:rPr>
          <w:tab/>
        </w:r>
        <w:r w:rsidR="00CD5CA6">
          <w:rPr>
            <w:webHidden/>
          </w:rPr>
          <w:fldChar w:fldCharType="begin"/>
        </w:r>
        <w:r w:rsidR="00CD5CA6">
          <w:rPr>
            <w:webHidden/>
          </w:rPr>
          <w:instrText xml:space="preserve"> PAGEREF _Toc127851696 \h </w:instrText>
        </w:r>
        <w:r w:rsidR="00CD5CA6">
          <w:rPr>
            <w:webHidden/>
          </w:rPr>
        </w:r>
        <w:r w:rsidR="00CD5CA6">
          <w:rPr>
            <w:webHidden/>
          </w:rPr>
          <w:fldChar w:fldCharType="separate"/>
        </w:r>
        <w:r w:rsidR="00CD5CA6">
          <w:rPr>
            <w:webHidden/>
          </w:rPr>
          <w:t>22</w:t>
        </w:r>
        <w:r w:rsidR="00CD5CA6">
          <w:rPr>
            <w:webHidden/>
          </w:rPr>
          <w:fldChar w:fldCharType="end"/>
        </w:r>
      </w:hyperlink>
    </w:p>
    <w:p w14:paraId="1E189C95" w14:textId="764A08C5" w:rsidR="00CD5CA6" w:rsidRDefault="00000000" w:rsidP="00A062E6">
      <w:pPr>
        <w:pStyle w:val="tabledesmatires"/>
        <w:rPr>
          <w:rFonts w:asciiTheme="minorHAnsi" w:eastAsiaTheme="minorEastAsia" w:hAnsiTheme="minorHAnsi" w:cstheme="minorBidi"/>
          <w:sz w:val="22"/>
        </w:rPr>
      </w:pPr>
      <w:hyperlink w:anchor="_Toc127851697" w:history="1">
        <w:r w:rsidR="00CD5CA6" w:rsidRPr="00E96E3E">
          <w:rPr>
            <w:rStyle w:val="Hyperlink"/>
          </w:rPr>
          <w:t>Observations générales</w:t>
        </w:r>
        <w:r w:rsidR="00CD5CA6">
          <w:rPr>
            <w:webHidden/>
          </w:rPr>
          <w:tab/>
        </w:r>
        <w:r w:rsidR="00CD5CA6">
          <w:rPr>
            <w:webHidden/>
          </w:rPr>
          <w:fldChar w:fldCharType="begin"/>
        </w:r>
        <w:r w:rsidR="00CD5CA6">
          <w:rPr>
            <w:webHidden/>
          </w:rPr>
          <w:instrText xml:space="preserve"> PAGEREF _Toc127851697 \h </w:instrText>
        </w:r>
        <w:r w:rsidR="00CD5CA6">
          <w:rPr>
            <w:webHidden/>
          </w:rPr>
        </w:r>
        <w:r w:rsidR="00CD5CA6">
          <w:rPr>
            <w:webHidden/>
          </w:rPr>
          <w:fldChar w:fldCharType="separate"/>
        </w:r>
        <w:r w:rsidR="00CD5CA6">
          <w:rPr>
            <w:webHidden/>
          </w:rPr>
          <w:t>22</w:t>
        </w:r>
        <w:r w:rsidR="00CD5CA6">
          <w:rPr>
            <w:webHidden/>
          </w:rPr>
          <w:fldChar w:fldCharType="end"/>
        </w:r>
      </w:hyperlink>
    </w:p>
    <w:p w14:paraId="77D4116F" w14:textId="6002B3D1" w:rsidR="00CD5CA6" w:rsidRDefault="00752B70" w:rsidP="00A062E6">
      <w:pPr>
        <w:pStyle w:val="tabledesmatires"/>
      </w:pPr>
      <w:r>
        <w:rPr>
          <w:b/>
        </w:rPr>
        <w:fldChar w:fldCharType="end"/>
      </w:r>
    </w:p>
    <w:p w14:paraId="4E28C078" w14:textId="469FB448" w:rsidR="005D590C" w:rsidRPr="00DB296A" w:rsidRDefault="00963FBA" w:rsidP="00A062E6">
      <w:pPr>
        <w:pStyle w:val="Heading1"/>
        <w:rPr>
          <w:sz w:val="28"/>
          <w:szCs w:val="28"/>
        </w:rPr>
      </w:pPr>
      <w:bookmarkStart w:id="0" w:name="_Toc127851654"/>
      <w:r>
        <w:lastRenderedPageBreak/>
        <w:t>Introduction</w:t>
      </w:r>
      <w:bookmarkEnd w:id="0"/>
    </w:p>
    <w:p w14:paraId="0C6CA8FE" w14:textId="61DE9BA3" w:rsidR="005D590C" w:rsidRPr="009A1451" w:rsidRDefault="00000000" w:rsidP="00A062E6">
      <w:pPr>
        <w:rPr>
          <w:lang w:val="fr-CA"/>
        </w:rPr>
      </w:pPr>
      <w:r w:rsidRPr="009A1451">
        <w:rPr>
          <w:lang w:val="fr-CA"/>
        </w:rPr>
        <w:t>Le présent rapport est le résultat du travail collaboratif de l´Organisation Tunisienne de Défense des Droits des Personnes Handicapées (OTDDPH)</w:t>
      </w:r>
      <w:r w:rsidR="00F43BB4">
        <w:rPr>
          <w:lang w:val="fr-CA"/>
        </w:rPr>
        <w:t xml:space="preserve">, </w:t>
      </w:r>
      <w:r w:rsidR="00F43BB4" w:rsidRPr="00F43BB4">
        <w:rPr>
          <w:lang w:val="fr-CA"/>
        </w:rPr>
        <w:t>l’Association pour la Protection des Psychotiques et Autistes Infantiles (APPAI)</w:t>
      </w:r>
      <w:r w:rsidR="00F43BB4">
        <w:rPr>
          <w:lang w:val="fr-CA"/>
        </w:rPr>
        <w:t xml:space="preserve"> </w:t>
      </w:r>
      <w:r w:rsidR="004807A1">
        <w:rPr>
          <w:lang w:val="fr-CA"/>
        </w:rPr>
        <w:t>et</w:t>
      </w:r>
      <w:r w:rsidRPr="009A1451">
        <w:rPr>
          <w:lang w:val="fr-CA"/>
        </w:rPr>
        <w:t xml:space="preserve"> l´Association Tunisienne pour le Développement et l´Inclusion (TADI). Ce travail a bénéficié du soutien de International </w:t>
      </w:r>
      <w:proofErr w:type="spellStart"/>
      <w:r w:rsidRPr="009A1451">
        <w:rPr>
          <w:lang w:val="fr-CA"/>
        </w:rPr>
        <w:t>Disability</w:t>
      </w:r>
      <w:proofErr w:type="spellEnd"/>
      <w:r w:rsidRPr="009A1451">
        <w:rPr>
          <w:lang w:val="fr-CA"/>
        </w:rPr>
        <w:t xml:space="preserve"> Alliance (IDA) et en particulier de l'expertise de M. Imed Ouertani, Consultant pour IDA et militant indépendant.</w:t>
      </w:r>
    </w:p>
    <w:p w14:paraId="5803C97D" w14:textId="05F4F8B0" w:rsidR="005D590C" w:rsidRPr="009A1451" w:rsidRDefault="00000000" w:rsidP="00A062E6">
      <w:pPr>
        <w:spacing w:after="200"/>
        <w:ind w:firstLine="0"/>
        <w:rPr>
          <w:szCs w:val="24"/>
          <w:lang w:val="fr-CA"/>
        </w:rPr>
      </w:pPr>
      <w:r w:rsidRPr="009A1451">
        <w:rPr>
          <w:szCs w:val="24"/>
          <w:lang w:val="fr-CA"/>
        </w:rPr>
        <w:t xml:space="preserve">Cette contribution constitue une réaction au </w:t>
      </w:r>
      <w:r w:rsidRPr="00AF2411">
        <w:rPr>
          <w:szCs w:val="24"/>
          <w:lang w:val="fr-CA"/>
        </w:rPr>
        <w:t>“</w:t>
      </w:r>
      <w:proofErr w:type="spellStart"/>
      <w:r w:rsidRPr="00AF2411">
        <w:rPr>
          <w:szCs w:val="24"/>
          <w:lang w:val="fr-CA"/>
        </w:rPr>
        <w:t>Combined</w:t>
      </w:r>
      <w:proofErr w:type="spellEnd"/>
      <w:r w:rsidRPr="00AF2411">
        <w:rPr>
          <w:szCs w:val="24"/>
          <w:lang w:val="fr-CA"/>
        </w:rPr>
        <w:t xml:space="preserve"> second and </w:t>
      </w:r>
      <w:proofErr w:type="spellStart"/>
      <w:r w:rsidRPr="00AF2411">
        <w:rPr>
          <w:szCs w:val="24"/>
          <w:lang w:val="fr-CA"/>
        </w:rPr>
        <w:t>third</w:t>
      </w:r>
      <w:proofErr w:type="spellEnd"/>
      <w:r w:rsidRPr="00AF2411">
        <w:rPr>
          <w:szCs w:val="24"/>
          <w:lang w:val="fr-CA"/>
        </w:rPr>
        <w:t xml:space="preserve"> </w:t>
      </w:r>
      <w:proofErr w:type="spellStart"/>
      <w:r w:rsidRPr="00AF2411">
        <w:rPr>
          <w:szCs w:val="24"/>
          <w:lang w:val="fr-CA"/>
        </w:rPr>
        <w:t>periodic</w:t>
      </w:r>
      <w:proofErr w:type="spellEnd"/>
      <w:r w:rsidRPr="00AF2411">
        <w:rPr>
          <w:szCs w:val="24"/>
          <w:lang w:val="fr-CA"/>
        </w:rPr>
        <w:t xml:space="preserve"> reports </w:t>
      </w:r>
      <w:proofErr w:type="spellStart"/>
      <w:r w:rsidRPr="00AF2411">
        <w:rPr>
          <w:szCs w:val="24"/>
          <w:lang w:val="fr-CA"/>
        </w:rPr>
        <w:t>submitted</w:t>
      </w:r>
      <w:proofErr w:type="spellEnd"/>
      <w:r w:rsidRPr="00AF2411">
        <w:rPr>
          <w:szCs w:val="24"/>
          <w:lang w:val="fr-CA"/>
        </w:rPr>
        <w:t xml:space="preserve"> by </w:t>
      </w:r>
      <w:proofErr w:type="spellStart"/>
      <w:r w:rsidRPr="00AF2411">
        <w:rPr>
          <w:szCs w:val="24"/>
          <w:lang w:val="fr-CA"/>
        </w:rPr>
        <w:t>Tunisia</w:t>
      </w:r>
      <w:proofErr w:type="spellEnd"/>
      <w:r w:rsidRPr="00AF2411">
        <w:rPr>
          <w:szCs w:val="24"/>
          <w:lang w:val="fr-CA"/>
        </w:rPr>
        <w:t xml:space="preserve"> </w:t>
      </w:r>
      <w:proofErr w:type="spellStart"/>
      <w:r w:rsidRPr="00AF2411">
        <w:rPr>
          <w:szCs w:val="24"/>
          <w:lang w:val="fr-CA"/>
        </w:rPr>
        <w:t>under</w:t>
      </w:r>
      <w:proofErr w:type="spellEnd"/>
      <w:r w:rsidRPr="00AF2411">
        <w:rPr>
          <w:szCs w:val="24"/>
          <w:lang w:val="fr-CA"/>
        </w:rPr>
        <w:t xml:space="preserve"> article 35 of the Convention, due in 2018” </w:t>
      </w:r>
      <w:r w:rsidRPr="009A1451">
        <w:rPr>
          <w:szCs w:val="24"/>
          <w:lang w:val="fr-CA"/>
        </w:rPr>
        <w:t xml:space="preserve">soumis par la Tunisie au Comité </w:t>
      </w:r>
      <w:r w:rsidRPr="009A1451">
        <w:rPr>
          <w:b/>
          <w:szCs w:val="24"/>
          <w:lang w:val="fr-CA"/>
        </w:rPr>
        <w:t>le 4 Septembre 2018</w:t>
      </w:r>
      <w:r w:rsidRPr="009A1451">
        <w:rPr>
          <w:szCs w:val="24"/>
          <w:lang w:val="fr-CA"/>
        </w:rPr>
        <w:t>. Nous donnons notre avis sur la situation vécue en Tunisie par les personnes handicapées, et sur l´</w:t>
      </w:r>
      <w:r w:rsidR="00AF2411">
        <w:rPr>
          <w:szCs w:val="24"/>
          <w:lang w:val="fr-CA"/>
        </w:rPr>
        <w:t>État</w:t>
      </w:r>
      <w:r w:rsidRPr="009A1451">
        <w:rPr>
          <w:szCs w:val="24"/>
          <w:lang w:val="fr-CA"/>
        </w:rPr>
        <w:t xml:space="preserve"> de la jouissance et l'exercice de leurs droits reconnus par la Convention relative aux Droits des Personnes Handicapées (CDPH). Les deux restent toujours inacceptables et très loin d'une mise en œuvre efficace des principes et des obligations de la CDPH par les autorités.  </w:t>
      </w:r>
    </w:p>
    <w:p w14:paraId="2455A3B1" w14:textId="54FCB9C6" w:rsidR="005D590C" w:rsidRPr="009A1451" w:rsidRDefault="00963FBA" w:rsidP="00A062E6">
      <w:pPr>
        <w:pStyle w:val="Heading1"/>
        <w:rPr>
          <w:lang w:val="fr-CA"/>
        </w:rPr>
      </w:pPr>
      <w:bookmarkStart w:id="1" w:name="_Toc127851655"/>
      <w:r w:rsidRPr="009A1451">
        <w:rPr>
          <w:lang w:val="fr-CA"/>
        </w:rPr>
        <w:t>Inexplicable vide dans le rapport d</w:t>
      </w:r>
      <w:r w:rsidR="00AF2411">
        <w:rPr>
          <w:lang w:val="fr-CA"/>
        </w:rPr>
        <w:t>e l'État</w:t>
      </w:r>
      <w:r w:rsidRPr="009A1451">
        <w:rPr>
          <w:lang w:val="fr-CA"/>
        </w:rPr>
        <w:t xml:space="preserve"> sur le site du comité</w:t>
      </w:r>
      <w:bookmarkEnd w:id="1"/>
    </w:p>
    <w:p w14:paraId="04758AA1" w14:textId="2FDD93C4" w:rsidR="005D590C" w:rsidRPr="009A1451" w:rsidRDefault="009A1451" w:rsidP="00A062E6">
      <w:pPr>
        <w:rPr>
          <w:lang w:val="fr-CA"/>
        </w:rPr>
      </w:pPr>
      <w:r w:rsidRPr="009A1451">
        <w:rPr>
          <w:lang w:val="fr-CA"/>
        </w:rPr>
        <w:t>Laissez-nous commencer par souligner un point vraiment décevant pour nous et qui nous paraît incroyable. Force est de constater que le rapport de l'</w:t>
      </w:r>
      <w:r w:rsidR="00AF2411">
        <w:rPr>
          <w:lang w:val="fr-CA"/>
        </w:rPr>
        <w:t>État</w:t>
      </w:r>
      <w:r w:rsidRPr="009A1451">
        <w:rPr>
          <w:lang w:val="fr-CA"/>
        </w:rPr>
        <w:t xml:space="preserve"> publié sur le site du Comité n'aborde pas les articles 13 à 29 de la Convention. Autrement dit, le rapport ignore absolument les questions 20 à 34.</w:t>
      </w:r>
      <w:r>
        <w:rPr>
          <w:vertAlign w:val="superscript"/>
        </w:rPr>
        <w:footnoteReference w:id="1"/>
      </w:r>
      <w:r w:rsidRPr="009A1451">
        <w:rPr>
          <w:lang w:val="fr-CA"/>
        </w:rPr>
        <w:t xml:space="preserve"> </w:t>
      </w:r>
      <w:r>
        <w:rPr>
          <w:lang w:val="fr-CA"/>
        </w:rPr>
        <w:t>À</w:t>
      </w:r>
      <w:r w:rsidRPr="009A1451">
        <w:rPr>
          <w:lang w:val="fr-CA"/>
        </w:rPr>
        <w:t xml:space="preserve"> notre avis, cette lacune dans le rapport de l´</w:t>
      </w:r>
      <w:r w:rsidR="00AF2411">
        <w:rPr>
          <w:lang w:val="fr-CA"/>
        </w:rPr>
        <w:t>État</w:t>
      </w:r>
      <w:r w:rsidRPr="009A1451">
        <w:rPr>
          <w:lang w:val="fr-CA"/>
        </w:rPr>
        <w:t xml:space="preserve"> compromet la possibilité du Comité de faire une évaluation compréhensible et précise de la situation des personnes handicapées en Tunisie.</w:t>
      </w:r>
    </w:p>
    <w:p w14:paraId="6D8C9FB8" w14:textId="77777777" w:rsidR="009A1451" w:rsidRDefault="00000000" w:rsidP="00A062E6">
      <w:pPr>
        <w:spacing w:after="200"/>
        <w:ind w:firstLine="0"/>
        <w:rPr>
          <w:szCs w:val="24"/>
          <w:lang w:val="fr-CA"/>
        </w:rPr>
      </w:pPr>
      <w:r w:rsidRPr="009A1451">
        <w:rPr>
          <w:szCs w:val="24"/>
          <w:lang w:val="fr-CA"/>
        </w:rPr>
        <w:t xml:space="preserve">Face à cette constatation, nous avons consulté informellement le </w:t>
      </w:r>
      <w:proofErr w:type="gramStart"/>
      <w:r w:rsidRPr="009A1451">
        <w:rPr>
          <w:szCs w:val="24"/>
          <w:lang w:val="fr-CA"/>
        </w:rPr>
        <w:t>Ministère</w:t>
      </w:r>
      <w:proofErr w:type="gramEnd"/>
      <w:r w:rsidRPr="009A1451">
        <w:rPr>
          <w:szCs w:val="24"/>
          <w:lang w:val="fr-CA"/>
        </w:rPr>
        <w:t xml:space="preserve"> des Affaires Sociales. La réponse, aussi donnée informellement, a été que toutes les questions avaient eu une réponse. Aucune intention de vérifier plus en détail et en coordination avec le Comité n'a été manifestée. </w:t>
      </w:r>
    </w:p>
    <w:p w14:paraId="4F92D389" w14:textId="07CD1A2A" w:rsidR="009A1451" w:rsidRDefault="00000000" w:rsidP="00A062E6">
      <w:pPr>
        <w:spacing w:after="200"/>
        <w:ind w:firstLine="0"/>
        <w:rPr>
          <w:szCs w:val="24"/>
          <w:lang w:val="fr-CA"/>
        </w:rPr>
      </w:pPr>
      <w:r w:rsidRPr="009A1451">
        <w:rPr>
          <w:szCs w:val="24"/>
          <w:lang w:val="fr-CA"/>
        </w:rPr>
        <w:t xml:space="preserve">Nous sommes enclins </w:t>
      </w:r>
      <w:r w:rsidR="00AF2411">
        <w:rPr>
          <w:szCs w:val="24"/>
          <w:lang w:val="fr-CA"/>
        </w:rPr>
        <w:t>à</w:t>
      </w:r>
      <w:r w:rsidRPr="009A1451">
        <w:rPr>
          <w:szCs w:val="24"/>
          <w:lang w:val="fr-CA"/>
        </w:rPr>
        <w:t xml:space="preserve"> </w:t>
      </w:r>
      <w:r w:rsidR="009A1451" w:rsidRPr="009A1451">
        <w:rPr>
          <w:szCs w:val="24"/>
          <w:lang w:val="fr-CA"/>
        </w:rPr>
        <w:t>penser, de</w:t>
      </w:r>
      <w:r w:rsidRPr="009A1451">
        <w:rPr>
          <w:szCs w:val="24"/>
          <w:lang w:val="fr-CA"/>
        </w:rPr>
        <w:t xml:space="preserve"> bonne foi, qu´il s´agit d´ une erreur non intentionnelle, soit au niveau de la bureaucratie en Tunisie soit au niveau de la bureaucratie et services d’enregistrement, d'édition ou de traduction des Nations Unies. Nous avons aussi informé le Secrétariat du Comité de la CDPH, par l´</w:t>
      </w:r>
      <w:r w:rsidR="00AF2411" w:rsidRPr="009A1451">
        <w:rPr>
          <w:szCs w:val="24"/>
          <w:lang w:val="fr-CA"/>
        </w:rPr>
        <w:t>intermédiaire d</w:t>
      </w:r>
      <w:r w:rsidR="00AF2411">
        <w:rPr>
          <w:szCs w:val="24"/>
          <w:lang w:val="fr-CA"/>
        </w:rPr>
        <w:t>e l</w:t>
      </w:r>
      <w:r w:rsidRPr="009A1451">
        <w:rPr>
          <w:szCs w:val="24"/>
          <w:lang w:val="fr-CA"/>
        </w:rPr>
        <w:t xml:space="preserve">’IDA, et il semble qu´il n’y a eu et </w:t>
      </w:r>
      <w:r w:rsidRPr="009A1451">
        <w:rPr>
          <w:szCs w:val="24"/>
          <w:lang w:val="fr-CA"/>
        </w:rPr>
        <w:lastRenderedPageBreak/>
        <w:t xml:space="preserve">il n'y a aucun mécanisme en place au niveau du </w:t>
      </w:r>
      <w:r w:rsidR="009A1451" w:rsidRPr="009A1451">
        <w:rPr>
          <w:szCs w:val="24"/>
          <w:lang w:val="fr-CA"/>
        </w:rPr>
        <w:t>Haut-Commissariat</w:t>
      </w:r>
      <w:r w:rsidRPr="009A1451">
        <w:rPr>
          <w:szCs w:val="24"/>
          <w:lang w:val="fr-CA"/>
        </w:rPr>
        <w:t xml:space="preserve"> des Droits de l´</w:t>
      </w:r>
      <w:proofErr w:type="gramStart"/>
      <w:r w:rsidRPr="009A1451">
        <w:rPr>
          <w:szCs w:val="24"/>
          <w:lang w:val="fr-CA"/>
        </w:rPr>
        <w:t>Homme  pour</w:t>
      </w:r>
      <w:proofErr w:type="gramEnd"/>
      <w:r w:rsidRPr="009A1451">
        <w:rPr>
          <w:szCs w:val="24"/>
          <w:lang w:val="fr-CA"/>
        </w:rPr>
        <w:t xml:space="preserve"> réagir et redresser ce déficit. </w:t>
      </w:r>
    </w:p>
    <w:p w14:paraId="6670FD70" w14:textId="32207538" w:rsidR="005D590C" w:rsidRPr="009A1451" w:rsidRDefault="00000000" w:rsidP="00A062E6">
      <w:pPr>
        <w:spacing w:after="200"/>
        <w:ind w:firstLine="0"/>
        <w:rPr>
          <w:szCs w:val="24"/>
          <w:lang w:val="fr-CA"/>
        </w:rPr>
      </w:pPr>
      <w:r w:rsidRPr="009A1451">
        <w:rPr>
          <w:szCs w:val="24"/>
          <w:lang w:val="fr-CA"/>
        </w:rPr>
        <w:t xml:space="preserve">Nous nous permettons d’exprimer notre grand regret compte tenu du fait que, </w:t>
      </w:r>
      <w:r w:rsidRPr="009A1451">
        <w:rPr>
          <w:b/>
          <w:szCs w:val="24"/>
          <w:lang w:val="fr-CA"/>
        </w:rPr>
        <w:t>pendant 3 ans et demi (Septembre 2018 à nos jours), personne au niveau des Nations Unies (Comité CDPH, Secrétariat, Service de traduction, etc.) n´a sonné l'alarme pour redresser ce problème au bon moment</w:t>
      </w:r>
      <w:r w:rsidRPr="009A1451">
        <w:rPr>
          <w:szCs w:val="24"/>
          <w:lang w:val="fr-CA"/>
        </w:rPr>
        <w:t xml:space="preserve">. </w:t>
      </w:r>
      <w:r w:rsidRPr="009A1451">
        <w:rPr>
          <w:b/>
          <w:szCs w:val="24"/>
          <w:lang w:val="fr-CA"/>
        </w:rPr>
        <w:t xml:space="preserve">Le document incomplet est disponible en quatre langues, donc il est passé par beaucoup de regards et de boîtes </w:t>
      </w:r>
      <w:r w:rsidR="00F43BB4" w:rsidRPr="009A1451">
        <w:rPr>
          <w:b/>
          <w:szCs w:val="24"/>
          <w:lang w:val="fr-CA"/>
        </w:rPr>
        <w:t>de courriel</w:t>
      </w:r>
      <w:r w:rsidRPr="009A1451">
        <w:rPr>
          <w:b/>
          <w:szCs w:val="24"/>
          <w:lang w:val="fr-CA"/>
        </w:rPr>
        <w:t xml:space="preserve">, et le problème peut être observé même dans la table de matières à la première page.  </w:t>
      </w:r>
    </w:p>
    <w:p w14:paraId="7CF9ABF4" w14:textId="36AA5F86" w:rsidR="005D590C" w:rsidRPr="009868AA" w:rsidRDefault="00963FBA" w:rsidP="00A062E6">
      <w:pPr>
        <w:pStyle w:val="Heading1"/>
        <w:rPr>
          <w:lang w:val="fr-CA"/>
        </w:rPr>
      </w:pPr>
      <w:bookmarkStart w:id="2" w:name="_Toc127851656"/>
      <w:r w:rsidRPr="009A1451">
        <w:rPr>
          <w:lang w:val="fr-CA"/>
        </w:rPr>
        <w:t>Revue et analyse de la situation en Tunisie par article de la</w:t>
      </w:r>
      <w:r>
        <w:rPr>
          <w:lang w:val="fr-CA"/>
        </w:rPr>
        <w:t xml:space="preserve"> CDPH</w:t>
      </w:r>
      <w:bookmarkEnd w:id="2"/>
    </w:p>
    <w:p w14:paraId="1146B0F8" w14:textId="2CD99680" w:rsidR="005D590C" w:rsidRDefault="00000000" w:rsidP="00A062E6">
      <w:pPr>
        <w:pStyle w:val="Heading2"/>
        <w:numPr>
          <w:ilvl w:val="0"/>
          <w:numId w:val="0"/>
        </w:numPr>
        <w:jc w:val="left"/>
        <w:rPr>
          <w:lang w:val="fr-CA"/>
        </w:rPr>
      </w:pPr>
      <w:bookmarkStart w:id="3" w:name="_Toc127851657"/>
      <w:r w:rsidRPr="009A1451">
        <w:rPr>
          <w:lang w:val="fr-CA"/>
        </w:rPr>
        <w:t>Article</w:t>
      </w:r>
      <w:r w:rsidR="009868AA">
        <w:rPr>
          <w:lang w:val="fr-CA"/>
        </w:rPr>
        <w:t>s</w:t>
      </w:r>
      <w:r w:rsidRPr="009A1451">
        <w:rPr>
          <w:lang w:val="fr-CA"/>
        </w:rPr>
        <w:t xml:space="preserve"> 1 à 4 - Objet, Définitions, Principes généraux et Obligations générales</w:t>
      </w:r>
      <w:bookmarkEnd w:id="3"/>
    </w:p>
    <w:p w14:paraId="326F83DE" w14:textId="662B1577" w:rsidR="00F153CA" w:rsidRPr="00F153CA" w:rsidRDefault="00F153CA" w:rsidP="00A062E6">
      <w:pPr>
        <w:pStyle w:val="Heading3"/>
        <w:numPr>
          <w:ilvl w:val="0"/>
          <w:numId w:val="0"/>
        </w:numPr>
        <w:ind w:left="720" w:hanging="720"/>
        <w:rPr>
          <w:lang w:val="fr-CA"/>
        </w:rPr>
      </w:pPr>
      <w:bookmarkStart w:id="4" w:name="_Toc127851658"/>
      <w:r>
        <w:rPr>
          <w:lang w:val="fr-CA"/>
        </w:rPr>
        <w:t>Observations générales</w:t>
      </w:r>
      <w:bookmarkEnd w:id="4"/>
    </w:p>
    <w:p w14:paraId="5FFFE159" w14:textId="1C02CB19" w:rsidR="005D590C" w:rsidRPr="00AF2411" w:rsidRDefault="00000000" w:rsidP="00A062E6">
      <w:pPr>
        <w:numPr>
          <w:ilvl w:val="0"/>
          <w:numId w:val="3"/>
        </w:numPr>
        <w:rPr>
          <w:szCs w:val="24"/>
          <w:lang w:val="fr-CA"/>
        </w:rPr>
      </w:pPr>
      <w:r w:rsidRPr="009A1451">
        <w:rPr>
          <w:szCs w:val="24"/>
          <w:lang w:val="fr-CA"/>
        </w:rPr>
        <w:t>Lors de son premier examen, le comité avait recommandé la modification des conditions d’attribution de la carte de handicap au même titre que la modification de la définition du handicap par la loi. Cependant</w:t>
      </w:r>
      <w:r w:rsidR="00D113C6">
        <w:rPr>
          <w:szCs w:val="24"/>
          <w:lang w:val="fr-CA"/>
        </w:rPr>
        <w:t>,</w:t>
      </w:r>
      <w:r w:rsidRPr="009A1451">
        <w:rPr>
          <w:szCs w:val="24"/>
          <w:lang w:val="fr-CA"/>
        </w:rPr>
        <w:t xml:space="preserve"> force est de constater que rien n’a été entrepris dans ce sens. Bien que le </w:t>
      </w:r>
      <w:proofErr w:type="gramStart"/>
      <w:r w:rsidRPr="009A1451">
        <w:rPr>
          <w:szCs w:val="24"/>
          <w:lang w:val="fr-CA"/>
        </w:rPr>
        <w:t>Ministère</w:t>
      </w:r>
      <w:proofErr w:type="gramEnd"/>
      <w:r w:rsidRPr="009A1451">
        <w:rPr>
          <w:szCs w:val="24"/>
          <w:lang w:val="fr-CA"/>
        </w:rPr>
        <w:t xml:space="preserve"> des Affaires Sociales a un projet en cours pour le renouvellement du format de la carte de handicap afin d’en faire une carte biométrique, aucune initiative concernant le changement de son contenu ou ses conditions d’octroi n’a été menée. En effet, selon </w:t>
      </w:r>
      <w:r w:rsidRPr="003C709F">
        <w:rPr>
          <w:lang w:val="fr-CA"/>
        </w:rPr>
        <w:t xml:space="preserve">le </w:t>
      </w:r>
      <w:hyperlink r:id="rId8">
        <w:r w:rsidRPr="003C709F">
          <w:rPr>
            <w:lang w:val="fr-CA"/>
          </w:rPr>
          <w:t>site Web du ministère des affaires sociales sur la promotion sociale</w:t>
        </w:r>
      </w:hyperlink>
      <w:r w:rsidR="009868AA">
        <w:rPr>
          <w:rStyle w:val="FootnoteReference"/>
          <w:color w:val="1155CC"/>
          <w:szCs w:val="24"/>
          <w:u w:val="single"/>
        </w:rPr>
        <w:footnoteReference w:id="2"/>
      </w:r>
      <w:r w:rsidRPr="009A1451">
        <w:rPr>
          <w:szCs w:val="24"/>
          <w:lang w:val="fr-CA"/>
        </w:rPr>
        <w:t xml:space="preserve">, il n’y a pas de changement </w:t>
      </w:r>
      <w:r w:rsidR="003C709F">
        <w:rPr>
          <w:szCs w:val="24"/>
          <w:lang w:val="fr-CA"/>
        </w:rPr>
        <w:t>au niveau du</w:t>
      </w:r>
      <w:r w:rsidRPr="009A1451">
        <w:rPr>
          <w:szCs w:val="24"/>
          <w:lang w:val="fr-CA"/>
        </w:rPr>
        <w:t xml:space="preserve"> système de la carte d'invalidité </w:t>
      </w:r>
      <w:proofErr w:type="gramStart"/>
      <w:r w:rsidRPr="009A1451">
        <w:rPr>
          <w:szCs w:val="24"/>
          <w:lang w:val="fr-CA"/>
        </w:rPr>
        <w:t>suite aux</w:t>
      </w:r>
      <w:proofErr w:type="gramEnd"/>
      <w:r w:rsidRPr="009A1451">
        <w:rPr>
          <w:szCs w:val="24"/>
          <w:lang w:val="fr-CA"/>
        </w:rPr>
        <w:t xml:space="preserve"> observations finales. Le site Internet indique : "</w:t>
      </w:r>
      <w:r w:rsidRPr="009A1451">
        <w:rPr>
          <w:b/>
          <w:szCs w:val="24"/>
          <w:lang w:val="fr-CA"/>
        </w:rPr>
        <w:t xml:space="preserve">Conditions d'octroi /Cadre juridique : </w:t>
      </w:r>
      <w:r w:rsidRPr="009A1451">
        <w:rPr>
          <w:szCs w:val="24"/>
          <w:lang w:val="fr-CA"/>
        </w:rPr>
        <w:t xml:space="preserve">Décret n° 2005-3086 du 29 novembre </w:t>
      </w:r>
      <w:r w:rsidRPr="009A1451">
        <w:rPr>
          <w:b/>
          <w:szCs w:val="24"/>
          <w:lang w:val="fr-CA"/>
        </w:rPr>
        <w:t xml:space="preserve">2005 </w:t>
      </w:r>
      <w:r w:rsidRPr="009A1451">
        <w:rPr>
          <w:szCs w:val="24"/>
          <w:lang w:val="fr-CA"/>
        </w:rPr>
        <w:t>relatif à la création des commissions régionales des personnes handicapées, à la fixation des critères de handicap et aux conditions d'attribution de la carte de handicap.</w:t>
      </w:r>
      <w:r w:rsidR="003C709F">
        <w:rPr>
          <w:szCs w:val="24"/>
          <w:lang w:val="fr-CA"/>
        </w:rPr>
        <w:t xml:space="preserve">, </w:t>
      </w:r>
      <w:r w:rsidRPr="009A1451">
        <w:rPr>
          <w:szCs w:val="24"/>
          <w:lang w:val="fr-CA"/>
        </w:rPr>
        <w:t>modifié</w:t>
      </w:r>
      <w:r w:rsidR="003C709F">
        <w:rPr>
          <w:szCs w:val="24"/>
          <w:lang w:val="fr-CA"/>
        </w:rPr>
        <w:t>s</w:t>
      </w:r>
      <w:r w:rsidRPr="009A1451">
        <w:rPr>
          <w:szCs w:val="24"/>
          <w:lang w:val="fr-CA"/>
        </w:rPr>
        <w:t xml:space="preserve"> par le décret n° </w:t>
      </w:r>
      <w:r w:rsidRPr="009A1451">
        <w:rPr>
          <w:b/>
          <w:szCs w:val="24"/>
          <w:lang w:val="fr-CA"/>
        </w:rPr>
        <w:t xml:space="preserve">2006-1859 </w:t>
      </w:r>
      <w:r w:rsidRPr="009A1451">
        <w:rPr>
          <w:szCs w:val="24"/>
          <w:lang w:val="fr-CA"/>
        </w:rPr>
        <w:t>du 03 juillet". Il y a aussi des informations sur le " renouvellement " de la carte. Le rapport de l'</w:t>
      </w:r>
      <w:r w:rsidR="00AF2411">
        <w:rPr>
          <w:szCs w:val="24"/>
          <w:lang w:val="fr-CA"/>
        </w:rPr>
        <w:t>État</w:t>
      </w:r>
      <w:r w:rsidRPr="009A1451">
        <w:rPr>
          <w:szCs w:val="24"/>
          <w:lang w:val="fr-CA"/>
        </w:rPr>
        <w:t xml:space="preserve"> stipule dans son paragraphe 31 “Cet </w:t>
      </w:r>
      <w:r w:rsidR="00AF2411">
        <w:rPr>
          <w:szCs w:val="24"/>
          <w:lang w:val="fr-CA"/>
        </w:rPr>
        <w:t>État</w:t>
      </w:r>
      <w:r w:rsidRPr="009A1451">
        <w:rPr>
          <w:szCs w:val="24"/>
          <w:lang w:val="fr-CA"/>
        </w:rPr>
        <w:t xml:space="preserve"> de fait sera revu lorsque le handicap aura été redéfini dans la législation tunisienne, conformément aux traités internationaux. </w:t>
      </w:r>
      <w:r w:rsidRPr="00AF2411">
        <w:rPr>
          <w:szCs w:val="24"/>
          <w:lang w:val="fr-CA"/>
        </w:rPr>
        <w:t xml:space="preserve">". </w:t>
      </w:r>
    </w:p>
    <w:p w14:paraId="76750991" w14:textId="0C20B35A" w:rsidR="005D590C" w:rsidRPr="00D31792" w:rsidRDefault="00000000" w:rsidP="00A062E6">
      <w:pPr>
        <w:numPr>
          <w:ilvl w:val="0"/>
          <w:numId w:val="3"/>
        </w:numPr>
        <w:rPr>
          <w:szCs w:val="24"/>
          <w:lang w:val="fr-CA"/>
        </w:rPr>
      </w:pPr>
      <w:r w:rsidRPr="009A1451">
        <w:rPr>
          <w:szCs w:val="24"/>
          <w:lang w:val="fr-CA"/>
        </w:rPr>
        <w:lastRenderedPageBreak/>
        <w:t>Dans son rapport, l'</w:t>
      </w:r>
      <w:r w:rsidR="00AF2411">
        <w:rPr>
          <w:szCs w:val="24"/>
          <w:lang w:val="fr-CA"/>
        </w:rPr>
        <w:t>État</w:t>
      </w:r>
      <w:r w:rsidRPr="009A1451">
        <w:rPr>
          <w:szCs w:val="24"/>
          <w:lang w:val="fr-CA"/>
        </w:rPr>
        <w:t xml:space="preserve"> fournit une réponse vague à la première question du Comité. En effet, rien n'est dit sur </w:t>
      </w:r>
      <w:r w:rsidRPr="009A1451">
        <w:rPr>
          <w:b/>
          <w:szCs w:val="24"/>
          <w:lang w:val="fr-CA"/>
        </w:rPr>
        <w:t>“l´impact tangible”</w:t>
      </w:r>
      <w:r w:rsidRPr="009A1451">
        <w:rPr>
          <w:szCs w:val="24"/>
          <w:lang w:val="fr-CA"/>
        </w:rPr>
        <w:t xml:space="preserve"> du Comité Parlementaire Spécial sur les Personnes Handicapées et d'autres Groupes Vulnérables </w:t>
      </w:r>
      <w:r w:rsidRPr="009A1451">
        <w:rPr>
          <w:b/>
          <w:szCs w:val="24"/>
          <w:lang w:val="fr-CA"/>
        </w:rPr>
        <w:t>pour le suivi</w:t>
      </w:r>
      <w:r w:rsidRPr="009A1451">
        <w:rPr>
          <w:szCs w:val="24"/>
          <w:lang w:val="fr-CA"/>
        </w:rPr>
        <w:t xml:space="preserve"> (“monitoring”) de la mise en </w:t>
      </w:r>
      <w:proofErr w:type="spellStart"/>
      <w:r w:rsidRPr="009A1451">
        <w:rPr>
          <w:szCs w:val="24"/>
          <w:lang w:val="fr-CA"/>
        </w:rPr>
        <w:t>oeuvre</w:t>
      </w:r>
      <w:proofErr w:type="spellEnd"/>
      <w:r w:rsidRPr="009A1451">
        <w:rPr>
          <w:szCs w:val="24"/>
          <w:lang w:val="fr-CA"/>
        </w:rPr>
        <w:t xml:space="preserve"> des programmes et procédures pour la protection des droits des personnes handicapées. Par contre, l´</w:t>
      </w:r>
      <w:r w:rsidR="00AF2411">
        <w:rPr>
          <w:szCs w:val="24"/>
          <w:lang w:val="fr-CA"/>
        </w:rPr>
        <w:t>État</w:t>
      </w:r>
      <w:r w:rsidRPr="009A1451">
        <w:rPr>
          <w:szCs w:val="24"/>
          <w:lang w:val="fr-CA"/>
        </w:rPr>
        <w:t xml:space="preserve"> inclus des références aux séances d´interaction ici où là ou même une référence à un rapport duquel il ne mentionne que des recommandations de portée très générale, mais il n'y a rien de concret ni de spécifique et rien n’a été présenté comme résultat du travail de suivi. Même, quand l'</w:t>
      </w:r>
      <w:r w:rsidR="00AF2411">
        <w:rPr>
          <w:szCs w:val="24"/>
          <w:lang w:val="fr-CA"/>
        </w:rPr>
        <w:t>État</w:t>
      </w:r>
      <w:r w:rsidRPr="009A1451">
        <w:rPr>
          <w:szCs w:val="24"/>
          <w:lang w:val="fr-CA"/>
        </w:rPr>
        <w:t xml:space="preserve"> fait référence à une “analyse précise” (para. </w:t>
      </w:r>
      <w:r w:rsidRPr="00AF2411">
        <w:rPr>
          <w:szCs w:val="24"/>
          <w:lang w:val="fr-CA"/>
        </w:rPr>
        <w:t xml:space="preserve">14), </w:t>
      </w:r>
      <w:r w:rsidRPr="000A2EF2">
        <w:rPr>
          <w:szCs w:val="24"/>
          <w:lang w:val="fr-CA"/>
        </w:rPr>
        <w:t xml:space="preserve">il ne fournit aucune </w:t>
      </w:r>
      <w:r w:rsidRPr="00D31792">
        <w:rPr>
          <w:szCs w:val="24"/>
          <w:lang w:val="fr-CA"/>
        </w:rPr>
        <w:t xml:space="preserve">référence </w:t>
      </w:r>
      <w:r w:rsidR="00D31792">
        <w:rPr>
          <w:szCs w:val="24"/>
          <w:lang w:val="fr-CA"/>
        </w:rPr>
        <w:t>et</w:t>
      </w:r>
      <w:r w:rsidR="00D31792" w:rsidRPr="00D31792">
        <w:rPr>
          <w:szCs w:val="24"/>
          <w:lang w:val="fr-CA"/>
        </w:rPr>
        <w:t xml:space="preserve"> aucune</w:t>
      </w:r>
      <w:r w:rsidRPr="00D31792">
        <w:rPr>
          <w:szCs w:val="24"/>
          <w:lang w:val="fr-CA"/>
        </w:rPr>
        <w:t xml:space="preserve"> donnée.</w:t>
      </w:r>
    </w:p>
    <w:p w14:paraId="02FCF1A5" w14:textId="0CF20B84" w:rsidR="005D590C" w:rsidRPr="00D31792" w:rsidRDefault="00000000" w:rsidP="00A062E6">
      <w:pPr>
        <w:numPr>
          <w:ilvl w:val="0"/>
          <w:numId w:val="3"/>
        </w:numPr>
        <w:spacing w:after="200"/>
        <w:rPr>
          <w:szCs w:val="24"/>
          <w:lang w:val="fr-CA"/>
        </w:rPr>
      </w:pPr>
      <w:r w:rsidRPr="00D31792">
        <w:rPr>
          <w:szCs w:val="24"/>
          <w:lang w:val="fr-CA"/>
        </w:rPr>
        <w:t xml:space="preserve">À la question sur l'harmonisation de la “Loi 83-2005 relative à la promotion et à la protection des personnes handicapées” avec la CDPH et son approche de droits de </w:t>
      </w:r>
      <w:proofErr w:type="spellStart"/>
      <w:r w:rsidRPr="00D31792">
        <w:rPr>
          <w:szCs w:val="24"/>
          <w:lang w:val="fr-CA"/>
        </w:rPr>
        <w:t>l</w:t>
      </w:r>
      <w:proofErr w:type="spellEnd"/>
      <w:r w:rsidRPr="00D31792">
        <w:rPr>
          <w:szCs w:val="24"/>
          <w:lang w:val="fr-CA"/>
        </w:rPr>
        <w:t xml:space="preserve"> ́homme sur le handicap, l'</w:t>
      </w:r>
      <w:r w:rsidR="00AF2411">
        <w:rPr>
          <w:szCs w:val="24"/>
          <w:lang w:val="fr-CA"/>
        </w:rPr>
        <w:t>État</w:t>
      </w:r>
      <w:r w:rsidRPr="00D31792">
        <w:rPr>
          <w:szCs w:val="24"/>
          <w:lang w:val="fr-CA"/>
        </w:rPr>
        <w:t xml:space="preserve"> ne fait que mentionner un “package of </w:t>
      </w:r>
      <w:proofErr w:type="spellStart"/>
      <w:r w:rsidRPr="00D31792">
        <w:rPr>
          <w:szCs w:val="24"/>
          <w:lang w:val="fr-CA"/>
        </w:rPr>
        <w:t>amendments</w:t>
      </w:r>
      <w:proofErr w:type="spellEnd"/>
      <w:r w:rsidRPr="00D31792">
        <w:rPr>
          <w:szCs w:val="24"/>
          <w:lang w:val="fr-CA"/>
        </w:rPr>
        <w:t xml:space="preserve">” présenté au Ministère des Affaires Sociales qui seraient introduits aux différentes législations (para. 19). Aucun détail malheureusement sur le contenu. </w:t>
      </w:r>
    </w:p>
    <w:p w14:paraId="3CCF050F" w14:textId="0EDD9CCA" w:rsidR="005D590C" w:rsidRPr="009A1451" w:rsidRDefault="00000000" w:rsidP="00A062E6">
      <w:pPr>
        <w:numPr>
          <w:ilvl w:val="0"/>
          <w:numId w:val="3"/>
        </w:numPr>
        <w:spacing w:after="200"/>
        <w:rPr>
          <w:szCs w:val="24"/>
          <w:lang w:val="fr-CA"/>
        </w:rPr>
      </w:pPr>
      <w:r w:rsidRPr="009A1451">
        <w:rPr>
          <w:szCs w:val="24"/>
          <w:lang w:val="fr-CA"/>
        </w:rPr>
        <w:t xml:space="preserve">En plus, la question posée (question 2) portant sur la Loi 83-2005 dans son ensemble, on note que la réponse est vraiment ciblée à deux réformes légales spécifiques du système des quotas dans le domaine de l´emploi (article 29 et suivants Loi 83-2005), dont nous offrons une analyse sous  l'Article 27. </w:t>
      </w:r>
    </w:p>
    <w:p w14:paraId="5FD5D712" w14:textId="412591FB" w:rsidR="000A2EF2" w:rsidRDefault="00000000" w:rsidP="00A062E6">
      <w:pPr>
        <w:numPr>
          <w:ilvl w:val="0"/>
          <w:numId w:val="3"/>
        </w:numPr>
        <w:spacing w:after="200"/>
        <w:rPr>
          <w:szCs w:val="24"/>
          <w:lang w:val="fr-CA"/>
        </w:rPr>
      </w:pPr>
      <w:r w:rsidRPr="009A1451">
        <w:rPr>
          <w:szCs w:val="24"/>
          <w:lang w:val="fr-CA"/>
        </w:rPr>
        <w:t>Déjà en 2011, le Comité avait été précis sur la nécessité de réformer la définition du handicap.</w:t>
      </w:r>
      <w:r>
        <w:rPr>
          <w:szCs w:val="24"/>
          <w:vertAlign w:val="superscript"/>
        </w:rPr>
        <w:footnoteReference w:id="3"/>
      </w:r>
      <w:r w:rsidRPr="009A1451">
        <w:rPr>
          <w:szCs w:val="24"/>
          <w:lang w:val="fr-CA"/>
        </w:rPr>
        <w:t xml:space="preserve"> À notre connaissance, celle-ci reste la même. Il s’agit de l´article 2 de la Loi 83-2005 et toujours contraire à la CDPH.</w:t>
      </w:r>
      <w:r>
        <w:rPr>
          <w:szCs w:val="24"/>
          <w:vertAlign w:val="superscript"/>
        </w:rPr>
        <w:footnoteReference w:id="4"/>
      </w:r>
      <w:r w:rsidRPr="009A1451">
        <w:rPr>
          <w:szCs w:val="24"/>
          <w:lang w:val="fr-CA"/>
        </w:rPr>
        <w:t xml:space="preserve"> De la même manière, toute une section de la loi continue à être dédiée à la “prévention” du handicap (Chapitre II, articles 5 à 8), ce qui ne devrait pas arriver dans une loi pour la “promotion et la protection des personnes handicapées”.</w:t>
      </w:r>
    </w:p>
    <w:p w14:paraId="595E1509" w14:textId="578114B6" w:rsidR="000A2EF2" w:rsidRPr="000A2EF2" w:rsidRDefault="000A2EF2" w:rsidP="00A062E6">
      <w:pPr>
        <w:numPr>
          <w:ilvl w:val="0"/>
          <w:numId w:val="3"/>
        </w:numPr>
        <w:spacing w:after="200"/>
        <w:rPr>
          <w:szCs w:val="24"/>
          <w:lang w:val="fr-CA"/>
        </w:rPr>
      </w:pPr>
      <w:r>
        <w:rPr>
          <w:szCs w:val="24"/>
          <w:lang w:val="fr-CA"/>
        </w:rPr>
        <w:t>Plusieurs organisations des personnes handicapées (OPH) en Tunisie, telles que les mentionnées ci-dessus continuent à travailler pour suivre et évaluer l'engagement de l'</w:t>
      </w:r>
      <w:r w:rsidR="00AF2411">
        <w:rPr>
          <w:szCs w:val="24"/>
          <w:lang w:val="fr-CA"/>
        </w:rPr>
        <w:t>État</w:t>
      </w:r>
      <w:r>
        <w:rPr>
          <w:szCs w:val="24"/>
          <w:lang w:val="fr-CA"/>
        </w:rPr>
        <w:t xml:space="preserve"> tunisien quant à la promotion des droits des personnes handicapées, et en particulier, la mise en application de la CDPH.</w:t>
      </w:r>
    </w:p>
    <w:p w14:paraId="7BD3ACED" w14:textId="017AB7F9" w:rsidR="005D590C" w:rsidRPr="00F153CA" w:rsidRDefault="00F153CA" w:rsidP="00A062E6">
      <w:pPr>
        <w:pStyle w:val="Heading3"/>
        <w:numPr>
          <w:ilvl w:val="0"/>
          <w:numId w:val="0"/>
        </w:numPr>
        <w:ind w:left="720" w:hanging="720"/>
        <w:rPr>
          <w:lang w:val="fr-CA"/>
        </w:rPr>
      </w:pPr>
      <w:bookmarkStart w:id="5" w:name="_Toc127851659"/>
      <w:r w:rsidRPr="00F153CA">
        <w:rPr>
          <w:lang w:val="fr-CA"/>
        </w:rPr>
        <w:lastRenderedPageBreak/>
        <w:t>Recommandations</w:t>
      </w:r>
      <w:bookmarkEnd w:id="5"/>
    </w:p>
    <w:p w14:paraId="029DFFB4" w14:textId="5C587EB2" w:rsidR="005D590C" w:rsidRPr="009A1451" w:rsidRDefault="00000000" w:rsidP="00A062E6">
      <w:pPr>
        <w:numPr>
          <w:ilvl w:val="0"/>
          <w:numId w:val="10"/>
        </w:numPr>
        <w:rPr>
          <w:szCs w:val="24"/>
          <w:lang w:val="fr-CA"/>
        </w:rPr>
      </w:pPr>
      <w:r w:rsidRPr="009A1451">
        <w:rPr>
          <w:szCs w:val="24"/>
          <w:lang w:val="fr-CA"/>
        </w:rPr>
        <w:t>Nous recommandons que l'</w:t>
      </w:r>
      <w:r w:rsidR="00AF2411">
        <w:rPr>
          <w:szCs w:val="24"/>
          <w:lang w:val="fr-CA"/>
        </w:rPr>
        <w:t>État</w:t>
      </w:r>
      <w:r w:rsidRPr="009A1451">
        <w:rPr>
          <w:szCs w:val="24"/>
          <w:lang w:val="fr-CA"/>
        </w:rPr>
        <w:t xml:space="preserve"> parti entreprenne la modification de l’article 2 de la loi d’orientation 83-2005 sur la définition du handicap afin qu’il soit conforme à l’approche basée sur les droits humains.  </w:t>
      </w:r>
    </w:p>
    <w:p w14:paraId="2B0DF5A1" w14:textId="27406FD4" w:rsidR="00F153CA" w:rsidRPr="00AF2411" w:rsidRDefault="00F153CA" w:rsidP="00A062E6">
      <w:pPr>
        <w:numPr>
          <w:ilvl w:val="0"/>
          <w:numId w:val="10"/>
        </w:numPr>
        <w:spacing w:after="200"/>
        <w:rPr>
          <w:szCs w:val="24"/>
          <w:lang w:val="fr-CA"/>
        </w:rPr>
      </w:pPr>
      <w:r w:rsidRPr="009A1451">
        <w:rPr>
          <w:szCs w:val="24"/>
          <w:lang w:val="fr-CA"/>
        </w:rPr>
        <w:t>À la suite de la dissolution du parlement survenue le 25 juillet 2022 et les élections du nouveau parlement toujours en cours lors de la rédaction de ce rapport, le volet législatif reste incertain</w:t>
      </w:r>
      <w:r w:rsidRPr="00F153CA">
        <w:rPr>
          <w:szCs w:val="24"/>
          <w:lang w:val="fr-CA"/>
        </w:rPr>
        <w:t xml:space="preserve">. </w:t>
      </w:r>
    </w:p>
    <w:p w14:paraId="525E3314" w14:textId="5FCCA8DF" w:rsidR="005D590C" w:rsidRPr="00F153CA" w:rsidRDefault="00F153CA" w:rsidP="00A062E6">
      <w:pPr>
        <w:numPr>
          <w:ilvl w:val="0"/>
          <w:numId w:val="10"/>
        </w:numPr>
        <w:spacing w:after="200"/>
        <w:rPr>
          <w:szCs w:val="24"/>
          <w:lang w:val="fr-CA"/>
        </w:rPr>
      </w:pPr>
      <w:r w:rsidRPr="00F153CA">
        <w:rPr>
          <w:szCs w:val="24"/>
          <w:lang w:val="fr-CA"/>
        </w:rPr>
        <w:t>Ainsi nous recommandons</w:t>
      </w:r>
      <w:r>
        <w:rPr>
          <w:szCs w:val="24"/>
          <w:lang w:val="fr-CA"/>
        </w:rPr>
        <w:t xml:space="preserve"> l</w:t>
      </w:r>
      <w:r w:rsidRPr="00F153CA">
        <w:rPr>
          <w:szCs w:val="24"/>
          <w:lang w:val="fr-CA"/>
        </w:rPr>
        <w:t>a création de la commission parlementaire permanente en charge</w:t>
      </w:r>
      <w:r>
        <w:rPr>
          <w:szCs w:val="24"/>
          <w:lang w:val="fr-CA"/>
        </w:rPr>
        <w:t>:</w:t>
      </w:r>
    </w:p>
    <w:p w14:paraId="02DA6460" w14:textId="77777777" w:rsidR="005D590C" w:rsidRPr="009A1451" w:rsidRDefault="00000000" w:rsidP="00A062E6">
      <w:pPr>
        <w:numPr>
          <w:ilvl w:val="0"/>
          <w:numId w:val="12"/>
        </w:numPr>
        <w:rPr>
          <w:szCs w:val="24"/>
          <w:lang w:val="fr-CA"/>
        </w:rPr>
      </w:pPr>
      <w:r w:rsidRPr="009A1451">
        <w:rPr>
          <w:szCs w:val="24"/>
          <w:lang w:val="fr-CA"/>
        </w:rPr>
        <w:t>De coordonner et mettre en œuvre les modifications législatives nécessaires afin d’implémenter, promouvoir et protéger les droits des personnes handicapées.</w:t>
      </w:r>
    </w:p>
    <w:p w14:paraId="0F49681B" w14:textId="77777777" w:rsidR="005D590C" w:rsidRPr="009A1451" w:rsidRDefault="00000000" w:rsidP="00A062E6">
      <w:pPr>
        <w:numPr>
          <w:ilvl w:val="0"/>
          <w:numId w:val="12"/>
        </w:numPr>
        <w:rPr>
          <w:szCs w:val="24"/>
          <w:lang w:val="fr-CA"/>
        </w:rPr>
      </w:pPr>
      <w:r w:rsidRPr="009A1451">
        <w:rPr>
          <w:szCs w:val="24"/>
          <w:lang w:val="fr-CA"/>
        </w:rPr>
        <w:t>Faire le suivi et évaluer la mise en œuvre des politiques publiques entreprises par le pouvoir exécutif.</w:t>
      </w:r>
    </w:p>
    <w:p w14:paraId="0E2B9441" w14:textId="324D7B18" w:rsidR="005D590C" w:rsidRPr="009A1451" w:rsidRDefault="00000000" w:rsidP="00A062E6">
      <w:pPr>
        <w:numPr>
          <w:ilvl w:val="0"/>
          <w:numId w:val="12"/>
        </w:numPr>
        <w:rPr>
          <w:szCs w:val="24"/>
          <w:lang w:val="fr-CA"/>
        </w:rPr>
      </w:pPr>
      <w:r w:rsidRPr="009A1451">
        <w:rPr>
          <w:szCs w:val="24"/>
          <w:lang w:val="fr-CA"/>
        </w:rPr>
        <w:t>Assurer que le budget annuel de l’</w:t>
      </w:r>
      <w:r w:rsidR="00AF2411">
        <w:rPr>
          <w:szCs w:val="24"/>
          <w:lang w:val="fr-CA"/>
        </w:rPr>
        <w:t>État</w:t>
      </w:r>
      <w:r w:rsidRPr="009A1451">
        <w:rPr>
          <w:szCs w:val="24"/>
          <w:lang w:val="fr-CA"/>
        </w:rPr>
        <w:t xml:space="preserve"> soit sensible au handicap </w:t>
      </w:r>
    </w:p>
    <w:p w14:paraId="7E61B192" w14:textId="3D212A16" w:rsidR="005D590C" w:rsidRPr="00F153CA" w:rsidRDefault="00000000" w:rsidP="00A062E6">
      <w:pPr>
        <w:numPr>
          <w:ilvl w:val="0"/>
          <w:numId w:val="12"/>
        </w:numPr>
        <w:spacing w:after="200"/>
        <w:rPr>
          <w:szCs w:val="24"/>
          <w:lang w:val="fr-CA"/>
        </w:rPr>
      </w:pPr>
      <w:r w:rsidRPr="009A1451">
        <w:rPr>
          <w:szCs w:val="24"/>
          <w:lang w:val="fr-CA"/>
        </w:rPr>
        <w:t xml:space="preserve">Consulter de façon effective les organisations de personnes handicapées à chaque étape des travaux de la commission  </w:t>
      </w:r>
    </w:p>
    <w:p w14:paraId="04E6178B" w14:textId="3C5869C8" w:rsidR="005D590C" w:rsidRDefault="00000000" w:rsidP="00A062E6">
      <w:pPr>
        <w:pStyle w:val="Heading2"/>
        <w:numPr>
          <w:ilvl w:val="0"/>
          <w:numId w:val="0"/>
        </w:numPr>
        <w:ind w:left="576" w:hanging="576"/>
        <w:rPr>
          <w:lang w:val="fr-CA"/>
        </w:rPr>
      </w:pPr>
      <w:bookmarkStart w:id="6" w:name="_Toc127851660"/>
      <w:r w:rsidRPr="00F153CA">
        <w:rPr>
          <w:lang w:val="fr-CA"/>
        </w:rPr>
        <w:t>Article 5 - Égalité et non-discrimination</w:t>
      </w:r>
      <w:bookmarkEnd w:id="6"/>
    </w:p>
    <w:p w14:paraId="26DEE4B1" w14:textId="26EC95E9" w:rsidR="00F153CA" w:rsidRPr="00F153CA" w:rsidRDefault="00F153CA" w:rsidP="00A062E6">
      <w:pPr>
        <w:pStyle w:val="Heading3"/>
        <w:numPr>
          <w:ilvl w:val="0"/>
          <w:numId w:val="0"/>
        </w:numPr>
        <w:ind w:left="720" w:hanging="720"/>
        <w:rPr>
          <w:lang w:val="fr-CA"/>
        </w:rPr>
      </w:pPr>
      <w:bookmarkStart w:id="7" w:name="_Toc127851661"/>
      <w:r>
        <w:rPr>
          <w:lang w:val="fr-CA"/>
        </w:rPr>
        <w:t>Observations générales</w:t>
      </w:r>
      <w:bookmarkEnd w:id="7"/>
    </w:p>
    <w:p w14:paraId="0A21D962" w14:textId="57423AE5" w:rsidR="005D590C" w:rsidRPr="00F153CA" w:rsidRDefault="00000000" w:rsidP="00A062E6">
      <w:pPr>
        <w:pStyle w:val="ListParagraph"/>
        <w:numPr>
          <w:ilvl w:val="0"/>
          <w:numId w:val="3"/>
        </w:numPr>
        <w:spacing w:after="200"/>
        <w:rPr>
          <w:szCs w:val="24"/>
          <w:lang w:val="fr-CA"/>
        </w:rPr>
      </w:pPr>
      <w:r w:rsidRPr="00F153CA">
        <w:rPr>
          <w:szCs w:val="24"/>
          <w:lang w:val="fr-CA"/>
        </w:rPr>
        <w:t>Jusqu’au début de l’année 2023, l’</w:t>
      </w:r>
      <w:r w:rsidR="00AF2411">
        <w:rPr>
          <w:szCs w:val="24"/>
          <w:lang w:val="fr-CA"/>
        </w:rPr>
        <w:t>État</w:t>
      </w:r>
      <w:r w:rsidRPr="00F153CA">
        <w:rPr>
          <w:szCs w:val="24"/>
          <w:lang w:val="fr-CA"/>
        </w:rPr>
        <w:t xml:space="preserve"> tunisien n’a pas pu concrétiser l’égalité pour les personnes handicapées. Ce principe fondamental malheureusement avorté d’une part par la société qui considère encore la personne handicapée comme un fardeau, ou une sorte d’humiliation. En effet, la perception envers les personnes handicapées est équivalente </w:t>
      </w:r>
      <w:proofErr w:type="gramStart"/>
      <w:r w:rsidRPr="00F153CA">
        <w:rPr>
          <w:szCs w:val="24"/>
          <w:lang w:val="fr-CA"/>
        </w:rPr>
        <w:t>à  l’incapacité</w:t>
      </w:r>
      <w:proofErr w:type="gramEnd"/>
      <w:r w:rsidRPr="00F153CA">
        <w:rPr>
          <w:szCs w:val="24"/>
          <w:lang w:val="fr-CA"/>
        </w:rPr>
        <w:t>, la pauvreté, et la charité. D’autre part, l’</w:t>
      </w:r>
      <w:r w:rsidR="00AF2411">
        <w:rPr>
          <w:szCs w:val="24"/>
          <w:lang w:val="fr-CA"/>
        </w:rPr>
        <w:t>État</w:t>
      </w:r>
      <w:r w:rsidRPr="00F153CA">
        <w:rPr>
          <w:szCs w:val="24"/>
          <w:lang w:val="fr-CA"/>
        </w:rPr>
        <w:t xml:space="preserve"> lui-même à travers ses instances (ministères, secrétariats d’</w:t>
      </w:r>
      <w:proofErr w:type="spellStart"/>
      <w:r w:rsidRPr="00F153CA">
        <w:rPr>
          <w:szCs w:val="24"/>
          <w:lang w:val="fr-CA"/>
        </w:rPr>
        <w:t>Etat</w:t>
      </w:r>
      <w:proofErr w:type="spellEnd"/>
      <w:r w:rsidRPr="00F153CA">
        <w:rPr>
          <w:szCs w:val="24"/>
          <w:lang w:val="fr-CA"/>
        </w:rPr>
        <w:t xml:space="preserve">, administrations, etc.), a toute l’exclusivité d’instaurer les différents programmes et projets qui restent insuffisants aux exigences de la convention, et trop loin des attentes des personnes handicapées afin de promouvoir l'égalité de facto des personnes handicapées. </w:t>
      </w:r>
    </w:p>
    <w:p w14:paraId="4F9D4CAF" w14:textId="619061E5" w:rsidR="005D590C" w:rsidRPr="009A1451" w:rsidRDefault="00000000" w:rsidP="00A062E6">
      <w:pPr>
        <w:numPr>
          <w:ilvl w:val="0"/>
          <w:numId w:val="3"/>
        </w:numPr>
        <w:spacing w:after="200"/>
        <w:rPr>
          <w:szCs w:val="24"/>
          <w:lang w:val="fr-CA"/>
        </w:rPr>
      </w:pPr>
      <w:r w:rsidRPr="009A1451">
        <w:rPr>
          <w:szCs w:val="24"/>
          <w:lang w:val="fr-CA"/>
        </w:rPr>
        <w:t xml:space="preserve">La non-discrimination est un acquis inaccessible encore pour les personnes handicapées. Beaucoup parmi elles, subissent des pratiques fortement discriminatoires (e.g. exclusion scolaire et du travail, harcèlement, maltraitance, des interventions médicales non consenties ou forcées sous le prétexte des soins de la santé, mise sous tutelle, placement forcé en institution). </w:t>
      </w:r>
    </w:p>
    <w:p w14:paraId="6093A55F" w14:textId="7B08701F" w:rsidR="005D590C" w:rsidRPr="009A1451" w:rsidRDefault="00000000" w:rsidP="00A062E6">
      <w:pPr>
        <w:numPr>
          <w:ilvl w:val="0"/>
          <w:numId w:val="3"/>
        </w:numPr>
        <w:spacing w:after="200"/>
        <w:rPr>
          <w:szCs w:val="24"/>
          <w:lang w:val="fr-CA"/>
        </w:rPr>
      </w:pPr>
      <w:r w:rsidRPr="009A1451">
        <w:rPr>
          <w:szCs w:val="24"/>
          <w:lang w:val="fr-CA"/>
        </w:rPr>
        <w:lastRenderedPageBreak/>
        <w:t xml:space="preserve">La discrimination contient un mode soft en rapport avec les différents domaines. Par exemple, le taux national de chômage en Tunisie présente 15,4% en 2020 d’après l’Institut national de la statistique (INS), mais chez les personnes handicapées le taux atteint 40% en </w:t>
      </w:r>
      <w:proofErr w:type="gramStart"/>
      <w:r w:rsidRPr="009A1451">
        <w:rPr>
          <w:szCs w:val="24"/>
          <w:lang w:val="fr-CA"/>
        </w:rPr>
        <w:t>Juin</w:t>
      </w:r>
      <w:proofErr w:type="gramEnd"/>
      <w:r w:rsidRPr="009A1451">
        <w:rPr>
          <w:szCs w:val="24"/>
          <w:lang w:val="fr-CA"/>
        </w:rPr>
        <w:t xml:space="preserve"> 2019.</w:t>
      </w:r>
      <w:r>
        <w:rPr>
          <w:szCs w:val="24"/>
          <w:vertAlign w:val="superscript"/>
        </w:rPr>
        <w:footnoteReference w:id="5"/>
      </w:r>
      <w:r w:rsidRPr="009A1451">
        <w:rPr>
          <w:szCs w:val="24"/>
          <w:lang w:val="fr-CA"/>
        </w:rPr>
        <w:t xml:space="preserve"> Ce décalage dépasse le secteur de l’emploi et concerne notamment les autres nécessités vitales telles que: la santé et l'éducation. </w:t>
      </w:r>
    </w:p>
    <w:p w14:paraId="1B3C1883" w14:textId="29D44889" w:rsidR="005D590C" w:rsidRPr="00F153CA" w:rsidRDefault="00000000" w:rsidP="00A062E6">
      <w:pPr>
        <w:numPr>
          <w:ilvl w:val="0"/>
          <w:numId w:val="3"/>
        </w:numPr>
        <w:spacing w:after="200"/>
        <w:rPr>
          <w:szCs w:val="24"/>
          <w:lang w:val="fr-CA"/>
        </w:rPr>
      </w:pPr>
      <w:r w:rsidRPr="009A1451">
        <w:rPr>
          <w:szCs w:val="24"/>
          <w:lang w:val="fr-CA"/>
        </w:rPr>
        <w:t xml:space="preserve">Au niveau de la protection législative contre la discrimination, le Comité avait été très clair quand il recommandait l´incorporation du concept d´aménagement raisonnable conformément </w:t>
      </w:r>
      <w:r w:rsidR="00D31792" w:rsidRPr="009A1451">
        <w:rPr>
          <w:szCs w:val="24"/>
          <w:lang w:val="fr-CA"/>
        </w:rPr>
        <w:t xml:space="preserve">à </w:t>
      </w:r>
      <w:r w:rsidRPr="009A1451">
        <w:rPr>
          <w:szCs w:val="24"/>
          <w:lang w:val="fr-CA"/>
        </w:rPr>
        <w:t>l´article 2 de la CDPH.</w:t>
      </w:r>
      <w:r>
        <w:rPr>
          <w:szCs w:val="24"/>
          <w:vertAlign w:val="superscript"/>
        </w:rPr>
        <w:footnoteReference w:id="6"/>
      </w:r>
      <w:r w:rsidRPr="009A1451">
        <w:rPr>
          <w:szCs w:val="24"/>
          <w:lang w:val="fr-CA"/>
        </w:rPr>
        <w:t xml:space="preserve"> Consulté sur le sujet (question 8),</w:t>
      </w:r>
      <w:r>
        <w:rPr>
          <w:szCs w:val="24"/>
          <w:vertAlign w:val="superscript"/>
        </w:rPr>
        <w:footnoteReference w:id="7"/>
      </w:r>
      <w:r w:rsidRPr="009A1451">
        <w:rPr>
          <w:szCs w:val="24"/>
          <w:lang w:val="fr-CA"/>
        </w:rPr>
        <w:t xml:space="preserve"> l´</w:t>
      </w:r>
      <w:r w:rsidR="00AF2411">
        <w:rPr>
          <w:szCs w:val="24"/>
          <w:lang w:val="fr-CA"/>
        </w:rPr>
        <w:t>État</w:t>
      </w:r>
      <w:r w:rsidRPr="009A1451">
        <w:rPr>
          <w:szCs w:val="24"/>
          <w:lang w:val="fr-CA"/>
        </w:rPr>
        <w:t xml:space="preserve"> a fait référence à une proposition (para. 49, in fine, du rapport)</w:t>
      </w:r>
      <w:r>
        <w:rPr>
          <w:szCs w:val="24"/>
          <w:vertAlign w:val="superscript"/>
        </w:rPr>
        <w:footnoteReference w:id="8"/>
      </w:r>
      <w:r w:rsidRPr="009A1451">
        <w:rPr>
          <w:szCs w:val="24"/>
          <w:lang w:val="fr-CA"/>
        </w:rPr>
        <w:t xml:space="preserve"> et aux efforts pour adopter la définition de</w:t>
      </w:r>
      <w:r w:rsidR="00F153CA">
        <w:rPr>
          <w:szCs w:val="24"/>
          <w:lang w:val="fr-CA"/>
        </w:rPr>
        <w:t xml:space="preserve"> la</w:t>
      </w:r>
      <w:r w:rsidRPr="009A1451">
        <w:rPr>
          <w:szCs w:val="24"/>
          <w:lang w:val="fr-CA"/>
        </w:rPr>
        <w:t xml:space="preserve"> </w:t>
      </w:r>
      <w:r w:rsidR="00D31792" w:rsidRPr="009A1451">
        <w:rPr>
          <w:szCs w:val="24"/>
          <w:lang w:val="fr-CA"/>
        </w:rPr>
        <w:t>discrimination</w:t>
      </w:r>
      <w:r w:rsidRPr="009A1451">
        <w:rPr>
          <w:szCs w:val="24"/>
          <w:lang w:val="fr-CA"/>
        </w:rPr>
        <w:t xml:space="preserve"> de la CDPH (para. </w:t>
      </w:r>
      <w:r w:rsidRPr="00F153CA">
        <w:rPr>
          <w:szCs w:val="24"/>
          <w:lang w:val="fr-CA"/>
        </w:rPr>
        <w:t>50, in fine, du rapport),</w:t>
      </w:r>
      <w:r>
        <w:rPr>
          <w:szCs w:val="24"/>
          <w:vertAlign w:val="superscript"/>
        </w:rPr>
        <w:footnoteReference w:id="9"/>
      </w:r>
      <w:r w:rsidRPr="00F153CA">
        <w:rPr>
          <w:szCs w:val="24"/>
          <w:lang w:val="fr-CA"/>
        </w:rPr>
        <w:t xml:space="preserve"> dont le suivi reste important.  </w:t>
      </w:r>
    </w:p>
    <w:p w14:paraId="6B851BC0" w14:textId="3256E4AA" w:rsidR="005D590C" w:rsidRDefault="00000000" w:rsidP="00A062E6">
      <w:pPr>
        <w:numPr>
          <w:ilvl w:val="0"/>
          <w:numId w:val="3"/>
        </w:numPr>
        <w:spacing w:after="200"/>
        <w:rPr>
          <w:szCs w:val="24"/>
          <w:lang w:val="fr-CA"/>
        </w:rPr>
      </w:pPr>
      <w:r w:rsidRPr="009A1451">
        <w:rPr>
          <w:szCs w:val="24"/>
          <w:lang w:val="fr-CA"/>
        </w:rPr>
        <w:t xml:space="preserve">Néanmoins, à notre connaissance, rien n'a abouti dans le domaine couvert par la CDPH. Même si on trouve des avancements dans d´autres domaines de cadre législatifs contre les discriminations, tel que la </w:t>
      </w:r>
      <w:hyperlink r:id="rId9">
        <w:r w:rsidRPr="00D31792">
          <w:rPr>
            <w:lang w:val="fr-CA"/>
          </w:rPr>
          <w:t>Loi organique n° 2018-50 du 23 octobre 2018, relative à l'élimination de toutes les formes de discrimination raciale</w:t>
        </w:r>
      </w:hyperlink>
      <w:r w:rsidR="00D31792" w:rsidRPr="00D31792">
        <w:footnoteReference w:id="10"/>
      </w:r>
      <w:r w:rsidRPr="00D31792">
        <w:rPr>
          <w:lang w:val="fr-CA"/>
        </w:rPr>
        <w:t>,</w:t>
      </w:r>
      <w:r w:rsidRPr="009A1451">
        <w:rPr>
          <w:szCs w:val="24"/>
          <w:lang w:val="fr-CA"/>
        </w:rPr>
        <w:t xml:space="preserve"> l´</w:t>
      </w:r>
      <w:r w:rsidR="00AF2411">
        <w:rPr>
          <w:szCs w:val="24"/>
          <w:lang w:val="fr-CA"/>
        </w:rPr>
        <w:t>État</w:t>
      </w:r>
      <w:r w:rsidRPr="009A1451">
        <w:rPr>
          <w:szCs w:val="24"/>
          <w:lang w:val="fr-CA"/>
        </w:rPr>
        <w:t xml:space="preserve"> de choses au niveau de la protection contre la discrimination fondée sur le handicap reste toujours le </w:t>
      </w:r>
      <w:r w:rsidR="00D31792" w:rsidRPr="009A1451">
        <w:rPr>
          <w:szCs w:val="24"/>
          <w:lang w:val="fr-CA"/>
        </w:rPr>
        <w:t>même</w:t>
      </w:r>
      <w:r w:rsidRPr="009A1451">
        <w:rPr>
          <w:szCs w:val="24"/>
          <w:lang w:val="fr-CA"/>
        </w:rPr>
        <w:t xml:space="preserve"> et il est largement insuffisant.</w:t>
      </w:r>
    </w:p>
    <w:p w14:paraId="18523C6B" w14:textId="54F6D5E8" w:rsidR="00D31792" w:rsidRPr="009A1451" w:rsidRDefault="00D31792" w:rsidP="00A062E6">
      <w:pPr>
        <w:pStyle w:val="Heading3"/>
        <w:numPr>
          <w:ilvl w:val="0"/>
          <w:numId w:val="0"/>
        </w:numPr>
        <w:ind w:left="720" w:hanging="720"/>
        <w:rPr>
          <w:lang w:val="fr-CA"/>
        </w:rPr>
      </w:pPr>
      <w:bookmarkStart w:id="8" w:name="_Toc127851662"/>
      <w:r>
        <w:rPr>
          <w:lang w:val="fr-CA"/>
        </w:rPr>
        <w:t>Recommandations</w:t>
      </w:r>
      <w:bookmarkEnd w:id="8"/>
    </w:p>
    <w:p w14:paraId="7E896EF0" w14:textId="43BD85F7" w:rsidR="005D590C" w:rsidRDefault="00000000" w:rsidP="00A062E6">
      <w:pPr>
        <w:pStyle w:val="ListParagraph"/>
        <w:numPr>
          <w:ilvl w:val="0"/>
          <w:numId w:val="10"/>
        </w:numPr>
        <w:spacing w:after="200"/>
        <w:rPr>
          <w:szCs w:val="24"/>
          <w:lang w:val="fr-CA"/>
        </w:rPr>
      </w:pPr>
      <w:r w:rsidRPr="007A67DE">
        <w:rPr>
          <w:szCs w:val="24"/>
          <w:lang w:val="fr-CA"/>
        </w:rPr>
        <w:t>Élaborer des lois contre la discrimination et renforcer le cadre législatif qui va reconnaitre à cours et à long terme que le handicap est une diversité dans la société</w:t>
      </w:r>
      <w:r w:rsidR="007A67DE">
        <w:rPr>
          <w:szCs w:val="24"/>
          <w:lang w:val="fr-CA"/>
        </w:rPr>
        <w:t>.</w:t>
      </w:r>
    </w:p>
    <w:p w14:paraId="7971EC7D" w14:textId="167790B2" w:rsidR="005D590C" w:rsidRDefault="00000000" w:rsidP="00A062E6">
      <w:pPr>
        <w:pStyle w:val="ListParagraph"/>
        <w:numPr>
          <w:ilvl w:val="0"/>
          <w:numId w:val="10"/>
        </w:numPr>
        <w:spacing w:after="200"/>
        <w:rPr>
          <w:szCs w:val="24"/>
          <w:lang w:val="fr-CA"/>
        </w:rPr>
      </w:pPr>
      <w:r w:rsidRPr="007A67DE">
        <w:rPr>
          <w:szCs w:val="24"/>
          <w:lang w:val="fr-CA"/>
        </w:rPr>
        <w:t xml:space="preserve">Garantir une approche participative réelle et efficace afin de s’assurer que les personnes handicapées </w:t>
      </w:r>
      <w:r w:rsidR="007A67DE" w:rsidRPr="007A67DE">
        <w:rPr>
          <w:szCs w:val="24"/>
          <w:lang w:val="fr-CA"/>
        </w:rPr>
        <w:t>participent à</w:t>
      </w:r>
      <w:r w:rsidRPr="007A67DE">
        <w:rPr>
          <w:szCs w:val="24"/>
          <w:lang w:val="fr-CA"/>
        </w:rPr>
        <w:t xml:space="preserve"> tracer leur avenir</w:t>
      </w:r>
    </w:p>
    <w:p w14:paraId="22EC04D8" w14:textId="77777777" w:rsidR="007A67DE" w:rsidRDefault="00000000" w:rsidP="00A062E6">
      <w:pPr>
        <w:pStyle w:val="ListParagraph"/>
        <w:numPr>
          <w:ilvl w:val="0"/>
          <w:numId w:val="10"/>
        </w:numPr>
        <w:spacing w:after="200"/>
        <w:rPr>
          <w:szCs w:val="24"/>
          <w:lang w:val="fr-CA"/>
        </w:rPr>
      </w:pPr>
      <w:r w:rsidRPr="007A67DE">
        <w:rPr>
          <w:szCs w:val="24"/>
          <w:lang w:val="fr-CA"/>
        </w:rPr>
        <w:t xml:space="preserve">Inclure l’obligation d'aménagement raisonnable et clarifier dans la loi que le refus d'aménagement raisonnable constitue une </w:t>
      </w:r>
      <w:r w:rsidR="007A67DE" w:rsidRPr="007A67DE">
        <w:rPr>
          <w:szCs w:val="24"/>
          <w:lang w:val="fr-CA"/>
        </w:rPr>
        <w:t>discrimination</w:t>
      </w:r>
      <w:r w:rsidRPr="007A67DE">
        <w:rPr>
          <w:szCs w:val="24"/>
          <w:lang w:val="fr-CA"/>
        </w:rPr>
        <w:t xml:space="preserve"> fondée sur le handicap</w:t>
      </w:r>
      <w:r w:rsidR="007A67DE">
        <w:rPr>
          <w:szCs w:val="24"/>
          <w:lang w:val="fr-CA"/>
        </w:rPr>
        <w:t>.</w:t>
      </w:r>
    </w:p>
    <w:p w14:paraId="56FE85E1" w14:textId="6E02509B" w:rsidR="005D590C" w:rsidRPr="007A67DE" w:rsidRDefault="00000000" w:rsidP="00A062E6">
      <w:pPr>
        <w:pStyle w:val="ListParagraph"/>
        <w:numPr>
          <w:ilvl w:val="0"/>
          <w:numId w:val="10"/>
        </w:numPr>
        <w:spacing w:after="200"/>
        <w:rPr>
          <w:szCs w:val="24"/>
          <w:lang w:val="fr-CA"/>
        </w:rPr>
      </w:pPr>
      <w:r w:rsidRPr="007A67DE">
        <w:rPr>
          <w:szCs w:val="24"/>
          <w:lang w:val="fr-CA"/>
        </w:rPr>
        <w:t xml:space="preserve"> Abolir les systèmes de tutelle et curatelle, reconnaître la capacité juridique de toutes les personnes handicapées </w:t>
      </w:r>
      <w:r w:rsidR="00963FBA" w:rsidRPr="007A67DE">
        <w:rPr>
          <w:szCs w:val="24"/>
          <w:lang w:val="fr-CA"/>
        </w:rPr>
        <w:t>et mettre</w:t>
      </w:r>
      <w:r w:rsidRPr="007A67DE">
        <w:rPr>
          <w:szCs w:val="24"/>
          <w:lang w:val="fr-CA"/>
        </w:rPr>
        <w:t xml:space="preserve"> en place le système d’appui à la prise décision.</w:t>
      </w:r>
    </w:p>
    <w:p w14:paraId="27D68F6F" w14:textId="03001278" w:rsidR="005D590C" w:rsidRPr="007A67DE" w:rsidRDefault="00000000" w:rsidP="00A062E6">
      <w:pPr>
        <w:pStyle w:val="Heading2"/>
        <w:numPr>
          <w:ilvl w:val="0"/>
          <w:numId w:val="0"/>
        </w:numPr>
        <w:ind w:left="578" w:hanging="578"/>
        <w:rPr>
          <w:color w:val="333333"/>
          <w:highlight w:val="white"/>
          <w:lang w:val="fr-CA"/>
        </w:rPr>
      </w:pPr>
      <w:bookmarkStart w:id="9" w:name="_Toc127851663"/>
      <w:r w:rsidRPr="009A1451">
        <w:rPr>
          <w:lang w:val="fr-CA"/>
        </w:rPr>
        <w:lastRenderedPageBreak/>
        <w:t>Article 6 - Femmes handicapées</w:t>
      </w:r>
      <w:bookmarkEnd w:id="9"/>
    </w:p>
    <w:p w14:paraId="571D9B98" w14:textId="64F50237" w:rsidR="005D590C" w:rsidRPr="006A613F" w:rsidRDefault="00000000" w:rsidP="00A062E6">
      <w:pPr>
        <w:pStyle w:val="ListParagraph"/>
        <w:numPr>
          <w:ilvl w:val="0"/>
          <w:numId w:val="3"/>
        </w:numPr>
        <w:spacing w:after="200"/>
        <w:rPr>
          <w:b/>
          <w:szCs w:val="24"/>
          <w:highlight w:val="white"/>
          <w:lang w:val="fr-CA"/>
        </w:rPr>
      </w:pPr>
      <w:r w:rsidRPr="007A67DE">
        <w:rPr>
          <w:szCs w:val="24"/>
          <w:highlight w:val="white"/>
          <w:lang w:val="fr-CA"/>
        </w:rPr>
        <w:t xml:space="preserve">En Tunisie, </w:t>
      </w:r>
      <w:r w:rsidRPr="007A67DE">
        <w:rPr>
          <w:b/>
          <w:szCs w:val="24"/>
          <w:highlight w:val="white"/>
          <w:lang w:val="fr-CA"/>
        </w:rPr>
        <w:t>2,2%</w:t>
      </w:r>
      <w:r w:rsidRPr="007A67DE">
        <w:rPr>
          <w:szCs w:val="24"/>
          <w:highlight w:val="white"/>
          <w:lang w:val="fr-CA"/>
        </w:rPr>
        <w:t xml:space="preserve"> de la population est directement concernée par </w:t>
      </w:r>
      <w:r w:rsidR="007A67DE" w:rsidRPr="007A67DE">
        <w:rPr>
          <w:szCs w:val="24"/>
          <w:highlight w:val="white"/>
          <w:lang w:val="fr-CA"/>
        </w:rPr>
        <w:t>le handicap</w:t>
      </w:r>
      <w:r w:rsidRPr="007A67DE">
        <w:rPr>
          <w:szCs w:val="24"/>
          <w:highlight w:val="white"/>
          <w:lang w:val="fr-CA"/>
        </w:rPr>
        <w:t>, selon les chiffres de l’</w:t>
      </w:r>
      <w:r w:rsidRPr="007A67DE">
        <w:rPr>
          <w:b/>
          <w:szCs w:val="24"/>
          <w:highlight w:val="white"/>
          <w:lang w:val="fr-CA"/>
        </w:rPr>
        <w:t xml:space="preserve">INS </w:t>
      </w:r>
      <w:r w:rsidRPr="007A67DE">
        <w:rPr>
          <w:szCs w:val="24"/>
          <w:highlight w:val="white"/>
          <w:lang w:val="fr-CA"/>
        </w:rPr>
        <w:t xml:space="preserve">lors de la recension de la population tunisienne en 2014. Soit environ </w:t>
      </w:r>
      <w:r w:rsidRPr="007A67DE">
        <w:rPr>
          <w:b/>
          <w:szCs w:val="24"/>
          <w:highlight w:val="white"/>
          <w:lang w:val="fr-CA"/>
        </w:rPr>
        <w:t>241 240</w:t>
      </w:r>
      <w:r>
        <w:rPr>
          <w:b/>
          <w:highlight w:val="white"/>
          <w:vertAlign w:val="superscript"/>
        </w:rPr>
        <w:footnoteReference w:id="11"/>
      </w:r>
      <w:r w:rsidRPr="007A67DE">
        <w:rPr>
          <w:szCs w:val="24"/>
          <w:highlight w:val="white"/>
          <w:lang w:val="fr-CA"/>
        </w:rPr>
        <w:t xml:space="preserve"> tunisiens sont porteurs d’une carte de handicap dont </w:t>
      </w:r>
      <w:r w:rsidRPr="007A67DE">
        <w:rPr>
          <w:b/>
          <w:szCs w:val="24"/>
          <w:highlight w:val="white"/>
          <w:lang w:val="fr-CA"/>
        </w:rPr>
        <w:t>119.000</w:t>
      </w:r>
      <w:r w:rsidRPr="007A67DE">
        <w:rPr>
          <w:szCs w:val="24"/>
          <w:highlight w:val="white"/>
          <w:lang w:val="fr-CA"/>
        </w:rPr>
        <w:t xml:space="preserve"> sont des femmes, environ </w:t>
      </w:r>
      <w:r w:rsidRPr="007A67DE">
        <w:rPr>
          <w:b/>
          <w:szCs w:val="24"/>
          <w:highlight w:val="white"/>
          <w:lang w:val="fr-CA"/>
        </w:rPr>
        <w:t>49%.</w:t>
      </w:r>
      <w:r w:rsidR="006A613F">
        <w:rPr>
          <w:b/>
          <w:szCs w:val="24"/>
          <w:highlight w:val="white"/>
          <w:lang w:val="fr-CA"/>
        </w:rPr>
        <w:t xml:space="preserve"> </w:t>
      </w:r>
      <w:r w:rsidRPr="006A613F">
        <w:rPr>
          <w:szCs w:val="24"/>
          <w:highlight w:val="white"/>
          <w:lang w:val="fr-CA"/>
        </w:rPr>
        <w:t>Par ailleurs, et contrairement aux chiffres et valeurs fournies par les statistiques des institutions en charge, on compte plus de personnes handicapées en Tunisie.</w:t>
      </w:r>
      <w:r w:rsidR="006A613F">
        <w:rPr>
          <w:szCs w:val="24"/>
          <w:highlight w:val="white"/>
          <w:lang w:val="fr-CA"/>
        </w:rPr>
        <w:t xml:space="preserve"> </w:t>
      </w:r>
      <w:r w:rsidRPr="006A613F">
        <w:rPr>
          <w:szCs w:val="24"/>
          <w:highlight w:val="white"/>
          <w:lang w:val="fr-CA"/>
        </w:rPr>
        <w:t xml:space="preserve">Classification des femmes handicapées selon le degré de </w:t>
      </w:r>
      <w:r w:rsidR="006A613F" w:rsidRPr="006A613F">
        <w:rPr>
          <w:szCs w:val="24"/>
          <w:highlight w:val="white"/>
          <w:lang w:val="fr-CA"/>
        </w:rPr>
        <w:t>difficultés</w:t>
      </w:r>
      <w:r w:rsidR="006A613F">
        <w:rPr>
          <w:szCs w:val="24"/>
          <w:highlight w:val="white"/>
          <w:lang w:val="fr-CA"/>
        </w:rPr>
        <w:t xml:space="preserve"> suivant</w:t>
      </w:r>
      <w:r w:rsidR="006A613F" w:rsidRPr="006A613F">
        <w:rPr>
          <w:szCs w:val="24"/>
          <w:highlight w:val="white"/>
          <w:lang w:val="fr-CA"/>
        </w:rPr>
        <w:t xml:space="preserve"> fourni</w:t>
      </w:r>
      <w:r w:rsidRPr="006A613F">
        <w:rPr>
          <w:szCs w:val="24"/>
          <w:highlight w:val="white"/>
          <w:lang w:val="fr-CA"/>
        </w:rPr>
        <w:t xml:space="preserve"> par l’</w:t>
      </w:r>
      <w:r w:rsidRPr="006A613F">
        <w:rPr>
          <w:b/>
          <w:szCs w:val="24"/>
          <w:highlight w:val="white"/>
          <w:lang w:val="fr-CA"/>
        </w:rPr>
        <w:t>INS</w:t>
      </w:r>
      <w:r w:rsidR="006A613F">
        <w:rPr>
          <w:b/>
          <w:szCs w:val="24"/>
          <w:highlight w:val="white"/>
          <w:lang w:val="fr-CA"/>
        </w:rPr>
        <w:t>:</w:t>
      </w:r>
    </w:p>
    <w:p w14:paraId="25E6FAED" w14:textId="747D3F78" w:rsidR="005D590C" w:rsidRPr="006A613F" w:rsidRDefault="00000000" w:rsidP="00A062E6">
      <w:pPr>
        <w:pStyle w:val="ListParagraph"/>
        <w:numPr>
          <w:ilvl w:val="0"/>
          <w:numId w:val="13"/>
        </w:numPr>
        <w:rPr>
          <w:b/>
          <w:i/>
          <w:szCs w:val="24"/>
          <w:highlight w:val="white"/>
          <w:lang w:val="fr-CA"/>
        </w:rPr>
      </w:pPr>
      <w:r w:rsidRPr="006A613F">
        <w:rPr>
          <w:i/>
          <w:szCs w:val="24"/>
          <w:highlight w:val="white"/>
          <w:lang w:val="fr-CA"/>
        </w:rPr>
        <w:t xml:space="preserve">Quelques difficultés : </w:t>
      </w:r>
      <w:r w:rsidRPr="006A613F">
        <w:rPr>
          <w:b/>
          <w:i/>
          <w:szCs w:val="24"/>
          <w:highlight w:val="white"/>
          <w:lang w:val="fr-CA"/>
        </w:rPr>
        <w:t>44,3%</w:t>
      </w:r>
    </w:p>
    <w:p w14:paraId="29350E5F" w14:textId="275F78A7" w:rsidR="005D590C" w:rsidRPr="006A613F" w:rsidRDefault="00000000" w:rsidP="00A062E6">
      <w:pPr>
        <w:pStyle w:val="ListParagraph"/>
        <w:numPr>
          <w:ilvl w:val="0"/>
          <w:numId w:val="13"/>
        </w:numPr>
        <w:rPr>
          <w:b/>
          <w:i/>
          <w:szCs w:val="24"/>
          <w:highlight w:val="white"/>
          <w:lang w:val="fr-CA"/>
        </w:rPr>
      </w:pPr>
      <w:r w:rsidRPr="006A613F">
        <w:rPr>
          <w:i/>
          <w:szCs w:val="24"/>
          <w:highlight w:val="white"/>
          <w:lang w:val="fr-CA"/>
        </w:rPr>
        <w:t xml:space="preserve">Grandes difficultés : </w:t>
      </w:r>
      <w:r w:rsidRPr="006A613F">
        <w:rPr>
          <w:b/>
          <w:i/>
          <w:szCs w:val="24"/>
          <w:highlight w:val="white"/>
          <w:lang w:val="fr-CA"/>
        </w:rPr>
        <w:t>37,2</w:t>
      </w:r>
    </w:p>
    <w:p w14:paraId="737515CB" w14:textId="31AF2903" w:rsidR="005D590C" w:rsidRPr="006A613F" w:rsidRDefault="00000000" w:rsidP="00A062E6">
      <w:pPr>
        <w:pStyle w:val="ListParagraph"/>
        <w:numPr>
          <w:ilvl w:val="0"/>
          <w:numId w:val="13"/>
        </w:numPr>
        <w:spacing w:after="200"/>
        <w:rPr>
          <w:b/>
          <w:i/>
          <w:szCs w:val="24"/>
          <w:highlight w:val="white"/>
          <w:lang w:val="fr-CA"/>
        </w:rPr>
      </w:pPr>
      <w:r w:rsidRPr="006A613F">
        <w:rPr>
          <w:i/>
          <w:szCs w:val="24"/>
          <w:highlight w:val="white"/>
          <w:lang w:val="fr-CA"/>
        </w:rPr>
        <w:t xml:space="preserve">Incapacité sévère : </w:t>
      </w:r>
      <w:r w:rsidRPr="006A613F">
        <w:rPr>
          <w:b/>
          <w:i/>
          <w:szCs w:val="24"/>
          <w:highlight w:val="white"/>
          <w:lang w:val="fr-CA"/>
        </w:rPr>
        <w:t>18,5%</w:t>
      </w:r>
    </w:p>
    <w:p w14:paraId="6DD2114B" w14:textId="66EC17BA" w:rsidR="005D590C" w:rsidRDefault="00000000" w:rsidP="00A062E6">
      <w:pPr>
        <w:pStyle w:val="ListParagraph"/>
        <w:numPr>
          <w:ilvl w:val="0"/>
          <w:numId w:val="3"/>
        </w:numPr>
        <w:spacing w:after="200"/>
        <w:rPr>
          <w:szCs w:val="24"/>
          <w:highlight w:val="white"/>
          <w:lang w:val="fr-CA"/>
        </w:rPr>
      </w:pPr>
      <w:r w:rsidRPr="006A613F">
        <w:rPr>
          <w:szCs w:val="24"/>
          <w:highlight w:val="white"/>
          <w:lang w:val="fr-CA"/>
        </w:rPr>
        <w:t>Pour ce qui est de la femme handicapée en Tunisie, elle fait face à plusieurs sortes de violences de tout ordre (physique, verbale, psychique</w:t>
      </w:r>
      <w:r w:rsidR="006A613F" w:rsidRPr="006A613F">
        <w:rPr>
          <w:szCs w:val="24"/>
          <w:highlight w:val="white"/>
          <w:lang w:val="fr-CA"/>
        </w:rPr>
        <w:t>, etc.</w:t>
      </w:r>
      <w:r w:rsidRPr="006A613F">
        <w:rPr>
          <w:szCs w:val="24"/>
          <w:highlight w:val="white"/>
          <w:lang w:val="fr-CA"/>
        </w:rPr>
        <w:t xml:space="preserve">). Il est vrai que la Tunisie a adopté le texte de la </w:t>
      </w:r>
      <w:r w:rsidRPr="006A613F">
        <w:rPr>
          <w:b/>
          <w:szCs w:val="24"/>
          <w:highlight w:val="white"/>
          <w:lang w:val="fr-CA"/>
        </w:rPr>
        <w:t xml:space="preserve">Loi organique </w:t>
      </w:r>
      <w:r w:rsidRPr="006A613F">
        <w:rPr>
          <w:szCs w:val="24"/>
          <w:highlight w:val="white"/>
          <w:lang w:val="fr-CA"/>
        </w:rPr>
        <w:t>n° 2017-58 du 11 août 2017, relative à l’élimination de la violence à l’égard des femmes, cette loi reconnaît le handicap comme circonstance aggravante (Chapitre III). Cependant, nous constatons que la loi ne prend aucune disposition d’aménagement procédural pour permettre aux femmes handicapées d’avoir accès aux mécanismes de protection et de justice.</w:t>
      </w:r>
    </w:p>
    <w:p w14:paraId="0793FC46" w14:textId="0C8994DD" w:rsidR="005D590C" w:rsidRPr="006A613F" w:rsidRDefault="00000000" w:rsidP="00A062E6">
      <w:pPr>
        <w:pStyle w:val="ListParagraph"/>
        <w:numPr>
          <w:ilvl w:val="0"/>
          <w:numId w:val="3"/>
        </w:numPr>
        <w:spacing w:after="200"/>
        <w:rPr>
          <w:szCs w:val="24"/>
          <w:highlight w:val="white"/>
          <w:lang w:val="fr-CA"/>
        </w:rPr>
      </w:pPr>
      <w:r w:rsidRPr="006A613F">
        <w:rPr>
          <w:szCs w:val="24"/>
          <w:highlight w:val="white"/>
          <w:lang w:val="fr-CA"/>
        </w:rPr>
        <w:t>Malgré l’adoption de la convention relative aux Droits des Personnes handicapées, aucune mesure spécifique n’existe pour permettre l’accès au Droit à la santé sexuelle et reproductive des Personnes en situation de handicap. Leurs besoins restent invisibles et la détresse des victimes un tabou.</w:t>
      </w:r>
    </w:p>
    <w:p w14:paraId="5341C9DE" w14:textId="3E31273F" w:rsidR="005D590C" w:rsidRPr="009A1451" w:rsidRDefault="00000000" w:rsidP="00A062E6">
      <w:pPr>
        <w:pStyle w:val="Heading3"/>
        <w:numPr>
          <w:ilvl w:val="0"/>
          <w:numId w:val="0"/>
        </w:numPr>
        <w:ind w:left="720" w:hanging="720"/>
        <w:rPr>
          <w:highlight w:val="white"/>
          <w:lang w:val="fr-CA"/>
        </w:rPr>
      </w:pPr>
      <w:bookmarkStart w:id="10" w:name="_Toc127851664"/>
      <w:r w:rsidRPr="009A1451">
        <w:rPr>
          <w:highlight w:val="white"/>
          <w:lang w:val="fr-CA"/>
        </w:rPr>
        <w:t>Recommandations</w:t>
      </w:r>
      <w:bookmarkEnd w:id="10"/>
    </w:p>
    <w:p w14:paraId="1DEA2B95" w14:textId="713C86C2" w:rsidR="005D590C" w:rsidRDefault="00000000" w:rsidP="00A062E6">
      <w:pPr>
        <w:pStyle w:val="ListParagraph"/>
        <w:numPr>
          <w:ilvl w:val="0"/>
          <w:numId w:val="10"/>
        </w:numPr>
        <w:rPr>
          <w:szCs w:val="24"/>
          <w:highlight w:val="white"/>
          <w:lang w:val="fr-CA"/>
        </w:rPr>
      </w:pPr>
      <w:r w:rsidRPr="006A613F">
        <w:rPr>
          <w:szCs w:val="24"/>
          <w:highlight w:val="white"/>
          <w:lang w:val="fr-CA"/>
        </w:rPr>
        <w:t>Nous recommandons à l’</w:t>
      </w:r>
      <w:r w:rsidR="00AF2411">
        <w:rPr>
          <w:szCs w:val="24"/>
          <w:highlight w:val="white"/>
          <w:lang w:val="fr-CA"/>
        </w:rPr>
        <w:t>État</w:t>
      </w:r>
      <w:r w:rsidRPr="006A613F">
        <w:rPr>
          <w:szCs w:val="24"/>
          <w:highlight w:val="white"/>
          <w:lang w:val="fr-CA"/>
        </w:rPr>
        <w:t xml:space="preserve"> parti de mettre en place une réglementation qui comprend des aménagements </w:t>
      </w:r>
      <w:r w:rsidR="006A613F" w:rsidRPr="006A613F">
        <w:rPr>
          <w:szCs w:val="24"/>
          <w:highlight w:val="white"/>
          <w:lang w:val="fr-CA"/>
        </w:rPr>
        <w:t>procéduraux pour</w:t>
      </w:r>
      <w:r w:rsidRPr="006A613F">
        <w:rPr>
          <w:szCs w:val="24"/>
          <w:highlight w:val="white"/>
          <w:lang w:val="fr-CA"/>
        </w:rPr>
        <w:t xml:space="preserve"> permettre </w:t>
      </w:r>
      <w:r w:rsidR="006A613F" w:rsidRPr="006A613F">
        <w:rPr>
          <w:szCs w:val="24"/>
          <w:highlight w:val="white"/>
          <w:lang w:val="fr-CA"/>
        </w:rPr>
        <w:t>aux femmes handicapées</w:t>
      </w:r>
      <w:r w:rsidRPr="006A613F">
        <w:rPr>
          <w:szCs w:val="24"/>
          <w:highlight w:val="white"/>
          <w:lang w:val="fr-CA"/>
        </w:rPr>
        <w:t xml:space="preserve"> de rapporter les violences subies et de faciliter leurs accès à la justice.</w:t>
      </w:r>
    </w:p>
    <w:p w14:paraId="1FD55F36" w14:textId="6CEFACEB" w:rsidR="005D590C" w:rsidRPr="00BA46FB" w:rsidRDefault="00000000" w:rsidP="00A062E6">
      <w:pPr>
        <w:pStyle w:val="ListParagraph"/>
        <w:numPr>
          <w:ilvl w:val="0"/>
          <w:numId w:val="10"/>
        </w:numPr>
        <w:rPr>
          <w:szCs w:val="24"/>
          <w:highlight w:val="white"/>
          <w:lang w:val="fr-CA"/>
        </w:rPr>
      </w:pPr>
      <w:r w:rsidRPr="006A613F">
        <w:rPr>
          <w:szCs w:val="24"/>
          <w:highlight w:val="white"/>
          <w:lang w:val="fr-CA"/>
        </w:rPr>
        <w:t>Nous recommandons à l'</w:t>
      </w:r>
      <w:r w:rsidR="00AF2411">
        <w:rPr>
          <w:szCs w:val="24"/>
          <w:highlight w:val="white"/>
          <w:lang w:val="fr-CA"/>
        </w:rPr>
        <w:t>État</w:t>
      </w:r>
      <w:r w:rsidRPr="006A613F">
        <w:rPr>
          <w:szCs w:val="24"/>
          <w:highlight w:val="white"/>
          <w:lang w:val="fr-CA"/>
        </w:rPr>
        <w:t xml:space="preserve"> de mettre en place des programmes de formation des agents responsables de l'accueil, de l’écoute et de la prise en charge des femmes victimes de violences afin qu’ils </w:t>
      </w:r>
      <w:r w:rsidR="006A613F" w:rsidRPr="006A613F">
        <w:rPr>
          <w:szCs w:val="24"/>
          <w:highlight w:val="white"/>
          <w:lang w:val="fr-CA"/>
        </w:rPr>
        <w:t>aient la capacité</w:t>
      </w:r>
      <w:r w:rsidRPr="006A613F">
        <w:rPr>
          <w:szCs w:val="24"/>
          <w:highlight w:val="white"/>
          <w:lang w:val="fr-CA"/>
        </w:rPr>
        <w:t xml:space="preserve"> de prendre en charge les femmes handicapées.</w:t>
      </w:r>
    </w:p>
    <w:p w14:paraId="57B26AF0" w14:textId="7DFD0880" w:rsidR="005D590C" w:rsidRDefault="00000000" w:rsidP="00A062E6">
      <w:pPr>
        <w:pStyle w:val="Heading2"/>
        <w:numPr>
          <w:ilvl w:val="0"/>
          <w:numId w:val="0"/>
        </w:numPr>
        <w:ind w:left="578" w:hanging="578"/>
        <w:rPr>
          <w:lang w:val="fr-CA"/>
        </w:rPr>
      </w:pPr>
      <w:bookmarkStart w:id="11" w:name="_Toc127851665"/>
      <w:r w:rsidRPr="009A1451">
        <w:rPr>
          <w:lang w:val="fr-CA"/>
        </w:rPr>
        <w:lastRenderedPageBreak/>
        <w:t>Article 7 - Enfants handicapés</w:t>
      </w:r>
      <w:bookmarkEnd w:id="11"/>
    </w:p>
    <w:p w14:paraId="6F3C0FF5" w14:textId="7DDD8D15" w:rsidR="006A613F" w:rsidRPr="006A613F" w:rsidRDefault="006A613F" w:rsidP="00A062E6">
      <w:pPr>
        <w:pStyle w:val="Heading3"/>
        <w:numPr>
          <w:ilvl w:val="0"/>
          <w:numId w:val="0"/>
        </w:numPr>
        <w:ind w:left="720" w:hanging="720"/>
        <w:rPr>
          <w:lang w:val="fr-CA"/>
        </w:rPr>
      </w:pPr>
      <w:bookmarkStart w:id="12" w:name="_Toc127851666"/>
      <w:r>
        <w:rPr>
          <w:lang w:val="fr-CA"/>
        </w:rPr>
        <w:t>Observations générales</w:t>
      </w:r>
      <w:bookmarkEnd w:id="12"/>
    </w:p>
    <w:p w14:paraId="6848D59F" w14:textId="555C7F95" w:rsidR="005D590C" w:rsidRPr="006A613F" w:rsidRDefault="00000000" w:rsidP="00A062E6">
      <w:pPr>
        <w:pStyle w:val="ListParagraph"/>
        <w:numPr>
          <w:ilvl w:val="0"/>
          <w:numId w:val="3"/>
        </w:numPr>
        <w:spacing w:after="200"/>
        <w:rPr>
          <w:szCs w:val="24"/>
          <w:lang w:val="fr-CA"/>
        </w:rPr>
      </w:pPr>
      <w:r w:rsidRPr="006A613F">
        <w:rPr>
          <w:szCs w:val="24"/>
          <w:lang w:val="fr-CA"/>
        </w:rPr>
        <w:t xml:space="preserve">La Tunisie a œuvré pour promouvoir l’enfance, en considérant les différentes caractéristiques sociodémographiques de ce groupe d'âge. Et ce en </w:t>
      </w:r>
      <w:r w:rsidR="006A613F" w:rsidRPr="006A613F">
        <w:rPr>
          <w:szCs w:val="24"/>
          <w:lang w:val="fr-CA"/>
        </w:rPr>
        <w:t>vue</w:t>
      </w:r>
      <w:r w:rsidRPr="006A613F">
        <w:rPr>
          <w:szCs w:val="24"/>
          <w:lang w:val="fr-CA"/>
        </w:rPr>
        <w:t xml:space="preserve"> d’inculquer à l’enfant l’attachement à son identité nationale, le préparer pour une vie libre et responsable, lui assurer les soins et la protection nécessaires, diffuser la culture des droits de l’enfant, associer les enfants, selon des modalités adaptées à leur âge, à toutes les questions qui les intéressent et à respecter et renforcer leurs droits en tenant compte de leur intérêt supérieur.</w:t>
      </w:r>
      <w:r w:rsidR="006A613F">
        <w:rPr>
          <w:szCs w:val="24"/>
          <w:lang w:val="fr-CA"/>
        </w:rPr>
        <w:t xml:space="preserve"> </w:t>
      </w:r>
      <w:r w:rsidRPr="006A613F">
        <w:rPr>
          <w:szCs w:val="24"/>
          <w:lang w:val="fr-CA"/>
        </w:rPr>
        <w:t>Cependant, une moindre considération de la part de l'</w:t>
      </w:r>
      <w:r w:rsidR="00AF2411">
        <w:rPr>
          <w:szCs w:val="24"/>
          <w:lang w:val="fr-CA"/>
        </w:rPr>
        <w:t>État</w:t>
      </w:r>
      <w:r w:rsidRPr="006A613F">
        <w:rPr>
          <w:szCs w:val="24"/>
          <w:lang w:val="fr-CA"/>
        </w:rPr>
        <w:t xml:space="preserve"> Tunisien a été donnée aux enfants handicapés au niveau de la protection sociale, l’accès à l’éducation ainsi qu’aux services de santé adéquats. De plus, les données sur les conditions de ménage et la situation démographique </w:t>
      </w:r>
      <w:r w:rsidR="006A613F" w:rsidRPr="006A613F">
        <w:rPr>
          <w:szCs w:val="24"/>
          <w:lang w:val="fr-CA"/>
        </w:rPr>
        <w:t>des enfants</w:t>
      </w:r>
      <w:r w:rsidRPr="006A613F">
        <w:rPr>
          <w:szCs w:val="24"/>
          <w:lang w:val="fr-CA"/>
        </w:rPr>
        <w:t xml:space="preserve"> handicapés en Tunisie ne sont pas à jour ni à disposition. En outre, une </w:t>
      </w:r>
      <w:r w:rsidR="006A613F" w:rsidRPr="006A613F">
        <w:rPr>
          <w:szCs w:val="24"/>
          <w:lang w:val="fr-CA"/>
        </w:rPr>
        <w:t>non-reconnaissance</w:t>
      </w:r>
      <w:r w:rsidRPr="006A613F">
        <w:rPr>
          <w:szCs w:val="24"/>
          <w:lang w:val="fr-CA"/>
        </w:rPr>
        <w:t xml:space="preserve"> set des cas de maltraitance des enfants handicapés </w:t>
      </w:r>
      <w:r w:rsidR="00BA46FB">
        <w:rPr>
          <w:szCs w:val="24"/>
          <w:lang w:val="fr-CA"/>
        </w:rPr>
        <w:t>dans</w:t>
      </w:r>
      <w:r w:rsidRPr="006A613F">
        <w:rPr>
          <w:szCs w:val="24"/>
          <w:lang w:val="fr-CA"/>
        </w:rPr>
        <w:t xml:space="preserve"> plusieurs milieu</w:t>
      </w:r>
      <w:r w:rsidR="00BA46FB">
        <w:rPr>
          <w:szCs w:val="24"/>
          <w:lang w:val="fr-CA"/>
        </w:rPr>
        <w:t>x</w:t>
      </w:r>
      <w:r w:rsidRPr="006A613F">
        <w:rPr>
          <w:szCs w:val="24"/>
          <w:lang w:val="fr-CA"/>
        </w:rPr>
        <w:t xml:space="preserve"> ont été reportés (y compris le milieu familial, scolaire, etc.).</w:t>
      </w:r>
    </w:p>
    <w:p w14:paraId="4D382049" w14:textId="145E873C" w:rsidR="005D590C" w:rsidRPr="00963FBA" w:rsidRDefault="00000000" w:rsidP="00A062E6">
      <w:pPr>
        <w:pStyle w:val="Heading3"/>
        <w:numPr>
          <w:ilvl w:val="0"/>
          <w:numId w:val="0"/>
        </w:numPr>
        <w:ind w:left="720" w:hanging="720"/>
        <w:rPr>
          <w:lang w:val="fr-CA"/>
        </w:rPr>
      </w:pPr>
      <w:bookmarkStart w:id="13" w:name="_Toc127851667"/>
      <w:r w:rsidRPr="00963FBA">
        <w:rPr>
          <w:lang w:val="fr-CA"/>
        </w:rPr>
        <w:t>Recommandations</w:t>
      </w:r>
      <w:bookmarkEnd w:id="13"/>
    </w:p>
    <w:p w14:paraId="7D3B5D18" w14:textId="0BB50E87" w:rsidR="005D590C" w:rsidRDefault="00000000" w:rsidP="00A062E6">
      <w:pPr>
        <w:pStyle w:val="ListParagraph"/>
        <w:numPr>
          <w:ilvl w:val="0"/>
          <w:numId w:val="10"/>
        </w:numPr>
        <w:rPr>
          <w:szCs w:val="24"/>
          <w:lang w:val="fr-CA"/>
        </w:rPr>
      </w:pPr>
      <w:r w:rsidRPr="006A613F">
        <w:rPr>
          <w:szCs w:val="24"/>
          <w:lang w:val="fr-CA"/>
        </w:rPr>
        <w:t>Renforcer la sensibilisation, l’accompagnement et le soutien des familles pour permettre la reconnaissance et la pleine participation des enfants handicapés au sein des familles</w:t>
      </w:r>
    </w:p>
    <w:p w14:paraId="696F53FB" w14:textId="2F06313F" w:rsidR="005D590C" w:rsidRPr="006A613F" w:rsidRDefault="00000000" w:rsidP="00A062E6">
      <w:pPr>
        <w:pStyle w:val="ListParagraph"/>
        <w:numPr>
          <w:ilvl w:val="0"/>
          <w:numId w:val="10"/>
        </w:numPr>
        <w:rPr>
          <w:szCs w:val="24"/>
          <w:lang w:val="fr-CA"/>
        </w:rPr>
      </w:pPr>
      <w:r w:rsidRPr="006A613F">
        <w:rPr>
          <w:szCs w:val="24"/>
          <w:lang w:val="fr-CA"/>
        </w:rPr>
        <w:t xml:space="preserve">Mettre en place </w:t>
      </w:r>
      <w:r w:rsidR="006A613F" w:rsidRPr="006A613F">
        <w:rPr>
          <w:szCs w:val="24"/>
          <w:lang w:val="fr-CA"/>
        </w:rPr>
        <w:t>toutes les mesures nécessaires</w:t>
      </w:r>
      <w:r w:rsidRPr="006A613F">
        <w:rPr>
          <w:szCs w:val="24"/>
          <w:lang w:val="fr-CA"/>
        </w:rPr>
        <w:t xml:space="preserve"> pour prévenir toute violation y compris la maltraitance et la violence à l’égard des enfants handicapés</w:t>
      </w:r>
    </w:p>
    <w:p w14:paraId="6EF5C489" w14:textId="2EA5C21D" w:rsidR="005D590C" w:rsidRPr="009A1451" w:rsidRDefault="00000000" w:rsidP="00A062E6">
      <w:pPr>
        <w:numPr>
          <w:ilvl w:val="0"/>
          <w:numId w:val="10"/>
        </w:numPr>
        <w:spacing w:after="200"/>
        <w:rPr>
          <w:szCs w:val="24"/>
          <w:lang w:val="fr-CA"/>
        </w:rPr>
      </w:pPr>
      <w:r w:rsidRPr="009A1451">
        <w:rPr>
          <w:szCs w:val="24"/>
          <w:lang w:val="fr-CA"/>
        </w:rPr>
        <w:t>Mettre à jour les données relatives aux enfant</w:t>
      </w:r>
      <w:r w:rsidR="00D113C6">
        <w:rPr>
          <w:szCs w:val="24"/>
          <w:lang w:val="fr-CA"/>
        </w:rPr>
        <w:t>s</w:t>
      </w:r>
      <w:r w:rsidRPr="009A1451">
        <w:rPr>
          <w:szCs w:val="24"/>
          <w:lang w:val="fr-CA"/>
        </w:rPr>
        <w:t xml:space="preserve"> handicapées et les rendre à disposition</w:t>
      </w:r>
    </w:p>
    <w:p w14:paraId="65819B60" w14:textId="2250773D" w:rsidR="005D590C" w:rsidRDefault="00000000" w:rsidP="00A062E6">
      <w:pPr>
        <w:pStyle w:val="Heading2"/>
        <w:numPr>
          <w:ilvl w:val="0"/>
          <w:numId w:val="0"/>
        </w:numPr>
        <w:ind w:left="578" w:hanging="578"/>
        <w:rPr>
          <w:lang w:val="fr-CA"/>
        </w:rPr>
      </w:pPr>
      <w:bookmarkStart w:id="14" w:name="_Toc127851668"/>
      <w:r w:rsidRPr="009A1451">
        <w:rPr>
          <w:lang w:val="fr-CA"/>
        </w:rPr>
        <w:t xml:space="preserve">Article 9 </w:t>
      </w:r>
      <w:r w:rsidR="006A613F">
        <w:rPr>
          <w:lang w:val="fr-CA"/>
        </w:rPr>
        <w:t>–</w:t>
      </w:r>
      <w:r w:rsidRPr="009A1451">
        <w:rPr>
          <w:lang w:val="fr-CA"/>
        </w:rPr>
        <w:t xml:space="preserve"> Accessibilité</w:t>
      </w:r>
      <w:bookmarkEnd w:id="14"/>
    </w:p>
    <w:p w14:paraId="59CB71EB" w14:textId="3691489C" w:rsidR="006A613F" w:rsidRPr="006A613F" w:rsidRDefault="006A613F" w:rsidP="00A062E6">
      <w:pPr>
        <w:pStyle w:val="Heading3"/>
        <w:numPr>
          <w:ilvl w:val="0"/>
          <w:numId w:val="0"/>
        </w:numPr>
        <w:ind w:left="720" w:hanging="720"/>
        <w:rPr>
          <w:lang w:val="fr-CA"/>
        </w:rPr>
      </w:pPr>
      <w:bookmarkStart w:id="15" w:name="_Toc127851669"/>
      <w:r>
        <w:rPr>
          <w:lang w:val="fr-CA"/>
        </w:rPr>
        <w:t>Observations générales</w:t>
      </w:r>
      <w:bookmarkEnd w:id="15"/>
    </w:p>
    <w:p w14:paraId="705DC609" w14:textId="3BC3F4F2" w:rsidR="00963FBA" w:rsidRDefault="00000000" w:rsidP="00A062E6">
      <w:pPr>
        <w:pStyle w:val="ListParagraph"/>
        <w:numPr>
          <w:ilvl w:val="0"/>
          <w:numId w:val="3"/>
        </w:numPr>
        <w:spacing w:before="240" w:after="200"/>
        <w:rPr>
          <w:szCs w:val="24"/>
          <w:lang w:val="fr-CA"/>
        </w:rPr>
      </w:pPr>
      <w:r w:rsidRPr="00963FBA">
        <w:rPr>
          <w:szCs w:val="24"/>
          <w:lang w:val="fr-CA"/>
        </w:rPr>
        <w:t xml:space="preserve">La Tunisie a mis en place une législation relative à l'accès aux bâtiments et l'accès à l'information ainsi que les moyens et les technologies d'information et de communication, tels que la loi 83 de l'année 2005 et le décret n° 2006-1467 du 30 mai 2006. </w:t>
      </w:r>
    </w:p>
    <w:p w14:paraId="40C20BC3" w14:textId="5F90FB06" w:rsidR="00963FBA" w:rsidRDefault="00000000" w:rsidP="00A062E6">
      <w:pPr>
        <w:pStyle w:val="ListParagraph"/>
        <w:numPr>
          <w:ilvl w:val="0"/>
          <w:numId w:val="3"/>
        </w:numPr>
        <w:spacing w:before="240" w:after="200"/>
        <w:rPr>
          <w:szCs w:val="24"/>
          <w:lang w:val="fr-CA"/>
        </w:rPr>
      </w:pPr>
      <w:r w:rsidRPr="00963FBA">
        <w:rPr>
          <w:szCs w:val="24"/>
          <w:lang w:val="fr-CA"/>
        </w:rPr>
        <w:t xml:space="preserve">De plus, quelques initiatives ont été faites en partenariat avec les organisations de la société civile et/ou dans le cadre de la coopération internationale. On constate aussi que quelques établissements publics comme les administrations sont partiellement </w:t>
      </w:r>
      <w:proofErr w:type="gramStart"/>
      <w:r w:rsidR="00963FBA" w:rsidRPr="00963FBA">
        <w:rPr>
          <w:szCs w:val="24"/>
          <w:lang w:val="fr-CA"/>
        </w:rPr>
        <w:t>aménagés</w:t>
      </w:r>
      <w:proofErr w:type="gramEnd"/>
      <w:r w:rsidRPr="00963FBA">
        <w:rPr>
          <w:szCs w:val="24"/>
          <w:lang w:val="fr-CA"/>
        </w:rPr>
        <w:t xml:space="preserve"> principalement pour les personnes en fauteuil roulant par une rampe d’accès.</w:t>
      </w:r>
    </w:p>
    <w:p w14:paraId="4433EFAC" w14:textId="77777777" w:rsidR="00963FBA" w:rsidRDefault="00000000" w:rsidP="00A062E6">
      <w:pPr>
        <w:pStyle w:val="ListParagraph"/>
        <w:numPr>
          <w:ilvl w:val="0"/>
          <w:numId w:val="3"/>
        </w:numPr>
        <w:spacing w:before="240" w:after="200"/>
        <w:rPr>
          <w:szCs w:val="24"/>
          <w:lang w:val="fr-CA"/>
        </w:rPr>
      </w:pPr>
      <w:r w:rsidRPr="00963FBA">
        <w:rPr>
          <w:szCs w:val="24"/>
          <w:lang w:val="fr-CA"/>
        </w:rPr>
        <w:lastRenderedPageBreak/>
        <w:t>Toutefois</w:t>
      </w:r>
      <w:r w:rsidR="00963FBA">
        <w:rPr>
          <w:szCs w:val="24"/>
          <w:lang w:val="fr-CA"/>
        </w:rPr>
        <w:t>, o</w:t>
      </w:r>
      <w:r w:rsidRPr="00963FBA">
        <w:rPr>
          <w:szCs w:val="24"/>
          <w:lang w:val="fr-CA"/>
        </w:rPr>
        <w:t>n constate que la majorité des établissements ne répondent pas aux normes nationales d'accessibilité de la Tunisie, figurant dans le cahier normatif de l'annexe du décret n°1467 de l'année 2006</w:t>
      </w:r>
    </w:p>
    <w:p w14:paraId="12FC263A" w14:textId="177E6517" w:rsidR="005D590C" w:rsidRDefault="00000000" w:rsidP="00A062E6">
      <w:pPr>
        <w:pStyle w:val="ListParagraph"/>
        <w:numPr>
          <w:ilvl w:val="0"/>
          <w:numId w:val="3"/>
        </w:numPr>
        <w:spacing w:before="240" w:after="200"/>
        <w:rPr>
          <w:szCs w:val="24"/>
          <w:lang w:val="fr-CA"/>
        </w:rPr>
      </w:pPr>
      <w:r w:rsidRPr="00963FBA">
        <w:rPr>
          <w:szCs w:val="24"/>
          <w:lang w:val="fr-CA"/>
        </w:rPr>
        <w:t>Les administrations et les établissements de prestation des services publics en majorité n'ont pas assuré des mesures d'accessibilité ou d'aménagement raisonnable quant à l'accès à l'information pour les personnes en situation de handicap auditif et visuel ainsi que mental et intellectuel.</w:t>
      </w:r>
    </w:p>
    <w:p w14:paraId="6E53305F" w14:textId="66AA4F01" w:rsidR="005D590C" w:rsidRDefault="00000000" w:rsidP="00A062E6">
      <w:pPr>
        <w:pStyle w:val="ListParagraph"/>
        <w:numPr>
          <w:ilvl w:val="0"/>
          <w:numId w:val="3"/>
        </w:numPr>
        <w:spacing w:before="240" w:after="200"/>
        <w:rPr>
          <w:szCs w:val="24"/>
          <w:lang w:val="fr-CA"/>
        </w:rPr>
      </w:pPr>
      <w:r w:rsidRPr="00963FBA">
        <w:rPr>
          <w:szCs w:val="24"/>
          <w:lang w:val="fr-CA"/>
        </w:rPr>
        <w:t xml:space="preserve">Les administrations et les établissements de prestation des services publics en majorité n'ont pas assuré des mesures d'accessibilité ou d'aménagement raisonnable quant à l'accès physique. Si quelques aménagements existent, les renseignements et/ou le personnel </w:t>
      </w:r>
      <w:proofErr w:type="gramStart"/>
      <w:r w:rsidR="00963FBA" w:rsidRPr="00963FBA">
        <w:rPr>
          <w:szCs w:val="24"/>
          <w:lang w:val="fr-CA"/>
        </w:rPr>
        <w:t>n</w:t>
      </w:r>
      <w:r w:rsidR="00D113C6">
        <w:rPr>
          <w:szCs w:val="24"/>
          <w:lang w:val="fr-CA"/>
        </w:rPr>
        <w:t>e son</w:t>
      </w:r>
      <w:r w:rsidR="00963FBA" w:rsidRPr="00963FBA">
        <w:rPr>
          <w:szCs w:val="24"/>
          <w:lang w:val="fr-CA"/>
        </w:rPr>
        <w:t>t</w:t>
      </w:r>
      <w:proofErr w:type="gramEnd"/>
      <w:r w:rsidRPr="00963FBA">
        <w:rPr>
          <w:szCs w:val="24"/>
          <w:lang w:val="fr-CA"/>
        </w:rPr>
        <w:t xml:space="preserve"> pas à disposition</w:t>
      </w:r>
    </w:p>
    <w:p w14:paraId="08739A49" w14:textId="4389658F" w:rsidR="005D590C" w:rsidRDefault="00000000" w:rsidP="00A062E6">
      <w:pPr>
        <w:pStyle w:val="ListParagraph"/>
        <w:numPr>
          <w:ilvl w:val="0"/>
          <w:numId w:val="3"/>
        </w:numPr>
        <w:spacing w:before="240" w:after="200"/>
        <w:rPr>
          <w:szCs w:val="24"/>
          <w:lang w:val="fr-CA"/>
        </w:rPr>
      </w:pPr>
      <w:r w:rsidRPr="00963FBA">
        <w:rPr>
          <w:szCs w:val="24"/>
          <w:lang w:val="fr-CA"/>
        </w:rPr>
        <w:t>Les sites web de la majorité des établissements publics et privés ne sont pas accessibles et ne répondent pas aux normes d'accessibilité numérique</w:t>
      </w:r>
    </w:p>
    <w:p w14:paraId="55F29A0A" w14:textId="000973BF" w:rsidR="005D590C" w:rsidRDefault="00000000" w:rsidP="00A062E6">
      <w:pPr>
        <w:pStyle w:val="ListParagraph"/>
        <w:numPr>
          <w:ilvl w:val="0"/>
          <w:numId w:val="3"/>
        </w:numPr>
        <w:spacing w:before="240" w:after="200"/>
        <w:rPr>
          <w:szCs w:val="24"/>
          <w:lang w:val="fr-CA"/>
        </w:rPr>
      </w:pPr>
      <w:r w:rsidRPr="00963FBA">
        <w:rPr>
          <w:szCs w:val="24"/>
          <w:lang w:val="fr-CA"/>
        </w:rPr>
        <w:t>Le terme "aménagement raisonnable" et sa définition ne sont pas adoptés ni incorporés dans la législation tunisienne relative à la promotion des droits des personnes en situation de handicap, conformément aux dispositions de l'article 5 de la CDPH</w:t>
      </w:r>
    </w:p>
    <w:p w14:paraId="12AB56C2" w14:textId="77777777" w:rsidR="00963FBA" w:rsidRDefault="00000000" w:rsidP="00A062E6">
      <w:pPr>
        <w:pStyle w:val="ListParagraph"/>
        <w:numPr>
          <w:ilvl w:val="0"/>
          <w:numId w:val="3"/>
        </w:numPr>
        <w:spacing w:before="240" w:after="200"/>
        <w:rPr>
          <w:szCs w:val="24"/>
          <w:lang w:val="fr-CA"/>
        </w:rPr>
      </w:pPr>
      <w:r w:rsidRPr="00963FBA">
        <w:rPr>
          <w:szCs w:val="24"/>
          <w:lang w:val="fr-CA"/>
        </w:rPr>
        <w:t xml:space="preserve">Au niveau du transport, malgré que les moyens du transport en commun </w:t>
      </w:r>
      <w:proofErr w:type="gramStart"/>
      <w:r w:rsidRPr="00963FBA">
        <w:rPr>
          <w:szCs w:val="24"/>
          <w:lang w:val="fr-CA"/>
        </w:rPr>
        <w:t>sont</w:t>
      </w:r>
      <w:proofErr w:type="gramEnd"/>
      <w:r w:rsidRPr="00963FBA">
        <w:rPr>
          <w:szCs w:val="24"/>
          <w:lang w:val="fr-CA"/>
        </w:rPr>
        <w:t xml:space="preserve"> gratuits ou à tarifs réduits pour les personnes handicapées, ils ne sont pas accessibles pour les différents types de handicaps; </w:t>
      </w:r>
    </w:p>
    <w:p w14:paraId="1124EB30" w14:textId="4729338C" w:rsidR="005D590C" w:rsidRPr="00963FBA" w:rsidRDefault="00000000" w:rsidP="00A062E6">
      <w:pPr>
        <w:pStyle w:val="ListParagraph"/>
        <w:numPr>
          <w:ilvl w:val="0"/>
          <w:numId w:val="3"/>
        </w:numPr>
        <w:spacing w:before="240" w:after="200"/>
        <w:rPr>
          <w:szCs w:val="24"/>
          <w:lang w:val="fr-CA"/>
        </w:rPr>
      </w:pPr>
      <w:r w:rsidRPr="00963FBA">
        <w:rPr>
          <w:szCs w:val="24"/>
          <w:lang w:val="fr-CA"/>
        </w:rPr>
        <w:t xml:space="preserve">Au moment de la rédaction du présent rapport, il n’y a pas de statistiques ou d'études sur l'accessibilité en Tunisie qui </w:t>
      </w:r>
      <w:r w:rsidR="00963FBA" w:rsidRPr="00963FBA">
        <w:rPr>
          <w:szCs w:val="24"/>
          <w:lang w:val="fr-CA"/>
        </w:rPr>
        <w:t>soient identifiées</w:t>
      </w:r>
      <w:r w:rsidRPr="00963FBA">
        <w:rPr>
          <w:szCs w:val="24"/>
          <w:lang w:val="fr-CA"/>
        </w:rPr>
        <w:t xml:space="preserve"> afin d'évaluer et de suivre la situation de l'accessibilité en Tunisie.</w:t>
      </w:r>
    </w:p>
    <w:p w14:paraId="505F4C88" w14:textId="522BFC3C" w:rsidR="005D590C" w:rsidRPr="009A1451" w:rsidRDefault="00000000" w:rsidP="00A062E6">
      <w:pPr>
        <w:pStyle w:val="Heading3"/>
        <w:numPr>
          <w:ilvl w:val="0"/>
          <w:numId w:val="0"/>
        </w:numPr>
        <w:ind w:left="720" w:hanging="720"/>
        <w:rPr>
          <w:lang w:val="fr-CA"/>
        </w:rPr>
      </w:pPr>
      <w:bookmarkStart w:id="16" w:name="_Toc127851670"/>
      <w:r w:rsidRPr="009A1451">
        <w:rPr>
          <w:lang w:val="fr-CA"/>
        </w:rPr>
        <w:t>Recommandations</w:t>
      </w:r>
      <w:bookmarkEnd w:id="16"/>
    </w:p>
    <w:p w14:paraId="0CFC3308" w14:textId="52120072" w:rsidR="005D590C" w:rsidRPr="00963FBA" w:rsidRDefault="00000000" w:rsidP="00A062E6">
      <w:pPr>
        <w:pStyle w:val="ListParagraph"/>
        <w:numPr>
          <w:ilvl w:val="0"/>
          <w:numId w:val="10"/>
        </w:numPr>
        <w:spacing w:before="240" w:after="200"/>
        <w:rPr>
          <w:szCs w:val="24"/>
          <w:lang w:val="fr-CA"/>
        </w:rPr>
      </w:pPr>
      <w:r w:rsidRPr="00963FBA">
        <w:rPr>
          <w:szCs w:val="24"/>
          <w:lang w:val="fr-CA"/>
        </w:rPr>
        <w:t>Favoriser les actions de sensibilisation et des formations auprès des parties prenantes concernées (i.e. personnel des services etc.) pour qu’elles comprennent les barrières auxquelles les personnes handicapées sont confrontées et pour qu'elles soient conscientes qu’il convient de trouver des moyens pour les éliminer</w:t>
      </w:r>
    </w:p>
    <w:p w14:paraId="3CE1D9B8" w14:textId="77777777" w:rsidR="00963FBA" w:rsidRDefault="00000000" w:rsidP="00A062E6">
      <w:pPr>
        <w:pStyle w:val="ListParagraph"/>
        <w:numPr>
          <w:ilvl w:val="0"/>
          <w:numId w:val="10"/>
        </w:numPr>
        <w:spacing w:before="240" w:after="200"/>
        <w:rPr>
          <w:szCs w:val="24"/>
          <w:lang w:val="fr-CA"/>
        </w:rPr>
      </w:pPr>
      <w:r w:rsidRPr="00963FBA">
        <w:rPr>
          <w:szCs w:val="24"/>
          <w:lang w:val="fr-CA"/>
        </w:rPr>
        <w:t>Mettre en place des mesures sévères pour assurer l'application des dispositions des lois relatives à l'accessibilité</w:t>
      </w:r>
      <w:r w:rsidR="00963FBA">
        <w:rPr>
          <w:szCs w:val="24"/>
          <w:lang w:val="fr-CA"/>
        </w:rPr>
        <w:t>.</w:t>
      </w:r>
    </w:p>
    <w:p w14:paraId="480CB142" w14:textId="683CF294" w:rsidR="00963FBA" w:rsidRDefault="00000000" w:rsidP="00A062E6">
      <w:pPr>
        <w:pStyle w:val="ListParagraph"/>
        <w:numPr>
          <w:ilvl w:val="0"/>
          <w:numId w:val="10"/>
        </w:numPr>
        <w:spacing w:before="240" w:after="200"/>
        <w:rPr>
          <w:szCs w:val="24"/>
          <w:lang w:val="fr-CA"/>
        </w:rPr>
      </w:pPr>
      <w:r w:rsidRPr="00963FBA">
        <w:rPr>
          <w:szCs w:val="24"/>
          <w:lang w:val="fr-CA"/>
        </w:rPr>
        <w:t>Considérer explicitement que le non-respect de l'aménagement raisonnable aux personnes handicapées constitue de la discrimination fondée sur le handicap et l'incorporer dans la loi ainsi que prendre des mesures judicaires de sanction le cas échéan</w:t>
      </w:r>
      <w:r w:rsidR="00963FBA">
        <w:rPr>
          <w:szCs w:val="24"/>
          <w:lang w:val="fr-CA"/>
        </w:rPr>
        <w:t>t.</w:t>
      </w:r>
    </w:p>
    <w:p w14:paraId="5469BAE1" w14:textId="5118517F" w:rsidR="005D590C" w:rsidRDefault="00000000" w:rsidP="00A062E6">
      <w:pPr>
        <w:pStyle w:val="ListParagraph"/>
        <w:numPr>
          <w:ilvl w:val="0"/>
          <w:numId w:val="10"/>
        </w:numPr>
        <w:spacing w:before="240" w:after="200"/>
        <w:rPr>
          <w:szCs w:val="24"/>
          <w:lang w:val="fr-CA"/>
        </w:rPr>
      </w:pPr>
      <w:r w:rsidRPr="00963FBA">
        <w:rPr>
          <w:szCs w:val="24"/>
          <w:lang w:val="fr-CA"/>
        </w:rPr>
        <w:lastRenderedPageBreak/>
        <w:t>Réaliser un guide juridique sur la non-discrimination y compris les questions liées à l’aménagement raisonnable</w:t>
      </w:r>
    </w:p>
    <w:p w14:paraId="5699F8B6" w14:textId="77777777" w:rsidR="00963FBA" w:rsidRDefault="00000000" w:rsidP="00A062E6">
      <w:pPr>
        <w:pStyle w:val="ListParagraph"/>
        <w:numPr>
          <w:ilvl w:val="0"/>
          <w:numId w:val="10"/>
        </w:numPr>
        <w:spacing w:before="240" w:after="200"/>
        <w:rPr>
          <w:szCs w:val="24"/>
          <w:lang w:val="fr-CA"/>
        </w:rPr>
      </w:pPr>
      <w:r w:rsidRPr="00963FBA">
        <w:rPr>
          <w:szCs w:val="24"/>
          <w:lang w:val="fr-CA"/>
        </w:rPr>
        <w:t>Mettre en place une loi relative aux normes d'accessibilité des moyens et des technologies de l'information et de communication en conformité avec les normes universelles comme W3C et WCAG. En deuxième lieu, inclure l'accessibilité numérique dans les différents plans d'actions de l'accessibilité et de la transformation numérique</w:t>
      </w:r>
      <w:r w:rsidR="00963FBA">
        <w:rPr>
          <w:szCs w:val="24"/>
          <w:lang w:val="fr-CA"/>
        </w:rPr>
        <w:t>.</w:t>
      </w:r>
    </w:p>
    <w:p w14:paraId="3DA6D48D" w14:textId="77777777" w:rsidR="00963FBA" w:rsidRDefault="00000000" w:rsidP="00A062E6">
      <w:pPr>
        <w:pStyle w:val="ListParagraph"/>
        <w:numPr>
          <w:ilvl w:val="0"/>
          <w:numId w:val="10"/>
        </w:numPr>
        <w:spacing w:before="240" w:after="200"/>
        <w:rPr>
          <w:szCs w:val="24"/>
          <w:lang w:val="fr-CA"/>
        </w:rPr>
      </w:pPr>
      <w:r w:rsidRPr="00963FBA">
        <w:rPr>
          <w:szCs w:val="24"/>
          <w:lang w:val="fr-CA"/>
        </w:rPr>
        <w:t>Réviser les marchés publics relatifs aux moyens du transport et s'assurer que le cahier de charge inclut les critères d'accessibilité en conformité avec la loi</w:t>
      </w:r>
    </w:p>
    <w:p w14:paraId="08D220A2" w14:textId="298AA8FB" w:rsidR="00963FBA" w:rsidRDefault="00000000" w:rsidP="00A062E6">
      <w:pPr>
        <w:pStyle w:val="ListParagraph"/>
        <w:numPr>
          <w:ilvl w:val="0"/>
          <w:numId w:val="10"/>
        </w:numPr>
        <w:spacing w:before="240" w:after="200"/>
        <w:rPr>
          <w:szCs w:val="24"/>
          <w:lang w:val="fr-CA"/>
        </w:rPr>
      </w:pPr>
      <w:r w:rsidRPr="00963FBA">
        <w:rPr>
          <w:szCs w:val="24"/>
          <w:lang w:val="fr-CA"/>
        </w:rPr>
        <w:t>Mener des études et des enquêtes nationales sur l'accessibilité afin d'évaluer la situation et identifier les lacunes, tout en impliquant les différentes parties prenantes y compris les personnes handicapées et les organisations qui les représentent</w:t>
      </w:r>
      <w:r w:rsidR="00963FBA">
        <w:rPr>
          <w:szCs w:val="24"/>
          <w:lang w:val="fr-CA"/>
        </w:rPr>
        <w:t>.</w:t>
      </w:r>
    </w:p>
    <w:p w14:paraId="108C98E3" w14:textId="0A08A5ED" w:rsidR="005D590C" w:rsidRPr="00963FBA" w:rsidRDefault="00000000" w:rsidP="00A062E6">
      <w:pPr>
        <w:pStyle w:val="ListParagraph"/>
        <w:numPr>
          <w:ilvl w:val="0"/>
          <w:numId w:val="10"/>
        </w:numPr>
        <w:spacing w:before="240" w:after="200"/>
        <w:rPr>
          <w:szCs w:val="24"/>
          <w:lang w:val="fr-CA"/>
        </w:rPr>
      </w:pPr>
      <w:proofErr w:type="gramStart"/>
      <w:r w:rsidRPr="00963FBA">
        <w:rPr>
          <w:szCs w:val="24"/>
          <w:lang w:val="fr-CA"/>
        </w:rPr>
        <w:t>Favoriser  une</w:t>
      </w:r>
      <w:proofErr w:type="gramEnd"/>
      <w:r w:rsidRPr="00963FBA">
        <w:rPr>
          <w:szCs w:val="24"/>
          <w:lang w:val="fr-CA"/>
        </w:rPr>
        <w:t xml:space="preserve"> étroite consultation et concertation avec les personnes handicapées et les organisations qui les représentent afin d'évaluer la mise en œuvre des lois sur l’accessibilité telles que le décret 2006 - n°1467 et les normes techniques adoptées.</w:t>
      </w:r>
    </w:p>
    <w:p w14:paraId="7CD1F6C1" w14:textId="77777777" w:rsidR="005D590C" w:rsidRPr="009A1451" w:rsidRDefault="00000000" w:rsidP="00A062E6">
      <w:pPr>
        <w:pStyle w:val="Heading2"/>
        <w:numPr>
          <w:ilvl w:val="0"/>
          <w:numId w:val="0"/>
        </w:numPr>
        <w:ind w:left="578" w:hanging="578"/>
        <w:rPr>
          <w:lang w:val="fr-CA"/>
        </w:rPr>
      </w:pPr>
      <w:bookmarkStart w:id="17" w:name="_Toc127851671"/>
      <w:r w:rsidRPr="009A1451">
        <w:rPr>
          <w:lang w:val="fr-CA"/>
        </w:rPr>
        <w:t>Article 11 - Situations de risque et situations d'urgence humanitaire</w:t>
      </w:r>
      <w:bookmarkEnd w:id="17"/>
    </w:p>
    <w:p w14:paraId="41A58239" w14:textId="03EB6F59" w:rsidR="005D590C" w:rsidRPr="009A1451" w:rsidRDefault="00000000" w:rsidP="00A062E6">
      <w:pPr>
        <w:spacing w:before="240" w:after="200"/>
        <w:rPr>
          <w:szCs w:val="24"/>
          <w:lang w:val="fr-CA"/>
        </w:rPr>
      </w:pPr>
      <w:r w:rsidRPr="009A1451">
        <w:rPr>
          <w:szCs w:val="24"/>
          <w:lang w:val="fr-CA"/>
        </w:rPr>
        <w:t>Lors des situations d'urgence et de crises sanitaires comme la pandémie, les personnes handicapées sont généralement moins protégées et plus exposées aux risques. Durant la COVID-19, les personnes en situation de handicap en Tunisie et dans le monde ont rencontré une multiplicité des difficultés d'accès aux soins et étaient exposées au risque d'isolement et de paupérisation dont elles peuvent être victimes face à la propagation de la pandémie. Par exemple, le fauteuil roulant doit être désinfecté autant de fois que l'on se lave les mains. La distanciation sociale est difficile, voire impossible à appliquer pour les personnes qui dépendent d'un contact physique avec leur environnement (e.g. se tenir à un mur quand on a des problèmes de mobilité, toucher les objets quand on est aveugle, etc.) ou leurs proches aidant(e)s. Les mesures prises pour éviter la propagation du virus ne permettent pas toujours aux personnes les plus vulnérables, marginalisées et à risque de se protéger efficacement.</w:t>
      </w:r>
    </w:p>
    <w:p w14:paraId="058195A2" w14:textId="4F175CF4" w:rsidR="005D590C" w:rsidRDefault="00000000" w:rsidP="00A062E6">
      <w:pPr>
        <w:pStyle w:val="Heading2"/>
        <w:numPr>
          <w:ilvl w:val="0"/>
          <w:numId w:val="0"/>
        </w:numPr>
        <w:ind w:left="578" w:hanging="578"/>
        <w:rPr>
          <w:lang w:val="fr-CA"/>
        </w:rPr>
      </w:pPr>
      <w:bookmarkStart w:id="18" w:name="_Toc127851672"/>
      <w:r w:rsidRPr="009A1451">
        <w:rPr>
          <w:lang w:val="fr-CA"/>
        </w:rPr>
        <w:t>Article 12 - Reconnaissance de la personnalité juridique dans des conditions d’égalité</w:t>
      </w:r>
      <w:bookmarkEnd w:id="18"/>
    </w:p>
    <w:p w14:paraId="4E55D9A0" w14:textId="62C6B0C9" w:rsidR="00510344" w:rsidRPr="00510344" w:rsidRDefault="00510344" w:rsidP="00A062E6">
      <w:pPr>
        <w:pStyle w:val="Heading3"/>
        <w:numPr>
          <w:ilvl w:val="0"/>
          <w:numId w:val="0"/>
        </w:numPr>
        <w:ind w:left="720" w:hanging="720"/>
        <w:rPr>
          <w:lang w:val="fr-CA"/>
        </w:rPr>
      </w:pPr>
      <w:bookmarkStart w:id="19" w:name="_Toc127851673"/>
      <w:r>
        <w:rPr>
          <w:lang w:val="fr-CA"/>
        </w:rPr>
        <w:t>Observations générales</w:t>
      </w:r>
      <w:bookmarkEnd w:id="19"/>
    </w:p>
    <w:p w14:paraId="575621EB" w14:textId="12C12710" w:rsidR="005D590C" w:rsidRPr="004D3EC3" w:rsidRDefault="00000000" w:rsidP="00A062E6">
      <w:pPr>
        <w:pStyle w:val="ListParagraph"/>
        <w:numPr>
          <w:ilvl w:val="0"/>
          <w:numId w:val="3"/>
        </w:numPr>
        <w:spacing w:after="200"/>
        <w:rPr>
          <w:szCs w:val="24"/>
          <w:lang w:val="fr-CA"/>
        </w:rPr>
      </w:pPr>
      <w:r w:rsidRPr="004D3EC3">
        <w:rPr>
          <w:szCs w:val="24"/>
          <w:lang w:val="fr-CA"/>
        </w:rPr>
        <w:t xml:space="preserve">La Tunisie dispose d’un large éventail de lois qui conforte le système de prise de décision substitué qui vise particulièrement les personnes avec handicap psychosocial et </w:t>
      </w:r>
      <w:r w:rsidRPr="004D3EC3">
        <w:rPr>
          <w:szCs w:val="24"/>
          <w:lang w:val="fr-CA"/>
        </w:rPr>
        <w:lastRenderedPageBreak/>
        <w:t>intellectuel. La Tunisie n’a entrepris aucune mesure allant dans le sens de la révision des lois et mesures confortant le système de tutelle et curatelle.</w:t>
      </w:r>
    </w:p>
    <w:p w14:paraId="0427E8D6" w14:textId="72D1DC64" w:rsidR="004D3EC3" w:rsidRDefault="00000000" w:rsidP="00A062E6">
      <w:pPr>
        <w:pStyle w:val="ListParagraph"/>
        <w:numPr>
          <w:ilvl w:val="0"/>
          <w:numId w:val="3"/>
        </w:numPr>
        <w:spacing w:after="200"/>
        <w:rPr>
          <w:szCs w:val="24"/>
          <w:lang w:val="fr-CA"/>
        </w:rPr>
      </w:pPr>
      <w:r w:rsidRPr="004D3EC3">
        <w:rPr>
          <w:szCs w:val="24"/>
          <w:lang w:val="fr-CA"/>
        </w:rPr>
        <w:t xml:space="preserve">Alors que de point de vue légal, les personnes mise sous tutelle ou curatelle peuvent regagner la pleine jouissance de leurs capacité juridique </w:t>
      </w:r>
      <w:proofErr w:type="gramStart"/>
      <w:r w:rsidRPr="004D3EC3">
        <w:rPr>
          <w:szCs w:val="24"/>
          <w:lang w:val="fr-CA"/>
        </w:rPr>
        <w:t>( art</w:t>
      </w:r>
      <w:proofErr w:type="gramEnd"/>
      <w:r w:rsidRPr="004D3EC3">
        <w:rPr>
          <w:szCs w:val="24"/>
          <w:lang w:val="fr-CA"/>
        </w:rPr>
        <w:t xml:space="preserve"> 168 du code de statut  personnel), dans la pratique, la récupération de ce droit est extrêmement difficile et dans la plupart des cas ceux qui font cette demande n’obtiennent pas gain de cause. Par exemple dans l’affaire numéro 45062, Mr Chadli s’est vu retirer sa capacité juridique et placé sous tutelle dans une décision de justice datée de 2007. La décision fut initiée à la demande de sa fille soutenue par un certificat médical. En </w:t>
      </w:r>
      <w:r w:rsidR="004D3EC3" w:rsidRPr="004D3EC3">
        <w:rPr>
          <w:szCs w:val="24"/>
          <w:lang w:val="fr-CA"/>
        </w:rPr>
        <w:t>décembre</w:t>
      </w:r>
      <w:r w:rsidRPr="004D3EC3">
        <w:rPr>
          <w:szCs w:val="24"/>
          <w:lang w:val="fr-CA"/>
        </w:rPr>
        <w:t xml:space="preserve"> 2008, Mr </w:t>
      </w:r>
      <w:r w:rsidR="004D3EC3" w:rsidRPr="004D3EC3">
        <w:rPr>
          <w:szCs w:val="24"/>
          <w:lang w:val="fr-CA"/>
        </w:rPr>
        <w:t>Chadli décida</w:t>
      </w:r>
      <w:r w:rsidRPr="004D3EC3">
        <w:rPr>
          <w:szCs w:val="24"/>
          <w:lang w:val="fr-CA"/>
        </w:rPr>
        <w:t xml:space="preserve"> de faire appel de cette décision et retrouva la jouissance de sa pleine capacité légale. Il apporta deux certificats médicaux attestant de sa pleine capacité mentale. Cependant le juge demanda deux examens médicaux par un consortium de docteurs. </w:t>
      </w:r>
      <w:proofErr w:type="gramStart"/>
      <w:r w:rsidRPr="004D3EC3">
        <w:rPr>
          <w:szCs w:val="24"/>
          <w:lang w:val="fr-CA"/>
        </w:rPr>
        <w:t>le</w:t>
      </w:r>
      <w:proofErr w:type="gramEnd"/>
      <w:r w:rsidRPr="004D3EC3">
        <w:rPr>
          <w:szCs w:val="24"/>
          <w:lang w:val="fr-CA"/>
        </w:rPr>
        <w:t xml:space="preserve"> premier examen fut requis par la cour le 14 mai 2009, qui confirma la capacité mentale de Mr. Chadli. Un deuxième examen fut également requis le 16 juin de la même année. </w:t>
      </w:r>
      <w:proofErr w:type="gramStart"/>
      <w:r w:rsidRPr="004D3EC3">
        <w:rPr>
          <w:szCs w:val="24"/>
          <w:lang w:val="fr-CA"/>
        </w:rPr>
        <w:t>Suite à</w:t>
      </w:r>
      <w:proofErr w:type="gramEnd"/>
      <w:r w:rsidRPr="004D3EC3">
        <w:rPr>
          <w:szCs w:val="24"/>
          <w:lang w:val="fr-CA"/>
        </w:rPr>
        <w:t xml:space="preserve"> cela, le juge restaura la capacité juridique du plaignant. Ainsi cet exemple démontre la difficulté pour une personne de recouvrir sa capacité juridique par les voies légales. Alors qu’un seul certificat médical fut nécessaire pour enlever la capacité juridique de monsieur </w:t>
      </w:r>
      <w:proofErr w:type="spellStart"/>
      <w:r w:rsidRPr="004D3EC3">
        <w:rPr>
          <w:szCs w:val="24"/>
          <w:lang w:val="fr-CA"/>
        </w:rPr>
        <w:t>chadli</w:t>
      </w:r>
      <w:proofErr w:type="spellEnd"/>
      <w:r w:rsidRPr="004D3EC3">
        <w:rPr>
          <w:szCs w:val="24"/>
          <w:lang w:val="fr-CA"/>
        </w:rPr>
        <w:t xml:space="preserve">, il a fallu 4 en plus du témoignage de la personne elle-même et une attente de 2 ans pour parvenir à récupérer ses droits. </w:t>
      </w:r>
    </w:p>
    <w:p w14:paraId="6808A67F" w14:textId="56F75CC4" w:rsidR="004D3EC3" w:rsidRPr="004D3EC3" w:rsidRDefault="00000000" w:rsidP="00A062E6">
      <w:pPr>
        <w:pStyle w:val="ListParagraph"/>
        <w:numPr>
          <w:ilvl w:val="0"/>
          <w:numId w:val="3"/>
        </w:numPr>
        <w:spacing w:after="200"/>
        <w:rPr>
          <w:szCs w:val="24"/>
          <w:lang w:val="fr-CA"/>
        </w:rPr>
      </w:pPr>
      <w:r w:rsidRPr="004D3EC3">
        <w:rPr>
          <w:szCs w:val="24"/>
          <w:lang w:val="fr-CA"/>
        </w:rPr>
        <w:t>Concernant la mesure de protection des personnes handicapées dans les procédures administratives, selon la Loi n° 2008-66 du 3 novembre 2008, portant assouplissement des transactions des personnes porteuses d'un handicap moteur. En réalité, cette loi constitue un obstacle pour la pleine et effective jouissance de la capacité juridique et notamment lors des transactions financières. En effet, il s'avère qu’en se basant sur cette loi, les institutions financières telles que les banques limitent l’accès des personnes handicapées à leurs propres finances sous réserve d'être accompagnées par un témoin. Si la personne se présente seule au guichet de la banque, elle se voit refuser le droit de retirer son propre argent.  Dans certains cas rapportés, la banque exige même que le témoin soit désigné par une décision de justice. Dans les deux cas, cela entrave très fortement l’autonomie de la personne et met en danger son droit à la vie privée. Cela concerne toutes les personnes handicapées y compris les personnes sourdes ou aveugles. En outre, cette pratique ne se limite pas aux institutions financières mais s’étend à plusieurs autres institutions telles que la municipalité.</w:t>
      </w:r>
    </w:p>
    <w:p w14:paraId="4E6972BF" w14:textId="4B5CED61" w:rsidR="005D590C" w:rsidRPr="004D3EC3" w:rsidRDefault="00000000" w:rsidP="00A062E6">
      <w:pPr>
        <w:pStyle w:val="Heading3"/>
        <w:numPr>
          <w:ilvl w:val="0"/>
          <w:numId w:val="0"/>
        </w:numPr>
        <w:ind w:left="720" w:hanging="720"/>
        <w:rPr>
          <w:lang w:val="fr-CA"/>
        </w:rPr>
      </w:pPr>
      <w:bookmarkStart w:id="20" w:name="_Toc127851674"/>
      <w:r w:rsidRPr="004D3EC3">
        <w:rPr>
          <w:lang w:val="fr-CA"/>
        </w:rPr>
        <w:lastRenderedPageBreak/>
        <w:t>Recommandations</w:t>
      </w:r>
      <w:bookmarkEnd w:id="20"/>
    </w:p>
    <w:p w14:paraId="3E63F18A" w14:textId="3F4220FF" w:rsidR="005D590C" w:rsidRPr="004D3EC3" w:rsidRDefault="00000000" w:rsidP="00A062E6">
      <w:pPr>
        <w:pStyle w:val="ListParagraph"/>
        <w:numPr>
          <w:ilvl w:val="0"/>
          <w:numId w:val="10"/>
        </w:numPr>
        <w:spacing w:after="200"/>
        <w:rPr>
          <w:szCs w:val="24"/>
          <w:lang w:val="fr-CA"/>
        </w:rPr>
      </w:pPr>
      <w:r w:rsidRPr="004D3EC3">
        <w:rPr>
          <w:szCs w:val="24"/>
          <w:lang w:val="fr-CA"/>
        </w:rPr>
        <w:t xml:space="preserve"> L’initiation urgente d’un comité de révision de ces lois qui pourra guider l’</w:t>
      </w:r>
      <w:proofErr w:type="spellStart"/>
      <w:r w:rsidRPr="004D3EC3">
        <w:rPr>
          <w:szCs w:val="24"/>
          <w:lang w:val="fr-CA"/>
        </w:rPr>
        <w:t>Etat</w:t>
      </w:r>
      <w:proofErr w:type="spellEnd"/>
      <w:r w:rsidRPr="004D3EC3">
        <w:rPr>
          <w:szCs w:val="24"/>
          <w:lang w:val="fr-CA"/>
        </w:rPr>
        <w:t xml:space="preserve"> dans les modifications législatives et procédurales afin de remplacer la substitution de décision par celle de support à la prise de décision  </w:t>
      </w:r>
    </w:p>
    <w:p w14:paraId="64213D0F" w14:textId="77777777" w:rsidR="004D3EC3" w:rsidRDefault="00000000" w:rsidP="00A062E6">
      <w:pPr>
        <w:numPr>
          <w:ilvl w:val="0"/>
          <w:numId w:val="10"/>
        </w:numPr>
        <w:spacing w:after="200"/>
        <w:rPr>
          <w:szCs w:val="24"/>
          <w:lang w:val="fr-CA"/>
        </w:rPr>
      </w:pPr>
      <w:r w:rsidRPr="009A1451">
        <w:rPr>
          <w:szCs w:val="24"/>
          <w:lang w:val="fr-CA"/>
        </w:rPr>
        <w:t xml:space="preserve">La mise en place d’une procédure standardisée et simple qui permette aux personnes handicapées de faire appel d’une décision de restriction de la capacité juridique. Cette procédure doit avoir comme base principale la volonté et la préférence de la personne sans recours à un certificat médical en conformité avec l’approche basée sur les droits de l’homme qui définit clairement la différence entre capacité juridique et capacité mentale. </w:t>
      </w:r>
    </w:p>
    <w:p w14:paraId="001415AA" w14:textId="195BA69E" w:rsidR="005D590C" w:rsidRPr="004D3EC3" w:rsidRDefault="00000000" w:rsidP="00A062E6">
      <w:pPr>
        <w:numPr>
          <w:ilvl w:val="0"/>
          <w:numId w:val="10"/>
        </w:numPr>
        <w:spacing w:after="200"/>
        <w:rPr>
          <w:szCs w:val="24"/>
          <w:lang w:val="fr-CA"/>
        </w:rPr>
      </w:pPr>
      <w:r w:rsidRPr="004D3EC3">
        <w:rPr>
          <w:szCs w:val="24"/>
          <w:lang w:val="fr-CA"/>
        </w:rPr>
        <w:t xml:space="preserve">Abrogation de la Loi n°2008-66 et adoption d’une loi qui institue le principe d’autonomie et d'Indépendance des personnes handicapées dans leurs transactions administratives et financières sans le recours à un témoin. Cette loi doit en outre garantir que le principe de protection soit </w:t>
      </w:r>
      <w:r w:rsidR="004D3EC3" w:rsidRPr="004D3EC3">
        <w:rPr>
          <w:szCs w:val="24"/>
          <w:lang w:val="fr-CA"/>
        </w:rPr>
        <w:t>assuré</w:t>
      </w:r>
      <w:r w:rsidRPr="004D3EC3">
        <w:rPr>
          <w:szCs w:val="24"/>
          <w:lang w:val="fr-CA"/>
        </w:rPr>
        <w:t xml:space="preserve"> par les institutions administratives et financières sans préjudice des principes d’autonomie, d'indépendance et de vie privée. </w:t>
      </w:r>
    </w:p>
    <w:p w14:paraId="1D8FCB04" w14:textId="7D808125" w:rsidR="005D590C" w:rsidRDefault="00000000" w:rsidP="00A062E6">
      <w:pPr>
        <w:pStyle w:val="Heading3"/>
        <w:numPr>
          <w:ilvl w:val="0"/>
          <w:numId w:val="0"/>
        </w:numPr>
        <w:ind w:left="720" w:hanging="720"/>
        <w:rPr>
          <w:lang w:val="fr-CA"/>
        </w:rPr>
      </w:pPr>
      <w:bookmarkStart w:id="21" w:name="_Toc127851675"/>
      <w:r w:rsidRPr="009A1451">
        <w:rPr>
          <w:lang w:val="fr-CA"/>
        </w:rPr>
        <w:t>Article 19 - Vivre de manière indépendante et être inclus dans la communauté</w:t>
      </w:r>
      <w:bookmarkEnd w:id="21"/>
    </w:p>
    <w:p w14:paraId="45E75430" w14:textId="3AF8F7D1" w:rsidR="005A32AE" w:rsidRPr="005A32AE" w:rsidRDefault="005A32AE" w:rsidP="00A062E6">
      <w:pPr>
        <w:pStyle w:val="Heading3"/>
        <w:numPr>
          <w:ilvl w:val="0"/>
          <w:numId w:val="0"/>
        </w:numPr>
        <w:ind w:left="720" w:hanging="720"/>
        <w:rPr>
          <w:lang w:val="fr-CA"/>
        </w:rPr>
      </w:pPr>
      <w:bookmarkStart w:id="22" w:name="_Toc127851676"/>
      <w:r>
        <w:rPr>
          <w:lang w:val="fr-CA"/>
        </w:rPr>
        <w:t>Observations générales</w:t>
      </w:r>
      <w:bookmarkEnd w:id="22"/>
    </w:p>
    <w:p w14:paraId="06472F96" w14:textId="77777777" w:rsidR="004D3EC3" w:rsidRDefault="00000000" w:rsidP="00A062E6">
      <w:pPr>
        <w:pStyle w:val="ListParagraph"/>
        <w:numPr>
          <w:ilvl w:val="0"/>
          <w:numId w:val="3"/>
        </w:numPr>
        <w:spacing w:after="200"/>
        <w:rPr>
          <w:szCs w:val="24"/>
          <w:lang w:val="fr-CA"/>
        </w:rPr>
      </w:pPr>
      <w:r w:rsidRPr="004D3EC3">
        <w:rPr>
          <w:szCs w:val="24"/>
          <w:lang w:val="fr-CA"/>
        </w:rPr>
        <w:t>La loi d’orientation 83-2005 considère “le placement des personnes handicapées dans des établissements spécialisés dans l'hébergement et la prise en charge” comme une mesure de prise en charge des personnes handicapées “nécessiteuses et souffrant d’une invalidité sévère”.</w:t>
      </w:r>
    </w:p>
    <w:p w14:paraId="072AA787" w14:textId="77777777" w:rsidR="004D3EC3" w:rsidRPr="004D3EC3" w:rsidRDefault="00000000" w:rsidP="00A062E6">
      <w:pPr>
        <w:pStyle w:val="ListParagraph"/>
        <w:numPr>
          <w:ilvl w:val="0"/>
          <w:numId w:val="3"/>
        </w:numPr>
        <w:spacing w:after="200"/>
        <w:rPr>
          <w:szCs w:val="24"/>
          <w:lang w:val="fr-CA"/>
        </w:rPr>
      </w:pPr>
      <w:r w:rsidRPr="004D3EC3">
        <w:rPr>
          <w:szCs w:val="24"/>
          <w:lang w:val="fr-CA"/>
        </w:rPr>
        <w:t>Depuis</w:t>
      </w:r>
      <w:r w:rsidR="004D3EC3">
        <w:rPr>
          <w:szCs w:val="24"/>
          <w:lang w:val="fr-CA"/>
        </w:rPr>
        <w:t xml:space="preserve"> l'adoption de</w:t>
      </w:r>
      <w:r w:rsidRPr="004D3EC3">
        <w:rPr>
          <w:szCs w:val="24"/>
          <w:lang w:val="fr-CA"/>
        </w:rPr>
        <w:t xml:space="preserve"> cette </w:t>
      </w:r>
      <w:proofErr w:type="gramStart"/>
      <w:r w:rsidRPr="004D3EC3">
        <w:rPr>
          <w:szCs w:val="24"/>
          <w:lang w:val="fr-CA"/>
        </w:rPr>
        <w:t>loi,  des</w:t>
      </w:r>
      <w:proofErr w:type="gramEnd"/>
      <w:r w:rsidRPr="004D3EC3">
        <w:rPr>
          <w:szCs w:val="24"/>
          <w:lang w:val="fr-CA"/>
        </w:rPr>
        <w:t xml:space="preserve"> décrets lois pour la création d’unités de vie pour les personnes handicapées ont été publiés</w:t>
      </w:r>
      <w:r>
        <w:rPr>
          <w:vertAlign w:val="superscript"/>
        </w:rPr>
        <w:footnoteReference w:id="12"/>
      </w:r>
      <w:r w:rsidRPr="004D3EC3">
        <w:rPr>
          <w:szCs w:val="24"/>
          <w:lang w:val="fr-CA"/>
        </w:rPr>
        <w:t xml:space="preserve"> et des unités de vie pour l'hébergement des personnes handicapées sans soutien familial ont commencé à voir le jour dans plusieurs gouvernorats (Sfax, Kairouan, Nabeul, Tunis, </w:t>
      </w:r>
      <w:proofErr w:type="spellStart"/>
      <w:r w:rsidRPr="004D3EC3">
        <w:rPr>
          <w:szCs w:val="24"/>
          <w:lang w:val="fr-CA"/>
        </w:rPr>
        <w:t>etc</w:t>
      </w:r>
      <w:proofErr w:type="spellEnd"/>
      <w:r w:rsidRPr="004D3EC3">
        <w:rPr>
          <w:szCs w:val="24"/>
          <w:lang w:val="fr-CA"/>
        </w:rPr>
        <w:t>)</w:t>
      </w:r>
      <w:r>
        <w:rPr>
          <w:vertAlign w:val="superscript"/>
        </w:rPr>
        <w:footnoteReference w:id="13"/>
      </w:r>
      <w:r w:rsidRPr="004D3EC3">
        <w:rPr>
          <w:szCs w:val="24"/>
          <w:lang w:val="fr-CA"/>
        </w:rPr>
        <w:t>. Ces “unités de vie” accueillent les personnes handicapées en résidence ou en centre de jour. Les personnes handicapées peuvent y rester sur une durée indéterminée. Ils peuvent y être admis par autorisation judiciaire ou par leur tuteur.</w:t>
      </w:r>
      <w:r>
        <w:rPr>
          <w:vertAlign w:val="superscript"/>
        </w:rPr>
        <w:footnoteReference w:id="14"/>
      </w:r>
    </w:p>
    <w:p w14:paraId="3E3AE477" w14:textId="75AEDBFC" w:rsidR="004D3EC3" w:rsidRDefault="00000000" w:rsidP="00A062E6">
      <w:pPr>
        <w:pStyle w:val="ListParagraph"/>
        <w:numPr>
          <w:ilvl w:val="0"/>
          <w:numId w:val="3"/>
        </w:numPr>
        <w:spacing w:after="200"/>
        <w:rPr>
          <w:szCs w:val="24"/>
          <w:lang w:val="fr-CA"/>
        </w:rPr>
      </w:pPr>
      <w:r w:rsidRPr="004D3EC3">
        <w:rPr>
          <w:szCs w:val="24"/>
          <w:lang w:val="fr-CA"/>
        </w:rPr>
        <w:lastRenderedPageBreak/>
        <w:t xml:space="preserve">Concernant les personnes ayant </w:t>
      </w:r>
      <w:r w:rsidR="004D3EC3">
        <w:rPr>
          <w:szCs w:val="24"/>
          <w:lang w:val="fr-CA"/>
        </w:rPr>
        <w:t>une incapacité</w:t>
      </w:r>
      <w:r w:rsidRPr="004D3EC3">
        <w:rPr>
          <w:szCs w:val="24"/>
          <w:lang w:val="fr-CA"/>
        </w:rPr>
        <w:t xml:space="preserve"> psychosocial</w:t>
      </w:r>
      <w:r w:rsidR="004D3EC3">
        <w:rPr>
          <w:szCs w:val="24"/>
          <w:lang w:val="fr-CA"/>
        </w:rPr>
        <w:t>e</w:t>
      </w:r>
      <w:r w:rsidRPr="004D3EC3">
        <w:rPr>
          <w:szCs w:val="24"/>
          <w:lang w:val="fr-CA"/>
        </w:rPr>
        <w:t xml:space="preserve">, elles se voient admises en hôpital psychiatrique sous différents régimes. L’admission se fait également sur ordre judiciaire, à la demande d’un tiers, souvent le tuteur ou </w:t>
      </w:r>
      <w:proofErr w:type="gramStart"/>
      <w:r w:rsidRPr="004D3EC3">
        <w:rPr>
          <w:szCs w:val="24"/>
          <w:lang w:val="fr-CA"/>
        </w:rPr>
        <w:t>suite à</w:t>
      </w:r>
      <w:proofErr w:type="gramEnd"/>
      <w:r w:rsidRPr="004D3EC3">
        <w:rPr>
          <w:szCs w:val="24"/>
          <w:lang w:val="fr-CA"/>
        </w:rPr>
        <w:t xml:space="preserve"> la demande de la personne concernée. Toutefois, même si une personne est admise </w:t>
      </w:r>
      <w:proofErr w:type="gramStart"/>
      <w:r w:rsidRPr="004D3EC3">
        <w:rPr>
          <w:szCs w:val="24"/>
          <w:lang w:val="fr-CA"/>
        </w:rPr>
        <w:t>suite à</w:t>
      </w:r>
      <w:proofErr w:type="gramEnd"/>
      <w:r w:rsidRPr="004D3EC3">
        <w:rPr>
          <w:szCs w:val="24"/>
          <w:lang w:val="fr-CA"/>
        </w:rPr>
        <w:t xml:space="preserve"> sa demande, elle peut être empêchée de quitter par les professionnels de la santé. En </w:t>
      </w:r>
      <w:r w:rsidR="004D3EC3" w:rsidRPr="004D3EC3">
        <w:rPr>
          <w:szCs w:val="24"/>
          <w:lang w:val="fr-CA"/>
        </w:rPr>
        <w:t>janvier</w:t>
      </w:r>
      <w:r w:rsidRPr="004D3EC3">
        <w:rPr>
          <w:szCs w:val="24"/>
          <w:lang w:val="fr-CA"/>
        </w:rPr>
        <w:t xml:space="preserve"> 2023, un résident est décédé et des traces de violence ont été identifiées sur son corps</w:t>
      </w:r>
      <w:r>
        <w:rPr>
          <w:vertAlign w:val="superscript"/>
        </w:rPr>
        <w:footnoteReference w:id="15"/>
      </w:r>
      <w:r w:rsidRPr="004D3EC3">
        <w:rPr>
          <w:szCs w:val="24"/>
          <w:lang w:val="fr-CA"/>
        </w:rPr>
        <w:t xml:space="preserve">. </w:t>
      </w:r>
    </w:p>
    <w:p w14:paraId="6ECDBA7A" w14:textId="74F52FE9" w:rsidR="005D590C" w:rsidRDefault="00000000" w:rsidP="00A062E6">
      <w:pPr>
        <w:pStyle w:val="ListParagraph"/>
        <w:numPr>
          <w:ilvl w:val="0"/>
          <w:numId w:val="3"/>
        </w:numPr>
        <w:spacing w:after="200"/>
        <w:rPr>
          <w:szCs w:val="24"/>
          <w:lang w:val="fr-CA"/>
        </w:rPr>
      </w:pPr>
      <w:r w:rsidRPr="004D3EC3">
        <w:rPr>
          <w:szCs w:val="24"/>
          <w:lang w:val="fr-CA"/>
        </w:rPr>
        <w:t>Concernant le soutien aux personnes handicapées, les services d’appui et d’assistance à domicile et au sein de la communauté sont très limités; Les principaux services d’appui sont octroyés par les centres spécialisés qui sont déployés sur tout le territoire. Toutefois, ces centres fournissent une prise en charge thérapeutique et uniquement pour les bénéficiaires du centre. De plus, ils restent très limités en matière de services favorisant l’inclusion. Ces centres sont partiellement financés par le MAS et plusieurs centres sont en difficultés financières</w:t>
      </w:r>
      <w:r w:rsidR="004D3EC3">
        <w:rPr>
          <w:szCs w:val="24"/>
          <w:lang w:val="fr-CA"/>
        </w:rPr>
        <w:t xml:space="preserve">. </w:t>
      </w:r>
      <w:r w:rsidRPr="004D3EC3">
        <w:rPr>
          <w:szCs w:val="24"/>
          <w:lang w:val="fr-CA"/>
        </w:rPr>
        <w:t>Par ailleurs, concernant l’assistance personnelle, ce service est majoritairement payant. Les personnes handicapées qui ont besoin d’aide permanente la reçoivent sous forme d’une prestation d’aide constante limitée à quelques heures par semaine. Cependant les profils d'auxiliaires de vie ou d’assistants personnels qualifiés sont très rares.</w:t>
      </w:r>
    </w:p>
    <w:p w14:paraId="0E1E8C5D" w14:textId="77777777" w:rsidR="00F60EFB" w:rsidRDefault="00000000" w:rsidP="00A062E6">
      <w:pPr>
        <w:pStyle w:val="ListParagraph"/>
        <w:numPr>
          <w:ilvl w:val="0"/>
          <w:numId w:val="3"/>
        </w:numPr>
        <w:spacing w:after="200"/>
        <w:rPr>
          <w:szCs w:val="24"/>
          <w:lang w:val="fr-CA"/>
        </w:rPr>
      </w:pPr>
      <w:r w:rsidRPr="00F60EFB">
        <w:rPr>
          <w:szCs w:val="24"/>
          <w:lang w:val="fr-CA"/>
        </w:rPr>
        <w:t xml:space="preserve">Les services de la communauté ciblant la population générale restent très peu inclusifs. Lorsque c’est le cas, il s’agit d'expérience pilote ou portant sur un aspect de l’accessibilité plutôt qu’une démarche visant l’inclusion. A titre d’exemple, les interprètes en langues des signes sont reconnus et fournis au sein des tribunaux mais pas dans les postes de police ni dans les autres services tels que les services de santé, d’éducation; certaines administrations sont équipées de rampes d’accessibilité; certaines écoles sont inclusives. Toutefois, ces expériences pilotes ne sont pas généralisées et ne concernent pas toutes les personnes handicapées. </w:t>
      </w:r>
    </w:p>
    <w:p w14:paraId="41E499FB" w14:textId="50D934EC" w:rsidR="005D590C" w:rsidRPr="00F60EFB" w:rsidRDefault="00000000" w:rsidP="00A062E6">
      <w:pPr>
        <w:pStyle w:val="Heading3"/>
        <w:numPr>
          <w:ilvl w:val="0"/>
          <w:numId w:val="0"/>
        </w:numPr>
        <w:ind w:left="720" w:hanging="720"/>
        <w:rPr>
          <w:lang w:val="fr-CA"/>
        </w:rPr>
      </w:pPr>
      <w:bookmarkStart w:id="23" w:name="_Toc127851677"/>
      <w:r w:rsidRPr="00F60EFB">
        <w:rPr>
          <w:lang w:val="fr-CA"/>
        </w:rPr>
        <w:t>Recomm</w:t>
      </w:r>
      <w:r w:rsidR="00D907F2">
        <w:rPr>
          <w:lang w:val="fr-CA"/>
        </w:rPr>
        <w:t>a</w:t>
      </w:r>
      <w:r w:rsidRPr="00F60EFB">
        <w:rPr>
          <w:lang w:val="fr-CA"/>
        </w:rPr>
        <w:t>ndations</w:t>
      </w:r>
      <w:bookmarkEnd w:id="23"/>
    </w:p>
    <w:p w14:paraId="79F3F744" w14:textId="279B10C9" w:rsidR="005D590C" w:rsidRPr="00F60EFB" w:rsidRDefault="00000000" w:rsidP="00A062E6">
      <w:pPr>
        <w:pStyle w:val="ListParagraph"/>
        <w:numPr>
          <w:ilvl w:val="0"/>
          <w:numId w:val="10"/>
        </w:numPr>
        <w:rPr>
          <w:szCs w:val="24"/>
          <w:lang w:val="fr-CA"/>
        </w:rPr>
      </w:pPr>
      <w:r w:rsidRPr="00F60EFB">
        <w:rPr>
          <w:szCs w:val="24"/>
          <w:lang w:val="fr-CA"/>
        </w:rPr>
        <w:t xml:space="preserve">La stratégie concernant la prise en charge des personnes handicapées doit être modifiée de sorte à être conforme à la CRDPH. </w:t>
      </w:r>
    </w:p>
    <w:p w14:paraId="1F61D7AD" w14:textId="54F6DEF9" w:rsidR="005D590C" w:rsidRDefault="00000000" w:rsidP="00A062E6">
      <w:pPr>
        <w:numPr>
          <w:ilvl w:val="0"/>
          <w:numId w:val="10"/>
        </w:numPr>
        <w:rPr>
          <w:szCs w:val="24"/>
          <w:lang w:val="fr-CA"/>
        </w:rPr>
      </w:pPr>
      <w:r w:rsidRPr="009A1451">
        <w:rPr>
          <w:szCs w:val="24"/>
          <w:lang w:val="fr-CA"/>
        </w:rPr>
        <w:t xml:space="preserve">Lancer une stratégie de </w:t>
      </w:r>
      <w:r w:rsidR="00F60EFB" w:rsidRPr="009A1451">
        <w:rPr>
          <w:szCs w:val="24"/>
          <w:lang w:val="fr-CA"/>
        </w:rPr>
        <w:t>désinstitutionalisation</w:t>
      </w:r>
      <w:r w:rsidRPr="009A1451">
        <w:rPr>
          <w:szCs w:val="24"/>
          <w:lang w:val="fr-CA"/>
        </w:rPr>
        <w:t xml:space="preserve"> conformément au guide sur </w:t>
      </w:r>
      <w:r w:rsidR="00F60EFB" w:rsidRPr="009A1451">
        <w:rPr>
          <w:szCs w:val="24"/>
          <w:lang w:val="fr-CA"/>
        </w:rPr>
        <w:t>la désinstitutionalisation développée</w:t>
      </w:r>
      <w:r w:rsidRPr="009A1451">
        <w:rPr>
          <w:szCs w:val="24"/>
          <w:lang w:val="fr-CA"/>
        </w:rPr>
        <w:t xml:space="preserve"> par le comité de la CRDPH</w:t>
      </w:r>
    </w:p>
    <w:p w14:paraId="079BD7F3" w14:textId="132CA9AC" w:rsidR="005D590C" w:rsidRPr="00F60EFB" w:rsidRDefault="00000000" w:rsidP="00A062E6">
      <w:pPr>
        <w:numPr>
          <w:ilvl w:val="0"/>
          <w:numId w:val="10"/>
        </w:numPr>
        <w:rPr>
          <w:szCs w:val="24"/>
          <w:lang w:val="fr-CA"/>
        </w:rPr>
      </w:pPr>
      <w:r w:rsidRPr="00F60EFB">
        <w:rPr>
          <w:szCs w:val="24"/>
          <w:lang w:val="fr-CA"/>
        </w:rPr>
        <w:t>Développer des services d’appui et d'assistance personnelle aux personnes handicapées en assurant les ressources humaines et financières nécessaires.</w:t>
      </w:r>
    </w:p>
    <w:p w14:paraId="00B83F6D" w14:textId="77777777" w:rsidR="005D590C" w:rsidRPr="00F60EFB" w:rsidRDefault="00000000" w:rsidP="00A062E6">
      <w:pPr>
        <w:numPr>
          <w:ilvl w:val="0"/>
          <w:numId w:val="10"/>
        </w:numPr>
        <w:rPr>
          <w:szCs w:val="24"/>
          <w:lang w:val="fr-CA"/>
        </w:rPr>
      </w:pPr>
      <w:r w:rsidRPr="009A1451">
        <w:rPr>
          <w:szCs w:val="24"/>
          <w:lang w:val="fr-CA"/>
        </w:rPr>
        <w:lastRenderedPageBreak/>
        <w:t xml:space="preserve">Les services visant la population générale doivent avoir une approche inclusive systématisée. </w:t>
      </w:r>
      <w:r w:rsidRPr="00F60EFB">
        <w:rPr>
          <w:szCs w:val="24"/>
          <w:lang w:val="fr-CA"/>
        </w:rPr>
        <w:t xml:space="preserve">Les expériences pilotes réussies doivent être généralisées. </w:t>
      </w:r>
    </w:p>
    <w:p w14:paraId="3765EA47" w14:textId="77777777" w:rsidR="005D590C" w:rsidRPr="009A1451" w:rsidRDefault="00000000" w:rsidP="00A062E6">
      <w:pPr>
        <w:numPr>
          <w:ilvl w:val="0"/>
          <w:numId w:val="10"/>
        </w:numPr>
        <w:spacing w:after="200"/>
        <w:rPr>
          <w:szCs w:val="24"/>
          <w:lang w:val="fr-CA"/>
        </w:rPr>
      </w:pPr>
      <w:r w:rsidRPr="009A1451">
        <w:rPr>
          <w:szCs w:val="24"/>
          <w:lang w:val="fr-CA"/>
        </w:rPr>
        <w:t>La consultation des personnes handicapées est nécessaire pour s’assurer de l’inclusion des services et d’identifier les services support à créer.</w:t>
      </w:r>
    </w:p>
    <w:p w14:paraId="77051FDC" w14:textId="1B8A20C6" w:rsidR="005D590C" w:rsidRDefault="00000000" w:rsidP="00A062E6">
      <w:pPr>
        <w:pStyle w:val="Heading2"/>
        <w:numPr>
          <w:ilvl w:val="0"/>
          <w:numId w:val="0"/>
        </w:numPr>
        <w:ind w:left="578" w:hanging="578"/>
        <w:rPr>
          <w:lang w:val="fr-CA"/>
        </w:rPr>
      </w:pPr>
      <w:bookmarkStart w:id="24" w:name="_Toc127851678"/>
      <w:r w:rsidRPr="009A1451">
        <w:rPr>
          <w:lang w:val="fr-CA"/>
        </w:rPr>
        <w:t xml:space="preserve">Article 24 </w:t>
      </w:r>
      <w:r w:rsidR="00546470">
        <w:rPr>
          <w:lang w:val="fr-CA"/>
        </w:rPr>
        <w:t>–</w:t>
      </w:r>
      <w:r w:rsidRPr="009A1451">
        <w:rPr>
          <w:lang w:val="fr-CA"/>
        </w:rPr>
        <w:t xml:space="preserve"> Éducation</w:t>
      </w:r>
      <w:bookmarkEnd w:id="24"/>
    </w:p>
    <w:p w14:paraId="3D95A794" w14:textId="453042E3" w:rsidR="00546470" w:rsidRPr="00546470" w:rsidRDefault="00546470" w:rsidP="00A062E6">
      <w:pPr>
        <w:pStyle w:val="Heading3"/>
        <w:numPr>
          <w:ilvl w:val="0"/>
          <w:numId w:val="0"/>
        </w:numPr>
        <w:ind w:left="720" w:hanging="720"/>
        <w:rPr>
          <w:lang w:val="fr-CA"/>
        </w:rPr>
      </w:pPr>
      <w:bookmarkStart w:id="25" w:name="_Toc127851679"/>
      <w:r>
        <w:rPr>
          <w:lang w:val="fr-CA"/>
        </w:rPr>
        <w:t>Observations générales</w:t>
      </w:r>
      <w:bookmarkEnd w:id="25"/>
    </w:p>
    <w:p w14:paraId="1AA439EE" w14:textId="13C40C0B" w:rsidR="005D590C" w:rsidRDefault="00000000" w:rsidP="00A062E6">
      <w:pPr>
        <w:pStyle w:val="ListParagraph"/>
        <w:numPr>
          <w:ilvl w:val="0"/>
          <w:numId w:val="3"/>
        </w:numPr>
        <w:spacing w:after="200"/>
        <w:rPr>
          <w:szCs w:val="24"/>
          <w:lang w:val="fr-CA"/>
        </w:rPr>
      </w:pPr>
      <w:r w:rsidRPr="00D907F2">
        <w:rPr>
          <w:szCs w:val="24"/>
          <w:lang w:val="fr-CA"/>
        </w:rPr>
        <w:t>Depuis la dernière révision de la Tunisie par le Comité, très peu de progrès ont été accomplis dans le domaine de l’éducation des enfants handicapés. Ainsi il est important de noter qu’aucune modification ou abrogation n'a été apportée aux textes de loi régissant l'éducation des enfants handicapés.</w:t>
      </w:r>
    </w:p>
    <w:p w14:paraId="294F0E71" w14:textId="5D4D9104" w:rsidR="005D590C" w:rsidRDefault="00000000" w:rsidP="00A062E6">
      <w:pPr>
        <w:pStyle w:val="ListParagraph"/>
        <w:numPr>
          <w:ilvl w:val="0"/>
          <w:numId w:val="3"/>
        </w:numPr>
        <w:spacing w:after="200"/>
        <w:rPr>
          <w:szCs w:val="24"/>
          <w:lang w:val="fr-CA"/>
        </w:rPr>
      </w:pPr>
      <w:r w:rsidRPr="00D907F2">
        <w:rPr>
          <w:szCs w:val="24"/>
          <w:lang w:val="fr-CA"/>
        </w:rPr>
        <w:t>Pour rappel, l’approche législative considère que c’est à l’enfant de s'adapter à l'environnement éducatif et non le contraire. En effet, l’article 4 de la Loi d'orientation n° 2002-80 du 23 juillet 2002, relative à l'éducation et à l'enseignement scolaire ainsi que l’article 23 de la loi d’orientation 2005-83 relative à la promotion des personnes handicapées conforte cette approche en reconnaissant que certains enfants ne sont pas capables d’étudier dans les structures “ordinaires”.</w:t>
      </w:r>
    </w:p>
    <w:p w14:paraId="58E9DA9E" w14:textId="7B420FE9" w:rsidR="005D590C" w:rsidRDefault="00000000" w:rsidP="00A062E6">
      <w:pPr>
        <w:pStyle w:val="ListParagraph"/>
        <w:numPr>
          <w:ilvl w:val="0"/>
          <w:numId w:val="3"/>
        </w:numPr>
        <w:spacing w:after="200"/>
        <w:rPr>
          <w:szCs w:val="24"/>
          <w:lang w:val="fr-CA"/>
        </w:rPr>
      </w:pPr>
      <w:r w:rsidRPr="00D907F2">
        <w:rPr>
          <w:szCs w:val="24"/>
          <w:lang w:val="fr-CA"/>
        </w:rPr>
        <w:t>En pratique, une commission locale, nommée la commission locale du handicap est chargée d’évaluer les capacités de l’enfant et lui permettre ou pas d'être inclus dans l'école ordinaire, sans aucune évaluation de l'environnement ou mesure pour fournir des aménagements raisonnables.</w:t>
      </w:r>
    </w:p>
    <w:p w14:paraId="02DCC9E3" w14:textId="6B39AD21" w:rsidR="00A062E6" w:rsidRDefault="00000000" w:rsidP="00A062E6">
      <w:pPr>
        <w:pStyle w:val="ListParagraph"/>
        <w:numPr>
          <w:ilvl w:val="0"/>
          <w:numId w:val="3"/>
        </w:numPr>
        <w:spacing w:after="200"/>
        <w:rPr>
          <w:szCs w:val="24"/>
          <w:lang w:val="fr-CA"/>
        </w:rPr>
        <w:sectPr w:rsidR="00A062E6" w:rsidSect="002604C7">
          <w:headerReference w:type="even" r:id="rId10"/>
          <w:headerReference w:type="default" r:id="rId11"/>
          <w:footerReference w:type="even" r:id="rId12"/>
          <w:footerReference w:type="default" r:id="rId13"/>
          <w:headerReference w:type="first" r:id="rId14"/>
          <w:footerReference w:type="first" r:id="rId15"/>
          <w:pgSz w:w="11909" w:h="16834"/>
          <w:pgMar w:top="1440" w:right="1399" w:bottom="1440" w:left="1440" w:header="720" w:footer="720" w:gutter="0"/>
          <w:pgNumType w:start="1"/>
          <w:cols w:space="720"/>
          <w:titlePg/>
        </w:sectPr>
      </w:pPr>
      <w:r w:rsidRPr="00D907F2">
        <w:rPr>
          <w:szCs w:val="24"/>
          <w:lang w:val="fr-CA"/>
        </w:rPr>
        <w:t xml:space="preserve">En raison de cette approche, le nombre d’enfants handicapés dans les centres spécialisés est bien supérieur au nombre d’enfants dans les écoles ordinaires. </w:t>
      </w:r>
      <w:r w:rsidR="00A062E6">
        <w:rPr>
          <w:szCs w:val="24"/>
          <w:lang w:val="fr-CA"/>
        </w:rPr>
        <w:t xml:space="preserve">Dans le </w:t>
      </w:r>
      <w:r w:rsidR="00A062E6">
        <w:rPr>
          <w:szCs w:val="24"/>
          <w:lang w:val="fr-CA"/>
        </w:rPr>
        <w:fldChar w:fldCharType="begin"/>
      </w:r>
      <w:r w:rsidR="00A062E6">
        <w:rPr>
          <w:szCs w:val="24"/>
          <w:lang w:val="fr-CA"/>
        </w:rPr>
        <w:instrText xml:space="preserve"> REF _Ref127958979 \h  \* MERGEFORMAT </w:instrText>
      </w:r>
      <w:r w:rsidR="00A062E6">
        <w:rPr>
          <w:szCs w:val="24"/>
          <w:lang w:val="fr-CA"/>
        </w:rPr>
      </w:r>
      <w:r w:rsidR="00A062E6">
        <w:rPr>
          <w:szCs w:val="24"/>
          <w:lang w:val="fr-CA"/>
        </w:rPr>
        <w:fldChar w:fldCharType="separate"/>
      </w:r>
      <w:r w:rsidR="00A062E6" w:rsidRPr="00A062E6">
        <w:rPr>
          <w:lang w:val="fr-CA"/>
        </w:rPr>
        <w:t xml:space="preserve">Tableau </w:t>
      </w:r>
      <w:r w:rsidR="00A062E6" w:rsidRPr="00A062E6">
        <w:rPr>
          <w:noProof/>
          <w:lang w:val="fr-CA"/>
        </w:rPr>
        <w:t>1</w:t>
      </w:r>
      <w:r w:rsidR="00A062E6">
        <w:rPr>
          <w:szCs w:val="24"/>
          <w:lang w:val="fr-CA"/>
        </w:rPr>
        <w:fldChar w:fldCharType="end"/>
      </w:r>
      <w:r w:rsidR="00A062E6">
        <w:rPr>
          <w:szCs w:val="24"/>
          <w:lang w:val="fr-CA"/>
        </w:rPr>
        <w:t>, vous trouvez quelques chiffres indiquant le taux des enfants handicapées fréquentant l'école primaire par rapport aux enfants non handicapées</w:t>
      </w:r>
    </w:p>
    <w:p w14:paraId="73E815E4" w14:textId="2293128A" w:rsidR="00A062E6" w:rsidRPr="00A062E6" w:rsidRDefault="00A062E6" w:rsidP="00A062E6">
      <w:pPr>
        <w:pStyle w:val="Caption"/>
        <w:keepNext/>
        <w:spacing w:line="360" w:lineRule="auto"/>
        <w:rPr>
          <w:lang w:val="fr-CA"/>
        </w:rPr>
      </w:pPr>
      <w:bookmarkStart w:id="26" w:name="_Ref127958979"/>
      <w:bookmarkStart w:id="27" w:name="_Ref127958976"/>
      <w:r w:rsidRPr="00A062E6">
        <w:rPr>
          <w:lang w:val="fr-CA"/>
        </w:rPr>
        <w:lastRenderedPageBreak/>
        <w:t xml:space="preserve">Tableau </w:t>
      </w:r>
      <w:r>
        <w:fldChar w:fldCharType="begin"/>
      </w:r>
      <w:r w:rsidRPr="00A062E6">
        <w:rPr>
          <w:lang w:val="fr-CA"/>
        </w:rPr>
        <w:instrText xml:space="preserve"> SEQ Tableau \* ARABIC </w:instrText>
      </w:r>
      <w:r>
        <w:fldChar w:fldCharType="separate"/>
      </w:r>
      <w:r w:rsidRPr="00A062E6">
        <w:rPr>
          <w:noProof/>
          <w:lang w:val="fr-CA"/>
        </w:rPr>
        <w:t>1</w:t>
      </w:r>
      <w:r>
        <w:fldChar w:fldCharType="end"/>
      </w:r>
      <w:bookmarkEnd w:id="26"/>
      <w:r>
        <w:rPr>
          <w:lang w:val="fr-CA"/>
        </w:rPr>
        <w:t>. Répartition des enfants scolarisés en Tunisie en 2016</w:t>
      </w:r>
      <w:bookmarkEnd w:id="27"/>
    </w:p>
    <w:tbl>
      <w:tblPr>
        <w:tblStyle w:val="GridTable1Light"/>
        <w:tblW w:w="9102" w:type="dxa"/>
        <w:tblLayout w:type="fixed"/>
        <w:tblLook w:val="06A0" w:firstRow="1" w:lastRow="0" w:firstColumn="1" w:lastColumn="0" w:noHBand="1" w:noVBand="1"/>
      </w:tblPr>
      <w:tblGrid>
        <w:gridCol w:w="5240"/>
        <w:gridCol w:w="3862"/>
      </w:tblGrid>
      <w:tr w:rsidR="005D590C" w14:paraId="04A10ED0" w14:textId="77777777" w:rsidTr="00A062E6">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240" w:type="dxa"/>
          </w:tcPr>
          <w:p w14:paraId="01714E20" w14:textId="1EEEC4DB" w:rsidR="005D590C" w:rsidRPr="00D907F2" w:rsidRDefault="00000000" w:rsidP="00A062E6">
            <w:pPr>
              <w:jc w:val="center"/>
              <w:rPr>
                <w:b w:val="0"/>
                <w:bCs w:val="0"/>
                <w:szCs w:val="24"/>
              </w:rPr>
            </w:pPr>
            <w:proofErr w:type="spellStart"/>
            <w:r w:rsidRPr="00D907F2">
              <w:rPr>
                <w:b w:val="0"/>
                <w:bCs w:val="0"/>
                <w:szCs w:val="24"/>
              </w:rPr>
              <w:t>Indicateurs</w:t>
            </w:r>
            <w:proofErr w:type="spellEnd"/>
          </w:p>
        </w:tc>
        <w:tc>
          <w:tcPr>
            <w:tcW w:w="3862" w:type="dxa"/>
          </w:tcPr>
          <w:p w14:paraId="72CEDA7E" w14:textId="77777777" w:rsidR="005D590C" w:rsidRPr="00D907F2" w:rsidRDefault="00000000" w:rsidP="00A062E6">
            <w:pPr>
              <w:jc w:val="center"/>
              <w:cnfStyle w:val="100000000000" w:firstRow="1" w:lastRow="0" w:firstColumn="0" w:lastColumn="0" w:oddVBand="0" w:evenVBand="0" w:oddHBand="0" w:evenHBand="0" w:firstRowFirstColumn="0" w:firstRowLastColumn="0" w:lastRowFirstColumn="0" w:lastRowLastColumn="0"/>
              <w:rPr>
                <w:b w:val="0"/>
                <w:bCs w:val="0"/>
                <w:szCs w:val="24"/>
              </w:rPr>
            </w:pPr>
            <w:proofErr w:type="spellStart"/>
            <w:r w:rsidRPr="00D907F2">
              <w:rPr>
                <w:b w:val="0"/>
                <w:bCs w:val="0"/>
                <w:szCs w:val="24"/>
              </w:rPr>
              <w:t>Nombres</w:t>
            </w:r>
            <w:proofErr w:type="spellEnd"/>
          </w:p>
        </w:tc>
      </w:tr>
      <w:tr w:rsidR="005D590C" w14:paraId="55AD66A3" w14:textId="77777777" w:rsidTr="00A062E6">
        <w:trPr>
          <w:trHeight w:val="755"/>
        </w:trPr>
        <w:tc>
          <w:tcPr>
            <w:cnfStyle w:val="001000000000" w:firstRow="0" w:lastRow="0" w:firstColumn="1" w:lastColumn="0" w:oddVBand="0" w:evenVBand="0" w:oddHBand="0" w:evenHBand="0" w:firstRowFirstColumn="0" w:firstRowLastColumn="0" w:lastRowFirstColumn="0" w:lastRowLastColumn="0"/>
            <w:tcW w:w="5240" w:type="dxa"/>
          </w:tcPr>
          <w:p w14:paraId="31C1E3F5" w14:textId="77777777" w:rsidR="005D590C" w:rsidRPr="00A062E6" w:rsidRDefault="00000000" w:rsidP="00A062E6">
            <w:pPr>
              <w:ind w:firstLine="0"/>
              <w:rPr>
                <w:sz w:val="20"/>
                <w:szCs w:val="20"/>
                <w:lang w:val="fr-CA"/>
              </w:rPr>
            </w:pPr>
            <w:r w:rsidRPr="00A062E6">
              <w:rPr>
                <w:sz w:val="20"/>
                <w:szCs w:val="20"/>
                <w:lang w:val="fr-CA"/>
              </w:rPr>
              <w:t xml:space="preserve">Nombre d’enfants fréquentant l’école primaire </w:t>
            </w:r>
          </w:p>
        </w:tc>
        <w:tc>
          <w:tcPr>
            <w:tcW w:w="3862" w:type="dxa"/>
          </w:tcPr>
          <w:p w14:paraId="7652EFCA" w14:textId="77777777" w:rsidR="005D590C" w:rsidRPr="00A062E6" w:rsidRDefault="00000000" w:rsidP="00A062E6">
            <w:pPr>
              <w:ind w:left="8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A062E6">
              <w:rPr>
                <w:rFonts w:ascii="Times New Roman" w:eastAsia="Times New Roman" w:hAnsi="Times New Roman" w:cs="Times New Roman"/>
                <w:sz w:val="20"/>
                <w:szCs w:val="20"/>
              </w:rPr>
              <w:t>1 167,603</w:t>
            </w:r>
          </w:p>
          <w:p w14:paraId="66C604A7" w14:textId="77777777" w:rsidR="005D590C" w:rsidRPr="00A062E6" w:rsidRDefault="00000000" w:rsidP="00A062E6">
            <w:pPr>
              <w:ind w:left="840"/>
              <w:cnfStyle w:val="000000000000" w:firstRow="0" w:lastRow="0" w:firstColumn="0" w:lastColumn="0" w:oddVBand="0" w:evenVBand="0" w:oddHBand="0" w:evenHBand="0" w:firstRowFirstColumn="0" w:firstRowLastColumn="0" w:lastRowFirstColumn="0" w:lastRowLastColumn="0"/>
              <w:rPr>
                <w:sz w:val="20"/>
                <w:szCs w:val="20"/>
              </w:rPr>
            </w:pPr>
            <w:r w:rsidRPr="00A062E6">
              <w:rPr>
                <w:sz w:val="20"/>
                <w:szCs w:val="20"/>
              </w:rPr>
              <w:t xml:space="preserve"> </w:t>
            </w:r>
          </w:p>
        </w:tc>
      </w:tr>
      <w:tr w:rsidR="005D590C" w14:paraId="15251200" w14:textId="77777777" w:rsidTr="00A062E6">
        <w:trPr>
          <w:trHeight w:val="641"/>
        </w:trPr>
        <w:tc>
          <w:tcPr>
            <w:cnfStyle w:val="001000000000" w:firstRow="0" w:lastRow="0" w:firstColumn="1" w:lastColumn="0" w:oddVBand="0" w:evenVBand="0" w:oddHBand="0" w:evenHBand="0" w:firstRowFirstColumn="0" w:firstRowLastColumn="0" w:lastRowFirstColumn="0" w:lastRowLastColumn="0"/>
            <w:tcW w:w="5240" w:type="dxa"/>
          </w:tcPr>
          <w:p w14:paraId="78477199" w14:textId="77777777" w:rsidR="005D590C" w:rsidRPr="00A062E6" w:rsidRDefault="00000000" w:rsidP="00A062E6">
            <w:pPr>
              <w:ind w:firstLine="0"/>
              <w:rPr>
                <w:sz w:val="20"/>
                <w:szCs w:val="20"/>
                <w:lang w:val="fr-CA"/>
              </w:rPr>
            </w:pPr>
            <w:r w:rsidRPr="00A062E6">
              <w:rPr>
                <w:sz w:val="20"/>
                <w:szCs w:val="20"/>
                <w:lang w:val="fr-CA"/>
              </w:rPr>
              <w:t xml:space="preserve">Nombre d’enfants handicapés fréquentant les écoles ordinaires </w:t>
            </w:r>
          </w:p>
        </w:tc>
        <w:tc>
          <w:tcPr>
            <w:tcW w:w="3862" w:type="dxa"/>
          </w:tcPr>
          <w:p w14:paraId="67DDFA7C" w14:textId="77777777" w:rsidR="005D590C" w:rsidRPr="00A062E6" w:rsidRDefault="00000000" w:rsidP="00A062E6">
            <w:pPr>
              <w:ind w:left="8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A062E6">
              <w:rPr>
                <w:rFonts w:ascii="Times New Roman" w:eastAsia="Times New Roman" w:hAnsi="Times New Roman" w:cs="Times New Roman"/>
                <w:sz w:val="20"/>
                <w:szCs w:val="20"/>
              </w:rPr>
              <w:t>4000</w:t>
            </w:r>
          </w:p>
          <w:p w14:paraId="49DF4349" w14:textId="77777777" w:rsidR="005D590C" w:rsidRPr="00A062E6" w:rsidRDefault="00000000" w:rsidP="00A062E6">
            <w:pPr>
              <w:ind w:left="840"/>
              <w:cnfStyle w:val="000000000000" w:firstRow="0" w:lastRow="0" w:firstColumn="0" w:lastColumn="0" w:oddVBand="0" w:evenVBand="0" w:oddHBand="0" w:evenHBand="0" w:firstRowFirstColumn="0" w:firstRowLastColumn="0" w:lastRowFirstColumn="0" w:lastRowLastColumn="0"/>
              <w:rPr>
                <w:sz w:val="20"/>
                <w:szCs w:val="20"/>
              </w:rPr>
            </w:pPr>
            <w:r w:rsidRPr="00A062E6">
              <w:rPr>
                <w:sz w:val="20"/>
                <w:szCs w:val="20"/>
              </w:rPr>
              <w:t xml:space="preserve"> </w:t>
            </w:r>
          </w:p>
        </w:tc>
      </w:tr>
      <w:tr w:rsidR="005D590C" w14:paraId="6CAE88D4" w14:textId="77777777" w:rsidTr="00A062E6">
        <w:tc>
          <w:tcPr>
            <w:cnfStyle w:val="001000000000" w:firstRow="0" w:lastRow="0" w:firstColumn="1" w:lastColumn="0" w:oddVBand="0" w:evenVBand="0" w:oddHBand="0" w:evenHBand="0" w:firstRowFirstColumn="0" w:firstRowLastColumn="0" w:lastRowFirstColumn="0" w:lastRowLastColumn="0"/>
            <w:tcW w:w="5240" w:type="dxa"/>
          </w:tcPr>
          <w:p w14:paraId="4A30529B" w14:textId="77777777" w:rsidR="005D590C" w:rsidRPr="00A062E6" w:rsidRDefault="00000000" w:rsidP="00A062E6">
            <w:pPr>
              <w:ind w:left="840"/>
              <w:rPr>
                <w:sz w:val="20"/>
                <w:szCs w:val="20"/>
              </w:rPr>
            </w:pPr>
            <w:r w:rsidRPr="00A062E6">
              <w:rPr>
                <w:sz w:val="20"/>
                <w:szCs w:val="20"/>
              </w:rPr>
              <w:t>(%)</w:t>
            </w:r>
          </w:p>
        </w:tc>
        <w:tc>
          <w:tcPr>
            <w:tcW w:w="3862" w:type="dxa"/>
          </w:tcPr>
          <w:p w14:paraId="3ADDDE86" w14:textId="77777777" w:rsidR="005D590C" w:rsidRPr="00A062E6" w:rsidRDefault="00000000" w:rsidP="00A062E6">
            <w:pPr>
              <w:ind w:left="840"/>
              <w:cnfStyle w:val="000000000000" w:firstRow="0" w:lastRow="0" w:firstColumn="0" w:lastColumn="0" w:oddVBand="0" w:evenVBand="0" w:oddHBand="0" w:evenHBand="0" w:firstRowFirstColumn="0" w:firstRowLastColumn="0" w:lastRowFirstColumn="0" w:lastRowLastColumn="0"/>
              <w:rPr>
                <w:sz w:val="20"/>
                <w:szCs w:val="20"/>
              </w:rPr>
            </w:pPr>
            <w:r w:rsidRPr="00A062E6">
              <w:rPr>
                <w:sz w:val="20"/>
                <w:szCs w:val="20"/>
              </w:rPr>
              <w:t>0,03%</w:t>
            </w:r>
          </w:p>
        </w:tc>
      </w:tr>
    </w:tbl>
    <w:p w14:paraId="7EC41829" w14:textId="77777777" w:rsidR="005D590C" w:rsidRDefault="00000000" w:rsidP="00A062E6">
      <w:pPr>
        <w:ind w:left="360"/>
        <w:rPr>
          <w:szCs w:val="24"/>
        </w:rPr>
      </w:pPr>
      <w:r>
        <w:rPr>
          <w:szCs w:val="24"/>
        </w:rPr>
        <w:t xml:space="preserve"> </w:t>
      </w:r>
    </w:p>
    <w:p w14:paraId="3649885F" w14:textId="4CCCFF60" w:rsidR="005D590C" w:rsidRPr="00D907F2" w:rsidRDefault="00000000" w:rsidP="00A062E6">
      <w:pPr>
        <w:pStyle w:val="ListParagraph"/>
        <w:numPr>
          <w:ilvl w:val="0"/>
          <w:numId w:val="3"/>
        </w:numPr>
        <w:rPr>
          <w:szCs w:val="24"/>
          <w:lang w:val="fr-CA"/>
        </w:rPr>
      </w:pPr>
      <w:r w:rsidRPr="00D907F2">
        <w:rPr>
          <w:szCs w:val="24"/>
          <w:lang w:val="fr-CA"/>
        </w:rPr>
        <w:t xml:space="preserve">Bien qu’il n’y ait pas de données sur le nombre d’enfants dans les centres spéciaux pour l’année 2019, il est possible </w:t>
      </w:r>
      <w:r w:rsidR="00D907F2" w:rsidRPr="00D907F2">
        <w:rPr>
          <w:szCs w:val="24"/>
          <w:lang w:val="fr-CA"/>
        </w:rPr>
        <w:t>d'effectuer</w:t>
      </w:r>
      <w:r w:rsidRPr="00D907F2">
        <w:rPr>
          <w:szCs w:val="24"/>
          <w:lang w:val="fr-CA"/>
        </w:rPr>
        <w:t xml:space="preserve"> un exercice comparatif basé sur les dernières données disponibles qui concernent les années 2016-17. En effet, selon le deuxième rapport national au Comité des droits des personnes handicapées: le nombre d’étudiants dans les centres spéciaux est de 16496 répartis dans 310 institutions</w:t>
      </w:r>
      <w:r w:rsidR="00D907F2">
        <w:rPr>
          <w:rStyle w:val="FootnoteReference"/>
          <w:szCs w:val="24"/>
          <w:lang w:val="fr-CA"/>
        </w:rPr>
        <w:footnoteReference w:id="16"/>
      </w:r>
      <w:r w:rsidRPr="00D907F2">
        <w:rPr>
          <w:szCs w:val="24"/>
          <w:lang w:val="fr-CA"/>
        </w:rPr>
        <w:t>. Il est important de noter que ces institutions sont pour la plupart financées par le ministère des Affaires sociales dans le cadre du régime de protection sociale. En 2019, le budget alloué à ces institutions a atteint 14.000,000DT. Cet investissement représente le budget le plus important de tous les programmes de protection sociale dédiés aux personnes handicapées. Alors que le budget alloué aux personnes handicapées dans le système ordinaire (budget du ministère de l’éducation) se limite à 300.000 DT`</w:t>
      </w:r>
      <w:r w:rsidR="00D907F2">
        <w:rPr>
          <w:rStyle w:val="FootnoteReference"/>
          <w:szCs w:val="24"/>
          <w:lang w:val="fr-CA"/>
        </w:rPr>
        <w:footnoteReference w:id="17"/>
      </w:r>
      <w:r w:rsidR="00D907F2">
        <w:rPr>
          <w:szCs w:val="24"/>
          <w:lang w:val="fr-CA"/>
        </w:rPr>
        <w:t xml:space="preserve"> </w:t>
      </w:r>
      <w:r w:rsidR="00D907F2">
        <w:rPr>
          <w:rStyle w:val="FootnoteReference"/>
          <w:szCs w:val="24"/>
          <w:lang w:val="fr-CA"/>
        </w:rPr>
        <w:footnoteReference w:id="18"/>
      </w:r>
      <w:r w:rsidRPr="00D907F2">
        <w:rPr>
          <w:szCs w:val="24"/>
          <w:lang w:val="fr-CA"/>
        </w:rPr>
        <w:t>.</w:t>
      </w:r>
    </w:p>
    <w:p w14:paraId="56933FD2" w14:textId="1F78109C" w:rsidR="005D590C" w:rsidRPr="00D907F2" w:rsidRDefault="00000000" w:rsidP="00A062E6">
      <w:pPr>
        <w:pStyle w:val="Heading3"/>
        <w:numPr>
          <w:ilvl w:val="0"/>
          <w:numId w:val="0"/>
        </w:numPr>
        <w:ind w:left="720" w:hanging="720"/>
        <w:rPr>
          <w:lang w:val="fr-CA"/>
        </w:rPr>
      </w:pPr>
      <w:bookmarkStart w:id="28" w:name="_Toc127851680"/>
      <w:r w:rsidRPr="009A1451">
        <w:rPr>
          <w:lang w:val="fr-CA"/>
        </w:rPr>
        <w:t>Recommandations</w:t>
      </w:r>
      <w:bookmarkEnd w:id="28"/>
    </w:p>
    <w:p w14:paraId="6A043846" w14:textId="35475BD8" w:rsidR="005D590C" w:rsidRDefault="00D907F2" w:rsidP="00A062E6">
      <w:pPr>
        <w:pStyle w:val="ListParagraph"/>
        <w:numPr>
          <w:ilvl w:val="0"/>
          <w:numId w:val="10"/>
        </w:numPr>
        <w:rPr>
          <w:szCs w:val="24"/>
          <w:lang w:val="fr-CA"/>
        </w:rPr>
      </w:pPr>
      <w:r w:rsidRPr="00D907F2">
        <w:rPr>
          <w:szCs w:val="24"/>
          <w:lang w:val="fr-CA"/>
        </w:rPr>
        <w:t>Modifier l’article 4 de la loi d’orientation n° 2002-80 du 23 juillet 2002, relative à l'éducation et à l'enseignement scolaire ainsi que l’article 23 de la loi d’orientation 2005-83 relative à la promotion des personnes handicapées afin de reconnaître que les obstacles à l'inclusion se situent dans l’environnement et non dans la condition de santé de l’enfant handicapé.</w:t>
      </w:r>
    </w:p>
    <w:p w14:paraId="0E880032" w14:textId="0D9B3D32" w:rsidR="005D590C" w:rsidRDefault="00000000" w:rsidP="00A062E6">
      <w:pPr>
        <w:pStyle w:val="ListParagraph"/>
        <w:numPr>
          <w:ilvl w:val="0"/>
          <w:numId w:val="10"/>
        </w:numPr>
        <w:rPr>
          <w:szCs w:val="24"/>
          <w:lang w:val="fr-CA"/>
        </w:rPr>
      </w:pPr>
      <w:r w:rsidRPr="00D907F2">
        <w:rPr>
          <w:szCs w:val="24"/>
          <w:lang w:val="fr-CA"/>
        </w:rPr>
        <w:t>Reconnaître l’obligation d'aménagement raisonnable dans le milieu éducatif et mettre en place des procédures pour la demande et l’octroi du service.</w:t>
      </w:r>
    </w:p>
    <w:p w14:paraId="42274B23" w14:textId="3B463731" w:rsidR="005D590C" w:rsidRDefault="00000000" w:rsidP="00A062E6">
      <w:pPr>
        <w:pStyle w:val="ListParagraph"/>
        <w:numPr>
          <w:ilvl w:val="0"/>
          <w:numId w:val="10"/>
        </w:numPr>
        <w:rPr>
          <w:szCs w:val="24"/>
          <w:lang w:val="fr-CA"/>
        </w:rPr>
      </w:pPr>
      <w:r w:rsidRPr="00D907F2">
        <w:rPr>
          <w:szCs w:val="24"/>
          <w:lang w:val="fr-CA"/>
        </w:rPr>
        <w:t xml:space="preserve">Modifier le rôle de la commission locale du handicap afin qu’elle soit responsable de l’identification et la mise en place de l’assistance personnalisée nécessaire pour l’inclusion </w:t>
      </w:r>
      <w:r w:rsidR="00D907F2" w:rsidRPr="00D907F2">
        <w:rPr>
          <w:szCs w:val="24"/>
          <w:lang w:val="fr-CA"/>
        </w:rPr>
        <w:t>des enfants</w:t>
      </w:r>
      <w:r w:rsidRPr="00D907F2">
        <w:rPr>
          <w:szCs w:val="24"/>
          <w:lang w:val="fr-CA"/>
        </w:rPr>
        <w:t xml:space="preserve"> handicapé</w:t>
      </w:r>
      <w:r w:rsidR="00D907F2">
        <w:rPr>
          <w:szCs w:val="24"/>
          <w:lang w:val="fr-CA"/>
        </w:rPr>
        <w:t>s</w:t>
      </w:r>
      <w:r w:rsidRPr="00D907F2">
        <w:rPr>
          <w:szCs w:val="24"/>
          <w:lang w:val="fr-CA"/>
        </w:rPr>
        <w:t xml:space="preserve"> en plus de leurs évaluations</w:t>
      </w:r>
    </w:p>
    <w:p w14:paraId="08F38EF6" w14:textId="58F952B5" w:rsidR="005D590C" w:rsidRDefault="00000000" w:rsidP="00A062E6">
      <w:pPr>
        <w:pStyle w:val="ListParagraph"/>
        <w:numPr>
          <w:ilvl w:val="0"/>
          <w:numId w:val="10"/>
        </w:numPr>
        <w:rPr>
          <w:szCs w:val="24"/>
          <w:lang w:val="fr-CA"/>
        </w:rPr>
      </w:pPr>
      <w:r w:rsidRPr="00D907F2">
        <w:rPr>
          <w:szCs w:val="24"/>
          <w:lang w:val="fr-CA"/>
        </w:rPr>
        <w:lastRenderedPageBreak/>
        <w:t xml:space="preserve">Augmenter le budget alloué par le </w:t>
      </w:r>
      <w:proofErr w:type="gramStart"/>
      <w:r w:rsidRPr="00D907F2">
        <w:rPr>
          <w:szCs w:val="24"/>
          <w:lang w:val="fr-CA"/>
        </w:rPr>
        <w:t>Ministère de l’éducation</w:t>
      </w:r>
      <w:proofErr w:type="gramEnd"/>
      <w:r w:rsidRPr="00D907F2">
        <w:rPr>
          <w:szCs w:val="24"/>
          <w:lang w:val="fr-CA"/>
        </w:rPr>
        <w:t xml:space="preserve"> à l’inclusion des enfants handicapés dans les structures ordinaires ou le cas échéant transférer le budget alloué aux centres spécialisés pour les écoles ordinaires.</w:t>
      </w:r>
    </w:p>
    <w:p w14:paraId="77685583" w14:textId="43F73179" w:rsidR="005D590C" w:rsidRPr="00A062E6" w:rsidRDefault="00000000" w:rsidP="00A062E6">
      <w:pPr>
        <w:pStyle w:val="ListParagraph"/>
        <w:numPr>
          <w:ilvl w:val="0"/>
          <w:numId w:val="10"/>
        </w:numPr>
        <w:rPr>
          <w:szCs w:val="24"/>
          <w:lang w:val="fr-CA"/>
        </w:rPr>
      </w:pPr>
      <w:r w:rsidRPr="00D907F2">
        <w:rPr>
          <w:szCs w:val="24"/>
          <w:lang w:val="fr-CA"/>
        </w:rPr>
        <w:t xml:space="preserve">Modifier le cahier de charge des centres spécialisés afin qu’ils deviennent des centres ressource permettant l’inclusion au lieu d'être </w:t>
      </w:r>
      <w:r w:rsidR="00D907F2" w:rsidRPr="00D907F2">
        <w:rPr>
          <w:szCs w:val="24"/>
          <w:lang w:val="fr-CA"/>
        </w:rPr>
        <w:t>des centres</w:t>
      </w:r>
      <w:r w:rsidRPr="00D907F2">
        <w:rPr>
          <w:szCs w:val="24"/>
          <w:lang w:val="fr-CA"/>
        </w:rPr>
        <w:t xml:space="preserve"> de ségrégation.</w:t>
      </w:r>
    </w:p>
    <w:p w14:paraId="7DF9B5B3" w14:textId="6BE775C7" w:rsidR="005D590C" w:rsidRDefault="00D907F2" w:rsidP="00A062E6">
      <w:pPr>
        <w:pStyle w:val="Heading2"/>
        <w:numPr>
          <w:ilvl w:val="0"/>
          <w:numId w:val="0"/>
        </w:numPr>
        <w:ind w:left="578" w:hanging="578"/>
        <w:rPr>
          <w:lang w:val="fr-CA"/>
        </w:rPr>
      </w:pPr>
      <w:bookmarkStart w:id="29" w:name="_Toc127851681"/>
      <w:r>
        <w:rPr>
          <w:lang w:val="fr-CA"/>
        </w:rPr>
        <w:t>Article 25</w:t>
      </w:r>
      <w:r w:rsidRPr="009A1451">
        <w:rPr>
          <w:sz w:val="24"/>
          <w:lang w:val="fr-CA"/>
        </w:rPr>
        <w:t xml:space="preserve"> : </w:t>
      </w:r>
      <w:r>
        <w:rPr>
          <w:lang w:val="fr-CA"/>
        </w:rPr>
        <w:t>Santé</w:t>
      </w:r>
      <w:bookmarkEnd w:id="29"/>
    </w:p>
    <w:p w14:paraId="299E3AB2" w14:textId="65590E10" w:rsidR="00994D47" w:rsidRPr="00994D47" w:rsidRDefault="00994D47" w:rsidP="00A062E6">
      <w:pPr>
        <w:pStyle w:val="Heading3"/>
        <w:numPr>
          <w:ilvl w:val="0"/>
          <w:numId w:val="0"/>
        </w:numPr>
        <w:ind w:left="720" w:hanging="720"/>
        <w:rPr>
          <w:lang w:val="fr-CA"/>
        </w:rPr>
      </w:pPr>
      <w:bookmarkStart w:id="30" w:name="_Toc127851682"/>
      <w:r>
        <w:rPr>
          <w:lang w:val="fr-CA"/>
        </w:rPr>
        <w:t>Observations générales</w:t>
      </w:r>
      <w:bookmarkEnd w:id="30"/>
    </w:p>
    <w:p w14:paraId="2D03160C" w14:textId="5D0DE0E1" w:rsidR="005D590C" w:rsidRPr="00D907F2" w:rsidRDefault="00000000" w:rsidP="00A062E6">
      <w:pPr>
        <w:pStyle w:val="ListParagraph"/>
        <w:numPr>
          <w:ilvl w:val="0"/>
          <w:numId w:val="3"/>
        </w:numPr>
        <w:spacing w:before="240" w:after="240"/>
        <w:rPr>
          <w:szCs w:val="24"/>
          <w:lang w:val="fr-CA"/>
        </w:rPr>
      </w:pPr>
      <w:r w:rsidRPr="00D907F2">
        <w:rPr>
          <w:szCs w:val="24"/>
          <w:lang w:val="fr-CA"/>
        </w:rPr>
        <w:t>L’</w:t>
      </w:r>
      <w:r w:rsidR="00AF2411">
        <w:rPr>
          <w:szCs w:val="24"/>
          <w:lang w:val="fr-CA"/>
        </w:rPr>
        <w:t>État</w:t>
      </w:r>
      <w:r w:rsidRPr="00D907F2">
        <w:rPr>
          <w:szCs w:val="24"/>
          <w:lang w:val="fr-CA"/>
        </w:rPr>
        <w:t xml:space="preserve"> Tunisien investit énormément dans le droit à la santé.  La Tunisie compte 103 hôpitaux de circonscription, 33 hôpitaux régionaux et 24 hôpitaux universitaires. En y ajoutant les 81 cliniques et les 2091 centres de santé de base, cela fait 31 936 lits actifs dont 87% sont dans le secteur public.</w:t>
      </w:r>
      <w:r w:rsidR="00D907F2">
        <w:rPr>
          <w:szCs w:val="24"/>
          <w:lang w:val="fr-CA"/>
        </w:rPr>
        <w:t xml:space="preserve"> </w:t>
      </w:r>
      <w:r w:rsidRPr="00D907F2">
        <w:rPr>
          <w:szCs w:val="24"/>
          <w:lang w:val="fr-CA"/>
        </w:rPr>
        <w:t>Cependant, il est important de noter qu’il existe une grande disparité dans les régions quant à la prise en charge des personnes handicapées.</w:t>
      </w:r>
    </w:p>
    <w:p w14:paraId="25618271" w14:textId="017523F9" w:rsidR="005D590C" w:rsidRDefault="00000000" w:rsidP="00A062E6">
      <w:pPr>
        <w:pStyle w:val="ListParagraph"/>
        <w:numPr>
          <w:ilvl w:val="0"/>
          <w:numId w:val="3"/>
        </w:numPr>
        <w:spacing w:before="240" w:after="240"/>
        <w:rPr>
          <w:szCs w:val="24"/>
          <w:lang w:val="fr-CA"/>
        </w:rPr>
      </w:pPr>
      <w:r w:rsidRPr="00D907F2">
        <w:rPr>
          <w:szCs w:val="24"/>
          <w:lang w:val="fr-CA"/>
        </w:rPr>
        <w:t>En effet, la non-disponibilité des services médicaux de diagnostic notamment des spécialités médicales dans les régions défavorisées : psychiatres, pédopsychiatres, ophtalmologues, ORL et orthopédistes oblige les personnes handicapées à se déplacer vers les grandes villes ou au capital pour bénéficier d’une bonne qualité de soin</w:t>
      </w:r>
      <w:r w:rsidR="00D907F2">
        <w:rPr>
          <w:szCs w:val="24"/>
          <w:lang w:val="fr-CA"/>
        </w:rPr>
        <w:t xml:space="preserve">s. </w:t>
      </w:r>
      <w:r w:rsidRPr="00D907F2">
        <w:rPr>
          <w:szCs w:val="24"/>
          <w:lang w:val="fr-CA"/>
        </w:rPr>
        <w:t xml:space="preserve">Cela accable les personnes </w:t>
      </w:r>
      <w:r w:rsidR="00D907F2">
        <w:rPr>
          <w:szCs w:val="24"/>
          <w:lang w:val="fr-CA"/>
        </w:rPr>
        <w:t>handicapées</w:t>
      </w:r>
      <w:r w:rsidRPr="00D907F2">
        <w:rPr>
          <w:szCs w:val="24"/>
          <w:lang w:val="fr-CA"/>
        </w:rPr>
        <w:t xml:space="preserve"> et augmente le coût de la prise en charge sanitaire (surtout que le transport dans la ville et entre les villes n’est pas accessible ; ce qui pousse les personnes handicapées à trouver d’autres moyens de transport à leur propre frais) et ceci, bien entendu n’étant remboursé par aucunes institutions.</w:t>
      </w:r>
    </w:p>
    <w:p w14:paraId="0FEE98A4" w14:textId="77777777" w:rsidR="00D907F2" w:rsidRDefault="00000000" w:rsidP="00A062E6">
      <w:pPr>
        <w:pStyle w:val="ListParagraph"/>
        <w:numPr>
          <w:ilvl w:val="0"/>
          <w:numId w:val="3"/>
        </w:numPr>
        <w:spacing w:before="240" w:after="240"/>
        <w:rPr>
          <w:szCs w:val="24"/>
          <w:lang w:val="fr-CA"/>
        </w:rPr>
      </w:pPr>
      <w:r w:rsidRPr="00D907F2">
        <w:rPr>
          <w:szCs w:val="24"/>
          <w:lang w:val="fr-CA"/>
        </w:rPr>
        <w:t>Pour ce qui est du coût de la santé, le système tunisien permet aux personnes handicapées de bénéficier soit de la gratuité des soins ou de tarifs réduits.</w:t>
      </w:r>
      <w:r w:rsidR="00D907F2">
        <w:rPr>
          <w:szCs w:val="24"/>
          <w:lang w:val="fr-CA"/>
        </w:rPr>
        <w:t xml:space="preserve"> </w:t>
      </w:r>
      <w:r w:rsidRPr="00D907F2">
        <w:rPr>
          <w:szCs w:val="24"/>
          <w:lang w:val="fr-CA"/>
        </w:rPr>
        <w:t>Toutefois, ces avantages sont conditionnés par l’obtention d’une carte d’handicape d’une part et de l’affiliation au système de caisses sociales (CNSS ou CNRPS). Ces deux conditions constituent une barrière qui limite la jouissance des personnes handicapées à ces avantages.</w:t>
      </w:r>
    </w:p>
    <w:p w14:paraId="09A24253" w14:textId="77777777" w:rsidR="00D907F2" w:rsidRDefault="00000000" w:rsidP="00A062E6">
      <w:pPr>
        <w:pStyle w:val="ListParagraph"/>
        <w:numPr>
          <w:ilvl w:val="0"/>
          <w:numId w:val="3"/>
        </w:numPr>
        <w:spacing w:before="240" w:after="240"/>
        <w:rPr>
          <w:szCs w:val="24"/>
          <w:lang w:val="fr-CA"/>
        </w:rPr>
      </w:pPr>
      <w:r w:rsidRPr="00D907F2">
        <w:rPr>
          <w:szCs w:val="24"/>
          <w:lang w:val="fr-CA"/>
        </w:rPr>
        <w:t>Il convient de noter que pour obtenir une carte de handicap ou une affiliation à une caisse sociale, la personne handicapée se trouve face à un parcours administratif très compliqué et très peu d’informations sont accessibles.</w:t>
      </w:r>
    </w:p>
    <w:p w14:paraId="72C39EB5" w14:textId="55091338" w:rsidR="00D907F2" w:rsidRDefault="00000000" w:rsidP="00A062E6">
      <w:pPr>
        <w:pStyle w:val="ListParagraph"/>
        <w:numPr>
          <w:ilvl w:val="0"/>
          <w:numId w:val="3"/>
        </w:numPr>
        <w:spacing w:before="240" w:after="240"/>
        <w:rPr>
          <w:szCs w:val="24"/>
          <w:lang w:val="fr-CA"/>
        </w:rPr>
      </w:pPr>
      <w:r w:rsidRPr="00D907F2">
        <w:rPr>
          <w:szCs w:val="24"/>
          <w:lang w:val="fr-CA"/>
        </w:rPr>
        <w:t>D’un autre côté, selon nos recherches aucune campagne d’informations n’a été réalisée par l’</w:t>
      </w:r>
      <w:r w:rsidR="00AF2411">
        <w:rPr>
          <w:szCs w:val="24"/>
          <w:lang w:val="fr-CA"/>
        </w:rPr>
        <w:t>État</w:t>
      </w:r>
      <w:r w:rsidRPr="00D907F2">
        <w:rPr>
          <w:szCs w:val="24"/>
          <w:lang w:val="fr-CA"/>
        </w:rPr>
        <w:t xml:space="preserve"> Tunisien pour informer les personnes handicapées de ces mesures, ce qui conduit à exacerber l’ignorance des personnes handicapées de leurs droits.</w:t>
      </w:r>
    </w:p>
    <w:p w14:paraId="77A1721E" w14:textId="77777777" w:rsidR="005930DA" w:rsidRDefault="00000000" w:rsidP="00A062E6">
      <w:pPr>
        <w:pStyle w:val="ListParagraph"/>
        <w:numPr>
          <w:ilvl w:val="0"/>
          <w:numId w:val="3"/>
        </w:numPr>
        <w:spacing w:before="240" w:after="240"/>
        <w:rPr>
          <w:szCs w:val="24"/>
          <w:lang w:val="fr-CA"/>
        </w:rPr>
      </w:pPr>
      <w:r w:rsidRPr="00D907F2">
        <w:rPr>
          <w:szCs w:val="24"/>
          <w:lang w:val="fr-CA"/>
        </w:rPr>
        <w:lastRenderedPageBreak/>
        <w:t>Enfin, les procédures administratives pour bénéficier de ces mesures restent obscures et très aléatoires.</w:t>
      </w:r>
    </w:p>
    <w:p w14:paraId="3A8EEC5E" w14:textId="29281920" w:rsidR="005D590C" w:rsidRPr="005930DA" w:rsidRDefault="00000000" w:rsidP="00A062E6">
      <w:pPr>
        <w:pStyle w:val="ListParagraph"/>
        <w:numPr>
          <w:ilvl w:val="0"/>
          <w:numId w:val="3"/>
        </w:numPr>
        <w:spacing w:before="240" w:after="240"/>
        <w:rPr>
          <w:szCs w:val="24"/>
          <w:lang w:val="fr-CA"/>
        </w:rPr>
      </w:pPr>
      <w:r w:rsidRPr="005930DA">
        <w:rPr>
          <w:szCs w:val="24"/>
          <w:lang w:val="fr-CA"/>
        </w:rPr>
        <w:t>Concernant l’accessibilité, il est important de noter que la législation tunisienne n’est pas conforme à l’article 25 et l’article 12 de la CDPH. En effet, le code de déontologie médicale dans son article 103 autorise le médecin à avoir l'accord du représentant légal de la personne n’ayant pas de capacité juridique au lieu d’avoir le consentement de la personne concernée elle-même.</w:t>
      </w:r>
      <w:r w:rsidR="005930DA">
        <w:rPr>
          <w:szCs w:val="24"/>
          <w:lang w:val="fr-CA"/>
        </w:rPr>
        <w:t xml:space="preserve"> Ceci</w:t>
      </w:r>
      <w:r w:rsidRPr="005930DA">
        <w:rPr>
          <w:szCs w:val="24"/>
          <w:lang w:val="fr-CA"/>
        </w:rPr>
        <w:t xml:space="preserve"> est une violation du principe de la prise de décision basée sur la volonté et les préférences des personnes handicapées.</w:t>
      </w:r>
    </w:p>
    <w:p w14:paraId="180EB61C" w14:textId="4DA47C8D" w:rsidR="005D590C" w:rsidRPr="005930DA" w:rsidRDefault="005930DA" w:rsidP="00A062E6">
      <w:pPr>
        <w:pStyle w:val="Heading3"/>
        <w:numPr>
          <w:ilvl w:val="0"/>
          <w:numId w:val="0"/>
        </w:numPr>
        <w:ind w:left="720" w:hanging="720"/>
        <w:rPr>
          <w:lang w:val="fr-CA"/>
        </w:rPr>
      </w:pPr>
      <w:bookmarkStart w:id="31" w:name="_Toc127851683"/>
      <w:r w:rsidRPr="005930DA">
        <w:rPr>
          <w:lang w:val="fr-CA"/>
        </w:rPr>
        <w:t>Recommandations</w:t>
      </w:r>
      <w:bookmarkEnd w:id="31"/>
    </w:p>
    <w:p w14:paraId="076D0021" w14:textId="1C8C0544" w:rsidR="005D590C" w:rsidRPr="005930DA" w:rsidRDefault="00000000" w:rsidP="00A062E6">
      <w:pPr>
        <w:pStyle w:val="ListParagraph"/>
        <w:numPr>
          <w:ilvl w:val="0"/>
          <w:numId w:val="10"/>
        </w:numPr>
        <w:spacing w:before="240"/>
        <w:rPr>
          <w:lang w:val="fr-CA"/>
        </w:rPr>
      </w:pPr>
      <w:r w:rsidRPr="005930DA">
        <w:rPr>
          <w:szCs w:val="24"/>
          <w:lang w:val="fr-CA"/>
        </w:rPr>
        <w:t>La mise en place de mesures incitatives dirigées vers les médecins et les acteurs de la santé et notamment les investisseurs privés afin qu’ils s’installent dans les régions manquant de couvertures de santé spécialisées.</w:t>
      </w:r>
    </w:p>
    <w:p w14:paraId="01902C97" w14:textId="77777777" w:rsidR="005930DA" w:rsidRDefault="00000000" w:rsidP="00A062E6">
      <w:pPr>
        <w:numPr>
          <w:ilvl w:val="0"/>
          <w:numId w:val="10"/>
        </w:numPr>
        <w:rPr>
          <w:lang w:val="fr-CA"/>
        </w:rPr>
      </w:pPr>
      <w:r w:rsidRPr="009A1451">
        <w:rPr>
          <w:szCs w:val="24"/>
          <w:lang w:val="fr-CA"/>
        </w:rPr>
        <w:t>Modifier le titre de la « carte de handicap » par « carte d’égalité des chances ».</w:t>
      </w:r>
    </w:p>
    <w:p w14:paraId="5E0A8759" w14:textId="129BE440" w:rsidR="005D590C" w:rsidRPr="005930DA" w:rsidRDefault="00000000" w:rsidP="00A062E6">
      <w:pPr>
        <w:numPr>
          <w:ilvl w:val="0"/>
          <w:numId w:val="10"/>
        </w:numPr>
        <w:rPr>
          <w:lang w:val="fr-CA"/>
        </w:rPr>
      </w:pPr>
      <w:r w:rsidRPr="005930DA">
        <w:rPr>
          <w:szCs w:val="24"/>
          <w:lang w:val="fr-CA"/>
        </w:rPr>
        <w:t>Simplifier les mesures administratives pour l’obtention de la carte de handicap (future « carte d’égalité des chances »)</w:t>
      </w:r>
    </w:p>
    <w:p w14:paraId="4008A1E6" w14:textId="77777777" w:rsidR="005930DA" w:rsidRDefault="00000000" w:rsidP="00A062E6">
      <w:pPr>
        <w:numPr>
          <w:ilvl w:val="0"/>
          <w:numId w:val="10"/>
        </w:numPr>
        <w:rPr>
          <w:lang w:val="fr-CA"/>
        </w:rPr>
      </w:pPr>
      <w:r w:rsidRPr="009A1451">
        <w:rPr>
          <w:szCs w:val="24"/>
          <w:lang w:val="fr-CA"/>
        </w:rPr>
        <w:t>Modifier les conditions de gratuité des soins ou de réduction des frais de ces derniers afin que la présentation de la carte de handicap (future « carte d’égalité des chances ») soit le seul critère d’éligibilité.</w:t>
      </w:r>
    </w:p>
    <w:p w14:paraId="2D0A489F" w14:textId="442CBEED" w:rsidR="005D590C" w:rsidRPr="005930DA" w:rsidRDefault="00000000" w:rsidP="00A062E6">
      <w:pPr>
        <w:numPr>
          <w:ilvl w:val="0"/>
          <w:numId w:val="10"/>
        </w:numPr>
        <w:rPr>
          <w:lang w:val="fr-CA"/>
        </w:rPr>
      </w:pPr>
      <w:r w:rsidRPr="005930DA">
        <w:rPr>
          <w:szCs w:val="24"/>
          <w:lang w:val="fr-CA"/>
        </w:rPr>
        <w:t xml:space="preserve"> Changer les lois contradictoires (harmonisation légale) à la CDPH telle que le décret </w:t>
      </w:r>
      <w:r w:rsidR="005930DA" w:rsidRPr="005930DA">
        <w:rPr>
          <w:szCs w:val="24"/>
          <w:lang w:val="fr-CA"/>
        </w:rPr>
        <w:t>93 de</w:t>
      </w:r>
      <w:r w:rsidRPr="005930DA">
        <w:rPr>
          <w:szCs w:val="24"/>
          <w:lang w:val="fr-CA"/>
        </w:rPr>
        <w:t xml:space="preserve"> la déontologie médicale en donnant le droit à la personne ayant un handicap mental ou intellectuel l’auto détermination même en cas de comorbidité grave ou en cas  de coma.</w:t>
      </w:r>
    </w:p>
    <w:p w14:paraId="30C74687" w14:textId="44C53355" w:rsidR="005D590C" w:rsidRDefault="00000000" w:rsidP="00A062E6">
      <w:pPr>
        <w:pStyle w:val="Heading2"/>
        <w:numPr>
          <w:ilvl w:val="0"/>
          <w:numId w:val="0"/>
        </w:numPr>
        <w:ind w:left="578" w:hanging="578"/>
        <w:rPr>
          <w:lang w:val="fr-CA"/>
        </w:rPr>
      </w:pPr>
      <w:bookmarkStart w:id="32" w:name="_Toc127851684"/>
      <w:r w:rsidRPr="009A1451">
        <w:rPr>
          <w:lang w:val="fr-CA"/>
        </w:rPr>
        <w:t>Article 27 - Travail et emploi</w:t>
      </w:r>
      <w:bookmarkEnd w:id="32"/>
    </w:p>
    <w:p w14:paraId="5C4F0DD5" w14:textId="531CBC08" w:rsidR="005930DA" w:rsidRPr="005930DA" w:rsidRDefault="005930DA" w:rsidP="00A062E6">
      <w:pPr>
        <w:pStyle w:val="Heading3"/>
        <w:numPr>
          <w:ilvl w:val="0"/>
          <w:numId w:val="0"/>
        </w:numPr>
        <w:ind w:left="720" w:hanging="720"/>
        <w:rPr>
          <w:lang w:val="fr-CA"/>
        </w:rPr>
      </w:pPr>
      <w:bookmarkStart w:id="33" w:name="_Toc127851685"/>
      <w:r>
        <w:rPr>
          <w:lang w:val="fr-CA"/>
        </w:rPr>
        <w:t>Observations générales</w:t>
      </w:r>
      <w:bookmarkEnd w:id="33"/>
    </w:p>
    <w:p w14:paraId="652763BC" w14:textId="77777777" w:rsidR="005930DA" w:rsidRDefault="00000000" w:rsidP="00A062E6">
      <w:pPr>
        <w:pStyle w:val="ListParagraph"/>
        <w:numPr>
          <w:ilvl w:val="0"/>
          <w:numId w:val="3"/>
        </w:numPr>
        <w:rPr>
          <w:lang w:val="fr-CA"/>
        </w:rPr>
      </w:pPr>
      <w:r w:rsidRPr="005930DA">
        <w:rPr>
          <w:lang w:val="fr-CA"/>
        </w:rPr>
        <w:t>La loi n° 2005-83 énonce que toute entreprise publique ou privée qui emploie moins de 100 personnes doit réserver une proportion de 1% au moins pour le poste des employés handicapés. Celles qui emploient plus de 100 personnes doivent réserver 2 % des postes à des Personnes handicapées.</w:t>
      </w:r>
    </w:p>
    <w:p w14:paraId="2FD940E4" w14:textId="02AC923E" w:rsidR="005D590C" w:rsidRPr="005930DA" w:rsidRDefault="00000000" w:rsidP="00A062E6">
      <w:pPr>
        <w:pStyle w:val="ListParagraph"/>
        <w:numPr>
          <w:ilvl w:val="0"/>
          <w:numId w:val="3"/>
        </w:numPr>
        <w:rPr>
          <w:lang w:val="fr-CA"/>
        </w:rPr>
      </w:pPr>
      <w:r w:rsidRPr="005930DA">
        <w:rPr>
          <w:lang w:val="fr-CA"/>
        </w:rPr>
        <w:t>La loi précise également que le handicap ne doit pas être un motif d’empêcher un citoyen de participer à des concours dans le secteur public ou privé s’il a les aptitudes adéquates pour exercer la fonction.</w:t>
      </w:r>
      <w:r w:rsidR="005930DA">
        <w:rPr>
          <w:lang w:val="fr-CA"/>
        </w:rPr>
        <w:t xml:space="preserve"> Cependant, l</w:t>
      </w:r>
      <w:r w:rsidRPr="005930DA">
        <w:rPr>
          <w:lang w:val="fr-CA"/>
        </w:rPr>
        <w:t xml:space="preserve">a réalité est toute autre : les personnes handicapées actives ont en moyenne des taux d’emploi trois à quatre fois inférieurs au reste de la population active </w:t>
      </w:r>
      <w:r w:rsidRPr="005930DA">
        <w:rPr>
          <w:lang w:val="fr-CA"/>
        </w:rPr>
        <w:lastRenderedPageBreak/>
        <w:t>soit un taux qui s’établit à 40%, selon les chiffres officiels et à 60%, d’après les indicateurs des organisations qui représentent les personnes handicapées.</w:t>
      </w:r>
      <w:r w:rsidR="005930DA">
        <w:rPr>
          <w:lang w:val="fr-CA"/>
        </w:rPr>
        <w:t xml:space="preserve"> </w:t>
      </w:r>
      <w:r w:rsidRPr="005930DA">
        <w:rPr>
          <w:lang w:val="fr-CA"/>
        </w:rPr>
        <w:t xml:space="preserve">Il y a plusieurs facteurs qui expliquent le décrochage des PSH sur le marché de l’emploi en Tunisie </w:t>
      </w:r>
      <w:r w:rsidR="005930DA">
        <w:rPr>
          <w:lang w:val="fr-CA"/>
        </w:rPr>
        <w:t>tels que</w:t>
      </w:r>
      <w:r w:rsidRPr="005930DA">
        <w:rPr>
          <w:lang w:val="fr-CA"/>
        </w:rPr>
        <w:t>:</w:t>
      </w:r>
    </w:p>
    <w:p w14:paraId="3C9B3B9A" w14:textId="18AC2BFD" w:rsidR="005D590C" w:rsidRDefault="00000000" w:rsidP="00A062E6">
      <w:pPr>
        <w:pStyle w:val="ListParagraph"/>
        <w:numPr>
          <w:ilvl w:val="0"/>
          <w:numId w:val="16"/>
        </w:numPr>
        <w:rPr>
          <w:lang w:val="fr-CA"/>
        </w:rPr>
      </w:pPr>
      <w:r w:rsidRPr="005930DA">
        <w:rPr>
          <w:lang w:val="fr-CA"/>
        </w:rPr>
        <w:t>Déficit d’employabilité (taux de chromage global de 15,3 %)</w:t>
      </w:r>
    </w:p>
    <w:p w14:paraId="2A4A6314" w14:textId="25AFB421" w:rsidR="005D590C" w:rsidRDefault="00000000" w:rsidP="00A062E6">
      <w:pPr>
        <w:pStyle w:val="ListParagraph"/>
        <w:numPr>
          <w:ilvl w:val="0"/>
          <w:numId w:val="16"/>
        </w:numPr>
        <w:rPr>
          <w:lang w:val="fr-CA"/>
        </w:rPr>
      </w:pPr>
      <w:r w:rsidRPr="005930DA">
        <w:rPr>
          <w:rFonts w:ascii="Times New Roman" w:eastAsia="Times New Roman" w:hAnsi="Times New Roman" w:cs="Times New Roman"/>
          <w:sz w:val="14"/>
          <w:szCs w:val="14"/>
          <w:lang w:val="fr-CA"/>
        </w:rPr>
        <w:t xml:space="preserve"> </w:t>
      </w:r>
      <w:r w:rsidRPr="005930DA">
        <w:rPr>
          <w:lang w:val="fr-CA"/>
        </w:rPr>
        <w:t>Manque d’accessibilité des postes de travail</w:t>
      </w:r>
    </w:p>
    <w:p w14:paraId="2F773DEE" w14:textId="77777777" w:rsidR="005930DA" w:rsidRDefault="005930DA" w:rsidP="00A062E6">
      <w:pPr>
        <w:pStyle w:val="ListParagraph"/>
        <w:numPr>
          <w:ilvl w:val="0"/>
          <w:numId w:val="16"/>
        </w:numPr>
        <w:rPr>
          <w:lang w:val="fr-CA"/>
        </w:rPr>
      </w:pPr>
      <w:r w:rsidRPr="005930DA">
        <w:rPr>
          <w:lang w:val="fr-CA"/>
        </w:rPr>
        <w:t>Non-application de la loi sur l’emploi des PSH qui cause des discriminations significatives à l’embauche du côté des employeurs qui ont une attitude et une perception négatives et qui ne risque pas grand-chose : la violation de la loi n° 2005-83 encourt une sanction selon l’article 234 du code de travail soit une amende d’environ 24 à 60 dinars (7,15 à 17,80 euros),</w:t>
      </w:r>
    </w:p>
    <w:p w14:paraId="46C98A81" w14:textId="31E1689E" w:rsidR="005D590C" w:rsidRPr="005930DA" w:rsidRDefault="00000000" w:rsidP="00A062E6">
      <w:pPr>
        <w:pStyle w:val="ListParagraph"/>
        <w:numPr>
          <w:ilvl w:val="0"/>
          <w:numId w:val="16"/>
        </w:numPr>
        <w:rPr>
          <w:lang w:val="fr-CA"/>
        </w:rPr>
      </w:pPr>
      <w:r w:rsidRPr="005930DA">
        <w:rPr>
          <w:rFonts w:ascii="Times New Roman" w:eastAsia="Times New Roman" w:hAnsi="Times New Roman" w:cs="Times New Roman"/>
          <w:sz w:val="14"/>
          <w:szCs w:val="14"/>
          <w:lang w:val="fr-CA"/>
        </w:rPr>
        <w:t xml:space="preserve"> </w:t>
      </w:r>
      <w:r w:rsidRPr="005930DA">
        <w:rPr>
          <w:lang w:val="fr-CA"/>
        </w:rPr>
        <w:t>Inégalités dans l’accès à l’éducation et la formation pour les personnes handicapées.</w:t>
      </w:r>
    </w:p>
    <w:p w14:paraId="67C1815F" w14:textId="77777777" w:rsidR="005930DA" w:rsidRDefault="00000000" w:rsidP="00A062E6">
      <w:pPr>
        <w:pStyle w:val="ListParagraph"/>
        <w:numPr>
          <w:ilvl w:val="0"/>
          <w:numId w:val="3"/>
        </w:numPr>
        <w:rPr>
          <w:lang w:val="fr-CA"/>
        </w:rPr>
      </w:pPr>
      <w:r w:rsidRPr="005930DA">
        <w:rPr>
          <w:lang w:val="fr-CA"/>
        </w:rPr>
        <w:t>Quand les personnes handicapées sont embauchées, C’est souvent dans le secteur informel où les conditions sont plutôt précaires (sous-emploi, bas salaires, emplois sans protection sociale), en particulier dans les ateliers professionnels.</w:t>
      </w:r>
    </w:p>
    <w:p w14:paraId="7CE2A236" w14:textId="2590AF86" w:rsidR="005930DA" w:rsidRDefault="00000000" w:rsidP="00A062E6">
      <w:pPr>
        <w:pStyle w:val="ListParagraph"/>
        <w:numPr>
          <w:ilvl w:val="0"/>
          <w:numId w:val="3"/>
        </w:numPr>
        <w:rPr>
          <w:lang w:val="fr-CA"/>
        </w:rPr>
      </w:pPr>
      <w:r w:rsidRPr="005930DA">
        <w:rPr>
          <w:lang w:val="fr-CA"/>
        </w:rPr>
        <w:t>En conséquence, de nombreuses personnes handicapées se résignent à dépendre du soutien familial, des mécanismes de charité communautaire ou d’aides sociales souvent limitées pour subvenir à leurs besoins. Ce qui les contraint à la pauvreté et à la dépendance économique alors même qu’elles présentent les capacités suffisantes pour exercer une activité professionnelle rémunérée.</w:t>
      </w:r>
    </w:p>
    <w:p w14:paraId="3AAA790D" w14:textId="12240BF7" w:rsidR="005930DA" w:rsidRPr="005930DA" w:rsidRDefault="005930DA" w:rsidP="00A062E6">
      <w:pPr>
        <w:pStyle w:val="Heading3"/>
        <w:numPr>
          <w:ilvl w:val="0"/>
          <w:numId w:val="0"/>
        </w:numPr>
        <w:ind w:left="720" w:hanging="720"/>
        <w:rPr>
          <w:lang w:val="fr-CA"/>
        </w:rPr>
      </w:pPr>
      <w:bookmarkStart w:id="34" w:name="_Toc127851686"/>
      <w:r>
        <w:rPr>
          <w:lang w:val="fr-CA"/>
        </w:rPr>
        <w:t>Recommandations</w:t>
      </w:r>
      <w:bookmarkEnd w:id="34"/>
    </w:p>
    <w:p w14:paraId="4F576422" w14:textId="08ECD792" w:rsidR="005D590C" w:rsidRDefault="005930DA" w:rsidP="00A062E6">
      <w:pPr>
        <w:pStyle w:val="ListParagraph"/>
        <w:numPr>
          <w:ilvl w:val="0"/>
          <w:numId w:val="10"/>
        </w:numPr>
        <w:rPr>
          <w:lang w:val="fr-CA"/>
        </w:rPr>
      </w:pPr>
      <w:r w:rsidRPr="005930DA">
        <w:rPr>
          <w:lang w:val="fr-CA"/>
        </w:rPr>
        <w:t>Mettre en place des stratégies performantes répondant à l’exigence du monde du travail tout en tenant compte de l’obligation d’aménagement raisonnable</w:t>
      </w:r>
      <w:r>
        <w:rPr>
          <w:lang w:val="fr-CA"/>
        </w:rPr>
        <w:t>.</w:t>
      </w:r>
    </w:p>
    <w:p w14:paraId="57F7C33F" w14:textId="77777777" w:rsidR="005930DA" w:rsidRDefault="00000000" w:rsidP="00A062E6">
      <w:pPr>
        <w:pStyle w:val="ListParagraph"/>
        <w:numPr>
          <w:ilvl w:val="0"/>
          <w:numId w:val="10"/>
        </w:numPr>
        <w:rPr>
          <w:lang w:val="fr-CA"/>
        </w:rPr>
      </w:pPr>
      <w:r w:rsidRPr="005930DA">
        <w:rPr>
          <w:lang w:val="fr-CA"/>
        </w:rPr>
        <w:t>Améliorer l’accompagnement des personnes handicapées lors de la recherche d’emploi.</w:t>
      </w:r>
    </w:p>
    <w:p w14:paraId="24C1B81E" w14:textId="77777777" w:rsidR="005930DA" w:rsidRDefault="00000000" w:rsidP="00A062E6">
      <w:pPr>
        <w:pStyle w:val="ListParagraph"/>
        <w:numPr>
          <w:ilvl w:val="0"/>
          <w:numId w:val="10"/>
        </w:numPr>
        <w:rPr>
          <w:lang w:val="fr-CA"/>
        </w:rPr>
      </w:pPr>
      <w:r w:rsidRPr="005930DA">
        <w:rPr>
          <w:lang w:val="fr-CA"/>
        </w:rPr>
        <w:t>Exiger l’application des lois en vigueur concernant l’employabilité des PSH qui ne sont ni contrôlées ni suivies par les différentes institutions, ministères, ou administrations en charge de l’application de ces lois</w:t>
      </w:r>
      <w:r w:rsidR="005930DA">
        <w:rPr>
          <w:lang w:val="fr-CA"/>
        </w:rPr>
        <w:t>.</w:t>
      </w:r>
    </w:p>
    <w:p w14:paraId="1936AB07" w14:textId="77777777" w:rsidR="005930DA" w:rsidRDefault="00000000" w:rsidP="00A062E6">
      <w:pPr>
        <w:pStyle w:val="ListParagraph"/>
        <w:numPr>
          <w:ilvl w:val="0"/>
          <w:numId w:val="10"/>
        </w:numPr>
        <w:rPr>
          <w:lang w:val="fr-CA"/>
        </w:rPr>
      </w:pPr>
      <w:r w:rsidRPr="005930DA">
        <w:rPr>
          <w:lang w:val="fr-CA"/>
        </w:rPr>
        <w:t>Développer l’information concernant des institutions et entreprises privées et publiques concernant les lois relatives à l’employabilité des personnes handicapées concernant les infractions et les avantages liés à l’embauche des PSH</w:t>
      </w:r>
      <w:r w:rsidR="005930DA">
        <w:rPr>
          <w:lang w:val="fr-CA"/>
        </w:rPr>
        <w:t>.</w:t>
      </w:r>
    </w:p>
    <w:p w14:paraId="23551D33" w14:textId="6E8D7B6F" w:rsidR="005D590C" w:rsidRPr="005930DA" w:rsidRDefault="00000000" w:rsidP="00A062E6">
      <w:pPr>
        <w:pStyle w:val="ListParagraph"/>
        <w:numPr>
          <w:ilvl w:val="0"/>
          <w:numId w:val="10"/>
        </w:numPr>
        <w:rPr>
          <w:lang w:val="fr-CA"/>
        </w:rPr>
      </w:pPr>
      <w:r w:rsidRPr="005930DA">
        <w:rPr>
          <w:lang w:val="fr-CA"/>
        </w:rPr>
        <w:t>Adapter et exiger l’accessibilité de toutes les infrastructures : routes, trottoirs, accès aux divers bâtiments administratifs et autres, etc… afin de permettre au PSH une certaine autonomie nécessaire dans leur recherche d’emplois,</w:t>
      </w:r>
    </w:p>
    <w:p w14:paraId="134DF8FC" w14:textId="0A0C570F" w:rsidR="005D590C" w:rsidRDefault="00000000" w:rsidP="00A062E6">
      <w:pPr>
        <w:pStyle w:val="Heading2"/>
        <w:numPr>
          <w:ilvl w:val="0"/>
          <w:numId w:val="0"/>
        </w:numPr>
        <w:ind w:left="578" w:hanging="578"/>
        <w:rPr>
          <w:lang w:val="fr-CA"/>
        </w:rPr>
      </w:pPr>
      <w:bookmarkStart w:id="35" w:name="_Toc127851687"/>
      <w:r w:rsidRPr="009A1451">
        <w:rPr>
          <w:lang w:val="fr-CA"/>
        </w:rPr>
        <w:lastRenderedPageBreak/>
        <w:t>Article 28 - Niveau de vie adéquat et protection sociale</w:t>
      </w:r>
      <w:bookmarkEnd w:id="35"/>
    </w:p>
    <w:p w14:paraId="16748948" w14:textId="0F472084" w:rsidR="00D650F8" w:rsidRPr="00D650F8" w:rsidRDefault="00D650F8" w:rsidP="00A062E6">
      <w:pPr>
        <w:pStyle w:val="Heading3"/>
        <w:numPr>
          <w:ilvl w:val="0"/>
          <w:numId w:val="0"/>
        </w:numPr>
        <w:ind w:left="720" w:hanging="720"/>
        <w:rPr>
          <w:lang w:val="fr-CA"/>
        </w:rPr>
      </w:pPr>
      <w:bookmarkStart w:id="36" w:name="_Toc127851688"/>
      <w:r>
        <w:rPr>
          <w:lang w:val="fr-CA"/>
        </w:rPr>
        <w:t>Observations générales</w:t>
      </w:r>
      <w:bookmarkEnd w:id="36"/>
    </w:p>
    <w:p w14:paraId="6A31F453" w14:textId="77777777" w:rsidR="00D650F8" w:rsidRDefault="00000000" w:rsidP="00A062E6">
      <w:pPr>
        <w:pStyle w:val="ListParagraph"/>
        <w:numPr>
          <w:ilvl w:val="0"/>
          <w:numId w:val="3"/>
        </w:numPr>
        <w:spacing w:before="240" w:after="240"/>
        <w:rPr>
          <w:szCs w:val="24"/>
          <w:lang w:val="fr-CA"/>
        </w:rPr>
      </w:pPr>
      <w:r w:rsidRPr="00D650F8">
        <w:rPr>
          <w:szCs w:val="24"/>
          <w:lang w:val="fr-CA"/>
        </w:rPr>
        <w:t xml:space="preserve">Le </w:t>
      </w:r>
      <w:proofErr w:type="gramStart"/>
      <w:r w:rsidRPr="00D650F8">
        <w:rPr>
          <w:szCs w:val="24"/>
          <w:lang w:val="fr-CA"/>
        </w:rPr>
        <w:t>Ministère</w:t>
      </w:r>
      <w:proofErr w:type="gramEnd"/>
      <w:r w:rsidRPr="00D650F8">
        <w:rPr>
          <w:szCs w:val="24"/>
          <w:lang w:val="fr-CA"/>
        </w:rPr>
        <w:t xml:space="preserve"> des Affaires Sociales a mis en place un programme de revenu de soutien en faveur des personnes handicapées.</w:t>
      </w:r>
      <w:r w:rsidR="00D650F8">
        <w:rPr>
          <w:szCs w:val="24"/>
          <w:lang w:val="fr-CA"/>
        </w:rPr>
        <w:t xml:space="preserve"> </w:t>
      </w:r>
      <w:r w:rsidRPr="00D650F8">
        <w:rPr>
          <w:szCs w:val="24"/>
          <w:lang w:val="fr-CA"/>
        </w:rPr>
        <w:t>Ce programme consiste à fournir des fonds aux personnes handicapées pour ouvrir une petite entreprise (petit bureau de tabac, magasin d’alimentation...)</w:t>
      </w:r>
      <w:r w:rsidR="00D650F8">
        <w:rPr>
          <w:szCs w:val="24"/>
          <w:lang w:val="fr-CA"/>
        </w:rPr>
        <w:t xml:space="preserve">. </w:t>
      </w:r>
      <w:r w:rsidRPr="00D650F8">
        <w:rPr>
          <w:szCs w:val="24"/>
          <w:lang w:val="fr-CA"/>
        </w:rPr>
        <w:t xml:space="preserve">En 2019, le total des bénéficiaires de ce programme atteint 860 projets.  Le ministère a alloué en 2019 un budget total de 57.679.54 DT, dont 2.500.000 DT ont bénéficié aux personnes handicapées. </w:t>
      </w:r>
    </w:p>
    <w:p w14:paraId="6BE9F7B5" w14:textId="77777777" w:rsidR="00D650F8" w:rsidRDefault="00000000" w:rsidP="00A062E6">
      <w:pPr>
        <w:pStyle w:val="ListParagraph"/>
        <w:numPr>
          <w:ilvl w:val="0"/>
          <w:numId w:val="3"/>
        </w:numPr>
        <w:spacing w:before="240" w:after="240"/>
        <w:rPr>
          <w:szCs w:val="24"/>
          <w:lang w:val="fr-CA"/>
        </w:rPr>
      </w:pPr>
      <w:r w:rsidRPr="00D650F8">
        <w:rPr>
          <w:szCs w:val="24"/>
          <w:lang w:val="fr-CA"/>
        </w:rPr>
        <w:t>La Tunisie a mis en marche des mesures législatives et politiques importantes en vue de faire du système de protection sociale tunisien l’un des plus développés de la région du Moyen-Orient et de l’Afrique du Nord et ainsi renouveler l’engagement de la Tunisie avec le progrès social et les droits des personnes handicapées</w:t>
      </w:r>
    </w:p>
    <w:p w14:paraId="3FC95C4E" w14:textId="77777777" w:rsidR="00D650F8" w:rsidRDefault="00000000" w:rsidP="00A062E6">
      <w:pPr>
        <w:pStyle w:val="ListParagraph"/>
        <w:numPr>
          <w:ilvl w:val="0"/>
          <w:numId w:val="3"/>
        </w:numPr>
        <w:spacing w:before="240" w:after="240"/>
        <w:rPr>
          <w:szCs w:val="24"/>
          <w:lang w:val="fr-CA"/>
        </w:rPr>
      </w:pPr>
      <w:r w:rsidRPr="00D650F8">
        <w:rPr>
          <w:szCs w:val="24"/>
          <w:lang w:val="fr-CA"/>
        </w:rPr>
        <w:t>Toutefois, ces politiques n’ont pas été assez efficaces dans la réduction des inégalités sociales.</w:t>
      </w:r>
      <w:r w:rsidR="00D650F8">
        <w:rPr>
          <w:szCs w:val="24"/>
          <w:lang w:val="fr-CA"/>
        </w:rPr>
        <w:t xml:space="preserve"> </w:t>
      </w:r>
      <w:r w:rsidRPr="00D650F8">
        <w:rPr>
          <w:szCs w:val="24"/>
          <w:lang w:val="fr-CA"/>
        </w:rPr>
        <w:t>En prenant en compte les difficultés d’insertion dans le monde du travail et les coûts accrus souvent liés au handicap (par exemple dans les soins de santé et autres), on constate l’insécurité économique qui caractérise les personnes handicapées et leurs familles en Tunisie.</w:t>
      </w:r>
      <w:r w:rsidR="00D650F8">
        <w:rPr>
          <w:szCs w:val="24"/>
          <w:lang w:val="fr-CA"/>
        </w:rPr>
        <w:t xml:space="preserve"> </w:t>
      </w:r>
    </w:p>
    <w:p w14:paraId="29AC3AB1" w14:textId="77777777" w:rsidR="00D650F8" w:rsidRDefault="00000000" w:rsidP="00A062E6">
      <w:pPr>
        <w:pStyle w:val="ListParagraph"/>
        <w:numPr>
          <w:ilvl w:val="0"/>
          <w:numId w:val="3"/>
        </w:numPr>
        <w:spacing w:before="240" w:after="240"/>
        <w:rPr>
          <w:szCs w:val="24"/>
          <w:lang w:val="fr-CA"/>
        </w:rPr>
      </w:pPr>
      <w:r w:rsidRPr="00D650F8">
        <w:rPr>
          <w:szCs w:val="24"/>
          <w:lang w:val="fr-CA"/>
        </w:rPr>
        <w:t>Cette vulnérabilité est encore plus manifeste pour le groupe des femmes handicapées (dont la probabilité de vivre dans un ménage sans aucun revenu est bien plus élevée que celle des hommes) et que ceux qui habitent dans les milieux ruraux, dont l’accès aux services publics basiques est encore plus difficile.</w:t>
      </w:r>
    </w:p>
    <w:p w14:paraId="03F2A916" w14:textId="2C134E35" w:rsidR="005D590C" w:rsidRPr="00EB5E6F" w:rsidRDefault="00000000" w:rsidP="00A062E6">
      <w:pPr>
        <w:pStyle w:val="ListParagraph"/>
        <w:numPr>
          <w:ilvl w:val="0"/>
          <w:numId w:val="3"/>
        </w:numPr>
        <w:spacing w:before="240" w:after="240"/>
        <w:rPr>
          <w:szCs w:val="24"/>
          <w:lang w:val="fr-CA"/>
        </w:rPr>
      </w:pPr>
      <w:r w:rsidRPr="00D650F8">
        <w:rPr>
          <w:szCs w:val="24"/>
          <w:lang w:val="fr-CA"/>
        </w:rPr>
        <w:t>En Tunisie, La protection sociale dans le cadre du handicap comprend une pension d’invalidité, disponible pour les travailleurs handicapés inscrits dans le système d’assurance sociale, aussi bien que des compléments dans les allocations familiales (qui n’ont pas de limite d’âge dans le cas des enfants handicapés), et une prestation d’aide constante pour les bénéficiaires qui ont besoin d’aide permanente.</w:t>
      </w:r>
      <w:r w:rsidR="00D650F8">
        <w:rPr>
          <w:szCs w:val="24"/>
          <w:lang w:val="fr-CA"/>
        </w:rPr>
        <w:t xml:space="preserve"> </w:t>
      </w:r>
      <w:r w:rsidRPr="00D650F8">
        <w:rPr>
          <w:szCs w:val="24"/>
          <w:lang w:val="fr-CA"/>
        </w:rPr>
        <w:t>Il convient, cependant d’affirmer qu’un système efficace de protection sociale, qui permet d’assurer des seuils minimums de sécurité économique ainsi que l’accès aux services de soutien de base, s’avère fondamental notamment pour réduire les inégalités et pour promouvoir l’inclusion sociale des personnes handicapées</w:t>
      </w:r>
    </w:p>
    <w:p w14:paraId="0F4D6AEA" w14:textId="6ED19031" w:rsidR="005D590C" w:rsidRPr="00AF2411" w:rsidRDefault="00000000" w:rsidP="00A062E6">
      <w:pPr>
        <w:pStyle w:val="Heading2"/>
        <w:numPr>
          <w:ilvl w:val="0"/>
          <w:numId w:val="0"/>
        </w:numPr>
        <w:ind w:left="578" w:hanging="578"/>
        <w:rPr>
          <w:lang w:val="fr-CA"/>
        </w:rPr>
      </w:pPr>
      <w:bookmarkStart w:id="37" w:name="_Toc127851689"/>
      <w:r w:rsidRPr="00AF2411">
        <w:rPr>
          <w:lang w:val="fr-CA"/>
        </w:rPr>
        <w:lastRenderedPageBreak/>
        <w:t>Article 29 - Participation à la vie politique et publique</w:t>
      </w:r>
      <w:bookmarkEnd w:id="37"/>
    </w:p>
    <w:p w14:paraId="78958F80" w14:textId="1BE467F2" w:rsidR="0019583C" w:rsidRPr="0019583C" w:rsidRDefault="0019583C" w:rsidP="00A062E6">
      <w:pPr>
        <w:pStyle w:val="Heading3"/>
        <w:numPr>
          <w:ilvl w:val="0"/>
          <w:numId w:val="0"/>
        </w:numPr>
        <w:ind w:left="720" w:hanging="720"/>
        <w:rPr>
          <w:lang w:val="fr-CA"/>
        </w:rPr>
      </w:pPr>
      <w:bookmarkStart w:id="38" w:name="_Toc127851690"/>
      <w:r>
        <w:rPr>
          <w:lang w:val="fr-CA"/>
        </w:rPr>
        <w:t>Observations générales</w:t>
      </w:r>
      <w:bookmarkEnd w:id="38"/>
    </w:p>
    <w:p w14:paraId="27623EC0" w14:textId="77777777" w:rsidR="00EB5E6F" w:rsidRPr="00EB5E6F" w:rsidRDefault="00EB5E6F" w:rsidP="00A062E6">
      <w:pPr>
        <w:pStyle w:val="ListParagraph"/>
        <w:numPr>
          <w:ilvl w:val="0"/>
          <w:numId w:val="3"/>
        </w:numPr>
        <w:rPr>
          <w:lang w:val="fr-CA"/>
        </w:rPr>
      </w:pPr>
      <w:r w:rsidRPr="00EB5E6F">
        <w:rPr>
          <w:lang w:val="fr-CA"/>
        </w:rPr>
        <w:t xml:space="preserve">Depuis l'année 2011, la participation des personnes handicapées aux différents rendez-vous électoraux (2011, 2014, 2018, 2019, 2022) a connu une évolution quantitative et qualitative. </w:t>
      </w:r>
      <w:r w:rsidRPr="00EB5E6F">
        <w:rPr>
          <w:szCs w:val="24"/>
          <w:u w:val="single"/>
          <w:lang w:val="fr-CA"/>
        </w:rPr>
        <w:t>Quantitativement</w:t>
      </w:r>
      <w:r w:rsidRPr="00EB5E6F">
        <w:rPr>
          <w:szCs w:val="24"/>
          <w:lang w:val="fr-CA"/>
        </w:rPr>
        <w:t xml:space="preserve"> : commencer par de simples procédures facilitatrices pour rendre l'opération de scrutin assez accessible dans les nombreux bureaux de vote </w:t>
      </w:r>
      <w:proofErr w:type="gramStart"/>
      <w:r w:rsidRPr="00EB5E6F">
        <w:rPr>
          <w:szCs w:val="24"/>
          <w:lang w:val="fr-CA"/>
        </w:rPr>
        <w:t>;  tout</w:t>
      </w:r>
      <w:proofErr w:type="gramEnd"/>
      <w:r w:rsidRPr="00EB5E6F">
        <w:rPr>
          <w:szCs w:val="24"/>
          <w:lang w:val="fr-CA"/>
        </w:rPr>
        <w:t xml:space="preserve"> en finissant par garantir l'autonomie relative pour chaque personne handicapée en tenant compte de l'exigence de son handicap . </w:t>
      </w:r>
      <w:r w:rsidRPr="00EB5E6F">
        <w:rPr>
          <w:szCs w:val="24"/>
          <w:u w:val="single"/>
          <w:lang w:val="fr-CA"/>
        </w:rPr>
        <w:t>Qualitativement</w:t>
      </w:r>
      <w:r w:rsidRPr="00EB5E6F">
        <w:rPr>
          <w:szCs w:val="24"/>
          <w:lang w:val="fr-CA"/>
        </w:rPr>
        <w:t xml:space="preserve"> : les personnes handicapées ont dépassé le rôle de simples électeurs vers une concrétisation réelle : jouer le rôle d'observation au sein des bureaux de vote.</w:t>
      </w:r>
      <w:r>
        <w:rPr>
          <w:szCs w:val="24"/>
          <w:lang w:val="fr-CA"/>
        </w:rPr>
        <w:t xml:space="preserve"> </w:t>
      </w:r>
    </w:p>
    <w:p w14:paraId="6416172C" w14:textId="77777777" w:rsidR="00EB5E6F" w:rsidRPr="00EB5E6F" w:rsidRDefault="00EB5E6F" w:rsidP="00A062E6">
      <w:pPr>
        <w:pStyle w:val="ListParagraph"/>
        <w:numPr>
          <w:ilvl w:val="0"/>
          <w:numId w:val="3"/>
        </w:numPr>
        <w:rPr>
          <w:lang w:val="fr-CA"/>
        </w:rPr>
      </w:pPr>
      <w:r>
        <w:rPr>
          <w:szCs w:val="24"/>
          <w:lang w:val="fr-CA"/>
        </w:rPr>
        <w:t xml:space="preserve">La </w:t>
      </w:r>
      <w:r w:rsidRPr="00EB5E6F">
        <w:rPr>
          <w:szCs w:val="24"/>
          <w:lang w:val="fr-CA"/>
        </w:rPr>
        <w:t xml:space="preserve">candidature notamment aux élections municipales </w:t>
      </w:r>
      <w:proofErr w:type="gramStart"/>
      <w:r w:rsidRPr="00EB5E6F">
        <w:rPr>
          <w:szCs w:val="24"/>
          <w:lang w:val="fr-CA"/>
        </w:rPr>
        <w:t>en  2018</w:t>
      </w:r>
      <w:proofErr w:type="gramEnd"/>
      <w:r w:rsidRPr="00EB5E6F">
        <w:rPr>
          <w:szCs w:val="24"/>
          <w:lang w:val="fr-CA"/>
        </w:rPr>
        <w:t xml:space="preserve"> grâce à la loi électorale adoptée par l'assemblée des représentants du peuple, qui conditionne le remboursement des frais de campagne par l’instance supérieure indépendante des élections ( ISIE ) à la présence d’une personne handicapées dans les 10 premiers candidats des listes électorales. Cette mesures incitative, a donné des résultats assez satisfaisants : 144 personnes handicapées dans les différentes communes dont 3 maires (rapport de l'instance supérieur, indépendante des élections selon les résultats définitifs juillet 2018</w:t>
      </w:r>
      <w:proofErr w:type="gramStart"/>
      <w:r w:rsidRPr="00EB5E6F">
        <w:rPr>
          <w:szCs w:val="24"/>
          <w:lang w:val="fr-CA"/>
        </w:rPr>
        <w:t>) .</w:t>
      </w:r>
      <w:proofErr w:type="gramEnd"/>
      <w:r w:rsidRPr="00EB5E6F">
        <w:rPr>
          <w:szCs w:val="24"/>
          <w:lang w:val="fr-CA"/>
        </w:rPr>
        <w:t xml:space="preserve"> Nous déplorons néanmoins que cette disposition se limite aux élections municipales et n'inclut pas toutes les échéances électorales et notamment parlementaires.</w:t>
      </w:r>
    </w:p>
    <w:p w14:paraId="3753E540" w14:textId="2FD0FEB9" w:rsidR="005D590C" w:rsidRPr="00EB5E6F" w:rsidRDefault="00000000" w:rsidP="00A062E6">
      <w:pPr>
        <w:pStyle w:val="ListParagraph"/>
        <w:numPr>
          <w:ilvl w:val="0"/>
          <w:numId w:val="3"/>
        </w:numPr>
        <w:rPr>
          <w:lang w:val="fr-CA"/>
        </w:rPr>
      </w:pPr>
      <w:r w:rsidRPr="00EB5E6F">
        <w:rPr>
          <w:szCs w:val="24"/>
          <w:lang w:val="fr-CA"/>
        </w:rPr>
        <w:t xml:space="preserve">Cependant, les troubles politiques que vit le pays depuis le 25 juillet </w:t>
      </w:r>
      <w:r w:rsidR="00EB5E6F" w:rsidRPr="00EB5E6F">
        <w:rPr>
          <w:szCs w:val="24"/>
          <w:lang w:val="fr-CA"/>
        </w:rPr>
        <w:t>2022 restent</w:t>
      </w:r>
      <w:r w:rsidRPr="00EB5E6F">
        <w:rPr>
          <w:szCs w:val="24"/>
          <w:lang w:val="fr-CA"/>
        </w:rPr>
        <w:t xml:space="preserve"> préoccupants notamment concernant la participation de la société civile à la prise de décision y compris les organisations de personnes handicapées. En outre, la précipitation avec laquelle les dernières élections parlementaires furent organisées (17 décembre 2022</w:t>
      </w:r>
      <w:proofErr w:type="gramStart"/>
      <w:r w:rsidRPr="00EB5E6F">
        <w:rPr>
          <w:szCs w:val="24"/>
          <w:lang w:val="fr-CA"/>
        </w:rPr>
        <w:t>)  n’a</w:t>
      </w:r>
      <w:proofErr w:type="gramEnd"/>
      <w:r w:rsidRPr="00EB5E6F">
        <w:rPr>
          <w:szCs w:val="24"/>
          <w:lang w:val="fr-CA"/>
        </w:rPr>
        <w:t xml:space="preserve"> pas permis la mise en œuvre des dispositions d'accessibilité tel que ce fut le cas dans les précédentes élections (loupe, pochette en braille, langue des signes</w:t>
      </w:r>
      <w:r w:rsidR="00EB5E6F">
        <w:rPr>
          <w:szCs w:val="24"/>
          <w:lang w:val="fr-CA"/>
        </w:rPr>
        <w:t>, etc.</w:t>
      </w:r>
      <w:r w:rsidRPr="00EB5E6F">
        <w:rPr>
          <w:szCs w:val="24"/>
          <w:lang w:val="fr-CA"/>
        </w:rPr>
        <w:t xml:space="preserve">). </w:t>
      </w:r>
    </w:p>
    <w:p w14:paraId="288E8AB7" w14:textId="209F88B4" w:rsidR="005D590C" w:rsidRPr="009A1451" w:rsidRDefault="00000000" w:rsidP="00A062E6">
      <w:pPr>
        <w:pStyle w:val="Heading3"/>
        <w:numPr>
          <w:ilvl w:val="0"/>
          <w:numId w:val="0"/>
        </w:numPr>
        <w:ind w:left="720" w:hanging="720"/>
        <w:rPr>
          <w:lang w:val="fr-CA"/>
        </w:rPr>
      </w:pPr>
      <w:bookmarkStart w:id="39" w:name="_Toc127851691"/>
      <w:r w:rsidRPr="009A1451">
        <w:rPr>
          <w:lang w:val="fr-CA"/>
        </w:rPr>
        <w:t>Recommandation</w:t>
      </w:r>
      <w:bookmarkEnd w:id="39"/>
    </w:p>
    <w:p w14:paraId="7F6C4660" w14:textId="4EDE98E0" w:rsidR="005D590C" w:rsidRDefault="00000000" w:rsidP="00A062E6">
      <w:pPr>
        <w:pStyle w:val="ListParagraph"/>
        <w:numPr>
          <w:ilvl w:val="0"/>
          <w:numId w:val="10"/>
        </w:numPr>
        <w:rPr>
          <w:szCs w:val="24"/>
          <w:lang w:val="fr-CA"/>
        </w:rPr>
      </w:pPr>
      <w:r w:rsidRPr="00B7521B">
        <w:rPr>
          <w:szCs w:val="24"/>
          <w:lang w:val="fr-CA"/>
        </w:rPr>
        <w:t>L’élargissement des mesures incitatives qui actuellement se limitent aux élections municipales, aux autres échéances électorales et notamment parlementaires.</w:t>
      </w:r>
    </w:p>
    <w:p w14:paraId="77D4BE0B" w14:textId="7F6BA435" w:rsidR="005D590C" w:rsidRDefault="00000000" w:rsidP="00A062E6">
      <w:pPr>
        <w:pStyle w:val="ListParagraph"/>
        <w:numPr>
          <w:ilvl w:val="0"/>
          <w:numId w:val="10"/>
        </w:numPr>
        <w:rPr>
          <w:szCs w:val="24"/>
          <w:lang w:val="fr-CA"/>
        </w:rPr>
      </w:pPr>
      <w:r w:rsidRPr="00B7521B">
        <w:rPr>
          <w:rFonts w:ascii="Times New Roman" w:eastAsia="Times New Roman" w:hAnsi="Times New Roman" w:cs="Times New Roman"/>
          <w:szCs w:val="24"/>
          <w:lang w:val="fr-CA"/>
        </w:rPr>
        <w:t xml:space="preserve"> </w:t>
      </w:r>
      <w:r w:rsidRPr="00B7521B">
        <w:rPr>
          <w:szCs w:val="24"/>
          <w:lang w:val="fr-CA"/>
        </w:rPr>
        <w:t>Conditionner toutes élections nationales ou locales à la disponibilité de ressources qui permettent d’assurer les dispositions d’accessibilité dans les bureaux de vote et à l’accès à l'information politique</w:t>
      </w:r>
    </w:p>
    <w:p w14:paraId="025A494C" w14:textId="55760729" w:rsidR="005D590C" w:rsidRPr="00CD7EB3" w:rsidRDefault="00000000" w:rsidP="00A062E6">
      <w:pPr>
        <w:pStyle w:val="ListParagraph"/>
        <w:numPr>
          <w:ilvl w:val="0"/>
          <w:numId w:val="10"/>
        </w:numPr>
        <w:rPr>
          <w:szCs w:val="24"/>
          <w:lang w:val="fr-CA"/>
        </w:rPr>
      </w:pPr>
      <w:r w:rsidRPr="00B7521B">
        <w:rPr>
          <w:szCs w:val="24"/>
          <w:lang w:val="fr-CA"/>
        </w:rPr>
        <w:t xml:space="preserve">Garantir à tous les niveaux de prise de décision, la participation des organisations de personnes handicapées.   </w:t>
      </w:r>
    </w:p>
    <w:p w14:paraId="214BCD05" w14:textId="77777777" w:rsidR="005D590C" w:rsidRPr="009A1451" w:rsidRDefault="00000000" w:rsidP="00A062E6">
      <w:pPr>
        <w:pStyle w:val="Heading2"/>
        <w:numPr>
          <w:ilvl w:val="0"/>
          <w:numId w:val="0"/>
        </w:numPr>
        <w:ind w:left="578" w:hanging="578"/>
        <w:rPr>
          <w:lang w:val="fr-CA"/>
        </w:rPr>
      </w:pPr>
      <w:bookmarkStart w:id="40" w:name="_Toc127851692"/>
      <w:r w:rsidRPr="009A1451">
        <w:rPr>
          <w:lang w:val="fr-CA"/>
        </w:rPr>
        <w:lastRenderedPageBreak/>
        <w:t>Article 31 - Statistiques et collecte de données</w:t>
      </w:r>
      <w:bookmarkEnd w:id="40"/>
    </w:p>
    <w:p w14:paraId="50F773DD" w14:textId="77777777" w:rsidR="00CD7EB3" w:rsidRDefault="00000000" w:rsidP="00A062E6">
      <w:pPr>
        <w:pStyle w:val="ListParagraph"/>
        <w:numPr>
          <w:ilvl w:val="0"/>
          <w:numId w:val="3"/>
        </w:numPr>
        <w:spacing w:after="200"/>
        <w:rPr>
          <w:szCs w:val="24"/>
          <w:lang w:val="fr-CA"/>
        </w:rPr>
      </w:pPr>
      <w:r w:rsidRPr="00CD7EB3">
        <w:rPr>
          <w:szCs w:val="24"/>
          <w:lang w:val="fr-CA"/>
        </w:rPr>
        <w:t xml:space="preserve">Jusqu'à ce jour, les données sur les personnes en situation de handicap en Tunisie ne sont </w:t>
      </w:r>
      <w:r w:rsidR="0019583C" w:rsidRPr="00CD7EB3">
        <w:rPr>
          <w:szCs w:val="24"/>
          <w:lang w:val="fr-CA"/>
        </w:rPr>
        <w:t>pas disponibles</w:t>
      </w:r>
      <w:r w:rsidRPr="00CD7EB3">
        <w:rPr>
          <w:szCs w:val="24"/>
          <w:lang w:val="fr-CA"/>
        </w:rPr>
        <w:t xml:space="preserve"> ni à jour sur les sites web officiels du ministère des affaires sociales et de l’institut national des statistiques. </w:t>
      </w:r>
    </w:p>
    <w:p w14:paraId="37BDA7C7" w14:textId="3557A7D6" w:rsidR="005D590C" w:rsidRPr="00CD7EB3" w:rsidRDefault="00000000" w:rsidP="00A062E6">
      <w:pPr>
        <w:pStyle w:val="ListParagraph"/>
        <w:numPr>
          <w:ilvl w:val="0"/>
          <w:numId w:val="3"/>
        </w:numPr>
        <w:spacing w:after="200"/>
        <w:rPr>
          <w:szCs w:val="24"/>
          <w:lang w:val="fr-CA"/>
        </w:rPr>
      </w:pPr>
      <w:r w:rsidRPr="00CD7EB3">
        <w:rPr>
          <w:szCs w:val="24"/>
          <w:lang w:val="fr-CA"/>
        </w:rPr>
        <w:t xml:space="preserve">Les questions du Washington Group ont été incluses dans le recensement national de 2014. Toutefois, le protocole n’a pas été complètement respecté et la formation des enquêteurs a été insuffisante.  </w:t>
      </w:r>
    </w:p>
    <w:p w14:paraId="01DA4A79" w14:textId="77777777" w:rsidR="005D590C" w:rsidRPr="009A1451" w:rsidRDefault="00000000" w:rsidP="00A062E6">
      <w:pPr>
        <w:pStyle w:val="Heading2"/>
        <w:numPr>
          <w:ilvl w:val="0"/>
          <w:numId w:val="0"/>
        </w:numPr>
        <w:ind w:left="578" w:hanging="578"/>
        <w:rPr>
          <w:lang w:val="fr-CA"/>
        </w:rPr>
      </w:pPr>
      <w:bookmarkStart w:id="41" w:name="_Toc127851693"/>
      <w:r w:rsidRPr="009A1451">
        <w:rPr>
          <w:lang w:val="fr-CA"/>
        </w:rPr>
        <w:t>Article 32 - Coopération internationale</w:t>
      </w:r>
      <w:bookmarkEnd w:id="41"/>
    </w:p>
    <w:p w14:paraId="65960D0A" w14:textId="50E77C94" w:rsidR="00CD7EB3" w:rsidRDefault="00CD7EB3" w:rsidP="00A062E6">
      <w:pPr>
        <w:pStyle w:val="Heading3"/>
        <w:numPr>
          <w:ilvl w:val="0"/>
          <w:numId w:val="0"/>
        </w:numPr>
        <w:ind w:left="720" w:hanging="720"/>
        <w:rPr>
          <w:lang w:val="fr-CA"/>
        </w:rPr>
      </w:pPr>
      <w:bookmarkStart w:id="42" w:name="_Toc127851694"/>
      <w:r>
        <w:rPr>
          <w:lang w:val="fr-CA"/>
        </w:rPr>
        <w:t>Observations générales</w:t>
      </w:r>
      <w:bookmarkEnd w:id="42"/>
    </w:p>
    <w:p w14:paraId="5C79290C" w14:textId="3D658AE7" w:rsidR="005D590C" w:rsidRDefault="00000000" w:rsidP="00A062E6">
      <w:pPr>
        <w:pStyle w:val="ListParagraph"/>
        <w:numPr>
          <w:ilvl w:val="0"/>
          <w:numId w:val="3"/>
        </w:numPr>
        <w:rPr>
          <w:szCs w:val="24"/>
          <w:lang w:val="fr-CA"/>
        </w:rPr>
      </w:pPr>
      <w:r w:rsidRPr="00CD7EB3">
        <w:rPr>
          <w:szCs w:val="24"/>
          <w:lang w:val="fr-CA"/>
        </w:rPr>
        <w:t xml:space="preserve">Selon le rapport de </w:t>
      </w:r>
      <w:r w:rsidR="00CD7EB3" w:rsidRPr="00CD7EB3">
        <w:rPr>
          <w:szCs w:val="24"/>
          <w:lang w:val="fr-CA"/>
        </w:rPr>
        <w:t>l'</w:t>
      </w:r>
      <w:r w:rsidR="00AF2411">
        <w:rPr>
          <w:szCs w:val="24"/>
          <w:lang w:val="fr-CA"/>
        </w:rPr>
        <w:t>État</w:t>
      </w:r>
      <w:r w:rsidR="00CD7EB3" w:rsidRPr="00CD7EB3">
        <w:rPr>
          <w:szCs w:val="24"/>
          <w:lang w:val="fr-CA"/>
        </w:rPr>
        <w:t>,</w:t>
      </w:r>
      <w:r w:rsidRPr="00CD7EB3">
        <w:rPr>
          <w:szCs w:val="24"/>
          <w:lang w:val="fr-CA"/>
        </w:rPr>
        <w:t xml:space="preserve"> un accord de coopération a été signé entre la Tunisie et l’Italie (para.149) pour l’implémentation de la CRPD. </w:t>
      </w:r>
      <w:r w:rsidR="00CD7EB3" w:rsidRPr="00CD7EB3">
        <w:rPr>
          <w:szCs w:val="24"/>
          <w:lang w:val="fr-CA"/>
        </w:rPr>
        <w:t>Cependant, les</w:t>
      </w:r>
      <w:r w:rsidRPr="00CD7EB3">
        <w:rPr>
          <w:szCs w:val="24"/>
          <w:lang w:val="fr-CA"/>
        </w:rPr>
        <w:t xml:space="preserve"> Organisations de personnes handicapées n’ont</w:t>
      </w:r>
      <w:r w:rsidR="00CD7EB3">
        <w:rPr>
          <w:szCs w:val="24"/>
          <w:lang w:val="fr-CA"/>
        </w:rPr>
        <w:t xml:space="preserve"> été</w:t>
      </w:r>
      <w:r w:rsidRPr="00CD7EB3">
        <w:rPr>
          <w:szCs w:val="24"/>
          <w:lang w:val="fr-CA"/>
        </w:rPr>
        <w:t xml:space="preserve"> ni consultées lors de l’élaboration de ce partenariat ni lors de sa mise en œuvre. Il est à noter que le projet vient tout juste de démarrer (fin 2022</w:t>
      </w:r>
      <w:r w:rsidR="00CD7EB3">
        <w:rPr>
          <w:szCs w:val="24"/>
          <w:lang w:val="fr-CA"/>
        </w:rPr>
        <w:t>)</w:t>
      </w:r>
    </w:p>
    <w:p w14:paraId="08AD0C9A" w14:textId="585BBF75" w:rsidR="00CD7EB3" w:rsidRPr="00CD7EB3" w:rsidRDefault="00CD7EB3" w:rsidP="00A062E6">
      <w:pPr>
        <w:pStyle w:val="Heading3"/>
        <w:numPr>
          <w:ilvl w:val="0"/>
          <w:numId w:val="0"/>
        </w:numPr>
        <w:ind w:left="720" w:hanging="720"/>
        <w:rPr>
          <w:lang w:val="fr-CA"/>
        </w:rPr>
      </w:pPr>
      <w:bookmarkStart w:id="43" w:name="_Toc127851695"/>
      <w:r>
        <w:rPr>
          <w:lang w:val="fr-CA"/>
        </w:rPr>
        <w:t>Recommandations</w:t>
      </w:r>
      <w:bookmarkEnd w:id="43"/>
    </w:p>
    <w:p w14:paraId="4FAA3531" w14:textId="77777777" w:rsidR="00CD7EB3" w:rsidRDefault="00000000" w:rsidP="00A062E6">
      <w:pPr>
        <w:pStyle w:val="ListParagraph"/>
        <w:numPr>
          <w:ilvl w:val="0"/>
          <w:numId w:val="10"/>
        </w:numPr>
        <w:rPr>
          <w:szCs w:val="24"/>
          <w:lang w:val="fr-CA"/>
        </w:rPr>
      </w:pPr>
      <w:r w:rsidRPr="00CD7EB3">
        <w:rPr>
          <w:szCs w:val="24"/>
          <w:lang w:val="fr-CA"/>
        </w:rPr>
        <w:t>L’implication immédiate des personnes handicapées et de leurs organisations représentatives dans la prise de décision et la mise en œuvre de ce programme.</w:t>
      </w:r>
    </w:p>
    <w:p w14:paraId="64AF6992" w14:textId="77777777" w:rsidR="00CD7EB3" w:rsidRDefault="00000000" w:rsidP="00A062E6">
      <w:pPr>
        <w:pStyle w:val="ListParagraph"/>
        <w:numPr>
          <w:ilvl w:val="0"/>
          <w:numId w:val="10"/>
        </w:numPr>
        <w:rPr>
          <w:szCs w:val="24"/>
          <w:lang w:val="fr-CA"/>
        </w:rPr>
      </w:pPr>
      <w:r w:rsidRPr="00CD7EB3">
        <w:rPr>
          <w:szCs w:val="24"/>
          <w:lang w:val="fr-CA"/>
        </w:rPr>
        <w:t>Selon nos informations, le programme vise à la création d’une stratégie nationale sur le handicap. Nous recommandons donc, que cette stratégie soit développée conjointement avec le concours et selon les priorités identifiées par les organisations de personnes handicapées.</w:t>
      </w:r>
    </w:p>
    <w:p w14:paraId="5135835A" w14:textId="483708B6" w:rsidR="005D590C" w:rsidRPr="00CD7EB3" w:rsidRDefault="00000000" w:rsidP="00A062E6">
      <w:pPr>
        <w:pStyle w:val="ListParagraph"/>
        <w:numPr>
          <w:ilvl w:val="0"/>
          <w:numId w:val="10"/>
        </w:numPr>
        <w:rPr>
          <w:szCs w:val="24"/>
          <w:lang w:val="fr-CA"/>
        </w:rPr>
      </w:pPr>
      <w:r w:rsidRPr="00CD7EB3">
        <w:rPr>
          <w:szCs w:val="24"/>
          <w:lang w:val="fr-CA"/>
        </w:rPr>
        <w:t xml:space="preserve">Nous recommandons également que tous les projets financés grâce à la coopération internationale impliquent de façon systématique et </w:t>
      </w:r>
      <w:r w:rsidR="00CD7EB3" w:rsidRPr="00CD7EB3">
        <w:rPr>
          <w:szCs w:val="24"/>
          <w:lang w:val="fr-CA"/>
        </w:rPr>
        <w:t>effective les</w:t>
      </w:r>
      <w:r w:rsidRPr="00CD7EB3">
        <w:rPr>
          <w:szCs w:val="24"/>
          <w:lang w:val="fr-CA"/>
        </w:rPr>
        <w:t xml:space="preserve"> organisations de personnes handicapées.</w:t>
      </w:r>
    </w:p>
    <w:p w14:paraId="0CFCEB24" w14:textId="1AC918BB" w:rsidR="005D590C" w:rsidRDefault="00000000" w:rsidP="00A062E6">
      <w:pPr>
        <w:pStyle w:val="Heading2"/>
        <w:numPr>
          <w:ilvl w:val="0"/>
          <w:numId w:val="0"/>
        </w:numPr>
        <w:ind w:left="578" w:hanging="578"/>
        <w:rPr>
          <w:lang w:val="fr-CA"/>
        </w:rPr>
      </w:pPr>
      <w:bookmarkStart w:id="44" w:name="_Toc127851696"/>
      <w:r w:rsidRPr="009A1451">
        <w:rPr>
          <w:lang w:val="fr-CA"/>
        </w:rPr>
        <w:t>Article 33 - Mise en œuvre et suivi au niveau national</w:t>
      </w:r>
      <w:bookmarkEnd w:id="44"/>
    </w:p>
    <w:p w14:paraId="2FC68664" w14:textId="1DDD09C9" w:rsidR="00CD7EB3" w:rsidRPr="00CD7EB3" w:rsidRDefault="00CD7EB3" w:rsidP="00A062E6">
      <w:pPr>
        <w:pStyle w:val="Heading3"/>
        <w:numPr>
          <w:ilvl w:val="0"/>
          <w:numId w:val="0"/>
        </w:numPr>
        <w:ind w:left="720" w:hanging="720"/>
        <w:rPr>
          <w:lang w:val="fr-CA"/>
        </w:rPr>
      </w:pPr>
      <w:bookmarkStart w:id="45" w:name="_Toc127851697"/>
      <w:r>
        <w:rPr>
          <w:lang w:val="fr-CA"/>
        </w:rPr>
        <w:t>Observations générales</w:t>
      </w:r>
      <w:bookmarkEnd w:id="45"/>
    </w:p>
    <w:p w14:paraId="42B49EB6" w14:textId="268591FB" w:rsidR="006B56BC" w:rsidRDefault="00000000" w:rsidP="00A062E6">
      <w:pPr>
        <w:pStyle w:val="ListParagraph"/>
        <w:numPr>
          <w:ilvl w:val="0"/>
          <w:numId w:val="3"/>
        </w:numPr>
        <w:spacing w:after="200"/>
        <w:rPr>
          <w:szCs w:val="24"/>
          <w:lang w:val="fr-CA"/>
        </w:rPr>
      </w:pPr>
      <w:r w:rsidRPr="006B56BC">
        <w:rPr>
          <w:szCs w:val="24"/>
          <w:lang w:val="fr-CA"/>
        </w:rPr>
        <w:t>Le tissu démocratique de l'</w:t>
      </w:r>
      <w:r w:rsidR="00AF2411">
        <w:rPr>
          <w:szCs w:val="24"/>
          <w:lang w:val="fr-CA"/>
        </w:rPr>
        <w:t>État</w:t>
      </w:r>
      <w:r w:rsidRPr="006B56BC">
        <w:rPr>
          <w:szCs w:val="24"/>
          <w:lang w:val="fr-CA"/>
        </w:rPr>
        <w:t xml:space="preserve"> tunisien est basé sur décentralisation garanti par le titre VII de la Constitution de la République tunisienne de 2014 (autorité locale). </w:t>
      </w:r>
      <w:r w:rsidR="006B56BC">
        <w:rPr>
          <w:szCs w:val="24"/>
          <w:lang w:val="fr-CA"/>
        </w:rPr>
        <w:t>En</w:t>
      </w:r>
      <w:r w:rsidRPr="006B56BC">
        <w:rPr>
          <w:szCs w:val="24"/>
          <w:lang w:val="fr-CA"/>
        </w:rPr>
        <w:t xml:space="preserve"> 2014, l’Assemblée tunisienne avait fait un pas positif vers la réalisation de ces aspirations en introduisant un plan d’intégration au sein du </w:t>
      </w:r>
      <w:proofErr w:type="gramStart"/>
      <w:r w:rsidRPr="006B56BC">
        <w:rPr>
          <w:szCs w:val="24"/>
          <w:lang w:val="fr-CA"/>
        </w:rPr>
        <w:t>Ministère</w:t>
      </w:r>
      <w:proofErr w:type="gramEnd"/>
      <w:r w:rsidRPr="006B56BC">
        <w:rPr>
          <w:szCs w:val="24"/>
          <w:lang w:val="fr-CA"/>
        </w:rPr>
        <w:t xml:space="preserve"> des Affaires sociales pour faciliter la résolution des problèmes de handicap. </w:t>
      </w:r>
    </w:p>
    <w:p w14:paraId="491F2AC4" w14:textId="01C56534" w:rsidR="006B56BC" w:rsidRDefault="00000000" w:rsidP="00A062E6">
      <w:pPr>
        <w:pStyle w:val="ListParagraph"/>
        <w:numPr>
          <w:ilvl w:val="0"/>
          <w:numId w:val="3"/>
        </w:numPr>
        <w:spacing w:after="200"/>
        <w:rPr>
          <w:szCs w:val="24"/>
          <w:lang w:val="fr-CA"/>
        </w:rPr>
      </w:pPr>
      <w:r w:rsidRPr="006B56BC">
        <w:rPr>
          <w:szCs w:val="24"/>
          <w:lang w:val="fr-CA"/>
        </w:rPr>
        <w:t xml:space="preserve">Cependant, en 2016, le gouvernement tunisien a aboli le plan, dans lequel nous voyons une violation flagrante de l’article 33 de la Convention à son premier point. Il convient de </w:t>
      </w:r>
      <w:r w:rsidRPr="006B56BC">
        <w:rPr>
          <w:szCs w:val="24"/>
          <w:lang w:val="fr-CA"/>
        </w:rPr>
        <w:lastRenderedPageBreak/>
        <w:t>rappeler que l’établissement de ce plan est le résultat d’un effort conjoint entre l’Organisation tunisienne pour la défense des droits des personnes handicapées et plusieurs organisations nationales et internationales en obtenant la signature de la Charte sur les Droits des personnes handicapées par tous les partis politiques et les personnalités en lice pour les élections législatives et présidentielles de 2014, (Annexe 12) , dont le deuxième point comprenait la création d’un Plan d’intégration avec le Gouvernement du Secrétaire d’</w:t>
      </w:r>
      <w:r w:rsidR="00AF2411">
        <w:rPr>
          <w:szCs w:val="24"/>
          <w:lang w:val="fr-CA"/>
        </w:rPr>
        <w:t>État</w:t>
      </w:r>
      <w:r w:rsidRPr="006B56BC">
        <w:rPr>
          <w:szCs w:val="24"/>
          <w:lang w:val="fr-CA"/>
        </w:rPr>
        <w:t xml:space="preserve"> et d’un Comité de la Chambre des représentants du peuple sur les droits des personnes handicapées, qui a ensuite été établi sous le titre "Comité des personnes handicapées et des groupes vulnérables". </w:t>
      </w:r>
    </w:p>
    <w:p w14:paraId="514A1BE8" w14:textId="182E73DA" w:rsidR="005D590C" w:rsidRPr="006B56BC" w:rsidRDefault="00000000" w:rsidP="00A062E6">
      <w:pPr>
        <w:pStyle w:val="ListParagraph"/>
        <w:numPr>
          <w:ilvl w:val="0"/>
          <w:numId w:val="3"/>
        </w:numPr>
        <w:spacing w:after="200"/>
        <w:rPr>
          <w:szCs w:val="24"/>
          <w:lang w:val="fr-CA"/>
        </w:rPr>
      </w:pPr>
      <w:r w:rsidRPr="006B56BC">
        <w:rPr>
          <w:szCs w:val="24"/>
          <w:lang w:val="fr-CA"/>
        </w:rPr>
        <w:t xml:space="preserve">Il est également important d’insister pour faire référence à une violation au deuxième point de l’article 33 de la Convention relative aux droits des personnes handicapées. </w:t>
      </w:r>
      <w:r w:rsidR="006B56BC" w:rsidRPr="006B56BC">
        <w:rPr>
          <w:szCs w:val="24"/>
          <w:lang w:val="fr-CA"/>
        </w:rPr>
        <w:t xml:space="preserve"> </w:t>
      </w:r>
      <w:r w:rsidRPr="006B56BC">
        <w:rPr>
          <w:szCs w:val="24"/>
          <w:lang w:val="fr-CA"/>
        </w:rPr>
        <w:t xml:space="preserve">Le Conseil suprême pour les droits des personnes handicapées, réglementé par l’arrêté 3029-2005 du 21 novembre 2005, a été dissous par l’Assemblée des Représentants du Peuple depuis 2011. </w:t>
      </w:r>
    </w:p>
    <w:p w14:paraId="231D65A1" w14:textId="77777777" w:rsidR="005D590C" w:rsidRPr="009A1451" w:rsidRDefault="005D590C" w:rsidP="00A062E6">
      <w:pPr>
        <w:spacing w:after="200"/>
        <w:rPr>
          <w:szCs w:val="24"/>
          <w:lang w:val="fr-CA"/>
        </w:rPr>
      </w:pPr>
    </w:p>
    <w:p w14:paraId="39D09CDE" w14:textId="77777777" w:rsidR="005D590C" w:rsidRPr="009A1451" w:rsidRDefault="005D590C" w:rsidP="00A062E6">
      <w:pPr>
        <w:spacing w:after="200"/>
        <w:rPr>
          <w:szCs w:val="24"/>
          <w:lang w:val="fr-CA"/>
        </w:rPr>
      </w:pPr>
    </w:p>
    <w:p w14:paraId="131EC027" w14:textId="77777777" w:rsidR="005D590C" w:rsidRPr="009A1451" w:rsidRDefault="005D590C" w:rsidP="00A062E6">
      <w:pPr>
        <w:spacing w:after="200"/>
        <w:rPr>
          <w:szCs w:val="24"/>
          <w:lang w:val="fr-CA"/>
        </w:rPr>
      </w:pPr>
    </w:p>
    <w:p w14:paraId="1DBE40EE" w14:textId="77777777" w:rsidR="005D590C" w:rsidRPr="009A1451" w:rsidRDefault="005D590C" w:rsidP="00A062E6">
      <w:pPr>
        <w:spacing w:after="200"/>
        <w:rPr>
          <w:szCs w:val="24"/>
          <w:lang w:val="fr-CA"/>
        </w:rPr>
      </w:pPr>
    </w:p>
    <w:p w14:paraId="26CDBD1C" w14:textId="77777777" w:rsidR="005D590C" w:rsidRPr="009A1451" w:rsidRDefault="005D590C" w:rsidP="00A062E6">
      <w:pPr>
        <w:spacing w:after="200"/>
        <w:rPr>
          <w:szCs w:val="24"/>
          <w:lang w:val="fr-CA"/>
        </w:rPr>
      </w:pPr>
    </w:p>
    <w:p w14:paraId="3DDC9C0F" w14:textId="77777777" w:rsidR="005D590C" w:rsidRPr="009A1451" w:rsidRDefault="005D590C" w:rsidP="00A062E6">
      <w:pPr>
        <w:spacing w:after="200"/>
        <w:rPr>
          <w:szCs w:val="24"/>
          <w:lang w:val="fr-CA"/>
        </w:rPr>
      </w:pPr>
    </w:p>
    <w:sectPr w:rsidR="005D590C" w:rsidRPr="009A1451" w:rsidSect="009A1451">
      <w:pgSz w:w="11909" w:h="16834"/>
      <w:pgMar w:top="1440" w:right="1399"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7A638" w14:textId="77777777" w:rsidR="00164A76" w:rsidRDefault="00164A76">
      <w:pPr>
        <w:spacing w:line="240" w:lineRule="auto"/>
      </w:pPr>
      <w:r>
        <w:separator/>
      </w:r>
    </w:p>
  </w:endnote>
  <w:endnote w:type="continuationSeparator" w:id="0">
    <w:p w14:paraId="0C00B06B" w14:textId="77777777" w:rsidR="00164A76" w:rsidRDefault="00164A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945070"/>
      <w:docPartObj>
        <w:docPartGallery w:val="Page Numbers (Bottom of Page)"/>
        <w:docPartUnique/>
      </w:docPartObj>
    </w:sdtPr>
    <w:sdtContent>
      <w:p w14:paraId="174C17DF" w14:textId="75BF9A0D" w:rsidR="002604C7" w:rsidRDefault="002604C7" w:rsidP="008C2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6C1ADE" w14:textId="77777777" w:rsidR="00D113C6" w:rsidRDefault="00D113C6" w:rsidP="002604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2351982"/>
      <w:docPartObj>
        <w:docPartGallery w:val="Page Numbers (Bottom of Page)"/>
        <w:docPartUnique/>
      </w:docPartObj>
    </w:sdtPr>
    <w:sdtContent>
      <w:p w14:paraId="56EEFBFE" w14:textId="0758A19B" w:rsidR="002604C7" w:rsidRDefault="002604C7" w:rsidP="008C2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26C8C9" w14:textId="13F91D8A" w:rsidR="005D590C" w:rsidRDefault="005D590C" w:rsidP="002604C7">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9CD9" w14:textId="77777777" w:rsidR="00D113C6" w:rsidRDefault="00D11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C2EF9" w14:textId="77777777" w:rsidR="00164A76" w:rsidRDefault="00164A76">
      <w:pPr>
        <w:spacing w:line="240" w:lineRule="auto"/>
      </w:pPr>
      <w:r>
        <w:separator/>
      </w:r>
    </w:p>
  </w:footnote>
  <w:footnote w:type="continuationSeparator" w:id="0">
    <w:p w14:paraId="559BEE6D" w14:textId="77777777" w:rsidR="00164A76" w:rsidRDefault="00164A76">
      <w:pPr>
        <w:spacing w:line="240" w:lineRule="auto"/>
      </w:pPr>
      <w:r>
        <w:continuationSeparator/>
      </w:r>
    </w:p>
  </w:footnote>
  <w:footnote w:id="1">
    <w:p w14:paraId="4B89BD63"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 xml:space="preserve"> À l´exception de l´article 15 CDPH, dont est abordé aux paragraphes 129 à 137, mais mal placé sous l´article 7 CDPH et la question 12 de la Liste des questions avant le rapport.</w:t>
      </w:r>
    </w:p>
  </w:footnote>
  <w:footnote w:id="2">
    <w:p w14:paraId="7F5AB527" w14:textId="55E49626" w:rsidR="003C709F" w:rsidRPr="00AF2411" w:rsidRDefault="009868AA" w:rsidP="003C709F">
      <w:pPr>
        <w:pStyle w:val="FootnoteText"/>
        <w:rPr>
          <w:lang w:val="fr-CA"/>
        </w:rPr>
      </w:pPr>
      <w:r>
        <w:rPr>
          <w:rStyle w:val="FootnoteReference"/>
        </w:rPr>
        <w:footnoteRef/>
      </w:r>
      <w:r w:rsidRPr="009868AA">
        <w:rPr>
          <w:lang w:val="fr-CA"/>
        </w:rPr>
        <w:t xml:space="preserve"> </w:t>
      </w:r>
      <w:r w:rsidR="00000000">
        <w:fldChar w:fldCharType="begin"/>
      </w:r>
      <w:r w:rsidR="00000000" w:rsidRPr="00215FA8">
        <w:rPr>
          <w:lang w:val="fr-CH"/>
        </w:rPr>
        <w:instrText>HYPERLINK "https://www.social.gov.tn/fr/attribution-de-carte-de-handicap"</w:instrText>
      </w:r>
      <w:r w:rsidR="00000000">
        <w:fldChar w:fldCharType="separate"/>
      </w:r>
      <w:r w:rsidR="003C709F" w:rsidRPr="003C709F">
        <w:rPr>
          <w:rStyle w:val="Hyperlink"/>
          <w:lang w:val="fr-CA"/>
        </w:rPr>
        <w:t>Attribution de carte de handicap | Ministère des Affaires sociales</w:t>
      </w:r>
      <w:r w:rsidR="00000000">
        <w:rPr>
          <w:rStyle w:val="Hyperlink"/>
          <w:lang w:val="fr-CA"/>
        </w:rPr>
        <w:fldChar w:fldCharType="end"/>
      </w:r>
    </w:p>
  </w:footnote>
  <w:footnote w:id="3">
    <w:p w14:paraId="7E334F5C" w14:textId="77777777" w:rsidR="005D590C" w:rsidRDefault="00000000">
      <w:pPr>
        <w:spacing w:line="240" w:lineRule="auto"/>
        <w:rPr>
          <w:sz w:val="20"/>
          <w:szCs w:val="20"/>
        </w:rPr>
      </w:pPr>
      <w:r>
        <w:rPr>
          <w:vertAlign w:val="superscript"/>
        </w:rPr>
        <w:footnoteRef/>
      </w:r>
      <w:r w:rsidRPr="009A1451">
        <w:rPr>
          <w:sz w:val="20"/>
          <w:szCs w:val="20"/>
          <w:lang w:val="es-ES"/>
        </w:rPr>
        <w:t xml:space="preserve"> CRPD/C/TUN/CO/1, para. </w:t>
      </w:r>
      <w:r>
        <w:rPr>
          <w:sz w:val="20"/>
          <w:szCs w:val="20"/>
        </w:rPr>
        <w:t>9: “The Committee invites the State party to review and reformulate the definition of disability based on the Convention.”</w:t>
      </w:r>
    </w:p>
  </w:footnote>
  <w:footnote w:id="4">
    <w:p w14:paraId="117878CE"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 xml:space="preserve"> Ajouter citation de l´article 2, loi 83-2005.</w:t>
      </w:r>
    </w:p>
  </w:footnote>
  <w:footnote w:id="5">
    <w:p w14:paraId="55BF3E64"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 xml:space="preserve"> Voir la plateforme de la société civile tunisienne </w:t>
      </w:r>
      <w:r w:rsidRPr="009A1451">
        <w:rPr>
          <w:sz w:val="20"/>
          <w:szCs w:val="20"/>
          <w:lang w:val="fr-CA"/>
        </w:rPr>
        <w:t xml:space="preserve">jamaity   </w:t>
      </w:r>
      <w:r w:rsidRPr="009A1451">
        <w:rPr>
          <w:sz w:val="20"/>
          <w:szCs w:val="20"/>
          <w:lang w:val="fr-CA"/>
        </w:rPr>
        <w:t xml:space="preserve">https://jamaity.org/  ( </w:t>
      </w:r>
      <w:r>
        <w:rPr>
          <w:sz w:val="20"/>
          <w:szCs w:val="20"/>
          <w:rtl/>
        </w:rPr>
        <w:t>جمعيتي</w:t>
      </w:r>
      <w:r w:rsidRPr="009A1451">
        <w:rPr>
          <w:sz w:val="20"/>
          <w:szCs w:val="20"/>
          <w:lang w:val="fr-CA"/>
        </w:rPr>
        <w:t xml:space="preserve"> ).</w:t>
      </w:r>
    </w:p>
  </w:footnote>
  <w:footnote w:id="6">
    <w:p w14:paraId="24C96E14" w14:textId="77777777" w:rsidR="005D590C" w:rsidRPr="00215FA8" w:rsidRDefault="00000000">
      <w:pPr>
        <w:spacing w:line="240" w:lineRule="auto"/>
        <w:rPr>
          <w:sz w:val="20"/>
          <w:szCs w:val="20"/>
          <w:lang w:val="es-ES"/>
        </w:rPr>
      </w:pPr>
      <w:r>
        <w:rPr>
          <w:vertAlign w:val="superscript"/>
        </w:rPr>
        <w:footnoteRef/>
      </w:r>
      <w:r w:rsidRPr="00215FA8">
        <w:rPr>
          <w:sz w:val="20"/>
          <w:szCs w:val="20"/>
          <w:lang w:val="es-ES"/>
        </w:rPr>
        <w:t xml:space="preserve"> CRPD/C/TUN/CO/1, para. 13.</w:t>
      </w:r>
    </w:p>
  </w:footnote>
  <w:footnote w:id="7">
    <w:p w14:paraId="5E90B062" w14:textId="77777777" w:rsidR="005D590C" w:rsidRPr="009A1451" w:rsidRDefault="00000000">
      <w:pPr>
        <w:spacing w:line="240" w:lineRule="auto"/>
        <w:rPr>
          <w:sz w:val="20"/>
          <w:szCs w:val="20"/>
          <w:lang w:val="es-ES"/>
        </w:rPr>
      </w:pPr>
      <w:r>
        <w:rPr>
          <w:vertAlign w:val="superscript"/>
        </w:rPr>
        <w:footnoteRef/>
      </w:r>
      <w:r w:rsidRPr="00215FA8">
        <w:rPr>
          <w:sz w:val="20"/>
          <w:szCs w:val="20"/>
          <w:lang w:val="es-ES"/>
        </w:rPr>
        <w:t xml:space="preserve"> CRPD/C/TUN/QPR/2-3, para. </w:t>
      </w:r>
      <w:r w:rsidRPr="009A1451">
        <w:rPr>
          <w:sz w:val="20"/>
          <w:szCs w:val="20"/>
          <w:lang w:val="es-ES"/>
        </w:rPr>
        <w:t xml:space="preserve">8. </w:t>
      </w:r>
    </w:p>
  </w:footnote>
  <w:footnote w:id="8">
    <w:p w14:paraId="6FCB8580" w14:textId="77777777" w:rsidR="005D590C" w:rsidRPr="00215FA8" w:rsidRDefault="00000000">
      <w:pPr>
        <w:spacing w:line="240" w:lineRule="auto"/>
        <w:rPr>
          <w:sz w:val="20"/>
          <w:szCs w:val="20"/>
          <w:lang w:val="fr-CH"/>
        </w:rPr>
      </w:pPr>
      <w:r>
        <w:rPr>
          <w:vertAlign w:val="superscript"/>
        </w:rPr>
        <w:footnoteRef/>
      </w:r>
      <w:r w:rsidRPr="009A1451">
        <w:rPr>
          <w:sz w:val="20"/>
          <w:szCs w:val="20"/>
          <w:lang w:val="es-ES"/>
        </w:rPr>
        <w:t xml:space="preserve"> CRPD/C/TUN/2-3, para. </w:t>
      </w:r>
      <w:r w:rsidRPr="00215FA8">
        <w:rPr>
          <w:sz w:val="20"/>
          <w:szCs w:val="20"/>
          <w:lang w:val="fr-CH"/>
        </w:rPr>
        <w:t>49.</w:t>
      </w:r>
    </w:p>
  </w:footnote>
  <w:footnote w:id="9">
    <w:p w14:paraId="6DCD80E6" w14:textId="77777777" w:rsidR="005D590C" w:rsidRPr="00AF2411" w:rsidRDefault="00000000">
      <w:pPr>
        <w:spacing w:line="240" w:lineRule="auto"/>
        <w:rPr>
          <w:sz w:val="20"/>
          <w:szCs w:val="20"/>
          <w:lang w:val="fr-CA"/>
        </w:rPr>
      </w:pPr>
      <w:r>
        <w:rPr>
          <w:vertAlign w:val="superscript"/>
        </w:rPr>
        <w:footnoteRef/>
      </w:r>
      <w:r w:rsidRPr="00215FA8">
        <w:rPr>
          <w:sz w:val="20"/>
          <w:szCs w:val="20"/>
          <w:lang w:val="fr-CH"/>
        </w:rPr>
        <w:t xml:space="preserve"> CRPD/C/TUN/2-3, para. </w:t>
      </w:r>
      <w:r w:rsidRPr="00AF2411">
        <w:rPr>
          <w:sz w:val="20"/>
          <w:szCs w:val="20"/>
          <w:lang w:val="fr-CA"/>
        </w:rPr>
        <w:t>49.</w:t>
      </w:r>
    </w:p>
  </w:footnote>
  <w:footnote w:id="10">
    <w:p w14:paraId="5D8EBA46" w14:textId="478CEBD1" w:rsidR="00D31792" w:rsidRPr="00AF2411" w:rsidRDefault="00D31792" w:rsidP="00D31792">
      <w:pPr>
        <w:pStyle w:val="FootnoteText"/>
        <w:rPr>
          <w:lang w:val="fr-CA"/>
        </w:rPr>
      </w:pPr>
      <w:r>
        <w:rPr>
          <w:rStyle w:val="FootnoteReference"/>
        </w:rPr>
        <w:footnoteRef/>
      </w:r>
      <w:r w:rsidRPr="00D31792">
        <w:rPr>
          <w:lang w:val="fr-CA"/>
        </w:rPr>
        <w:t xml:space="preserve"> </w:t>
      </w:r>
      <w:hyperlink r:id="rId1" w:history="1">
        <w:r w:rsidRPr="00D31792">
          <w:rPr>
            <w:rStyle w:val="Hyperlink"/>
            <w:lang w:val="fr-CA"/>
          </w:rPr>
          <w:t>Loi organique n° 2018-50 du 23 octobre 2018, relative à l'élimination de toutes les formes de discrimination raciale | DCAF Tunisie (legislation-securite.tn)</w:t>
        </w:r>
      </w:hyperlink>
    </w:p>
  </w:footnote>
  <w:footnote w:id="11">
    <w:p w14:paraId="7FD6EC11" w14:textId="77777777" w:rsidR="005D590C" w:rsidRPr="00AF2411" w:rsidRDefault="00000000">
      <w:pPr>
        <w:spacing w:line="240" w:lineRule="auto"/>
        <w:rPr>
          <w:sz w:val="20"/>
          <w:szCs w:val="20"/>
          <w:lang w:val="fr-CA"/>
        </w:rPr>
      </w:pPr>
      <w:r>
        <w:rPr>
          <w:vertAlign w:val="superscript"/>
        </w:rPr>
        <w:footnoteRef/>
      </w:r>
      <w:r w:rsidRPr="00AF2411">
        <w:rPr>
          <w:sz w:val="20"/>
          <w:szCs w:val="20"/>
          <w:lang w:val="fr-CA"/>
        </w:rPr>
        <w:t xml:space="preserve"> http://ins.tn/sites/default/files/publication/pdf/RGPH%202014-V7.pdf</w:t>
      </w:r>
    </w:p>
  </w:footnote>
  <w:footnote w:id="12">
    <w:p w14:paraId="732B3365"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 xml:space="preserve"> Arrêté conjoint du ministre des </w:t>
      </w:r>
      <w:r w:rsidRPr="009A1451">
        <w:rPr>
          <w:sz w:val="20"/>
          <w:szCs w:val="20"/>
          <w:lang w:val="fr-CA"/>
        </w:rPr>
        <w:t>affaires sociales, de la solidarité et des Tunisiens à l’étranger et du ministre de la santé publique du 11 avril 2007, fixant les conditions et les procédures de création des établissements privés spécialisés dans l’hébergement et la prise en charge des personnes handicapées.</w:t>
      </w:r>
    </w:p>
  </w:footnote>
  <w:footnote w:id="13">
    <w:p w14:paraId="5B5FA732"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https://www.nessma.tv/fr/societe/actu/vers-la-generalisation-des-unites-de-vie-pour-personnes-handicapees-9749/3236</w:t>
      </w:r>
    </w:p>
  </w:footnote>
  <w:footnote w:id="14">
    <w:p w14:paraId="7F9E0C97"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 xml:space="preserve"> Décret gouvernemental n° 2017-363 du 1er mars 2017, portant création de l'unité de vie pour l'hébergement des personnes handicapées à Kairouan et fixant son organisation administrative et financière et ses modalités de fonctionnement.</w:t>
      </w:r>
    </w:p>
  </w:footnote>
  <w:footnote w:id="15">
    <w:p w14:paraId="6D55FE7B" w14:textId="77777777" w:rsidR="005D590C" w:rsidRPr="009A1451" w:rsidRDefault="00000000">
      <w:pPr>
        <w:spacing w:line="240" w:lineRule="auto"/>
        <w:rPr>
          <w:sz w:val="20"/>
          <w:szCs w:val="20"/>
          <w:lang w:val="fr-CA"/>
        </w:rPr>
      </w:pPr>
      <w:r>
        <w:rPr>
          <w:vertAlign w:val="superscript"/>
        </w:rPr>
        <w:footnoteRef/>
      </w:r>
      <w:r w:rsidRPr="009A1451">
        <w:rPr>
          <w:sz w:val="20"/>
          <w:szCs w:val="20"/>
          <w:lang w:val="fr-CA"/>
        </w:rPr>
        <w:t>https://www.letemps.news/2023/01/09/deces-dun-patient-a-lhopital-psychiatrique-razi-le-parquet-entame-une-enquete/</w:t>
      </w:r>
    </w:p>
  </w:footnote>
  <w:footnote w:id="16">
    <w:p w14:paraId="2A9577F4" w14:textId="43278B54" w:rsidR="00D907F2" w:rsidRPr="00D907F2" w:rsidRDefault="00D907F2" w:rsidP="00D907F2">
      <w:pPr>
        <w:pStyle w:val="FootnoteText"/>
        <w:rPr>
          <w:lang w:val="fr-CA"/>
        </w:rPr>
      </w:pPr>
      <w:r>
        <w:rPr>
          <w:rStyle w:val="FootnoteReference"/>
        </w:rPr>
        <w:footnoteRef/>
      </w:r>
      <w:r w:rsidRPr="00AF2411">
        <w:rPr>
          <w:lang w:val="fr-CA"/>
        </w:rPr>
        <w:t xml:space="preserve"> </w:t>
      </w:r>
      <w:r w:rsidRPr="009A1451">
        <w:rPr>
          <w:lang w:val="fr-CA"/>
        </w:rPr>
        <w:t>CRPD/C/TUN/2-3</w:t>
      </w:r>
    </w:p>
  </w:footnote>
  <w:footnote w:id="17">
    <w:p w14:paraId="37EF3EB8" w14:textId="10D4B8AF" w:rsidR="00D907F2" w:rsidRPr="00D907F2" w:rsidRDefault="00D907F2">
      <w:pPr>
        <w:pStyle w:val="FootnoteText"/>
        <w:rPr>
          <w:lang w:val="fr-CA"/>
        </w:rPr>
      </w:pPr>
      <w:r>
        <w:rPr>
          <w:rStyle w:val="FootnoteReference"/>
        </w:rPr>
        <w:footnoteRef/>
      </w:r>
      <w:r w:rsidRPr="00D907F2">
        <w:rPr>
          <w:lang w:val="fr-CA"/>
        </w:rPr>
        <w:t xml:space="preserve"> </w:t>
      </w:r>
      <w:r w:rsidRPr="009A1451">
        <w:rPr>
          <w:lang w:val="fr-CA"/>
        </w:rPr>
        <w:t>Document budgétaire officiel du ministère de l’éducation pour l’année 2017</w:t>
      </w:r>
    </w:p>
  </w:footnote>
  <w:footnote w:id="18">
    <w:p w14:paraId="6F6DD9DE" w14:textId="50AE225C" w:rsidR="00D907F2" w:rsidRPr="00D907F2" w:rsidRDefault="00D907F2">
      <w:pPr>
        <w:pStyle w:val="FootnoteText"/>
        <w:rPr>
          <w:lang w:val="fr-CA"/>
        </w:rPr>
      </w:pPr>
      <w:r>
        <w:rPr>
          <w:rStyle w:val="FootnoteReference"/>
        </w:rPr>
        <w:footnoteRef/>
      </w:r>
      <w:r w:rsidRPr="00D907F2">
        <w:rPr>
          <w:lang w:val="fr-CA"/>
        </w:rPr>
        <w:t xml:space="preserve"> </w:t>
      </w:r>
      <w:r w:rsidRPr="009A1451">
        <w:rPr>
          <w:lang w:val="fr-CA"/>
        </w:rPr>
        <w:t>Calcul exigeant plus de données pour confirmation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6FEA" w14:textId="77777777" w:rsidR="00D113C6" w:rsidRDefault="00D113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1B948" w14:textId="77777777" w:rsidR="005D590C" w:rsidRDefault="005D590C">
    <w:pP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92BC4" w14:textId="77777777" w:rsidR="00D113C6" w:rsidRDefault="00D113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4C96"/>
    <w:multiLevelType w:val="hybridMultilevel"/>
    <w:tmpl w:val="C6AC2D92"/>
    <w:lvl w:ilvl="0" w:tplc="0C0C0005">
      <w:start w:val="1"/>
      <w:numFmt w:val="bullet"/>
      <w:lvlText w:val=""/>
      <w:lvlJc w:val="left"/>
      <w:pPr>
        <w:ind w:left="1440" w:hanging="360"/>
      </w:pPr>
      <w:rPr>
        <w:rFonts w:ascii="Wingdings" w:hAnsi="Wingdings"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 w15:restartNumberingAfterBreak="0">
    <w:nsid w:val="100E1D5C"/>
    <w:multiLevelType w:val="multilevel"/>
    <w:tmpl w:val="C0E6C6B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E37A95"/>
    <w:multiLevelType w:val="multilevel"/>
    <w:tmpl w:val="15FCCF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47A07D1"/>
    <w:multiLevelType w:val="multilevel"/>
    <w:tmpl w:val="F6362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6D64D9"/>
    <w:multiLevelType w:val="multilevel"/>
    <w:tmpl w:val="18D2AE7E"/>
    <w:lvl w:ilvl="0">
      <w:start w:val="1"/>
      <w:numFmt w:val="decimal"/>
      <w:lvlText w:val="%1)"/>
      <w:lvlJc w:val="left"/>
      <w:pPr>
        <w:ind w:left="0" w:firstLine="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24A0A0D"/>
    <w:multiLevelType w:val="multilevel"/>
    <w:tmpl w:val="3FFAD826"/>
    <w:lvl w:ilvl="0">
      <w:start w:val="1"/>
      <w:numFmt w:val="upperRoman"/>
      <w:pStyle w:val="Heading1"/>
      <w:lvlText w:val="%1."/>
      <w:lvlJc w:val="righ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8AF4878"/>
    <w:multiLevelType w:val="multilevel"/>
    <w:tmpl w:val="F3AEF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B548F0"/>
    <w:multiLevelType w:val="hybridMultilevel"/>
    <w:tmpl w:val="D46A76B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4B1024D"/>
    <w:multiLevelType w:val="multilevel"/>
    <w:tmpl w:val="7B642E98"/>
    <w:lvl w:ilvl="0">
      <w:start w:val="1"/>
      <w:numFmt w:val="decimal"/>
      <w:lvlText w:val="%1)"/>
      <w:lvlJc w:val="left"/>
      <w:pPr>
        <w:ind w:left="0"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8DB2EFD"/>
    <w:multiLevelType w:val="multilevel"/>
    <w:tmpl w:val="9F0C0592"/>
    <w:lvl w:ilvl="0">
      <w:start w:val="1"/>
      <w:numFmt w:val="decimal"/>
      <w:lvlText w:val="%1)"/>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CC56470"/>
    <w:multiLevelType w:val="hybridMultilevel"/>
    <w:tmpl w:val="B218B792"/>
    <w:lvl w:ilvl="0" w:tplc="0C0C0011">
      <w:start w:val="1"/>
      <w:numFmt w:val="decimal"/>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53715206"/>
    <w:multiLevelType w:val="multilevel"/>
    <w:tmpl w:val="EC089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0A5991"/>
    <w:multiLevelType w:val="multilevel"/>
    <w:tmpl w:val="942E3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3E348C"/>
    <w:multiLevelType w:val="hybridMultilevel"/>
    <w:tmpl w:val="43C2CADC"/>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5D5F5065"/>
    <w:multiLevelType w:val="multilevel"/>
    <w:tmpl w:val="FD14A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FA04CF5"/>
    <w:multiLevelType w:val="multilevel"/>
    <w:tmpl w:val="2C621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067814">
    <w:abstractNumId w:val="12"/>
  </w:num>
  <w:num w:numId="2" w16cid:durableId="303507356">
    <w:abstractNumId w:val="11"/>
  </w:num>
  <w:num w:numId="3" w16cid:durableId="1572620808">
    <w:abstractNumId w:val="4"/>
  </w:num>
  <w:num w:numId="4" w16cid:durableId="1426417693">
    <w:abstractNumId w:val="6"/>
  </w:num>
  <w:num w:numId="5" w16cid:durableId="1816995793">
    <w:abstractNumId w:val="2"/>
  </w:num>
  <w:num w:numId="6" w16cid:durableId="1342514461">
    <w:abstractNumId w:val="15"/>
  </w:num>
  <w:num w:numId="7" w16cid:durableId="588394569">
    <w:abstractNumId w:val="3"/>
  </w:num>
  <w:num w:numId="8" w16cid:durableId="2031643331">
    <w:abstractNumId w:val="14"/>
  </w:num>
  <w:num w:numId="9" w16cid:durableId="958099801">
    <w:abstractNumId w:val="5"/>
  </w:num>
  <w:num w:numId="10" w16cid:durableId="2031101766">
    <w:abstractNumId w:val="8"/>
  </w:num>
  <w:num w:numId="11" w16cid:durableId="1172262645">
    <w:abstractNumId w:val="13"/>
  </w:num>
  <w:num w:numId="12" w16cid:durableId="463428586">
    <w:abstractNumId w:val="1"/>
  </w:num>
  <w:num w:numId="13" w16cid:durableId="270666562">
    <w:abstractNumId w:val="0"/>
  </w:num>
  <w:num w:numId="14" w16cid:durableId="1771899512">
    <w:abstractNumId w:val="10"/>
  </w:num>
  <w:num w:numId="15" w16cid:durableId="1860311683">
    <w:abstractNumId w:val="9"/>
  </w:num>
  <w:num w:numId="16" w16cid:durableId="3177309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90C"/>
    <w:rsid w:val="000A2EF2"/>
    <w:rsid w:val="00164A76"/>
    <w:rsid w:val="0019583C"/>
    <w:rsid w:val="00215FA8"/>
    <w:rsid w:val="002604C7"/>
    <w:rsid w:val="00377349"/>
    <w:rsid w:val="003C709F"/>
    <w:rsid w:val="004807A1"/>
    <w:rsid w:val="004D3EC3"/>
    <w:rsid w:val="00510344"/>
    <w:rsid w:val="00546470"/>
    <w:rsid w:val="00546EBD"/>
    <w:rsid w:val="00582CF3"/>
    <w:rsid w:val="005930DA"/>
    <w:rsid w:val="005A32AE"/>
    <w:rsid w:val="005D590C"/>
    <w:rsid w:val="006A613F"/>
    <w:rsid w:val="006B56BC"/>
    <w:rsid w:val="00752B70"/>
    <w:rsid w:val="007A67DE"/>
    <w:rsid w:val="00912551"/>
    <w:rsid w:val="0092782B"/>
    <w:rsid w:val="00963FBA"/>
    <w:rsid w:val="009868AA"/>
    <w:rsid w:val="00994D47"/>
    <w:rsid w:val="009A1451"/>
    <w:rsid w:val="00A062E6"/>
    <w:rsid w:val="00AF2411"/>
    <w:rsid w:val="00B17A7A"/>
    <w:rsid w:val="00B7521B"/>
    <w:rsid w:val="00BA46FB"/>
    <w:rsid w:val="00CD5CA6"/>
    <w:rsid w:val="00CD7EB3"/>
    <w:rsid w:val="00D113C6"/>
    <w:rsid w:val="00D31792"/>
    <w:rsid w:val="00D650F8"/>
    <w:rsid w:val="00D877E5"/>
    <w:rsid w:val="00D907F2"/>
    <w:rsid w:val="00DB296A"/>
    <w:rsid w:val="00EB5E6F"/>
    <w:rsid w:val="00F115F5"/>
    <w:rsid w:val="00F153CA"/>
    <w:rsid w:val="00F43BB4"/>
    <w:rsid w:val="00F60EFB"/>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8C67"/>
  <w15:docId w15:val="{FB47A269-636A-4891-B1E5-5F0CF25E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451"/>
    <w:pPr>
      <w:spacing w:line="360" w:lineRule="auto"/>
      <w:ind w:firstLine="284"/>
      <w:jc w:val="both"/>
    </w:pPr>
    <w:rPr>
      <w:rFonts w:asciiTheme="majorBidi" w:hAnsiTheme="majorBidi"/>
      <w:sz w:val="24"/>
    </w:rPr>
  </w:style>
  <w:style w:type="paragraph" w:styleId="Heading1">
    <w:name w:val="heading 1"/>
    <w:basedOn w:val="Normal"/>
    <w:next w:val="Normal"/>
    <w:uiPriority w:val="9"/>
    <w:qFormat/>
    <w:rsid w:val="009A1451"/>
    <w:pPr>
      <w:keepNext/>
      <w:keepLines/>
      <w:numPr>
        <w:numId w:val="9"/>
      </w:numPr>
      <w:spacing w:before="400" w:after="120"/>
      <w:outlineLvl w:val="0"/>
    </w:pPr>
    <w:rPr>
      <w:b/>
      <w:sz w:val="32"/>
      <w:szCs w:val="40"/>
    </w:rPr>
  </w:style>
  <w:style w:type="paragraph" w:styleId="Heading2">
    <w:name w:val="heading 2"/>
    <w:basedOn w:val="Normal"/>
    <w:next w:val="Normal"/>
    <w:uiPriority w:val="9"/>
    <w:unhideWhenUsed/>
    <w:qFormat/>
    <w:rsid w:val="00F153CA"/>
    <w:pPr>
      <w:keepNext/>
      <w:keepLines/>
      <w:numPr>
        <w:ilvl w:val="1"/>
        <w:numId w:val="9"/>
      </w:numPr>
      <w:spacing w:before="120" w:after="60"/>
      <w:ind w:left="578" w:hanging="578"/>
      <w:outlineLvl w:val="1"/>
    </w:pPr>
    <w:rPr>
      <w:b/>
      <w:sz w:val="28"/>
      <w:szCs w:val="32"/>
    </w:rPr>
  </w:style>
  <w:style w:type="paragraph" w:styleId="Heading3">
    <w:name w:val="heading 3"/>
    <w:basedOn w:val="Normal"/>
    <w:next w:val="Normal"/>
    <w:uiPriority w:val="9"/>
    <w:unhideWhenUsed/>
    <w:qFormat/>
    <w:rsid w:val="00F153CA"/>
    <w:pPr>
      <w:keepNext/>
      <w:keepLines/>
      <w:numPr>
        <w:ilvl w:val="2"/>
        <w:numId w:val="9"/>
      </w:numPr>
      <w:spacing w:before="120" w:after="60"/>
      <w:outlineLvl w:val="2"/>
    </w:pPr>
    <w:rPr>
      <w:b/>
      <w:szCs w:val="28"/>
    </w:rPr>
  </w:style>
  <w:style w:type="paragraph" w:styleId="Heading4">
    <w:name w:val="heading 4"/>
    <w:basedOn w:val="Normal"/>
    <w:next w:val="Normal"/>
    <w:uiPriority w:val="9"/>
    <w:semiHidden/>
    <w:unhideWhenUsed/>
    <w:qFormat/>
    <w:pPr>
      <w:keepNext/>
      <w:keepLines/>
      <w:numPr>
        <w:ilvl w:val="3"/>
        <w:numId w:val="9"/>
      </w:numPr>
      <w:spacing w:before="280" w:after="80"/>
      <w:outlineLvl w:val="3"/>
    </w:pPr>
    <w:rPr>
      <w:color w:val="666666"/>
      <w:szCs w:val="24"/>
    </w:rPr>
  </w:style>
  <w:style w:type="paragraph" w:styleId="Heading5">
    <w:name w:val="heading 5"/>
    <w:basedOn w:val="Normal"/>
    <w:next w:val="Normal"/>
    <w:uiPriority w:val="9"/>
    <w:semiHidden/>
    <w:unhideWhenUsed/>
    <w:qFormat/>
    <w:pPr>
      <w:keepNext/>
      <w:keepLines/>
      <w:numPr>
        <w:ilvl w:val="4"/>
        <w:numId w:val="9"/>
      </w:numPr>
      <w:spacing w:before="240" w:after="80"/>
      <w:outlineLvl w:val="4"/>
    </w:pPr>
    <w:rPr>
      <w:color w:val="666666"/>
      <w:sz w:val="22"/>
    </w:rPr>
  </w:style>
  <w:style w:type="paragraph" w:styleId="Heading6">
    <w:name w:val="heading 6"/>
    <w:basedOn w:val="Normal"/>
    <w:next w:val="Normal"/>
    <w:uiPriority w:val="9"/>
    <w:semiHidden/>
    <w:unhideWhenUsed/>
    <w:qFormat/>
    <w:pPr>
      <w:keepNext/>
      <w:keepLines/>
      <w:numPr>
        <w:ilvl w:val="5"/>
        <w:numId w:val="9"/>
      </w:numPr>
      <w:spacing w:before="240" w:after="80"/>
      <w:outlineLvl w:val="5"/>
    </w:pPr>
    <w:rPr>
      <w:i/>
      <w:color w:val="666666"/>
      <w:sz w:val="22"/>
    </w:rPr>
  </w:style>
  <w:style w:type="paragraph" w:styleId="Heading7">
    <w:name w:val="heading 7"/>
    <w:basedOn w:val="Normal"/>
    <w:next w:val="Normal"/>
    <w:link w:val="Heading7Char"/>
    <w:uiPriority w:val="9"/>
    <w:semiHidden/>
    <w:unhideWhenUsed/>
    <w:qFormat/>
    <w:rsid w:val="009A1451"/>
    <w:pPr>
      <w:keepNext/>
      <w:keepLines/>
      <w:numPr>
        <w:ilvl w:val="6"/>
        <w:numId w:val="9"/>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A1451"/>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1451"/>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A1451"/>
    <w:pPr>
      <w:spacing w:line="240" w:lineRule="auto"/>
    </w:pPr>
  </w:style>
  <w:style w:type="paragraph" w:styleId="ListParagraph">
    <w:name w:val="List Paragraph"/>
    <w:basedOn w:val="Normal"/>
    <w:uiPriority w:val="34"/>
    <w:qFormat/>
    <w:rsid w:val="009A1451"/>
    <w:pPr>
      <w:ind w:left="720"/>
      <w:contextualSpacing/>
    </w:pPr>
  </w:style>
  <w:style w:type="character" w:customStyle="1" w:styleId="Heading7Char">
    <w:name w:val="Heading 7 Char"/>
    <w:basedOn w:val="DefaultParagraphFont"/>
    <w:link w:val="Heading7"/>
    <w:uiPriority w:val="9"/>
    <w:semiHidden/>
    <w:rsid w:val="009A145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9A14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1451"/>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9868AA"/>
    <w:pPr>
      <w:spacing w:line="240" w:lineRule="auto"/>
    </w:pPr>
    <w:rPr>
      <w:sz w:val="20"/>
      <w:szCs w:val="20"/>
    </w:rPr>
  </w:style>
  <w:style w:type="character" w:customStyle="1" w:styleId="FootnoteTextChar">
    <w:name w:val="Footnote Text Char"/>
    <w:basedOn w:val="DefaultParagraphFont"/>
    <w:link w:val="FootnoteText"/>
    <w:uiPriority w:val="99"/>
    <w:semiHidden/>
    <w:rsid w:val="009868AA"/>
    <w:rPr>
      <w:rFonts w:asciiTheme="majorBidi" w:hAnsiTheme="majorBidi"/>
      <w:sz w:val="20"/>
      <w:szCs w:val="20"/>
    </w:rPr>
  </w:style>
  <w:style w:type="character" w:styleId="FootnoteReference">
    <w:name w:val="footnote reference"/>
    <w:basedOn w:val="DefaultParagraphFont"/>
    <w:uiPriority w:val="99"/>
    <w:semiHidden/>
    <w:unhideWhenUsed/>
    <w:rsid w:val="009868AA"/>
    <w:rPr>
      <w:vertAlign w:val="superscript"/>
    </w:rPr>
  </w:style>
  <w:style w:type="character" w:styleId="Hyperlink">
    <w:name w:val="Hyperlink"/>
    <w:basedOn w:val="DefaultParagraphFont"/>
    <w:uiPriority w:val="99"/>
    <w:unhideWhenUsed/>
    <w:rsid w:val="009868AA"/>
    <w:rPr>
      <w:color w:val="0000FF"/>
      <w:u w:val="single"/>
    </w:rPr>
  </w:style>
  <w:style w:type="paragraph" w:styleId="TOCHeading">
    <w:name w:val="TOC Heading"/>
    <w:basedOn w:val="Heading1"/>
    <w:next w:val="Normal"/>
    <w:uiPriority w:val="39"/>
    <w:unhideWhenUsed/>
    <w:qFormat/>
    <w:rsid w:val="00752B70"/>
    <w:pPr>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Cs w:val="32"/>
      <w:lang w:val="fr-CA"/>
    </w:rPr>
  </w:style>
  <w:style w:type="paragraph" w:styleId="TOC1">
    <w:name w:val="toc 1"/>
    <w:basedOn w:val="Normal"/>
    <w:next w:val="Normal"/>
    <w:link w:val="TOC1Char"/>
    <w:autoRedefine/>
    <w:uiPriority w:val="39"/>
    <w:unhideWhenUsed/>
    <w:rsid w:val="00752B70"/>
    <w:pPr>
      <w:spacing w:after="100"/>
    </w:pPr>
  </w:style>
  <w:style w:type="paragraph" w:styleId="TOC2">
    <w:name w:val="toc 2"/>
    <w:basedOn w:val="Normal"/>
    <w:next w:val="Normal"/>
    <w:autoRedefine/>
    <w:uiPriority w:val="39"/>
    <w:unhideWhenUsed/>
    <w:rsid w:val="00752B70"/>
    <w:pPr>
      <w:spacing w:after="100"/>
      <w:ind w:left="240"/>
    </w:pPr>
  </w:style>
  <w:style w:type="paragraph" w:styleId="TOC3">
    <w:name w:val="toc 3"/>
    <w:basedOn w:val="Normal"/>
    <w:next w:val="Normal"/>
    <w:autoRedefine/>
    <w:uiPriority w:val="39"/>
    <w:unhideWhenUsed/>
    <w:rsid w:val="00752B70"/>
    <w:pPr>
      <w:spacing w:after="100"/>
      <w:ind w:left="480"/>
    </w:pPr>
  </w:style>
  <w:style w:type="paragraph" w:customStyle="1" w:styleId="tabledesmatires">
    <w:name w:val="table des matières"/>
    <w:basedOn w:val="TOC1"/>
    <w:link w:val="tabledesmatiresCar"/>
    <w:qFormat/>
    <w:rsid w:val="00752B70"/>
    <w:pPr>
      <w:tabs>
        <w:tab w:val="left" w:pos="880"/>
        <w:tab w:val="right" w:leader="dot" w:pos="9060"/>
      </w:tabs>
      <w:spacing w:before="160"/>
      <w:ind w:firstLine="0"/>
    </w:pPr>
    <w:rPr>
      <w:noProof/>
      <w:lang w:val="fr-CA"/>
    </w:rPr>
  </w:style>
  <w:style w:type="character" w:styleId="BookTitle">
    <w:name w:val="Book Title"/>
    <w:basedOn w:val="DefaultParagraphFont"/>
    <w:uiPriority w:val="33"/>
    <w:qFormat/>
    <w:rsid w:val="00963FBA"/>
    <w:rPr>
      <w:b/>
      <w:bCs/>
      <w:i/>
      <w:iCs/>
      <w:spacing w:val="5"/>
    </w:rPr>
  </w:style>
  <w:style w:type="character" w:customStyle="1" w:styleId="TOC1Char">
    <w:name w:val="TOC 1 Char"/>
    <w:basedOn w:val="DefaultParagraphFont"/>
    <w:link w:val="TOC1"/>
    <w:uiPriority w:val="39"/>
    <w:rsid w:val="00752B70"/>
    <w:rPr>
      <w:rFonts w:asciiTheme="majorBidi" w:hAnsiTheme="majorBidi"/>
      <w:sz w:val="24"/>
    </w:rPr>
  </w:style>
  <w:style w:type="character" w:customStyle="1" w:styleId="tabledesmatiresCar">
    <w:name w:val="table des matières Car"/>
    <w:basedOn w:val="TOC1Char"/>
    <w:link w:val="tabledesmatires"/>
    <w:rsid w:val="00752B70"/>
    <w:rPr>
      <w:rFonts w:asciiTheme="majorBidi" w:hAnsiTheme="majorBidi"/>
      <w:noProof/>
      <w:sz w:val="24"/>
      <w:lang w:val="fr-CA"/>
    </w:rPr>
  </w:style>
  <w:style w:type="table" w:styleId="GridTable1Light">
    <w:name w:val="Grid Table 1 Light"/>
    <w:basedOn w:val="TableNormal"/>
    <w:uiPriority w:val="46"/>
    <w:rsid w:val="00D907F2"/>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062E6"/>
    <w:pPr>
      <w:spacing w:after="200" w:line="240" w:lineRule="auto"/>
      <w:jc w:val="center"/>
    </w:pPr>
    <w:rPr>
      <w:b/>
      <w:i/>
      <w:iCs/>
      <w:sz w:val="20"/>
      <w:szCs w:val="18"/>
    </w:rPr>
  </w:style>
  <w:style w:type="paragraph" w:styleId="Header">
    <w:name w:val="header"/>
    <w:basedOn w:val="Normal"/>
    <w:link w:val="HeaderChar"/>
    <w:uiPriority w:val="99"/>
    <w:unhideWhenUsed/>
    <w:rsid w:val="00D113C6"/>
    <w:pPr>
      <w:tabs>
        <w:tab w:val="center" w:pos="4320"/>
        <w:tab w:val="right" w:pos="8640"/>
      </w:tabs>
      <w:spacing w:line="240" w:lineRule="auto"/>
    </w:pPr>
  </w:style>
  <w:style w:type="character" w:customStyle="1" w:styleId="HeaderChar">
    <w:name w:val="Header Char"/>
    <w:basedOn w:val="DefaultParagraphFont"/>
    <w:link w:val="Header"/>
    <w:uiPriority w:val="99"/>
    <w:rsid w:val="00D113C6"/>
    <w:rPr>
      <w:rFonts w:asciiTheme="majorBidi" w:hAnsiTheme="majorBidi"/>
      <w:sz w:val="24"/>
    </w:rPr>
  </w:style>
  <w:style w:type="paragraph" w:styleId="Footer">
    <w:name w:val="footer"/>
    <w:basedOn w:val="Normal"/>
    <w:link w:val="FooterChar"/>
    <w:uiPriority w:val="99"/>
    <w:unhideWhenUsed/>
    <w:rsid w:val="00D113C6"/>
    <w:pPr>
      <w:tabs>
        <w:tab w:val="center" w:pos="4320"/>
        <w:tab w:val="right" w:pos="8640"/>
      </w:tabs>
      <w:spacing w:line="240" w:lineRule="auto"/>
    </w:pPr>
  </w:style>
  <w:style w:type="character" w:customStyle="1" w:styleId="FooterChar">
    <w:name w:val="Footer Char"/>
    <w:basedOn w:val="DefaultParagraphFont"/>
    <w:link w:val="Footer"/>
    <w:uiPriority w:val="99"/>
    <w:rsid w:val="00D113C6"/>
    <w:rPr>
      <w:rFonts w:asciiTheme="majorBidi" w:hAnsiTheme="majorBidi"/>
      <w:sz w:val="24"/>
    </w:rPr>
  </w:style>
  <w:style w:type="character" w:styleId="PageNumber">
    <w:name w:val="page number"/>
    <w:basedOn w:val="DefaultParagraphFont"/>
    <w:uiPriority w:val="99"/>
    <w:semiHidden/>
    <w:unhideWhenUsed/>
    <w:rsid w:val="00260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ocial.gov.tn/fr/attribution-de-carte-de-handica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egislation-securite.tn/law/104416"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legislation-securite.tn/law/104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476F-FAF6-4A5C-90E1-46979DF3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7566</Words>
  <Characters>43131</Characters>
  <Application>Microsoft Office Word</Application>
  <DocSecurity>0</DocSecurity>
  <Lines>359</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Arbi Chouikh</dc:creator>
  <cp:lastModifiedBy>Juan Ignacio Perez Bello</cp:lastModifiedBy>
  <cp:revision>3</cp:revision>
  <dcterms:created xsi:type="dcterms:W3CDTF">2023-02-23T08:11:00Z</dcterms:created>
  <dcterms:modified xsi:type="dcterms:W3CDTF">2023-02-23T08:12:00Z</dcterms:modified>
</cp:coreProperties>
</file>