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392BD" w14:textId="735405DE" w:rsidR="00105675" w:rsidRPr="005233EA" w:rsidRDefault="00231226" w:rsidP="00CF0E3F">
      <w:pPr>
        <w:jc w:val="center"/>
        <w:rPr>
          <w:rFonts w:ascii="Times New Roman" w:hAnsi="Times New Roman" w:cs="Times New Roman"/>
          <w:b/>
          <w:bCs/>
          <w:lang w:val="en-GB"/>
        </w:rPr>
      </w:pPr>
      <w:r>
        <w:rPr>
          <w:rFonts w:ascii="Times New Roman" w:hAnsi="Times New Roman" w:cs="Times New Roman"/>
          <w:b/>
          <w:bCs/>
          <w:lang w:val="en-GB"/>
        </w:rPr>
        <w:t>C</w:t>
      </w:r>
      <w:r w:rsidR="00CF0E3F" w:rsidRPr="005233EA">
        <w:rPr>
          <w:rFonts w:ascii="Times New Roman" w:hAnsi="Times New Roman" w:cs="Times New Roman"/>
          <w:b/>
          <w:bCs/>
          <w:lang w:val="en-GB"/>
        </w:rPr>
        <w:t xml:space="preserve">ontribution to the review of the European Union’s 2. and 3. reports to </w:t>
      </w:r>
      <w:r w:rsidR="004C075D" w:rsidRPr="005233EA">
        <w:rPr>
          <w:rFonts w:ascii="Times New Roman" w:hAnsi="Times New Roman" w:cs="Times New Roman"/>
          <w:b/>
          <w:bCs/>
          <w:lang w:val="en-GB"/>
        </w:rPr>
        <w:t>t</w:t>
      </w:r>
      <w:r w:rsidR="00CF0E3F" w:rsidRPr="005233EA">
        <w:rPr>
          <w:rFonts w:ascii="Times New Roman" w:hAnsi="Times New Roman" w:cs="Times New Roman"/>
          <w:b/>
          <w:bCs/>
          <w:lang w:val="en-GB"/>
        </w:rPr>
        <w:t>he UNCRPD Committee</w:t>
      </w:r>
    </w:p>
    <w:p w14:paraId="0BB5CA2B" w14:textId="58E3D23A" w:rsidR="00CF0E3F" w:rsidRPr="005233EA" w:rsidRDefault="00231226" w:rsidP="00CF0E3F">
      <w:pPr>
        <w:jc w:val="center"/>
        <w:rPr>
          <w:rFonts w:ascii="Times New Roman" w:hAnsi="Times New Roman" w:cs="Times New Roman"/>
          <w:b/>
          <w:bCs/>
          <w:lang w:val="en-GB"/>
        </w:rPr>
      </w:pPr>
      <w:r>
        <w:rPr>
          <w:rFonts w:ascii="Times New Roman" w:hAnsi="Times New Roman" w:cs="Times New Roman"/>
          <w:b/>
          <w:bCs/>
          <w:lang w:val="en-GB"/>
        </w:rPr>
        <w:t xml:space="preserve">By </w:t>
      </w:r>
      <w:r w:rsidR="00CF0E3F" w:rsidRPr="005233EA">
        <w:rPr>
          <w:rFonts w:ascii="Times New Roman" w:hAnsi="Times New Roman" w:cs="Times New Roman"/>
          <w:b/>
          <w:bCs/>
          <w:lang w:val="en-GB"/>
        </w:rPr>
        <w:t>Bridge EU</w:t>
      </w:r>
    </w:p>
    <w:p w14:paraId="55053DDD" w14:textId="660F8CFC" w:rsidR="00CF0E3F" w:rsidRPr="00231226" w:rsidRDefault="00CF0E3F" w:rsidP="00231226">
      <w:pPr>
        <w:jc w:val="right"/>
        <w:rPr>
          <w:rFonts w:ascii="Times New Roman" w:hAnsi="Times New Roman" w:cs="Times New Roman"/>
          <w:i/>
          <w:iCs/>
          <w:lang w:val="en-GB"/>
        </w:rPr>
      </w:pPr>
      <w:r w:rsidRPr="00231226">
        <w:rPr>
          <w:rFonts w:ascii="Times New Roman" w:hAnsi="Times New Roman" w:cs="Times New Roman"/>
          <w:i/>
          <w:iCs/>
          <w:lang w:val="en-GB"/>
        </w:rPr>
        <w:t>24 January 2025</w:t>
      </w:r>
    </w:p>
    <w:p w14:paraId="1265AFA9" w14:textId="5C21AC47" w:rsidR="00CF0E3F" w:rsidRPr="005233EA" w:rsidRDefault="00CF0E3F" w:rsidP="00CF0E3F">
      <w:pPr>
        <w:jc w:val="both"/>
        <w:rPr>
          <w:rFonts w:ascii="Times New Roman" w:hAnsi="Times New Roman" w:cs="Times New Roman"/>
          <w:lang w:val="en-GB"/>
        </w:rPr>
      </w:pPr>
      <w:r w:rsidRPr="005233EA">
        <w:rPr>
          <w:rFonts w:ascii="Times New Roman" w:hAnsi="Times New Roman" w:cs="Times New Roman"/>
          <w:lang w:val="en-GB"/>
        </w:rPr>
        <w:t>Bridge EU is a human rights organisation, based in Brussels, Belgium. Bridge EU aims to provide strategic support to bridge the gap between recent human rights and social inclusion challenges and policies across Europe. The support may cover areas, but is not limited to, fundamental rights, social inclusion, employment, education, health, housing, disability rights, integration of migrants, Roma inclusion, integration of homeless people, etc.</w:t>
      </w:r>
    </w:p>
    <w:p w14:paraId="74E6F62F" w14:textId="3DE439AA" w:rsidR="00CF0E3F" w:rsidRPr="005233EA" w:rsidRDefault="004C075D" w:rsidP="00CF0E3F">
      <w:pPr>
        <w:jc w:val="both"/>
        <w:rPr>
          <w:rFonts w:ascii="Times New Roman" w:hAnsi="Times New Roman" w:cs="Times New Roman"/>
          <w:lang w:val="en-GB"/>
        </w:rPr>
      </w:pPr>
      <w:r w:rsidRPr="005233EA">
        <w:rPr>
          <w:rFonts w:ascii="Times New Roman" w:hAnsi="Times New Roman" w:cs="Times New Roman"/>
          <w:lang w:val="en-GB"/>
        </w:rPr>
        <w:t xml:space="preserve">Bridge EU has </w:t>
      </w:r>
      <w:r w:rsidR="00996073">
        <w:rPr>
          <w:rFonts w:ascii="Times New Roman" w:hAnsi="Times New Roman" w:cs="Times New Roman"/>
          <w:lang w:val="en-GB"/>
        </w:rPr>
        <w:t>a</w:t>
      </w:r>
      <w:r w:rsidRPr="005233EA">
        <w:rPr>
          <w:rFonts w:ascii="Times New Roman" w:hAnsi="Times New Roman" w:cs="Times New Roman"/>
          <w:lang w:val="en-GB"/>
        </w:rPr>
        <w:t xml:space="preserve"> particular expertise on European funds management</w:t>
      </w:r>
      <w:r w:rsidR="00996073">
        <w:rPr>
          <w:rFonts w:ascii="Times New Roman" w:hAnsi="Times New Roman" w:cs="Times New Roman"/>
          <w:lang w:val="en-GB"/>
        </w:rPr>
        <w:t>,</w:t>
      </w:r>
      <w:r w:rsidRPr="005233EA">
        <w:rPr>
          <w:rFonts w:ascii="Times New Roman" w:hAnsi="Times New Roman" w:cs="Times New Roman"/>
          <w:lang w:val="en-GB"/>
        </w:rPr>
        <w:t xml:space="preserve"> and </w:t>
      </w:r>
      <w:r w:rsidR="00996073">
        <w:rPr>
          <w:rFonts w:ascii="Times New Roman" w:hAnsi="Times New Roman" w:cs="Times New Roman"/>
          <w:lang w:val="en-GB"/>
        </w:rPr>
        <w:t xml:space="preserve">of </w:t>
      </w:r>
      <w:r w:rsidRPr="005233EA">
        <w:rPr>
          <w:rFonts w:ascii="Times New Roman" w:hAnsi="Times New Roman" w:cs="Times New Roman"/>
          <w:lang w:val="en-GB"/>
        </w:rPr>
        <w:t>monitoring violation</w:t>
      </w:r>
      <w:r w:rsidR="00996073">
        <w:rPr>
          <w:rFonts w:ascii="Times New Roman" w:hAnsi="Times New Roman" w:cs="Times New Roman"/>
          <w:lang w:val="en-GB"/>
        </w:rPr>
        <w:t>s</w:t>
      </w:r>
      <w:r w:rsidRPr="005233EA">
        <w:rPr>
          <w:rFonts w:ascii="Times New Roman" w:hAnsi="Times New Roman" w:cs="Times New Roman"/>
          <w:lang w:val="en-GB"/>
        </w:rPr>
        <w:t xml:space="preserve"> of the Charter of Fundamental Rights in European funds operations. Bridge EU is currently part of a European coalition</w:t>
      </w:r>
      <w:r w:rsidR="007F51E1" w:rsidRPr="005233EA">
        <w:rPr>
          <w:rFonts w:ascii="Times New Roman" w:hAnsi="Times New Roman" w:cs="Times New Roman"/>
          <w:lang w:val="en-GB"/>
        </w:rPr>
        <w:t xml:space="preserve"> (EU Funds for Fundamental Rights</w:t>
      </w:r>
      <w:r w:rsidRPr="005233EA">
        <w:rPr>
          <w:rFonts w:ascii="Times New Roman" w:hAnsi="Times New Roman" w:cs="Times New Roman"/>
          <w:lang w:val="en-GB"/>
        </w:rPr>
        <w:t>,</w:t>
      </w:r>
      <w:r w:rsidR="007F51E1" w:rsidRPr="005233EA">
        <w:rPr>
          <w:rFonts w:ascii="Times New Roman" w:hAnsi="Times New Roman" w:cs="Times New Roman"/>
          <w:lang w:val="en-GB"/>
        </w:rPr>
        <w:t xml:space="preserve"> FURI),</w:t>
      </w:r>
      <w:r w:rsidRPr="005233EA">
        <w:rPr>
          <w:rFonts w:ascii="Times New Roman" w:hAnsi="Times New Roman" w:cs="Times New Roman"/>
          <w:lang w:val="en-GB"/>
        </w:rPr>
        <w:t xml:space="preserve"> focusing on investigation of discriminative treatment supported by European funds. In this scope</w:t>
      </w:r>
      <w:r w:rsidR="00996073">
        <w:rPr>
          <w:rFonts w:ascii="Times New Roman" w:hAnsi="Times New Roman" w:cs="Times New Roman"/>
          <w:lang w:val="en-GB"/>
        </w:rPr>
        <w:t>,</w:t>
      </w:r>
      <w:r w:rsidRPr="005233EA">
        <w:rPr>
          <w:rFonts w:ascii="Times New Roman" w:hAnsi="Times New Roman" w:cs="Times New Roman"/>
          <w:lang w:val="en-GB"/>
        </w:rPr>
        <w:t xml:space="preserve"> access to independent living conditions for people with disabilities is monitored across all participating countries (Poland, </w:t>
      </w:r>
      <w:r w:rsidR="007F51E1" w:rsidRPr="005233EA">
        <w:rPr>
          <w:rFonts w:ascii="Times New Roman" w:hAnsi="Times New Roman" w:cs="Times New Roman"/>
          <w:lang w:val="en-GB"/>
        </w:rPr>
        <w:t xml:space="preserve">Czechia, </w:t>
      </w:r>
      <w:r w:rsidRPr="005233EA">
        <w:rPr>
          <w:rFonts w:ascii="Times New Roman" w:hAnsi="Times New Roman" w:cs="Times New Roman"/>
          <w:lang w:val="en-GB"/>
        </w:rPr>
        <w:t xml:space="preserve">Hungary, Romania, Bulgaria, </w:t>
      </w:r>
      <w:r w:rsidR="007F51E1" w:rsidRPr="005233EA">
        <w:rPr>
          <w:rFonts w:ascii="Times New Roman" w:hAnsi="Times New Roman" w:cs="Times New Roman"/>
          <w:lang w:val="en-GB"/>
        </w:rPr>
        <w:t>Greece). The national and the European research reports will be published in March 2025, including project examples of contribution of European funds for building and renovating residential institutions for people with disabilities. Further information about the FURI project</w:t>
      </w:r>
      <w:r w:rsidR="00231226">
        <w:rPr>
          <w:rFonts w:ascii="Times New Roman" w:hAnsi="Times New Roman" w:cs="Times New Roman"/>
          <w:lang w:val="en-GB"/>
        </w:rPr>
        <w:t xml:space="preserve"> is available </w:t>
      </w:r>
      <w:hyperlink r:id="rId8" w:history="1">
        <w:r w:rsidR="00231226" w:rsidRPr="00231226">
          <w:rPr>
            <w:rStyle w:val="Hyperlink"/>
            <w:rFonts w:ascii="Times New Roman" w:hAnsi="Times New Roman" w:cs="Times New Roman"/>
            <w:lang w:val="en-GB"/>
          </w:rPr>
          <w:t>here</w:t>
        </w:r>
      </w:hyperlink>
      <w:r w:rsidR="007F51E1" w:rsidRPr="005233EA">
        <w:rPr>
          <w:rFonts w:ascii="Times New Roman" w:hAnsi="Times New Roman" w:cs="Times New Roman"/>
          <w:lang w:val="en-GB"/>
        </w:rPr>
        <w:t>.</w:t>
      </w:r>
    </w:p>
    <w:p w14:paraId="0F2FA06D" w14:textId="0E8FD65F" w:rsidR="00315900" w:rsidRPr="005233EA" w:rsidRDefault="00316496" w:rsidP="00CF0E3F">
      <w:pPr>
        <w:jc w:val="both"/>
        <w:rPr>
          <w:rFonts w:ascii="Times New Roman" w:hAnsi="Times New Roman" w:cs="Times New Roman"/>
          <w:lang w:val="en-GB"/>
        </w:rPr>
      </w:pPr>
      <w:r>
        <w:rPr>
          <w:rFonts w:ascii="Times New Roman" w:hAnsi="Times New Roman" w:cs="Times New Roman"/>
          <w:lang w:val="en-GB"/>
        </w:rPr>
        <w:t xml:space="preserve">In the below, Bridge EU </w:t>
      </w:r>
      <w:r w:rsidR="007C7C4B">
        <w:rPr>
          <w:rFonts w:ascii="Times New Roman" w:hAnsi="Times New Roman" w:cs="Times New Roman"/>
          <w:lang w:val="en-GB"/>
        </w:rPr>
        <w:t>provides c</w:t>
      </w:r>
      <w:r w:rsidR="007F51E1" w:rsidRPr="005233EA">
        <w:rPr>
          <w:rFonts w:ascii="Times New Roman" w:hAnsi="Times New Roman" w:cs="Times New Roman"/>
          <w:lang w:val="en-GB"/>
        </w:rPr>
        <w:t>omments</w:t>
      </w:r>
      <w:r w:rsidR="007C7C4B">
        <w:rPr>
          <w:rFonts w:ascii="Times New Roman" w:hAnsi="Times New Roman" w:cs="Times New Roman"/>
          <w:lang w:val="en-GB"/>
        </w:rPr>
        <w:t xml:space="preserve"> on the EU’s report</w:t>
      </w:r>
      <w:r w:rsidR="007F51E1" w:rsidRPr="005233EA">
        <w:rPr>
          <w:rFonts w:ascii="Times New Roman" w:hAnsi="Times New Roman" w:cs="Times New Roman"/>
          <w:lang w:val="en-GB"/>
        </w:rPr>
        <w:t xml:space="preserve"> and</w:t>
      </w:r>
      <w:r w:rsidR="007C7C4B">
        <w:rPr>
          <w:rFonts w:ascii="Times New Roman" w:hAnsi="Times New Roman" w:cs="Times New Roman"/>
          <w:lang w:val="en-GB"/>
        </w:rPr>
        <w:t xml:space="preserve"> proposes</w:t>
      </w:r>
      <w:r w:rsidR="007F51E1" w:rsidRPr="005233EA">
        <w:rPr>
          <w:rFonts w:ascii="Times New Roman" w:hAnsi="Times New Roman" w:cs="Times New Roman"/>
          <w:lang w:val="en-GB"/>
        </w:rPr>
        <w:t xml:space="preserve"> corresponding questions</w:t>
      </w:r>
      <w:r w:rsidR="00315900" w:rsidRPr="005233EA">
        <w:rPr>
          <w:rFonts w:ascii="Times New Roman" w:hAnsi="Times New Roman" w:cs="Times New Roman"/>
          <w:lang w:val="en-GB"/>
        </w:rPr>
        <w:t xml:space="preserve"> </w:t>
      </w:r>
      <w:r w:rsidR="007C7C4B">
        <w:rPr>
          <w:rFonts w:ascii="Times New Roman" w:hAnsi="Times New Roman" w:cs="Times New Roman"/>
          <w:lang w:val="en-GB"/>
        </w:rPr>
        <w:t>that</w:t>
      </w:r>
      <w:r w:rsidR="00315900" w:rsidRPr="005233EA">
        <w:rPr>
          <w:rFonts w:ascii="Times New Roman" w:hAnsi="Times New Roman" w:cs="Times New Roman"/>
          <w:lang w:val="en-GB"/>
        </w:rPr>
        <w:t xml:space="preserve"> the Committee </w:t>
      </w:r>
      <w:r w:rsidR="007C7C4B">
        <w:rPr>
          <w:rFonts w:ascii="Times New Roman" w:hAnsi="Times New Roman" w:cs="Times New Roman"/>
          <w:lang w:val="en-GB"/>
        </w:rPr>
        <w:t xml:space="preserve">may </w:t>
      </w:r>
      <w:r w:rsidR="00315900" w:rsidRPr="005233EA">
        <w:rPr>
          <w:rFonts w:ascii="Times New Roman" w:hAnsi="Times New Roman" w:cs="Times New Roman"/>
          <w:lang w:val="en-GB"/>
        </w:rPr>
        <w:t>rais</w:t>
      </w:r>
      <w:r w:rsidR="007C7C4B">
        <w:rPr>
          <w:rFonts w:ascii="Times New Roman" w:hAnsi="Times New Roman" w:cs="Times New Roman"/>
          <w:lang w:val="en-GB"/>
        </w:rPr>
        <w:t>e</w:t>
      </w:r>
      <w:r w:rsidR="00315900" w:rsidRPr="005233EA">
        <w:rPr>
          <w:rFonts w:ascii="Times New Roman" w:hAnsi="Times New Roman" w:cs="Times New Roman"/>
          <w:lang w:val="en-GB"/>
        </w:rPr>
        <w:t xml:space="preserve"> </w:t>
      </w:r>
      <w:r w:rsidR="007C7C4B">
        <w:rPr>
          <w:rFonts w:ascii="Times New Roman" w:hAnsi="Times New Roman" w:cs="Times New Roman"/>
          <w:lang w:val="en-GB"/>
        </w:rPr>
        <w:t>with</w:t>
      </w:r>
      <w:r w:rsidR="00315900" w:rsidRPr="005233EA">
        <w:rPr>
          <w:rFonts w:ascii="Times New Roman" w:hAnsi="Times New Roman" w:cs="Times New Roman"/>
          <w:lang w:val="en-GB"/>
        </w:rPr>
        <w:t xml:space="preserve"> </w:t>
      </w:r>
      <w:r w:rsidR="00012CA7" w:rsidRPr="005233EA">
        <w:rPr>
          <w:rFonts w:ascii="Times New Roman" w:hAnsi="Times New Roman" w:cs="Times New Roman"/>
          <w:lang w:val="en-GB"/>
        </w:rPr>
        <w:t>representatives</w:t>
      </w:r>
      <w:r w:rsidR="00315900" w:rsidRPr="005233EA">
        <w:rPr>
          <w:rFonts w:ascii="Times New Roman" w:hAnsi="Times New Roman" w:cs="Times New Roman"/>
          <w:lang w:val="en-GB"/>
        </w:rPr>
        <w:t xml:space="preserve"> of the European Union</w:t>
      </w:r>
      <w:r w:rsidR="007C7C4B">
        <w:rPr>
          <w:rFonts w:ascii="Times New Roman" w:hAnsi="Times New Roman" w:cs="Times New Roman"/>
          <w:lang w:val="en-GB"/>
        </w:rPr>
        <w:t>:</w:t>
      </w:r>
    </w:p>
    <w:p w14:paraId="099DC437" w14:textId="783F2CE1" w:rsidR="00231226" w:rsidRDefault="00B42133" w:rsidP="00231226">
      <w:pPr>
        <w:pStyle w:val="ListParagraph"/>
        <w:numPr>
          <w:ilvl w:val="0"/>
          <w:numId w:val="1"/>
        </w:numPr>
        <w:jc w:val="both"/>
        <w:rPr>
          <w:rFonts w:ascii="Times New Roman" w:hAnsi="Times New Roman" w:cs="Times New Roman"/>
          <w:lang w:val="en-GB"/>
        </w:rPr>
      </w:pPr>
      <w:r w:rsidRPr="005233EA">
        <w:rPr>
          <w:rFonts w:ascii="Times New Roman" w:hAnsi="Times New Roman" w:cs="Times New Roman"/>
          <w:lang w:val="en-GB"/>
        </w:rPr>
        <w:t xml:space="preserve">In its reply to </w:t>
      </w:r>
      <w:r w:rsidR="006C6E19" w:rsidRPr="005233EA">
        <w:rPr>
          <w:rFonts w:ascii="Times New Roman" w:hAnsi="Times New Roman" w:cs="Times New Roman"/>
          <w:lang w:val="en-GB"/>
        </w:rPr>
        <w:t>paragraph 21 (b)</w:t>
      </w:r>
      <w:r w:rsidR="00897AC3" w:rsidRPr="005233EA">
        <w:rPr>
          <w:rFonts w:ascii="Times New Roman" w:hAnsi="Times New Roman" w:cs="Times New Roman"/>
          <w:lang w:val="en-GB"/>
        </w:rPr>
        <w:t xml:space="preserve">, the </w:t>
      </w:r>
      <w:r w:rsidR="00035A72" w:rsidRPr="005233EA">
        <w:rPr>
          <w:rFonts w:ascii="Times New Roman" w:hAnsi="Times New Roman" w:cs="Times New Roman"/>
          <w:lang w:val="en-GB"/>
        </w:rPr>
        <w:t>European</w:t>
      </w:r>
      <w:r w:rsidR="00897AC3" w:rsidRPr="005233EA">
        <w:rPr>
          <w:rFonts w:ascii="Times New Roman" w:hAnsi="Times New Roman" w:cs="Times New Roman"/>
          <w:lang w:val="en-GB"/>
        </w:rPr>
        <w:t xml:space="preserve"> Commission </w:t>
      </w:r>
      <w:r w:rsidR="00035A72" w:rsidRPr="005233EA">
        <w:rPr>
          <w:rFonts w:ascii="Times New Roman" w:hAnsi="Times New Roman" w:cs="Times New Roman"/>
          <w:lang w:val="en-GB"/>
        </w:rPr>
        <w:t>informs the Committee that “MS must ensure that enabling conditions remain fulfilled and respected throughout the programming period….”. At the same time</w:t>
      </w:r>
      <w:r w:rsidR="00E96526">
        <w:rPr>
          <w:rFonts w:ascii="Times New Roman" w:hAnsi="Times New Roman" w:cs="Times New Roman"/>
          <w:lang w:val="en-GB"/>
        </w:rPr>
        <w:t>,</w:t>
      </w:r>
      <w:r w:rsidR="002F1DD0" w:rsidRPr="005233EA">
        <w:rPr>
          <w:rFonts w:ascii="Times New Roman" w:hAnsi="Times New Roman" w:cs="Times New Roman"/>
          <w:lang w:val="en-GB"/>
        </w:rPr>
        <w:t xml:space="preserve"> Article 15 of the Regulation (EU) 2021/1060</w:t>
      </w:r>
      <w:r w:rsidR="00BD4BAE" w:rsidRPr="005233EA">
        <w:rPr>
          <w:rFonts w:ascii="Times New Roman" w:hAnsi="Times New Roman" w:cs="Times New Roman"/>
          <w:lang w:val="en-GB"/>
        </w:rPr>
        <w:t xml:space="preserve"> also stipulates the following: </w:t>
      </w:r>
      <w:r w:rsidR="00E96526">
        <w:rPr>
          <w:rFonts w:ascii="Times New Roman" w:hAnsi="Times New Roman" w:cs="Times New Roman"/>
          <w:lang w:val="en-GB"/>
        </w:rPr>
        <w:t>“</w:t>
      </w:r>
      <w:r w:rsidR="00180FC9" w:rsidRPr="005233EA">
        <w:rPr>
          <w:rFonts w:ascii="Times New Roman" w:hAnsi="Times New Roman" w:cs="Times New Roman"/>
          <w:lang w:val="en-GB"/>
        </w:rPr>
        <w:t>Where the Commission considers that an enabling condition is no longer fulfilled, it shall inform the Member State setting out its assessment”.</w:t>
      </w:r>
      <w:r w:rsidR="00E2515A" w:rsidRPr="005233EA">
        <w:rPr>
          <w:rFonts w:ascii="Times New Roman" w:hAnsi="Times New Roman" w:cs="Times New Roman"/>
          <w:lang w:val="en-GB"/>
        </w:rPr>
        <w:t xml:space="preserve"> </w:t>
      </w:r>
      <w:r w:rsidR="00E96526">
        <w:rPr>
          <w:rFonts w:ascii="Times New Roman" w:hAnsi="Times New Roman" w:cs="Times New Roman"/>
          <w:lang w:val="en-GB"/>
        </w:rPr>
        <w:t xml:space="preserve"> </w:t>
      </w:r>
      <w:r w:rsidR="003077DE" w:rsidRPr="005233EA">
        <w:rPr>
          <w:rFonts w:ascii="Times New Roman" w:hAnsi="Times New Roman" w:cs="Times New Roman"/>
          <w:lang w:val="en-GB"/>
        </w:rPr>
        <w:t>According</w:t>
      </w:r>
      <w:r w:rsidR="00E2515A" w:rsidRPr="005233EA">
        <w:rPr>
          <w:rFonts w:ascii="Times New Roman" w:hAnsi="Times New Roman" w:cs="Times New Roman"/>
          <w:lang w:val="en-GB"/>
        </w:rPr>
        <w:t xml:space="preserve"> to this </w:t>
      </w:r>
      <w:r w:rsidR="003077DE" w:rsidRPr="005233EA">
        <w:rPr>
          <w:rFonts w:ascii="Times New Roman" w:hAnsi="Times New Roman" w:cs="Times New Roman"/>
          <w:lang w:val="en-GB"/>
        </w:rPr>
        <w:t>legal provision</w:t>
      </w:r>
      <w:r w:rsidR="00E96526">
        <w:rPr>
          <w:rFonts w:ascii="Times New Roman" w:hAnsi="Times New Roman" w:cs="Times New Roman"/>
          <w:lang w:val="en-GB"/>
        </w:rPr>
        <w:t>,</w:t>
      </w:r>
      <w:r w:rsidR="003077DE" w:rsidRPr="005233EA">
        <w:rPr>
          <w:rFonts w:ascii="Times New Roman" w:hAnsi="Times New Roman" w:cs="Times New Roman"/>
          <w:lang w:val="en-GB"/>
        </w:rPr>
        <w:t xml:space="preserve"> t</w:t>
      </w:r>
      <w:r w:rsidR="003D10D1" w:rsidRPr="005233EA">
        <w:rPr>
          <w:rFonts w:ascii="Times New Roman" w:hAnsi="Times New Roman" w:cs="Times New Roman"/>
          <w:lang w:val="en-GB"/>
        </w:rPr>
        <w:t xml:space="preserve">he European Commission has the competence to assess whether the enabling conditions (including those relevant for </w:t>
      </w:r>
      <w:r w:rsidR="00F478E3" w:rsidRPr="005233EA">
        <w:rPr>
          <w:rFonts w:ascii="Times New Roman" w:hAnsi="Times New Roman" w:cs="Times New Roman"/>
          <w:lang w:val="en-GB"/>
        </w:rPr>
        <w:t xml:space="preserve">ensuring </w:t>
      </w:r>
      <w:r w:rsidR="0003019C" w:rsidRPr="005233EA">
        <w:rPr>
          <w:rFonts w:ascii="Times New Roman" w:hAnsi="Times New Roman" w:cs="Times New Roman"/>
          <w:lang w:val="en-GB"/>
        </w:rPr>
        <w:t>independent living conditions</w:t>
      </w:r>
      <w:r w:rsidR="00FF4F77" w:rsidRPr="005233EA">
        <w:rPr>
          <w:rFonts w:ascii="Times New Roman" w:hAnsi="Times New Roman" w:cs="Times New Roman"/>
          <w:lang w:val="en-GB"/>
        </w:rPr>
        <w:t>)</w:t>
      </w:r>
      <w:r w:rsidR="00FC0768" w:rsidRPr="005233EA">
        <w:rPr>
          <w:rFonts w:ascii="Times New Roman" w:hAnsi="Times New Roman" w:cs="Times New Roman"/>
          <w:lang w:val="en-GB"/>
        </w:rPr>
        <w:t xml:space="preserve"> </w:t>
      </w:r>
      <w:r w:rsidR="007E33B9" w:rsidRPr="005233EA">
        <w:rPr>
          <w:rFonts w:ascii="Times New Roman" w:hAnsi="Times New Roman" w:cs="Times New Roman"/>
          <w:lang w:val="en-GB"/>
        </w:rPr>
        <w:t>are ful</w:t>
      </w:r>
      <w:r w:rsidR="00705943" w:rsidRPr="005233EA">
        <w:rPr>
          <w:rFonts w:ascii="Times New Roman" w:hAnsi="Times New Roman" w:cs="Times New Roman"/>
          <w:lang w:val="en-GB"/>
        </w:rPr>
        <w:t xml:space="preserve">filled or not. </w:t>
      </w:r>
      <w:r w:rsidR="003077DE" w:rsidRPr="005233EA">
        <w:rPr>
          <w:rFonts w:ascii="Times New Roman" w:hAnsi="Times New Roman" w:cs="Times New Roman"/>
          <w:lang w:val="en-GB"/>
        </w:rPr>
        <w:t>As a consequence, based on the mo</w:t>
      </w:r>
      <w:r w:rsidR="00094A01" w:rsidRPr="005233EA">
        <w:rPr>
          <w:rFonts w:ascii="Times New Roman" w:hAnsi="Times New Roman" w:cs="Times New Roman"/>
          <w:lang w:val="en-GB"/>
        </w:rPr>
        <w:t>ni</w:t>
      </w:r>
      <w:r w:rsidR="003077DE" w:rsidRPr="005233EA">
        <w:rPr>
          <w:rFonts w:ascii="Times New Roman" w:hAnsi="Times New Roman" w:cs="Times New Roman"/>
          <w:lang w:val="en-GB"/>
        </w:rPr>
        <w:t>toring on fulfilment of the enabling conditions</w:t>
      </w:r>
      <w:r w:rsidR="00094A01" w:rsidRPr="005233EA">
        <w:rPr>
          <w:rFonts w:ascii="Times New Roman" w:hAnsi="Times New Roman" w:cs="Times New Roman"/>
          <w:lang w:val="en-GB"/>
        </w:rPr>
        <w:t xml:space="preserve">, the European Commission can prohibit the </w:t>
      </w:r>
      <w:r w:rsidR="00E96526" w:rsidRPr="005233EA">
        <w:rPr>
          <w:rFonts w:ascii="Times New Roman" w:hAnsi="Times New Roman" w:cs="Times New Roman"/>
          <w:lang w:val="en-GB"/>
        </w:rPr>
        <w:t>reimbursement</w:t>
      </w:r>
      <w:r w:rsidR="00094A01" w:rsidRPr="005233EA">
        <w:rPr>
          <w:rFonts w:ascii="Times New Roman" w:hAnsi="Times New Roman" w:cs="Times New Roman"/>
          <w:lang w:val="en-GB"/>
        </w:rPr>
        <w:t xml:space="preserve"> of the operations</w:t>
      </w:r>
      <w:r w:rsidR="00D050EC" w:rsidRPr="005233EA">
        <w:rPr>
          <w:rFonts w:ascii="Times New Roman" w:hAnsi="Times New Roman" w:cs="Times New Roman"/>
          <w:lang w:val="en-GB"/>
        </w:rPr>
        <w:t xml:space="preserve"> linked to the relevant specific objective.</w:t>
      </w:r>
    </w:p>
    <w:p w14:paraId="2ECFF327" w14:textId="56CC6F20" w:rsidR="00D050EC" w:rsidRPr="00231226" w:rsidRDefault="00D050EC" w:rsidP="00231226">
      <w:pPr>
        <w:ind w:left="360"/>
        <w:jc w:val="both"/>
        <w:rPr>
          <w:rFonts w:ascii="Times New Roman" w:hAnsi="Times New Roman" w:cs="Times New Roman"/>
          <w:lang w:val="en-GB"/>
        </w:rPr>
      </w:pPr>
      <w:r w:rsidRPr="00231226">
        <w:rPr>
          <w:rFonts w:ascii="Times New Roman" w:hAnsi="Times New Roman" w:cs="Times New Roman"/>
          <w:b/>
          <w:bCs/>
          <w:i/>
          <w:iCs/>
          <w:lang w:val="en-GB"/>
        </w:rPr>
        <w:t>Question</w:t>
      </w:r>
      <w:r w:rsidR="00C50969" w:rsidRPr="00231226">
        <w:rPr>
          <w:rFonts w:ascii="Times New Roman" w:hAnsi="Times New Roman" w:cs="Times New Roman"/>
          <w:b/>
          <w:bCs/>
          <w:i/>
          <w:iCs/>
          <w:lang w:val="en-GB"/>
        </w:rPr>
        <w:t xml:space="preserve"> to the representative of the European Union</w:t>
      </w:r>
      <w:r w:rsidRPr="00231226">
        <w:rPr>
          <w:rFonts w:ascii="Times New Roman" w:hAnsi="Times New Roman" w:cs="Times New Roman"/>
          <w:b/>
          <w:bCs/>
          <w:i/>
          <w:iCs/>
          <w:lang w:val="en-GB"/>
        </w:rPr>
        <w:t>: What is the mechanism</w:t>
      </w:r>
      <w:r w:rsidR="00566068" w:rsidRPr="00231226">
        <w:rPr>
          <w:rFonts w:ascii="Times New Roman" w:hAnsi="Times New Roman" w:cs="Times New Roman"/>
          <w:b/>
          <w:bCs/>
          <w:i/>
          <w:iCs/>
          <w:lang w:val="en-GB"/>
        </w:rPr>
        <w:t>, implemented by the European Commission</w:t>
      </w:r>
      <w:r w:rsidRPr="00231226">
        <w:rPr>
          <w:rFonts w:ascii="Times New Roman" w:hAnsi="Times New Roman" w:cs="Times New Roman"/>
          <w:b/>
          <w:bCs/>
          <w:i/>
          <w:iCs/>
          <w:lang w:val="en-GB"/>
        </w:rPr>
        <w:t xml:space="preserve"> to monitor the fulfilment of the enabling conditions, in particular those relevant for ensuring independent living conditions (poverty reductio</w:t>
      </w:r>
      <w:r w:rsidR="00F32D56" w:rsidRPr="00231226">
        <w:rPr>
          <w:rFonts w:ascii="Times New Roman" w:hAnsi="Times New Roman" w:cs="Times New Roman"/>
          <w:b/>
          <w:bCs/>
          <w:i/>
          <w:iCs/>
          <w:lang w:val="en-GB"/>
        </w:rPr>
        <w:t>n, Charter of Fundamental Rights, UNCRPD)?</w:t>
      </w:r>
    </w:p>
    <w:p w14:paraId="26FA22F7" w14:textId="25143E73" w:rsidR="00566068" w:rsidRPr="005233EA" w:rsidRDefault="00A84D22" w:rsidP="00566068">
      <w:pPr>
        <w:pStyle w:val="ListParagraph"/>
        <w:numPr>
          <w:ilvl w:val="0"/>
          <w:numId w:val="1"/>
        </w:numPr>
        <w:jc w:val="both"/>
        <w:rPr>
          <w:rFonts w:ascii="Times New Roman" w:hAnsi="Times New Roman" w:cs="Times New Roman"/>
          <w:lang w:val="en-GB"/>
        </w:rPr>
      </w:pPr>
      <w:r w:rsidRPr="005233EA">
        <w:rPr>
          <w:rFonts w:ascii="Times New Roman" w:hAnsi="Times New Roman" w:cs="Times New Roman"/>
          <w:lang w:val="en-GB"/>
        </w:rPr>
        <w:t xml:space="preserve">In its reply </w:t>
      </w:r>
      <w:r w:rsidR="001A7218" w:rsidRPr="005233EA">
        <w:rPr>
          <w:rFonts w:ascii="Times New Roman" w:hAnsi="Times New Roman" w:cs="Times New Roman"/>
          <w:lang w:val="en-GB"/>
        </w:rPr>
        <w:t>to paragraph 21 (b), the European Commission informs the Committee that “national authorities can in some cases use EU funding for residential care facilities, since investments in institutions are not prohibited by the applicable legal framework”. At the same time</w:t>
      </w:r>
      <w:r w:rsidR="00673480">
        <w:rPr>
          <w:rFonts w:ascii="Times New Roman" w:hAnsi="Times New Roman" w:cs="Times New Roman"/>
          <w:lang w:val="en-GB"/>
        </w:rPr>
        <w:t>,</w:t>
      </w:r>
      <w:r w:rsidR="001A7218" w:rsidRPr="005233EA">
        <w:rPr>
          <w:rFonts w:ascii="Times New Roman" w:hAnsi="Times New Roman" w:cs="Times New Roman"/>
          <w:lang w:val="en-GB"/>
        </w:rPr>
        <w:t xml:space="preserve"> </w:t>
      </w:r>
      <w:r w:rsidR="00286375" w:rsidRPr="005233EA">
        <w:rPr>
          <w:rFonts w:ascii="Times New Roman" w:hAnsi="Times New Roman" w:cs="Times New Roman"/>
          <w:lang w:val="en-GB"/>
        </w:rPr>
        <w:t xml:space="preserve">several legal provisions of the 2021-2027 legal framework instruct Member States to </w:t>
      </w:r>
      <w:r w:rsidR="006D3FD0" w:rsidRPr="005233EA">
        <w:rPr>
          <w:rFonts w:ascii="Times New Roman" w:hAnsi="Times New Roman" w:cs="Times New Roman"/>
          <w:lang w:val="en-GB"/>
        </w:rPr>
        <w:t>foster the shift to community based services</w:t>
      </w:r>
      <w:r w:rsidR="008A7F09">
        <w:rPr>
          <w:rFonts w:ascii="Times New Roman" w:hAnsi="Times New Roman" w:cs="Times New Roman"/>
          <w:lang w:val="en-GB"/>
        </w:rPr>
        <w:t xml:space="preserve"> (as described in the E</w:t>
      </w:r>
      <w:r w:rsidR="00ED6755">
        <w:rPr>
          <w:rFonts w:ascii="Times New Roman" w:hAnsi="Times New Roman" w:cs="Times New Roman"/>
          <w:lang w:val="en-GB"/>
        </w:rPr>
        <w:t xml:space="preserve">uropean </w:t>
      </w:r>
      <w:r w:rsidR="00ED6755">
        <w:rPr>
          <w:rFonts w:ascii="Times New Roman" w:hAnsi="Times New Roman" w:cs="Times New Roman"/>
          <w:lang w:val="en-GB"/>
        </w:rPr>
        <w:lastRenderedPageBreak/>
        <w:t xml:space="preserve">Commission’s reply to the </w:t>
      </w:r>
      <w:r w:rsidR="004A4C80">
        <w:rPr>
          <w:rFonts w:ascii="Times New Roman" w:hAnsi="Times New Roman" w:cs="Times New Roman"/>
          <w:lang w:val="en-GB"/>
        </w:rPr>
        <w:t>Committee</w:t>
      </w:r>
      <w:r w:rsidR="008A7F09">
        <w:rPr>
          <w:rFonts w:ascii="Times New Roman" w:hAnsi="Times New Roman" w:cs="Times New Roman"/>
          <w:lang w:val="en-GB"/>
        </w:rPr>
        <w:t>)</w:t>
      </w:r>
      <w:r w:rsidR="006D3FD0" w:rsidRPr="005233EA">
        <w:rPr>
          <w:rFonts w:ascii="Times New Roman" w:hAnsi="Times New Roman" w:cs="Times New Roman"/>
          <w:lang w:val="en-GB"/>
        </w:rPr>
        <w:t xml:space="preserve">. None of the legal provisions </w:t>
      </w:r>
      <w:r w:rsidR="008C56A5" w:rsidRPr="005233EA">
        <w:rPr>
          <w:rFonts w:ascii="Times New Roman" w:hAnsi="Times New Roman" w:cs="Times New Roman"/>
          <w:lang w:val="en-GB"/>
        </w:rPr>
        <w:t xml:space="preserve">of the 2021-2027 period </w:t>
      </w:r>
      <w:r w:rsidR="006D3FD0" w:rsidRPr="005233EA">
        <w:rPr>
          <w:rFonts w:ascii="Times New Roman" w:hAnsi="Times New Roman" w:cs="Times New Roman"/>
          <w:lang w:val="en-GB"/>
        </w:rPr>
        <w:t xml:space="preserve">refer to specific cases </w:t>
      </w:r>
      <w:r w:rsidR="008C56A5" w:rsidRPr="005233EA">
        <w:rPr>
          <w:rFonts w:ascii="Times New Roman" w:hAnsi="Times New Roman" w:cs="Times New Roman"/>
          <w:lang w:val="en-GB"/>
        </w:rPr>
        <w:t xml:space="preserve">allowing </w:t>
      </w:r>
      <w:r w:rsidR="00ED6755" w:rsidRPr="005233EA">
        <w:rPr>
          <w:rFonts w:ascii="Times New Roman" w:hAnsi="Times New Roman" w:cs="Times New Roman"/>
          <w:lang w:val="en-GB"/>
        </w:rPr>
        <w:t>European</w:t>
      </w:r>
      <w:r w:rsidR="008C56A5" w:rsidRPr="005233EA">
        <w:rPr>
          <w:rFonts w:ascii="Times New Roman" w:hAnsi="Times New Roman" w:cs="Times New Roman"/>
          <w:lang w:val="en-GB"/>
        </w:rPr>
        <w:t xml:space="preserve"> </w:t>
      </w:r>
      <w:proofErr w:type="spellStart"/>
      <w:r w:rsidR="00ED6755">
        <w:rPr>
          <w:rFonts w:ascii="Times New Roman" w:hAnsi="Times New Roman" w:cs="Times New Roman"/>
          <w:lang w:val="en-GB"/>
        </w:rPr>
        <w:t>F</w:t>
      </w:r>
      <w:r w:rsidR="008C56A5" w:rsidRPr="005233EA">
        <w:rPr>
          <w:rFonts w:ascii="Times New Roman" w:hAnsi="Times New Roman" w:cs="Times New Roman"/>
          <w:lang w:val="en-GB"/>
        </w:rPr>
        <w:t>unds</w:t>
      </w:r>
      <w:proofErr w:type="spellEnd"/>
      <w:r w:rsidR="008C56A5" w:rsidRPr="005233EA">
        <w:rPr>
          <w:rFonts w:ascii="Times New Roman" w:hAnsi="Times New Roman" w:cs="Times New Roman"/>
          <w:lang w:val="en-GB"/>
        </w:rPr>
        <w:t xml:space="preserve"> investments in residential institutions. Furthermore, </w:t>
      </w:r>
      <w:r w:rsidR="005B3B47" w:rsidRPr="005233EA">
        <w:rPr>
          <w:rFonts w:ascii="Times New Roman" w:hAnsi="Times New Roman" w:cs="Times New Roman"/>
          <w:lang w:val="en-GB"/>
        </w:rPr>
        <w:t xml:space="preserve">the Commission also made a reference to </w:t>
      </w:r>
      <w:r w:rsidR="00195F2B" w:rsidRPr="005233EA">
        <w:rPr>
          <w:rFonts w:ascii="Times New Roman" w:hAnsi="Times New Roman" w:cs="Times New Roman"/>
          <w:lang w:val="en-GB"/>
        </w:rPr>
        <w:t>safeguards</w:t>
      </w:r>
      <w:r w:rsidR="00B44745" w:rsidRPr="005233EA">
        <w:rPr>
          <w:rFonts w:ascii="Times New Roman" w:hAnsi="Times New Roman" w:cs="Times New Roman"/>
          <w:lang w:val="en-GB"/>
        </w:rPr>
        <w:t xml:space="preserve"> </w:t>
      </w:r>
      <w:r w:rsidR="003C31F9" w:rsidRPr="005233EA">
        <w:rPr>
          <w:rFonts w:ascii="Times New Roman" w:hAnsi="Times New Roman" w:cs="Times New Roman"/>
          <w:lang w:val="en-GB"/>
        </w:rPr>
        <w:t>implemented in residential institutions</w:t>
      </w:r>
      <w:r w:rsidR="00195F2B" w:rsidRPr="005233EA">
        <w:rPr>
          <w:rFonts w:ascii="Times New Roman" w:hAnsi="Times New Roman" w:cs="Times New Roman"/>
          <w:lang w:val="en-GB"/>
        </w:rPr>
        <w:t xml:space="preserve">, which should be in line with </w:t>
      </w:r>
      <w:r w:rsidR="005B3B47" w:rsidRPr="005233EA">
        <w:rPr>
          <w:rFonts w:ascii="Times New Roman" w:hAnsi="Times New Roman" w:cs="Times New Roman"/>
          <w:lang w:val="en-GB"/>
        </w:rPr>
        <w:t>the UNCRPD and General Comment 5</w:t>
      </w:r>
      <w:r w:rsidR="00195F2B" w:rsidRPr="005233EA">
        <w:rPr>
          <w:rFonts w:ascii="Times New Roman" w:hAnsi="Times New Roman" w:cs="Times New Roman"/>
          <w:lang w:val="en-GB"/>
        </w:rPr>
        <w:t xml:space="preserve">. </w:t>
      </w:r>
      <w:r w:rsidR="003C31F9" w:rsidRPr="005233EA">
        <w:rPr>
          <w:rFonts w:ascii="Times New Roman" w:hAnsi="Times New Roman" w:cs="Times New Roman"/>
          <w:lang w:val="en-GB"/>
        </w:rPr>
        <w:t xml:space="preserve">This approach is completely against the </w:t>
      </w:r>
      <w:r w:rsidR="00C60174" w:rsidRPr="005233EA">
        <w:rPr>
          <w:rFonts w:ascii="Times New Roman" w:hAnsi="Times New Roman" w:cs="Times New Roman"/>
          <w:lang w:val="en-GB"/>
        </w:rPr>
        <w:t xml:space="preserve">provisions of the UNCRPD and </w:t>
      </w:r>
      <w:r w:rsidR="000D47F8" w:rsidRPr="005233EA">
        <w:rPr>
          <w:rFonts w:ascii="Times New Roman" w:hAnsi="Times New Roman" w:cs="Times New Roman"/>
          <w:lang w:val="en-GB"/>
        </w:rPr>
        <w:t>General</w:t>
      </w:r>
      <w:r w:rsidR="00C60174" w:rsidRPr="005233EA">
        <w:rPr>
          <w:rFonts w:ascii="Times New Roman" w:hAnsi="Times New Roman" w:cs="Times New Roman"/>
          <w:lang w:val="en-GB"/>
        </w:rPr>
        <w:t xml:space="preserve"> Comment 5</w:t>
      </w:r>
      <w:r w:rsidR="000D47F8" w:rsidRPr="005233EA">
        <w:rPr>
          <w:rFonts w:ascii="Times New Roman" w:hAnsi="Times New Roman" w:cs="Times New Roman"/>
          <w:lang w:val="en-GB"/>
        </w:rPr>
        <w:t xml:space="preserve">., as these documents directly prohibits </w:t>
      </w:r>
      <w:r w:rsidR="00CB161F" w:rsidRPr="005233EA">
        <w:rPr>
          <w:rFonts w:ascii="Times New Roman" w:hAnsi="Times New Roman" w:cs="Times New Roman"/>
          <w:lang w:val="en-GB"/>
        </w:rPr>
        <w:t>pub</w:t>
      </w:r>
      <w:r w:rsidR="00FF41B8" w:rsidRPr="005233EA">
        <w:rPr>
          <w:rFonts w:ascii="Times New Roman" w:hAnsi="Times New Roman" w:cs="Times New Roman"/>
          <w:lang w:val="en-GB"/>
        </w:rPr>
        <w:t>l</w:t>
      </w:r>
      <w:r w:rsidR="00CB161F" w:rsidRPr="005233EA">
        <w:rPr>
          <w:rFonts w:ascii="Times New Roman" w:hAnsi="Times New Roman" w:cs="Times New Roman"/>
          <w:lang w:val="en-GB"/>
        </w:rPr>
        <w:t xml:space="preserve">ic </w:t>
      </w:r>
      <w:r w:rsidR="007A2D50" w:rsidRPr="005233EA">
        <w:rPr>
          <w:rFonts w:ascii="Times New Roman" w:hAnsi="Times New Roman" w:cs="Times New Roman"/>
          <w:lang w:val="en-GB"/>
        </w:rPr>
        <w:t>funds</w:t>
      </w:r>
      <w:r w:rsidR="00FF41B8" w:rsidRPr="005233EA">
        <w:rPr>
          <w:rFonts w:ascii="Times New Roman" w:hAnsi="Times New Roman" w:cs="Times New Roman"/>
          <w:lang w:val="en-GB"/>
        </w:rPr>
        <w:t xml:space="preserve">’ </w:t>
      </w:r>
      <w:r w:rsidR="00CB161F" w:rsidRPr="005233EA">
        <w:rPr>
          <w:rFonts w:ascii="Times New Roman" w:hAnsi="Times New Roman" w:cs="Times New Roman"/>
          <w:lang w:val="en-GB"/>
        </w:rPr>
        <w:t xml:space="preserve">investments in residential </w:t>
      </w:r>
      <w:r w:rsidR="007A2D50" w:rsidRPr="005233EA">
        <w:rPr>
          <w:rFonts w:ascii="Times New Roman" w:hAnsi="Times New Roman" w:cs="Times New Roman"/>
          <w:lang w:val="en-GB"/>
        </w:rPr>
        <w:t>institutions</w:t>
      </w:r>
      <w:r w:rsidR="00CB161F" w:rsidRPr="005233EA">
        <w:rPr>
          <w:rFonts w:ascii="Times New Roman" w:hAnsi="Times New Roman" w:cs="Times New Roman"/>
          <w:lang w:val="en-GB"/>
        </w:rPr>
        <w:t>.</w:t>
      </w:r>
    </w:p>
    <w:p w14:paraId="582752CA" w14:textId="73B151BD" w:rsidR="00CB161F" w:rsidRPr="00C50969" w:rsidRDefault="001F5EF4" w:rsidP="00C50969">
      <w:pPr>
        <w:tabs>
          <w:tab w:val="left" w:pos="1652"/>
        </w:tabs>
        <w:jc w:val="both"/>
        <w:rPr>
          <w:rFonts w:ascii="Times New Roman" w:hAnsi="Times New Roman" w:cs="Times New Roman"/>
          <w:b/>
          <w:bCs/>
          <w:i/>
          <w:iCs/>
          <w:lang w:val="en-GB"/>
        </w:rPr>
      </w:pPr>
      <w:r w:rsidRPr="00C50969">
        <w:rPr>
          <w:rFonts w:ascii="Times New Roman" w:hAnsi="Times New Roman" w:cs="Times New Roman"/>
          <w:b/>
          <w:bCs/>
          <w:i/>
          <w:iCs/>
          <w:lang w:val="en-GB"/>
        </w:rPr>
        <w:t>Question</w:t>
      </w:r>
      <w:r w:rsidR="00CB161F" w:rsidRPr="00C50969">
        <w:rPr>
          <w:rFonts w:ascii="Times New Roman" w:hAnsi="Times New Roman" w:cs="Times New Roman"/>
          <w:b/>
          <w:bCs/>
          <w:i/>
          <w:iCs/>
          <w:lang w:val="en-GB"/>
        </w:rPr>
        <w:t xml:space="preserve"> to the </w:t>
      </w:r>
      <w:r w:rsidR="007A2D50" w:rsidRPr="00C50969">
        <w:rPr>
          <w:rFonts w:ascii="Times New Roman" w:hAnsi="Times New Roman" w:cs="Times New Roman"/>
          <w:b/>
          <w:bCs/>
          <w:i/>
          <w:iCs/>
          <w:lang w:val="en-GB"/>
        </w:rPr>
        <w:t xml:space="preserve">representative of the European Union: </w:t>
      </w:r>
      <w:r w:rsidR="00FF41B8" w:rsidRPr="00C50969">
        <w:rPr>
          <w:rFonts w:ascii="Times New Roman" w:hAnsi="Times New Roman" w:cs="Times New Roman"/>
          <w:b/>
          <w:bCs/>
          <w:i/>
          <w:iCs/>
          <w:lang w:val="en-GB"/>
        </w:rPr>
        <w:t>When</w:t>
      </w:r>
      <w:r w:rsidR="00407971">
        <w:rPr>
          <w:rFonts w:ascii="Times New Roman" w:hAnsi="Times New Roman" w:cs="Times New Roman"/>
          <w:b/>
          <w:bCs/>
          <w:i/>
          <w:iCs/>
          <w:lang w:val="en-GB"/>
        </w:rPr>
        <w:t xml:space="preserve"> will</w:t>
      </w:r>
      <w:r w:rsidR="00FF41B8" w:rsidRPr="00C50969">
        <w:rPr>
          <w:rFonts w:ascii="Times New Roman" w:hAnsi="Times New Roman" w:cs="Times New Roman"/>
          <w:b/>
          <w:bCs/>
          <w:i/>
          <w:iCs/>
          <w:lang w:val="en-GB"/>
        </w:rPr>
        <w:t xml:space="preserve"> </w:t>
      </w:r>
      <w:r w:rsidRPr="00C50969">
        <w:rPr>
          <w:rFonts w:ascii="Times New Roman" w:hAnsi="Times New Roman" w:cs="Times New Roman"/>
          <w:b/>
          <w:bCs/>
          <w:i/>
          <w:iCs/>
          <w:lang w:val="en-GB"/>
        </w:rPr>
        <w:t>European</w:t>
      </w:r>
      <w:r w:rsidR="00765F82" w:rsidRPr="00C50969">
        <w:rPr>
          <w:rFonts w:ascii="Times New Roman" w:hAnsi="Times New Roman" w:cs="Times New Roman"/>
          <w:b/>
          <w:bCs/>
          <w:i/>
          <w:iCs/>
          <w:lang w:val="en-GB"/>
        </w:rPr>
        <w:t xml:space="preserve"> funds </w:t>
      </w:r>
      <w:r w:rsidR="00407971">
        <w:rPr>
          <w:rFonts w:ascii="Times New Roman" w:hAnsi="Times New Roman" w:cs="Times New Roman"/>
          <w:b/>
          <w:bCs/>
          <w:i/>
          <w:iCs/>
          <w:lang w:val="en-GB"/>
        </w:rPr>
        <w:t xml:space="preserve">fully </w:t>
      </w:r>
      <w:r w:rsidR="00765F82" w:rsidRPr="00C50969">
        <w:rPr>
          <w:rFonts w:ascii="Times New Roman" w:hAnsi="Times New Roman" w:cs="Times New Roman"/>
          <w:b/>
          <w:bCs/>
          <w:i/>
          <w:iCs/>
          <w:lang w:val="en-GB"/>
        </w:rPr>
        <w:t>stop supporting residential institutions? Why</w:t>
      </w:r>
      <w:r w:rsidR="00407971">
        <w:rPr>
          <w:rFonts w:ascii="Times New Roman" w:hAnsi="Times New Roman" w:cs="Times New Roman"/>
          <w:b/>
          <w:bCs/>
          <w:i/>
          <w:iCs/>
          <w:lang w:val="en-GB"/>
        </w:rPr>
        <w:t xml:space="preserve"> does</w:t>
      </w:r>
      <w:r w:rsidR="00765F82" w:rsidRPr="00C50969">
        <w:rPr>
          <w:rFonts w:ascii="Times New Roman" w:hAnsi="Times New Roman" w:cs="Times New Roman"/>
          <w:b/>
          <w:bCs/>
          <w:i/>
          <w:iCs/>
          <w:lang w:val="en-GB"/>
        </w:rPr>
        <w:t xml:space="preserve"> the European Commission </w:t>
      </w:r>
      <w:r w:rsidR="008C3A59" w:rsidRPr="00C50969">
        <w:rPr>
          <w:rFonts w:ascii="Times New Roman" w:hAnsi="Times New Roman" w:cs="Times New Roman"/>
          <w:b/>
          <w:bCs/>
          <w:i/>
          <w:iCs/>
          <w:lang w:val="en-GB"/>
        </w:rPr>
        <w:t>allow</w:t>
      </w:r>
      <w:r w:rsidR="00BE2F05">
        <w:rPr>
          <w:rFonts w:ascii="Times New Roman" w:hAnsi="Times New Roman" w:cs="Times New Roman"/>
          <w:b/>
          <w:bCs/>
          <w:i/>
          <w:iCs/>
          <w:lang w:val="en-GB"/>
        </w:rPr>
        <w:t xml:space="preserve"> the</w:t>
      </w:r>
      <w:r w:rsidR="008C3A59" w:rsidRPr="00C50969">
        <w:rPr>
          <w:rFonts w:ascii="Times New Roman" w:hAnsi="Times New Roman" w:cs="Times New Roman"/>
          <w:b/>
          <w:bCs/>
          <w:i/>
          <w:iCs/>
          <w:lang w:val="en-GB"/>
        </w:rPr>
        <w:t xml:space="preserve"> </w:t>
      </w:r>
      <w:r w:rsidR="00211F2C" w:rsidRPr="00C50969">
        <w:rPr>
          <w:rFonts w:ascii="Times New Roman" w:hAnsi="Times New Roman" w:cs="Times New Roman"/>
          <w:b/>
          <w:bCs/>
          <w:i/>
          <w:iCs/>
          <w:lang w:val="en-GB"/>
        </w:rPr>
        <w:t>mis</w:t>
      </w:r>
      <w:r w:rsidR="008C3A59" w:rsidRPr="00C50969">
        <w:rPr>
          <w:rFonts w:ascii="Times New Roman" w:hAnsi="Times New Roman" w:cs="Times New Roman"/>
          <w:b/>
          <w:bCs/>
          <w:i/>
          <w:iCs/>
          <w:lang w:val="en-GB"/>
        </w:rPr>
        <w:t xml:space="preserve">interpretation of the UNCRPD in the context of European funds </w:t>
      </w:r>
      <w:r w:rsidRPr="00C50969">
        <w:rPr>
          <w:rFonts w:ascii="Times New Roman" w:hAnsi="Times New Roman" w:cs="Times New Roman"/>
          <w:b/>
          <w:bCs/>
          <w:i/>
          <w:iCs/>
          <w:lang w:val="en-GB"/>
        </w:rPr>
        <w:t xml:space="preserve">compared to the instructions of the Committee? </w:t>
      </w:r>
    </w:p>
    <w:p w14:paraId="4D59E9E5" w14:textId="22BCB9EB" w:rsidR="001F5EF4" w:rsidRPr="005233EA" w:rsidRDefault="004A70C5" w:rsidP="00E55FFB">
      <w:pPr>
        <w:pStyle w:val="ListParagraph"/>
        <w:numPr>
          <w:ilvl w:val="0"/>
          <w:numId w:val="1"/>
        </w:numPr>
        <w:jc w:val="both"/>
        <w:rPr>
          <w:rFonts w:ascii="Times New Roman" w:hAnsi="Times New Roman" w:cs="Times New Roman"/>
          <w:lang w:val="en-GB"/>
        </w:rPr>
      </w:pPr>
      <w:r w:rsidRPr="005233EA">
        <w:rPr>
          <w:rFonts w:ascii="Times New Roman" w:hAnsi="Times New Roman" w:cs="Times New Roman"/>
          <w:lang w:val="en-GB"/>
        </w:rPr>
        <w:t>In its reply to paragraph 21 (</w:t>
      </w:r>
      <w:r w:rsidR="00FB6B0C" w:rsidRPr="005233EA">
        <w:rPr>
          <w:rFonts w:ascii="Times New Roman" w:hAnsi="Times New Roman" w:cs="Times New Roman"/>
          <w:lang w:val="en-GB"/>
        </w:rPr>
        <w:t>c</w:t>
      </w:r>
      <w:r w:rsidRPr="005233EA">
        <w:rPr>
          <w:rFonts w:ascii="Times New Roman" w:hAnsi="Times New Roman" w:cs="Times New Roman"/>
          <w:lang w:val="en-GB"/>
        </w:rPr>
        <w:t xml:space="preserve">), the European Commission informs the Committee that </w:t>
      </w:r>
      <w:r w:rsidR="009C1849" w:rsidRPr="005233EA">
        <w:rPr>
          <w:rFonts w:ascii="Times New Roman" w:hAnsi="Times New Roman" w:cs="Times New Roman"/>
          <w:lang w:val="en-GB"/>
        </w:rPr>
        <w:t xml:space="preserve">“The Legal Service does not revise its notes”. </w:t>
      </w:r>
      <w:r w:rsidR="00054DE0" w:rsidRPr="005233EA">
        <w:rPr>
          <w:rFonts w:ascii="Times New Roman" w:hAnsi="Times New Roman" w:cs="Times New Roman"/>
          <w:lang w:val="en-GB"/>
        </w:rPr>
        <w:t>Following the arguments above</w:t>
      </w:r>
      <w:r w:rsidR="00E55FFB" w:rsidRPr="005233EA">
        <w:rPr>
          <w:rFonts w:ascii="Times New Roman" w:hAnsi="Times New Roman" w:cs="Times New Roman"/>
          <w:lang w:val="en-GB"/>
        </w:rPr>
        <w:t xml:space="preserve"> (taking into account that the note of the Legal Service allows investment</w:t>
      </w:r>
      <w:r w:rsidR="00C77420">
        <w:rPr>
          <w:rFonts w:ascii="Times New Roman" w:hAnsi="Times New Roman" w:cs="Times New Roman"/>
          <w:lang w:val="en-GB"/>
        </w:rPr>
        <w:t>s</w:t>
      </w:r>
      <w:r w:rsidR="00E55FFB" w:rsidRPr="005233EA">
        <w:rPr>
          <w:rFonts w:ascii="Times New Roman" w:hAnsi="Times New Roman" w:cs="Times New Roman"/>
          <w:lang w:val="en-GB"/>
        </w:rPr>
        <w:t xml:space="preserve"> in residential institutions)</w:t>
      </w:r>
      <w:r w:rsidR="00054DE0" w:rsidRPr="005233EA">
        <w:rPr>
          <w:rFonts w:ascii="Times New Roman" w:hAnsi="Times New Roman" w:cs="Times New Roman"/>
          <w:lang w:val="en-GB"/>
        </w:rPr>
        <w:t xml:space="preserve">, the internal </w:t>
      </w:r>
      <w:r w:rsidR="009A4FDF" w:rsidRPr="005233EA">
        <w:rPr>
          <w:rFonts w:ascii="Times New Roman" w:hAnsi="Times New Roman" w:cs="Times New Roman"/>
          <w:lang w:val="en-GB"/>
        </w:rPr>
        <w:t xml:space="preserve">note by </w:t>
      </w:r>
      <w:r w:rsidR="00054DE0" w:rsidRPr="005233EA">
        <w:rPr>
          <w:rFonts w:ascii="Times New Roman" w:hAnsi="Times New Roman" w:cs="Times New Roman"/>
          <w:lang w:val="en-GB"/>
        </w:rPr>
        <w:t>Legal Service</w:t>
      </w:r>
      <w:r w:rsidR="009A4FDF" w:rsidRPr="005233EA">
        <w:rPr>
          <w:rFonts w:ascii="Times New Roman" w:hAnsi="Times New Roman" w:cs="Times New Roman"/>
          <w:lang w:val="en-GB"/>
        </w:rPr>
        <w:t xml:space="preserve"> provides</w:t>
      </w:r>
      <w:r w:rsidR="00BC5F91">
        <w:rPr>
          <w:rFonts w:ascii="Times New Roman" w:hAnsi="Times New Roman" w:cs="Times New Roman"/>
          <w:lang w:val="en-GB"/>
        </w:rPr>
        <w:t xml:space="preserve"> a</w:t>
      </w:r>
      <w:r w:rsidR="009A4FDF" w:rsidRPr="005233EA">
        <w:rPr>
          <w:rFonts w:ascii="Times New Roman" w:hAnsi="Times New Roman" w:cs="Times New Roman"/>
          <w:lang w:val="en-GB"/>
        </w:rPr>
        <w:t xml:space="preserve"> misinterpretation of the UNCRPD and </w:t>
      </w:r>
      <w:r w:rsidR="0075129A">
        <w:rPr>
          <w:rFonts w:ascii="Times New Roman" w:hAnsi="Times New Roman" w:cs="Times New Roman"/>
          <w:lang w:val="en-GB"/>
        </w:rPr>
        <w:t>G</w:t>
      </w:r>
      <w:r w:rsidR="009A4FDF" w:rsidRPr="005233EA">
        <w:rPr>
          <w:rFonts w:ascii="Times New Roman" w:hAnsi="Times New Roman" w:cs="Times New Roman"/>
          <w:lang w:val="en-GB"/>
        </w:rPr>
        <w:t>eneral Comment 5</w:t>
      </w:r>
      <w:r w:rsidR="00DF14E9">
        <w:rPr>
          <w:rFonts w:ascii="Times New Roman" w:hAnsi="Times New Roman" w:cs="Times New Roman"/>
          <w:lang w:val="en-GB"/>
        </w:rPr>
        <w:t xml:space="preserve">, thereby leading to the EU violating </w:t>
      </w:r>
      <w:r w:rsidR="0075129A">
        <w:rPr>
          <w:rFonts w:ascii="Times New Roman" w:hAnsi="Times New Roman" w:cs="Times New Roman"/>
          <w:lang w:val="en-GB"/>
        </w:rPr>
        <w:t>article 19 of the UNCRPD</w:t>
      </w:r>
      <w:r w:rsidR="009A4FDF" w:rsidRPr="005233EA">
        <w:rPr>
          <w:rFonts w:ascii="Times New Roman" w:hAnsi="Times New Roman" w:cs="Times New Roman"/>
          <w:lang w:val="en-GB"/>
        </w:rPr>
        <w:t>.</w:t>
      </w:r>
      <w:r w:rsidR="00CE4148">
        <w:rPr>
          <w:rFonts w:ascii="Times New Roman" w:hAnsi="Times New Roman" w:cs="Times New Roman"/>
          <w:lang w:val="en-GB"/>
        </w:rPr>
        <w:t xml:space="preserve"> </w:t>
      </w:r>
      <w:r w:rsidR="009A4FDF" w:rsidRPr="005233EA">
        <w:rPr>
          <w:rFonts w:ascii="Times New Roman" w:hAnsi="Times New Roman" w:cs="Times New Roman"/>
          <w:lang w:val="en-GB"/>
        </w:rPr>
        <w:t xml:space="preserve">This makes the note of the Legal Service </w:t>
      </w:r>
      <w:r w:rsidR="0016101D" w:rsidRPr="005233EA">
        <w:rPr>
          <w:rFonts w:ascii="Times New Roman" w:hAnsi="Times New Roman" w:cs="Times New Roman"/>
          <w:lang w:val="en-GB"/>
        </w:rPr>
        <w:t xml:space="preserve">unsuitable to guide Commission services </w:t>
      </w:r>
      <w:r w:rsidR="00CE4148">
        <w:rPr>
          <w:rFonts w:ascii="Times New Roman" w:hAnsi="Times New Roman" w:cs="Times New Roman"/>
          <w:lang w:val="en-GB"/>
        </w:rPr>
        <w:t xml:space="preserve">in </w:t>
      </w:r>
      <w:r w:rsidR="0016101D" w:rsidRPr="005233EA">
        <w:rPr>
          <w:rFonts w:ascii="Times New Roman" w:hAnsi="Times New Roman" w:cs="Times New Roman"/>
          <w:lang w:val="en-GB"/>
        </w:rPr>
        <w:t xml:space="preserve">how to use </w:t>
      </w:r>
      <w:r w:rsidR="002D401C" w:rsidRPr="005233EA">
        <w:rPr>
          <w:rFonts w:ascii="Times New Roman" w:hAnsi="Times New Roman" w:cs="Times New Roman"/>
          <w:lang w:val="en-GB"/>
        </w:rPr>
        <w:t>European</w:t>
      </w:r>
      <w:r w:rsidR="0016101D" w:rsidRPr="005233EA">
        <w:rPr>
          <w:rFonts w:ascii="Times New Roman" w:hAnsi="Times New Roman" w:cs="Times New Roman"/>
          <w:lang w:val="en-GB"/>
        </w:rPr>
        <w:t xml:space="preserve"> funds for ensuring </w:t>
      </w:r>
      <w:r w:rsidR="002D401C" w:rsidRPr="005233EA">
        <w:rPr>
          <w:rFonts w:ascii="Times New Roman" w:hAnsi="Times New Roman" w:cs="Times New Roman"/>
          <w:lang w:val="en-GB"/>
        </w:rPr>
        <w:t>independent living conditions.</w:t>
      </w:r>
    </w:p>
    <w:p w14:paraId="2317C768" w14:textId="0DF226D6" w:rsidR="00E55FFB" w:rsidRPr="00C50969" w:rsidRDefault="00E55FFB" w:rsidP="00E55FFB">
      <w:pPr>
        <w:tabs>
          <w:tab w:val="left" w:pos="1652"/>
        </w:tabs>
        <w:jc w:val="both"/>
        <w:rPr>
          <w:rFonts w:ascii="Times New Roman" w:hAnsi="Times New Roman" w:cs="Times New Roman"/>
          <w:b/>
          <w:bCs/>
          <w:i/>
          <w:iCs/>
          <w:lang w:val="en-GB"/>
        </w:rPr>
      </w:pPr>
      <w:r w:rsidRPr="00C50969">
        <w:rPr>
          <w:rFonts w:ascii="Times New Roman" w:hAnsi="Times New Roman" w:cs="Times New Roman"/>
          <w:b/>
          <w:bCs/>
          <w:i/>
          <w:iCs/>
          <w:lang w:val="en-GB"/>
        </w:rPr>
        <w:t xml:space="preserve">Question to the representative of the European Union: </w:t>
      </w:r>
      <w:r w:rsidR="00211F2C" w:rsidRPr="00C50969">
        <w:rPr>
          <w:rFonts w:ascii="Times New Roman" w:hAnsi="Times New Roman" w:cs="Times New Roman"/>
          <w:b/>
          <w:bCs/>
          <w:i/>
          <w:iCs/>
          <w:lang w:val="en-GB"/>
        </w:rPr>
        <w:t>When</w:t>
      </w:r>
      <w:r w:rsidR="00CE4148">
        <w:rPr>
          <w:rFonts w:ascii="Times New Roman" w:hAnsi="Times New Roman" w:cs="Times New Roman"/>
          <w:b/>
          <w:bCs/>
          <w:i/>
          <w:iCs/>
          <w:lang w:val="en-GB"/>
        </w:rPr>
        <w:t xml:space="preserve"> will</w:t>
      </w:r>
      <w:r w:rsidR="00211F2C" w:rsidRPr="00C50969">
        <w:rPr>
          <w:rFonts w:ascii="Times New Roman" w:hAnsi="Times New Roman" w:cs="Times New Roman"/>
          <w:b/>
          <w:bCs/>
          <w:i/>
          <w:iCs/>
          <w:lang w:val="en-GB"/>
        </w:rPr>
        <w:t xml:space="preserve"> the European Commission</w:t>
      </w:r>
      <w:r w:rsidR="00552C8F" w:rsidRPr="00C50969">
        <w:rPr>
          <w:rFonts w:ascii="Times New Roman" w:hAnsi="Times New Roman" w:cs="Times New Roman"/>
          <w:b/>
          <w:bCs/>
          <w:i/>
          <w:iCs/>
          <w:lang w:val="en-GB"/>
        </w:rPr>
        <w:t>’s Legal Service revise the internal note</w:t>
      </w:r>
      <w:r w:rsidR="00DF14E9">
        <w:rPr>
          <w:rFonts w:ascii="Times New Roman" w:hAnsi="Times New Roman" w:cs="Times New Roman"/>
          <w:b/>
          <w:bCs/>
          <w:i/>
          <w:iCs/>
          <w:lang w:val="en-GB"/>
        </w:rPr>
        <w:t xml:space="preserve">, in order for it </w:t>
      </w:r>
      <w:r w:rsidR="00552C8F" w:rsidRPr="00C50969">
        <w:rPr>
          <w:rFonts w:ascii="Times New Roman" w:hAnsi="Times New Roman" w:cs="Times New Roman"/>
          <w:b/>
          <w:bCs/>
          <w:i/>
          <w:iCs/>
          <w:lang w:val="en-GB"/>
        </w:rPr>
        <w:t>to be fully in line with the legal provisions of the UNCRPD and General Comment 5?</w:t>
      </w:r>
    </w:p>
    <w:p w14:paraId="1FC2E5F6" w14:textId="0EA3E71A" w:rsidR="006271F5" w:rsidRDefault="00D75D36" w:rsidP="006271F5">
      <w:pPr>
        <w:pStyle w:val="ListParagraph"/>
        <w:numPr>
          <w:ilvl w:val="0"/>
          <w:numId w:val="1"/>
        </w:numPr>
        <w:tabs>
          <w:tab w:val="left" w:pos="1652"/>
        </w:tabs>
        <w:jc w:val="both"/>
        <w:rPr>
          <w:rFonts w:ascii="Times New Roman" w:hAnsi="Times New Roman" w:cs="Times New Roman"/>
          <w:lang w:val="en-GB"/>
        </w:rPr>
      </w:pPr>
      <w:r w:rsidRPr="005233EA">
        <w:rPr>
          <w:rFonts w:ascii="Times New Roman" w:hAnsi="Times New Roman" w:cs="Times New Roman"/>
          <w:lang w:val="en-GB"/>
        </w:rPr>
        <w:t xml:space="preserve">In its reply to paragraph 21 (c), the European Commission informs the Committee that: </w:t>
      </w:r>
      <w:r w:rsidR="00C058BF" w:rsidRPr="005233EA">
        <w:rPr>
          <w:rFonts w:ascii="Times New Roman" w:hAnsi="Times New Roman" w:cs="Times New Roman"/>
          <w:lang w:val="en-GB"/>
        </w:rPr>
        <w:t xml:space="preserve">“RRF also supports investments in residential care infrastructure and related services that are compliant with certain conditions, including the principle of independent living”. </w:t>
      </w:r>
      <w:r w:rsidR="00B17E0F" w:rsidRPr="005233EA">
        <w:rPr>
          <w:rFonts w:ascii="Times New Roman" w:hAnsi="Times New Roman" w:cs="Times New Roman"/>
          <w:lang w:val="en-GB"/>
        </w:rPr>
        <w:t xml:space="preserve">Taking into account that the </w:t>
      </w:r>
      <w:r w:rsidR="008D4694" w:rsidRPr="005233EA">
        <w:rPr>
          <w:rFonts w:ascii="Times New Roman" w:hAnsi="Times New Roman" w:cs="Times New Roman"/>
          <w:lang w:val="en-GB"/>
        </w:rPr>
        <w:t>Recovery and Resilience Facility (RRF) fall</w:t>
      </w:r>
      <w:r w:rsidR="00BD5F2E">
        <w:rPr>
          <w:rFonts w:ascii="Times New Roman" w:hAnsi="Times New Roman" w:cs="Times New Roman"/>
          <w:lang w:val="en-GB"/>
        </w:rPr>
        <w:t>s</w:t>
      </w:r>
      <w:r w:rsidR="008D4694" w:rsidRPr="005233EA">
        <w:rPr>
          <w:rFonts w:ascii="Times New Roman" w:hAnsi="Times New Roman" w:cs="Times New Roman"/>
          <w:lang w:val="en-GB"/>
        </w:rPr>
        <w:t xml:space="preserve"> into scope of Europea</w:t>
      </w:r>
      <w:r w:rsidR="005233EA" w:rsidRPr="005233EA">
        <w:rPr>
          <w:rFonts w:ascii="Times New Roman" w:hAnsi="Times New Roman" w:cs="Times New Roman"/>
          <w:lang w:val="en-GB"/>
        </w:rPr>
        <w:t>n</w:t>
      </w:r>
      <w:r w:rsidR="008D4694" w:rsidRPr="005233EA">
        <w:rPr>
          <w:rFonts w:ascii="Times New Roman" w:hAnsi="Times New Roman" w:cs="Times New Roman"/>
          <w:lang w:val="en-GB"/>
        </w:rPr>
        <w:t xml:space="preserve"> funds, all legal provision</w:t>
      </w:r>
      <w:r w:rsidR="00BD5F2E">
        <w:rPr>
          <w:rFonts w:ascii="Times New Roman" w:hAnsi="Times New Roman" w:cs="Times New Roman"/>
          <w:lang w:val="en-GB"/>
        </w:rPr>
        <w:t>s</w:t>
      </w:r>
      <w:r w:rsidR="008D4694" w:rsidRPr="005233EA">
        <w:rPr>
          <w:rFonts w:ascii="Times New Roman" w:hAnsi="Times New Roman" w:cs="Times New Roman"/>
          <w:lang w:val="en-GB"/>
        </w:rPr>
        <w:t xml:space="preserve"> of the UNCRPD and General Comment 5</w:t>
      </w:r>
      <w:r w:rsidR="005233EA" w:rsidRPr="005233EA">
        <w:rPr>
          <w:rFonts w:ascii="Times New Roman" w:hAnsi="Times New Roman" w:cs="Times New Roman"/>
          <w:lang w:val="en-GB"/>
        </w:rPr>
        <w:t xml:space="preserve">. </w:t>
      </w:r>
      <w:r w:rsidR="005233EA">
        <w:rPr>
          <w:rFonts w:ascii="Times New Roman" w:hAnsi="Times New Roman" w:cs="Times New Roman"/>
          <w:lang w:val="en-GB"/>
        </w:rPr>
        <w:t xml:space="preserve">should be strictly followed by </w:t>
      </w:r>
      <w:r w:rsidR="00012C6F">
        <w:rPr>
          <w:rFonts w:ascii="Times New Roman" w:hAnsi="Times New Roman" w:cs="Times New Roman"/>
          <w:lang w:val="en-GB"/>
        </w:rPr>
        <w:t>RRF support too. In this way, no RRF investments should be allocated to residential institutions.</w:t>
      </w:r>
    </w:p>
    <w:p w14:paraId="02C8DF55" w14:textId="1254D445" w:rsidR="00012C6F" w:rsidRPr="00C50969" w:rsidRDefault="00012C6F" w:rsidP="00012C6F">
      <w:pPr>
        <w:tabs>
          <w:tab w:val="left" w:pos="1652"/>
        </w:tabs>
        <w:jc w:val="both"/>
        <w:rPr>
          <w:rFonts w:ascii="Times New Roman" w:hAnsi="Times New Roman" w:cs="Times New Roman"/>
          <w:b/>
          <w:bCs/>
          <w:i/>
          <w:iCs/>
          <w:lang w:val="en-GB"/>
        </w:rPr>
      </w:pPr>
      <w:r w:rsidRPr="00C50969">
        <w:rPr>
          <w:rFonts w:ascii="Times New Roman" w:hAnsi="Times New Roman" w:cs="Times New Roman"/>
          <w:b/>
          <w:bCs/>
          <w:i/>
          <w:iCs/>
          <w:lang w:val="en-GB"/>
        </w:rPr>
        <w:t xml:space="preserve">Question to the representative of the European Union: </w:t>
      </w:r>
      <w:r w:rsidR="0093118F" w:rsidRPr="00C50969">
        <w:rPr>
          <w:rFonts w:ascii="Times New Roman" w:hAnsi="Times New Roman" w:cs="Times New Roman"/>
          <w:b/>
          <w:bCs/>
          <w:i/>
          <w:iCs/>
          <w:lang w:val="en-GB"/>
        </w:rPr>
        <w:t xml:space="preserve">How and when </w:t>
      </w:r>
      <w:r w:rsidR="00BD5F2E">
        <w:rPr>
          <w:rFonts w:ascii="Times New Roman" w:hAnsi="Times New Roman" w:cs="Times New Roman"/>
          <w:b/>
          <w:bCs/>
          <w:i/>
          <w:iCs/>
          <w:lang w:val="en-GB"/>
        </w:rPr>
        <w:t xml:space="preserve">will </w:t>
      </w:r>
      <w:r w:rsidR="0093118F" w:rsidRPr="00C50969">
        <w:rPr>
          <w:rFonts w:ascii="Times New Roman" w:hAnsi="Times New Roman" w:cs="Times New Roman"/>
          <w:b/>
          <w:bCs/>
          <w:i/>
          <w:iCs/>
          <w:lang w:val="en-GB"/>
        </w:rPr>
        <w:t>the European Commission stop financing residential institutions under the RRF finan</w:t>
      </w:r>
      <w:r w:rsidR="000D572F" w:rsidRPr="00C50969">
        <w:rPr>
          <w:rFonts w:ascii="Times New Roman" w:hAnsi="Times New Roman" w:cs="Times New Roman"/>
          <w:b/>
          <w:bCs/>
          <w:i/>
          <w:iCs/>
          <w:lang w:val="en-GB"/>
        </w:rPr>
        <w:t>cial schemes to be fully consistent with the UNCRPD</w:t>
      </w:r>
      <w:r w:rsidR="00837048">
        <w:rPr>
          <w:rFonts w:ascii="Times New Roman" w:hAnsi="Times New Roman" w:cs="Times New Roman"/>
          <w:b/>
          <w:bCs/>
          <w:i/>
          <w:iCs/>
          <w:lang w:val="en-GB"/>
        </w:rPr>
        <w:t xml:space="preserve">, </w:t>
      </w:r>
      <w:r w:rsidR="000D572F" w:rsidRPr="00C50969">
        <w:rPr>
          <w:rFonts w:ascii="Times New Roman" w:hAnsi="Times New Roman" w:cs="Times New Roman"/>
          <w:b/>
          <w:bCs/>
          <w:i/>
          <w:iCs/>
          <w:lang w:val="en-GB"/>
        </w:rPr>
        <w:t>General Comment 5</w:t>
      </w:r>
      <w:r w:rsidR="00837048">
        <w:rPr>
          <w:rFonts w:ascii="Times New Roman" w:hAnsi="Times New Roman" w:cs="Times New Roman"/>
          <w:b/>
          <w:bCs/>
          <w:i/>
          <w:iCs/>
          <w:lang w:val="en-GB"/>
        </w:rPr>
        <w:t xml:space="preserve"> and </w:t>
      </w:r>
      <w:r w:rsidR="00837048" w:rsidRPr="00837048">
        <w:rPr>
          <w:rFonts w:ascii="Times New Roman" w:hAnsi="Times New Roman" w:cs="Times New Roman"/>
          <w:b/>
          <w:bCs/>
          <w:i/>
          <w:iCs/>
          <w:lang w:val="en-GB"/>
        </w:rPr>
        <w:t>Guideline</w:t>
      </w:r>
      <w:r w:rsidR="00446D0B">
        <w:rPr>
          <w:rFonts w:ascii="Times New Roman" w:hAnsi="Times New Roman" w:cs="Times New Roman"/>
          <w:b/>
          <w:bCs/>
          <w:i/>
          <w:iCs/>
          <w:lang w:val="en-GB"/>
        </w:rPr>
        <w:t>s</w:t>
      </w:r>
      <w:r w:rsidR="00837048" w:rsidRPr="00837048">
        <w:rPr>
          <w:rFonts w:ascii="Times New Roman" w:hAnsi="Times New Roman" w:cs="Times New Roman"/>
          <w:b/>
          <w:bCs/>
          <w:i/>
          <w:iCs/>
          <w:lang w:val="en-GB"/>
        </w:rPr>
        <w:t xml:space="preserve"> on deinstitutionalisation, including in emergencies</w:t>
      </w:r>
      <w:r w:rsidR="000D572F" w:rsidRPr="00C50969">
        <w:rPr>
          <w:rFonts w:ascii="Times New Roman" w:hAnsi="Times New Roman" w:cs="Times New Roman"/>
          <w:b/>
          <w:bCs/>
          <w:i/>
          <w:iCs/>
          <w:lang w:val="en-GB"/>
        </w:rPr>
        <w:t>?</w:t>
      </w:r>
    </w:p>
    <w:p w14:paraId="6DEDCB9E" w14:textId="7CB07FA1" w:rsidR="000D572F" w:rsidRDefault="00783883" w:rsidP="000D572F">
      <w:pPr>
        <w:pStyle w:val="ListParagraph"/>
        <w:numPr>
          <w:ilvl w:val="0"/>
          <w:numId w:val="1"/>
        </w:numPr>
        <w:tabs>
          <w:tab w:val="left" w:pos="1652"/>
        </w:tabs>
        <w:jc w:val="both"/>
        <w:rPr>
          <w:rFonts w:ascii="Times New Roman" w:hAnsi="Times New Roman" w:cs="Times New Roman"/>
          <w:lang w:val="en-GB"/>
        </w:rPr>
      </w:pPr>
      <w:r>
        <w:rPr>
          <w:rFonts w:ascii="Times New Roman" w:hAnsi="Times New Roman" w:cs="Times New Roman"/>
          <w:lang w:val="en-GB"/>
        </w:rPr>
        <w:t xml:space="preserve">Several </w:t>
      </w:r>
      <w:r w:rsidR="00B745E8">
        <w:rPr>
          <w:rFonts w:ascii="Times New Roman" w:hAnsi="Times New Roman" w:cs="Times New Roman"/>
          <w:lang w:val="en-GB"/>
        </w:rPr>
        <w:t>civil society organisations have submitted official complaints against the use of European funds for residential institutions</w:t>
      </w:r>
      <w:r w:rsidR="008A5C65">
        <w:rPr>
          <w:rFonts w:ascii="Times New Roman" w:hAnsi="Times New Roman" w:cs="Times New Roman"/>
          <w:lang w:val="en-GB"/>
        </w:rPr>
        <w:t xml:space="preserve"> in the past years. These complaints </w:t>
      </w:r>
      <w:r w:rsidR="005C2D67">
        <w:rPr>
          <w:rFonts w:ascii="Times New Roman" w:hAnsi="Times New Roman" w:cs="Times New Roman"/>
          <w:lang w:val="en-GB"/>
        </w:rPr>
        <w:t xml:space="preserve">referred to building and/or renovation of residential institutions in numerous European countries, </w:t>
      </w:r>
      <w:r w:rsidR="00C14177">
        <w:rPr>
          <w:rFonts w:ascii="Times New Roman" w:hAnsi="Times New Roman" w:cs="Times New Roman"/>
          <w:lang w:val="en-GB"/>
        </w:rPr>
        <w:t xml:space="preserve">for example </w:t>
      </w:r>
      <w:r w:rsidR="000531C9">
        <w:rPr>
          <w:rFonts w:ascii="Times New Roman" w:hAnsi="Times New Roman" w:cs="Times New Roman"/>
          <w:lang w:val="en-GB"/>
        </w:rPr>
        <w:t xml:space="preserve">in Poland, Hungary, Romania, </w:t>
      </w:r>
      <w:r w:rsidR="00725CC4">
        <w:rPr>
          <w:rFonts w:ascii="Times New Roman" w:hAnsi="Times New Roman" w:cs="Times New Roman"/>
          <w:lang w:val="en-GB"/>
        </w:rPr>
        <w:t xml:space="preserve">Estonia, </w:t>
      </w:r>
      <w:r w:rsidR="000531C9">
        <w:rPr>
          <w:rFonts w:ascii="Times New Roman" w:hAnsi="Times New Roman" w:cs="Times New Roman"/>
          <w:lang w:val="en-GB"/>
        </w:rPr>
        <w:t>Austria, Bulgaria. In its</w:t>
      </w:r>
      <w:r w:rsidR="00714920">
        <w:rPr>
          <w:rFonts w:ascii="Times New Roman" w:hAnsi="Times New Roman" w:cs="Times New Roman"/>
          <w:lang w:val="en-GB"/>
        </w:rPr>
        <w:t xml:space="preserve"> reply to the complainant</w:t>
      </w:r>
      <w:r w:rsidR="00F4679C">
        <w:rPr>
          <w:rFonts w:ascii="Times New Roman" w:hAnsi="Times New Roman" w:cs="Times New Roman"/>
          <w:lang w:val="en-GB"/>
        </w:rPr>
        <w:t>s</w:t>
      </w:r>
      <w:r w:rsidR="00714920">
        <w:rPr>
          <w:rFonts w:ascii="Times New Roman" w:hAnsi="Times New Roman" w:cs="Times New Roman"/>
          <w:lang w:val="en-GB"/>
        </w:rPr>
        <w:t xml:space="preserve"> the Euro</w:t>
      </w:r>
      <w:r w:rsidR="00F4679C">
        <w:rPr>
          <w:rFonts w:ascii="Times New Roman" w:hAnsi="Times New Roman" w:cs="Times New Roman"/>
          <w:lang w:val="en-GB"/>
        </w:rPr>
        <w:t xml:space="preserve">pean Commission </w:t>
      </w:r>
      <w:r w:rsidR="00652C67">
        <w:rPr>
          <w:rFonts w:ascii="Times New Roman" w:hAnsi="Times New Roman" w:cs="Times New Roman"/>
          <w:lang w:val="en-GB"/>
        </w:rPr>
        <w:t xml:space="preserve">stated that responsibility to build residential institutions </w:t>
      </w:r>
      <w:r w:rsidR="005946A4">
        <w:rPr>
          <w:rFonts w:ascii="Times New Roman" w:hAnsi="Times New Roman" w:cs="Times New Roman"/>
          <w:lang w:val="en-GB"/>
        </w:rPr>
        <w:t xml:space="preserve">lies with Member States. </w:t>
      </w:r>
      <w:r w:rsidR="002A2078">
        <w:rPr>
          <w:rFonts w:ascii="Times New Roman" w:hAnsi="Times New Roman" w:cs="Times New Roman"/>
          <w:lang w:val="en-GB"/>
        </w:rPr>
        <w:t>I</w:t>
      </w:r>
      <w:r w:rsidR="005946A4">
        <w:rPr>
          <w:rFonts w:ascii="Times New Roman" w:hAnsi="Times New Roman" w:cs="Times New Roman"/>
          <w:lang w:val="en-GB"/>
        </w:rPr>
        <w:t xml:space="preserve">n its reply to the complainants the European Commission also </w:t>
      </w:r>
      <w:r w:rsidR="00A80D71">
        <w:rPr>
          <w:rFonts w:ascii="Times New Roman" w:hAnsi="Times New Roman" w:cs="Times New Roman"/>
          <w:lang w:val="en-GB"/>
        </w:rPr>
        <w:t xml:space="preserve">highlighted that Member States can build residential institutions </w:t>
      </w:r>
      <w:r w:rsidR="00B52393">
        <w:rPr>
          <w:rFonts w:ascii="Times New Roman" w:hAnsi="Times New Roman" w:cs="Times New Roman"/>
          <w:lang w:val="en-GB"/>
        </w:rPr>
        <w:t>in the context of deinstitutionalisation, if they ensure independent living conditions.</w:t>
      </w:r>
      <w:r w:rsidR="00725CC4">
        <w:rPr>
          <w:rStyle w:val="EndnoteReference"/>
          <w:rFonts w:ascii="Times New Roman" w:hAnsi="Times New Roman" w:cs="Times New Roman"/>
          <w:lang w:val="en-GB"/>
        </w:rPr>
        <w:endnoteReference w:id="2"/>
      </w:r>
      <w:r w:rsidR="00B52393">
        <w:rPr>
          <w:rFonts w:ascii="Times New Roman" w:hAnsi="Times New Roman" w:cs="Times New Roman"/>
          <w:lang w:val="en-GB"/>
        </w:rPr>
        <w:t xml:space="preserve"> By </w:t>
      </w:r>
      <w:r w:rsidR="00B52393">
        <w:rPr>
          <w:rFonts w:ascii="Times New Roman" w:hAnsi="Times New Roman" w:cs="Times New Roman"/>
          <w:lang w:val="en-GB"/>
        </w:rPr>
        <w:lastRenderedPageBreak/>
        <w:t>definition, residential institutions can’t ensure independent living conditions</w:t>
      </w:r>
      <w:r w:rsidR="00120E73">
        <w:rPr>
          <w:rFonts w:ascii="Times New Roman" w:hAnsi="Times New Roman" w:cs="Times New Roman"/>
          <w:lang w:val="en-GB"/>
        </w:rPr>
        <w:t>, as it has been underlined in General Comment 5</w:t>
      </w:r>
      <w:r w:rsidR="00B80AB4">
        <w:rPr>
          <w:rFonts w:ascii="Times New Roman" w:hAnsi="Times New Roman" w:cs="Times New Roman"/>
          <w:lang w:val="en-GB"/>
        </w:rPr>
        <w:t xml:space="preserve"> and </w:t>
      </w:r>
      <w:r w:rsidR="007F01D7">
        <w:rPr>
          <w:rFonts w:ascii="Times New Roman" w:hAnsi="Times New Roman" w:cs="Times New Roman"/>
          <w:lang w:val="en-GB"/>
        </w:rPr>
        <w:t>Guideline on deinstitutionalisation, including in emergencies</w:t>
      </w:r>
      <w:r w:rsidR="00FC6E7E">
        <w:rPr>
          <w:rFonts w:ascii="Times New Roman" w:hAnsi="Times New Roman" w:cs="Times New Roman"/>
          <w:lang w:val="en-GB"/>
        </w:rPr>
        <w:t xml:space="preserve"> (Bridge EU will</w:t>
      </w:r>
      <w:r w:rsidR="001C038D">
        <w:rPr>
          <w:rFonts w:ascii="Times New Roman" w:hAnsi="Times New Roman" w:cs="Times New Roman"/>
          <w:lang w:val="en-GB"/>
        </w:rPr>
        <w:t xml:space="preserve"> soon</w:t>
      </w:r>
      <w:r w:rsidR="00FC6E7E">
        <w:rPr>
          <w:rFonts w:ascii="Times New Roman" w:hAnsi="Times New Roman" w:cs="Times New Roman"/>
          <w:lang w:val="en-GB"/>
        </w:rPr>
        <w:t xml:space="preserve"> publish </w:t>
      </w:r>
      <w:r w:rsidR="001C038D">
        <w:rPr>
          <w:rFonts w:ascii="Times New Roman" w:hAnsi="Times New Roman" w:cs="Times New Roman"/>
          <w:lang w:val="en-GB"/>
        </w:rPr>
        <w:t>on</w:t>
      </w:r>
      <w:r w:rsidR="00FC6E7E">
        <w:rPr>
          <w:rFonts w:ascii="Times New Roman" w:hAnsi="Times New Roman" w:cs="Times New Roman"/>
          <w:lang w:val="en-GB"/>
        </w:rPr>
        <w:t xml:space="preserve"> its website </w:t>
      </w:r>
      <w:r w:rsidR="00D01666">
        <w:rPr>
          <w:rFonts w:ascii="Times New Roman" w:hAnsi="Times New Roman" w:cs="Times New Roman"/>
          <w:lang w:val="en-GB"/>
        </w:rPr>
        <w:t>the complaints of civil society organisations on deinstitutionalisation</w:t>
      </w:r>
      <w:r w:rsidR="006B4C0F">
        <w:rPr>
          <w:rFonts w:ascii="Times New Roman" w:hAnsi="Times New Roman" w:cs="Times New Roman"/>
          <w:lang w:val="en-GB"/>
        </w:rPr>
        <w:t>, received through a transparency request from</w:t>
      </w:r>
      <w:r w:rsidR="00873753">
        <w:rPr>
          <w:rFonts w:ascii="Times New Roman" w:hAnsi="Times New Roman" w:cs="Times New Roman"/>
          <w:lang w:val="en-GB"/>
        </w:rPr>
        <w:t xml:space="preserve"> the European Commission).</w:t>
      </w:r>
    </w:p>
    <w:p w14:paraId="1D39BBCD" w14:textId="2ACF7ADB" w:rsidR="007F01D7" w:rsidRPr="00C50969" w:rsidRDefault="007F01D7" w:rsidP="007F01D7">
      <w:pPr>
        <w:tabs>
          <w:tab w:val="left" w:pos="1652"/>
        </w:tabs>
        <w:jc w:val="both"/>
        <w:rPr>
          <w:rFonts w:ascii="Times New Roman" w:hAnsi="Times New Roman" w:cs="Times New Roman"/>
          <w:b/>
          <w:bCs/>
          <w:i/>
          <w:iCs/>
          <w:lang w:val="en-GB"/>
        </w:rPr>
      </w:pPr>
      <w:r w:rsidRPr="00C50969">
        <w:rPr>
          <w:rFonts w:ascii="Times New Roman" w:hAnsi="Times New Roman" w:cs="Times New Roman"/>
          <w:b/>
          <w:bCs/>
          <w:i/>
          <w:iCs/>
          <w:lang w:val="en-GB"/>
        </w:rPr>
        <w:t xml:space="preserve">Question to the representative of the European Union: </w:t>
      </w:r>
      <w:r w:rsidR="00943CEB" w:rsidRPr="00C50969">
        <w:rPr>
          <w:rFonts w:ascii="Times New Roman" w:hAnsi="Times New Roman" w:cs="Times New Roman"/>
          <w:b/>
          <w:bCs/>
          <w:i/>
          <w:iCs/>
          <w:lang w:val="en-GB"/>
        </w:rPr>
        <w:t>Why</w:t>
      </w:r>
      <w:r w:rsidR="002476E6">
        <w:rPr>
          <w:rFonts w:ascii="Times New Roman" w:hAnsi="Times New Roman" w:cs="Times New Roman"/>
          <w:b/>
          <w:bCs/>
          <w:i/>
          <w:iCs/>
          <w:lang w:val="en-GB"/>
        </w:rPr>
        <w:t xml:space="preserve"> does</w:t>
      </w:r>
      <w:r w:rsidR="00943CEB" w:rsidRPr="00C50969">
        <w:rPr>
          <w:rFonts w:ascii="Times New Roman" w:hAnsi="Times New Roman" w:cs="Times New Roman"/>
          <w:b/>
          <w:bCs/>
          <w:i/>
          <w:iCs/>
          <w:lang w:val="en-GB"/>
        </w:rPr>
        <w:t xml:space="preserve"> the </w:t>
      </w:r>
      <w:r w:rsidR="00035312" w:rsidRPr="00C50969">
        <w:rPr>
          <w:rFonts w:ascii="Times New Roman" w:hAnsi="Times New Roman" w:cs="Times New Roman"/>
          <w:b/>
          <w:bCs/>
          <w:i/>
          <w:iCs/>
          <w:lang w:val="en-GB"/>
        </w:rPr>
        <w:t>European</w:t>
      </w:r>
      <w:r w:rsidR="00943CEB" w:rsidRPr="00C50969">
        <w:rPr>
          <w:rFonts w:ascii="Times New Roman" w:hAnsi="Times New Roman" w:cs="Times New Roman"/>
          <w:b/>
          <w:bCs/>
          <w:i/>
          <w:iCs/>
          <w:lang w:val="en-GB"/>
        </w:rPr>
        <w:t xml:space="preserve"> Commission denies its responsibility and competence on </w:t>
      </w:r>
      <w:r w:rsidR="00035312" w:rsidRPr="00C50969">
        <w:rPr>
          <w:rFonts w:ascii="Times New Roman" w:hAnsi="Times New Roman" w:cs="Times New Roman"/>
          <w:b/>
          <w:bCs/>
          <w:i/>
          <w:iCs/>
          <w:lang w:val="en-GB"/>
        </w:rPr>
        <w:t xml:space="preserve">monitoring the use of EU funds for </w:t>
      </w:r>
      <w:r w:rsidR="002476E6">
        <w:rPr>
          <w:rFonts w:ascii="Times New Roman" w:hAnsi="Times New Roman" w:cs="Times New Roman"/>
          <w:b/>
          <w:bCs/>
          <w:i/>
          <w:iCs/>
          <w:lang w:val="en-GB"/>
        </w:rPr>
        <w:t xml:space="preserve">supporting </w:t>
      </w:r>
      <w:r w:rsidR="00035312" w:rsidRPr="00C50969">
        <w:rPr>
          <w:rFonts w:ascii="Times New Roman" w:hAnsi="Times New Roman" w:cs="Times New Roman"/>
          <w:b/>
          <w:bCs/>
          <w:i/>
          <w:iCs/>
          <w:lang w:val="en-GB"/>
        </w:rPr>
        <w:t xml:space="preserve">residential institutions? Why </w:t>
      </w:r>
      <w:r w:rsidR="002476E6">
        <w:rPr>
          <w:rFonts w:ascii="Times New Roman" w:hAnsi="Times New Roman" w:cs="Times New Roman"/>
          <w:b/>
          <w:bCs/>
          <w:i/>
          <w:iCs/>
          <w:lang w:val="en-GB"/>
        </w:rPr>
        <w:t xml:space="preserve">does </w:t>
      </w:r>
      <w:r w:rsidR="00035312" w:rsidRPr="00C50969">
        <w:rPr>
          <w:rFonts w:ascii="Times New Roman" w:hAnsi="Times New Roman" w:cs="Times New Roman"/>
          <w:b/>
          <w:bCs/>
          <w:i/>
          <w:iCs/>
          <w:lang w:val="en-GB"/>
        </w:rPr>
        <w:t xml:space="preserve">the European Commission </w:t>
      </w:r>
      <w:r w:rsidR="00E37186" w:rsidRPr="00C50969">
        <w:rPr>
          <w:rFonts w:ascii="Times New Roman" w:hAnsi="Times New Roman" w:cs="Times New Roman"/>
          <w:b/>
          <w:bCs/>
          <w:i/>
          <w:iCs/>
          <w:lang w:val="en-GB"/>
        </w:rPr>
        <w:t>den</w:t>
      </w:r>
      <w:r w:rsidR="002476E6">
        <w:rPr>
          <w:rFonts w:ascii="Times New Roman" w:hAnsi="Times New Roman" w:cs="Times New Roman"/>
          <w:b/>
          <w:bCs/>
          <w:i/>
          <w:iCs/>
          <w:lang w:val="en-GB"/>
        </w:rPr>
        <w:t>y</w:t>
      </w:r>
      <w:r w:rsidR="00E37186" w:rsidRPr="00C50969">
        <w:rPr>
          <w:rFonts w:ascii="Times New Roman" w:hAnsi="Times New Roman" w:cs="Times New Roman"/>
          <w:b/>
          <w:bCs/>
          <w:i/>
          <w:iCs/>
          <w:lang w:val="en-GB"/>
        </w:rPr>
        <w:t xml:space="preserve"> its responsibility to check the consistency </w:t>
      </w:r>
      <w:r w:rsidR="00C50969" w:rsidRPr="00C50969">
        <w:rPr>
          <w:rFonts w:ascii="Times New Roman" w:hAnsi="Times New Roman" w:cs="Times New Roman"/>
          <w:b/>
          <w:bCs/>
          <w:i/>
          <w:iCs/>
          <w:lang w:val="en-GB"/>
        </w:rPr>
        <w:t xml:space="preserve">between </w:t>
      </w:r>
      <w:r w:rsidR="00E37186" w:rsidRPr="00C50969">
        <w:rPr>
          <w:rFonts w:ascii="Times New Roman" w:hAnsi="Times New Roman" w:cs="Times New Roman"/>
          <w:b/>
          <w:bCs/>
          <w:i/>
          <w:iCs/>
          <w:lang w:val="en-GB"/>
        </w:rPr>
        <w:t>the European funds programs for the 2021-2027 period</w:t>
      </w:r>
      <w:r w:rsidR="00C50969" w:rsidRPr="00C50969">
        <w:rPr>
          <w:rFonts w:ascii="Times New Roman" w:hAnsi="Times New Roman" w:cs="Times New Roman"/>
          <w:b/>
          <w:bCs/>
          <w:i/>
          <w:iCs/>
          <w:lang w:val="en-GB"/>
        </w:rPr>
        <w:t xml:space="preserve"> and the implemented projects?</w:t>
      </w:r>
    </w:p>
    <w:sectPr w:rsidR="007F01D7" w:rsidRPr="00C5096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66073" w14:textId="77777777" w:rsidR="0001397D" w:rsidRDefault="0001397D" w:rsidP="004161B6">
      <w:pPr>
        <w:spacing w:after="0" w:line="240" w:lineRule="auto"/>
      </w:pPr>
      <w:r>
        <w:separator/>
      </w:r>
    </w:p>
  </w:endnote>
  <w:endnote w:type="continuationSeparator" w:id="0">
    <w:p w14:paraId="03A71EC8" w14:textId="77777777" w:rsidR="0001397D" w:rsidRDefault="0001397D" w:rsidP="004161B6">
      <w:pPr>
        <w:spacing w:after="0" w:line="240" w:lineRule="auto"/>
      </w:pPr>
      <w:r>
        <w:continuationSeparator/>
      </w:r>
    </w:p>
  </w:endnote>
  <w:endnote w:type="continuationNotice" w:id="1">
    <w:p w14:paraId="7314B5E3" w14:textId="77777777" w:rsidR="0001397D" w:rsidRDefault="0001397D">
      <w:pPr>
        <w:spacing w:after="0" w:line="240" w:lineRule="auto"/>
      </w:pPr>
    </w:p>
  </w:endnote>
  <w:endnote w:id="2">
    <w:p w14:paraId="6389F151" w14:textId="79DE3F08" w:rsidR="00725CC4" w:rsidRPr="000C6F4E" w:rsidRDefault="00725CC4">
      <w:pPr>
        <w:pStyle w:val="EndnoteText"/>
        <w:rPr>
          <w:rFonts w:ascii="Times New Roman" w:hAnsi="Times New Roman" w:cs="Times New Roman"/>
          <w:lang w:val="en-US"/>
        </w:rPr>
      </w:pPr>
      <w:r w:rsidRPr="000C6F4E">
        <w:rPr>
          <w:rStyle w:val="EndnoteReference"/>
          <w:rFonts w:ascii="Times New Roman" w:hAnsi="Times New Roman" w:cs="Times New Roman"/>
        </w:rPr>
        <w:endnoteRef/>
      </w:r>
      <w:r w:rsidRPr="000C6F4E">
        <w:rPr>
          <w:rFonts w:ascii="Times New Roman" w:hAnsi="Times New Roman" w:cs="Times New Roman"/>
        </w:rPr>
        <w:t xml:space="preserve"> </w:t>
      </w:r>
      <w:r w:rsidR="000C6F4E" w:rsidRPr="000C6F4E">
        <w:rPr>
          <w:rFonts w:ascii="Times New Roman" w:hAnsi="Times New Roman" w:cs="Times New Roman"/>
          <w:lang w:val="en-US"/>
        </w:rPr>
        <w:t xml:space="preserve">Please see here an example of a reply of the European Commission to the Validity Foundation and ENIL: </w:t>
      </w:r>
      <w:hyperlink r:id="rId1" w:history="1">
        <w:r w:rsidR="000C6F4E" w:rsidRPr="000C6F4E">
          <w:rPr>
            <w:rStyle w:val="Hyperlink"/>
            <w:rFonts w:ascii="Times New Roman" w:hAnsi="Times New Roman" w:cs="Times New Roman"/>
          </w:rPr>
          <w:t>CHAP20193555_Pre-closer-Letter_181120.docx.pdf</w:t>
        </w:r>
      </w:hyperlink>
      <w:r w:rsidR="000C6F4E" w:rsidRPr="000C6F4E">
        <w:rPr>
          <w:rFonts w:ascii="Times New Roman" w:hAnsi="Times New Roman" w:cs="Times New Roman"/>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Montserrat Class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D4C82" w14:textId="6D651061" w:rsidR="004161B6" w:rsidRDefault="004161B6">
    <w:pPr>
      <w:pStyle w:val="Footer"/>
    </w:pPr>
    <w:r>
      <w:rPr>
        <w:noProof/>
      </w:rPr>
      <mc:AlternateContent>
        <mc:Choice Requires="wps">
          <w:drawing>
            <wp:anchor distT="0" distB="0" distL="114300" distR="114300" simplePos="0" relativeHeight="251658240" behindDoc="0" locked="0" layoutInCell="1" allowOverlap="1" wp14:anchorId="33C4350F" wp14:editId="571BE95B">
              <wp:simplePos x="0" y="0"/>
              <wp:positionH relativeFrom="column">
                <wp:posOffset>1120082</wp:posOffset>
              </wp:positionH>
              <wp:positionV relativeFrom="paragraph">
                <wp:posOffset>-69215</wp:posOffset>
              </wp:positionV>
              <wp:extent cx="4775981" cy="422031"/>
              <wp:effectExtent l="0" t="0" r="0" b="0"/>
              <wp:wrapNone/>
              <wp:docPr id="8" name="TextBox 8"/>
              <wp:cNvGraphicFramePr/>
              <a:graphic xmlns:a="http://schemas.openxmlformats.org/drawingml/2006/main">
                <a:graphicData uri="http://schemas.microsoft.com/office/word/2010/wordprocessingShape">
                  <wps:wsp>
                    <wps:cNvSpPr txBox="1"/>
                    <wps:spPr>
                      <a:xfrm>
                        <a:off x="0" y="0"/>
                        <a:ext cx="4775981" cy="422031"/>
                      </a:xfrm>
                      <a:prstGeom prst="rect">
                        <a:avLst/>
                      </a:prstGeom>
                    </wps:spPr>
                    <wps:txbx>
                      <w:txbxContent>
                        <w:p w14:paraId="26897EF1" w14:textId="77777777" w:rsidR="004161B6" w:rsidRPr="00ED1BA0" w:rsidRDefault="004161B6" w:rsidP="004161B6">
                          <w:pPr>
                            <w:rPr>
                              <w:rFonts w:ascii="Montserrat Classic" w:eastAsia="Montserrat Classic" w:hAnsi="Montserrat Classic" w:cs="Montserrat Classic"/>
                              <w:i/>
                              <w:iCs/>
                              <w:color w:val="2D262A"/>
                              <w:kern w:val="24"/>
                              <w:sz w:val="16"/>
                              <w:szCs w:val="16"/>
                              <w:lang w:val="en-US"/>
                              <w14:ligatures w14:val="none"/>
                            </w:rPr>
                          </w:pPr>
                          <w:r w:rsidRPr="00ED1BA0">
                            <w:rPr>
                              <w:rFonts w:ascii="Montserrat Classic" w:eastAsia="Montserrat Classic" w:hAnsi="Montserrat Classic" w:cs="Montserrat Classic"/>
                              <w:i/>
                              <w:iCs/>
                              <w:color w:val="2D262A"/>
                              <w:kern w:val="24"/>
                              <w:sz w:val="16"/>
                              <w:szCs w:val="16"/>
                              <w:lang w:val="en-US"/>
                            </w:rPr>
                            <w:t>DISCLAIMER: Co-funded by the European Union. Views and opinions expressed are however those of the author(s) only and do not necessarily reflect those of the European Union or the European Commission. Neither the European Union nor the granting authority can be held responsible for them.</w:t>
                          </w:r>
                        </w:p>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type w14:anchorId="33C4350F" id="_x0000_t202" coordsize="21600,21600" o:spt="202" path="m,l,21600r21600,l21600,xe">
              <v:stroke joinstyle="miter"/>
              <v:path gradientshapeok="t" o:connecttype="rect"/>
            </v:shapetype>
            <v:shape id="TextBox 8" o:spid="_x0000_s1026" type="#_x0000_t202" style="position:absolute;margin-left:88.2pt;margin-top:-5.45pt;width:376.05pt;height:3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" filled="f" stroked="f">
              <v:textbox inset="0,0,0,0">
                <w:txbxContent>
                  <w:p w14:paraId="26897EF1" w14:textId="77777777" w:rsidR="004161B6" w:rsidRPr="00ED1BA0" w:rsidRDefault="004161B6" w:rsidP="004161B6">
                    <w:pPr>
                      <w:rPr>
                        <w:rFonts w:ascii="Montserrat Classic" w:eastAsia="Montserrat Classic" w:hAnsi="Montserrat Classic" w:cs="Montserrat Classic"/>
                        <w:i/>
                        <w:iCs/>
                        <w:color w:val="2D262A"/>
                        <w:kern w:val="24"/>
                        <w:sz w:val="16"/>
                        <w:szCs w:val="16"/>
                        <w:lang w:val="en-US"/>
                        <w14:ligatures w14:val="none"/>
                      </w:rPr>
                    </w:pPr>
                    <w:r w:rsidRPr="00ED1BA0">
                      <w:rPr>
                        <w:rFonts w:ascii="Montserrat Classic" w:eastAsia="Montserrat Classic" w:hAnsi="Montserrat Classic" w:cs="Montserrat Classic"/>
                        <w:i/>
                        <w:iCs/>
                        <w:color w:val="2D262A"/>
                        <w:kern w:val="24"/>
                        <w:sz w:val="16"/>
                        <w:szCs w:val="16"/>
                        <w:lang w:val="en-US"/>
                      </w:rPr>
                      <w:t>DISCLAIMER: Co-funded by the European Union. Views and opinions expressed are however those of the author(s) only and do not necessarily reflect those of the European Union or the European Commission. Neither the European Union nor the granting authority can be held responsible for them.</w:t>
                    </w:r>
                  </w:p>
                </w:txbxContent>
              </v:textbox>
            </v:shape>
          </w:pict>
        </mc:Fallback>
      </mc:AlternateContent>
    </w:r>
    <w:r>
      <w:rPr>
        <w:noProof/>
      </w:rPr>
      <w:drawing>
        <wp:anchor distT="0" distB="0" distL="114300" distR="114300" simplePos="0" relativeHeight="251658241" behindDoc="1" locked="0" layoutInCell="1" allowOverlap="1" wp14:anchorId="31A57183" wp14:editId="6702754F">
          <wp:simplePos x="0" y="0"/>
          <wp:positionH relativeFrom="column">
            <wp:posOffset>-345614</wp:posOffset>
          </wp:positionH>
          <wp:positionV relativeFrom="paragraph">
            <wp:posOffset>22109</wp:posOffset>
          </wp:positionV>
          <wp:extent cx="1322705" cy="295275"/>
          <wp:effectExtent l="0" t="0" r="0" b="9525"/>
          <wp:wrapTight wrapText="bothSides">
            <wp:wrapPolygon edited="0">
              <wp:start x="0" y="0"/>
              <wp:lineTo x="0" y="20903"/>
              <wp:lineTo x="7155" y="20903"/>
              <wp:lineTo x="20843" y="18116"/>
              <wp:lineTo x="20843" y="2787"/>
              <wp:lineTo x="7155" y="0"/>
              <wp:lineTo x="0" y="0"/>
            </wp:wrapPolygon>
          </wp:wrapTight>
          <wp:docPr id="337916421" name="Picture 3"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16421" name="Picture 3"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2705"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1AC65" w14:textId="77777777" w:rsidR="0001397D" w:rsidRDefault="0001397D" w:rsidP="004161B6">
      <w:pPr>
        <w:spacing w:after="0" w:line="240" w:lineRule="auto"/>
      </w:pPr>
      <w:r>
        <w:separator/>
      </w:r>
    </w:p>
  </w:footnote>
  <w:footnote w:type="continuationSeparator" w:id="0">
    <w:p w14:paraId="06838481" w14:textId="77777777" w:rsidR="0001397D" w:rsidRDefault="0001397D" w:rsidP="004161B6">
      <w:pPr>
        <w:spacing w:after="0" w:line="240" w:lineRule="auto"/>
      </w:pPr>
      <w:r>
        <w:continuationSeparator/>
      </w:r>
    </w:p>
  </w:footnote>
  <w:footnote w:type="continuationNotice" w:id="1">
    <w:p w14:paraId="66D1BC3A" w14:textId="77777777" w:rsidR="0001397D" w:rsidRDefault="000139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37DE0" w14:textId="32372BFF" w:rsidR="00444C6E" w:rsidRDefault="00900DFF">
    <w:pPr>
      <w:pStyle w:val="Header"/>
      <w:rPr>
        <w:noProof/>
      </w:rPr>
    </w:pPr>
    <w:r>
      <w:rPr>
        <w:noProof/>
      </w:rPr>
      <w:drawing>
        <wp:anchor distT="0" distB="0" distL="114300" distR="114300" simplePos="0" relativeHeight="251658242" behindDoc="1" locked="0" layoutInCell="1" allowOverlap="1" wp14:anchorId="30F5AE4F" wp14:editId="5CF96B55">
          <wp:simplePos x="0" y="0"/>
          <wp:positionH relativeFrom="column">
            <wp:posOffset>1495425</wp:posOffset>
          </wp:positionH>
          <wp:positionV relativeFrom="paragraph">
            <wp:posOffset>-229870</wp:posOffset>
          </wp:positionV>
          <wp:extent cx="1327150" cy="581660"/>
          <wp:effectExtent l="0" t="0" r="6350" b="0"/>
          <wp:wrapTight wrapText="bothSides">
            <wp:wrapPolygon edited="0">
              <wp:start x="9922" y="0"/>
              <wp:lineTo x="5581" y="2122"/>
              <wp:lineTo x="0" y="8489"/>
              <wp:lineTo x="0" y="20515"/>
              <wp:lineTo x="21083" y="20515"/>
              <wp:lineTo x="21393" y="16271"/>
              <wp:lineTo x="21393" y="8489"/>
              <wp:lineTo x="15812" y="2122"/>
              <wp:lineTo x="11472" y="0"/>
              <wp:lineTo x="9922" y="0"/>
            </wp:wrapPolygon>
          </wp:wrapTight>
          <wp:docPr id="13315350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8095" b="28076"/>
                  <a:stretch/>
                </pic:blipFill>
                <pic:spPr bwMode="auto">
                  <a:xfrm>
                    <a:off x="0" y="0"/>
                    <a:ext cx="1327150" cy="581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Montserrat" w:hAnsi="Montserrat"/>
        <w:b/>
        <w:bCs/>
        <w:noProof/>
        <w:color w:val="0066B2"/>
        <w:sz w:val="32"/>
        <w:szCs w:val="32"/>
        <w:lang w:val="en-US"/>
      </w:rPr>
      <w:drawing>
        <wp:anchor distT="0" distB="0" distL="114300" distR="114300" simplePos="0" relativeHeight="251658243" behindDoc="1" locked="0" layoutInCell="1" allowOverlap="1" wp14:anchorId="3D72A1BD" wp14:editId="486ACEA3">
          <wp:simplePos x="0" y="0"/>
          <wp:positionH relativeFrom="column">
            <wp:posOffset>-108585</wp:posOffset>
          </wp:positionH>
          <wp:positionV relativeFrom="paragraph">
            <wp:posOffset>-635000</wp:posOffset>
          </wp:positionV>
          <wp:extent cx="1434465" cy="1434465"/>
          <wp:effectExtent l="0" t="0" r="0" b="0"/>
          <wp:wrapTight wrapText="bothSides">
            <wp:wrapPolygon edited="0">
              <wp:start x="2869" y="6540"/>
              <wp:lineTo x="861" y="8371"/>
              <wp:lineTo x="287" y="9679"/>
              <wp:lineTo x="574" y="14650"/>
              <wp:lineTo x="2008" y="15435"/>
              <wp:lineTo x="8032" y="15435"/>
              <wp:lineTo x="8032" y="16743"/>
              <wp:lineTo x="13482" y="16743"/>
              <wp:lineTo x="19506" y="15435"/>
              <wp:lineTo x="21227" y="14388"/>
              <wp:lineTo x="21227" y="8371"/>
              <wp:lineTo x="19506" y="8110"/>
              <wp:lineTo x="4303" y="6540"/>
              <wp:lineTo x="2869" y="6540"/>
            </wp:wrapPolygon>
          </wp:wrapTight>
          <wp:docPr id="1766479156"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79156" name="Picture 2" descr="A blue and black logo&#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4465" cy="1434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B11D58" w14:textId="4E90EA21" w:rsidR="00EF7C3C" w:rsidRDefault="00EF7C3C">
    <w:pPr>
      <w:pStyle w:val="Header"/>
    </w:pPr>
  </w:p>
  <w:p w14:paraId="431B5B48" w14:textId="77777777" w:rsidR="00231226" w:rsidRDefault="00231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195487"/>
    <w:multiLevelType w:val="hybridMultilevel"/>
    <w:tmpl w:val="8C1699C4"/>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16cid:durableId="586572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E3F"/>
    <w:rsid w:val="00012C6F"/>
    <w:rsid w:val="00012CA7"/>
    <w:rsid w:val="0001397D"/>
    <w:rsid w:val="0003019C"/>
    <w:rsid w:val="00035312"/>
    <w:rsid w:val="00035A72"/>
    <w:rsid w:val="000531C9"/>
    <w:rsid w:val="00054DE0"/>
    <w:rsid w:val="00094A01"/>
    <w:rsid w:val="000C6F4E"/>
    <w:rsid w:val="000D47F8"/>
    <w:rsid w:val="000D572F"/>
    <w:rsid w:val="00105675"/>
    <w:rsid w:val="00120E73"/>
    <w:rsid w:val="0016101D"/>
    <w:rsid w:val="00180FC9"/>
    <w:rsid w:val="00195F2B"/>
    <w:rsid w:val="001A7218"/>
    <w:rsid w:val="001C038D"/>
    <w:rsid w:val="001F5EF4"/>
    <w:rsid w:val="00211F2C"/>
    <w:rsid w:val="00231226"/>
    <w:rsid w:val="002476E6"/>
    <w:rsid w:val="00286375"/>
    <w:rsid w:val="002A2078"/>
    <w:rsid w:val="002D401C"/>
    <w:rsid w:val="002F1DD0"/>
    <w:rsid w:val="003077DE"/>
    <w:rsid w:val="00315900"/>
    <w:rsid w:val="00316496"/>
    <w:rsid w:val="00361EE4"/>
    <w:rsid w:val="003C31F9"/>
    <w:rsid w:val="003D10D1"/>
    <w:rsid w:val="00407971"/>
    <w:rsid w:val="004161B6"/>
    <w:rsid w:val="00444C6E"/>
    <w:rsid w:val="00446D0B"/>
    <w:rsid w:val="004A4C80"/>
    <w:rsid w:val="004A70C5"/>
    <w:rsid w:val="004C075D"/>
    <w:rsid w:val="00510785"/>
    <w:rsid w:val="005233EA"/>
    <w:rsid w:val="00552C8F"/>
    <w:rsid w:val="00557B25"/>
    <w:rsid w:val="00566068"/>
    <w:rsid w:val="0059432A"/>
    <w:rsid w:val="005946A4"/>
    <w:rsid w:val="005B3B47"/>
    <w:rsid w:val="005C2D67"/>
    <w:rsid w:val="005E2BA4"/>
    <w:rsid w:val="006271F5"/>
    <w:rsid w:val="0063454C"/>
    <w:rsid w:val="00652C67"/>
    <w:rsid w:val="00673480"/>
    <w:rsid w:val="006B4C0F"/>
    <w:rsid w:val="006C6E19"/>
    <w:rsid w:val="006D3FD0"/>
    <w:rsid w:val="006F2B5A"/>
    <w:rsid w:val="00705943"/>
    <w:rsid w:val="00711000"/>
    <w:rsid w:val="00714920"/>
    <w:rsid w:val="00725CC4"/>
    <w:rsid w:val="007343A2"/>
    <w:rsid w:val="0075129A"/>
    <w:rsid w:val="00765F82"/>
    <w:rsid w:val="00783883"/>
    <w:rsid w:val="007A2D50"/>
    <w:rsid w:val="007C27BD"/>
    <w:rsid w:val="007C7C4B"/>
    <w:rsid w:val="007D4A6B"/>
    <w:rsid w:val="007E33B9"/>
    <w:rsid w:val="007F01D7"/>
    <w:rsid w:val="007F51E1"/>
    <w:rsid w:val="00837048"/>
    <w:rsid w:val="0084041C"/>
    <w:rsid w:val="00873753"/>
    <w:rsid w:val="00897AC3"/>
    <w:rsid w:val="008A5C65"/>
    <w:rsid w:val="008A7F09"/>
    <w:rsid w:val="008C3A59"/>
    <w:rsid w:val="008C56A5"/>
    <w:rsid w:val="008D4694"/>
    <w:rsid w:val="00900DFF"/>
    <w:rsid w:val="0093118F"/>
    <w:rsid w:val="00943CEB"/>
    <w:rsid w:val="00996073"/>
    <w:rsid w:val="009A4FDF"/>
    <w:rsid w:val="009C1849"/>
    <w:rsid w:val="009D5181"/>
    <w:rsid w:val="00A51BEF"/>
    <w:rsid w:val="00A804C8"/>
    <w:rsid w:val="00A80D71"/>
    <w:rsid w:val="00A84D22"/>
    <w:rsid w:val="00B17E0F"/>
    <w:rsid w:val="00B42133"/>
    <w:rsid w:val="00B44745"/>
    <w:rsid w:val="00B52393"/>
    <w:rsid w:val="00B745E8"/>
    <w:rsid w:val="00B80AB4"/>
    <w:rsid w:val="00BC5F91"/>
    <w:rsid w:val="00BD4BAE"/>
    <w:rsid w:val="00BD5F2E"/>
    <w:rsid w:val="00BE2F05"/>
    <w:rsid w:val="00C058BF"/>
    <w:rsid w:val="00C14177"/>
    <w:rsid w:val="00C50969"/>
    <w:rsid w:val="00C60174"/>
    <w:rsid w:val="00C77420"/>
    <w:rsid w:val="00CB161F"/>
    <w:rsid w:val="00CE4148"/>
    <w:rsid w:val="00CF0E3F"/>
    <w:rsid w:val="00D01666"/>
    <w:rsid w:val="00D050EC"/>
    <w:rsid w:val="00D2790A"/>
    <w:rsid w:val="00D32D24"/>
    <w:rsid w:val="00D75D36"/>
    <w:rsid w:val="00DF14E9"/>
    <w:rsid w:val="00E2515A"/>
    <w:rsid w:val="00E37186"/>
    <w:rsid w:val="00E55FFB"/>
    <w:rsid w:val="00E96526"/>
    <w:rsid w:val="00EC46C0"/>
    <w:rsid w:val="00ED6755"/>
    <w:rsid w:val="00EF5907"/>
    <w:rsid w:val="00EF7C3C"/>
    <w:rsid w:val="00F32D56"/>
    <w:rsid w:val="00F4679C"/>
    <w:rsid w:val="00F478E3"/>
    <w:rsid w:val="00FB6B0C"/>
    <w:rsid w:val="00FC0768"/>
    <w:rsid w:val="00FC6E7E"/>
    <w:rsid w:val="00FF41B8"/>
    <w:rsid w:val="00FF4F7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B53FE"/>
  <w15:chartTrackingRefBased/>
  <w15:docId w15:val="{FD6520B8-8D1A-4225-A3C6-6E436F8CF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0E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0E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0E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0E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0E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0E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0E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0E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0E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E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0E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0E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0E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0E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0E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0E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0E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0E3F"/>
    <w:rPr>
      <w:rFonts w:eastAsiaTheme="majorEastAsia" w:cstheme="majorBidi"/>
      <w:color w:val="272727" w:themeColor="text1" w:themeTint="D8"/>
    </w:rPr>
  </w:style>
  <w:style w:type="paragraph" w:styleId="Title">
    <w:name w:val="Title"/>
    <w:basedOn w:val="Normal"/>
    <w:next w:val="Normal"/>
    <w:link w:val="TitleChar"/>
    <w:uiPriority w:val="10"/>
    <w:qFormat/>
    <w:rsid w:val="00CF0E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0E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0E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0E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0E3F"/>
    <w:pPr>
      <w:spacing w:before="160"/>
      <w:jc w:val="center"/>
    </w:pPr>
    <w:rPr>
      <w:i/>
      <w:iCs/>
      <w:color w:val="404040" w:themeColor="text1" w:themeTint="BF"/>
    </w:rPr>
  </w:style>
  <w:style w:type="character" w:customStyle="1" w:styleId="QuoteChar">
    <w:name w:val="Quote Char"/>
    <w:basedOn w:val="DefaultParagraphFont"/>
    <w:link w:val="Quote"/>
    <w:uiPriority w:val="29"/>
    <w:rsid w:val="00CF0E3F"/>
    <w:rPr>
      <w:i/>
      <w:iCs/>
      <w:color w:val="404040" w:themeColor="text1" w:themeTint="BF"/>
    </w:rPr>
  </w:style>
  <w:style w:type="paragraph" w:styleId="ListParagraph">
    <w:name w:val="List Paragraph"/>
    <w:basedOn w:val="Normal"/>
    <w:uiPriority w:val="34"/>
    <w:qFormat/>
    <w:rsid w:val="00CF0E3F"/>
    <w:pPr>
      <w:ind w:left="720"/>
      <w:contextualSpacing/>
    </w:pPr>
  </w:style>
  <w:style w:type="character" w:styleId="IntenseEmphasis">
    <w:name w:val="Intense Emphasis"/>
    <w:basedOn w:val="DefaultParagraphFont"/>
    <w:uiPriority w:val="21"/>
    <w:qFormat/>
    <w:rsid w:val="00CF0E3F"/>
    <w:rPr>
      <w:i/>
      <w:iCs/>
      <w:color w:val="0F4761" w:themeColor="accent1" w:themeShade="BF"/>
    </w:rPr>
  </w:style>
  <w:style w:type="paragraph" w:styleId="IntenseQuote">
    <w:name w:val="Intense Quote"/>
    <w:basedOn w:val="Normal"/>
    <w:next w:val="Normal"/>
    <w:link w:val="IntenseQuoteChar"/>
    <w:uiPriority w:val="30"/>
    <w:qFormat/>
    <w:rsid w:val="00CF0E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0E3F"/>
    <w:rPr>
      <w:i/>
      <w:iCs/>
      <w:color w:val="0F4761" w:themeColor="accent1" w:themeShade="BF"/>
    </w:rPr>
  </w:style>
  <w:style w:type="character" w:styleId="IntenseReference">
    <w:name w:val="Intense Reference"/>
    <w:basedOn w:val="DefaultParagraphFont"/>
    <w:uiPriority w:val="32"/>
    <w:qFormat/>
    <w:rsid w:val="00CF0E3F"/>
    <w:rPr>
      <w:b/>
      <w:bCs/>
      <w:smallCaps/>
      <w:color w:val="0F4761" w:themeColor="accent1" w:themeShade="BF"/>
      <w:spacing w:val="5"/>
    </w:rPr>
  </w:style>
  <w:style w:type="character" w:styleId="Hyperlink">
    <w:name w:val="Hyperlink"/>
    <w:basedOn w:val="DefaultParagraphFont"/>
    <w:uiPriority w:val="99"/>
    <w:unhideWhenUsed/>
    <w:rsid w:val="007F51E1"/>
    <w:rPr>
      <w:color w:val="467886" w:themeColor="hyperlink"/>
      <w:u w:val="single"/>
    </w:rPr>
  </w:style>
  <w:style w:type="character" w:styleId="UnresolvedMention">
    <w:name w:val="Unresolved Mention"/>
    <w:basedOn w:val="DefaultParagraphFont"/>
    <w:uiPriority w:val="99"/>
    <w:semiHidden/>
    <w:unhideWhenUsed/>
    <w:rsid w:val="007F51E1"/>
    <w:rPr>
      <w:color w:val="605E5C"/>
      <w:shd w:val="clear" w:color="auto" w:fill="E1DFDD"/>
    </w:rPr>
  </w:style>
  <w:style w:type="paragraph" w:styleId="Header">
    <w:name w:val="header"/>
    <w:basedOn w:val="Normal"/>
    <w:link w:val="HeaderChar"/>
    <w:uiPriority w:val="99"/>
    <w:unhideWhenUsed/>
    <w:rsid w:val="004161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61B6"/>
  </w:style>
  <w:style w:type="paragraph" w:styleId="Footer">
    <w:name w:val="footer"/>
    <w:basedOn w:val="Normal"/>
    <w:link w:val="FooterChar"/>
    <w:uiPriority w:val="99"/>
    <w:unhideWhenUsed/>
    <w:rsid w:val="004161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61B6"/>
  </w:style>
  <w:style w:type="paragraph" w:styleId="EndnoteText">
    <w:name w:val="endnote text"/>
    <w:basedOn w:val="Normal"/>
    <w:link w:val="EndnoteTextChar"/>
    <w:uiPriority w:val="99"/>
    <w:semiHidden/>
    <w:unhideWhenUsed/>
    <w:rsid w:val="00725C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25CC4"/>
    <w:rPr>
      <w:sz w:val="20"/>
      <w:szCs w:val="20"/>
    </w:rPr>
  </w:style>
  <w:style w:type="character" w:styleId="EndnoteReference">
    <w:name w:val="endnote reference"/>
    <w:basedOn w:val="DefaultParagraphFont"/>
    <w:uiPriority w:val="99"/>
    <w:semiHidden/>
    <w:unhideWhenUsed/>
    <w:rsid w:val="00725C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0"/>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dge-eu.org/projects/furi"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 Type="http://schemas.openxmlformats.org/officeDocument/2006/relationships/hyperlink" Target="https://validity.ngo/wp-content/uploads/2020/12/CHAP20193555_Pre-closer-Letter_181120.docx.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2025-01-27T12:21:07+00:00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A9D2113-8120-441B-8EE2-897412177E27}">
  <ds:schemaRefs>
    <ds:schemaRef ds:uri="http://schemas.openxmlformats.org/officeDocument/2006/bibliography"/>
  </ds:schemaRefs>
</ds:datastoreItem>
</file>

<file path=customXml/itemProps2.xml><?xml version="1.0" encoding="utf-8"?>
<ds:datastoreItem xmlns:ds="http://schemas.openxmlformats.org/officeDocument/2006/customXml" ds:itemID="{7C2AE5A3-4A25-4F64-BE47-AB380F800895}"/>
</file>

<file path=customXml/itemProps3.xml><?xml version="1.0" encoding="utf-8"?>
<ds:datastoreItem xmlns:ds="http://schemas.openxmlformats.org/officeDocument/2006/customXml" ds:itemID="{D6F269C5-D0E2-4A2C-A7D2-50A56F30B1D1}"/>
</file>

<file path=customXml/itemProps4.xml><?xml version="1.0" encoding="utf-8"?>
<ds:datastoreItem xmlns:ds="http://schemas.openxmlformats.org/officeDocument/2006/customXml" ds:itemID="{83173AE6-13FC-4C0F-83D6-2E2E2747BD7C}"/>
</file>

<file path=docProps/app.xml><?xml version="1.0" encoding="utf-8"?>
<Properties xmlns="http://schemas.openxmlformats.org/officeDocument/2006/extended-properties" xmlns:vt="http://schemas.openxmlformats.org/officeDocument/2006/docPropsVTypes">
  <Template>Normal</Template>
  <TotalTime>0</TotalTime>
  <Pages>3</Pages>
  <Words>1064</Words>
  <Characters>6065</Characters>
  <Application>Microsoft Office Word</Application>
  <DocSecurity>0</DocSecurity>
  <Lines>50</Lines>
  <Paragraphs>14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7115</CharactersWithSpaces>
  <SharedDoc>false</SharedDoc>
  <HLinks>
    <vt:vector size="6" baseType="variant">
      <vt:variant>
        <vt:i4>3211304</vt:i4>
      </vt:variant>
      <vt:variant>
        <vt:i4>0</vt:i4>
      </vt:variant>
      <vt:variant>
        <vt:i4>0</vt:i4>
      </vt:variant>
      <vt:variant>
        <vt:i4>5</vt:i4>
      </vt:variant>
      <vt:variant>
        <vt:lpwstr>https://www.bridge-eu.org/projects/furi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Andor Urmos</dc:creator>
  <cp:keywords/>
  <dc:description/>
  <cp:lastModifiedBy>Louise Bonneau</cp:lastModifiedBy>
  <cp:revision>118</cp:revision>
  <dcterms:created xsi:type="dcterms:W3CDTF">2025-01-24T19:51:00Z</dcterms:created>
  <dcterms:modified xsi:type="dcterms:W3CDTF">2025-01-24T22:29:00Z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