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6741CB" w:rsidRDefault="006741CB" w:rsidP="002108B1">
      <w:pPr>
        <w:pStyle w:val="Caption"/>
      </w:pPr>
    </w:p>
    <w:p w:rsidR="004D4AF9" w:rsidRDefault="004D4AF9">
      <w:pPr>
        <w:tabs>
          <w:tab w:val="left" w:pos="4860"/>
        </w:tabs>
        <w:rPr>
          <w:sz w:val="24"/>
        </w:rPr>
      </w:pPr>
    </w:p>
    <w:p w:rsidR="004D4AF9" w:rsidRDefault="004D4AF9">
      <w:pPr>
        <w:tabs>
          <w:tab w:val="left" w:pos="4860"/>
        </w:tabs>
        <w:rPr>
          <w:sz w:val="24"/>
        </w:rPr>
      </w:pPr>
    </w:p>
    <w:p w:rsidR="004D4AF9" w:rsidRDefault="004D4AF9">
      <w:pPr>
        <w:tabs>
          <w:tab w:val="left" w:pos="4860"/>
        </w:tabs>
        <w:rPr>
          <w:sz w:val="24"/>
        </w:rPr>
      </w:pPr>
    </w:p>
    <w:p w:rsidR="004D4AF9" w:rsidRDefault="0054180D" w:rsidP="0054180D">
      <w:pPr>
        <w:tabs>
          <w:tab w:val="left" w:pos="7095"/>
        </w:tabs>
        <w:rPr>
          <w:sz w:val="24"/>
        </w:rPr>
      </w:pPr>
      <w:r>
        <w:rPr>
          <w:sz w:val="24"/>
        </w:rPr>
        <w:tab/>
      </w:r>
    </w:p>
    <w:p w:rsidR="00714C92" w:rsidRDefault="009D7E3B" w:rsidP="00714C92">
      <w:pPr>
        <w:tabs>
          <w:tab w:val="left" w:pos="4860"/>
        </w:tabs>
        <w:rPr>
          <w:sz w:val="24"/>
        </w:rPr>
      </w:pPr>
      <w:r>
        <w:rPr>
          <w:sz w:val="24"/>
        </w:rPr>
        <w:t xml:space="preserve">                                                               </w:t>
      </w:r>
    </w:p>
    <w:p w:rsidR="00714C92" w:rsidRDefault="00714C92" w:rsidP="00714C92">
      <w:pPr>
        <w:tabs>
          <w:tab w:val="left" w:pos="4860"/>
        </w:tabs>
        <w:rPr>
          <w:sz w:val="24"/>
        </w:rPr>
      </w:pPr>
    </w:p>
    <w:p w:rsidR="00A36997" w:rsidRDefault="00A36997" w:rsidP="00714C92">
      <w:pPr>
        <w:tabs>
          <w:tab w:val="left" w:pos="4860"/>
        </w:tabs>
        <w:rPr>
          <w:sz w:val="24"/>
        </w:rPr>
      </w:pPr>
    </w:p>
    <w:p w:rsidR="00321B7F" w:rsidRPr="002B2B6F" w:rsidRDefault="003701FC" w:rsidP="00714C92">
      <w:pPr>
        <w:tabs>
          <w:tab w:val="left" w:pos="4860"/>
        </w:tabs>
        <w:rPr>
          <w:b/>
          <w:szCs w:val="28"/>
        </w:rPr>
      </w:pPr>
      <w:r>
        <w:rPr>
          <w:b/>
          <w:szCs w:val="28"/>
        </w:rPr>
        <w:t>Submission to</w:t>
      </w:r>
      <w:r w:rsidR="00714C92" w:rsidRPr="004A295B">
        <w:rPr>
          <w:b/>
          <w:szCs w:val="28"/>
        </w:rPr>
        <w:t xml:space="preserve"> </w:t>
      </w:r>
      <w:r w:rsidR="008A2FCC" w:rsidRPr="008A2FCC">
        <w:rPr>
          <w:b/>
          <w:szCs w:val="28"/>
        </w:rPr>
        <w:t xml:space="preserve">UN </w:t>
      </w:r>
      <w:r w:rsidR="008A2FCC">
        <w:rPr>
          <w:b/>
          <w:szCs w:val="28"/>
        </w:rPr>
        <w:t xml:space="preserve">Human Rights Committee </w:t>
      </w:r>
      <w:r w:rsidR="002B2B6F">
        <w:rPr>
          <w:b/>
          <w:szCs w:val="28"/>
        </w:rPr>
        <w:t xml:space="preserve">2014-15 </w:t>
      </w:r>
      <w:r w:rsidR="008A2FCC">
        <w:rPr>
          <w:b/>
          <w:szCs w:val="28"/>
        </w:rPr>
        <w:t>Treaty Body Process</w:t>
      </w:r>
      <w:r w:rsidR="002B2B6F">
        <w:rPr>
          <w:b/>
          <w:szCs w:val="28"/>
        </w:rPr>
        <w:t xml:space="preserve">: </w:t>
      </w:r>
      <w:r w:rsidR="002B2B6F" w:rsidRPr="002B2B6F">
        <w:rPr>
          <w:b/>
          <w:color w:val="000000"/>
          <w:szCs w:val="28"/>
          <w:shd w:val="clear" w:color="auto" w:fill="FFFFFF"/>
        </w:rPr>
        <w:t>the UK’s compliance with the International Covenant on Civil and Political Rights</w:t>
      </w:r>
      <w:r w:rsidR="008A2FCC" w:rsidRPr="002B2B6F">
        <w:rPr>
          <w:b/>
          <w:szCs w:val="28"/>
        </w:rPr>
        <w:t xml:space="preserve"> </w:t>
      </w:r>
    </w:p>
    <w:p w:rsidR="00A36997" w:rsidRDefault="00A36997" w:rsidP="00714C92">
      <w:pPr>
        <w:tabs>
          <w:tab w:val="left" w:pos="4860"/>
        </w:tabs>
        <w:rPr>
          <w:b/>
          <w:szCs w:val="28"/>
        </w:rPr>
      </w:pPr>
    </w:p>
    <w:p w:rsidR="00A36997" w:rsidRDefault="00A36997" w:rsidP="00714C92">
      <w:pPr>
        <w:tabs>
          <w:tab w:val="left" w:pos="4860"/>
        </w:tabs>
        <w:rPr>
          <w:b/>
          <w:szCs w:val="28"/>
        </w:rPr>
      </w:pPr>
    </w:p>
    <w:p w:rsidR="00321B7F" w:rsidRPr="004A295B" w:rsidRDefault="00321B7F" w:rsidP="00714C92">
      <w:pPr>
        <w:tabs>
          <w:tab w:val="left" w:pos="4860"/>
        </w:tabs>
        <w:rPr>
          <w:b/>
          <w:szCs w:val="28"/>
        </w:rPr>
      </w:pPr>
      <w:r w:rsidRPr="004A295B">
        <w:rPr>
          <w:b/>
          <w:szCs w:val="28"/>
        </w:rPr>
        <w:t xml:space="preserve">Bail for Immigration Detainees </w:t>
      </w:r>
    </w:p>
    <w:p w:rsidR="00221501" w:rsidRDefault="00321B7F" w:rsidP="00A31B90">
      <w:pPr>
        <w:suppressAutoHyphens w:val="0"/>
        <w:autoSpaceDE w:val="0"/>
        <w:autoSpaceDN w:val="0"/>
        <w:adjustRightInd w:val="0"/>
        <w:rPr>
          <w:sz w:val="22"/>
          <w:szCs w:val="22"/>
          <w:lang w:eastAsia="en-GB"/>
        </w:rPr>
      </w:pPr>
      <w:r>
        <w:rPr>
          <w:sz w:val="22"/>
          <w:szCs w:val="22"/>
          <w:lang w:eastAsia="en-GB"/>
        </w:rPr>
        <w:t xml:space="preserve">Bail for Immigration Detainees (BID) is a registered charity that provides legal advice and representation to asylum seekers and migrants held in immigration detention to secure their release. </w:t>
      </w:r>
      <w:r w:rsidR="002E51D8" w:rsidRPr="002E51D8">
        <w:rPr>
          <w:sz w:val="22"/>
          <w:szCs w:val="22"/>
          <w:lang w:eastAsia="en-GB"/>
        </w:rPr>
        <w:t>From 1 August 2012 to 31 July 2013, BID assisted 3367 detainees.</w:t>
      </w:r>
      <w:r w:rsidR="002E51D8">
        <w:rPr>
          <w:sz w:val="22"/>
          <w:szCs w:val="22"/>
          <w:lang w:eastAsia="en-GB"/>
        </w:rPr>
        <w:br/>
      </w:r>
    </w:p>
    <w:p w:rsidR="00A36997" w:rsidRPr="00321B7F" w:rsidRDefault="00A36997" w:rsidP="00A31B90">
      <w:pPr>
        <w:suppressAutoHyphens w:val="0"/>
        <w:autoSpaceDE w:val="0"/>
        <w:autoSpaceDN w:val="0"/>
        <w:adjustRightInd w:val="0"/>
        <w:rPr>
          <w:sz w:val="22"/>
          <w:szCs w:val="22"/>
          <w:lang w:eastAsia="en-GB"/>
        </w:rPr>
      </w:pPr>
    </w:p>
    <w:p w:rsidR="002B25B1" w:rsidRPr="00AC7CB5" w:rsidRDefault="00AC7CB5" w:rsidP="009D2B53">
      <w:pPr>
        <w:tabs>
          <w:tab w:val="left" w:pos="1701"/>
          <w:tab w:val="left" w:pos="4860"/>
        </w:tabs>
        <w:rPr>
          <w:b/>
          <w:szCs w:val="28"/>
        </w:rPr>
      </w:pPr>
      <w:r w:rsidRPr="00AC7CB5">
        <w:rPr>
          <w:b/>
          <w:szCs w:val="28"/>
        </w:rPr>
        <w:t xml:space="preserve">Executive Summary </w:t>
      </w:r>
    </w:p>
    <w:p w:rsidR="00AC7CB5" w:rsidRDefault="003701FC" w:rsidP="009D2B53">
      <w:pPr>
        <w:tabs>
          <w:tab w:val="left" w:pos="1701"/>
          <w:tab w:val="left" w:pos="4860"/>
        </w:tabs>
        <w:rPr>
          <w:sz w:val="22"/>
          <w:szCs w:val="22"/>
        </w:rPr>
      </w:pPr>
      <w:r>
        <w:rPr>
          <w:sz w:val="22"/>
          <w:szCs w:val="22"/>
        </w:rPr>
        <w:t xml:space="preserve">This submission sets out evidence on the UK Government’s policies and practices in relation to immigration detainees. In particular, it covers:  </w:t>
      </w:r>
    </w:p>
    <w:p w:rsidR="00725CE2" w:rsidRDefault="00725CE2" w:rsidP="009D2B53">
      <w:pPr>
        <w:tabs>
          <w:tab w:val="left" w:pos="1701"/>
          <w:tab w:val="left" w:pos="4860"/>
        </w:tabs>
        <w:rPr>
          <w:sz w:val="22"/>
          <w:szCs w:val="22"/>
        </w:rPr>
      </w:pPr>
    </w:p>
    <w:p w:rsidR="003701FC" w:rsidRPr="000E137D" w:rsidRDefault="003701FC" w:rsidP="003701FC">
      <w:pPr>
        <w:pStyle w:val="ListParagraph"/>
        <w:numPr>
          <w:ilvl w:val="0"/>
          <w:numId w:val="19"/>
        </w:numPr>
        <w:tabs>
          <w:tab w:val="left" w:pos="1701"/>
          <w:tab w:val="left" w:pos="4860"/>
        </w:tabs>
        <w:rPr>
          <w:sz w:val="22"/>
          <w:szCs w:val="22"/>
        </w:rPr>
      </w:pPr>
      <w:r w:rsidRPr="000E137D">
        <w:rPr>
          <w:b/>
          <w:sz w:val="22"/>
          <w:szCs w:val="22"/>
        </w:rPr>
        <w:t>Article 7</w:t>
      </w:r>
      <w:r>
        <w:rPr>
          <w:sz w:val="22"/>
          <w:szCs w:val="22"/>
        </w:rPr>
        <w:t xml:space="preserve"> of the </w:t>
      </w:r>
      <w:r w:rsidRPr="003701FC">
        <w:rPr>
          <w:sz w:val="22"/>
          <w:szCs w:val="22"/>
        </w:rPr>
        <w:t>International Covenant on Civil and Political Rights</w:t>
      </w:r>
      <w:r w:rsidR="00725CE2">
        <w:rPr>
          <w:sz w:val="22"/>
          <w:szCs w:val="22"/>
        </w:rPr>
        <w:t xml:space="preserve"> (CCPR) - </w:t>
      </w:r>
      <w:r w:rsidR="00725CE2">
        <w:rPr>
          <w:rFonts w:eastAsia="Calibri"/>
          <w:sz w:val="22"/>
          <w:szCs w:val="22"/>
          <w:shd w:val="clear" w:color="auto" w:fill="FFFFFF"/>
          <w:lang w:eastAsia="en-US"/>
        </w:rPr>
        <w:t xml:space="preserve">inhuman and degrading treatment of mentally ill immigration detainees. </w:t>
      </w:r>
    </w:p>
    <w:p w:rsidR="00725CE2" w:rsidRPr="00725CE2" w:rsidRDefault="00725CE2" w:rsidP="003701FC">
      <w:pPr>
        <w:pStyle w:val="ListParagraph"/>
        <w:numPr>
          <w:ilvl w:val="0"/>
          <w:numId w:val="19"/>
        </w:numPr>
        <w:tabs>
          <w:tab w:val="left" w:pos="1701"/>
          <w:tab w:val="left" w:pos="4860"/>
        </w:tabs>
        <w:rPr>
          <w:sz w:val="22"/>
          <w:szCs w:val="22"/>
        </w:rPr>
      </w:pPr>
      <w:r w:rsidRPr="000E137D">
        <w:rPr>
          <w:rFonts w:eastAsia="Calibri"/>
          <w:b/>
          <w:sz w:val="22"/>
          <w:szCs w:val="22"/>
          <w:shd w:val="clear" w:color="auto" w:fill="FFFFFF"/>
          <w:lang w:eastAsia="en-US"/>
        </w:rPr>
        <w:t>Article 9</w:t>
      </w:r>
      <w:r>
        <w:rPr>
          <w:rFonts w:eastAsia="Calibri"/>
          <w:sz w:val="22"/>
          <w:szCs w:val="22"/>
          <w:shd w:val="clear" w:color="auto" w:fill="FFFFFF"/>
          <w:lang w:eastAsia="en-US"/>
        </w:rPr>
        <w:t xml:space="preserve"> CCPR</w:t>
      </w:r>
    </w:p>
    <w:p w:rsidR="00725CE2" w:rsidRDefault="00725CE2" w:rsidP="00725CE2">
      <w:pPr>
        <w:pStyle w:val="ListParagraph"/>
        <w:numPr>
          <w:ilvl w:val="1"/>
          <w:numId w:val="19"/>
        </w:numPr>
        <w:tabs>
          <w:tab w:val="left" w:pos="1701"/>
          <w:tab w:val="left" w:pos="4860"/>
        </w:tabs>
        <w:rPr>
          <w:sz w:val="22"/>
          <w:szCs w:val="22"/>
        </w:rPr>
      </w:pPr>
      <w:r>
        <w:rPr>
          <w:sz w:val="22"/>
          <w:szCs w:val="22"/>
        </w:rPr>
        <w:t>Cases where detainees have been held unlawfully</w:t>
      </w:r>
      <w:r w:rsidR="000E137D">
        <w:rPr>
          <w:sz w:val="22"/>
          <w:szCs w:val="22"/>
        </w:rPr>
        <w:t>.</w:t>
      </w:r>
    </w:p>
    <w:p w:rsidR="000E137D" w:rsidRDefault="000E137D" w:rsidP="00725CE2">
      <w:pPr>
        <w:pStyle w:val="ListParagraph"/>
        <w:numPr>
          <w:ilvl w:val="1"/>
          <w:numId w:val="19"/>
        </w:numPr>
        <w:tabs>
          <w:tab w:val="left" w:pos="1701"/>
          <w:tab w:val="left" w:pos="4860"/>
        </w:tabs>
        <w:rPr>
          <w:sz w:val="22"/>
          <w:szCs w:val="22"/>
        </w:rPr>
      </w:pPr>
      <w:r>
        <w:rPr>
          <w:sz w:val="22"/>
          <w:szCs w:val="22"/>
        </w:rPr>
        <w:t xml:space="preserve">Restriction in access to remedies for unlawful detention following the </w:t>
      </w:r>
      <w:r w:rsidR="00725CE2" w:rsidRPr="00725CE2">
        <w:rPr>
          <w:sz w:val="22"/>
          <w:szCs w:val="22"/>
        </w:rPr>
        <w:t>April 2014 changes to fee arrangements for judicial reviews</w:t>
      </w:r>
      <w:r>
        <w:rPr>
          <w:sz w:val="22"/>
          <w:szCs w:val="22"/>
        </w:rPr>
        <w:t>.</w:t>
      </w:r>
      <w:r w:rsidR="00725CE2" w:rsidRPr="00725CE2">
        <w:rPr>
          <w:sz w:val="22"/>
          <w:szCs w:val="22"/>
        </w:rPr>
        <w:t xml:space="preserve"> </w:t>
      </w:r>
    </w:p>
    <w:p w:rsidR="00A36997" w:rsidRDefault="000E137D" w:rsidP="009D2B53">
      <w:pPr>
        <w:pStyle w:val="ListParagraph"/>
        <w:numPr>
          <w:ilvl w:val="1"/>
          <w:numId w:val="19"/>
        </w:numPr>
        <w:tabs>
          <w:tab w:val="left" w:pos="1701"/>
          <w:tab w:val="left" w:pos="4860"/>
        </w:tabs>
        <w:rPr>
          <w:sz w:val="22"/>
          <w:szCs w:val="22"/>
        </w:rPr>
      </w:pPr>
      <w:r w:rsidRPr="000E137D">
        <w:rPr>
          <w:sz w:val="22"/>
          <w:szCs w:val="22"/>
        </w:rPr>
        <w:t>Further proposed res</w:t>
      </w:r>
      <w:r w:rsidR="00A36997">
        <w:rPr>
          <w:sz w:val="22"/>
          <w:szCs w:val="22"/>
        </w:rPr>
        <w:t>trictions to access to remedies:</w:t>
      </w:r>
    </w:p>
    <w:p w:rsidR="00A36997" w:rsidRDefault="00725CE2" w:rsidP="00A36997">
      <w:pPr>
        <w:pStyle w:val="ListParagraph"/>
        <w:numPr>
          <w:ilvl w:val="2"/>
          <w:numId w:val="19"/>
        </w:numPr>
        <w:tabs>
          <w:tab w:val="left" w:pos="1701"/>
          <w:tab w:val="left" w:pos="4860"/>
        </w:tabs>
        <w:rPr>
          <w:sz w:val="22"/>
          <w:szCs w:val="22"/>
        </w:rPr>
      </w:pPr>
      <w:r w:rsidRPr="000E137D">
        <w:rPr>
          <w:sz w:val="22"/>
          <w:szCs w:val="22"/>
        </w:rPr>
        <w:t>The C</w:t>
      </w:r>
      <w:r w:rsidR="000E137D" w:rsidRPr="000E137D">
        <w:rPr>
          <w:sz w:val="22"/>
          <w:szCs w:val="22"/>
        </w:rPr>
        <w:t xml:space="preserve">riminal Justice and Courts Bill, </w:t>
      </w:r>
      <w:r w:rsidRPr="000E137D">
        <w:rPr>
          <w:sz w:val="22"/>
          <w:szCs w:val="22"/>
        </w:rPr>
        <w:t xml:space="preserve">which would </w:t>
      </w:r>
      <w:r w:rsidR="000E137D" w:rsidRPr="000E137D">
        <w:rPr>
          <w:sz w:val="22"/>
          <w:szCs w:val="22"/>
        </w:rPr>
        <w:t xml:space="preserve">further </w:t>
      </w:r>
      <w:r w:rsidRPr="000E137D">
        <w:rPr>
          <w:sz w:val="22"/>
          <w:szCs w:val="22"/>
        </w:rPr>
        <w:t xml:space="preserve">curtail </w:t>
      </w:r>
      <w:r w:rsidR="000E137D" w:rsidRPr="000E137D">
        <w:rPr>
          <w:sz w:val="22"/>
          <w:szCs w:val="22"/>
        </w:rPr>
        <w:t>access to judicial review</w:t>
      </w:r>
      <w:r w:rsidR="00A36997">
        <w:rPr>
          <w:sz w:val="22"/>
          <w:szCs w:val="22"/>
        </w:rPr>
        <w:t>, including judicial reviews challenging</w:t>
      </w:r>
      <w:r w:rsidR="000E137D" w:rsidRPr="000E137D">
        <w:rPr>
          <w:sz w:val="22"/>
          <w:szCs w:val="22"/>
        </w:rPr>
        <w:t xml:space="preserve"> the legality of detention</w:t>
      </w:r>
      <w:r w:rsidRPr="000E137D">
        <w:rPr>
          <w:sz w:val="22"/>
          <w:szCs w:val="22"/>
        </w:rPr>
        <w:t>.</w:t>
      </w:r>
      <w:r w:rsidR="000E137D" w:rsidRPr="000E137D">
        <w:rPr>
          <w:sz w:val="22"/>
          <w:szCs w:val="22"/>
        </w:rPr>
        <w:t xml:space="preserve"> </w:t>
      </w:r>
    </w:p>
    <w:p w:rsidR="00AC7CB5" w:rsidRPr="000E137D" w:rsidRDefault="000E137D" w:rsidP="00A36997">
      <w:pPr>
        <w:pStyle w:val="ListParagraph"/>
        <w:numPr>
          <w:ilvl w:val="2"/>
          <w:numId w:val="19"/>
        </w:numPr>
        <w:tabs>
          <w:tab w:val="left" w:pos="1701"/>
          <w:tab w:val="left" w:pos="4860"/>
        </w:tabs>
        <w:rPr>
          <w:sz w:val="22"/>
          <w:szCs w:val="22"/>
        </w:rPr>
      </w:pPr>
      <w:r w:rsidRPr="000E137D">
        <w:rPr>
          <w:sz w:val="22"/>
          <w:szCs w:val="22"/>
        </w:rPr>
        <w:t xml:space="preserve">The proposed ‘residence test’ for legal aid, which would prevent ex-detainees who are not lawfully resident in the UK from accessing legal aid for civil claims to </w:t>
      </w:r>
      <w:r w:rsidR="00CD71F8">
        <w:rPr>
          <w:sz w:val="22"/>
          <w:szCs w:val="22"/>
        </w:rPr>
        <w:t>seek compensation for unlawful detention</w:t>
      </w:r>
      <w:r w:rsidRPr="000E137D">
        <w:rPr>
          <w:sz w:val="22"/>
          <w:szCs w:val="22"/>
        </w:rPr>
        <w:t xml:space="preserve">. </w:t>
      </w:r>
    </w:p>
    <w:p w:rsidR="000E137D" w:rsidRDefault="000E137D" w:rsidP="000E137D">
      <w:pPr>
        <w:pStyle w:val="ListParagraph"/>
        <w:numPr>
          <w:ilvl w:val="0"/>
          <w:numId w:val="19"/>
        </w:numPr>
        <w:tabs>
          <w:tab w:val="left" w:pos="1701"/>
          <w:tab w:val="left" w:pos="4860"/>
        </w:tabs>
        <w:rPr>
          <w:sz w:val="22"/>
          <w:szCs w:val="22"/>
        </w:rPr>
      </w:pPr>
      <w:r w:rsidRPr="000E137D">
        <w:rPr>
          <w:b/>
          <w:sz w:val="22"/>
          <w:szCs w:val="22"/>
        </w:rPr>
        <w:t>Article 10(1)</w:t>
      </w:r>
      <w:r>
        <w:rPr>
          <w:sz w:val="22"/>
          <w:szCs w:val="22"/>
        </w:rPr>
        <w:t xml:space="preserve"> – cases concerning maltreatment of immigration detainees, and proposed restrictions to remedies for such maltreatment. </w:t>
      </w:r>
    </w:p>
    <w:p w:rsidR="000E137D" w:rsidRPr="000E137D" w:rsidRDefault="000E137D" w:rsidP="000E137D">
      <w:pPr>
        <w:pStyle w:val="ListParagraph"/>
        <w:numPr>
          <w:ilvl w:val="0"/>
          <w:numId w:val="19"/>
        </w:numPr>
        <w:tabs>
          <w:tab w:val="left" w:pos="1701"/>
          <w:tab w:val="left" w:pos="4860"/>
        </w:tabs>
        <w:rPr>
          <w:b/>
          <w:sz w:val="22"/>
          <w:szCs w:val="22"/>
        </w:rPr>
      </w:pPr>
      <w:r w:rsidRPr="000E137D">
        <w:rPr>
          <w:b/>
          <w:sz w:val="22"/>
          <w:szCs w:val="22"/>
        </w:rPr>
        <w:t>Separation of families by detention, deportation and removal</w:t>
      </w:r>
      <w:r w:rsidRPr="000E137D">
        <w:rPr>
          <w:sz w:val="22"/>
          <w:szCs w:val="22"/>
        </w:rPr>
        <w:t xml:space="preserve">. BID is gravely concerned that very many children are separated from parents who are </w:t>
      </w:r>
      <w:r w:rsidR="00A36997">
        <w:rPr>
          <w:sz w:val="22"/>
          <w:szCs w:val="22"/>
        </w:rPr>
        <w:t>detained, removed or deported. These concerns have</w:t>
      </w:r>
      <w:r w:rsidRPr="000E137D">
        <w:rPr>
          <w:sz w:val="22"/>
          <w:szCs w:val="22"/>
        </w:rPr>
        <w:t xml:space="preserve"> been exacerbated by the Legal Aid, Sentencing and Punishment of Offenders Act 2012, which removed the vast majority of immigration cases from scope for legal aid. Furthermore, Sections 17 (3) and 19 of the Immigration Act 2014 include a number of measures which will have a serious negative impact on families who are separated for the purposes of immigration control. BID considers that the above changes may engage the following articles of the CCPR: Article 23 (1); Article 14 (1) and Article 26</w:t>
      </w:r>
      <w:r>
        <w:rPr>
          <w:sz w:val="22"/>
          <w:szCs w:val="22"/>
        </w:rPr>
        <w:t xml:space="preserve">. </w:t>
      </w:r>
      <w:r w:rsidRPr="000E137D">
        <w:rPr>
          <w:b/>
          <w:sz w:val="22"/>
          <w:szCs w:val="22"/>
        </w:rPr>
        <w:t xml:space="preserve"> </w:t>
      </w:r>
    </w:p>
    <w:p w:rsidR="000E137D" w:rsidRPr="000E137D" w:rsidRDefault="000E137D" w:rsidP="000E137D">
      <w:pPr>
        <w:pStyle w:val="ListParagraph"/>
        <w:numPr>
          <w:ilvl w:val="0"/>
          <w:numId w:val="19"/>
        </w:numPr>
        <w:tabs>
          <w:tab w:val="left" w:pos="1701"/>
          <w:tab w:val="left" w:pos="4860"/>
        </w:tabs>
        <w:rPr>
          <w:sz w:val="22"/>
          <w:szCs w:val="22"/>
        </w:rPr>
      </w:pPr>
      <w:r w:rsidRPr="000E137D">
        <w:rPr>
          <w:b/>
          <w:sz w:val="22"/>
          <w:szCs w:val="22"/>
        </w:rPr>
        <w:t xml:space="preserve">Detention of children. </w:t>
      </w:r>
      <w:r w:rsidRPr="000E137D">
        <w:rPr>
          <w:sz w:val="22"/>
          <w:szCs w:val="22"/>
        </w:rPr>
        <w:t>We note that the bulk of the UK Government’s July 2012 seventh periodic report on immigration detention to the CCPR committee focuses o</w:t>
      </w:r>
      <w:r>
        <w:rPr>
          <w:sz w:val="22"/>
          <w:szCs w:val="22"/>
        </w:rPr>
        <w:t>n the issue of child detention.</w:t>
      </w:r>
      <w:r w:rsidRPr="000E137D">
        <w:rPr>
          <w:sz w:val="22"/>
          <w:szCs w:val="22"/>
        </w:rPr>
        <w:t xml:space="preserve"> BID has a number of specific concerns about</w:t>
      </w:r>
      <w:r>
        <w:rPr>
          <w:sz w:val="22"/>
          <w:szCs w:val="22"/>
        </w:rPr>
        <w:t xml:space="preserve"> the new family returns process, which are set out below. </w:t>
      </w:r>
    </w:p>
    <w:p w:rsidR="00AC7CB5" w:rsidRDefault="00AC7CB5" w:rsidP="009D2B53">
      <w:pPr>
        <w:tabs>
          <w:tab w:val="left" w:pos="1701"/>
          <w:tab w:val="left" w:pos="4860"/>
        </w:tabs>
        <w:rPr>
          <w:sz w:val="22"/>
          <w:szCs w:val="22"/>
        </w:rPr>
      </w:pPr>
    </w:p>
    <w:p w:rsidR="00A36997" w:rsidRDefault="00A36997" w:rsidP="009D2B53">
      <w:pPr>
        <w:tabs>
          <w:tab w:val="left" w:pos="1701"/>
          <w:tab w:val="left" w:pos="4860"/>
        </w:tabs>
        <w:rPr>
          <w:sz w:val="22"/>
          <w:szCs w:val="22"/>
        </w:rPr>
      </w:pPr>
    </w:p>
    <w:p w:rsidR="00A36997" w:rsidRDefault="00A36997" w:rsidP="009D2B53">
      <w:pPr>
        <w:tabs>
          <w:tab w:val="left" w:pos="1701"/>
          <w:tab w:val="left" w:pos="4860"/>
        </w:tabs>
        <w:rPr>
          <w:sz w:val="22"/>
          <w:szCs w:val="22"/>
        </w:rPr>
      </w:pPr>
    </w:p>
    <w:p w:rsidR="00A36997" w:rsidRDefault="00A36997" w:rsidP="009D2B53">
      <w:pPr>
        <w:tabs>
          <w:tab w:val="left" w:pos="1701"/>
          <w:tab w:val="left" w:pos="4860"/>
        </w:tabs>
        <w:rPr>
          <w:sz w:val="22"/>
          <w:szCs w:val="22"/>
        </w:rPr>
      </w:pPr>
    </w:p>
    <w:p w:rsidR="002B25B1" w:rsidRPr="00A31B90" w:rsidRDefault="002B25B1" w:rsidP="002B25B1">
      <w:pPr>
        <w:tabs>
          <w:tab w:val="left" w:pos="1701"/>
          <w:tab w:val="left" w:pos="4860"/>
        </w:tabs>
        <w:rPr>
          <w:b/>
          <w:szCs w:val="28"/>
        </w:rPr>
      </w:pPr>
      <w:r w:rsidRPr="00A31B90">
        <w:rPr>
          <w:b/>
          <w:szCs w:val="28"/>
        </w:rPr>
        <w:lastRenderedPageBreak/>
        <w:t xml:space="preserve">Article 7 </w:t>
      </w:r>
    </w:p>
    <w:p w:rsidR="00B477E4" w:rsidRDefault="00B477E4" w:rsidP="002B25B1">
      <w:pPr>
        <w:tabs>
          <w:tab w:val="left" w:pos="1701"/>
          <w:tab w:val="left" w:pos="4860"/>
        </w:tabs>
        <w:rPr>
          <w:rFonts w:eastAsia="Calibri"/>
          <w:sz w:val="22"/>
          <w:szCs w:val="22"/>
          <w:shd w:val="clear" w:color="auto" w:fill="FFFFFF"/>
          <w:lang w:eastAsia="en-US"/>
        </w:rPr>
      </w:pPr>
    </w:p>
    <w:p w:rsidR="00B477E4" w:rsidRDefault="00B477E4" w:rsidP="002B25B1">
      <w:pPr>
        <w:tabs>
          <w:tab w:val="left" w:pos="1701"/>
          <w:tab w:val="left" w:pos="4860"/>
        </w:tabs>
        <w:rPr>
          <w:sz w:val="22"/>
          <w:szCs w:val="22"/>
        </w:rPr>
      </w:pPr>
      <w:r>
        <w:rPr>
          <w:rFonts w:eastAsia="Calibri"/>
          <w:sz w:val="22"/>
          <w:szCs w:val="22"/>
          <w:shd w:val="clear" w:color="auto" w:fill="FFFFFF"/>
          <w:lang w:eastAsia="en-US"/>
        </w:rPr>
        <w:t xml:space="preserve">Since 2011, there have been </w:t>
      </w:r>
      <w:r w:rsidRPr="00732877">
        <w:rPr>
          <w:rFonts w:eastAsia="Calibri"/>
          <w:sz w:val="22"/>
          <w:szCs w:val="22"/>
          <w:shd w:val="clear" w:color="auto" w:fill="FFFFFF"/>
          <w:lang w:eastAsia="en-US"/>
        </w:rPr>
        <w:t>six</w:t>
      </w:r>
      <w:r>
        <w:rPr>
          <w:rFonts w:eastAsia="Calibri"/>
          <w:sz w:val="22"/>
          <w:szCs w:val="22"/>
          <w:shd w:val="clear" w:color="auto" w:fill="FFFFFF"/>
          <w:lang w:eastAsia="en-US"/>
        </w:rPr>
        <w:t xml:space="preserve"> cases in which the UK’s High Court has found that mentally ill immigration detainees have been subjected to inhuman and degrading treatment in </w:t>
      </w:r>
      <w:r w:rsidRPr="00CD67B1">
        <w:rPr>
          <w:rFonts w:eastAsia="Calibri"/>
          <w:sz w:val="22"/>
          <w:szCs w:val="22"/>
          <w:shd w:val="clear" w:color="auto" w:fill="FFFFFF"/>
          <w:lang w:eastAsia="en-US"/>
        </w:rPr>
        <w:t>breach</w:t>
      </w:r>
      <w:r>
        <w:rPr>
          <w:rFonts w:eastAsia="Calibri"/>
          <w:sz w:val="22"/>
          <w:szCs w:val="22"/>
          <w:shd w:val="clear" w:color="auto" w:fill="FFFFFF"/>
          <w:lang w:eastAsia="en-US"/>
        </w:rPr>
        <w:t xml:space="preserve"> of </w:t>
      </w:r>
      <w:r w:rsidRPr="00CD67B1">
        <w:rPr>
          <w:rFonts w:eastAsia="Calibri"/>
          <w:sz w:val="22"/>
          <w:szCs w:val="22"/>
          <w:shd w:val="clear" w:color="auto" w:fill="FFFFFF"/>
          <w:lang w:eastAsia="en-US"/>
        </w:rPr>
        <w:t>Article 3 of the Europ</w:t>
      </w:r>
      <w:r>
        <w:rPr>
          <w:rFonts w:eastAsia="Calibri"/>
          <w:sz w:val="22"/>
          <w:szCs w:val="22"/>
          <w:shd w:val="clear" w:color="auto" w:fill="FFFFFF"/>
          <w:lang w:eastAsia="en-US"/>
        </w:rPr>
        <w:t>ean Convention on Human Rights.</w:t>
      </w:r>
      <w:r>
        <w:rPr>
          <w:rStyle w:val="FootnoteReference"/>
          <w:rFonts w:eastAsia="Calibri"/>
          <w:sz w:val="22"/>
          <w:szCs w:val="22"/>
          <w:shd w:val="clear" w:color="auto" w:fill="FFFFFF"/>
          <w:lang w:eastAsia="en-US"/>
        </w:rPr>
        <w:footnoteReference w:id="1"/>
      </w:r>
      <w:r w:rsidR="00A31B90">
        <w:rPr>
          <w:rFonts w:eastAsia="Calibri"/>
          <w:sz w:val="22"/>
          <w:szCs w:val="22"/>
          <w:shd w:val="clear" w:color="auto" w:fill="FFFFFF"/>
          <w:lang w:eastAsia="en-US"/>
        </w:rPr>
        <w:t xml:space="preserve"> </w:t>
      </w:r>
      <w:r w:rsidR="00A31B90" w:rsidRPr="00F5276D">
        <w:rPr>
          <w:rFonts w:eastAsia="Calibri"/>
          <w:sz w:val="22"/>
          <w:szCs w:val="22"/>
          <w:shd w:val="clear" w:color="auto" w:fill="FFFFFF"/>
          <w:lang w:eastAsia="en-US"/>
        </w:rPr>
        <w:t>As is explained in detail</w:t>
      </w:r>
      <w:r w:rsidR="00F5276D" w:rsidRPr="00F5276D">
        <w:rPr>
          <w:rFonts w:eastAsia="Calibri"/>
          <w:sz w:val="22"/>
          <w:szCs w:val="22"/>
          <w:shd w:val="clear" w:color="auto" w:fill="FFFFFF"/>
          <w:lang w:eastAsia="en-US"/>
        </w:rPr>
        <w:t xml:space="preserve"> at p6</w:t>
      </w:r>
      <w:r w:rsidR="00A31B90" w:rsidRPr="00F5276D">
        <w:rPr>
          <w:rFonts w:eastAsia="Calibri"/>
          <w:sz w:val="22"/>
          <w:szCs w:val="22"/>
          <w:shd w:val="clear" w:color="auto" w:fill="FFFFFF"/>
          <w:lang w:eastAsia="en-US"/>
        </w:rPr>
        <w:t xml:space="preserve"> below, the UK Government proposes to introduce a ‘residence test’ for legal aid, which would </w:t>
      </w:r>
      <w:r w:rsidR="00F5276D" w:rsidRPr="00F5276D">
        <w:rPr>
          <w:rFonts w:eastAsia="Calibri"/>
          <w:sz w:val="22"/>
          <w:szCs w:val="22"/>
          <w:shd w:val="clear" w:color="auto" w:fill="FFFFFF"/>
          <w:lang w:eastAsia="en-US"/>
        </w:rPr>
        <w:t xml:space="preserve">prevent </w:t>
      </w:r>
      <w:r w:rsidR="00A31B90" w:rsidRPr="00F5276D">
        <w:rPr>
          <w:rFonts w:eastAsia="Calibri"/>
          <w:sz w:val="22"/>
          <w:szCs w:val="22"/>
          <w:shd w:val="clear" w:color="auto" w:fill="FFFFFF"/>
          <w:lang w:eastAsia="en-US"/>
        </w:rPr>
        <w:t xml:space="preserve">detainees from accessing legal aid to challenge such treatment. </w:t>
      </w:r>
      <w:r w:rsidR="00F5276D" w:rsidRPr="00F5276D">
        <w:rPr>
          <w:rFonts w:eastAsia="Calibri"/>
          <w:sz w:val="22"/>
          <w:szCs w:val="22"/>
          <w:shd w:val="clear" w:color="auto" w:fill="FFFFFF"/>
          <w:lang w:eastAsia="en-US"/>
        </w:rPr>
        <w:t>Separate r</w:t>
      </w:r>
      <w:r w:rsidR="00AC7CB5" w:rsidRPr="00F5276D">
        <w:rPr>
          <w:rFonts w:eastAsia="Calibri"/>
          <w:sz w:val="22"/>
          <w:szCs w:val="22"/>
          <w:shd w:val="clear" w:color="auto" w:fill="FFFFFF"/>
          <w:lang w:eastAsia="en-US"/>
        </w:rPr>
        <w:t xml:space="preserve">estrictions to access to judicial review are also proposed – see </w:t>
      </w:r>
      <w:r w:rsidR="00F5276D" w:rsidRPr="00F5276D">
        <w:rPr>
          <w:rFonts w:eastAsia="Calibri"/>
          <w:sz w:val="22"/>
          <w:szCs w:val="22"/>
          <w:shd w:val="clear" w:color="auto" w:fill="FFFFFF"/>
          <w:lang w:eastAsia="en-US"/>
        </w:rPr>
        <w:t>p3-5</w:t>
      </w:r>
      <w:r w:rsidR="00AC7CB5" w:rsidRPr="00F5276D">
        <w:rPr>
          <w:rFonts w:eastAsia="Calibri"/>
          <w:sz w:val="22"/>
          <w:szCs w:val="22"/>
          <w:shd w:val="clear" w:color="auto" w:fill="FFFFFF"/>
          <w:lang w:eastAsia="en-US"/>
        </w:rPr>
        <w:t xml:space="preserve"> for details.</w:t>
      </w:r>
      <w:r w:rsidR="00AC7CB5">
        <w:rPr>
          <w:rFonts w:eastAsia="Calibri"/>
          <w:sz w:val="22"/>
          <w:szCs w:val="22"/>
          <w:shd w:val="clear" w:color="auto" w:fill="FFFFFF"/>
          <w:lang w:eastAsia="en-US"/>
        </w:rPr>
        <w:t xml:space="preserve"> </w:t>
      </w:r>
    </w:p>
    <w:p w:rsidR="002B25B1" w:rsidRDefault="002B25B1" w:rsidP="002B25B1">
      <w:pPr>
        <w:tabs>
          <w:tab w:val="left" w:pos="1701"/>
          <w:tab w:val="left" w:pos="4860"/>
        </w:tabs>
        <w:rPr>
          <w:sz w:val="22"/>
          <w:szCs w:val="22"/>
        </w:rPr>
      </w:pPr>
    </w:p>
    <w:p w:rsidR="002B25B1" w:rsidRPr="006409E9" w:rsidRDefault="002B25B1" w:rsidP="002B25B1">
      <w:pPr>
        <w:tabs>
          <w:tab w:val="left" w:pos="1701"/>
          <w:tab w:val="left" w:pos="4860"/>
        </w:tabs>
        <w:rPr>
          <w:b/>
          <w:szCs w:val="28"/>
        </w:rPr>
      </w:pPr>
      <w:r w:rsidRPr="006409E9">
        <w:rPr>
          <w:b/>
          <w:szCs w:val="28"/>
        </w:rPr>
        <w:t>Article 9</w:t>
      </w:r>
    </w:p>
    <w:p w:rsidR="00B477E4" w:rsidRDefault="00B477E4" w:rsidP="002B25B1">
      <w:pPr>
        <w:tabs>
          <w:tab w:val="left" w:pos="1701"/>
          <w:tab w:val="left" w:pos="4860"/>
        </w:tabs>
        <w:rPr>
          <w:b/>
          <w:sz w:val="22"/>
          <w:szCs w:val="22"/>
        </w:rPr>
      </w:pPr>
    </w:p>
    <w:p w:rsidR="00C03CB2" w:rsidRDefault="00E47554" w:rsidP="00C03CB2">
      <w:pPr>
        <w:shd w:val="clear" w:color="auto" w:fill="FFFFFF"/>
        <w:suppressAutoHyphens w:val="0"/>
        <w:spacing w:line="276" w:lineRule="auto"/>
        <w:textAlignment w:val="baseline"/>
        <w:rPr>
          <w:sz w:val="22"/>
          <w:szCs w:val="22"/>
          <w:shd w:val="clear" w:color="auto" w:fill="FFFFFF"/>
        </w:rPr>
      </w:pPr>
      <w:r>
        <w:rPr>
          <w:sz w:val="22"/>
          <w:szCs w:val="22"/>
        </w:rPr>
        <w:t xml:space="preserve">In the UK, immigration detainees are held without time limit. </w:t>
      </w:r>
      <w:r w:rsidR="00B477E4">
        <w:rPr>
          <w:sz w:val="22"/>
          <w:szCs w:val="22"/>
          <w:shd w:val="clear" w:color="auto" w:fill="FFFFFF"/>
        </w:rPr>
        <w:t>In numerous cases, detainees have been awarded substantial damages after the courts found that they were detained unlawfully</w:t>
      </w:r>
      <w:r w:rsidR="00B477E4" w:rsidRPr="009455A0">
        <w:rPr>
          <w:sz w:val="22"/>
          <w:szCs w:val="22"/>
          <w:shd w:val="clear" w:color="auto" w:fill="FFFFFF"/>
        </w:rPr>
        <w:t>.  For the financial year 2012-13, the UK Border Agency incurred costs in relation to non-staff compensation, adverse legal costs, and ex-gratia payments totalling £19,702,000.</w:t>
      </w:r>
      <w:r w:rsidR="00B477E4" w:rsidRPr="009455A0">
        <w:rPr>
          <w:rStyle w:val="FootnoteReference"/>
          <w:sz w:val="22"/>
          <w:szCs w:val="22"/>
          <w:shd w:val="clear" w:color="auto" w:fill="FFFFFF"/>
        </w:rPr>
        <w:footnoteReference w:id="2"/>
      </w:r>
      <w:r w:rsidR="00B477E4">
        <w:rPr>
          <w:sz w:val="22"/>
          <w:szCs w:val="22"/>
          <w:shd w:val="clear" w:color="auto" w:fill="FFFFFF"/>
        </w:rPr>
        <w:t xml:space="preserve"> BID regularly refers ex-detainees to solicitors to make civil claims for compensation. </w:t>
      </w:r>
      <w:r w:rsidR="00C03CB2">
        <w:rPr>
          <w:sz w:val="22"/>
          <w:szCs w:val="22"/>
          <w:shd w:val="clear" w:color="auto" w:fill="FFFFFF"/>
        </w:rPr>
        <w:t xml:space="preserve">In one case which settled last year the claimant and their child were awarded </w:t>
      </w:r>
      <w:r w:rsidR="00C03CB2" w:rsidRPr="0048799A">
        <w:rPr>
          <w:sz w:val="22"/>
          <w:szCs w:val="22"/>
          <w:shd w:val="clear" w:color="auto" w:fill="FFFFFF"/>
        </w:rPr>
        <w:t>£68,500.</w:t>
      </w:r>
    </w:p>
    <w:p w:rsidR="00C03CB2" w:rsidRDefault="00C03CB2" w:rsidP="00C03CB2">
      <w:pPr>
        <w:shd w:val="clear" w:color="auto" w:fill="FFFFFF"/>
        <w:suppressAutoHyphens w:val="0"/>
        <w:spacing w:line="276" w:lineRule="auto"/>
        <w:textAlignment w:val="baseline"/>
        <w:rPr>
          <w:sz w:val="22"/>
          <w:szCs w:val="22"/>
          <w:shd w:val="clear" w:color="auto" w:fill="FFFFFF"/>
        </w:rPr>
      </w:pPr>
    </w:p>
    <w:tbl>
      <w:tblPr>
        <w:tblStyle w:val="TableGrid"/>
        <w:tblW w:w="0" w:type="auto"/>
        <w:tblLook w:val="04A0" w:firstRow="1" w:lastRow="0" w:firstColumn="1" w:lastColumn="0" w:noHBand="0" w:noVBand="1"/>
      </w:tblPr>
      <w:tblGrid>
        <w:gridCol w:w="9853"/>
      </w:tblGrid>
      <w:tr w:rsidR="00C03CB2" w:rsidTr="00274331">
        <w:trPr>
          <w:trHeight w:val="3104"/>
        </w:trPr>
        <w:tc>
          <w:tcPr>
            <w:tcW w:w="9853" w:type="dxa"/>
          </w:tcPr>
          <w:p w:rsidR="00C03CB2" w:rsidRPr="00911910" w:rsidRDefault="00C03CB2" w:rsidP="00274331">
            <w:pPr>
              <w:shd w:val="clear" w:color="auto" w:fill="FFFFFF"/>
              <w:textAlignment w:val="baseline"/>
              <w:rPr>
                <w:b/>
                <w:sz w:val="22"/>
                <w:szCs w:val="22"/>
                <w:shd w:val="clear" w:color="auto" w:fill="FFFFFF"/>
              </w:rPr>
            </w:pPr>
            <w:r w:rsidRPr="00911910">
              <w:rPr>
                <w:b/>
                <w:sz w:val="22"/>
                <w:szCs w:val="22"/>
                <w:shd w:val="clear" w:color="auto" w:fill="FFFFFF"/>
              </w:rPr>
              <w:t xml:space="preserve">Case study: compensation for detention </w:t>
            </w:r>
          </w:p>
          <w:p w:rsidR="00C03CB2" w:rsidRPr="0048799A" w:rsidRDefault="00C03CB2" w:rsidP="00274331">
            <w:pPr>
              <w:shd w:val="clear" w:color="auto" w:fill="FFFFFF"/>
              <w:textAlignment w:val="baseline"/>
              <w:rPr>
                <w:sz w:val="22"/>
                <w:szCs w:val="22"/>
                <w:u w:val="single"/>
                <w:shd w:val="clear" w:color="auto" w:fill="FFFFFF"/>
              </w:rPr>
            </w:pPr>
          </w:p>
          <w:p w:rsidR="00C03CB2" w:rsidRDefault="00C03CB2" w:rsidP="00274331">
            <w:pPr>
              <w:shd w:val="clear" w:color="auto" w:fill="FFFFFF"/>
              <w:textAlignment w:val="baseline"/>
              <w:rPr>
                <w:i/>
                <w:sz w:val="22"/>
                <w:szCs w:val="22"/>
                <w:shd w:val="clear" w:color="auto" w:fill="FFFFFF"/>
              </w:rPr>
            </w:pPr>
            <w:r>
              <w:rPr>
                <w:sz w:val="22"/>
                <w:szCs w:val="22"/>
                <w:shd w:val="clear" w:color="auto" w:fill="FFFFFF"/>
              </w:rPr>
              <w:t xml:space="preserve">During Christine’s detention, her two children were cared for by their grandfather. He became seriously ill and was admitted to hospital three times. The older daughter, </w:t>
            </w:r>
            <w:r w:rsidRPr="0048799A">
              <w:rPr>
                <w:sz w:val="22"/>
                <w:szCs w:val="22"/>
                <w:shd w:val="clear" w:color="auto" w:fill="FFFFFF"/>
              </w:rPr>
              <w:t>Beth</w:t>
            </w:r>
            <w:r>
              <w:rPr>
                <w:sz w:val="22"/>
                <w:szCs w:val="22"/>
                <w:shd w:val="clear" w:color="auto" w:fill="FFFFFF"/>
              </w:rPr>
              <w:t>,</w:t>
            </w:r>
            <w:r w:rsidRPr="0048799A">
              <w:rPr>
                <w:sz w:val="22"/>
                <w:szCs w:val="22"/>
                <w:shd w:val="clear" w:color="auto" w:fill="FFFFFF"/>
              </w:rPr>
              <w:t xml:space="preserve"> had to stop attending school to care for</w:t>
            </w:r>
            <w:r>
              <w:rPr>
                <w:sz w:val="22"/>
                <w:szCs w:val="22"/>
                <w:shd w:val="clear" w:color="auto" w:fill="FFFFFF"/>
              </w:rPr>
              <w:t xml:space="preserve"> her</w:t>
            </w:r>
            <w:r w:rsidRPr="0048799A">
              <w:rPr>
                <w:sz w:val="22"/>
                <w:szCs w:val="22"/>
                <w:shd w:val="clear" w:color="auto" w:fill="FFFFFF"/>
              </w:rPr>
              <w:t xml:space="preserve"> </w:t>
            </w:r>
            <w:r>
              <w:rPr>
                <w:sz w:val="22"/>
                <w:szCs w:val="22"/>
                <w:shd w:val="clear" w:color="auto" w:fill="FFFFFF"/>
              </w:rPr>
              <w:t xml:space="preserve">brother and grandfather </w:t>
            </w:r>
            <w:r w:rsidRPr="0048799A">
              <w:rPr>
                <w:sz w:val="22"/>
                <w:szCs w:val="22"/>
                <w:shd w:val="clear" w:color="auto" w:fill="FFFFFF"/>
              </w:rPr>
              <w:t>and missed her GCSE exams. Beth found it extremely difficult to look afte</w:t>
            </w:r>
            <w:r>
              <w:rPr>
                <w:sz w:val="22"/>
                <w:szCs w:val="22"/>
                <w:shd w:val="clear" w:color="auto" w:fill="FFFFFF"/>
              </w:rPr>
              <w:t>r her seven year old brother Daniel, who</w:t>
            </w:r>
            <w:r w:rsidRPr="0048799A">
              <w:rPr>
                <w:sz w:val="22"/>
                <w:szCs w:val="22"/>
                <w:shd w:val="clear" w:color="auto" w:fill="FFFFFF"/>
              </w:rPr>
              <w:t xml:space="preserve"> </w:t>
            </w:r>
            <w:r>
              <w:rPr>
                <w:sz w:val="22"/>
                <w:szCs w:val="22"/>
                <w:shd w:val="clear" w:color="auto" w:fill="FFFFFF"/>
              </w:rPr>
              <w:t xml:space="preserve">is disabled and </w:t>
            </w:r>
            <w:r w:rsidRPr="0048799A">
              <w:rPr>
                <w:sz w:val="22"/>
                <w:szCs w:val="22"/>
                <w:shd w:val="clear" w:color="auto" w:fill="FFFFFF"/>
              </w:rPr>
              <w:t xml:space="preserve">has severe behavioural problems. Children’s Services deemed Daniel to be at risk of emotional and physical harm, and found that: </w:t>
            </w:r>
            <w:r w:rsidRPr="007B0F56">
              <w:rPr>
                <w:i/>
                <w:sz w:val="22"/>
                <w:szCs w:val="22"/>
                <w:shd w:val="clear" w:color="auto" w:fill="FFFFFF"/>
              </w:rPr>
              <w:t xml:space="preserve">‘Daniel has found it very difficult being separated from his mother…  [A] </w:t>
            </w:r>
            <w:proofErr w:type="gramStart"/>
            <w:r w:rsidRPr="007B0F56">
              <w:rPr>
                <w:i/>
                <w:sz w:val="22"/>
                <w:szCs w:val="22"/>
                <w:shd w:val="clear" w:color="auto" w:fill="FFFFFF"/>
              </w:rPr>
              <w:t>concerned</w:t>
            </w:r>
            <w:proofErr w:type="gramEnd"/>
            <w:r w:rsidRPr="007B0F56">
              <w:rPr>
                <w:i/>
                <w:sz w:val="22"/>
                <w:szCs w:val="22"/>
                <w:shd w:val="clear" w:color="auto" w:fill="FFFFFF"/>
              </w:rPr>
              <w:t xml:space="preserve"> neighbour rang to report that Daniel was playing alone in the road at 8pm... </w:t>
            </w:r>
            <w:proofErr w:type="gramStart"/>
            <w:r w:rsidRPr="007B0F56">
              <w:rPr>
                <w:i/>
                <w:sz w:val="22"/>
                <w:szCs w:val="22"/>
                <w:shd w:val="clear" w:color="auto" w:fill="FFFFFF"/>
              </w:rPr>
              <w:t>he</w:t>
            </w:r>
            <w:proofErr w:type="gramEnd"/>
            <w:r w:rsidRPr="007B0F56">
              <w:rPr>
                <w:i/>
                <w:sz w:val="22"/>
                <w:szCs w:val="22"/>
                <w:shd w:val="clear" w:color="auto" w:fill="FFFFFF"/>
              </w:rPr>
              <w:t xml:space="preserve"> walks into people’s houses.’ </w:t>
            </w:r>
          </w:p>
          <w:p w:rsidR="00C03CB2" w:rsidRDefault="00C03CB2" w:rsidP="00274331">
            <w:pPr>
              <w:shd w:val="clear" w:color="auto" w:fill="FFFFFF"/>
              <w:textAlignment w:val="baseline"/>
              <w:rPr>
                <w:i/>
                <w:sz w:val="22"/>
                <w:szCs w:val="22"/>
                <w:shd w:val="clear" w:color="auto" w:fill="FFFFFF"/>
              </w:rPr>
            </w:pPr>
          </w:p>
          <w:p w:rsidR="00C03CB2" w:rsidRDefault="00C03CB2" w:rsidP="00C03CB2">
            <w:pPr>
              <w:shd w:val="clear" w:color="auto" w:fill="FFFFFF"/>
              <w:textAlignment w:val="baseline"/>
              <w:rPr>
                <w:sz w:val="22"/>
                <w:szCs w:val="22"/>
                <w:shd w:val="clear" w:color="auto" w:fill="FFFFFF"/>
              </w:rPr>
            </w:pPr>
            <w:r w:rsidRPr="0048799A">
              <w:rPr>
                <w:sz w:val="22"/>
                <w:szCs w:val="22"/>
                <w:shd w:val="clear" w:color="auto" w:fill="FFFFFF"/>
              </w:rPr>
              <w:t xml:space="preserve">Two months into </w:t>
            </w:r>
            <w:r>
              <w:rPr>
                <w:sz w:val="22"/>
                <w:szCs w:val="22"/>
                <w:shd w:val="clear" w:color="auto" w:fill="FFFFFF"/>
              </w:rPr>
              <w:t>Christine’s</w:t>
            </w:r>
            <w:r w:rsidRPr="0048799A">
              <w:rPr>
                <w:sz w:val="22"/>
                <w:szCs w:val="22"/>
                <w:shd w:val="clear" w:color="auto" w:fill="FFFFFF"/>
              </w:rPr>
              <w:t xml:space="preserve"> detention Daniel was hit by a car.  Despite receiving reports about the welfare of these children, the Home Office detained their mother for 160 days before she was released on bail by the Tribunal. The Home Office subsequently awarded the family </w:t>
            </w:r>
            <w:r>
              <w:rPr>
                <w:sz w:val="22"/>
                <w:szCs w:val="22"/>
                <w:shd w:val="clear" w:color="auto" w:fill="FFFFFF"/>
              </w:rPr>
              <w:t xml:space="preserve">substantial </w:t>
            </w:r>
            <w:r w:rsidRPr="0048799A">
              <w:rPr>
                <w:sz w:val="22"/>
                <w:szCs w:val="22"/>
                <w:shd w:val="clear" w:color="auto" w:fill="FFFFFF"/>
              </w:rPr>
              <w:t xml:space="preserve">compensation for the mother’s detention. </w:t>
            </w:r>
          </w:p>
        </w:tc>
      </w:tr>
    </w:tbl>
    <w:p w:rsidR="00B477E4" w:rsidRDefault="00B477E4" w:rsidP="00C03CB2">
      <w:pPr>
        <w:tabs>
          <w:tab w:val="left" w:pos="1701"/>
          <w:tab w:val="left" w:pos="4860"/>
        </w:tabs>
        <w:rPr>
          <w:b/>
          <w:sz w:val="22"/>
          <w:szCs w:val="22"/>
        </w:rPr>
      </w:pPr>
    </w:p>
    <w:p w:rsidR="00B249D0" w:rsidRDefault="00B249D0" w:rsidP="00C03CB2">
      <w:pPr>
        <w:tabs>
          <w:tab w:val="left" w:pos="1701"/>
          <w:tab w:val="left" w:pos="4860"/>
        </w:tabs>
        <w:rPr>
          <w:sz w:val="22"/>
          <w:szCs w:val="22"/>
        </w:rPr>
      </w:pPr>
      <w:r>
        <w:rPr>
          <w:sz w:val="22"/>
          <w:szCs w:val="22"/>
        </w:rPr>
        <w:t xml:space="preserve">The 2012 Legal Aid, Sentencing and Punishment of Offenders Act </w:t>
      </w:r>
      <w:r w:rsidR="00660602">
        <w:rPr>
          <w:sz w:val="22"/>
          <w:szCs w:val="22"/>
        </w:rPr>
        <w:t xml:space="preserve">took the vast majority of immigration cases out of the scope of legal aid funding. Legal aid is still available for bail and judicial review applications challenging detention. However, very many immigration detainees are held on the basis of a decision which has been made on their immigration claim. The fact that detainees are no longer able to access legal aid to challenge such decisions, even where they are unlawful, creates barriers to them challenging their detention. </w:t>
      </w:r>
    </w:p>
    <w:p w:rsidR="006409E9" w:rsidRDefault="006409E9" w:rsidP="00C03CB2">
      <w:pPr>
        <w:tabs>
          <w:tab w:val="left" w:pos="1701"/>
          <w:tab w:val="left" w:pos="4860"/>
        </w:tabs>
        <w:rPr>
          <w:sz w:val="22"/>
          <w:szCs w:val="22"/>
        </w:rPr>
      </w:pPr>
    </w:p>
    <w:p w:rsidR="006409E9" w:rsidRPr="006409E9" w:rsidRDefault="006409E9" w:rsidP="00C03CB2">
      <w:pPr>
        <w:tabs>
          <w:tab w:val="left" w:pos="1701"/>
          <w:tab w:val="left" w:pos="4860"/>
        </w:tabs>
        <w:rPr>
          <w:b/>
          <w:sz w:val="22"/>
          <w:szCs w:val="22"/>
        </w:rPr>
      </w:pPr>
      <w:r w:rsidRPr="006409E9">
        <w:rPr>
          <w:b/>
          <w:sz w:val="22"/>
          <w:szCs w:val="22"/>
        </w:rPr>
        <w:t xml:space="preserve">Access to remedies </w:t>
      </w:r>
    </w:p>
    <w:p w:rsidR="002B25B1" w:rsidRDefault="002B25B1" w:rsidP="009D2B53">
      <w:pPr>
        <w:tabs>
          <w:tab w:val="left" w:pos="1701"/>
          <w:tab w:val="left" w:pos="4860"/>
        </w:tabs>
        <w:rPr>
          <w:sz w:val="22"/>
          <w:szCs w:val="22"/>
        </w:rPr>
      </w:pPr>
    </w:p>
    <w:p w:rsidR="00496A32" w:rsidRDefault="00496A32" w:rsidP="00496A32">
      <w:pPr>
        <w:tabs>
          <w:tab w:val="left" w:pos="1701"/>
          <w:tab w:val="left" w:pos="4860"/>
        </w:tabs>
        <w:rPr>
          <w:sz w:val="22"/>
          <w:szCs w:val="22"/>
        </w:rPr>
      </w:pPr>
      <w:r>
        <w:rPr>
          <w:sz w:val="22"/>
          <w:szCs w:val="22"/>
        </w:rPr>
        <w:t xml:space="preserve">Article 9(4) of the CCPR provides that: </w:t>
      </w:r>
    </w:p>
    <w:p w:rsidR="00496A32" w:rsidRDefault="00496A32" w:rsidP="00496A32">
      <w:pPr>
        <w:tabs>
          <w:tab w:val="left" w:pos="1701"/>
          <w:tab w:val="left" w:pos="4860"/>
        </w:tabs>
        <w:rPr>
          <w:sz w:val="22"/>
          <w:szCs w:val="22"/>
        </w:rPr>
      </w:pPr>
    </w:p>
    <w:p w:rsidR="00496A32" w:rsidRDefault="00496A32" w:rsidP="00496A32">
      <w:pPr>
        <w:tabs>
          <w:tab w:val="left" w:pos="1701"/>
          <w:tab w:val="left" w:pos="4860"/>
        </w:tabs>
        <w:rPr>
          <w:sz w:val="22"/>
          <w:szCs w:val="22"/>
        </w:rPr>
      </w:pPr>
      <w:r>
        <w:rPr>
          <w:sz w:val="22"/>
          <w:szCs w:val="22"/>
        </w:rPr>
        <w:t>‘</w:t>
      </w:r>
      <w:r w:rsidRPr="002B25B1">
        <w:rPr>
          <w:sz w:val="22"/>
          <w:szCs w:val="22"/>
        </w:rPr>
        <w:t>Anyone who is deprived of his liberty by arrest or detention shall be entitled to take proceedings before a court, in order that that court may decide without delay on the lawfulness of his detention and order his release if the detention is not lawful.</w:t>
      </w:r>
      <w:r>
        <w:rPr>
          <w:sz w:val="22"/>
          <w:szCs w:val="22"/>
        </w:rPr>
        <w:t>’</w:t>
      </w:r>
    </w:p>
    <w:p w:rsidR="00496A32" w:rsidRDefault="00496A32" w:rsidP="00496A32">
      <w:pPr>
        <w:tabs>
          <w:tab w:val="left" w:pos="1701"/>
          <w:tab w:val="left" w:pos="4860"/>
        </w:tabs>
        <w:rPr>
          <w:sz w:val="22"/>
          <w:szCs w:val="22"/>
        </w:rPr>
      </w:pPr>
    </w:p>
    <w:p w:rsidR="00F5276D" w:rsidRDefault="00F5276D" w:rsidP="00496A32">
      <w:pPr>
        <w:tabs>
          <w:tab w:val="left" w:pos="1701"/>
          <w:tab w:val="left" w:pos="4860"/>
        </w:tabs>
        <w:rPr>
          <w:sz w:val="22"/>
          <w:szCs w:val="22"/>
        </w:rPr>
      </w:pPr>
    </w:p>
    <w:p w:rsidR="00F5276D" w:rsidRDefault="00F5276D" w:rsidP="00496A32">
      <w:pPr>
        <w:tabs>
          <w:tab w:val="left" w:pos="1701"/>
          <w:tab w:val="left" w:pos="4860"/>
        </w:tabs>
        <w:rPr>
          <w:sz w:val="22"/>
          <w:szCs w:val="22"/>
        </w:rPr>
      </w:pPr>
    </w:p>
    <w:p w:rsidR="00F5276D" w:rsidRDefault="00F5276D" w:rsidP="00496A32">
      <w:pPr>
        <w:tabs>
          <w:tab w:val="left" w:pos="1701"/>
          <w:tab w:val="left" w:pos="4860"/>
        </w:tabs>
        <w:rPr>
          <w:sz w:val="22"/>
          <w:szCs w:val="22"/>
        </w:rPr>
      </w:pPr>
    </w:p>
    <w:p w:rsidR="006D48CD" w:rsidRDefault="006D48CD" w:rsidP="00496A32">
      <w:pPr>
        <w:tabs>
          <w:tab w:val="left" w:pos="1701"/>
          <w:tab w:val="left" w:pos="4860"/>
        </w:tabs>
        <w:rPr>
          <w:sz w:val="22"/>
          <w:szCs w:val="22"/>
        </w:rPr>
      </w:pPr>
      <w:r>
        <w:rPr>
          <w:sz w:val="22"/>
          <w:szCs w:val="22"/>
        </w:rPr>
        <w:lastRenderedPageBreak/>
        <w:t xml:space="preserve">Article 9(5) states: </w:t>
      </w:r>
    </w:p>
    <w:p w:rsidR="006D48CD" w:rsidRDefault="006D48CD" w:rsidP="00496A32">
      <w:pPr>
        <w:tabs>
          <w:tab w:val="left" w:pos="1701"/>
          <w:tab w:val="left" w:pos="4860"/>
        </w:tabs>
        <w:rPr>
          <w:sz w:val="22"/>
          <w:szCs w:val="22"/>
        </w:rPr>
      </w:pPr>
    </w:p>
    <w:p w:rsidR="006D48CD" w:rsidRDefault="006D48CD" w:rsidP="00496A32">
      <w:pPr>
        <w:tabs>
          <w:tab w:val="left" w:pos="1701"/>
          <w:tab w:val="left" w:pos="4860"/>
        </w:tabs>
        <w:rPr>
          <w:sz w:val="22"/>
          <w:szCs w:val="22"/>
        </w:rPr>
      </w:pPr>
      <w:r>
        <w:rPr>
          <w:sz w:val="22"/>
          <w:szCs w:val="22"/>
        </w:rPr>
        <w:t>‘</w:t>
      </w:r>
      <w:r w:rsidRPr="006D48CD">
        <w:rPr>
          <w:sz w:val="22"/>
          <w:szCs w:val="22"/>
        </w:rPr>
        <w:t>Anyone who has been the victim of unlawful arrest or detention shall have an enforceable right to compensation.</w:t>
      </w:r>
      <w:r>
        <w:rPr>
          <w:sz w:val="22"/>
          <w:szCs w:val="22"/>
        </w:rPr>
        <w:t xml:space="preserve">’ </w:t>
      </w:r>
      <w:r w:rsidRPr="006D48CD">
        <w:rPr>
          <w:sz w:val="22"/>
          <w:szCs w:val="22"/>
        </w:rPr>
        <w:t xml:space="preserve"> </w:t>
      </w:r>
    </w:p>
    <w:p w:rsidR="006D48CD" w:rsidRDefault="006D48CD" w:rsidP="00496A32">
      <w:pPr>
        <w:tabs>
          <w:tab w:val="left" w:pos="1701"/>
          <w:tab w:val="left" w:pos="4860"/>
        </w:tabs>
        <w:rPr>
          <w:sz w:val="22"/>
          <w:szCs w:val="22"/>
        </w:rPr>
      </w:pPr>
    </w:p>
    <w:p w:rsidR="00496A32" w:rsidRDefault="00496A32" w:rsidP="00496A32">
      <w:pPr>
        <w:tabs>
          <w:tab w:val="left" w:pos="1701"/>
          <w:tab w:val="left" w:pos="4860"/>
        </w:tabs>
        <w:rPr>
          <w:sz w:val="22"/>
          <w:szCs w:val="22"/>
        </w:rPr>
      </w:pPr>
      <w:r>
        <w:rPr>
          <w:sz w:val="22"/>
          <w:szCs w:val="22"/>
        </w:rPr>
        <w:t xml:space="preserve">We also note that Article 2(2) of the CCPR states: </w:t>
      </w:r>
    </w:p>
    <w:p w:rsidR="00496A32" w:rsidRDefault="00496A32" w:rsidP="00496A32">
      <w:pPr>
        <w:tabs>
          <w:tab w:val="left" w:pos="1701"/>
          <w:tab w:val="left" w:pos="4860"/>
        </w:tabs>
        <w:rPr>
          <w:sz w:val="22"/>
          <w:szCs w:val="22"/>
        </w:rPr>
      </w:pPr>
    </w:p>
    <w:p w:rsidR="00496A32" w:rsidRDefault="00496A32" w:rsidP="00496A32">
      <w:pPr>
        <w:tabs>
          <w:tab w:val="left" w:pos="1701"/>
          <w:tab w:val="left" w:pos="4860"/>
        </w:tabs>
        <w:rPr>
          <w:sz w:val="22"/>
          <w:szCs w:val="22"/>
        </w:rPr>
      </w:pPr>
      <w:r>
        <w:rPr>
          <w:sz w:val="22"/>
          <w:szCs w:val="22"/>
        </w:rPr>
        <w:t>‘</w:t>
      </w:r>
      <w:r w:rsidRPr="00B477E4">
        <w:rPr>
          <w:sz w:val="22"/>
          <w:szCs w:val="22"/>
        </w:rPr>
        <w:t>Where not already provided for by existing legislative or other mea</w:t>
      </w:r>
      <w:r>
        <w:rPr>
          <w:sz w:val="22"/>
          <w:szCs w:val="22"/>
        </w:rPr>
        <w:t xml:space="preserve">sures, each State Party to the </w:t>
      </w:r>
      <w:r w:rsidRPr="00B477E4">
        <w:rPr>
          <w:sz w:val="22"/>
          <w:szCs w:val="22"/>
        </w:rPr>
        <w:t>present Covenant undertakes to take the necessary steps, in accordance with its constitutional processes and with the provisions of the present Covenant, to adopt such laws or other measures as may be necessary to give effect to the rights recognized in the present Covenant.</w:t>
      </w:r>
      <w:r>
        <w:rPr>
          <w:sz w:val="22"/>
          <w:szCs w:val="22"/>
        </w:rPr>
        <w:t>’</w:t>
      </w:r>
    </w:p>
    <w:p w:rsidR="00496A32" w:rsidRDefault="00496A32" w:rsidP="00496A32">
      <w:pPr>
        <w:tabs>
          <w:tab w:val="left" w:pos="1701"/>
          <w:tab w:val="left" w:pos="4860"/>
        </w:tabs>
        <w:rPr>
          <w:sz w:val="22"/>
          <w:szCs w:val="22"/>
        </w:rPr>
      </w:pPr>
    </w:p>
    <w:p w:rsidR="006D48CD" w:rsidRDefault="00660602" w:rsidP="00496A32">
      <w:pPr>
        <w:tabs>
          <w:tab w:val="left" w:pos="1701"/>
          <w:tab w:val="left" w:pos="4860"/>
        </w:tabs>
        <w:rPr>
          <w:sz w:val="22"/>
          <w:szCs w:val="22"/>
        </w:rPr>
      </w:pPr>
      <w:r>
        <w:rPr>
          <w:sz w:val="22"/>
          <w:szCs w:val="22"/>
        </w:rPr>
        <w:t>As is set out above, d</w:t>
      </w:r>
      <w:r w:rsidR="00496A32">
        <w:rPr>
          <w:sz w:val="22"/>
          <w:szCs w:val="22"/>
        </w:rPr>
        <w:t xml:space="preserve">etainees in the UK continue, in theory, have access to judicial review as a remedy for unlawful detention. However, BID is gravely concerned that the reforms to judicial review which </w:t>
      </w:r>
      <w:r>
        <w:rPr>
          <w:sz w:val="22"/>
          <w:szCs w:val="22"/>
        </w:rPr>
        <w:t>were</w:t>
      </w:r>
      <w:r w:rsidR="00496A32">
        <w:rPr>
          <w:sz w:val="22"/>
          <w:szCs w:val="22"/>
        </w:rPr>
        <w:t xml:space="preserve"> implemented</w:t>
      </w:r>
      <w:r>
        <w:rPr>
          <w:sz w:val="22"/>
          <w:szCs w:val="22"/>
        </w:rPr>
        <w:t xml:space="preserve"> in April 2014</w:t>
      </w:r>
      <w:r w:rsidR="00496A32">
        <w:rPr>
          <w:sz w:val="22"/>
          <w:szCs w:val="22"/>
        </w:rPr>
        <w:t>, and the further reforms proposed in the Crimina</w:t>
      </w:r>
      <w:r w:rsidR="006D48CD">
        <w:rPr>
          <w:sz w:val="22"/>
          <w:szCs w:val="22"/>
        </w:rPr>
        <w:t>l Justice and Courts Bill, will</w:t>
      </w:r>
      <w:r w:rsidR="00496A32">
        <w:rPr>
          <w:sz w:val="22"/>
          <w:szCs w:val="22"/>
        </w:rPr>
        <w:t xml:space="preserve"> curtail detainees</w:t>
      </w:r>
      <w:r>
        <w:rPr>
          <w:sz w:val="22"/>
          <w:szCs w:val="22"/>
        </w:rPr>
        <w:t>’</w:t>
      </w:r>
      <w:r w:rsidR="00496A32">
        <w:rPr>
          <w:sz w:val="22"/>
          <w:szCs w:val="22"/>
        </w:rPr>
        <w:t xml:space="preserve"> access to judicial review in practice. </w:t>
      </w:r>
      <w:r w:rsidR="00D242A8">
        <w:rPr>
          <w:sz w:val="22"/>
          <w:szCs w:val="22"/>
        </w:rPr>
        <w:t xml:space="preserve">Furthermore, the Government proposes to introduce a ‘residence test’ for legal aid, which would prevent very many ex-detainees from making civil claims for compensation for unlawful detention. </w:t>
      </w:r>
    </w:p>
    <w:p w:rsidR="006409E9" w:rsidRDefault="006409E9" w:rsidP="00496A32">
      <w:pPr>
        <w:tabs>
          <w:tab w:val="left" w:pos="1701"/>
          <w:tab w:val="left" w:pos="4860"/>
        </w:tabs>
        <w:rPr>
          <w:sz w:val="22"/>
          <w:szCs w:val="22"/>
        </w:rPr>
      </w:pPr>
    </w:p>
    <w:p w:rsidR="006409E9" w:rsidRPr="006409E9" w:rsidRDefault="006409E9" w:rsidP="00496A32">
      <w:pPr>
        <w:tabs>
          <w:tab w:val="left" w:pos="1701"/>
          <w:tab w:val="left" w:pos="4860"/>
        </w:tabs>
        <w:rPr>
          <w:b/>
          <w:sz w:val="22"/>
          <w:szCs w:val="22"/>
        </w:rPr>
      </w:pPr>
      <w:r w:rsidRPr="006409E9">
        <w:rPr>
          <w:b/>
          <w:sz w:val="22"/>
          <w:szCs w:val="22"/>
        </w:rPr>
        <w:t xml:space="preserve">April 2014 changes to fee arrangements for judicial reviews  </w:t>
      </w:r>
    </w:p>
    <w:p w:rsidR="000B1953" w:rsidRDefault="000B1953" w:rsidP="00496A32">
      <w:pPr>
        <w:tabs>
          <w:tab w:val="left" w:pos="1701"/>
          <w:tab w:val="left" w:pos="4860"/>
        </w:tabs>
        <w:rPr>
          <w:sz w:val="22"/>
          <w:szCs w:val="22"/>
        </w:rPr>
      </w:pPr>
    </w:p>
    <w:p w:rsidR="000B1953" w:rsidRDefault="000B1953" w:rsidP="00496A32">
      <w:pPr>
        <w:tabs>
          <w:tab w:val="left" w:pos="1701"/>
          <w:tab w:val="left" w:pos="4860"/>
        </w:tabs>
        <w:rPr>
          <w:sz w:val="22"/>
          <w:szCs w:val="22"/>
        </w:rPr>
      </w:pPr>
      <w:r>
        <w:rPr>
          <w:sz w:val="22"/>
          <w:szCs w:val="22"/>
        </w:rPr>
        <w:t>On 22</w:t>
      </w:r>
      <w:r w:rsidRPr="000B1953">
        <w:rPr>
          <w:sz w:val="22"/>
          <w:szCs w:val="22"/>
          <w:vertAlign w:val="superscript"/>
        </w:rPr>
        <w:t>nd</w:t>
      </w:r>
      <w:r>
        <w:rPr>
          <w:sz w:val="22"/>
          <w:szCs w:val="22"/>
        </w:rPr>
        <w:t xml:space="preserve"> April 2014, the </w:t>
      </w:r>
      <w:proofErr w:type="spellStart"/>
      <w:r w:rsidRPr="000B1953">
        <w:rPr>
          <w:sz w:val="22"/>
          <w:szCs w:val="22"/>
        </w:rPr>
        <w:t>The</w:t>
      </w:r>
      <w:proofErr w:type="spellEnd"/>
      <w:r w:rsidRPr="000B1953">
        <w:rPr>
          <w:sz w:val="22"/>
          <w:szCs w:val="22"/>
        </w:rPr>
        <w:t xml:space="preserve"> Civil Legal Aid (Remuneration) (Amendment) (No. 3) Regulations 2014</w:t>
      </w:r>
      <w:r>
        <w:rPr>
          <w:sz w:val="22"/>
          <w:szCs w:val="22"/>
        </w:rPr>
        <w:t xml:space="preserve"> came into force. The regulations provide that </w:t>
      </w:r>
      <w:r w:rsidRPr="000B1953">
        <w:rPr>
          <w:sz w:val="22"/>
          <w:szCs w:val="22"/>
        </w:rPr>
        <w:t xml:space="preserve">judicial review proceedings will not be funded </w:t>
      </w:r>
      <w:r>
        <w:rPr>
          <w:sz w:val="22"/>
          <w:szCs w:val="22"/>
        </w:rPr>
        <w:t xml:space="preserve">by legal aid </w:t>
      </w:r>
      <w:r w:rsidRPr="000B1953">
        <w:rPr>
          <w:sz w:val="22"/>
          <w:szCs w:val="22"/>
        </w:rPr>
        <w:t>unless: (a) the High Court or Upper Tribunal grants permission</w:t>
      </w:r>
      <w:r>
        <w:rPr>
          <w:sz w:val="22"/>
          <w:szCs w:val="22"/>
        </w:rPr>
        <w:t xml:space="preserve"> to proceed</w:t>
      </w:r>
      <w:r w:rsidRPr="000B1953">
        <w:rPr>
          <w:sz w:val="22"/>
          <w:szCs w:val="22"/>
        </w:rPr>
        <w:t xml:space="preserve">; or, (b) permission is neither granted nor refused </w:t>
      </w:r>
      <w:r w:rsidRPr="007221F4">
        <w:rPr>
          <w:b/>
          <w:i/>
          <w:sz w:val="22"/>
          <w:szCs w:val="22"/>
        </w:rPr>
        <w:t>and</w:t>
      </w:r>
      <w:r w:rsidRPr="000B1953">
        <w:rPr>
          <w:sz w:val="22"/>
          <w:szCs w:val="22"/>
        </w:rPr>
        <w:t xml:space="preserve"> the Lord Chancellor considers that it is reasonable to pay remuneration in the circumstances of the case.</w:t>
      </w:r>
      <w:r w:rsidR="007221F4">
        <w:rPr>
          <w:sz w:val="22"/>
          <w:szCs w:val="22"/>
        </w:rPr>
        <w:t xml:space="preserve"> Essentially, this provision </w:t>
      </w:r>
      <w:r w:rsidRPr="000B1953">
        <w:rPr>
          <w:sz w:val="22"/>
          <w:szCs w:val="22"/>
        </w:rPr>
        <w:t>transfer</w:t>
      </w:r>
      <w:r w:rsidR="007221F4">
        <w:rPr>
          <w:sz w:val="22"/>
          <w:szCs w:val="22"/>
        </w:rPr>
        <w:t>s</w:t>
      </w:r>
      <w:r w:rsidRPr="000B1953">
        <w:rPr>
          <w:sz w:val="22"/>
          <w:szCs w:val="22"/>
        </w:rPr>
        <w:t xml:space="preserve"> the financial risk of work on </w:t>
      </w:r>
      <w:r w:rsidR="007221F4">
        <w:rPr>
          <w:sz w:val="22"/>
          <w:szCs w:val="22"/>
        </w:rPr>
        <w:t>judicial r</w:t>
      </w:r>
      <w:r w:rsidRPr="000B1953">
        <w:rPr>
          <w:sz w:val="22"/>
          <w:szCs w:val="22"/>
        </w:rPr>
        <w:t>eview cases to lawyers unless the case goes to full heari</w:t>
      </w:r>
      <w:r w:rsidR="007221F4">
        <w:rPr>
          <w:sz w:val="22"/>
          <w:szCs w:val="22"/>
        </w:rPr>
        <w:t>ng, despite the fact that many j</w:t>
      </w:r>
      <w:r w:rsidRPr="000B1953">
        <w:rPr>
          <w:sz w:val="22"/>
          <w:szCs w:val="22"/>
        </w:rPr>
        <w:t xml:space="preserve">udicial </w:t>
      </w:r>
      <w:r w:rsidR="007221F4">
        <w:rPr>
          <w:sz w:val="22"/>
          <w:szCs w:val="22"/>
        </w:rPr>
        <w:t>r</w:t>
      </w:r>
      <w:r w:rsidRPr="000B1953">
        <w:rPr>
          <w:sz w:val="22"/>
          <w:szCs w:val="22"/>
        </w:rPr>
        <w:t>eview cases are settled before a full hearing and public benefit is achieved as a result.</w:t>
      </w:r>
    </w:p>
    <w:p w:rsidR="007221F4" w:rsidRDefault="007221F4" w:rsidP="00496A32">
      <w:pPr>
        <w:tabs>
          <w:tab w:val="left" w:pos="1701"/>
          <w:tab w:val="left" w:pos="4860"/>
        </w:tabs>
        <w:rPr>
          <w:sz w:val="22"/>
          <w:szCs w:val="22"/>
        </w:rPr>
      </w:pPr>
    </w:p>
    <w:p w:rsidR="00F75B0A" w:rsidRDefault="007221F4" w:rsidP="00F75B0A">
      <w:pPr>
        <w:tabs>
          <w:tab w:val="left" w:pos="1701"/>
          <w:tab w:val="left" w:pos="4860"/>
        </w:tabs>
        <w:rPr>
          <w:rFonts w:eastAsia="Calibri"/>
          <w:sz w:val="22"/>
          <w:szCs w:val="22"/>
          <w:shd w:val="clear" w:color="auto" w:fill="FFFFFF"/>
          <w:lang w:eastAsia="en-US"/>
        </w:rPr>
      </w:pPr>
      <w:r>
        <w:rPr>
          <w:sz w:val="22"/>
          <w:szCs w:val="22"/>
        </w:rPr>
        <w:t xml:space="preserve">We note that the regulations allow discretion for legal aid to be paid in cases which are not granted or refused. However, </w:t>
      </w:r>
      <w:r w:rsidR="00D16AB8">
        <w:rPr>
          <w:sz w:val="22"/>
          <w:szCs w:val="22"/>
        </w:rPr>
        <w:t xml:space="preserve">there are </w:t>
      </w:r>
      <w:r w:rsidR="00A83877">
        <w:rPr>
          <w:sz w:val="22"/>
          <w:szCs w:val="22"/>
        </w:rPr>
        <w:t xml:space="preserve">very </w:t>
      </w:r>
      <w:r w:rsidR="00D16AB8">
        <w:rPr>
          <w:sz w:val="22"/>
          <w:szCs w:val="22"/>
        </w:rPr>
        <w:t>seriou</w:t>
      </w:r>
      <w:r w:rsidR="00F5276D">
        <w:rPr>
          <w:sz w:val="22"/>
          <w:szCs w:val="22"/>
        </w:rPr>
        <w:t>s concerns about the Legal Aid A</w:t>
      </w:r>
      <w:r w:rsidR="00D16AB8">
        <w:rPr>
          <w:sz w:val="22"/>
          <w:szCs w:val="22"/>
        </w:rPr>
        <w:t>gency’s decision-making in cases where payment is discretionary.</w:t>
      </w:r>
      <w:r w:rsidR="00660602">
        <w:rPr>
          <w:sz w:val="22"/>
          <w:szCs w:val="22"/>
        </w:rPr>
        <w:t xml:space="preserve"> One example of the shortcomings of discretionary decision making is the ‘</w:t>
      </w:r>
      <w:r w:rsidR="00D16AB8" w:rsidRPr="00D16AB8">
        <w:rPr>
          <w:rFonts w:eastAsia="Calibri"/>
          <w:sz w:val="22"/>
          <w:szCs w:val="22"/>
          <w:shd w:val="clear" w:color="auto" w:fill="FFFFFF"/>
          <w:lang w:eastAsia="en-US"/>
        </w:rPr>
        <w:t>Exceptional Case Funding</w:t>
      </w:r>
      <w:r w:rsidR="00660602">
        <w:rPr>
          <w:rFonts w:eastAsia="Calibri"/>
          <w:sz w:val="22"/>
          <w:szCs w:val="22"/>
          <w:shd w:val="clear" w:color="auto" w:fill="FFFFFF"/>
          <w:lang w:eastAsia="en-US"/>
        </w:rPr>
        <w:t>’</w:t>
      </w:r>
      <w:r w:rsidR="00D16AB8">
        <w:rPr>
          <w:rFonts w:eastAsia="Calibri"/>
          <w:sz w:val="22"/>
          <w:szCs w:val="22"/>
          <w:shd w:val="clear" w:color="auto" w:fill="FFFFFF"/>
          <w:lang w:eastAsia="en-US"/>
        </w:rPr>
        <w:t xml:space="preserve"> scheme</w:t>
      </w:r>
      <w:r w:rsidR="00660602">
        <w:rPr>
          <w:rFonts w:eastAsia="Calibri"/>
          <w:sz w:val="22"/>
          <w:szCs w:val="22"/>
          <w:shd w:val="clear" w:color="auto" w:fill="FFFFFF"/>
          <w:lang w:eastAsia="en-US"/>
        </w:rPr>
        <w:t xml:space="preserve">, which </w:t>
      </w:r>
      <w:r w:rsidR="00D16AB8">
        <w:rPr>
          <w:rFonts w:eastAsia="Calibri"/>
          <w:sz w:val="22"/>
          <w:szCs w:val="22"/>
          <w:shd w:val="clear" w:color="auto" w:fill="FFFFFF"/>
          <w:lang w:eastAsia="en-US"/>
        </w:rPr>
        <w:t xml:space="preserve">was </w:t>
      </w:r>
      <w:r w:rsidR="00660602">
        <w:rPr>
          <w:rFonts w:eastAsia="Calibri"/>
          <w:sz w:val="22"/>
          <w:szCs w:val="22"/>
          <w:shd w:val="clear" w:color="auto" w:fill="FFFFFF"/>
          <w:lang w:eastAsia="en-US"/>
        </w:rPr>
        <w:t xml:space="preserve">purportedly </w:t>
      </w:r>
      <w:r w:rsidR="00D16AB8">
        <w:rPr>
          <w:rFonts w:eastAsia="Calibri"/>
          <w:sz w:val="22"/>
          <w:szCs w:val="22"/>
          <w:shd w:val="clear" w:color="auto" w:fill="FFFFFF"/>
          <w:lang w:eastAsia="en-US"/>
        </w:rPr>
        <w:t>established to provide a safety net for cases which were removed from scope for legal aid funding</w:t>
      </w:r>
      <w:r w:rsidR="00660602">
        <w:rPr>
          <w:rFonts w:eastAsia="Calibri"/>
          <w:sz w:val="22"/>
          <w:szCs w:val="22"/>
          <w:shd w:val="clear" w:color="auto" w:fill="FFFFFF"/>
          <w:lang w:eastAsia="en-US"/>
        </w:rPr>
        <w:t xml:space="preserve"> in April 3013</w:t>
      </w:r>
      <w:r w:rsidR="00D16AB8">
        <w:rPr>
          <w:rFonts w:eastAsia="Calibri"/>
          <w:sz w:val="22"/>
          <w:szCs w:val="22"/>
          <w:shd w:val="clear" w:color="auto" w:fill="FFFFFF"/>
          <w:lang w:eastAsia="en-US"/>
        </w:rPr>
        <w:t xml:space="preserve"> by the Legal Aid, Sentencing and Punishment of Offenders Act 2012. 235 exceptional case funding applications </w:t>
      </w:r>
      <w:r w:rsidR="00A83877">
        <w:rPr>
          <w:rFonts w:eastAsia="Calibri"/>
          <w:sz w:val="22"/>
          <w:szCs w:val="22"/>
          <w:shd w:val="clear" w:color="auto" w:fill="FFFFFF"/>
          <w:lang w:eastAsia="en-US"/>
        </w:rPr>
        <w:t xml:space="preserve">were made </w:t>
      </w:r>
      <w:r w:rsidR="00D16AB8">
        <w:rPr>
          <w:rFonts w:eastAsia="Calibri"/>
          <w:sz w:val="22"/>
          <w:szCs w:val="22"/>
          <w:shd w:val="clear" w:color="auto" w:fill="FFFFFF"/>
          <w:lang w:eastAsia="en-US"/>
        </w:rPr>
        <w:t>in immigration cases in 2013/14</w:t>
      </w:r>
      <w:r w:rsidR="00A83877">
        <w:rPr>
          <w:rFonts w:eastAsia="Calibri"/>
          <w:sz w:val="22"/>
          <w:szCs w:val="22"/>
          <w:shd w:val="clear" w:color="auto" w:fill="FFFFFF"/>
          <w:lang w:eastAsia="en-US"/>
        </w:rPr>
        <w:t>;</w:t>
      </w:r>
      <w:r w:rsidR="00D16AB8">
        <w:rPr>
          <w:rFonts w:eastAsia="Calibri"/>
          <w:sz w:val="22"/>
          <w:szCs w:val="22"/>
          <w:shd w:val="clear" w:color="auto" w:fill="FFFFFF"/>
          <w:lang w:eastAsia="en-US"/>
        </w:rPr>
        <w:t xml:space="preserve"> only four were granted funding.</w:t>
      </w:r>
      <w:r w:rsidR="00D16AB8">
        <w:rPr>
          <w:rStyle w:val="FootnoteReference"/>
          <w:rFonts w:eastAsia="Calibri"/>
          <w:sz w:val="22"/>
          <w:szCs w:val="22"/>
          <w:shd w:val="clear" w:color="auto" w:fill="FFFFFF"/>
          <w:lang w:eastAsia="en-US"/>
        </w:rPr>
        <w:footnoteReference w:id="3"/>
      </w:r>
      <w:r w:rsidR="00D16AB8">
        <w:rPr>
          <w:rFonts w:eastAsia="Calibri"/>
          <w:sz w:val="22"/>
          <w:szCs w:val="22"/>
          <w:shd w:val="clear" w:color="auto" w:fill="FFFFFF"/>
          <w:lang w:eastAsia="en-US"/>
        </w:rPr>
        <w:t xml:space="preserve"> On 13</w:t>
      </w:r>
      <w:r w:rsidR="00D16AB8" w:rsidRPr="00D16AB8">
        <w:rPr>
          <w:rFonts w:eastAsia="Calibri"/>
          <w:sz w:val="22"/>
          <w:szCs w:val="22"/>
          <w:shd w:val="clear" w:color="auto" w:fill="FFFFFF"/>
          <w:vertAlign w:val="superscript"/>
          <w:lang w:eastAsia="en-US"/>
        </w:rPr>
        <w:t>th</w:t>
      </w:r>
      <w:r w:rsidR="00D16AB8">
        <w:rPr>
          <w:rFonts w:eastAsia="Calibri"/>
          <w:sz w:val="22"/>
          <w:szCs w:val="22"/>
          <w:shd w:val="clear" w:color="auto" w:fill="FFFFFF"/>
          <w:lang w:eastAsia="en-US"/>
        </w:rPr>
        <w:t xml:space="preserve"> June 2014, t</w:t>
      </w:r>
      <w:r w:rsidR="00D16AB8" w:rsidRPr="00D16AB8">
        <w:rPr>
          <w:rFonts w:eastAsia="Calibri"/>
          <w:sz w:val="22"/>
          <w:szCs w:val="22"/>
          <w:shd w:val="clear" w:color="auto" w:fill="FFFFFF"/>
          <w:lang w:eastAsia="en-US"/>
        </w:rPr>
        <w:t xml:space="preserve">he High Court </w:t>
      </w:r>
      <w:r w:rsidR="00F5276D">
        <w:rPr>
          <w:rFonts w:eastAsia="Calibri"/>
          <w:sz w:val="22"/>
          <w:szCs w:val="22"/>
          <w:shd w:val="clear" w:color="auto" w:fill="FFFFFF"/>
          <w:lang w:eastAsia="en-US"/>
        </w:rPr>
        <w:t>found that the Legal Aid Agency had made unlawful decisions to refuse</w:t>
      </w:r>
      <w:r w:rsidR="00D16AB8" w:rsidRPr="00D16AB8">
        <w:rPr>
          <w:rFonts w:eastAsia="Calibri"/>
          <w:sz w:val="22"/>
          <w:szCs w:val="22"/>
          <w:shd w:val="clear" w:color="auto" w:fill="FFFFFF"/>
          <w:lang w:eastAsia="en-US"/>
        </w:rPr>
        <w:t xml:space="preserve"> </w:t>
      </w:r>
      <w:r w:rsidR="00A83877">
        <w:rPr>
          <w:rFonts w:eastAsia="Calibri"/>
          <w:sz w:val="22"/>
          <w:szCs w:val="22"/>
          <w:shd w:val="clear" w:color="auto" w:fill="FFFFFF"/>
          <w:lang w:eastAsia="en-US"/>
        </w:rPr>
        <w:t xml:space="preserve">exceptional case funding in six test cases. The court also found that </w:t>
      </w:r>
      <w:r w:rsidR="00D16AB8" w:rsidRPr="00D16AB8">
        <w:rPr>
          <w:rFonts w:eastAsia="Calibri"/>
          <w:sz w:val="22"/>
          <w:szCs w:val="22"/>
          <w:shd w:val="clear" w:color="auto" w:fill="FFFFFF"/>
          <w:lang w:eastAsia="en-US"/>
        </w:rPr>
        <w:t>the guidance applied by the Legal Aid Agency in refusing legal aid</w:t>
      </w:r>
      <w:r w:rsidR="00A83877">
        <w:rPr>
          <w:rFonts w:eastAsia="Calibri"/>
          <w:sz w:val="22"/>
          <w:szCs w:val="22"/>
          <w:shd w:val="clear" w:color="auto" w:fill="FFFFFF"/>
          <w:lang w:eastAsia="en-US"/>
        </w:rPr>
        <w:t xml:space="preserve"> was unlawful</w:t>
      </w:r>
      <w:r w:rsidR="00D16AB8">
        <w:rPr>
          <w:rFonts w:eastAsia="Calibri"/>
          <w:sz w:val="22"/>
          <w:szCs w:val="22"/>
          <w:shd w:val="clear" w:color="auto" w:fill="FFFFFF"/>
          <w:lang w:eastAsia="en-US"/>
        </w:rPr>
        <w:t>.</w:t>
      </w:r>
      <w:r w:rsidR="00D16AB8">
        <w:rPr>
          <w:rStyle w:val="FootnoteReference"/>
          <w:rFonts w:eastAsia="Calibri"/>
          <w:sz w:val="22"/>
          <w:szCs w:val="22"/>
          <w:shd w:val="clear" w:color="auto" w:fill="FFFFFF"/>
          <w:lang w:eastAsia="en-US"/>
        </w:rPr>
        <w:footnoteReference w:id="4"/>
      </w:r>
      <w:r w:rsidR="00D16AB8">
        <w:rPr>
          <w:rFonts w:eastAsia="Calibri"/>
          <w:sz w:val="22"/>
          <w:szCs w:val="22"/>
          <w:shd w:val="clear" w:color="auto" w:fill="FFFFFF"/>
          <w:lang w:eastAsia="en-US"/>
        </w:rPr>
        <w:t xml:space="preserve"> A number of </w:t>
      </w:r>
      <w:r w:rsidR="00F5276D">
        <w:rPr>
          <w:rFonts w:eastAsia="Calibri"/>
          <w:sz w:val="22"/>
          <w:szCs w:val="22"/>
          <w:shd w:val="clear" w:color="auto" w:fill="FFFFFF"/>
          <w:lang w:eastAsia="en-US"/>
        </w:rPr>
        <w:t xml:space="preserve">further </w:t>
      </w:r>
      <w:r w:rsidR="00D16AB8">
        <w:rPr>
          <w:rFonts w:eastAsia="Calibri"/>
          <w:sz w:val="22"/>
          <w:szCs w:val="22"/>
          <w:shd w:val="clear" w:color="auto" w:fill="FFFFFF"/>
          <w:lang w:eastAsia="en-US"/>
        </w:rPr>
        <w:t xml:space="preserve">cases challenging the legality of refusal of funding are stayed behind this case. </w:t>
      </w:r>
      <w:r w:rsidR="00F75B0A">
        <w:rPr>
          <w:rFonts w:eastAsia="Calibri"/>
          <w:sz w:val="22"/>
          <w:szCs w:val="22"/>
          <w:shd w:val="clear" w:color="auto" w:fill="FFFFFF"/>
          <w:lang w:eastAsia="en-US"/>
        </w:rPr>
        <w:t>Exceptional Case Funding applications are made at the risk of non-payment. Very few solicitors are willing to apply, as it is not financially viable for firms to kee</w:t>
      </w:r>
      <w:r w:rsidR="00A83877">
        <w:rPr>
          <w:rFonts w:eastAsia="Calibri"/>
          <w:sz w:val="22"/>
          <w:szCs w:val="22"/>
          <w:shd w:val="clear" w:color="auto" w:fill="FFFFFF"/>
          <w:lang w:eastAsia="en-US"/>
        </w:rPr>
        <w:t>p carrying out this work, given the considerable risk of non-payment</w:t>
      </w:r>
      <w:r w:rsidR="00F75B0A">
        <w:rPr>
          <w:rFonts w:eastAsia="Calibri"/>
          <w:sz w:val="22"/>
          <w:szCs w:val="22"/>
          <w:shd w:val="clear" w:color="auto" w:fill="FFFFFF"/>
          <w:lang w:eastAsia="en-US"/>
        </w:rPr>
        <w:t xml:space="preserve">. BID assists over 3,000 detainees per year. As of April this year, we had only successfully referred two cases to solicitors to make exceptional funding applications. </w:t>
      </w:r>
    </w:p>
    <w:p w:rsidR="00082166" w:rsidRDefault="00082166" w:rsidP="00D16AB8">
      <w:pPr>
        <w:suppressAutoHyphens w:val="0"/>
        <w:spacing w:after="200" w:line="276" w:lineRule="auto"/>
        <w:contextualSpacing/>
        <w:rPr>
          <w:rFonts w:eastAsia="Calibri"/>
          <w:sz w:val="22"/>
          <w:szCs w:val="22"/>
          <w:shd w:val="clear" w:color="auto" w:fill="FFFFFF"/>
          <w:lang w:eastAsia="en-US"/>
        </w:rPr>
      </w:pPr>
    </w:p>
    <w:p w:rsidR="00D16AB8" w:rsidRDefault="00082166" w:rsidP="00D16AB8">
      <w:pPr>
        <w:suppressAutoHyphens w:val="0"/>
        <w:spacing w:after="200" w:line="276" w:lineRule="auto"/>
        <w:contextualSpacing/>
        <w:rPr>
          <w:rFonts w:eastAsia="Calibri"/>
          <w:sz w:val="22"/>
          <w:szCs w:val="22"/>
          <w:shd w:val="clear" w:color="auto" w:fill="FFFFFF"/>
          <w:lang w:eastAsia="en-US"/>
        </w:rPr>
      </w:pPr>
      <w:r>
        <w:rPr>
          <w:rFonts w:eastAsia="Calibri"/>
          <w:sz w:val="22"/>
          <w:szCs w:val="22"/>
          <w:shd w:val="clear" w:color="auto" w:fill="FFFFFF"/>
          <w:lang w:eastAsia="en-US"/>
        </w:rPr>
        <w:t>On the basis of such experience, there are serious concerns about whether the Legal Aid Agency will make the correct discretionary decisions about whether</w:t>
      </w:r>
      <w:r w:rsidR="00F5276D">
        <w:rPr>
          <w:rFonts w:eastAsia="Calibri"/>
          <w:sz w:val="22"/>
          <w:szCs w:val="22"/>
          <w:shd w:val="clear" w:color="auto" w:fill="FFFFFF"/>
          <w:lang w:eastAsia="en-US"/>
        </w:rPr>
        <w:t xml:space="preserve"> to provide payment for work on </w:t>
      </w:r>
      <w:r>
        <w:rPr>
          <w:rFonts w:eastAsia="Calibri"/>
          <w:sz w:val="22"/>
          <w:szCs w:val="22"/>
          <w:shd w:val="clear" w:color="auto" w:fill="FFFFFF"/>
          <w:lang w:eastAsia="en-US"/>
        </w:rPr>
        <w:t xml:space="preserve">judicial reviews where permission is not granted or refused. </w:t>
      </w:r>
      <w:r w:rsidR="00C6110A">
        <w:rPr>
          <w:rFonts w:eastAsia="Calibri"/>
          <w:sz w:val="22"/>
          <w:szCs w:val="22"/>
          <w:shd w:val="clear" w:color="auto" w:fill="FFFFFF"/>
          <w:lang w:eastAsia="en-US"/>
        </w:rPr>
        <w:t>In any event</w:t>
      </w:r>
      <w:r>
        <w:rPr>
          <w:rFonts w:eastAsia="Calibri"/>
          <w:sz w:val="22"/>
          <w:szCs w:val="22"/>
          <w:shd w:val="clear" w:color="auto" w:fill="FFFFFF"/>
          <w:lang w:eastAsia="en-US"/>
        </w:rPr>
        <w:t xml:space="preserve">, in very many cases it will not be financially viable for law firms to make judicial review applications </w:t>
      </w:r>
      <w:r w:rsidR="00A55FC0">
        <w:rPr>
          <w:rFonts w:eastAsia="Calibri"/>
          <w:sz w:val="22"/>
          <w:szCs w:val="22"/>
          <w:shd w:val="clear" w:color="auto" w:fill="FFFFFF"/>
          <w:lang w:eastAsia="en-US"/>
        </w:rPr>
        <w:t>given the</w:t>
      </w:r>
      <w:r w:rsidR="00C47B8D">
        <w:rPr>
          <w:rFonts w:eastAsia="Calibri"/>
          <w:sz w:val="22"/>
          <w:szCs w:val="22"/>
          <w:shd w:val="clear" w:color="auto" w:fill="FFFFFF"/>
          <w:lang w:eastAsia="en-US"/>
        </w:rPr>
        <w:t xml:space="preserve"> risk of non-payment. </w:t>
      </w:r>
    </w:p>
    <w:p w:rsidR="00082166" w:rsidRDefault="00082166" w:rsidP="00D16AB8">
      <w:pPr>
        <w:suppressAutoHyphens w:val="0"/>
        <w:spacing w:after="200" w:line="276" w:lineRule="auto"/>
        <w:contextualSpacing/>
        <w:rPr>
          <w:rFonts w:eastAsia="Calibri"/>
          <w:sz w:val="22"/>
          <w:szCs w:val="22"/>
          <w:shd w:val="clear" w:color="auto" w:fill="FFFFFF"/>
          <w:lang w:eastAsia="en-US"/>
        </w:rPr>
      </w:pPr>
    </w:p>
    <w:p w:rsidR="00082166" w:rsidRPr="00082166" w:rsidRDefault="00082166" w:rsidP="00082166">
      <w:pPr>
        <w:suppressAutoHyphens w:val="0"/>
        <w:spacing w:after="200" w:line="276" w:lineRule="auto"/>
        <w:contextualSpacing/>
        <w:rPr>
          <w:rFonts w:eastAsia="Calibri"/>
          <w:sz w:val="22"/>
          <w:szCs w:val="22"/>
          <w:shd w:val="clear" w:color="auto" w:fill="FFFFFF"/>
          <w:lang w:eastAsia="en-US"/>
        </w:rPr>
      </w:pPr>
      <w:r>
        <w:rPr>
          <w:rFonts w:eastAsia="Calibri"/>
          <w:sz w:val="22"/>
          <w:szCs w:val="22"/>
          <w:shd w:val="clear" w:color="auto" w:fill="FFFFFF"/>
          <w:lang w:eastAsia="en-US"/>
        </w:rPr>
        <w:t xml:space="preserve">On </w:t>
      </w:r>
      <w:r w:rsidR="005678A3">
        <w:rPr>
          <w:rFonts w:eastAsia="Calibri"/>
          <w:sz w:val="22"/>
          <w:szCs w:val="22"/>
          <w:shd w:val="clear" w:color="auto" w:fill="FFFFFF"/>
          <w:lang w:eastAsia="en-US"/>
        </w:rPr>
        <w:t>30</w:t>
      </w:r>
      <w:r w:rsidRPr="00082166">
        <w:rPr>
          <w:rFonts w:eastAsia="Calibri"/>
          <w:sz w:val="22"/>
          <w:szCs w:val="22"/>
          <w:shd w:val="clear" w:color="auto" w:fill="FFFFFF"/>
          <w:vertAlign w:val="superscript"/>
          <w:lang w:eastAsia="en-US"/>
        </w:rPr>
        <w:t>th</w:t>
      </w:r>
      <w:r>
        <w:rPr>
          <w:rFonts w:eastAsia="Calibri"/>
          <w:sz w:val="22"/>
          <w:szCs w:val="22"/>
          <w:shd w:val="clear" w:color="auto" w:fill="FFFFFF"/>
          <w:lang w:eastAsia="en-US"/>
        </w:rPr>
        <w:t xml:space="preserve"> April 2014, the UK Parliament’s Joint Committee on Human Rights published a report</w:t>
      </w:r>
      <w:r w:rsidR="00C47B8D">
        <w:rPr>
          <w:rFonts w:eastAsia="Calibri"/>
          <w:sz w:val="22"/>
          <w:szCs w:val="22"/>
          <w:shd w:val="clear" w:color="auto" w:fill="FFFFFF"/>
          <w:lang w:eastAsia="en-US"/>
        </w:rPr>
        <w:t xml:space="preserve"> on the judicial review reforms</w:t>
      </w:r>
      <w:r>
        <w:rPr>
          <w:rFonts w:eastAsia="Calibri"/>
          <w:sz w:val="22"/>
          <w:szCs w:val="22"/>
          <w:shd w:val="clear" w:color="auto" w:fill="FFFFFF"/>
          <w:lang w:eastAsia="en-US"/>
        </w:rPr>
        <w:t xml:space="preserve">, and noted that: </w:t>
      </w:r>
    </w:p>
    <w:p w:rsidR="00082166" w:rsidRDefault="00082166" w:rsidP="00D16AB8">
      <w:pPr>
        <w:suppressAutoHyphens w:val="0"/>
        <w:spacing w:after="200" w:line="276" w:lineRule="auto"/>
        <w:contextualSpacing/>
        <w:rPr>
          <w:rFonts w:eastAsia="Calibri"/>
          <w:sz w:val="22"/>
          <w:szCs w:val="22"/>
          <w:shd w:val="clear" w:color="auto" w:fill="FFFFFF"/>
          <w:lang w:eastAsia="en-US"/>
        </w:rPr>
      </w:pPr>
    </w:p>
    <w:p w:rsidR="00D16AB8" w:rsidRDefault="00C47B8D" w:rsidP="00F75B0A">
      <w:pPr>
        <w:suppressAutoHyphens w:val="0"/>
        <w:spacing w:after="200" w:line="276" w:lineRule="auto"/>
        <w:contextualSpacing/>
        <w:rPr>
          <w:rFonts w:eastAsia="Calibri"/>
          <w:sz w:val="22"/>
          <w:szCs w:val="22"/>
          <w:shd w:val="clear" w:color="auto" w:fill="FFFFFF"/>
          <w:lang w:eastAsia="en-US"/>
        </w:rPr>
      </w:pPr>
      <w:r>
        <w:rPr>
          <w:rFonts w:eastAsia="Calibri"/>
          <w:sz w:val="22"/>
          <w:szCs w:val="22"/>
          <w:shd w:val="clear" w:color="auto" w:fill="FFFFFF"/>
          <w:lang w:eastAsia="en-US"/>
        </w:rPr>
        <w:t>‘</w:t>
      </w:r>
      <w:r w:rsidR="00082166" w:rsidRPr="00082166">
        <w:rPr>
          <w:rFonts w:eastAsia="Calibri"/>
          <w:sz w:val="22"/>
          <w:szCs w:val="22"/>
          <w:shd w:val="clear" w:color="auto" w:fill="FFFFFF"/>
          <w:lang w:eastAsia="en-US"/>
        </w:rPr>
        <w:t>We do not consider that the proposal to make payment for pre-permission work in judicial</w:t>
      </w:r>
      <w:r w:rsidR="00082166">
        <w:rPr>
          <w:rFonts w:eastAsia="Calibri"/>
          <w:sz w:val="22"/>
          <w:szCs w:val="22"/>
          <w:shd w:val="clear" w:color="auto" w:fill="FFFFFF"/>
          <w:lang w:eastAsia="en-US"/>
        </w:rPr>
        <w:t xml:space="preserve"> </w:t>
      </w:r>
      <w:r w:rsidR="00082166" w:rsidRPr="00082166">
        <w:rPr>
          <w:rFonts w:eastAsia="Calibri"/>
          <w:sz w:val="22"/>
          <w:szCs w:val="22"/>
          <w:shd w:val="clear" w:color="auto" w:fill="FFFFFF"/>
          <w:lang w:eastAsia="en-US"/>
        </w:rPr>
        <w:t>review cases conditional on permission being granted, subject to a discretion in the Legal Aid Agency, is justified by the evidence. Instead it constitutes a potentially serious interference with access to justice, and sufficient evidence to demonstrate its necessity is currently lacking.</w:t>
      </w:r>
      <w:r>
        <w:rPr>
          <w:rFonts w:eastAsia="Calibri"/>
          <w:sz w:val="22"/>
          <w:szCs w:val="22"/>
          <w:shd w:val="clear" w:color="auto" w:fill="FFFFFF"/>
          <w:lang w:eastAsia="en-US"/>
        </w:rPr>
        <w:t>’</w:t>
      </w:r>
      <w:r>
        <w:rPr>
          <w:rStyle w:val="FootnoteReference"/>
          <w:rFonts w:eastAsia="Calibri"/>
          <w:sz w:val="22"/>
          <w:szCs w:val="22"/>
          <w:shd w:val="clear" w:color="auto" w:fill="FFFFFF"/>
          <w:lang w:eastAsia="en-US"/>
        </w:rPr>
        <w:footnoteReference w:id="5"/>
      </w:r>
      <w:r w:rsidR="00F75B0A">
        <w:rPr>
          <w:rFonts w:eastAsia="Calibri"/>
          <w:sz w:val="22"/>
          <w:szCs w:val="22"/>
          <w:shd w:val="clear" w:color="auto" w:fill="FFFFFF"/>
          <w:lang w:eastAsia="en-US"/>
        </w:rPr>
        <w:t xml:space="preserve"> </w:t>
      </w:r>
    </w:p>
    <w:p w:rsidR="00D16AB8" w:rsidRDefault="00D16AB8" w:rsidP="00D16AB8">
      <w:pPr>
        <w:tabs>
          <w:tab w:val="left" w:pos="1701"/>
          <w:tab w:val="left" w:pos="4860"/>
        </w:tabs>
        <w:rPr>
          <w:rFonts w:eastAsia="Calibri"/>
          <w:sz w:val="22"/>
          <w:szCs w:val="22"/>
          <w:shd w:val="clear" w:color="auto" w:fill="FFFFFF"/>
          <w:lang w:eastAsia="en-US"/>
        </w:rPr>
      </w:pPr>
    </w:p>
    <w:p w:rsidR="00D16AB8" w:rsidRPr="006409E9" w:rsidRDefault="006409E9" w:rsidP="00D16AB8">
      <w:pPr>
        <w:tabs>
          <w:tab w:val="left" w:pos="1701"/>
          <w:tab w:val="left" w:pos="4860"/>
        </w:tabs>
        <w:rPr>
          <w:rFonts w:eastAsia="Calibri"/>
          <w:b/>
          <w:sz w:val="22"/>
          <w:szCs w:val="22"/>
          <w:shd w:val="clear" w:color="auto" w:fill="FFFFFF"/>
          <w:lang w:eastAsia="en-US"/>
        </w:rPr>
      </w:pPr>
      <w:r w:rsidRPr="006409E9">
        <w:rPr>
          <w:rFonts w:eastAsia="Calibri"/>
          <w:b/>
          <w:sz w:val="22"/>
          <w:szCs w:val="22"/>
          <w:shd w:val="clear" w:color="auto" w:fill="FFFFFF"/>
          <w:lang w:eastAsia="en-US"/>
        </w:rPr>
        <w:t xml:space="preserve">Criminal Justice and Courts Bill </w:t>
      </w:r>
    </w:p>
    <w:p w:rsidR="00DB683E" w:rsidRDefault="00DB683E" w:rsidP="00DB683E">
      <w:pPr>
        <w:tabs>
          <w:tab w:val="left" w:pos="1701"/>
          <w:tab w:val="left" w:pos="4860"/>
        </w:tabs>
        <w:rPr>
          <w:b/>
          <w:sz w:val="22"/>
          <w:szCs w:val="22"/>
        </w:rPr>
      </w:pPr>
    </w:p>
    <w:p w:rsidR="00DB683E" w:rsidRPr="00DB683E" w:rsidRDefault="00DB683E" w:rsidP="00DB683E">
      <w:pPr>
        <w:tabs>
          <w:tab w:val="left" w:pos="1701"/>
          <w:tab w:val="left" w:pos="4860"/>
        </w:tabs>
        <w:rPr>
          <w:rFonts w:eastAsia="Calibri"/>
          <w:sz w:val="22"/>
          <w:szCs w:val="22"/>
          <w:lang w:eastAsia="en-US"/>
        </w:rPr>
      </w:pPr>
      <w:r>
        <w:rPr>
          <w:sz w:val="22"/>
          <w:szCs w:val="22"/>
        </w:rPr>
        <w:t>The Criminal Justice and Courts Bill received its first reading in the UK parliament on 5</w:t>
      </w:r>
      <w:r w:rsidRPr="00DB683E">
        <w:rPr>
          <w:sz w:val="22"/>
          <w:szCs w:val="22"/>
          <w:vertAlign w:val="superscript"/>
        </w:rPr>
        <w:t>th</w:t>
      </w:r>
      <w:r>
        <w:rPr>
          <w:sz w:val="22"/>
          <w:szCs w:val="22"/>
        </w:rPr>
        <w:t xml:space="preserve"> February 2014. At the time of writing it is in House of Lords Committee. Part four of the Bill proposes restrictions to access to judicial review, which would curtail immigration detainee’s ability to challenge the legality of their detention, unlawful treatment while in detention, and unlawful removals or deportations. </w:t>
      </w:r>
    </w:p>
    <w:p w:rsidR="006409E9" w:rsidRDefault="006409E9" w:rsidP="006409E9">
      <w:pPr>
        <w:tabs>
          <w:tab w:val="left" w:pos="1701"/>
          <w:tab w:val="left" w:pos="4860"/>
        </w:tabs>
        <w:ind w:left="60"/>
        <w:rPr>
          <w:b/>
          <w:sz w:val="22"/>
          <w:szCs w:val="22"/>
        </w:rPr>
      </w:pPr>
    </w:p>
    <w:p w:rsidR="00DB683E" w:rsidRPr="00BB27CE" w:rsidRDefault="00C26450" w:rsidP="00DB683E">
      <w:pPr>
        <w:suppressAutoHyphens w:val="0"/>
        <w:spacing w:line="276" w:lineRule="auto"/>
        <w:rPr>
          <w:rFonts w:eastAsia="Calibri"/>
          <w:sz w:val="22"/>
          <w:szCs w:val="22"/>
          <w:u w:val="single"/>
          <w:lang w:eastAsia="en-US"/>
        </w:rPr>
      </w:pPr>
      <w:r>
        <w:rPr>
          <w:rFonts w:eastAsia="Calibri"/>
          <w:sz w:val="22"/>
          <w:szCs w:val="22"/>
          <w:u w:val="single"/>
          <w:lang w:eastAsia="en-US"/>
        </w:rPr>
        <w:t>Clause 68</w:t>
      </w:r>
      <w:r w:rsidR="00DB683E" w:rsidRPr="00BB27CE">
        <w:rPr>
          <w:rFonts w:eastAsia="Calibri"/>
          <w:sz w:val="22"/>
          <w:szCs w:val="22"/>
          <w:u w:val="single"/>
          <w:lang w:eastAsia="en-US"/>
        </w:rPr>
        <w:t>: Protective Costs Orders</w:t>
      </w:r>
    </w:p>
    <w:p w:rsidR="00DB683E" w:rsidRPr="007C06A2" w:rsidRDefault="00DB683E" w:rsidP="00DB683E">
      <w:pPr>
        <w:suppressAutoHyphens w:val="0"/>
        <w:spacing w:line="276" w:lineRule="auto"/>
        <w:rPr>
          <w:rFonts w:eastAsia="Calibri"/>
          <w:b/>
          <w:sz w:val="22"/>
          <w:szCs w:val="22"/>
          <w:lang w:eastAsia="en-US"/>
        </w:rPr>
      </w:pPr>
    </w:p>
    <w:p w:rsidR="00DB683E" w:rsidRPr="00240B75" w:rsidRDefault="00C26450" w:rsidP="00DB683E">
      <w:pPr>
        <w:suppressAutoHyphens w:val="0"/>
        <w:autoSpaceDE w:val="0"/>
        <w:autoSpaceDN w:val="0"/>
        <w:adjustRightInd w:val="0"/>
        <w:spacing w:line="276" w:lineRule="auto"/>
        <w:rPr>
          <w:rFonts w:eastAsia="Calibri"/>
          <w:sz w:val="22"/>
          <w:szCs w:val="22"/>
          <w:shd w:val="clear" w:color="auto" w:fill="FFFFFF"/>
          <w:lang w:eastAsia="en-US"/>
        </w:rPr>
      </w:pPr>
      <w:r>
        <w:rPr>
          <w:rFonts w:eastAsia="Calibri"/>
          <w:sz w:val="22"/>
          <w:szCs w:val="22"/>
          <w:lang w:eastAsia="en-US"/>
        </w:rPr>
        <w:t>Under Clause 68</w:t>
      </w:r>
      <w:r w:rsidR="00DB683E">
        <w:rPr>
          <w:rFonts w:eastAsia="Calibri"/>
          <w:sz w:val="22"/>
          <w:szCs w:val="22"/>
          <w:lang w:eastAsia="en-US"/>
        </w:rPr>
        <w:t>(3),</w:t>
      </w:r>
      <w:r w:rsidR="00DB683E" w:rsidRPr="00240B75">
        <w:rPr>
          <w:rFonts w:eastAsia="Calibri"/>
          <w:sz w:val="22"/>
          <w:szCs w:val="22"/>
          <w:lang w:eastAsia="en-US"/>
        </w:rPr>
        <w:t xml:space="preserve"> a protective costs order can only be made if permission to apply for judicial review has been granted. However, parties may accrue significant costs, in some cases exceeding £30,000, before permission is granted.</w:t>
      </w:r>
      <w:r w:rsidR="00DB683E" w:rsidRPr="00240B75">
        <w:rPr>
          <w:rFonts w:eastAsia="Calibri"/>
          <w:vertAlign w:val="superscript"/>
          <w:lang w:eastAsia="en-US"/>
        </w:rPr>
        <w:footnoteReference w:id="6"/>
      </w:r>
      <w:r w:rsidR="00DB683E">
        <w:rPr>
          <w:rFonts w:eastAsia="Calibri"/>
          <w:sz w:val="22"/>
          <w:szCs w:val="22"/>
          <w:lang w:eastAsia="en-US"/>
        </w:rPr>
        <w:t xml:space="preserve"> If </w:t>
      </w:r>
      <w:r w:rsidR="00DB683E" w:rsidRPr="00240B75">
        <w:rPr>
          <w:rFonts w:eastAsia="Calibri"/>
          <w:sz w:val="22"/>
          <w:szCs w:val="22"/>
          <w:lang w:eastAsia="en-US"/>
        </w:rPr>
        <w:t>claimant organisations</w:t>
      </w:r>
      <w:r w:rsidR="00DB683E">
        <w:rPr>
          <w:rFonts w:eastAsia="Calibri"/>
          <w:sz w:val="22"/>
          <w:szCs w:val="22"/>
          <w:lang w:eastAsia="en-US"/>
        </w:rPr>
        <w:t xml:space="preserve"> cannot be protected</w:t>
      </w:r>
      <w:r w:rsidR="00DB683E" w:rsidRPr="00240B75">
        <w:rPr>
          <w:rFonts w:eastAsia="Calibri"/>
          <w:sz w:val="22"/>
          <w:szCs w:val="22"/>
          <w:lang w:eastAsia="en-US"/>
        </w:rPr>
        <w:t xml:space="preserve"> against such </w:t>
      </w:r>
      <w:r w:rsidR="00DB683E">
        <w:rPr>
          <w:rFonts w:eastAsia="Calibri"/>
          <w:sz w:val="22"/>
          <w:szCs w:val="22"/>
          <w:lang w:eastAsia="en-US"/>
        </w:rPr>
        <w:t>financial</w:t>
      </w:r>
      <w:r w:rsidR="00DB683E" w:rsidRPr="00240B75">
        <w:rPr>
          <w:rFonts w:eastAsia="Calibri"/>
          <w:sz w:val="22"/>
          <w:szCs w:val="22"/>
          <w:lang w:eastAsia="en-US"/>
        </w:rPr>
        <w:t xml:space="preserve"> risk, </w:t>
      </w:r>
      <w:r w:rsidR="00DB683E">
        <w:rPr>
          <w:rFonts w:eastAsia="Calibri"/>
          <w:sz w:val="22"/>
          <w:szCs w:val="22"/>
          <w:lang w:eastAsia="en-US"/>
        </w:rPr>
        <w:t>cases</w:t>
      </w:r>
      <w:r w:rsidR="00DB683E" w:rsidRPr="00240B75">
        <w:rPr>
          <w:rFonts w:eastAsia="Calibri"/>
          <w:sz w:val="22"/>
          <w:szCs w:val="22"/>
          <w:lang w:eastAsia="en-US"/>
        </w:rPr>
        <w:t xml:space="preserve"> with substantial public interest will not be brought. </w:t>
      </w:r>
    </w:p>
    <w:p w:rsidR="00DB683E" w:rsidRPr="00240B75" w:rsidRDefault="00DB683E" w:rsidP="00DB683E">
      <w:pPr>
        <w:suppressAutoHyphens w:val="0"/>
        <w:spacing w:line="276" w:lineRule="auto"/>
        <w:rPr>
          <w:rFonts w:eastAsia="Calibri"/>
          <w:sz w:val="22"/>
          <w:szCs w:val="22"/>
          <w:lang w:eastAsia="en-US"/>
        </w:rPr>
      </w:pPr>
    </w:p>
    <w:p w:rsidR="00DB683E" w:rsidRPr="00BB27CE" w:rsidRDefault="00C26450" w:rsidP="00DB683E">
      <w:pPr>
        <w:suppressAutoHyphens w:val="0"/>
        <w:spacing w:line="276" w:lineRule="auto"/>
        <w:rPr>
          <w:rFonts w:eastAsia="Calibri"/>
          <w:sz w:val="22"/>
          <w:szCs w:val="22"/>
          <w:u w:val="single"/>
          <w:lang w:eastAsia="en-US"/>
        </w:rPr>
      </w:pPr>
      <w:r>
        <w:rPr>
          <w:rFonts w:eastAsia="Calibri"/>
          <w:sz w:val="22"/>
          <w:szCs w:val="22"/>
          <w:u w:val="single"/>
          <w:lang w:eastAsia="en-US"/>
        </w:rPr>
        <w:t>Clause 64</w:t>
      </w:r>
      <w:r w:rsidR="00DB683E" w:rsidRPr="00BB27CE">
        <w:rPr>
          <w:rFonts w:eastAsia="Calibri"/>
          <w:sz w:val="22"/>
          <w:szCs w:val="22"/>
          <w:u w:val="single"/>
          <w:lang w:eastAsia="en-US"/>
        </w:rPr>
        <w:t xml:space="preserve">: Likelihood of substantially different outcome </w:t>
      </w:r>
    </w:p>
    <w:p w:rsidR="00DB683E" w:rsidRDefault="00DB683E" w:rsidP="00DB683E">
      <w:pPr>
        <w:suppressAutoHyphens w:val="0"/>
        <w:spacing w:line="276" w:lineRule="auto"/>
        <w:rPr>
          <w:rFonts w:eastAsia="Calibri"/>
          <w:b/>
          <w:sz w:val="22"/>
          <w:szCs w:val="22"/>
          <w:lang w:eastAsia="en-US"/>
        </w:rPr>
      </w:pPr>
    </w:p>
    <w:p w:rsidR="00DB683E" w:rsidRPr="00240B75" w:rsidRDefault="00C26450" w:rsidP="00DB683E">
      <w:pPr>
        <w:suppressAutoHyphens w:val="0"/>
        <w:spacing w:line="276" w:lineRule="auto"/>
        <w:rPr>
          <w:rFonts w:eastAsia="Calibri"/>
          <w:sz w:val="22"/>
          <w:szCs w:val="22"/>
          <w:lang w:eastAsia="en-US"/>
        </w:rPr>
      </w:pPr>
      <w:r>
        <w:rPr>
          <w:rFonts w:eastAsia="Calibri"/>
          <w:sz w:val="22"/>
          <w:szCs w:val="22"/>
          <w:lang w:eastAsia="en-US"/>
        </w:rPr>
        <w:t>Under 64</w:t>
      </w:r>
      <w:r w:rsidR="00DB683E">
        <w:rPr>
          <w:rFonts w:eastAsia="Calibri"/>
          <w:sz w:val="22"/>
          <w:szCs w:val="22"/>
          <w:lang w:eastAsia="en-US"/>
        </w:rPr>
        <w:t>(2), when someone seeks permission to bring a judicial review, the judge may have to look whether it is</w:t>
      </w:r>
      <w:r w:rsidR="00DB683E" w:rsidRPr="00AC16BF">
        <w:rPr>
          <w:rFonts w:eastAsia="Calibri"/>
          <w:sz w:val="22"/>
          <w:szCs w:val="22"/>
          <w:lang w:eastAsia="en-US"/>
        </w:rPr>
        <w:t xml:space="preserve"> </w:t>
      </w:r>
      <w:r w:rsidR="00DB683E" w:rsidRPr="00AC16BF">
        <w:rPr>
          <w:rFonts w:eastAsia="Calibri"/>
          <w:i/>
          <w:sz w:val="22"/>
          <w:szCs w:val="22"/>
          <w:lang w:eastAsia="en-US"/>
        </w:rPr>
        <w:t xml:space="preserve">‘highly likely’ </w:t>
      </w:r>
      <w:r w:rsidR="00DB683E" w:rsidRPr="00AC16BF">
        <w:rPr>
          <w:rFonts w:eastAsia="Calibri"/>
          <w:sz w:val="22"/>
          <w:szCs w:val="22"/>
          <w:lang w:eastAsia="en-US"/>
        </w:rPr>
        <w:t xml:space="preserve">that the outcome for </w:t>
      </w:r>
      <w:r w:rsidR="00DB683E">
        <w:rPr>
          <w:rFonts w:eastAsia="Calibri"/>
          <w:sz w:val="22"/>
          <w:szCs w:val="22"/>
          <w:lang w:eastAsia="en-US"/>
        </w:rPr>
        <w:t>this person</w:t>
      </w:r>
      <w:r w:rsidR="00DB683E" w:rsidRPr="00AC16BF">
        <w:rPr>
          <w:rFonts w:eastAsia="Calibri"/>
          <w:sz w:val="22"/>
          <w:szCs w:val="22"/>
          <w:lang w:eastAsia="en-US"/>
        </w:rPr>
        <w:t xml:space="preserve"> would </w:t>
      </w:r>
      <w:r w:rsidR="00DB683E">
        <w:rPr>
          <w:rFonts w:eastAsia="Calibri"/>
          <w:sz w:val="22"/>
          <w:szCs w:val="22"/>
          <w:lang w:eastAsia="en-US"/>
        </w:rPr>
        <w:t>have been similar</w:t>
      </w:r>
      <w:r w:rsidR="00DB683E" w:rsidRPr="00AC16BF">
        <w:rPr>
          <w:rFonts w:eastAsia="Calibri"/>
          <w:sz w:val="22"/>
          <w:szCs w:val="22"/>
          <w:lang w:eastAsia="en-US"/>
        </w:rPr>
        <w:t xml:space="preserve"> if the </w:t>
      </w:r>
      <w:r w:rsidR="00DB683E">
        <w:rPr>
          <w:rFonts w:eastAsia="Calibri"/>
          <w:sz w:val="22"/>
          <w:szCs w:val="22"/>
          <w:lang w:eastAsia="en-US"/>
        </w:rPr>
        <w:t>actions</w:t>
      </w:r>
      <w:r w:rsidR="00DB683E" w:rsidRPr="00AC16BF">
        <w:rPr>
          <w:rFonts w:eastAsia="Calibri"/>
          <w:sz w:val="22"/>
          <w:szCs w:val="22"/>
          <w:lang w:eastAsia="en-US"/>
        </w:rPr>
        <w:t xml:space="preserve"> </w:t>
      </w:r>
      <w:r w:rsidR="00DB683E">
        <w:rPr>
          <w:rFonts w:eastAsia="Calibri"/>
          <w:sz w:val="22"/>
          <w:szCs w:val="22"/>
          <w:lang w:eastAsia="en-US"/>
        </w:rPr>
        <w:t>they are challenging</w:t>
      </w:r>
      <w:r w:rsidR="00DB683E" w:rsidRPr="00AC16BF">
        <w:rPr>
          <w:rFonts w:eastAsia="Calibri"/>
          <w:sz w:val="22"/>
          <w:szCs w:val="22"/>
          <w:lang w:eastAsia="en-US"/>
        </w:rPr>
        <w:t xml:space="preserve"> had not occurred.</w:t>
      </w:r>
      <w:r w:rsidR="00DB683E">
        <w:rPr>
          <w:rFonts w:eastAsia="Calibri"/>
          <w:sz w:val="22"/>
          <w:szCs w:val="22"/>
          <w:lang w:eastAsia="en-US"/>
        </w:rPr>
        <w:t xml:space="preserve"> If the judge determines that this is </w:t>
      </w:r>
      <w:r w:rsidR="00DB683E">
        <w:rPr>
          <w:rFonts w:eastAsia="Calibri"/>
          <w:i/>
          <w:sz w:val="22"/>
          <w:szCs w:val="22"/>
          <w:lang w:eastAsia="en-US"/>
        </w:rPr>
        <w:t xml:space="preserve">‘highly likely’, </w:t>
      </w:r>
      <w:r w:rsidR="00DB683E">
        <w:rPr>
          <w:rFonts w:eastAsia="Calibri"/>
          <w:sz w:val="22"/>
          <w:szCs w:val="22"/>
          <w:lang w:eastAsia="en-US"/>
        </w:rPr>
        <w:t>the person must be refused permission to proceed. T</w:t>
      </w:r>
      <w:r w:rsidR="00DB683E" w:rsidRPr="004B2091">
        <w:rPr>
          <w:rFonts w:eastAsia="Calibri"/>
          <w:sz w:val="22"/>
          <w:szCs w:val="22"/>
          <w:lang w:eastAsia="en-US"/>
        </w:rPr>
        <w:t xml:space="preserve">his matter </w:t>
      </w:r>
      <w:r w:rsidR="00DB683E">
        <w:rPr>
          <w:rFonts w:eastAsia="Calibri"/>
          <w:sz w:val="22"/>
          <w:szCs w:val="22"/>
          <w:lang w:eastAsia="en-US"/>
        </w:rPr>
        <w:t>would</w:t>
      </w:r>
      <w:r w:rsidR="00DB683E" w:rsidRPr="004B2091">
        <w:rPr>
          <w:rFonts w:eastAsia="Calibri"/>
          <w:sz w:val="22"/>
          <w:szCs w:val="22"/>
          <w:lang w:eastAsia="en-US"/>
        </w:rPr>
        <w:t xml:space="preserve"> </w:t>
      </w:r>
      <w:r w:rsidR="00DB683E">
        <w:rPr>
          <w:rFonts w:eastAsia="Calibri"/>
          <w:sz w:val="22"/>
          <w:szCs w:val="22"/>
          <w:lang w:eastAsia="en-US"/>
        </w:rPr>
        <w:t xml:space="preserve">be </w:t>
      </w:r>
      <w:r w:rsidR="00DB683E" w:rsidRPr="004B2091">
        <w:rPr>
          <w:rFonts w:eastAsia="Calibri"/>
          <w:sz w:val="22"/>
          <w:szCs w:val="22"/>
          <w:lang w:eastAsia="en-US"/>
        </w:rPr>
        <w:t xml:space="preserve">considered at permission stage, when limited </w:t>
      </w:r>
      <w:r w:rsidR="00DB683E">
        <w:rPr>
          <w:rFonts w:eastAsia="Calibri"/>
          <w:sz w:val="22"/>
          <w:szCs w:val="22"/>
          <w:lang w:eastAsia="en-US"/>
        </w:rPr>
        <w:t>evidence</w:t>
      </w:r>
      <w:r w:rsidR="00DB683E" w:rsidRPr="004B2091">
        <w:rPr>
          <w:rFonts w:eastAsia="Calibri"/>
          <w:sz w:val="22"/>
          <w:szCs w:val="22"/>
          <w:lang w:eastAsia="en-US"/>
        </w:rPr>
        <w:t xml:space="preserve"> will be available to judges. The problem is that what appears </w:t>
      </w:r>
      <w:r w:rsidR="00DB683E" w:rsidRPr="004B2091">
        <w:rPr>
          <w:rFonts w:eastAsia="Calibri"/>
          <w:i/>
          <w:sz w:val="22"/>
          <w:szCs w:val="22"/>
          <w:lang w:eastAsia="en-US"/>
        </w:rPr>
        <w:t>‘highly likely’</w:t>
      </w:r>
      <w:r w:rsidR="00DB683E" w:rsidRPr="004B2091">
        <w:rPr>
          <w:rFonts w:eastAsia="Calibri"/>
          <w:sz w:val="22"/>
          <w:szCs w:val="22"/>
          <w:lang w:eastAsia="en-US"/>
        </w:rPr>
        <w:t xml:space="preserve"> i</w:t>
      </w:r>
      <w:r w:rsidR="00DB683E">
        <w:rPr>
          <w:rFonts w:eastAsia="Calibri"/>
          <w:sz w:val="22"/>
          <w:szCs w:val="22"/>
          <w:lang w:eastAsia="en-US"/>
        </w:rPr>
        <w:t>n the initial stages of a case</w:t>
      </w:r>
      <w:r w:rsidR="00DB683E" w:rsidRPr="004B2091">
        <w:rPr>
          <w:rFonts w:eastAsia="Calibri"/>
          <w:sz w:val="22"/>
          <w:szCs w:val="22"/>
          <w:lang w:eastAsia="en-US"/>
        </w:rPr>
        <w:t xml:space="preserve"> </w:t>
      </w:r>
      <w:r w:rsidR="00DB683E">
        <w:rPr>
          <w:rFonts w:eastAsia="Calibri"/>
          <w:sz w:val="22"/>
          <w:szCs w:val="22"/>
          <w:lang w:eastAsia="en-US"/>
        </w:rPr>
        <w:t>could</w:t>
      </w:r>
      <w:r w:rsidR="00DB683E" w:rsidRPr="004B2091">
        <w:rPr>
          <w:rFonts w:eastAsia="Calibri"/>
          <w:sz w:val="22"/>
          <w:szCs w:val="22"/>
          <w:lang w:eastAsia="en-US"/>
        </w:rPr>
        <w:t xml:space="preserve"> later be demonstrated to be </w:t>
      </w:r>
      <w:r w:rsidR="00DB683E">
        <w:rPr>
          <w:rFonts w:eastAsia="Calibri"/>
          <w:sz w:val="22"/>
          <w:szCs w:val="22"/>
          <w:lang w:eastAsia="en-US"/>
        </w:rPr>
        <w:t xml:space="preserve">very </w:t>
      </w:r>
      <w:r w:rsidR="00DB683E" w:rsidRPr="004B2091">
        <w:rPr>
          <w:rFonts w:eastAsia="Calibri"/>
          <w:sz w:val="22"/>
          <w:szCs w:val="22"/>
          <w:lang w:eastAsia="en-US"/>
        </w:rPr>
        <w:t xml:space="preserve">unlikely. </w:t>
      </w:r>
      <w:r w:rsidR="00DB683E">
        <w:rPr>
          <w:rFonts w:eastAsia="Calibri"/>
          <w:sz w:val="22"/>
          <w:szCs w:val="22"/>
          <w:lang w:eastAsia="en-US"/>
        </w:rPr>
        <w:t>C</w:t>
      </w:r>
      <w:r w:rsidR="00DB683E" w:rsidRPr="004B2091">
        <w:rPr>
          <w:rFonts w:eastAsia="Calibri"/>
          <w:sz w:val="22"/>
          <w:szCs w:val="22"/>
          <w:lang w:eastAsia="en-US"/>
        </w:rPr>
        <w:t>laimant</w:t>
      </w:r>
      <w:r w:rsidR="00DB683E">
        <w:rPr>
          <w:rFonts w:eastAsia="Calibri"/>
          <w:sz w:val="22"/>
          <w:szCs w:val="22"/>
          <w:lang w:eastAsia="en-US"/>
        </w:rPr>
        <w:t>s whose cases have merit</w:t>
      </w:r>
      <w:r w:rsidR="00DB683E" w:rsidRPr="004B2091">
        <w:rPr>
          <w:rFonts w:eastAsia="Calibri"/>
          <w:sz w:val="22"/>
          <w:szCs w:val="22"/>
          <w:lang w:eastAsia="en-US"/>
        </w:rPr>
        <w:t xml:space="preserve"> </w:t>
      </w:r>
      <w:r w:rsidR="00DB683E">
        <w:rPr>
          <w:rFonts w:eastAsia="Calibri"/>
          <w:sz w:val="22"/>
          <w:szCs w:val="22"/>
          <w:lang w:eastAsia="en-US"/>
        </w:rPr>
        <w:t xml:space="preserve">may therefore </w:t>
      </w:r>
      <w:r w:rsidR="00DB683E" w:rsidRPr="004B2091">
        <w:rPr>
          <w:rFonts w:eastAsia="Calibri"/>
          <w:sz w:val="22"/>
          <w:szCs w:val="22"/>
          <w:lang w:eastAsia="en-US"/>
        </w:rPr>
        <w:t xml:space="preserve">be denied the opportunity to properly present </w:t>
      </w:r>
      <w:r w:rsidR="00DB683E">
        <w:rPr>
          <w:rFonts w:eastAsia="Calibri"/>
          <w:sz w:val="22"/>
          <w:szCs w:val="22"/>
          <w:lang w:eastAsia="en-US"/>
        </w:rPr>
        <w:t>them</w:t>
      </w:r>
      <w:r w:rsidR="00DB683E" w:rsidRPr="004B2091">
        <w:rPr>
          <w:rFonts w:eastAsia="Calibri"/>
          <w:sz w:val="22"/>
          <w:szCs w:val="22"/>
          <w:lang w:eastAsia="en-US"/>
        </w:rPr>
        <w:t>.</w:t>
      </w:r>
      <w:r w:rsidR="00DB683E">
        <w:rPr>
          <w:rFonts w:eastAsia="Calibri"/>
          <w:sz w:val="22"/>
          <w:szCs w:val="22"/>
          <w:lang w:eastAsia="en-US"/>
        </w:rPr>
        <w:t xml:space="preserve"> </w:t>
      </w:r>
    </w:p>
    <w:p w:rsidR="00DB683E" w:rsidRDefault="00DB683E" w:rsidP="00DB683E">
      <w:pPr>
        <w:suppressAutoHyphens w:val="0"/>
        <w:spacing w:line="276" w:lineRule="auto"/>
        <w:rPr>
          <w:b/>
          <w:color w:val="000000"/>
          <w:sz w:val="22"/>
          <w:szCs w:val="22"/>
          <w:lang w:eastAsia="en-GB"/>
        </w:rPr>
      </w:pPr>
    </w:p>
    <w:tbl>
      <w:tblPr>
        <w:tblStyle w:val="TableGrid1"/>
        <w:tblW w:w="0" w:type="auto"/>
        <w:tblLook w:val="04A0" w:firstRow="1" w:lastRow="0" w:firstColumn="1" w:lastColumn="0" w:noHBand="0" w:noVBand="1"/>
      </w:tblPr>
      <w:tblGrid>
        <w:gridCol w:w="9747"/>
      </w:tblGrid>
      <w:tr w:rsidR="00DB683E" w:rsidRPr="00240B75" w:rsidTr="00274331">
        <w:tc>
          <w:tcPr>
            <w:tcW w:w="9747" w:type="dxa"/>
          </w:tcPr>
          <w:p w:rsidR="00DB683E" w:rsidRDefault="00DB683E" w:rsidP="00274331">
            <w:pPr>
              <w:shd w:val="clear" w:color="auto" w:fill="FFFFFF"/>
              <w:suppressAutoHyphens w:val="0"/>
              <w:spacing w:line="276" w:lineRule="auto"/>
              <w:textAlignment w:val="baseline"/>
              <w:rPr>
                <w:b/>
                <w:sz w:val="22"/>
                <w:szCs w:val="22"/>
                <w:shd w:val="clear" w:color="auto" w:fill="FFFFFF"/>
                <w:lang w:eastAsia="en-US"/>
              </w:rPr>
            </w:pPr>
            <w:r w:rsidRPr="00240B75">
              <w:rPr>
                <w:b/>
                <w:sz w:val="22"/>
                <w:szCs w:val="22"/>
                <w:shd w:val="clear" w:color="auto" w:fill="FFFFFF"/>
                <w:lang w:eastAsia="en-US"/>
              </w:rPr>
              <w:t xml:space="preserve">Case Study: </w:t>
            </w:r>
            <w:r>
              <w:rPr>
                <w:b/>
                <w:sz w:val="22"/>
                <w:szCs w:val="22"/>
                <w:shd w:val="clear" w:color="auto" w:fill="FFFFFF"/>
                <w:lang w:eastAsia="en-US"/>
              </w:rPr>
              <w:t xml:space="preserve">Single mothers detained unlawfully </w:t>
            </w:r>
            <w:r w:rsidRPr="00240B75">
              <w:rPr>
                <w:b/>
                <w:sz w:val="22"/>
                <w:szCs w:val="22"/>
                <w:shd w:val="clear" w:color="auto" w:fill="FFFFFF"/>
                <w:lang w:eastAsia="en-US"/>
              </w:rPr>
              <w:t xml:space="preserve"> </w:t>
            </w:r>
          </w:p>
          <w:p w:rsidR="00DB683E" w:rsidRDefault="00DB683E" w:rsidP="00274331">
            <w:pPr>
              <w:shd w:val="clear" w:color="auto" w:fill="FFFFFF"/>
              <w:suppressAutoHyphens w:val="0"/>
              <w:spacing w:line="276" w:lineRule="auto"/>
              <w:textAlignment w:val="baseline"/>
              <w:rPr>
                <w:b/>
                <w:sz w:val="22"/>
                <w:szCs w:val="22"/>
                <w:shd w:val="clear" w:color="auto" w:fill="FFFFFF"/>
                <w:lang w:eastAsia="en-US"/>
              </w:rPr>
            </w:pPr>
          </w:p>
          <w:p w:rsidR="00DB683E" w:rsidRDefault="00DB683E" w:rsidP="00274331">
            <w:pPr>
              <w:shd w:val="clear" w:color="auto" w:fill="FFFFFF"/>
              <w:suppressAutoHyphens w:val="0"/>
              <w:spacing w:line="276" w:lineRule="auto"/>
              <w:textAlignment w:val="baseline"/>
              <w:rPr>
                <w:sz w:val="22"/>
                <w:szCs w:val="22"/>
                <w:shd w:val="clear" w:color="auto" w:fill="FFFFFF"/>
                <w:lang w:eastAsia="en-US"/>
              </w:rPr>
            </w:pPr>
            <w:r w:rsidRPr="00240B75">
              <w:rPr>
                <w:sz w:val="22"/>
                <w:szCs w:val="22"/>
                <w:shd w:val="clear" w:color="auto" w:fill="FFFFFF"/>
                <w:lang w:eastAsia="en-US"/>
              </w:rPr>
              <w:t>In September 2010 and April 2011, following judicial review proceedings the High Court</w:t>
            </w:r>
            <w:r>
              <w:rPr>
                <w:sz w:val="22"/>
                <w:szCs w:val="22"/>
                <w:shd w:val="clear" w:color="auto" w:fill="FFFFFF"/>
                <w:lang w:eastAsia="en-US"/>
              </w:rPr>
              <w:t xml:space="preserve"> found that two single mothers</w:t>
            </w:r>
            <w:r w:rsidRPr="00240B75">
              <w:rPr>
                <w:sz w:val="22"/>
                <w:szCs w:val="22"/>
                <w:shd w:val="clear" w:color="auto" w:fill="FFFFFF"/>
                <w:lang w:eastAsia="en-US"/>
              </w:rPr>
              <w:t xml:space="preserve"> had been unlawfully held in detention and separated from their children. The detention of these mothers had serious consequences for their children’s welfare.</w:t>
            </w:r>
            <w:r>
              <w:rPr>
                <w:sz w:val="22"/>
                <w:szCs w:val="22"/>
                <w:shd w:val="clear" w:color="auto" w:fill="FFFFFF"/>
                <w:lang w:eastAsia="en-US"/>
              </w:rPr>
              <w:t xml:space="preserve"> I</w:t>
            </w:r>
            <w:r w:rsidRPr="00240B75">
              <w:rPr>
                <w:sz w:val="22"/>
                <w:szCs w:val="22"/>
                <w:shd w:val="clear" w:color="auto" w:fill="FFFFFF"/>
                <w:lang w:eastAsia="en-US"/>
              </w:rPr>
              <w:t>n the latter case of ‘NXT’</w:t>
            </w:r>
            <w:r>
              <w:rPr>
                <w:sz w:val="22"/>
                <w:szCs w:val="22"/>
                <w:shd w:val="clear" w:color="auto" w:fill="FFFFFF"/>
                <w:lang w:eastAsia="en-US"/>
              </w:rPr>
              <w:t>, one of the children</w:t>
            </w:r>
            <w:r w:rsidRPr="00240B75">
              <w:rPr>
                <w:sz w:val="22"/>
                <w:szCs w:val="22"/>
                <w:shd w:val="clear" w:color="auto" w:fill="FFFFFF"/>
                <w:lang w:eastAsia="en-US"/>
              </w:rPr>
              <w:t xml:space="preserve"> changed foster placements six times during the mother’s imprisonment and detention and experienced abuse and neglect.</w:t>
            </w:r>
            <w:r>
              <w:rPr>
                <w:sz w:val="22"/>
                <w:szCs w:val="22"/>
                <w:shd w:val="clear" w:color="auto" w:fill="FFFFFF"/>
                <w:lang w:eastAsia="en-US"/>
              </w:rPr>
              <w:t xml:space="preserve"> </w:t>
            </w:r>
          </w:p>
          <w:p w:rsidR="00DB683E" w:rsidRDefault="00DB683E" w:rsidP="00274331">
            <w:pPr>
              <w:shd w:val="clear" w:color="auto" w:fill="FFFFFF"/>
              <w:suppressAutoHyphens w:val="0"/>
              <w:spacing w:line="276" w:lineRule="auto"/>
              <w:textAlignment w:val="baseline"/>
              <w:rPr>
                <w:sz w:val="22"/>
                <w:szCs w:val="22"/>
                <w:shd w:val="clear" w:color="auto" w:fill="FFFFFF"/>
                <w:lang w:eastAsia="en-US"/>
              </w:rPr>
            </w:pPr>
          </w:p>
          <w:p w:rsidR="00DB683E" w:rsidRPr="00240B75" w:rsidRDefault="00DB683E" w:rsidP="00274331">
            <w:pPr>
              <w:shd w:val="clear" w:color="auto" w:fill="FFFFFF"/>
              <w:suppressAutoHyphens w:val="0"/>
              <w:spacing w:line="276" w:lineRule="auto"/>
              <w:textAlignment w:val="baseline"/>
              <w:rPr>
                <w:b/>
                <w:sz w:val="22"/>
                <w:szCs w:val="22"/>
                <w:shd w:val="clear" w:color="auto" w:fill="FFFFFF"/>
                <w:lang w:eastAsia="en-US"/>
              </w:rPr>
            </w:pPr>
            <w:r>
              <w:rPr>
                <w:sz w:val="22"/>
                <w:szCs w:val="22"/>
                <w:shd w:val="clear" w:color="auto" w:fill="FFFFFF"/>
                <w:lang w:eastAsia="en-US"/>
              </w:rPr>
              <w:t xml:space="preserve">It often far from clear whether detainees would have been detained anyway if the </w:t>
            </w:r>
            <w:r w:rsidRPr="00EF4F18">
              <w:rPr>
                <w:i/>
                <w:sz w:val="22"/>
                <w:szCs w:val="22"/>
                <w:shd w:val="clear" w:color="auto" w:fill="FFFFFF"/>
                <w:lang w:eastAsia="en-US"/>
              </w:rPr>
              <w:t>‘conduct complained of’</w:t>
            </w:r>
            <w:r>
              <w:rPr>
                <w:sz w:val="22"/>
                <w:szCs w:val="22"/>
                <w:shd w:val="clear" w:color="auto" w:fill="FFFFFF"/>
                <w:lang w:eastAsia="en-US"/>
              </w:rPr>
              <w:t>, such as the Home Office’s failure to follow procedures, had not occurred. This question was considered in detail by the judges in both the cases cited above.</w:t>
            </w:r>
            <w:r>
              <w:rPr>
                <w:rStyle w:val="FootnoteReference"/>
                <w:sz w:val="22"/>
                <w:szCs w:val="22"/>
                <w:shd w:val="clear" w:color="auto" w:fill="FFFFFF"/>
                <w:lang w:eastAsia="en-US"/>
              </w:rPr>
              <w:footnoteReference w:id="7"/>
            </w:r>
            <w:r>
              <w:rPr>
                <w:sz w:val="22"/>
                <w:szCs w:val="22"/>
                <w:shd w:val="clear" w:color="auto" w:fill="FFFFFF"/>
                <w:lang w:eastAsia="en-US"/>
              </w:rPr>
              <w:t xml:space="preserve"> Unlawful detention cases often turn on this issue; it is not one that can be properly examined at permission stage. </w:t>
            </w:r>
            <w:r w:rsidRPr="00BB27CE">
              <w:rPr>
                <w:sz w:val="22"/>
                <w:szCs w:val="22"/>
                <w:shd w:val="clear" w:color="auto" w:fill="FFFFFF"/>
                <w:lang w:eastAsia="en-US"/>
              </w:rPr>
              <w:t>The ability to properly access judicial review proceedings was crucial in getting these mothers released.</w:t>
            </w:r>
            <w:r w:rsidRPr="00240B75">
              <w:rPr>
                <w:sz w:val="22"/>
                <w:szCs w:val="22"/>
                <w:shd w:val="clear" w:color="auto" w:fill="FFFFFF"/>
                <w:lang w:eastAsia="en-US"/>
              </w:rPr>
              <w:t xml:space="preserve"> </w:t>
            </w:r>
          </w:p>
        </w:tc>
      </w:tr>
    </w:tbl>
    <w:p w:rsidR="00DB683E" w:rsidRDefault="00DB683E" w:rsidP="00DB683E">
      <w:pPr>
        <w:suppressAutoHyphens w:val="0"/>
        <w:spacing w:line="276" w:lineRule="auto"/>
        <w:rPr>
          <w:rFonts w:eastAsia="Calibri"/>
          <w:b/>
          <w:sz w:val="24"/>
          <w:lang w:eastAsia="en-US"/>
        </w:rPr>
      </w:pPr>
    </w:p>
    <w:p w:rsidR="00BB27CE" w:rsidRDefault="00BB27CE" w:rsidP="00BB27CE">
      <w:pPr>
        <w:suppressAutoHyphens w:val="0"/>
        <w:spacing w:after="200" w:line="276" w:lineRule="auto"/>
        <w:contextualSpacing/>
        <w:rPr>
          <w:rFonts w:eastAsia="Calibri"/>
          <w:sz w:val="22"/>
          <w:szCs w:val="22"/>
          <w:lang w:eastAsia="en-US"/>
        </w:rPr>
      </w:pPr>
      <w:r>
        <w:rPr>
          <w:rFonts w:eastAsia="Calibri"/>
          <w:sz w:val="22"/>
          <w:szCs w:val="22"/>
          <w:shd w:val="clear" w:color="auto" w:fill="FFFFFF"/>
          <w:lang w:eastAsia="en-US"/>
        </w:rPr>
        <w:lastRenderedPageBreak/>
        <w:t>The UK Parliament’s Joint Committee on Human R</w:t>
      </w:r>
      <w:r w:rsidR="00C26450">
        <w:rPr>
          <w:rFonts w:eastAsia="Calibri"/>
          <w:sz w:val="22"/>
          <w:szCs w:val="22"/>
          <w:shd w:val="clear" w:color="auto" w:fill="FFFFFF"/>
          <w:lang w:eastAsia="en-US"/>
        </w:rPr>
        <w:t>ights has commented on Clause 64</w:t>
      </w:r>
      <w:r>
        <w:rPr>
          <w:rFonts w:eastAsia="Calibri"/>
          <w:sz w:val="22"/>
          <w:szCs w:val="22"/>
          <w:shd w:val="clear" w:color="auto" w:fill="FFFFFF"/>
          <w:lang w:eastAsia="en-US"/>
        </w:rPr>
        <w:t xml:space="preserve">, stating that: </w:t>
      </w:r>
    </w:p>
    <w:p w:rsidR="00BB27CE" w:rsidRDefault="00BB27CE" w:rsidP="00BB27CE">
      <w:pPr>
        <w:suppressAutoHyphens w:val="0"/>
        <w:spacing w:line="276" w:lineRule="auto"/>
        <w:rPr>
          <w:rFonts w:eastAsia="Calibri"/>
          <w:sz w:val="22"/>
          <w:szCs w:val="22"/>
          <w:lang w:eastAsia="en-US"/>
        </w:rPr>
      </w:pPr>
    </w:p>
    <w:p w:rsidR="00BB27CE" w:rsidRPr="00BB27CE" w:rsidRDefault="00BB27CE" w:rsidP="00BB27CE">
      <w:pPr>
        <w:suppressAutoHyphens w:val="0"/>
        <w:spacing w:line="276" w:lineRule="auto"/>
        <w:rPr>
          <w:rFonts w:eastAsia="Calibri"/>
          <w:sz w:val="22"/>
          <w:szCs w:val="22"/>
          <w:lang w:eastAsia="en-US"/>
        </w:rPr>
      </w:pPr>
      <w:r>
        <w:rPr>
          <w:rFonts w:eastAsia="Calibri"/>
          <w:sz w:val="22"/>
          <w:szCs w:val="22"/>
          <w:lang w:eastAsia="en-US"/>
        </w:rPr>
        <w:t>‘</w:t>
      </w:r>
      <w:r w:rsidRPr="00BB27CE">
        <w:rPr>
          <w:rFonts w:eastAsia="Calibri"/>
          <w:sz w:val="22"/>
          <w:szCs w:val="22"/>
          <w:lang w:eastAsia="en-US"/>
        </w:rPr>
        <w:t xml:space="preserve">We accept that it is a legitimate and justifiable restriction on the right of access to court for courts to refuse permission or a remedy in cases where it is inevitable that a procedural defect in the decision-making process would have made no substantive difference to the outcome, as they do under the current law. However, lowering the threshold to one of high likelihood gives rise to the risk of unlawful administrative action going </w:t>
      </w:r>
      <w:proofErr w:type="spellStart"/>
      <w:r w:rsidRPr="00BB27CE">
        <w:rPr>
          <w:rFonts w:eastAsia="Calibri"/>
          <w:sz w:val="22"/>
          <w:szCs w:val="22"/>
          <w:lang w:eastAsia="en-US"/>
        </w:rPr>
        <w:t>unremedied</w:t>
      </w:r>
      <w:proofErr w:type="spellEnd"/>
      <w:r w:rsidRPr="00BB27CE">
        <w:rPr>
          <w:rFonts w:eastAsia="Calibri"/>
          <w:sz w:val="22"/>
          <w:szCs w:val="22"/>
          <w:lang w:eastAsia="en-US"/>
        </w:rPr>
        <w:t xml:space="preserve"> and therefore risks incompatibility with the right of practical and effective access to court, which the European Court of Human Rights recognises as an inherent part of the rule of law.</w:t>
      </w:r>
      <w:r>
        <w:rPr>
          <w:rFonts w:eastAsia="Calibri"/>
          <w:sz w:val="22"/>
          <w:szCs w:val="22"/>
          <w:lang w:eastAsia="en-US"/>
        </w:rPr>
        <w:t>’</w:t>
      </w:r>
      <w:r>
        <w:rPr>
          <w:rStyle w:val="FootnoteReference"/>
          <w:rFonts w:eastAsia="Calibri"/>
          <w:sz w:val="22"/>
          <w:szCs w:val="22"/>
          <w:lang w:eastAsia="en-US"/>
        </w:rPr>
        <w:footnoteReference w:id="8"/>
      </w:r>
    </w:p>
    <w:p w:rsidR="00BB27CE" w:rsidRDefault="00BB27CE" w:rsidP="00DB683E">
      <w:pPr>
        <w:suppressAutoHyphens w:val="0"/>
        <w:spacing w:line="276" w:lineRule="auto"/>
        <w:rPr>
          <w:rFonts w:eastAsia="Calibri"/>
          <w:b/>
          <w:sz w:val="24"/>
          <w:lang w:eastAsia="en-US"/>
        </w:rPr>
      </w:pPr>
    </w:p>
    <w:p w:rsidR="00DB683E" w:rsidRPr="00BB27CE" w:rsidRDefault="00C26450" w:rsidP="00DB683E">
      <w:pPr>
        <w:suppressAutoHyphens w:val="0"/>
        <w:spacing w:line="276" w:lineRule="auto"/>
        <w:rPr>
          <w:rFonts w:eastAsia="Calibri"/>
          <w:sz w:val="24"/>
          <w:u w:val="single"/>
          <w:lang w:eastAsia="en-US"/>
        </w:rPr>
      </w:pPr>
      <w:r>
        <w:rPr>
          <w:rFonts w:eastAsia="Calibri"/>
          <w:sz w:val="24"/>
          <w:u w:val="single"/>
          <w:lang w:eastAsia="en-US"/>
        </w:rPr>
        <w:t>Clause 67</w:t>
      </w:r>
      <w:r w:rsidR="00DB683E" w:rsidRPr="00BB27CE">
        <w:rPr>
          <w:rFonts w:eastAsia="Calibri"/>
          <w:sz w:val="24"/>
          <w:u w:val="single"/>
          <w:lang w:eastAsia="en-US"/>
        </w:rPr>
        <w:t xml:space="preserve">: Interveners and costs </w:t>
      </w:r>
    </w:p>
    <w:p w:rsidR="00DB683E" w:rsidRDefault="00DB683E" w:rsidP="00DB683E">
      <w:pPr>
        <w:suppressAutoHyphens w:val="0"/>
        <w:spacing w:line="276" w:lineRule="auto"/>
        <w:rPr>
          <w:rFonts w:eastAsia="Calibri"/>
          <w:sz w:val="22"/>
          <w:szCs w:val="22"/>
          <w:lang w:eastAsia="en-US"/>
        </w:rPr>
      </w:pPr>
    </w:p>
    <w:p w:rsidR="00DB683E" w:rsidRDefault="00DB683E" w:rsidP="00DB683E">
      <w:pPr>
        <w:suppressAutoHyphens w:val="0"/>
        <w:spacing w:line="276" w:lineRule="auto"/>
        <w:rPr>
          <w:rFonts w:eastAsia="Calibri"/>
          <w:bCs/>
          <w:color w:val="000000"/>
          <w:sz w:val="22"/>
          <w:szCs w:val="22"/>
          <w:lang w:eastAsia="en-US"/>
        </w:rPr>
      </w:pPr>
      <w:r w:rsidRPr="00240B75">
        <w:rPr>
          <w:rFonts w:eastAsia="Calibri"/>
          <w:sz w:val="22"/>
          <w:szCs w:val="22"/>
          <w:lang w:eastAsia="en-US"/>
        </w:rPr>
        <w:t xml:space="preserve">Clause </w:t>
      </w:r>
      <w:r w:rsidR="00C26450">
        <w:rPr>
          <w:rFonts w:eastAsia="Calibri"/>
          <w:sz w:val="22"/>
          <w:szCs w:val="22"/>
          <w:lang w:eastAsia="en-US"/>
        </w:rPr>
        <w:t>67</w:t>
      </w:r>
      <w:r>
        <w:rPr>
          <w:rFonts w:eastAsia="Calibri"/>
          <w:sz w:val="22"/>
          <w:szCs w:val="22"/>
          <w:lang w:eastAsia="en-US"/>
        </w:rPr>
        <w:t xml:space="preserve"> provides that the courts</w:t>
      </w:r>
      <w:r w:rsidRPr="00240B75">
        <w:rPr>
          <w:rFonts w:eastAsia="Calibri"/>
          <w:sz w:val="22"/>
          <w:szCs w:val="22"/>
          <w:lang w:eastAsia="en-US"/>
        </w:rPr>
        <w:t xml:space="preserve"> </w:t>
      </w:r>
      <w:r w:rsidRPr="00240B75">
        <w:rPr>
          <w:rFonts w:eastAsia="Calibri"/>
          <w:i/>
          <w:sz w:val="22"/>
          <w:szCs w:val="22"/>
          <w:lang w:eastAsia="en-US"/>
        </w:rPr>
        <w:t>‘must order the intervener to pay any costs specified’</w:t>
      </w:r>
      <w:r w:rsidRPr="00240B75">
        <w:rPr>
          <w:rFonts w:eastAsia="Calibri"/>
          <w:sz w:val="22"/>
          <w:szCs w:val="22"/>
          <w:lang w:eastAsia="en-US"/>
        </w:rPr>
        <w:t xml:space="preserve"> by a party or interested party that have been incurred </w:t>
      </w:r>
      <w:r w:rsidRPr="00240B75">
        <w:rPr>
          <w:rFonts w:eastAsia="Calibri"/>
          <w:i/>
          <w:sz w:val="22"/>
          <w:szCs w:val="22"/>
          <w:lang w:eastAsia="en-US"/>
        </w:rPr>
        <w:t>‘as a result of the intervener’s involvement.’</w:t>
      </w:r>
      <w:r w:rsidRPr="00240B75">
        <w:rPr>
          <w:rFonts w:eastAsia="Calibri"/>
          <w:sz w:val="22"/>
          <w:szCs w:val="22"/>
          <w:lang w:eastAsia="en-US"/>
        </w:rPr>
        <w:t xml:space="preserve"> </w:t>
      </w:r>
      <w:r>
        <w:rPr>
          <w:rFonts w:eastAsia="Calibri"/>
          <w:sz w:val="22"/>
          <w:szCs w:val="22"/>
          <w:lang w:eastAsia="en-US"/>
        </w:rPr>
        <w:t>Interveners may have to pay costs even where they provide evidence of unlawful Government actions. M</w:t>
      </w:r>
      <w:r w:rsidRPr="00240B75">
        <w:rPr>
          <w:rFonts w:eastAsia="Calibri"/>
          <w:sz w:val="22"/>
          <w:szCs w:val="22"/>
          <w:lang w:eastAsia="en-US"/>
        </w:rPr>
        <w:t xml:space="preserve">any </w:t>
      </w:r>
      <w:r>
        <w:rPr>
          <w:rFonts w:eastAsia="Calibri"/>
          <w:sz w:val="22"/>
          <w:szCs w:val="22"/>
          <w:lang w:eastAsia="en-US"/>
        </w:rPr>
        <w:t>charities</w:t>
      </w:r>
      <w:r w:rsidRPr="00240B75">
        <w:rPr>
          <w:rFonts w:eastAsia="Calibri"/>
          <w:sz w:val="22"/>
          <w:szCs w:val="22"/>
          <w:lang w:eastAsia="en-US"/>
        </w:rPr>
        <w:t xml:space="preserve"> including </w:t>
      </w:r>
      <w:r>
        <w:rPr>
          <w:rFonts w:eastAsia="Calibri"/>
          <w:sz w:val="22"/>
          <w:szCs w:val="22"/>
          <w:lang w:eastAsia="en-US"/>
        </w:rPr>
        <w:t>Bail for Immigration Detainees</w:t>
      </w:r>
      <w:r w:rsidRPr="00240B75">
        <w:rPr>
          <w:rFonts w:eastAsia="Calibri"/>
          <w:sz w:val="22"/>
          <w:szCs w:val="22"/>
          <w:lang w:eastAsia="en-US"/>
        </w:rPr>
        <w:t xml:space="preserve"> </w:t>
      </w:r>
      <w:r>
        <w:rPr>
          <w:rFonts w:eastAsia="Calibri"/>
          <w:sz w:val="22"/>
          <w:szCs w:val="22"/>
          <w:lang w:eastAsia="en-US"/>
        </w:rPr>
        <w:t xml:space="preserve">could not pay such costs, and </w:t>
      </w:r>
      <w:r w:rsidRPr="00240B75">
        <w:rPr>
          <w:rFonts w:eastAsia="Calibri"/>
          <w:sz w:val="22"/>
          <w:szCs w:val="22"/>
          <w:lang w:eastAsia="en-US"/>
        </w:rPr>
        <w:t xml:space="preserve">would be prevented from </w:t>
      </w:r>
      <w:r>
        <w:rPr>
          <w:rFonts w:eastAsia="Calibri"/>
          <w:sz w:val="22"/>
          <w:szCs w:val="22"/>
          <w:lang w:eastAsia="en-US"/>
        </w:rPr>
        <w:t>intervening</w:t>
      </w:r>
      <w:r w:rsidRPr="00240B75">
        <w:rPr>
          <w:rFonts w:eastAsia="Calibri"/>
          <w:sz w:val="22"/>
          <w:szCs w:val="22"/>
          <w:lang w:eastAsia="en-US"/>
        </w:rPr>
        <w:t>.</w:t>
      </w:r>
      <w:r w:rsidRPr="00240B75">
        <w:rPr>
          <w:rFonts w:eastAsia="Calibri"/>
          <w:bCs/>
          <w:color w:val="000000"/>
          <w:sz w:val="22"/>
          <w:szCs w:val="22"/>
          <w:lang w:eastAsia="en-US"/>
        </w:rPr>
        <w:t xml:space="preserve"> </w:t>
      </w:r>
    </w:p>
    <w:p w:rsidR="00DB683E" w:rsidRDefault="00DB683E" w:rsidP="00DB683E">
      <w:pPr>
        <w:suppressAutoHyphens w:val="0"/>
        <w:spacing w:line="276" w:lineRule="auto"/>
        <w:rPr>
          <w:rFonts w:eastAsia="Calibri"/>
          <w:bCs/>
          <w:color w:val="000000"/>
          <w:sz w:val="22"/>
          <w:szCs w:val="22"/>
          <w:lang w:eastAsia="en-US"/>
        </w:rPr>
      </w:pPr>
    </w:p>
    <w:p w:rsidR="00DB683E" w:rsidRPr="009916ED" w:rsidRDefault="00DB683E" w:rsidP="00DB683E">
      <w:pPr>
        <w:suppressAutoHyphens w:val="0"/>
        <w:spacing w:line="276" w:lineRule="auto"/>
        <w:rPr>
          <w:rFonts w:eastAsia="Calibri"/>
          <w:sz w:val="22"/>
          <w:szCs w:val="22"/>
          <w:lang w:eastAsia="en-US"/>
        </w:rPr>
      </w:pPr>
      <w:r>
        <w:rPr>
          <w:rFonts w:eastAsia="Calibri"/>
          <w:bCs/>
          <w:color w:val="000000"/>
          <w:sz w:val="22"/>
          <w:szCs w:val="22"/>
          <w:lang w:eastAsia="en-US"/>
        </w:rPr>
        <w:t>Currently, i</w:t>
      </w:r>
      <w:r w:rsidRPr="00240B75">
        <w:rPr>
          <w:rFonts w:eastAsia="Calibri"/>
          <w:bCs/>
          <w:color w:val="000000"/>
          <w:sz w:val="22"/>
          <w:szCs w:val="22"/>
          <w:lang w:eastAsia="en-US"/>
        </w:rPr>
        <w:t xml:space="preserve">nterveners must convince the court of the value of their involvement when seeking permission to intervene. </w:t>
      </w:r>
      <w:r w:rsidRPr="00240B75">
        <w:rPr>
          <w:rFonts w:eastAsia="Calibri"/>
          <w:sz w:val="22"/>
          <w:szCs w:val="22"/>
          <w:lang w:eastAsia="en-US"/>
        </w:rPr>
        <w:t xml:space="preserve">The senior judiciary’s response to the </w:t>
      </w:r>
      <w:r w:rsidR="00A708FE">
        <w:rPr>
          <w:rFonts w:eastAsia="Calibri"/>
          <w:sz w:val="22"/>
          <w:szCs w:val="22"/>
          <w:lang w:eastAsia="en-US"/>
        </w:rPr>
        <w:t xml:space="preserve">UK </w:t>
      </w:r>
      <w:r w:rsidRPr="00240B75">
        <w:rPr>
          <w:rFonts w:eastAsia="Calibri"/>
          <w:sz w:val="22"/>
          <w:szCs w:val="22"/>
          <w:lang w:eastAsia="en-US"/>
        </w:rPr>
        <w:t>Government</w:t>
      </w:r>
      <w:r w:rsidR="00A708FE">
        <w:rPr>
          <w:rFonts w:eastAsia="Calibri"/>
          <w:sz w:val="22"/>
          <w:szCs w:val="22"/>
          <w:lang w:eastAsia="en-US"/>
        </w:rPr>
        <w:t>’s</w:t>
      </w:r>
      <w:r w:rsidRPr="00240B75">
        <w:rPr>
          <w:rFonts w:eastAsia="Calibri"/>
          <w:sz w:val="22"/>
          <w:szCs w:val="22"/>
          <w:lang w:eastAsia="en-US"/>
        </w:rPr>
        <w:t xml:space="preserve"> consultation on Judicial Review reform states: </w:t>
      </w:r>
      <w:r w:rsidRPr="00240B75">
        <w:rPr>
          <w:rFonts w:eastAsia="Calibri"/>
          <w:i/>
          <w:sz w:val="22"/>
          <w:szCs w:val="22"/>
          <w:lang w:eastAsia="en-US"/>
        </w:rPr>
        <w:t xml:space="preserve">‘The court is already empowered to impose cost orders against </w:t>
      </w:r>
      <w:r>
        <w:rPr>
          <w:rFonts w:eastAsia="Calibri"/>
          <w:i/>
          <w:sz w:val="22"/>
          <w:szCs w:val="22"/>
          <w:lang w:eastAsia="en-US"/>
        </w:rPr>
        <w:t>t</w:t>
      </w:r>
      <w:r w:rsidRPr="00240B75">
        <w:rPr>
          <w:rFonts w:eastAsia="Calibri"/>
          <w:i/>
          <w:sz w:val="22"/>
          <w:szCs w:val="22"/>
          <w:lang w:eastAsia="en-US"/>
        </w:rPr>
        <w:t>hird parties [interveners]. The fact that such orders are rarely made</w:t>
      </w:r>
      <w:r>
        <w:rPr>
          <w:rFonts w:eastAsia="Calibri"/>
          <w:i/>
          <w:sz w:val="22"/>
          <w:szCs w:val="22"/>
          <w:lang w:eastAsia="en-US"/>
        </w:rPr>
        <w:t xml:space="preserve"> reflects the experience of the </w:t>
      </w:r>
      <w:r w:rsidRPr="00240B75">
        <w:rPr>
          <w:rFonts w:eastAsia="Calibri"/>
          <w:i/>
          <w:sz w:val="22"/>
          <w:szCs w:val="22"/>
          <w:lang w:eastAsia="en-US"/>
        </w:rPr>
        <w:t>court that, not uncommonly, it benefits from hearing from third parties.’</w:t>
      </w:r>
      <w:r w:rsidRPr="00240B75">
        <w:rPr>
          <w:rFonts w:eastAsia="Calibri"/>
          <w:vertAlign w:val="superscript"/>
          <w:lang w:eastAsia="en-US"/>
        </w:rPr>
        <w:footnoteReference w:id="9"/>
      </w:r>
      <w:r w:rsidRPr="00240B75">
        <w:rPr>
          <w:rFonts w:eastAsia="Calibri"/>
          <w:i/>
          <w:sz w:val="22"/>
          <w:szCs w:val="22"/>
          <w:lang w:eastAsia="en-US"/>
        </w:rPr>
        <w:t xml:space="preserve"> </w:t>
      </w:r>
    </w:p>
    <w:p w:rsidR="00DB683E" w:rsidRPr="00240B75" w:rsidRDefault="00DB683E" w:rsidP="00DB683E">
      <w:pPr>
        <w:suppressAutoHyphens w:val="0"/>
        <w:spacing w:line="276" w:lineRule="auto"/>
        <w:rPr>
          <w:rFonts w:eastAsia="Calibri"/>
          <w:sz w:val="22"/>
          <w:szCs w:val="22"/>
          <w:lang w:eastAsia="en-US"/>
        </w:rPr>
      </w:pPr>
    </w:p>
    <w:tbl>
      <w:tblPr>
        <w:tblStyle w:val="TableGrid1"/>
        <w:tblW w:w="0" w:type="auto"/>
        <w:tblLook w:val="04A0" w:firstRow="1" w:lastRow="0" w:firstColumn="1" w:lastColumn="0" w:noHBand="0" w:noVBand="1"/>
      </w:tblPr>
      <w:tblGrid>
        <w:gridCol w:w="9747"/>
      </w:tblGrid>
      <w:tr w:rsidR="00DB683E" w:rsidRPr="00240B75" w:rsidTr="00274331">
        <w:tc>
          <w:tcPr>
            <w:tcW w:w="9747" w:type="dxa"/>
          </w:tcPr>
          <w:p w:rsidR="00DB683E" w:rsidRDefault="00DB683E" w:rsidP="00274331">
            <w:pPr>
              <w:shd w:val="clear" w:color="auto" w:fill="FFFFFF"/>
              <w:suppressAutoHyphens w:val="0"/>
              <w:spacing w:line="276" w:lineRule="auto"/>
              <w:textAlignment w:val="baseline"/>
              <w:rPr>
                <w:b/>
                <w:sz w:val="22"/>
                <w:szCs w:val="22"/>
                <w:shd w:val="clear" w:color="auto" w:fill="FFFFFF"/>
                <w:lang w:eastAsia="en-US"/>
              </w:rPr>
            </w:pPr>
            <w:r w:rsidRPr="00240B75">
              <w:rPr>
                <w:b/>
                <w:sz w:val="22"/>
                <w:szCs w:val="22"/>
                <w:shd w:val="clear" w:color="auto" w:fill="FFFFFF"/>
                <w:lang w:eastAsia="en-US"/>
              </w:rPr>
              <w:t xml:space="preserve">Case Study: </w:t>
            </w:r>
            <w:r>
              <w:rPr>
                <w:b/>
                <w:sz w:val="22"/>
                <w:szCs w:val="22"/>
                <w:shd w:val="clear" w:color="auto" w:fill="FFFFFF"/>
                <w:lang w:eastAsia="en-US"/>
              </w:rPr>
              <w:t xml:space="preserve">Interventions &amp; </w:t>
            </w:r>
            <w:r w:rsidRPr="00240B75">
              <w:rPr>
                <w:b/>
                <w:sz w:val="22"/>
                <w:szCs w:val="22"/>
                <w:shd w:val="clear" w:color="auto" w:fill="FFFFFF"/>
                <w:lang w:eastAsia="en-US"/>
              </w:rPr>
              <w:t>detention</w:t>
            </w:r>
            <w:r>
              <w:rPr>
                <w:b/>
                <w:sz w:val="22"/>
                <w:szCs w:val="22"/>
                <w:shd w:val="clear" w:color="auto" w:fill="FFFFFF"/>
                <w:lang w:eastAsia="en-US"/>
              </w:rPr>
              <w:t xml:space="preserve"> of children </w:t>
            </w:r>
            <w:r w:rsidRPr="00240B75">
              <w:rPr>
                <w:b/>
                <w:sz w:val="22"/>
                <w:szCs w:val="22"/>
                <w:shd w:val="clear" w:color="auto" w:fill="FFFFFF"/>
                <w:lang w:eastAsia="en-US"/>
              </w:rPr>
              <w:t xml:space="preserve"> </w:t>
            </w:r>
          </w:p>
          <w:p w:rsidR="00DB683E" w:rsidRDefault="00DB683E" w:rsidP="00274331">
            <w:pPr>
              <w:shd w:val="clear" w:color="auto" w:fill="FFFFFF"/>
              <w:suppressAutoHyphens w:val="0"/>
              <w:spacing w:line="276" w:lineRule="auto"/>
              <w:textAlignment w:val="baseline"/>
              <w:rPr>
                <w:sz w:val="22"/>
                <w:szCs w:val="22"/>
                <w:shd w:val="clear" w:color="auto" w:fill="FFFFFF"/>
                <w:lang w:eastAsia="en-US"/>
              </w:rPr>
            </w:pPr>
          </w:p>
          <w:p w:rsidR="00DB683E" w:rsidRDefault="00DB683E" w:rsidP="00274331">
            <w:pPr>
              <w:shd w:val="clear" w:color="auto" w:fill="FFFFFF"/>
              <w:suppressAutoHyphens w:val="0"/>
              <w:spacing w:line="276" w:lineRule="auto"/>
              <w:textAlignment w:val="baseline"/>
              <w:rPr>
                <w:i/>
                <w:sz w:val="22"/>
                <w:szCs w:val="22"/>
                <w:lang w:eastAsia="en-US"/>
              </w:rPr>
            </w:pPr>
            <w:r w:rsidRPr="00240B75">
              <w:rPr>
                <w:sz w:val="22"/>
                <w:szCs w:val="22"/>
                <w:shd w:val="clear" w:color="auto" w:fill="FFFFFF"/>
                <w:lang w:eastAsia="en-US"/>
              </w:rPr>
              <w:t>In 2011, following judicial review proceedings in the ‘</w:t>
            </w:r>
            <w:proofErr w:type="spellStart"/>
            <w:r w:rsidRPr="00240B75">
              <w:rPr>
                <w:sz w:val="22"/>
                <w:szCs w:val="22"/>
                <w:shd w:val="clear" w:color="auto" w:fill="FFFFFF"/>
                <w:lang w:eastAsia="en-US"/>
              </w:rPr>
              <w:t>Suppiah</w:t>
            </w:r>
            <w:proofErr w:type="spellEnd"/>
            <w:r w:rsidRPr="00240B75">
              <w:rPr>
                <w:sz w:val="22"/>
                <w:szCs w:val="22"/>
                <w:shd w:val="clear" w:color="auto" w:fill="FFFFFF"/>
                <w:lang w:eastAsia="en-US"/>
              </w:rPr>
              <w:t>’ case,</w:t>
            </w:r>
            <w:r w:rsidRPr="00240B75">
              <w:rPr>
                <w:shd w:val="clear" w:color="auto" w:fill="FFFFFF"/>
                <w:vertAlign w:val="superscript"/>
                <w:lang w:eastAsia="en-US"/>
              </w:rPr>
              <w:footnoteReference w:id="10"/>
            </w:r>
            <w:r w:rsidRPr="00240B75">
              <w:rPr>
                <w:sz w:val="22"/>
                <w:szCs w:val="22"/>
                <w:shd w:val="clear" w:color="auto" w:fill="FFFFFF"/>
                <w:lang w:eastAsia="en-US"/>
              </w:rPr>
              <w:t xml:space="preserve"> the Administrative Court found that two families had been detained unlawfully. L</w:t>
            </w:r>
            <w:r>
              <w:rPr>
                <w:sz w:val="22"/>
                <w:szCs w:val="22"/>
                <w:shd w:val="clear" w:color="auto" w:fill="FFFFFF"/>
                <w:lang w:eastAsia="en-US"/>
              </w:rPr>
              <w:t xml:space="preserve">iberty intervened in this case; </w:t>
            </w:r>
            <w:r w:rsidRPr="00240B75">
              <w:rPr>
                <w:sz w:val="22"/>
                <w:szCs w:val="22"/>
                <w:shd w:val="clear" w:color="auto" w:fill="FFFFFF"/>
                <w:lang w:eastAsia="en-US"/>
              </w:rPr>
              <w:t>B</w:t>
            </w:r>
            <w:r w:rsidR="00A708FE">
              <w:rPr>
                <w:sz w:val="22"/>
                <w:szCs w:val="22"/>
                <w:shd w:val="clear" w:color="auto" w:fill="FFFFFF"/>
                <w:lang w:eastAsia="en-US"/>
              </w:rPr>
              <w:t xml:space="preserve">ail for </w:t>
            </w:r>
            <w:r w:rsidRPr="00240B75">
              <w:rPr>
                <w:sz w:val="22"/>
                <w:szCs w:val="22"/>
                <w:shd w:val="clear" w:color="auto" w:fill="FFFFFF"/>
                <w:lang w:eastAsia="en-US"/>
              </w:rPr>
              <w:t>I</w:t>
            </w:r>
            <w:r w:rsidR="00A708FE">
              <w:rPr>
                <w:sz w:val="22"/>
                <w:szCs w:val="22"/>
                <w:shd w:val="clear" w:color="auto" w:fill="FFFFFF"/>
                <w:lang w:eastAsia="en-US"/>
              </w:rPr>
              <w:t xml:space="preserve">mmigration </w:t>
            </w:r>
            <w:r w:rsidRPr="00240B75">
              <w:rPr>
                <w:sz w:val="22"/>
                <w:szCs w:val="22"/>
                <w:shd w:val="clear" w:color="auto" w:fill="FFFFFF"/>
                <w:lang w:eastAsia="en-US"/>
              </w:rPr>
              <w:t>D</w:t>
            </w:r>
            <w:r w:rsidR="00A708FE">
              <w:rPr>
                <w:sz w:val="22"/>
                <w:szCs w:val="22"/>
                <w:shd w:val="clear" w:color="auto" w:fill="FFFFFF"/>
                <w:lang w:eastAsia="en-US"/>
              </w:rPr>
              <w:t>etainees</w:t>
            </w:r>
            <w:r w:rsidRPr="00240B75">
              <w:rPr>
                <w:sz w:val="22"/>
                <w:szCs w:val="22"/>
                <w:shd w:val="clear" w:color="auto" w:fill="FFFFFF"/>
                <w:lang w:eastAsia="en-US"/>
              </w:rPr>
              <w:t xml:space="preserve"> provided evidence to support their intervention. </w:t>
            </w:r>
            <w:r w:rsidRPr="00240B75">
              <w:rPr>
                <w:sz w:val="22"/>
                <w:szCs w:val="22"/>
                <w:lang w:eastAsia="en-US"/>
              </w:rPr>
              <w:t xml:space="preserve">At paragraph 111, </w:t>
            </w:r>
            <w:r w:rsidRPr="00240B75">
              <w:rPr>
                <w:sz w:val="22"/>
                <w:szCs w:val="22"/>
                <w:shd w:val="clear" w:color="auto" w:fill="FFFFFF"/>
                <w:lang w:eastAsia="en-US"/>
              </w:rPr>
              <w:t xml:space="preserve">Justice </w:t>
            </w:r>
            <w:proofErr w:type="spellStart"/>
            <w:r w:rsidRPr="00240B75">
              <w:rPr>
                <w:sz w:val="22"/>
                <w:szCs w:val="22"/>
                <w:shd w:val="clear" w:color="auto" w:fill="FFFFFF"/>
                <w:lang w:eastAsia="en-US"/>
              </w:rPr>
              <w:t>Wyn</w:t>
            </w:r>
            <w:proofErr w:type="spellEnd"/>
            <w:r w:rsidRPr="00240B75">
              <w:rPr>
                <w:sz w:val="22"/>
                <w:szCs w:val="22"/>
                <w:shd w:val="clear" w:color="auto" w:fill="FFFFFF"/>
                <w:lang w:eastAsia="en-US"/>
              </w:rPr>
              <w:t xml:space="preserve"> Williams stated: </w:t>
            </w:r>
            <w:r w:rsidRPr="00240B75">
              <w:rPr>
                <w:i/>
                <w:sz w:val="22"/>
                <w:szCs w:val="22"/>
                <w:lang w:eastAsia="en-US"/>
              </w:rPr>
              <w:t xml:space="preserve">‘On the basis of the evidence adduced by the Claimants and Liberty, no one can seriously dispute that detention is capable of causing significant and, in some instances, long lasting harm to children. That emerges with clarity from the observations of HM Inspector of Prisons, the Children's Commissioner, Members of Parliament, the Independent Inspector of UKBA and the detailed evidence of Mr </w:t>
            </w:r>
            <w:proofErr w:type="spellStart"/>
            <w:r w:rsidRPr="00240B75">
              <w:rPr>
                <w:i/>
                <w:sz w:val="22"/>
                <w:szCs w:val="22"/>
                <w:lang w:eastAsia="en-US"/>
              </w:rPr>
              <w:t>Makhlouf</w:t>
            </w:r>
            <w:proofErr w:type="spellEnd"/>
            <w:r w:rsidRPr="00240B75">
              <w:rPr>
                <w:i/>
                <w:sz w:val="22"/>
                <w:szCs w:val="22"/>
                <w:lang w:eastAsia="en-US"/>
              </w:rPr>
              <w:t xml:space="preserve"> [B</w:t>
            </w:r>
            <w:r>
              <w:rPr>
                <w:i/>
                <w:sz w:val="22"/>
                <w:szCs w:val="22"/>
                <w:lang w:eastAsia="en-US"/>
              </w:rPr>
              <w:t xml:space="preserve">ail for </w:t>
            </w:r>
            <w:r w:rsidRPr="00240B75">
              <w:rPr>
                <w:i/>
                <w:sz w:val="22"/>
                <w:szCs w:val="22"/>
                <w:lang w:eastAsia="en-US"/>
              </w:rPr>
              <w:t>I</w:t>
            </w:r>
            <w:r>
              <w:rPr>
                <w:i/>
                <w:sz w:val="22"/>
                <w:szCs w:val="22"/>
                <w:lang w:eastAsia="en-US"/>
              </w:rPr>
              <w:t xml:space="preserve">mmigration </w:t>
            </w:r>
            <w:r w:rsidRPr="00240B75">
              <w:rPr>
                <w:i/>
                <w:sz w:val="22"/>
                <w:szCs w:val="22"/>
                <w:lang w:eastAsia="en-US"/>
              </w:rPr>
              <w:t>D</w:t>
            </w:r>
            <w:r>
              <w:rPr>
                <w:i/>
                <w:sz w:val="22"/>
                <w:szCs w:val="22"/>
                <w:lang w:eastAsia="en-US"/>
              </w:rPr>
              <w:t>etainees</w:t>
            </w:r>
            <w:r w:rsidRPr="00240B75">
              <w:rPr>
                <w:i/>
                <w:sz w:val="22"/>
                <w:szCs w:val="22"/>
                <w:lang w:eastAsia="en-US"/>
              </w:rPr>
              <w:t xml:space="preserve">].’ </w:t>
            </w:r>
          </w:p>
          <w:p w:rsidR="00DB683E" w:rsidRDefault="00DB683E" w:rsidP="00274331">
            <w:pPr>
              <w:shd w:val="clear" w:color="auto" w:fill="FFFFFF"/>
              <w:suppressAutoHyphens w:val="0"/>
              <w:spacing w:line="276" w:lineRule="auto"/>
              <w:textAlignment w:val="baseline"/>
              <w:rPr>
                <w:i/>
                <w:sz w:val="22"/>
                <w:szCs w:val="22"/>
                <w:lang w:eastAsia="en-US"/>
              </w:rPr>
            </w:pPr>
          </w:p>
          <w:p w:rsidR="00DB683E" w:rsidRPr="00240B75" w:rsidRDefault="00DB683E" w:rsidP="00274331">
            <w:pPr>
              <w:shd w:val="clear" w:color="auto" w:fill="FFFFFF"/>
              <w:suppressAutoHyphens w:val="0"/>
              <w:spacing w:line="276" w:lineRule="auto"/>
              <w:textAlignment w:val="baseline"/>
              <w:rPr>
                <w:sz w:val="22"/>
                <w:szCs w:val="22"/>
                <w:shd w:val="clear" w:color="auto" w:fill="FFFFFF"/>
                <w:lang w:eastAsia="en-US"/>
              </w:rPr>
            </w:pPr>
            <w:r w:rsidRPr="00240B75">
              <w:rPr>
                <w:sz w:val="22"/>
                <w:szCs w:val="22"/>
                <w:shd w:val="clear" w:color="auto" w:fill="FFFFFF"/>
                <w:lang w:eastAsia="en-US"/>
              </w:rPr>
              <w:t>Since this judgment, there have been improvements to Government policy on ch</w:t>
            </w:r>
            <w:r>
              <w:rPr>
                <w:sz w:val="22"/>
                <w:szCs w:val="22"/>
                <w:shd w:val="clear" w:color="auto" w:fill="FFFFFF"/>
                <w:lang w:eastAsia="en-US"/>
              </w:rPr>
              <w:t xml:space="preserve">ild detention, and far fewer children are detained. In </w:t>
            </w:r>
            <w:r w:rsidRPr="00240B75">
              <w:rPr>
                <w:sz w:val="22"/>
                <w:szCs w:val="22"/>
                <w:shd w:val="clear" w:color="auto" w:fill="FFFFFF"/>
                <w:lang w:eastAsia="en-US"/>
              </w:rPr>
              <w:t xml:space="preserve">this judgment, Justice </w:t>
            </w:r>
            <w:proofErr w:type="spellStart"/>
            <w:r w:rsidRPr="00240B75">
              <w:rPr>
                <w:sz w:val="22"/>
                <w:szCs w:val="22"/>
                <w:shd w:val="clear" w:color="auto" w:fill="FFFFFF"/>
                <w:lang w:eastAsia="en-US"/>
              </w:rPr>
              <w:t>Wyn</w:t>
            </w:r>
            <w:proofErr w:type="spellEnd"/>
            <w:r w:rsidRPr="00240B75">
              <w:rPr>
                <w:sz w:val="22"/>
                <w:szCs w:val="22"/>
                <w:shd w:val="clear" w:color="auto" w:fill="FFFFFF"/>
                <w:lang w:eastAsia="en-US"/>
              </w:rPr>
              <w:t xml:space="preserve"> Williams is critical of the Home Office’s failure to properly communicate the option of voluntary return to </w:t>
            </w:r>
            <w:r>
              <w:rPr>
                <w:sz w:val="22"/>
                <w:szCs w:val="22"/>
                <w:shd w:val="clear" w:color="auto" w:fill="FFFFFF"/>
                <w:lang w:eastAsia="en-US"/>
              </w:rPr>
              <w:t>families</w:t>
            </w:r>
            <w:r w:rsidRPr="00240B75">
              <w:rPr>
                <w:sz w:val="22"/>
                <w:szCs w:val="22"/>
                <w:shd w:val="clear" w:color="auto" w:fill="FFFFFF"/>
                <w:lang w:eastAsia="en-US"/>
              </w:rPr>
              <w:t xml:space="preserve"> before their detention. </w:t>
            </w:r>
            <w:r>
              <w:rPr>
                <w:sz w:val="22"/>
                <w:szCs w:val="22"/>
                <w:shd w:val="clear" w:color="auto" w:fill="FFFFFF"/>
                <w:lang w:eastAsia="en-US"/>
              </w:rPr>
              <w:t xml:space="preserve">Subsequently, the Home Office changed their policy to ensure that </w:t>
            </w:r>
            <w:r w:rsidRPr="00240B75">
              <w:rPr>
                <w:sz w:val="22"/>
                <w:szCs w:val="22"/>
                <w:shd w:val="clear" w:color="auto" w:fill="FFFFFF"/>
                <w:lang w:eastAsia="en-US"/>
              </w:rPr>
              <w:t xml:space="preserve">families are given </w:t>
            </w:r>
            <w:r>
              <w:rPr>
                <w:sz w:val="22"/>
                <w:szCs w:val="22"/>
                <w:shd w:val="clear" w:color="auto" w:fill="FFFFFF"/>
                <w:lang w:eastAsia="en-US"/>
              </w:rPr>
              <w:t>at least</w:t>
            </w:r>
            <w:r w:rsidRPr="00240B75">
              <w:rPr>
                <w:sz w:val="22"/>
                <w:szCs w:val="22"/>
                <w:shd w:val="clear" w:color="auto" w:fill="FFFFFF"/>
                <w:lang w:eastAsia="en-US"/>
              </w:rPr>
              <w:t xml:space="preserve"> 4 weeks to consider returning voluntarily or by ‘</w:t>
            </w:r>
            <w:proofErr w:type="spellStart"/>
            <w:r w:rsidRPr="00240B75">
              <w:rPr>
                <w:sz w:val="22"/>
                <w:szCs w:val="22"/>
                <w:shd w:val="clear" w:color="auto" w:fill="FFFFFF"/>
                <w:lang w:eastAsia="en-US"/>
              </w:rPr>
              <w:t>self check-in</w:t>
            </w:r>
            <w:proofErr w:type="spellEnd"/>
            <w:r w:rsidRPr="00240B75">
              <w:rPr>
                <w:sz w:val="22"/>
                <w:szCs w:val="22"/>
                <w:shd w:val="clear" w:color="auto" w:fill="FFFFFF"/>
                <w:lang w:eastAsia="en-US"/>
              </w:rPr>
              <w:t>’ before any enforcement action.</w:t>
            </w:r>
            <w:r w:rsidRPr="00240B75">
              <w:rPr>
                <w:shd w:val="clear" w:color="auto" w:fill="FFFFFF"/>
                <w:vertAlign w:val="superscript"/>
                <w:lang w:eastAsia="en-US"/>
              </w:rPr>
              <w:footnoteReference w:id="11"/>
            </w:r>
          </w:p>
        </w:tc>
      </w:tr>
    </w:tbl>
    <w:p w:rsidR="00DB683E" w:rsidRDefault="00DB683E" w:rsidP="00DB683E">
      <w:pPr>
        <w:suppressAutoHyphens w:val="0"/>
        <w:spacing w:after="200" w:line="276" w:lineRule="auto"/>
        <w:contextualSpacing/>
        <w:rPr>
          <w:rFonts w:eastAsia="Calibri"/>
          <w:b/>
          <w:sz w:val="22"/>
          <w:szCs w:val="22"/>
          <w:shd w:val="clear" w:color="auto" w:fill="FFFFFF"/>
          <w:lang w:eastAsia="en-US"/>
        </w:rPr>
      </w:pPr>
    </w:p>
    <w:p w:rsidR="00037686" w:rsidRDefault="00037686" w:rsidP="00DB683E">
      <w:pPr>
        <w:suppressAutoHyphens w:val="0"/>
        <w:spacing w:after="200" w:line="276" w:lineRule="auto"/>
        <w:contextualSpacing/>
        <w:rPr>
          <w:rFonts w:eastAsia="Calibri"/>
          <w:b/>
          <w:sz w:val="22"/>
          <w:szCs w:val="22"/>
          <w:shd w:val="clear" w:color="auto" w:fill="FFFFFF"/>
          <w:lang w:eastAsia="en-US"/>
        </w:rPr>
      </w:pPr>
    </w:p>
    <w:p w:rsidR="006409E9" w:rsidRDefault="00BB27CE" w:rsidP="006409E9">
      <w:pPr>
        <w:tabs>
          <w:tab w:val="left" w:pos="1701"/>
          <w:tab w:val="left" w:pos="4860"/>
        </w:tabs>
        <w:ind w:left="60"/>
        <w:rPr>
          <w:b/>
          <w:sz w:val="22"/>
          <w:szCs w:val="22"/>
        </w:rPr>
      </w:pPr>
      <w:r>
        <w:rPr>
          <w:b/>
          <w:sz w:val="22"/>
          <w:szCs w:val="22"/>
        </w:rPr>
        <w:lastRenderedPageBreak/>
        <w:t>The ‘residence test’</w:t>
      </w:r>
    </w:p>
    <w:p w:rsidR="00BB27CE" w:rsidRDefault="00BB27CE" w:rsidP="006409E9">
      <w:pPr>
        <w:tabs>
          <w:tab w:val="left" w:pos="1701"/>
          <w:tab w:val="left" w:pos="4860"/>
        </w:tabs>
        <w:ind w:left="60"/>
        <w:rPr>
          <w:b/>
          <w:sz w:val="22"/>
          <w:szCs w:val="22"/>
        </w:rPr>
      </w:pPr>
    </w:p>
    <w:p w:rsidR="00DF3EB6" w:rsidRDefault="00DF3EB6" w:rsidP="00DF3EB6">
      <w:pPr>
        <w:tabs>
          <w:tab w:val="left" w:pos="1701"/>
          <w:tab w:val="left" w:pos="4860"/>
        </w:tabs>
        <w:ind w:left="60"/>
        <w:rPr>
          <w:rFonts w:eastAsia="Calibri"/>
          <w:sz w:val="22"/>
          <w:szCs w:val="22"/>
          <w:lang w:eastAsia="en-US"/>
        </w:rPr>
      </w:pPr>
      <w:r>
        <w:rPr>
          <w:sz w:val="22"/>
          <w:szCs w:val="22"/>
        </w:rPr>
        <w:t>In July 2014, the UK parliament’s House of Commons considered secondary legislation which would introduce a ‘residence test’ for civil legal aid.</w:t>
      </w:r>
      <w:r>
        <w:rPr>
          <w:rStyle w:val="FootnoteReference"/>
          <w:sz w:val="22"/>
          <w:szCs w:val="22"/>
        </w:rPr>
        <w:footnoteReference w:id="12"/>
      </w:r>
      <w:r>
        <w:rPr>
          <w:sz w:val="22"/>
          <w:szCs w:val="22"/>
        </w:rPr>
        <w:t xml:space="preserve"> </w:t>
      </w:r>
      <w:r>
        <w:rPr>
          <w:rFonts w:eastAsia="Calibri"/>
          <w:sz w:val="22"/>
          <w:szCs w:val="22"/>
          <w:lang w:eastAsia="en-US"/>
        </w:rPr>
        <w:t>The residence test would</w:t>
      </w:r>
      <w:r w:rsidRPr="003E3EB8">
        <w:rPr>
          <w:rFonts w:eastAsia="Calibri"/>
          <w:sz w:val="22"/>
          <w:szCs w:val="22"/>
          <w:lang w:eastAsia="en-US"/>
        </w:rPr>
        <w:t xml:space="preserve"> limit </w:t>
      </w:r>
      <w:r>
        <w:rPr>
          <w:rFonts w:eastAsia="Calibri"/>
          <w:sz w:val="22"/>
          <w:szCs w:val="22"/>
          <w:lang w:eastAsia="en-US"/>
        </w:rPr>
        <w:t>access to</w:t>
      </w:r>
      <w:r w:rsidRPr="003E3EB8">
        <w:rPr>
          <w:rFonts w:eastAsia="Calibri"/>
          <w:sz w:val="22"/>
          <w:szCs w:val="22"/>
          <w:lang w:eastAsia="en-US"/>
        </w:rPr>
        <w:t xml:space="preserve"> legal aid to those who are</w:t>
      </w:r>
      <w:r>
        <w:rPr>
          <w:rFonts w:eastAsia="Calibri"/>
          <w:sz w:val="22"/>
          <w:szCs w:val="22"/>
          <w:lang w:eastAsia="en-US"/>
        </w:rPr>
        <w:t xml:space="preserve"> </w:t>
      </w:r>
      <w:r w:rsidRPr="003E3EB8">
        <w:rPr>
          <w:rFonts w:eastAsia="Calibri"/>
          <w:sz w:val="22"/>
          <w:szCs w:val="22"/>
          <w:lang w:eastAsia="en-US"/>
        </w:rPr>
        <w:t>a) lawfully resident</w:t>
      </w:r>
      <w:r>
        <w:rPr>
          <w:rFonts w:eastAsia="Calibri"/>
          <w:sz w:val="22"/>
          <w:szCs w:val="22"/>
          <w:lang w:eastAsia="en-US"/>
        </w:rPr>
        <w:t xml:space="preserve"> in the UK</w:t>
      </w:r>
      <w:r w:rsidRPr="003E3EB8">
        <w:rPr>
          <w:rFonts w:eastAsia="Calibri"/>
          <w:sz w:val="22"/>
          <w:szCs w:val="22"/>
          <w:lang w:eastAsia="en-US"/>
        </w:rPr>
        <w:t xml:space="preserve"> on the day of application and</w:t>
      </w:r>
      <w:r>
        <w:rPr>
          <w:rFonts w:eastAsia="Calibri"/>
          <w:sz w:val="22"/>
          <w:szCs w:val="22"/>
          <w:lang w:eastAsia="en-US"/>
        </w:rPr>
        <w:t xml:space="preserve"> </w:t>
      </w:r>
      <w:r w:rsidRPr="003E3EB8">
        <w:rPr>
          <w:rFonts w:eastAsia="Calibri"/>
          <w:sz w:val="22"/>
          <w:szCs w:val="22"/>
          <w:lang w:eastAsia="en-US"/>
        </w:rPr>
        <w:t>b) have</w:t>
      </w:r>
      <w:r>
        <w:rPr>
          <w:rFonts w:eastAsia="Calibri"/>
          <w:sz w:val="22"/>
          <w:szCs w:val="22"/>
          <w:lang w:eastAsia="en-US"/>
        </w:rPr>
        <w:t xml:space="preserve"> previously</w:t>
      </w:r>
      <w:r w:rsidRPr="003E3EB8">
        <w:rPr>
          <w:rFonts w:eastAsia="Calibri"/>
          <w:sz w:val="22"/>
          <w:szCs w:val="22"/>
          <w:lang w:eastAsia="en-US"/>
        </w:rPr>
        <w:t xml:space="preserve"> </w:t>
      </w:r>
      <w:r>
        <w:rPr>
          <w:rFonts w:eastAsia="Calibri"/>
          <w:sz w:val="22"/>
          <w:szCs w:val="22"/>
          <w:lang w:eastAsia="en-US"/>
        </w:rPr>
        <w:t>lawfully resided in the UK for</w:t>
      </w:r>
      <w:r w:rsidRPr="003E3EB8">
        <w:rPr>
          <w:rFonts w:eastAsia="Calibri"/>
          <w:sz w:val="22"/>
          <w:szCs w:val="22"/>
          <w:lang w:eastAsia="en-US"/>
        </w:rPr>
        <w:t xml:space="preserve"> one year</w:t>
      </w:r>
      <w:r>
        <w:rPr>
          <w:rFonts w:eastAsia="Calibri"/>
          <w:sz w:val="22"/>
          <w:szCs w:val="22"/>
          <w:lang w:eastAsia="en-US"/>
        </w:rPr>
        <w:t xml:space="preserve">. </w:t>
      </w:r>
    </w:p>
    <w:p w:rsidR="00DF3EB6" w:rsidRDefault="00DF3EB6" w:rsidP="00DF3EB6">
      <w:pPr>
        <w:suppressAutoHyphens w:val="0"/>
        <w:spacing w:line="276" w:lineRule="auto"/>
        <w:rPr>
          <w:rFonts w:eastAsia="Calibri"/>
          <w:sz w:val="22"/>
          <w:szCs w:val="22"/>
          <w:lang w:eastAsia="en-US"/>
        </w:rPr>
      </w:pPr>
    </w:p>
    <w:p w:rsidR="00DF3EB6" w:rsidRPr="005D31C0" w:rsidRDefault="00DF3EB6" w:rsidP="00DF3EB6">
      <w:pPr>
        <w:suppressAutoHyphens w:val="0"/>
        <w:autoSpaceDE w:val="0"/>
        <w:autoSpaceDN w:val="0"/>
        <w:adjustRightInd w:val="0"/>
        <w:rPr>
          <w:color w:val="000000"/>
          <w:sz w:val="22"/>
          <w:szCs w:val="22"/>
          <w:u w:val="single"/>
          <w:lang w:eastAsia="en-GB"/>
        </w:rPr>
      </w:pPr>
      <w:r w:rsidRPr="005D31C0">
        <w:rPr>
          <w:color w:val="000000"/>
          <w:sz w:val="22"/>
          <w:szCs w:val="22"/>
          <w:lang w:eastAsia="en-GB"/>
        </w:rPr>
        <w:t xml:space="preserve">The vast majority of immigration claims are already out of </w:t>
      </w:r>
      <w:r>
        <w:rPr>
          <w:color w:val="000000"/>
          <w:sz w:val="22"/>
          <w:szCs w:val="22"/>
          <w:lang w:eastAsia="en-GB"/>
        </w:rPr>
        <w:t xml:space="preserve">the </w:t>
      </w:r>
      <w:r w:rsidRPr="005D31C0">
        <w:rPr>
          <w:color w:val="000000"/>
          <w:sz w:val="22"/>
          <w:szCs w:val="22"/>
          <w:lang w:eastAsia="en-GB"/>
        </w:rPr>
        <w:t xml:space="preserve">scope </w:t>
      </w:r>
      <w:r>
        <w:rPr>
          <w:color w:val="000000"/>
          <w:sz w:val="22"/>
          <w:szCs w:val="22"/>
          <w:lang w:eastAsia="en-GB"/>
        </w:rPr>
        <w:t>of</w:t>
      </w:r>
      <w:r w:rsidRPr="005D31C0">
        <w:rPr>
          <w:color w:val="000000"/>
          <w:sz w:val="22"/>
          <w:szCs w:val="22"/>
          <w:lang w:eastAsia="en-GB"/>
        </w:rPr>
        <w:t xml:space="preserve"> legal aid funding, following the Legal Aid, Sentencing and Punishment of Offenders Act 2012. The residence test would prevent </w:t>
      </w:r>
      <w:r>
        <w:rPr>
          <w:color w:val="000000"/>
          <w:sz w:val="22"/>
          <w:szCs w:val="22"/>
          <w:lang w:eastAsia="en-GB"/>
        </w:rPr>
        <w:t>undocumented migrants</w:t>
      </w:r>
      <w:r w:rsidRPr="005D31C0">
        <w:rPr>
          <w:color w:val="000000"/>
          <w:sz w:val="22"/>
          <w:szCs w:val="22"/>
          <w:lang w:eastAsia="en-GB"/>
        </w:rPr>
        <w:t xml:space="preserve"> accessing civil legal aid, for example to challenge unlawful </w:t>
      </w:r>
      <w:r>
        <w:rPr>
          <w:color w:val="000000"/>
          <w:sz w:val="22"/>
          <w:szCs w:val="22"/>
          <w:lang w:eastAsia="en-GB"/>
        </w:rPr>
        <w:t>acts</w:t>
      </w:r>
      <w:r w:rsidRPr="005D31C0">
        <w:rPr>
          <w:color w:val="000000"/>
          <w:sz w:val="22"/>
          <w:szCs w:val="22"/>
          <w:lang w:eastAsia="en-GB"/>
        </w:rPr>
        <w:t xml:space="preserve"> by the UK Government. Immigration detainees would be prevented</w:t>
      </w:r>
      <w:r>
        <w:rPr>
          <w:color w:val="000000"/>
          <w:sz w:val="22"/>
          <w:szCs w:val="22"/>
          <w:lang w:eastAsia="en-GB"/>
        </w:rPr>
        <w:t xml:space="preserve"> </w:t>
      </w:r>
      <w:r w:rsidRPr="00885A2B">
        <w:rPr>
          <w:color w:val="000000"/>
          <w:sz w:val="22"/>
          <w:szCs w:val="22"/>
          <w:lang w:eastAsia="en-GB"/>
        </w:rPr>
        <w:t>from accessing legal aid to</w:t>
      </w:r>
      <w:r>
        <w:rPr>
          <w:color w:val="000000"/>
          <w:sz w:val="22"/>
          <w:szCs w:val="22"/>
          <w:lang w:eastAsia="en-GB"/>
        </w:rPr>
        <w:t xml:space="preserve">: </w:t>
      </w:r>
    </w:p>
    <w:p w:rsidR="00DF3EB6" w:rsidRDefault="00DF3EB6" w:rsidP="00DF3EB6">
      <w:pPr>
        <w:pStyle w:val="ListParagraph"/>
        <w:numPr>
          <w:ilvl w:val="0"/>
          <w:numId w:val="14"/>
        </w:numPr>
        <w:suppressAutoHyphens w:val="0"/>
        <w:autoSpaceDE w:val="0"/>
        <w:autoSpaceDN w:val="0"/>
        <w:adjustRightInd w:val="0"/>
        <w:rPr>
          <w:color w:val="000000"/>
          <w:sz w:val="22"/>
          <w:szCs w:val="22"/>
          <w:lang w:eastAsia="en-GB"/>
        </w:rPr>
      </w:pPr>
      <w:r w:rsidRPr="0063653B">
        <w:rPr>
          <w:color w:val="000000"/>
          <w:sz w:val="22"/>
          <w:szCs w:val="22"/>
          <w:lang w:eastAsia="en-GB"/>
        </w:rPr>
        <w:t xml:space="preserve">bring civil claims seeking </w:t>
      </w:r>
      <w:r w:rsidRPr="00DF3EB6">
        <w:rPr>
          <w:color w:val="000000"/>
          <w:sz w:val="22"/>
          <w:szCs w:val="22"/>
          <w:lang w:eastAsia="en-GB"/>
        </w:rPr>
        <w:t>compensation</w:t>
      </w:r>
      <w:r w:rsidRPr="0063653B">
        <w:rPr>
          <w:color w:val="000000"/>
          <w:sz w:val="22"/>
          <w:szCs w:val="22"/>
          <w:lang w:eastAsia="en-GB"/>
        </w:rPr>
        <w:t xml:space="preserve"> for unlawful detention</w:t>
      </w:r>
      <w:r>
        <w:rPr>
          <w:color w:val="000000"/>
          <w:sz w:val="22"/>
          <w:szCs w:val="22"/>
          <w:lang w:eastAsia="en-GB"/>
        </w:rPr>
        <w:t xml:space="preserve"> after release</w:t>
      </w:r>
      <w:r w:rsidRPr="0063653B">
        <w:rPr>
          <w:color w:val="000000"/>
          <w:sz w:val="22"/>
          <w:szCs w:val="22"/>
          <w:lang w:eastAsia="en-GB"/>
        </w:rPr>
        <w:t xml:space="preserve"> </w:t>
      </w:r>
    </w:p>
    <w:p w:rsidR="00DF3EB6" w:rsidRDefault="00DF3EB6" w:rsidP="00DF3EB6">
      <w:pPr>
        <w:pStyle w:val="ListParagraph"/>
        <w:numPr>
          <w:ilvl w:val="0"/>
          <w:numId w:val="14"/>
        </w:numPr>
        <w:suppressAutoHyphens w:val="0"/>
        <w:autoSpaceDE w:val="0"/>
        <w:autoSpaceDN w:val="0"/>
        <w:adjustRightInd w:val="0"/>
        <w:rPr>
          <w:color w:val="000000"/>
          <w:sz w:val="22"/>
          <w:szCs w:val="22"/>
          <w:lang w:eastAsia="en-GB"/>
        </w:rPr>
      </w:pPr>
      <w:r w:rsidRPr="0063653B">
        <w:rPr>
          <w:color w:val="000000"/>
          <w:sz w:val="22"/>
          <w:szCs w:val="22"/>
          <w:lang w:eastAsia="en-GB"/>
        </w:rPr>
        <w:t>challenge abuse suffered</w:t>
      </w:r>
      <w:r>
        <w:rPr>
          <w:color w:val="000000"/>
          <w:sz w:val="22"/>
          <w:szCs w:val="22"/>
          <w:lang w:eastAsia="en-GB"/>
        </w:rPr>
        <w:t xml:space="preserve"> in detention</w:t>
      </w:r>
    </w:p>
    <w:p w:rsidR="006C74B9" w:rsidRDefault="006C74B9" w:rsidP="00496A32">
      <w:pPr>
        <w:tabs>
          <w:tab w:val="left" w:pos="1701"/>
          <w:tab w:val="left" w:pos="4860"/>
        </w:tabs>
        <w:rPr>
          <w:sz w:val="22"/>
          <w:szCs w:val="22"/>
        </w:rPr>
      </w:pPr>
    </w:p>
    <w:p w:rsidR="005E14CB" w:rsidRDefault="005E14CB" w:rsidP="00496A32">
      <w:pPr>
        <w:tabs>
          <w:tab w:val="left" w:pos="1701"/>
          <w:tab w:val="left" w:pos="4860"/>
        </w:tabs>
        <w:rPr>
          <w:sz w:val="22"/>
          <w:szCs w:val="22"/>
        </w:rPr>
      </w:pPr>
      <w:r w:rsidRPr="00A55FC0">
        <w:rPr>
          <w:sz w:val="22"/>
          <w:szCs w:val="22"/>
        </w:rPr>
        <w:t>As is noted on page</w:t>
      </w:r>
      <w:r w:rsidR="00A55FC0" w:rsidRPr="00A55FC0">
        <w:rPr>
          <w:sz w:val="22"/>
          <w:szCs w:val="22"/>
        </w:rPr>
        <w:t xml:space="preserve"> 2, and below on pages 6 and 7</w:t>
      </w:r>
      <w:r w:rsidRPr="00A55FC0">
        <w:rPr>
          <w:sz w:val="22"/>
          <w:szCs w:val="22"/>
        </w:rPr>
        <w:t>,</w:t>
      </w:r>
      <w:r>
        <w:rPr>
          <w:sz w:val="22"/>
          <w:szCs w:val="22"/>
        </w:rPr>
        <w:t xml:space="preserve"> there have been numerous cases in which the courts have awarded ex-detainees compensation for unlawful detention, and found that detainees have been suffered mistreatment. If the residence test is introduced, the Home Office will be able to maltreat immigration detainees with impunity.  </w:t>
      </w:r>
    </w:p>
    <w:p w:rsidR="005E14CB" w:rsidRDefault="005E14CB" w:rsidP="00496A32">
      <w:pPr>
        <w:tabs>
          <w:tab w:val="left" w:pos="1701"/>
          <w:tab w:val="left" w:pos="4860"/>
        </w:tabs>
        <w:rPr>
          <w:sz w:val="22"/>
          <w:szCs w:val="22"/>
        </w:rPr>
      </w:pPr>
    </w:p>
    <w:p w:rsidR="00496A32" w:rsidRDefault="00DF3EB6" w:rsidP="00496A32">
      <w:pPr>
        <w:tabs>
          <w:tab w:val="left" w:pos="1701"/>
          <w:tab w:val="left" w:pos="4860"/>
        </w:tabs>
        <w:rPr>
          <w:sz w:val="22"/>
          <w:szCs w:val="22"/>
        </w:rPr>
      </w:pPr>
      <w:r>
        <w:rPr>
          <w:rFonts w:eastAsia="Calibri"/>
          <w:sz w:val="22"/>
          <w:szCs w:val="22"/>
          <w:lang w:eastAsia="en-US"/>
        </w:rPr>
        <w:t xml:space="preserve">Certain exceptions are provided. It would still be possible for immigration detainees who fail the residence test to access legal aid for judicial reviews challenging the legality of their detention.  </w:t>
      </w:r>
    </w:p>
    <w:p w:rsidR="00496A32" w:rsidRDefault="00496A32" w:rsidP="009D2B53">
      <w:pPr>
        <w:tabs>
          <w:tab w:val="left" w:pos="1701"/>
          <w:tab w:val="left" w:pos="4860"/>
        </w:tabs>
        <w:rPr>
          <w:sz w:val="22"/>
          <w:szCs w:val="22"/>
        </w:rPr>
      </w:pPr>
    </w:p>
    <w:p w:rsidR="00DF3EB6" w:rsidRDefault="00DF3EB6" w:rsidP="009D2B53">
      <w:pPr>
        <w:tabs>
          <w:tab w:val="left" w:pos="1701"/>
          <w:tab w:val="left" w:pos="4860"/>
        </w:tabs>
        <w:rPr>
          <w:sz w:val="22"/>
          <w:szCs w:val="22"/>
        </w:rPr>
      </w:pPr>
      <w:r>
        <w:rPr>
          <w:sz w:val="22"/>
          <w:szCs w:val="22"/>
        </w:rPr>
        <w:t>The residence test regulations were passed by the House of Commons. However, before the regulations were considered by the House of Lords, the residence test was found to be unlawful by the High Court.</w:t>
      </w:r>
      <w:r>
        <w:rPr>
          <w:rStyle w:val="FootnoteReference"/>
          <w:sz w:val="22"/>
          <w:szCs w:val="22"/>
        </w:rPr>
        <w:footnoteReference w:id="13"/>
      </w:r>
      <w:r>
        <w:rPr>
          <w:sz w:val="22"/>
          <w:szCs w:val="22"/>
        </w:rPr>
        <w:t xml:space="preserve">  </w:t>
      </w:r>
      <w:r w:rsidR="005E14CB">
        <w:rPr>
          <w:sz w:val="22"/>
          <w:szCs w:val="22"/>
        </w:rPr>
        <w:t xml:space="preserve">In the judgment, </w:t>
      </w:r>
      <w:r w:rsidR="005E14CB" w:rsidRPr="005E14CB">
        <w:rPr>
          <w:sz w:val="22"/>
          <w:szCs w:val="22"/>
        </w:rPr>
        <w:t>Lord Justice Moses</w:t>
      </w:r>
      <w:r w:rsidR="005E14CB">
        <w:rPr>
          <w:sz w:val="22"/>
          <w:szCs w:val="22"/>
        </w:rPr>
        <w:t xml:space="preserve"> finds that it is ‘</w:t>
      </w:r>
      <w:r w:rsidRPr="00DF3EB6">
        <w:rPr>
          <w:sz w:val="22"/>
          <w:szCs w:val="22"/>
        </w:rPr>
        <w:t>beyond question that the introduction of such a test is discriminatory</w:t>
      </w:r>
      <w:r w:rsidR="005E14CB">
        <w:rPr>
          <w:sz w:val="22"/>
          <w:szCs w:val="22"/>
        </w:rPr>
        <w:t xml:space="preserve">.’ The Ministry of Justice are appealing the court’s decision. </w:t>
      </w:r>
    </w:p>
    <w:p w:rsidR="005E14CB" w:rsidRDefault="005E14CB" w:rsidP="009D2B53">
      <w:pPr>
        <w:tabs>
          <w:tab w:val="left" w:pos="1701"/>
          <w:tab w:val="left" w:pos="4860"/>
        </w:tabs>
        <w:rPr>
          <w:sz w:val="22"/>
          <w:szCs w:val="22"/>
        </w:rPr>
      </w:pPr>
    </w:p>
    <w:p w:rsidR="005E14CB" w:rsidRPr="007D698A" w:rsidRDefault="005E14CB" w:rsidP="005E14CB">
      <w:pPr>
        <w:tabs>
          <w:tab w:val="left" w:pos="1701"/>
          <w:tab w:val="left" w:pos="4860"/>
        </w:tabs>
        <w:rPr>
          <w:rFonts w:eastAsia="Calibri"/>
          <w:b/>
          <w:sz w:val="22"/>
          <w:szCs w:val="22"/>
          <w:lang w:eastAsia="en-US"/>
        </w:rPr>
      </w:pPr>
      <w:r>
        <w:rPr>
          <w:sz w:val="22"/>
          <w:szCs w:val="22"/>
        </w:rPr>
        <w:t xml:space="preserve">The Ministry of Justice argues that ‘Exceptional Case Funding’ would provide a safety net for people affected by the residence test. The shortcomings of this scheme are set out </w:t>
      </w:r>
      <w:r w:rsidRPr="00A55FC0">
        <w:rPr>
          <w:sz w:val="22"/>
          <w:szCs w:val="22"/>
        </w:rPr>
        <w:t xml:space="preserve">on </w:t>
      </w:r>
      <w:r w:rsidR="00A55FC0" w:rsidRPr="00A55FC0">
        <w:rPr>
          <w:sz w:val="22"/>
          <w:szCs w:val="22"/>
        </w:rPr>
        <w:t>p3</w:t>
      </w:r>
      <w:r w:rsidRPr="00A55FC0">
        <w:rPr>
          <w:sz w:val="22"/>
          <w:szCs w:val="22"/>
        </w:rPr>
        <w:t>.</w:t>
      </w:r>
      <w:r>
        <w:rPr>
          <w:sz w:val="22"/>
          <w:szCs w:val="22"/>
        </w:rPr>
        <w:t xml:space="preserve"> </w:t>
      </w:r>
    </w:p>
    <w:p w:rsidR="005E14CB" w:rsidRDefault="005E14CB" w:rsidP="009D2B53">
      <w:pPr>
        <w:tabs>
          <w:tab w:val="left" w:pos="1701"/>
          <w:tab w:val="left" w:pos="4860"/>
        </w:tabs>
        <w:rPr>
          <w:sz w:val="22"/>
          <w:szCs w:val="22"/>
        </w:rPr>
      </w:pPr>
    </w:p>
    <w:p w:rsidR="002B25B1" w:rsidRPr="005E14CB" w:rsidRDefault="002B25B1" w:rsidP="002B25B1">
      <w:pPr>
        <w:tabs>
          <w:tab w:val="left" w:pos="1701"/>
          <w:tab w:val="left" w:pos="4860"/>
        </w:tabs>
        <w:rPr>
          <w:b/>
          <w:szCs w:val="28"/>
        </w:rPr>
      </w:pPr>
      <w:r w:rsidRPr="005E14CB">
        <w:rPr>
          <w:b/>
          <w:szCs w:val="28"/>
        </w:rPr>
        <w:t>Article 10</w:t>
      </w:r>
      <w:r w:rsidR="00D242A8">
        <w:rPr>
          <w:b/>
          <w:szCs w:val="28"/>
        </w:rPr>
        <w:t xml:space="preserve">(1) </w:t>
      </w:r>
    </w:p>
    <w:p w:rsidR="005E14CB" w:rsidRDefault="005E14CB" w:rsidP="002B25B1">
      <w:pPr>
        <w:tabs>
          <w:tab w:val="left" w:pos="1701"/>
          <w:tab w:val="left" w:pos="4860"/>
        </w:tabs>
        <w:rPr>
          <w:sz w:val="22"/>
          <w:szCs w:val="22"/>
        </w:rPr>
      </w:pPr>
    </w:p>
    <w:p w:rsidR="00B477E4" w:rsidRPr="005C18BA" w:rsidRDefault="00B477E4" w:rsidP="00B477E4">
      <w:pPr>
        <w:suppressAutoHyphens w:val="0"/>
        <w:spacing w:line="276" w:lineRule="auto"/>
        <w:rPr>
          <w:rFonts w:eastAsia="Calibri"/>
          <w:sz w:val="22"/>
          <w:szCs w:val="22"/>
          <w:shd w:val="clear" w:color="auto" w:fill="FFFFFF"/>
          <w:lang w:eastAsia="en-US"/>
        </w:rPr>
      </w:pPr>
      <w:r>
        <w:rPr>
          <w:rFonts w:eastAsia="Calibri"/>
          <w:sz w:val="22"/>
          <w:szCs w:val="22"/>
          <w:shd w:val="clear" w:color="auto" w:fill="FFFFFF"/>
          <w:lang w:eastAsia="en-US"/>
        </w:rPr>
        <w:t>There are numerous examples of cases where detainees have been maltreated. In 2013, an 84 year old terminally ill man with dementia died after having been handcuffed by immigration staff for five hours. The handcuffs</w:t>
      </w:r>
      <w:r w:rsidRPr="00352421">
        <w:rPr>
          <w:rFonts w:eastAsia="Calibri"/>
          <w:sz w:val="22"/>
          <w:szCs w:val="22"/>
          <w:shd w:val="clear" w:color="auto" w:fill="FFFFFF"/>
          <w:lang w:eastAsia="en-US"/>
        </w:rPr>
        <w:t xml:space="preserve"> were only removed after his heart had stopped.</w:t>
      </w:r>
      <w:r>
        <w:rPr>
          <w:rStyle w:val="FootnoteReference"/>
          <w:rFonts w:eastAsia="Calibri"/>
          <w:sz w:val="22"/>
          <w:szCs w:val="22"/>
          <w:shd w:val="clear" w:color="auto" w:fill="FFFFFF"/>
          <w:lang w:eastAsia="en-US"/>
        </w:rPr>
        <w:footnoteReference w:id="14"/>
      </w:r>
      <w:r>
        <w:rPr>
          <w:rFonts w:eastAsia="Calibri"/>
          <w:sz w:val="22"/>
          <w:szCs w:val="22"/>
          <w:shd w:val="clear" w:color="auto" w:fill="FFFFFF"/>
          <w:lang w:eastAsia="en-US"/>
        </w:rPr>
        <w:t xml:space="preserve"> In the last seven years, </w:t>
      </w:r>
      <w:r w:rsidRPr="00CB15FE">
        <w:rPr>
          <w:rFonts w:eastAsia="Calibri"/>
          <w:sz w:val="22"/>
          <w:szCs w:val="22"/>
          <w:shd w:val="clear" w:color="auto" w:fill="FFFFFF"/>
          <w:lang w:eastAsia="en-US"/>
        </w:rPr>
        <w:t xml:space="preserve">10 </w:t>
      </w:r>
      <w:r>
        <w:rPr>
          <w:rFonts w:eastAsia="Calibri"/>
          <w:sz w:val="22"/>
          <w:szCs w:val="22"/>
          <w:shd w:val="clear" w:color="auto" w:fill="FFFFFF"/>
          <w:lang w:eastAsia="en-US"/>
        </w:rPr>
        <w:t xml:space="preserve">staff </w:t>
      </w:r>
      <w:proofErr w:type="gramStart"/>
      <w:r>
        <w:rPr>
          <w:rFonts w:eastAsia="Calibri"/>
          <w:sz w:val="22"/>
          <w:szCs w:val="22"/>
          <w:shd w:val="clear" w:color="auto" w:fill="FFFFFF"/>
          <w:lang w:eastAsia="en-US"/>
        </w:rPr>
        <w:t>have</w:t>
      </w:r>
      <w:proofErr w:type="gramEnd"/>
      <w:r w:rsidRPr="00CB15FE">
        <w:rPr>
          <w:rFonts w:eastAsia="Calibri"/>
          <w:sz w:val="22"/>
          <w:szCs w:val="22"/>
          <w:shd w:val="clear" w:color="auto" w:fill="FFFFFF"/>
          <w:lang w:eastAsia="en-US"/>
        </w:rPr>
        <w:t xml:space="preserve"> been dismissed in relation to allegations of improper sexual contact with female detainees at </w:t>
      </w:r>
      <w:proofErr w:type="spellStart"/>
      <w:r w:rsidRPr="00CB15FE">
        <w:rPr>
          <w:rFonts w:eastAsia="Calibri"/>
          <w:sz w:val="22"/>
          <w:szCs w:val="22"/>
          <w:shd w:val="clear" w:color="auto" w:fill="FFFFFF"/>
          <w:lang w:eastAsia="en-US"/>
        </w:rPr>
        <w:t>Yarl's</w:t>
      </w:r>
      <w:proofErr w:type="spellEnd"/>
      <w:r w:rsidRPr="00CB15FE">
        <w:rPr>
          <w:rFonts w:eastAsia="Calibri"/>
          <w:sz w:val="22"/>
          <w:szCs w:val="22"/>
          <w:shd w:val="clear" w:color="auto" w:fill="FFFFFF"/>
          <w:lang w:eastAsia="en-US"/>
        </w:rPr>
        <w:t xml:space="preserve"> Wood immigration </w:t>
      </w:r>
      <w:r>
        <w:rPr>
          <w:rFonts w:eastAsia="Calibri"/>
          <w:sz w:val="22"/>
          <w:szCs w:val="22"/>
          <w:shd w:val="clear" w:color="auto" w:fill="FFFFFF"/>
          <w:lang w:eastAsia="en-US"/>
        </w:rPr>
        <w:t>removal</w:t>
      </w:r>
      <w:r w:rsidRPr="00CB15FE">
        <w:rPr>
          <w:rFonts w:eastAsia="Calibri"/>
          <w:sz w:val="22"/>
          <w:szCs w:val="22"/>
          <w:shd w:val="clear" w:color="auto" w:fill="FFFFFF"/>
          <w:lang w:eastAsia="en-US"/>
        </w:rPr>
        <w:t xml:space="preserve"> centre</w:t>
      </w:r>
      <w:r>
        <w:rPr>
          <w:rFonts w:eastAsia="Calibri"/>
          <w:sz w:val="22"/>
          <w:szCs w:val="22"/>
          <w:shd w:val="clear" w:color="auto" w:fill="FFFFFF"/>
          <w:lang w:eastAsia="en-US"/>
        </w:rPr>
        <w:t>.</w:t>
      </w:r>
      <w:r>
        <w:rPr>
          <w:rStyle w:val="FootnoteReference"/>
          <w:rFonts w:eastAsia="Calibri"/>
          <w:sz w:val="22"/>
          <w:szCs w:val="22"/>
          <w:shd w:val="clear" w:color="auto" w:fill="FFFFFF"/>
          <w:lang w:eastAsia="en-US"/>
        </w:rPr>
        <w:footnoteReference w:id="15"/>
      </w:r>
      <w:r>
        <w:rPr>
          <w:rFonts w:eastAsia="Calibri"/>
          <w:sz w:val="22"/>
          <w:szCs w:val="22"/>
          <w:shd w:val="clear" w:color="auto" w:fill="FFFFFF"/>
          <w:lang w:eastAsia="en-US"/>
        </w:rPr>
        <w:t xml:space="preserve"> </w:t>
      </w:r>
    </w:p>
    <w:p w:rsidR="00B477E4" w:rsidRPr="00CB15FE" w:rsidRDefault="00B477E4" w:rsidP="00B477E4">
      <w:pPr>
        <w:suppressAutoHyphens w:val="0"/>
        <w:spacing w:line="276" w:lineRule="auto"/>
        <w:rPr>
          <w:rFonts w:eastAsia="Calibri"/>
          <w:sz w:val="22"/>
          <w:szCs w:val="22"/>
          <w:shd w:val="clear" w:color="auto" w:fill="FFFFFF"/>
          <w:lang w:eastAsia="en-US"/>
        </w:rPr>
      </w:pPr>
    </w:p>
    <w:tbl>
      <w:tblPr>
        <w:tblStyle w:val="TableGrid1"/>
        <w:tblW w:w="0" w:type="auto"/>
        <w:tblLook w:val="04A0" w:firstRow="1" w:lastRow="0" w:firstColumn="1" w:lastColumn="0" w:noHBand="0" w:noVBand="1"/>
      </w:tblPr>
      <w:tblGrid>
        <w:gridCol w:w="9747"/>
      </w:tblGrid>
      <w:tr w:rsidR="00B477E4" w:rsidRPr="00240B75" w:rsidTr="00274331">
        <w:tc>
          <w:tcPr>
            <w:tcW w:w="9747" w:type="dxa"/>
          </w:tcPr>
          <w:p w:rsidR="00B477E4" w:rsidRPr="00240B75" w:rsidRDefault="00B477E4" w:rsidP="00274331">
            <w:pPr>
              <w:shd w:val="clear" w:color="auto" w:fill="FFFFFF"/>
              <w:suppressAutoHyphens w:val="0"/>
              <w:spacing w:line="276" w:lineRule="auto"/>
              <w:textAlignment w:val="baseline"/>
              <w:rPr>
                <w:b/>
                <w:color w:val="000000"/>
                <w:sz w:val="22"/>
                <w:szCs w:val="22"/>
                <w:lang w:eastAsia="en-GB"/>
              </w:rPr>
            </w:pPr>
            <w:r w:rsidRPr="00240B75">
              <w:rPr>
                <w:b/>
                <w:color w:val="000000"/>
                <w:sz w:val="22"/>
                <w:szCs w:val="22"/>
                <w:lang w:eastAsia="en-GB"/>
              </w:rPr>
              <w:t xml:space="preserve">Case study: Use of force against pregnant women </w:t>
            </w:r>
          </w:p>
          <w:p w:rsidR="00B477E4" w:rsidRDefault="00B477E4" w:rsidP="00274331">
            <w:pPr>
              <w:shd w:val="clear" w:color="auto" w:fill="FFFFFF"/>
              <w:suppressAutoHyphens w:val="0"/>
              <w:spacing w:line="276" w:lineRule="auto"/>
              <w:textAlignment w:val="baseline"/>
              <w:rPr>
                <w:color w:val="000000"/>
                <w:sz w:val="22"/>
                <w:szCs w:val="22"/>
                <w:lang w:eastAsia="en-GB"/>
              </w:rPr>
            </w:pPr>
            <w:r>
              <w:rPr>
                <w:color w:val="000000"/>
                <w:sz w:val="22"/>
                <w:szCs w:val="22"/>
                <w:lang w:eastAsia="en-GB"/>
              </w:rPr>
              <w:t xml:space="preserve">The use of force against children and pregnant women during their removal from the UK only ceased as a result of legal action funded by legal aid. </w:t>
            </w:r>
            <w:r w:rsidRPr="00240B75">
              <w:rPr>
                <w:color w:val="000000"/>
                <w:sz w:val="22"/>
                <w:szCs w:val="22"/>
                <w:lang w:eastAsia="en-GB"/>
              </w:rPr>
              <w:t xml:space="preserve">In January 2013 </w:t>
            </w:r>
            <w:r w:rsidRPr="00240B75">
              <w:rPr>
                <w:i/>
                <w:color w:val="000000"/>
                <w:sz w:val="22"/>
                <w:szCs w:val="22"/>
                <w:lang w:eastAsia="en-GB"/>
              </w:rPr>
              <w:t>The Guardian</w:t>
            </w:r>
            <w:r w:rsidRPr="00240B75">
              <w:rPr>
                <w:color w:val="000000"/>
                <w:sz w:val="22"/>
                <w:szCs w:val="22"/>
                <w:lang w:eastAsia="en-GB"/>
              </w:rPr>
              <w:t xml:space="preserve"> reported that force was used against a pregnant woman during an attempt to remove her from the UK: </w:t>
            </w:r>
            <w:r w:rsidRPr="00240B75">
              <w:rPr>
                <w:i/>
                <w:color w:val="000000"/>
                <w:sz w:val="22"/>
                <w:szCs w:val="22"/>
                <w:lang w:eastAsia="en-GB"/>
              </w:rPr>
              <w:t>‘She said her body was covered in bruises after the incident</w:t>
            </w:r>
            <w:proofErr w:type="gramStart"/>
            <w:r w:rsidRPr="00240B75">
              <w:rPr>
                <w:i/>
                <w:color w:val="000000"/>
                <w:sz w:val="22"/>
                <w:szCs w:val="22"/>
                <w:lang w:eastAsia="en-GB"/>
              </w:rPr>
              <w:t>..</w:t>
            </w:r>
            <w:proofErr w:type="gramEnd"/>
            <w:r w:rsidRPr="00240B75">
              <w:rPr>
                <w:i/>
                <w:color w:val="000000"/>
                <w:sz w:val="22"/>
                <w:szCs w:val="22"/>
                <w:lang w:eastAsia="en-GB"/>
              </w:rPr>
              <w:t xml:space="preserve"> an independent doctor warned that putting the woman on the pl</w:t>
            </w:r>
            <w:r>
              <w:rPr>
                <w:i/>
                <w:color w:val="000000"/>
                <w:sz w:val="22"/>
                <w:szCs w:val="22"/>
                <w:lang w:eastAsia="en-GB"/>
              </w:rPr>
              <w:t xml:space="preserve">ane without adequate monitoring </w:t>
            </w:r>
            <w:r w:rsidRPr="00240B75">
              <w:rPr>
                <w:i/>
                <w:color w:val="000000"/>
                <w:sz w:val="22"/>
                <w:szCs w:val="22"/>
                <w:lang w:eastAsia="en-GB"/>
              </w:rPr>
              <w:t>while she was bleeding could lead to premature labour and ruptured membranes.’</w:t>
            </w:r>
            <w:r w:rsidRPr="00240B75">
              <w:rPr>
                <w:color w:val="000000"/>
                <w:sz w:val="22"/>
                <w:szCs w:val="22"/>
                <w:lang w:eastAsia="en-GB"/>
              </w:rPr>
              <w:t xml:space="preserve"> </w:t>
            </w:r>
            <w:r w:rsidRPr="00240B75">
              <w:rPr>
                <w:vertAlign w:val="superscript"/>
                <w:lang w:eastAsia="en-GB"/>
              </w:rPr>
              <w:footnoteReference w:id="16"/>
            </w:r>
            <w:r>
              <w:rPr>
                <w:color w:val="000000"/>
                <w:sz w:val="22"/>
                <w:szCs w:val="22"/>
                <w:lang w:eastAsia="en-GB"/>
              </w:rPr>
              <w:t xml:space="preserve"> </w:t>
            </w:r>
            <w:r w:rsidRPr="00240B75">
              <w:rPr>
                <w:color w:val="000000"/>
                <w:sz w:val="22"/>
                <w:szCs w:val="22"/>
                <w:lang w:eastAsia="en-GB"/>
              </w:rPr>
              <w:t>Despite</w:t>
            </w:r>
            <w:r>
              <w:rPr>
                <w:color w:val="000000"/>
                <w:sz w:val="22"/>
                <w:szCs w:val="22"/>
                <w:lang w:eastAsia="en-GB"/>
              </w:rPr>
              <w:t xml:space="preserve"> having no published policy </w:t>
            </w:r>
            <w:r w:rsidRPr="00240B75">
              <w:rPr>
                <w:color w:val="000000"/>
                <w:sz w:val="22"/>
                <w:szCs w:val="22"/>
                <w:lang w:eastAsia="en-GB"/>
              </w:rPr>
              <w:t xml:space="preserve">governing the </w:t>
            </w:r>
            <w:r w:rsidRPr="00240B75">
              <w:rPr>
                <w:color w:val="000000"/>
                <w:sz w:val="22"/>
                <w:szCs w:val="22"/>
                <w:lang w:eastAsia="en-GB"/>
              </w:rPr>
              <w:lastRenderedPageBreak/>
              <w:t>use of force, and widespread criticism,</w:t>
            </w:r>
            <w:r>
              <w:rPr>
                <w:color w:val="000000"/>
                <w:sz w:val="22"/>
                <w:szCs w:val="22"/>
                <w:lang w:eastAsia="en-GB"/>
              </w:rPr>
              <w:t xml:space="preserve"> the Home Office </w:t>
            </w:r>
            <w:r w:rsidRPr="00240B75">
              <w:rPr>
                <w:color w:val="000000"/>
                <w:sz w:val="22"/>
                <w:szCs w:val="22"/>
                <w:lang w:eastAsia="en-GB"/>
              </w:rPr>
              <w:t>continued to use force against children and pregnant women to effect removals.</w:t>
            </w:r>
            <w:r w:rsidRPr="00240B75">
              <w:rPr>
                <w:vertAlign w:val="superscript"/>
                <w:lang w:eastAsia="en-GB"/>
              </w:rPr>
              <w:footnoteReference w:id="17"/>
            </w:r>
            <w:r w:rsidRPr="00240B75">
              <w:rPr>
                <w:color w:val="000000"/>
                <w:sz w:val="22"/>
                <w:szCs w:val="22"/>
                <w:lang w:eastAsia="en-GB"/>
              </w:rPr>
              <w:t xml:space="preserve"> </w:t>
            </w:r>
          </w:p>
          <w:p w:rsidR="00B477E4" w:rsidRDefault="00B477E4" w:rsidP="00274331">
            <w:pPr>
              <w:shd w:val="clear" w:color="auto" w:fill="FFFFFF"/>
              <w:suppressAutoHyphens w:val="0"/>
              <w:spacing w:line="276" w:lineRule="auto"/>
              <w:textAlignment w:val="baseline"/>
              <w:rPr>
                <w:color w:val="000000"/>
                <w:sz w:val="22"/>
                <w:szCs w:val="22"/>
                <w:lang w:eastAsia="en-GB"/>
              </w:rPr>
            </w:pPr>
          </w:p>
          <w:p w:rsidR="00D242A8" w:rsidRDefault="00B477E4" w:rsidP="00274331">
            <w:pPr>
              <w:shd w:val="clear" w:color="auto" w:fill="FFFFFF"/>
              <w:suppressAutoHyphens w:val="0"/>
              <w:spacing w:line="276" w:lineRule="auto"/>
              <w:textAlignment w:val="baseline"/>
              <w:rPr>
                <w:color w:val="000000"/>
                <w:sz w:val="22"/>
                <w:szCs w:val="22"/>
                <w:lang w:eastAsia="en-GB"/>
              </w:rPr>
            </w:pPr>
            <w:r w:rsidRPr="00240B75">
              <w:rPr>
                <w:color w:val="000000"/>
                <w:sz w:val="22"/>
                <w:szCs w:val="22"/>
                <w:lang w:eastAsia="en-GB"/>
              </w:rPr>
              <w:t xml:space="preserve">This situation only changed as a result of a judicial review application in the case of </w:t>
            </w:r>
            <w:r w:rsidRPr="00240B75">
              <w:rPr>
                <w:i/>
                <w:color w:val="000000"/>
                <w:sz w:val="22"/>
                <w:szCs w:val="22"/>
                <w:lang w:eastAsia="en-GB"/>
              </w:rPr>
              <w:t xml:space="preserve">R (on the application of </w:t>
            </w:r>
            <w:proofErr w:type="spellStart"/>
            <w:r w:rsidRPr="00240B75">
              <w:rPr>
                <w:i/>
                <w:color w:val="000000"/>
                <w:sz w:val="22"/>
                <w:szCs w:val="22"/>
                <w:lang w:eastAsia="en-GB"/>
              </w:rPr>
              <w:t>Yiyu</w:t>
            </w:r>
            <w:proofErr w:type="spellEnd"/>
            <w:r w:rsidRPr="00240B75">
              <w:rPr>
                <w:i/>
                <w:color w:val="000000"/>
                <w:sz w:val="22"/>
                <w:szCs w:val="22"/>
                <w:lang w:eastAsia="en-GB"/>
              </w:rPr>
              <w:t xml:space="preserve"> Chen and </w:t>
            </w:r>
            <w:proofErr w:type="spellStart"/>
            <w:r w:rsidRPr="00240B75">
              <w:rPr>
                <w:i/>
                <w:color w:val="000000"/>
                <w:sz w:val="22"/>
                <w:szCs w:val="22"/>
                <w:lang w:eastAsia="en-GB"/>
              </w:rPr>
              <w:t>Ors</w:t>
            </w:r>
            <w:proofErr w:type="spellEnd"/>
            <w:r w:rsidRPr="00240B75">
              <w:rPr>
                <w:i/>
                <w:color w:val="000000"/>
                <w:sz w:val="22"/>
                <w:szCs w:val="22"/>
                <w:lang w:eastAsia="en-GB"/>
              </w:rPr>
              <w:t>) v Secretary of State for the Home Department</w:t>
            </w:r>
            <w:r w:rsidRPr="00240B75">
              <w:rPr>
                <w:color w:val="000000"/>
                <w:sz w:val="22"/>
                <w:szCs w:val="22"/>
                <w:lang w:eastAsia="en-GB"/>
              </w:rPr>
              <w:t xml:space="preserve"> CO/1119/2013. Shortly before a court hearing, the Home Office re-published an old policy prohibiting the use of force against children and pregnant women save where absolutely necessary to prevent harm</w:t>
            </w:r>
            <w:r>
              <w:rPr>
                <w:color w:val="000000"/>
                <w:sz w:val="22"/>
                <w:szCs w:val="22"/>
                <w:lang w:eastAsia="en-GB"/>
              </w:rPr>
              <w:t xml:space="preserve">. </w:t>
            </w:r>
            <w:r w:rsidR="00D242A8">
              <w:rPr>
                <w:color w:val="000000"/>
                <w:sz w:val="22"/>
                <w:szCs w:val="22"/>
                <w:lang w:eastAsia="en-GB"/>
              </w:rPr>
              <w:t>However, we note that the Government have stated that the use of force may resume after a consultation on the matter.</w:t>
            </w:r>
            <w:r w:rsidR="00D242A8">
              <w:rPr>
                <w:rStyle w:val="FootnoteReference"/>
                <w:color w:val="000000"/>
                <w:sz w:val="22"/>
                <w:szCs w:val="22"/>
                <w:lang w:eastAsia="en-GB"/>
              </w:rPr>
              <w:footnoteReference w:id="18"/>
            </w:r>
          </w:p>
          <w:p w:rsidR="00B477E4" w:rsidRPr="00240B75" w:rsidRDefault="00B477E4" w:rsidP="00D242A8">
            <w:pPr>
              <w:shd w:val="clear" w:color="auto" w:fill="FFFFFF"/>
              <w:suppressAutoHyphens w:val="0"/>
              <w:spacing w:line="276" w:lineRule="auto"/>
              <w:textAlignment w:val="baseline"/>
              <w:rPr>
                <w:sz w:val="22"/>
                <w:szCs w:val="22"/>
                <w:lang w:eastAsia="en-US"/>
              </w:rPr>
            </w:pPr>
          </w:p>
        </w:tc>
      </w:tr>
    </w:tbl>
    <w:p w:rsidR="00B477E4" w:rsidRDefault="00B477E4" w:rsidP="002B25B1">
      <w:pPr>
        <w:tabs>
          <w:tab w:val="left" w:pos="1701"/>
          <w:tab w:val="left" w:pos="4860"/>
        </w:tabs>
        <w:rPr>
          <w:sz w:val="22"/>
          <w:szCs w:val="22"/>
        </w:rPr>
      </w:pPr>
    </w:p>
    <w:p w:rsidR="00457750" w:rsidRDefault="00457750" w:rsidP="002B25B1">
      <w:pPr>
        <w:tabs>
          <w:tab w:val="left" w:pos="1701"/>
          <w:tab w:val="left" w:pos="4860"/>
        </w:tabs>
        <w:rPr>
          <w:sz w:val="22"/>
          <w:szCs w:val="22"/>
        </w:rPr>
      </w:pPr>
      <w:r>
        <w:rPr>
          <w:sz w:val="22"/>
          <w:szCs w:val="22"/>
        </w:rPr>
        <w:t>As is noted above, the Government has implemented some restrictions on access to judicial review, and is proposing further restrictions in the Criminal Justice and Courts Bill. These measures could prevent detainees in the situations described above fro</w:t>
      </w:r>
      <w:r w:rsidR="00A55FC0">
        <w:rPr>
          <w:sz w:val="22"/>
          <w:szCs w:val="22"/>
        </w:rPr>
        <w:t>m challenging their treatment. Furthermore, u</w:t>
      </w:r>
      <w:r>
        <w:rPr>
          <w:sz w:val="22"/>
          <w:szCs w:val="22"/>
        </w:rPr>
        <w:t xml:space="preserve">nder the ‘residence test’, people who are not lawfully in the UK would not be able to access legal aid to challenge maltreatment in detention.  </w:t>
      </w:r>
    </w:p>
    <w:p w:rsidR="00B477E4" w:rsidRDefault="00B477E4" w:rsidP="002B25B1">
      <w:pPr>
        <w:tabs>
          <w:tab w:val="left" w:pos="1701"/>
          <w:tab w:val="left" w:pos="4860"/>
        </w:tabs>
        <w:rPr>
          <w:b/>
          <w:sz w:val="22"/>
          <w:szCs w:val="22"/>
        </w:rPr>
      </w:pPr>
    </w:p>
    <w:p w:rsidR="00457750" w:rsidRPr="00457750" w:rsidRDefault="00457750" w:rsidP="002B25B1">
      <w:pPr>
        <w:tabs>
          <w:tab w:val="left" w:pos="1701"/>
          <w:tab w:val="left" w:pos="4860"/>
        </w:tabs>
        <w:rPr>
          <w:b/>
          <w:szCs w:val="28"/>
        </w:rPr>
      </w:pPr>
      <w:r w:rsidRPr="00457750">
        <w:rPr>
          <w:b/>
          <w:szCs w:val="28"/>
        </w:rPr>
        <w:t xml:space="preserve">Separation of families by detention, deportation and removal  </w:t>
      </w:r>
    </w:p>
    <w:p w:rsidR="00457750" w:rsidRDefault="00457750" w:rsidP="002B25B1">
      <w:pPr>
        <w:tabs>
          <w:tab w:val="left" w:pos="1701"/>
          <w:tab w:val="left" w:pos="4860"/>
        </w:tabs>
        <w:rPr>
          <w:b/>
          <w:sz w:val="22"/>
          <w:szCs w:val="22"/>
        </w:rPr>
      </w:pPr>
    </w:p>
    <w:p w:rsidR="002B25B1" w:rsidRPr="00A55FC0" w:rsidRDefault="00457750" w:rsidP="002B25B1">
      <w:pPr>
        <w:tabs>
          <w:tab w:val="left" w:pos="1701"/>
          <w:tab w:val="left" w:pos="4860"/>
        </w:tabs>
        <w:rPr>
          <w:sz w:val="22"/>
          <w:szCs w:val="22"/>
        </w:rPr>
      </w:pPr>
      <w:r>
        <w:rPr>
          <w:sz w:val="22"/>
          <w:szCs w:val="22"/>
        </w:rPr>
        <w:t>As the Committee will know, there have been a number of i</w:t>
      </w:r>
      <w:r w:rsidR="00AD534D">
        <w:rPr>
          <w:sz w:val="22"/>
          <w:szCs w:val="22"/>
        </w:rPr>
        <w:t>mprovements to the UK Government’s policy on detention of children since 2010. However, BID is gravely concerned that very many children are separated from parents who are held in immigration detention</w:t>
      </w:r>
      <w:r w:rsidR="00A55FC0">
        <w:rPr>
          <w:sz w:val="22"/>
          <w:szCs w:val="22"/>
        </w:rPr>
        <w:t>. These concerns have</w:t>
      </w:r>
      <w:r w:rsidR="00AD534D">
        <w:rPr>
          <w:sz w:val="22"/>
          <w:szCs w:val="22"/>
        </w:rPr>
        <w:t xml:space="preserve"> been exacerbated by</w:t>
      </w:r>
      <w:r w:rsidR="00DE674A">
        <w:rPr>
          <w:sz w:val="22"/>
          <w:szCs w:val="22"/>
        </w:rPr>
        <w:t xml:space="preserve"> t</w:t>
      </w:r>
      <w:r w:rsidR="00AD534D" w:rsidRPr="00AD534D">
        <w:rPr>
          <w:sz w:val="22"/>
          <w:szCs w:val="22"/>
        </w:rPr>
        <w:t>he Legal Aid, Sentencing and Punishment of Offenders Act, which removed the vast majority of immigration cases from scope for legal aid.</w:t>
      </w:r>
      <w:r w:rsidR="00DE674A">
        <w:rPr>
          <w:sz w:val="22"/>
          <w:szCs w:val="22"/>
        </w:rPr>
        <w:t xml:space="preserve"> </w:t>
      </w:r>
      <w:r w:rsidR="00AD534D" w:rsidRPr="00AD534D">
        <w:rPr>
          <w:sz w:val="22"/>
          <w:szCs w:val="22"/>
        </w:rPr>
        <w:t xml:space="preserve">Furthermore, </w:t>
      </w:r>
      <w:r w:rsidR="00DE674A">
        <w:rPr>
          <w:sz w:val="22"/>
          <w:szCs w:val="22"/>
        </w:rPr>
        <w:t xml:space="preserve">Sections 17 (3) and 19 of the </w:t>
      </w:r>
      <w:r w:rsidR="00AD534D" w:rsidRPr="00AD534D">
        <w:rPr>
          <w:sz w:val="22"/>
          <w:szCs w:val="22"/>
        </w:rPr>
        <w:t xml:space="preserve">Immigration Act </w:t>
      </w:r>
      <w:r w:rsidR="00AD534D">
        <w:rPr>
          <w:sz w:val="22"/>
          <w:szCs w:val="22"/>
        </w:rPr>
        <w:t xml:space="preserve">2014 </w:t>
      </w:r>
      <w:r w:rsidR="00DE674A">
        <w:rPr>
          <w:sz w:val="22"/>
          <w:szCs w:val="22"/>
        </w:rPr>
        <w:t>include a number of measures</w:t>
      </w:r>
      <w:r w:rsidR="00AD534D">
        <w:rPr>
          <w:sz w:val="22"/>
          <w:szCs w:val="22"/>
        </w:rPr>
        <w:t xml:space="preserve"> which will</w:t>
      </w:r>
      <w:r w:rsidR="00DE674A">
        <w:rPr>
          <w:sz w:val="22"/>
          <w:szCs w:val="22"/>
        </w:rPr>
        <w:t xml:space="preserve"> have a serious negative</w:t>
      </w:r>
      <w:r w:rsidR="00AD534D">
        <w:rPr>
          <w:sz w:val="22"/>
          <w:szCs w:val="22"/>
        </w:rPr>
        <w:t xml:space="preserve"> impact on families who are separated for the purposes of immigration control</w:t>
      </w:r>
      <w:r w:rsidR="00A55FC0">
        <w:rPr>
          <w:sz w:val="22"/>
          <w:szCs w:val="22"/>
        </w:rPr>
        <w:t xml:space="preserve">. </w:t>
      </w:r>
      <w:r w:rsidR="00AD534D">
        <w:rPr>
          <w:sz w:val="22"/>
          <w:szCs w:val="22"/>
        </w:rPr>
        <w:t xml:space="preserve">BID </w:t>
      </w:r>
      <w:r w:rsidR="000E137D">
        <w:rPr>
          <w:sz w:val="22"/>
          <w:szCs w:val="22"/>
        </w:rPr>
        <w:t>considers</w:t>
      </w:r>
      <w:r w:rsidR="00AD534D">
        <w:rPr>
          <w:sz w:val="22"/>
          <w:szCs w:val="22"/>
        </w:rPr>
        <w:t xml:space="preserve"> that </w:t>
      </w:r>
      <w:r w:rsidR="00315A8D">
        <w:rPr>
          <w:sz w:val="22"/>
          <w:szCs w:val="22"/>
        </w:rPr>
        <w:t>the above</w:t>
      </w:r>
      <w:r w:rsidR="00AD534D">
        <w:rPr>
          <w:sz w:val="22"/>
          <w:szCs w:val="22"/>
        </w:rPr>
        <w:t xml:space="preserve"> changes </w:t>
      </w:r>
      <w:r w:rsidR="000E137D">
        <w:rPr>
          <w:sz w:val="22"/>
          <w:szCs w:val="22"/>
        </w:rPr>
        <w:t xml:space="preserve">may </w:t>
      </w:r>
      <w:r w:rsidR="00AD534D">
        <w:rPr>
          <w:sz w:val="22"/>
          <w:szCs w:val="22"/>
        </w:rPr>
        <w:t>engage the following articles of the CCPR</w:t>
      </w:r>
      <w:r w:rsidR="00AD534D" w:rsidRPr="00A55FC0">
        <w:rPr>
          <w:sz w:val="22"/>
          <w:szCs w:val="22"/>
        </w:rPr>
        <w:t xml:space="preserve">: </w:t>
      </w:r>
      <w:r w:rsidR="002B25B1" w:rsidRPr="00A55FC0">
        <w:rPr>
          <w:sz w:val="22"/>
          <w:szCs w:val="22"/>
        </w:rPr>
        <w:t>Article 23</w:t>
      </w:r>
      <w:r w:rsidR="00A55FC0" w:rsidRPr="00A55FC0">
        <w:rPr>
          <w:sz w:val="22"/>
          <w:szCs w:val="22"/>
        </w:rPr>
        <w:t xml:space="preserve"> (1); </w:t>
      </w:r>
      <w:r w:rsidR="00555BA9" w:rsidRPr="00A55FC0">
        <w:rPr>
          <w:sz w:val="22"/>
          <w:szCs w:val="22"/>
        </w:rPr>
        <w:t xml:space="preserve">Article 14 </w:t>
      </w:r>
      <w:r w:rsidR="00AD534D" w:rsidRPr="00A55FC0">
        <w:rPr>
          <w:sz w:val="22"/>
          <w:szCs w:val="22"/>
        </w:rPr>
        <w:t xml:space="preserve">(1) </w:t>
      </w:r>
      <w:r w:rsidR="00A55FC0" w:rsidRPr="00A55FC0">
        <w:rPr>
          <w:sz w:val="22"/>
          <w:szCs w:val="22"/>
        </w:rPr>
        <w:t xml:space="preserve">and </w:t>
      </w:r>
      <w:r w:rsidR="002B25B1" w:rsidRPr="00A55FC0">
        <w:rPr>
          <w:sz w:val="22"/>
          <w:szCs w:val="22"/>
        </w:rPr>
        <w:t>Article 26</w:t>
      </w:r>
      <w:r w:rsidR="00A55FC0">
        <w:rPr>
          <w:sz w:val="22"/>
          <w:szCs w:val="22"/>
        </w:rPr>
        <w:t xml:space="preserve">. </w:t>
      </w:r>
      <w:r w:rsidR="002B25B1" w:rsidRPr="00A55FC0">
        <w:rPr>
          <w:sz w:val="22"/>
          <w:szCs w:val="22"/>
        </w:rPr>
        <w:t xml:space="preserve"> </w:t>
      </w:r>
    </w:p>
    <w:p w:rsidR="00B477E4" w:rsidRDefault="00B477E4" w:rsidP="002B25B1">
      <w:pPr>
        <w:tabs>
          <w:tab w:val="left" w:pos="1701"/>
          <w:tab w:val="left" w:pos="4860"/>
        </w:tabs>
        <w:rPr>
          <w:sz w:val="22"/>
          <w:szCs w:val="22"/>
        </w:rPr>
      </w:pPr>
    </w:p>
    <w:p w:rsidR="00277417" w:rsidRPr="00277417" w:rsidRDefault="00277417" w:rsidP="002B25B1">
      <w:pPr>
        <w:tabs>
          <w:tab w:val="left" w:pos="1701"/>
          <w:tab w:val="left" w:pos="4860"/>
        </w:tabs>
        <w:rPr>
          <w:b/>
          <w:sz w:val="22"/>
          <w:szCs w:val="22"/>
        </w:rPr>
      </w:pPr>
      <w:r w:rsidRPr="00277417">
        <w:rPr>
          <w:b/>
          <w:sz w:val="22"/>
          <w:szCs w:val="22"/>
        </w:rPr>
        <w:t xml:space="preserve">BID’s experience of separated family cases </w:t>
      </w:r>
    </w:p>
    <w:p w:rsidR="00277417" w:rsidRDefault="00277417" w:rsidP="002B25B1">
      <w:pPr>
        <w:tabs>
          <w:tab w:val="left" w:pos="1701"/>
          <w:tab w:val="left" w:pos="4860"/>
        </w:tabs>
        <w:rPr>
          <w:sz w:val="22"/>
          <w:szCs w:val="22"/>
        </w:rPr>
      </w:pPr>
    </w:p>
    <w:p w:rsidR="00315A8D" w:rsidRDefault="00315A8D" w:rsidP="00315A8D">
      <w:pPr>
        <w:tabs>
          <w:tab w:val="left" w:pos="1701"/>
          <w:tab w:val="left" w:pos="4860"/>
        </w:tabs>
        <w:rPr>
          <w:sz w:val="22"/>
          <w:szCs w:val="22"/>
        </w:rPr>
      </w:pPr>
      <w:r>
        <w:rPr>
          <w:sz w:val="22"/>
          <w:szCs w:val="22"/>
        </w:rPr>
        <w:t>B</w:t>
      </w:r>
      <w:r w:rsidRPr="00B745EA">
        <w:rPr>
          <w:sz w:val="22"/>
          <w:szCs w:val="22"/>
        </w:rPr>
        <w:t>ID’s</w:t>
      </w:r>
      <w:r>
        <w:rPr>
          <w:sz w:val="22"/>
          <w:szCs w:val="22"/>
        </w:rPr>
        <w:t xml:space="preserve"> </w:t>
      </w:r>
      <w:r w:rsidRPr="00B745EA">
        <w:rPr>
          <w:sz w:val="22"/>
          <w:szCs w:val="22"/>
        </w:rPr>
        <w:t>2013 report ‘Fractured Childhoods: the separation of families by immigration detention’ examine</w:t>
      </w:r>
      <w:r>
        <w:rPr>
          <w:sz w:val="22"/>
          <w:szCs w:val="22"/>
        </w:rPr>
        <w:t>d</w:t>
      </w:r>
      <w:r w:rsidRPr="00B745EA">
        <w:rPr>
          <w:sz w:val="22"/>
          <w:szCs w:val="22"/>
        </w:rPr>
        <w:t xml:space="preserve"> the cases of 111 parents who were separated from 200 childre</w:t>
      </w:r>
      <w:r>
        <w:rPr>
          <w:sz w:val="22"/>
          <w:szCs w:val="22"/>
        </w:rPr>
        <w:t xml:space="preserve">n by immigration detention: </w:t>
      </w:r>
    </w:p>
    <w:p w:rsidR="00315A8D" w:rsidRDefault="00315A8D" w:rsidP="00315A8D">
      <w:pPr>
        <w:pStyle w:val="ListParagraph"/>
        <w:numPr>
          <w:ilvl w:val="0"/>
          <w:numId w:val="7"/>
        </w:numPr>
        <w:tabs>
          <w:tab w:val="left" w:pos="1701"/>
          <w:tab w:val="left" w:pos="4860"/>
        </w:tabs>
        <w:rPr>
          <w:sz w:val="22"/>
          <w:szCs w:val="22"/>
        </w:rPr>
      </w:pPr>
      <w:r w:rsidRPr="008D61C8">
        <w:rPr>
          <w:sz w:val="22"/>
          <w:szCs w:val="22"/>
        </w:rPr>
        <w:t xml:space="preserve">85 of these children were in fostering arrangements or local authority care during their parent’s detention. </w:t>
      </w:r>
    </w:p>
    <w:p w:rsidR="00315A8D" w:rsidRDefault="00315A8D" w:rsidP="00315A8D">
      <w:pPr>
        <w:pStyle w:val="ListParagraph"/>
        <w:numPr>
          <w:ilvl w:val="0"/>
          <w:numId w:val="7"/>
        </w:numPr>
        <w:tabs>
          <w:tab w:val="left" w:pos="1701"/>
          <w:tab w:val="left" w:pos="4860"/>
        </w:tabs>
        <w:rPr>
          <w:sz w:val="22"/>
          <w:szCs w:val="22"/>
        </w:rPr>
      </w:pPr>
      <w:r w:rsidRPr="008D61C8">
        <w:rPr>
          <w:sz w:val="22"/>
          <w:szCs w:val="22"/>
        </w:rPr>
        <w:t xml:space="preserve">Some children moved between unstable care arrangements, experienced neglect and were placed at risk of serious harm. </w:t>
      </w:r>
    </w:p>
    <w:p w:rsidR="00315A8D" w:rsidRDefault="00315A8D" w:rsidP="00315A8D">
      <w:pPr>
        <w:pStyle w:val="ListParagraph"/>
        <w:numPr>
          <w:ilvl w:val="0"/>
          <w:numId w:val="7"/>
        </w:numPr>
        <w:tabs>
          <w:tab w:val="left" w:pos="1701"/>
          <w:tab w:val="left" w:pos="4860"/>
        </w:tabs>
        <w:rPr>
          <w:sz w:val="22"/>
          <w:szCs w:val="22"/>
        </w:rPr>
      </w:pPr>
      <w:r w:rsidRPr="008D61C8">
        <w:rPr>
          <w:sz w:val="22"/>
          <w:szCs w:val="22"/>
        </w:rPr>
        <w:t xml:space="preserve">Parents were detained without time limit, for an average of 270 days. </w:t>
      </w:r>
    </w:p>
    <w:p w:rsidR="00315A8D" w:rsidRDefault="00315A8D" w:rsidP="00315A8D">
      <w:pPr>
        <w:pStyle w:val="ListParagraph"/>
        <w:numPr>
          <w:ilvl w:val="0"/>
          <w:numId w:val="7"/>
        </w:numPr>
        <w:tabs>
          <w:tab w:val="left" w:pos="1701"/>
          <w:tab w:val="left" w:pos="4860"/>
        </w:tabs>
        <w:rPr>
          <w:sz w:val="22"/>
          <w:szCs w:val="22"/>
        </w:rPr>
      </w:pPr>
      <w:r w:rsidRPr="008D61C8">
        <w:rPr>
          <w:sz w:val="22"/>
          <w:szCs w:val="22"/>
        </w:rPr>
        <w:t xml:space="preserve">Children described the extreme distress they experienced – they reported losing weight, having nightmares, suffering from insomnia, crying frequently and becoming deeply unhappy and socially isolated. </w:t>
      </w:r>
    </w:p>
    <w:p w:rsidR="00315A8D" w:rsidRDefault="00315A8D" w:rsidP="00315A8D">
      <w:pPr>
        <w:pStyle w:val="ListParagraph"/>
        <w:numPr>
          <w:ilvl w:val="0"/>
          <w:numId w:val="7"/>
        </w:numPr>
        <w:tabs>
          <w:tab w:val="left" w:pos="1701"/>
          <w:tab w:val="left" w:pos="4860"/>
        </w:tabs>
        <w:rPr>
          <w:sz w:val="22"/>
          <w:szCs w:val="22"/>
        </w:rPr>
      </w:pPr>
      <w:r w:rsidRPr="008D61C8">
        <w:rPr>
          <w:sz w:val="22"/>
          <w:szCs w:val="22"/>
        </w:rPr>
        <w:t xml:space="preserve">In 92 out of 111 cases, parents were eventually released, their detention having served no purpose. </w:t>
      </w:r>
    </w:p>
    <w:p w:rsidR="00315A8D" w:rsidRPr="008D61C8" w:rsidRDefault="00315A8D" w:rsidP="00315A8D">
      <w:pPr>
        <w:pStyle w:val="ListParagraph"/>
        <w:numPr>
          <w:ilvl w:val="0"/>
          <w:numId w:val="7"/>
        </w:numPr>
        <w:tabs>
          <w:tab w:val="left" w:pos="1701"/>
          <w:tab w:val="left" w:pos="4860"/>
        </w:tabs>
        <w:rPr>
          <w:sz w:val="22"/>
          <w:szCs w:val="22"/>
        </w:rPr>
      </w:pPr>
      <w:r>
        <w:rPr>
          <w:sz w:val="22"/>
          <w:szCs w:val="22"/>
        </w:rPr>
        <w:t>I</w:t>
      </w:r>
      <w:r w:rsidRPr="008D61C8">
        <w:rPr>
          <w:sz w:val="22"/>
          <w:szCs w:val="22"/>
        </w:rPr>
        <w:t xml:space="preserve">n one case, the Home Office deported a single father leaving his nine and 12 year old sons with his ex-girlfriend. They did not do anything to find out if the children’s care arrangement was safe. </w:t>
      </w:r>
    </w:p>
    <w:p w:rsidR="00315A8D" w:rsidRDefault="00315A8D" w:rsidP="002B25B1">
      <w:pPr>
        <w:tabs>
          <w:tab w:val="left" w:pos="1701"/>
          <w:tab w:val="left" w:pos="4860"/>
        </w:tabs>
        <w:rPr>
          <w:sz w:val="22"/>
          <w:szCs w:val="22"/>
        </w:rPr>
      </w:pPr>
    </w:p>
    <w:p w:rsidR="00315A8D" w:rsidRDefault="00950086" w:rsidP="002B25B1">
      <w:pPr>
        <w:tabs>
          <w:tab w:val="left" w:pos="1701"/>
          <w:tab w:val="left" w:pos="4860"/>
        </w:tabs>
        <w:rPr>
          <w:sz w:val="22"/>
          <w:szCs w:val="22"/>
        </w:rPr>
      </w:pPr>
      <w:r>
        <w:rPr>
          <w:sz w:val="22"/>
          <w:szCs w:val="22"/>
        </w:rPr>
        <w:t xml:space="preserve">In view of these findings, BID already had grave concerns about the separation of families before the </w:t>
      </w:r>
      <w:r w:rsidR="00277417">
        <w:rPr>
          <w:sz w:val="22"/>
          <w:szCs w:val="22"/>
        </w:rPr>
        <w:t xml:space="preserve">2013 legal aid cuts </w:t>
      </w:r>
      <w:r>
        <w:rPr>
          <w:sz w:val="22"/>
          <w:szCs w:val="22"/>
        </w:rPr>
        <w:t xml:space="preserve">and the Immigration Act 2014. </w:t>
      </w:r>
    </w:p>
    <w:p w:rsidR="00037686" w:rsidRDefault="00037686" w:rsidP="002B25B1">
      <w:pPr>
        <w:tabs>
          <w:tab w:val="left" w:pos="1701"/>
          <w:tab w:val="left" w:pos="4860"/>
        </w:tabs>
        <w:rPr>
          <w:sz w:val="22"/>
          <w:szCs w:val="22"/>
        </w:rPr>
      </w:pPr>
    </w:p>
    <w:p w:rsidR="00814ECC" w:rsidRPr="00950086" w:rsidRDefault="00814ECC" w:rsidP="009D2B53">
      <w:pPr>
        <w:tabs>
          <w:tab w:val="left" w:pos="1701"/>
          <w:tab w:val="left" w:pos="4860"/>
        </w:tabs>
        <w:rPr>
          <w:sz w:val="22"/>
          <w:szCs w:val="22"/>
        </w:rPr>
      </w:pPr>
    </w:p>
    <w:p w:rsidR="00217E84" w:rsidRPr="00950086" w:rsidRDefault="00217E84" w:rsidP="009D2B53">
      <w:pPr>
        <w:tabs>
          <w:tab w:val="left" w:pos="1701"/>
          <w:tab w:val="left" w:pos="4860"/>
        </w:tabs>
        <w:rPr>
          <w:b/>
          <w:sz w:val="22"/>
          <w:szCs w:val="22"/>
        </w:rPr>
      </w:pPr>
      <w:r w:rsidRPr="00950086">
        <w:rPr>
          <w:b/>
          <w:sz w:val="22"/>
          <w:szCs w:val="22"/>
        </w:rPr>
        <w:lastRenderedPageBreak/>
        <w:t xml:space="preserve">Legal Aid, Sentencing and Punishment of Offenders Act 2012 </w:t>
      </w:r>
    </w:p>
    <w:p w:rsidR="00950086" w:rsidRDefault="00950086" w:rsidP="009D2B53">
      <w:pPr>
        <w:tabs>
          <w:tab w:val="left" w:pos="1701"/>
          <w:tab w:val="left" w:pos="4860"/>
        </w:tabs>
        <w:rPr>
          <w:szCs w:val="28"/>
          <w:u w:val="single"/>
        </w:rPr>
      </w:pPr>
    </w:p>
    <w:p w:rsidR="00AC4AA8" w:rsidRDefault="00AC4AA8" w:rsidP="00AC4AA8">
      <w:pPr>
        <w:tabs>
          <w:tab w:val="left" w:pos="1701"/>
          <w:tab w:val="left" w:pos="4860"/>
        </w:tabs>
        <w:rPr>
          <w:sz w:val="22"/>
          <w:szCs w:val="22"/>
        </w:rPr>
      </w:pPr>
      <w:r>
        <w:rPr>
          <w:sz w:val="22"/>
          <w:szCs w:val="22"/>
        </w:rPr>
        <w:t>The Legal Aid, Sentencing and Punishment of Offenders Act removed the vast majority of immigration cases from scope for legal aid. In practice, this means that very many immigration detainees are no longer able to meaningfully challenge decisions by the Home Office to deport or remove them from the UK</w:t>
      </w:r>
      <w:r w:rsidR="00007C79">
        <w:rPr>
          <w:sz w:val="22"/>
          <w:szCs w:val="22"/>
        </w:rPr>
        <w:t>,</w:t>
      </w:r>
      <w:r w:rsidR="00865ED1">
        <w:rPr>
          <w:sz w:val="22"/>
          <w:szCs w:val="22"/>
        </w:rPr>
        <w:t xml:space="preserve"> </w:t>
      </w:r>
      <w:r>
        <w:rPr>
          <w:sz w:val="22"/>
          <w:szCs w:val="22"/>
        </w:rPr>
        <w:t xml:space="preserve">even where these decisions are unlawful. </w:t>
      </w:r>
      <w:r w:rsidR="00007C79">
        <w:rPr>
          <w:sz w:val="22"/>
          <w:szCs w:val="22"/>
        </w:rPr>
        <w:t xml:space="preserve">This includes cases where the Home Office has decided deport or remove parents with or without their children. </w:t>
      </w:r>
    </w:p>
    <w:p w:rsidR="00865ED1" w:rsidRDefault="00865ED1" w:rsidP="00AC4AA8">
      <w:pPr>
        <w:tabs>
          <w:tab w:val="left" w:pos="1701"/>
          <w:tab w:val="left" w:pos="4860"/>
        </w:tabs>
        <w:rPr>
          <w:sz w:val="22"/>
          <w:szCs w:val="22"/>
        </w:rPr>
      </w:pPr>
    </w:p>
    <w:p w:rsidR="00F94D50" w:rsidRDefault="00F94D50" w:rsidP="00F94D50">
      <w:pPr>
        <w:rPr>
          <w:sz w:val="22"/>
          <w:szCs w:val="22"/>
        </w:rPr>
      </w:pPr>
      <w:r w:rsidRPr="00007C79">
        <w:rPr>
          <w:sz w:val="22"/>
          <w:szCs w:val="22"/>
        </w:rPr>
        <w:t>We note that under Article 26 CCPR, all persons are ‘entitled without any discrimination to the equal protection of the law.’</w:t>
      </w:r>
      <w:r>
        <w:rPr>
          <w:sz w:val="22"/>
          <w:szCs w:val="22"/>
        </w:rPr>
        <w:t xml:space="preserve"> BID </w:t>
      </w:r>
      <w:r w:rsidR="00007C79">
        <w:rPr>
          <w:sz w:val="22"/>
          <w:szCs w:val="22"/>
        </w:rPr>
        <w:t>notes</w:t>
      </w:r>
      <w:r>
        <w:rPr>
          <w:sz w:val="22"/>
          <w:szCs w:val="22"/>
        </w:rPr>
        <w:t xml:space="preserve"> that, in</w:t>
      </w:r>
      <w:r w:rsidR="00007C79">
        <w:rPr>
          <w:sz w:val="22"/>
          <w:szCs w:val="22"/>
        </w:rPr>
        <w:t xml:space="preserve"> other circumstances where parents are separated from children by the actions of the state, legal aid is available. For example, legal aid is available for cases where local authorities are</w:t>
      </w:r>
      <w:r w:rsidRPr="00C50864">
        <w:rPr>
          <w:sz w:val="22"/>
          <w:szCs w:val="22"/>
        </w:rPr>
        <w:t xml:space="preserve"> taking </w:t>
      </w:r>
      <w:r w:rsidR="00007C79">
        <w:rPr>
          <w:sz w:val="22"/>
          <w:szCs w:val="22"/>
        </w:rPr>
        <w:t xml:space="preserve">legal action to </w:t>
      </w:r>
      <w:r w:rsidRPr="00C50864">
        <w:rPr>
          <w:sz w:val="22"/>
          <w:szCs w:val="22"/>
        </w:rPr>
        <w:t xml:space="preserve">take </w:t>
      </w:r>
      <w:r w:rsidR="00007C79">
        <w:rPr>
          <w:sz w:val="22"/>
          <w:szCs w:val="22"/>
        </w:rPr>
        <w:t>c</w:t>
      </w:r>
      <w:r w:rsidRPr="00C50864">
        <w:rPr>
          <w:sz w:val="22"/>
          <w:szCs w:val="22"/>
        </w:rPr>
        <w:t>hild</w:t>
      </w:r>
      <w:r w:rsidR="00007C79">
        <w:rPr>
          <w:sz w:val="22"/>
          <w:szCs w:val="22"/>
        </w:rPr>
        <w:t>ren</w:t>
      </w:r>
      <w:r w:rsidRPr="00C50864">
        <w:rPr>
          <w:sz w:val="22"/>
          <w:szCs w:val="22"/>
        </w:rPr>
        <w:t xml:space="preserve"> into care</w:t>
      </w:r>
      <w:r w:rsidR="00007C79">
        <w:rPr>
          <w:sz w:val="22"/>
          <w:szCs w:val="22"/>
        </w:rPr>
        <w:t xml:space="preserve">. However, legal aid is not available for parents to appeal decisions by the Home Office to remove or deport them from the UK without their children. </w:t>
      </w:r>
    </w:p>
    <w:p w:rsidR="00F94D50" w:rsidRDefault="00F94D50" w:rsidP="00AC4AA8">
      <w:pPr>
        <w:tabs>
          <w:tab w:val="left" w:pos="1701"/>
          <w:tab w:val="left" w:pos="4860"/>
        </w:tabs>
        <w:rPr>
          <w:sz w:val="22"/>
          <w:szCs w:val="22"/>
        </w:rPr>
      </w:pPr>
    </w:p>
    <w:p w:rsidR="002E51D8" w:rsidRDefault="002E51D8" w:rsidP="00E36A7D">
      <w:pPr>
        <w:rPr>
          <w:sz w:val="22"/>
          <w:szCs w:val="22"/>
        </w:rPr>
      </w:pPr>
      <w:r w:rsidRPr="002E51D8">
        <w:rPr>
          <w:sz w:val="22"/>
          <w:szCs w:val="22"/>
        </w:rPr>
        <w:t xml:space="preserve">In many cases, a parent’s deportation means that their child will effectively be separated from them for the remainder of their childhood.  Children may have been born in the UK, have strong ties to another parent or carer in the UK, and be in the appalling position of having to choose between their parents. Where such cases meet the requirements of the legal aid means and merits tests, we believe that legal aid is necessary for evidence regarding the best interests of children to be properly gathered and considered. </w:t>
      </w:r>
    </w:p>
    <w:p w:rsidR="00E36A7D" w:rsidRDefault="00E36A7D" w:rsidP="00E36A7D">
      <w:pPr>
        <w:rPr>
          <w:sz w:val="22"/>
          <w:szCs w:val="22"/>
        </w:rPr>
      </w:pPr>
    </w:p>
    <w:p w:rsidR="00E36A7D" w:rsidRPr="00E36A7D" w:rsidRDefault="002E51D8" w:rsidP="00E36A7D">
      <w:pPr>
        <w:tabs>
          <w:tab w:val="left" w:pos="1701"/>
          <w:tab w:val="left" w:pos="4860"/>
        </w:tabs>
        <w:rPr>
          <w:sz w:val="22"/>
          <w:szCs w:val="22"/>
        </w:rPr>
      </w:pPr>
      <w:r>
        <w:rPr>
          <w:sz w:val="22"/>
          <w:szCs w:val="22"/>
        </w:rPr>
        <w:t>Between April 2013 and February 2014</w:t>
      </w:r>
      <w:r w:rsidRPr="002E51D8">
        <w:rPr>
          <w:sz w:val="22"/>
          <w:szCs w:val="22"/>
        </w:rPr>
        <w:t>, BID carried out a small-scale monitoring exercise involving families separated by immigration detention.</w:t>
      </w:r>
      <w:r w:rsidR="00865ED1">
        <w:rPr>
          <w:rStyle w:val="FootnoteReference"/>
          <w:sz w:val="22"/>
          <w:szCs w:val="22"/>
        </w:rPr>
        <w:footnoteReference w:id="19"/>
      </w:r>
      <w:r w:rsidRPr="002E51D8">
        <w:rPr>
          <w:sz w:val="22"/>
          <w:szCs w:val="22"/>
        </w:rPr>
        <w:t xml:space="preserve"> 11 of the 47 parents in the research sample were removed or deported without their children. </w:t>
      </w:r>
      <w:r w:rsidR="00E36A7D" w:rsidRPr="00E36A7D">
        <w:rPr>
          <w:sz w:val="22"/>
          <w:szCs w:val="22"/>
        </w:rPr>
        <w:t>These 47 parents had a total of 101 children under 18 living in the UK. In the 46 cases where we were able to obtain these data, the parents were detained for an average of 286 days. In some cases, children had no other parent to care for them and so were in foster or Local Authority care during their parent’s detention.</w:t>
      </w:r>
      <w:r w:rsidR="00E36A7D">
        <w:rPr>
          <w:sz w:val="22"/>
          <w:szCs w:val="22"/>
        </w:rPr>
        <w:t xml:space="preserve"> </w:t>
      </w:r>
      <w:r w:rsidR="00E36A7D" w:rsidRPr="00E36A7D">
        <w:rPr>
          <w:sz w:val="22"/>
          <w:szCs w:val="22"/>
        </w:rPr>
        <w:t>91 of the 101 children in the sample were born in the UK, and the majority were British Citizens.</w:t>
      </w:r>
    </w:p>
    <w:p w:rsidR="002E51D8" w:rsidRDefault="002E51D8" w:rsidP="002E51D8">
      <w:pPr>
        <w:tabs>
          <w:tab w:val="left" w:pos="1701"/>
          <w:tab w:val="left" w:pos="4860"/>
        </w:tabs>
        <w:rPr>
          <w:sz w:val="22"/>
          <w:szCs w:val="22"/>
        </w:rPr>
      </w:pPr>
    </w:p>
    <w:tbl>
      <w:tblPr>
        <w:tblStyle w:val="TableGrid"/>
        <w:tblW w:w="0" w:type="auto"/>
        <w:tblLook w:val="04A0" w:firstRow="1" w:lastRow="0" w:firstColumn="1" w:lastColumn="0" w:noHBand="0" w:noVBand="1"/>
      </w:tblPr>
      <w:tblGrid>
        <w:gridCol w:w="9853"/>
      </w:tblGrid>
      <w:tr w:rsidR="00F86FFD" w:rsidTr="00F86FFD">
        <w:tc>
          <w:tcPr>
            <w:tcW w:w="9853" w:type="dxa"/>
          </w:tcPr>
          <w:p w:rsidR="00F86FFD" w:rsidRPr="002E51D8" w:rsidRDefault="00F86FFD" w:rsidP="00F86FFD">
            <w:pPr>
              <w:tabs>
                <w:tab w:val="left" w:pos="1701"/>
                <w:tab w:val="left" w:pos="4860"/>
              </w:tabs>
              <w:rPr>
                <w:b/>
                <w:sz w:val="22"/>
                <w:szCs w:val="22"/>
              </w:rPr>
            </w:pPr>
            <w:r w:rsidRPr="002E51D8">
              <w:rPr>
                <w:b/>
                <w:sz w:val="22"/>
                <w:szCs w:val="22"/>
              </w:rPr>
              <w:t xml:space="preserve">Case study – </w:t>
            </w:r>
            <w:r>
              <w:rPr>
                <w:b/>
                <w:sz w:val="22"/>
                <w:szCs w:val="22"/>
              </w:rPr>
              <w:t xml:space="preserve">impact of legal aid cuts </w:t>
            </w:r>
          </w:p>
          <w:p w:rsidR="00F86FFD" w:rsidRPr="002E51D8" w:rsidRDefault="00F86FFD" w:rsidP="00F86FFD">
            <w:pPr>
              <w:tabs>
                <w:tab w:val="left" w:pos="1701"/>
                <w:tab w:val="left" w:pos="4860"/>
              </w:tabs>
              <w:rPr>
                <w:sz w:val="22"/>
                <w:szCs w:val="22"/>
              </w:rPr>
            </w:pPr>
          </w:p>
          <w:p w:rsidR="00F86FFD" w:rsidRPr="002E51D8" w:rsidRDefault="00F86FFD" w:rsidP="00F86FFD">
            <w:pPr>
              <w:tabs>
                <w:tab w:val="left" w:pos="1701"/>
                <w:tab w:val="left" w:pos="4860"/>
              </w:tabs>
              <w:rPr>
                <w:sz w:val="22"/>
                <w:szCs w:val="22"/>
              </w:rPr>
            </w:pPr>
            <w:r w:rsidRPr="002E51D8">
              <w:rPr>
                <w:sz w:val="22"/>
                <w:szCs w:val="22"/>
              </w:rPr>
              <w:t xml:space="preserve">Leonard came to the UK 13 years ago, when he was 21. </w:t>
            </w:r>
            <w:r>
              <w:rPr>
                <w:sz w:val="22"/>
                <w:szCs w:val="22"/>
              </w:rPr>
              <w:t>He</w:t>
            </w:r>
            <w:r w:rsidRPr="002E51D8">
              <w:rPr>
                <w:sz w:val="22"/>
                <w:szCs w:val="22"/>
              </w:rPr>
              <w:t xml:space="preserve"> met his partner Mary, and became stepfather to her two infant daughters. Three years later the couple had a son. </w:t>
            </w:r>
            <w:r w:rsidR="00527F0B" w:rsidRPr="002E51D8">
              <w:rPr>
                <w:sz w:val="22"/>
                <w:szCs w:val="22"/>
              </w:rPr>
              <w:t>Mary and the three children all have British citizenship.</w:t>
            </w:r>
            <w:r w:rsidR="00527F0B">
              <w:rPr>
                <w:sz w:val="22"/>
                <w:szCs w:val="22"/>
              </w:rPr>
              <w:t xml:space="preserve"> </w:t>
            </w:r>
          </w:p>
          <w:p w:rsidR="00F86FFD" w:rsidRPr="002E51D8" w:rsidRDefault="00F86FFD" w:rsidP="00F86FFD">
            <w:pPr>
              <w:tabs>
                <w:tab w:val="left" w:pos="1701"/>
                <w:tab w:val="left" w:pos="4860"/>
              </w:tabs>
              <w:rPr>
                <w:sz w:val="22"/>
                <w:szCs w:val="22"/>
              </w:rPr>
            </w:pPr>
          </w:p>
          <w:p w:rsidR="00527F0B" w:rsidRDefault="00F86FFD" w:rsidP="00F86FFD">
            <w:pPr>
              <w:tabs>
                <w:tab w:val="left" w:pos="1701"/>
                <w:tab w:val="left" w:pos="4860"/>
              </w:tabs>
              <w:rPr>
                <w:sz w:val="22"/>
                <w:szCs w:val="22"/>
              </w:rPr>
            </w:pPr>
            <w:r>
              <w:rPr>
                <w:sz w:val="22"/>
                <w:szCs w:val="22"/>
              </w:rPr>
              <w:t xml:space="preserve">Some years later, </w:t>
            </w:r>
            <w:r w:rsidRPr="002E51D8">
              <w:rPr>
                <w:sz w:val="22"/>
                <w:szCs w:val="22"/>
              </w:rPr>
              <w:t xml:space="preserve">Leonard was convicted of possessing a handgun. He had previous offences, and following this the Home Office detained and sought to deport him. Probation </w:t>
            </w:r>
            <w:proofErr w:type="gramStart"/>
            <w:r w:rsidRPr="002E51D8">
              <w:rPr>
                <w:sz w:val="22"/>
                <w:szCs w:val="22"/>
              </w:rPr>
              <w:t>have</w:t>
            </w:r>
            <w:proofErr w:type="gramEnd"/>
            <w:r w:rsidRPr="002E51D8">
              <w:rPr>
                <w:sz w:val="22"/>
                <w:szCs w:val="22"/>
              </w:rPr>
              <w:t xml:space="preserve"> assessed his risk of reoffending as ‘clearly low.’ </w:t>
            </w:r>
          </w:p>
          <w:p w:rsidR="00527F0B" w:rsidRDefault="00527F0B" w:rsidP="00F86FFD">
            <w:pPr>
              <w:tabs>
                <w:tab w:val="left" w:pos="1701"/>
                <w:tab w:val="left" w:pos="4860"/>
              </w:tabs>
              <w:rPr>
                <w:sz w:val="22"/>
                <w:szCs w:val="22"/>
              </w:rPr>
            </w:pPr>
          </w:p>
          <w:p w:rsidR="00F86FFD" w:rsidRPr="002E51D8" w:rsidRDefault="00527F0B" w:rsidP="00F86FFD">
            <w:pPr>
              <w:tabs>
                <w:tab w:val="left" w:pos="1701"/>
                <w:tab w:val="left" w:pos="4860"/>
              </w:tabs>
              <w:rPr>
                <w:sz w:val="22"/>
                <w:szCs w:val="22"/>
              </w:rPr>
            </w:pPr>
            <w:r>
              <w:rPr>
                <w:sz w:val="22"/>
                <w:szCs w:val="22"/>
              </w:rPr>
              <w:t xml:space="preserve">Following the Legal Aid, Sentencing and Punishment of Offenders Act 2012, Leonard was unable to access legal aid. He represented himself in his appeal to the </w:t>
            </w:r>
            <w:r w:rsidR="00F86FFD" w:rsidRPr="002E51D8">
              <w:rPr>
                <w:sz w:val="22"/>
                <w:szCs w:val="22"/>
              </w:rPr>
              <w:t>Upper Tribunal.</w:t>
            </w:r>
            <w:r>
              <w:rPr>
                <w:sz w:val="22"/>
                <w:szCs w:val="22"/>
              </w:rPr>
              <w:t xml:space="preserve"> </w:t>
            </w:r>
            <w:r w:rsidR="00F86FFD" w:rsidRPr="002E51D8">
              <w:rPr>
                <w:sz w:val="22"/>
                <w:szCs w:val="22"/>
              </w:rPr>
              <w:t xml:space="preserve">Leonard is unable to read or write. He said that he felt ‘intimidated and distressed’ during the hearing. He didn’t know how to speak to the judge and couldn’t understand what the judge said: ‘They just said “go and stand there” [in the courtroom]. Because I’ve got a criminal record, I don’t think they really listened to what I said. They thought I was lying. A lot of what they were saying wasn’t true, but I didn’t know what to say, how to challenge it. It didn’t take them long to reject my case.’ </w:t>
            </w:r>
          </w:p>
          <w:p w:rsidR="00F86FFD" w:rsidRPr="002E51D8" w:rsidRDefault="00F86FFD" w:rsidP="00F86FFD">
            <w:pPr>
              <w:tabs>
                <w:tab w:val="left" w:pos="1701"/>
                <w:tab w:val="left" w:pos="4860"/>
              </w:tabs>
              <w:rPr>
                <w:sz w:val="22"/>
                <w:szCs w:val="22"/>
              </w:rPr>
            </w:pPr>
          </w:p>
          <w:p w:rsidR="00F86FFD" w:rsidRPr="002E51D8" w:rsidRDefault="00F86FFD" w:rsidP="00F86FFD">
            <w:pPr>
              <w:tabs>
                <w:tab w:val="left" w:pos="1701"/>
                <w:tab w:val="left" w:pos="4860"/>
              </w:tabs>
              <w:rPr>
                <w:sz w:val="22"/>
                <w:szCs w:val="22"/>
              </w:rPr>
            </w:pPr>
            <w:r>
              <w:rPr>
                <w:sz w:val="22"/>
                <w:szCs w:val="22"/>
              </w:rPr>
              <w:t xml:space="preserve">During Leonard’s </w:t>
            </w:r>
            <w:r w:rsidR="00527F0B">
              <w:rPr>
                <w:sz w:val="22"/>
                <w:szCs w:val="22"/>
              </w:rPr>
              <w:t>time in immigration detention</w:t>
            </w:r>
            <w:r w:rsidRPr="002E51D8">
              <w:rPr>
                <w:sz w:val="22"/>
                <w:szCs w:val="22"/>
              </w:rPr>
              <w:t xml:space="preserve"> his</w:t>
            </w:r>
            <w:r>
              <w:rPr>
                <w:sz w:val="22"/>
                <w:szCs w:val="22"/>
              </w:rPr>
              <w:t xml:space="preserve"> partner, who is HIV positive and has chronic arthritis, </w:t>
            </w:r>
            <w:r w:rsidRPr="002E51D8">
              <w:rPr>
                <w:sz w:val="22"/>
                <w:szCs w:val="22"/>
              </w:rPr>
              <w:t>struggled to cope.</w:t>
            </w:r>
            <w:r w:rsidR="00527F0B">
              <w:rPr>
                <w:sz w:val="22"/>
                <w:szCs w:val="22"/>
              </w:rPr>
              <w:t xml:space="preserve"> His</w:t>
            </w:r>
            <w:r w:rsidRPr="002E51D8">
              <w:rPr>
                <w:sz w:val="22"/>
                <w:szCs w:val="22"/>
              </w:rPr>
              <w:t xml:space="preserve"> youngest child had nightmares, lost weight and had difficulties eating. </w:t>
            </w:r>
            <w:r w:rsidR="00527F0B">
              <w:rPr>
                <w:sz w:val="22"/>
                <w:szCs w:val="22"/>
              </w:rPr>
              <w:t>His</w:t>
            </w:r>
            <w:r w:rsidRPr="002E51D8">
              <w:rPr>
                <w:sz w:val="22"/>
                <w:szCs w:val="22"/>
              </w:rPr>
              <w:t xml:space="preserve"> eldest began getting involved in fights at school. The middle child tried to self-harm, and has begun receiving counselling for depression. Leonard’s doctor produced a report stating that if Leonard was returned to his country of origin ‘his life expectancy would be severely curtailed’ as he </w:t>
            </w:r>
            <w:r w:rsidR="00527F0B">
              <w:rPr>
                <w:sz w:val="22"/>
                <w:szCs w:val="22"/>
              </w:rPr>
              <w:t xml:space="preserve">is HIV positive and </w:t>
            </w:r>
            <w:r w:rsidRPr="002E51D8">
              <w:rPr>
                <w:sz w:val="22"/>
                <w:szCs w:val="22"/>
              </w:rPr>
              <w:t>would not be able to access the medication he needs.</w:t>
            </w:r>
          </w:p>
          <w:p w:rsidR="00F86FFD" w:rsidRPr="002E51D8" w:rsidRDefault="00F86FFD" w:rsidP="00F86FFD">
            <w:pPr>
              <w:tabs>
                <w:tab w:val="left" w:pos="1701"/>
                <w:tab w:val="left" w:pos="4860"/>
              </w:tabs>
              <w:rPr>
                <w:sz w:val="22"/>
                <w:szCs w:val="22"/>
              </w:rPr>
            </w:pPr>
          </w:p>
          <w:p w:rsidR="00F86FFD" w:rsidRDefault="00F86FFD" w:rsidP="002E51D8">
            <w:pPr>
              <w:tabs>
                <w:tab w:val="left" w:pos="1701"/>
                <w:tab w:val="left" w:pos="4860"/>
              </w:tabs>
              <w:rPr>
                <w:sz w:val="22"/>
                <w:szCs w:val="22"/>
              </w:rPr>
            </w:pPr>
            <w:r w:rsidRPr="002E51D8">
              <w:rPr>
                <w:sz w:val="22"/>
                <w:szCs w:val="22"/>
              </w:rPr>
              <w:t xml:space="preserve">However, Leonard did not know that evidence such as his doctor’s report or evidence of his partners’ difficulties caring for the children were needed to support his appeal, and did not provide this to the court. </w:t>
            </w:r>
            <w:r w:rsidRPr="009A151D">
              <w:rPr>
                <w:b/>
                <w:sz w:val="22"/>
                <w:szCs w:val="22"/>
              </w:rPr>
              <w:t>BID is gravely concerned that in cases such as this, where legal aid is unavailable, Article 8 ECHR and the best interests of the child cannot be properly considered by the court.</w:t>
            </w:r>
            <w:r w:rsidRPr="002E51D8">
              <w:rPr>
                <w:sz w:val="22"/>
                <w:szCs w:val="22"/>
              </w:rPr>
              <w:t xml:space="preserve">  </w:t>
            </w:r>
          </w:p>
        </w:tc>
      </w:tr>
    </w:tbl>
    <w:p w:rsidR="00F86FFD" w:rsidRDefault="00F86FFD" w:rsidP="002E51D8">
      <w:pPr>
        <w:tabs>
          <w:tab w:val="left" w:pos="1701"/>
          <w:tab w:val="left" w:pos="4860"/>
        </w:tabs>
        <w:rPr>
          <w:sz w:val="22"/>
          <w:szCs w:val="22"/>
        </w:rPr>
      </w:pPr>
    </w:p>
    <w:p w:rsidR="00950086" w:rsidRPr="00C50864" w:rsidRDefault="00C50864" w:rsidP="00950086">
      <w:pPr>
        <w:tabs>
          <w:tab w:val="left" w:pos="1701"/>
          <w:tab w:val="left" w:pos="4860"/>
        </w:tabs>
        <w:rPr>
          <w:b/>
          <w:sz w:val="22"/>
          <w:szCs w:val="22"/>
        </w:rPr>
      </w:pPr>
      <w:r w:rsidRPr="00C50864">
        <w:rPr>
          <w:b/>
          <w:sz w:val="22"/>
          <w:szCs w:val="22"/>
        </w:rPr>
        <w:t xml:space="preserve">Immigration Act 2014 </w:t>
      </w:r>
    </w:p>
    <w:p w:rsidR="002E51D8" w:rsidRPr="004A295B" w:rsidRDefault="002E51D8" w:rsidP="009D2B53">
      <w:pPr>
        <w:tabs>
          <w:tab w:val="left" w:pos="1701"/>
          <w:tab w:val="left" w:pos="4860"/>
        </w:tabs>
        <w:rPr>
          <w:szCs w:val="28"/>
          <w:u w:val="single"/>
        </w:rPr>
      </w:pPr>
    </w:p>
    <w:p w:rsidR="004A295B" w:rsidRDefault="00DE674A" w:rsidP="005B5785">
      <w:pPr>
        <w:tabs>
          <w:tab w:val="left" w:pos="1701"/>
          <w:tab w:val="left" w:pos="4860"/>
        </w:tabs>
        <w:rPr>
          <w:sz w:val="22"/>
          <w:szCs w:val="22"/>
          <w:u w:val="single"/>
        </w:rPr>
      </w:pPr>
      <w:r>
        <w:rPr>
          <w:sz w:val="22"/>
          <w:szCs w:val="22"/>
          <w:u w:val="single"/>
        </w:rPr>
        <w:t>Section</w:t>
      </w:r>
      <w:r w:rsidR="00C50864" w:rsidRPr="00C50864">
        <w:rPr>
          <w:sz w:val="22"/>
          <w:szCs w:val="22"/>
          <w:u w:val="single"/>
        </w:rPr>
        <w:t xml:space="preserve"> 17: Deport first and appeal later </w:t>
      </w:r>
    </w:p>
    <w:p w:rsidR="00C50864" w:rsidRDefault="00C50864" w:rsidP="005B5785">
      <w:pPr>
        <w:tabs>
          <w:tab w:val="left" w:pos="1701"/>
          <w:tab w:val="left" w:pos="4860"/>
        </w:tabs>
        <w:rPr>
          <w:sz w:val="22"/>
          <w:szCs w:val="22"/>
          <w:u w:val="single"/>
        </w:rPr>
      </w:pPr>
    </w:p>
    <w:p w:rsidR="0037129E" w:rsidRDefault="00DE674A" w:rsidP="00007C79">
      <w:pPr>
        <w:tabs>
          <w:tab w:val="left" w:pos="1701"/>
          <w:tab w:val="left" w:pos="4860"/>
        </w:tabs>
        <w:rPr>
          <w:sz w:val="22"/>
          <w:szCs w:val="22"/>
        </w:rPr>
      </w:pPr>
      <w:r>
        <w:rPr>
          <w:sz w:val="22"/>
          <w:szCs w:val="22"/>
        </w:rPr>
        <w:t>Section</w:t>
      </w:r>
      <w:r w:rsidR="00007C79" w:rsidRPr="00007C79">
        <w:rPr>
          <w:sz w:val="22"/>
          <w:szCs w:val="22"/>
        </w:rPr>
        <w:t xml:space="preserve"> </w:t>
      </w:r>
      <w:r w:rsidR="00007C79">
        <w:rPr>
          <w:sz w:val="22"/>
          <w:szCs w:val="22"/>
        </w:rPr>
        <w:t>17</w:t>
      </w:r>
      <w:r w:rsidR="00007C79" w:rsidRPr="00007C79">
        <w:rPr>
          <w:sz w:val="22"/>
          <w:szCs w:val="22"/>
        </w:rPr>
        <w:t xml:space="preserve">(3) of the </w:t>
      </w:r>
      <w:r w:rsidR="00007C79">
        <w:rPr>
          <w:sz w:val="22"/>
          <w:szCs w:val="22"/>
        </w:rPr>
        <w:t>Immigration Act provides</w:t>
      </w:r>
      <w:r w:rsidR="00007C79" w:rsidRPr="00007C79">
        <w:rPr>
          <w:sz w:val="22"/>
          <w:szCs w:val="22"/>
        </w:rPr>
        <w:t xml:space="preserve"> that </w:t>
      </w:r>
      <w:r w:rsidR="00007C79" w:rsidRPr="00007C79">
        <w:rPr>
          <w:i/>
          <w:sz w:val="22"/>
          <w:szCs w:val="22"/>
        </w:rPr>
        <w:t>‘foreign criminals’</w:t>
      </w:r>
      <w:r w:rsidR="00007C79" w:rsidRPr="00007C79">
        <w:rPr>
          <w:sz w:val="22"/>
          <w:szCs w:val="22"/>
        </w:rPr>
        <w:t xml:space="preserve"> and people the Home Secretary deems not conducive to the public good</w:t>
      </w:r>
      <w:r w:rsidR="00007C79" w:rsidRPr="00007C79">
        <w:rPr>
          <w:i/>
          <w:sz w:val="22"/>
          <w:szCs w:val="22"/>
        </w:rPr>
        <w:t xml:space="preserve"> ‘can be deported first and appeal after, unless that would cause serious irreversible harm.’</w:t>
      </w:r>
      <w:r w:rsidR="00007C79" w:rsidRPr="00007C79">
        <w:rPr>
          <w:sz w:val="22"/>
          <w:szCs w:val="22"/>
          <w:vertAlign w:val="superscript"/>
        </w:rPr>
        <w:footnoteReference w:id="20"/>
      </w:r>
      <w:r w:rsidR="00007C79" w:rsidRPr="00007C79">
        <w:rPr>
          <w:sz w:val="22"/>
          <w:szCs w:val="22"/>
        </w:rPr>
        <w:t xml:space="preserve"> </w:t>
      </w:r>
    </w:p>
    <w:p w:rsidR="0037129E" w:rsidRDefault="0037129E" w:rsidP="00007C79">
      <w:pPr>
        <w:tabs>
          <w:tab w:val="left" w:pos="1701"/>
          <w:tab w:val="left" w:pos="4860"/>
        </w:tabs>
        <w:rPr>
          <w:sz w:val="22"/>
          <w:szCs w:val="22"/>
        </w:rPr>
      </w:pPr>
    </w:p>
    <w:p w:rsidR="00007C79" w:rsidRPr="00007C79" w:rsidRDefault="0037129E" w:rsidP="00007C79">
      <w:pPr>
        <w:tabs>
          <w:tab w:val="left" w:pos="1701"/>
          <w:tab w:val="left" w:pos="4860"/>
        </w:tabs>
        <w:rPr>
          <w:sz w:val="22"/>
          <w:szCs w:val="22"/>
        </w:rPr>
      </w:pPr>
      <w:r w:rsidRPr="00007C79">
        <w:rPr>
          <w:sz w:val="22"/>
          <w:szCs w:val="22"/>
        </w:rPr>
        <w:t xml:space="preserve">There will be huge practical barriers to individuals appealing their deportation from abroad. </w:t>
      </w:r>
      <w:r w:rsidR="00007C79" w:rsidRPr="00007C79">
        <w:rPr>
          <w:sz w:val="22"/>
          <w:szCs w:val="22"/>
        </w:rPr>
        <w:t xml:space="preserve">In practice, </w:t>
      </w:r>
      <w:r w:rsidR="00007C79">
        <w:rPr>
          <w:sz w:val="22"/>
          <w:szCs w:val="22"/>
        </w:rPr>
        <w:t>17(3) will</w:t>
      </w:r>
      <w:r w:rsidR="00007C79" w:rsidRPr="00007C79">
        <w:rPr>
          <w:sz w:val="22"/>
          <w:szCs w:val="22"/>
        </w:rPr>
        <w:t xml:space="preserve"> prevent people from challenging their deportation, including where they would have won their appeal if they had been able to bring one in the UK. </w:t>
      </w:r>
      <w:r w:rsidRPr="00007C79">
        <w:rPr>
          <w:sz w:val="22"/>
          <w:szCs w:val="22"/>
        </w:rPr>
        <w:t>There are serious problems with the quality of Home Office decision-making</w:t>
      </w:r>
      <w:r>
        <w:rPr>
          <w:sz w:val="22"/>
          <w:szCs w:val="22"/>
        </w:rPr>
        <w:t>, and</w:t>
      </w:r>
      <w:r w:rsidRPr="00007C79">
        <w:rPr>
          <w:sz w:val="22"/>
          <w:szCs w:val="22"/>
        </w:rPr>
        <w:t xml:space="preserve"> in 2012/13, 32% of deportation appeals succeeded.</w:t>
      </w:r>
      <w:r w:rsidRPr="00007C79">
        <w:rPr>
          <w:rStyle w:val="FootnoteReference"/>
          <w:sz w:val="22"/>
          <w:szCs w:val="22"/>
        </w:rPr>
        <w:footnoteReference w:id="21"/>
      </w:r>
      <w:r w:rsidRPr="00007C79">
        <w:rPr>
          <w:sz w:val="22"/>
          <w:szCs w:val="22"/>
        </w:rPr>
        <w:t xml:space="preserve">  </w:t>
      </w:r>
      <w:r>
        <w:rPr>
          <w:sz w:val="22"/>
          <w:szCs w:val="22"/>
        </w:rPr>
        <w:t>In BID’s view, Section 17(3) will</w:t>
      </w:r>
      <w:r w:rsidR="00007C79" w:rsidRPr="00007C79">
        <w:rPr>
          <w:sz w:val="22"/>
          <w:szCs w:val="22"/>
        </w:rPr>
        <w:t xml:space="preserve"> have grave </w:t>
      </w:r>
      <w:r>
        <w:rPr>
          <w:sz w:val="22"/>
          <w:szCs w:val="22"/>
        </w:rPr>
        <w:t xml:space="preserve">consequences for child welfare; it </w:t>
      </w:r>
      <w:r w:rsidR="00007C79" w:rsidRPr="00007C79">
        <w:rPr>
          <w:sz w:val="22"/>
          <w:szCs w:val="22"/>
        </w:rPr>
        <w:t>has been criticised by the Joint Committee on Human Rights.</w:t>
      </w:r>
      <w:r w:rsidR="00007C79" w:rsidRPr="00007C79">
        <w:rPr>
          <w:rStyle w:val="FootnoteReference"/>
          <w:sz w:val="22"/>
          <w:szCs w:val="22"/>
        </w:rPr>
        <w:footnoteReference w:id="22"/>
      </w:r>
      <w:r w:rsidR="00007C79" w:rsidRPr="00007C79">
        <w:rPr>
          <w:sz w:val="22"/>
          <w:szCs w:val="22"/>
        </w:rPr>
        <w:t xml:space="preserve"> </w:t>
      </w:r>
    </w:p>
    <w:p w:rsidR="00007C79" w:rsidRPr="00007C79" w:rsidRDefault="00007C79" w:rsidP="00007C79">
      <w:pPr>
        <w:tabs>
          <w:tab w:val="left" w:pos="1701"/>
          <w:tab w:val="left" w:pos="4860"/>
        </w:tabs>
        <w:rPr>
          <w:sz w:val="22"/>
          <w:szCs w:val="22"/>
        </w:rPr>
      </w:pPr>
    </w:p>
    <w:p w:rsidR="00007C79" w:rsidRPr="00DE674A" w:rsidRDefault="00DE674A" w:rsidP="00007C79">
      <w:pPr>
        <w:tabs>
          <w:tab w:val="left" w:pos="1701"/>
          <w:tab w:val="left" w:pos="4860"/>
        </w:tabs>
        <w:rPr>
          <w:sz w:val="22"/>
          <w:szCs w:val="22"/>
          <w:u w:val="single"/>
        </w:rPr>
      </w:pPr>
      <w:r>
        <w:rPr>
          <w:sz w:val="22"/>
          <w:szCs w:val="22"/>
          <w:u w:val="single"/>
        </w:rPr>
        <w:t>Section</w:t>
      </w:r>
      <w:r w:rsidRPr="00DE674A">
        <w:rPr>
          <w:sz w:val="22"/>
          <w:szCs w:val="22"/>
          <w:u w:val="single"/>
        </w:rPr>
        <w:t xml:space="preserve"> 19: Private and family life </w:t>
      </w:r>
    </w:p>
    <w:p w:rsidR="00DE674A" w:rsidRPr="00007C79" w:rsidRDefault="00DE674A" w:rsidP="00007C79">
      <w:pPr>
        <w:tabs>
          <w:tab w:val="left" w:pos="1701"/>
          <w:tab w:val="left" w:pos="4860"/>
        </w:tabs>
        <w:rPr>
          <w:sz w:val="22"/>
          <w:szCs w:val="22"/>
        </w:rPr>
      </w:pPr>
    </w:p>
    <w:p w:rsidR="00DE674A" w:rsidRPr="00DE674A" w:rsidRDefault="00DE674A" w:rsidP="0037129E">
      <w:pPr>
        <w:rPr>
          <w:sz w:val="22"/>
          <w:szCs w:val="22"/>
        </w:rPr>
      </w:pPr>
      <w:r>
        <w:rPr>
          <w:color w:val="000000"/>
          <w:sz w:val="22"/>
          <w:szCs w:val="22"/>
        </w:rPr>
        <w:t>Section</w:t>
      </w:r>
      <w:r w:rsidRPr="00DE674A">
        <w:rPr>
          <w:color w:val="000000"/>
          <w:sz w:val="22"/>
          <w:szCs w:val="22"/>
        </w:rPr>
        <w:t xml:space="preserve"> 19 </w:t>
      </w:r>
      <w:r w:rsidRPr="00DE674A">
        <w:rPr>
          <w:sz w:val="22"/>
          <w:szCs w:val="22"/>
        </w:rPr>
        <w:t xml:space="preserve">seeks to limit the circumstances in which someone can successfully appeal their removal or deportation on the basis of the right to private and family life. </w:t>
      </w:r>
      <w:r>
        <w:rPr>
          <w:sz w:val="22"/>
          <w:szCs w:val="22"/>
        </w:rPr>
        <w:t>Section</w:t>
      </w:r>
      <w:r w:rsidRPr="00DE674A">
        <w:rPr>
          <w:sz w:val="22"/>
          <w:szCs w:val="22"/>
        </w:rPr>
        <w:t xml:space="preserve"> 19 suggests that in a very wide range of circumstances, the best interests of children should be routinely subordinated to considerations of immigration control. </w:t>
      </w:r>
      <w:r w:rsidR="0037129E">
        <w:rPr>
          <w:sz w:val="22"/>
          <w:szCs w:val="22"/>
        </w:rPr>
        <w:t>For example, c</w:t>
      </w:r>
      <w:r w:rsidRPr="00DE674A">
        <w:rPr>
          <w:sz w:val="22"/>
          <w:szCs w:val="22"/>
        </w:rPr>
        <w:t xml:space="preserve">hildren who have lived in the UK for less than 7 years and are not British do not fall within the </w:t>
      </w:r>
      <w:r>
        <w:rPr>
          <w:sz w:val="22"/>
          <w:szCs w:val="22"/>
        </w:rPr>
        <w:t>Section</w:t>
      </w:r>
      <w:r w:rsidRPr="00DE674A">
        <w:rPr>
          <w:sz w:val="22"/>
          <w:szCs w:val="22"/>
        </w:rPr>
        <w:t>’s definition of ‘qualifying children’ whose welfare is</w:t>
      </w:r>
      <w:r w:rsidR="0037129E">
        <w:rPr>
          <w:sz w:val="22"/>
          <w:szCs w:val="22"/>
        </w:rPr>
        <w:t xml:space="preserve"> to be</w:t>
      </w:r>
      <w:r w:rsidRPr="00DE674A">
        <w:rPr>
          <w:sz w:val="22"/>
          <w:szCs w:val="22"/>
        </w:rPr>
        <w:t xml:space="preserve"> taken into account. </w:t>
      </w:r>
      <w:r w:rsidR="0037129E">
        <w:rPr>
          <w:sz w:val="22"/>
          <w:szCs w:val="22"/>
        </w:rPr>
        <w:t>Plainly, a</w:t>
      </w:r>
      <w:r w:rsidRPr="00DE674A">
        <w:rPr>
          <w:sz w:val="22"/>
          <w:szCs w:val="22"/>
        </w:rPr>
        <w:t xml:space="preserve"> parent’s deportation or removal may create a desper</w:t>
      </w:r>
      <w:r w:rsidR="0037129E">
        <w:rPr>
          <w:sz w:val="22"/>
          <w:szCs w:val="22"/>
        </w:rPr>
        <w:t>ate situation for a 6 year old, particularly if the child has special needs</w:t>
      </w:r>
      <w:r w:rsidRPr="00DE674A">
        <w:rPr>
          <w:sz w:val="22"/>
          <w:szCs w:val="22"/>
        </w:rPr>
        <w:t xml:space="preserve">. </w:t>
      </w:r>
    </w:p>
    <w:p w:rsidR="00DE674A" w:rsidRPr="00DE674A" w:rsidRDefault="00DE674A" w:rsidP="00DE674A">
      <w:pPr>
        <w:tabs>
          <w:tab w:val="left" w:pos="1701"/>
          <w:tab w:val="left" w:pos="4860"/>
        </w:tabs>
        <w:rPr>
          <w:sz w:val="22"/>
          <w:szCs w:val="22"/>
        </w:rPr>
      </w:pPr>
    </w:p>
    <w:p w:rsidR="008D61C8" w:rsidRDefault="008D61C8" w:rsidP="009D2B53">
      <w:pPr>
        <w:tabs>
          <w:tab w:val="left" w:pos="1701"/>
          <w:tab w:val="left" w:pos="4860"/>
        </w:tabs>
        <w:rPr>
          <w:b/>
          <w:szCs w:val="28"/>
        </w:rPr>
      </w:pPr>
      <w:r>
        <w:rPr>
          <w:b/>
          <w:szCs w:val="28"/>
        </w:rPr>
        <w:t xml:space="preserve">Detention of children </w:t>
      </w:r>
    </w:p>
    <w:p w:rsidR="00274331" w:rsidRDefault="00274331" w:rsidP="00DE674A">
      <w:pPr>
        <w:suppressAutoHyphens w:val="0"/>
        <w:rPr>
          <w:color w:val="000000"/>
          <w:sz w:val="22"/>
          <w:szCs w:val="22"/>
        </w:rPr>
      </w:pPr>
    </w:p>
    <w:p w:rsidR="00274331" w:rsidRDefault="00274331" w:rsidP="00DE674A">
      <w:pPr>
        <w:suppressAutoHyphens w:val="0"/>
        <w:rPr>
          <w:rFonts w:eastAsiaTheme="minorHAnsi"/>
          <w:sz w:val="22"/>
          <w:szCs w:val="22"/>
        </w:rPr>
      </w:pPr>
      <w:r>
        <w:rPr>
          <w:rFonts w:eastAsiaTheme="minorHAnsi"/>
          <w:sz w:val="22"/>
          <w:szCs w:val="22"/>
        </w:rPr>
        <w:t>We note that the bulk of the UK Government’s</w:t>
      </w:r>
      <w:r w:rsidR="006F3EF9">
        <w:rPr>
          <w:rFonts w:eastAsiaTheme="minorHAnsi"/>
          <w:sz w:val="22"/>
          <w:szCs w:val="22"/>
        </w:rPr>
        <w:t xml:space="preserve"> July 2012</w:t>
      </w:r>
      <w:r>
        <w:rPr>
          <w:rFonts w:eastAsiaTheme="minorHAnsi"/>
          <w:sz w:val="22"/>
          <w:szCs w:val="22"/>
        </w:rPr>
        <w:t xml:space="preserve"> </w:t>
      </w:r>
      <w:r w:rsidR="006F3EF9">
        <w:rPr>
          <w:rFonts w:eastAsiaTheme="minorHAnsi"/>
          <w:sz w:val="22"/>
          <w:szCs w:val="22"/>
        </w:rPr>
        <w:t xml:space="preserve">seventh periodic report on immigration detention to the CCPR committee focuses on the issue of child detention. </w:t>
      </w:r>
    </w:p>
    <w:p w:rsidR="006F3EF9" w:rsidRDefault="006F3EF9" w:rsidP="00DE674A">
      <w:pPr>
        <w:suppressAutoHyphens w:val="0"/>
        <w:rPr>
          <w:rFonts w:eastAsiaTheme="minorHAnsi"/>
          <w:sz w:val="22"/>
          <w:szCs w:val="22"/>
        </w:rPr>
      </w:pPr>
    </w:p>
    <w:p w:rsidR="00DE674A" w:rsidRDefault="006F3EF9" w:rsidP="00DE674A">
      <w:pPr>
        <w:suppressAutoHyphens w:val="0"/>
        <w:rPr>
          <w:rFonts w:ascii="Times New Roman" w:hAnsi="Times New Roman" w:cs="Times New Roman"/>
          <w:sz w:val="24"/>
          <w:lang w:eastAsia="en-GB"/>
        </w:rPr>
      </w:pPr>
      <w:r>
        <w:rPr>
          <w:rFonts w:eastAsiaTheme="minorHAnsi"/>
          <w:sz w:val="22"/>
          <w:szCs w:val="22"/>
        </w:rPr>
        <w:t>As the committee will know, i</w:t>
      </w:r>
      <w:r w:rsidR="00DE674A">
        <w:rPr>
          <w:rFonts w:eastAsiaTheme="minorHAnsi"/>
          <w:sz w:val="22"/>
          <w:szCs w:val="22"/>
        </w:rPr>
        <w:t>n May 2010, the Government committed to ending the immigration detention of children. BID and others welcomed this change; there is considerable evidence that detention can seriously harm children.</w:t>
      </w:r>
      <w:r w:rsidR="00DE674A">
        <w:rPr>
          <w:rStyle w:val="FootnoteReference"/>
          <w:rFonts w:eastAsiaTheme="minorHAnsi"/>
          <w:sz w:val="22"/>
          <w:szCs w:val="22"/>
        </w:rPr>
        <w:footnoteReference w:id="23"/>
      </w:r>
      <w:r w:rsidR="00DE674A">
        <w:rPr>
          <w:rFonts w:eastAsiaTheme="minorHAnsi"/>
          <w:sz w:val="22"/>
          <w:szCs w:val="22"/>
        </w:rPr>
        <w:t xml:space="preserve"> There have been significant improvements in Government policy on child detention since 2010. Far fewer children are detained for much shorter periods. </w:t>
      </w:r>
    </w:p>
    <w:p w:rsidR="00DE674A" w:rsidRDefault="00DE674A" w:rsidP="001C0792">
      <w:pPr>
        <w:tabs>
          <w:tab w:val="left" w:pos="1701"/>
          <w:tab w:val="left" w:pos="4860"/>
        </w:tabs>
        <w:rPr>
          <w:color w:val="000000"/>
          <w:sz w:val="22"/>
          <w:szCs w:val="22"/>
        </w:rPr>
      </w:pPr>
    </w:p>
    <w:p w:rsidR="001C0792" w:rsidRDefault="00DE674A" w:rsidP="00B24D81">
      <w:pPr>
        <w:rPr>
          <w:color w:val="000000"/>
          <w:sz w:val="22"/>
          <w:szCs w:val="22"/>
        </w:rPr>
      </w:pPr>
      <w:r>
        <w:rPr>
          <w:color w:val="000000"/>
          <w:sz w:val="22"/>
          <w:szCs w:val="22"/>
        </w:rPr>
        <w:t>However, t</w:t>
      </w:r>
      <w:r w:rsidR="006F3EF9">
        <w:rPr>
          <w:color w:val="000000"/>
          <w:sz w:val="22"/>
          <w:szCs w:val="22"/>
        </w:rPr>
        <w:t>he Government is yet to meet it</w:t>
      </w:r>
      <w:r>
        <w:rPr>
          <w:color w:val="000000"/>
          <w:sz w:val="22"/>
          <w:szCs w:val="22"/>
        </w:rPr>
        <w:t xml:space="preserve">s commitment to end child detention, and </w:t>
      </w:r>
      <w:r w:rsidR="001C0792" w:rsidRPr="001C0792">
        <w:rPr>
          <w:color w:val="000000"/>
          <w:sz w:val="22"/>
          <w:szCs w:val="22"/>
        </w:rPr>
        <w:t>a new family detention facility</w:t>
      </w:r>
      <w:r w:rsidR="006F3EF9">
        <w:rPr>
          <w:color w:val="000000"/>
          <w:sz w:val="22"/>
          <w:szCs w:val="22"/>
        </w:rPr>
        <w:t xml:space="preserve"> was opened</w:t>
      </w:r>
      <w:r w:rsidR="001C0792" w:rsidRPr="001C0792">
        <w:rPr>
          <w:color w:val="000000"/>
          <w:sz w:val="22"/>
          <w:szCs w:val="22"/>
        </w:rPr>
        <w:t xml:space="preserve"> in Crawley, Sussex in September 2011.</w:t>
      </w:r>
      <w:r w:rsidR="001C0792">
        <w:rPr>
          <w:color w:val="000000"/>
          <w:sz w:val="22"/>
          <w:szCs w:val="22"/>
        </w:rPr>
        <w:t xml:space="preserve"> </w:t>
      </w:r>
      <w:r w:rsidR="001C0792" w:rsidRPr="00310064">
        <w:rPr>
          <w:color w:val="000000"/>
          <w:sz w:val="22"/>
          <w:szCs w:val="22"/>
        </w:rPr>
        <w:t>A total of 222 children entered immigration detention during 2012</w:t>
      </w:r>
      <w:r w:rsidR="001C0792">
        <w:rPr>
          <w:color w:val="000000"/>
          <w:sz w:val="22"/>
          <w:szCs w:val="22"/>
        </w:rPr>
        <w:t>.</w:t>
      </w:r>
      <w:r w:rsidR="001C0792">
        <w:rPr>
          <w:rStyle w:val="FootnoteReference"/>
          <w:color w:val="000000"/>
          <w:sz w:val="22"/>
          <w:szCs w:val="22"/>
        </w:rPr>
        <w:footnoteReference w:id="24"/>
      </w:r>
      <w:r w:rsidR="001C0792">
        <w:rPr>
          <w:color w:val="000000"/>
          <w:sz w:val="22"/>
          <w:szCs w:val="22"/>
        </w:rPr>
        <w:t xml:space="preserve"> </w:t>
      </w:r>
      <w:r w:rsidR="00837465" w:rsidRPr="00837465">
        <w:rPr>
          <w:rFonts w:eastAsiaTheme="minorHAnsi"/>
          <w:sz w:val="22"/>
          <w:szCs w:val="22"/>
        </w:rPr>
        <w:t>130 of these children were subsequently released, raising serious questions about why they were detained in the first place.</w:t>
      </w:r>
      <w:r w:rsidR="00837465" w:rsidRPr="00837465">
        <w:rPr>
          <w:rStyle w:val="FootnoteReference"/>
          <w:rFonts w:eastAsiaTheme="minorHAnsi"/>
          <w:sz w:val="22"/>
          <w:szCs w:val="22"/>
        </w:rPr>
        <w:footnoteReference w:id="25"/>
      </w:r>
      <w:r w:rsidR="00B24D81">
        <w:rPr>
          <w:rFonts w:eastAsiaTheme="minorHAnsi"/>
          <w:sz w:val="22"/>
          <w:szCs w:val="22"/>
        </w:rPr>
        <w:t xml:space="preserve">  </w:t>
      </w:r>
      <w:r w:rsidR="001C0792">
        <w:rPr>
          <w:color w:val="000000"/>
          <w:sz w:val="22"/>
          <w:szCs w:val="22"/>
        </w:rPr>
        <w:t xml:space="preserve">BID </w:t>
      </w:r>
      <w:r w:rsidR="00F83C1D">
        <w:rPr>
          <w:color w:val="000000"/>
          <w:sz w:val="22"/>
          <w:szCs w:val="22"/>
        </w:rPr>
        <w:t>has</w:t>
      </w:r>
      <w:r w:rsidR="001C0792" w:rsidRPr="001C0792">
        <w:rPr>
          <w:color w:val="000000"/>
          <w:sz w:val="22"/>
          <w:szCs w:val="22"/>
        </w:rPr>
        <w:t xml:space="preserve"> </w:t>
      </w:r>
      <w:r w:rsidR="001C0792">
        <w:rPr>
          <w:color w:val="000000"/>
          <w:sz w:val="22"/>
          <w:szCs w:val="22"/>
        </w:rPr>
        <w:t xml:space="preserve">a number of </w:t>
      </w:r>
      <w:r w:rsidR="006F3EF9">
        <w:rPr>
          <w:color w:val="000000"/>
          <w:sz w:val="22"/>
          <w:szCs w:val="22"/>
        </w:rPr>
        <w:t xml:space="preserve">specific </w:t>
      </w:r>
      <w:r w:rsidR="001C0792">
        <w:rPr>
          <w:color w:val="000000"/>
          <w:sz w:val="22"/>
          <w:szCs w:val="22"/>
        </w:rPr>
        <w:t>concerns</w:t>
      </w:r>
      <w:r w:rsidR="001C0792" w:rsidRPr="001C0792">
        <w:rPr>
          <w:color w:val="000000"/>
          <w:sz w:val="22"/>
          <w:szCs w:val="22"/>
        </w:rPr>
        <w:t xml:space="preserve"> about t</w:t>
      </w:r>
      <w:r w:rsidR="00323111">
        <w:rPr>
          <w:color w:val="000000"/>
          <w:sz w:val="22"/>
          <w:szCs w:val="22"/>
        </w:rPr>
        <w:t xml:space="preserve">he new </w:t>
      </w:r>
      <w:r w:rsidR="001C0792">
        <w:rPr>
          <w:color w:val="000000"/>
          <w:sz w:val="22"/>
          <w:szCs w:val="22"/>
        </w:rPr>
        <w:t xml:space="preserve">family returns </w:t>
      </w:r>
      <w:r w:rsidR="00323111">
        <w:rPr>
          <w:color w:val="000000"/>
          <w:sz w:val="22"/>
          <w:szCs w:val="22"/>
        </w:rPr>
        <w:t>process</w:t>
      </w:r>
      <w:r w:rsidR="00B24D81">
        <w:rPr>
          <w:color w:val="000000"/>
          <w:sz w:val="22"/>
          <w:szCs w:val="22"/>
        </w:rPr>
        <w:t xml:space="preserve">. </w:t>
      </w:r>
      <w:r w:rsidR="00A31B90">
        <w:rPr>
          <w:color w:val="000000"/>
          <w:sz w:val="22"/>
          <w:szCs w:val="22"/>
        </w:rPr>
        <w:t xml:space="preserve">In addition, </w:t>
      </w:r>
      <w:r w:rsidR="0037129E" w:rsidRPr="0037129E">
        <w:rPr>
          <w:color w:val="000000"/>
          <w:sz w:val="22"/>
          <w:szCs w:val="22"/>
        </w:rPr>
        <w:t>as is noted at p6/7</w:t>
      </w:r>
      <w:r w:rsidR="00A31B90" w:rsidRPr="0037129E">
        <w:rPr>
          <w:color w:val="000000"/>
          <w:sz w:val="22"/>
          <w:szCs w:val="22"/>
        </w:rPr>
        <w:t xml:space="preserve"> above,</w:t>
      </w:r>
      <w:r w:rsidR="00A31B90">
        <w:rPr>
          <w:color w:val="000000"/>
          <w:sz w:val="22"/>
          <w:szCs w:val="22"/>
        </w:rPr>
        <w:t xml:space="preserve"> concerns have been raised about the use of force against children in the returns process. </w:t>
      </w:r>
    </w:p>
    <w:p w:rsidR="00B24D81" w:rsidRDefault="00B24D81" w:rsidP="00B24D81">
      <w:pPr>
        <w:rPr>
          <w:color w:val="000000"/>
          <w:sz w:val="22"/>
          <w:szCs w:val="22"/>
        </w:rPr>
      </w:pPr>
    </w:p>
    <w:p w:rsidR="00B24D81" w:rsidRDefault="00B24D81" w:rsidP="00B24D81">
      <w:pPr>
        <w:rPr>
          <w:rFonts w:eastAsiaTheme="minorHAnsi"/>
          <w:sz w:val="22"/>
          <w:szCs w:val="22"/>
        </w:rPr>
      </w:pPr>
      <w:r w:rsidRPr="00B24D81">
        <w:rPr>
          <w:b/>
          <w:color w:val="000000"/>
          <w:sz w:val="22"/>
          <w:szCs w:val="22"/>
        </w:rPr>
        <w:t xml:space="preserve">Decision making and access to legal advice </w:t>
      </w:r>
    </w:p>
    <w:p w:rsidR="00837465" w:rsidRDefault="006F3EF9" w:rsidP="00B24D81">
      <w:pPr>
        <w:rPr>
          <w:rFonts w:eastAsiaTheme="minorHAnsi"/>
          <w:sz w:val="22"/>
          <w:szCs w:val="22"/>
        </w:rPr>
      </w:pPr>
      <w:r w:rsidRPr="00B24D81">
        <w:rPr>
          <w:rFonts w:eastAsiaTheme="minorHAnsi"/>
          <w:sz w:val="22"/>
          <w:szCs w:val="22"/>
        </w:rPr>
        <w:t>The UK Government states in paragraph 717 of its seventh periodic report to the committee that ‘</w:t>
      </w:r>
      <w:r w:rsidR="0037129E">
        <w:rPr>
          <w:rFonts w:eastAsiaTheme="minorHAnsi"/>
          <w:sz w:val="22"/>
          <w:szCs w:val="22"/>
        </w:rPr>
        <w:t>d</w:t>
      </w:r>
      <w:r w:rsidRPr="00B24D81">
        <w:rPr>
          <w:rFonts w:eastAsiaTheme="minorHAnsi"/>
          <w:sz w:val="22"/>
          <w:szCs w:val="22"/>
        </w:rPr>
        <w:t xml:space="preserve">ecision-making [has been] strengthened through the training of specialist family case owners.’ However, no evidence is offered to support this assertion. </w:t>
      </w:r>
      <w:r w:rsidR="00274331" w:rsidRPr="00B24D81">
        <w:rPr>
          <w:rFonts w:eastAsiaTheme="minorHAnsi"/>
          <w:sz w:val="22"/>
          <w:szCs w:val="22"/>
        </w:rPr>
        <w:t xml:space="preserve">Two reports published by the </w:t>
      </w:r>
      <w:r w:rsidR="00837465" w:rsidRPr="00B24D81">
        <w:rPr>
          <w:rFonts w:eastAsiaTheme="minorHAnsi"/>
          <w:sz w:val="22"/>
          <w:szCs w:val="22"/>
        </w:rPr>
        <w:t>UN</w:t>
      </w:r>
      <w:r w:rsidR="00274331" w:rsidRPr="00B24D81">
        <w:rPr>
          <w:rFonts w:eastAsiaTheme="minorHAnsi"/>
          <w:sz w:val="22"/>
          <w:szCs w:val="22"/>
        </w:rPr>
        <w:t xml:space="preserve"> </w:t>
      </w:r>
      <w:r w:rsidR="00837465" w:rsidRPr="00B24D81">
        <w:rPr>
          <w:rFonts w:eastAsiaTheme="minorHAnsi"/>
          <w:sz w:val="22"/>
          <w:szCs w:val="22"/>
        </w:rPr>
        <w:t>H</w:t>
      </w:r>
      <w:r w:rsidR="00274331" w:rsidRPr="00B24D81">
        <w:rPr>
          <w:rFonts w:eastAsiaTheme="minorHAnsi"/>
          <w:sz w:val="22"/>
          <w:szCs w:val="22"/>
        </w:rPr>
        <w:t xml:space="preserve">igh </w:t>
      </w:r>
      <w:r w:rsidR="00837465" w:rsidRPr="00B24D81">
        <w:rPr>
          <w:rFonts w:eastAsiaTheme="minorHAnsi"/>
          <w:sz w:val="22"/>
          <w:szCs w:val="22"/>
        </w:rPr>
        <w:t>C</w:t>
      </w:r>
      <w:r w:rsidR="00274331" w:rsidRPr="00B24D81">
        <w:rPr>
          <w:rFonts w:eastAsiaTheme="minorHAnsi"/>
          <w:sz w:val="22"/>
          <w:szCs w:val="22"/>
        </w:rPr>
        <w:t xml:space="preserve">ommission on </w:t>
      </w:r>
      <w:r w:rsidR="00837465" w:rsidRPr="00B24D81">
        <w:rPr>
          <w:rFonts w:eastAsiaTheme="minorHAnsi"/>
          <w:sz w:val="22"/>
          <w:szCs w:val="22"/>
        </w:rPr>
        <w:t>R</w:t>
      </w:r>
      <w:r w:rsidR="00274331" w:rsidRPr="00B24D81">
        <w:rPr>
          <w:rFonts w:eastAsiaTheme="minorHAnsi"/>
          <w:sz w:val="22"/>
          <w:szCs w:val="22"/>
        </w:rPr>
        <w:t>efugees in 2013 raised serious concerns about Home Office decision-making in family asylum cases.</w:t>
      </w:r>
      <w:r w:rsidR="00274331">
        <w:rPr>
          <w:rStyle w:val="FootnoteReference"/>
          <w:rFonts w:eastAsiaTheme="minorHAnsi"/>
          <w:sz w:val="22"/>
          <w:szCs w:val="22"/>
        </w:rPr>
        <w:footnoteReference w:id="26"/>
      </w:r>
      <w:r w:rsidR="00837465" w:rsidRPr="00B24D81">
        <w:rPr>
          <w:rFonts w:eastAsiaTheme="minorHAnsi"/>
          <w:sz w:val="22"/>
          <w:szCs w:val="22"/>
        </w:rPr>
        <w:t xml:space="preserve"> </w:t>
      </w:r>
    </w:p>
    <w:p w:rsidR="00090E1E" w:rsidRDefault="00090E1E" w:rsidP="00B24D81">
      <w:pPr>
        <w:rPr>
          <w:sz w:val="22"/>
          <w:szCs w:val="22"/>
        </w:rPr>
      </w:pPr>
    </w:p>
    <w:p w:rsidR="00B24D81" w:rsidRDefault="00090E1E" w:rsidP="00B24D81">
      <w:pPr>
        <w:rPr>
          <w:sz w:val="22"/>
          <w:szCs w:val="22"/>
        </w:rPr>
      </w:pPr>
      <w:r w:rsidRPr="00090E1E">
        <w:rPr>
          <w:sz w:val="22"/>
          <w:szCs w:val="22"/>
        </w:rPr>
        <w:t>In 187 of the 377 family cases which were concluded during the Home Office commissioned evaluation of the Family Returns Process, a return was not in the end pursued.</w:t>
      </w:r>
      <w:r w:rsidRPr="00090E1E">
        <w:rPr>
          <w:rStyle w:val="FootnoteReference"/>
          <w:sz w:val="22"/>
          <w:szCs w:val="22"/>
        </w:rPr>
        <w:footnoteReference w:id="27"/>
      </w:r>
      <w:r w:rsidRPr="00090E1E">
        <w:rPr>
          <w:sz w:val="22"/>
          <w:szCs w:val="22"/>
        </w:rPr>
        <w:t xml:space="preserve"> This raises serious questions about why these families entered the returns process in the first place.  </w:t>
      </w:r>
    </w:p>
    <w:p w:rsidR="00090E1E" w:rsidRDefault="00090E1E" w:rsidP="00B24D81">
      <w:pPr>
        <w:rPr>
          <w:sz w:val="22"/>
          <w:szCs w:val="22"/>
        </w:rPr>
      </w:pPr>
    </w:p>
    <w:p w:rsidR="00B24D81" w:rsidRDefault="00090E1E" w:rsidP="00B24D81">
      <w:pPr>
        <w:rPr>
          <w:rFonts w:eastAsiaTheme="minorHAnsi"/>
          <w:sz w:val="22"/>
          <w:szCs w:val="22"/>
        </w:rPr>
      </w:pPr>
      <w:r w:rsidRPr="00B24D81">
        <w:rPr>
          <w:rFonts w:eastAsiaTheme="minorHAnsi"/>
          <w:sz w:val="22"/>
          <w:szCs w:val="22"/>
        </w:rPr>
        <w:t xml:space="preserve">The UK Government </w:t>
      </w:r>
      <w:proofErr w:type="gramStart"/>
      <w:r w:rsidRPr="00B24D81">
        <w:rPr>
          <w:rFonts w:eastAsiaTheme="minorHAnsi"/>
          <w:sz w:val="22"/>
          <w:szCs w:val="22"/>
        </w:rPr>
        <w:t xml:space="preserve">states in paragraph </w:t>
      </w:r>
      <w:r>
        <w:rPr>
          <w:rFonts w:eastAsiaTheme="minorHAnsi"/>
          <w:sz w:val="22"/>
          <w:szCs w:val="22"/>
        </w:rPr>
        <w:t>715</w:t>
      </w:r>
      <w:r w:rsidRPr="00B24D81">
        <w:rPr>
          <w:rFonts w:eastAsiaTheme="minorHAnsi"/>
          <w:sz w:val="22"/>
          <w:szCs w:val="22"/>
        </w:rPr>
        <w:t xml:space="preserve"> of its seventh periodic report to the committee that</w:t>
      </w:r>
      <w:r>
        <w:rPr>
          <w:rFonts w:eastAsiaTheme="minorHAnsi"/>
          <w:sz w:val="22"/>
          <w:szCs w:val="22"/>
        </w:rPr>
        <w:t xml:space="preserve"> the family returns process is</w:t>
      </w:r>
      <w:proofErr w:type="gramEnd"/>
      <w:r>
        <w:rPr>
          <w:rFonts w:eastAsiaTheme="minorHAnsi"/>
          <w:sz w:val="22"/>
          <w:szCs w:val="22"/>
        </w:rPr>
        <w:t xml:space="preserve"> used in cases concerning ‘families and children who do not qualify to be in the UK.’ However, barriers to accessing legal advice mean that families who </w:t>
      </w:r>
      <w:r w:rsidRPr="0037129E">
        <w:rPr>
          <w:rFonts w:eastAsiaTheme="minorHAnsi"/>
          <w:i/>
          <w:sz w:val="22"/>
          <w:szCs w:val="22"/>
        </w:rPr>
        <w:t>do</w:t>
      </w:r>
      <w:r>
        <w:rPr>
          <w:rFonts w:eastAsiaTheme="minorHAnsi"/>
          <w:sz w:val="22"/>
          <w:szCs w:val="22"/>
        </w:rPr>
        <w:t xml:space="preserve"> qualify to be in the UK may not have had the opportunity to properly present their immigration or asylum case, and therefore may face removal action. As is noted above, the vast majority of immigration cases, including those of children, have been removed from the scope of legal aid funding by the Legal Aid, Sentencing and Punishment of Offenders Act 2012. </w:t>
      </w:r>
      <w:r w:rsidR="00B24D81" w:rsidRPr="00B24D81">
        <w:rPr>
          <w:sz w:val="22"/>
          <w:szCs w:val="22"/>
        </w:rPr>
        <w:t>There are also numerous barriers to asylum seeking families accessing competent legal advice, which have been exacerbated by the repeated cuts which have been made to legal aid funding in recent years.</w:t>
      </w:r>
      <w:r w:rsidR="00B24D81" w:rsidRPr="00B24D81">
        <w:rPr>
          <w:rStyle w:val="FootnoteReference"/>
          <w:sz w:val="22"/>
          <w:szCs w:val="22"/>
        </w:rPr>
        <w:footnoteReference w:id="28"/>
      </w:r>
      <w:r w:rsidR="00B24D81" w:rsidRPr="00B24D81">
        <w:rPr>
          <w:sz w:val="22"/>
          <w:szCs w:val="22"/>
        </w:rPr>
        <w:t xml:space="preserve"> </w:t>
      </w:r>
      <w:r w:rsidR="00B24D81" w:rsidRPr="00B24D81">
        <w:rPr>
          <w:rFonts w:eastAsiaTheme="minorHAnsi"/>
          <w:sz w:val="22"/>
          <w:szCs w:val="22"/>
        </w:rPr>
        <w:t xml:space="preserve"> </w:t>
      </w:r>
    </w:p>
    <w:p w:rsidR="00090E1E" w:rsidRDefault="00090E1E" w:rsidP="00B24D81">
      <w:pPr>
        <w:rPr>
          <w:rFonts w:eastAsiaTheme="minorHAnsi"/>
          <w:sz w:val="22"/>
          <w:szCs w:val="22"/>
        </w:rPr>
      </w:pPr>
    </w:p>
    <w:p w:rsidR="00F22CFC" w:rsidRDefault="00F22CFC" w:rsidP="00B24D81">
      <w:pPr>
        <w:rPr>
          <w:rFonts w:eastAsiaTheme="minorHAnsi"/>
          <w:sz w:val="22"/>
          <w:szCs w:val="22"/>
        </w:rPr>
      </w:pPr>
      <w:r w:rsidRPr="00F22CFC">
        <w:rPr>
          <w:rFonts w:eastAsiaTheme="minorHAnsi"/>
          <w:b/>
          <w:sz w:val="22"/>
          <w:szCs w:val="22"/>
        </w:rPr>
        <w:t xml:space="preserve">Timescales to consider voluntary return and seek legal advice </w:t>
      </w:r>
    </w:p>
    <w:p w:rsidR="00090E1E" w:rsidRPr="00F22CFC" w:rsidRDefault="00090E1E" w:rsidP="00F22CFC">
      <w:pPr>
        <w:spacing w:line="276" w:lineRule="auto"/>
        <w:jc w:val="both"/>
        <w:rPr>
          <w:sz w:val="22"/>
          <w:szCs w:val="22"/>
        </w:rPr>
      </w:pPr>
      <w:r w:rsidRPr="00F22CFC">
        <w:rPr>
          <w:sz w:val="22"/>
          <w:szCs w:val="22"/>
        </w:rPr>
        <w:t xml:space="preserve">The Family Returns Process allows families who may have been in the UK for years a minimum of just two weeks to consider voluntary return. In BID’s view this is inadequate, particularly given that children may have strong ties to the UK including having attended school here for years. Families may well not be able to get an appointment with a legal representative to discuss their options within a two week timeframe. </w:t>
      </w:r>
    </w:p>
    <w:p w:rsidR="00090E1E" w:rsidRPr="00F22CFC" w:rsidRDefault="00090E1E" w:rsidP="00090E1E">
      <w:pPr>
        <w:spacing w:line="280" w:lineRule="exact"/>
        <w:jc w:val="both"/>
        <w:rPr>
          <w:sz w:val="22"/>
          <w:szCs w:val="22"/>
        </w:rPr>
      </w:pPr>
    </w:p>
    <w:p w:rsidR="00090E1E" w:rsidRPr="00F22CFC" w:rsidRDefault="00F22CFC" w:rsidP="00090E1E">
      <w:pPr>
        <w:spacing w:line="280" w:lineRule="exact"/>
        <w:jc w:val="both"/>
        <w:rPr>
          <w:b/>
          <w:sz w:val="22"/>
          <w:szCs w:val="22"/>
        </w:rPr>
      </w:pPr>
      <w:r>
        <w:rPr>
          <w:b/>
          <w:sz w:val="22"/>
          <w:szCs w:val="22"/>
        </w:rPr>
        <w:t xml:space="preserve">Lack of welfare support </w:t>
      </w:r>
    </w:p>
    <w:p w:rsidR="00F22CFC" w:rsidRPr="00F22CFC" w:rsidRDefault="00090E1E" w:rsidP="00F22CFC">
      <w:pPr>
        <w:rPr>
          <w:rFonts w:eastAsiaTheme="minorHAnsi"/>
          <w:sz w:val="22"/>
          <w:szCs w:val="22"/>
        </w:rPr>
      </w:pPr>
      <w:r w:rsidRPr="00F22CFC">
        <w:rPr>
          <w:sz w:val="22"/>
          <w:szCs w:val="22"/>
        </w:rPr>
        <w:t>Serious concerns have been raised about the way in which Family Return Conferences and Family Departure Meetings have been carried out. The Home Office commissioned evaluation of the Family Returns Process notes that in some cases parents became distressed during Family Return Conferences and that there were incidents of ‘actual or threatened self-harm’ in the course of the return process.</w:t>
      </w:r>
      <w:r w:rsidRPr="00F22CFC">
        <w:rPr>
          <w:rStyle w:val="FootnoteReference"/>
          <w:sz w:val="22"/>
          <w:szCs w:val="22"/>
        </w:rPr>
        <w:footnoteReference w:id="29"/>
      </w:r>
      <w:r w:rsidR="00F22CFC">
        <w:rPr>
          <w:sz w:val="22"/>
          <w:szCs w:val="22"/>
        </w:rPr>
        <w:t xml:space="preserve"> </w:t>
      </w:r>
      <w:r w:rsidR="00F22CFC">
        <w:rPr>
          <w:rFonts w:eastAsiaTheme="minorHAnsi"/>
          <w:sz w:val="22"/>
          <w:szCs w:val="22"/>
        </w:rPr>
        <w:t>The</w:t>
      </w:r>
      <w:r w:rsidR="00F22CFC" w:rsidRPr="00F22CFC">
        <w:rPr>
          <w:rFonts w:eastAsiaTheme="minorHAnsi"/>
          <w:sz w:val="22"/>
          <w:szCs w:val="22"/>
        </w:rPr>
        <w:t xml:space="preserve"> evaluation </w:t>
      </w:r>
      <w:r w:rsidR="00F22CFC">
        <w:rPr>
          <w:rFonts w:eastAsiaTheme="minorHAnsi"/>
          <w:sz w:val="22"/>
          <w:szCs w:val="22"/>
        </w:rPr>
        <w:t xml:space="preserve">also </w:t>
      </w:r>
      <w:r w:rsidR="00F22CFC" w:rsidRPr="00F22CFC">
        <w:rPr>
          <w:rFonts w:eastAsiaTheme="minorHAnsi"/>
          <w:sz w:val="22"/>
          <w:szCs w:val="22"/>
        </w:rPr>
        <w:t>found that in some cases children found encounters with Immigration Officers ‘distressing’ and that ‘older children felt that they had not been listened to.’</w:t>
      </w:r>
      <w:r w:rsidR="00F22CFC" w:rsidRPr="00837465">
        <w:rPr>
          <w:rStyle w:val="FootnoteReference"/>
          <w:rFonts w:eastAsiaTheme="minorHAnsi"/>
          <w:sz w:val="22"/>
          <w:szCs w:val="22"/>
        </w:rPr>
        <w:footnoteReference w:id="30"/>
      </w:r>
    </w:p>
    <w:p w:rsidR="00090E1E" w:rsidRPr="00F22CFC" w:rsidRDefault="00090E1E" w:rsidP="00090E1E">
      <w:pPr>
        <w:spacing w:line="280" w:lineRule="exact"/>
        <w:jc w:val="both"/>
        <w:rPr>
          <w:sz w:val="22"/>
          <w:szCs w:val="22"/>
        </w:rPr>
      </w:pPr>
    </w:p>
    <w:p w:rsidR="00452D81" w:rsidRDefault="00F22CFC" w:rsidP="00090E1E">
      <w:pPr>
        <w:spacing w:line="280" w:lineRule="exact"/>
        <w:jc w:val="both"/>
        <w:rPr>
          <w:sz w:val="22"/>
          <w:szCs w:val="22"/>
        </w:rPr>
      </w:pPr>
      <w:r>
        <w:rPr>
          <w:sz w:val="22"/>
          <w:szCs w:val="22"/>
        </w:rPr>
        <w:t>Furthermore, t</w:t>
      </w:r>
      <w:r w:rsidR="00090E1E" w:rsidRPr="00F22CFC">
        <w:rPr>
          <w:sz w:val="22"/>
          <w:szCs w:val="22"/>
        </w:rPr>
        <w:t xml:space="preserve">he evaluation </w:t>
      </w:r>
      <w:r>
        <w:rPr>
          <w:sz w:val="22"/>
          <w:szCs w:val="22"/>
        </w:rPr>
        <w:t>stated</w:t>
      </w:r>
      <w:r w:rsidR="00090E1E" w:rsidRPr="00F22CFC">
        <w:rPr>
          <w:sz w:val="22"/>
          <w:szCs w:val="22"/>
        </w:rPr>
        <w:t>:</w:t>
      </w:r>
      <w:r w:rsidR="00452D81">
        <w:rPr>
          <w:sz w:val="22"/>
          <w:szCs w:val="22"/>
        </w:rPr>
        <w:t xml:space="preserve"> </w:t>
      </w:r>
    </w:p>
    <w:p w:rsidR="00452D81" w:rsidRDefault="00452D81" w:rsidP="00090E1E">
      <w:pPr>
        <w:spacing w:line="280" w:lineRule="exact"/>
        <w:jc w:val="both"/>
        <w:rPr>
          <w:sz w:val="22"/>
          <w:szCs w:val="22"/>
        </w:rPr>
      </w:pPr>
    </w:p>
    <w:p w:rsidR="00090E1E" w:rsidRPr="00F22CFC" w:rsidRDefault="00090E1E" w:rsidP="00090E1E">
      <w:pPr>
        <w:spacing w:line="280" w:lineRule="exact"/>
        <w:jc w:val="both"/>
        <w:rPr>
          <w:sz w:val="22"/>
          <w:szCs w:val="22"/>
        </w:rPr>
      </w:pPr>
      <w:r w:rsidRPr="00F22CFC">
        <w:rPr>
          <w:sz w:val="22"/>
          <w:szCs w:val="22"/>
        </w:rPr>
        <w:t>‘Views from a range of interviews suggested that better engagement with families, to address welfare and safeguarding issues, was needed. Most NGOs and several strategic stakeholders (both UK Border Agency and independent) felt involving third party organisations could help.’</w:t>
      </w:r>
      <w:r w:rsidRPr="00F22CFC">
        <w:rPr>
          <w:rStyle w:val="FootnoteReference"/>
          <w:sz w:val="22"/>
          <w:szCs w:val="22"/>
        </w:rPr>
        <w:footnoteReference w:id="31"/>
      </w:r>
      <w:r w:rsidRPr="00F22CFC">
        <w:rPr>
          <w:sz w:val="22"/>
          <w:szCs w:val="22"/>
        </w:rPr>
        <w:t xml:space="preserve"> </w:t>
      </w:r>
    </w:p>
    <w:p w:rsidR="00090E1E" w:rsidRPr="00F22CFC" w:rsidRDefault="00090E1E" w:rsidP="00090E1E">
      <w:pPr>
        <w:spacing w:line="280" w:lineRule="exact"/>
        <w:jc w:val="both"/>
        <w:rPr>
          <w:b/>
          <w:sz w:val="22"/>
          <w:szCs w:val="22"/>
        </w:rPr>
      </w:pPr>
    </w:p>
    <w:p w:rsidR="00090E1E" w:rsidRPr="00F22CFC" w:rsidRDefault="00090E1E" w:rsidP="00090E1E">
      <w:pPr>
        <w:spacing w:line="280" w:lineRule="exact"/>
        <w:jc w:val="both"/>
        <w:rPr>
          <w:sz w:val="22"/>
          <w:szCs w:val="22"/>
        </w:rPr>
      </w:pPr>
      <w:r w:rsidRPr="00F22CFC">
        <w:rPr>
          <w:sz w:val="22"/>
          <w:szCs w:val="22"/>
        </w:rPr>
        <w:t xml:space="preserve">Indeed, at p36 the evaluation found that one of the key reasons given for detaining families was ‘for </w:t>
      </w:r>
      <w:proofErr w:type="spellStart"/>
      <w:r w:rsidRPr="00F22CFC">
        <w:rPr>
          <w:sz w:val="22"/>
          <w:szCs w:val="22"/>
        </w:rPr>
        <w:t>Barnardos</w:t>
      </w:r>
      <w:proofErr w:type="spellEnd"/>
      <w:r w:rsidRPr="00F22CFC">
        <w:rPr>
          <w:sz w:val="22"/>
          <w:szCs w:val="22"/>
        </w:rPr>
        <w:t xml:space="preserve"> [a third sector organisation] to provide preparatory support for children before the return.’ </w:t>
      </w:r>
      <w:r w:rsidR="00F22CFC">
        <w:rPr>
          <w:sz w:val="22"/>
          <w:szCs w:val="22"/>
        </w:rPr>
        <w:t xml:space="preserve">In BID’s view, </w:t>
      </w:r>
      <w:r w:rsidRPr="00F22CFC">
        <w:rPr>
          <w:sz w:val="22"/>
          <w:szCs w:val="22"/>
        </w:rPr>
        <w:t xml:space="preserve">support </w:t>
      </w:r>
      <w:r w:rsidR="00F22CFC">
        <w:rPr>
          <w:sz w:val="22"/>
          <w:szCs w:val="22"/>
        </w:rPr>
        <w:t>should be provided to non-detained</w:t>
      </w:r>
      <w:r w:rsidRPr="00F22CFC">
        <w:rPr>
          <w:sz w:val="22"/>
          <w:szCs w:val="22"/>
        </w:rPr>
        <w:t xml:space="preserve"> families in the returns process </w:t>
      </w:r>
      <w:r w:rsidR="00F22CFC">
        <w:rPr>
          <w:sz w:val="22"/>
          <w:szCs w:val="22"/>
        </w:rPr>
        <w:t xml:space="preserve">– it is perverse that families should be </w:t>
      </w:r>
      <w:r w:rsidRPr="00F22CFC">
        <w:rPr>
          <w:sz w:val="22"/>
          <w:szCs w:val="22"/>
        </w:rPr>
        <w:t>detained</w:t>
      </w:r>
      <w:r w:rsidR="00F22CFC">
        <w:rPr>
          <w:sz w:val="22"/>
          <w:szCs w:val="22"/>
        </w:rPr>
        <w:t xml:space="preserve"> </w:t>
      </w:r>
      <w:r w:rsidR="00452D81">
        <w:rPr>
          <w:sz w:val="22"/>
          <w:szCs w:val="22"/>
        </w:rPr>
        <w:t xml:space="preserve">simply </w:t>
      </w:r>
      <w:r w:rsidR="00F22CFC">
        <w:rPr>
          <w:sz w:val="22"/>
          <w:szCs w:val="22"/>
        </w:rPr>
        <w:t>in order to access support</w:t>
      </w:r>
      <w:r w:rsidRPr="00F22CFC">
        <w:rPr>
          <w:sz w:val="22"/>
          <w:szCs w:val="22"/>
        </w:rPr>
        <w:t xml:space="preserve">. </w:t>
      </w:r>
    </w:p>
    <w:p w:rsidR="00B24D81" w:rsidRPr="00F22CFC" w:rsidRDefault="00B24D81" w:rsidP="00B24D81">
      <w:pPr>
        <w:rPr>
          <w:rFonts w:eastAsiaTheme="minorHAnsi"/>
          <w:b/>
          <w:sz w:val="22"/>
          <w:szCs w:val="22"/>
        </w:rPr>
      </w:pPr>
    </w:p>
    <w:p w:rsidR="00F22CFC" w:rsidRPr="00F22CFC" w:rsidRDefault="00F22CFC" w:rsidP="00274331">
      <w:pPr>
        <w:rPr>
          <w:rFonts w:eastAsiaTheme="minorHAnsi"/>
          <w:b/>
          <w:sz w:val="22"/>
          <w:szCs w:val="22"/>
        </w:rPr>
      </w:pPr>
      <w:r w:rsidRPr="00F22CFC">
        <w:rPr>
          <w:rFonts w:eastAsiaTheme="minorHAnsi"/>
          <w:b/>
          <w:sz w:val="22"/>
          <w:szCs w:val="22"/>
        </w:rPr>
        <w:t xml:space="preserve">Operation of the family returns panel </w:t>
      </w:r>
    </w:p>
    <w:p w:rsidR="000651C5" w:rsidRPr="00F22CFC" w:rsidRDefault="000651C5" w:rsidP="00F22CFC">
      <w:pPr>
        <w:rPr>
          <w:bCs/>
          <w:sz w:val="22"/>
          <w:szCs w:val="22"/>
        </w:rPr>
      </w:pPr>
      <w:r w:rsidRPr="00F22CFC">
        <w:rPr>
          <w:bCs/>
          <w:sz w:val="22"/>
          <w:szCs w:val="22"/>
        </w:rPr>
        <w:t xml:space="preserve">Families and their legal representatives are not given information about why a specific enforcement action is being taken against a family, and cannot provide the ‘Family Returns Panel’ with evidence. They are therefore not able to challenge the Home Office’s decisions in a meaningful way.  </w:t>
      </w:r>
    </w:p>
    <w:p w:rsidR="00F22CFC" w:rsidRPr="00F22CFC" w:rsidRDefault="00F22CFC" w:rsidP="00F22CFC">
      <w:pPr>
        <w:tabs>
          <w:tab w:val="left" w:pos="1701"/>
          <w:tab w:val="left" w:pos="4860"/>
        </w:tabs>
        <w:rPr>
          <w:b/>
          <w:sz w:val="22"/>
          <w:szCs w:val="22"/>
        </w:rPr>
      </w:pPr>
    </w:p>
    <w:p w:rsidR="00F22CFC" w:rsidRPr="00F22CFC" w:rsidRDefault="00F22CFC" w:rsidP="00F22CFC">
      <w:pPr>
        <w:tabs>
          <w:tab w:val="left" w:pos="1701"/>
          <w:tab w:val="left" w:pos="4860"/>
        </w:tabs>
        <w:rPr>
          <w:b/>
          <w:sz w:val="22"/>
          <w:szCs w:val="22"/>
        </w:rPr>
      </w:pPr>
      <w:r w:rsidRPr="00F22CFC">
        <w:rPr>
          <w:b/>
          <w:sz w:val="22"/>
          <w:szCs w:val="22"/>
        </w:rPr>
        <w:t xml:space="preserve">Separation of families </w:t>
      </w:r>
    </w:p>
    <w:p w:rsidR="00837465" w:rsidRPr="00F22CFC" w:rsidRDefault="00837465" w:rsidP="00F22CFC">
      <w:pPr>
        <w:tabs>
          <w:tab w:val="left" w:pos="1701"/>
          <w:tab w:val="left" w:pos="4860"/>
        </w:tabs>
        <w:rPr>
          <w:sz w:val="22"/>
          <w:szCs w:val="22"/>
        </w:rPr>
      </w:pPr>
      <w:r w:rsidRPr="00F22CFC">
        <w:rPr>
          <w:sz w:val="22"/>
          <w:szCs w:val="22"/>
        </w:rPr>
        <w:t xml:space="preserve">As an alternative to detaining children, the Home Office is separating families by holding parents in detention. There is currently no time limit on the separation of families, and considerable harm can be caused to children. </w:t>
      </w:r>
    </w:p>
    <w:p w:rsidR="00323111" w:rsidRDefault="00323111" w:rsidP="009D2B53">
      <w:pPr>
        <w:tabs>
          <w:tab w:val="left" w:pos="1701"/>
          <w:tab w:val="left" w:pos="4860"/>
        </w:tabs>
        <w:rPr>
          <w:sz w:val="22"/>
          <w:szCs w:val="22"/>
        </w:rPr>
      </w:pPr>
    </w:p>
    <w:p w:rsidR="00B17A04" w:rsidRPr="0069247F" w:rsidRDefault="00B17A04" w:rsidP="009D2B53">
      <w:pPr>
        <w:tabs>
          <w:tab w:val="left" w:pos="1701"/>
          <w:tab w:val="left" w:pos="4860"/>
        </w:tabs>
        <w:rPr>
          <w:b/>
          <w:szCs w:val="28"/>
        </w:rPr>
      </w:pPr>
      <w:r w:rsidRPr="0069247F">
        <w:rPr>
          <w:b/>
          <w:szCs w:val="28"/>
        </w:rPr>
        <w:t xml:space="preserve">Recommendations </w:t>
      </w:r>
    </w:p>
    <w:p w:rsidR="008D61C8" w:rsidRDefault="008D61C8" w:rsidP="009D2B53">
      <w:pPr>
        <w:tabs>
          <w:tab w:val="left" w:pos="1701"/>
          <w:tab w:val="left" w:pos="4860"/>
        </w:tabs>
        <w:rPr>
          <w:b/>
          <w:sz w:val="22"/>
          <w:szCs w:val="22"/>
        </w:rPr>
      </w:pPr>
    </w:p>
    <w:p w:rsidR="00B17A04" w:rsidRDefault="00B17A04" w:rsidP="00B17A04">
      <w:pPr>
        <w:pStyle w:val="ListParagraph"/>
        <w:numPr>
          <w:ilvl w:val="0"/>
          <w:numId w:val="3"/>
        </w:numPr>
        <w:tabs>
          <w:tab w:val="left" w:pos="1701"/>
          <w:tab w:val="left" w:pos="4860"/>
        </w:tabs>
        <w:rPr>
          <w:b/>
          <w:sz w:val="22"/>
          <w:szCs w:val="22"/>
        </w:rPr>
      </w:pPr>
      <w:r>
        <w:rPr>
          <w:b/>
          <w:sz w:val="22"/>
          <w:szCs w:val="22"/>
        </w:rPr>
        <w:t xml:space="preserve">Immigration matters should </w:t>
      </w:r>
      <w:r w:rsidR="002B4488">
        <w:rPr>
          <w:b/>
          <w:sz w:val="22"/>
          <w:szCs w:val="22"/>
        </w:rPr>
        <w:t>be brought back into scope for legal a</w:t>
      </w:r>
      <w:r>
        <w:rPr>
          <w:b/>
          <w:sz w:val="22"/>
          <w:szCs w:val="22"/>
        </w:rPr>
        <w:t>id</w:t>
      </w:r>
      <w:r w:rsidR="00452536">
        <w:rPr>
          <w:b/>
          <w:sz w:val="22"/>
          <w:szCs w:val="22"/>
        </w:rPr>
        <w:t xml:space="preserve"> funding</w:t>
      </w:r>
      <w:r w:rsidR="00323111">
        <w:rPr>
          <w:b/>
          <w:sz w:val="22"/>
          <w:szCs w:val="22"/>
        </w:rPr>
        <w:t>.</w:t>
      </w:r>
    </w:p>
    <w:p w:rsidR="007760FC" w:rsidRDefault="007760FC" w:rsidP="007760FC">
      <w:pPr>
        <w:pStyle w:val="ListParagraph"/>
        <w:tabs>
          <w:tab w:val="left" w:pos="1701"/>
          <w:tab w:val="left" w:pos="4860"/>
        </w:tabs>
        <w:rPr>
          <w:b/>
          <w:sz w:val="22"/>
          <w:szCs w:val="22"/>
        </w:rPr>
      </w:pPr>
    </w:p>
    <w:p w:rsidR="007760FC" w:rsidRDefault="0069247F" w:rsidP="00B17A04">
      <w:pPr>
        <w:pStyle w:val="ListParagraph"/>
        <w:numPr>
          <w:ilvl w:val="0"/>
          <w:numId w:val="3"/>
        </w:numPr>
        <w:tabs>
          <w:tab w:val="left" w:pos="1701"/>
          <w:tab w:val="left" w:pos="4860"/>
        </w:tabs>
        <w:rPr>
          <w:b/>
          <w:sz w:val="22"/>
          <w:szCs w:val="22"/>
        </w:rPr>
      </w:pPr>
      <w:r>
        <w:rPr>
          <w:b/>
          <w:sz w:val="22"/>
          <w:szCs w:val="22"/>
        </w:rPr>
        <w:t>While immigration matters remain out of scope, t</w:t>
      </w:r>
      <w:r w:rsidR="007760FC">
        <w:rPr>
          <w:b/>
          <w:sz w:val="22"/>
          <w:szCs w:val="22"/>
        </w:rPr>
        <w:t xml:space="preserve">he ‘Exceptional Case Funding’ scheme for legal aid should be revised so that it provides a meaningful safety net for cases which have been removed from the scope by the </w:t>
      </w:r>
      <w:r w:rsidR="007760FC" w:rsidRPr="00037686">
        <w:rPr>
          <w:b/>
          <w:sz w:val="22"/>
          <w:szCs w:val="22"/>
        </w:rPr>
        <w:t>Legal Aid, Sentencing and Punishment of Offenders Act 2012</w:t>
      </w:r>
      <w:r w:rsidR="007760FC">
        <w:rPr>
          <w:b/>
          <w:sz w:val="22"/>
          <w:szCs w:val="22"/>
        </w:rPr>
        <w:t>.</w:t>
      </w:r>
    </w:p>
    <w:p w:rsidR="00B17A04" w:rsidRPr="007760FC" w:rsidRDefault="00B17A04" w:rsidP="007760FC">
      <w:pPr>
        <w:tabs>
          <w:tab w:val="left" w:pos="1701"/>
          <w:tab w:val="left" w:pos="4860"/>
        </w:tabs>
        <w:rPr>
          <w:b/>
          <w:sz w:val="22"/>
          <w:szCs w:val="22"/>
        </w:rPr>
      </w:pPr>
    </w:p>
    <w:p w:rsidR="00B17A04" w:rsidRDefault="00B17A04" w:rsidP="00037686">
      <w:pPr>
        <w:pStyle w:val="ListParagraph"/>
        <w:numPr>
          <w:ilvl w:val="0"/>
          <w:numId w:val="3"/>
        </w:numPr>
        <w:tabs>
          <w:tab w:val="left" w:pos="1701"/>
          <w:tab w:val="left" w:pos="4860"/>
        </w:tabs>
        <w:rPr>
          <w:b/>
          <w:sz w:val="22"/>
          <w:szCs w:val="22"/>
        </w:rPr>
      </w:pPr>
      <w:r>
        <w:rPr>
          <w:b/>
          <w:sz w:val="22"/>
          <w:szCs w:val="22"/>
        </w:rPr>
        <w:t>The</w:t>
      </w:r>
      <w:r w:rsidR="00372BA8">
        <w:rPr>
          <w:b/>
          <w:sz w:val="22"/>
          <w:szCs w:val="22"/>
        </w:rPr>
        <w:t xml:space="preserve"> </w:t>
      </w:r>
      <w:r w:rsidR="00950A03">
        <w:rPr>
          <w:b/>
          <w:sz w:val="22"/>
          <w:szCs w:val="22"/>
        </w:rPr>
        <w:t xml:space="preserve">UK </w:t>
      </w:r>
      <w:r w:rsidR="00372BA8">
        <w:rPr>
          <w:b/>
          <w:sz w:val="22"/>
          <w:szCs w:val="22"/>
        </w:rPr>
        <w:t>Government should drop its plans to introduce a</w:t>
      </w:r>
      <w:r w:rsidR="00037686">
        <w:rPr>
          <w:b/>
          <w:sz w:val="22"/>
          <w:szCs w:val="22"/>
        </w:rPr>
        <w:t xml:space="preserve"> legal aid</w:t>
      </w:r>
      <w:r>
        <w:rPr>
          <w:b/>
          <w:sz w:val="22"/>
          <w:szCs w:val="22"/>
        </w:rPr>
        <w:t xml:space="preserve"> ‘residence test’ </w:t>
      </w:r>
      <w:r w:rsidR="00372BA8">
        <w:rPr>
          <w:b/>
          <w:sz w:val="22"/>
          <w:szCs w:val="22"/>
        </w:rPr>
        <w:t xml:space="preserve">under the </w:t>
      </w:r>
      <w:r w:rsidR="00037686" w:rsidRPr="00037686">
        <w:rPr>
          <w:b/>
          <w:sz w:val="22"/>
          <w:szCs w:val="22"/>
        </w:rPr>
        <w:t>Legal Aid, Sentencing and Punishment of Offenders Act 2012 (Amendment of Schedule 1) Order 2014</w:t>
      </w:r>
      <w:r w:rsidR="00452536">
        <w:rPr>
          <w:b/>
          <w:sz w:val="22"/>
          <w:szCs w:val="22"/>
        </w:rPr>
        <w:t xml:space="preserve">. </w:t>
      </w:r>
      <w:r w:rsidR="00037686">
        <w:rPr>
          <w:b/>
          <w:sz w:val="22"/>
          <w:szCs w:val="22"/>
        </w:rPr>
        <w:t xml:space="preserve"> </w:t>
      </w:r>
    </w:p>
    <w:p w:rsidR="00B17A04" w:rsidRDefault="00B17A04" w:rsidP="00B17A04">
      <w:pPr>
        <w:pStyle w:val="ListParagraph"/>
        <w:tabs>
          <w:tab w:val="left" w:pos="1701"/>
          <w:tab w:val="left" w:pos="4860"/>
        </w:tabs>
        <w:rPr>
          <w:b/>
          <w:sz w:val="22"/>
          <w:szCs w:val="22"/>
        </w:rPr>
      </w:pPr>
    </w:p>
    <w:p w:rsidR="007760FC" w:rsidRPr="007760FC" w:rsidRDefault="00372BA8" w:rsidP="007760FC">
      <w:pPr>
        <w:pStyle w:val="ListParagraph"/>
        <w:numPr>
          <w:ilvl w:val="0"/>
          <w:numId w:val="3"/>
        </w:numPr>
        <w:tabs>
          <w:tab w:val="left" w:pos="1701"/>
          <w:tab w:val="left" w:pos="4860"/>
        </w:tabs>
        <w:rPr>
          <w:b/>
          <w:sz w:val="22"/>
          <w:szCs w:val="22"/>
        </w:rPr>
      </w:pPr>
      <w:r w:rsidRPr="00372BA8">
        <w:rPr>
          <w:b/>
          <w:sz w:val="22"/>
          <w:szCs w:val="22"/>
        </w:rPr>
        <w:t>The April 2014 changes to fee arrangements for judicial reviews introduced by</w:t>
      </w:r>
      <w:r w:rsidR="00517FA2">
        <w:rPr>
          <w:b/>
          <w:sz w:val="22"/>
          <w:szCs w:val="22"/>
        </w:rPr>
        <w:t xml:space="preserve"> the</w:t>
      </w:r>
      <w:r w:rsidRPr="00372BA8">
        <w:rPr>
          <w:b/>
          <w:sz w:val="22"/>
          <w:szCs w:val="22"/>
        </w:rPr>
        <w:t xml:space="preserve"> Civil Legal Aid (Remuneration) (Amendment) (No. 3) Regulations 2014 </w:t>
      </w:r>
      <w:r>
        <w:rPr>
          <w:b/>
          <w:sz w:val="22"/>
          <w:szCs w:val="22"/>
        </w:rPr>
        <w:t xml:space="preserve">should be repealed. </w:t>
      </w:r>
      <w:r w:rsidR="007760FC">
        <w:rPr>
          <w:b/>
          <w:sz w:val="22"/>
          <w:szCs w:val="22"/>
        </w:rPr>
        <w:t xml:space="preserve">While the arrangements are in place, the UK Government should carry out a review of the provision to make discretionary payments </w:t>
      </w:r>
      <w:r w:rsidR="0069247F">
        <w:rPr>
          <w:b/>
          <w:sz w:val="22"/>
          <w:szCs w:val="22"/>
        </w:rPr>
        <w:t xml:space="preserve">to assess whether this is operating effectively. </w:t>
      </w:r>
    </w:p>
    <w:p w:rsidR="00372BA8" w:rsidRPr="00372BA8" w:rsidRDefault="00372BA8" w:rsidP="00372BA8">
      <w:pPr>
        <w:pStyle w:val="ListParagraph"/>
        <w:tabs>
          <w:tab w:val="left" w:pos="1701"/>
          <w:tab w:val="left" w:pos="4860"/>
        </w:tabs>
        <w:rPr>
          <w:b/>
          <w:sz w:val="22"/>
          <w:szCs w:val="22"/>
        </w:rPr>
      </w:pPr>
    </w:p>
    <w:p w:rsidR="00372BA8" w:rsidRDefault="00372BA8" w:rsidP="00B17A04">
      <w:pPr>
        <w:pStyle w:val="ListParagraph"/>
        <w:numPr>
          <w:ilvl w:val="0"/>
          <w:numId w:val="3"/>
        </w:numPr>
        <w:tabs>
          <w:tab w:val="left" w:pos="1701"/>
          <w:tab w:val="left" w:pos="4860"/>
        </w:tabs>
        <w:rPr>
          <w:b/>
          <w:sz w:val="22"/>
          <w:szCs w:val="22"/>
        </w:rPr>
      </w:pPr>
      <w:r>
        <w:rPr>
          <w:b/>
          <w:sz w:val="22"/>
          <w:szCs w:val="22"/>
        </w:rPr>
        <w:t xml:space="preserve">The </w:t>
      </w:r>
      <w:r w:rsidR="00950A03">
        <w:rPr>
          <w:b/>
          <w:sz w:val="22"/>
          <w:szCs w:val="22"/>
        </w:rPr>
        <w:t xml:space="preserve">UK </w:t>
      </w:r>
      <w:r>
        <w:rPr>
          <w:b/>
          <w:sz w:val="22"/>
          <w:szCs w:val="22"/>
        </w:rPr>
        <w:t xml:space="preserve">Government should revise part 4 of the Criminal Justice and Courts Bill to remove the aspects of </w:t>
      </w:r>
      <w:r w:rsidRPr="00C26450">
        <w:rPr>
          <w:b/>
          <w:sz w:val="22"/>
          <w:szCs w:val="22"/>
        </w:rPr>
        <w:t>Clause</w:t>
      </w:r>
      <w:r w:rsidR="00950A03" w:rsidRPr="00C26450">
        <w:rPr>
          <w:b/>
          <w:sz w:val="22"/>
          <w:szCs w:val="22"/>
        </w:rPr>
        <w:t>s</w:t>
      </w:r>
      <w:r w:rsidR="00C26450" w:rsidRPr="00C26450">
        <w:rPr>
          <w:b/>
          <w:sz w:val="22"/>
          <w:szCs w:val="22"/>
        </w:rPr>
        <w:t xml:space="preserve"> 68</w:t>
      </w:r>
      <w:r w:rsidRPr="00C26450">
        <w:rPr>
          <w:b/>
          <w:sz w:val="22"/>
          <w:szCs w:val="22"/>
        </w:rPr>
        <w:t xml:space="preserve">, </w:t>
      </w:r>
      <w:r w:rsidR="00C26450" w:rsidRPr="00C26450">
        <w:rPr>
          <w:b/>
          <w:sz w:val="22"/>
          <w:szCs w:val="22"/>
        </w:rPr>
        <w:t>64 and 67</w:t>
      </w:r>
      <w:r w:rsidRPr="00C26450">
        <w:rPr>
          <w:b/>
          <w:sz w:val="22"/>
          <w:szCs w:val="22"/>
        </w:rPr>
        <w:t xml:space="preserve"> which</w:t>
      </w:r>
      <w:r>
        <w:rPr>
          <w:b/>
          <w:sz w:val="22"/>
          <w:szCs w:val="22"/>
        </w:rPr>
        <w:t xml:space="preserve"> would place restrictions on immigration detainees</w:t>
      </w:r>
      <w:r w:rsidR="004574BD">
        <w:rPr>
          <w:b/>
          <w:sz w:val="22"/>
          <w:szCs w:val="22"/>
        </w:rPr>
        <w:t>’</w:t>
      </w:r>
      <w:r>
        <w:rPr>
          <w:b/>
          <w:sz w:val="22"/>
          <w:szCs w:val="22"/>
        </w:rPr>
        <w:t xml:space="preserve"> access to judicial review to challenge their detention. </w:t>
      </w:r>
    </w:p>
    <w:p w:rsidR="00950A03" w:rsidRPr="00950A03" w:rsidRDefault="00950A03" w:rsidP="00950A03">
      <w:pPr>
        <w:pStyle w:val="ListParagraph"/>
        <w:rPr>
          <w:b/>
          <w:sz w:val="22"/>
          <w:szCs w:val="22"/>
        </w:rPr>
      </w:pPr>
    </w:p>
    <w:p w:rsidR="00950A03" w:rsidRDefault="00950A03" w:rsidP="00B17A04">
      <w:pPr>
        <w:pStyle w:val="ListParagraph"/>
        <w:numPr>
          <w:ilvl w:val="0"/>
          <w:numId w:val="3"/>
        </w:numPr>
        <w:tabs>
          <w:tab w:val="left" w:pos="1701"/>
          <w:tab w:val="left" w:pos="4860"/>
        </w:tabs>
        <w:rPr>
          <w:b/>
          <w:sz w:val="22"/>
          <w:szCs w:val="22"/>
        </w:rPr>
      </w:pPr>
      <w:r>
        <w:rPr>
          <w:b/>
          <w:sz w:val="22"/>
          <w:szCs w:val="22"/>
        </w:rPr>
        <w:t>Guidance should be produced to ensure that the rights of children and their family members are not violated in the implementation of Sections 17 and 19 of the Immigration Act 2014</w:t>
      </w:r>
      <w:r w:rsidR="004574BD">
        <w:rPr>
          <w:b/>
          <w:sz w:val="22"/>
          <w:szCs w:val="22"/>
        </w:rPr>
        <w:t xml:space="preserve">. </w:t>
      </w:r>
      <w:r>
        <w:rPr>
          <w:b/>
          <w:sz w:val="22"/>
          <w:szCs w:val="22"/>
        </w:rPr>
        <w:t xml:space="preserve"> </w:t>
      </w:r>
    </w:p>
    <w:p w:rsidR="00372BA8" w:rsidRPr="00372BA8" w:rsidRDefault="00372BA8" w:rsidP="00372BA8">
      <w:pPr>
        <w:pStyle w:val="ListParagraph"/>
        <w:rPr>
          <w:b/>
          <w:sz w:val="22"/>
          <w:szCs w:val="22"/>
        </w:rPr>
      </w:pPr>
    </w:p>
    <w:p w:rsidR="009960BE" w:rsidRDefault="00B17A04" w:rsidP="00B17A04">
      <w:pPr>
        <w:pStyle w:val="ListParagraph"/>
        <w:numPr>
          <w:ilvl w:val="0"/>
          <w:numId w:val="3"/>
        </w:numPr>
        <w:tabs>
          <w:tab w:val="left" w:pos="1701"/>
          <w:tab w:val="left" w:pos="4860"/>
        </w:tabs>
        <w:rPr>
          <w:b/>
          <w:sz w:val="22"/>
          <w:szCs w:val="22"/>
        </w:rPr>
      </w:pPr>
      <w:r w:rsidRPr="004574BD">
        <w:rPr>
          <w:b/>
          <w:sz w:val="22"/>
          <w:szCs w:val="22"/>
        </w:rPr>
        <w:t>Families should not be sep</w:t>
      </w:r>
      <w:r w:rsidR="00323111" w:rsidRPr="004574BD">
        <w:rPr>
          <w:b/>
          <w:sz w:val="22"/>
          <w:szCs w:val="22"/>
        </w:rPr>
        <w:t>arated by immigration detention.</w:t>
      </w:r>
      <w:r w:rsidR="004574BD">
        <w:rPr>
          <w:b/>
          <w:sz w:val="22"/>
          <w:szCs w:val="22"/>
        </w:rPr>
        <w:t xml:space="preserve"> </w:t>
      </w:r>
      <w:r w:rsidR="00323111" w:rsidRPr="004574BD">
        <w:rPr>
          <w:b/>
          <w:sz w:val="22"/>
          <w:szCs w:val="22"/>
        </w:rPr>
        <w:t>While the</w:t>
      </w:r>
      <w:r w:rsidR="009960BE" w:rsidRPr="004574BD">
        <w:rPr>
          <w:b/>
          <w:sz w:val="22"/>
          <w:szCs w:val="22"/>
        </w:rPr>
        <w:t xml:space="preserve"> practice continues, a time limit should be introduced on the separation of families by immigration detention</w:t>
      </w:r>
      <w:r w:rsidR="00323111" w:rsidRPr="004574BD">
        <w:rPr>
          <w:b/>
          <w:sz w:val="22"/>
          <w:szCs w:val="22"/>
        </w:rPr>
        <w:t>.</w:t>
      </w:r>
      <w:r w:rsidR="009960BE" w:rsidRPr="004574BD">
        <w:rPr>
          <w:b/>
          <w:sz w:val="22"/>
          <w:szCs w:val="22"/>
        </w:rPr>
        <w:t xml:space="preserve"> </w:t>
      </w:r>
    </w:p>
    <w:p w:rsidR="004574BD" w:rsidRPr="004574BD" w:rsidRDefault="004574BD" w:rsidP="004574BD">
      <w:pPr>
        <w:pStyle w:val="ListParagraph"/>
        <w:rPr>
          <w:b/>
          <w:sz w:val="22"/>
          <w:szCs w:val="22"/>
        </w:rPr>
      </w:pPr>
    </w:p>
    <w:p w:rsidR="004574BD" w:rsidRPr="004574BD" w:rsidRDefault="004574BD" w:rsidP="00B17A04">
      <w:pPr>
        <w:pStyle w:val="ListParagraph"/>
        <w:numPr>
          <w:ilvl w:val="0"/>
          <w:numId w:val="3"/>
        </w:numPr>
        <w:tabs>
          <w:tab w:val="left" w:pos="1701"/>
          <w:tab w:val="left" w:pos="4860"/>
        </w:tabs>
        <w:rPr>
          <w:b/>
          <w:sz w:val="22"/>
          <w:szCs w:val="22"/>
        </w:rPr>
      </w:pPr>
      <w:r>
        <w:rPr>
          <w:b/>
          <w:sz w:val="22"/>
          <w:szCs w:val="22"/>
        </w:rPr>
        <w:t xml:space="preserve">The </w:t>
      </w:r>
      <w:r w:rsidR="002108B1">
        <w:rPr>
          <w:b/>
          <w:sz w:val="22"/>
          <w:szCs w:val="22"/>
        </w:rPr>
        <w:t xml:space="preserve">UK </w:t>
      </w:r>
      <w:r>
        <w:rPr>
          <w:b/>
          <w:sz w:val="22"/>
          <w:szCs w:val="22"/>
        </w:rPr>
        <w:t xml:space="preserve">Government should publish statistics on the numbers of children who are separated from their parents by immigration detention, removal and deportation. </w:t>
      </w:r>
    </w:p>
    <w:p w:rsidR="009960BE" w:rsidRPr="00950A03" w:rsidRDefault="009960BE" w:rsidP="00950A03">
      <w:pPr>
        <w:tabs>
          <w:tab w:val="left" w:pos="1701"/>
          <w:tab w:val="left" w:pos="4860"/>
        </w:tabs>
        <w:rPr>
          <w:b/>
          <w:sz w:val="22"/>
          <w:szCs w:val="22"/>
        </w:rPr>
      </w:pPr>
    </w:p>
    <w:p w:rsidR="00323111" w:rsidRDefault="009960BE" w:rsidP="00B17A04">
      <w:pPr>
        <w:pStyle w:val="ListParagraph"/>
        <w:numPr>
          <w:ilvl w:val="0"/>
          <w:numId w:val="3"/>
        </w:numPr>
        <w:tabs>
          <w:tab w:val="left" w:pos="1701"/>
          <w:tab w:val="left" w:pos="4860"/>
        </w:tabs>
        <w:rPr>
          <w:b/>
          <w:sz w:val="22"/>
          <w:szCs w:val="22"/>
        </w:rPr>
      </w:pPr>
      <w:r>
        <w:rPr>
          <w:b/>
          <w:sz w:val="22"/>
          <w:szCs w:val="22"/>
        </w:rPr>
        <w:t xml:space="preserve">The </w:t>
      </w:r>
      <w:r w:rsidR="002108B1">
        <w:rPr>
          <w:b/>
          <w:sz w:val="22"/>
          <w:szCs w:val="22"/>
        </w:rPr>
        <w:t xml:space="preserve">UK </w:t>
      </w:r>
      <w:r>
        <w:rPr>
          <w:b/>
          <w:sz w:val="22"/>
          <w:szCs w:val="22"/>
        </w:rPr>
        <w:t xml:space="preserve">Government should fulfil their commitment to end child detention and commit to never using force against children to </w:t>
      </w:r>
      <w:proofErr w:type="spellStart"/>
      <w:r>
        <w:rPr>
          <w:b/>
          <w:sz w:val="22"/>
          <w:szCs w:val="22"/>
        </w:rPr>
        <w:t>effect</w:t>
      </w:r>
      <w:proofErr w:type="spellEnd"/>
      <w:r>
        <w:rPr>
          <w:b/>
          <w:sz w:val="22"/>
          <w:szCs w:val="22"/>
        </w:rPr>
        <w:t xml:space="preserve"> their removal from the UK. </w:t>
      </w:r>
    </w:p>
    <w:p w:rsidR="00950A03" w:rsidRPr="00950A03" w:rsidRDefault="00950A03" w:rsidP="00950A03">
      <w:pPr>
        <w:pStyle w:val="ListParagraph"/>
        <w:rPr>
          <w:b/>
          <w:sz w:val="22"/>
          <w:szCs w:val="22"/>
        </w:rPr>
      </w:pPr>
    </w:p>
    <w:p w:rsidR="00950A03" w:rsidRDefault="00950A03" w:rsidP="00950A03">
      <w:pPr>
        <w:pStyle w:val="ListParagraph"/>
        <w:numPr>
          <w:ilvl w:val="0"/>
          <w:numId w:val="3"/>
        </w:numPr>
        <w:tabs>
          <w:tab w:val="left" w:pos="1701"/>
          <w:tab w:val="left" w:pos="4860"/>
        </w:tabs>
        <w:rPr>
          <w:b/>
          <w:sz w:val="22"/>
          <w:szCs w:val="22"/>
        </w:rPr>
      </w:pPr>
      <w:r>
        <w:rPr>
          <w:b/>
          <w:sz w:val="22"/>
          <w:szCs w:val="22"/>
        </w:rPr>
        <w:t xml:space="preserve">Families in the family returns process should be given a longer period to consider returning voluntarily to their country of origin.  </w:t>
      </w:r>
    </w:p>
    <w:p w:rsidR="00950A03" w:rsidRPr="00950A03" w:rsidRDefault="00950A03" w:rsidP="00950A03">
      <w:pPr>
        <w:pStyle w:val="ListParagraph"/>
        <w:rPr>
          <w:b/>
          <w:sz w:val="22"/>
          <w:szCs w:val="22"/>
        </w:rPr>
      </w:pPr>
    </w:p>
    <w:p w:rsidR="00950A03" w:rsidRDefault="00950A03" w:rsidP="00950A03">
      <w:pPr>
        <w:pStyle w:val="ListParagraph"/>
        <w:numPr>
          <w:ilvl w:val="0"/>
          <w:numId w:val="3"/>
        </w:numPr>
        <w:tabs>
          <w:tab w:val="left" w:pos="1701"/>
          <w:tab w:val="left" w:pos="4860"/>
        </w:tabs>
        <w:rPr>
          <w:b/>
          <w:sz w:val="22"/>
          <w:szCs w:val="22"/>
        </w:rPr>
      </w:pPr>
      <w:r>
        <w:rPr>
          <w:b/>
          <w:sz w:val="22"/>
          <w:szCs w:val="22"/>
        </w:rPr>
        <w:t xml:space="preserve">Adequate welfare support should be provided to non-detained families in the return process, so that families are not detained in order to access support. </w:t>
      </w:r>
    </w:p>
    <w:p w:rsidR="00323111" w:rsidRDefault="00323111" w:rsidP="00323111">
      <w:pPr>
        <w:pStyle w:val="ListParagraph"/>
        <w:tabs>
          <w:tab w:val="left" w:pos="1701"/>
          <w:tab w:val="left" w:pos="4860"/>
        </w:tabs>
        <w:rPr>
          <w:b/>
          <w:sz w:val="22"/>
          <w:szCs w:val="22"/>
        </w:rPr>
      </w:pPr>
    </w:p>
    <w:p w:rsidR="009960BE" w:rsidRPr="0069247F" w:rsidRDefault="006A6DA2" w:rsidP="009960BE">
      <w:pPr>
        <w:pStyle w:val="ListParagraph"/>
        <w:numPr>
          <w:ilvl w:val="0"/>
          <w:numId w:val="3"/>
        </w:numPr>
        <w:tabs>
          <w:tab w:val="left" w:pos="1701"/>
          <w:tab w:val="left" w:pos="4860"/>
        </w:tabs>
        <w:rPr>
          <w:b/>
          <w:sz w:val="22"/>
          <w:szCs w:val="22"/>
        </w:rPr>
      </w:pPr>
      <w:r w:rsidRPr="0069247F">
        <w:rPr>
          <w:b/>
          <w:sz w:val="22"/>
          <w:szCs w:val="22"/>
        </w:rPr>
        <w:t xml:space="preserve">There should be a clear route for information-sharing between the Family Returns Panel, families and their legal representatives. </w:t>
      </w:r>
      <w:r w:rsidR="009960BE" w:rsidRPr="0069247F">
        <w:rPr>
          <w:b/>
          <w:sz w:val="22"/>
          <w:szCs w:val="22"/>
        </w:rPr>
        <w:t xml:space="preserve">  </w:t>
      </w:r>
      <w:bookmarkStart w:id="0" w:name="_GoBack"/>
      <w:bookmarkEnd w:id="0"/>
    </w:p>
    <w:sectPr w:rsidR="009960BE" w:rsidRPr="0069247F" w:rsidSect="0039219A">
      <w:footerReference w:type="default" r:id="rId9"/>
      <w:headerReference w:type="first" r:id="rId10"/>
      <w:pgSz w:w="11905" w:h="16837"/>
      <w:pgMar w:top="-709" w:right="1134" w:bottom="1418" w:left="1134" w:header="0" w:footer="709"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74331" w:rsidRDefault="00274331">
      <w:r>
        <w:separator/>
      </w:r>
    </w:p>
  </w:endnote>
  <w:endnote w:type="continuationSeparator" w:id="0">
    <w:p w:rsidR="00274331" w:rsidRDefault="002743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4331" w:rsidRDefault="00274331">
    <w:pPr>
      <w:pStyle w:val="Footer"/>
      <w:jc w:val="center"/>
      <w:rPr>
        <w:rStyle w:val="PageNumber"/>
      </w:rPr>
    </w:pPr>
    <w:r>
      <w:t xml:space="preserve">- </w:t>
    </w:r>
    <w:r>
      <w:rPr>
        <w:rStyle w:val="PageNumber"/>
      </w:rPr>
      <w:fldChar w:fldCharType="begin"/>
    </w:r>
    <w:r>
      <w:rPr>
        <w:rStyle w:val="PageNumber"/>
      </w:rPr>
      <w:instrText xml:space="preserve"> PAGE </w:instrText>
    </w:r>
    <w:r>
      <w:rPr>
        <w:rStyle w:val="PageNumber"/>
      </w:rPr>
      <w:fldChar w:fldCharType="separate"/>
    </w:r>
    <w:r w:rsidR="00517FA2">
      <w:rPr>
        <w:rStyle w:val="PageNumber"/>
        <w:noProof/>
      </w:rPr>
      <w:t>2</w:t>
    </w:r>
    <w:r>
      <w:rPr>
        <w:rStyle w:val="PageNumber"/>
      </w:rPr>
      <w:fldChar w:fldCharType="end"/>
    </w:r>
    <w:r>
      <w:rPr>
        <w:rStyle w:val="PageNumber"/>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74331" w:rsidRDefault="00274331">
      <w:r>
        <w:separator/>
      </w:r>
    </w:p>
  </w:footnote>
  <w:footnote w:type="continuationSeparator" w:id="0">
    <w:p w:rsidR="00274331" w:rsidRDefault="00274331">
      <w:r>
        <w:continuationSeparator/>
      </w:r>
    </w:p>
  </w:footnote>
  <w:footnote w:id="1">
    <w:p w:rsidR="00274331" w:rsidRPr="00634221" w:rsidRDefault="00274331" w:rsidP="00B477E4">
      <w:pPr>
        <w:pStyle w:val="FootnoteText"/>
        <w:rPr>
          <w:sz w:val="16"/>
          <w:szCs w:val="16"/>
        </w:rPr>
      </w:pPr>
      <w:r w:rsidRPr="00634221">
        <w:rPr>
          <w:rStyle w:val="FootnoteReference"/>
          <w:sz w:val="16"/>
          <w:szCs w:val="16"/>
        </w:rPr>
        <w:footnoteRef/>
      </w:r>
      <w:r w:rsidRPr="00634221">
        <w:rPr>
          <w:sz w:val="16"/>
          <w:szCs w:val="16"/>
        </w:rPr>
        <w:t xml:space="preserve"> R (HA) (Nigeria) v SSHD [2012] EWHC 979; R (S) v SSHD [2011] EWHC 2120 (Admin); R (D) v SSHD [2012] EWHC 2501 </w:t>
      </w:r>
    </w:p>
    <w:p w:rsidR="00274331" w:rsidRPr="00634221" w:rsidRDefault="00274331" w:rsidP="00B477E4">
      <w:pPr>
        <w:pStyle w:val="FootnoteText"/>
        <w:rPr>
          <w:sz w:val="16"/>
          <w:szCs w:val="16"/>
        </w:rPr>
      </w:pPr>
      <w:r w:rsidRPr="00634221">
        <w:rPr>
          <w:sz w:val="16"/>
          <w:szCs w:val="16"/>
        </w:rPr>
        <w:t>(Admin); R (BA) v SSHD [2011] EWHC 2748 (Admin); R (S</w:t>
      </w:r>
      <w:r>
        <w:rPr>
          <w:sz w:val="16"/>
          <w:szCs w:val="16"/>
        </w:rPr>
        <w:t xml:space="preserve">) v SSHD [2014] EWHC 50 (Admin); MD v SSHD </w:t>
      </w:r>
      <w:r w:rsidRPr="00CA4873">
        <w:rPr>
          <w:sz w:val="16"/>
          <w:szCs w:val="16"/>
        </w:rPr>
        <w:t>[2014] EWHC 2249 (Admin)</w:t>
      </w:r>
    </w:p>
  </w:footnote>
  <w:footnote w:id="2">
    <w:p w:rsidR="00274331" w:rsidRPr="00634221" w:rsidRDefault="00274331" w:rsidP="00B477E4">
      <w:pPr>
        <w:pStyle w:val="FootnoteText"/>
        <w:rPr>
          <w:sz w:val="16"/>
          <w:szCs w:val="16"/>
        </w:rPr>
      </w:pPr>
      <w:r w:rsidRPr="00634221">
        <w:rPr>
          <w:rStyle w:val="FootnoteReference"/>
          <w:sz w:val="16"/>
          <w:szCs w:val="16"/>
        </w:rPr>
        <w:footnoteRef/>
      </w:r>
      <w:r w:rsidRPr="00634221">
        <w:rPr>
          <w:sz w:val="16"/>
          <w:szCs w:val="16"/>
        </w:rPr>
        <w:t xml:space="preserve"> UK Border Agency </w:t>
      </w:r>
      <w:r w:rsidRPr="00902329">
        <w:rPr>
          <w:i/>
          <w:sz w:val="16"/>
          <w:szCs w:val="16"/>
        </w:rPr>
        <w:t>Annual Report and Accounts 2012-13</w:t>
      </w:r>
      <w:r>
        <w:rPr>
          <w:i/>
          <w:sz w:val="16"/>
          <w:szCs w:val="16"/>
        </w:rPr>
        <w:t xml:space="preserve"> </w:t>
      </w:r>
      <w:hyperlink r:id="rId1" w:history="1">
        <w:r w:rsidRPr="00477FD3">
          <w:rPr>
            <w:rStyle w:val="Hyperlink"/>
            <w:sz w:val="16"/>
            <w:szCs w:val="16"/>
          </w:rPr>
          <w:t>www.ukba.homeoffice.gov.uk/sitecontent/documents/aboutus/annual-reports-accounts/annual-report-12-13.pdf?view=Binary</w:t>
        </w:r>
      </w:hyperlink>
      <w:r w:rsidRPr="00634221">
        <w:rPr>
          <w:sz w:val="16"/>
          <w:szCs w:val="16"/>
        </w:rPr>
        <w:t xml:space="preserve">  </w:t>
      </w:r>
    </w:p>
  </w:footnote>
  <w:footnote w:id="3">
    <w:p w:rsidR="00274331" w:rsidRPr="007B0AF9" w:rsidRDefault="00274331" w:rsidP="00D16AB8">
      <w:pPr>
        <w:pStyle w:val="FootnoteText"/>
        <w:rPr>
          <w:sz w:val="18"/>
          <w:szCs w:val="18"/>
        </w:rPr>
      </w:pPr>
      <w:r w:rsidRPr="00634221">
        <w:rPr>
          <w:rStyle w:val="FootnoteReference"/>
          <w:sz w:val="16"/>
          <w:szCs w:val="16"/>
        </w:rPr>
        <w:footnoteRef/>
      </w:r>
      <w:r w:rsidRPr="00634221">
        <w:rPr>
          <w:sz w:val="16"/>
          <w:szCs w:val="16"/>
        </w:rPr>
        <w:t xml:space="preserve"> Ministry of Justice (24 April 2014) ‘Ad hoc Statistical Release: Legal Aid Exceptional Case Funding Application and Determination Statistics 1 April 2013 to 31 March 2014’</w:t>
      </w:r>
    </w:p>
  </w:footnote>
  <w:footnote w:id="4">
    <w:p w:rsidR="00274331" w:rsidRPr="00452D81" w:rsidRDefault="00274331">
      <w:pPr>
        <w:pStyle w:val="FootnoteText"/>
        <w:rPr>
          <w:sz w:val="16"/>
          <w:szCs w:val="16"/>
        </w:rPr>
      </w:pPr>
      <w:r>
        <w:rPr>
          <w:rStyle w:val="FootnoteReference"/>
        </w:rPr>
        <w:footnoteRef/>
      </w:r>
      <w:r>
        <w:t xml:space="preserve"> </w:t>
      </w:r>
      <w:proofErr w:type="spellStart"/>
      <w:r w:rsidRPr="00452D81">
        <w:rPr>
          <w:i/>
          <w:sz w:val="16"/>
          <w:szCs w:val="16"/>
        </w:rPr>
        <w:t>Gudanaviciene</w:t>
      </w:r>
      <w:proofErr w:type="spellEnd"/>
      <w:r w:rsidRPr="00452D81">
        <w:rPr>
          <w:i/>
          <w:sz w:val="16"/>
          <w:szCs w:val="16"/>
        </w:rPr>
        <w:t xml:space="preserve"> &amp; </w:t>
      </w:r>
      <w:proofErr w:type="spellStart"/>
      <w:r w:rsidRPr="00452D81">
        <w:rPr>
          <w:i/>
          <w:sz w:val="16"/>
          <w:szCs w:val="16"/>
        </w:rPr>
        <w:t>Ors</w:t>
      </w:r>
      <w:proofErr w:type="spellEnd"/>
      <w:r w:rsidRPr="00452D81">
        <w:rPr>
          <w:i/>
          <w:sz w:val="16"/>
          <w:szCs w:val="16"/>
        </w:rPr>
        <w:t xml:space="preserve"> v Director of Legal Aid Casework &amp; </w:t>
      </w:r>
      <w:proofErr w:type="spellStart"/>
      <w:r w:rsidRPr="00452D81">
        <w:rPr>
          <w:i/>
          <w:sz w:val="16"/>
          <w:szCs w:val="16"/>
        </w:rPr>
        <w:t>Anor</w:t>
      </w:r>
      <w:proofErr w:type="spellEnd"/>
      <w:r w:rsidRPr="00452D81">
        <w:rPr>
          <w:i/>
          <w:sz w:val="16"/>
          <w:szCs w:val="16"/>
        </w:rPr>
        <w:t xml:space="preserve"> [</w:t>
      </w:r>
      <w:r w:rsidRPr="00452D81">
        <w:rPr>
          <w:sz w:val="16"/>
          <w:szCs w:val="16"/>
        </w:rPr>
        <w:t>2014] EWHC 1840 (Admin)</w:t>
      </w:r>
    </w:p>
  </w:footnote>
  <w:footnote w:id="5">
    <w:p w:rsidR="00274331" w:rsidRPr="00452D81" w:rsidRDefault="00274331" w:rsidP="00C47B8D">
      <w:pPr>
        <w:pStyle w:val="FootnoteText"/>
        <w:rPr>
          <w:i/>
          <w:sz w:val="16"/>
          <w:szCs w:val="16"/>
        </w:rPr>
      </w:pPr>
      <w:r w:rsidRPr="00452D81">
        <w:rPr>
          <w:rStyle w:val="FootnoteReference"/>
          <w:sz w:val="16"/>
          <w:szCs w:val="16"/>
        </w:rPr>
        <w:footnoteRef/>
      </w:r>
      <w:r w:rsidRPr="00452D81">
        <w:rPr>
          <w:sz w:val="16"/>
          <w:szCs w:val="16"/>
        </w:rPr>
        <w:t xml:space="preserve"> Joint Committee on Human Rights (2014) </w:t>
      </w:r>
      <w:r w:rsidRPr="00452D81">
        <w:rPr>
          <w:i/>
          <w:sz w:val="16"/>
          <w:szCs w:val="16"/>
        </w:rPr>
        <w:t>The implications for access to justice of the Government's proposals to reform judicial review</w:t>
      </w:r>
      <w:r w:rsidRPr="00452D81">
        <w:rPr>
          <w:sz w:val="16"/>
          <w:szCs w:val="16"/>
        </w:rPr>
        <w:t xml:space="preserve"> Thirteenth Report of Session 2013–14, p4 </w:t>
      </w:r>
    </w:p>
  </w:footnote>
  <w:footnote w:id="6">
    <w:p w:rsidR="00274331" w:rsidRPr="00452D81" w:rsidRDefault="00274331" w:rsidP="00DB683E">
      <w:pPr>
        <w:pStyle w:val="FootnoteText"/>
        <w:rPr>
          <w:i/>
          <w:sz w:val="16"/>
          <w:szCs w:val="16"/>
        </w:rPr>
      </w:pPr>
      <w:r w:rsidRPr="00452D81">
        <w:rPr>
          <w:rStyle w:val="FootnoteReference"/>
          <w:sz w:val="16"/>
          <w:szCs w:val="16"/>
        </w:rPr>
        <w:footnoteRef/>
      </w:r>
      <w:r w:rsidRPr="00452D81">
        <w:rPr>
          <w:sz w:val="16"/>
          <w:szCs w:val="16"/>
        </w:rPr>
        <w:t xml:space="preserve"> </w:t>
      </w:r>
      <w:proofErr w:type="spellStart"/>
      <w:r w:rsidRPr="00452D81">
        <w:rPr>
          <w:sz w:val="16"/>
          <w:szCs w:val="16"/>
        </w:rPr>
        <w:t>Jaffey</w:t>
      </w:r>
      <w:proofErr w:type="spellEnd"/>
      <w:r w:rsidRPr="00452D81">
        <w:rPr>
          <w:sz w:val="16"/>
          <w:szCs w:val="16"/>
        </w:rPr>
        <w:t xml:space="preserve">, B. and Hickman, T. (2014) </w:t>
      </w:r>
      <w:r w:rsidRPr="00452D81">
        <w:rPr>
          <w:i/>
          <w:sz w:val="16"/>
          <w:szCs w:val="16"/>
        </w:rPr>
        <w:t>UK Constitutional Law Association Blog</w:t>
      </w:r>
      <w:r w:rsidRPr="00452D81">
        <w:rPr>
          <w:sz w:val="16"/>
          <w:szCs w:val="16"/>
        </w:rPr>
        <w:t xml:space="preserve"> ‘Loading the Dice in Judicial Review: the Criminal Justice and Courts Bill 2014’ </w:t>
      </w:r>
      <w:hyperlink r:id="rId2" w:history="1">
        <w:r w:rsidRPr="00452D81">
          <w:rPr>
            <w:rStyle w:val="Hyperlink"/>
            <w:sz w:val="16"/>
            <w:szCs w:val="16"/>
          </w:rPr>
          <w:t>http://bit.ly/U6t61U</w:t>
        </w:r>
      </w:hyperlink>
      <w:r w:rsidRPr="00452D81">
        <w:rPr>
          <w:sz w:val="16"/>
          <w:szCs w:val="16"/>
        </w:rPr>
        <w:t xml:space="preserve"> </w:t>
      </w:r>
    </w:p>
  </w:footnote>
  <w:footnote w:id="7">
    <w:p w:rsidR="00274331" w:rsidRPr="00452D81" w:rsidRDefault="00274331" w:rsidP="00DB683E">
      <w:pPr>
        <w:pStyle w:val="FootnoteText"/>
        <w:rPr>
          <w:sz w:val="16"/>
          <w:szCs w:val="16"/>
        </w:rPr>
      </w:pPr>
      <w:r w:rsidRPr="00452D81">
        <w:rPr>
          <w:rStyle w:val="FootnoteReference"/>
          <w:sz w:val="16"/>
          <w:szCs w:val="16"/>
        </w:rPr>
        <w:footnoteRef/>
      </w:r>
      <w:r w:rsidRPr="00452D81">
        <w:rPr>
          <w:sz w:val="16"/>
          <w:szCs w:val="16"/>
        </w:rPr>
        <w:t xml:space="preserve"> See, for example, para 44 </w:t>
      </w:r>
      <w:r w:rsidRPr="00452D81">
        <w:rPr>
          <w:i/>
          <w:sz w:val="16"/>
          <w:szCs w:val="16"/>
        </w:rPr>
        <w:t xml:space="preserve">MXL, R (on the application of) &amp; </w:t>
      </w:r>
      <w:proofErr w:type="spellStart"/>
      <w:r w:rsidRPr="00452D81">
        <w:rPr>
          <w:i/>
          <w:sz w:val="16"/>
          <w:szCs w:val="16"/>
        </w:rPr>
        <w:t>Ors</w:t>
      </w:r>
      <w:proofErr w:type="spellEnd"/>
      <w:r w:rsidRPr="00452D81">
        <w:rPr>
          <w:i/>
          <w:sz w:val="16"/>
          <w:szCs w:val="16"/>
        </w:rPr>
        <w:t xml:space="preserve"> v SSHD</w:t>
      </w:r>
      <w:r w:rsidRPr="00452D81">
        <w:rPr>
          <w:sz w:val="16"/>
          <w:szCs w:val="16"/>
        </w:rPr>
        <w:t xml:space="preserve"> [2010] EWHC 2397 (Admin); para 124 </w:t>
      </w:r>
      <w:r w:rsidRPr="00452D81">
        <w:rPr>
          <w:i/>
          <w:sz w:val="16"/>
          <w:szCs w:val="16"/>
        </w:rPr>
        <w:t xml:space="preserve">NXT, R (on the application of) &amp; </w:t>
      </w:r>
      <w:proofErr w:type="spellStart"/>
      <w:r w:rsidRPr="00452D81">
        <w:rPr>
          <w:i/>
          <w:sz w:val="16"/>
          <w:szCs w:val="16"/>
        </w:rPr>
        <w:t>Ors</w:t>
      </w:r>
      <w:proofErr w:type="spellEnd"/>
      <w:r w:rsidRPr="00452D81">
        <w:rPr>
          <w:i/>
          <w:sz w:val="16"/>
          <w:szCs w:val="16"/>
        </w:rPr>
        <w:t xml:space="preserve"> v SSHD</w:t>
      </w:r>
      <w:r w:rsidRPr="00452D81">
        <w:rPr>
          <w:sz w:val="16"/>
          <w:szCs w:val="16"/>
        </w:rPr>
        <w:t xml:space="preserve"> [2011] EWHC 969 (Admin)</w:t>
      </w:r>
    </w:p>
  </w:footnote>
  <w:footnote w:id="8">
    <w:p w:rsidR="00274331" w:rsidRPr="00452D81" w:rsidRDefault="00274331">
      <w:pPr>
        <w:pStyle w:val="FootnoteText"/>
        <w:rPr>
          <w:sz w:val="16"/>
          <w:szCs w:val="16"/>
        </w:rPr>
      </w:pPr>
      <w:r w:rsidRPr="00452D81">
        <w:rPr>
          <w:rStyle w:val="FootnoteReference"/>
          <w:sz w:val="16"/>
          <w:szCs w:val="16"/>
        </w:rPr>
        <w:footnoteRef/>
      </w:r>
      <w:r w:rsidRPr="00452D81">
        <w:rPr>
          <w:sz w:val="16"/>
          <w:szCs w:val="16"/>
        </w:rPr>
        <w:t xml:space="preserve"> Joint Committee on Human Rights (2014) </w:t>
      </w:r>
      <w:r w:rsidRPr="00452D81">
        <w:rPr>
          <w:i/>
          <w:sz w:val="16"/>
          <w:szCs w:val="16"/>
        </w:rPr>
        <w:t>The implications for access to justice of the Government's proposals to reform judicial review</w:t>
      </w:r>
      <w:r w:rsidRPr="00452D81">
        <w:rPr>
          <w:sz w:val="16"/>
          <w:szCs w:val="16"/>
        </w:rPr>
        <w:t xml:space="preserve"> Thirteenth Report of Session 2013–14, p3</w:t>
      </w:r>
    </w:p>
  </w:footnote>
  <w:footnote w:id="9">
    <w:p w:rsidR="00274331" w:rsidRPr="00452D81" w:rsidRDefault="00274331" w:rsidP="00DB683E">
      <w:pPr>
        <w:pStyle w:val="FootnoteText"/>
        <w:rPr>
          <w:sz w:val="16"/>
          <w:szCs w:val="16"/>
        </w:rPr>
      </w:pPr>
      <w:r w:rsidRPr="00452D81">
        <w:rPr>
          <w:rStyle w:val="FootnoteReference"/>
          <w:sz w:val="16"/>
          <w:szCs w:val="16"/>
        </w:rPr>
        <w:footnoteRef/>
      </w:r>
      <w:r w:rsidRPr="00452D81">
        <w:rPr>
          <w:sz w:val="16"/>
          <w:szCs w:val="16"/>
        </w:rPr>
        <w:t xml:space="preserve"> Judiciary of England and Wales (2013) </w:t>
      </w:r>
      <w:r w:rsidRPr="00452D81">
        <w:rPr>
          <w:i/>
          <w:sz w:val="16"/>
          <w:szCs w:val="16"/>
        </w:rPr>
        <w:t>Response of the senior judiciary to the Ministry of Justice’s consultation entitled ‘Judicial Review: Proposals for Further Reform’</w:t>
      </w:r>
    </w:p>
  </w:footnote>
  <w:footnote w:id="10">
    <w:p w:rsidR="00274331" w:rsidRPr="00452D81" w:rsidRDefault="00274331" w:rsidP="00DB683E">
      <w:pPr>
        <w:pStyle w:val="FootnoteText"/>
        <w:rPr>
          <w:sz w:val="16"/>
          <w:szCs w:val="16"/>
        </w:rPr>
      </w:pPr>
      <w:r w:rsidRPr="00452D81">
        <w:rPr>
          <w:rStyle w:val="FootnoteReference"/>
          <w:sz w:val="16"/>
          <w:szCs w:val="16"/>
        </w:rPr>
        <w:footnoteRef/>
      </w:r>
      <w:r w:rsidRPr="00452D81">
        <w:rPr>
          <w:i/>
          <w:sz w:val="16"/>
          <w:szCs w:val="16"/>
        </w:rPr>
        <w:t xml:space="preserve">R (on the application of) </w:t>
      </w:r>
      <w:proofErr w:type="spellStart"/>
      <w:r w:rsidRPr="00452D81">
        <w:rPr>
          <w:i/>
          <w:sz w:val="16"/>
          <w:szCs w:val="16"/>
        </w:rPr>
        <w:t>Reetha</w:t>
      </w:r>
      <w:proofErr w:type="spellEnd"/>
      <w:r w:rsidRPr="00452D81">
        <w:rPr>
          <w:i/>
          <w:sz w:val="16"/>
          <w:szCs w:val="16"/>
        </w:rPr>
        <w:t xml:space="preserve"> </w:t>
      </w:r>
      <w:proofErr w:type="spellStart"/>
      <w:r w:rsidRPr="00452D81">
        <w:rPr>
          <w:i/>
          <w:sz w:val="16"/>
          <w:szCs w:val="16"/>
        </w:rPr>
        <w:t>Suppiah</w:t>
      </w:r>
      <w:proofErr w:type="spellEnd"/>
      <w:r w:rsidRPr="00452D81">
        <w:rPr>
          <w:i/>
          <w:sz w:val="16"/>
          <w:szCs w:val="16"/>
        </w:rPr>
        <w:t xml:space="preserve"> and others v SSHD and Interveners</w:t>
      </w:r>
      <w:r w:rsidRPr="00452D81">
        <w:rPr>
          <w:sz w:val="16"/>
          <w:szCs w:val="16"/>
        </w:rPr>
        <w:t xml:space="preserve"> [2011] EWHC 2 (Admin)</w:t>
      </w:r>
    </w:p>
  </w:footnote>
  <w:footnote w:id="11">
    <w:p w:rsidR="00274331" w:rsidRPr="00452D81" w:rsidRDefault="00274331" w:rsidP="00DB683E">
      <w:pPr>
        <w:pStyle w:val="FootnoteText"/>
        <w:rPr>
          <w:i/>
          <w:sz w:val="16"/>
          <w:szCs w:val="16"/>
        </w:rPr>
      </w:pPr>
      <w:r w:rsidRPr="00452D81">
        <w:rPr>
          <w:rStyle w:val="FootnoteReference"/>
          <w:sz w:val="16"/>
          <w:szCs w:val="16"/>
        </w:rPr>
        <w:footnoteRef/>
      </w:r>
      <w:r w:rsidRPr="00452D81">
        <w:rPr>
          <w:sz w:val="16"/>
          <w:szCs w:val="16"/>
        </w:rPr>
        <w:t xml:space="preserve"> Home Office </w:t>
      </w:r>
      <w:r w:rsidRPr="00452D81">
        <w:rPr>
          <w:i/>
          <w:sz w:val="16"/>
          <w:szCs w:val="16"/>
        </w:rPr>
        <w:t>Enforcement Instructions and Guidance</w:t>
      </w:r>
      <w:r w:rsidRPr="00452D81">
        <w:rPr>
          <w:sz w:val="16"/>
          <w:szCs w:val="16"/>
        </w:rPr>
        <w:t xml:space="preserve"> Chapter 45 </w:t>
      </w:r>
      <w:r w:rsidRPr="00452D81">
        <w:rPr>
          <w:i/>
          <w:sz w:val="16"/>
          <w:szCs w:val="16"/>
        </w:rPr>
        <w:t xml:space="preserve"> </w:t>
      </w:r>
    </w:p>
  </w:footnote>
  <w:footnote w:id="12">
    <w:p w:rsidR="00274331" w:rsidRPr="00452D81" w:rsidRDefault="00274331">
      <w:pPr>
        <w:pStyle w:val="FootnoteText"/>
        <w:rPr>
          <w:sz w:val="16"/>
          <w:szCs w:val="16"/>
        </w:rPr>
      </w:pPr>
      <w:r w:rsidRPr="00452D81">
        <w:rPr>
          <w:rStyle w:val="FootnoteReference"/>
          <w:sz w:val="16"/>
          <w:szCs w:val="16"/>
        </w:rPr>
        <w:footnoteRef/>
      </w:r>
      <w:r w:rsidRPr="00452D81">
        <w:rPr>
          <w:sz w:val="16"/>
          <w:szCs w:val="16"/>
        </w:rPr>
        <w:t xml:space="preserve"> Legal Aid, Sentencing and Punishment of Offenders Act 2012 (Amendment of Schedule 1) Order 2014</w:t>
      </w:r>
    </w:p>
  </w:footnote>
  <w:footnote w:id="13">
    <w:p w:rsidR="00274331" w:rsidRPr="00452D81" w:rsidRDefault="00274331">
      <w:pPr>
        <w:pStyle w:val="FootnoteText"/>
        <w:rPr>
          <w:sz w:val="16"/>
          <w:szCs w:val="16"/>
        </w:rPr>
      </w:pPr>
      <w:r w:rsidRPr="00452D81">
        <w:rPr>
          <w:rStyle w:val="FootnoteReference"/>
          <w:sz w:val="16"/>
          <w:szCs w:val="16"/>
        </w:rPr>
        <w:footnoteRef/>
      </w:r>
      <w:r w:rsidRPr="00452D81">
        <w:rPr>
          <w:sz w:val="16"/>
          <w:szCs w:val="16"/>
        </w:rPr>
        <w:t xml:space="preserve"> </w:t>
      </w:r>
      <w:r w:rsidRPr="00452D81">
        <w:rPr>
          <w:i/>
          <w:sz w:val="16"/>
          <w:szCs w:val="16"/>
        </w:rPr>
        <w:t>R (On the Application Of The Public Law Project) v The Secretary of State for Justice the Office of the Children’s Commissioner</w:t>
      </w:r>
      <w:r w:rsidRPr="00452D81">
        <w:rPr>
          <w:sz w:val="16"/>
          <w:szCs w:val="16"/>
        </w:rPr>
        <w:t xml:space="preserve"> [2014] EWHC 2365 (Admin)</w:t>
      </w:r>
    </w:p>
  </w:footnote>
  <w:footnote w:id="14">
    <w:p w:rsidR="00274331" w:rsidRPr="00452D81" w:rsidRDefault="00274331" w:rsidP="00B477E4">
      <w:pPr>
        <w:pStyle w:val="FootnoteText"/>
        <w:rPr>
          <w:sz w:val="16"/>
          <w:szCs w:val="16"/>
        </w:rPr>
      </w:pPr>
      <w:r w:rsidRPr="00452D81">
        <w:rPr>
          <w:rStyle w:val="FootnoteReference"/>
          <w:sz w:val="16"/>
          <w:szCs w:val="16"/>
        </w:rPr>
        <w:footnoteRef/>
      </w:r>
      <w:r w:rsidRPr="00452D81">
        <w:rPr>
          <w:sz w:val="16"/>
          <w:szCs w:val="16"/>
        </w:rPr>
        <w:t xml:space="preserve"> </w:t>
      </w:r>
      <w:r w:rsidRPr="00452D81">
        <w:rPr>
          <w:i/>
          <w:sz w:val="16"/>
          <w:szCs w:val="16"/>
        </w:rPr>
        <w:t>Guardian</w:t>
      </w:r>
      <w:r w:rsidRPr="00452D81">
        <w:rPr>
          <w:sz w:val="16"/>
          <w:szCs w:val="16"/>
        </w:rPr>
        <w:t xml:space="preserve"> 16/1/14 ‘Detention Centre castigated over death of elderly man’ </w:t>
      </w:r>
    </w:p>
  </w:footnote>
  <w:footnote w:id="15">
    <w:p w:rsidR="00274331" w:rsidRPr="00452D81" w:rsidRDefault="00274331" w:rsidP="00B477E4">
      <w:pPr>
        <w:pStyle w:val="FootnoteText"/>
        <w:rPr>
          <w:sz w:val="16"/>
          <w:szCs w:val="16"/>
        </w:rPr>
      </w:pPr>
      <w:r w:rsidRPr="00452D81">
        <w:rPr>
          <w:rStyle w:val="FootnoteReference"/>
          <w:sz w:val="16"/>
          <w:szCs w:val="16"/>
        </w:rPr>
        <w:footnoteRef/>
      </w:r>
      <w:r w:rsidRPr="00452D81">
        <w:rPr>
          <w:sz w:val="16"/>
          <w:szCs w:val="16"/>
        </w:rPr>
        <w:t xml:space="preserve"> </w:t>
      </w:r>
      <w:r w:rsidRPr="00452D81">
        <w:rPr>
          <w:i/>
          <w:sz w:val="16"/>
          <w:szCs w:val="16"/>
        </w:rPr>
        <w:t xml:space="preserve">Guardian </w:t>
      </w:r>
      <w:r w:rsidRPr="00452D81">
        <w:rPr>
          <w:sz w:val="16"/>
          <w:szCs w:val="16"/>
        </w:rPr>
        <w:t xml:space="preserve">24/6/14 ‘Serco apologises after dismissals related to </w:t>
      </w:r>
      <w:proofErr w:type="spellStart"/>
      <w:r w:rsidRPr="00452D81">
        <w:rPr>
          <w:sz w:val="16"/>
          <w:szCs w:val="16"/>
        </w:rPr>
        <w:t>Yarl's</w:t>
      </w:r>
      <w:proofErr w:type="spellEnd"/>
      <w:r w:rsidRPr="00452D81">
        <w:rPr>
          <w:sz w:val="16"/>
          <w:szCs w:val="16"/>
        </w:rPr>
        <w:t xml:space="preserve"> Wood allegations’ </w:t>
      </w:r>
    </w:p>
  </w:footnote>
  <w:footnote w:id="16">
    <w:p w:rsidR="00274331" w:rsidRPr="00452D81" w:rsidRDefault="00274331" w:rsidP="00B477E4">
      <w:pPr>
        <w:pStyle w:val="FootnoteText"/>
        <w:rPr>
          <w:sz w:val="16"/>
          <w:szCs w:val="16"/>
        </w:rPr>
      </w:pPr>
      <w:r w:rsidRPr="00452D81">
        <w:rPr>
          <w:rStyle w:val="FootnoteReference"/>
          <w:sz w:val="16"/>
          <w:szCs w:val="16"/>
        </w:rPr>
        <w:footnoteRef/>
      </w:r>
      <w:r w:rsidRPr="00452D81">
        <w:rPr>
          <w:sz w:val="16"/>
          <w:szCs w:val="16"/>
        </w:rPr>
        <w:t xml:space="preserve"> </w:t>
      </w:r>
      <w:r w:rsidRPr="00452D81">
        <w:rPr>
          <w:i/>
          <w:sz w:val="16"/>
          <w:szCs w:val="16"/>
        </w:rPr>
        <w:t>Guardian</w:t>
      </w:r>
      <w:r w:rsidRPr="00452D81">
        <w:rPr>
          <w:sz w:val="16"/>
          <w:szCs w:val="16"/>
        </w:rPr>
        <w:t xml:space="preserve">, 11/1/2013 , ‘UK Border Agency rejects calls to stop using force on pregnant detainees’ </w:t>
      </w:r>
    </w:p>
  </w:footnote>
  <w:footnote w:id="17">
    <w:p w:rsidR="00274331" w:rsidRPr="00634221" w:rsidRDefault="00274331" w:rsidP="00B477E4">
      <w:pPr>
        <w:pStyle w:val="FootnoteText"/>
        <w:rPr>
          <w:i/>
          <w:sz w:val="16"/>
          <w:szCs w:val="16"/>
        </w:rPr>
      </w:pPr>
      <w:r w:rsidRPr="00452D81">
        <w:rPr>
          <w:rStyle w:val="FootnoteReference"/>
          <w:sz w:val="16"/>
          <w:szCs w:val="16"/>
        </w:rPr>
        <w:footnoteRef/>
      </w:r>
      <w:r w:rsidRPr="00452D81">
        <w:rPr>
          <w:sz w:val="16"/>
          <w:szCs w:val="16"/>
        </w:rPr>
        <w:t xml:space="preserve"> HM Inspector of Prisons (2012) </w:t>
      </w:r>
      <w:r w:rsidRPr="00452D81">
        <w:rPr>
          <w:i/>
          <w:sz w:val="16"/>
          <w:szCs w:val="16"/>
        </w:rPr>
        <w:t>Report on an announced inspection of Cedars Pre-Departure Accommodation</w:t>
      </w:r>
      <w:r w:rsidRPr="00452D81">
        <w:rPr>
          <w:sz w:val="16"/>
          <w:szCs w:val="16"/>
        </w:rPr>
        <w:t xml:space="preserve">; Home Affairs Select Committee (2012) </w:t>
      </w:r>
      <w:r w:rsidRPr="00452D81">
        <w:rPr>
          <w:i/>
          <w:sz w:val="16"/>
          <w:szCs w:val="16"/>
        </w:rPr>
        <w:t>The work of the UK Border Agency (April–June 2012) Eighth Report of Session 2012–13</w:t>
      </w:r>
    </w:p>
  </w:footnote>
  <w:footnote w:id="18">
    <w:p w:rsidR="00274331" w:rsidRPr="00452D81" w:rsidRDefault="00274331">
      <w:pPr>
        <w:pStyle w:val="FootnoteText"/>
        <w:rPr>
          <w:sz w:val="16"/>
          <w:szCs w:val="16"/>
        </w:rPr>
      </w:pPr>
      <w:r w:rsidRPr="00452D81">
        <w:rPr>
          <w:rStyle w:val="FootnoteReference"/>
          <w:sz w:val="16"/>
          <w:szCs w:val="16"/>
        </w:rPr>
        <w:footnoteRef/>
      </w:r>
      <w:r w:rsidRPr="00452D81">
        <w:rPr>
          <w:sz w:val="16"/>
          <w:szCs w:val="16"/>
        </w:rPr>
        <w:t xml:space="preserve"> </w:t>
      </w:r>
      <w:proofErr w:type="spellStart"/>
      <w:r w:rsidRPr="00452D81">
        <w:rPr>
          <w:i/>
          <w:sz w:val="16"/>
          <w:szCs w:val="16"/>
        </w:rPr>
        <w:t>Hansard</w:t>
      </w:r>
      <w:proofErr w:type="spellEnd"/>
      <w:r w:rsidRPr="00452D81">
        <w:rPr>
          <w:i/>
          <w:sz w:val="16"/>
          <w:szCs w:val="16"/>
        </w:rPr>
        <w:t xml:space="preserve"> </w:t>
      </w:r>
      <w:r w:rsidRPr="00452D81">
        <w:rPr>
          <w:sz w:val="16"/>
          <w:szCs w:val="16"/>
        </w:rPr>
        <w:t>HL Deb, 10 April 2013, c313W</w:t>
      </w:r>
    </w:p>
  </w:footnote>
  <w:footnote w:id="19">
    <w:p w:rsidR="00274331" w:rsidRPr="00452D81" w:rsidRDefault="00274331">
      <w:pPr>
        <w:pStyle w:val="FootnoteText"/>
        <w:rPr>
          <w:sz w:val="16"/>
          <w:szCs w:val="16"/>
        </w:rPr>
      </w:pPr>
      <w:r w:rsidRPr="00452D81">
        <w:rPr>
          <w:rStyle w:val="FootnoteReference"/>
          <w:sz w:val="16"/>
          <w:szCs w:val="16"/>
        </w:rPr>
        <w:footnoteRef/>
      </w:r>
      <w:r w:rsidRPr="00452D81">
        <w:rPr>
          <w:sz w:val="16"/>
          <w:szCs w:val="16"/>
        </w:rPr>
        <w:t xml:space="preserve"> For full details including methodology please see: Bail for Immigration Detainees (16</w:t>
      </w:r>
      <w:r w:rsidRPr="00452D81">
        <w:rPr>
          <w:sz w:val="16"/>
          <w:szCs w:val="16"/>
          <w:vertAlign w:val="superscript"/>
        </w:rPr>
        <w:t>th</w:t>
      </w:r>
      <w:r w:rsidRPr="00452D81">
        <w:rPr>
          <w:sz w:val="16"/>
          <w:szCs w:val="16"/>
        </w:rPr>
        <w:t xml:space="preserve"> May 2014) ‘BID response to Justice Select Committee Inquiry: Impact of changes to civil legal aid under the Legal Aid, Sentencing and Punishment of Offenders Act 2012’ </w:t>
      </w:r>
      <w:hyperlink r:id="rId3" w:history="1">
        <w:r w:rsidRPr="00452D81">
          <w:rPr>
            <w:rStyle w:val="Hyperlink"/>
            <w:sz w:val="16"/>
            <w:szCs w:val="16"/>
          </w:rPr>
          <w:t>http://www.biduk.org/154/consultation-responses-and-submissions/bid-consultation-responses-and-submissions.html</w:t>
        </w:r>
      </w:hyperlink>
      <w:r w:rsidRPr="00452D81">
        <w:rPr>
          <w:sz w:val="16"/>
          <w:szCs w:val="16"/>
        </w:rPr>
        <w:t xml:space="preserve">  </w:t>
      </w:r>
    </w:p>
  </w:footnote>
  <w:footnote w:id="20">
    <w:p w:rsidR="00274331" w:rsidRPr="005847E4" w:rsidRDefault="00274331" w:rsidP="00007C79">
      <w:pPr>
        <w:pStyle w:val="FootnoteText"/>
        <w:rPr>
          <w:sz w:val="16"/>
          <w:szCs w:val="16"/>
        </w:rPr>
      </w:pPr>
      <w:r w:rsidRPr="005847E4">
        <w:rPr>
          <w:rStyle w:val="FootnoteReference"/>
          <w:sz w:val="16"/>
          <w:szCs w:val="16"/>
        </w:rPr>
        <w:footnoteRef/>
      </w:r>
      <w:r w:rsidRPr="005847E4">
        <w:rPr>
          <w:sz w:val="16"/>
          <w:szCs w:val="16"/>
        </w:rPr>
        <w:t xml:space="preserve"> Home Office October 2013 </w:t>
      </w:r>
      <w:r w:rsidRPr="005847E4">
        <w:rPr>
          <w:i/>
          <w:sz w:val="16"/>
          <w:szCs w:val="16"/>
        </w:rPr>
        <w:t>Immigration Bill Factsheet: appeals (clauses 11-13)</w:t>
      </w:r>
      <w:r w:rsidRPr="005847E4">
        <w:rPr>
          <w:sz w:val="16"/>
          <w:szCs w:val="16"/>
        </w:rPr>
        <w:t xml:space="preserve"> </w:t>
      </w:r>
      <w:hyperlink r:id="rId4" w:history="1">
        <w:r w:rsidRPr="005847E4">
          <w:rPr>
            <w:rStyle w:val="Hyperlink"/>
            <w:sz w:val="16"/>
            <w:szCs w:val="16"/>
          </w:rPr>
          <w:t>http://bit.ly/1gOp7y8</w:t>
        </w:r>
      </w:hyperlink>
      <w:r w:rsidRPr="005847E4">
        <w:rPr>
          <w:sz w:val="16"/>
          <w:szCs w:val="16"/>
        </w:rPr>
        <w:t xml:space="preserve"> </w:t>
      </w:r>
    </w:p>
  </w:footnote>
  <w:footnote w:id="21">
    <w:p w:rsidR="0037129E" w:rsidRPr="005847E4" w:rsidRDefault="0037129E" w:rsidP="0037129E">
      <w:pPr>
        <w:pStyle w:val="FootnoteText"/>
        <w:rPr>
          <w:i/>
          <w:sz w:val="16"/>
          <w:szCs w:val="16"/>
        </w:rPr>
      </w:pPr>
      <w:r w:rsidRPr="005847E4">
        <w:rPr>
          <w:rStyle w:val="FootnoteReference"/>
          <w:sz w:val="16"/>
          <w:szCs w:val="16"/>
        </w:rPr>
        <w:footnoteRef/>
      </w:r>
      <w:r w:rsidRPr="005847E4">
        <w:rPr>
          <w:sz w:val="16"/>
          <w:szCs w:val="16"/>
        </w:rPr>
        <w:t xml:space="preserve"> Home Office 15/7/12 </w:t>
      </w:r>
      <w:r w:rsidRPr="005847E4">
        <w:rPr>
          <w:i/>
          <w:sz w:val="16"/>
          <w:szCs w:val="16"/>
        </w:rPr>
        <w:t xml:space="preserve">Impact Assessment of Reforming Immigration Appeal Rights, </w:t>
      </w:r>
      <w:r w:rsidRPr="005847E4">
        <w:rPr>
          <w:sz w:val="16"/>
          <w:szCs w:val="16"/>
        </w:rPr>
        <w:t>p7</w:t>
      </w:r>
      <w:r w:rsidRPr="005847E4">
        <w:rPr>
          <w:i/>
          <w:sz w:val="16"/>
          <w:szCs w:val="16"/>
        </w:rPr>
        <w:t xml:space="preserve"> </w:t>
      </w:r>
      <w:hyperlink r:id="rId5" w:history="1">
        <w:r w:rsidRPr="005847E4">
          <w:rPr>
            <w:rStyle w:val="Hyperlink"/>
            <w:sz w:val="16"/>
            <w:szCs w:val="16"/>
          </w:rPr>
          <w:t>http://bit.ly/1cygmWm</w:t>
        </w:r>
      </w:hyperlink>
      <w:r w:rsidRPr="005847E4">
        <w:rPr>
          <w:sz w:val="16"/>
          <w:szCs w:val="16"/>
        </w:rPr>
        <w:t xml:space="preserve"> </w:t>
      </w:r>
    </w:p>
  </w:footnote>
  <w:footnote w:id="22">
    <w:p w:rsidR="00274331" w:rsidRPr="005847E4" w:rsidRDefault="00274331" w:rsidP="00007C79">
      <w:pPr>
        <w:pStyle w:val="FootnoteText"/>
        <w:rPr>
          <w:sz w:val="16"/>
          <w:szCs w:val="16"/>
        </w:rPr>
      </w:pPr>
      <w:r w:rsidRPr="005847E4">
        <w:rPr>
          <w:rStyle w:val="FootnoteReference"/>
          <w:sz w:val="16"/>
          <w:szCs w:val="16"/>
        </w:rPr>
        <w:footnoteRef/>
      </w:r>
      <w:r w:rsidRPr="005847E4">
        <w:rPr>
          <w:sz w:val="16"/>
          <w:szCs w:val="16"/>
        </w:rPr>
        <w:t xml:space="preserve"> Joint Committee on Human Rights 18/12/13 </w:t>
      </w:r>
      <w:r w:rsidRPr="005847E4">
        <w:rPr>
          <w:i/>
          <w:sz w:val="16"/>
          <w:szCs w:val="16"/>
        </w:rPr>
        <w:t>Legislative Scrutiny: Immigration Bill</w:t>
      </w:r>
      <w:r w:rsidRPr="005847E4">
        <w:rPr>
          <w:sz w:val="16"/>
          <w:szCs w:val="16"/>
        </w:rPr>
        <w:t xml:space="preserve"> Eighth Report of Session 2013-14 </w:t>
      </w:r>
    </w:p>
  </w:footnote>
  <w:footnote w:id="23">
    <w:p w:rsidR="00274331" w:rsidRDefault="00274331" w:rsidP="00DE674A">
      <w:pPr>
        <w:pStyle w:val="FootnoteText"/>
        <w:rPr>
          <w:i/>
          <w:sz w:val="16"/>
          <w:szCs w:val="16"/>
        </w:rPr>
      </w:pPr>
      <w:r>
        <w:rPr>
          <w:rStyle w:val="FootnoteReference"/>
          <w:sz w:val="16"/>
          <w:szCs w:val="16"/>
        </w:rPr>
        <w:footnoteRef/>
      </w:r>
      <w:r>
        <w:rPr>
          <w:sz w:val="16"/>
          <w:szCs w:val="16"/>
        </w:rPr>
        <w:t xml:space="preserve"> See for example </w:t>
      </w:r>
      <w:proofErr w:type="spellStart"/>
      <w:r>
        <w:rPr>
          <w:sz w:val="16"/>
          <w:szCs w:val="16"/>
        </w:rPr>
        <w:t>Lorek</w:t>
      </w:r>
      <w:proofErr w:type="spellEnd"/>
      <w:r>
        <w:rPr>
          <w:sz w:val="16"/>
          <w:szCs w:val="16"/>
        </w:rPr>
        <w:t xml:space="preserve">, A. </w:t>
      </w:r>
      <w:proofErr w:type="spellStart"/>
      <w:r>
        <w:rPr>
          <w:sz w:val="16"/>
          <w:szCs w:val="16"/>
        </w:rPr>
        <w:t>Entholt</w:t>
      </w:r>
      <w:proofErr w:type="spellEnd"/>
      <w:r>
        <w:rPr>
          <w:sz w:val="16"/>
          <w:szCs w:val="16"/>
        </w:rPr>
        <w:t xml:space="preserve">, K. et al. (2009) “The mental and physical health difficulties of children held within a British immigration detention </w:t>
      </w:r>
      <w:proofErr w:type="spellStart"/>
      <w:r>
        <w:rPr>
          <w:sz w:val="16"/>
          <w:szCs w:val="16"/>
        </w:rPr>
        <w:t>center</w:t>
      </w:r>
      <w:proofErr w:type="spellEnd"/>
      <w:r>
        <w:rPr>
          <w:sz w:val="16"/>
          <w:szCs w:val="16"/>
        </w:rPr>
        <w:t xml:space="preserve">: A Pilot Study” </w:t>
      </w:r>
      <w:r>
        <w:rPr>
          <w:i/>
          <w:sz w:val="16"/>
          <w:szCs w:val="16"/>
        </w:rPr>
        <w:t xml:space="preserve">Child Abuse and Neglect </w:t>
      </w:r>
      <w:r>
        <w:rPr>
          <w:sz w:val="16"/>
          <w:szCs w:val="16"/>
        </w:rPr>
        <w:t>Vol. 33 Issue 9, pp573-585</w:t>
      </w:r>
      <w:r>
        <w:rPr>
          <w:i/>
          <w:sz w:val="16"/>
          <w:szCs w:val="16"/>
        </w:rPr>
        <w:t xml:space="preserve">; </w:t>
      </w:r>
      <w:r>
        <w:rPr>
          <w:sz w:val="16"/>
          <w:szCs w:val="16"/>
        </w:rPr>
        <w:t xml:space="preserve">Children’s Commissioner for England (2010) </w:t>
      </w:r>
      <w:r>
        <w:rPr>
          <w:i/>
          <w:sz w:val="16"/>
          <w:szCs w:val="16"/>
        </w:rPr>
        <w:t>Follow up report to: The arrest and detention of children who are subject to immigration control</w:t>
      </w:r>
    </w:p>
  </w:footnote>
  <w:footnote w:id="24">
    <w:p w:rsidR="00274331" w:rsidRPr="00452D81" w:rsidRDefault="00274331">
      <w:pPr>
        <w:pStyle w:val="FootnoteText"/>
        <w:rPr>
          <w:sz w:val="16"/>
          <w:szCs w:val="16"/>
        </w:rPr>
      </w:pPr>
      <w:r w:rsidRPr="00452D81">
        <w:rPr>
          <w:rStyle w:val="FootnoteReference"/>
          <w:sz w:val="16"/>
          <w:szCs w:val="16"/>
        </w:rPr>
        <w:footnoteRef/>
      </w:r>
      <w:r w:rsidRPr="00452D81">
        <w:rPr>
          <w:sz w:val="16"/>
          <w:szCs w:val="16"/>
        </w:rPr>
        <w:t xml:space="preserve"> </w:t>
      </w:r>
      <w:r w:rsidRPr="00452D81">
        <w:rPr>
          <w:color w:val="000000"/>
          <w:sz w:val="16"/>
          <w:szCs w:val="16"/>
        </w:rPr>
        <w:t xml:space="preserve">Home Office (2012) ‘Quarterly Immigration Statistics’ </w:t>
      </w:r>
      <w:hyperlink r:id="rId6" w:history="1">
        <w:r w:rsidRPr="00452D81">
          <w:rPr>
            <w:rStyle w:val="Hyperlink"/>
            <w:sz w:val="16"/>
            <w:szCs w:val="16"/>
          </w:rPr>
          <w:t>https://www.gov.uk/government/organisations/home-office/series/immigration-statistics-quarterly-release</w:t>
        </w:r>
      </w:hyperlink>
      <w:r w:rsidRPr="00452D81">
        <w:rPr>
          <w:color w:val="000000"/>
          <w:sz w:val="16"/>
          <w:szCs w:val="16"/>
        </w:rPr>
        <w:t xml:space="preserve"> </w:t>
      </w:r>
    </w:p>
  </w:footnote>
  <w:footnote w:id="25">
    <w:p w:rsidR="00274331" w:rsidRDefault="00274331" w:rsidP="00837465">
      <w:pPr>
        <w:pStyle w:val="FootnoteText"/>
        <w:rPr>
          <w:i/>
          <w:sz w:val="16"/>
          <w:szCs w:val="16"/>
        </w:rPr>
      </w:pPr>
      <w:r>
        <w:rPr>
          <w:rStyle w:val="FootnoteReference"/>
          <w:sz w:val="16"/>
          <w:szCs w:val="16"/>
        </w:rPr>
        <w:footnoteRef/>
      </w:r>
      <w:r>
        <w:rPr>
          <w:sz w:val="16"/>
          <w:szCs w:val="16"/>
        </w:rPr>
        <w:t xml:space="preserve"> Home Office </w:t>
      </w:r>
      <w:r>
        <w:rPr>
          <w:i/>
          <w:sz w:val="16"/>
          <w:szCs w:val="16"/>
        </w:rPr>
        <w:t xml:space="preserve">Immigration Statistics April to June 2013  </w:t>
      </w:r>
    </w:p>
    <w:p w:rsidR="00274331" w:rsidRDefault="00517FA2" w:rsidP="00837465">
      <w:pPr>
        <w:pStyle w:val="FootnoteText"/>
      </w:pPr>
      <w:hyperlink r:id="rId7" w:anchor="detention-2" w:history="1">
        <w:r w:rsidR="00274331">
          <w:rPr>
            <w:rStyle w:val="Hyperlink"/>
            <w:sz w:val="16"/>
            <w:szCs w:val="16"/>
          </w:rPr>
          <w:t>https://www.gov.uk/government/publications/immigration-statistics-april-to-june-2013/immigration-statistics-april-to-june-2013#detention-2</w:t>
        </w:r>
      </w:hyperlink>
      <w:r w:rsidR="00274331">
        <w:t xml:space="preserve"> </w:t>
      </w:r>
    </w:p>
  </w:footnote>
  <w:footnote w:id="26">
    <w:p w:rsidR="00274331" w:rsidRPr="00452D81" w:rsidRDefault="00274331" w:rsidP="00274331">
      <w:pPr>
        <w:pStyle w:val="FootnoteText"/>
        <w:rPr>
          <w:i/>
          <w:sz w:val="16"/>
          <w:szCs w:val="16"/>
        </w:rPr>
      </w:pPr>
      <w:r w:rsidRPr="00452D81">
        <w:rPr>
          <w:rStyle w:val="FootnoteReference"/>
          <w:sz w:val="16"/>
          <w:szCs w:val="16"/>
        </w:rPr>
        <w:footnoteRef/>
      </w:r>
      <w:r w:rsidRPr="00452D81">
        <w:rPr>
          <w:sz w:val="16"/>
          <w:szCs w:val="16"/>
        </w:rPr>
        <w:t xml:space="preserve"> UNHCR (June 2013) </w:t>
      </w:r>
      <w:r w:rsidRPr="00452D81">
        <w:rPr>
          <w:i/>
          <w:sz w:val="16"/>
          <w:szCs w:val="16"/>
        </w:rPr>
        <w:t>Untold stories: families in the asylum process</w:t>
      </w:r>
      <w:r w:rsidRPr="00452D81">
        <w:rPr>
          <w:sz w:val="16"/>
          <w:szCs w:val="16"/>
        </w:rPr>
        <w:t xml:space="preserve">; UNHCR (December 2013) </w:t>
      </w:r>
      <w:r w:rsidRPr="00452D81">
        <w:rPr>
          <w:i/>
          <w:sz w:val="16"/>
          <w:szCs w:val="16"/>
        </w:rPr>
        <w:t>Considering the Best Interests of a Child Within a Family Seeking Asylum</w:t>
      </w:r>
    </w:p>
  </w:footnote>
  <w:footnote w:id="27">
    <w:p w:rsidR="00090E1E" w:rsidRPr="00452D81" w:rsidRDefault="00090E1E" w:rsidP="00090E1E">
      <w:pPr>
        <w:pStyle w:val="FootnoteText"/>
        <w:rPr>
          <w:sz w:val="16"/>
          <w:szCs w:val="16"/>
        </w:rPr>
      </w:pPr>
      <w:r w:rsidRPr="00452D81">
        <w:rPr>
          <w:rStyle w:val="FootnoteReference"/>
          <w:sz w:val="16"/>
          <w:szCs w:val="16"/>
        </w:rPr>
        <w:footnoteRef/>
      </w:r>
      <w:r w:rsidRPr="00452D81">
        <w:rPr>
          <w:sz w:val="16"/>
          <w:szCs w:val="16"/>
        </w:rPr>
        <w:t xml:space="preserve"> Home Office (2013) </w:t>
      </w:r>
      <w:r w:rsidRPr="00452D81">
        <w:rPr>
          <w:i/>
          <w:sz w:val="16"/>
          <w:szCs w:val="16"/>
        </w:rPr>
        <w:t>Evaluation of the new family returns process</w:t>
      </w:r>
      <w:r w:rsidRPr="00452D81">
        <w:rPr>
          <w:sz w:val="16"/>
          <w:szCs w:val="16"/>
        </w:rPr>
        <w:t>, p15</w:t>
      </w:r>
      <w:r w:rsidRPr="00452D81">
        <w:rPr>
          <w:i/>
          <w:sz w:val="16"/>
          <w:szCs w:val="16"/>
        </w:rPr>
        <w:t xml:space="preserve"> </w:t>
      </w:r>
    </w:p>
  </w:footnote>
  <w:footnote w:id="28">
    <w:p w:rsidR="00B24D81" w:rsidRPr="00452D81" w:rsidRDefault="00B24D81" w:rsidP="00B24D81">
      <w:pPr>
        <w:autoSpaceDE w:val="0"/>
        <w:autoSpaceDN w:val="0"/>
        <w:adjustRightInd w:val="0"/>
        <w:rPr>
          <w:rFonts w:ascii="Times New Roman" w:hAnsi="Times New Roman" w:cs="Times New Roman"/>
          <w:i/>
          <w:sz w:val="16"/>
          <w:szCs w:val="16"/>
        </w:rPr>
      </w:pPr>
      <w:r w:rsidRPr="00452D81">
        <w:rPr>
          <w:rStyle w:val="FootnoteReference"/>
          <w:rFonts w:ascii="Times New Roman" w:hAnsi="Times New Roman" w:cs="Times New Roman"/>
          <w:sz w:val="16"/>
          <w:szCs w:val="16"/>
        </w:rPr>
        <w:footnoteRef/>
      </w:r>
      <w:r w:rsidRPr="00452D81">
        <w:rPr>
          <w:rFonts w:ascii="Times New Roman" w:hAnsi="Times New Roman" w:cs="Times New Roman"/>
          <w:sz w:val="16"/>
          <w:szCs w:val="16"/>
        </w:rPr>
        <w:t xml:space="preserve"> </w:t>
      </w:r>
      <w:proofErr w:type="spellStart"/>
      <w:r w:rsidRPr="00452D81">
        <w:rPr>
          <w:rFonts w:ascii="Times New Roman" w:hAnsi="Times New Roman" w:cs="Times New Roman"/>
          <w:sz w:val="16"/>
          <w:szCs w:val="16"/>
        </w:rPr>
        <w:t>Trude</w:t>
      </w:r>
      <w:proofErr w:type="spellEnd"/>
      <w:r w:rsidRPr="00452D81">
        <w:rPr>
          <w:rFonts w:ascii="Times New Roman" w:hAnsi="Times New Roman" w:cs="Times New Roman"/>
          <w:sz w:val="16"/>
          <w:szCs w:val="16"/>
        </w:rPr>
        <w:t xml:space="preserve">, A. and Gibbs, J. (2010) </w:t>
      </w:r>
      <w:r w:rsidRPr="00452D81">
        <w:rPr>
          <w:rFonts w:ascii="Times New Roman" w:hAnsi="Times New Roman" w:cs="Times New Roman"/>
          <w:i/>
          <w:sz w:val="16"/>
          <w:szCs w:val="16"/>
        </w:rPr>
        <w:t>Review of quality issues in legal advice: measuring and costing quality in asylum work</w:t>
      </w:r>
      <w:r w:rsidRPr="00452D81">
        <w:rPr>
          <w:rFonts w:ascii="Times New Roman" w:hAnsi="Times New Roman" w:cs="Times New Roman"/>
          <w:sz w:val="16"/>
          <w:szCs w:val="16"/>
        </w:rPr>
        <w:t>; M</w:t>
      </w:r>
      <w:r w:rsidRPr="00452D81">
        <w:rPr>
          <w:rFonts w:ascii="Times New Roman" w:hAnsi="Times New Roman" w:cs="Times New Roman"/>
          <w:color w:val="000000"/>
          <w:sz w:val="16"/>
          <w:szCs w:val="16"/>
          <w:lang w:eastAsia="en-GB"/>
        </w:rPr>
        <w:t xml:space="preserve">cClintock, J. (2008) </w:t>
      </w:r>
      <w:r w:rsidRPr="00452D81">
        <w:rPr>
          <w:rFonts w:ascii="Times New Roman" w:hAnsi="Times New Roman" w:cs="Times New Roman"/>
          <w:i/>
          <w:color w:val="000000"/>
          <w:sz w:val="16"/>
          <w:szCs w:val="16"/>
          <w:lang w:eastAsia="en-GB"/>
        </w:rPr>
        <w:t xml:space="preserve">The </w:t>
      </w:r>
      <w:proofErr w:type="spellStart"/>
      <w:r w:rsidRPr="00452D81">
        <w:rPr>
          <w:rFonts w:ascii="Times New Roman" w:hAnsi="Times New Roman" w:cs="Times New Roman"/>
          <w:i/>
          <w:color w:val="000000"/>
          <w:sz w:val="16"/>
          <w:szCs w:val="16"/>
          <w:lang w:eastAsia="en-GB"/>
        </w:rPr>
        <w:t>LawWorks</w:t>
      </w:r>
      <w:proofErr w:type="spellEnd"/>
      <w:r w:rsidRPr="00452D81">
        <w:rPr>
          <w:rFonts w:ascii="Times New Roman" w:hAnsi="Times New Roman" w:cs="Times New Roman"/>
          <w:i/>
          <w:color w:val="000000"/>
          <w:sz w:val="16"/>
          <w:szCs w:val="16"/>
          <w:lang w:eastAsia="en-GB"/>
        </w:rPr>
        <w:t xml:space="preserve"> Immigration Report: Assessing the Need for Pro Bono Assistance</w:t>
      </w:r>
      <w:r w:rsidRPr="00452D81">
        <w:rPr>
          <w:rFonts w:ascii="Times New Roman" w:hAnsi="Times New Roman" w:cs="Times New Roman"/>
          <w:color w:val="000000"/>
          <w:sz w:val="16"/>
          <w:szCs w:val="16"/>
          <w:lang w:eastAsia="en-GB"/>
        </w:rPr>
        <w:t xml:space="preserve">; Refugee Action (2008) </w:t>
      </w:r>
      <w:r w:rsidRPr="00452D81">
        <w:rPr>
          <w:rFonts w:ascii="Times New Roman" w:hAnsi="Times New Roman" w:cs="Times New Roman"/>
          <w:i/>
          <w:color w:val="000000"/>
          <w:sz w:val="16"/>
          <w:szCs w:val="16"/>
          <w:lang w:eastAsia="en-GB"/>
        </w:rPr>
        <w:t xml:space="preserve">Long term impact of the 2004 Asylum Legal Aid Reforms on access </w:t>
      </w:r>
      <w:proofErr w:type="spellStart"/>
      <w:r w:rsidRPr="00452D81">
        <w:rPr>
          <w:rFonts w:ascii="Times New Roman" w:hAnsi="Times New Roman" w:cs="Times New Roman"/>
          <w:i/>
          <w:color w:val="000000"/>
          <w:sz w:val="16"/>
          <w:szCs w:val="16"/>
          <w:lang w:eastAsia="en-GB"/>
        </w:rPr>
        <w:t>tolegal</w:t>
      </w:r>
      <w:proofErr w:type="spellEnd"/>
      <w:r w:rsidRPr="00452D81">
        <w:rPr>
          <w:rFonts w:ascii="Times New Roman" w:hAnsi="Times New Roman" w:cs="Times New Roman"/>
          <w:i/>
          <w:color w:val="000000"/>
          <w:sz w:val="16"/>
          <w:szCs w:val="16"/>
          <w:lang w:eastAsia="en-GB"/>
        </w:rPr>
        <w:t xml:space="preserve"> aid</w:t>
      </w:r>
      <w:r w:rsidRPr="00452D81">
        <w:rPr>
          <w:rFonts w:ascii="Times New Roman" w:hAnsi="Times New Roman" w:cs="Times New Roman"/>
          <w:color w:val="000000"/>
          <w:sz w:val="16"/>
          <w:szCs w:val="16"/>
          <w:lang w:eastAsia="en-GB"/>
        </w:rPr>
        <w:t xml:space="preserve">; Smart, K. (2008) </w:t>
      </w:r>
      <w:r w:rsidRPr="00452D81">
        <w:rPr>
          <w:rFonts w:ascii="Times New Roman" w:hAnsi="Times New Roman" w:cs="Times New Roman"/>
          <w:i/>
          <w:color w:val="000000"/>
          <w:sz w:val="16"/>
          <w:szCs w:val="16"/>
          <w:lang w:eastAsia="en-GB"/>
        </w:rPr>
        <w:t>Access to legal advice for dispersed asylum seekers</w:t>
      </w:r>
      <w:r w:rsidRPr="00452D81">
        <w:rPr>
          <w:rFonts w:ascii="Times New Roman" w:hAnsi="Times New Roman" w:cs="Times New Roman"/>
          <w:color w:val="000000"/>
          <w:sz w:val="16"/>
          <w:szCs w:val="16"/>
          <w:lang w:eastAsia="en-GB"/>
        </w:rPr>
        <w:t xml:space="preserve">; London; Constitutional Affairs Select Committee (2007) </w:t>
      </w:r>
      <w:r w:rsidRPr="00452D81">
        <w:rPr>
          <w:rFonts w:ascii="Times New Roman" w:hAnsi="Times New Roman" w:cs="Times New Roman"/>
          <w:i/>
          <w:color w:val="000000"/>
          <w:sz w:val="16"/>
          <w:szCs w:val="16"/>
          <w:lang w:eastAsia="en-GB"/>
        </w:rPr>
        <w:t xml:space="preserve">Implementation of the Carter Review of Legal Aid Third Report of Session 2006–07 Volumes I &amp; II </w:t>
      </w:r>
    </w:p>
  </w:footnote>
  <w:footnote w:id="29">
    <w:p w:rsidR="00090E1E" w:rsidRPr="00452D81" w:rsidRDefault="00090E1E" w:rsidP="00090E1E">
      <w:pPr>
        <w:pStyle w:val="FootnoteText"/>
        <w:rPr>
          <w:sz w:val="16"/>
          <w:szCs w:val="16"/>
        </w:rPr>
      </w:pPr>
      <w:r w:rsidRPr="00452D81">
        <w:rPr>
          <w:rStyle w:val="FootnoteReference"/>
          <w:sz w:val="16"/>
          <w:szCs w:val="16"/>
        </w:rPr>
        <w:footnoteRef/>
      </w:r>
      <w:r w:rsidRPr="00452D81">
        <w:rPr>
          <w:sz w:val="16"/>
          <w:szCs w:val="16"/>
        </w:rPr>
        <w:t xml:space="preserve"> Home Office (2013) </w:t>
      </w:r>
      <w:r w:rsidRPr="00452D81">
        <w:rPr>
          <w:i/>
          <w:sz w:val="16"/>
          <w:szCs w:val="16"/>
        </w:rPr>
        <w:t>Evaluation of the new family returns process</w:t>
      </w:r>
    </w:p>
  </w:footnote>
  <w:footnote w:id="30">
    <w:p w:rsidR="00F22CFC" w:rsidRPr="00452D81" w:rsidRDefault="00F22CFC" w:rsidP="00F22CFC">
      <w:pPr>
        <w:pStyle w:val="FootnoteText"/>
        <w:rPr>
          <w:sz w:val="16"/>
          <w:szCs w:val="16"/>
        </w:rPr>
      </w:pPr>
      <w:r w:rsidRPr="00452D81">
        <w:rPr>
          <w:rStyle w:val="FootnoteReference"/>
          <w:sz w:val="16"/>
          <w:szCs w:val="16"/>
        </w:rPr>
        <w:footnoteRef/>
      </w:r>
      <w:r w:rsidRPr="00452D81">
        <w:rPr>
          <w:sz w:val="16"/>
          <w:szCs w:val="16"/>
        </w:rPr>
        <w:t xml:space="preserve"> Home Office (December 2013) </w:t>
      </w:r>
      <w:r w:rsidRPr="00452D81">
        <w:rPr>
          <w:i/>
          <w:sz w:val="16"/>
          <w:szCs w:val="16"/>
        </w:rPr>
        <w:t xml:space="preserve">Evaluation of the new family returns process, </w:t>
      </w:r>
      <w:r w:rsidRPr="00452D81">
        <w:rPr>
          <w:sz w:val="16"/>
          <w:szCs w:val="16"/>
        </w:rPr>
        <w:t xml:space="preserve">p31 </w:t>
      </w:r>
    </w:p>
  </w:footnote>
  <w:footnote w:id="31">
    <w:p w:rsidR="00090E1E" w:rsidRPr="00551019" w:rsidRDefault="00090E1E" w:rsidP="00090E1E">
      <w:pPr>
        <w:pStyle w:val="FootnoteText"/>
      </w:pPr>
      <w:r w:rsidRPr="00452D81">
        <w:rPr>
          <w:rStyle w:val="FootnoteReference"/>
          <w:sz w:val="16"/>
          <w:szCs w:val="16"/>
        </w:rPr>
        <w:footnoteRef/>
      </w:r>
      <w:r w:rsidRPr="00452D81">
        <w:rPr>
          <w:sz w:val="16"/>
          <w:szCs w:val="16"/>
        </w:rPr>
        <w:t xml:space="preserve"> Home Office (2013) </w:t>
      </w:r>
      <w:r w:rsidRPr="00452D81">
        <w:rPr>
          <w:i/>
          <w:sz w:val="16"/>
          <w:szCs w:val="16"/>
        </w:rPr>
        <w:t xml:space="preserve">Evaluation of the new family returns process </w:t>
      </w:r>
      <w:r w:rsidRPr="00452D81">
        <w:rPr>
          <w:sz w:val="16"/>
          <w:szCs w:val="16"/>
        </w:rPr>
        <w:t>p33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4331" w:rsidRDefault="00274331" w:rsidP="006741CB">
    <w:pPr>
      <w:pStyle w:val="Header"/>
      <w:jc w:val="right"/>
      <w:rPr>
        <w:sz w:val="20"/>
        <w:lang w:val="en-US"/>
      </w:rPr>
    </w:pPr>
    <w:r>
      <w:rPr>
        <w:sz w:val="20"/>
        <w:lang w:val="en-US"/>
      </w:rPr>
      <w:tab/>
    </w:r>
    <w:r>
      <w:rPr>
        <w:sz w:val="20"/>
        <w:lang w:val="en-US"/>
      </w:rPr>
      <w:tab/>
    </w:r>
  </w:p>
  <w:p w:rsidR="00274331" w:rsidRDefault="00274331" w:rsidP="006741CB">
    <w:pPr>
      <w:pStyle w:val="Header"/>
      <w:jc w:val="right"/>
      <w:rPr>
        <w:sz w:val="20"/>
        <w:lang w:val="en-US"/>
      </w:rPr>
    </w:pPr>
  </w:p>
  <w:p w:rsidR="00274331" w:rsidRDefault="00274331" w:rsidP="006741CB">
    <w:pPr>
      <w:pStyle w:val="Header"/>
      <w:jc w:val="right"/>
      <w:rPr>
        <w:sz w:val="20"/>
        <w:lang w:val="en-US"/>
      </w:rPr>
    </w:pPr>
    <w:r>
      <w:rPr>
        <w:noProof/>
        <w:lang w:eastAsia="en-GB"/>
      </w:rPr>
      <w:drawing>
        <wp:inline distT="0" distB="0" distL="0" distR="0">
          <wp:extent cx="2371725" cy="762000"/>
          <wp:effectExtent l="19050" t="0" r="9525" b="0"/>
          <wp:docPr id="1" name="Picture 2" descr="Description: BIDLogoD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BIDLogoDark"/>
                  <pic:cNvPicPr>
                    <a:picLocks noChangeAspect="1" noChangeArrowheads="1"/>
                  </pic:cNvPicPr>
                </pic:nvPicPr>
                <pic:blipFill>
                  <a:blip r:embed="rId1"/>
                  <a:srcRect/>
                  <a:stretch>
                    <a:fillRect/>
                  </a:stretch>
                </pic:blipFill>
                <pic:spPr bwMode="auto">
                  <a:xfrm>
                    <a:off x="0" y="0"/>
                    <a:ext cx="2371725" cy="762000"/>
                  </a:xfrm>
                  <a:prstGeom prst="rect">
                    <a:avLst/>
                  </a:prstGeom>
                  <a:noFill/>
                  <a:ln w="9525">
                    <a:noFill/>
                    <a:miter lim="800000"/>
                    <a:headEnd/>
                    <a:tailEnd/>
                  </a:ln>
                </pic:spPr>
              </pic:pic>
            </a:graphicData>
          </a:graphic>
        </wp:inline>
      </w:drawing>
    </w:r>
  </w:p>
  <w:p w:rsidR="00274331" w:rsidRDefault="00274331" w:rsidP="006741CB">
    <w:pPr>
      <w:pStyle w:val="Header"/>
      <w:jc w:val="right"/>
      <w:rPr>
        <w:rFonts w:ascii="Verdana" w:hAnsi="Verdana" w:cs="Verdana"/>
        <w:color w:val="333333"/>
        <w:sz w:val="15"/>
        <w:szCs w:val="15"/>
      </w:rPr>
    </w:pPr>
    <w:r>
      <w:rPr>
        <w:rFonts w:ascii="Verdana" w:hAnsi="Verdana" w:cs="Verdana"/>
        <w:color w:val="333333"/>
        <w:sz w:val="15"/>
        <w:szCs w:val="15"/>
      </w:rPr>
      <w:t>28 Commercial Street, London E1 6LS</w:t>
    </w:r>
  </w:p>
  <w:p w:rsidR="00274331" w:rsidRDefault="00274331" w:rsidP="006741CB">
    <w:pPr>
      <w:pStyle w:val="Header"/>
      <w:jc w:val="right"/>
      <w:rPr>
        <w:rFonts w:ascii="Verdana" w:hAnsi="Verdana" w:cs="Verdana"/>
        <w:color w:val="333333"/>
        <w:sz w:val="15"/>
        <w:szCs w:val="15"/>
      </w:rPr>
    </w:pPr>
    <w:r>
      <w:rPr>
        <w:rFonts w:ascii="Verdana" w:hAnsi="Verdana" w:cs="Verdana"/>
        <w:color w:val="333333"/>
        <w:sz w:val="15"/>
        <w:szCs w:val="15"/>
      </w:rPr>
      <w:t>Tel: 020 7247 3590 Fax: 020 7426 0335</w:t>
    </w:r>
  </w:p>
  <w:p w:rsidR="00274331" w:rsidRDefault="00274331" w:rsidP="006741CB">
    <w:pPr>
      <w:jc w:val="right"/>
      <w:rPr>
        <w:rFonts w:ascii="Verdana" w:hAnsi="Verdana" w:cs="Verdana"/>
        <w:color w:val="333333"/>
        <w:sz w:val="15"/>
        <w:szCs w:val="15"/>
      </w:rPr>
    </w:pPr>
    <w:r>
      <w:rPr>
        <w:rFonts w:ascii="Verdana" w:hAnsi="Verdana" w:cs="Verdana"/>
        <w:color w:val="333333"/>
        <w:sz w:val="15"/>
        <w:szCs w:val="15"/>
      </w:rPr>
      <w:t xml:space="preserve">Email: </w:t>
    </w:r>
    <w:hyperlink r:id="rId2" w:history="1">
      <w:r>
        <w:rPr>
          <w:rStyle w:val="Hyperlink"/>
          <w:rFonts w:ascii="Verdana" w:hAnsi="Verdana" w:cs="Verdana"/>
          <w:color w:val="333333"/>
          <w:sz w:val="15"/>
          <w:szCs w:val="15"/>
        </w:rPr>
        <w:t>enquiries@biduk.org</w:t>
      </w:r>
    </w:hyperlink>
    <w:r>
      <w:rPr>
        <w:rFonts w:ascii="Verdana" w:hAnsi="Verdana" w:cs="Verdana"/>
        <w:color w:val="333333"/>
        <w:sz w:val="15"/>
        <w:szCs w:val="15"/>
      </w:rPr>
      <w:t xml:space="preserve">  </w:t>
    </w:r>
    <w:hyperlink r:id="rId3" w:history="1">
      <w:r>
        <w:rPr>
          <w:rStyle w:val="Hyperlink"/>
          <w:rFonts w:ascii="Verdana" w:hAnsi="Verdana" w:cs="Verdana"/>
          <w:color w:val="333333"/>
          <w:sz w:val="15"/>
          <w:szCs w:val="15"/>
        </w:rPr>
        <w:t>www.biduk.org</w:t>
      </w:r>
    </w:hyperlink>
  </w:p>
  <w:p w:rsidR="00274331" w:rsidRDefault="00274331" w:rsidP="006741CB">
    <w:pPr>
      <w:jc w:val="right"/>
      <w:rPr>
        <w:color w:val="333333"/>
        <w:vertAlign w:val="subscript"/>
      </w:rPr>
    </w:pPr>
    <w:r>
      <w:rPr>
        <w:rFonts w:ascii="Verdana" w:hAnsi="Verdana" w:cs="Verdana"/>
        <w:color w:val="333333"/>
        <w:sz w:val="15"/>
        <w:szCs w:val="15"/>
      </w:rPr>
      <w:t>Winner of the JUSTICE Human Rights Award 2010</w:t>
    </w:r>
  </w:p>
  <w:p w:rsidR="00274331" w:rsidRDefault="00274331" w:rsidP="006741CB">
    <w:pPr>
      <w:pStyle w:val="Header"/>
      <w:tabs>
        <w:tab w:val="clear" w:pos="8306"/>
        <w:tab w:val="right" w:pos="9639"/>
      </w:tabs>
    </w:pPr>
  </w:p>
  <w:p w:rsidR="00274331" w:rsidRDefault="00274331">
    <w:pPr>
      <w:pStyle w:val="Header"/>
    </w:pPr>
  </w:p>
  <w:p w:rsidR="00274331" w:rsidRDefault="00274331">
    <w:pPr>
      <w:pStyle w:val="Header"/>
    </w:pPr>
  </w:p>
  <w:p w:rsidR="00274331" w:rsidRDefault="0027433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314B2E"/>
    <w:multiLevelType w:val="hybridMultilevel"/>
    <w:tmpl w:val="B2DC2A2A"/>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nsid w:val="0C4A1D10"/>
    <w:multiLevelType w:val="hybridMultilevel"/>
    <w:tmpl w:val="F62A6EDE"/>
    <w:lvl w:ilvl="0" w:tplc="6F384686">
      <w:start w:val="3"/>
      <w:numFmt w:val="bullet"/>
      <w:lvlText w:val="–"/>
      <w:lvlJc w:val="left"/>
      <w:pPr>
        <w:ind w:left="420" w:hanging="360"/>
      </w:pPr>
      <w:rPr>
        <w:rFonts w:ascii="Arial" w:eastAsia="Times New Roman" w:hAnsi="Arial" w:cs="Arial" w:hint="default"/>
        <w:b/>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2">
    <w:nsid w:val="10194655"/>
    <w:multiLevelType w:val="hybridMultilevel"/>
    <w:tmpl w:val="FD3204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5E8189D"/>
    <w:multiLevelType w:val="hybridMultilevel"/>
    <w:tmpl w:val="EA0EC36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nsid w:val="223E5A3F"/>
    <w:multiLevelType w:val="hybridMultilevel"/>
    <w:tmpl w:val="EF5EB2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3494038"/>
    <w:multiLevelType w:val="hybridMultilevel"/>
    <w:tmpl w:val="C4C8A0A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34F2086"/>
    <w:multiLevelType w:val="hybridMultilevel"/>
    <w:tmpl w:val="FA8211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391E7079"/>
    <w:multiLevelType w:val="hybridMultilevel"/>
    <w:tmpl w:val="47D068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3EB158E0"/>
    <w:multiLevelType w:val="hybridMultilevel"/>
    <w:tmpl w:val="AFE2E700"/>
    <w:lvl w:ilvl="0" w:tplc="9B0A3FDE">
      <w:start w:val="3"/>
      <w:numFmt w:val="bullet"/>
      <w:lvlText w:val=""/>
      <w:lvlJc w:val="left"/>
      <w:pPr>
        <w:ind w:left="720" w:hanging="360"/>
      </w:pPr>
      <w:rPr>
        <w:rFonts w:ascii="Wingdings" w:eastAsia="Times New Roman" w:hAnsi="Wingding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42E16F65"/>
    <w:multiLevelType w:val="hybridMultilevel"/>
    <w:tmpl w:val="B04281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2F741C8"/>
    <w:multiLevelType w:val="hybridMultilevel"/>
    <w:tmpl w:val="CAD6F4E8"/>
    <w:lvl w:ilvl="0" w:tplc="D17ABDB8">
      <w:start w:val="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CB45F08"/>
    <w:multiLevelType w:val="hybridMultilevel"/>
    <w:tmpl w:val="E1B0C4BA"/>
    <w:lvl w:ilvl="0" w:tplc="08090001">
      <w:start w:val="1"/>
      <w:numFmt w:val="bullet"/>
      <w:lvlText w:val=""/>
      <w:lvlJc w:val="left"/>
      <w:pPr>
        <w:ind w:left="783" w:hanging="360"/>
      </w:pPr>
      <w:rPr>
        <w:rFonts w:ascii="Symbol" w:hAnsi="Symbol" w:hint="default"/>
      </w:rPr>
    </w:lvl>
    <w:lvl w:ilvl="1" w:tplc="08090003" w:tentative="1">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hint="default"/>
      </w:rPr>
    </w:lvl>
  </w:abstractNum>
  <w:abstractNum w:abstractNumId="12">
    <w:nsid w:val="51061A4F"/>
    <w:multiLevelType w:val="hybridMultilevel"/>
    <w:tmpl w:val="06345A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5D670641"/>
    <w:multiLevelType w:val="hybridMultilevel"/>
    <w:tmpl w:val="13A614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687936DE"/>
    <w:multiLevelType w:val="hybridMultilevel"/>
    <w:tmpl w:val="607CEBD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6AC72071"/>
    <w:multiLevelType w:val="hybridMultilevel"/>
    <w:tmpl w:val="F7D4464A"/>
    <w:lvl w:ilvl="0" w:tplc="12CC965E">
      <w:start w:val="3"/>
      <w:numFmt w:val="bullet"/>
      <w:lvlText w:val=""/>
      <w:lvlJc w:val="left"/>
      <w:pPr>
        <w:ind w:left="720" w:hanging="360"/>
      </w:pPr>
      <w:rPr>
        <w:rFonts w:ascii="Wingdings" w:eastAsia="Times New Roman" w:hAnsi="Wingding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71576516"/>
    <w:multiLevelType w:val="hybridMultilevel"/>
    <w:tmpl w:val="79D0BD62"/>
    <w:lvl w:ilvl="0" w:tplc="A8741E94">
      <w:start w:val="3"/>
      <w:numFmt w:val="bullet"/>
      <w:lvlText w:val=""/>
      <w:lvlJc w:val="left"/>
      <w:pPr>
        <w:ind w:left="720" w:hanging="360"/>
      </w:pPr>
      <w:rPr>
        <w:rFonts w:ascii="Wingdings" w:eastAsia="Times New Roman" w:hAnsi="Wingding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73487498"/>
    <w:multiLevelType w:val="hybridMultilevel"/>
    <w:tmpl w:val="7F5A17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73C777E9"/>
    <w:multiLevelType w:val="hybridMultilevel"/>
    <w:tmpl w:val="CB306C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3"/>
  </w:num>
  <w:num w:numId="3">
    <w:abstractNumId w:val="12"/>
  </w:num>
  <w:num w:numId="4">
    <w:abstractNumId w:val="5"/>
  </w:num>
  <w:num w:numId="5">
    <w:abstractNumId w:val="3"/>
  </w:num>
  <w:num w:numId="6">
    <w:abstractNumId w:val="6"/>
  </w:num>
  <w:num w:numId="7">
    <w:abstractNumId w:val="18"/>
  </w:num>
  <w:num w:numId="8">
    <w:abstractNumId w:val="9"/>
  </w:num>
  <w:num w:numId="9">
    <w:abstractNumId w:val="7"/>
  </w:num>
  <w:num w:numId="10">
    <w:abstractNumId w:val="17"/>
  </w:num>
  <w:num w:numId="11">
    <w:abstractNumId w:val="10"/>
  </w:num>
  <w:num w:numId="12">
    <w:abstractNumId w:val="16"/>
  </w:num>
  <w:num w:numId="13">
    <w:abstractNumId w:val="1"/>
  </w:num>
  <w:num w:numId="14">
    <w:abstractNumId w:val="11"/>
  </w:num>
  <w:num w:numId="15">
    <w:abstractNumId w:val="15"/>
  </w:num>
  <w:num w:numId="16">
    <w:abstractNumId w:val="8"/>
  </w:num>
  <w:num w:numId="17">
    <w:abstractNumId w:val="2"/>
  </w:num>
  <w:num w:numId="18">
    <w:abstractNumId w:val="0"/>
  </w:num>
  <w:num w:numId="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140"/>
  <w:drawingGridVerticalSpacing w:val="0"/>
  <w:displayHorizontalDrawingGridEvery w:val="0"/>
  <w:displayVerticalDrawingGridEvery w:val="0"/>
  <w:noPunctuationKerning/>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10D9"/>
    <w:rsid w:val="00007C79"/>
    <w:rsid w:val="00011EAC"/>
    <w:rsid w:val="00014955"/>
    <w:rsid w:val="00037686"/>
    <w:rsid w:val="0004596D"/>
    <w:rsid w:val="00057E25"/>
    <w:rsid w:val="000651C5"/>
    <w:rsid w:val="00082166"/>
    <w:rsid w:val="00084917"/>
    <w:rsid w:val="0008644A"/>
    <w:rsid w:val="000864A3"/>
    <w:rsid w:val="00090E1E"/>
    <w:rsid w:val="000A3A9E"/>
    <w:rsid w:val="000A6D29"/>
    <w:rsid w:val="000B1953"/>
    <w:rsid w:val="000D490F"/>
    <w:rsid w:val="000E137D"/>
    <w:rsid w:val="000E7081"/>
    <w:rsid w:val="000F6FB3"/>
    <w:rsid w:val="0012710F"/>
    <w:rsid w:val="001407B9"/>
    <w:rsid w:val="00141099"/>
    <w:rsid w:val="00184D33"/>
    <w:rsid w:val="00195E51"/>
    <w:rsid w:val="001B7F4D"/>
    <w:rsid w:val="001C0792"/>
    <w:rsid w:val="001C60DD"/>
    <w:rsid w:val="001C64AE"/>
    <w:rsid w:val="001E640E"/>
    <w:rsid w:val="001F437E"/>
    <w:rsid w:val="001F58DD"/>
    <w:rsid w:val="001F7439"/>
    <w:rsid w:val="00203333"/>
    <w:rsid w:val="002108B1"/>
    <w:rsid w:val="00213E40"/>
    <w:rsid w:val="00217E84"/>
    <w:rsid w:val="00221501"/>
    <w:rsid w:val="00222415"/>
    <w:rsid w:val="00242472"/>
    <w:rsid w:val="0026264B"/>
    <w:rsid w:val="00265BFB"/>
    <w:rsid w:val="00266622"/>
    <w:rsid w:val="00274331"/>
    <w:rsid w:val="00277417"/>
    <w:rsid w:val="0028586D"/>
    <w:rsid w:val="002B12D4"/>
    <w:rsid w:val="002B25B1"/>
    <w:rsid w:val="002B2B6F"/>
    <w:rsid w:val="002B4488"/>
    <w:rsid w:val="002E51D8"/>
    <w:rsid w:val="002F4261"/>
    <w:rsid w:val="00315A8D"/>
    <w:rsid w:val="00321B7F"/>
    <w:rsid w:val="00323111"/>
    <w:rsid w:val="00324268"/>
    <w:rsid w:val="003302AC"/>
    <w:rsid w:val="003640F9"/>
    <w:rsid w:val="003701FC"/>
    <w:rsid w:val="0037129E"/>
    <w:rsid w:val="00372BA8"/>
    <w:rsid w:val="00380294"/>
    <w:rsid w:val="00384B90"/>
    <w:rsid w:val="0039219A"/>
    <w:rsid w:val="003C02F4"/>
    <w:rsid w:val="003C3037"/>
    <w:rsid w:val="003D563E"/>
    <w:rsid w:val="003D5834"/>
    <w:rsid w:val="003E10D9"/>
    <w:rsid w:val="004067D3"/>
    <w:rsid w:val="00416E8A"/>
    <w:rsid w:val="00421EDA"/>
    <w:rsid w:val="00421F4A"/>
    <w:rsid w:val="00431BE1"/>
    <w:rsid w:val="00452536"/>
    <w:rsid w:val="00452D81"/>
    <w:rsid w:val="004574BD"/>
    <w:rsid w:val="00457750"/>
    <w:rsid w:val="00496A32"/>
    <w:rsid w:val="004A295B"/>
    <w:rsid w:val="004C3A2E"/>
    <w:rsid w:val="004D4AF9"/>
    <w:rsid w:val="0050769C"/>
    <w:rsid w:val="00512708"/>
    <w:rsid w:val="00514590"/>
    <w:rsid w:val="00517FA2"/>
    <w:rsid w:val="00527F0B"/>
    <w:rsid w:val="00532265"/>
    <w:rsid w:val="0054180D"/>
    <w:rsid w:val="0055512A"/>
    <w:rsid w:val="00555BA9"/>
    <w:rsid w:val="005678A3"/>
    <w:rsid w:val="0057416C"/>
    <w:rsid w:val="00574470"/>
    <w:rsid w:val="005A0A19"/>
    <w:rsid w:val="005B5785"/>
    <w:rsid w:val="005D7DA4"/>
    <w:rsid w:val="005D7E0B"/>
    <w:rsid w:val="005E1298"/>
    <w:rsid w:val="005E14CB"/>
    <w:rsid w:val="005F1072"/>
    <w:rsid w:val="005F3AF4"/>
    <w:rsid w:val="00610916"/>
    <w:rsid w:val="00623D60"/>
    <w:rsid w:val="00626134"/>
    <w:rsid w:val="006409E9"/>
    <w:rsid w:val="00645CCD"/>
    <w:rsid w:val="00660602"/>
    <w:rsid w:val="0066540E"/>
    <w:rsid w:val="006741CB"/>
    <w:rsid w:val="006744FB"/>
    <w:rsid w:val="0069247F"/>
    <w:rsid w:val="006A0735"/>
    <w:rsid w:val="006A5B35"/>
    <w:rsid w:val="006A6DA2"/>
    <w:rsid w:val="006C74B9"/>
    <w:rsid w:val="006D25C1"/>
    <w:rsid w:val="006D48CD"/>
    <w:rsid w:val="006E7A69"/>
    <w:rsid w:val="006F3EF9"/>
    <w:rsid w:val="00714C92"/>
    <w:rsid w:val="00720E0E"/>
    <w:rsid w:val="007221F4"/>
    <w:rsid w:val="00725CE2"/>
    <w:rsid w:val="00727184"/>
    <w:rsid w:val="00751D6C"/>
    <w:rsid w:val="00760F54"/>
    <w:rsid w:val="00770952"/>
    <w:rsid w:val="007760FC"/>
    <w:rsid w:val="00776D75"/>
    <w:rsid w:val="007A1BDF"/>
    <w:rsid w:val="007B7262"/>
    <w:rsid w:val="007D07E3"/>
    <w:rsid w:val="007F183A"/>
    <w:rsid w:val="007F68CB"/>
    <w:rsid w:val="008110F6"/>
    <w:rsid w:val="00814ECC"/>
    <w:rsid w:val="008201DD"/>
    <w:rsid w:val="008230D2"/>
    <w:rsid w:val="00836CFB"/>
    <w:rsid w:val="00837465"/>
    <w:rsid w:val="00843278"/>
    <w:rsid w:val="00857CE1"/>
    <w:rsid w:val="00865ED1"/>
    <w:rsid w:val="008A2FCC"/>
    <w:rsid w:val="008A517F"/>
    <w:rsid w:val="008B7B2F"/>
    <w:rsid w:val="008D1DF5"/>
    <w:rsid w:val="008D61C8"/>
    <w:rsid w:val="008F3AD2"/>
    <w:rsid w:val="00932920"/>
    <w:rsid w:val="00934BAC"/>
    <w:rsid w:val="00946467"/>
    <w:rsid w:val="00950086"/>
    <w:rsid w:val="00950A03"/>
    <w:rsid w:val="009516F5"/>
    <w:rsid w:val="00953168"/>
    <w:rsid w:val="00954143"/>
    <w:rsid w:val="00962227"/>
    <w:rsid w:val="009655AA"/>
    <w:rsid w:val="009960BE"/>
    <w:rsid w:val="009A151D"/>
    <w:rsid w:val="009A2CC3"/>
    <w:rsid w:val="009D2B53"/>
    <w:rsid w:val="009D7E3B"/>
    <w:rsid w:val="009F2518"/>
    <w:rsid w:val="00A22E6F"/>
    <w:rsid w:val="00A31B90"/>
    <w:rsid w:val="00A36997"/>
    <w:rsid w:val="00A45B82"/>
    <w:rsid w:val="00A55FC0"/>
    <w:rsid w:val="00A708FE"/>
    <w:rsid w:val="00A7450D"/>
    <w:rsid w:val="00A83877"/>
    <w:rsid w:val="00A86FF9"/>
    <w:rsid w:val="00AB6479"/>
    <w:rsid w:val="00AC3C60"/>
    <w:rsid w:val="00AC4AA8"/>
    <w:rsid w:val="00AC7CB5"/>
    <w:rsid w:val="00AD534D"/>
    <w:rsid w:val="00AD6D0A"/>
    <w:rsid w:val="00B056ED"/>
    <w:rsid w:val="00B1044A"/>
    <w:rsid w:val="00B17A04"/>
    <w:rsid w:val="00B21C14"/>
    <w:rsid w:val="00B249D0"/>
    <w:rsid w:val="00B24D81"/>
    <w:rsid w:val="00B3621C"/>
    <w:rsid w:val="00B412BC"/>
    <w:rsid w:val="00B41976"/>
    <w:rsid w:val="00B477E4"/>
    <w:rsid w:val="00B54F6A"/>
    <w:rsid w:val="00B57B8C"/>
    <w:rsid w:val="00B745EA"/>
    <w:rsid w:val="00B82D27"/>
    <w:rsid w:val="00BA052B"/>
    <w:rsid w:val="00BB27CE"/>
    <w:rsid w:val="00BC0337"/>
    <w:rsid w:val="00BD5DFF"/>
    <w:rsid w:val="00BE35DF"/>
    <w:rsid w:val="00C00872"/>
    <w:rsid w:val="00C03CB2"/>
    <w:rsid w:val="00C229D4"/>
    <w:rsid w:val="00C26450"/>
    <w:rsid w:val="00C47B8D"/>
    <w:rsid w:val="00C50864"/>
    <w:rsid w:val="00C6110A"/>
    <w:rsid w:val="00C94FDF"/>
    <w:rsid w:val="00CB7571"/>
    <w:rsid w:val="00CC2C9D"/>
    <w:rsid w:val="00CD71F8"/>
    <w:rsid w:val="00CF7F07"/>
    <w:rsid w:val="00D16AB8"/>
    <w:rsid w:val="00D242A8"/>
    <w:rsid w:val="00D2520B"/>
    <w:rsid w:val="00D42B0A"/>
    <w:rsid w:val="00D44A9A"/>
    <w:rsid w:val="00DA1835"/>
    <w:rsid w:val="00DA63E3"/>
    <w:rsid w:val="00DA68FC"/>
    <w:rsid w:val="00DB2706"/>
    <w:rsid w:val="00DB683E"/>
    <w:rsid w:val="00DC270E"/>
    <w:rsid w:val="00DE243F"/>
    <w:rsid w:val="00DE674A"/>
    <w:rsid w:val="00DF3EB6"/>
    <w:rsid w:val="00DF7B5C"/>
    <w:rsid w:val="00E10962"/>
    <w:rsid w:val="00E25250"/>
    <w:rsid w:val="00E36A7D"/>
    <w:rsid w:val="00E42AA4"/>
    <w:rsid w:val="00E47554"/>
    <w:rsid w:val="00E523B7"/>
    <w:rsid w:val="00E75800"/>
    <w:rsid w:val="00E7769F"/>
    <w:rsid w:val="00E85F14"/>
    <w:rsid w:val="00ED01EF"/>
    <w:rsid w:val="00F22CFC"/>
    <w:rsid w:val="00F242C3"/>
    <w:rsid w:val="00F34C8F"/>
    <w:rsid w:val="00F5276D"/>
    <w:rsid w:val="00F67AF7"/>
    <w:rsid w:val="00F75B0A"/>
    <w:rsid w:val="00F83C1D"/>
    <w:rsid w:val="00F86FFD"/>
    <w:rsid w:val="00F94D50"/>
    <w:rsid w:val="00FD6142"/>
    <w:rsid w:val="00FD78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header" w:uiPriority="99"/>
    <w:lsdException w:name="caption" w:qFormat="1"/>
    <w:lsdException w:name="footnote reference" w:uiPriority="99"/>
    <w:lsdException w:name="Title" w:qFormat="1"/>
    <w:lsdException w:name="Subtitle" w:qFormat="1"/>
    <w:lsdException w:name="Hyperlink" w:uiPriority="99"/>
    <w:lsdException w:name="Strong" w:qFormat="1"/>
    <w:lsdException w:name="Emphasis" w:qFormat="1"/>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4596D"/>
    <w:pPr>
      <w:suppressAutoHyphens/>
    </w:pPr>
    <w:rPr>
      <w:rFonts w:ascii="Arial" w:hAnsi="Arial" w:cs="Arial"/>
      <w:sz w:val="28"/>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2z0">
    <w:name w:val="WW8Num2z0"/>
    <w:rsid w:val="0004596D"/>
    <w:rPr>
      <w:rFonts w:ascii="Symbol" w:hAnsi="Symbol"/>
    </w:rPr>
  </w:style>
  <w:style w:type="character" w:customStyle="1" w:styleId="WW8Num2z2">
    <w:name w:val="WW8Num2z2"/>
    <w:rsid w:val="0004596D"/>
    <w:rPr>
      <w:rFonts w:ascii="Wingdings" w:hAnsi="Wingdings"/>
    </w:rPr>
  </w:style>
  <w:style w:type="character" w:customStyle="1" w:styleId="WW8Num2z4">
    <w:name w:val="WW8Num2z4"/>
    <w:rsid w:val="0004596D"/>
    <w:rPr>
      <w:rFonts w:ascii="Courier New" w:hAnsi="Courier New" w:cs="Courier New"/>
    </w:rPr>
  </w:style>
  <w:style w:type="character" w:customStyle="1" w:styleId="WW8Num3z0">
    <w:name w:val="WW8Num3z0"/>
    <w:rsid w:val="0004596D"/>
    <w:rPr>
      <w:rFonts w:ascii="Symbol" w:hAnsi="Symbol"/>
    </w:rPr>
  </w:style>
  <w:style w:type="character" w:customStyle="1" w:styleId="WW8Num3z1">
    <w:name w:val="WW8Num3z1"/>
    <w:rsid w:val="0004596D"/>
    <w:rPr>
      <w:rFonts w:ascii="Courier New" w:hAnsi="Courier New" w:cs="Courier New"/>
    </w:rPr>
  </w:style>
  <w:style w:type="character" w:customStyle="1" w:styleId="WW8Num3z2">
    <w:name w:val="WW8Num3z2"/>
    <w:rsid w:val="0004596D"/>
    <w:rPr>
      <w:rFonts w:ascii="Wingdings" w:hAnsi="Wingdings"/>
    </w:rPr>
  </w:style>
  <w:style w:type="character" w:customStyle="1" w:styleId="WW8Num4z1">
    <w:name w:val="WW8Num4z1"/>
    <w:rsid w:val="0004596D"/>
    <w:rPr>
      <w:rFonts w:ascii="Times New Roman" w:eastAsia="Times New Roman" w:hAnsi="Times New Roman" w:cs="Times New Roman"/>
    </w:rPr>
  </w:style>
  <w:style w:type="character" w:customStyle="1" w:styleId="WW8Num7z0">
    <w:name w:val="WW8Num7z0"/>
    <w:rsid w:val="0004596D"/>
    <w:rPr>
      <w:b/>
    </w:rPr>
  </w:style>
  <w:style w:type="character" w:customStyle="1" w:styleId="WW8Num8z0">
    <w:name w:val="WW8Num8z0"/>
    <w:rsid w:val="0004596D"/>
    <w:rPr>
      <w:rFonts w:ascii="Arial" w:eastAsia="Times New Roman" w:hAnsi="Arial" w:cs="Arial"/>
    </w:rPr>
  </w:style>
  <w:style w:type="character" w:customStyle="1" w:styleId="WW8Num8z1">
    <w:name w:val="WW8Num8z1"/>
    <w:rsid w:val="0004596D"/>
    <w:rPr>
      <w:rFonts w:ascii="Courier New" w:hAnsi="Courier New" w:cs="Courier New"/>
    </w:rPr>
  </w:style>
  <w:style w:type="character" w:customStyle="1" w:styleId="WW8Num8z2">
    <w:name w:val="WW8Num8z2"/>
    <w:rsid w:val="0004596D"/>
    <w:rPr>
      <w:rFonts w:ascii="Wingdings" w:hAnsi="Wingdings"/>
    </w:rPr>
  </w:style>
  <w:style w:type="character" w:customStyle="1" w:styleId="WW8Num8z3">
    <w:name w:val="WW8Num8z3"/>
    <w:rsid w:val="0004596D"/>
    <w:rPr>
      <w:rFonts w:ascii="Symbol" w:hAnsi="Symbol"/>
    </w:rPr>
  </w:style>
  <w:style w:type="character" w:customStyle="1" w:styleId="WW8Num10z0">
    <w:name w:val="WW8Num10z0"/>
    <w:rsid w:val="0004596D"/>
    <w:rPr>
      <w:rFonts w:ascii="Symbol" w:hAnsi="Symbol"/>
    </w:rPr>
  </w:style>
  <w:style w:type="character" w:customStyle="1" w:styleId="WW8Num10z1">
    <w:name w:val="WW8Num10z1"/>
    <w:rsid w:val="0004596D"/>
    <w:rPr>
      <w:rFonts w:ascii="Courier New" w:hAnsi="Courier New" w:cs="Courier New"/>
    </w:rPr>
  </w:style>
  <w:style w:type="character" w:customStyle="1" w:styleId="WW8Num10z2">
    <w:name w:val="WW8Num10z2"/>
    <w:rsid w:val="0004596D"/>
    <w:rPr>
      <w:rFonts w:ascii="Wingdings" w:hAnsi="Wingdings"/>
    </w:rPr>
  </w:style>
  <w:style w:type="character" w:customStyle="1" w:styleId="WW8Num11z0">
    <w:name w:val="WW8Num11z0"/>
    <w:rsid w:val="0004596D"/>
    <w:rPr>
      <w:rFonts w:ascii="Symbol" w:hAnsi="Symbol"/>
    </w:rPr>
  </w:style>
  <w:style w:type="character" w:customStyle="1" w:styleId="WW8Num11z1">
    <w:name w:val="WW8Num11z1"/>
    <w:rsid w:val="0004596D"/>
    <w:rPr>
      <w:rFonts w:ascii="Courier New" w:hAnsi="Courier New" w:cs="Courier New"/>
    </w:rPr>
  </w:style>
  <w:style w:type="character" w:customStyle="1" w:styleId="WW8Num11z2">
    <w:name w:val="WW8Num11z2"/>
    <w:rsid w:val="0004596D"/>
    <w:rPr>
      <w:rFonts w:ascii="Wingdings" w:hAnsi="Wingdings"/>
    </w:rPr>
  </w:style>
  <w:style w:type="character" w:customStyle="1" w:styleId="WW8Num12z0">
    <w:name w:val="WW8Num12z0"/>
    <w:rsid w:val="0004596D"/>
    <w:rPr>
      <w:rFonts w:ascii="Symbol" w:hAnsi="Symbol"/>
    </w:rPr>
  </w:style>
  <w:style w:type="character" w:customStyle="1" w:styleId="WW8Num12z1">
    <w:name w:val="WW8Num12z1"/>
    <w:rsid w:val="0004596D"/>
    <w:rPr>
      <w:rFonts w:ascii="Courier New" w:hAnsi="Courier New" w:cs="Courier New"/>
    </w:rPr>
  </w:style>
  <w:style w:type="character" w:customStyle="1" w:styleId="WW8Num12z2">
    <w:name w:val="WW8Num12z2"/>
    <w:rsid w:val="0004596D"/>
    <w:rPr>
      <w:rFonts w:ascii="Wingdings" w:hAnsi="Wingdings"/>
    </w:rPr>
  </w:style>
  <w:style w:type="character" w:styleId="PageNumber">
    <w:name w:val="page number"/>
    <w:basedOn w:val="DefaultParagraphFont"/>
    <w:rsid w:val="0004596D"/>
  </w:style>
  <w:style w:type="character" w:customStyle="1" w:styleId="FootnoteCharacters">
    <w:name w:val="Footnote Characters"/>
    <w:rsid w:val="0004596D"/>
    <w:rPr>
      <w:vertAlign w:val="superscript"/>
    </w:rPr>
  </w:style>
  <w:style w:type="character" w:styleId="Hyperlink">
    <w:name w:val="Hyperlink"/>
    <w:uiPriority w:val="99"/>
    <w:rsid w:val="0004596D"/>
    <w:rPr>
      <w:color w:val="0000FF"/>
      <w:u w:val="single"/>
    </w:rPr>
  </w:style>
  <w:style w:type="paragraph" w:customStyle="1" w:styleId="Heading">
    <w:name w:val="Heading"/>
    <w:basedOn w:val="Normal"/>
    <w:next w:val="BodyText"/>
    <w:rsid w:val="0004596D"/>
    <w:pPr>
      <w:keepNext/>
      <w:spacing w:before="240" w:after="120"/>
    </w:pPr>
    <w:rPr>
      <w:rFonts w:eastAsia="Lucida Sans Unicode" w:cs="Tahoma"/>
      <w:szCs w:val="28"/>
    </w:rPr>
  </w:style>
  <w:style w:type="paragraph" w:styleId="BodyText">
    <w:name w:val="Body Text"/>
    <w:basedOn w:val="Normal"/>
    <w:rsid w:val="0004596D"/>
    <w:pPr>
      <w:spacing w:after="120"/>
    </w:pPr>
  </w:style>
  <w:style w:type="paragraph" w:styleId="List">
    <w:name w:val="List"/>
    <w:basedOn w:val="BodyText"/>
    <w:rsid w:val="0004596D"/>
    <w:rPr>
      <w:rFonts w:cs="Tahoma"/>
    </w:rPr>
  </w:style>
  <w:style w:type="paragraph" w:styleId="Caption">
    <w:name w:val="caption"/>
    <w:basedOn w:val="Normal"/>
    <w:qFormat/>
    <w:rsid w:val="0004596D"/>
    <w:pPr>
      <w:suppressLineNumbers/>
      <w:spacing w:before="120" w:after="120"/>
    </w:pPr>
    <w:rPr>
      <w:rFonts w:cs="Tahoma"/>
      <w:i/>
      <w:iCs/>
      <w:sz w:val="24"/>
    </w:rPr>
  </w:style>
  <w:style w:type="paragraph" w:customStyle="1" w:styleId="Index">
    <w:name w:val="Index"/>
    <w:basedOn w:val="Normal"/>
    <w:rsid w:val="0004596D"/>
    <w:pPr>
      <w:suppressLineNumbers/>
    </w:pPr>
    <w:rPr>
      <w:rFonts w:cs="Tahoma"/>
    </w:rPr>
  </w:style>
  <w:style w:type="paragraph" w:styleId="Header">
    <w:name w:val="header"/>
    <w:basedOn w:val="Normal"/>
    <w:link w:val="HeaderChar"/>
    <w:uiPriority w:val="99"/>
    <w:rsid w:val="0004596D"/>
    <w:pPr>
      <w:tabs>
        <w:tab w:val="center" w:pos="4153"/>
        <w:tab w:val="right" w:pos="8306"/>
      </w:tabs>
    </w:pPr>
    <w:rPr>
      <w:rFonts w:cs="Times New Roman"/>
    </w:rPr>
  </w:style>
  <w:style w:type="paragraph" w:styleId="Footer">
    <w:name w:val="footer"/>
    <w:basedOn w:val="Normal"/>
    <w:rsid w:val="0004596D"/>
    <w:pPr>
      <w:tabs>
        <w:tab w:val="center" w:pos="4153"/>
        <w:tab w:val="right" w:pos="8306"/>
      </w:tabs>
    </w:pPr>
  </w:style>
  <w:style w:type="paragraph" w:styleId="FootnoteText">
    <w:name w:val="footnote text"/>
    <w:aliases w:val="single space,Текст сноски Знак,Footnote Text Char Char Char,FOOTNOTES,fn,Footnote Text Char Char Char Char Char Char Char Char Char Char,Footnote Text Char Char Char Char Char Char Char Char Char Char Char Char,ft2,f Char,Footnote Text Ch"/>
    <w:basedOn w:val="Normal"/>
    <w:link w:val="FootnoteTextChar"/>
    <w:uiPriority w:val="99"/>
    <w:rsid w:val="0004596D"/>
    <w:rPr>
      <w:rFonts w:ascii="Times New Roman" w:hAnsi="Times New Roman" w:cs="Times New Roman"/>
      <w:sz w:val="20"/>
      <w:szCs w:val="20"/>
    </w:rPr>
  </w:style>
  <w:style w:type="paragraph" w:styleId="HTMLPreformatted">
    <w:name w:val="HTML Preformatted"/>
    <w:basedOn w:val="Normal"/>
    <w:rsid w:val="000459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customStyle="1" w:styleId="Char">
    <w:name w:val="Char"/>
    <w:basedOn w:val="Normal"/>
    <w:rsid w:val="0004596D"/>
    <w:pPr>
      <w:spacing w:after="120" w:line="240" w:lineRule="exact"/>
    </w:pPr>
    <w:rPr>
      <w:rFonts w:ascii="Verdana" w:hAnsi="Verdana" w:cs="Times New Roman"/>
      <w:sz w:val="20"/>
      <w:szCs w:val="20"/>
      <w:lang w:val="en-US"/>
    </w:rPr>
  </w:style>
  <w:style w:type="paragraph" w:styleId="BalloonText">
    <w:name w:val="Balloon Text"/>
    <w:basedOn w:val="Normal"/>
    <w:rsid w:val="0004596D"/>
    <w:rPr>
      <w:rFonts w:ascii="Tahoma" w:hAnsi="Tahoma" w:cs="Tahoma"/>
      <w:sz w:val="16"/>
      <w:szCs w:val="16"/>
    </w:rPr>
  </w:style>
  <w:style w:type="character" w:customStyle="1" w:styleId="HeaderChar">
    <w:name w:val="Header Char"/>
    <w:link w:val="Header"/>
    <w:uiPriority w:val="99"/>
    <w:rsid w:val="006741CB"/>
    <w:rPr>
      <w:rFonts w:ascii="Arial" w:hAnsi="Arial" w:cs="Arial"/>
      <w:sz w:val="28"/>
      <w:szCs w:val="24"/>
      <w:lang w:eastAsia="ar-SA"/>
    </w:rPr>
  </w:style>
  <w:style w:type="paragraph" w:styleId="ListParagraph">
    <w:name w:val="List Paragraph"/>
    <w:basedOn w:val="Normal"/>
    <w:uiPriority w:val="34"/>
    <w:qFormat/>
    <w:rsid w:val="00E523B7"/>
    <w:pPr>
      <w:ind w:left="720"/>
      <w:contextualSpacing/>
    </w:pPr>
  </w:style>
  <w:style w:type="character" w:styleId="FootnoteReference">
    <w:name w:val="footnote reference"/>
    <w:aliases w:val="Footnotes refss"/>
    <w:basedOn w:val="DefaultParagraphFont"/>
    <w:uiPriority w:val="99"/>
    <w:rsid w:val="004A295B"/>
    <w:rPr>
      <w:vertAlign w:val="superscript"/>
    </w:rPr>
  </w:style>
  <w:style w:type="table" w:styleId="TableGrid">
    <w:name w:val="Table Grid"/>
    <w:basedOn w:val="TableNormal"/>
    <w:uiPriority w:val="59"/>
    <w:rsid w:val="00195E51"/>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1C60DD"/>
    <w:pPr>
      <w:suppressAutoHyphens w:val="0"/>
      <w:spacing w:before="100" w:beforeAutospacing="1" w:after="100" w:afterAutospacing="1"/>
    </w:pPr>
    <w:rPr>
      <w:rFonts w:ascii="Times New Roman" w:hAnsi="Times New Roman" w:cs="Times New Roman"/>
      <w:sz w:val="24"/>
      <w:lang w:eastAsia="en-GB"/>
    </w:rPr>
  </w:style>
  <w:style w:type="character" w:customStyle="1" w:styleId="FootnoteTextChar">
    <w:name w:val="Footnote Text Char"/>
    <w:aliases w:val="single space Char,Текст сноски Знак Char,Footnote Text Char Char Char Char,FOOTNOTES Char,fn Char,Footnote Text Char Char Char Char Char Char Char Char Char Char Char,ft2 Char,f Char Char,Footnote Text Ch Char"/>
    <w:link w:val="FootnoteText"/>
    <w:uiPriority w:val="99"/>
    <w:locked/>
    <w:rsid w:val="001C60DD"/>
    <w:rPr>
      <w:lang w:eastAsia="ar-SA"/>
    </w:rPr>
  </w:style>
  <w:style w:type="character" w:customStyle="1" w:styleId="apple-converted-space">
    <w:name w:val="apple-converted-space"/>
    <w:basedOn w:val="DefaultParagraphFont"/>
    <w:rsid w:val="002B2B6F"/>
  </w:style>
  <w:style w:type="table" w:customStyle="1" w:styleId="TableGrid1">
    <w:name w:val="Table Grid1"/>
    <w:basedOn w:val="TableNormal"/>
    <w:next w:val="TableGrid"/>
    <w:uiPriority w:val="59"/>
    <w:rsid w:val="00B477E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header" w:uiPriority="99"/>
    <w:lsdException w:name="caption" w:qFormat="1"/>
    <w:lsdException w:name="footnote reference" w:uiPriority="99"/>
    <w:lsdException w:name="Title" w:qFormat="1"/>
    <w:lsdException w:name="Subtitle" w:qFormat="1"/>
    <w:lsdException w:name="Hyperlink" w:uiPriority="99"/>
    <w:lsdException w:name="Strong" w:qFormat="1"/>
    <w:lsdException w:name="Emphasis" w:qFormat="1"/>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4596D"/>
    <w:pPr>
      <w:suppressAutoHyphens/>
    </w:pPr>
    <w:rPr>
      <w:rFonts w:ascii="Arial" w:hAnsi="Arial" w:cs="Arial"/>
      <w:sz w:val="28"/>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2z0">
    <w:name w:val="WW8Num2z0"/>
    <w:rsid w:val="0004596D"/>
    <w:rPr>
      <w:rFonts w:ascii="Symbol" w:hAnsi="Symbol"/>
    </w:rPr>
  </w:style>
  <w:style w:type="character" w:customStyle="1" w:styleId="WW8Num2z2">
    <w:name w:val="WW8Num2z2"/>
    <w:rsid w:val="0004596D"/>
    <w:rPr>
      <w:rFonts w:ascii="Wingdings" w:hAnsi="Wingdings"/>
    </w:rPr>
  </w:style>
  <w:style w:type="character" w:customStyle="1" w:styleId="WW8Num2z4">
    <w:name w:val="WW8Num2z4"/>
    <w:rsid w:val="0004596D"/>
    <w:rPr>
      <w:rFonts w:ascii="Courier New" w:hAnsi="Courier New" w:cs="Courier New"/>
    </w:rPr>
  </w:style>
  <w:style w:type="character" w:customStyle="1" w:styleId="WW8Num3z0">
    <w:name w:val="WW8Num3z0"/>
    <w:rsid w:val="0004596D"/>
    <w:rPr>
      <w:rFonts w:ascii="Symbol" w:hAnsi="Symbol"/>
    </w:rPr>
  </w:style>
  <w:style w:type="character" w:customStyle="1" w:styleId="WW8Num3z1">
    <w:name w:val="WW8Num3z1"/>
    <w:rsid w:val="0004596D"/>
    <w:rPr>
      <w:rFonts w:ascii="Courier New" w:hAnsi="Courier New" w:cs="Courier New"/>
    </w:rPr>
  </w:style>
  <w:style w:type="character" w:customStyle="1" w:styleId="WW8Num3z2">
    <w:name w:val="WW8Num3z2"/>
    <w:rsid w:val="0004596D"/>
    <w:rPr>
      <w:rFonts w:ascii="Wingdings" w:hAnsi="Wingdings"/>
    </w:rPr>
  </w:style>
  <w:style w:type="character" w:customStyle="1" w:styleId="WW8Num4z1">
    <w:name w:val="WW8Num4z1"/>
    <w:rsid w:val="0004596D"/>
    <w:rPr>
      <w:rFonts w:ascii="Times New Roman" w:eastAsia="Times New Roman" w:hAnsi="Times New Roman" w:cs="Times New Roman"/>
    </w:rPr>
  </w:style>
  <w:style w:type="character" w:customStyle="1" w:styleId="WW8Num7z0">
    <w:name w:val="WW8Num7z0"/>
    <w:rsid w:val="0004596D"/>
    <w:rPr>
      <w:b/>
    </w:rPr>
  </w:style>
  <w:style w:type="character" w:customStyle="1" w:styleId="WW8Num8z0">
    <w:name w:val="WW8Num8z0"/>
    <w:rsid w:val="0004596D"/>
    <w:rPr>
      <w:rFonts w:ascii="Arial" w:eastAsia="Times New Roman" w:hAnsi="Arial" w:cs="Arial"/>
    </w:rPr>
  </w:style>
  <w:style w:type="character" w:customStyle="1" w:styleId="WW8Num8z1">
    <w:name w:val="WW8Num8z1"/>
    <w:rsid w:val="0004596D"/>
    <w:rPr>
      <w:rFonts w:ascii="Courier New" w:hAnsi="Courier New" w:cs="Courier New"/>
    </w:rPr>
  </w:style>
  <w:style w:type="character" w:customStyle="1" w:styleId="WW8Num8z2">
    <w:name w:val="WW8Num8z2"/>
    <w:rsid w:val="0004596D"/>
    <w:rPr>
      <w:rFonts w:ascii="Wingdings" w:hAnsi="Wingdings"/>
    </w:rPr>
  </w:style>
  <w:style w:type="character" w:customStyle="1" w:styleId="WW8Num8z3">
    <w:name w:val="WW8Num8z3"/>
    <w:rsid w:val="0004596D"/>
    <w:rPr>
      <w:rFonts w:ascii="Symbol" w:hAnsi="Symbol"/>
    </w:rPr>
  </w:style>
  <w:style w:type="character" w:customStyle="1" w:styleId="WW8Num10z0">
    <w:name w:val="WW8Num10z0"/>
    <w:rsid w:val="0004596D"/>
    <w:rPr>
      <w:rFonts w:ascii="Symbol" w:hAnsi="Symbol"/>
    </w:rPr>
  </w:style>
  <w:style w:type="character" w:customStyle="1" w:styleId="WW8Num10z1">
    <w:name w:val="WW8Num10z1"/>
    <w:rsid w:val="0004596D"/>
    <w:rPr>
      <w:rFonts w:ascii="Courier New" w:hAnsi="Courier New" w:cs="Courier New"/>
    </w:rPr>
  </w:style>
  <w:style w:type="character" w:customStyle="1" w:styleId="WW8Num10z2">
    <w:name w:val="WW8Num10z2"/>
    <w:rsid w:val="0004596D"/>
    <w:rPr>
      <w:rFonts w:ascii="Wingdings" w:hAnsi="Wingdings"/>
    </w:rPr>
  </w:style>
  <w:style w:type="character" w:customStyle="1" w:styleId="WW8Num11z0">
    <w:name w:val="WW8Num11z0"/>
    <w:rsid w:val="0004596D"/>
    <w:rPr>
      <w:rFonts w:ascii="Symbol" w:hAnsi="Symbol"/>
    </w:rPr>
  </w:style>
  <w:style w:type="character" w:customStyle="1" w:styleId="WW8Num11z1">
    <w:name w:val="WW8Num11z1"/>
    <w:rsid w:val="0004596D"/>
    <w:rPr>
      <w:rFonts w:ascii="Courier New" w:hAnsi="Courier New" w:cs="Courier New"/>
    </w:rPr>
  </w:style>
  <w:style w:type="character" w:customStyle="1" w:styleId="WW8Num11z2">
    <w:name w:val="WW8Num11z2"/>
    <w:rsid w:val="0004596D"/>
    <w:rPr>
      <w:rFonts w:ascii="Wingdings" w:hAnsi="Wingdings"/>
    </w:rPr>
  </w:style>
  <w:style w:type="character" w:customStyle="1" w:styleId="WW8Num12z0">
    <w:name w:val="WW8Num12z0"/>
    <w:rsid w:val="0004596D"/>
    <w:rPr>
      <w:rFonts w:ascii="Symbol" w:hAnsi="Symbol"/>
    </w:rPr>
  </w:style>
  <w:style w:type="character" w:customStyle="1" w:styleId="WW8Num12z1">
    <w:name w:val="WW8Num12z1"/>
    <w:rsid w:val="0004596D"/>
    <w:rPr>
      <w:rFonts w:ascii="Courier New" w:hAnsi="Courier New" w:cs="Courier New"/>
    </w:rPr>
  </w:style>
  <w:style w:type="character" w:customStyle="1" w:styleId="WW8Num12z2">
    <w:name w:val="WW8Num12z2"/>
    <w:rsid w:val="0004596D"/>
    <w:rPr>
      <w:rFonts w:ascii="Wingdings" w:hAnsi="Wingdings"/>
    </w:rPr>
  </w:style>
  <w:style w:type="character" w:styleId="PageNumber">
    <w:name w:val="page number"/>
    <w:basedOn w:val="DefaultParagraphFont"/>
    <w:rsid w:val="0004596D"/>
  </w:style>
  <w:style w:type="character" w:customStyle="1" w:styleId="FootnoteCharacters">
    <w:name w:val="Footnote Characters"/>
    <w:rsid w:val="0004596D"/>
    <w:rPr>
      <w:vertAlign w:val="superscript"/>
    </w:rPr>
  </w:style>
  <w:style w:type="character" w:styleId="Hyperlink">
    <w:name w:val="Hyperlink"/>
    <w:uiPriority w:val="99"/>
    <w:rsid w:val="0004596D"/>
    <w:rPr>
      <w:color w:val="0000FF"/>
      <w:u w:val="single"/>
    </w:rPr>
  </w:style>
  <w:style w:type="paragraph" w:customStyle="1" w:styleId="Heading">
    <w:name w:val="Heading"/>
    <w:basedOn w:val="Normal"/>
    <w:next w:val="BodyText"/>
    <w:rsid w:val="0004596D"/>
    <w:pPr>
      <w:keepNext/>
      <w:spacing w:before="240" w:after="120"/>
    </w:pPr>
    <w:rPr>
      <w:rFonts w:eastAsia="Lucida Sans Unicode" w:cs="Tahoma"/>
      <w:szCs w:val="28"/>
    </w:rPr>
  </w:style>
  <w:style w:type="paragraph" w:styleId="BodyText">
    <w:name w:val="Body Text"/>
    <w:basedOn w:val="Normal"/>
    <w:rsid w:val="0004596D"/>
    <w:pPr>
      <w:spacing w:after="120"/>
    </w:pPr>
  </w:style>
  <w:style w:type="paragraph" w:styleId="List">
    <w:name w:val="List"/>
    <w:basedOn w:val="BodyText"/>
    <w:rsid w:val="0004596D"/>
    <w:rPr>
      <w:rFonts w:cs="Tahoma"/>
    </w:rPr>
  </w:style>
  <w:style w:type="paragraph" w:styleId="Caption">
    <w:name w:val="caption"/>
    <w:basedOn w:val="Normal"/>
    <w:qFormat/>
    <w:rsid w:val="0004596D"/>
    <w:pPr>
      <w:suppressLineNumbers/>
      <w:spacing w:before="120" w:after="120"/>
    </w:pPr>
    <w:rPr>
      <w:rFonts w:cs="Tahoma"/>
      <w:i/>
      <w:iCs/>
      <w:sz w:val="24"/>
    </w:rPr>
  </w:style>
  <w:style w:type="paragraph" w:customStyle="1" w:styleId="Index">
    <w:name w:val="Index"/>
    <w:basedOn w:val="Normal"/>
    <w:rsid w:val="0004596D"/>
    <w:pPr>
      <w:suppressLineNumbers/>
    </w:pPr>
    <w:rPr>
      <w:rFonts w:cs="Tahoma"/>
    </w:rPr>
  </w:style>
  <w:style w:type="paragraph" w:styleId="Header">
    <w:name w:val="header"/>
    <w:basedOn w:val="Normal"/>
    <w:link w:val="HeaderChar"/>
    <w:uiPriority w:val="99"/>
    <w:rsid w:val="0004596D"/>
    <w:pPr>
      <w:tabs>
        <w:tab w:val="center" w:pos="4153"/>
        <w:tab w:val="right" w:pos="8306"/>
      </w:tabs>
    </w:pPr>
    <w:rPr>
      <w:rFonts w:cs="Times New Roman"/>
    </w:rPr>
  </w:style>
  <w:style w:type="paragraph" w:styleId="Footer">
    <w:name w:val="footer"/>
    <w:basedOn w:val="Normal"/>
    <w:rsid w:val="0004596D"/>
    <w:pPr>
      <w:tabs>
        <w:tab w:val="center" w:pos="4153"/>
        <w:tab w:val="right" w:pos="8306"/>
      </w:tabs>
    </w:pPr>
  </w:style>
  <w:style w:type="paragraph" w:styleId="FootnoteText">
    <w:name w:val="footnote text"/>
    <w:aliases w:val="single space,Текст сноски Знак,Footnote Text Char Char Char,FOOTNOTES,fn,Footnote Text Char Char Char Char Char Char Char Char Char Char,Footnote Text Char Char Char Char Char Char Char Char Char Char Char Char,ft2,f Char,Footnote Text Ch"/>
    <w:basedOn w:val="Normal"/>
    <w:link w:val="FootnoteTextChar"/>
    <w:uiPriority w:val="99"/>
    <w:rsid w:val="0004596D"/>
    <w:rPr>
      <w:rFonts w:ascii="Times New Roman" w:hAnsi="Times New Roman" w:cs="Times New Roman"/>
      <w:sz w:val="20"/>
      <w:szCs w:val="20"/>
    </w:rPr>
  </w:style>
  <w:style w:type="paragraph" w:styleId="HTMLPreformatted">
    <w:name w:val="HTML Preformatted"/>
    <w:basedOn w:val="Normal"/>
    <w:rsid w:val="000459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customStyle="1" w:styleId="Char">
    <w:name w:val="Char"/>
    <w:basedOn w:val="Normal"/>
    <w:rsid w:val="0004596D"/>
    <w:pPr>
      <w:spacing w:after="120" w:line="240" w:lineRule="exact"/>
    </w:pPr>
    <w:rPr>
      <w:rFonts w:ascii="Verdana" w:hAnsi="Verdana" w:cs="Times New Roman"/>
      <w:sz w:val="20"/>
      <w:szCs w:val="20"/>
      <w:lang w:val="en-US"/>
    </w:rPr>
  </w:style>
  <w:style w:type="paragraph" w:styleId="BalloonText">
    <w:name w:val="Balloon Text"/>
    <w:basedOn w:val="Normal"/>
    <w:rsid w:val="0004596D"/>
    <w:rPr>
      <w:rFonts w:ascii="Tahoma" w:hAnsi="Tahoma" w:cs="Tahoma"/>
      <w:sz w:val="16"/>
      <w:szCs w:val="16"/>
    </w:rPr>
  </w:style>
  <w:style w:type="character" w:customStyle="1" w:styleId="HeaderChar">
    <w:name w:val="Header Char"/>
    <w:link w:val="Header"/>
    <w:uiPriority w:val="99"/>
    <w:rsid w:val="006741CB"/>
    <w:rPr>
      <w:rFonts w:ascii="Arial" w:hAnsi="Arial" w:cs="Arial"/>
      <w:sz w:val="28"/>
      <w:szCs w:val="24"/>
      <w:lang w:eastAsia="ar-SA"/>
    </w:rPr>
  </w:style>
  <w:style w:type="paragraph" w:styleId="ListParagraph">
    <w:name w:val="List Paragraph"/>
    <w:basedOn w:val="Normal"/>
    <w:uiPriority w:val="34"/>
    <w:qFormat/>
    <w:rsid w:val="00E523B7"/>
    <w:pPr>
      <w:ind w:left="720"/>
      <w:contextualSpacing/>
    </w:pPr>
  </w:style>
  <w:style w:type="character" w:styleId="FootnoteReference">
    <w:name w:val="footnote reference"/>
    <w:aliases w:val="Footnotes refss"/>
    <w:basedOn w:val="DefaultParagraphFont"/>
    <w:uiPriority w:val="99"/>
    <w:rsid w:val="004A295B"/>
    <w:rPr>
      <w:vertAlign w:val="superscript"/>
    </w:rPr>
  </w:style>
  <w:style w:type="table" w:styleId="TableGrid">
    <w:name w:val="Table Grid"/>
    <w:basedOn w:val="TableNormal"/>
    <w:uiPriority w:val="59"/>
    <w:rsid w:val="00195E51"/>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1C60DD"/>
    <w:pPr>
      <w:suppressAutoHyphens w:val="0"/>
      <w:spacing w:before="100" w:beforeAutospacing="1" w:after="100" w:afterAutospacing="1"/>
    </w:pPr>
    <w:rPr>
      <w:rFonts w:ascii="Times New Roman" w:hAnsi="Times New Roman" w:cs="Times New Roman"/>
      <w:sz w:val="24"/>
      <w:lang w:eastAsia="en-GB"/>
    </w:rPr>
  </w:style>
  <w:style w:type="character" w:customStyle="1" w:styleId="FootnoteTextChar">
    <w:name w:val="Footnote Text Char"/>
    <w:aliases w:val="single space Char,Текст сноски Знак Char,Footnote Text Char Char Char Char,FOOTNOTES Char,fn Char,Footnote Text Char Char Char Char Char Char Char Char Char Char Char,ft2 Char,f Char Char,Footnote Text Ch Char"/>
    <w:link w:val="FootnoteText"/>
    <w:uiPriority w:val="99"/>
    <w:locked/>
    <w:rsid w:val="001C60DD"/>
    <w:rPr>
      <w:lang w:eastAsia="ar-SA"/>
    </w:rPr>
  </w:style>
  <w:style w:type="character" w:customStyle="1" w:styleId="apple-converted-space">
    <w:name w:val="apple-converted-space"/>
    <w:basedOn w:val="DefaultParagraphFont"/>
    <w:rsid w:val="002B2B6F"/>
  </w:style>
  <w:style w:type="table" w:customStyle="1" w:styleId="TableGrid1">
    <w:name w:val="Table Grid1"/>
    <w:basedOn w:val="TableNormal"/>
    <w:next w:val="TableGrid"/>
    <w:uiPriority w:val="59"/>
    <w:rsid w:val="00B477E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09854">
      <w:bodyDiv w:val="1"/>
      <w:marLeft w:val="0"/>
      <w:marRight w:val="0"/>
      <w:marTop w:val="0"/>
      <w:marBottom w:val="0"/>
      <w:divBdr>
        <w:top w:val="none" w:sz="0" w:space="0" w:color="auto"/>
        <w:left w:val="none" w:sz="0" w:space="0" w:color="auto"/>
        <w:bottom w:val="none" w:sz="0" w:space="0" w:color="auto"/>
        <w:right w:val="none" w:sz="0" w:space="0" w:color="auto"/>
      </w:divBdr>
    </w:div>
    <w:div w:id="35356166">
      <w:bodyDiv w:val="1"/>
      <w:marLeft w:val="0"/>
      <w:marRight w:val="0"/>
      <w:marTop w:val="0"/>
      <w:marBottom w:val="0"/>
      <w:divBdr>
        <w:top w:val="none" w:sz="0" w:space="0" w:color="auto"/>
        <w:left w:val="none" w:sz="0" w:space="0" w:color="auto"/>
        <w:bottom w:val="none" w:sz="0" w:space="0" w:color="auto"/>
        <w:right w:val="none" w:sz="0" w:space="0" w:color="auto"/>
      </w:divBdr>
    </w:div>
    <w:div w:id="139732255">
      <w:bodyDiv w:val="1"/>
      <w:marLeft w:val="0"/>
      <w:marRight w:val="0"/>
      <w:marTop w:val="0"/>
      <w:marBottom w:val="0"/>
      <w:divBdr>
        <w:top w:val="none" w:sz="0" w:space="0" w:color="auto"/>
        <w:left w:val="none" w:sz="0" w:space="0" w:color="auto"/>
        <w:bottom w:val="none" w:sz="0" w:space="0" w:color="auto"/>
        <w:right w:val="none" w:sz="0" w:space="0" w:color="auto"/>
      </w:divBdr>
      <w:divsChild>
        <w:div w:id="828591458">
          <w:marLeft w:val="0"/>
          <w:marRight w:val="0"/>
          <w:marTop w:val="0"/>
          <w:marBottom w:val="0"/>
          <w:divBdr>
            <w:top w:val="none" w:sz="0" w:space="0" w:color="auto"/>
            <w:left w:val="none" w:sz="0" w:space="0" w:color="auto"/>
            <w:bottom w:val="none" w:sz="0" w:space="0" w:color="auto"/>
            <w:right w:val="none" w:sz="0" w:space="0" w:color="auto"/>
          </w:divBdr>
        </w:div>
        <w:div w:id="1399980327">
          <w:marLeft w:val="0"/>
          <w:marRight w:val="0"/>
          <w:marTop w:val="0"/>
          <w:marBottom w:val="0"/>
          <w:divBdr>
            <w:top w:val="none" w:sz="0" w:space="0" w:color="auto"/>
            <w:left w:val="none" w:sz="0" w:space="0" w:color="auto"/>
            <w:bottom w:val="none" w:sz="0" w:space="0" w:color="auto"/>
            <w:right w:val="none" w:sz="0" w:space="0" w:color="auto"/>
          </w:divBdr>
        </w:div>
        <w:div w:id="968242429">
          <w:marLeft w:val="0"/>
          <w:marRight w:val="0"/>
          <w:marTop w:val="0"/>
          <w:marBottom w:val="0"/>
          <w:divBdr>
            <w:top w:val="none" w:sz="0" w:space="0" w:color="auto"/>
            <w:left w:val="none" w:sz="0" w:space="0" w:color="auto"/>
            <w:bottom w:val="none" w:sz="0" w:space="0" w:color="auto"/>
            <w:right w:val="none" w:sz="0" w:space="0" w:color="auto"/>
          </w:divBdr>
        </w:div>
        <w:div w:id="1784226568">
          <w:marLeft w:val="0"/>
          <w:marRight w:val="0"/>
          <w:marTop w:val="0"/>
          <w:marBottom w:val="0"/>
          <w:divBdr>
            <w:top w:val="none" w:sz="0" w:space="0" w:color="auto"/>
            <w:left w:val="none" w:sz="0" w:space="0" w:color="auto"/>
            <w:bottom w:val="none" w:sz="0" w:space="0" w:color="auto"/>
            <w:right w:val="none" w:sz="0" w:space="0" w:color="auto"/>
          </w:divBdr>
        </w:div>
        <w:div w:id="77218350">
          <w:marLeft w:val="0"/>
          <w:marRight w:val="0"/>
          <w:marTop w:val="0"/>
          <w:marBottom w:val="0"/>
          <w:divBdr>
            <w:top w:val="none" w:sz="0" w:space="0" w:color="auto"/>
            <w:left w:val="none" w:sz="0" w:space="0" w:color="auto"/>
            <w:bottom w:val="none" w:sz="0" w:space="0" w:color="auto"/>
            <w:right w:val="none" w:sz="0" w:space="0" w:color="auto"/>
          </w:divBdr>
        </w:div>
        <w:div w:id="72624898">
          <w:marLeft w:val="0"/>
          <w:marRight w:val="0"/>
          <w:marTop w:val="0"/>
          <w:marBottom w:val="0"/>
          <w:divBdr>
            <w:top w:val="none" w:sz="0" w:space="0" w:color="auto"/>
            <w:left w:val="none" w:sz="0" w:space="0" w:color="auto"/>
            <w:bottom w:val="none" w:sz="0" w:space="0" w:color="auto"/>
            <w:right w:val="none" w:sz="0" w:space="0" w:color="auto"/>
          </w:divBdr>
        </w:div>
        <w:div w:id="307243047">
          <w:marLeft w:val="0"/>
          <w:marRight w:val="0"/>
          <w:marTop w:val="0"/>
          <w:marBottom w:val="0"/>
          <w:divBdr>
            <w:top w:val="none" w:sz="0" w:space="0" w:color="auto"/>
            <w:left w:val="none" w:sz="0" w:space="0" w:color="auto"/>
            <w:bottom w:val="none" w:sz="0" w:space="0" w:color="auto"/>
            <w:right w:val="none" w:sz="0" w:space="0" w:color="auto"/>
          </w:divBdr>
        </w:div>
        <w:div w:id="2052415285">
          <w:marLeft w:val="0"/>
          <w:marRight w:val="0"/>
          <w:marTop w:val="0"/>
          <w:marBottom w:val="0"/>
          <w:divBdr>
            <w:top w:val="none" w:sz="0" w:space="0" w:color="auto"/>
            <w:left w:val="none" w:sz="0" w:space="0" w:color="auto"/>
            <w:bottom w:val="none" w:sz="0" w:space="0" w:color="auto"/>
            <w:right w:val="none" w:sz="0" w:space="0" w:color="auto"/>
          </w:divBdr>
        </w:div>
        <w:div w:id="428434684">
          <w:marLeft w:val="0"/>
          <w:marRight w:val="0"/>
          <w:marTop w:val="0"/>
          <w:marBottom w:val="0"/>
          <w:divBdr>
            <w:top w:val="none" w:sz="0" w:space="0" w:color="auto"/>
            <w:left w:val="none" w:sz="0" w:space="0" w:color="auto"/>
            <w:bottom w:val="none" w:sz="0" w:space="0" w:color="auto"/>
            <w:right w:val="none" w:sz="0" w:space="0" w:color="auto"/>
          </w:divBdr>
        </w:div>
        <w:div w:id="977030852">
          <w:marLeft w:val="0"/>
          <w:marRight w:val="0"/>
          <w:marTop w:val="0"/>
          <w:marBottom w:val="0"/>
          <w:divBdr>
            <w:top w:val="none" w:sz="0" w:space="0" w:color="auto"/>
            <w:left w:val="none" w:sz="0" w:space="0" w:color="auto"/>
            <w:bottom w:val="none" w:sz="0" w:space="0" w:color="auto"/>
            <w:right w:val="none" w:sz="0" w:space="0" w:color="auto"/>
          </w:divBdr>
        </w:div>
        <w:div w:id="1620532764">
          <w:marLeft w:val="0"/>
          <w:marRight w:val="0"/>
          <w:marTop w:val="0"/>
          <w:marBottom w:val="0"/>
          <w:divBdr>
            <w:top w:val="none" w:sz="0" w:space="0" w:color="auto"/>
            <w:left w:val="none" w:sz="0" w:space="0" w:color="auto"/>
            <w:bottom w:val="none" w:sz="0" w:space="0" w:color="auto"/>
            <w:right w:val="none" w:sz="0" w:space="0" w:color="auto"/>
          </w:divBdr>
        </w:div>
        <w:div w:id="1947154752">
          <w:marLeft w:val="0"/>
          <w:marRight w:val="0"/>
          <w:marTop w:val="0"/>
          <w:marBottom w:val="0"/>
          <w:divBdr>
            <w:top w:val="none" w:sz="0" w:space="0" w:color="auto"/>
            <w:left w:val="none" w:sz="0" w:space="0" w:color="auto"/>
            <w:bottom w:val="none" w:sz="0" w:space="0" w:color="auto"/>
            <w:right w:val="none" w:sz="0" w:space="0" w:color="auto"/>
          </w:divBdr>
        </w:div>
        <w:div w:id="1640836582">
          <w:marLeft w:val="0"/>
          <w:marRight w:val="0"/>
          <w:marTop w:val="0"/>
          <w:marBottom w:val="0"/>
          <w:divBdr>
            <w:top w:val="none" w:sz="0" w:space="0" w:color="auto"/>
            <w:left w:val="none" w:sz="0" w:space="0" w:color="auto"/>
            <w:bottom w:val="none" w:sz="0" w:space="0" w:color="auto"/>
            <w:right w:val="none" w:sz="0" w:space="0" w:color="auto"/>
          </w:divBdr>
        </w:div>
        <w:div w:id="1478768283">
          <w:marLeft w:val="0"/>
          <w:marRight w:val="0"/>
          <w:marTop w:val="0"/>
          <w:marBottom w:val="0"/>
          <w:divBdr>
            <w:top w:val="none" w:sz="0" w:space="0" w:color="auto"/>
            <w:left w:val="none" w:sz="0" w:space="0" w:color="auto"/>
            <w:bottom w:val="none" w:sz="0" w:space="0" w:color="auto"/>
            <w:right w:val="none" w:sz="0" w:space="0" w:color="auto"/>
          </w:divBdr>
        </w:div>
        <w:div w:id="2055495443">
          <w:marLeft w:val="0"/>
          <w:marRight w:val="0"/>
          <w:marTop w:val="0"/>
          <w:marBottom w:val="0"/>
          <w:divBdr>
            <w:top w:val="none" w:sz="0" w:space="0" w:color="auto"/>
            <w:left w:val="none" w:sz="0" w:space="0" w:color="auto"/>
            <w:bottom w:val="none" w:sz="0" w:space="0" w:color="auto"/>
            <w:right w:val="none" w:sz="0" w:space="0" w:color="auto"/>
          </w:divBdr>
        </w:div>
        <w:div w:id="2122217898">
          <w:marLeft w:val="0"/>
          <w:marRight w:val="0"/>
          <w:marTop w:val="0"/>
          <w:marBottom w:val="0"/>
          <w:divBdr>
            <w:top w:val="none" w:sz="0" w:space="0" w:color="auto"/>
            <w:left w:val="none" w:sz="0" w:space="0" w:color="auto"/>
            <w:bottom w:val="none" w:sz="0" w:space="0" w:color="auto"/>
            <w:right w:val="none" w:sz="0" w:space="0" w:color="auto"/>
          </w:divBdr>
        </w:div>
        <w:div w:id="148182553">
          <w:marLeft w:val="0"/>
          <w:marRight w:val="0"/>
          <w:marTop w:val="0"/>
          <w:marBottom w:val="0"/>
          <w:divBdr>
            <w:top w:val="none" w:sz="0" w:space="0" w:color="auto"/>
            <w:left w:val="none" w:sz="0" w:space="0" w:color="auto"/>
            <w:bottom w:val="none" w:sz="0" w:space="0" w:color="auto"/>
            <w:right w:val="none" w:sz="0" w:space="0" w:color="auto"/>
          </w:divBdr>
        </w:div>
        <w:div w:id="1367413687">
          <w:marLeft w:val="0"/>
          <w:marRight w:val="0"/>
          <w:marTop w:val="0"/>
          <w:marBottom w:val="0"/>
          <w:divBdr>
            <w:top w:val="none" w:sz="0" w:space="0" w:color="auto"/>
            <w:left w:val="none" w:sz="0" w:space="0" w:color="auto"/>
            <w:bottom w:val="none" w:sz="0" w:space="0" w:color="auto"/>
            <w:right w:val="none" w:sz="0" w:space="0" w:color="auto"/>
          </w:divBdr>
        </w:div>
        <w:div w:id="1716857038">
          <w:marLeft w:val="0"/>
          <w:marRight w:val="0"/>
          <w:marTop w:val="0"/>
          <w:marBottom w:val="0"/>
          <w:divBdr>
            <w:top w:val="none" w:sz="0" w:space="0" w:color="auto"/>
            <w:left w:val="none" w:sz="0" w:space="0" w:color="auto"/>
            <w:bottom w:val="none" w:sz="0" w:space="0" w:color="auto"/>
            <w:right w:val="none" w:sz="0" w:space="0" w:color="auto"/>
          </w:divBdr>
        </w:div>
        <w:div w:id="2078238874">
          <w:marLeft w:val="0"/>
          <w:marRight w:val="0"/>
          <w:marTop w:val="0"/>
          <w:marBottom w:val="0"/>
          <w:divBdr>
            <w:top w:val="none" w:sz="0" w:space="0" w:color="auto"/>
            <w:left w:val="none" w:sz="0" w:space="0" w:color="auto"/>
            <w:bottom w:val="none" w:sz="0" w:space="0" w:color="auto"/>
            <w:right w:val="none" w:sz="0" w:space="0" w:color="auto"/>
          </w:divBdr>
        </w:div>
      </w:divsChild>
    </w:div>
    <w:div w:id="239599626">
      <w:bodyDiv w:val="1"/>
      <w:marLeft w:val="0"/>
      <w:marRight w:val="0"/>
      <w:marTop w:val="0"/>
      <w:marBottom w:val="0"/>
      <w:divBdr>
        <w:top w:val="none" w:sz="0" w:space="0" w:color="auto"/>
        <w:left w:val="none" w:sz="0" w:space="0" w:color="auto"/>
        <w:bottom w:val="none" w:sz="0" w:space="0" w:color="auto"/>
        <w:right w:val="none" w:sz="0" w:space="0" w:color="auto"/>
      </w:divBdr>
    </w:div>
    <w:div w:id="401871247">
      <w:bodyDiv w:val="1"/>
      <w:marLeft w:val="0"/>
      <w:marRight w:val="0"/>
      <w:marTop w:val="0"/>
      <w:marBottom w:val="0"/>
      <w:divBdr>
        <w:top w:val="none" w:sz="0" w:space="0" w:color="auto"/>
        <w:left w:val="none" w:sz="0" w:space="0" w:color="auto"/>
        <w:bottom w:val="none" w:sz="0" w:space="0" w:color="auto"/>
        <w:right w:val="none" w:sz="0" w:space="0" w:color="auto"/>
      </w:divBdr>
    </w:div>
    <w:div w:id="411782688">
      <w:bodyDiv w:val="1"/>
      <w:marLeft w:val="0"/>
      <w:marRight w:val="0"/>
      <w:marTop w:val="0"/>
      <w:marBottom w:val="0"/>
      <w:divBdr>
        <w:top w:val="none" w:sz="0" w:space="0" w:color="auto"/>
        <w:left w:val="none" w:sz="0" w:space="0" w:color="auto"/>
        <w:bottom w:val="none" w:sz="0" w:space="0" w:color="auto"/>
        <w:right w:val="none" w:sz="0" w:space="0" w:color="auto"/>
      </w:divBdr>
    </w:div>
    <w:div w:id="624043714">
      <w:bodyDiv w:val="1"/>
      <w:marLeft w:val="0"/>
      <w:marRight w:val="0"/>
      <w:marTop w:val="0"/>
      <w:marBottom w:val="0"/>
      <w:divBdr>
        <w:top w:val="none" w:sz="0" w:space="0" w:color="auto"/>
        <w:left w:val="none" w:sz="0" w:space="0" w:color="auto"/>
        <w:bottom w:val="none" w:sz="0" w:space="0" w:color="auto"/>
        <w:right w:val="none" w:sz="0" w:space="0" w:color="auto"/>
      </w:divBdr>
    </w:div>
    <w:div w:id="860512303">
      <w:bodyDiv w:val="1"/>
      <w:marLeft w:val="0"/>
      <w:marRight w:val="0"/>
      <w:marTop w:val="0"/>
      <w:marBottom w:val="0"/>
      <w:divBdr>
        <w:top w:val="none" w:sz="0" w:space="0" w:color="auto"/>
        <w:left w:val="none" w:sz="0" w:space="0" w:color="auto"/>
        <w:bottom w:val="none" w:sz="0" w:space="0" w:color="auto"/>
        <w:right w:val="none" w:sz="0" w:space="0" w:color="auto"/>
      </w:divBdr>
    </w:div>
    <w:div w:id="973874888">
      <w:bodyDiv w:val="1"/>
      <w:marLeft w:val="0"/>
      <w:marRight w:val="0"/>
      <w:marTop w:val="0"/>
      <w:marBottom w:val="0"/>
      <w:divBdr>
        <w:top w:val="none" w:sz="0" w:space="0" w:color="auto"/>
        <w:left w:val="none" w:sz="0" w:space="0" w:color="auto"/>
        <w:bottom w:val="none" w:sz="0" w:space="0" w:color="auto"/>
        <w:right w:val="none" w:sz="0" w:space="0" w:color="auto"/>
      </w:divBdr>
    </w:div>
    <w:div w:id="1044015411">
      <w:bodyDiv w:val="1"/>
      <w:marLeft w:val="0"/>
      <w:marRight w:val="0"/>
      <w:marTop w:val="0"/>
      <w:marBottom w:val="0"/>
      <w:divBdr>
        <w:top w:val="none" w:sz="0" w:space="0" w:color="auto"/>
        <w:left w:val="none" w:sz="0" w:space="0" w:color="auto"/>
        <w:bottom w:val="none" w:sz="0" w:space="0" w:color="auto"/>
        <w:right w:val="none" w:sz="0" w:space="0" w:color="auto"/>
      </w:divBdr>
    </w:div>
    <w:div w:id="1053428880">
      <w:bodyDiv w:val="1"/>
      <w:marLeft w:val="0"/>
      <w:marRight w:val="0"/>
      <w:marTop w:val="0"/>
      <w:marBottom w:val="0"/>
      <w:divBdr>
        <w:top w:val="none" w:sz="0" w:space="0" w:color="auto"/>
        <w:left w:val="none" w:sz="0" w:space="0" w:color="auto"/>
        <w:bottom w:val="none" w:sz="0" w:space="0" w:color="auto"/>
        <w:right w:val="none" w:sz="0" w:space="0" w:color="auto"/>
      </w:divBdr>
    </w:div>
    <w:div w:id="1137647298">
      <w:bodyDiv w:val="1"/>
      <w:marLeft w:val="0"/>
      <w:marRight w:val="0"/>
      <w:marTop w:val="0"/>
      <w:marBottom w:val="0"/>
      <w:divBdr>
        <w:top w:val="none" w:sz="0" w:space="0" w:color="auto"/>
        <w:left w:val="none" w:sz="0" w:space="0" w:color="auto"/>
        <w:bottom w:val="none" w:sz="0" w:space="0" w:color="auto"/>
        <w:right w:val="none" w:sz="0" w:space="0" w:color="auto"/>
      </w:divBdr>
      <w:divsChild>
        <w:div w:id="784883963">
          <w:marLeft w:val="0"/>
          <w:marRight w:val="0"/>
          <w:marTop w:val="0"/>
          <w:marBottom w:val="0"/>
          <w:divBdr>
            <w:top w:val="none" w:sz="0" w:space="0" w:color="auto"/>
            <w:left w:val="none" w:sz="0" w:space="0" w:color="auto"/>
            <w:bottom w:val="none" w:sz="0" w:space="0" w:color="auto"/>
            <w:right w:val="none" w:sz="0" w:space="0" w:color="auto"/>
          </w:divBdr>
        </w:div>
        <w:div w:id="466049047">
          <w:marLeft w:val="0"/>
          <w:marRight w:val="0"/>
          <w:marTop w:val="0"/>
          <w:marBottom w:val="0"/>
          <w:divBdr>
            <w:top w:val="none" w:sz="0" w:space="0" w:color="auto"/>
            <w:left w:val="none" w:sz="0" w:space="0" w:color="auto"/>
            <w:bottom w:val="none" w:sz="0" w:space="0" w:color="auto"/>
            <w:right w:val="none" w:sz="0" w:space="0" w:color="auto"/>
          </w:divBdr>
        </w:div>
        <w:div w:id="259147422">
          <w:marLeft w:val="0"/>
          <w:marRight w:val="0"/>
          <w:marTop w:val="0"/>
          <w:marBottom w:val="0"/>
          <w:divBdr>
            <w:top w:val="none" w:sz="0" w:space="0" w:color="auto"/>
            <w:left w:val="none" w:sz="0" w:space="0" w:color="auto"/>
            <w:bottom w:val="none" w:sz="0" w:space="0" w:color="auto"/>
            <w:right w:val="none" w:sz="0" w:space="0" w:color="auto"/>
          </w:divBdr>
        </w:div>
      </w:divsChild>
    </w:div>
    <w:div w:id="1608078179">
      <w:bodyDiv w:val="1"/>
      <w:marLeft w:val="0"/>
      <w:marRight w:val="0"/>
      <w:marTop w:val="0"/>
      <w:marBottom w:val="0"/>
      <w:divBdr>
        <w:top w:val="none" w:sz="0" w:space="0" w:color="auto"/>
        <w:left w:val="none" w:sz="0" w:space="0" w:color="auto"/>
        <w:bottom w:val="none" w:sz="0" w:space="0" w:color="auto"/>
        <w:right w:val="none" w:sz="0" w:space="0" w:color="auto"/>
      </w:divBdr>
      <w:divsChild>
        <w:div w:id="1725565923">
          <w:marLeft w:val="0"/>
          <w:marRight w:val="0"/>
          <w:marTop w:val="0"/>
          <w:marBottom w:val="0"/>
          <w:divBdr>
            <w:top w:val="none" w:sz="0" w:space="0" w:color="auto"/>
            <w:left w:val="none" w:sz="0" w:space="0" w:color="auto"/>
            <w:bottom w:val="none" w:sz="0" w:space="0" w:color="auto"/>
            <w:right w:val="none" w:sz="0" w:space="0" w:color="auto"/>
          </w:divBdr>
        </w:div>
        <w:div w:id="441728854">
          <w:marLeft w:val="0"/>
          <w:marRight w:val="0"/>
          <w:marTop w:val="0"/>
          <w:marBottom w:val="0"/>
          <w:divBdr>
            <w:top w:val="none" w:sz="0" w:space="0" w:color="auto"/>
            <w:left w:val="none" w:sz="0" w:space="0" w:color="auto"/>
            <w:bottom w:val="none" w:sz="0" w:space="0" w:color="auto"/>
            <w:right w:val="none" w:sz="0" w:space="0" w:color="auto"/>
          </w:divBdr>
        </w:div>
        <w:div w:id="1796606954">
          <w:marLeft w:val="0"/>
          <w:marRight w:val="0"/>
          <w:marTop w:val="0"/>
          <w:marBottom w:val="0"/>
          <w:divBdr>
            <w:top w:val="none" w:sz="0" w:space="0" w:color="auto"/>
            <w:left w:val="none" w:sz="0" w:space="0" w:color="auto"/>
            <w:bottom w:val="none" w:sz="0" w:space="0" w:color="auto"/>
            <w:right w:val="none" w:sz="0" w:space="0" w:color="auto"/>
          </w:divBdr>
        </w:div>
        <w:div w:id="576981338">
          <w:marLeft w:val="0"/>
          <w:marRight w:val="0"/>
          <w:marTop w:val="0"/>
          <w:marBottom w:val="0"/>
          <w:divBdr>
            <w:top w:val="none" w:sz="0" w:space="0" w:color="auto"/>
            <w:left w:val="none" w:sz="0" w:space="0" w:color="auto"/>
            <w:bottom w:val="none" w:sz="0" w:space="0" w:color="auto"/>
            <w:right w:val="none" w:sz="0" w:space="0" w:color="auto"/>
          </w:divBdr>
        </w:div>
        <w:div w:id="1245795093">
          <w:marLeft w:val="0"/>
          <w:marRight w:val="0"/>
          <w:marTop w:val="0"/>
          <w:marBottom w:val="0"/>
          <w:divBdr>
            <w:top w:val="none" w:sz="0" w:space="0" w:color="auto"/>
            <w:left w:val="none" w:sz="0" w:space="0" w:color="auto"/>
            <w:bottom w:val="none" w:sz="0" w:space="0" w:color="auto"/>
            <w:right w:val="none" w:sz="0" w:space="0" w:color="auto"/>
          </w:divBdr>
        </w:div>
        <w:div w:id="1820538113">
          <w:marLeft w:val="0"/>
          <w:marRight w:val="0"/>
          <w:marTop w:val="0"/>
          <w:marBottom w:val="0"/>
          <w:divBdr>
            <w:top w:val="none" w:sz="0" w:space="0" w:color="auto"/>
            <w:left w:val="none" w:sz="0" w:space="0" w:color="auto"/>
            <w:bottom w:val="none" w:sz="0" w:space="0" w:color="auto"/>
            <w:right w:val="none" w:sz="0" w:space="0" w:color="auto"/>
          </w:divBdr>
        </w:div>
        <w:div w:id="259872430">
          <w:marLeft w:val="0"/>
          <w:marRight w:val="0"/>
          <w:marTop w:val="0"/>
          <w:marBottom w:val="0"/>
          <w:divBdr>
            <w:top w:val="none" w:sz="0" w:space="0" w:color="auto"/>
            <w:left w:val="none" w:sz="0" w:space="0" w:color="auto"/>
            <w:bottom w:val="none" w:sz="0" w:space="0" w:color="auto"/>
            <w:right w:val="none" w:sz="0" w:space="0" w:color="auto"/>
          </w:divBdr>
        </w:div>
        <w:div w:id="1888253667">
          <w:marLeft w:val="0"/>
          <w:marRight w:val="0"/>
          <w:marTop w:val="0"/>
          <w:marBottom w:val="0"/>
          <w:divBdr>
            <w:top w:val="none" w:sz="0" w:space="0" w:color="auto"/>
            <w:left w:val="none" w:sz="0" w:space="0" w:color="auto"/>
            <w:bottom w:val="none" w:sz="0" w:space="0" w:color="auto"/>
            <w:right w:val="none" w:sz="0" w:space="0" w:color="auto"/>
          </w:divBdr>
        </w:div>
        <w:div w:id="436104572">
          <w:marLeft w:val="0"/>
          <w:marRight w:val="0"/>
          <w:marTop w:val="0"/>
          <w:marBottom w:val="0"/>
          <w:divBdr>
            <w:top w:val="none" w:sz="0" w:space="0" w:color="auto"/>
            <w:left w:val="none" w:sz="0" w:space="0" w:color="auto"/>
            <w:bottom w:val="none" w:sz="0" w:space="0" w:color="auto"/>
            <w:right w:val="none" w:sz="0" w:space="0" w:color="auto"/>
          </w:divBdr>
        </w:div>
        <w:div w:id="1596671210">
          <w:marLeft w:val="0"/>
          <w:marRight w:val="0"/>
          <w:marTop w:val="0"/>
          <w:marBottom w:val="0"/>
          <w:divBdr>
            <w:top w:val="none" w:sz="0" w:space="0" w:color="auto"/>
            <w:left w:val="none" w:sz="0" w:space="0" w:color="auto"/>
            <w:bottom w:val="none" w:sz="0" w:space="0" w:color="auto"/>
            <w:right w:val="none" w:sz="0" w:space="0" w:color="auto"/>
          </w:divBdr>
        </w:div>
        <w:div w:id="1591961113">
          <w:marLeft w:val="0"/>
          <w:marRight w:val="0"/>
          <w:marTop w:val="0"/>
          <w:marBottom w:val="0"/>
          <w:divBdr>
            <w:top w:val="none" w:sz="0" w:space="0" w:color="auto"/>
            <w:left w:val="none" w:sz="0" w:space="0" w:color="auto"/>
            <w:bottom w:val="none" w:sz="0" w:space="0" w:color="auto"/>
            <w:right w:val="none" w:sz="0" w:space="0" w:color="auto"/>
          </w:divBdr>
        </w:div>
        <w:div w:id="1792433503">
          <w:marLeft w:val="0"/>
          <w:marRight w:val="0"/>
          <w:marTop w:val="0"/>
          <w:marBottom w:val="0"/>
          <w:divBdr>
            <w:top w:val="none" w:sz="0" w:space="0" w:color="auto"/>
            <w:left w:val="none" w:sz="0" w:space="0" w:color="auto"/>
            <w:bottom w:val="none" w:sz="0" w:space="0" w:color="auto"/>
            <w:right w:val="none" w:sz="0" w:space="0" w:color="auto"/>
          </w:divBdr>
        </w:div>
        <w:div w:id="548538342">
          <w:marLeft w:val="0"/>
          <w:marRight w:val="0"/>
          <w:marTop w:val="0"/>
          <w:marBottom w:val="0"/>
          <w:divBdr>
            <w:top w:val="none" w:sz="0" w:space="0" w:color="auto"/>
            <w:left w:val="none" w:sz="0" w:space="0" w:color="auto"/>
            <w:bottom w:val="none" w:sz="0" w:space="0" w:color="auto"/>
            <w:right w:val="none" w:sz="0" w:space="0" w:color="auto"/>
          </w:divBdr>
        </w:div>
        <w:div w:id="484510237">
          <w:marLeft w:val="0"/>
          <w:marRight w:val="0"/>
          <w:marTop w:val="0"/>
          <w:marBottom w:val="0"/>
          <w:divBdr>
            <w:top w:val="none" w:sz="0" w:space="0" w:color="auto"/>
            <w:left w:val="none" w:sz="0" w:space="0" w:color="auto"/>
            <w:bottom w:val="none" w:sz="0" w:space="0" w:color="auto"/>
            <w:right w:val="none" w:sz="0" w:space="0" w:color="auto"/>
          </w:divBdr>
        </w:div>
        <w:div w:id="2116056294">
          <w:marLeft w:val="0"/>
          <w:marRight w:val="0"/>
          <w:marTop w:val="0"/>
          <w:marBottom w:val="0"/>
          <w:divBdr>
            <w:top w:val="none" w:sz="0" w:space="0" w:color="auto"/>
            <w:left w:val="none" w:sz="0" w:space="0" w:color="auto"/>
            <w:bottom w:val="none" w:sz="0" w:space="0" w:color="auto"/>
            <w:right w:val="none" w:sz="0" w:space="0" w:color="auto"/>
          </w:divBdr>
        </w:div>
        <w:div w:id="1361008691">
          <w:marLeft w:val="0"/>
          <w:marRight w:val="0"/>
          <w:marTop w:val="0"/>
          <w:marBottom w:val="0"/>
          <w:divBdr>
            <w:top w:val="none" w:sz="0" w:space="0" w:color="auto"/>
            <w:left w:val="none" w:sz="0" w:space="0" w:color="auto"/>
            <w:bottom w:val="none" w:sz="0" w:space="0" w:color="auto"/>
            <w:right w:val="none" w:sz="0" w:space="0" w:color="auto"/>
          </w:divBdr>
        </w:div>
        <w:div w:id="1014453956">
          <w:marLeft w:val="0"/>
          <w:marRight w:val="0"/>
          <w:marTop w:val="0"/>
          <w:marBottom w:val="0"/>
          <w:divBdr>
            <w:top w:val="none" w:sz="0" w:space="0" w:color="auto"/>
            <w:left w:val="none" w:sz="0" w:space="0" w:color="auto"/>
            <w:bottom w:val="none" w:sz="0" w:space="0" w:color="auto"/>
            <w:right w:val="none" w:sz="0" w:space="0" w:color="auto"/>
          </w:divBdr>
        </w:div>
        <w:div w:id="831943282">
          <w:marLeft w:val="0"/>
          <w:marRight w:val="0"/>
          <w:marTop w:val="0"/>
          <w:marBottom w:val="0"/>
          <w:divBdr>
            <w:top w:val="none" w:sz="0" w:space="0" w:color="auto"/>
            <w:left w:val="none" w:sz="0" w:space="0" w:color="auto"/>
            <w:bottom w:val="none" w:sz="0" w:space="0" w:color="auto"/>
            <w:right w:val="none" w:sz="0" w:space="0" w:color="auto"/>
          </w:divBdr>
        </w:div>
        <w:div w:id="795637235">
          <w:marLeft w:val="0"/>
          <w:marRight w:val="0"/>
          <w:marTop w:val="0"/>
          <w:marBottom w:val="0"/>
          <w:divBdr>
            <w:top w:val="none" w:sz="0" w:space="0" w:color="auto"/>
            <w:left w:val="none" w:sz="0" w:space="0" w:color="auto"/>
            <w:bottom w:val="none" w:sz="0" w:space="0" w:color="auto"/>
            <w:right w:val="none" w:sz="0" w:space="0" w:color="auto"/>
          </w:divBdr>
        </w:div>
        <w:div w:id="533421627">
          <w:marLeft w:val="0"/>
          <w:marRight w:val="0"/>
          <w:marTop w:val="0"/>
          <w:marBottom w:val="0"/>
          <w:divBdr>
            <w:top w:val="none" w:sz="0" w:space="0" w:color="auto"/>
            <w:left w:val="none" w:sz="0" w:space="0" w:color="auto"/>
            <w:bottom w:val="none" w:sz="0" w:space="0" w:color="auto"/>
            <w:right w:val="none" w:sz="0" w:space="0" w:color="auto"/>
          </w:divBdr>
        </w:div>
        <w:div w:id="768350281">
          <w:marLeft w:val="0"/>
          <w:marRight w:val="0"/>
          <w:marTop w:val="0"/>
          <w:marBottom w:val="0"/>
          <w:divBdr>
            <w:top w:val="none" w:sz="0" w:space="0" w:color="auto"/>
            <w:left w:val="none" w:sz="0" w:space="0" w:color="auto"/>
            <w:bottom w:val="none" w:sz="0" w:space="0" w:color="auto"/>
            <w:right w:val="none" w:sz="0" w:space="0" w:color="auto"/>
          </w:divBdr>
        </w:div>
        <w:div w:id="1064068143">
          <w:marLeft w:val="0"/>
          <w:marRight w:val="0"/>
          <w:marTop w:val="0"/>
          <w:marBottom w:val="0"/>
          <w:divBdr>
            <w:top w:val="none" w:sz="0" w:space="0" w:color="auto"/>
            <w:left w:val="none" w:sz="0" w:space="0" w:color="auto"/>
            <w:bottom w:val="none" w:sz="0" w:space="0" w:color="auto"/>
            <w:right w:val="none" w:sz="0" w:space="0" w:color="auto"/>
          </w:divBdr>
        </w:div>
        <w:div w:id="2064908349">
          <w:marLeft w:val="0"/>
          <w:marRight w:val="0"/>
          <w:marTop w:val="0"/>
          <w:marBottom w:val="0"/>
          <w:divBdr>
            <w:top w:val="none" w:sz="0" w:space="0" w:color="auto"/>
            <w:left w:val="none" w:sz="0" w:space="0" w:color="auto"/>
            <w:bottom w:val="none" w:sz="0" w:space="0" w:color="auto"/>
            <w:right w:val="none" w:sz="0" w:space="0" w:color="auto"/>
          </w:divBdr>
        </w:div>
        <w:div w:id="818570316">
          <w:marLeft w:val="0"/>
          <w:marRight w:val="0"/>
          <w:marTop w:val="0"/>
          <w:marBottom w:val="0"/>
          <w:divBdr>
            <w:top w:val="none" w:sz="0" w:space="0" w:color="auto"/>
            <w:left w:val="none" w:sz="0" w:space="0" w:color="auto"/>
            <w:bottom w:val="none" w:sz="0" w:space="0" w:color="auto"/>
            <w:right w:val="none" w:sz="0" w:space="0" w:color="auto"/>
          </w:divBdr>
        </w:div>
      </w:divsChild>
    </w:div>
    <w:div w:id="1640067587">
      <w:bodyDiv w:val="1"/>
      <w:marLeft w:val="0"/>
      <w:marRight w:val="0"/>
      <w:marTop w:val="0"/>
      <w:marBottom w:val="0"/>
      <w:divBdr>
        <w:top w:val="none" w:sz="0" w:space="0" w:color="auto"/>
        <w:left w:val="none" w:sz="0" w:space="0" w:color="auto"/>
        <w:bottom w:val="none" w:sz="0" w:space="0" w:color="auto"/>
        <w:right w:val="none" w:sz="0" w:space="0" w:color="auto"/>
      </w:divBdr>
      <w:divsChild>
        <w:div w:id="722023540">
          <w:marLeft w:val="0"/>
          <w:marRight w:val="0"/>
          <w:marTop w:val="0"/>
          <w:marBottom w:val="0"/>
          <w:divBdr>
            <w:top w:val="none" w:sz="0" w:space="0" w:color="auto"/>
            <w:left w:val="none" w:sz="0" w:space="0" w:color="auto"/>
            <w:bottom w:val="none" w:sz="0" w:space="0" w:color="auto"/>
            <w:right w:val="none" w:sz="0" w:space="0" w:color="auto"/>
          </w:divBdr>
          <w:divsChild>
            <w:div w:id="888998623">
              <w:marLeft w:val="0"/>
              <w:marRight w:val="0"/>
              <w:marTop w:val="0"/>
              <w:marBottom w:val="0"/>
              <w:divBdr>
                <w:top w:val="none" w:sz="0" w:space="0" w:color="auto"/>
                <w:left w:val="none" w:sz="0" w:space="0" w:color="auto"/>
                <w:bottom w:val="none" w:sz="0" w:space="0" w:color="auto"/>
                <w:right w:val="none" w:sz="0" w:space="0" w:color="auto"/>
              </w:divBdr>
              <w:divsChild>
                <w:div w:id="197351652">
                  <w:marLeft w:val="0"/>
                  <w:marRight w:val="0"/>
                  <w:marTop w:val="0"/>
                  <w:marBottom w:val="0"/>
                  <w:divBdr>
                    <w:top w:val="none" w:sz="0" w:space="0" w:color="auto"/>
                    <w:left w:val="none" w:sz="0" w:space="0" w:color="auto"/>
                    <w:bottom w:val="none" w:sz="0" w:space="0" w:color="auto"/>
                    <w:right w:val="none" w:sz="0" w:space="0" w:color="auto"/>
                  </w:divBdr>
                  <w:divsChild>
                    <w:div w:id="1462728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7303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ustomXml" Target="../customXml/item4.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3" Type="http://schemas.openxmlformats.org/officeDocument/2006/relationships/hyperlink" Target="http://www.biduk.org/154/consultation-responses-and-submissions/bid-consultation-responses-and-submissions.html" TargetMode="External"/><Relationship Id="rId7" Type="http://schemas.openxmlformats.org/officeDocument/2006/relationships/hyperlink" Target="https://www.gov.uk/government/publications/immigration-statistics-april-to-june-2013/immigration-statistics-april-to-june-2013" TargetMode="External"/><Relationship Id="rId2" Type="http://schemas.openxmlformats.org/officeDocument/2006/relationships/hyperlink" Target="http://bit.ly/U6t61U" TargetMode="External"/><Relationship Id="rId1" Type="http://schemas.openxmlformats.org/officeDocument/2006/relationships/hyperlink" Target="http://www.ukba.homeoffice.gov.uk/sitecontent/documents/aboutus/annual-reports-accounts/annual-report-12-13.pdf?view=Binary" TargetMode="External"/><Relationship Id="rId6" Type="http://schemas.openxmlformats.org/officeDocument/2006/relationships/hyperlink" Target="https://www.gov.uk/government/organisations/home-office/series/immigration-statistics-quarterly-release" TargetMode="External"/><Relationship Id="rId5" Type="http://schemas.openxmlformats.org/officeDocument/2006/relationships/hyperlink" Target="http://bit.ly/1cygmWm" TargetMode="External"/><Relationship Id="rId4" Type="http://schemas.openxmlformats.org/officeDocument/2006/relationships/hyperlink" Target="http://bit.ly/1gOp7y8" TargetMode="External"/></Relationships>
</file>

<file path=word/_rels/header1.xml.rels><?xml version="1.0" encoding="UTF-8" standalone="yes"?>
<Relationships xmlns="http://schemas.openxmlformats.org/package/2006/relationships"><Relationship Id="rId3" Type="http://schemas.openxmlformats.org/officeDocument/2006/relationships/hyperlink" Target="http://www.biduk.org" TargetMode="External"/><Relationship Id="rId2" Type="http://schemas.openxmlformats.org/officeDocument/2006/relationships/hyperlink" Target="mailto:enquiries@biduk.org"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C9521F4-23D7-44D8-99B5-14D2E0E59BAC}"/>
</file>

<file path=customXml/itemProps2.xml><?xml version="1.0" encoding="utf-8"?>
<ds:datastoreItem xmlns:ds="http://schemas.openxmlformats.org/officeDocument/2006/customXml" ds:itemID="{04CEE3B9-DC83-4B39-BB9C-9789DB7BBA3B}"/>
</file>

<file path=customXml/itemProps3.xml><?xml version="1.0" encoding="utf-8"?>
<ds:datastoreItem xmlns:ds="http://schemas.openxmlformats.org/officeDocument/2006/customXml" ds:itemID="{5BC2056C-9544-4E40-AC3F-9CCD074BEF73}"/>
</file>

<file path=customXml/itemProps4.xml><?xml version="1.0" encoding="utf-8"?>
<ds:datastoreItem xmlns:ds="http://schemas.openxmlformats.org/officeDocument/2006/customXml" ds:itemID="{59E6E9B6-5452-42A2-B196-23CDF26702D9}"/>
</file>

<file path=docProps/app.xml><?xml version="1.0" encoding="utf-8"?>
<Properties xmlns="http://schemas.openxmlformats.org/officeDocument/2006/extended-properties" xmlns:vt="http://schemas.openxmlformats.org/officeDocument/2006/docPropsVTypes">
  <Template>Normal</Template>
  <TotalTime>2</TotalTime>
  <Pages>11</Pages>
  <Words>5200</Words>
  <Characters>29646</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
    </vt:vector>
  </TitlesOfParts>
  <Company>BID</Company>
  <LinksUpToDate>false</LinksUpToDate>
  <CharactersWithSpaces>34777</CharactersWithSpaces>
  <SharedDoc>false</SharedDoc>
  <HLinks>
    <vt:vector size="24" baseType="variant">
      <vt:variant>
        <vt:i4>4325439</vt:i4>
      </vt:variant>
      <vt:variant>
        <vt:i4>3</vt:i4>
      </vt:variant>
      <vt:variant>
        <vt:i4>0</vt:i4>
      </vt:variant>
      <vt:variant>
        <vt:i4>5</vt:i4>
      </vt:variant>
      <vt:variant>
        <vt:lpwstr>mailto:Eldon.Ward@homeoffice.gsi.gov.uk</vt:lpwstr>
      </vt:variant>
      <vt:variant>
        <vt:lpwstr/>
      </vt:variant>
      <vt:variant>
        <vt:i4>2424911</vt:i4>
      </vt:variant>
      <vt:variant>
        <vt:i4>0</vt:i4>
      </vt:variant>
      <vt:variant>
        <vt:i4>0</vt:i4>
      </vt:variant>
      <vt:variant>
        <vt:i4>5</vt:i4>
      </vt:variant>
      <vt:variant>
        <vt:lpwstr>mailto:simon.barrett@homeoffice.gsi.gov.uk</vt:lpwstr>
      </vt:variant>
      <vt:variant>
        <vt:lpwstr/>
      </vt:variant>
      <vt:variant>
        <vt:i4>5111824</vt:i4>
      </vt:variant>
      <vt:variant>
        <vt:i4>6</vt:i4>
      </vt:variant>
      <vt:variant>
        <vt:i4>0</vt:i4>
      </vt:variant>
      <vt:variant>
        <vt:i4>5</vt:i4>
      </vt:variant>
      <vt:variant>
        <vt:lpwstr>http://www.biduk.org/</vt:lpwstr>
      </vt:variant>
      <vt:variant>
        <vt:lpwstr/>
      </vt:variant>
      <vt:variant>
        <vt:i4>6291526</vt:i4>
      </vt:variant>
      <vt:variant>
        <vt:i4>3</vt:i4>
      </vt:variant>
      <vt:variant>
        <vt:i4>0</vt:i4>
      </vt:variant>
      <vt:variant>
        <vt:i4>5</vt:i4>
      </vt:variant>
      <vt:variant>
        <vt:lpwstr>mailto:enquiries@biduk.org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Ruth Moulton</dc:creator>
  <cp:lastModifiedBy>volunteer</cp:lastModifiedBy>
  <cp:revision>3</cp:revision>
  <cp:lastPrinted>2014-07-24T17:40:00Z</cp:lastPrinted>
  <dcterms:created xsi:type="dcterms:W3CDTF">2014-07-25T09:26:00Z</dcterms:created>
  <dcterms:modified xsi:type="dcterms:W3CDTF">2014-07-25T09:27:00Z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