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0274F6" w14:textId="77777777" w:rsidR="00677037" w:rsidRDefault="00677037">
      <w:pPr>
        <w:spacing w:before="600" w:after="80" w:line="276" w:lineRule="auto"/>
        <w:jc w:val="both"/>
      </w:pPr>
    </w:p>
    <w:p w14:paraId="2A4DDE34" w14:textId="77777777" w:rsidR="00677037" w:rsidRDefault="00664227">
      <w:pPr>
        <w:spacing w:before="100" w:after="60"/>
        <w:jc w:val="center"/>
      </w:pPr>
      <w:r>
        <w:rPr>
          <w:b/>
          <w:bCs/>
          <w:color w:val="2C5F8A"/>
        </w:rPr>
        <w:t>COMITÉ ACADÉMICO</w:t>
      </w:r>
    </w:p>
    <w:p w14:paraId="08524CC2" w14:textId="77777777" w:rsidR="00677037" w:rsidRDefault="00664227">
      <w:pPr>
        <w:spacing w:before="60" w:after="40"/>
        <w:jc w:val="center"/>
      </w:pPr>
      <w:r>
        <w:rPr>
          <w:color w:val="000000"/>
          <w:sz w:val="20"/>
          <w:szCs w:val="20"/>
        </w:rPr>
        <w:t>Proyecto de Ley que Crea un Estatuto de Facilitadores y Asistentes,</w:t>
      </w:r>
    </w:p>
    <w:p w14:paraId="5857561D" w14:textId="77777777" w:rsidR="00677037" w:rsidRDefault="00664227">
      <w:pPr>
        <w:spacing w:before="40" w:after="40"/>
        <w:jc w:val="center"/>
      </w:pPr>
      <w:r>
        <w:rPr>
          <w:color w:val="000000"/>
          <w:sz w:val="20"/>
          <w:szCs w:val="20"/>
        </w:rPr>
        <w:t>establece un nuevo procedimiento de interdicción de las personas dementes,</w:t>
      </w:r>
    </w:p>
    <w:p w14:paraId="298F73BF" w14:textId="77777777" w:rsidR="00677037" w:rsidRDefault="00664227">
      <w:pPr>
        <w:spacing w:before="40" w:after="40"/>
        <w:jc w:val="center"/>
      </w:pPr>
      <w:r>
        <w:rPr>
          <w:color w:val="000000"/>
          <w:sz w:val="20"/>
          <w:szCs w:val="20"/>
        </w:rPr>
        <w:t>y modifica el Código Civil y otros cuerpos legales que indica</w:t>
      </w:r>
    </w:p>
    <w:p w14:paraId="7F583EB9" w14:textId="77777777" w:rsidR="00677037" w:rsidRDefault="00664227">
      <w:pPr>
        <w:spacing w:before="40" w:after="200"/>
        <w:jc w:val="center"/>
      </w:pPr>
      <w:r>
        <w:rPr>
          <w:color w:val="000000"/>
          <w:sz w:val="20"/>
          <w:szCs w:val="20"/>
        </w:rPr>
        <w:t>(Boletín 14783-07)</w:t>
      </w:r>
    </w:p>
    <w:p w14:paraId="776B4553" w14:textId="77777777" w:rsidR="00677037" w:rsidRDefault="00677037">
      <w:pPr>
        <w:pBdr>
          <w:bottom w:val="single" w:sz="3" w:space="2" w:color="AAAAAA"/>
        </w:pBdr>
        <w:spacing w:before="200" w:after="200"/>
      </w:pPr>
    </w:p>
    <w:p w14:paraId="694F86BF" w14:textId="77777777" w:rsidR="00677037" w:rsidRDefault="00664227">
      <w:pPr>
        <w:spacing w:before="200" w:after="100"/>
        <w:jc w:val="center"/>
      </w:pPr>
      <w:r>
        <w:rPr>
          <w:b/>
          <w:bCs/>
          <w:color w:val="1A3E5C"/>
          <w:sz w:val="32"/>
          <w:szCs w:val="32"/>
        </w:rPr>
        <w:t>INFORME UNIFICADO DE LAS CUATRO SUBCOMISIONES</w:t>
      </w:r>
    </w:p>
    <w:p w14:paraId="2AF1487F" w14:textId="77777777" w:rsidR="00677037" w:rsidRDefault="00677037">
      <w:pPr>
        <w:pBdr>
          <w:bottom w:val="single" w:sz="3" w:space="2" w:color="AAAAAA"/>
        </w:pBdr>
        <w:spacing w:before="200" w:after="200"/>
      </w:pPr>
    </w:p>
    <w:p w14:paraId="0576F453" w14:textId="77777777" w:rsidR="00677037" w:rsidRDefault="00677037">
      <w:pPr>
        <w:spacing w:before="400" w:after="80" w:line="276" w:lineRule="auto"/>
        <w:jc w:val="both"/>
      </w:pPr>
    </w:p>
    <w:p w14:paraId="3F87D2DE" w14:textId="77777777" w:rsidR="00677037" w:rsidRDefault="00664227">
      <w:r>
        <w:br w:type="page"/>
      </w:r>
    </w:p>
    <w:p w14:paraId="58B169C3" w14:textId="77777777" w:rsidR="00677037" w:rsidRDefault="00664227">
      <w:pPr>
        <w:pBdr>
          <w:bottom w:val="single" w:sz="6" w:space="4" w:color="2C5F8A"/>
        </w:pBdr>
        <w:spacing w:before="300" w:after="150"/>
      </w:pPr>
      <w:r>
        <w:rPr>
          <w:b/>
          <w:bCs/>
          <w:color w:val="2C5F8A"/>
          <w:sz w:val="28"/>
          <w:szCs w:val="28"/>
        </w:rPr>
        <w:lastRenderedPageBreak/>
        <w:t>INTEGRANTES Y ELABORADORES DE LOS INFORMES</w:t>
      </w:r>
    </w:p>
    <w:p w14:paraId="293332E3" w14:textId="77777777" w:rsidR="00677037" w:rsidRDefault="00664227">
      <w:pPr>
        <w:spacing w:before="240" w:after="100"/>
      </w:pPr>
      <w:proofErr w:type="gramStart"/>
      <w:r>
        <w:rPr>
          <w:b/>
          <w:bCs/>
          <w:color w:val="1A3E5C"/>
          <w:sz w:val="24"/>
          <w:szCs w:val="24"/>
        </w:rPr>
        <w:t>Subcomisión N.º</w:t>
      </w:r>
      <w:proofErr w:type="gramEnd"/>
      <w:r>
        <w:rPr>
          <w:b/>
          <w:bCs/>
          <w:color w:val="1A3E5C"/>
          <w:sz w:val="24"/>
          <w:szCs w:val="24"/>
        </w:rPr>
        <w:t xml:space="preserve"> 1: Objeto de la Ley y Regulación de Facilitadores</w:t>
      </w:r>
    </w:p>
    <w:p w14:paraId="2C33E829" w14:textId="77777777" w:rsidR="00677037" w:rsidRDefault="00664227">
      <w:pPr>
        <w:pStyle w:val="ListParagraph"/>
        <w:numPr>
          <w:ilvl w:val="0"/>
          <w:numId w:val="2"/>
        </w:numPr>
        <w:spacing w:before="60" w:after="60" w:line="276" w:lineRule="auto"/>
      </w:pPr>
      <w:r>
        <w:t>Constanza Astudillo Meza</w:t>
      </w:r>
    </w:p>
    <w:p w14:paraId="5E5E417D" w14:textId="77777777" w:rsidR="00677037" w:rsidRDefault="00664227">
      <w:pPr>
        <w:pStyle w:val="ListParagraph"/>
        <w:numPr>
          <w:ilvl w:val="0"/>
          <w:numId w:val="2"/>
        </w:numPr>
        <w:spacing w:before="60" w:after="60" w:line="276" w:lineRule="auto"/>
      </w:pPr>
      <w:r>
        <w:t>Stephanie Merlet Zuvic</w:t>
      </w:r>
    </w:p>
    <w:p w14:paraId="61033505" w14:textId="77777777" w:rsidR="00677037" w:rsidRDefault="00664227">
      <w:pPr>
        <w:pStyle w:val="ListParagraph"/>
        <w:numPr>
          <w:ilvl w:val="0"/>
          <w:numId w:val="2"/>
        </w:numPr>
        <w:spacing w:before="60" w:after="60" w:line="276" w:lineRule="auto"/>
      </w:pPr>
      <w:r>
        <w:t>Alexis Mondaca Miranda</w:t>
      </w:r>
    </w:p>
    <w:p w14:paraId="5315EE23" w14:textId="77777777" w:rsidR="00677037" w:rsidRDefault="00664227">
      <w:pPr>
        <w:pStyle w:val="ListParagraph"/>
        <w:numPr>
          <w:ilvl w:val="0"/>
          <w:numId w:val="2"/>
        </w:numPr>
        <w:spacing w:before="60" w:after="60" w:line="276" w:lineRule="auto"/>
      </w:pPr>
      <w:r>
        <w:t>María Isabel Rodríguez Alfaro</w:t>
      </w:r>
    </w:p>
    <w:p w14:paraId="0B5D8F15" w14:textId="77777777" w:rsidR="00677037" w:rsidRDefault="00664227">
      <w:pPr>
        <w:pStyle w:val="ListParagraph"/>
        <w:numPr>
          <w:ilvl w:val="0"/>
          <w:numId w:val="2"/>
        </w:numPr>
        <w:spacing w:before="60" w:after="60" w:line="276" w:lineRule="auto"/>
      </w:pPr>
      <w:r>
        <w:t>Veronika Wegner Astudillo</w:t>
      </w:r>
    </w:p>
    <w:p w14:paraId="1F46CE5B" w14:textId="77777777" w:rsidR="00677037" w:rsidRDefault="00677037">
      <w:pPr>
        <w:spacing w:before="80" w:after="80" w:line="276" w:lineRule="auto"/>
        <w:jc w:val="both"/>
      </w:pPr>
    </w:p>
    <w:p w14:paraId="7A673599" w14:textId="77777777" w:rsidR="00677037" w:rsidRDefault="00664227">
      <w:pPr>
        <w:spacing w:before="240" w:after="100"/>
      </w:pPr>
      <w:proofErr w:type="gramStart"/>
      <w:r>
        <w:rPr>
          <w:b/>
          <w:bCs/>
          <w:color w:val="1A3E5C"/>
          <w:sz w:val="24"/>
          <w:szCs w:val="24"/>
        </w:rPr>
        <w:t>Subcomisión N.º</w:t>
      </w:r>
      <w:proofErr w:type="gramEnd"/>
      <w:r>
        <w:rPr>
          <w:b/>
          <w:bCs/>
          <w:color w:val="1A3E5C"/>
          <w:sz w:val="24"/>
          <w:szCs w:val="24"/>
        </w:rPr>
        <w:t xml:space="preserve"> 2: Proceso de Interdicción por Demencia</w:t>
      </w:r>
    </w:p>
    <w:p w14:paraId="648025CB" w14:textId="77777777" w:rsidR="00677037" w:rsidRDefault="00664227">
      <w:pPr>
        <w:spacing w:before="180" w:after="80"/>
      </w:pPr>
      <w:r>
        <w:rPr>
          <w:b/>
          <w:bCs/>
          <w:color w:val="000000"/>
        </w:rPr>
        <w:t>Académicos integrantes:</w:t>
      </w:r>
    </w:p>
    <w:p w14:paraId="2336B64A" w14:textId="77777777" w:rsidR="00677037" w:rsidRDefault="00664227">
      <w:pPr>
        <w:pStyle w:val="ListParagraph"/>
        <w:numPr>
          <w:ilvl w:val="0"/>
          <w:numId w:val="2"/>
        </w:numPr>
        <w:spacing w:before="60" w:after="60" w:line="276" w:lineRule="auto"/>
      </w:pPr>
      <w:r>
        <w:t>Ángela María Composto Longhi</w:t>
      </w:r>
    </w:p>
    <w:p w14:paraId="04FBEAAF" w14:textId="77777777" w:rsidR="00677037" w:rsidRDefault="00664227">
      <w:pPr>
        <w:pStyle w:val="ListParagraph"/>
        <w:numPr>
          <w:ilvl w:val="0"/>
          <w:numId w:val="2"/>
        </w:numPr>
        <w:spacing w:before="60" w:after="60" w:line="276" w:lineRule="auto"/>
      </w:pPr>
      <w:r>
        <w:t>Yerko Cubillos</w:t>
      </w:r>
    </w:p>
    <w:p w14:paraId="4F66FF16" w14:textId="77777777" w:rsidR="00677037" w:rsidRDefault="00677037">
      <w:pPr>
        <w:spacing w:before="80" w:after="80" w:line="276" w:lineRule="auto"/>
        <w:jc w:val="both"/>
      </w:pPr>
    </w:p>
    <w:p w14:paraId="3D54BBB8" w14:textId="77777777" w:rsidR="00677037" w:rsidRDefault="00664227">
      <w:pPr>
        <w:spacing w:before="240" w:after="100"/>
      </w:pPr>
      <w:proofErr w:type="gramStart"/>
      <w:r>
        <w:rPr>
          <w:b/>
          <w:bCs/>
          <w:color w:val="1A3E5C"/>
          <w:sz w:val="24"/>
          <w:szCs w:val="24"/>
        </w:rPr>
        <w:t>Subcomisión N.º</w:t>
      </w:r>
      <w:proofErr w:type="gramEnd"/>
      <w:r>
        <w:rPr>
          <w:b/>
          <w:bCs/>
          <w:color w:val="1A3E5C"/>
          <w:sz w:val="24"/>
          <w:szCs w:val="24"/>
        </w:rPr>
        <w:t xml:space="preserve"> 3: Procedimiento de Designación de Facilitadores y Asistentes</w:t>
      </w:r>
    </w:p>
    <w:p w14:paraId="76B25BAE" w14:textId="77777777" w:rsidR="00677037" w:rsidRDefault="00664227">
      <w:pPr>
        <w:pStyle w:val="ListParagraph"/>
        <w:numPr>
          <w:ilvl w:val="0"/>
          <w:numId w:val="2"/>
        </w:numPr>
        <w:spacing w:before="60" w:after="60" w:line="276" w:lineRule="auto"/>
      </w:pPr>
      <w:r>
        <w:t>Yerko A. Cubillos Román (Universidad Autónoma de Chile) – Coordinador</w:t>
      </w:r>
    </w:p>
    <w:p w14:paraId="33741A3F" w14:textId="77777777" w:rsidR="00677037" w:rsidRDefault="00664227">
      <w:pPr>
        <w:pStyle w:val="ListParagraph"/>
        <w:numPr>
          <w:ilvl w:val="0"/>
          <w:numId w:val="2"/>
        </w:numPr>
        <w:spacing w:before="60" w:after="60" w:line="276" w:lineRule="auto"/>
      </w:pPr>
      <w:r>
        <w:t>Mylene Valenzuela Reyes (Universidad Central de Chile) – Académica</w:t>
      </w:r>
    </w:p>
    <w:p w14:paraId="081FBC6E" w14:textId="77777777" w:rsidR="00677037" w:rsidRDefault="00664227">
      <w:pPr>
        <w:pStyle w:val="ListParagraph"/>
        <w:numPr>
          <w:ilvl w:val="0"/>
          <w:numId w:val="2"/>
        </w:numPr>
        <w:spacing w:before="60" w:after="60" w:line="276" w:lineRule="auto"/>
      </w:pPr>
      <w:r>
        <w:t>Ángela Composto Longhi (Universidad Autónoma de Chile) – Académica</w:t>
      </w:r>
    </w:p>
    <w:p w14:paraId="448C7DC2" w14:textId="77777777" w:rsidR="00677037" w:rsidRDefault="00664227">
      <w:pPr>
        <w:pStyle w:val="ListParagraph"/>
        <w:numPr>
          <w:ilvl w:val="0"/>
          <w:numId w:val="2"/>
        </w:numPr>
        <w:spacing w:before="60" w:after="60" w:line="276" w:lineRule="auto"/>
      </w:pPr>
      <w:r>
        <w:t>Ruth Alarcón Padilla (Universidad Católica Silva Henríquez) – Asistente de investigación</w:t>
      </w:r>
    </w:p>
    <w:p w14:paraId="5CC16559" w14:textId="77777777" w:rsidR="00677037" w:rsidRDefault="00664227">
      <w:pPr>
        <w:pStyle w:val="ListParagraph"/>
        <w:numPr>
          <w:ilvl w:val="0"/>
          <w:numId w:val="2"/>
        </w:numPr>
        <w:spacing w:before="60" w:after="60" w:line="276" w:lineRule="auto"/>
      </w:pPr>
      <w:r>
        <w:t>Candela Yáñez Conterio (Universidad Autónoma de Chile) – Asistente de investigación</w:t>
      </w:r>
    </w:p>
    <w:p w14:paraId="0259FA6D" w14:textId="77777777" w:rsidR="00677037" w:rsidRDefault="00664227">
      <w:pPr>
        <w:pStyle w:val="ListParagraph"/>
        <w:numPr>
          <w:ilvl w:val="0"/>
          <w:numId w:val="2"/>
        </w:numPr>
        <w:spacing w:before="60" w:after="60" w:line="276" w:lineRule="auto"/>
      </w:pPr>
      <w:r>
        <w:t>Shayla Brent Franco (Universidad Autónoma de Chile) – Tesista de pregrado</w:t>
      </w:r>
    </w:p>
    <w:p w14:paraId="50E8DB13" w14:textId="77777777" w:rsidR="00677037" w:rsidRDefault="00664227">
      <w:pPr>
        <w:pStyle w:val="ListParagraph"/>
        <w:numPr>
          <w:ilvl w:val="0"/>
          <w:numId w:val="2"/>
        </w:numPr>
        <w:spacing w:before="60" w:after="60" w:line="276" w:lineRule="auto"/>
      </w:pPr>
      <w:r>
        <w:t>Isabella Mojica (Universidad del Alba) – Tesista de pregrado</w:t>
      </w:r>
    </w:p>
    <w:p w14:paraId="10293994" w14:textId="77777777" w:rsidR="00677037" w:rsidRDefault="00677037">
      <w:pPr>
        <w:spacing w:before="80" w:after="80" w:line="276" w:lineRule="auto"/>
        <w:jc w:val="both"/>
      </w:pPr>
    </w:p>
    <w:p w14:paraId="1892ACCC" w14:textId="77777777" w:rsidR="00677037" w:rsidRDefault="00664227">
      <w:pPr>
        <w:spacing w:before="240" w:after="100"/>
      </w:pPr>
      <w:proofErr w:type="gramStart"/>
      <w:r>
        <w:rPr>
          <w:b/>
          <w:bCs/>
          <w:color w:val="1A3E5C"/>
          <w:sz w:val="24"/>
          <w:szCs w:val="24"/>
        </w:rPr>
        <w:t>Subcomisión N.º</w:t>
      </w:r>
      <w:proofErr w:type="gramEnd"/>
      <w:r>
        <w:rPr>
          <w:b/>
          <w:bCs/>
          <w:color w:val="1A3E5C"/>
          <w:sz w:val="24"/>
          <w:szCs w:val="24"/>
        </w:rPr>
        <w:t xml:space="preserve"> 4: Armonización con Constitución, Código Civil y otras normas</w:t>
      </w:r>
    </w:p>
    <w:p w14:paraId="4DFBD345" w14:textId="77777777" w:rsidR="00677037" w:rsidRDefault="00664227">
      <w:pPr>
        <w:pStyle w:val="ListParagraph"/>
        <w:numPr>
          <w:ilvl w:val="0"/>
          <w:numId w:val="2"/>
        </w:numPr>
        <w:spacing w:before="60" w:after="60" w:line="276" w:lineRule="auto"/>
      </w:pPr>
      <w:r>
        <w:t>Álvarez, Rommy</w:t>
      </w:r>
    </w:p>
    <w:p w14:paraId="50E4CAA4" w14:textId="77777777" w:rsidR="00677037" w:rsidRDefault="00664227">
      <w:pPr>
        <w:pStyle w:val="ListParagraph"/>
        <w:numPr>
          <w:ilvl w:val="0"/>
          <w:numId w:val="2"/>
        </w:numPr>
        <w:spacing w:before="60" w:after="60" w:line="276" w:lineRule="auto"/>
      </w:pPr>
      <w:r>
        <w:t>Espada, Susana</w:t>
      </w:r>
    </w:p>
    <w:p w14:paraId="743EE7D7" w14:textId="77777777" w:rsidR="00677037" w:rsidRDefault="00664227">
      <w:pPr>
        <w:pStyle w:val="ListParagraph"/>
        <w:numPr>
          <w:ilvl w:val="0"/>
          <w:numId w:val="2"/>
        </w:numPr>
        <w:spacing w:before="60" w:after="60" w:line="276" w:lineRule="auto"/>
      </w:pPr>
      <w:r>
        <w:t>Gajardo, María Paz</w:t>
      </w:r>
    </w:p>
    <w:p w14:paraId="2C512362" w14:textId="77777777" w:rsidR="00677037" w:rsidRDefault="00664227">
      <w:pPr>
        <w:pStyle w:val="ListParagraph"/>
        <w:numPr>
          <w:ilvl w:val="0"/>
          <w:numId w:val="2"/>
        </w:numPr>
        <w:spacing w:before="60" w:after="60" w:line="276" w:lineRule="auto"/>
      </w:pPr>
      <w:r>
        <w:t>Ibáñez, Nicolás</w:t>
      </w:r>
    </w:p>
    <w:p w14:paraId="3FC73F3E" w14:textId="77777777" w:rsidR="00677037" w:rsidRDefault="00664227">
      <w:pPr>
        <w:pStyle w:val="ListParagraph"/>
        <w:numPr>
          <w:ilvl w:val="0"/>
          <w:numId w:val="2"/>
        </w:numPr>
        <w:spacing w:before="60" w:after="60" w:line="276" w:lineRule="auto"/>
      </w:pPr>
      <w:r>
        <w:t>Montecinos, Andrea</w:t>
      </w:r>
    </w:p>
    <w:p w14:paraId="59D202CA" w14:textId="77777777" w:rsidR="00677037" w:rsidRDefault="00664227">
      <w:pPr>
        <w:pStyle w:val="ListParagraph"/>
        <w:numPr>
          <w:ilvl w:val="0"/>
          <w:numId w:val="2"/>
        </w:numPr>
        <w:spacing w:before="60" w:after="60" w:line="276" w:lineRule="auto"/>
      </w:pPr>
      <w:r>
        <w:t>Núñez, José Ignacio</w:t>
      </w:r>
    </w:p>
    <w:p w14:paraId="68C1F458" w14:textId="77777777" w:rsidR="00677037" w:rsidRDefault="00664227">
      <w:r>
        <w:br w:type="page"/>
      </w:r>
    </w:p>
    <w:p w14:paraId="73C7C28F" w14:textId="77777777" w:rsidR="00677037" w:rsidRDefault="00664227">
      <w:pPr>
        <w:pBdr>
          <w:bottom w:val="single" w:sz="6" w:space="4" w:color="2C5F8A"/>
        </w:pBdr>
        <w:spacing w:before="300" w:after="150"/>
      </w:pPr>
      <w:r>
        <w:rPr>
          <w:b/>
          <w:bCs/>
          <w:color w:val="2C5F8A"/>
          <w:sz w:val="28"/>
          <w:szCs w:val="28"/>
        </w:rPr>
        <w:lastRenderedPageBreak/>
        <w:t>INTRODUCCIÓN GENERAL</w:t>
      </w:r>
    </w:p>
    <w:p w14:paraId="517FEC0C" w14:textId="77777777" w:rsidR="00677037" w:rsidRDefault="00664227">
      <w:pPr>
        <w:spacing w:before="80" w:after="80" w:line="276" w:lineRule="auto"/>
        <w:jc w:val="both"/>
      </w:pPr>
      <w:r>
        <w:rPr>
          <w:color w:val="000000"/>
        </w:rPr>
        <w:t>El presente informe reúne los trabajos desarrollados por las cuatro Subcomisiones del Comité Académico en el marco del análisis del Proyecto de Ley que crea un Estatuto de Facilitadores y Asistentes, establece un nuevo procedimiento de interdicción de las personas dementes y modifica el Código Civil y otros cuerpos legales (Boletín 14783-07).</w:t>
      </w:r>
    </w:p>
    <w:p w14:paraId="338F6B31" w14:textId="77777777" w:rsidR="00677037" w:rsidRDefault="00664227">
      <w:pPr>
        <w:spacing w:before="80" w:after="80" w:line="276" w:lineRule="auto"/>
        <w:jc w:val="both"/>
      </w:pPr>
      <w:r>
        <w:rPr>
          <w:color w:val="000000"/>
        </w:rPr>
        <w:t xml:space="preserve">A lo largo de los informes de las distintas Subcomisiones, se identifican una serie de preocupaciones, observaciones y preguntas reiteradas que son transversales al conjunto del proyecto de ley y que revelan tensiones estructurales con los estándares internacionales de derechos humanos. A </w:t>
      </w:r>
      <w:proofErr w:type="gramStart"/>
      <w:r>
        <w:rPr>
          <w:color w:val="000000"/>
        </w:rPr>
        <w:t>continuación</w:t>
      </w:r>
      <w:proofErr w:type="gramEnd"/>
      <w:r>
        <w:rPr>
          <w:color w:val="000000"/>
        </w:rPr>
        <w:t xml:space="preserve"> se sintetizan dichas reiteraciones comunes.</w:t>
      </w:r>
    </w:p>
    <w:p w14:paraId="201000AF" w14:textId="77777777" w:rsidR="00677037" w:rsidRDefault="00664227">
      <w:pPr>
        <w:spacing w:before="240" w:after="100"/>
      </w:pPr>
      <w:r>
        <w:rPr>
          <w:b/>
          <w:bCs/>
          <w:color w:val="1A3E5C"/>
          <w:sz w:val="24"/>
          <w:szCs w:val="24"/>
        </w:rPr>
        <w:t>1. Tensión con el artículo 12 de la Convención sobre los Derechos de las Personas con Discapacidad (CDPD)</w:t>
      </w:r>
    </w:p>
    <w:p w14:paraId="20F6F0CC" w14:textId="77777777" w:rsidR="00677037" w:rsidRDefault="00664227">
      <w:pPr>
        <w:spacing w:before="80" w:after="80" w:line="276" w:lineRule="auto"/>
        <w:jc w:val="both"/>
      </w:pPr>
      <w:r>
        <w:rPr>
          <w:color w:val="000000"/>
        </w:rPr>
        <w:t>Las cuatro Subcomisiones coinciden en señalar que el proyecto de ley mantiene una contradicción de fondo con el artículo 12 de la CDPD, que reconoce la capacidad jurídica de todas las personas con discapacidad en igualdad de condiciones. El proyecto, pese a declarar en sus antecedentes que asume dicho estándar, mantiene la interdicción por demencia y profundiza en un modelo médico de la discapacidad, incompatible con el modelo de derechos humanos promovido por la Convención.</w:t>
      </w:r>
    </w:p>
    <w:p w14:paraId="3C8096EE" w14:textId="77777777" w:rsidR="00677037" w:rsidRDefault="00664227">
      <w:pPr>
        <w:spacing w:before="240" w:after="100"/>
      </w:pPr>
      <w:r>
        <w:rPr>
          <w:b/>
          <w:bCs/>
          <w:color w:val="1A3E5C"/>
          <w:sz w:val="24"/>
          <w:szCs w:val="24"/>
        </w:rPr>
        <w:t>2. Persistencia del modelo médico o asistencial por sobre el modelo de derechos humanos</w:t>
      </w:r>
    </w:p>
    <w:p w14:paraId="2C2AF39E" w14:textId="77777777" w:rsidR="00677037" w:rsidRDefault="00664227">
      <w:pPr>
        <w:spacing w:before="80" w:after="80" w:line="276" w:lineRule="auto"/>
        <w:jc w:val="both"/>
      </w:pPr>
      <w:r>
        <w:rPr>
          <w:color w:val="000000"/>
        </w:rPr>
        <w:t>Todas las Subcomisiones advierten que el proyecto no logra superar el modelo médico o asistencial, que concibe la discapacidad desde los déficits físicos, mentales o sensoriales, en lugar de adoptar plenamente el modelo de derechos humanos que exige el pleno reconocimiento de la dignidad inherente, la autonomía individual y la capacidad jurídica de las personas con discapacidad.</w:t>
      </w:r>
    </w:p>
    <w:p w14:paraId="06D0AEFF" w14:textId="77777777" w:rsidR="00677037" w:rsidRDefault="00664227">
      <w:pPr>
        <w:spacing w:before="240" w:after="100"/>
      </w:pPr>
      <w:r>
        <w:rPr>
          <w:b/>
          <w:bCs/>
          <w:color w:val="1A3E5C"/>
          <w:sz w:val="24"/>
          <w:szCs w:val="24"/>
        </w:rPr>
        <w:t>3. Uso de terminología peyorativa y estigmatizante</w:t>
      </w:r>
    </w:p>
    <w:p w14:paraId="0ED621C4" w14:textId="77777777" w:rsidR="00677037" w:rsidRDefault="00664227">
      <w:pPr>
        <w:spacing w:before="80" w:after="80" w:line="276" w:lineRule="auto"/>
        <w:jc w:val="both"/>
      </w:pPr>
      <w:r>
        <w:rPr>
          <w:color w:val="000000"/>
        </w:rPr>
        <w:t>Las Subcomisiones 2, 3 y 4 señalan que el proyecto persiste en el uso del término 'demente' y otras expresiones discriminatorias para referirse a las personas con discapacidad psicosocial o mental, lo que contraviene la Convención y los estándares de lenguaje no estigmatizante exigidos por los organismos internacionales.</w:t>
      </w:r>
    </w:p>
    <w:p w14:paraId="47DA075D" w14:textId="77777777" w:rsidR="00677037" w:rsidRDefault="00664227">
      <w:pPr>
        <w:spacing w:before="240" w:after="100"/>
      </w:pPr>
      <w:r>
        <w:rPr>
          <w:b/>
          <w:bCs/>
          <w:color w:val="1A3E5C"/>
          <w:sz w:val="24"/>
          <w:szCs w:val="24"/>
        </w:rPr>
        <w:t>4. Ausencia de armonización legislativa integral</w:t>
      </w:r>
    </w:p>
    <w:p w14:paraId="1259463E" w14:textId="77777777" w:rsidR="00677037" w:rsidRDefault="00664227">
      <w:pPr>
        <w:spacing w:before="80" w:after="80" w:line="276" w:lineRule="auto"/>
        <w:jc w:val="both"/>
      </w:pPr>
      <w:r>
        <w:rPr>
          <w:color w:val="000000"/>
        </w:rPr>
        <w:t>Las cuatro Subcomisiones coinciden en que el proyecto aborda de forma parcial y limitada la necesaria adecuación normativa del ordenamiento jurídico chileno a los estándares de la CDPD. No se trata de forma integral la capacidad jurídica de las personas con discapacidad, ni se armonizan coherentemente los distintos cuerpos normativos afectados: Código Civil, Código de Procedimiento Civil, Ley de Matrimonio Civil, Ley de Menores, entre otros.</w:t>
      </w:r>
    </w:p>
    <w:p w14:paraId="05E868A2" w14:textId="77777777" w:rsidR="00677037" w:rsidRDefault="00664227">
      <w:pPr>
        <w:spacing w:before="240" w:after="100"/>
      </w:pPr>
      <w:r>
        <w:rPr>
          <w:b/>
          <w:bCs/>
          <w:color w:val="1A3E5C"/>
          <w:sz w:val="24"/>
          <w:szCs w:val="24"/>
        </w:rPr>
        <w:t>5. El sistema de apoyos propuesto no garantiza plenamente la autonomía ni la voluntad de las personas con discapacidad</w:t>
      </w:r>
    </w:p>
    <w:p w14:paraId="4002B37E" w14:textId="77777777" w:rsidR="00677037" w:rsidRDefault="00664227">
      <w:pPr>
        <w:spacing w:before="80" w:after="80" w:line="276" w:lineRule="auto"/>
        <w:jc w:val="both"/>
      </w:pPr>
      <w:r>
        <w:rPr>
          <w:color w:val="000000"/>
        </w:rPr>
        <w:t xml:space="preserve">Las Subcomisiones 1, 3 y 4 advierten que la redacción del proyecto, si bien utiliza el lenguaje propio del modelo de apoyos, en la práctica encubre mecanismos de sustitución de voluntad. No se establecen principios rectores claros que aseguren que los apoyos respeten la voluntad, los </w:t>
      </w:r>
      <w:r>
        <w:rPr>
          <w:color w:val="000000"/>
        </w:rPr>
        <w:lastRenderedPageBreak/>
        <w:t>deseos y las preferencias de la persona que los requiere. Asimismo, falta una norma expresa que prohíba la representación o sustitución de voluntad en el marco de los apoyos.</w:t>
      </w:r>
    </w:p>
    <w:p w14:paraId="42ACBBCB" w14:textId="77777777" w:rsidR="00677037" w:rsidRDefault="00664227">
      <w:pPr>
        <w:spacing w:before="240" w:after="100"/>
      </w:pPr>
      <w:r>
        <w:rPr>
          <w:b/>
          <w:bCs/>
          <w:color w:val="1A3E5C"/>
          <w:sz w:val="24"/>
          <w:szCs w:val="24"/>
        </w:rPr>
        <w:t>6. Judicialización excesiva del sistema de apoyos</w:t>
      </w:r>
    </w:p>
    <w:p w14:paraId="77AD3E79" w14:textId="77777777" w:rsidR="00677037" w:rsidRDefault="00664227">
      <w:pPr>
        <w:spacing w:before="80" w:after="80" w:line="276" w:lineRule="auto"/>
        <w:jc w:val="both"/>
      </w:pPr>
      <w:r>
        <w:rPr>
          <w:color w:val="000000"/>
        </w:rPr>
        <w:t>Las Subcomisiones 1 y 3 señalan que el proyecto establece la designación judicial como único mecanismo para la provisión de apoyos, lo que contraviene el carácter esencialmente voluntario que deben tener estos, conforme a la CDPD. La judicialización obligatoria constituye una barrera de acceso a la justicia y puede afectar la autonomía de las personas con discapacidad.</w:t>
      </w:r>
    </w:p>
    <w:p w14:paraId="4C429F18" w14:textId="77777777" w:rsidR="00677037" w:rsidRDefault="00664227">
      <w:pPr>
        <w:spacing w:before="240" w:after="100"/>
      </w:pPr>
      <w:r>
        <w:rPr>
          <w:b/>
          <w:bCs/>
          <w:color w:val="1A3E5C"/>
          <w:sz w:val="24"/>
          <w:szCs w:val="24"/>
        </w:rPr>
        <w:t>7. Ausencia de salvaguardias adecuadas</w:t>
      </w:r>
    </w:p>
    <w:p w14:paraId="32DE2E5E" w14:textId="77777777" w:rsidR="00677037" w:rsidRDefault="00664227">
      <w:pPr>
        <w:spacing w:before="80" w:after="80" w:line="276" w:lineRule="auto"/>
        <w:jc w:val="both"/>
      </w:pPr>
      <w:r>
        <w:rPr>
          <w:color w:val="000000"/>
        </w:rPr>
        <w:t>Las cuatro Subcomisiones destacan la necesidad de contar con mecanismos efectivos de control y salvaguardias que protejan a las personas con discapacidad frente a posibles abusos, influencias indebidas o conflictos de interés en el ejercicio de los apoyos. El proyecto contempla algunas inhabilidades y la rendición de cuentas, pero no establece criterios ex post ni mecanismos de impugnación accesibles para las personas apoyadas.</w:t>
      </w:r>
    </w:p>
    <w:p w14:paraId="10A58D0A" w14:textId="77777777" w:rsidR="00677037" w:rsidRDefault="00664227">
      <w:pPr>
        <w:spacing w:before="240" w:after="100"/>
      </w:pPr>
      <w:r>
        <w:rPr>
          <w:b/>
          <w:bCs/>
          <w:color w:val="1A3E5C"/>
          <w:sz w:val="24"/>
          <w:szCs w:val="24"/>
        </w:rPr>
        <w:t>8. Falta de perspectiva de género, interseccionalidad y enfoque de niñez</w:t>
      </w:r>
    </w:p>
    <w:p w14:paraId="3A2077A6" w14:textId="77777777" w:rsidR="00677037" w:rsidRDefault="00664227">
      <w:pPr>
        <w:spacing w:before="80" w:after="80" w:line="276" w:lineRule="auto"/>
        <w:jc w:val="both"/>
      </w:pPr>
      <w:r>
        <w:rPr>
          <w:color w:val="000000"/>
        </w:rPr>
        <w:t>Las Subcomisiones 3 y 4 señalan que el proyecto no incorpora perspectiva de género, criterios de corresponsabilidad social ni un análisis interseccional de las barreras propias de las personas con discapacidad. Tampoco se articulan adecuadamente los estándares de protección de la infancia (CDN) para los casos en que el modelo de apoyos pudiera aplicarse a niños, niñas y adolescentes.</w:t>
      </w:r>
    </w:p>
    <w:p w14:paraId="0A9AEBEE" w14:textId="77777777" w:rsidR="00677037" w:rsidRDefault="00664227">
      <w:pPr>
        <w:spacing w:before="240" w:after="100"/>
      </w:pPr>
      <w:r>
        <w:rPr>
          <w:b/>
          <w:bCs/>
          <w:color w:val="1A3E5C"/>
          <w:sz w:val="24"/>
          <w:szCs w:val="24"/>
        </w:rPr>
        <w:t>9. Carencia de normas procesales específicas y de acceso a la justicia</w:t>
      </w:r>
    </w:p>
    <w:p w14:paraId="7459CE04" w14:textId="77777777" w:rsidR="00677037" w:rsidRDefault="00664227">
      <w:pPr>
        <w:spacing w:before="80" w:after="80" w:line="276" w:lineRule="auto"/>
        <w:jc w:val="both"/>
      </w:pPr>
      <w:r>
        <w:rPr>
          <w:color w:val="000000"/>
        </w:rPr>
        <w:t>Las Subcomisiones 2 y 4 coinciden en señalar que el proyecto carece de normas procesales adecuadas que garanticen el acceso a la justicia, el debido proceso y la tutela judicial efectiva de las personas con discapacidad. Se echan en falta disposiciones sobre tribunal competente, titularidad de acciones, defensa jurídica especializada y ajustes de procedimiento.</w:t>
      </w:r>
    </w:p>
    <w:p w14:paraId="34417760" w14:textId="77777777" w:rsidR="00677037" w:rsidRDefault="00664227">
      <w:r>
        <w:br w:type="page"/>
      </w:r>
    </w:p>
    <w:p w14:paraId="4E8D6488" w14:textId="77777777" w:rsidR="00677037" w:rsidRDefault="00664227">
      <w:pPr>
        <w:pBdr>
          <w:bottom w:val="single" w:sz="6" w:space="4" w:color="2C5F8A"/>
        </w:pBdr>
        <w:spacing w:before="300" w:after="150"/>
      </w:pPr>
      <w:proofErr w:type="gramStart"/>
      <w:r>
        <w:rPr>
          <w:b/>
          <w:bCs/>
          <w:color w:val="2C5F8A"/>
          <w:sz w:val="28"/>
          <w:szCs w:val="28"/>
        </w:rPr>
        <w:lastRenderedPageBreak/>
        <w:t>SUBCOMISIÓN N.º</w:t>
      </w:r>
      <w:proofErr w:type="gramEnd"/>
      <w:r>
        <w:rPr>
          <w:b/>
          <w:bCs/>
          <w:color w:val="2C5F8A"/>
          <w:sz w:val="28"/>
          <w:szCs w:val="28"/>
        </w:rPr>
        <w:t xml:space="preserve"> 1: OBJETO DE LA LEY Y REGULACIÓN DE FACILITADORES</w:t>
      </w:r>
    </w:p>
    <w:p w14:paraId="21569A43" w14:textId="77777777" w:rsidR="00677037" w:rsidRDefault="00664227">
      <w:pPr>
        <w:spacing w:before="240" w:after="100"/>
      </w:pPr>
      <w:r>
        <w:rPr>
          <w:b/>
          <w:bCs/>
          <w:color w:val="1A3E5C"/>
          <w:sz w:val="24"/>
          <w:szCs w:val="24"/>
        </w:rPr>
        <w:t>Integrantes</w:t>
      </w:r>
    </w:p>
    <w:p w14:paraId="1268C28D" w14:textId="77777777" w:rsidR="00677037" w:rsidRDefault="00664227">
      <w:pPr>
        <w:pStyle w:val="ListParagraph"/>
        <w:numPr>
          <w:ilvl w:val="0"/>
          <w:numId w:val="2"/>
        </w:numPr>
        <w:spacing w:before="60" w:after="60" w:line="276" w:lineRule="auto"/>
      </w:pPr>
      <w:r>
        <w:t>Constanza Astudillo Meza</w:t>
      </w:r>
    </w:p>
    <w:p w14:paraId="57FC5644" w14:textId="77777777" w:rsidR="00677037" w:rsidRDefault="00664227">
      <w:pPr>
        <w:pStyle w:val="ListParagraph"/>
        <w:numPr>
          <w:ilvl w:val="0"/>
          <w:numId w:val="2"/>
        </w:numPr>
        <w:spacing w:before="60" w:after="60" w:line="276" w:lineRule="auto"/>
      </w:pPr>
      <w:r>
        <w:t>Stephanie Merlet Zuvic</w:t>
      </w:r>
    </w:p>
    <w:p w14:paraId="06864DA4" w14:textId="77777777" w:rsidR="00677037" w:rsidRDefault="00664227">
      <w:pPr>
        <w:pStyle w:val="ListParagraph"/>
        <w:numPr>
          <w:ilvl w:val="0"/>
          <w:numId w:val="2"/>
        </w:numPr>
        <w:spacing w:before="60" w:after="60" w:line="276" w:lineRule="auto"/>
      </w:pPr>
      <w:r>
        <w:t>Alexis Mondaca Miranda</w:t>
      </w:r>
    </w:p>
    <w:p w14:paraId="695D455F" w14:textId="77777777" w:rsidR="00677037" w:rsidRDefault="00664227">
      <w:pPr>
        <w:pStyle w:val="ListParagraph"/>
        <w:numPr>
          <w:ilvl w:val="0"/>
          <w:numId w:val="2"/>
        </w:numPr>
        <w:spacing w:before="60" w:after="60" w:line="276" w:lineRule="auto"/>
      </w:pPr>
      <w:r>
        <w:t>María Isabel Rodríguez Alfaro</w:t>
      </w:r>
    </w:p>
    <w:p w14:paraId="3A3B4194" w14:textId="77777777" w:rsidR="00677037" w:rsidRDefault="00664227">
      <w:pPr>
        <w:pStyle w:val="ListParagraph"/>
        <w:numPr>
          <w:ilvl w:val="0"/>
          <w:numId w:val="2"/>
        </w:numPr>
        <w:spacing w:before="60" w:after="60" w:line="276" w:lineRule="auto"/>
      </w:pPr>
      <w:r>
        <w:t>Veronika Wegner Astudillo</w:t>
      </w:r>
    </w:p>
    <w:p w14:paraId="0E4F8C1B" w14:textId="77777777" w:rsidR="00677037" w:rsidRDefault="00664227">
      <w:pPr>
        <w:spacing w:before="240" w:after="100"/>
      </w:pPr>
      <w:r>
        <w:rPr>
          <w:b/>
          <w:bCs/>
          <w:color w:val="1A3E5C"/>
          <w:sz w:val="24"/>
          <w:szCs w:val="24"/>
        </w:rPr>
        <w:t>Desarrollo del trabajo</w:t>
      </w:r>
    </w:p>
    <w:p w14:paraId="1CBEAA46" w14:textId="77777777" w:rsidR="00677037" w:rsidRDefault="00664227">
      <w:pPr>
        <w:spacing w:before="80" w:after="80" w:line="276" w:lineRule="auto"/>
        <w:jc w:val="both"/>
      </w:pPr>
      <w:r>
        <w:rPr>
          <w:color w:val="000000"/>
        </w:rPr>
        <w:t>La Subcomisión N.º 1 analizó artículo por artículo del proyecto de ley en sus aspectos sustantivos relativos al objeto de la ley, la definición y estatuto de facilitadores y asistentes, su designación, estándar de comportamiento, responsabilidad, prohibiciones, inhabilidades, revisión judicial periódica y expiración del cargo.</w:t>
      </w:r>
    </w:p>
    <w:p w14:paraId="5996F753" w14:textId="77777777" w:rsidR="00677037" w:rsidRDefault="00664227">
      <w:pPr>
        <w:spacing w:before="240" w:after="100"/>
      </w:pPr>
      <w:r>
        <w:rPr>
          <w:b/>
          <w:bCs/>
          <w:color w:val="1A3E5C"/>
          <w:sz w:val="24"/>
          <w:szCs w:val="24"/>
        </w:rPr>
        <w:t>Artículo 1.º – Objeto de la Ley</w:t>
      </w:r>
    </w:p>
    <w:p w14:paraId="0F9B1853" w14:textId="77777777" w:rsidR="00677037" w:rsidRDefault="00664227">
      <w:pPr>
        <w:spacing w:before="80" w:after="80" w:line="276" w:lineRule="auto"/>
        <w:jc w:val="both"/>
      </w:pPr>
      <w:r>
        <w:rPr>
          <w:color w:val="000000"/>
        </w:rPr>
        <w:t>La Subcomisión observa que el objeto de la ley no se centra en los derechos de las personas con discapacidad, sino en el estatuto de terceros (facilitadores y asistentes). La redacción conduce a entender que el centro normativo son los facilitadores y asistentes. El artículo segmenta los apoyos por tipo de discapacidad de manera arbitraria: asigna facilitadores a personas con discapacidad mental y asistentes a personas con discapacidad física o sensorial, lo que resulta incompatible con la idea de apoyos individualizados y proporcionales. No se declara que el sistema se funda en el respeto de la capacidad jurídica en igualdad de condiciones, ni se incorporan los principios de no discriminación e igualdad.</w:t>
      </w:r>
    </w:p>
    <w:p w14:paraId="4C00F494" w14:textId="77777777" w:rsidR="00677037" w:rsidRDefault="00664227">
      <w:pPr>
        <w:spacing w:before="240" w:after="100"/>
      </w:pPr>
      <w:r>
        <w:rPr>
          <w:b/>
          <w:bCs/>
          <w:color w:val="1A3E5C"/>
          <w:sz w:val="24"/>
          <w:szCs w:val="24"/>
        </w:rPr>
        <w:t>Artículo 2.º – Definición de facilitador</w:t>
      </w:r>
    </w:p>
    <w:p w14:paraId="5BB3B618" w14:textId="77777777" w:rsidR="00677037" w:rsidRDefault="00664227">
      <w:pPr>
        <w:spacing w:before="80" w:after="80" w:line="276" w:lineRule="auto"/>
        <w:jc w:val="both"/>
      </w:pPr>
      <w:r>
        <w:rPr>
          <w:color w:val="000000"/>
        </w:rPr>
        <w:t>La definición se construye sobre la designación judicial, desplazando el eje desde la autonomía hacia la institucionalización del apoyo. La amplitud funcional de las expresiones 'resguardo de sus derechos' y 'comprensión de todo tipo de actos jurídicos' permite que el rol del facilitador devenga en control o sustitución de decisiones. Se sugiere revisar que el facilitador pueda ser una persona jurídica, dado que ello es contrario a la idea de apoyos personalizados conforme a la Observación General N.º 1 del Comité de la CDPD.</w:t>
      </w:r>
    </w:p>
    <w:p w14:paraId="185D98E1" w14:textId="77777777" w:rsidR="00677037" w:rsidRDefault="00664227">
      <w:pPr>
        <w:spacing w:before="240" w:after="100"/>
      </w:pPr>
      <w:r>
        <w:rPr>
          <w:b/>
          <w:bCs/>
          <w:color w:val="1A3E5C"/>
          <w:sz w:val="24"/>
          <w:szCs w:val="24"/>
        </w:rPr>
        <w:t>Artículo 3.º – Personas que pueden ser designadas como facilitadores</w:t>
      </w:r>
    </w:p>
    <w:p w14:paraId="59BEA144" w14:textId="77777777" w:rsidR="00677037" w:rsidRDefault="00664227">
      <w:pPr>
        <w:spacing w:before="80" w:after="80" w:line="276" w:lineRule="auto"/>
        <w:jc w:val="both"/>
      </w:pPr>
      <w:r>
        <w:rPr>
          <w:color w:val="000000"/>
        </w:rPr>
        <w:t>Si bien el artículo contempla tanto personas naturales como jurídicas, consistente con la experiencia comparada, el inciso primero solo contempla la designación judicial, algo contrario a la Convención. El artículo 12 de la CDPD exige apoyos de carácter voluntario, designados libre y consensuadamente por la persona que los requiere.</w:t>
      </w:r>
    </w:p>
    <w:p w14:paraId="013D8A05" w14:textId="77777777" w:rsidR="00677037" w:rsidRDefault="00664227">
      <w:pPr>
        <w:spacing w:before="240" w:after="100"/>
      </w:pPr>
      <w:r>
        <w:rPr>
          <w:b/>
          <w:bCs/>
          <w:color w:val="1A3E5C"/>
          <w:sz w:val="24"/>
          <w:szCs w:val="24"/>
        </w:rPr>
        <w:t>Artículo 4.º – Definición de asistente</w:t>
      </w:r>
    </w:p>
    <w:p w14:paraId="30E48CE7" w14:textId="77777777" w:rsidR="00677037" w:rsidRDefault="00664227">
      <w:pPr>
        <w:spacing w:before="80" w:after="80" w:line="276" w:lineRule="auto"/>
        <w:jc w:val="both"/>
      </w:pPr>
      <w:r>
        <w:rPr>
          <w:color w:val="000000"/>
        </w:rPr>
        <w:t>La definición es concordante con la función de apoyo en la comunicación con terceros de personas con discapacidad física o sensorial. Sin embargo, queda la duda sobre la necesidad de diferenciar entre facilitador y asistente, en lugar de tratar simplemente de una figura de apoyo unificada con funciones diferenciadas según las necesidades de la persona.</w:t>
      </w:r>
    </w:p>
    <w:p w14:paraId="4AFE3E67" w14:textId="77777777" w:rsidR="00677037" w:rsidRDefault="00664227">
      <w:pPr>
        <w:spacing w:before="240" w:after="100"/>
      </w:pPr>
      <w:r>
        <w:rPr>
          <w:b/>
          <w:bCs/>
          <w:color w:val="1A3E5C"/>
          <w:sz w:val="24"/>
          <w:szCs w:val="24"/>
        </w:rPr>
        <w:lastRenderedPageBreak/>
        <w:t>Artículo 5.º – Estándar de comportamiento</w:t>
      </w:r>
    </w:p>
    <w:p w14:paraId="16ACDB83" w14:textId="77777777" w:rsidR="00677037" w:rsidRDefault="00664227">
      <w:pPr>
        <w:spacing w:before="80" w:after="80" w:line="276" w:lineRule="auto"/>
        <w:jc w:val="both"/>
      </w:pPr>
      <w:r>
        <w:rPr>
          <w:color w:val="000000"/>
        </w:rPr>
        <w:t>La norma debe relacionarse con el artículo 2.º y 4.º, pues el 'ejercicio de sus respectivos cargos' supone transmitir información de manera comprensible a las personas con discapacidad. Ello es contradictorio con el artículo 4 letra h) de la CDPD, que exige que la información esté disponible de manera accesible. Los criterios de 'diligencia, honestidad y buena fe' son amplios y deben complementarse con los lineamientos de la Observación General N.º 1 de 2014, en especial respecto al riesgo de influencia indebida. No se delimita el tipo de información a la que tienen acceso el facilitador o asistente.</w:t>
      </w:r>
    </w:p>
    <w:p w14:paraId="006DE38C" w14:textId="77777777" w:rsidR="00677037" w:rsidRDefault="00664227">
      <w:pPr>
        <w:spacing w:before="240" w:after="100"/>
      </w:pPr>
      <w:r>
        <w:rPr>
          <w:b/>
          <w:bCs/>
          <w:color w:val="1A3E5C"/>
          <w:sz w:val="24"/>
          <w:szCs w:val="24"/>
        </w:rPr>
        <w:t>Artículo 6.º – Designación</w:t>
      </w:r>
    </w:p>
    <w:p w14:paraId="12BF12C2" w14:textId="77777777" w:rsidR="00677037" w:rsidRDefault="00664227">
      <w:pPr>
        <w:spacing w:before="80" w:after="80" w:line="276" w:lineRule="auto"/>
        <w:jc w:val="both"/>
      </w:pPr>
      <w:r>
        <w:rPr>
          <w:color w:val="000000"/>
        </w:rPr>
        <w:t>La norma no se ajusta a la Convención, pues la designación de personas de apoyo no debería ser el mecanismo que otorga la capacidad jurídica a las personas con discapacidad. Existe además una contradicción en la secuencia normativa al facultar a la persona con discapacidad para autorizar un representante convencional para actos específicos. La lógica sigue siendo contraria a la interpretación de la Convención sobre el ejercicio autónomo de la capacidad jurídica.</w:t>
      </w:r>
    </w:p>
    <w:p w14:paraId="473F45FD" w14:textId="77777777" w:rsidR="00677037" w:rsidRDefault="00664227">
      <w:pPr>
        <w:spacing w:before="240" w:after="100"/>
      </w:pPr>
      <w:r>
        <w:rPr>
          <w:b/>
          <w:bCs/>
          <w:color w:val="1A3E5C"/>
          <w:sz w:val="24"/>
          <w:szCs w:val="24"/>
        </w:rPr>
        <w:t>Artículo 7.º – Responsabilidad</w:t>
      </w:r>
    </w:p>
    <w:p w14:paraId="616CD203" w14:textId="77777777" w:rsidR="00677037" w:rsidRDefault="00664227">
      <w:pPr>
        <w:spacing w:before="80" w:after="80" w:line="276" w:lineRule="auto"/>
        <w:jc w:val="both"/>
      </w:pPr>
      <w:r>
        <w:rPr>
          <w:color w:val="000000"/>
        </w:rPr>
        <w:t>El artículo precisa el estándar de diligencia exigible al facilitador y al asistente, fijándolo en la culpa leve, lo que aplica la regla general de diligencia media. Este precepto se vincula con el artículo 5.º y establece coherencia interna, aunque debe articularse con criterios más específicos sobre la forma de interpretar la voluntad de la persona apoyada.</w:t>
      </w:r>
    </w:p>
    <w:p w14:paraId="26C1B02E" w14:textId="77777777" w:rsidR="00677037" w:rsidRDefault="00664227">
      <w:pPr>
        <w:spacing w:before="240" w:after="100"/>
      </w:pPr>
      <w:r>
        <w:rPr>
          <w:b/>
          <w:bCs/>
          <w:color w:val="1A3E5C"/>
          <w:sz w:val="24"/>
          <w:szCs w:val="24"/>
        </w:rPr>
        <w:t>Artículo 8.º – Prohibiciones</w:t>
      </w:r>
    </w:p>
    <w:p w14:paraId="6F90AE8C" w14:textId="77777777" w:rsidR="00677037" w:rsidRDefault="00664227">
      <w:pPr>
        <w:spacing w:before="80" w:after="80" w:line="276" w:lineRule="auto"/>
        <w:jc w:val="both"/>
      </w:pPr>
      <w:r>
        <w:rPr>
          <w:color w:val="000000"/>
        </w:rPr>
        <w:t>El artículo busca consagrar una protección patrimonial en favor de la persona con discapacidad, en línea con el artículo 12.5 de la CDPD. Se valora positivamente que el cuadrienio para impetrar la nulidad relativa se cuente desde el cese de la designación. Sin embargo, se critica la omisión de la compraventa y promesa de bienes muebles de alto valor en los incisos primero y segundo, dado que algunos bienes muebles pueden superar en valor a los inmuebles.</w:t>
      </w:r>
    </w:p>
    <w:p w14:paraId="1C8528E6" w14:textId="77777777" w:rsidR="00677037" w:rsidRDefault="00664227">
      <w:pPr>
        <w:spacing w:before="240" w:after="100"/>
      </w:pPr>
      <w:r>
        <w:rPr>
          <w:b/>
          <w:bCs/>
          <w:color w:val="1A3E5C"/>
          <w:sz w:val="24"/>
          <w:szCs w:val="24"/>
        </w:rPr>
        <w:t>Artículo 9.º – Inhabilidades</w:t>
      </w:r>
    </w:p>
    <w:p w14:paraId="3B7EB2BB" w14:textId="77777777" w:rsidR="00677037" w:rsidRDefault="00664227">
      <w:pPr>
        <w:spacing w:before="80" w:after="80" w:line="276" w:lineRule="auto"/>
        <w:jc w:val="both"/>
      </w:pPr>
      <w:r>
        <w:rPr>
          <w:color w:val="000000"/>
        </w:rPr>
        <w:t>Las tres primeras causales responden a la idea de salvaguardias del artículo 12 de la CDPD. La letra d) requiere mayor precisión sobre cuándo se entiende incumplida la obligación de rendición de cuentas y sobre el estándar de 'cumplir satisfactoriamente las funciones de apoyo'. La letra e) permite decisiones excesivamente discrecionales del tribunal, lo que podría afectar la seguridad jurídica.</w:t>
      </w:r>
    </w:p>
    <w:p w14:paraId="069B8C19" w14:textId="77777777" w:rsidR="00677037" w:rsidRDefault="00664227">
      <w:pPr>
        <w:spacing w:before="240" w:after="100"/>
      </w:pPr>
      <w:r>
        <w:rPr>
          <w:b/>
          <w:bCs/>
          <w:color w:val="1A3E5C"/>
          <w:sz w:val="24"/>
          <w:szCs w:val="24"/>
        </w:rPr>
        <w:t>Artículo 10 – Revisión judicial periódica de desempeño</w:t>
      </w:r>
    </w:p>
    <w:p w14:paraId="185A5E98" w14:textId="77777777" w:rsidR="00677037" w:rsidRDefault="00664227">
      <w:pPr>
        <w:spacing w:before="80" w:after="80" w:line="276" w:lineRule="auto"/>
        <w:jc w:val="both"/>
      </w:pPr>
      <w:r>
        <w:rPr>
          <w:color w:val="000000"/>
        </w:rPr>
        <w:t>Se advierte coherencia relativa con el sistema de apoyos de la CDPD, especialmente en la revisión periódica como salvaguardia. Sin embargo, la figura carece de sentido si no tiene como contrapartida la declaración de capacidad jurídica de las personas con discapacidad. Se sugiere establecer una sanción específica cuando el facilitador no rinda cuentas previo a contraer matrimonio o acuerdo de unión civil con la persona apoyada.</w:t>
      </w:r>
    </w:p>
    <w:p w14:paraId="5DEBB9F2" w14:textId="77777777" w:rsidR="00677037" w:rsidRDefault="00664227">
      <w:pPr>
        <w:spacing w:before="240" w:after="100"/>
      </w:pPr>
      <w:r>
        <w:rPr>
          <w:b/>
          <w:bCs/>
          <w:color w:val="1A3E5C"/>
          <w:sz w:val="24"/>
          <w:szCs w:val="24"/>
        </w:rPr>
        <w:t>Artículo 11 – Expiración del cargo</w:t>
      </w:r>
    </w:p>
    <w:p w14:paraId="374952C1" w14:textId="77777777" w:rsidR="00677037" w:rsidRDefault="00664227">
      <w:pPr>
        <w:spacing w:before="80" w:after="80" w:line="276" w:lineRule="auto"/>
        <w:jc w:val="both"/>
      </w:pPr>
      <w:r>
        <w:rPr>
          <w:color w:val="000000"/>
        </w:rPr>
        <w:t xml:space="preserve">Diversas causales reflejan lógicas propias de sistemas de sustitución de decisiones, incompatibles con la CDPD. La revocación mediante acta ante tribunal constituye una barrera </w:t>
      </w:r>
      <w:r>
        <w:rPr>
          <w:color w:val="000000"/>
        </w:rPr>
        <w:lastRenderedPageBreak/>
        <w:t>práctica para el ejercicio autónomo. La causal de interdicción del facilitador o de la persona con discapacidad revela que el proyecto mantiene una institución incompatible con el artículo 12 de la Convención. No se incorporan criterios vinculados a la protección de la voluntad y preferencias de la persona como elemento central para evaluar la continuidad del apoyo.</w:t>
      </w:r>
    </w:p>
    <w:p w14:paraId="12F887CA" w14:textId="77777777" w:rsidR="00677037" w:rsidRDefault="00664227">
      <w:pPr>
        <w:spacing w:before="240" w:after="100"/>
      </w:pPr>
      <w:r>
        <w:rPr>
          <w:b/>
          <w:bCs/>
          <w:color w:val="1A3E5C"/>
          <w:sz w:val="24"/>
          <w:szCs w:val="24"/>
        </w:rPr>
        <w:t>Artículo 12 – Relación con normas de accesibilidad</w:t>
      </w:r>
    </w:p>
    <w:p w14:paraId="637E0368" w14:textId="77777777" w:rsidR="00677037" w:rsidRDefault="00664227">
      <w:pPr>
        <w:spacing w:before="80" w:after="80" w:line="276" w:lineRule="auto"/>
        <w:jc w:val="both"/>
      </w:pPr>
      <w:r>
        <w:rPr>
          <w:color w:val="000000"/>
        </w:rPr>
        <w:t>El artículo tiene carácter meramente declarativo. No establece mecanismos concretos que garanticen la interacción efectiva entre el sistema de apoyos, las obligaciones de accesibilidad institucional y los ajustes razonables en procedimientos administrativos y judiciales.</w:t>
      </w:r>
    </w:p>
    <w:p w14:paraId="7455A15E" w14:textId="77777777" w:rsidR="00677037" w:rsidRDefault="00664227">
      <w:r>
        <w:br w:type="page"/>
      </w:r>
    </w:p>
    <w:p w14:paraId="141C8544" w14:textId="77777777" w:rsidR="00677037" w:rsidRDefault="00664227">
      <w:pPr>
        <w:pBdr>
          <w:bottom w:val="single" w:sz="6" w:space="4" w:color="2C5F8A"/>
        </w:pBdr>
        <w:spacing w:before="300" w:after="150"/>
      </w:pPr>
      <w:proofErr w:type="gramStart"/>
      <w:r>
        <w:rPr>
          <w:b/>
          <w:bCs/>
          <w:color w:val="2C5F8A"/>
          <w:sz w:val="28"/>
          <w:szCs w:val="28"/>
        </w:rPr>
        <w:lastRenderedPageBreak/>
        <w:t>SUBCOMISIÓN N.º</w:t>
      </w:r>
      <w:proofErr w:type="gramEnd"/>
      <w:r>
        <w:rPr>
          <w:b/>
          <w:bCs/>
          <w:color w:val="2C5F8A"/>
          <w:sz w:val="28"/>
          <w:szCs w:val="28"/>
        </w:rPr>
        <w:t xml:space="preserve"> 2: PROCESO DE INTERDICCIÓN POR DEMENCIA</w:t>
      </w:r>
    </w:p>
    <w:p w14:paraId="25314DC2" w14:textId="77777777" w:rsidR="00677037" w:rsidRDefault="00664227">
      <w:pPr>
        <w:spacing w:before="240" w:after="100"/>
      </w:pPr>
      <w:r>
        <w:rPr>
          <w:b/>
          <w:bCs/>
          <w:color w:val="1A3E5C"/>
          <w:sz w:val="24"/>
          <w:szCs w:val="24"/>
        </w:rPr>
        <w:t>Integrantes</w:t>
      </w:r>
    </w:p>
    <w:p w14:paraId="6F80CCF6" w14:textId="77777777" w:rsidR="00677037" w:rsidRDefault="00664227">
      <w:pPr>
        <w:pStyle w:val="ListParagraph"/>
        <w:numPr>
          <w:ilvl w:val="0"/>
          <w:numId w:val="2"/>
        </w:numPr>
        <w:spacing w:before="60" w:after="60" w:line="276" w:lineRule="auto"/>
      </w:pPr>
      <w:r>
        <w:t>Ángela María Composto Longhi</w:t>
      </w:r>
    </w:p>
    <w:p w14:paraId="3B43F021" w14:textId="77777777" w:rsidR="00677037" w:rsidRDefault="00664227">
      <w:pPr>
        <w:pStyle w:val="ListParagraph"/>
        <w:numPr>
          <w:ilvl w:val="0"/>
          <w:numId w:val="2"/>
        </w:numPr>
        <w:spacing w:before="60" w:after="60" w:line="276" w:lineRule="auto"/>
      </w:pPr>
      <w:r>
        <w:t>Yerko Cubillos</w:t>
      </w:r>
    </w:p>
    <w:p w14:paraId="385FF815" w14:textId="77777777" w:rsidR="00677037" w:rsidRDefault="00664227">
      <w:pPr>
        <w:spacing w:before="240" w:after="100"/>
      </w:pPr>
      <w:r>
        <w:rPr>
          <w:b/>
          <w:bCs/>
          <w:color w:val="1A3E5C"/>
          <w:sz w:val="24"/>
          <w:szCs w:val="24"/>
        </w:rPr>
        <w:t>Antecedentes</w:t>
      </w:r>
    </w:p>
    <w:p w14:paraId="54BD0C27" w14:textId="77777777" w:rsidR="00677037" w:rsidRDefault="00664227">
      <w:pPr>
        <w:spacing w:before="80" w:after="80" w:line="276" w:lineRule="auto"/>
        <w:jc w:val="both"/>
      </w:pPr>
      <w:r>
        <w:rPr>
          <w:color w:val="000000"/>
        </w:rPr>
        <w:t>La Convención sobre los Derechos de las Personas con Discapacidad (CDPD) es el primer tratado internacional específico sobre derechos humanos de las personas con discapacidad. Los países que lo firmaron tienen la obligación de incorporarlo a su ordenamiento jurídico interno. Chile ha ratificado dicha Convención.</w:t>
      </w:r>
    </w:p>
    <w:p w14:paraId="73881BCA" w14:textId="77777777" w:rsidR="00677037" w:rsidRDefault="00664227">
      <w:pPr>
        <w:spacing w:before="80" w:after="80" w:line="276" w:lineRule="auto"/>
        <w:jc w:val="both"/>
      </w:pPr>
      <w:r>
        <w:rPr>
          <w:color w:val="000000"/>
        </w:rPr>
        <w:t>La Convención prohíbe la discriminación y asegura que las personas con discapacidad puedan participar, ejercer sus derechos y gozar de autonomía para la toma de sus decisiones, en igualdad de condiciones con las demás. El artículo 12 es el pilar fundamental: reconoce la capacidad jurídica de las personas con discapacidad en igualdad de condiciones en todos los aspectos de la vida.</w:t>
      </w:r>
    </w:p>
    <w:p w14:paraId="479F1C9A" w14:textId="77777777" w:rsidR="00677037" w:rsidRDefault="00664227">
      <w:pPr>
        <w:spacing w:before="240" w:after="100"/>
      </w:pPr>
      <w:r>
        <w:rPr>
          <w:b/>
          <w:bCs/>
          <w:color w:val="1A3E5C"/>
          <w:sz w:val="24"/>
          <w:szCs w:val="24"/>
        </w:rPr>
        <w:t>Avances identificados en el proyecto de ley</w:t>
      </w:r>
    </w:p>
    <w:p w14:paraId="3E19227A" w14:textId="77777777" w:rsidR="00677037" w:rsidRDefault="00664227">
      <w:pPr>
        <w:pStyle w:val="ListParagraph"/>
        <w:numPr>
          <w:ilvl w:val="0"/>
          <w:numId w:val="2"/>
        </w:numPr>
        <w:spacing w:before="60" w:after="60" w:line="276" w:lineRule="auto"/>
      </w:pPr>
      <w:r>
        <w:t>El interés y compromiso adquirido de legislar sobre los derechos de las personas con discapacidad.</w:t>
      </w:r>
    </w:p>
    <w:p w14:paraId="654C76B0" w14:textId="77777777" w:rsidR="00677037" w:rsidRDefault="00664227">
      <w:pPr>
        <w:pStyle w:val="ListParagraph"/>
        <w:numPr>
          <w:ilvl w:val="0"/>
          <w:numId w:val="2"/>
        </w:numPr>
        <w:spacing w:before="60" w:after="60" w:line="276" w:lineRule="auto"/>
      </w:pPr>
      <w:r>
        <w:t>El compromiso de proporcionar medidas de apoyos con enfoque en el modelo de los derechos humanos, respeto a la autonomía de la voluntad, deseos y preferencias.</w:t>
      </w:r>
    </w:p>
    <w:p w14:paraId="41722C02" w14:textId="77777777" w:rsidR="00677037" w:rsidRDefault="00664227">
      <w:pPr>
        <w:pStyle w:val="ListParagraph"/>
        <w:numPr>
          <w:ilvl w:val="0"/>
          <w:numId w:val="2"/>
        </w:numPr>
        <w:spacing w:before="60" w:after="60" w:line="276" w:lineRule="auto"/>
      </w:pPr>
      <w:r>
        <w:t>El reconocimiento de que las personas con discapacidad tienen capacidad jurídica en igualdad de condiciones en todos los aspectos de la vida.</w:t>
      </w:r>
    </w:p>
    <w:p w14:paraId="540F1C0C" w14:textId="77777777" w:rsidR="00677037" w:rsidRDefault="00664227">
      <w:pPr>
        <w:pStyle w:val="ListParagraph"/>
        <w:numPr>
          <w:ilvl w:val="0"/>
          <w:numId w:val="2"/>
        </w:numPr>
        <w:spacing w:before="60" w:after="60" w:line="276" w:lineRule="auto"/>
      </w:pPr>
      <w:r>
        <w:t>El interés de reconocer la capacidad jurídica y adecuar la normativa interna a las personas con discapacidad específica (física/sensorial).</w:t>
      </w:r>
    </w:p>
    <w:p w14:paraId="62B3D199" w14:textId="77777777" w:rsidR="00677037" w:rsidRDefault="00664227">
      <w:pPr>
        <w:pStyle w:val="ListParagraph"/>
        <w:numPr>
          <w:ilvl w:val="0"/>
          <w:numId w:val="2"/>
        </w:numPr>
        <w:spacing w:before="60" w:after="60" w:line="276" w:lineRule="auto"/>
      </w:pPr>
      <w:r>
        <w:t>El establecimiento de un procedimiento especial para la designación de facilitadores y asistentes.</w:t>
      </w:r>
    </w:p>
    <w:p w14:paraId="277CC13C" w14:textId="77777777" w:rsidR="00677037" w:rsidRDefault="00664227">
      <w:pPr>
        <w:pStyle w:val="ListParagraph"/>
        <w:numPr>
          <w:ilvl w:val="0"/>
          <w:numId w:val="2"/>
        </w:numPr>
        <w:spacing w:before="60" w:after="60" w:line="276" w:lineRule="auto"/>
      </w:pPr>
      <w:r>
        <w:t>La desestimación del proyecto de ley anterior ('De la expropiación por causa de utilidad pública') que contrariaba los derechos de las personas con discapacidad.</w:t>
      </w:r>
    </w:p>
    <w:p w14:paraId="780DEECA" w14:textId="77777777" w:rsidR="00677037" w:rsidRDefault="00664227">
      <w:pPr>
        <w:spacing w:before="240" w:after="100"/>
      </w:pPr>
      <w:r>
        <w:rPr>
          <w:b/>
          <w:bCs/>
          <w:color w:val="1A3E5C"/>
          <w:sz w:val="24"/>
          <w:szCs w:val="24"/>
        </w:rPr>
        <w:t>Preocupaciones</w:t>
      </w:r>
    </w:p>
    <w:p w14:paraId="498EACF9" w14:textId="77777777" w:rsidR="00677037" w:rsidRDefault="00664227">
      <w:pPr>
        <w:pStyle w:val="ListParagraph"/>
        <w:numPr>
          <w:ilvl w:val="0"/>
          <w:numId w:val="2"/>
        </w:numPr>
        <w:spacing w:before="60" w:after="60" w:line="276" w:lineRule="auto"/>
      </w:pPr>
      <w:r>
        <w:t>Ausencia de armonización legislativa relativa a las personas con discapacidad en todos los ámbitos de su vida, de forma integral.</w:t>
      </w:r>
    </w:p>
    <w:p w14:paraId="018EB463" w14:textId="77777777" w:rsidR="00677037" w:rsidRDefault="00664227">
      <w:pPr>
        <w:pStyle w:val="ListParagraph"/>
        <w:numPr>
          <w:ilvl w:val="0"/>
          <w:numId w:val="2"/>
        </w:numPr>
        <w:spacing w:before="60" w:after="60" w:line="276" w:lineRule="auto"/>
      </w:pPr>
      <w:r>
        <w:t>Persistencia del modelo médico o asistencial con enfoque en la sustitución de la voluntad, en contravención a la Convención, en especial su artículo 12.</w:t>
      </w:r>
    </w:p>
    <w:p w14:paraId="5AAAEAF7" w14:textId="77777777" w:rsidR="00677037" w:rsidRDefault="00664227">
      <w:pPr>
        <w:pStyle w:val="ListParagraph"/>
        <w:numPr>
          <w:ilvl w:val="0"/>
          <w:numId w:val="2"/>
        </w:numPr>
        <w:spacing w:before="60" w:after="60" w:line="276" w:lineRule="auto"/>
      </w:pPr>
      <w:r>
        <w:t>Uso de terminología peyorativa y discriminatoria, como el término 'demente', en normas legales no modificadas.</w:t>
      </w:r>
    </w:p>
    <w:p w14:paraId="6A04FDFD" w14:textId="77777777" w:rsidR="00677037" w:rsidRDefault="00664227">
      <w:pPr>
        <w:pStyle w:val="ListParagraph"/>
        <w:numPr>
          <w:ilvl w:val="0"/>
          <w:numId w:val="2"/>
        </w:numPr>
        <w:spacing w:before="60" w:after="60" w:line="276" w:lineRule="auto"/>
      </w:pPr>
      <w:r>
        <w:t>Contravención al artículo 12 sobre capacidad jurídica: ausencia de reconocimiento del ejercicio de la capacidad jurídica en igualdad de condiciones.</w:t>
      </w:r>
    </w:p>
    <w:p w14:paraId="5C90CCAB" w14:textId="77777777" w:rsidR="00677037" w:rsidRDefault="00664227">
      <w:pPr>
        <w:pStyle w:val="ListParagraph"/>
        <w:numPr>
          <w:ilvl w:val="0"/>
          <w:numId w:val="2"/>
        </w:numPr>
        <w:spacing w:before="60" w:after="60" w:line="276" w:lineRule="auto"/>
      </w:pPr>
      <w:r>
        <w:t>Contravención a los artículos 12.3 y 12.4: ausencia de adecuación normativa para proporcionar apoyos necesarios en el ejercicio de la capacidad jurídica.</w:t>
      </w:r>
    </w:p>
    <w:p w14:paraId="3A089C54" w14:textId="77777777" w:rsidR="00677037" w:rsidRDefault="00664227">
      <w:pPr>
        <w:pStyle w:val="ListParagraph"/>
        <w:numPr>
          <w:ilvl w:val="0"/>
          <w:numId w:val="2"/>
        </w:numPr>
        <w:spacing w:before="60" w:after="60" w:line="276" w:lineRule="auto"/>
      </w:pPr>
      <w:r>
        <w:t xml:space="preserve">Persistencia de un proceso decimonónico, semejante a la Curia </w:t>
      </w:r>
      <w:proofErr w:type="spellStart"/>
      <w:r>
        <w:t>Furiosi</w:t>
      </w:r>
      <w:proofErr w:type="spellEnd"/>
      <w:r>
        <w:t>, orientado a proteger la libre circulación de bienes y no a la persona con discapacidad.</w:t>
      </w:r>
    </w:p>
    <w:p w14:paraId="7762250B" w14:textId="77777777" w:rsidR="00677037" w:rsidRDefault="00664227">
      <w:pPr>
        <w:pStyle w:val="ListParagraph"/>
        <w:numPr>
          <w:ilvl w:val="0"/>
          <w:numId w:val="2"/>
        </w:numPr>
        <w:spacing w:before="60" w:after="60" w:line="276" w:lineRule="auto"/>
      </w:pPr>
      <w:r>
        <w:lastRenderedPageBreak/>
        <w:t>El proyecto no reconoce a la persona con discapacidad mental como sujeto de derechos en el acceso a la justicia; discrimina su condición e infringe el artículo 13 de la Convención sobre capacidad procesal.</w:t>
      </w:r>
    </w:p>
    <w:p w14:paraId="0B3411BB" w14:textId="77777777" w:rsidR="00677037" w:rsidRDefault="00664227">
      <w:pPr>
        <w:pStyle w:val="ListParagraph"/>
        <w:numPr>
          <w:ilvl w:val="0"/>
          <w:numId w:val="2"/>
        </w:numPr>
        <w:spacing w:before="60" w:after="60" w:line="276" w:lineRule="auto"/>
      </w:pPr>
      <w:r>
        <w:t>No se asegura el acceso a la justicia, la igualdad procesal, el derecho a ajustes de procedimiento ni la defensa jurídica especializada para personas con discapacidad.</w:t>
      </w:r>
    </w:p>
    <w:p w14:paraId="6798FACA" w14:textId="77777777" w:rsidR="00677037" w:rsidRDefault="00664227">
      <w:r>
        <w:br w:type="page"/>
      </w:r>
    </w:p>
    <w:p w14:paraId="72D9F8A3" w14:textId="77777777" w:rsidR="00677037" w:rsidRDefault="00664227">
      <w:pPr>
        <w:pBdr>
          <w:bottom w:val="single" w:sz="6" w:space="4" w:color="2C5F8A"/>
        </w:pBdr>
        <w:spacing w:before="300" w:after="150"/>
      </w:pPr>
      <w:proofErr w:type="gramStart"/>
      <w:r>
        <w:rPr>
          <w:b/>
          <w:bCs/>
          <w:color w:val="2C5F8A"/>
          <w:sz w:val="28"/>
          <w:szCs w:val="28"/>
        </w:rPr>
        <w:lastRenderedPageBreak/>
        <w:t>SUBCOMISIÓN N.º</w:t>
      </w:r>
      <w:proofErr w:type="gramEnd"/>
      <w:r>
        <w:rPr>
          <w:b/>
          <w:bCs/>
          <w:color w:val="2C5F8A"/>
          <w:sz w:val="28"/>
          <w:szCs w:val="28"/>
        </w:rPr>
        <w:t xml:space="preserve"> 3: PROCEDIMIENTO DE DESIGNACIÓN DE FACILITADORES Y ASISTENTES</w:t>
      </w:r>
    </w:p>
    <w:p w14:paraId="2F247C94" w14:textId="77777777" w:rsidR="00677037" w:rsidRDefault="00664227">
      <w:pPr>
        <w:spacing w:before="240" w:after="100"/>
      </w:pPr>
      <w:r>
        <w:rPr>
          <w:b/>
          <w:bCs/>
          <w:color w:val="1A3E5C"/>
          <w:sz w:val="24"/>
          <w:szCs w:val="24"/>
        </w:rPr>
        <w:t>Integrantes</w:t>
      </w:r>
    </w:p>
    <w:p w14:paraId="25CBFAE1" w14:textId="77777777" w:rsidR="00677037" w:rsidRDefault="00664227">
      <w:pPr>
        <w:pStyle w:val="ListParagraph"/>
        <w:numPr>
          <w:ilvl w:val="0"/>
          <w:numId w:val="2"/>
        </w:numPr>
        <w:spacing w:before="60" w:after="60" w:line="276" w:lineRule="auto"/>
      </w:pPr>
      <w:r>
        <w:t>Yerko A. Cubillos Román (Universidad Autónoma de Chile) – Coordinador</w:t>
      </w:r>
    </w:p>
    <w:p w14:paraId="1D645DA9" w14:textId="77777777" w:rsidR="00677037" w:rsidRDefault="00664227">
      <w:pPr>
        <w:pStyle w:val="ListParagraph"/>
        <w:numPr>
          <w:ilvl w:val="0"/>
          <w:numId w:val="2"/>
        </w:numPr>
        <w:spacing w:before="60" w:after="60" w:line="276" w:lineRule="auto"/>
      </w:pPr>
      <w:r>
        <w:t>Mylene Valenzuela Reyes (Universidad Central de Chile) – Académica</w:t>
      </w:r>
    </w:p>
    <w:p w14:paraId="2E69E0A8" w14:textId="77777777" w:rsidR="00677037" w:rsidRDefault="00664227">
      <w:pPr>
        <w:pStyle w:val="ListParagraph"/>
        <w:numPr>
          <w:ilvl w:val="0"/>
          <w:numId w:val="2"/>
        </w:numPr>
        <w:spacing w:before="60" w:after="60" w:line="276" w:lineRule="auto"/>
      </w:pPr>
      <w:r>
        <w:t>Ángela Composto Longhi (Universidad Autónoma de Chile) – Académica</w:t>
      </w:r>
    </w:p>
    <w:p w14:paraId="2EDC52B7" w14:textId="77777777" w:rsidR="00677037" w:rsidRDefault="00664227">
      <w:pPr>
        <w:pStyle w:val="ListParagraph"/>
        <w:numPr>
          <w:ilvl w:val="0"/>
          <w:numId w:val="2"/>
        </w:numPr>
        <w:spacing w:before="60" w:after="60" w:line="276" w:lineRule="auto"/>
      </w:pPr>
      <w:r>
        <w:t>Ruth Alarcón Padilla (Universidad Católica Silva Henríquez) – Asistente de investigación</w:t>
      </w:r>
    </w:p>
    <w:p w14:paraId="555E0D79" w14:textId="77777777" w:rsidR="00677037" w:rsidRDefault="00664227">
      <w:pPr>
        <w:pStyle w:val="ListParagraph"/>
        <w:numPr>
          <w:ilvl w:val="0"/>
          <w:numId w:val="2"/>
        </w:numPr>
        <w:spacing w:before="60" w:after="60" w:line="276" w:lineRule="auto"/>
      </w:pPr>
      <w:r>
        <w:t>Candela Yáñez Conterio (Universidad Autónoma de Chile) – Asistente de investigación</w:t>
      </w:r>
    </w:p>
    <w:p w14:paraId="1437B061" w14:textId="77777777" w:rsidR="00677037" w:rsidRDefault="00664227">
      <w:pPr>
        <w:pStyle w:val="ListParagraph"/>
        <w:numPr>
          <w:ilvl w:val="0"/>
          <w:numId w:val="2"/>
        </w:numPr>
        <w:spacing w:before="60" w:after="60" w:line="276" w:lineRule="auto"/>
      </w:pPr>
      <w:r>
        <w:t>Shayla Brent Franco (Universidad Autónoma de Chile) – Tesista de pregrado</w:t>
      </w:r>
    </w:p>
    <w:p w14:paraId="37762F6A" w14:textId="77777777" w:rsidR="00677037" w:rsidRDefault="00664227">
      <w:pPr>
        <w:pStyle w:val="ListParagraph"/>
        <w:numPr>
          <w:ilvl w:val="0"/>
          <w:numId w:val="2"/>
        </w:numPr>
        <w:spacing w:before="60" w:after="60" w:line="276" w:lineRule="auto"/>
      </w:pPr>
      <w:r>
        <w:t>Isabella Mojica (Universidad del Alba) – Tesista de pregrado</w:t>
      </w:r>
    </w:p>
    <w:p w14:paraId="4C05B57F" w14:textId="77777777" w:rsidR="00677037" w:rsidRDefault="00664227">
      <w:pPr>
        <w:spacing w:before="240" w:after="100"/>
      </w:pPr>
      <w:r>
        <w:rPr>
          <w:b/>
          <w:bCs/>
          <w:color w:val="1A3E5C"/>
          <w:sz w:val="24"/>
          <w:szCs w:val="24"/>
        </w:rPr>
        <w:t>Antecedentes conceptuales</w:t>
      </w:r>
    </w:p>
    <w:p w14:paraId="1210A7A0" w14:textId="77777777" w:rsidR="00677037" w:rsidRDefault="00664227">
      <w:pPr>
        <w:spacing w:before="80" w:after="80" w:line="276" w:lineRule="auto"/>
        <w:jc w:val="both"/>
      </w:pPr>
      <w:r>
        <w:rPr>
          <w:color w:val="000000"/>
        </w:rPr>
        <w:t>El artículo 12, apartado 3.º, de la CDPD dispone que los Estados Partes adoptarán las medidas pertinentes para proporcionar acceso a las personas con discapacidad al apoyo que puedan necesitar en el ejercicio de su capacidad jurídica. Para el Comité de la CDPD, el apoyo es 'un término amplio que engloba arreglos oficiales y oficiosos, de distintos tipos e intensidades'.</w:t>
      </w:r>
    </w:p>
    <w:p w14:paraId="23FB5A7A" w14:textId="77777777" w:rsidR="00677037" w:rsidRDefault="00664227">
      <w:pPr>
        <w:spacing w:before="80" w:after="80" w:line="276" w:lineRule="auto"/>
        <w:jc w:val="both"/>
      </w:pPr>
      <w:r>
        <w:rPr>
          <w:color w:val="000000"/>
        </w:rPr>
        <w:t>Los apoyos deben sustentarse en los principios de gradualidad, complejidad, diversidad, respeto por los deseos y la voluntad de las personas, apertura y presididos por los derechos. Los sistemas de apoyo deben contar con mecanismos que prevengan conflictos de intereses y garanticen la revisión y rendición de cuentas.</w:t>
      </w:r>
    </w:p>
    <w:p w14:paraId="7CCABA61" w14:textId="77777777" w:rsidR="00677037" w:rsidRDefault="00664227">
      <w:pPr>
        <w:spacing w:before="240" w:after="100"/>
      </w:pPr>
      <w:r>
        <w:rPr>
          <w:b/>
          <w:bCs/>
          <w:color w:val="1A3E5C"/>
          <w:sz w:val="24"/>
          <w:szCs w:val="24"/>
        </w:rPr>
        <w:t>Aspectos generales del proyecto de ley</w:t>
      </w:r>
    </w:p>
    <w:p w14:paraId="085D270F" w14:textId="77777777" w:rsidR="00677037" w:rsidRDefault="00664227">
      <w:pPr>
        <w:spacing w:before="80" w:after="80" w:line="276" w:lineRule="auto"/>
        <w:jc w:val="both"/>
      </w:pPr>
      <w:r>
        <w:rPr>
          <w:color w:val="000000"/>
        </w:rPr>
        <w:t>El proyecto propone una regulación normativa contraria al estándar de la CDPD y contradictoria entre sus antecedentes y su propuesta de texto. Mantiene la interdicción por demencia, incompatible con cualquier propuesta de regulación de sistemas de apoyos. Los déficits en la capacidad mental no constituyen razones legítimas para negar la capacidad jurídica, conforme a la Observación General N.º 1 del Comité. El proyecto profundiza en el régimen de incapacidad por demencia desde un modelo médico, revelando una falta de comprensión del modelo de derechos humanos.</w:t>
      </w:r>
    </w:p>
    <w:p w14:paraId="78B01BD3" w14:textId="77777777" w:rsidR="00677037" w:rsidRDefault="00664227">
      <w:pPr>
        <w:spacing w:before="240" w:after="100"/>
      </w:pPr>
      <w:r>
        <w:rPr>
          <w:b/>
          <w:bCs/>
          <w:color w:val="1A3E5C"/>
          <w:sz w:val="24"/>
          <w:szCs w:val="24"/>
        </w:rPr>
        <w:t>Observaciones sobre la noción de facilitador y asistente</w:t>
      </w:r>
    </w:p>
    <w:p w14:paraId="17286265" w14:textId="77777777" w:rsidR="00677037" w:rsidRDefault="00664227">
      <w:pPr>
        <w:spacing w:before="80" w:after="80" w:line="276" w:lineRule="auto"/>
        <w:jc w:val="both"/>
      </w:pPr>
      <w:r>
        <w:rPr>
          <w:color w:val="000000"/>
        </w:rPr>
        <w:t xml:space="preserve">No existe motivo razonable que justifique la distinción entre facilitador y asistente según el tipo de discapacidad. Si el espíritu del proyecto es establecer un modelo de apoyos, debería hacerse referencia a la 'persona de apoyo' sin distinción. Los objetos de los apoyos también difieren semánticamente: los facilitadores 'coadyuvan' (proceso activo), mientras que los asistentes 'transmiten' (proceso pasivo), lo que no se ajusta al estándar del 'pensamiento asistido' que implica </w:t>
      </w:r>
      <w:proofErr w:type="spellStart"/>
      <w:r>
        <w:rPr>
          <w:color w:val="000000"/>
        </w:rPr>
        <w:t>co-construcción</w:t>
      </w:r>
      <w:proofErr w:type="spellEnd"/>
      <w:r>
        <w:rPr>
          <w:color w:val="000000"/>
        </w:rPr>
        <w:t xml:space="preserve"> de la decisión. El proyecto abre la puerta a la designación de apoyos para niños, niñas y adolescentes sin incorporar un estándar diferenciado con los principios de la Convención sobre los Derechos del Niño.</w:t>
      </w:r>
    </w:p>
    <w:p w14:paraId="0353702C" w14:textId="77777777" w:rsidR="00677037" w:rsidRDefault="00664227">
      <w:pPr>
        <w:spacing w:before="240" w:after="100"/>
      </w:pPr>
      <w:r>
        <w:rPr>
          <w:b/>
          <w:bCs/>
          <w:color w:val="1A3E5C"/>
          <w:sz w:val="24"/>
          <w:szCs w:val="24"/>
        </w:rPr>
        <w:t>Observaciones sobre el procedimiento de designación</w:t>
      </w:r>
    </w:p>
    <w:p w14:paraId="3302F34B" w14:textId="77777777" w:rsidR="00677037" w:rsidRDefault="00664227">
      <w:pPr>
        <w:spacing w:before="80" w:after="80" w:line="276" w:lineRule="auto"/>
        <w:jc w:val="both"/>
      </w:pPr>
      <w:r>
        <w:rPr>
          <w:color w:val="000000"/>
        </w:rPr>
        <w:t xml:space="preserve">El proyecto reconoce dos regímenes judiciales paralelos (interdicción por demencia y designación de facilitadores/asistentes), que el propio texto declara incompatibles entre sí. Esta coexistencia contradice el espíritu de un modelo de apoyos. Asimismo, el proyecto no establece principios de </w:t>
      </w:r>
      <w:r>
        <w:rPr>
          <w:color w:val="000000"/>
        </w:rPr>
        <w:lastRenderedPageBreak/>
        <w:t>aplicación e interpretación para respetar la voluntad, deseos y preferencias de las personas. No se señala que los apoyos no deben tener facultades de representación.</w:t>
      </w:r>
    </w:p>
    <w:p w14:paraId="133C5DA4" w14:textId="77777777" w:rsidR="00677037" w:rsidRDefault="00664227">
      <w:pPr>
        <w:spacing w:before="240" w:after="100"/>
      </w:pPr>
      <w:r>
        <w:rPr>
          <w:b/>
          <w:bCs/>
          <w:color w:val="1A3E5C"/>
          <w:sz w:val="24"/>
          <w:szCs w:val="24"/>
        </w:rPr>
        <w:t>Observaciones sobre la judicialización</w:t>
      </w:r>
    </w:p>
    <w:p w14:paraId="0DE11B72" w14:textId="77777777" w:rsidR="00677037" w:rsidRDefault="00664227">
      <w:pPr>
        <w:spacing w:before="80" w:after="80" w:line="276" w:lineRule="auto"/>
        <w:jc w:val="both"/>
      </w:pPr>
      <w:r>
        <w:rPr>
          <w:color w:val="000000"/>
        </w:rPr>
        <w:t>El proyecto establece la designación judicial como única modalidad, soslayando el carácter voluntario de los mecanismos de apoyo. La exigencia de judicialización atenta contra el espíritu del modelo de toma de decisiones. La Relatora Especial ha señalado que los programas de apoyo deben proporcionarse a título voluntario. Reformas latinoamericanas (Perú, Colombia) han incorporado acuerdos de apoyo voluntarios con la judicialización reservada para casos excepcionales.</w:t>
      </w:r>
    </w:p>
    <w:p w14:paraId="0FE6A71A" w14:textId="77777777" w:rsidR="00677037" w:rsidRDefault="00664227">
      <w:pPr>
        <w:spacing w:before="240" w:after="100"/>
      </w:pPr>
      <w:r>
        <w:rPr>
          <w:b/>
          <w:bCs/>
          <w:color w:val="1A3E5C"/>
          <w:sz w:val="24"/>
          <w:szCs w:val="24"/>
        </w:rPr>
        <w:t>Observaciones sobre el estándar de comportamiento</w:t>
      </w:r>
    </w:p>
    <w:p w14:paraId="1EA55D40" w14:textId="77777777" w:rsidR="00677037" w:rsidRDefault="00664227">
      <w:pPr>
        <w:spacing w:before="80" w:after="80" w:line="276" w:lineRule="auto"/>
        <w:jc w:val="both"/>
      </w:pPr>
      <w:r>
        <w:rPr>
          <w:color w:val="000000"/>
        </w:rPr>
        <w:t>La asimilación del estándar de las personas de apoyo al de los tutores o curadores no resulta adecuada. Las personas de apoyo no son administradores de bienes ajenos. El proyecto debe incorporar criterios concretos orientados a la mejor interpretación de la voluntad, considerando la trayectoria de vida, previas manifestaciones de voluntad y preferencias, tal como lo establecen las legislaciones peruana y colombiana.</w:t>
      </w:r>
    </w:p>
    <w:p w14:paraId="48F71AB2" w14:textId="77777777" w:rsidR="00677037" w:rsidRDefault="00664227">
      <w:pPr>
        <w:spacing w:before="240" w:after="100"/>
      </w:pPr>
      <w:r>
        <w:rPr>
          <w:b/>
          <w:bCs/>
          <w:color w:val="1A3E5C"/>
          <w:sz w:val="24"/>
          <w:szCs w:val="24"/>
        </w:rPr>
        <w:t>Observaciones sobre inhabilidades y salvaguardias</w:t>
      </w:r>
    </w:p>
    <w:p w14:paraId="4AC7EC37" w14:textId="77777777" w:rsidR="00677037" w:rsidRDefault="00664227">
      <w:pPr>
        <w:spacing w:before="80" w:after="80" w:line="276" w:lineRule="auto"/>
        <w:jc w:val="both"/>
      </w:pPr>
      <w:r>
        <w:rPr>
          <w:color w:val="000000"/>
        </w:rPr>
        <w:t>Se valora la incorporación de inhabilidades ex ante para el desempeño de los apoyos, en consonancia con la legislación extranjera. Sin embargo, el proyecto no incorpora criterios ex post que determinen las consecuencias jurídicas derivadas de decisiones adoptadas bajo influencias indebidas o abusos. El modelo de apoyos debe ser revisable, impugnable y revocable por la persona apoyada.</w:t>
      </w:r>
    </w:p>
    <w:p w14:paraId="72BDD3BE" w14:textId="77777777" w:rsidR="00677037" w:rsidRDefault="00664227">
      <w:r>
        <w:br w:type="page"/>
      </w:r>
    </w:p>
    <w:p w14:paraId="77711116" w14:textId="77777777" w:rsidR="00677037" w:rsidRDefault="00664227">
      <w:pPr>
        <w:pBdr>
          <w:bottom w:val="single" w:sz="6" w:space="4" w:color="2C5F8A"/>
        </w:pBdr>
        <w:spacing w:before="300" w:after="150"/>
      </w:pPr>
      <w:proofErr w:type="gramStart"/>
      <w:r>
        <w:rPr>
          <w:b/>
          <w:bCs/>
          <w:color w:val="2C5F8A"/>
          <w:sz w:val="28"/>
          <w:szCs w:val="28"/>
        </w:rPr>
        <w:lastRenderedPageBreak/>
        <w:t>SUBCOMISIÓN N.º</w:t>
      </w:r>
      <w:proofErr w:type="gramEnd"/>
      <w:r>
        <w:rPr>
          <w:b/>
          <w:bCs/>
          <w:color w:val="2C5F8A"/>
          <w:sz w:val="28"/>
          <w:szCs w:val="28"/>
        </w:rPr>
        <w:t xml:space="preserve"> 4: ARMONIZACIÓN CON LA CONSTITUCIÓN, EL CÓDIGO CIVIL Y OTRAS NORMAS</w:t>
      </w:r>
    </w:p>
    <w:p w14:paraId="47A97CF1" w14:textId="77777777" w:rsidR="00677037" w:rsidRDefault="00664227">
      <w:pPr>
        <w:spacing w:before="240" w:after="100"/>
      </w:pPr>
      <w:r>
        <w:rPr>
          <w:b/>
          <w:bCs/>
          <w:color w:val="1A3E5C"/>
          <w:sz w:val="24"/>
          <w:szCs w:val="24"/>
        </w:rPr>
        <w:t>Integrantes</w:t>
      </w:r>
    </w:p>
    <w:p w14:paraId="4C2AFE72" w14:textId="77777777" w:rsidR="00677037" w:rsidRDefault="00664227">
      <w:pPr>
        <w:spacing w:before="80" w:after="80" w:line="276" w:lineRule="auto"/>
        <w:jc w:val="both"/>
      </w:pPr>
      <w:r>
        <w:rPr>
          <w:color w:val="000000"/>
        </w:rPr>
        <w:t>Informantes: Álvarez, Rommy; Espada, Susana; Gajardo, María Paz; Ibáñez, Nicolás; Montecinos, Andrea y Núñez, José Ignacio.</w:t>
      </w:r>
    </w:p>
    <w:p w14:paraId="28702D8A" w14:textId="77777777" w:rsidR="00677037" w:rsidRDefault="00664227">
      <w:pPr>
        <w:spacing w:before="240" w:after="100"/>
      </w:pPr>
      <w:r>
        <w:rPr>
          <w:b/>
          <w:bCs/>
          <w:color w:val="1A3E5C"/>
          <w:sz w:val="24"/>
          <w:szCs w:val="24"/>
        </w:rPr>
        <w:t>Virtudes de la regulación propuesta</w:t>
      </w:r>
    </w:p>
    <w:p w14:paraId="728FBD9A" w14:textId="77777777" w:rsidR="00677037" w:rsidRDefault="00664227">
      <w:pPr>
        <w:spacing w:before="80" w:after="80" w:line="276" w:lineRule="auto"/>
        <w:jc w:val="both"/>
      </w:pPr>
      <w:r>
        <w:rPr>
          <w:color w:val="000000"/>
        </w:rPr>
        <w:t>La iniciativa considera entre sus antecedentes nociones centrales de organismos internacionales especializados: el cambio de paradigma desde el modelo médico al modelo de derechos humanos; las garantías de la CDPD (capacidad jurídica, autonomía, no discriminación, apoyos y salvaguardias); la identificación de la dualidad capacidad de goce/ejercicio del artículo 1.445 CC; y las recomendaciones del Comité de la CDPD sobre el informe inicial de Chile (2016).</w:t>
      </w:r>
    </w:p>
    <w:p w14:paraId="0F69BF2D" w14:textId="77777777" w:rsidR="00677037" w:rsidRDefault="00664227">
      <w:pPr>
        <w:spacing w:before="240" w:after="100"/>
      </w:pPr>
      <w:r>
        <w:rPr>
          <w:b/>
          <w:bCs/>
          <w:color w:val="1A3E5C"/>
          <w:sz w:val="24"/>
          <w:szCs w:val="24"/>
        </w:rPr>
        <w:t>Preocupaciones generales</w:t>
      </w:r>
    </w:p>
    <w:p w14:paraId="66D7C922" w14:textId="77777777" w:rsidR="00677037" w:rsidRDefault="00664227">
      <w:pPr>
        <w:spacing w:before="80" w:after="80" w:line="276" w:lineRule="auto"/>
        <w:jc w:val="both"/>
      </w:pPr>
      <w:r>
        <w:rPr>
          <w:color w:val="000000"/>
        </w:rPr>
        <w:t>El desarrollo de la propuesta se observa como limitado y parcial. El proyecto no aborda en forma integral la necesaria regulación de la capacidad jurídica de las personas en situación de discapacidad. Las modificaciones al Código Civil propuestas se limitan principalmente a excluir a las personas sordas o sordomudas de la categoría de incapaces absolutos y a aportar una noción restrictiva de demente, sin abolir la incapacitación jurídica. También se advierte la ausencia de normas procesales específicas sobre tribunal competente, titularidad de acciones y tramitación de la interdicción provisoria.</w:t>
      </w:r>
    </w:p>
    <w:p w14:paraId="7F4C087F" w14:textId="77777777" w:rsidR="00677037" w:rsidRDefault="00664227">
      <w:pPr>
        <w:spacing w:before="240" w:after="100"/>
      </w:pPr>
      <w:r>
        <w:rPr>
          <w:b/>
          <w:bCs/>
          <w:color w:val="1A3E5C"/>
          <w:sz w:val="24"/>
          <w:szCs w:val="24"/>
        </w:rPr>
        <w:t>Áreas de armonización analizadas</w:t>
      </w:r>
    </w:p>
    <w:p w14:paraId="22EEE69A" w14:textId="77777777" w:rsidR="00677037" w:rsidRDefault="00664227">
      <w:pPr>
        <w:pStyle w:val="ListParagraph"/>
        <w:numPr>
          <w:ilvl w:val="0"/>
          <w:numId w:val="2"/>
        </w:numPr>
        <w:spacing w:before="60" w:after="60" w:line="276" w:lineRule="auto"/>
      </w:pPr>
      <w:r>
        <w:t>Derecho Civil: persona y negocio jurídico, derecho matrimonial, derecho sucesorio, filiación y responsabilidad civil extracontractual.</w:t>
      </w:r>
    </w:p>
    <w:p w14:paraId="42115C2A" w14:textId="77777777" w:rsidR="00677037" w:rsidRDefault="00664227">
      <w:pPr>
        <w:pStyle w:val="ListParagraph"/>
        <w:numPr>
          <w:ilvl w:val="0"/>
          <w:numId w:val="2"/>
        </w:numPr>
        <w:spacing w:before="60" w:after="60" w:line="276" w:lineRule="auto"/>
      </w:pPr>
      <w:r>
        <w:t>Constitución Política y derechos fundamentales.</w:t>
      </w:r>
    </w:p>
    <w:p w14:paraId="2F099645" w14:textId="77777777" w:rsidR="00677037" w:rsidRDefault="00664227">
      <w:pPr>
        <w:pStyle w:val="ListParagraph"/>
        <w:numPr>
          <w:ilvl w:val="0"/>
          <w:numId w:val="2"/>
        </w:numPr>
        <w:spacing w:before="60" w:after="60" w:line="276" w:lineRule="auto"/>
      </w:pPr>
      <w:r>
        <w:t>Ley 21.805 (Sistema Nacional de Apoyos y Cuidados).</w:t>
      </w:r>
    </w:p>
    <w:p w14:paraId="1DD694D5" w14:textId="77777777" w:rsidR="00677037" w:rsidRDefault="00664227">
      <w:pPr>
        <w:spacing w:before="240" w:after="100"/>
      </w:pPr>
      <w:r>
        <w:rPr>
          <w:b/>
          <w:bCs/>
          <w:color w:val="1A3E5C"/>
          <w:sz w:val="24"/>
          <w:szCs w:val="24"/>
        </w:rPr>
        <w:t>Normas que requieren armonización</w:t>
      </w:r>
    </w:p>
    <w:p w14:paraId="4C1878F5" w14:textId="77777777" w:rsidR="00677037" w:rsidRDefault="00664227">
      <w:pPr>
        <w:spacing w:before="180" w:after="80"/>
      </w:pPr>
      <w:r>
        <w:rPr>
          <w:b/>
          <w:bCs/>
          <w:color w:val="000000"/>
        </w:rPr>
        <w:t>Persona y negocio jurídico</w:t>
      </w:r>
    </w:p>
    <w:p w14:paraId="61E53714" w14:textId="77777777" w:rsidR="00677037" w:rsidRDefault="00664227">
      <w:pPr>
        <w:pStyle w:val="ListParagraph"/>
        <w:numPr>
          <w:ilvl w:val="0"/>
          <w:numId w:val="2"/>
        </w:numPr>
        <w:spacing w:before="60" w:after="60" w:line="276" w:lineRule="auto"/>
      </w:pPr>
      <w:r>
        <w:t xml:space="preserve">Incorporación del reconocimiento de poderes y mandatos preventivos y la figura de la </w:t>
      </w:r>
      <w:proofErr w:type="spellStart"/>
      <w:r>
        <w:t>autocuratela</w:t>
      </w:r>
      <w:proofErr w:type="spellEnd"/>
      <w:r>
        <w:t>.</w:t>
      </w:r>
    </w:p>
    <w:p w14:paraId="317EDF92" w14:textId="77777777" w:rsidR="00677037" w:rsidRDefault="00664227">
      <w:pPr>
        <w:pStyle w:val="ListParagraph"/>
        <w:numPr>
          <w:ilvl w:val="0"/>
          <w:numId w:val="2"/>
        </w:numPr>
        <w:spacing w:before="60" w:after="60" w:line="276" w:lineRule="auto"/>
      </w:pPr>
      <w:r>
        <w:t>Reglas de responsabilidad civil por daños ocasionados por personas con discapacidad psicosocial.</w:t>
      </w:r>
    </w:p>
    <w:p w14:paraId="6B53ADB1" w14:textId="77777777" w:rsidR="00677037" w:rsidRDefault="00664227">
      <w:pPr>
        <w:pStyle w:val="ListParagraph"/>
        <w:numPr>
          <w:ilvl w:val="0"/>
          <w:numId w:val="2"/>
        </w:numPr>
        <w:spacing w:before="60" w:after="60" w:line="276" w:lineRule="auto"/>
      </w:pPr>
      <w:r>
        <w:t>Reglas de nulidad: el proyecto no se pronuncia sobre el efecto de la actuación sin apoyos cuando estos son necesarios.</w:t>
      </w:r>
    </w:p>
    <w:p w14:paraId="043B4E59" w14:textId="77777777" w:rsidR="00677037" w:rsidRDefault="00664227">
      <w:pPr>
        <w:pStyle w:val="ListParagraph"/>
        <w:numPr>
          <w:ilvl w:val="0"/>
          <w:numId w:val="2"/>
        </w:numPr>
        <w:spacing w:before="60" w:after="60" w:line="276" w:lineRule="auto"/>
      </w:pPr>
      <w:r>
        <w:t>Situación de la persona menor de edad respecto de actos jurídicos que el sistema permite celebrar (actos testamentarios, reconocimiento de hijos).</w:t>
      </w:r>
    </w:p>
    <w:p w14:paraId="7239674C" w14:textId="77777777" w:rsidR="00677037" w:rsidRDefault="00664227">
      <w:pPr>
        <w:pStyle w:val="ListParagraph"/>
        <w:numPr>
          <w:ilvl w:val="0"/>
          <w:numId w:val="2"/>
        </w:numPr>
        <w:spacing w:before="60" w:after="60" w:line="276" w:lineRule="auto"/>
      </w:pPr>
      <w:r>
        <w:t xml:space="preserve">Revisión de los artículos 1445 </w:t>
      </w:r>
      <w:proofErr w:type="gramStart"/>
      <w:r>
        <w:t>N.º</w:t>
      </w:r>
      <w:proofErr w:type="gramEnd"/>
      <w:r>
        <w:t xml:space="preserve">1, 1456, 1470 </w:t>
      </w:r>
      <w:proofErr w:type="gramStart"/>
      <w:r>
        <w:t>N.º</w:t>
      </w:r>
      <w:proofErr w:type="gramEnd"/>
      <w:r>
        <w:t>1 y 1686 del Código Civil.</w:t>
      </w:r>
    </w:p>
    <w:p w14:paraId="1F3CCCF1" w14:textId="77777777" w:rsidR="00677037" w:rsidRDefault="00664227">
      <w:pPr>
        <w:spacing w:before="180" w:after="80"/>
      </w:pPr>
      <w:r>
        <w:rPr>
          <w:b/>
          <w:bCs/>
          <w:color w:val="000000"/>
        </w:rPr>
        <w:t>Derecho matrimonial</w:t>
      </w:r>
    </w:p>
    <w:p w14:paraId="7A8EF69D" w14:textId="77777777" w:rsidR="00677037" w:rsidRDefault="00664227">
      <w:pPr>
        <w:pStyle w:val="ListParagraph"/>
        <w:numPr>
          <w:ilvl w:val="0"/>
          <w:numId w:val="2"/>
        </w:numPr>
        <w:spacing w:before="60" w:after="60" w:line="276" w:lineRule="auto"/>
      </w:pPr>
      <w:r>
        <w:t>Revisión de los artículos 1721, 1749, 1758 y 1766 del Código Civil, en atención al rol que cumplirán facilitadores y asistentes.</w:t>
      </w:r>
    </w:p>
    <w:p w14:paraId="5997E6A9" w14:textId="77777777" w:rsidR="00677037" w:rsidRDefault="00664227">
      <w:pPr>
        <w:pStyle w:val="ListParagraph"/>
        <w:numPr>
          <w:ilvl w:val="0"/>
          <w:numId w:val="2"/>
        </w:numPr>
        <w:spacing w:before="60" w:after="60" w:line="276" w:lineRule="auto"/>
      </w:pPr>
      <w:r>
        <w:lastRenderedPageBreak/>
        <w:t>Ajuste del artículo 5 de la Ley de Matrimonio Civil sobre incapacidad para contraer matrimonio y del artículo 44 sobre nulidad del matrimonio.</w:t>
      </w:r>
    </w:p>
    <w:p w14:paraId="3378C487" w14:textId="77777777" w:rsidR="00677037" w:rsidRDefault="00664227">
      <w:pPr>
        <w:spacing w:before="180" w:after="80"/>
      </w:pPr>
      <w:r>
        <w:rPr>
          <w:b/>
          <w:bCs/>
          <w:color w:val="000000"/>
        </w:rPr>
        <w:t>Derecho sucesorio</w:t>
      </w:r>
    </w:p>
    <w:p w14:paraId="3B182E6F" w14:textId="77777777" w:rsidR="00677037" w:rsidRDefault="00664227">
      <w:pPr>
        <w:pStyle w:val="ListParagraph"/>
        <w:numPr>
          <w:ilvl w:val="0"/>
          <w:numId w:val="2"/>
        </w:numPr>
        <w:spacing w:before="60" w:after="60" w:line="276" w:lineRule="auto"/>
      </w:pPr>
      <w:r>
        <w:t>Revisión de la capacidad para otorgar testamento y para aceptar o repudiar herencias (arts. 1005, 1006 CC).</w:t>
      </w:r>
    </w:p>
    <w:p w14:paraId="29BA256D" w14:textId="77777777" w:rsidR="00677037" w:rsidRDefault="00664227">
      <w:pPr>
        <w:pStyle w:val="ListParagraph"/>
        <w:numPr>
          <w:ilvl w:val="0"/>
          <w:numId w:val="2"/>
        </w:numPr>
        <w:spacing w:before="60" w:after="60" w:line="276" w:lineRule="auto"/>
      </w:pPr>
      <w:r>
        <w:t>Incorporación de norma sobre testamentos otorgados sin los apoyos necesarios o bajo influencia indebida.</w:t>
      </w:r>
    </w:p>
    <w:p w14:paraId="653A9CEA" w14:textId="77777777" w:rsidR="00677037" w:rsidRDefault="00664227">
      <w:pPr>
        <w:pStyle w:val="ListParagraph"/>
        <w:numPr>
          <w:ilvl w:val="0"/>
          <w:numId w:val="2"/>
        </w:numPr>
        <w:spacing w:before="60" w:after="60" w:line="276" w:lineRule="auto"/>
      </w:pPr>
      <w:r>
        <w:t>Reflexión sobre la incapacidad relativa para suceder de facilitadores, asistentes e instituciones de cuidado.</w:t>
      </w:r>
    </w:p>
    <w:p w14:paraId="14A2A071" w14:textId="77777777" w:rsidR="00677037" w:rsidRDefault="00664227">
      <w:pPr>
        <w:pStyle w:val="ListParagraph"/>
        <w:numPr>
          <w:ilvl w:val="0"/>
          <w:numId w:val="2"/>
        </w:numPr>
        <w:spacing w:before="60" w:after="60" w:line="276" w:lineRule="auto"/>
      </w:pPr>
      <w:r>
        <w:t>Revisión de causales de indignidad para incluir el incumplimiento de funciones de facilitadores y asistentes.</w:t>
      </w:r>
    </w:p>
    <w:p w14:paraId="3DF1C3F3" w14:textId="77777777" w:rsidR="00677037" w:rsidRDefault="00664227">
      <w:pPr>
        <w:spacing w:before="180" w:after="80"/>
      </w:pPr>
      <w:r>
        <w:rPr>
          <w:b/>
          <w:bCs/>
          <w:color w:val="000000"/>
        </w:rPr>
        <w:t>Derecho de familias y filiación</w:t>
      </w:r>
    </w:p>
    <w:p w14:paraId="7EF72441" w14:textId="77777777" w:rsidR="00677037" w:rsidRDefault="00664227">
      <w:pPr>
        <w:pStyle w:val="ListParagraph"/>
        <w:numPr>
          <w:ilvl w:val="0"/>
          <w:numId w:val="2"/>
        </w:numPr>
        <w:spacing w:before="60" w:after="60" w:line="276" w:lineRule="auto"/>
      </w:pPr>
      <w:r>
        <w:t>Eliminación de la causal de inhabilidad parental fundada en la 'incapacidad mental' (art. 226 CC y art. 42 Ley N.º 16.618).</w:t>
      </w:r>
    </w:p>
    <w:p w14:paraId="6A36CFCA" w14:textId="77777777" w:rsidR="00677037" w:rsidRDefault="00664227">
      <w:pPr>
        <w:pStyle w:val="ListParagraph"/>
        <w:numPr>
          <w:ilvl w:val="0"/>
          <w:numId w:val="2"/>
        </w:numPr>
        <w:spacing w:before="60" w:after="60" w:line="276" w:lineRule="auto"/>
      </w:pPr>
      <w:r>
        <w:t>Eliminación de la causal de inhabilidad parental fundada en la 'inhabilidad física'.</w:t>
      </w:r>
    </w:p>
    <w:p w14:paraId="53CE7417" w14:textId="77777777" w:rsidR="00677037" w:rsidRDefault="00664227">
      <w:pPr>
        <w:pStyle w:val="ListParagraph"/>
        <w:numPr>
          <w:ilvl w:val="0"/>
          <w:numId w:val="2"/>
        </w:numPr>
        <w:spacing w:before="60" w:after="60" w:line="276" w:lineRule="auto"/>
      </w:pPr>
      <w:r>
        <w:t>Adecuación de la repudiación de la filiación determinada por reconocimiento del demente (art. 191, inc. 3.º CC) a un modelo de apoyo en lugar de sustitución de voluntad.</w:t>
      </w:r>
    </w:p>
    <w:p w14:paraId="32486BED" w14:textId="77777777" w:rsidR="00677037" w:rsidRDefault="00664227">
      <w:pPr>
        <w:pStyle w:val="ListParagraph"/>
        <w:numPr>
          <w:ilvl w:val="0"/>
          <w:numId w:val="2"/>
        </w:numPr>
        <w:spacing w:before="60" w:after="60" w:line="276" w:lineRule="auto"/>
      </w:pPr>
      <w:r>
        <w:t>Eliminación de la causa de emancipación judicial fundada en inhabilidad física o moral del padre o madre (art. 271 N.º 4 CC).</w:t>
      </w:r>
    </w:p>
    <w:p w14:paraId="1F612736" w14:textId="77777777" w:rsidR="00677037" w:rsidRDefault="00664227">
      <w:pPr>
        <w:pStyle w:val="ListParagraph"/>
        <w:numPr>
          <w:ilvl w:val="0"/>
          <w:numId w:val="2"/>
        </w:numPr>
        <w:spacing w:before="60" w:after="60" w:line="276" w:lineRule="auto"/>
      </w:pPr>
      <w:r>
        <w:t>Corrección del lenguaje del artículo 332 CC en materia de alimentos, sustituyendo la referencia a personas con 'incapacidad física o mental'.</w:t>
      </w:r>
    </w:p>
    <w:p w14:paraId="6D29FA5D" w14:textId="77777777" w:rsidR="00677037" w:rsidRDefault="00664227">
      <w:pPr>
        <w:spacing w:before="180" w:after="80"/>
      </w:pPr>
      <w:r>
        <w:rPr>
          <w:b/>
          <w:bCs/>
          <w:color w:val="000000"/>
        </w:rPr>
        <w:t>Responsabilidad civil extracontractual</w:t>
      </w:r>
    </w:p>
    <w:p w14:paraId="7E76A104" w14:textId="77777777" w:rsidR="00677037" w:rsidRDefault="00664227">
      <w:pPr>
        <w:pStyle w:val="ListParagraph"/>
        <w:numPr>
          <w:ilvl w:val="0"/>
          <w:numId w:val="2"/>
        </w:numPr>
        <w:spacing w:before="60" w:after="60" w:line="276" w:lineRule="auto"/>
      </w:pPr>
      <w:r>
        <w:t>Revisión de la imputabilidad civil de las personas con discapacidad (arts. 2314 y ss. CC).</w:t>
      </w:r>
    </w:p>
    <w:p w14:paraId="280C1190" w14:textId="77777777" w:rsidR="00677037" w:rsidRPr="001F6781" w:rsidRDefault="00664227">
      <w:pPr>
        <w:pStyle w:val="ListParagraph"/>
        <w:numPr>
          <w:ilvl w:val="0"/>
          <w:numId w:val="2"/>
        </w:numPr>
        <w:spacing w:before="60" w:after="60" w:line="276" w:lineRule="auto"/>
      </w:pPr>
      <w:r>
        <w:t>Reflexión sobre el concepto de culpa objetiva o subjetiva y el criterio de la persona razonable en estos casos.</w:t>
      </w:r>
    </w:p>
    <w:p w14:paraId="720A8592" w14:textId="77777777" w:rsidR="00677037" w:rsidRPr="001F6781" w:rsidRDefault="00664227">
      <w:pPr>
        <w:pStyle w:val="ListParagraph"/>
        <w:numPr>
          <w:ilvl w:val="0"/>
          <w:numId w:val="2"/>
        </w:numPr>
        <w:spacing w:before="60" w:after="60" w:line="276" w:lineRule="auto"/>
      </w:pPr>
      <w:r w:rsidRPr="001F6781">
        <w:t>Replanteamiento del régimen de responsabilidad por hecho ajeno (arts. 2319 y 2320 CC) y su articulación con los facilitadores y curadores estatales.</w:t>
      </w:r>
    </w:p>
    <w:p w14:paraId="18B31E17" w14:textId="77777777" w:rsidR="001F6781" w:rsidRPr="001F6781" w:rsidRDefault="001F6781" w:rsidP="001F6781">
      <w:pPr>
        <w:pStyle w:val="ListParagraph"/>
        <w:numPr>
          <w:ilvl w:val="0"/>
          <w:numId w:val="2"/>
        </w:numPr>
        <w:spacing w:before="60" w:after="60" w:line="276" w:lineRule="auto"/>
        <w:jc w:val="both"/>
      </w:pPr>
      <w:r w:rsidRPr="001F6781">
        <w:rPr>
          <w:lang w:val="es-419"/>
        </w:rPr>
        <w:t xml:space="preserve">Se analizó que, aunque el proyecto parece coherente con el artículo 2319 del Código Civil al mantener el concepto de "demente", su eventual eliminación por considerarse peyorativo generaría un </w:t>
      </w:r>
      <w:r w:rsidRPr="001F6781">
        <w:rPr>
          <w:bCs/>
          <w:lang w:val="es-419"/>
        </w:rPr>
        <w:t>vacío legal sobre la capacidad de culpa</w:t>
      </w:r>
      <w:r w:rsidRPr="001F6781">
        <w:rPr>
          <w:lang w:val="es-419"/>
        </w:rPr>
        <w:t>. Sin un reemplazo técnico como "carente de discernimiento", se crearía una asimetría donde el juez debería evaluar el discernimiento caso a caso en un sistema que no posee una noción de culpa objetiva.</w:t>
      </w:r>
    </w:p>
    <w:p w14:paraId="2A960923" w14:textId="77777777" w:rsidR="00677037" w:rsidRDefault="00664227">
      <w:pPr>
        <w:spacing w:before="180" w:after="80"/>
      </w:pPr>
      <w:r>
        <w:rPr>
          <w:b/>
          <w:bCs/>
          <w:color w:val="000000"/>
        </w:rPr>
        <w:t>Constitución y derechos fundamentales</w:t>
      </w:r>
    </w:p>
    <w:p w14:paraId="58E940B5" w14:textId="77777777" w:rsidR="006440E4" w:rsidRPr="003D5A23" w:rsidRDefault="006440E4">
      <w:pPr>
        <w:spacing w:before="80" w:after="80" w:line="276" w:lineRule="auto"/>
        <w:jc w:val="both"/>
        <w:rPr>
          <w:color w:val="000000"/>
        </w:rPr>
      </w:pPr>
      <w:r>
        <w:rPr>
          <w:color w:val="000000"/>
        </w:rPr>
        <w:t>.</w:t>
      </w:r>
      <w:r>
        <w:rPr>
          <w:color w:val="000000"/>
        </w:rPr>
        <w:tab/>
      </w:r>
      <w:r w:rsidR="00664227">
        <w:rPr>
          <w:color w:val="000000"/>
        </w:rPr>
        <w:t>El artículo 16 N.º 1 de la Constitución suspende el derecho de sufragio por interdicción por demencia. La Subcomisión señala que la regla propuesta en el nuevo artículo 916 del CPC resulta inadecuada desde la perspectiva del interés público en el ejercicio de los derechos políticos. Se advierte la necesaria supresión del lenguaje estigmatizante del artículo 459 CC, sin perder de vista las implicancias constitucionales de la interdicción por demencia.</w:t>
      </w:r>
    </w:p>
    <w:p w14:paraId="0764340D" w14:textId="77777777" w:rsidR="00677037" w:rsidRDefault="00664227">
      <w:pPr>
        <w:spacing w:before="180" w:after="80"/>
      </w:pPr>
      <w:r>
        <w:rPr>
          <w:b/>
          <w:bCs/>
          <w:color w:val="000000"/>
        </w:rPr>
        <w:t>Ley 21.805 (Sistema Nacional de Apoyos y Cuidados)</w:t>
      </w:r>
    </w:p>
    <w:p w14:paraId="2A2D9776" w14:textId="77777777" w:rsidR="00677037" w:rsidRDefault="00664227">
      <w:pPr>
        <w:pStyle w:val="ListParagraph"/>
        <w:numPr>
          <w:ilvl w:val="0"/>
          <w:numId w:val="2"/>
        </w:numPr>
        <w:spacing w:before="60" w:after="60" w:line="276" w:lineRule="auto"/>
      </w:pPr>
      <w:r>
        <w:lastRenderedPageBreak/>
        <w:t>Existe coherencia normativa en la creación y finalidad de los sistemas de apoyo, pero los sujetos protegidos difieren: la Ley 21.805 refiere a todas las personas con discapacidad, mientras el proyecto se refiere a los discapacitados mentales.</w:t>
      </w:r>
    </w:p>
    <w:p w14:paraId="3218614F" w14:textId="77777777" w:rsidR="00677037" w:rsidRDefault="00664227">
      <w:pPr>
        <w:pStyle w:val="ListParagraph"/>
        <w:numPr>
          <w:ilvl w:val="0"/>
          <w:numId w:val="2"/>
        </w:numPr>
        <w:spacing w:before="60" w:after="60" w:line="276" w:lineRule="auto"/>
      </w:pPr>
      <w:r>
        <w:t>No se contempla el posible conflicto de interés entre cuidadores y facilitadores.</w:t>
      </w:r>
    </w:p>
    <w:p w14:paraId="6C59EC90" w14:textId="77777777" w:rsidR="00677037" w:rsidRDefault="00664227">
      <w:pPr>
        <w:pStyle w:val="ListParagraph"/>
        <w:numPr>
          <w:ilvl w:val="0"/>
          <w:numId w:val="2"/>
        </w:numPr>
        <w:spacing w:before="60" w:after="60" w:line="276" w:lineRule="auto"/>
      </w:pPr>
      <w:r>
        <w:t>Existen vacíos de articulación sobre las tareas, la forma de vinculación y el régimen de control de facilitadores y asistentes.</w:t>
      </w:r>
    </w:p>
    <w:p w14:paraId="50D53A7C" w14:textId="77777777" w:rsidR="00677037" w:rsidRDefault="00664227">
      <w:pPr>
        <w:pStyle w:val="ListParagraph"/>
        <w:numPr>
          <w:ilvl w:val="0"/>
          <w:numId w:val="2"/>
        </w:numPr>
        <w:spacing w:before="60" w:after="60" w:line="276" w:lineRule="auto"/>
      </w:pPr>
      <w:r>
        <w:t>Ausencia del reconocimiento de cuidadoras y de coordinación institucional entre el sistema de cuidados y el proyecto.</w:t>
      </w:r>
    </w:p>
    <w:p w14:paraId="1F318FB9" w14:textId="77777777" w:rsidR="001F6781" w:rsidRPr="007122AE" w:rsidRDefault="00664227" w:rsidP="001F6781">
      <w:pPr>
        <w:pStyle w:val="ListParagraph"/>
        <w:numPr>
          <w:ilvl w:val="0"/>
          <w:numId w:val="2"/>
        </w:numPr>
        <w:spacing w:before="60" w:after="60" w:line="276" w:lineRule="auto"/>
        <w:jc w:val="both"/>
      </w:pPr>
      <w:r>
        <w:t>Se recomienda la creación de un sistema institucional de apoyos jurídi</w:t>
      </w:r>
      <w:r w:rsidRPr="00510B03">
        <w:t xml:space="preserve">cos, con visión </w:t>
      </w:r>
      <w:r w:rsidRPr="007122AE">
        <w:t>técnica, profesional y especializada.</w:t>
      </w:r>
    </w:p>
    <w:p w14:paraId="4B637C88" w14:textId="77777777" w:rsidR="001F6781" w:rsidRPr="007122AE" w:rsidRDefault="001F6781" w:rsidP="001F6781">
      <w:pPr>
        <w:jc w:val="both"/>
        <w:rPr>
          <w:lang w:val="es-419"/>
        </w:rPr>
      </w:pPr>
    </w:p>
    <w:p w14:paraId="42AD3C75" w14:textId="77777777" w:rsidR="001F6781" w:rsidRPr="007122AE" w:rsidRDefault="001F6781" w:rsidP="001F6781">
      <w:pPr>
        <w:jc w:val="both"/>
        <w:rPr>
          <w:lang w:val="es-419"/>
        </w:rPr>
      </w:pPr>
      <w:r w:rsidRPr="007122AE">
        <w:rPr>
          <w:b/>
          <w:bCs/>
          <w:lang w:val="es-419"/>
        </w:rPr>
        <w:t>Impacto en la Legislación Penal:</w:t>
      </w:r>
      <w:r w:rsidRPr="007122AE">
        <w:rPr>
          <w:lang w:val="es-419"/>
        </w:rPr>
        <w:t xml:space="preserve"> </w:t>
      </w:r>
    </w:p>
    <w:p w14:paraId="0AF5202F" w14:textId="77777777" w:rsidR="001F6781" w:rsidRPr="007122AE" w:rsidRDefault="001F6781" w:rsidP="001F6781">
      <w:pPr>
        <w:jc w:val="both"/>
        <w:rPr>
          <w:lang w:val="es-419"/>
        </w:rPr>
      </w:pPr>
      <w:r w:rsidRPr="007122AE">
        <w:rPr>
          <w:lang w:val="es-419"/>
        </w:rPr>
        <w:t xml:space="preserve">. La declaración amplia de capacidad jurídica incide directamente en la </w:t>
      </w:r>
      <w:r w:rsidRPr="007122AE">
        <w:rPr>
          <w:b/>
          <w:bCs/>
          <w:lang w:val="es-419"/>
        </w:rPr>
        <w:t>imputabilidad y la competencia penal</w:t>
      </w:r>
      <w:r w:rsidRPr="007122AE">
        <w:rPr>
          <w:lang w:val="es-419"/>
        </w:rPr>
        <w:t>. Se advirtió que el reemplazo de la nomenclatura "loco o demente" en el artículo 10 número 1 del Código Penal alteraría profundamente un sistema que ya enfrenta crisis institucionales. Actualmente, existe un conflicto donde el sistema penitenciario busca derivar casos al sistema sanitario, pero este último declara no tener capacidad para absorberlos.</w:t>
      </w:r>
    </w:p>
    <w:p w14:paraId="78E07014" w14:textId="77777777" w:rsidR="001F6781" w:rsidRPr="007122AE" w:rsidRDefault="001F6781" w:rsidP="007122AE">
      <w:pPr>
        <w:ind w:left="720"/>
        <w:jc w:val="both"/>
        <w:rPr>
          <w:lang w:val="es-419"/>
        </w:rPr>
      </w:pPr>
      <w:r w:rsidRPr="007122AE">
        <w:rPr>
          <w:lang w:val="es-419"/>
        </w:rPr>
        <w:t xml:space="preserve"> </w:t>
      </w:r>
    </w:p>
    <w:p w14:paraId="5538BAA2" w14:textId="77777777" w:rsidR="007122AE" w:rsidRPr="007122AE" w:rsidRDefault="001F6781" w:rsidP="007122AE">
      <w:pPr>
        <w:jc w:val="both"/>
        <w:rPr>
          <w:lang w:val="es-419"/>
        </w:rPr>
      </w:pPr>
      <w:r w:rsidRPr="007122AE">
        <w:rPr>
          <w:b/>
          <w:bCs/>
          <w:lang w:val="es-419"/>
        </w:rPr>
        <w:t>Incerteza Jurídica y Exclusión Social:</w:t>
      </w:r>
      <w:r w:rsidRPr="007122AE">
        <w:rPr>
          <w:lang w:val="es-419"/>
        </w:rPr>
        <w:t xml:space="preserve"> </w:t>
      </w:r>
    </w:p>
    <w:p w14:paraId="7C5CACFE" w14:textId="77777777" w:rsidR="001F6781" w:rsidRPr="007122AE" w:rsidRDefault="007122AE" w:rsidP="007122AE">
      <w:pPr>
        <w:jc w:val="both"/>
        <w:rPr>
          <w:lang w:val="es-419"/>
        </w:rPr>
      </w:pPr>
      <w:r w:rsidRPr="007122AE">
        <w:rPr>
          <w:lang w:val="es-419"/>
        </w:rPr>
        <w:t xml:space="preserve">. </w:t>
      </w:r>
      <w:r w:rsidR="001F6781" w:rsidRPr="007122AE">
        <w:rPr>
          <w:lang w:val="es-419"/>
        </w:rPr>
        <w:t xml:space="preserve">Se alertó sobre el riesgo de las </w:t>
      </w:r>
      <w:r w:rsidR="001F6781" w:rsidRPr="007122AE">
        <w:rPr>
          <w:b/>
          <w:bCs/>
          <w:lang w:val="es-419"/>
        </w:rPr>
        <w:t>"interdicciones informales"</w:t>
      </w:r>
      <w:r w:rsidR="001F6781" w:rsidRPr="007122AE">
        <w:rPr>
          <w:lang w:val="es-419"/>
        </w:rPr>
        <w:t xml:space="preserve">, donde instituciones privadas o administrativas podrían seguir exigiendo certificados de interdicción para acceder a servicios como pensiones o seguros, reproduciendo la sustitución de voluntad por vías de hecho. Asimismo, si los terceros (bancos o comerciantes) no tienen </w:t>
      </w:r>
      <w:r w:rsidR="001F6781" w:rsidRPr="007122AE">
        <w:rPr>
          <w:b/>
          <w:bCs/>
          <w:lang w:val="es-419"/>
        </w:rPr>
        <w:t>certeza jurídica</w:t>
      </w:r>
      <w:r w:rsidR="001F6781" w:rsidRPr="007122AE">
        <w:rPr>
          <w:lang w:val="es-419"/>
        </w:rPr>
        <w:t xml:space="preserve"> sobre la validez de los contratos con personas bajo apoyo, podrían optar por </w:t>
      </w:r>
      <w:r w:rsidR="001F6781" w:rsidRPr="007122AE">
        <w:rPr>
          <w:b/>
          <w:bCs/>
          <w:lang w:val="es-419"/>
        </w:rPr>
        <w:t>excluirlas del tráfico jurídico</w:t>
      </w:r>
      <w:r w:rsidR="001F6781" w:rsidRPr="007122AE">
        <w:rPr>
          <w:lang w:val="es-419"/>
        </w:rPr>
        <w:t xml:space="preserve"> para evitar riesgos de nulidad, convirtiéndolas en "parias del derecho".</w:t>
      </w:r>
    </w:p>
    <w:p w14:paraId="0A658BCE" w14:textId="77777777" w:rsidR="001F6781" w:rsidRPr="007122AE" w:rsidRDefault="001F6781" w:rsidP="001F6781">
      <w:pPr>
        <w:jc w:val="both"/>
        <w:rPr>
          <w:lang w:val="es-419"/>
        </w:rPr>
      </w:pPr>
    </w:p>
    <w:p w14:paraId="74B1174E" w14:textId="77777777" w:rsidR="001F6781" w:rsidRPr="007122AE" w:rsidRDefault="001F6781" w:rsidP="007122AE">
      <w:pPr>
        <w:contextualSpacing/>
        <w:jc w:val="both"/>
        <w:rPr>
          <w:b/>
          <w:bCs/>
          <w:lang w:val="es-419"/>
        </w:rPr>
      </w:pPr>
      <w:r w:rsidRPr="007122AE">
        <w:rPr>
          <w:b/>
          <w:bCs/>
          <w:lang w:val="es-419"/>
        </w:rPr>
        <w:t>Régimen transitorio</w:t>
      </w:r>
    </w:p>
    <w:p w14:paraId="48D7F163" w14:textId="77777777" w:rsidR="001F6781" w:rsidRPr="007122AE" w:rsidRDefault="001F6781" w:rsidP="001F6781">
      <w:pPr>
        <w:jc w:val="both"/>
        <w:rPr>
          <w:lang w:val="es-419"/>
        </w:rPr>
      </w:pPr>
      <w:r w:rsidRPr="007122AE">
        <w:rPr>
          <w:lang w:val="es-419"/>
        </w:rPr>
        <w:t>Existió amplio acuerdo en que uno de los aspectos más débiles del proyecto corresponde a las normas transitorias.</w:t>
      </w:r>
    </w:p>
    <w:p w14:paraId="1F544C17" w14:textId="77777777" w:rsidR="001F6781" w:rsidRPr="007122AE" w:rsidRDefault="001F6781" w:rsidP="001F6781">
      <w:pPr>
        <w:jc w:val="both"/>
        <w:rPr>
          <w:lang w:val="es-419"/>
        </w:rPr>
      </w:pPr>
      <w:r w:rsidRPr="007122AE">
        <w:rPr>
          <w:lang w:val="es-419"/>
        </w:rPr>
        <w:t>Se destacó especialmente la necesidad de definir el tratamiento de las personas actualmente sujetas a interdicción, evitando procesos masivos de revisión judicial y estableciendo criterios objetivos para la transición entre ambos sistemas. También se señaló que ésta probablemente será una de las principales inquietudes de las personas directamente afectadas por la reforma.</w:t>
      </w:r>
    </w:p>
    <w:p w14:paraId="7FF7E21F" w14:textId="77777777" w:rsidR="001F6781" w:rsidRPr="007122AE" w:rsidRDefault="001F6781" w:rsidP="001F6781">
      <w:pPr>
        <w:jc w:val="both"/>
        <w:rPr>
          <w:lang w:val="es-419"/>
        </w:rPr>
      </w:pPr>
      <w:r w:rsidRPr="007122AE">
        <w:rPr>
          <w:lang w:val="es-419"/>
        </w:rPr>
        <w:t xml:space="preserve">Asimismo, se estimó indispensable contemplar una implementación gradual mediante una </w:t>
      </w:r>
      <w:proofErr w:type="spellStart"/>
      <w:r w:rsidRPr="007122AE">
        <w:rPr>
          <w:lang w:val="es-419"/>
        </w:rPr>
        <w:t>vacatio</w:t>
      </w:r>
      <w:proofErr w:type="spellEnd"/>
      <w:r w:rsidRPr="007122AE">
        <w:rPr>
          <w:lang w:val="es-419"/>
        </w:rPr>
        <w:t xml:space="preserve"> </w:t>
      </w:r>
      <w:proofErr w:type="spellStart"/>
      <w:r w:rsidRPr="007122AE">
        <w:rPr>
          <w:lang w:val="es-419"/>
        </w:rPr>
        <w:t>legis</w:t>
      </w:r>
      <w:proofErr w:type="spellEnd"/>
      <w:r w:rsidRPr="007122AE">
        <w:rPr>
          <w:lang w:val="es-419"/>
        </w:rPr>
        <w:t xml:space="preserve"> suficiente, considerando que numerosos aspectos dependerán de reglamentos cuya elaboración podría extenderse en el tiempo.</w:t>
      </w:r>
    </w:p>
    <w:p w14:paraId="63AAC24F" w14:textId="77777777" w:rsidR="00677037" w:rsidRPr="00A45438" w:rsidRDefault="00664227" w:rsidP="00A45438">
      <w:pPr>
        <w:ind w:firstLine="708"/>
        <w:jc w:val="both"/>
        <w:rPr>
          <w:color w:val="000000"/>
        </w:rPr>
      </w:pPr>
      <w:r>
        <w:br w:type="page"/>
      </w:r>
    </w:p>
    <w:p w14:paraId="28ED4511" w14:textId="77777777" w:rsidR="00677037" w:rsidRDefault="00664227">
      <w:pPr>
        <w:pBdr>
          <w:bottom w:val="single" w:sz="6" w:space="4" w:color="2C5F8A"/>
        </w:pBdr>
        <w:spacing w:before="300" w:after="150"/>
      </w:pPr>
      <w:r>
        <w:rPr>
          <w:b/>
          <w:bCs/>
          <w:color w:val="2C5F8A"/>
          <w:sz w:val="28"/>
          <w:szCs w:val="28"/>
        </w:rPr>
        <w:lastRenderedPageBreak/>
        <w:t>CONCLUSIONES, MODIFICACIONES Y PROPUESTAS POR SUBCOMISIÓN</w:t>
      </w:r>
    </w:p>
    <w:p w14:paraId="317F5406" w14:textId="77777777" w:rsidR="00677037" w:rsidRDefault="00664227">
      <w:pPr>
        <w:spacing w:before="240" w:after="100"/>
      </w:pPr>
      <w:proofErr w:type="gramStart"/>
      <w:r>
        <w:rPr>
          <w:b/>
          <w:bCs/>
          <w:color w:val="1A3E5C"/>
          <w:sz w:val="24"/>
          <w:szCs w:val="24"/>
        </w:rPr>
        <w:t>Subcomisión N.º</w:t>
      </w:r>
      <w:proofErr w:type="gramEnd"/>
      <w:r>
        <w:rPr>
          <w:b/>
          <w:bCs/>
          <w:color w:val="1A3E5C"/>
          <w:sz w:val="24"/>
          <w:szCs w:val="24"/>
        </w:rPr>
        <w:t xml:space="preserve"> 1: Objeto de la Ley y Regulación de Facilitadores</w:t>
      </w:r>
    </w:p>
    <w:p w14:paraId="7CC74284" w14:textId="77777777" w:rsidR="00677037" w:rsidRDefault="00664227">
      <w:pPr>
        <w:spacing w:before="180" w:after="80"/>
      </w:pPr>
      <w:r>
        <w:rPr>
          <w:b/>
          <w:bCs/>
          <w:color w:val="000000"/>
        </w:rPr>
        <w:t>Conclusiones</w:t>
      </w:r>
    </w:p>
    <w:p w14:paraId="034FC814" w14:textId="77777777" w:rsidR="00677037" w:rsidRDefault="00664227">
      <w:pPr>
        <w:spacing w:before="80" w:after="80" w:line="276" w:lineRule="auto"/>
        <w:jc w:val="both"/>
      </w:pPr>
      <w:r>
        <w:rPr>
          <w:color w:val="000000"/>
        </w:rPr>
        <w:t>El proyecto utiliza el lenguaje del modelo de apoyos, pero su articulado encubre mecanismos de sustitución de voluntad incompatibles con la CDPD. La figura del facilitador y del asistente tal como está redactada no garantiza el pleno ejercicio autónomo de la capacidad jurídica de las personas con discapacidad.</w:t>
      </w:r>
    </w:p>
    <w:p w14:paraId="26BB6023" w14:textId="77777777" w:rsidR="00677037" w:rsidRDefault="00664227">
      <w:pPr>
        <w:spacing w:before="180" w:after="80"/>
      </w:pPr>
      <w:r>
        <w:rPr>
          <w:b/>
          <w:bCs/>
          <w:color w:val="000000"/>
        </w:rPr>
        <w:t>Modificaciones y propuestas</w:t>
      </w:r>
    </w:p>
    <w:p w14:paraId="7D63F362" w14:textId="77777777" w:rsidR="00677037" w:rsidRDefault="00664227">
      <w:pPr>
        <w:pStyle w:val="ListParagraph"/>
        <w:numPr>
          <w:ilvl w:val="0"/>
          <w:numId w:val="2"/>
        </w:numPr>
        <w:spacing w:before="60" w:after="60" w:line="276" w:lineRule="auto"/>
      </w:pPr>
      <w:r>
        <w:t>Reorientar el artículo 1.º para que el objeto de la ley sea el reconocimiento y garantía del ejercicio de la capacidad jurídica de las personas con discapacidad, y no el estatuto de los facilitadores.</w:t>
      </w:r>
    </w:p>
    <w:p w14:paraId="7E7CF12E" w14:textId="77777777" w:rsidR="00677037" w:rsidRDefault="00664227">
      <w:pPr>
        <w:pStyle w:val="ListParagraph"/>
        <w:numPr>
          <w:ilvl w:val="0"/>
          <w:numId w:val="2"/>
        </w:numPr>
        <w:spacing w:before="60" w:after="60" w:line="276" w:lineRule="auto"/>
      </w:pPr>
      <w:r>
        <w:t>Incorporar expresamente los principios de no discriminación, igualdad, autonomía y voluntad de la persona como rectores del sistema de apoyos.</w:t>
      </w:r>
    </w:p>
    <w:p w14:paraId="1A3D7836" w14:textId="77777777" w:rsidR="00677037" w:rsidRDefault="00664227">
      <w:pPr>
        <w:pStyle w:val="ListParagraph"/>
        <w:numPr>
          <w:ilvl w:val="0"/>
          <w:numId w:val="2"/>
        </w:numPr>
        <w:spacing w:before="60" w:after="60" w:line="276" w:lineRule="auto"/>
      </w:pPr>
      <w:r>
        <w:t>Eliminar la distinción entre facilitador y asistente por tipo de discapacidad, unificando la figura bajo la denominación 'persona de apoyo'.</w:t>
      </w:r>
    </w:p>
    <w:p w14:paraId="433964E4" w14:textId="77777777" w:rsidR="00677037" w:rsidRDefault="00664227">
      <w:pPr>
        <w:pStyle w:val="ListParagraph"/>
        <w:numPr>
          <w:ilvl w:val="0"/>
          <w:numId w:val="2"/>
        </w:numPr>
        <w:spacing w:before="60" w:after="60" w:line="276" w:lineRule="auto"/>
      </w:pPr>
      <w:r>
        <w:t>Prohibir expresamente que las personas de apoyo tengan facultades de representación o sustitución de voluntad.</w:t>
      </w:r>
    </w:p>
    <w:p w14:paraId="0BE05E4A" w14:textId="77777777" w:rsidR="00677037" w:rsidRDefault="00664227">
      <w:pPr>
        <w:pStyle w:val="ListParagraph"/>
        <w:numPr>
          <w:ilvl w:val="0"/>
          <w:numId w:val="2"/>
        </w:numPr>
        <w:spacing w:before="60" w:after="60" w:line="276" w:lineRule="auto"/>
      </w:pPr>
      <w:r>
        <w:t>Incorporar el carácter voluntario de los apoyos como regla general, reservando la designación judicial para casos excepcionales.</w:t>
      </w:r>
    </w:p>
    <w:p w14:paraId="398E0018" w14:textId="77777777" w:rsidR="00677037" w:rsidRDefault="00664227">
      <w:pPr>
        <w:pStyle w:val="ListParagraph"/>
        <w:numPr>
          <w:ilvl w:val="0"/>
          <w:numId w:val="2"/>
        </w:numPr>
        <w:spacing w:before="60" w:after="60" w:line="276" w:lineRule="auto"/>
      </w:pPr>
      <w:r>
        <w:t>Ampliar las prohibiciones del artículo 8.º a la compraventa y promesa de bienes muebles de alto valor.</w:t>
      </w:r>
    </w:p>
    <w:p w14:paraId="17A66FF0" w14:textId="77777777" w:rsidR="00677037" w:rsidRDefault="00664227">
      <w:pPr>
        <w:pStyle w:val="ListParagraph"/>
        <w:numPr>
          <w:ilvl w:val="0"/>
          <w:numId w:val="2"/>
        </w:numPr>
        <w:spacing w:before="60" w:after="60" w:line="276" w:lineRule="auto"/>
      </w:pPr>
      <w:r>
        <w:t>Precisar los criterios de las inhabilidades de la letra d) y la letra e) del artículo 9.º.</w:t>
      </w:r>
    </w:p>
    <w:p w14:paraId="67210E25" w14:textId="77777777" w:rsidR="00677037" w:rsidRDefault="00664227">
      <w:pPr>
        <w:pStyle w:val="ListParagraph"/>
        <w:numPr>
          <w:ilvl w:val="0"/>
          <w:numId w:val="2"/>
        </w:numPr>
        <w:spacing w:before="60" w:after="60" w:line="276" w:lineRule="auto"/>
      </w:pPr>
      <w:r>
        <w:t>Establecer sanciones específicas para el caso de matrimonio o AUC sin rendición de cuentas previa (artículo 10).</w:t>
      </w:r>
    </w:p>
    <w:p w14:paraId="7A2897FA" w14:textId="77777777" w:rsidR="00677037" w:rsidRDefault="00664227">
      <w:pPr>
        <w:pStyle w:val="ListParagraph"/>
        <w:numPr>
          <w:ilvl w:val="0"/>
          <w:numId w:val="2"/>
        </w:numPr>
        <w:spacing w:before="60" w:after="60" w:line="276" w:lineRule="auto"/>
      </w:pPr>
      <w:r>
        <w:t>Reformular el artículo 11 para que las causales de expiración estén vinculadas a la protección de la voluntad y preferencias de la persona con discapacidad.</w:t>
      </w:r>
    </w:p>
    <w:p w14:paraId="025B394D" w14:textId="77777777" w:rsidR="00677037" w:rsidRDefault="00677037">
      <w:pPr>
        <w:spacing w:before="80" w:after="80" w:line="276" w:lineRule="auto"/>
        <w:jc w:val="both"/>
      </w:pPr>
    </w:p>
    <w:p w14:paraId="00B1EC9C" w14:textId="77777777" w:rsidR="00677037" w:rsidRDefault="00664227">
      <w:pPr>
        <w:spacing w:before="240" w:after="100"/>
      </w:pPr>
      <w:proofErr w:type="gramStart"/>
      <w:r>
        <w:rPr>
          <w:b/>
          <w:bCs/>
          <w:color w:val="1A3E5C"/>
          <w:sz w:val="24"/>
          <w:szCs w:val="24"/>
        </w:rPr>
        <w:t>Subcomisión N.º</w:t>
      </w:r>
      <w:proofErr w:type="gramEnd"/>
      <w:r>
        <w:rPr>
          <w:b/>
          <w:bCs/>
          <w:color w:val="1A3E5C"/>
          <w:sz w:val="24"/>
          <w:szCs w:val="24"/>
        </w:rPr>
        <w:t xml:space="preserve"> 2: Proceso de Interdicción por Demencia</w:t>
      </w:r>
    </w:p>
    <w:p w14:paraId="44CEC18A" w14:textId="77777777" w:rsidR="00677037" w:rsidRDefault="00664227">
      <w:pPr>
        <w:spacing w:before="180" w:after="80"/>
      </w:pPr>
      <w:r>
        <w:rPr>
          <w:b/>
          <w:bCs/>
          <w:color w:val="000000"/>
        </w:rPr>
        <w:t>Conclusiones</w:t>
      </w:r>
    </w:p>
    <w:p w14:paraId="4AE3A3B1" w14:textId="77777777" w:rsidR="00677037" w:rsidRDefault="00664227">
      <w:pPr>
        <w:spacing w:before="80" w:after="80" w:line="276" w:lineRule="auto"/>
        <w:jc w:val="both"/>
      </w:pPr>
      <w:r>
        <w:rPr>
          <w:color w:val="000000"/>
        </w:rPr>
        <w:t>El proyecto de ley sobre procedimiento de interdicción por demencia contraviene la Convención en lo referente a las medidas de apoyos que requiere la persona con discapacidad. El cambio de paradigma exigido por la CDPD implica reconocer la capacidad jurídica y la autonomía en la toma de decisiones, siendo la representación excepcionalísima.</w:t>
      </w:r>
    </w:p>
    <w:p w14:paraId="1A0B9EDC" w14:textId="77777777" w:rsidR="00677037" w:rsidRDefault="00664227">
      <w:pPr>
        <w:spacing w:before="180" w:after="80"/>
      </w:pPr>
      <w:r>
        <w:rPr>
          <w:b/>
          <w:bCs/>
          <w:color w:val="000000"/>
        </w:rPr>
        <w:t>Modificaciones y propuestas</w:t>
      </w:r>
    </w:p>
    <w:p w14:paraId="4ADA246E" w14:textId="77777777" w:rsidR="00677037" w:rsidRDefault="00664227">
      <w:pPr>
        <w:pStyle w:val="ListParagraph"/>
        <w:numPr>
          <w:ilvl w:val="0"/>
          <w:numId w:val="2"/>
        </w:numPr>
        <w:spacing w:before="60" w:after="60" w:line="276" w:lineRule="auto"/>
      </w:pPr>
      <w:r>
        <w:t>Sustituir el procedimiento de interdicción por demencia por un procedimiento que establezca medidas de apoyos (voluntarias o judiciales) para la persona con discapacidad, sin discriminación, cualquiera sea el tipo de discapacidad.</w:t>
      </w:r>
    </w:p>
    <w:p w14:paraId="2DB466E1" w14:textId="77777777" w:rsidR="00677037" w:rsidRDefault="00664227">
      <w:pPr>
        <w:pStyle w:val="ListParagraph"/>
        <w:numPr>
          <w:ilvl w:val="0"/>
          <w:numId w:val="2"/>
        </w:numPr>
        <w:spacing w:before="60" w:after="60" w:line="276" w:lineRule="auto"/>
      </w:pPr>
      <w:r>
        <w:t>Modificar todas las normas que están en abierta contravención a la Convención, conforme a las observaciones finales del Comité sobre el informe inicial de Chile (2016).</w:t>
      </w:r>
    </w:p>
    <w:p w14:paraId="7CDB942F" w14:textId="77777777" w:rsidR="00677037" w:rsidRDefault="00664227">
      <w:pPr>
        <w:pStyle w:val="ListParagraph"/>
        <w:numPr>
          <w:ilvl w:val="0"/>
          <w:numId w:val="2"/>
        </w:numPr>
        <w:spacing w:before="60" w:after="60" w:line="276" w:lineRule="auto"/>
      </w:pPr>
      <w:r>
        <w:lastRenderedPageBreak/>
        <w:t>Eliminar el uso de la palabra 'demente' y toda terminología peyorativa del proyecto de ley.</w:t>
      </w:r>
    </w:p>
    <w:p w14:paraId="0ED0D619" w14:textId="77777777" w:rsidR="00677037" w:rsidRDefault="00664227">
      <w:pPr>
        <w:pStyle w:val="ListParagraph"/>
        <w:numPr>
          <w:ilvl w:val="0"/>
          <w:numId w:val="2"/>
        </w:numPr>
        <w:spacing w:before="60" w:after="60" w:line="276" w:lineRule="auto"/>
      </w:pPr>
      <w:r>
        <w:t>Incorporar defensa jurídica especializada en derechos de personas con discapacidad, análoga a la figura del defensor penal público, para garantizar el acceso a la justicia.</w:t>
      </w:r>
    </w:p>
    <w:p w14:paraId="7CB23CD8" w14:textId="77777777" w:rsidR="00677037" w:rsidRDefault="00664227">
      <w:pPr>
        <w:pStyle w:val="ListParagraph"/>
        <w:numPr>
          <w:ilvl w:val="0"/>
          <w:numId w:val="2"/>
        </w:numPr>
        <w:spacing w:before="60" w:after="60" w:line="276" w:lineRule="auto"/>
      </w:pPr>
      <w:r>
        <w:t>Establecer medidas de apoyo accesibles e inclusivas para la notificación e información legal de las personas con discapacidad.</w:t>
      </w:r>
    </w:p>
    <w:p w14:paraId="5CD51A69" w14:textId="77777777" w:rsidR="00677037" w:rsidRDefault="00664227">
      <w:pPr>
        <w:pStyle w:val="ListParagraph"/>
        <w:numPr>
          <w:ilvl w:val="0"/>
          <w:numId w:val="2"/>
        </w:numPr>
        <w:spacing w:before="60" w:after="60" w:line="276" w:lineRule="auto"/>
      </w:pPr>
      <w:r>
        <w:t>Tener presente que el Protocolo Facultativo de la CDPD faculta al Comité para recibir comunicaciones de personas que aleguen ser víctimas de violación de la Convención por el Estado Parte.</w:t>
      </w:r>
    </w:p>
    <w:p w14:paraId="7663165E" w14:textId="77777777" w:rsidR="00677037" w:rsidRDefault="00677037">
      <w:pPr>
        <w:spacing w:before="80" w:after="80" w:line="276" w:lineRule="auto"/>
        <w:jc w:val="both"/>
      </w:pPr>
    </w:p>
    <w:p w14:paraId="525E0763" w14:textId="77777777" w:rsidR="00677037" w:rsidRDefault="00664227">
      <w:pPr>
        <w:spacing w:before="240" w:after="100"/>
      </w:pPr>
      <w:proofErr w:type="gramStart"/>
      <w:r>
        <w:rPr>
          <w:b/>
          <w:bCs/>
          <w:color w:val="1A3E5C"/>
          <w:sz w:val="24"/>
          <w:szCs w:val="24"/>
        </w:rPr>
        <w:t>Subcomisión N.º</w:t>
      </w:r>
      <w:proofErr w:type="gramEnd"/>
      <w:r>
        <w:rPr>
          <w:b/>
          <w:bCs/>
          <w:color w:val="1A3E5C"/>
          <w:sz w:val="24"/>
          <w:szCs w:val="24"/>
        </w:rPr>
        <w:t xml:space="preserve"> 3: Procedimiento de Designación de Facilitadores y Asistentes</w:t>
      </w:r>
    </w:p>
    <w:p w14:paraId="7C4E48E3" w14:textId="77777777" w:rsidR="00677037" w:rsidRDefault="00664227">
      <w:pPr>
        <w:spacing w:before="180" w:after="80"/>
      </w:pPr>
      <w:r>
        <w:rPr>
          <w:b/>
          <w:bCs/>
          <w:color w:val="000000"/>
        </w:rPr>
        <w:t>Conclusiones</w:t>
      </w:r>
    </w:p>
    <w:p w14:paraId="624F2A31" w14:textId="77777777" w:rsidR="00677037" w:rsidRDefault="00664227">
      <w:pPr>
        <w:spacing w:before="80" w:after="80" w:line="276" w:lineRule="auto"/>
        <w:jc w:val="both"/>
      </w:pPr>
      <w:r>
        <w:rPr>
          <w:color w:val="000000"/>
        </w:rPr>
        <w:t>El proyecto propone una regulación contraria al estándar de la CDPD. La coexistencia del régimen de interdicción con el modelo de apoyos es estructuralmente contradictoria. Los mecanismos propuestos no garantizan el carácter voluntario de los apoyos ni el respeto a la voluntad y preferencias de las personas que los requieren.</w:t>
      </w:r>
    </w:p>
    <w:p w14:paraId="12129237" w14:textId="77777777" w:rsidR="00677037" w:rsidRDefault="00664227">
      <w:pPr>
        <w:spacing w:before="180" w:after="80"/>
      </w:pPr>
      <w:r>
        <w:rPr>
          <w:b/>
          <w:bCs/>
          <w:color w:val="000000"/>
        </w:rPr>
        <w:t>Modificaciones y propuestas</w:t>
      </w:r>
    </w:p>
    <w:p w14:paraId="6D7FF77C" w14:textId="77777777" w:rsidR="00677037" w:rsidRDefault="00664227">
      <w:pPr>
        <w:pStyle w:val="ListParagraph"/>
        <w:numPr>
          <w:ilvl w:val="0"/>
          <w:numId w:val="2"/>
        </w:numPr>
        <w:spacing w:before="60" w:after="60" w:line="276" w:lineRule="auto"/>
      </w:pPr>
      <w:r>
        <w:t>Derogar y no proponer ninguna disposición que regule la interdicción de personas por motivos mentales.</w:t>
      </w:r>
    </w:p>
    <w:p w14:paraId="61463007" w14:textId="77777777" w:rsidR="00677037" w:rsidRDefault="00664227">
      <w:pPr>
        <w:pStyle w:val="ListParagraph"/>
        <w:numPr>
          <w:ilvl w:val="0"/>
          <w:numId w:val="2"/>
        </w:numPr>
        <w:spacing w:before="60" w:after="60" w:line="276" w:lineRule="auto"/>
      </w:pPr>
      <w:r>
        <w:t>Reconocer la capacidad jurídica de todas las personas adultas en virtud del artículo 12 de la CDPD y la Observación General N.º 1 del Comité.</w:t>
      </w:r>
    </w:p>
    <w:p w14:paraId="5CAD709B" w14:textId="77777777" w:rsidR="00677037" w:rsidRDefault="00664227">
      <w:pPr>
        <w:pStyle w:val="ListParagraph"/>
        <w:numPr>
          <w:ilvl w:val="0"/>
          <w:numId w:val="2"/>
        </w:numPr>
        <w:spacing w:before="60" w:after="60" w:line="276" w:lineRule="auto"/>
      </w:pPr>
      <w:r>
        <w:t>Unificar la figura del facilitador y el asistente bajo la denominación 'persona de apoyo', sin distinción por tipo de discapacidad.</w:t>
      </w:r>
    </w:p>
    <w:p w14:paraId="04C5D203" w14:textId="77777777" w:rsidR="00677037" w:rsidRDefault="00664227">
      <w:pPr>
        <w:pStyle w:val="ListParagraph"/>
        <w:numPr>
          <w:ilvl w:val="0"/>
          <w:numId w:val="2"/>
        </w:numPr>
        <w:spacing w:before="60" w:after="60" w:line="276" w:lineRule="auto"/>
      </w:pPr>
      <w:r>
        <w:t>Incorporar principios de aplicación e interpretación del modelo de apoyos (dignidad, autonomía, primacía de la voluntad, no discriminación, accesibilidad y celeridad).</w:t>
      </w:r>
    </w:p>
    <w:p w14:paraId="34167F8D" w14:textId="77777777" w:rsidR="00677037" w:rsidRDefault="00664227">
      <w:pPr>
        <w:pStyle w:val="ListParagraph"/>
        <w:numPr>
          <w:ilvl w:val="0"/>
          <w:numId w:val="2"/>
        </w:numPr>
        <w:spacing w:before="60" w:after="60" w:line="276" w:lineRule="auto"/>
      </w:pPr>
      <w:r>
        <w:t>Reconocer expresamente que los apoyos no tienen facultades de representación ni sustitución de voluntad.</w:t>
      </w:r>
    </w:p>
    <w:p w14:paraId="5E28227B" w14:textId="77777777" w:rsidR="00677037" w:rsidRDefault="00664227">
      <w:pPr>
        <w:pStyle w:val="ListParagraph"/>
        <w:numPr>
          <w:ilvl w:val="0"/>
          <w:numId w:val="2"/>
        </w:numPr>
        <w:spacing w:before="60" w:after="60" w:line="276" w:lineRule="auto"/>
      </w:pPr>
      <w:r>
        <w:t>Establecer mecanismos para que la persona de apoyo interprete la voluntad conforme al criterio de la 'mejor interpretación posible' (trayectoria de vida, previas manifestaciones de voluntad, etc.).</w:t>
      </w:r>
    </w:p>
    <w:p w14:paraId="44BFB5DB" w14:textId="77777777" w:rsidR="00677037" w:rsidRDefault="00664227">
      <w:pPr>
        <w:pStyle w:val="ListParagraph"/>
        <w:numPr>
          <w:ilvl w:val="0"/>
          <w:numId w:val="2"/>
        </w:numPr>
        <w:spacing w:before="60" w:after="60" w:line="276" w:lineRule="auto"/>
      </w:pPr>
      <w:r>
        <w:t>Garantizar el carácter voluntario de los apoyos, reservando la designación judicial para casos excepcionales en que la persona no pueda manifestar su voluntad.</w:t>
      </w:r>
    </w:p>
    <w:p w14:paraId="09B05EFD" w14:textId="77777777" w:rsidR="00677037" w:rsidRDefault="00664227">
      <w:pPr>
        <w:pStyle w:val="ListParagraph"/>
        <w:numPr>
          <w:ilvl w:val="0"/>
          <w:numId w:val="2"/>
        </w:numPr>
        <w:spacing w:before="60" w:after="60" w:line="276" w:lineRule="auto"/>
      </w:pPr>
      <w:r>
        <w:t>Admitir personas jurídicas sin fines de lucro debidamente registradas, designadas voluntariamente, como personas de apoyo.</w:t>
      </w:r>
    </w:p>
    <w:p w14:paraId="4E38CDE0" w14:textId="77777777" w:rsidR="00677037" w:rsidRDefault="00664227">
      <w:pPr>
        <w:pStyle w:val="ListParagraph"/>
        <w:numPr>
          <w:ilvl w:val="0"/>
          <w:numId w:val="2"/>
        </w:numPr>
        <w:spacing w:before="60" w:after="60" w:line="276" w:lineRule="auto"/>
      </w:pPr>
      <w:r>
        <w:t>Incorporar medidas ex post para garantizar derechos ante abusos e influencias indebidas.</w:t>
      </w:r>
    </w:p>
    <w:p w14:paraId="743EEC87" w14:textId="77777777" w:rsidR="00677037" w:rsidRDefault="00664227">
      <w:pPr>
        <w:pStyle w:val="ListParagraph"/>
        <w:numPr>
          <w:ilvl w:val="0"/>
          <w:numId w:val="2"/>
        </w:numPr>
        <w:spacing w:before="60" w:after="60" w:line="276" w:lineRule="auto"/>
      </w:pPr>
      <w:r>
        <w:t>Incorporar mecanismos de salvaguardias revisables, impugnables y revocables por la persona apoyada.</w:t>
      </w:r>
    </w:p>
    <w:p w14:paraId="2D04F54C" w14:textId="77777777" w:rsidR="00677037" w:rsidRDefault="00664227">
      <w:pPr>
        <w:pStyle w:val="ListParagraph"/>
        <w:numPr>
          <w:ilvl w:val="0"/>
          <w:numId w:val="2"/>
        </w:numPr>
        <w:spacing w:before="60" w:after="60" w:line="276" w:lineRule="auto"/>
      </w:pPr>
      <w:r>
        <w:t>Si se extiende el modelo a niños, niñas y adolescentes, articular adecuadamente con la Convención sobre los Derechos del Niño y los principios de interés superior, autonomía progresiva y derecho a ser oído.</w:t>
      </w:r>
    </w:p>
    <w:p w14:paraId="324340FF" w14:textId="77777777" w:rsidR="00677037" w:rsidRDefault="00677037">
      <w:pPr>
        <w:spacing w:before="80" w:after="80" w:line="276" w:lineRule="auto"/>
        <w:jc w:val="both"/>
      </w:pPr>
    </w:p>
    <w:p w14:paraId="59214F0D" w14:textId="77777777" w:rsidR="00677037" w:rsidRDefault="00664227">
      <w:pPr>
        <w:spacing w:before="240" w:after="100"/>
      </w:pPr>
      <w:proofErr w:type="gramStart"/>
      <w:r>
        <w:rPr>
          <w:b/>
          <w:bCs/>
          <w:color w:val="1A3E5C"/>
          <w:sz w:val="24"/>
          <w:szCs w:val="24"/>
        </w:rPr>
        <w:lastRenderedPageBreak/>
        <w:t>Subcomisión N.º</w:t>
      </w:r>
      <w:proofErr w:type="gramEnd"/>
      <w:r>
        <w:rPr>
          <w:b/>
          <w:bCs/>
          <w:color w:val="1A3E5C"/>
          <w:sz w:val="24"/>
          <w:szCs w:val="24"/>
        </w:rPr>
        <w:t xml:space="preserve"> 4: Armonización con la Constitución, el Código Civil y otras normas</w:t>
      </w:r>
    </w:p>
    <w:p w14:paraId="6DE28C72" w14:textId="77777777" w:rsidR="00677037" w:rsidRDefault="00664227">
      <w:pPr>
        <w:spacing w:before="180" w:after="80"/>
      </w:pPr>
      <w:r>
        <w:rPr>
          <w:b/>
          <w:bCs/>
          <w:color w:val="000000"/>
        </w:rPr>
        <w:t>Conclusiones</w:t>
      </w:r>
    </w:p>
    <w:p w14:paraId="2732F2BE" w14:textId="77777777" w:rsidR="00677037" w:rsidRDefault="00664227">
      <w:pPr>
        <w:pStyle w:val="ListParagraph"/>
        <w:numPr>
          <w:ilvl w:val="0"/>
          <w:numId w:val="2"/>
        </w:numPr>
        <w:spacing w:before="60" w:after="60" w:line="276" w:lineRule="auto"/>
      </w:pPr>
      <w:r>
        <w:t>Se trata de una iniciativa en un ámbito necesario, pero que no aborda la materia en forma integral.</w:t>
      </w:r>
    </w:p>
    <w:p w14:paraId="68972A47" w14:textId="77777777" w:rsidR="00677037" w:rsidRDefault="00664227">
      <w:pPr>
        <w:pStyle w:val="ListParagraph"/>
        <w:numPr>
          <w:ilvl w:val="0"/>
          <w:numId w:val="2"/>
        </w:numPr>
        <w:spacing w:before="60" w:after="60" w:line="276" w:lineRule="auto"/>
      </w:pPr>
      <w:r>
        <w:t>El proyecto no aborda la permanencia de la incapacitación jurídica dentro del ordenamiento chileno, lo que es el verdadero nudo crítico.</w:t>
      </w:r>
    </w:p>
    <w:p w14:paraId="0A3DDC09" w14:textId="77777777" w:rsidR="00677037" w:rsidRDefault="00664227">
      <w:pPr>
        <w:pStyle w:val="ListParagraph"/>
        <w:numPr>
          <w:ilvl w:val="0"/>
          <w:numId w:val="2"/>
        </w:numPr>
        <w:spacing w:before="60" w:after="60" w:line="276" w:lineRule="auto"/>
      </w:pPr>
      <w:r>
        <w:t>La reforma representa una valiosa oportunidad para abandonar la comprensión de la discapacidad de los padres como un atentado al ejercicio de los derechos de sus hijos, reforzando los apoyos a las familias con integrantes con discapacidad.</w:t>
      </w:r>
    </w:p>
    <w:p w14:paraId="022EEA83" w14:textId="77777777" w:rsidR="00677037" w:rsidRDefault="00664227">
      <w:pPr>
        <w:pStyle w:val="ListParagraph"/>
        <w:numPr>
          <w:ilvl w:val="0"/>
          <w:numId w:val="2"/>
        </w:numPr>
        <w:spacing w:before="60" w:after="60" w:line="276" w:lineRule="auto"/>
      </w:pPr>
      <w:r>
        <w:t>Se echa en falta la perspectiva de género, la corresponsabilidad social y la interseccionalidad en el diseño del proyecto.</w:t>
      </w:r>
    </w:p>
    <w:p w14:paraId="5CE761A1" w14:textId="77777777" w:rsidR="00677037" w:rsidRDefault="00664227">
      <w:pPr>
        <w:pStyle w:val="ListParagraph"/>
        <w:numPr>
          <w:ilvl w:val="0"/>
          <w:numId w:val="2"/>
        </w:numPr>
        <w:spacing w:before="60" w:after="60" w:line="276" w:lineRule="auto"/>
      </w:pPr>
      <w:r>
        <w:t>Preocupa la ausencia de ajustes para flexibilizar trámites judiciales y garantizar el acceso a la justicia y el debido proceso de las personas con discapacidad.</w:t>
      </w:r>
    </w:p>
    <w:p w14:paraId="3399469E" w14:textId="77777777" w:rsidR="00677037" w:rsidRDefault="00664227">
      <w:pPr>
        <w:pStyle w:val="ListParagraph"/>
        <w:numPr>
          <w:ilvl w:val="0"/>
          <w:numId w:val="2"/>
        </w:numPr>
        <w:spacing w:before="60" w:after="60" w:line="276" w:lineRule="auto"/>
      </w:pPr>
      <w:r>
        <w:t>Existe la posibilidad de que el proyecto sea una instancia estratégica para que las políticas públicas integren cuidados sociales y apoyos jurídicos.</w:t>
      </w:r>
    </w:p>
    <w:p w14:paraId="1A36DFD0" w14:textId="77777777" w:rsidR="00677037" w:rsidRDefault="00664227">
      <w:pPr>
        <w:pStyle w:val="ListParagraph"/>
        <w:numPr>
          <w:ilvl w:val="0"/>
          <w:numId w:val="2"/>
        </w:numPr>
        <w:spacing w:before="60" w:after="60" w:line="276" w:lineRule="auto"/>
      </w:pPr>
      <w:r>
        <w:t>Dentro del Código Civil, en materia de persona y negocio jurídico, se precisa una revisión sistemática sobre la capacidad jurídica de las personas con discapacidad.</w:t>
      </w:r>
    </w:p>
    <w:p w14:paraId="4634DBD2" w14:textId="77777777" w:rsidR="00677037" w:rsidRDefault="00664227">
      <w:pPr>
        <w:pStyle w:val="ListParagraph"/>
        <w:numPr>
          <w:ilvl w:val="0"/>
          <w:numId w:val="2"/>
        </w:numPr>
        <w:spacing w:before="60" w:after="60" w:line="276" w:lineRule="auto"/>
      </w:pPr>
      <w:r>
        <w:t>Desde el derecho sucesorio, el proyecto implica cambios en la capacidad de testar, capacidad para aceptar o repudiar asignaciones, indignidad, incapacidad relativa para suceder, formalidades testamentarias y juicio notarial de capacidad del testador.</w:t>
      </w:r>
    </w:p>
    <w:p w14:paraId="74E1D609" w14:textId="77777777" w:rsidR="00677037" w:rsidRDefault="00664227">
      <w:pPr>
        <w:spacing w:before="180" w:after="80"/>
      </w:pPr>
      <w:r>
        <w:rPr>
          <w:b/>
          <w:bCs/>
          <w:color w:val="000000"/>
        </w:rPr>
        <w:t>Modificaciones y propuestas</w:t>
      </w:r>
    </w:p>
    <w:p w14:paraId="16DD13CE" w14:textId="77777777" w:rsidR="00677037" w:rsidRDefault="00664227">
      <w:pPr>
        <w:pStyle w:val="ListParagraph"/>
        <w:numPr>
          <w:ilvl w:val="0"/>
          <w:numId w:val="2"/>
        </w:numPr>
        <w:spacing w:before="60" w:after="60" w:line="276" w:lineRule="auto"/>
      </w:pPr>
      <w:r>
        <w:t xml:space="preserve">Incorporar en el Código Civil disposiciones sobre poderes y mandatos preventivos y la figura de la </w:t>
      </w:r>
      <w:proofErr w:type="spellStart"/>
      <w:r>
        <w:t>autocuratela</w:t>
      </w:r>
      <w:proofErr w:type="spellEnd"/>
      <w:r>
        <w:t>.</w:t>
      </w:r>
    </w:p>
    <w:p w14:paraId="3A4D751E" w14:textId="77777777" w:rsidR="00677037" w:rsidRDefault="00664227">
      <w:pPr>
        <w:pStyle w:val="ListParagraph"/>
        <w:numPr>
          <w:ilvl w:val="0"/>
          <w:numId w:val="2"/>
        </w:numPr>
        <w:spacing w:before="60" w:after="60" w:line="276" w:lineRule="auto"/>
      </w:pPr>
      <w:r>
        <w:t>Regular las reglas de nulidad relativa para los actos celebrados sin los apoyos necesarios.</w:t>
      </w:r>
    </w:p>
    <w:p w14:paraId="4892CAFA" w14:textId="77777777" w:rsidR="00677037" w:rsidRDefault="00664227">
      <w:pPr>
        <w:pStyle w:val="ListParagraph"/>
        <w:numPr>
          <w:ilvl w:val="0"/>
          <w:numId w:val="2"/>
        </w:numPr>
        <w:spacing w:before="60" w:after="60" w:line="276" w:lineRule="auto"/>
      </w:pPr>
      <w:r>
        <w:t>Revisar y adecuar las normas de derecho matrimonial (artículos 1721, 1749, 1758, 1766 CC y artículos 5, 16 y 44 LMC).</w:t>
      </w:r>
    </w:p>
    <w:p w14:paraId="4281B2CF" w14:textId="77777777" w:rsidR="00677037" w:rsidRDefault="00664227">
      <w:pPr>
        <w:pStyle w:val="ListParagraph"/>
        <w:numPr>
          <w:ilvl w:val="0"/>
          <w:numId w:val="2"/>
        </w:numPr>
        <w:spacing w:before="60" w:after="60" w:line="276" w:lineRule="auto"/>
      </w:pPr>
      <w:r>
        <w:t>Regular en el derecho sucesorio la capacidad de testar con apoyos, los límites del apoyo testamentario, las nuevas causales de incapacidad relativa y las nuevas causales de indignidad para facilitadores y asistentes.</w:t>
      </w:r>
    </w:p>
    <w:p w14:paraId="04B58ED0" w14:textId="77777777" w:rsidR="00677037" w:rsidRDefault="00664227">
      <w:pPr>
        <w:pStyle w:val="ListParagraph"/>
        <w:numPr>
          <w:ilvl w:val="0"/>
          <w:numId w:val="2"/>
        </w:numPr>
        <w:spacing w:before="60" w:after="60" w:line="276" w:lineRule="auto"/>
      </w:pPr>
      <w:r>
        <w:t>Eliminar la causal de inhabilidad parental fundada en la 'incapacidad mental' o la 'inhabilidad física' de los progenitores.</w:t>
      </w:r>
    </w:p>
    <w:p w14:paraId="44346C59" w14:textId="77777777" w:rsidR="00677037" w:rsidRDefault="00664227">
      <w:pPr>
        <w:pStyle w:val="ListParagraph"/>
        <w:numPr>
          <w:ilvl w:val="0"/>
          <w:numId w:val="2"/>
        </w:numPr>
        <w:spacing w:before="60" w:after="60" w:line="276" w:lineRule="auto"/>
      </w:pPr>
      <w:r>
        <w:t>Adecuar el artículo 191, inc. 3.º CC sobre repudiación de filiación a un modelo de apoyos.</w:t>
      </w:r>
    </w:p>
    <w:p w14:paraId="2A2D614F" w14:textId="77777777" w:rsidR="00677037" w:rsidRDefault="00664227">
      <w:pPr>
        <w:pStyle w:val="ListParagraph"/>
        <w:numPr>
          <w:ilvl w:val="0"/>
          <w:numId w:val="2"/>
        </w:numPr>
        <w:spacing w:before="60" w:after="60" w:line="276" w:lineRule="auto"/>
      </w:pPr>
      <w:r>
        <w:t>Eliminar la causal de emancipación judicial fundada en inhabilidad física o moral (art. 271 N.º 4 CC).</w:t>
      </w:r>
    </w:p>
    <w:p w14:paraId="29FAD869" w14:textId="77777777" w:rsidR="00677037" w:rsidRDefault="00664227">
      <w:pPr>
        <w:pStyle w:val="ListParagraph"/>
        <w:numPr>
          <w:ilvl w:val="0"/>
          <w:numId w:val="2"/>
        </w:numPr>
        <w:spacing w:before="60" w:after="60" w:line="276" w:lineRule="auto"/>
      </w:pPr>
      <w:r>
        <w:t>Corregir el lenguaje del artículo 332 CC en materia de alimentos.</w:t>
      </w:r>
    </w:p>
    <w:p w14:paraId="174CFD47" w14:textId="77777777" w:rsidR="00677037" w:rsidRDefault="00664227">
      <w:pPr>
        <w:pStyle w:val="ListParagraph"/>
        <w:numPr>
          <w:ilvl w:val="0"/>
          <w:numId w:val="2"/>
        </w:numPr>
        <w:spacing w:before="60" w:after="60" w:line="276" w:lineRule="auto"/>
      </w:pPr>
      <w:r>
        <w:t>Abordar la imputabilidad civil y el estándar de culpa para personas con discapacidad en el ámbito de la responsabilidad extracontractual.</w:t>
      </w:r>
    </w:p>
    <w:p w14:paraId="7F9D4B0E" w14:textId="77777777" w:rsidR="00677037" w:rsidRDefault="00664227">
      <w:pPr>
        <w:pStyle w:val="ListParagraph"/>
        <w:numPr>
          <w:ilvl w:val="0"/>
          <w:numId w:val="2"/>
        </w:numPr>
        <w:spacing w:before="60" w:after="60" w:line="276" w:lineRule="auto"/>
      </w:pPr>
      <w:r>
        <w:t>Suprimir el lenguaje estigmatizante del artículo 459 CC, articulando adecuadamente con las implicancias constitucionales del artículo 16 N.º 1 CPR.</w:t>
      </w:r>
    </w:p>
    <w:p w14:paraId="5055561D" w14:textId="77777777" w:rsidR="00677037" w:rsidRDefault="00664227">
      <w:pPr>
        <w:pStyle w:val="ListParagraph"/>
        <w:numPr>
          <w:ilvl w:val="0"/>
          <w:numId w:val="2"/>
        </w:numPr>
        <w:spacing w:before="60" w:after="60" w:line="276" w:lineRule="auto"/>
      </w:pPr>
      <w:r>
        <w:lastRenderedPageBreak/>
        <w:t>Armonizar el proyecto con la Ley 21.805 definiendo claramente la coordinación entre cuidadores y facilitadores, el régimen de control y el reconocimiento de las cuidadoras.</w:t>
      </w:r>
    </w:p>
    <w:p w14:paraId="74D58474" w14:textId="77777777" w:rsidR="00677037" w:rsidRDefault="00664227">
      <w:pPr>
        <w:pStyle w:val="ListParagraph"/>
        <w:numPr>
          <w:ilvl w:val="0"/>
          <w:numId w:val="2"/>
        </w:numPr>
        <w:spacing w:before="60" w:after="60" w:line="276" w:lineRule="auto"/>
      </w:pPr>
      <w:r>
        <w:t>Crear un Sistema Institucional de Apoyos Jurídicos con visión técnica, profesional y especializada.</w:t>
      </w:r>
    </w:p>
    <w:p w14:paraId="3E4741E3" w14:textId="77777777" w:rsidR="00677037" w:rsidRDefault="00664227">
      <w:pPr>
        <w:pStyle w:val="ListParagraph"/>
        <w:numPr>
          <w:ilvl w:val="0"/>
          <w:numId w:val="2"/>
        </w:numPr>
        <w:spacing w:before="60" w:after="60" w:line="276" w:lineRule="auto"/>
      </w:pPr>
      <w:r>
        <w:t>Incorporar normas específicas para personas jurídicas sin fines de lucro designadas como facilitadores en cuanto a su profesionalización y ámbito de actuación.</w:t>
      </w:r>
    </w:p>
    <w:sectPr w:rsidR="00677037">
      <w:pgSz w:w="11906" w:h="16838"/>
      <w:pgMar w:top="1440" w:right="1260" w:bottom="1440" w:left="126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64DFC1" w14:textId="77777777" w:rsidR="008019E2" w:rsidRDefault="008019E2" w:rsidP="00764B23">
      <w:r>
        <w:separator/>
      </w:r>
    </w:p>
  </w:endnote>
  <w:endnote w:type="continuationSeparator" w:id="0">
    <w:p w14:paraId="51085D23" w14:textId="77777777" w:rsidR="008019E2" w:rsidRDefault="008019E2" w:rsidP="00764B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D1D8B2" w14:textId="77777777" w:rsidR="008019E2" w:rsidRDefault="008019E2" w:rsidP="00764B23">
      <w:r>
        <w:separator/>
      </w:r>
    </w:p>
  </w:footnote>
  <w:footnote w:type="continuationSeparator" w:id="0">
    <w:p w14:paraId="4FEB146C" w14:textId="77777777" w:rsidR="008019E2" w:rsidRDefault="008019E2" w:rsidP="00764B2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1B61E4"/>
    <w:multiLevelType w:val="hybridMultilevel"/>
    <w:tmpl w:val="04BE42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6310499"/>
    <w:multiLevelType w:val="hybridMultilevel"/>
    <w:tmpl w:val="408E1BE0"/>
    <w:lvl w:ilvl="0" w:tplc="E6026526">
      <w:start w:val="1"/>
      <w:numFmt w:val="bullet"/>
      <w:lvlText w:val="●"/>
      <w:lvlJc w:val="left"/>
      <w:pPr>
        <w:ind w:left="720" w:hanging="360"/>
      </w:pPr>
    </w:lvl>
    <w:lvl w:ilvl="1" w:tplc="EC08A77E">
      <w:start w:val="1"/>
      <w:numFmt w:val="bullet"/>
      <w:lvlText w:val="○"/>
      <w:lvlJc w:val="left"/>
      <w:pPr>
        <w:ind w:left="1440" w:hanging="360"/>
      </w:pPr>
    </w:lvl>
    <w:lvl w:ilvl="2" w:tplc="3CA60308">
      <w:start w:val="1"/>
      <w:numFmt w:val="bullet"/>
      <w:lvlText w:val="■"/>
      <w:lvlJc w:val="left"/>
      <w:pPr>
        <w:ind w:left="2160" w:hanging="360"/>
      </w:pPr>
    </w:lvl>
    <w:lvl w:ilvl="3" w:tplc="BC9AEBD4">
      <w:start w:val="1"/>
      <w:numFmt w:val="bullet"/>
      <w:lvlText w:val="●"/>
      <w:lvlJc w:val="left"/>
      <w:pPr>
        <w:ind w:left="2880" w:hanging="360"/>
      </w:pPr>
    </w:lvl>
    <w:lvl w:ilvl="4" w:tplc="D5E200D0">
      <w:start w:val="1"/>
      <w:numFmt w:val="bullet"/>
      <w:lvlText w:val="○"/>
      <w:lvlJc w:val="left"/>
      <w:pPr>
        <w:ind w:left="3600" w:hanging="360"/>
      </w:pPr>
    </w:lvl>
    <w:lvl w:ilvl="5" w:tplc="91F2995E">
      <w:start w:val="1"/>
      <w:numFmt w:val="bullet"/>
      <w:lvlText w:val="■"/>
      <w:lvlJc w:val="left"/>
      <w:pPr>
        <w:ind w:left="4320" w:hanging="360"/>
      </w:pPr>
    </w:lvl>
    <w:lvl w:ilvl="6" w:tplc="4BD6AD6C">
      <w:start w:val="1"/>
      <w:numFmt w:val="bullet"/>
      <w:lvlText w:val="●"/>
      <w:lvlJc w:val="left"/>
      <w:pPr>
        <w:ind w:left="5040" w:hanging="360"/>
      </w:pPr>
    </w:lvl>
    <w:lvl w:ilvl="7" w:tplc="772C4230">
      <w:start w:val="1"/>
      <w:numFmt w:val="bullet"/>
      <w:lvlText w:val="●"/>
      <w:lvlJc w:val="left"/>
      <w:pPr>
        <w:ind w:left="5760" w:hanging="360"/>
      </w:pPr>
    </w:lvl>
    <w:lvl w:ilvl="8" w:tplc="BE8A517C">
      <w:start w:val="1"/>
      <w:numFmt w:val="bullet"/>
      <w:lvlText w:val="●"/>
      <w:lvlJc w:val="left"/>
      <w:pPr>
        <w:ind w:left="6480" w:hanging="360"/>
      </w:pPr>
    </w:lvl>
  </w:abstractNum>
  <w:abstractNum w:abstractNumId="2" w15:restartNumberingAfterBreak="0">
    <w:nsid w:val="36D13A91"/>
    <w:multiLevelType w:val="multilevel"/>
    <w:tmpl w:val="22AA48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DA047E1"/>
    <w:multiLevelType w:val="hybridMultilevel"/>
    <w:tmpl w:val="765AB824"/>
    <w:lvl w:ilvl="0" w:tplc="B1B2A076">
      <w:start w:val="1"/>
      <w:numFmt w:val="bullet"/>
      <w:lvlText w:val="•"/>
      <w:lvlJc w:val="left"/>
      <w:pPr>
        <w:ind w:left="720" w:hanging="360"/>
      </w:pPr>
    </w:lvl>
    <w:lvl w:ilvl="1" w:tplc="5E323A04">
      <w:start w:val="1"/>
      <w:numFmt w:val="bullet"/>
      <w:lvlText w:val="–"/>
      <w:lvlJc w:val="left"/>
      <w:pPr>
        <w:ind w:left="1080" w:hanging="360"/>
      </w:pPr>
    </w:lvl>
    <w:lvl w:ilvl="2" w:tplc="3732E9C6">
      <w:numFmt w:val="decimal"/>
      <w:lvlText w:val=""/>
      <w:lvlJc w:val="left"/>
    </w:lvl>
    <w:lvl w:ilvl="3" w:tplc="CED44F38">
      <w:numFmt w:val="decimal"/>
      <w:lvlText w:val=""/>
      <w:lvlJc w:val="left"/>
    </w:lvl>
    <w:lvl w:ilvl="4" w:tplc="7DBAF0B0">
      <w:numFmt w:val="decimal"/>
      <w:lvlText w:val=""/>
      <w:lvlJc w:val="left"/>
    </w:lvl>
    <w:lvl w:ilvl="5" w:tplc="279E2114">
      <w:numFmt w:val="decimal"/>
      <w:lvlText w:val=""/>
      <w:lvlJc w:val="left"/>
    </w:lvl>
    <w:lvl w:ilvl="6" w:tplc="3D08B4FE">
      <w:numFmt w:val="decimal"/>
      <w:lvlText w:val=""/>
      <w:lvlJc w:val="left"/>
    </w:lvl>
    <w:lvl w:ilvl="7" w:tplc="F492162E">
      <w:numFmt w:val="decimal"/>
      <w:lvlText w:val=""/>
      <w:lvlJc w:val="left"/>
    </w:lvl>
    <w:lvl w:ilvl="8" w:tplc="4BA0917C">
      <w:numFmt w:val="decimal"/>
      <w:lvlText w:val=""/>
      <w:lvlJc w:val="left"/>
    </w:lvl>
  </w:abstractNum>
  <w:num w:numId="1" w16cid:durableId="1042824898">
    <w:abstractNumId w:val="1"/>
    <w:lvlOverride w:ilvl="0">
      <w:startOverride w:val="1"/>
    </w:lvlOverride>
  </w:num>
  <w:num w:numId="2" w16cid:durableId="1880706645">
    <w:abstractNumId w:val="3"/>
    <w:lvlOverride w:ilvl="0">
      <w:startOverride w:val="1"/>
    </w:lvlOverride>
  </w:num>
  <w:num w:numId="3" w16cid:durableId="1084842628">
    <w:abstractNumId w:val="2"/>
  </w:num>
  <w:num w:numId="4" w16cid:durableId="18500266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isplayBackgroundShape/>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7037"/>
    <w:rsid w:val="001F6781"/>
    <w:rsid w:val="003D5A23"/>
    <w:rsid w:val="00510B03"/>
    <w:rsid w:val="006440E4"/>
    <w:rsid w:val="00664227"/>
    <w:rsid w:val="00677037"/>
    <w:rsid w:val="007122AE"/>
    <w:rsid w:val="00764B23"/>
    <w:rsid w:val="008019E2"/>
    <w:rsid w:val="00A45438"/>
    <w:rsid w:val="00C5393D"/>
  </w:rsids>
  <m:mathPr>
    <m:mathFont m:val="Cambria Math"/>
    <m:brkBin m:val="before"/>
    <m:brkBinSub m:val="--"/>
    <m:smallFrac m:val="0"/>
    <m:dispDef/>
    <m:lMargin m:val="0"/>
    <m:rMargin m:val="0"/>
    <m:defJc m:val="centerGroup"/>
    <m:wrapIndent m:val="1440"/>
    <m:intLim m:val="subSup"/>
    <m:naryLim m:val="undOvr"/>
  </m:mathPr>
  <w:themeFontLang w:val="es-CL"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BE02B5"/>
  <w15:docId w15:val="{1F337EAF-6BBD-4D28-9FDA-4AED0B7E05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s-CL" w:eastAsia="es-C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Textoennegrita1">
    <w:name w:val="Texto en negrita1"/>
    <w:qFormat/>
    <w:rPr>
      <w:b/>
      <w:bCs/>
    </w:rPr>
  </w:style>
  <w:style w:type="paragraph" w:styleId="ListParagraph">
    <w:name w:val="List Paragraph"/>
    <w:uiPriority w:val="34"/>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Header">
    <w:name w:val="header"/>
    <w:basedOn w:val="Normal"/>
    <w:link w:val="HeaderChar"/>
    <w:uiPriority w:val="99"/>
    <w:unhideWhenUsed/>
    <w:rsid w:val="00764B23"/>
    <w:pPr>
      <w:tabs>
        <w:tab w:val="center" w:pos="4513"/>
        <w:tab w:val="right" w:pos="9026"/>
      </w:tabs>
    </w:pPr>
  </w:style>
  <w:style w:type="character" w:customStyle="1" w:styleId="HeaderChar">
    <w:name w:val="Header Char"/>
    <w:basedOn w:val="DefaultParagraphFont"/>
    <w:link w:val="Header"/>
    <w:uiPriority w:val="99"/>
    <w:rsid w:val="00764B23"/>
  </w:style>
  <w:style w:type="paragraph" w:styleId="Footer">
    <w:name w:val="footer"/>
    <w:basedOn w:val="Normal"/>
    <w:link w:val="FooterChar"/>
    <w:uiPriority w:val="99"/>
    <w:unhideWhenUsed/>
    <w:rsid w:val="00764B23"/>
    <w:pPr>
      <w:tabs>
        <w:tab w:val="center" w:pos="4513"/>
        <w:tab w:val="right" w:pos="9026"/>
      </w:tabs>
    </w:pPr>
  </w:style>
  <w:style w:type="character" w:customStyle="1" w:styleId="FooterChar">
    <w:name w:val="Footer Char"/>
    <w:basedOn w:val="DefaultParagraphFont"/>
    <w:link w:val="Footer"/>
    <w:uiPriority w:val="99"/>
    <w:rsid w:val="00764B2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3.xml"/><Relationship Id="rId5" Type="http://schemas.openxmlformats.org/officeDocument/2006/relationships/footnotes" Target="footnotes.xml"/><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customXml" Target="../customXml/item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9" ma:contentTypeDescription="Create a new document." ma:contentTypeScope="" ma:versionID="04f219aa2b14fb72407f906d90ce0b14">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6114bf3172f2cca0606142aa0e93b40f"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element ref="ns5: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element name="MediaServiceBillingMetadata" ma:index="45"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2026-07-23T07:03:31+00:00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24B61170-25FC-4D74-9729-133BFC975BB8}"/>
</file>

<file path=customXml/itemProps2.xml><?xml version="1.0" encoding="utf-8"?>
<ds:datastoreItem xmlns:ds="http://schemas.openxmlformats.org/officeDocument/2006/customXml" ds:itemID="{0DEFA346-9B2F-4919-A0D9-16D5BF90C241}"/>
</file>

<file path=customXml/itemProps3.xml><?xml version="1.0" encoding="utf-8"?>
<ds:datastoreItem xmlns:ds="http://schemas.openxmlformats.org/officeDocument/2006/customXml" ds:itemID="{F50DEE68-D562-4D0B-9626-219C737A7623}"/>
</file>

<file path=docMetadata/LabelInfo.xml><?xml version="1.0" encoding="utf-8"?>
<clbl:labelList xmlns:clbl="http://schemas.microsoft.com/office/2020/mipLabelMetadata">
  <clbl:label id="{8b77875e-5908-45a0-9cb4-dec9ae074618}"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18</Pages>
  <Words>5317</Words>
  <Characters>30919</Characters>
  <Application>Microsoft Office Word</Application>
  <DocSecurity>4</DocSecurity>
  <Lines>549</Lines>
  <Paragraphs>249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Jorge Araya</cp:lastModifiedBy>
  <cp:revision>2</cp:revision>
  <dcterms:created xsi:type="dcterms:W3CDTF">2026-07-23T07:03:00Z</dcterms:created>
  <dcterms:modified xsi:type="dcterms:W3CDTF">2026-07-23T07:03:00Z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ies>
</file>